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4252"/>
        <w:gridCol w:w="1628"/>
        <w:gridCol w:w="4186"/>
        <w:gridCol w:w="20"/>
      </w:tblGrid>
      <w:tr w:rsidR="006230B6" w:rsidRPr="0081286A" w:rsidTr="00B91A56">
        <w:trPr>
          <w:trHeight w:val="2103"/>
        </w:trPr>
        <w:tc>
          <w:tcPr>
            <w:tcW w:w="5000" w:type="pct"/>
            <w:gridSpan w:val="4"/>
          </w:tcPr>
          <w:p w:rsidR="006230B6" w:rsidRPr="0081286A" w:rsidRDefault="00B91A56" w:rsidP="00E92347">
            <w:pPr>
              <w:jc w:val="center"/>
            </w:pPr>
            <w:r w:rsidRPr="0081286A">
              <w:rPr>
                <w:noProof/>
                <w:lang w:val="en-US" w:eastAsia="en-US"/>
              </w:rPr>
              <w:drawing>
                <wp:inline distT="0" distB="0" distL="0" distR="0">
                  <wp:extent cx="1191895" cy="1638300"/>
                  <wp:effectExtent l="0" t="0" r="8255" b="0"/>
                  <wp:docPr id="1" name="Picture 1"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6230B6" w:rsidRPr="0081286A" w:rsidRDefault="006230B6" w:rsidP="0081470C">
            <w:pPr>
              <w:spacing w:before="120" w:after="100" w:afterAutospacing="1"/>
              <w:jc w:val="center"/>
              <w:rPr>
                <w:rFonts w:eastAsia="Calibri"/>
              </w:rPr>
            </w:pPr>
            <w:r w:rsidRPr="0081286A">
              <w:rPr>
                <w:rFonts w:eastAsia="Calibri"/>
                <w:b/>
                <w:szCs w:val="24"/>
                <w:lang w:eastAsia="en-US"/>
              </w:rPr>
              <w:t>SUPREME COURT OF CANADA</w:t>
            </w:r>
          </w:p>
        </w:tc>
      </w:tr>
      <w:tr w:rsidR="008201FB" w:rsidRPr="0081286A" w:rsidTr="0081286A">
        <w:trPr>
          <w:gridAfter w:val="1"/>
          <w:wAfter w:w="10" w:type="pct"/>
        </w:trPr>
        <w:tc>
          <w:tcPr>
            <w:tcW w:w="2108" w:type="pct"/>
            <w:tcMar>
              <w:top w:w="284" w:type="dxa"/>
            </w:tcMar>
          </w:tcPr>
          <w:p w:rsidR="006230B6" w:rsidRPr="0081286A" w:rsidRDefault="006230B6" w:rsidP="00E03F44">
            <w:pPr>
              <w:spacing w:before="100" w:beforeAutospacing="1"/>
              <w:rPr>
                <w:rFonts w:eastAsia="Calibri"/>
                <w:lang w:val="en-US"/>
              </w:rPr>
            </w:pPr>
            <w:r w:rsidRPr="0081286A">
              <w:rPr>
                <w:b/>
                <w:smallCaps/>
                <w:lang w:val="en-US"/>
              </w:rPr>
              <w:t>Citation:</w:t>
            </w:r>
            <w:r w:rsidRPr="0081286A">
              <w:rPr>
                <w:lang w:val="en-US"/>
              </w:rPr>
              <w:t xml:space="preserve"> </w:t>
            </w:r>
            <w:r w:rsidR="00E714DB" w:rsidRPr="0081286A">
              <w:rPr>
                <w:lang w:val="en-US"/>
              </w:rPr>
              <w:t>Kreke</w:t>
            </w:r>
            <w:r w:rsidR="00410588" w:rsidRPr="0081286A">
              <w:rPr>
                <w:lang w:val="en-US"/>
              </w:rPr>
              <w:t xml:space="preserve"> </w:t>
            </w:r>
            <w:r w:rsidR="00410588" w:rsidRPr="0081286A">
              <w:rPr>
                <w:i/>
                <w:lang w:val="en-US"/>
              </w:rPr>
              <w:t>v.</w:t>
            </w:r>
            <w:r w:rsidR="00972251" w:rsidRPr="0081286A">
              <w:rPr>
                <w:lang w:val="en-US"/>
              </w:rPr>
              <w:t xml:space="preserve"> </w:t>
            </w:r>
            <w:r w:rsidR="00E714DB" w:rsidRPr="0081286A">
              <w:rPr>
                <w:lang w:val="en-US"/>
              </w:rPr>
              <w:t>Alansar</w:t>
            </w:r>
            <w:bookmarkStart w:id="0" w:name="_GoBack"/>
            <w:bookmarkEnd w:id="0"/>
            <w:r w:rsidR="00E714DB" w:rsidRPr="0081286A">
              <w:rPr>
                <w:lang w:val="en-US"/>
              </w:rPr>
              <w:t>i</w:t>
            </w:r>
            <w:r w:rsidR="00972251" w:rsidRPr="0081286A">
              <w:rPr>
                <w:lang w:val="en-US"/>
              </w:rPr>
              <w:t xml:space="preserve">, 2021 SCC </w:t>
            </w:r>
            <w:r w:rsidR="00E714DB" w:rsidRPr="0081286A">
              <w:rPr>
                <w:lang w:val="en-US"/>
              </w:rPr>
              <w:t>50</w:t>
            </w:r>
          </w:p>
        </w:tc>
        <w:tc>
          <w:tcPr>
            <w:tcW w:w="807" w:type="pct"/>
          </w:tcPr>
          <w:p w:rsidR="006230B6" w:rsidRPr="0081286A" w:rsidRDefault="006230B6" w:rsidP="00A12217">
            <w:pPr>
              <w:rPr>
                <w:b/>
                <w:smallCaps/>
                <w:lang w:val="en-US"/>
              </w:rPr>
            </w:pPr>
          </w:p>
        </w:tc>
        <w:tc>
          <w:tcPr>
            <w:tcW w:w="2075" w:type="pct"/>
            <w:tcMar>
              <w:top w:w="284" w:type="dxa"/>
            </w:tcMar>
          </w:tcPr>
          <w:p w:rsidR="0072773E" w:rsidRPr="0081286A" w:rsidRDefault="0072773E" w:rsidP="0072773E">
            <w:r w:rsidRPr="0081286A">
              <w:rPr>
                <w:b/>
                <w:smallCaps/>
              </w:rPr>
              <w:t xml:space="preserve">Appeal Heard: </w:t>
            </w:r>
            <w:r w:rsidRPr="0081286A">
              <w:t>December 1</w:t>
            </w:r>
            <w:r w:rsidR="002A1B9E" w:rsidRPr="0081286A">
              <w:t xml:space="preserve"> and</w:t>
            </w:r>
            <w:r w:rsidRPr="0081286A">
              <w:t xml:space="preserve"> 2, 2021</w:t>
            </w:r>
          </w:p>
          <w:p w:rsidR="006230B6" w:rsidRPr="0081286A" w:rsidRDefault="006230B6" w:rsidP="00A12217">
            <w:r w:rsidRPr="0081286A">
              <w:rPr>
                <w:b/>
                <w:smallCaps/>
              </w:rPr>
              <w:t>Judgment Rendered:</w:t>
            </w:r>
            <w:r w:rsidR="00EA07C1" w:rsidRPr="0081286A">
              <w:rPr>
                <w:b/>
                <w:smallCaps/>
              </w:rPr>
              <w:t xml:space="preserve"> </w:t>
            </w:r>
            <w:r w:rsidR="00E714DB" w:rsidRPr="0081286A">
              <w:t>December 2</w:t>
            </w:r>
            <w:r w:rsidR="00EA07C1" w:rsidRPr="0081286A">
              <w:t>, 2021</w:t>
            </w:r>
          </w:p>
          <w:p w:rsidR="006230B6" w:rsidRPr="0081286A" w:rsidRDefault="006230B6" w:rsidP="000F2039">
            <w:r w:rsidRPr="0081286A">
              <w:rPr>
                <w:b/>
                <w:smallCaps/>
              </w:rPr>
              <w:t>Docket:</w:t>
            </w:r>
            <w:r w:rsidRPr="0081286A">
              <w:t xml:space="preserve"> </w:t>
            </w:r>
            <w:r w:rsidR="00E714DB" w:rsidRPr="0081286A">
              <w:t>39567</w:t>
            </w:r>
          </w:p>
        </w:tc>
      </w:tr>
      <w:tr w:rsidR="006230B6" w:rsidRPr="0081286A" w:rsidTr="00D614E0">
        <w:tc>
          <w:tcPr>
            <w:tcW w:w="5000" w:type="pct"/>
            <w:gridSpan w:val="4"/>
          </w:tcPr>
          <w:p w:rsidR="006230B6" w:rsidRPr="0081286A" w:rsidRDefault="006230B6" w:rsidP="00A12217">
            <w:pPr>
              <w:rPr>
                <w:rFonts w:eastAsiaTheme="minorHAnsi" w:cstheme="minorBidi"/>
                <w:b/>
                <w:szCs w:val="24"/>
                <w:lang w:eastAsia="en-US"/>
              </w:rPr>
            </w:pPr>
          </w:p>
          <w:p w:rsidR="00C8650B" w:rsidRPr="0081286A" w:rsidRDefault="00C8650B" w:rsidP="00C8650B">
            <w:pPr>
              <w:rPr>
                <w:rFonts w:eastAsiaTheme="minorHAnsi" w:cstheme="minorBidi"/>
                <w:b/>
                <w:smallCaps/>
                <w:szCs w:val="24"/>
                <w:lang w:eastAsia="en-US"/>
              </w:rPr>
            </w:pPr>
            <w:r w:rsidRPr="0081286A">
              <w:rPr>
                <w:rFonts w:eastAsiaTheme="minorHAnsi" w:cstheme="minorBidi"/>
                <w:b/>
                <w:smallCaps/>
                <w:szCs w:val="24"/>
                <w:lang w:eastAsia="en-US"/>
              </w:rPr>
              <w:t>Between:</w:t>
            </w:r>
          </w:p>
          <w:p w:rsidR="009E082D" w:rsidRPr="0081286A" w:rsidRDefault="009E082D" w:rsidP="00C8650B">
            <w:pPr>
              <w:jc w:val="center"/>
              <w:rPr>
                <w:rFonts w:eastAsiaTheme="minorHAnsi" w:cstheme="minorBidi"/>
                <w:b/>
                <w:szCs w:val="24"/>
                <w:lang w:val="en-US" w:eastAsia="en-US"/>
              </w:rPr>
            </w:pPr>
          </w:p>
          <w:p w:rsidR="00C8650B" w:rsidRPr="0081286A" w:rsidRDefault="00E714DB" w:rsidP="00C8650B">
            <w:pPr>
              <w:jc w:val="center"/>
              <w:rPr>
                <w:rFonts w:eastAsiaTheme="minorHAnsi" w:cstheme="minorBidi"/>
                <w:b/>
                <w:szCs w:val="24"/>
                <w:lang w:eastAsia="en-US"/>
              </w:rPr>
            </w:pPr>
            <w:r w:rsidRPr="0081286A">
              <w:rPr>
                <w:rFonts w:eastAsiaTheme="minorHAnsi" w:cstheme="minorBidi"/>
                <w:b/>
                <w:szCs w:val="24"/>
                <w:lang w:val="en-US" w:eastAsia="en-US"/>
              </w:rPr>
              <w:t>Tiffany Jo Kreke</w:t>
            </w:r>
          </w:p>
          <w:p w:rsidR="00C8650B" w:rsidRPr="0081286A" w:rsidRDefault="00C8650B" w:rsidP="00C8650B">
            <w:pPr>
              <w:jc w:val="center"/>
              <w:rPr>
                <w:rFonts w:eastAsiaTheme="minorHAnsi" w:cstheme="minorBidi"/>
                <w:szCs w:val="24"/>
                <w:lang w:eastAsia="en-US"/>
              </w:rPr>
            </w:pPr>
            <w:r w:rsidRPr="0081286A">
              <w:rPr>
                <w:rFonts w:eastAsiaTheme="minorHAnsi" w:cstheme="minorBidi"/>
                <w:szCs w:val="24"/>
                <w:lang w:eastAsia="en-US"/>
              </w:rPr>
              <w:t>Appellant</w:t>
            </w:r>
          </w:p>
          <w:p w:rsidR="00DA09F8" w:rsidRPr="0081286A" w:rsidRDefault="00DA09F8" w:rsidP="00C8650B">
            <w:pPr>
              <w:jc w:val="center"/>
              <w:rPr>
                <w:rFonts w:eastAsiaTheme="minorHAnsi" w:cstheme="minorBidi"/>
                <w:szCs w:val="24"/>
                <w:lang w:eastAsia="en-US"/>
              </w:rPr>
            </w:pPr>
          </w:p>
          <w:p w:rsidR="00C8650B" w:rsidRPr="0081286A" w:rsidRDefault="00DA09F8" w:rsidP="00C8650B">
            <w:pPr>
              <w:jc w:val="center"/>
              <w:rPr>
                <w:rFonts w:eastAsiaTheme="minorHAnsi" w:cstheme="minorBidi"/>
                <w:szCs w:val="24"/>
                <w:lang w:eastAsia="en-US"/>
              </w:rPr>
            </w:pPr>
            <w:r w:rsidRPr="0081286A">
              <w:rPr>
                <w:rFonts w:eastAsiaTheme="minorHAnsi" w:cstheme="minorBidi"/>
                <w:szCs w:val="24"/>
                <w:lang w:eastAsia="en-US"/>
              </w:rPr>
              <w:t>and</w:t>
            </w:r>
          </w:p>
          <w:p w:rsidR="00DA09F8" w:rsidRPr="0081286A" w:rsidRDefault="00DA09F8" w:rsidP="00C8650B">
            <w:pPr>
              <w:jc w:val="center"/>
              <w:rPr>
                <w:rFonts w:eastAsiaTheme="minorHAnsi" w:cstheme="minorBidi"/>
                <w:szCs w:val="24"/>
                <w:lang w:eastAsia="en-US"/>
              </w:rPr>
            </w:pPr>
          </w:p>
          <w:p w:rsidR="00D33A8F" w:rsidRPr="0081286A" w:rsidRDefault="00E714DB" w:rsidP="00C8650B">
            <w:pPr>
              <w:jc w:val="center"/>
              <w:rPr>
                <w:rFonts w:eastAsiaTheme="minorHAnsi" w:cstheme="minorBidi"/>
                <w:szCs w:val="24"/>
                <w:lang w:eastAsia="en-US"/>
              </w:rPr>
            </w:pPr>
            <w:r w:rsidRPr="0081286A">
              <w:rPr>
                <w:rStyle w:val="Strong"/>
                <w:rFonts w:ascii="Helvetica Neue" w:eastAsiaTheme="majorEastAsia" w:hAnsi="Helvetica Neue"/>
                <w:color w:val="333333"/>
                <w:shd w:val="clear" w:color="auto" w:fill="FFFFFF"/>
              </w:rPr>
              <w:t>Amro Abdullah M</w:t>
            </w:r>
            <w:r w:rsidR="00F575F4" w:rsidRPr="0081286A">
              <w:rPr>
                <w:rStyle w:val="Strong"/>
                <w:rFonts w:ascii="Helvetica Neue" w:eastAsiaTheme="majorEastAsia" w:hAnsi="Helvetica Neue"/>
                <w:color w:val="333333"/>
                <w:shd w:val="clear" w:color="auto" w:fill="FFFFFF"/>
              </w:rPr>
              <w:t>.</w:t>
            </w:r>
            <w:r w:rsidRPr="0081286A">
              <w:rPr>
                <w:rStyle w:val="Strong"/>
                <w:rFonts w:ascii="Helvetica Neue" w:eastAsiaTheme="majorEastAsia" w:hAnsi="Helvetica Neue"/>
                <w:color w:val="333333"/>
                <w:shd w:val="clear" w:color="auto" w:fill="FFFFFF"/>
              </w:rPr>
              <w:t xml:space="preserve"> Alansari</w:t>
            </w:r>
          </w:p>
          <w:p w:rsidR="00C8650B" w:rsidRPr="0081286A" w:rsidRDefault="00C8650B" w:rsidP="00C8650B">
            <w:pPr>
              <w:jc w:val="center"/>
              <w:rPr>
                <w:rFonts w:eastAsiaTheme="minorHAnsi" w:cstheme="minorBidi"/>
                <w:szCs w:val="24"/>
                <w:lang w:eastAsia="en-US"/>
              </w:rPr>
            </w:pPr>
            <w:r w:rsidRPr="0081286A">
              <w:rPr>
                <w:rFonts w:eastAsiaTheme="minorHAnsi" w:cstheme="minorBidi"/>
                <w:szCs w:val="24"/>
                <w:lang w:eastAsia="en-US"/>
              </w:rPr>
              <w:t>Respondent</w:t>
            </w:r>
          </w:p>
          <w:p w:rsidR="000F2039" w:rsidRPr="0081286A" w:rsidRDefault="000F2039" w:rsidP="00E03F44">
            <w:pPr>
              <w:jc w:val="center"/>
              <w:rPr>
                <w:b/>
                <w:smallCaps/>
              </w:rPr>
            </w:pPr>
          </w:p>
          <w:p w:rsidR="004C5B67" w:rsidRPr="0081286A" w:rsidRDefault="004C5B67" w:rsidP="004C5B67">
            <w:pPr>
              <w:rPr>
                <w:b/>
                <w:smallCaps/>
              </w:rPr>
            </w:pPr>
          </w:p>
          <w:p w:rsidR="004C5B67" w:rsidRPr="0081286A" w:rsidRDefault="004C5B67" w:rsidP="00E03F44">
            <w:pPr>
              <w:jc w:val="center"/>
              <w:rPr>
                <w:b/>
                <w:smallCaps/>
              </w:rPr>
            </w:pPr>
          </w:p>
        </w:tc>
      </w:tr>
    </w:tbl>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268"/>
        <w:gridCol w:w="7796"/>
        <w:gridCol w:w="22"/>
      </w:tblGrid>
      <w:tr w:rsidR="00E92347" w:rsidRPr="0081286A" w:rsidTr="00E92347">
        <w:trPr>
          <w:cantSplit/>
          <w:trHeight w:val="508"/>
        </w:trPr>
        <w:tc>
          <w:tcPr>
            <w:tcW w:w="5000" w:type="pct"/>
            <w:gridSpan w:val="3"/>
            <w:tcMar>
              <w:top w:w="284" w:type="dxa"/>
              <w:bottom w:w="57" w:type="dxa"/>
            </w:tcMar>
            <w:vAlign w:val="center"/>
          </w:tcPr>
          <w:p w:rsidR="00E92347" w:rsidRPr="0081286A" w:rsidRDefault="00A12217" w:rsidP="001B327A">
            <w:r w:rsidRPr="0081286A">
              <w:rPr>
                <w:b/>
                <w:smallCaps/>
              </w:rPr>
              <w:t>Coram:</w:t>
            </w:r>
            <w:r w:rsidRPr="0081286A">
              <w:t xml:space="preserve"> </w:t>
            </w:r>
            <w:r w:rsidR="007217F1" w:rsidRPr="0081286A">
              <w:t>Wagner C.J. and Moldaver, Karakatsanis, Côté, Brown, Rowe, Martin, Kasirer and Jamal JJ.</w:t>
            </w:r>
          </w:p>
        </w:tc>
      </w:tr>
      <w:tr w:rsidR="006230B6" w:rsidRPr="0081286A" w:rsidTr="0040508D">
        <w:trPr>
          <w:gridAfter w:val="1"/>
          <w:wAfter w:w="11" w:type="pct"/>
          <w:cantSplit/>
          <w:trHeight w:val="508"/>
        </w:trPr>
        <w:tc>
          <w:tcPr>
            <w:tcW w:w="1124" w:type="pct"/>
            <w:tcMar>
              <w:top w:w="28" w:type="dxa"/>
              <w:left w:w="57" w:type="dxa"/>
              <w:bottom w:w="57" w:type="dxa"/>
              <w:right w:w="57" w:type="dxa"/>
            </w:tcMar>
            <w:vAlign w:val="center"/>
          </w:tcPr>
          <w:p w:rsidR="00040F00" w:rsidRPr="0081286A" w:rsidRDefault="006230B6" w:rsidP="00AD4C25">
            <w:pPr>
              <w:spacing w:before="120"/>
              <w:rPr>
                <w:smallCaps/>
              </w:rPr>
            </w:pPr>
            <w:r w:rsidRPr="0081286A">
              <w:rPr>
                <w:b/>
                <w:smallCaps/>
              </w:rPr>
              <w:t>Judgment Read By:</w:t>
            </w:r>
          </w:p>
          <w:p w:rsidR="006230B6" w:rsidRPr="0081286A" w:rsidRDefault="00CD6453" w:rsidP="001D2BBB">
            <w:pPr>
              <w:rPr>
                <w:b/>
                <w:smallCaps/>
              </w:rPr>
            </w:pPr>
            <w:r w:rsidRPr="0081286A">
              <w:t>(</w:t>
            </w:r>
            <w:r w:rsidR="00E42BC1" w:rsidRPr="0081286A">
              <w:t>para</w:t>
            </w:r>
            <w:r w:rsidR="0096120B" w:rsidRPr="0081286A">
              <w:t>s</w:t>
            </w:r>
            <w:r w:rsidR="00E42BC1" w:rsidRPr="0081286A">
              <w:t>. </w:t>
            </w:r>
            <w:r w:rsidR="008C1723" w:rsidRPr="0081286A">
              <w:t>1</w:t>
            </w:r>
            <w:r w:rsidR="0096120B" w:rsidRPr="0081286A">
              <w:t xml:space="preserve"> to </w:t>
            </w:r>
            <w:r w:rsidR="001D2BBB" w:rsidRPr="0081286A">
              <w:t>3</w:t>
            </w:r>
            <w:r w:rsidR="006230B6" w:rsidRPr="0081286A">
              <w:t>)</w:t>
            </w:r>
          </w:p>
        </w:tc>
        <w:tc>
          <w:tcPr>
            <w:tcW w:w="3865" w:type="pct"/>
            <w:tcMar>
              <w:top w:w="28" w:type="dxa"/>
              <w:left w:w="57" w:type="dxa"/>
              <w:bottom w:w="57" w:type="dxa"/>
              <w:right w:w="57" w:type="dxa"/>
            </w:tcMar>
            <w:vAlign w:val="center"/>
          </w:tcPr>
          <w:p w:rsidR="000C433D" w:rsidRPr="0081286A" w:rsidRDefault="00E714DB" w:rsidP="000F2039">
            <w:pPr>
              <w:spacing w:before="120"/>
            </w:pPr>
            <w:r w:rsidRPr="0081286A">
              <w:t>Wagner C.J.</w:t>
            </w:r>
          </w:p>
        </w:tc>
      </w:tr>
      <w:tr w:rsidR="00FE22A8" w:rsidRPr="0081286A" w:rsidTr="0040508D">
        <w:trPr>
          <w:gridAfter w:val="1"/>
          <w:wAfter w:w="11" w:type="pct"/>
          <w:cantSplit/>
          <w:trHeight w:val="508"/>
        </w:trPr>
        <w:tc>
          <w:tcPr>
            <w:tcW w:w="1124" w:type="pct"/>
            <w:tcMar>
              <w:top w:w="28" w:type="dxa"/>
              <w:left w:w="57" w:type="dxa"/>
              <w:bottom w:w="57" w:type="dxa"/>
              <w:right w:w="57" w:type="dxa"/>
            </w:tcMar>
            <w:vAlign w:val="center"/>
          </w:tcPr>
          <w:p w:rsidR="00FE22A8" w:rsidRPr="0081286A" w:rsidRDefault="00FE22A8" w:rsidP="00AD4C25">
            <w:pPr>
              <w:spacing w:before="120"/>
              <w:rPr>
                <w:b/>
                <w:smallCaps/>
              </w:rPr>
            </w:pPr>
            <w:r w:rsidRPr="0081286A">
              <w:rPr>
                <w:b/>
                <w:smallCaps/>
              </w:rPr>
              <w:t>Majority:</w:t>
            </w:r>
          </w:p>
        </w:tc>
        <w:tc>
          <w:tcPr>
            <w:tcW w:w="3865" w:type="pct"/>
            <w:tcMar>
              <w:top w:w="28" w:type="dxa"/>
              <w:left w:w="57" w:type="dxa"/>
              <w:bottom w:w="57" w:type="dxa"/>
              <w:right w:w="57" w:type="dxa"/>
            </w:tcMar>
            <w:vAlign w:val="center"/>
          </w:tcPr>
          <w:p w:rsidR="00FE22A8" w:rsidRPr="0081286A" w:rsidRDefault="00E714DB" w:rsidP="000F2039">
            <w:pPr>
              <w:spacing w:before="120"/>
            </w:pPr>
            <w:r w:rsidRPr="0081286A">
              <w:t>Wagner C.J. and Moldaver, Karakatsanis, Brown, Rowe, Martin, Kasirer and Jamal JJ.</w:t>
            </w:r>
          </w:p>
        </w:tc>
      </w:tr>
      <w:tr w:rsidR="00FE22A8" w:rsidRPr="0081286A" w:rsidTr="0040508D">
        <w:trPr>
          <w:gridAfter w:val="1"/>
          <w:wAfter w:w="11" w:type="pct"/>
          <w:cantSplit/>
          <w:trHeight w:val="508"/>
        </w:trPr>
        <w:tc>
          <w:tcPr>
            <w:tcW w:w="1124" w:type="pct"/>
            <w:tcMar>
              <w:top w:w="28" w:type="dxa"/>
              <w:left w:w="57" w:type="dxa"/>
              <w:bottom w:w="57" w:type="dxa"/>
              <w:right w:w="57" w:type="dxa"/>
            </w:tcMar>
            <w:vAlign w:val="center"/>
          </w:tcPr>
          <w:p w:rsidR="00FE22A8" w:rsidRPr="0081286A" w:rsidRDefault="00FE22A8" w:rsidP="00AD4C25">
            <w:pPr>
              <w:spacing w:before="120"/>
              <w:rPr>
                <w:b/>
                <w:smallCaps/>
              </w:rPr>
            </w:pPr>
            <w:r w:rsidRPr="0081286A">
              <w:rPr>
                <w:b/>
                <w:smallCaps/>
              </w:rPr>
              <w:t>Dissent:</w:t>
            </w:r>
          </w:p>
        </w:tc>
        <w:tc>
          <w:tcPr>
            <w:tcW w:w="3865" w:type="pct"/>
            <w:tcMar>
              <w:top w:w="28" w:type="dxa"/>
              <w:left w:w="57" w:type="dxa"/>
              <w:bottom w:w="57" w:type="dxa"/>
              <w:right w:w="57" w:type="dxa"/>
            </w:tcMar>
            <w:vAlign w:val="center"/>
          </w:tcPr>
          <w:p w:rsidR="00FE22A8" w:rsidRPr="0081286A" w:rsidRDefault="00E714DB" w:rsidP="000F2039">
            <w:pPr>
              <w:spacing w:before="120"/>
            </w:pPr>
            <w:r w:rsidRPr="0081286A">
              <w:t>Côté J.</w:t>
            </w:r>
          </w:p>
        </w:tc>
      </w:tr>
      <w:tr w:rsidR="00EB0B7C" w:rsidRPr="0081286A" w:rsidTr="00EB0B7C">
        <w:trPr>
          <w:cantSplit/>
        </w:trPr>
        <w:tc>
          <w:tcPr>
            <w:tcW w:w="5000" w:type="pct"/>
            <w:gridSpan w:val="3"/>
            <w:tcMar>
              <w:top w:w="284" w:type="dxa"/>
              <w:bottom w:w="57" w:type="dxa"/>
            </w:tcMar>
            <w:vAlign w:val="center"/>
          </w:tcPr>
          <w:p w:rsidR="001B327A" w:rsidRPr="0081286A" w:rsidRDefault="001B327A" w:rsidP="00F13AA7"/>
        </w:tc>
      </w:tr>
    </w:tbl>
    <w:p w:rsidR="00715A65" w:rsidRPr="0081286A" w:rsidRDefault="00C22905" w:rsidP="00715A65">
      <w:pPr>
        <w:spacing w:before="100" w:beforeAutospacing="1"/>
        <w:rPr>
          <w:rFonts w:eastAsia="Calibri"/>
          <w:szCs w:val="24"/>
          <w:lang w:eastAsia="en-US"/>
        </w:rPr>
      </w:pPr>
      <w:r w:rsidRPr="0081286A">
        <w:rPr>
          <w:rFonts w:eastAsia="Calibri"/>
          <w:b/>
          <w:smallCaps/>
          <w:szCs w:val="24"/>
          <w:lang w:eastAsia="en-US"/>
        </w:rPr>
        <w:lastRenderedPageBreak/>
        <w:t>Note:</w:t>
      </w:r>
      <w:r w:rsidRPr="0081286A">
        <w:rPr>
          <w:rFonts w:eastAsia="Calibri"/>
          <w:szCs w:val="24"/>
          <w:lang w:eastAsia="en-US"/>
        </w:rPr>
        <w:t xml:space="preserve"> This document is subject to editorial revision before its reproduction in final form in the </w:t>
      </w:r>
      <w:r w:rsidRPr="0081286A">
        <w:rPr>
          <w:rFonts w:eastAsia="Calibri"/>
          <w:i/>
          <w:szCs w:val="24"/>
          <w:lang w:eastAsia="en-US"/>
        </w:rPr>
        <w:t>Canada Supreme Court Reports</w:t>
      </w:r>
      <w:r w:rsidRPr="0081286A">
        <w:rPr>
          <w:rFonts w:eastAsia="Calibri"/>
          <w:szCs w:val="24"/>
          <w:lang w:eastAsia="en-US"/>
        </w:rPr>
        <w:t>.</w:t>
      </w:r>
      <w:r w:rsidR="00715A65" w:rsidRPr="0081286A">
        <w:rPr>
          <w:rFonts w:eastAsia="Calibri"/>
          <w:szCs w:val="24"/>
          <w:lang w:eastAsia="en-US"/>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6"/>
        <w:gridCol w:w="4034"/>
        <w:gridCol w:w="3026"/>
      </w:tblGrid>
      <w:tr w:rsidR="00715A65" w:rsidRPr="0081286A" w:rsidTr="00A80425">
        <w:tc>
          <w:tcPr>
            <w:tcW w:w="1500" w:type="pct"/>
            <w:tcMar>
              <w:top w:w="284" w:type="dxa"/>
            </w:tcMar>
          </w:tcPr>
          <w:p w:rsidR="00715A65" w:rsidRPr="0081286A" w:rsidRDefault="00715A65" w:rsidP="00A80425">
            <w:pPr>
              <w:rPr>
                <w:rFonts w:eastAsia="Calibri"/>
                <w:szCs w:val="24"/>
                <w:lang w:eastAsia="en-US"/>
              </w:rPr>
            </w:pPr>
          </w:p>
        </w:tc>
        <w:tc>
          <w:tcPr>
            <w:tcW w:w="2000" w:type="pct"/>
            <w:tcBorders>
              <w:bottom w:val="single" w:sz="4" w:space="0" w:color="auto"/>
            </w:tcBorders>
            <w:tcMar>
              <w:top w:w="284" w:type="dxa"/>
            </w:tcMar>
          </w:tcPr>
          <w:p w:rsidR="00715A65" w:rsidRPr="0081286A" w:rsidRDefault="00715A65" w:rsidP="00A80425">
            <w:pPr>
              <w:rPr>
                <w:rFonts w:eastAsia="Calibri"/>
                <w:szCs w:val="24"/>
                <w:lang w:eastAsia="en-US"/>
              </w:rPr>
            </w:pPr>
          </w:p>
        </w:tc>
        <w:tc>
          <w:tcPr>
            <w:tcW w:w="1500" w:type="pct"/>
            <w:tcMar>
              <w:top w:w="284" w:type="dxa"/>
            </w:tcMar>
          </w:tcPr>
          <w:p w:rsidR="00715A65" w:rsidRPr="0081286A" w:rsidRDefault="00715A65" w:rsidP="00A80425">
            <w:pPr>
              <w:rPr>
                <w:rFonts w:eastAsia="Calibri"/>
                <w:szCs w:val="24"/>
                <w:lang w:eastAsia="en-US"/>
              </w:rPr>
            </w:pPr>
          </w:p>
        </w:tc>
      </w:tr>
    </w:tbl>
    <w:p w:rsidR="00715A65" w:rsidRPr="0081286A" w:rsidRDefault="00715A65" w:rsidP="00715A65">
      <w:pPr>
        <w:rPr>
          <w:rFonts w:eastAsia="Calibri"/>
          <w:szCs w:val="24"/>
          <w:lang w:eastAsia="en-US"/>
        </w:rPr>
        <w:sectPr w:rsidR="00715A65" w:rsidRPr="0081286A" w:rsidSect="00E92347">
          <w:headerReference w:type="even" r:id="rId10"/>
          <w:headerReference w:type="default" r:id="rId11"/>
          <w:footerReference w:type="even" r:id="rId12"/>
          <w:footerReference w:type="default" r:id="rId13"/>
          <w:headerReference w:type="first" r:id="rId14"/>
          <w:footerReference w:type="first" r:id="rId15"/>
          <w:pgSz w:w="12240" w:h="15840"/>
          <w:pgMar w:top="1134" w:right="1077" w:bottom="1134" w:left="1077" w:header="1803" w:footer="720" w:gutter="0"/>
          <w:cols w:space="720"/>
          <w:docGrid w:linePitch="326"/>
        </w:sectPr>
      </w:pPr>
    </w:p>
    <w:p w:rsidR="0081286A" w:rsidRPr="0081286A" w:rsidRDefault="0081286A" w:rsidP="0081286A">
      <w:pPr>
        <w:pStyle w:val="SCCLsocLastPartyInRole"/>
        <w:rPr>
          <w:lang w:val="en-US"/>
        </w:rPr>
      </w:pPr>
      <w:r w:rsidRPr="0081286A">
        <w:rPr>
          <w:bCs/>
        </w:rPr>
        <w:lastRenderedPageBreak/>
        <w:t>Tiffany Jo Kreke</w:t>
      </w:r>
      <w:r w:rsidRPr="0081286A">
        <w:rPr>
          <w:rStyle w:val="SCCLsocPartyRole"/>
          <w:lang w:val="en-US"/>
        </w:rPr>
        <w:tab/>
        <w:t>Appellant</w:t>
      </w:r>
    </w:p>
    <w:p w:rsidR="0081286A" w:rsidRPr="0081286A" w:rsidRDefault="0081286A" w:rsidP="0081286A">
      <w:pPr>
        <w:pStyle w:val="SCCLsocVersus"/>
      </w:pPr>
      <w:proofErr w:type="gramStart"/>
      <w:r w:rsidRPr="0081286A">
        <w:t>v</w:t>
      </w:r>
      <w:proofErr w:type="gramEnd"/>
      <w:r w:rsidRPr="0081286A">
        <w:t>.</w:t>
      </w:r>
    </w:p>
    <w:p w:rsidR="0081286A" w:rsidRPr="0081286A" w:rsidRDefault="0081286A" w:rsidP="0081286A">
      <w:pPr>
        <w:pStyle w:val="SCCLsocLastPartyInRole"/>
      </w:pPr>
      <w:r w:rsidRPr="0081286A">
        <w:rPr>
          <w:bCs/>
        </w:rPr>
        <w:t>Amro Abdullah M. Alansari</w:t>
      </w:r>
      <w:r w:rsidRPr="0081286A">
        <w:rPr>
          <w:rStyle w:val="SCCLsocPartyRole"/>
        </w:rPr>
        <w:tab/>
        <w:t>Respondent</w:t>
      </w:r>
    </w:p>
    <w:p w:rsidR="0081286A" w:rsidRPr="0081286A" w:rsidRDefault="0081286A" w:rsidP="0081286A">
      <w:pPr>
        <w:spacing w:after="720"/>
        <w:jc w:val="both"/>
        <w:rPr>
          <w:b/>
        </w:rPr>
      </w:pPr>
      <w:r w:rsidRPr="0081286A">
        <w:rPr>
          <w:b/>
        </w:rPr>
        <w:t xml:space="preserve">Indexed as: Kreke </w:t>
      </w:r>
      <w:r w:rsidRPr="0081286A">
        <w:rPr>
          <w:b/>
          <w:i/>
          <w:iCs/>
        </w:rPr>
        <w:t>v.</w:t>
      </w:r>
      <w:r w:rsidRPr="0081286A">
        <w:rPr>
          <w:b/>
        </w:rPr>
        <w:t xml:space="preserve"> Alansari</w:t>
      </w:r>
    </w:p>
    <w:p w:rsidR="0081286A" w:rsidRPr="0081286A" w:rsidRDefault="0081286A" w:rsidP="0081286A">
      <w:pPr>
        <w:pStyle w:val="SCCSystemYear"/>
        <w:spacing w:after="720"/>
        <w:jc w:val="both"/>
      </w:pPr>
      <w:r w:rsidRPr="0081286A">
        <w:t>2021 SCC 5</w:t>
      </w:r>
      <w:r w:rsidRPr="0081286A">
        <w:rPr>
          <w:color w:val="000000"/>
        </w:rPr>
        <w:t>0</w:t>
      </w:r>
    </w:p>
    <w:p w:rsidR="0081286A" w:rsidRPr="0081286A" w:rsidRDefault="0081286A" w:rsidP="0081286A">
      <w:pPr>
        <w:spacing w:after="720"/>
        <w:ind w:left="720" w:hanging="720"/>
        <w:jc w:val="both"/>
      </w:pPr>
      <w:r w:rsidRPr="0081286A">
        <w:t xml:space="preserve">File No.: </w:t>
      </w:r>
      <w:r w:rsidRPr="0081286A">
        <w:rPr>
          <w:color w:val="000000"/>
        </w:rPr>
        <w:t>39567</w:t>
      </w:r>
      <w:r w:rsidRPr="0081286A">
        <w:t>.</w:t>
      </w:r>
    </w:p>
    <w:p w:rsidR="0081286A" w:rsidRPr="0081286A" w:rsidRDefault="0081286A" w:rsidP="0081286A">
      <w:pPr>
        <w:spacing w:after="720"/>
        <w:jc w:val="both"/>
      </w:pPr>
      <w:r w:rsidRPr="0081286A">
        <w:rPr>
          <w:color w:val="000000"/>
        </w:rPr>
        <w:t>2021</w:t>
      </w:r>
      <w:r w:rsidRPr="0081286A">
        <w:t xml:space="preserve">: </w:t>
      </w:r>
      <w:r w:rsidRPr="0081286A">
        <w:rPr>
          <w:color w:val="000000"/>
        </w:rPr>
        <w:t>December 1, 2; 2021</w:t>
      </w:r>
      <w:r w:rsidRPr="0081286A">
        <w:t xml:space="preserve">: </w:t>
      </w:r>
      <w:r w:rsidRPr="0081286A">
        <w:rPr>
          <w:color w:val="000000"/>
        </w:rPr>
        <w:t>December 2</w:t>
      </w:r>
      <w:r w:rsidRPr="0081286A">
        <w:t>.</w:t>
      </w:r>
    </w:p>
    <w:p w:rsidR="0081286A" w:rsidRPr="0081286A" w:rsidRDefault="0081286A" w:rsidP="0081286A">
      <w:pPr>
        <w:spacing w:after="720"/>
        <w:jc w:val="both"/>
      </w:pPr>
      <w:r w:rsidRPr="0081286A">
        <w:t xml:space="preserve">Present: </w:t>
      </w:r>
      <w:r w:rsidRPr="0081286A">
        <w:rPr>
          <w:color w:val="000000"/>
        </w:rPr>
        <w:t>Wagner C.J. and Moldaver, Karakatsanis, Côté, Brown, Rowe, Martin, Kasirer and Jamal JJ.</w:t>
      </w:r>
    </w:p>
    <w:p w:rsidR="0081286A" w:rsidRPr="0081286A" w:rsidRDefault="0081286A" w:rsidP="0081286A">
      <w:pPr>
        <w:pStyle w:val="SCCLowerCourtNameLowercase"/>
        <w:spacing w:after="720" w:line="240" w:lineRule="auto"/>
      </w:pPr>
      <w:r w:rsidRPr="0081286A">
        <w:t xml:space="preserve">on appeal from the court of appeal for </w:t>
      </w:r>
      <w:proofErr w:type="spellStart"/>
      <w:r w:rsidRPr="0081286A">
        <w:rPr>
          <w:color w:val="000000"/>
        </w:rPr>
        <w:t>saskatchewan</w:t>
      </w:r>
      <w:proofErr w:type="spellEnd"/>
    </w:p>
    <w:p w:rsidR="0081286A" w:rsidRPr="0081286A" w:rsidRDefault="0081286A" w:rsidP="0081286A">
      <w:pPr>
        <w:pStyle w:val="SCCNormalDoubleSpacing"/>
        <w:spacing w:after="480"/>
        <w:rPr>
          <w:i/>
        </w:rPr>
      </w:pPr>
      <w:r w:rsidRPr="0081286A">
        <w:tab/>
      </w:r>
      <w:r w:rsidRPr="0081286A">
        <w:rPr>
          <w:i/>
        </w:rPr>
        <w:t xml:space="preserve">Family law — Custody — Change of residence — Best interests of child — Trial judge allowing mother’s application for permission to relocate with child — Court of Appeal concluding that trial judge misapprehended evidence in way that affected her conclusion that it was in best interests of child to relocate and failed to consider or overlooked factors relevant to determination — Court of Appeal setting aside trial judge’s orders regarding mobility, custody and parenting arrangements and </w:t>
      </w:r>
      <w:r w:rsidRPr="0081286A">
        <w:rPr>
          <w:i/>
        </w:rPr>
        <w:lastRenderedPageBreak/>
        <w:t>ordering new trial — No reviewable error made by trial judge — Trial judge’s orders restored.</w:t>
      </w:r>
    </w:p>
    <w:p w:rsidR="0081286A" w:rsidRPr="0081286A" w:rsidRDefault="0081286A" w:rsidP="0081286A">
      <w:pPr>
        <w:pStyle w:val="SCCNormalDoubleSpacing"/>
        <w:spacing w:after="480"/>
        <w:rPr>
          <w:i/>
        </w:rPr>
      </w:pPr>
      <w:r w:rsidRPr="0081286A">
        <w:rPr>
          <w:i/>
        </w:rPr>
        <w:tab/>
        <w:t>Family law — Support — Spousal support — Trial judge imputing income to mother for purposes of calculating spousal support payable by father — Court of Appeal concluding that trial judge misapprehended evidence in respect of mother’s employment status and employment prospects — Court of Appeal setting aside trial judge’s spousal support order, imputing higher income to mother and reducing monthly spousal support payments — No reviewable error made by trial judge — Trial judge’s order restored.</w:t>
      </w:r>
    </w:p>
    <w:p w:rsidR="0081286A" w:rsidRPr="0081286A" w:rsidRDefault="0081286A" w:rsidP="0081286A">
      <w:pPr>
        <w:pStyle w:val="SCCNormalDoubleSpacing"/>
        <w:spacing w:after="480"/>
      </w:pPr>
      <w:r w:rsidRPr="0081286A">
        <w:rPr>
          <w:lang w:val="en-US"/>
        </w:rPr>
        <w:tab/>
      </w:r>
      <w:r w:rsidRPr="0081286A">
        <w:t xml:space="preserve">APPEAL from a judgment of the </w:t>
      </w:r>
      <w:r w:rsidRPr="0081286A">
        <w:rPr>
          <w:color w:val="000000"/>
        </w:rPr>
        <w:t>Saskatchewan</w:t>
      </w:r>
      <w:r w:rsidRPr="0081286A">
        <w:t xml:space="preserve"> Court of Appeal (Caldwell, Whitmore and Barrington</w:t>
      </w:r>
      <w:r w:rsidRPr="0081286A">
        <w:noBreakHyphen/>
        <w:t xml:space="preserve">Foote JJ.A.), </w:t>
      </w:r>
      <w:hyperlink r:id="rId16" w:history="1">
        <w:r w:rsidRPr="0081286A">
          <w:rPr>
            <w:rStyle w:val="Hyperlink"/>
            <w:u w:val="none"/>
          </w:rPr>
          <w:t>2020 SKCA 122</w:t>
        </w:r>
      </w:hyperlink>
      <w:r w:rsidRPr="0081286A">
        <w:rPr>
          <w:color w:val="000000"/>
        </w:rPr>
        <w:t xml:space="preserve">, 464 D.L.R. (4th) 453, [2020] S.J. No. 404 (QL), 2020 CarswellSask 522 (WL), </w:t>
      </w:r>
      <w:r w:rsidRPr="0081286A">
        <w:t xml:space="preserve">setting aside the orders of Wilson J. of the </w:t>
      </w:r>
      <w:r w:rsidRPr="0081286A">
        <w:rPr>
          <w:color w:val="000000"/>
        </w:rPr>
        <w:t>Court of Queen’s Bench</w:t>
      </w:r>
      <w:r w:rsidRPr="0081286A">
        <w:t>, dated July 4, 2019, and July 17, 2019, DIV No. 423 of 2018, making a final order as to spousal support, and ordering a new trial on issues of mobility, custody, access, primary residence and parenting</w:t>
      </w:r>
      <w:r w:rsidRPr="0081286A">
        <w:rPr>
          <w:bCs/>
        </w:rPr>
        <w:t xml:space="preserve">. Appeal </w:t>
      </w:r>
      <w:r w:rsidRPr="0081286A">
        <w:rPr>
          <w:color w:val="000000"/>
        </w:rPr>
        <w:t>allowed, Côté J. dissenting</w:t>
      </w:r>
      <w:r w:rsidRPr="0081286A">
        <w:rPr>
          <w:bCs/>
        </w:rPr>
        <w:t>.</w:t>
      </w:r>
    </w:p>
    <w:p w:rsidR="0081286A" w:rsidRPr="0081286A" w:rsidRDefault="0081286A" w:rsidP="0081286A">
      <w:pPr>
        <w:pStyle w:val="SCCLawFirm"/>
        <w:spacing w:after="480"/>
        <w:rPr>
          <w:lang w:val="en-US"/>
        </w:rPr>
      </w:pPr>
      <w:r w:rsidRPr="0081286A">
        <w:rPr>
          <w:iCs/>
          <w:lang w:val="en-US"/>
        </w:rPr>
        <w:tab/>
      </w:r>
      <w:r w:rsidRPr="0081286A">
        <w:rPr>
          <w:iCs/>
        </w:rPr>
        <w:t>Karina Jackson</w:t>
      </w:r>
      <w:r w:rsidRPr="0081286A">
        <w:rPr>
          <w:i w:val="0"/>
          <w:lang w:val="en-US"/>
        </w:rPr>
        <w:t>, for the appellant.</w:t>
      </w:r>
    </w:p>
    <w:p w:rsidR="0081286A" w:rsidRPr="0081286A" w:rsidRDefault="0081286A" w:rsidP="0081286A">
      <w:pPr>
        <w:pStyle w:val="SCCLawFirm"/>
        <w:spacing w:after="480"/>
        <w:rPr>
          <w:lang w:val="en-US"/>
        </w:rPr>
      </w:pPr>
      <w:r w:rsidRPr="0081286A">
        <w:rPr>
          <w:iCs/>
          <w:lang w:val="en-US"/>
        </w:rPr>
        <w:tab/>
      </w:r>
      <w:r w:rsidRPr="0081286A">
        <w:rPr>
          <w:iCs/>
        </w:rPr>
        <w:t>Kate Crisp</w:t>
      </w:r>
      <w:r w:rsidRPr="0081286A">
        <w:rPr>
          <w:i w:val="0"/>
          <w:lang w:val="en-US"/>
        </w:rPr>
        <w:t>, for the respondent.</w:t>
      </w:r>
    </w:p>
    <w:p w:rsidR="0081286A" w:rsidRPr="0081286A" w:rsidRDefault="0081286A" w:rsidP="0081286A">
      <w:pPr>
        <w:pStyle w:val="SCCNormalDoubleSpacing"/>
        <w:spacing w:after="480"/>
        <w:rPr>
          <w:lang w:val="en-US"/>
        </w:rPr>
      </w:pPr>
      <w:r w:rsidRPr="0081286A">
        <w:rPr>
          <w:lang w:val="en-US"/>
        </w:rPr>
        <w:tab/>
      </w:r>
      <w:r w:rsidRPr="0081286A">
        <w:rPr>
          <w:color w:val="000000"/>
        </w:rPr>
        <w:t>The judgment of the Court was delivered orally by</w:t>
      </w:r>
    </w:p>
    <w:p w:rsidR="0081286A" w:rsidRPr="0081286A" w:rsidRDefault="0081286A" w:rsidP="0081286A">
      <w:pPr>
        <w:pStyle w:val="ParaNoNdepar-AltN"/>
        <w:numPr>
          <w:ilvl w:val="0"/>
          <w:numId w:val="0"/>
        </w:numPr>
      </w:pPr>
      <w:r w:rsidRPr="0081286A">
        <w:rPr>
          <w:smallCaps/>
        </w:rPr>
        <w:lastRenderedPageBreak/>
        <w:t>[1]</w:t>
      </w:r>
      <w:r w:rsidRPr="0081286A">
        <w:rPr>
          <w:smallCaps/>
        </w:rPr>
        <w:tab/>
        <w:t>The Chief Justice</w:t>
      </w:r>
      <w:r w:rsidRPr="0081286A">
        <w:t xml:space="preserve"> — Even if the fresh evidence were admitted, a majority of this Court is of the view that there was no reviewable error made by the trial judge.</w:t>
      </w:r>
    </w:p>
    <w:p w:rsidR="0081286A" w:rsidRPr="0081286A" w:rsidRDefault="0081286A" w:rsidP="0081286A">
      <w:pPr>
        <w:pStyle w:val="ParaNoNdepar-AltN"/>
        <w:numPr>
          <w:ilvl w:val="0"/>
          <w:numId w:val="0"/>
        </w:numPr>
      </w:pPr>
      <w:r w:rsidRPr="0081286A">
        <w:t>[2]</w:t>
      </w:r>
      <w:r w:rsidRPr="0081286A">
        <w:tab/>
        <w:t>Therefore, the appeal is allowed and the trial judge’s orders dated July 4, 2019, and July 17, 2019, are restored with costs throughout.</w:t>
      </w:r>
    </w:p>
    <w:p w:rsidR="0081286A" w:rsidRPr="0081286A" w:rsidRDefault="0081286A" w:rsidP="0081286A">
      <w:pPr>
        <w:pStyle w:val="ParaNoNdepar-AltN"/>
        <w:numPr>
          <w:ilvl w:val="0"/>
          <w:numId w:val="0"/>
        </w:numPr>
      </w:pPr>
      <w:r w:rsidRPr="0081286A">
        <w:t>[3]</w:t>
      </w:r>
      <w:r w:rsidRPr="0081286A">
        <w:tab/>
      </w:r>
      <w:r w:rsidRPr="0081286A">
        <w:rPr>
          <w:color w:val="000000"/>
        </w:rPr>
        <w:t xml:space="preserve">Justice Côté, dissenting, would have dismissed the appeal on the ground that it is moot since she would have admitted the fresh evidence, and in light of this, would remand the matter to the </w:t>
      </w:r>
      <w:r w:rsidRPr="0081286A">
        <w:rPr>
          <w:rStyle w:val="solexhl"/>
          <w:color w:val="000000"/>
        </w:rPr>
        <w:t>Court of Queen’s Bench</w:t>
      </w:r>
      <w:r w:rsidRPr="0081286A">
        <w:rPr>
          <w:color w:val="000000"/>
        </w:rPr>
        <w:t>.</w:t>
      </w:r>
    </w:p>
    <w:p w:rsidR="0081286A" w:rsidRPr="0081286A" w:rsidRDefault="0081286A" w:rsidP="0081286A">
      <w:pPr>
        <w:pStyle w:val="SCCLawFirm"/>
        <w:spacing w:after="480"/>
        <w:rPr>
          <w:i w:val="0"/>
          <w:iCs/>
          <w:color w:val="000000"/>
        </w:rPr>
      </w:pPr>
      <w:r w:rsidRPr="0081286A">
        <w:rPr>
          <w:iCs/>
          <w:color w:val="000000"/>
        </w:rPr>
        <w:tab/>
        <w:t>Judgment accordingly.</w:t>
      </w:r>
    </w:p>
    <w:p w:rsidR="0081286A" w:rsidRPr="0081286A" w:rsidRDefault="0081286A" w:rsidP="0081286A">
      <w:pPr>
        <w:pStyle w:val="SCCLawFirm"/>
        <w:spacing w:after="480"/>
        <w:rPr>
          <w:i w:val="0"/>
          <w:lang w:val="en-US"/>
        </w:rPr>
      </w:pPr>
      <w:r w:rsidRPr="0081286A">
        <w:rPr>
          <w:lang w:val="en-US"/>
        </w:rPr>
        <w:tab/>
        <w:t>Solicitors for the appellant:</w:t>
      </w:r>
      <w:r w:rsidRPr="0081286A">
        <w:rPr>
          <w:bCs/>
          <w:szCs w:val="24"/>
          <w:lang w:val="en-US" w:eastAsia="en-US"/>
        </w:rPr>
        <w:t xml:space="preserve"> </w:t>
      </w:r>
      <w:r w:rsidRPr="0081286A">
        <w:rPr>
          <w:bCs/>
        </w:rPr>
        <w:t>Mokuruk &amp; Woods Law Office</w:t>
      </w:r>
      <w:r w:rsidRPr="0081286A">
        <w:rPr>
          <w:iCs/>
          <w:lang w:val="en-US"/>
        </w:rPr>
        <w:t xml:space="preserve">, </w:t>
      </w:r>
      <w:r w:rsidRPr="0081286A">
        <w:rPr>
          <w:iCs/>
        </w:rPr>
        <w:t>Saskatoon</w:t>
      </w:r>
      <w:r w:rsidRPr="0081286A">
        <w:rPr>
          <w:lang w:val="en-US"/>
        </w:rPr>
        <w:t>.</w:t>
      </w:r>
    </w:p>
    <w:p w:rsidR="0081286A" w:rsidRPr="00231880" w:rsidRDefault="0081286A" w:rsidP="0081286A">
      <w:pPr>
        <w:pStyle w:val="SCCLawFirm"/>
        <w:spacing w:after="480"/>
        <w:rPr>
          <w:i w:val="0"/>
          <w:iCs/>
          <w:color w:val="000000"/>
          <w:lang w:val="en-US"/>
        </w:rPr>
      </w:pPr>
      <w:r w:rsidRPr="0081286A">
        <w:rPr>
          <w:lang w:val="en-US"/>
        </w:rPr>
        <w:tab/>
        <w:t xml:space="preserve">Solicitors for the respondent: </w:t>
      </w:r>
      <w:r w:rsidRPr="0081286A">
        <w:rPr>
          <w:bCs/>
          <w:iCs/>
        </w:rPr>
        <w:t>McKercher</w:t>
      </w:r>
      <w:r w:rsidRPr="0081286A">
        <w:rPr>
          <w:lang w:val="en-US"/>
        </w:rPr>
        <w:t xml:space="preserve">, </w:t>
      </w:r>
      <w:r w:rsidRPr="0081286A">
        <w:t>Saskatoon</w:t>
      </w:r>
      <w:r w:rsidRPr="0081286A">
        <w:rPr>
          <w:lang w:val="en-US"/>
        </w:rPr>
        <w:t>.</w:t>
      </w:r>
    </w:p>
    <w:p w:rsidR="000F0995" w:rsidRPr="0081286A" w:rsidRDefault="000F0995" w:rsidP="00EB0B7C">
      <w:pPr>
        <w:spacing w:before="100" w:beforeAutospacing="1"/>
        <w:rPr>
          <w:lang w:val="en-US"/>
        </w:rPr>
      </w:pPr>
    </w:p>
    <w:sectPr w:rsidR="000F0995" w:rsidRPr="0081286A" w:rsidSect="00544FD7">
      <w:headerReference w:type="default" r:id="rId17"/>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DD8" w:rsidRDefault="00437DD8">
      <w:r>
        <w:separator/>
      </w:r>
    </w:p>
  </w:endnote>
  <w:endnote w:type="continuationSeparator" w:id="0">
    <w:p w:rsidR="00437DD8" w:rsidRDefault="0043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083" w:rsidRDefault="00CE50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083" w:rsidRDefault="00CE50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083" w:rsidRDefault="00CE50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DD8" w:rsidRDefault="00437DD8">
      <w:r>
        <w:separator/>
      </w:r>
    </w:p>
  </w:footnote>
  <w:footnote w:type="continuationSeparator" w:id="0">
    <w:p w:rsidR="00437DD8" w:rsidRDefault="00437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083" w:rsidRDefault="00CE50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083" w:rsidRDefault="00CE50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083" w:rsidRDefault="00CE508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FD7" w:rsidRPr="00CE5083" w:rsidRDefault="00CE5083" w:rsidP="00CE50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64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8763F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C850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A47E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3837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3003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7208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9661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9058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2A51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B73F21"/>
    <w:multiLevelType w:val="hybridMultilevel"/>
    <w:tmpl w:val="1CA8AB4C"/>
    <w:lvl w:ilvl="0" w:tplc="AF12D3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000BA4"/>
    <w:multiLevelType w:val="hybridMultilevel"/>
    <w:tmpl w:val="900CBD0E"/>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C1B2609"/>
    <w:multiLevelType w:val="hybridMultilevel"/>
    <w:tmpl w:val="B62EB43A"/>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40F65EB2"/>
    <w:multiLevelType w:val="hybridMultilevel"/>
    <w:tmpl w:val="406E4396"/>
    <w:lvl w:ilvl="0" w:tplc="AF12D3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603130A"/>
    <w:multiLevelType w:val="multilevel"/>
    <w:tmpl w:val="9A5EAD4C"/>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8"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4283EE8"/>
    <w:multiLevelType w:val="multilevel"/>
    <w:tmpl w:val="61380426"/>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F08005D"/>
    <w:multiLevelType w:val="multilevel"/>
    <w:tmpl w:val="5B2409C2"/>
    <w:lvl w:ilvl="0">
      <w:start w:val="1"/>
      <w:numFmt w:val="decimal"/>
      <w:pStyle w:val="Heading9Ch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662891"/>
    <w:multiLevelType w:val="hybridMultilevel"/>
    <w:tmpl w:val="FAECBADC"/>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666D1F9C"/>
    <w:multiLevelType w:val="hybridMultilevel"/>
    <w:tmpl w:val="A1BAD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CA5550B"/>
    <w:multiLevelType w:val="hybridMultilevel"/>
    <w:tmpl w:val="D9EA6A54"/>
    <w:lvl w:ilvl="0" w:tplc="AF12D38C">
      <w:start w:val="1"/>
      <w:numFmt w:val="decimal"/>
      <w:lvlText w:val="(%1)"/>
      <w:lvlJc w:val="left"/>
      <w:pPr>
        <w:ind w:left="1080" w:hanging="360"/>
      </w:pPr>
      <w:rPr>
        <w:rFonts w:hint="default"/>
      </w:rPr>
    </w:lvl>
    <w:lvl w:ilvl="1" w:tplc="19B23C74">
      <w:start w:val="1"/>
      <w:numFmt w:val="lowerLetter"/>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7A957F3C"/>
    <w:multiLevelType w:val="hybridMultilevel"/>
    <w:tmpl w:val="A0A41CF8"/>
    <w:lvl w:ilvl="0" w:tplc="D7E6156A">
      <w:start w:val="1"/>
      <w:numFmt w:val="bullet"/>
      <w:lvlText w:val=""/>
      <w:lvlJc w:val="left"/>
      <w:pPr>
        <w:ind w:left="900" w:hanging="360"/>
      </w:pPr>
      <w:rPr>
        <w:rFonts w:ascii="Symbol" w:hAnsi="Symbol" w:hint="default"/>
        <w:color w:val="auto"/>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num w:numId="1">
    <w:abstractNumId w:val="23"/>
  </w:num>
  <w:num w:numId="2">
    <w:abstractNumId w:val="12"/>
  </w:num>
  <w:num w:numId="3">
    <w:abstractNumId w:val="10"/>
  </w:num>
  <w:num w:numId="4">
    <w:abstractNumId w:val="19"/>
  </w:num>
  <w:num w:numId="5">
    <w:abstractNumId w:val="20"/>
  </w:num>
  <w:num w:numId="6">
    <w:abstractNumId w:val="21"/>
  </w:num>
  <w:num w:numId="7">
    <w:abstractNumId w:val="17"/>
  </w:num>
  <w:num w:numId="8">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6"/>
  </w:num>
  <w:num w:numId="10">
    <w:abstractNumId w:val="15"/>
  </w:num>
  <w:num w:numId="11">
    <w:abstractNumId w:val="13"/>
  </w:num>
  <w:num w:numId="12">
    <w:abstractNumId w:val="11"/>
  </w:num>
  <w:num w:numId="13">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i w:val="0"/>
          <w:sz w:val="24"/>
        </w:rPr>
      </w:lvl>
    </w:lvlOverride>
    <w:lvlOverride w:ilvl="2">
      <w:lvl w:ilvl="2">
        <w:start w:val="1"/>
        <w:numFmt w:val="decimal"/>
        <w:pStyle w:val="Title3LevelTitre3Niveau"/>
        <w:lvlText w:val="(%3)"/>
        <w:lvlJc w:val="left"/>
        <w:pPr>
          <w:tabs>
            <w:tab w:val="num" w:pos="1152"/>
          </w:tabs>
          <w:ind w:left="1152"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pStyle w:val="Title4LevelTitre4Niveau"/>
        <w:lvlText w:val="(%4)"/>
        <w:lvlJc w:val="left"/>
        <w:pPr>
          <w:tabs>
            <w:tab w:val="num" w:pos="1152"/>
          </w:tabs>
          <w:ind w:left="1152" w:hanging="576"/>
        </w:pPr>
        <w:rPr>
          <w:rFonts w:hint="default"/>
          <w:b/>
          <w:i w:val="0"/>
        </w:rPr>
      </w:lvl>
    </w:lvlOverride>
    <w:lvlOverride w:ilvl="4">
      <w:lvl w:ilvl="4">
        <w:start w:val="1"/>
        <w:numFmt w:val="lowerRoman"/>
        <w:pStyle w:val="Title5LevelTitre5Niveau"/>
        <w:lvlText w:val="(%5)"/>
        <w:lvlJc w:val="left"/>
        <w:pPr>
          <w:tabs>
            <w:tab w:val="num" w:pos="1728"/>
          </w:tabs>
          <w:ind w:left="1728" w:hanging="576"/>
        </w:pPr>
        <w:rPr>
          <w:rFonts w:hint="default"/>
          <w:i w:val="0"/>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24"/>
  </w:num>
  <w:num w:numId="27">
    <w:abstractNumId w:val="14"/>
  </w:num>
  <w:num w:numId="28">
    <w:abstractNumId w:val="27"/>
  </w:num>
  <w:num w:numId="29">
    <w:abstractNumId w:val="25"/>
  </w:num>
  <w:num w:numId="30">
    <w:abstractNumId w:val="17"/>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removePersonalInformation/>
  <w:removeDateAndTime/>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3D83"/>
    <w:rsid w:val="00013781"/>
    <w:rsid w:val="00017885"/>
    <w:rsid w:val="00025198"/>
    <w:rsid w:val="00025763"/>
    <w:rsid w:val="00026467"/>
    <w:rsid w:val="0003781D"/>
    <w:rsid w:val="00040D1B"/>
    <w:rsid w:val="00040F00"/>
    <w:rsid w:val="00041BDD"/>
    <w:rsid w:val="000578A3"/>
    <w:rsid w:val="000648CC"/>
    <w:rsid w:val="00076E46"/>
    <w:rsid w:val="00094FED"/>
    <w:rsid w:val="00096F6F"/>
    <w:rsid w:val="000B5CFA"/>
    <w:rsid w:val="000B69B5"/>
    <w:rsid w:val="000C3FCE"/>
    <w:rsid w:val="000C433D"/>
    <w:rsid w:val="000C59B8"/>
    <w:rsid w:val="000C6AF0"/>
    <w:rsid w:val="000C78C2"/>
    <w:rsid w:val="000F0995"/>
    <w:rsid w:val="000F2039"/>
    <w:rsid w:val="000F2FF1"/>
    <w:rsid w:val="00104F33"/>
    <w:rsid w:val="00106D75"/>
    <w:rsid w:val="00111905"/>
    <w:rsid w:val="00111DE2"/>
    <w:rsid w:val="0011492A"/>
    <w:rsid w:val="001160DE"/>
    <w:rsid w:val="00116378"/>
    <w:rsid w:val="00116B38"/>
    <w:rsid w:val="00134F55"/>
    <w:rsid w:val="00135406"/>
    <w:rsid w:val="00135972"/>
    <w:rsid w:val="00136268"/>
    <w:rsid w:val="00137E61"/>
    <w:rsid w:val="001426A9"/>
    <w:rsid w:val="0014546A"/>
    <w:rsid w:val="00154563"/>
    <w:rsid w:val="00154D7C"/>
    <w:rsid w:val="001570B0"/>
    <w:rsid w:val="0015752C"/>
    <w:rsid w:val="00157737"/>
    <w:rsid w:val="00165277"/>
    <w:rsid w:val="0016625A"/>
    <w:rsid w:val="001677C1"/>
    <w:rsid w:val="00170592"/>
    <w:rsid w:val="0018066E"/>
    <w:rsid w:val="00186351"/>
    <w:rsid w:val="00195D83"/>
    <w:rsid w:val="001977DB"/>
    <w:rsid w:val="001A00C1"/>
    <w:rsid w:val="001A42A4"/>
    <w:rsid w:val="001B327A"/>
    <w:rsid w:val="001B33E0"/>
    <w:rsid w:val="001B4573"/>
    <w:rsid w:val="001C779F"/>
    <w:rsid w:val="001D2AC1"/>
    <w:rsid w:val="001D2BBB"/>
    <w:rsid w:val="001D4DDF"/>
    <w:rsid w:val="001D4E88"/>
    <w:rsid w:val="001D65FF"/>
    <w:rsid w:val="001D6E70"/>
    <w:rsid w:val="001E477D"/>
    <w:rsid w:val="00220FC2"/>
    <w:rsid w:val="002222F4"/>
    <w:rsid w:val="00224FC0"/>
    <w:rsid w:val="00225EA4"/>
    <w:rsid w:val="00226EAF"/>
    <w:rsid w:val="002310A2"/>
    <w:rsid w:val="00231F3A"/>
    <w:rsid w:val="00234199"/>
    <w:rsid w:val="00236389"/>
    <w:rsid w:val="00237AFE"/>
    <w:rsid w:val="002406EE"/>
    <w:rsid w:val="00243EC8"/>
    <w:rsid w:val="00264B77"/>
    <w:rsid w:val="00264F49"/>
    <w:rsid w:val="00270D93"/>
    <w:rsid w:val="002745CC"/>
    <w:rsid w:val="00284EBA"/>
    <w:rsid w:val="0029178F"/>
    <w:rsid w:val="002A1B9E"/>
    <w:rsid w:val="002B7924"/>
    <w:rsid w:val="002B7ABA"/>
    <w:rsid w:val="002D2226"/>
    <w:rsid w:val="002D28C3"/>
    <w:rsid w:val="002D294E"/>
    <w:rsid w:val="002D39A4"/>
    <w:rsid w:val="002E6189"/>
    <w:rsid w:val="002E6705"/>
    <w:rsid w:val="00301D08"/>
    <w:rsid w:val="0030329A"/>
    <w:rsid w:val="00303F14"/>
    <w:rsid w:val="00305526"/>
    <w:rsid w:val="0031086F"/>
    <w:rsid w:val="0031414C"/>
    <w:rsid w:val="00314E01"/>
    <w:rsid w:val="00317670"/>
    <w:rsid w:val="0032089D"/>
    <w:rsid w:val="00324AE2"/>
    <w:rsid w:val="003310DE"/>
    <w:rsid w:val="003323B0"/>
    <w:rsid w:val="0033435C"/>
    <w:rsid w:val="00337C82"/>
    <w:rsid w:val="00342089"/>
    <w:rsid w:val="00347BA4"/>
    <w:rsid w:val="0035169A"/>
    <w:rsid w:val="0035259D"/>
    <w:rsid w:val="00353B79"/>
    <w:rsid w:val="00354BF8"/>
    <w:rsid w:val="00355C66"/>
    <w:rsid w:val="00362ADA"/>
    <w:rsid w:val="00364B18"/>
    <w:rsid w:val="00396BF3"/>
    <w:rsid w:val="003A125D"/>
    <w:rsid w:val="003A4C70"/>
    <w:rsid w:val="003B215F"/>
    <w:rsid w:val="003C2CFF"/>
    <w:rsid w:val="003C799C"/>
    <w:rsid w:val="003D0399"/>
    <w:rsid w:val="003E1C71"/>
    <w:rsid w:val="003E2693"/>
    <w:rsid w:val="003E53AC"/>
    <w:rsid w:val="003F327B"/>
    <w:rsid w:val="003F7ACB"/>
    <w:rsid w:val="00400B24"/>
    <w:rsid w:val="00404D28"/>
    <w:rsid w:val="0040508D"/>
    <w:rsid w:val="00406166"/>
    <w:rsid w:val="0040704B"/>
    <w:rsid w:val="00407839"/>
    <w:rsid w:val="00410003"/>
    <w:rsid w:val="00410588"/>
    <w:rsid w:val="00410A55"/>
    <w:rsid w:val="00411300"/>
    <w:rsid w:val="00415417"/>
    <w:rsid w:val="0041747D"/>
    <w:rsid w:val="00424FE1"/>
    <w:rsid w:val="00426659"/>
    <w:rsid w:val="00426D16"/>
    <w:rsid w:val="00437DD8"/>
    <w:rsid w:val="00450352"/>
    <w:rsid w:val="00454BDB"/>
    <w:rsid w:val="004567CE"/>
    <w:rsid w:val="0046210B"/>
    <w:rsid w:val="00463A7A"/>
    <w:rsid w:val="00464800"/>
    <w:rsid w:val="00464BF6"/>
    <w:rsid w:val="00465132"/>
    <w:rsid w:val="00465EF1"/>
    <w:rsid w:val="00470DB3"/>
    <w:rsid w:val="0047411A"/>
    <w:rsid w:val="00480C90"/>
    <w:rsid w:val="0048396F"/>
    <w:rsid w:val="00493C18"/>
    <w:rsid w:val="00495D96"/>
    <w:rsid w:val="004A600C"/>
    <w:rsid w:val="004A6118"/>
    <w:rsid w:val="004C2314"/>
    <w:rsid w:val="004C25EE"/>
    <w:rsid w:val="004C478D"/>
    <w:rsid w:val="004C5B67"/>
    <w:rsid w:val="004D4FEC"/>
    <w:rsid w:val="004E0D6A"/>
    <w:rsid w:val="004E2C26"/>
    <w:rsid w:val="004E61A7"/>
    <w:rsid w:val="004F36FF"/>
    <w:rsid w:val="004F7454"/>
    <w:rsid w:val="005125A8"/>
    <w:rsid w:val="00516DED"/>
    <w:rsid w:val="00521AE8"/>
    <w:rsid w:val="00524449"/>
    <w:rsid w:val="00527180"/>
    <w:rsid w:val="00533A2E"/>
    <w:rsid w:val="005341CE"/>
    <w:rsid w:val="00534AB2"/>
    <w:rsid w:val="0054201E"/>
    <w:rsid w:val="005520D4"/>
    <w:rsid w:val="005541DB"/>
    <w:rsid w:val="00555291"/>
    <w:rsid w:val="0056265A"/>
    <w:rsid w:val="00566AD1"/>
    <w:rsid w:val="0057257D"/>
    <w:rsid w:val="00577F18"/>
    <w:rsid w:val="00583EDE"/>
    <w:rsid w:val="005857BC"/>
    <w:rsid w:val="00586928"/>
    <w:rsid w:val="005A4F85"/>
    <w:rsid w:val="005A6079"/>
    <w:rsid w:val="005C7840"/>
    <w:rsid w:val="005E4698"/>
    <w:rsid w:val="006003EE"/>
    <w:rsid w:val="00610539"/>
    <w:rsid w:val="00613969"/>
    <w:rsid w:val="0061523C"/>
    <w:rsid w:val="00617208"/>
    <w:rsid w:val="006230B6"/>
    <w:rsid w:val="00625C35"/>
    <w:rsid w:val="006260EB"/>
    <w:rsid w:val="00626A7D"/>
    <w:rsid w:val="0062787A"/>
    <w:rsid w:val="00635521"/>
    <w:rsid w:val="006468AB"/>
    <w:rsid w:val="00656313"/>
    <w:rsid w:val="006565F4"/>
    <w:rsid w:val="0066108F"/>
    <w:rsid w:val="006763FD"/>
    <w:rsid w:val="00684EEA"/>
    <w:rsid w:val="006908E8"/>
    <w:rsid w:val="0069689B"/>
    <w:rsid w:val="006A1551"/>
    <w:rsid w:val="006A31A1"/>
    <w:rsid w:val="006A48DB"/>
    <w:rsid w:val="006B5FF5"/>
    <w:rsid w:val="006B7683"/>
    <w:rsid w:val="006D4200"/>
    <w:rsid w:val="006D6275"/>
    <w:rsid w:val="006F30AF"/>
    <w:rsid w:val="007009A0"/>
    <w:rsid w:val="00701759"/>
    <w:rsid w:val="00701CF2"/>
    <w:rsid w:val="00705C15"/>
    <w:rsid w:val="00712E55"/>
    <w:rsid w:val="00713025"/>
    <w:rsid w:val="007154A1"/>
    <w:rsid w:val="00715A65"/>
    <w:rsid w:val="0071600E"/>
    <w:rsid w:val="00717FDC"/>
    <w:rsid w:val="007208D1"/>
    <w:rsid w:val="007217F1"/>
    <w:rsid w:val="0072428C"/>
    <w:rsid w:val="0072773E"/>
    <w:rsid w:val="00730177"/>
    <w:rsid w:val="00742119"/>
    <w:rsid w:val="00743BDA"/>
    <w:rsid w:val="00747288"/>
    <w:rsid w:val="00747DD3"/>
    <w:rsid w:val="007549C8"/>
    <w:rsid w:val="00754A0B"/>
    <w:rsid w:val="00766D14"/>
    <w:rsid w:val="00767A0F"/>
    <w:rsid w:val="00780E64"/>
    <w:rsid w:val="007A05F6"/>
    <w:rsid w:val="007B6F4A"/>
    <w:rsid w:val="007D097E"/>
    <w:rsid w:val="007E1C47"/>
    <w:rsid w:val="007E337A"/>
    <w:rsid w:val="007E5C70"/>
    <w:rsid w:val="007F2FF5"/>
    <w:rsid w:val="007F3F08"/>
    <w:rsid w:val="00804CC6"/>
    <w:rsid w:val="0081286A"/>
    <w:rsid w:val="00813B48"/>
    <w:rsid w:val="0081470C"/>
    <w:rsid w:val="00817190"/>
    <w:rsid w:val="008201FB"/>
    <w:rsid w:val="00820EE5"/>
    <w:rsid w:val="008244E9"/>
    <w:rsid w:val="008260E2"/>
    <w:rsid w:val="008322BD"/>
    <w:rsid w:val="008323C4"/>
    <w:rsid w:val="00832F3F"/>
    <w:rsid w:val="00833E0A"/>
    <w:rsid w:val="00834F73"/>
    <w:rsid w:val="00847F55"/>
    <w:rsid w:val="00851F3D"/>
    <w:rsid w:val="008544FA"/>
    <w:rsid w:val="00864CF8"/>
    <w:rsid w:val="00872819"/>
    <w:rsid w:val="00874914"/>
    <w:rsid w:val="00891422"/>
    <w:rsid w:val="00892E1A"/>
    <w:rsid w:val="00895EB7"/>
    <w:rsid w:val="008A3F29"/>
    <w:rsid w:val="008B660A"/>
    <w:rsid w:val="008B70F9"/>
    <w:rsid w:val="008C01DA"/>
    <w:rsid w:val="008C02C9"/>
    <w:rsid w:val="008C1723"/>
    <w:rsid w:val="008C7263"/>
    <w:rsid w:val="008D2104"/>
    <w:rsid w:val="008F78E9"/>
    <w:rsid w:val="00903C32"/>
    <w:rsid w:val="00911011"/>
    <w:rsid w:val="00911989"/>
    <w:rsid w:val="009179F9"/>
    <w:rsid w:val="0093031F"/>
    <w:rsid w:val="00931C1C"/>
    <w:rsid w:val="00933E5E"/>
    <w:rsid w:val="00935218"/>
    <w:rsid w:val="009403F3"/>
    <w:rsid w:val="009555B7"/>
    <w:rsid w:val="009567AA"/>
    <w:rsid w:val="0096120B"/>
    <w:rsid w:val="0096473A"/>
    <w:rsid w:val="00967374"/>
    <w:rsid w:val="0097155E"/>
    <w:rsid w:val="00972251"/>
    <w:rsid w:val="00976EB5"/>
    <w:rsid w:val="00981B4D"/>
    <w:rsid w:val="009A343A"/>
    <w:rsid w:val="009A4E51"/>
    <w:rsid w:val="009A520F"/>
    <w:rsid w:val="009B2F23"/>
    <w:rsid w:val="009B57B3"/>
    <w:rsid w:val="009B6FFE"/>
    <w:rsid w:val="009B7BE6"/>
    <w:rsid w:val="009C5B92"/>
    <w:rsid w:val="009D2920"/>
    <w:rsid w:val="009D5AEB"/>
    <w:rsid w:val="009D79D6"/>
    <w:rsid w:val="009E082D"/>
    <w:rsid w:val="009F0E33"/>
    <w:rsid w:val="009F1E77"/>
    <w:rsid w:val="00A003F4"/>
    <w:rsid w:val="00A030CE"/>
    <w:rsid w:val="00A12217"/>
    <w:rsid w:val="00A149DF"/>
    <w:rsid w:val="00A1755C"/>
    <w:rsid w:val="00A21B90"/>
    <w:rsid w:val="00A23CE6"/>
    <w:rsid w:val="00A244B9"/>
    <w:rsid w:val="00A41805"/>
    <w:rsid w:val="00A42DCD"/>
    <w:rsid w:val="00A44699"/>
    <w:rsid w:val="00A52AFB"/>
    <w:rsid w:val="00A548CB"/>
    <w:rsid w:val="00A5521C"/>
    <w:rsid w:val="00A557A1"/>
    <w:rsid w:val="00A55CEF"/>
    <w:rsid w:val="00A643E7"/>
    <w:rsid w:val="00A67E93"/>
    <w:rsid w:val="00A73C38"/>
    <w:rsid w:val="00AB305A"/>
    <w:rsid w:val="00AB670D"/>
    <w:rsid w:val="00AC5BFC"/>
    <w:rsid w:val="00AC6FA4"/>
    <w:rsid w:val="00AD2826"/>
    <w:rsid w:val="00AD342F"/>
    <w:rsid w:val="00AD4C25"/>
    <w:rsid w:val="00AE25FE"/>
    <w:rsid w:val="00AE4535"/>
    <w:rsid w:val="00AF03C5"/>
    <w:rsid w:val="00AF0B26"/>
    <w:rsid w:val="00B000D8"/>
    <w:rsid w:val="00B00F75"/>
    <w:rsid w:val="00B11735"/>
    <w:rsid w:val="00B145B6"/>
    <w:rsid w:val="00B2215E"/>
    <w:rsid w:val="00B279EB"/>
    <w:rsid w:val="00B30E18"/>
    <w:rsid w:val="00B32357"/>
    <w:rsid w:val="00B36958"/>
    <w:rsid w:val="00B43559"/>
    <w:rsid w:val="00B50C81"/>
    <w:rsid w:val="00B557F8"/>
    <w:rsid w:val="00B56AAF"/>
    <w:rsid w:val="00B652DB"/>
    <w:rsid w:val="00B67199"/>
    <w:rsid w:val="00B815FC"/>
    <w:rsid w:val="00B91A56"/>
    <w:rsid w:val="00B93FBC"/>
    <w:rsid w:val="00BA066D"/>
    <w:rsid w:val="00BA7DA0"/>
    <w:rsid w:val="00BB2366"/>
    <w:rsid w:val="00BB2640"/>
    <w:rsid w:val="00BB2EE4"/>
    <w:rsid w:val="00BB5AE6"/>
    <w:rsid w:val="00BB7F0B"/>
    <w:rsid w:val="00BC2108"/>
    <w:rsid w:val="00BC5642"/>
    <w:rsid w:val="00BD0E9E"/>
    <w:rsid w:val="00BD1BEC"/>
    <w:rsid w:val="00BD32FF"/>
    <w:rsid w:val="00BD67ED"/>
    <w:rsid w:val="00BD700B"/>
    <w:rsid w:val="00C01A6A"/>
    <w:rsid w:val="00C02092"/>
    <w:rsid w:val="00C14AA0"/>
    <w:rsid w:val="00C22905"/>
    <w:rsid w:val="00C229CD"/>
    <w:rsid w:val="00C248ED"/>
    <w:rsid w:val="00C24D91"/>
    <w:rsid w:val="00C53F14"/>
    <w:rsid w:val="00C600CF"/>
    <w:rsid w:val="00C6084F"/>
    <w:rsid w:val="00C62A66"/>
    <w:rsid w:val="00C62FD6"/>
    <w:rsid w:val="00C71458"/>
    <w:rsid w:val="00C77613"/>
    <w:rsid w:val="00C828E7"/>
    <w:rsid w:val="00C8650B"/>
    <w:rsid w:val="00C86719"/>
    <w:rsid w:val="00C921DD"/>
    <w:rsid w:val="00CA6391"/>
    <w:rsid w:val="00CA7B39"/>
    <w:rsid w:val="00CC34BD"/>
    <w:rsid w:val="00CD6453"/>
    <w:rsid w:val="00CE08B9"/>
    <w:rsid w:val="00CE161A"/>
    <w:rsid w:val="00CE3171"/>
    <w:rsid w:val="00CE5083"/>
    <w:rsid w:val="00CE7262"/>
    <w:rsid w:val="00CF09E5"/>
    <w:rsid w:val="00CF1601"/>
    <w:rsid w:val="00D0172F"/>
    <w:rsid w:val="00D068A7"/>
    <w:rsid w:val="00D173CE"/>
    <w:rsid w:val="00D17476"/>
    <w:rsid w:val="00D2527D"/>
    <w:rsid w:val="00D26B67"/>
    <w:rsid w:val="00D32086"/>
    <w:rsid w:val="00D33A8F"/>
    <w:rsid w:val="00D360E6"/>
    <w:rsid w:val="00D37A3F"/>
    <w:rsid w:val="00D4431D"/>
    <w:rsid w:val="00D4667A"/>
    <w:rsid w:val="00D469D5"/>
    <w:rsid w:val="00D47BFC"/>
    <w:rsid w:val="00D57CCA"/>
    <w:rsid w:val="00D614A5"/>
    <w:rsid w:val="00D614E0"/>
    <w:rsid w:val="00D63A1C"/>
    <w:rsid w:val="00D67CB1"/>
    <w:rsid w:val="00D7516F"/>
    <w:rsid w:val="00D83628"/>
    <w:rsid w:val="00D8579F"/>
    <w:rsid w:val="00D90B9E"/>
    <w:rsid w:val="00D91A89"/>
    <w:rsid w:val="00D95F8E"/>
    <w:rsid w:val="00DA0590"/>
    <w:rsid w:val="00DA09F8"/>
    <w:rsid w:val="00DB1C39"/>
    <w:rsid w:val="00DB7BEA"/>
    <w:rsid w:val="00DC1739"/>
    <w:rsid w:val="00DC1788"/>
    <w:rsid w:val="00DC2F37"/>
    <w:rsid w:val="00DD105B"/>
    <w:rsid w:val="00DE319C"/>
    <w:rsid w:val="00DE416C"/>
    <w:rsid w:val="00DE54B0"/>
    <w:rsid w:val="00DF0CA8"/>
    <w:rsid w:val="00DF2B48"/>
    <w:rsid w:val="00DF49A7"/>
    <w:rsid w:val="00E03F44"/>
    <w:rsid w:val="00E07EE2"/>
    <w:rsid w:val="00E07FD1"/>
    <w:rsid w:val="00E176D8"/>
    <w:rsid w:val="00E24573"/>
    <w:rsid w:val="00E25E1E"/>
    <w:rsid w:val="00E27EE7"/>
    <w:rsid w:val="00E31D67"/>
    <w:rsid w:val="00E3214F"/>
    <w:rsid w:val="00E333F9"/>
    <w:rsid w:val="00E35404"/>
    <w:rsid w:val="00E37104"/>
    <w:rsid w:val="00E42BC1"/>
    <w:rsid w:val="00E45109"/>
    <w:rsid w:val="00E47B7A"/>
    <w:rsid w:val="00E50A79"/>
    <w:rsid w:val="00E56A44"/>
    <w:rsid w:val="00E60269"/>
    <w:rsid w:val="00E653D0"/>
    <w:rsid w:val="00E65A2E"/>
    <w:rsid w:val="00E714DB"/>
    <w:rsid w:val="00E71951"/>
    <w:rsid w:val="00E72672"/>
    <w:rsid w:val="00E74037"/>
    <w:rsid w:val="00E77932"/>
    <w:rsid w:val="00E83FDA"/>
    <w:rsid w:val="00E92347"/>
    <w:rsid w:val="00E97830"/>
    <w:rsid w:val="00EA07C1"/>
    <w:rsid w:val="00EA13F9"/>
    <w:rsid w:val="00EA1D3B"/>
    <w:rsid w:val="00EB0B7C"/>
    <w:rsid w:val="00ED60AA"/>
    <w:rsid w:val="00ED681A"/>
    <w:rsid w:val="00EE5737"/>
    <w:rsid w:val="00EE643C"/>
    <w:rsid w:val="00EF0683"/>
    <w:rsid w:val="00EF69D2"/>
    <w:rsid w:val="00EF766E"/>
    <w:rsid w:val="00F0070C"/>
    <w:rsid w:val="00F00EB7"/>
    <w:rsid w:val="00F13AA7"/>
    <w:rsid w:val="00F32475"/>
    <w:rsid w:val="00F36AB6"/>
    <w:rsid w:val="00F37A09"/>
    <w:rsid w:val="00F409CE"/>
    <w:rsid w:val="00F4379D"/>
    <w:rsid w:val="00F50635"/>
    <w:rsid w:val="00F50D2D"/>
    <w:rsid w:val="00F56C8B"/>
    <w:rsid w:val="00F575F4"/>
    <w:rsid w:val="00F66810"/>
    <w:rsid w:val="00F70A7A"/>
    <w:rsid w:val="00F75F4E"/>
    <w:rsid w:val="00F846D9"/>
    <w:rsid w:val="00F84DF4"/>
    <w:rsid w:val="00F85C97"/>
    <w:rsid w:val="00F94A57"/>
    <w:rsid w:val="00FA51A0"/>
    <w:rsid w:val="00FB37D2"/>
    <w:rsid w:val="00FB7D08"/>
    <w:rsid w:val="00FC3788"/>
    <w:rsid w:val="00FC4EFB"/>
    <w:rsid w:val="00FD068D"/>
    <w:rsid w:val="00FD4F28"/>
    <w:rsid w:val="00FE0416"/>
    <w:rsid w:val="00FE22A8"/>
    <w:rsid w:val="00FE6784"/>
    <w:rsid w:val="00FF1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ABA"/>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2905"/>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C22905"/>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C22905"/>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C22905"/>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C22905"/>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C22905"/>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C22905"/>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qFormat/>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E65A2E"/>
    <w:rPr>
      <w:color w:val="0000FF" w:themeColor="hyperlink"/>
      <w:u w:val="single"/>
    </w:rPr>
  </w:style>
  <w:style w:type="character" w:customStyle="1" w:styleId="solexhl">
    <w:name w:val="solexhl"/>
    <w:basedOn w:val="DefaultParagraphFont"/>
    <w:rsid w:val="000C78C2"/>
  </w:style>
  <w:style w:type="character" w:customStyle="1" w:styleId="Heading3Char">
    <w:name w:val="Heading 3 Char"/>
    <w:basedOn w:val="DefaultParagraphFont"/>
    <w:link w:val="Heading3"/>
    <w:uiPriority w:val="9"/>
    <w:semiHidden/>
    <w:rsid w:val="00C22905"/>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C22905"/>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C22905"/>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C22905"/>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C22905"/>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C22905"/>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C22905"/>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C22905"/>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C22905"/>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C22905"/>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C22905"/>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C22905"/>
    <w:rPr>
      <w:b/>
      <w:sz w:val="24"/>
    </w:rPr>
  </w:style>
  <w:style w:type="table" w:styleId="TableGrid">
    <w:name w:val="Table Grid"/>
    <w:basedOn w:val="TableNormal"/>
    <w:uiPriority w:val="59"/>
    <w:rsid w:val="00C22905"/>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C22905"/>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C22905"/>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C22905"/>
    <w:pPr>
      <w:tabs>
        <w:tab w:val="left" w:pos="1260"/>
      </w:tabs>
      <w:spacing w:after="480" w:line="480" w:lineRule="auto"/>
    </w:pPr>
    <w:rPr>
      <w:smallCaps/>
      <w:sz w:val="24"/>
    </w:rPr>
  </w:style>
  <w:style w:type="paragraph" w:customStyle="1" w:styleId="ParaNoNdepar-AltN">
    <w:name w:val="Para. No. / Nº de par. - Alt N"/>
    <w:link w:val="ParaNoNdepar-AltNChar"/>
    <w:qFormat/>
    <w:rsid w:val="00C22905"/>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C22905"/>
    <w:pPr>
      <w:numPr>
        <w:numId w:val="7"/>
      </w:numPr>
      <w:tabs>
        <w:tab w:val="clear" w:pos="576"/>
      </w:tabs>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C22905"/>
    <w:pPr>
      <w:numPr>
        <w:ilvl w:val="1"/>
      </w:numPr>
      <w:tabs>
        <w:tab w:val="clear" w:pos="576"/>
      </w:tabs>
      <w:outlineLvl w:val="1"/>
    </w:pPr>
    <w:rPr>
      <w:i/>
      <w:u w:val="none"/>
    </w:rPr>
  </w:style>
  <w:style w:type="paragraph" w:customStyle="1" w:styleId="Title3LevelTitre3Niveau">
    <w:name w:val="Title 3 Level / Titre 3 Niveau"/>
    <w:basedOn w:val="Title1LevelTitre1Niveau-AltL"/>
    <w:next w:val="ParaNoNdepar-AltN"/>
    <w:uiPriority w:val="4"/>
    <w:qFormat/>
    <w:rsid w:val="00C22905"/>
    <w:pPr>
      <w:numPr>
        <w:ilvl w:val="2"/>
      </w:numPr>
      <w:tabs>
        <w:tab w:val="clear" w:pos="1152"/>
      </w:tabs>
      <w:outlineLvl w:val="2"/>
    </w:pPr>
  </w:style>
  <w:style w:type="paragraph" w:customStyle="1" w:styleId="Title4LevelTitre4Niveau">
    <w:name w:val="Title 4 Level / Titre 4 Niveau"/>
    <w:basedOn w:val="Title3LevelTitre3Niveau"/>
    <w:next w:val="ParaNoNdepar-AltN"/>
    <w:uiPriority w:val="4"/>
    <w:qFormat/>
    <w:rsid w:val="00C22905"/>
    <w:pPr>
      <w:numPr>
        <w:ilvl w:val="3"/>
      </w:numPr>
      <w:tabs>
        <w:tab w:val="clear" w:pos="1152"/>
      </w:tabs>
      <w:ind w:left="1156" w:hanging="578"/>
      <w:outlineLvl w:val="3"/>
    </w:pPr>
    <w:rPr>
      <w:i/>
      <w:u w:val="none"/>
    </w:rPr>
  </w:style>
  <w:style w:type="paragraph" w:customStyle="1" w:styleId="Title5LevelTitre5Niveau">
    <w:name w:val="Title 5 Level / Titre 5 Niveau"/>
    <w:basedOn w:val="Title1LevelTitre1Niveau-AltL"/>
    <w:next w:val="ParaNoNdepar-AltN"/>
    <w:uiPriority w:val="4"/>
    <w:qFormat/>
    <w:rsid w:val="00C22905"/>
    <w:pPr>
      <w:numPr>
        <w:ilvl w:val="4"/>
      </w:numPr>
      <w:tabs>
        <w:tab w:val="clear" w:pos="1728"/>
      </w:tabs>
      <w:ind w:left="1729" w:hanging="578"/>
      <w:outlineLvl w:val="4"/>
    </w:pPr>
  </w:style>
  <w:style w:type="paragraph" w:styleId="TOC1">
    <w:name w:val="toc 1"/>
    <w:basedOn w:val="Normal"/>
    <w:next w:val="Normal"/>
    <w:autoRedefine/>
    <w:uiPriority w:val="39"/>
    <w:unhideWhenUsed/>
    <w:rsid w:val="00C22905"/>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C22905"/>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C22905"/>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C22905"/>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C22905"/>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C22905"/>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C22905"/>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C22905"/>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C22905"/>
    <w:pPr>
      <w:numPr>
        <w:ilvl w:val="5"/>
      </w:numPr>
      <w:jc w:val="both"/>
      <w:outlineLvl w:val="5"/>
    </w:pPr>
    <w:rPr>
      <w:i/>
      <w:u w:val="none"/>
    </w:rPr>
  </w:style>
  <w:style w:type="paragraph" w:styleId="FootnoteText">
    <w:name w:val="footnote text"/>
    <w:basedOn w:val="Normal"/>
    <w:link w:val="FootnoteTextChar"/>
    <w:uiPriority w:val="99"/>
    <w:unhideWhenUsed/>
    <w:rsid w:val="00C22905"/>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C22905"/>
  </w:style>
  <w:style w:type="character" w:styleId="FootnoteReference">
    <w:name w:val="footnote reference"/>
    <w:basedOn w:val="DefaultParagraphFont"/>
    <w:uiPriority w:val="99"/>
    <w:semiHidden/>
    <w:unhideWhenUsed/>
    <w:rsid w:val="00C22905"/>
    <w:rPr>
      <w:vertAlign w:val="superscript"/>
    </w:rPr>
  </w:style>
  <w:style w:type="character" w:styleId="SubtleEmphasis">
    <w:name w:val="Subtle Emphasis"/>
    <w:basedOn w:val="DefaultParagraphFont"/>
    <w:uiPriority w:val="19"/>
    <w:rsid w:val="00C22905"/>
    <w:rPr>
      <w:i/>
      <w:iCs/>
      <w:color w:val="808080" w:themeColor="text1" w:themeTint="7F"/>
    </w:rPr>
  </w:style>
  <w:style w:type="character" w:customStyle="1" w:styleId="ParaNoNdepar-AltNChar">
    <w:name w:val="Para. No. / Nº de par. - Alt N Char"/>
    <w:basedOn w:val="DefaultParagraphFont"/>
    <w:link w:val="ParaNoNdepar-AltN"/>
    <w:locked/>
    <w:rsid w:val="00C22905"/>
    <w:rPr>
      <w:rFonts w:eastAsiaTheme="minorEastAsia" w:cstheme="minorBidi"/>
      <w:sz w:val="24"/>
      <w:szCs w:val="22"/>
      <w:lang w:eastAsia="en-US"/>
    </w:rPr>
  </w:style>
  <w:style w:type="character" w:styleId="CommentReference">
    <w:name w:val="annotation reference"/>
    <w:basedOn w:val="DefaultParagraphFont"/>
    <w:uiPriority w:val="99"/>
    <w:semiHidden/>
    <w:unhideWhenUsed/>
    <w:rsid w:val="00C22905"/>
    <w:rPr>
      <w:sz w:val="16"/>
      <w:szCs w:val="16"/>
    </w:rPr>
  </w:style>
  <w:style w:type="paragraph" w:styleId="CommentText">
    <w:name w:val="annotation text"/>
    <w:basedOn w:val="Normal"/>
    <w:link w:val="CommentTextChar"/>
    <w:uiPriority w:val="99"/>
    <w:semiHidden/>
    <w:unhideWhenUsed/>
    <w:rsid w:val="00C22905"/>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C22905"/>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C22905"/>
    <w:rPr>
      <w:b/>
      <w:bCs/>
    </w:rPr>
  </w:style>
  <w:style w:type="character" w:customStyle="1" w:styleId="CommentSubjectChar">
    <w:name w:val="Comment Subject Char"/>
    <w:basedOn w:val="CommentTextChar"/>
    <w:link w:val="CommentSubject"/>
    <w:uiPriority w:val="99"/>
    <w:semiHidden/>
    <w:rsid w:val="00C22905"/>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C22905"/>
    <w:rPr>
      <w:smallCaps/>
      <w:sz w:val="24"/>
    </w:rPr>
  </w:style>
  <w:style w:type="paragraph" w:styleId="NoSpacing">
    <w:name w:val="No Spacing"/>
    <w:uiPriority w:val="1"/>
    <w:rsid w:val="00C22905"/>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C22905"/>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C22905"/>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C229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C22905"/>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C22905"/>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C22905"/>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C22905"/>
    <w:rPr>
      <w:i/>
      <w:iCs/>
    </w:rPr>
  </w:style>
  <w:style w:type="paragraph" w:styleId="ListParagraph">
    <w:name w:val="List Paragraph"/>
    <w:basedOn w:val="Normal"/>
    <w:uiPriority w:val="34"/>
    <w:rsid w:val="00C22905"/>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C22905"/>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C22905"/>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C22905"/>
    <w:rPr>
      <w:b/>
      <w:bCs/>
      <w:i/>
      <w:iCs/>
      <w:color w:val="4F81BD" w:themeColor="accent1"/>
    </w:rPr>
  </w:style>
  <w:style w:type="character" w:styleId="SubtleReference">
    <w:name w:val="Subtle Reference"/>
    <w:basedOn w:val="DefaultParagraphFont"/>
    <w:uiPriority w:val="31"/>
    <w:rsid w:val="00C22905"/>
    <w:rPr>
      <w:smallCaps/>
      <w:color w:val="C0504D" w:themeColor="accent2"/>
      <w:u w:val="single"/>
    </w:rPr>
  </w:style>
  <w:style w:type="character" w:styleId="IntenseReference">
    <w:name w:val="Intense Reference"/>
    <w:basedOn w:val="DefaultParagraphFont"/>
    <w:uiPriority w:val="32"/>
    <w:rsid w:val="00C22905"/>
    <w:rPr>
      <w:b/>
      <w:bCs/>
      <w:smallCaps/>
      <w:color w:val="C0504D" w:themeColor="accent2"/>
      <w:spacing w:val="5"/>
      <w:u w:val="single"/>
    </w:rPr>
  </w:style>
  <w:style w:type="character" w:styleId="BookTitle">
    <w:name w:val="Book Title"/>
    <w:basedOn w:val="DefaultParagraphFont"/>
    <w:uiPriority w:val="33"/>
    <w:rsid w:val="00C22905"/>
    <w:rPr>
      <w:b/>
      <w:bCs/>
      <w:smallCaps/>
      <w:spacing w:val="5"/>
    </w:rPr>
  </w:style>
  <w:style w:type="paragraph" w:styleId="Revision">
    <w:name w:val="Revision"/>
    <w:hidden/>
    <w:uiPriority w:val="99"/>
    <w:semiHidden/>
    <w:rsid w:val="00C22905"/>
    <w:rPr>
      <w:rFonts w:eastAsiaTheme="minorHAnsi" w:cstheme="minorBidi"/>
      <w:sz w:val="24"/>
      <w:szCs w:val="22"/>
      <w:lang w:val="en-US" w:eastAsia="en-US" w:bidi="en-US"/>
    </w:rPr>
  </w:style>
  <w:style w:type="paragraph" w:styleId="EndnoteText">
    <w:name w:val="endnote text"/>
    <w:basedOn w:val="Normal"/>
    <w:link w:val="EndnoteTextChar"/>
    <w:uiPriority w:val="99"/>
    <w:semiHidden/>
    <w:unhideWhenUsed/>
    <w:rsid w:val="00C22905"/>
    <w:rPr>
      <w:rFonts w:eastAsiaTheme="minorHAnsi" w:cstheme="minorBidi"/>
      <w:sz w:val="20"/>
      <w:lang w:val="en-US" w:eastAsia="en-US" w:bidi="en-US"/>
    </w:rPr>
  </w:style>
  <w:style w:type="character" w:customStyle="1" w:styleId="EndnoteTextChar">
    <w:name w:val="Endnote Text Char"/>
    <w:basedOn w:val="DefaultParagraphFont"/>
    <w:link w:val="EndnoteText"/>
    <w:uiPriority w:val="99"/>
    <w:semiHidden/>
    <w:rsid w:val="00C22905"/>
    <w:rPr>
      <w:rFonts w:eastAsiaTheme="minorHAnsi" w:cstheme="minorBidi"/>
      <w:lang w:val="en-US" w:eastAsia="en-US" w:bidi="en-US"/>
    </w:rPr>
  </w:style>
  <w:style w:type="character" w:styleId="EndnoteReference">
    <w:name w:val="endnote reference"/>
    <w:basedOn w:val="DefaultParagraphFont"/>
    <w:uiPriority w:val="99"/>
    <w:semiHidden/>
    <w:unhideWhenUsed/>
    <w:rsid w:val="00C22905"/>
    <w:rPr>
      <w:vertAlign w:val="superscript"/>
    </w:rPr>
  </w:style>
  <w:style w:type="character" w:customStyle="1" w:styleId="reflex3-block">
    <w:name w:val="reflex3-block"/>
    <w:basedOn w:val="DefaultParagraphFont"/>
    <w:rsid w:val="00C22905"/>
  </w:style>
  <w:style w:type="character" w:customStyle="1" w:styleId="reflex3-alt">
    <w:name w:val="reflex3-alt"/>
    <w:basedOn w:val="DefaultParagraphFont"/>
    <w:rsid w:val="00C22905"/>
  </w:style>
  <w:style w:type="character" w:customStyle="1" w:styleId="lawlabel">
    <w:name w:val="lawlabel"/>
    <w:basedOn w:val="DefaultParagraphFont"/>
    <w:rsid w:val="00C22905"/>
  </w:style>
  <w:style w:type="table" w:customStyle="1" w:styleId="TableGrid2">
    <w:name w:val="Table Grid2"/>
    <w:basedOn w:val="TableNormal"/>
    <w:next w:val="TableGrid"/>
    <w:uiPriority w:val="59"/>
    <w:rsid w:val="00C22905"/>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2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canlii.ca/t/jb93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267FF-ECE5-4323-8814-6F904A850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517</Words>
  <Characters>2861</Characters>
  <Application>Microsoft Office Word</Application>
  <DocSecurity>0</DocSecurity>
  <Lines>23</Lines>
  <Paragraphs>6</Paragraphs>
  <ScaleCrop>false</ScaleCrop>
  <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2022-12-21T14:39:00Z</dcterms:created>
  <dcterms:modified xsi:type="dcterms:W3CDTF">2022-12-21T14:39:00Z</dcterms:modified>
</cp:coreProperties>
</file>