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700"/>
        <w:gridCol w:w="4111"/>
        <w:gridCol w:w="22"/>
      </w:tblGrid>
      <w:tr w:rsidR="006230B6" w:rsidRPr="00987C39" w:rsidTr="00B91A56">
        <w:trPr>
          <w:trHeight w:val="2103"/>
        </w:trPr>
        <w:tc>
          <w:tcPr>
            <w:tcW w:w="5000" w:type="pct"/>
            <w:gridSpan w:val="4"/>
          </w:tcPr>
          <w:p w:rsidR="006230B6" w:rsidRPr="00987C39" w:rsidRDefault="00B91A56" w:rsidP="00E92347">
            <w:pPr>
              <w:jc w:val="center"/>
            </w:pPr>
            <w:bookmarkStart w:id="0" w:name="_GoBack"/>
            <w:bookmarkEnd w:id="0"/>
            <w:r w:rsidRPr="00987C39">
              <w:rPr>
                <w:noProof/>
                <w:lang w:val="en-US" w:eastAsia="en-US"/>
              </w:rPr>
              <w:drawing>
                <wp:inline distT="0" distB="0" distL="0" distR="0">
                  <wp:extent cx="1191895" cy="1638300"/>
                  <wp:effectExtent l="0" t="0" r="8255" b="0"/>
                  <wp:docPr id="1" name="Picture 1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0B6" w:rsidRPr="00987C39" w:rsidRDefault="006230B6" w:rsidP="0081470C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987C39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8201FB" w:rsidRPr="00987C39" w:rsidTr="00987C39">
        <w:trPr>
          <w:gridAfter w:val="1"/>
          <w:wAfter w:w="10" w:type="pct"/>
        </w:trPr>
        <w:tc>
          <w:tcPr>
            <w:tcW w:w="2108" w:type="pct"/>
            <w:tcMar>
              <w:top w:w="284" w:type="dxa"/>
            </w:tcMar>
          </w:tcPr>
          <w:p w:rsidR="006230B6" w:rsidRPr="00987C39" w:rsidRDefault="006230B6" w:rsidP="00E03F44">
            <w:pPr>
              <w:spacing w:before="100" w:beforeAutospacing="1"/>
              <w:rPr>
                <w:rFonts w:eastAsia="Calibri"/>
                <w:lang w:val="fr-CA"/>
              </w:rPr>
            </w:pPr>
            <w:r w:rsidRPr="00987C39">
              <w:rPr>
                <w:b/>
                <w:smallCaps/>
                <w:lang w:val="fr-CA"/>
              </w:rPr>
              <w:t>Citation:</w:t>
            </w:r>
            <w:r w:rsidRPr="00987C39">
              <w:rPr>
                <w:lang w:val="fr-CA"/>
              </w:rPr>
              <w:t xml:space="preserve"> </w:t>
            </w:r>
            <w:r w:rsidR="00410588" w:rsidRPr="00987C39">
              <w:rPr>
                <w:lang w:val="fr-CA"/>
              </w:rPr>
              <w:t xml:space="preserve">R. </w:t>
            </w:r>
            <w:r w:rsidR="00410588" w:rsidRPr="00987C39">
              <w:rPr>
                <w:i/>
                <w:lang w:val="fr-CA"/>
              </w:rPr>
              <w:t>v.</w:t>
            </w:r>
            <w:r w:rsidR="00896C73" w:rsidRPr="00987C39">
              <w:rPr>
                <w:lang w:val="fr-CA"/>
              </w:rPr>
              <w:t xml:space="preserve"> Lai</w:t>
            </w:r>
            <w:r w:rsidR="00972251" w:rsidRPr="00987C39">
              <w:rPr>
                <w:lang w:val="fr-CA"/>
              </w:rPr>
              <w:t xml:space="preserve">, 2021 SCC </w:t>
            </w:r>
            <w:r w:rsidR="005C5BED" w:rsidRPr="00987C39">
              <w:rPr>
                <w:lang w:val="fr-CA"/>
              </w:rPr>
              <w:t>52</w:t>
            </w:r>
          </w:p>
        </w:tc>
        <w:tc>
          <w:tcPr>
            <w:tcW w:w="843" w:type="pct"/>
          </w:tcPr>
          <w:p w:rsidR="006230B6" w:rsidRPr="00987C39" w:rsidRDefault="006230B6" w:rsidP="00A12217">
            <w:pPr>
              <w:rPr>
                <w:b/>
                <w:smallCaps/>
                <w:lang w:val="fr-CA"/>
              </w:rPr>
            </w:pPr>
          </w:p>
        </w:tc>
        <w:tc>
          <w:tcPr>
            <w:tcW w:w="2038" w:type="pct"/>
            <w:tcMar>
              <w:top w:w="284" w:type="dxa"/>
            </w:tcMar>
          </w:tcPr>
          <w:p w:rsidR="006230B6" w:rsidRPr="00987C39" w:rsidRDefault="006230B6" w:rsidP="00A12217">
            <w:r w:rsidRPr="00987C39">
              <w:rPr>
                <w:b/>
                <w:smallCaps/>
              </w:rPr>
              <w:t>Appeal Heard:</w:t>
            </w:r>
            <w:r w:rsidR="00EA07C1" w:rsidRPr="00987C39">
              <w:rPr>
                <w:b/>
                <w:smallCaps/>
              </w:rPr>
              <w:t xml:space="preserve"> </w:t>
            </w:r>
            <w:r w:rsidR="00921B52" w:rsidRPr="00987C39">
              <w:t xml:space="preserve">December </w:t>
            </w:r>
            <w:r w:rsidR="00896C73" w:rsidRPr="00987C39">
              <w:t>8</w:t>
            </w:r>
            <w:r w:rsidR="00EA07C1" w:rsidRPr="00987C39">
              <w:t>, 2021</w:t>
            </w:r>
          </w:p>
          <w:p w:rsidR="006230B6" w:rsidRPr="00987C39" w:rsidRDefault="006230B6" w:rsidP="00A12217">
            <w:r w:rsidRPr="00987C39">
              <w:rPr>
                <w:b/>
                <w:smallCaps/>
              </w:rPr>
              <w:t>Judgment Rendered:</w:t>
            </w:r>
            <w:r w:rsidR="00EA07C1" w:rsidRPr="00987C39">
              <w:rPr>
                <w:b/>
                <w:smallCaps/>
              </w:rPr>
              <w:t xml:space="preserve"> </w:t>
            </w:r>
            <w:r w:rsidR="00896C73" w:rsidRPr="00987C39">
              <w:t>December 8</w:t>
            </w:r>
            <w:r w:rsidR="00EA07C1" w:rsidRPr="00987C39">
              <w:t>, 2021</w:t>
            </w:r>
          </w:p>
          <w:p w:rsidR="006230B6" w:rsidRPr="00987C39" w:rsidRDefault="006230B6" w:rsidP="000F2039">
            <w:r w:rsidRPr="00987C39">
              <w:rPr>
                <w:b/>
                <w:smallCaps/>
              </w:rPr>
              <w:t>Docket:</w:t>
            </w:r>
            <w:r w:rsidRPr="00987C39">
              <w:t xml:space="preserve"> </w:t>
            </w:r>
            <w:r w:rsidR="00896C73" w:rsidRPr="00987C39">
              <w:t>39577</w:t>
            </w:r>
          </w:p>
        </w:tc>
      </w:tr>
      <w:tr w:rsidR="006230B6" w:rsidRPr="00987C39" w:rsidTr="00D614E0">
        <w:tc>
          <w:tcPr>
            <w:tcW w:w="5000" w:type="pct"/>
            <w:gridSpan w:val="4"/>
          </w:tcPr>
          <w:p w:rsidR="006230B6" w:rsidRPr="00987C39" w:rsidRDefault="006230B6" w:rsidP="00A12217">
            <w:pPr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C8650B" w:rsidRPr="00987C39" w:rsidRDefault="00C8650B" w:rsidP="00C8650B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 w:rsidRPr="00987C39"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C8650B" w:rsidRPr="00987C39" w:rsidRDefault="00896C73" w:rsidP="00C8650B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987C39">
              <w:rPr>
                <w:rStyle w:val="Strong"/>
                <w:rFonts w:ascii="Helvetica Neue" w:eastAsiaTheme="majorEastAsia" w:hAnsi="Helvetica Neue"/>
                <w:color w:val="333333"/>
                <w:shd w:val="clear" w:color="auto" w:fill="FFFFFF"/>
              </w:rPr>
              <w:t>Alan Teck Meng Lai </w:t>
            </w:r>
          </w:p>
          <w:p w:rsidR="00C8650B" w:rsidRPr="00987C39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987C39"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DA09F8" w:rsidRPr="00987C39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C8650B" w:rsidRPr="00987C39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987C39"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DA09F8" w:rsidRPr="00987C39" w:rsidRDefault="00DA09F8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D33A8F" w:rsidRPr="00987C39" w:rsidRDefault="00D94841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987C39">
              <w:rPr>
                <w:rFonts w:eastAsiaTheme="minorHAnsi" w:cstheme="minorBidi"/>
                <w:b/>
                <w:szCs w:val="24"/>
                <w:lang w:eastAsia="en-US"/>
              </w:rPr>
              <w:t>Her Majesty The Queen</w:t>
            </w:r>
          </w:p>
          <w:p w:rsidR="00C8650B" w:rsidRPr="00987C39" w:rsidRDefault="00C8650B" w:rsidP="00C8650B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987C39"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0F2039" w:rsidRPr="00987C39" w:rsidRDefault="000F2039" w:rsidP="00E03F44">
            <w:pPr>
              <w:jc w:val="center"/>
              <w:rPr>
                <w:b/>
                <w:smallCaps/>
              </w:rPr>
            </w:pPr>
          </w:p>
          <w:p w:rsidR="004C5B67" w:rsidRPr="00987C39" w:rsidRDefault="004C5B67" w:rsidP="004C5B67">
            <w:pPr>
              <w:rPr>
                <w:b/>
                <w:smallCaps/>
              </w:rPr>
            </w:pPr>
          </w:p>
          <w:p w:rsidR="004C5B67" w:rsidRPr="00987C39" w:rsidRDefault="004C5B67" w:rsidP="00E03F44">
            <w:pPr>
              <w:jc w:val="center"/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7796"/>
        <w:gridCol w:w="22"/>
      </w:tblGrid>
      <w:tr w:rsidR="00E92347" w:rsidRPr="00987C39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92347" w:rsidRPr="00987C39" w:rsidRDefault="00A12217" w:rsidP="001B327A">
            <w:r w:rsidRPr="00987C39">
              <w:rPr>
                <w:b/>
                <w:smallCaps/>
              </w:rPr>
              <w:t>Coram:</w:t>
            </w:r>
            <w:r w:rsidRPr="00987C39">
              <w:t xml:space="preserve"> </w:t>
            </w:r>
            <w:r w:rsidR="00EA13F9" w:rsidRPr="00987C39">
              <w:t>Wagner</w:t>
            </w:r>
            <w:r w:rsidR="0033435C" w:rsidRPr="00987C39">
              <w:t xml:space="preserve"> C.J. and </w:t>
            </w:r>
            <w:r w:rsidR="007000FF" w:rsidRPr="00987C39">
              <w:t>Moldaver, Karakatsanis, Côté, Brown, Rowe, Martin, Kasirer and Jamal </w:t>
            </w:r>
            <w:r w:rsidRPr="00987C39">
              <w:t>JJ.</w:t>
            </w:r>
          </w:p>
        </w:tc>
      </w:tr>
      <w:tr w:rsidR="006230B6" w:rsidRPr="00987C39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40F00" w:rsidRPr="00987C39" w:rsidRDefault="006230B6" w:rsidP="00AD4C25">
            <w:pPr>
              <w:spacing w:before="120"/>
              <w:rPr>
                <w:smallCaps/>
              </w:rPr>
            </w:pPr>
            <w:r w:rsidRPr="00987C39">
              <w:rPr>
                <w:b/>
                <w:smallCaps/>
              </w:rPr>
              <w:t>Judgment Read By:</w:t>
            </w:r>
          </w:p>
          <w:p w:rsidR="006230B6" w:rsidRPr="00987C39" w:rsidRDefault="00CD6453" w:rsidP="00854728">
            <w:pPr>
              <w:rPr>
                <w:b/>
                <w:smallCaps/>
              </w:rPr>
            </w:pPr>
            <w:r w:rsidRPr="00987C39">
              <w:t>(</w:t>
            </w:r>
            <w:r w:rsidR="00E42BC1" w:rsidRPr="00987C39">
              <w:t>para</w:t>
            </w:r>
            <w:r w:rsidR="0096120B" w:rsidRPr="00987C39">
              <w:t>s</w:t>
            </w:r>
            <w:r w:rsidR="00E42BC1" w:rsidRPr="00987C39">
              <w:t>. </w:t>
            </w:r>
            <w:r w:rsidR="008C1723" w:rsidRPr="00987C39">
              <w:t>1</w:t>
            </w:r>
            <w:r w:rsidR="0096120B" w:rsidRPr="00987C39">
              <w:t xml:space="preserve"> to </w:t>
            </w:r>
            <w:r w:rsidR="00854728" w:rsidRPr="00987C39">
              <w:t>5</w:t>
            </w:r>
            <w:r w:rsidR="006230B6" w:rsidRPr="00987C39">
              <w:t>)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C433D" w:rsidRPr="00987C39" w:rsidRDefault="00F2271D" w:rsidP="000F2039">
            <w:pPr>
              <w:spacing w:before="120"/>
            </w:pPr>
            <w:r w:rsidRPr="00987C39">
              <w:t>Moldaver J.</w:t>
            </w:r>
          </w:p>
        </w:tc>
      </w:tr>
      <w:tr w:rsidR="00FE22A8" w:rsidRPr="00987C39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Pr="00987C39" w:rsidRDefault="00FE22A8" w:rsidP="00AD4C25">
            <w:pPr>
              <w:spacing w:before="120"/>
              <w:rPr>
                <w:b/>
                <w:smallCaps/>
              </w:rPr>
            </w:pPr>
            <w:r w:rsidRPr="00987C39">
              <w:rPr>
                <w:b/>
                <w:smallCaps/>
              </w:rPr>
              <w:t>Majority: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Pr="00987C39" w:rsidRDefault="00F2271D" w:rsidP="000F2039">
            <w:pPr>
              <w:spacing w:before="120"/>
            </w:pPr>
            <w:r w:rsidRPr="00987C39">
              <w:t>Wagner C.J. and Moldaver, Karakatsanis, Brown, Rowe, Martin, Kasirer and Jamal JJ.</w:t>
            </w:r>
          </w:p>
        </w:tc>
      </w:tr>
      <w:tr w:rsidR="00FE22A8" w:rsidRPr="00987C39" w:rsidTr="0040508D">
        <w:trPr>
          <w:gridAfter w:val="1"/>
          <w:wAfter w:w="11" w:type="pct"/>
          <w:cantSplit/>
          <w:trHeight w:val="508"/>
        </w:trPr>
        <w:tc>
          <w:tcPr>
            <w:tcW w:w="1124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Pr="00987C39" w:rsidRDefault="00FE22A8" w:rsidP="00AD4C25">
            <w:pPr>
              <w:spacing w:before="120"/>
              <w:rPr>
                <w:b/>
                <w:smallCaps/>
              </w:rPr>
            </w:pPr>
            <w:r w:rsidRPr="00987C39">
              <w:rPr>
                <w:b/>
                <w:smallCaps/>
              </w:rPr>
              <w:t>Dissent:</w:t>
            </w:r>
          </w:p>
        </w:tc>
        <w:tc>
          <w:tcPr>
            <w:tcW w:w="3865" w:type="pct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FE22A8" w:rsidRPr="00987C39" w:rsidRDefault="008D44F3" w:rsidP="000F2039">
            <w:pPr>
              <w:spacing w:before="120"/>
            </w:pPr>
            <w:r w:rsidRPr="00987C39">
              <w:t>Cô</w:t>
            </w:r>
            <w:r w:rsidR="005C5BED" w:rsidRPr="00987C39">
              <w:t>té </w:t>
            </w:r>
            <w:r w:rsidR="00F2271D" w:rsidRPr="00987C39">
              <w:t>J.</w:t>
            </w:r>
          </w:p>
        </w:tc>
      </w:tr>
      <w:tr w:rsidR="00EB0B7C" w:rsidRPr="00987C39" w:rsidTr="00EB0B7C">
        <w:trPr>
          <w:cantSplit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B327A" w:rsidRPr="00987C39" w:rsidRDefault="001B327A" w:rsidP="00670F64"/>
        </w:tc>
      </w:tr>
    </w:tbl>
    <w:p w:rsidR="00715A65" w:rsidRPr="00987C39" w:rsidRDefault="00C22905" w:rsidP="00715A65">
      <w:pPr>
        <w:spacing w:before="100" w:beforeAutospacing="1"/>
        <w:rPr>
          <w:rFonts w:eastAsia="Calibri"/>
          <w:szCs w:val="24"/>
          <w:lang w:eastAsia="en-US"/>
        </w:rPr>
      </w:pPr>
      <w:r w:rsidRPr="00987C39">
        <w:rPr>
          <w:rFonts w:eastAsia="Calibri"/>
          <w:b/>
          <w:smallCaps/>
          <w:szCs w:val="24"/>
          <w:lang w:eastAsia="en-US"/>
        </w:rPr>
        <w:t>Note:</w:t>
      </w:r>
      <w:r w:rsidRPr="00987C39">
        <w:rPr>
          <w:rFonts w:eastAsia="Calibri"/>
          <w:szCs w:val="24"/>
          <w:lang w:eastAsia="en-US"/>
        </w:rPr>
        <w:t xml:space="preserve"> This document is subject to editorial revision before its reproduction in final form in the </w:t>
      </w:r>
      <w:r w:rsidRPr="00987C39">
        <w:rPr>
          <w:rFonts w:eastAsia="Calibri"/>
          <w:i/>
          <w:szCs w:val="24"/>
          <w:lang w:eastAsia="en-US"/>
        </w:rPr>
        <w:t>Canada Supreme Court Reports</w:t>
      </w:r>
      <w:r w:rsidRPr="00987C39">
        <w:rPr>
          <w:rFonts w:eastAsia="Calibri"/>
          <w:szCs w:val="24"/>
          <w:lang w:eastAsia="en-US"/>
        </w:rPr>
        <w:t>.</w:t>
      </w:r>
      <w:r w:rsidR="00715A65" w:rsidRPr="00987C39">
        <w:rPr>
          <w:rFonts w:eastAsia="Calibri"/>
          <w:szCs w:val="24"/>
          <w:lang w:eastAsia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4034"/>
        <w:gridCol w:w="3026"/>
      </w:tblGrid>
      <w:tr w:rsidR="00715A65" w:rsidRPr="00987C39" w:rsidTr="00A80425">
        <w:tc>
          <w:tcPr>
            <w:tcW w:w="1500" w:type="pct"/>
            <w:tcMar>
              <w:top w:w="284" w:type="dxa"/>
            </w:tcMar>
          </w:tcPr>
          <w:p w:rsidR="00715A65" w:rsidRPr="00987C39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15A65" w:rsidRPr="00987C39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15A65" w:rsidRPr="00987C39" w:rsidRDefault="00715A65" w:rsidP="00A80425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15A65" w:rsidRPr="00987C39" w:rsidRDefault="00715A65" w:rsidP="00715A65">
      <w:pPr>
        <w:rPr>
          <w:rFonts w:eastAsia="Calibri"/>
          <w:szCs w:val="24"/>
          <w:lang w:eastAsia="en-US"/>
        </w:rPr>
        <w:sectPr w:rsidR="00715A65" w:rsidRPr="00987C39" w:rsidSect="00E923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077" w:bottom="1134" w:left="1077" w:header="1803" w:footer="720" w:gutter="0"/>
          <w:cols w:space="720"/>
          <w:docGrid w:linePitch="326"/>
        </w:sectPr>
      </w:pPr>
    </w:p>
    <w:p w:rsidR="00987C39" w:rsidRPr="00987C39" w:rsidRDefault="00987C39" w:rsidP="00987C39">
      <w:pPr>
        <w:pStyle w:val="SCCLsocLastPartyInRole"/>
        <w:rPr>
          <w:lang w:val="fr-CA"/>
        </w:rPr>
      </w:pPr>
      <w:r w:rsidRPr="00987C39">
        <w:rPr>
          <w:bCs/>
          <w:lang w:val="fr-CA"/>
        </w:rPr>
        <w:lastRenderedPageBreak/>
        <w:t>Alan Teck Meng Lai</w:t>
      </w:r>
      <w:r w:rsidRPr="00987C39">
        <w:rPr>
          <w:rStyle w:val="SCCLsocPartyRole"/>
          <w:lang w:val="fr-CA"/>
        </w:rPr>
        <w:tab/>
        <w:t>Appellant</w:t>
      </w:r>
    </w:p>
    <w:p w:rsidR="00987C39" w:rsidRPr="00987C39" w:rsidRDefault="00987C39" w:rsidP="00987C39">
      <w:pPr>
        <w:pStyle w:val="SCCLsocVersus"/>
        <w:rPr>
          <w:lang w:val="fr-CA"/>
        </w:rPr>
      </w:pPr>
      <w:r w:rsidRPr="00987C39">
        <w:rPr>
          <w:lang w:val="fr-CA"/>
        </w:rPr>
        <w:t>v.</w:t>
      </w:r>
    </w:p>
    <w:p w:rsidR="00987C39" w:rsidRPr="00987C39" w:rsidRDefault="00987C39" w:rsidP="00987C39">
      <w:pPr>
        <w:pStyle w:val="SCCLsocLastPartyInRole"/>
      </w:pPr>
      <w:r w:rsidRPr="00987C39">
        <w:rPr>
          <w:bCs/>
        </w:rPr>
        <w:t xml:space="preserve">Her Majesty </w:t>
      </w:r>
      <w:proofErr w:type="gramStart"/>
      <w:r w:rsidRPr="00987C39">
        <w:rPr>
          <w:bCs/>
        </w:rPr>
        <w:t>The</w:t>
      </w:r>
      <w:proofErr w:type="gramEnd"/>
      <w:r w:rsidRPr="00987C39">
        <w:rPr>
          <w:bCs/>
        </w:rPr>
        <w:t xml:space="preserve"> Queen</w:t>
      </w:r>
      <w:r w:rsidRPr="00987C39">
        <w:rPr>
          <w:rStyle w:val="SCCLsocPartyRole"/>
        </w:rPr>
        <w:tab/>
        <w:t>Respondent</w:t>
      </w:r>
      <w:r w:rsidRPr="00987C39">
        <w:t xml:space="preserve"> </w:t>
      </w:r>
    </w:p>
    <w:p w:rsidR="00987C39" w:rsidRPr="00987C39" w:rsidRDefault="00987C39" w:rsidP="00987C39">
      <w:pPr>
        <w:spacing w:after="720"/>
        <w:jc w:val="both"/>
        <w:rPr>
          <w:b/>
        </w:rPr>
      </w:pPr>
      <w:r w:rsidRPr="00987C39">
        <w:rPr>
          <w:b/>
        </w:rPr>
        <w:t xml:space="preserve">Indexed as: </w:t>
      </w:r>
      <w:r w:rsidRPr="00987C39">
        <w:rPr>
          <w:b/>
          <w:lang w:val="en-US"/>
        </w:rPr>
        <w:t xml:space="preserve">R. </w:t>
      </w:r>
      <w:r w:rsidRPr="00987C39">
        <w:rPr>
          <w:b/>
          <w:i/>
          <w:lang w:val="en-US"/>
        </w:rPr>
        <w:t>v.</w:t>
      </w:r>
      <w:r w:rsidRPr="00987C39">
        <w:rPr>
          <w:b/>
          <w:lang w:val="en-US"/>
        </w:rPr>
        <w:t xml:space="preserve"> </w:t>
      </w:r>
      <w:r w:rsidRPr="00987C39">
        <w:rPr>
          <w:b/>
        </w:rPr>
        <w:t>Lai</w:t>
      </w:r>
    </w:p>
    <w:p w:rsidR="00987C39" w:rsidRPr="00987C39" w:rsidRDefault="00987C39" w:rsidP="00987C39">
      <w:pPr>
        <w:pStyle w:val="SCCSystemYear"/>
        <w:spacing w:after="720"/>
        <w:jc w:val="both"/>
      </w:pPr>
      <w:r w:rsidRPr="00987C39">
        <w:t>2021 SCC </w:t>
      </w:r>
      <w:r w:rsidRPr="00987C39">
        <w:rPr>
          <w:rFonts w:ascii="Helvetica Neue" w:hAnsi="Helvetica Neue"/>
          <w:color w:val="333333"/>
          <w:shd w:val="clear" w:color="auto" w:fill="FFFFFF"/>
        </w:rPr>
        <w:t>52</w:t>
      </w:r>
    </w:p>
    <w:p w:rsidR="00987C39" w:rsidRPr="00987C39" w:rsidRDefault="00987C39" w:rsidP="00987C39">
      <w:pPr>
        <w:spacing w:after="720"/>
        <w:jc w:val="both"/>
      </w:pPr>
      <w:r w:rsidRPr="00987C39">
        <w:t xml:space="preserve">File No.: </w:t>
      </w:r>
      <w:r w:rsidRPr="00987C39">
        <w:rPr>
          <w:color w:val="000000"/>
        </w:rPr>
        <w:t>39577</w:t>
      </w:r>
      <w:r w:rsidRPr="00987C39">
        <w:t>.</w:t>
      </w:r>
    </w:p>
    <w:p w:rsidR="00987C39" w:rsidRPr="00987C39" w:rsidRDefault="00987C39" w:rsidP="00987C39">
      <w:pPr>
        <w:spacing w:after="720"/>
        <w:jc w:val="both"/>
      </w:pPr>
      <w:r w:rsidRPr="00987C39">
        <w:rPr>
          <w:color w:val="000000"/>
        </w:rPr>
        <w:t>2021</w:t>
      </w:r>
      <w:r w:rsidRPr="00987C39">
        <w:t>: </w:t>
      </w:r>
      <w:r w:rsidRPr="00987C39">
        <w:rPr>
          <w:color w:val="000000"/>
        </w:rPr>
        <w:t>December 8</w:t>
      </w:r>
      <w:r w:rsidRPr="00987C39">
        <w:t>.</w:t>
      </w:r>
    </w:p>
    <w:p w:rsidR="00987C39" w:rsidRPr="00987C39" w:rsidRDefault="00987C39" w:rsidP="00987C39">
      <w:pPr>
        <w:spacing w:after="720"/>
        <w:jc w:val="both"/>
      </w:pPr>
      <w:r w:rsidRPr="00987C39">
        <w:t xml:space="preserve">Present: </w:t>
      </w:r>
      <w:r w:rsidRPr="00987C39">
        <w:rPr>
          <w:color w:val="000000"/>
        </w:rPr>
        <w:t>Wagner C.J. and Moldaver, Karakatsanis, Côté, Brown, Rowe, Martin, Kasirer and Jamal JJ.</w:t>
      </w:r>
    </w:p>
    <w:p w:rsidR="00987C39" w:rsidRPr="00987C39" w:rsidRDefault="00987C39" w:rsidP="00987C39">
      <w:pPr>
        <w:pStyle w:val="SCCLowerCourtNameLowercase"/>
        <w:spacing w:after="720" w:line="240" w:lineRule="auto"/>
      </w:pPr>
      <w:r w:rsidRPr="00987C39">
        <w:t xml:space="preserve">on appeal from the court of appeal for </w:t>
      </w:r>
      <w:proofErr w:type="gramStart"/>
      <w:r w:rsidRPr="00987C39">
        <w:rPr>
          <w:color w:val="000000"/>
        </w:rPr>
        <w:t>british columbia</w:t>
      </w:r>
      <w:proofErr w:type="gramEnd"/>
    </w:p>
    <w:p w:rsidR="00987C39" w:rsidRPr="00987C39" w:rsidRDefault="00987C39" w:rsidP="00987C39">
      <w:pPr>
        <w:pStyle w:val="SCCNormalDoubleSpacing"/>
        <w:spacing w:after="480"/>
        <w:rPr>
          <w:i/>
        </w:rPr>
      </w:pPr>
      <w:r w:rsidRPr="00987C39">
        <w:tab/>
      </w:r>
      <w:r w:rsidRPr="00987C39">
        <w:rPr>
          <w:i/>
        </w:rPr>
        <w:t>Constitutional law — Charter of Rights — Right to be tried within reasonable time — Transitional exceptional circumstance — Assessment of delay caused by re</w:t>
      </w:r>
      <w:r w:rsidRPr="00987C39">
        <w:rPr>
          <w:i/>
        </w:rPr>
        <w:noBreakHyphen/>
        <w:t>election as of right of another mode of trial — Accused applying for stay of proceedings on basis that right to be tried within reasonable time guaranteed by s. 11(b) of Canadian Charter of Rights and Freedoms infringed — Trial judge finding that total delay exceeded Jordan ceiling but was justified by parties’ reliance on state of law pre</w:t>
      </w:r>
      <w:r w:rsidRPr="00987C39">
        <w:rPr>
          <w:i/>
        </w:rPr>
        <w:noBreakHyphen/>
        <w:t xml:space="preserve">Jordan and dismissing application — Accused convicted of sexual assault causing bodily harm and administering stupefying drug — Majority of Court of Appeal </w:t>
      </w:r>
      <w:r w:rsidRPr="00987C39">
        <w:rPr>
          <w:i/>
        </w:rPr>
        <w:lastRenderedPageBreak/>
        <w:t>concluding that trial judge erroneously characterized and deducted as discrete exceptional circumstance delay occasioned by accused’s re</w:t>
      </w:r>
      <w:r w:rsidRPr="00987C39">
        <w:rPr>
          <w:i/>
        </w:rPr>
        <w:noBreakHyphen/>
        <w:t>election of another mode of trial that caused loss of trial date but upholding dismissal of stay application on basis of transitional exceptional circumstance — Convictions upheld.</w:t>
      </w:r>
    </w:p>
    <w:p w:rsidR="00987C39" w:rsidRPr="00987C39" w:rsidRDefault="00987C39" w:rsidP="00987C39">
      <w:pPr>
        <w:pStyle w:val="SCCNormalDoubleSpacing"/>
        <w:spacing w:after="720" w:line="240" w:lineRule="auto"/>
        <w:rPr>
          <w:b/>
          <w:bCs/>
          <w:color w:val="000000"/>
          <w:lang w:val="en-US"/>
        </w:rPr>
      </w:pPr>
      <w:r w:rsidRPr="00987C39">
        <w:rPr>
          <w:b/>
          <w:bCs/>
          <w:color w:val="000000"/>
          <w:lang w:val="en-US"/>
        </w:rPr>
        <w:t>Cases Cited</w:t>
      </w:r>
    </w:p>
    <w:p w:rsidR="00987C39" w:rsidRPr="00987C39" w:rsidRDefault="00987C39" w:rsidP="00987C39">
      <w:pPr>
        <w:pStyle w:val="SCCNormalDoubleSpacing"/>
        <w:spacing w:after="480"/>
        <w:rPr>
          <w:color w:val="000000"/>
        </w:rPr>
      </w:pPr>
      <w:r w:rsidRPr="00987C39">
        <w:rPr>
          <w:b/>
          <w:bCs/>
          <w:color w:val="000000"/>
          <w:lang w:val="en-US"/>
        </w:rPr>
        <w:tab/>
      </w:r>
      <w:r w:rsidRPr="00987C39">
        <w:rPr>
          <w:b/>
        </w:rPr>
        <w:t>Referred to:</w:t>
      </w:r>
      <w:r w:rsidRPr="00987C39">
        <w:t xml:space="preserve"> </w:t>
      </w:r>
      <w:r w:rsidRPr="00987C39">
        <w:rPr>
          <w:i/>
          <w:iCs/>
          <w:color w:val="000000"/>
        </w:rPr>
        <w:t>R. v. Cody</w:t>
      </w:r>
      <w:r w:rsidRPr="00987C39">
        <w:rPr>
          <w:color w:val="000000"/>
        </w:rPr>
        <w:t>, 2017 SCC 31, [2017] 1 S.C.R. 659.</w:t>
      </w:r>
    </w:p>
    <w:p w:rsidR="00987C39" w:rsidRPr="00987C39" w:rsidRDefault="00987C39" w:rsidP="00987C39">
      <w:pPr>
        <w:pStyle w:val="SCCNormalDoubleSpacing"/>
        <w:spacing w:after="480"/>
      </w:pPr>
      <w:r w:rsidRPr="00987C39">
        <w:rPr>
          <w:lang w:val="en-US"/>
        </w:rPr>
        <w:tab/>
      </w:r>
      <w:r w:rsidRPr="00987C39">
        <w:t xml:space="preserve">APPEAL from a judgment of the </w:t>
      </w:r>
      <w:r w:rsidRPr="00987C39">
        <w:rPr>
          <w:color w:val="000000"/>
        </w:rPr>
        <w:t>British Columbia</w:t>
      </w:r>
      <w:r w:rsidRPr="00987C39">
        <w:t xml:space="preserve"> Court of Appeal (Newbury, Willcock and Butler JJ.A.), </w:t>
      </w:r>
      <w:hyperlink r:id="rId15" w:history="1">
        <w:r w:rsidRPr="00987C39">
          <w:rPr>
            <w:rStyle w:val="Hyperlink"/>
            <w:u w:val="none"/>
          </w:rPr>
          <w:t>2021 BCCA 105</w:t>
        </w:r>
      </w:hyperlink>
      <w:r w:rsidRPr="00987C39">
        <w:rPr>
          <w:color w:val="000000"/>
        </w:rPr>
        <w:t xml:space="preserve">, 402 C.C.C. (3d) 1, 466 D.L.R. (4th) 421, 482 C.R.R. (2d) 315, [2021] B.C.J. No. 441 (QL), 2021 CarswellBC 642 (WL), </w:t>
      </w:r>
      <w:r w:rsidRPr="00987C39">
        <w:t xml:space="preserve">affirming the convictions </w:t>
      </w:r>
      <w:r w:rsidRPr="00987C39">
        <w:rPr>
          <w:color w:val="000000"/>
        </w:rPr>
        <w:t xml:space="preserve">entered by </w:t>
      </w:r>
      <w:r w:rsidRPr="00987C39">
        <w:t xml:space="preserve">Schultes J., 2018 BCSC 1838, </w:t>
      </w:r>
      <w:r w:rsidRPr="00987C39">
        <w:rPr>
          <w:bCs/>
        </w:rPr>
        <w:t xml:space="preserve">[2018] B.C.J. No. 3499 (QL), 2018 CarswellBC 2877 (WL). Appeal dismissed, </w:t>
      </w:r>
      <w:r w:rsidRPr="00987C39">
        <w:rPr>
          <w:color w:val="000000"/>
        </w:rPr>
        <w:t>Côté J. dissenting</w:t>
      </w:r>
      <w:r w:rsidRPr="00987C39">
        <w:rPr>
          <w:bCs/>
        </w:rPr>
        <w:t>.</w:t>
      </w:r>
    </w:p>
    <w:p w:rsidR="00987C39" w:rsidRPr="00987C39" w:rsidRDefault="00987C39" w:rsidP="00987C39">
      <w:pPr>
        <w:pStyle w:val="SCCNormalDoubleSpacing"/>
        <w:spacing w:after="480"/>
        <w:rPr>
          <w:lang w:val="en-US"/>
        </w:rPr>
      </w:pPr>
      <w:r w:rsidRPr="00987C39">
        <w:rPr>
          <w:iCs/>
          <w:lang w:val="en-US"/>
        </w:rPr>
        <w:tab/>
      </w:r>
      <w:r w:rsidRPr="00987C39">
        <w:rPr>
          <w:i/>
          <w:iCs/>
        </w:rPr>
        <w:t xml:space="preserve">Eric Purtzki </w:t>
      </w:r>
      <w:r w:rsidRPr="00987C39">
        <w:rPr>
          <w:iCs/>
        </w:rPr>
        <w:t xml:space="preserve">and </w:t>
      </w:r>
      <w:r w:rsidRPr="00987C39">
        <w:rPr>
          <w:i/>
          <w:iCs/>
        </w:rPr>
        <w:t>Michael Sobkin</w:t>
      </w:r>
      <w:r w:rsidRPr="00987C39">
        <w:rPr>
          <w:lang w:val="en-US"/>
        </w:rPr>
        <w:t xml:space="preserve">, for the </w:t>
      </w:r>
      <w:r w:rsidRPr="00987C39">
        <w:t>appellant</w:t>
      </w:r>
      <w:r w:rsidRPr="00987C39">
        <w:rPr>
          <w:lang w:val="en-US"/>
        </w:rPr>
        <w:t>.</w:t>
      </w:r>
    </w:p>
    <w:p w:rsidR="00987C39" w:rsidRPr="00987C39" w:rsidRDefault="00987C39" w:rsidP="00987C39">
      <w:pPr>
        <w:pStyle w:val="SCCNormalDoubleSpacing"/>
        <w:spacing w:after="480"/>
        <w:rPr>
          <w:lang w:val="en-US"/>
        </w:rPr>
      </w:pPr>
      <w:r w:rsidRPr="00987C39">
        <w:rPr>
          <w:iCs/>
          <w:lang w:val="en-US"/>
        </w:rPr>
        <w:tab/>
      </w:r>
      <w:r w:rsidRPr="00987C39">
        <w:rPr>
          <w:i/>
          <w:iCs/>
        </w:rPr>
        <w:t xml:space="preserve">Lauren A. Chu </w:t>
      </w:r>
      <w:r w:rsidRPr="00987C39">
        <w:rPr>
          <w:iCs/>
        </w:rPr>
        <w:t xml:space="preserve">and </w:t>
      </w:r>
      <w:r w:rsidRPr="00987C39">
        <w:rPr>
          <w:i/>
          <w:iCs/>
        </w:rPr>
        <w:t>Lesley A. Ruzicka</w:t>
      </w:r>
      <w:r w:rsidRPr="00987C39">
        <w:rPr>
          <w:iCs/>
        </w:rPr>
        <w:t>,</w:t>
      </w:r>
      <w:r w:rsidRPr="00987C39">
        <w:rPr>
          <w:i/>
          <w:iCs/>
        </w:rPr>
        <w:t xml:space="preserve"> Q.C.</w:t>
      </w:r>
      <w:r w:rsidRPr="00987C39">
        <w:rPr>
          <w:lang w:val="en-US"/>
        </w:rPr>
        <w:t xml:space="preserve">, for the </w:t>
      </w:r>
      <w:r w:rsidRPr="00987C39">
        <w:t>respondent</w:t>
      </w:r>
      <w:r w:rsidRPr="00987C39">
        <w:rPr>
          <w:lang w:val="en-US"/>
        </w:rPr>
        <w:t>.</w:t>
      </w:r>
    </w:p>
    <w:p w:rsidR="00987C39" w:rsidRPr="00987C39" w:rsidRDefault="00987C39" w:rsidP="00987C39">
      <w:pPr>
        <w:pStyle w:val="SCCNormalDoubleSpacing"/>
        <w:spacing w:after="480"/>
        <w:rPr>
          <w:lang w:val="en-US"/>
        </w:rPr>
      </w:pPr>
      <w:r w:rsidRPr="00987C39">
        <w:rPr>
          <w:lang w:val="en-US"/>
        </w:rPr>
        <w:tab/>
      </w:r>
      <w:r w:rsidRPr="00987C39">
        <w:rPr>
          <w:color w:val="000000"/>
        </w:rPr>
        <w:t>The judgment of the Court was delivered orally by</w:t>
      </w:r>
    </w:p>
    <w:p w:rsidR="00987C39" w:rsidRPr="00987C39" w:rsidRDefault="00987C39" w:rsidP="00987C39">
      <w:pPr>
        <w:pStyle w:val="ParaNoNdepar-AltN"/>
        <w:numPr>
          <w:ilvl w:val="0"/>
          <w:numId w:val="0"/>
        </w:numPr>
        <w:rPr>
          <w:color w:val="000000"/>
          <w:szCs w:val="24"/>
          <w:lang w:val="en-US"/>
        </w:rPr>
      </w:pPr>
      <w:r w:rsidRPr="00987C39">
        <w:rPr>
          <w:smallCaps/>
        </w:rPr>
        <w:t>[1]</w:t>
      </w:r>
      <w:r w:rsidRPr="00987C39">
        <w:rPr>
          <w:smallCaps/>
        </w:rPr>
        <w:tab/>
      </w:r>
      <w:r w:rsidRPr="00987C39">
        <w:rPr>
          <w:smallCaps/>
          <w:color w:val="000000"/>
          <w:szCs w:val="24"/>
        </w:rPr>
        <w:t>Moldaver</w:t>
      </w:r>
      <w:r w:rsidRPr="00987C39">
        <w:rPr>
          <w:color w:val="000000"/>
          <w:szCs w:val="24"/>
        </w:rPr>
        <w:t> </w:t>
      </w:r>
      <w:r w:rsidRPr="00987C39">
        <w:rPr>
          <w:smallCaps/>
          <w:color w:val="000000"/>
          <w:szCs w:val="24"/>
        </w:rPr>
        <w:t>J.</w:t>
      </w:r>
      <w:r w:rsidRPr="00987C39">
        <w:rPr>
          <w:szCs w:val="24"/>
        </w:rPr>
        <w:t xml:space="preserve"> — </w:t>
      </w:r>
      <w:r w:rsidRPr="00987C39">
        <w:rPr>
          <w:i/>
          <w:iCs/>
          <w:color w:val="000000"/>
          <w:szCs w:val="24"/>
          <w:lang w:val="en-US"/>
        </w:rPr>
        <w:t>R. v. Cody</w:t>
      </w:r>
      <w:r w:rsidRPr="00987C39">
        <w:rPr>
          <w:color w:val="000000"/>
          <w:szCs w:val="24"/>
          <w:lang w:val="en-US"/>
        </w:rPr>
        <w:t>, 2017 SCC 31, [2017] 1 S.C.R. 659, at para. 32, states as follows:</w:t>
      </w:r>
    </w:p>
    <w:p w:rsidR="00987C39" w:rsidRPr="00987C39" w:rsidRDefault="00987C39" w:rsidP="00987C39">
      <w:pPr>
        <w:pStyle w:val="Citation-AltC"/>
        <w:ind w:left="1168" w:hanging="1168"/>
        <w:contextualSpacing w:val="0"/>
        <w:rPr>
          <w:color w:val="000000"/>
          <w:lang w:val="en-US" w:eastAsia="en-US"/>
        </w:rPr>
      </w:pPr>
      <w:r w:rsidRPr="00987C39">
        <w:rPr>
          <w:color w:val="000000"/>
          <w:lang w:val="en-US" w:eastAsia="en-US"/>
        </w:rPr>
        <w:tab/>
      </w:r>
      <w:r w:rsidRPr="00987C39">
        <w:rPr>
          <w:color w:val="000000"/>
          <w:lang w:val="en-US" w:eastAsia="en-US"/>
        </w:rPr>
        <w:tab/>
        <w:t xml:space="preserve">Defence conduct encompasses both substance and procedure — the decision to take a step, </w:t>
      </w:r>
      <w:r w:rsidRPr="00987C39">
        <w:rPr>
          <w:i/>
          <w:iCs/>
          <w:color w:val="000000"/>
          <w:lang w:val="en-US" w:eastAsia="en-US"/>
        </w:rPr>
        <w:t>as well as the manner in which it is conducted</w:t>
      </w:r>
      <w:r w:rsidRPr="00987C39">
        <w:rPr>
          <w:color w:val="000000"/>
          <w:lang w:val="en-US" w:eastAsia="en-US"/>
        </w:rPr>
        <w:t xml:space="preserve">, may attract scrutiny. To determine whether defence action is legitimately taken to respond to the charges, </w:t>
      </w:r>
      <w:r w:rsidRPr="00987C39">
        <w:rPr>
          <w:lang w:val="en-US"/>
        </w:rPr>
        <w:t>the</w:t>
      </w:r>
      <w:r w:rsidRPr="00987C39">
        <w:rPr>
          <w:color w:val="000000"/>
          <w:lang w:val="en-US" w:eastAsia="en-US"/>
        </w:rPr>
        <w:t xml:space="preserve"> circumstances surrounding the action or conduct may therefore be considered. [Emphasis in original.]</w:t>
      </w:r>
    </w:p>
    <w:p w:rsidR="00987C39" w:rsidRPr="00987C39" w:rsidRDefault="00987C39" w:rsidP="00987C39">
      <w:pPr>
        <w:pStyle w:val="ParaNoNdepar-AltN"/>
        <w:numPr>
          <w:ilvl w:val="0"/>
          <w:numId w:val="0"/>
        </w:numPr>
      </w:pPr>
      <w:r w:rsidRPr="00987C39">
        <w:t>[2]</w:t>
      </w:r>
      <w:r w:rsidRPr="00987C39">
        <w:tab/>
      </w:r>
      <w:r w:rsidRPr="00987C39">
        <w:rPr>
          <w:color w:val="000000"/>
        </w:rPr>
        <w:t>In this case, the appellant, Mr. Lai, had the statutory right to re</w:t>
      </w:r>
      <w:r w:rsidRPr="00987C39">
        <w:rPr>
          <w:color w:val="000000"/>
        </w:rPr>
        <w:noBreakHyphen/>
        <w:t>elect when he did — but he waited 15 months to re</w:t>
      </w:r>
      <w:r w:rsidRPr="00987C39">
        <w:rPr>
          <w:color w:val="000000"/>
        </w:rPr>
        <w:noBreakHyphen/>
        <w:t>elect after his trial dates were set in Provincial Court. This was despite being informed by Crown counsel that he could preserve his trial dates by re</w:t>
      </w:r>
      <w:r w:rsidRPr="00987C39">
        <w:rPr>
          <w:color w:val="000000"/>
        </w:rPr>
        <w:noBreakHyphen/>
        <w:t>electing earlier. Nonetheless, he waited 7 months after that warning to exercise his right to re</w:t>
      </w:r>
      <w:r w:rsidRPr="00987C39">
        <w:rPr>
          <w:color w:val="000000"/>
        </w:rPr>
        <w:noBreakHyphen/>
        <w:t>elect. This conduct had the direct result of losing the trial dates that were set in Provincial Court and causing an additional delay of 13 months.</w:t>
      </w:r>
    </w:p>
    <w:p w:rsidR="00987C39" w:rsidRPr="00987C39" w:rsidRDefault="00987C39" w:rsidP="00987C39">
      <w:pPr>
        <w:pStyle w:val="ParaNoNdepar-AltN"/>
        <w:numPr>
          <w:ilvl w:val="0"/>
          <w:numId w:val="0"/>
        </w:numPr>
      </w:pPr>
      <w:r w:rsidRPr="00987C39">
        <w:t>[3]</w:t>
      </w:r>
      <w:r w:rsidRPr="00987C39">
        <w:tab/>
      </w:r>
      <w:r w:rsidRPr="00987C39">
        <w:rPr>
          <w:color w:val="000000"/>
        </w:rPr>
        <w:t>The trial judge rejected Mr. Lai’s explanation regarding the re</w:t>
      </w:r>
      <w:r w:rsidRPr="00987C39">
        <w:rPr>
          <w:color w:val="000000"/>
        </w:rPr>
        <w:noBreakHyphen/>
        <w:t xml:space="preserve">election (2018 BCSC 867). Based on the </w:t>
      </w:r>
      <w:r w:rsidRPr="00987C39">
        <w:rPr>
          <w:color w:val="000000"/>
          <w:szCs w:val="24"/>
          <w:lang w:val="en-US"/>
        </w:rPr>
        <w:t>trial</w:t>
      </w:r>
      <w:r w:rsidRPr="00987C39">
        <w:rPr>
          <w:color w:val="000000"/>
        </w:rPr>
        <w:t xml:space="preserve"> judge’s own findings and conclusions, the re</w:t>
      </w:r>
      <w:r w:rsidRPr="00987C39">
        <w:rPr>
          <w:color w:val="000000"/>
        </w:rPr>
        <w:noBreakHyphen/>
        <w:t>election was not done legitimately to respond to the charges. To that extent, the trial judge erred in not characterizing the delay as defence delay and deducting it as such.</w:t>
      </w:r>
    </w:p>
    <w:p w:rsidR="00987C39" w:rsidRPr="00987C39" w:rsidRDefault="00987C39" w:rsidP="00987C39">
      <w:pPr>
        <w:pStyle w:val="ParaNoNdepar-AltN"/>
        <w:numPr>
          <w:ilvl w:val="0"/>
          <w:numId w:val="0"/>
        </w:numPr>
        <w:rPr>
          <w:color w:val="000000"/>
        </w:rPr>
      </w:pPr>
      <w:r w:rsidRPr="00987C39">
        <w:t>[4]</w:t>
      </w:r>
      <w:r w:rsidRPr="00987C39">
        <w:tab/>
      </w:r>
      <w:r w:rsidRPr="00987C39">
        <w:rPr>
          <w:color w:val="000000"/>
        </w:rPr>
        <w:t xml:space="preserve">For these reasons, a </w:t>
      </w:r>
      <w:r w:rsidRPr="00987C39">
        <w:rPr>
          <w:color w:val="000000"/>
          <w:szCs w:val="24"/>
          <w:lang w:val="en-US"/>
        </w:rPr>
        <w:t>majority</w:t>
      </w:r>
      <w:r w:rsidRPr="00987C39">
        <w:rPr>
          <w:color w:val="000000"/>
        </w:rPr>
        <w:t xml:space="preserve"> of the Court would dismiss the appeal.</w:t>
      </w:r>
    </w:p>
    <w:p w:rsidR="00987C39" w:rsidRPr="00987C39" w:rsidRDefault="00987C39" w:rsidP="00987C39">
      <w:pPr>
        <w:pStyle w:val="ParaNoNdepar-AltN"/>
        <w:numPr>
          <w:ilvl w:val="0"/>
          <w:numId w:val="0"/>
        </w:numPr>
      </w:pPr>
      <w:r w:rsidRPr="00987C39">
        <w:rPr>
          <w:color w:val="000000"/>
        </w:rPr>
        <w:t>[5]</w:t>
      </w:r>
      <w:r w:rsidRPr="00987C39">
        <w:rPr>
          <w:color w:val="000000"/>
        </w:rPr>
        <w:tab/>
        <w:t xml:space="preserve">Justice Côté is </w:t>
      </w:r>
      <w:r w:rsidRPr="00987C39">
        <w:rPr>
          <w:color w:val="000000"/>
          <w:szCs w:val="24"/>
          <w:lang w:val="en-US"/>
        </w:rPr>
        <w:t>dissenting</w:t>
      </w:r>
      <w:r w:rsidRPr="00987C39">
        <w:rPr>
          <w:color w:val="000000"/>
        </w:rPr>
        <w:t>. She would have allowed the appeal substantially for the reasons of Butler J.A.</w:t>
      </w:r>
    </w:p>
    <w:p w:rsidR="00987C39" w:rsidRPr="00987C39" w:rsidRDefault="00987C39" w:rsidP="00987C39">
      <w:pPr>
        <w:pStyle w:val="SCCNormalDoubleSpacing"/>
        <w:spacing w:after="480"/>
        <w:rPr>
          <w:i/>
          <w:iCs/>
          <w:color w:val="000000"/>
        </w:rPr>
      </w:pPr>
      <w:r w:rsidRPr="00987C39">
        <w:rPr>
          <w:i/>
          <w:iCs/>
          <w:color w:val="000000"/>
        </w:rPr>
        <w:tab/>
        <w:t xml:space="preserve">Judgment </w:t>
      </w:r>
      <w:r w:rsidRPr="00987C39">
        <w:rPr>
          <w:i/>
          <w:iCs/>
        </w:rPr>
        <w:t>accordingly</w:t>
      </w:r>
      <w:r w:rsidRPr="00987C39">
        <w:rPr>
          <w:i/>
          <w:iCs/>
          <w:color w:val="000000"/>
        </w:rPr>
        <w:t>.</w:t>
      </w:r>
    </w:p>
    <w:p w:rsidR="00987C39" w:rsidRPr="00987C39" w:rsidRDefault="00987C39" w:rsidP="00987C39">
      <w:pPr>
        <w:pStyle w:val="SCCNormalDoubleSpacing"/>
        <w:spacing w:after="480"/>
        <w:rPr>
          <w:i/>
          <w:lang w:val="en-US"/>
        </w:rPr>
      </w:pPr>
      <w:r w:rsidRPr="00987C39">
        <w:rPr>
          <w:i/>
          <w:lang w:val="en-US"/>
        </w:rPr>
        <w:tab/>
        <w:t xml:space="preserve">Solicitors for the </w:t>
      </w:r>
      <w:r w:rsidRPr="00987C39">
        <w:rPr>
          <w:i/>
          <w:iCs/>
        </w:rPr>
        <w:t>appellant</w:t>
      </w:r>
      <w:r w:rsidRPr="00987C39">
        <w:rPr>
          <w:i/>
          <w:lang w:val="en-US"/>
        </w:rPr>
        <w:t>:</w:t>
      </w:r>
      <w:r w:rsidRPr="00987C39">
        <w:rPr>
          <w:bCs/>
          <w:i/>
          <w:szCs w:val="24"/>
          <w:lang w:val="en-US" w:eastAsia="en-US"/>
        </w:rPr>
        <w:t> </w:t>
      </w:r>
      <w:r w:rsidRPr="00987C39">
        <w:rPr>
          <w:bCs/>
          <w:i/>
          <w:lang w:val="en-US"/>
        </w:rPr>
        <w:t>Melville Law Chambers</w:t>
      </w:r>
      <w:r w:rsidRPr="00987C39">
        <w:rPr>
          <w:i/>
          <w:iCs/>
          <w:lang w:val="en-US"/>
        </w:rPr>
        <w:t xml:space="preserve">, Vancouver; </w:t>
      </w:r>
      <w:r w:rsidRPr="00987C39">
        <w:rPr>
          <w:i/>
          <w:iCs/>
        </w:rPr>
        <w:t>Michael Sobkin, Ottawa</w:t>
      </w:r>
      <w:r w:rsidRPr="00987C39">
        <w:rPr>
          <w:i/>
          <w:lang w:val="en-US"/>
        </w:rPr>
        <w:t>.</w:t>
      </w:r>
    </w:p>
    <w:p w:rsidR="00987C39" w:rsidRPr="00231880" w:rsidRDefault="00987C39" w:rsidP="00987C39">
      <w:pPr>
        <w:pStyle w:val="SCCNormalDoubleSpacing"/>
        <w:spacing w:after="480"/>
        <w:rPr>
          <w:i/>
          <w:iCs/>
          <w:color w:val="000000"/>
          <w:lang w:val="en-US"/>
        </w:rPr>
      </w:pPr>
      <w:r w:rsidRPr="00987C39">
        <w:rPr>
          <w:i/>
          <w:lang w:val="en-US"/>
        </w:rPr>
        <w:tab/>
        <w:t xml:space="preserve">Solicitor for the </w:t>
      </w:r>
      <w:r w:rsidRPr="00987C39">
        <w:rPr>
          <w:i/>
          <w:iCs/>
        </w:rPr>
        <w:t>respondent</w:t>
      </w:r>
      <w:r w:rsidRPr="00987C39">
        <w:rPr>
          <w:i/>
          <w:lang w:val="en-US"/>
        </w:rPr>
        <w:t>: </w:t>
      </w:r>
      <w:r w:rsidRPr="00987C39">
        <w:rPr>
          <w:bCs/>
          <w:i/>
          <w:lang w:val="en-US"/>
        </w:rPr>
        <w:t>Attorney General of British Columbia</w:t>
      </w:r>
      <w:r w:rsidRPr="00987C39">
        <w:rPr>
          <w:i/>
          <w:iCs/>
          <w:lang w:val="en-US"/>
        </w:rPr>
        <w:t>, Vancouver</w:t>
      </w:r>
      <w:r w:rsidRPr="00987C39">
        <w:rPr>
          <w:i/>
          <w:lang w:val="en-US"/>
        </w:rPr>
        <w:t>.</w:t>
      </w:r>
    </w:p>
    <w:p w:rsidR="000F0995" w:rsidRPr="00987C39" w:rsidRDefault="000F0995" w:rsidP="00EB0B7C">
      <w:pPr>
        <w:spacing w:before="100" w:beforeAutospacing="1"/>
        <w:rPr>
          <w:lang w:val="en-US"/>
        </w:rPr>
      </w:pPr>
    </w:p>
    <w:sectPr w:rsidR="000F0995" w:rsidRPr="00987C39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D8" w:rsidRDefault="00437DD8">
      <w:r>
        <w:separator/>
      </w:r>
    </w:p>
  </w:endnote>
  <w:endnote w:type="continuationSeparator" w:id="0">
    <w:p w:rsidR="00437DD8" w:rsidRDefault="0043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D8" w:rsidRDefault="00437DD8">
      <w:r>
        <w:separator/>
      </w:r>
    </w:p>
  </w:footnote>
  <w:footnote w:type="continuationSeparator" w:id="0">
    <w:p w:rsidR="00437DD8" w:rsidRDefault="0043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74" w:rsidRDefault="00B75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F4F9F"/>
    <w:multiLevelType w:val="multilevel"/>
    <w:tmpl w:val="AF9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7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3D83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76E46"/>
    <w:rsid w:val="00094FED"/>
    <w:rsid w:val="00096F6F"/>
    <w:rsid w:val="000B5CFA"/>
    <w:rsid w:val="000B69B5"/>
    <w:rsid w:val="000C3FCE"/>
    <w:rsid w:val="000C433D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625A"/>
    <w:rsid w:val="001677C1"/>
    <w:rsid w:val="00170592"/>
    <w:rsid w:val="0018066E"/>
    <w:rsid w:val="00186351"/>
    <w:rsid w:val="00195D83"/>
    <w:rsid w:val="001977DB"/>
    <w:rsid w:val="001A00C1"/>
    <w:rsid w:val="001A42A4"/>
    <w:rsid w:val="001B327A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64F49"/>
    <w:rsid w:val="00270D93"/>
    <w:rsid w:val="002745CC"/>
    <w:rsid w:val="00284EBA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435C"/>
    <w:rsid w:val="00337C82"/>
    <w:rsid w:val="00342089"/>
    <w:rsid w:val="00347BA4"/>
    <w:rsid w:val="0035169A"/>
    <w:rsid w:val="0035259D"/>
    <w:rsid w:val="00353B79"/>
    <w:rsid w:val="00354BF8"/>
    <w:rsid w:val="00355C66"/>
    <w:rsid w:val="00362ADA"/>
    <w:rsid w:val="00364B18"/>
    <w:rsid w:val="00374070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588"/>
    <w:rsid w:val="00410A55"/>
    <w:rsid w:val="00411300"/>
    <w:rsid w:val="00415417"/>
    <w:rsid w:val="0041747D"/>
    <w:rsid w:val="00424FE1"/>
    <w:rsid w:val="00426659"/>
    <w:rsid w:val="00426D16"/>
    <w:rsid w:val="00437DD8"/>
    <w:rsid w:val="00450352"/>
    <w:rsid w:val="00454BDB"/>
    <w:rsid w:val="004567CE"/>
    <w:rsid w:val="0046210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C5B67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77F18"/>
    <w:rsid w:val="00583EDE"/>
    <w:rsid w:val="005857BC"/>
    <w:rsid w:val="00586928"/>
    <w:rsid w:val="005A4F85"/>
    <w:rsid w:val="005A6079"/>
    <w:rsid w:val="005C5BED"/>
    <w:rsid w:val="005C7840"/>
    <w:rsid w:val="005E4698"/>
    <w:rsid w:val="006003EE"/>
    <w:rsid w:val="00610539"/>
    <w:rsid w:val="00613969"/>
    <w:rsid w:val="0061523C"/>
    <w:rsid w:val="00617208"/>
    <w:rsid w:val="006230B6"/>
    <w:rsid w:val="00625C35"/>
    <w:rsid w:val="006260EB"/>
    <w:rsid w:val="00626A7D"/>
    <w:rsid w:val="0062787A"/>
    <w:rsid w:val="00635521"/>
    <w:rsid w:val="006468AB"/>
    <w:rsid w:val="00656313"/>
    <w:rsid w:val="006565F4"/>
    <w:rsid w:val="0066108F"/>
    <w:rsid w:val="00670F64"/>
    <w:rsid w:val="006763FD"/>
    <w:rsid w:val="00684EEA"/>
    <w:rsid w:val="006908E8"/>
    <w:rsid w:val="0069689B"/>
    <w:rsid w:val="006A1551"/>
    <w:rsid w:val="006A31A1"/>
    <w:rsid w:val="006A48DB"/>
    <w:rsid w:val="006B5FF5"/>
    <w:rsid w:val="006B7683"/>
    <w:rsid w:val="006D4200"/>
    <w:rsid w:val="006D6275"/>
    <w:rsid w:val="006F30AF"/>
    <w:rsid w:val="007000F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1E1C"/>
    <w:rsid w:val="00742119"/>
    <w:rsid w:val="00747288"/>
    <w:rsid w:val="00747DD3"/>
    <w:rsid w:val="007549C8"/>
    <w:rsid w:val="00754A0B"/>
    <w:rsid w:val="00766D14"/>
    <w:rsid w:val="00767A0F"/>
    <w:rsid w:val="00780E64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11DB"/>
    <w:rsid w:val="008322BD"/>
    <w:rsid w:val="008323C4"/>
    <w:rsid w:val="00832F3F"/>
    <w:rsid w:val="00833E0A"/>
    <w:rsid w:val="00834F73"/>
    <w:rsid w:val="00847F55"/>
    <w:rsid w:val="00851F3D"/>
    <w:rsid w:val="008544FA"/>
    <w:rsid w:val="00854728"/>
    <w:rsid w:val="00864CF8"/>
    <w:rsid w:val="00872819"/>
    <w:rsid w:val="00874914"/>
    <w:rsid w:val="00891422"/>
    <w:rsid w:val="00892E1A"/>
    <w:rsid w:val="00895EB7"/>
    <w:rsid w:val="00896C73"/>
    <w:rsid w:val="008A3F29"/>
    <w:rsid w:val="008B660A"/>
    <w:rsid w:val="008B70F9"/>
    <w:rsid w:val="008C01DA"/>
    <w:rsid w:val="008C02C9"/>
    <w:rsid w:val="008C1723"/>
    <w:rsid w:val="008C7263"/>
    <w:rsid w:val="008D2104"/>
    <w:rsid w:val="008D44F3"/>
    <w:rsid w:val="008F78E9"/>
    <w:rsid w:val="00903C32"/>
    <w:rsid w:val="00911011"/>
    <w:rsid w:val="00911989"/>
    <w:rsid w:val="009179F9"/>
    <w:rsid w:val="00921B52"/>
    <w:rsid w:val="0093031F"/>
    <w:rsid w:val="00931C1C"/>
    <w:rsid w:val="00933E5E"/>
    <w:rsid w:val="00935218"/>
    <w:rsid w:val="009403F3"/>
    <w:rsid w:val="009555B7"/>
    <w:rsid w:val="009567AA"/>
    <w:rsid w:val="0096120B"/>
    <w:rsid w:val="0096473A"/>
    <w:rsid w:val="00967374"/>
    <w:rsid w:val="0097155E"/>
    <w:rsid w:val="00972251"/>
    <w:rsid w:val="00976EB5"/>
    <w:rsid w:val="00981B4D"/>
    <w:rsid w:val="00987C39"/>
    <w:rsid w:val="009A343A"/>
    <w:rsid w:val="009A4E51"/>
    <w:rsid w:val="009A520F"/>
    <w:rsid w:val="009B2F23"/>
    <w:rsid w:val="009B57B3"/>
    <w:rsid w:val="009B6FFE"/>
    <w:rsid w:val="009B7BE6"/>
    <w:rsid w:val="009C5B92"/>
    <w:rsid w:val="009D2920"/>
    <w:rsid w:val="009D5AEB"/>
    <w:rsid w:val="009D79D6"/>
    <w:rsid w:val="009F0E33"/>
    <w:rsid w:val="009F1E77"/>
    <w:rsid w:val="00A003F4"/>
    <w:rsid w:val="00A030CE"/>
    <w:rsid w:val="00A12217"/>
    <w:rsid w:val="00A149DF"/>
    <w:rsid w:val="00A1755C"/>
    <w:rsid w:val="00A21B90"/>
    <w:rsid w:val="00A23CE6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0913"/>
    <w:rsid w:val="00A73C38"/>
    <w:rsid w:val="00AB305A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11735"/>
    <w:rsid w:val="00B145B6"/>
    <w:rsid w:val="00B2215E"/>
    <w:rsid w:val="00B279EB"/>
    <w:rsid w:val="00B30E18"/>
    <w:rsid w:val="00B32357"/>
    <w:rsid w:val="00B36958"/>
    <w:rsid w:val="00B43559"/>
    <w:rsid w:val="00B50C81"/>
    <w:rsid w:val="00B557F8"/>
    <w:rsid w:val="00B56AAF"/>
    <w:rsid w:val="00B652DB"/>
    <w:rsid w:val="00B67199"/>
    <w:rsid w:val="00B75B74"/>
    <w:rsid w:val="00B815FC"/>
    <w:rsid w:val="00B91A56"/>
    <w:rsid w:val="00B93FBC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1A6A"/>
    <w:rsid w:val="00C02092"/>
    <w:rsid w:val="00C14AA0"/>
    <w:rsid w:val="00C22905"/>
    <w:rsid w:val="00C229CD"/>
    <w:rsid w:val="00C248ED"/>
    <w:rsid w:val="00C24D91"/>
    <w:rsid w:val="00C53F14"/>
    <w:rsid w:val="00C600CF"/>
    <w:rsid w:val="00C6084F"/>
    <w:rsid w:val="00C62A66"/>
    <w:rsid w:val="00C62FD6"/>
    <w:rsid w:val="00C71458"/>
    <w:rsid w:val="00C77613"/>
    <w:rsid w:val="00C828E7"/>
    <w:rsid w:val="00C8650B"/>
    <w:rsid w:val="00C86719"/>
    <w:rsid w:val="00C921DD"/>
    <w:rsid w:val="00CA6391"/>
    <w:rsid w:val="00CA7B39"/>
    <w:rsid w:val="00CC34BD"/>
    <w:rsid w:val="00CD6453"/>
    <w:rsid w:val="00CE08B9"/>
    <w:rsid w:val="00CE161A"/>
    <w:rsid w:val="00CE3171"/>
    <w:rsid w:val="00CE7262"/>
    <w:rsid w:val="00CF09E5"/>
    <w:rsid w:val="00CF1601"/>
    <w:rsid w:val="00D0172F"/>
    <w:rsid w:val="00D068A7"/>
    <w:rsid w:val="00D173CE"/>
    <w:rsid w:val="00D17476"/>
    <w:rsid w:val="00D2527D"/>
    <w:rsid w:val="00D26B67"/>
    <w:rsid w:val="00D32086"/>
    <w:rsid w:val="00D33A8F"/>
    <w:rsid w:val="00D360E6"/>
    <w:rsid w:val="00D37A3F"/>
    <w:rsid w:val="00D4431D"/>
    <w:rsid w:val="00D4667A"/>
    <w:rsid w:val="00D469D5"/>
    <w:rsid w:val="00D47BFC"/>
    <w:rsid w:val="00D57CCA"/>
    <w:rsid w:val="00D614A5"/>
    <w:rsid w:val="00D614E0"/>
    <w:rsid w:val="00D63A1C"/>
    <w:rsid w:val="00D67CB1"/>
    <w:rsid w:val="00D7516F"/>
    <w:rsid w:val="00D83628"/>
    <w:rsid w:val="00D8579F"/>
    <w:rsid w:val="00D90B9E"/>
    <w:rsid w:val="00D91A89"/>
    <w:rsid w:val="00D94841"/>
    <w:rsid w:val="00D95F8E"/>
    <w:rsid w:val="00DA0590"/>
    <w:rsid w:val="00DA09F8"/>
    <w:rsid w:val="00DB1C39"/>
    <w:rsid w:val="00DB7BEA"/>
    <w:rsid w:val="00DC1739"/>
    <w:rsid w:val="00DC1788"/>
    <w:rsid w:val="00DC2F37"/>
    <w:rsid w:val="00DD105B"/>
    <w:rsid w:val="00DE319C"/>
    <w:rsid w:val="00DE416C"/>
    <w:rsid w:val="00DE54B0"/>
    <w:rsid w:val="00DF0CA8"/>
    <w:rsid w:val="00DF2B48"/>
    <w:rsid w:val="00DF49A7"/>
    <w:rsid w:val="00E03F44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37104"/>
    <w:rsid w:val="00E42BC1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07C1"/>
    <w:rsid w:val="00EA13F9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2271D"/>
    <w:rsid w:val="00F32475"/>
    <w:rsid w:val="00F36AB6"/>
    <w:rsid w:val="00F37A09"/>
    <w:rsid w:val="00F409CE"/>
    <w:rsid w:val="00F4379D"/>
    <w:rsid w:val="00F50635"/>
    <w:rsid w:val="00F50D2D"/>
    <w:rsid w:val="00F56C8B"/>
    <w:rsid w:val="00F66810"/>
    <w:rsid w:val="00F70A7A"/>
    <w:rsid w:val="00F75F4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22A8"/>
    <w:rsid w:val="00FE4398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2252.19B69DE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ccourts.ca/jdb-txt/ca/21/01/2021BCCA0105.ht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2022-12-21T19:26:00Z</dcterms:created>
  <dcterms:modified xsi:type="dcterms:W3CDTF">2022-12-21T19:28:00Z</dcterms:modified>
</cp:coreProperties>
</file>