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906"/>
        <w:gridCol w:w="840"/>
        <w:gridCol w:w="1526"/>
        <w:gridCol w:w="3749"/>
        <w:gridCol w:w="51"/>
      </w:tblGrid>
      <w:tr w:rsidR="00EF72F1" w:rsidRPr="00252642" w:rsidTr="00C0342A">
        <w:trPr>
          <w:gridAfter w:val="1"/>
          <w:wAfter w:w="28" w:type="pct"/>
          <w:trHeight w:val="2103"/>
        </w:trPr>
        <w:tc>
          <w:tcPr>
            <w:tcW w:w="4972" w:type="pct"/>
            <w:gridSpan w:val="4"/>
          </w:tcPr>
          <w:p w:rsidR="00EF72F1" w:rsidRPr="00252642" w:rsidRDefault="00EF72F1" w:rsidP="001F3E0C">
            <w:pPr>
              <w:pStyle w:val="SCCBold"/>
              <w:jc w:val="center"/>
            </w:pPr>
            <w:r w:rsidRPr="00252642">
              <w:rPr>
                <w:noProof/>
                <w:lang w:val="en-US"/>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Pr="00252642" w:rsidRDefault="00EF72F1" w:rsidP="009764CA">
            <w:pPr>
              <w:spacing w:before="120" w:after="100" w:afterAutospacing="1"/>
              <w:jc w:val="center"/>
              <w:rPr>
                <w:rFonts w:eastAsia="Calibri"/>
              </w:rPr>
            </w:pPr>
            <w:r w:rsidRPr="00252642">
              <w:rPr>
                <w:rFonts w:eastAsia="Calibri"/>
                <w:b/>
              </w:rPr>
              <w:t>SUPREME COURT OF CANADA</w:t>
            </w:r>
          </w:p>
        </w:tc>
      </w:tr>
      <w:tr w:rsidR="00EF72F1" w:rsidRPr="00252642" w:rsidTr="00C0342A">
        <w:tblPrEx>
          <w:tblCellMar>
            <w:top w:w="58" w:type="dxa"/>
            <w:left w:w="58" w:type="dxa"/>
            <w:bottom w:w="58" w:type="dxa"/>
            <w:right w:w="58" w:type="dxa"/>
          </w:tblCellMar>
        </w:tblPrEx>
        <w:trPr>
          <w:cantSplit/>
        </w:trPr>
        <w:tc>
          <w:tcPr>
            <w:tcW w:w="2065" w:type="pct"/>
            <w:gridSpan w:val="2"/>
          </w:tcPr>
          <w:p w:rsidR="00EF72F1" w:rsidRPr="00252642" w:rsidRDefault="00EF72F1" w:rsidP="00FC2782">
            <w:pPr>
              <w:rPr>
                <w:b/>
                <w:smallCaps/>
                <w:lang w:val="fr-CA"/>
              </w:rPr>
            </w:pPr>
          </w:p>
          <w:p w:rsidR="00EF72F1" w:rsidRPr="00252642" w:rsidRDefault="00EF72F1" w:rsidP="00FC2782">
            <w:pPr>
              <w:rPr>
                <w:b/>
                <w:smallCaps/>
                <w:lang w:val="fr-CA"/>
              </w:rPr>
            </w:pPr>
            <w:r w:rsidRPr="00252642">
              <w:rPr>
                <w:b/>
                <w:smallCaps/>
                <w:lang w:val="fr-CA"/>
              </w:rPr>
              <w:t>Citation:</w:t>
            </w:r>
            <w:r w:rsidRPr="00252642">
              <w:rPr>
                <w:lang w:val="fr-CA"/>
              </w:rPr>
              <w:t xml:space="preserve"> </w:t>
            </w:r>
            <w:r w:rsidR="006779AD" w:rsidRPr="00252642">
              <w:rPr>
                <w:lang w:val="fr-CA"/>
              </w:rPr>
              <w:t xml:space="preserve">R. </w:t>
            </w:r>
            <w:r w:rsidR="006779AD" w:rsidRPr="00252642">
              <w:rPr>
                <w:i/>
                <w:lang w:val="fr-CA"/>
              </w:rPr>
              <w:t>v.</w:t>
            </w:r>
            <w:r w:rsidR="006779AD" w:rsidRPr="00252642">
              <w:rPr>
                <w:lang w:val="fr-CA"/>
              </w:rPr>
              <w:t xml:space="preserve"> Ali, 2022 SCC 1</w:t>
            </w:r>
          </w:p>
        </w:tc>
        <w:tc>
          <w:tcPr>
            <w:tcW w:w="841" w:type="pct"/>
          </w:tcPr>
          <w:p w:rsidR="00EF72F1" w:rsidRPr="00252642" w:rsidRDefault="00EF72F1" w:rsidP="00FC2782">
            <w:pPr>
              <w:rPr>
                <w:lang w:val="fr-CA"/>
              </w:rPr>
            </w:pPr>
          </w:p>
        </w:tc>
        <w:tc>
          <w:tcPr>
            <w:tcW w:w="2094" w:type="pct"/>
            <w:gridSpan w:val="2"/>
          </w:tcPr>
          <w:p w:rsidR="00EF72F1" w:rsidRPr="00252642" w:rsidRDefault="00EF72F1" w:rsidP="00451668">
            <w:pPr>
              <w:rPr>
                <w:b/>
                <w:smallCaps/>
                <w:lang w:val="fr-CA"/>
              </w:rPr>
            </w:pPr>
          </w:p>
          <w:p w:rsidR="00EF72F1" w:rsidRPr="00252642" w:rsidRDefault="00EF72F1" w:rsidP="00EA6DB9">
            <w:pPr>
              <w:jc w:val="both"/>
            </w:pPr>
            <w:r w:rsidRPr="00252642">
              <w:rPr>
                <w:b/>
                <w:smallCaps/>
              </w:rPr>
              <w:t>Appeal Heard:</w:t>
            </w:r>
            <w:r w:rsidRPr="00252642">
              <w:t xml:space="preserve"> </w:t>
            </w:r>
            <w:r w:rsidR="006779AD" w:rsidRPr="00252642">
              <w:t>January 14, 2022</w:t>
            </w:r>
          </w:p>
          <w:p w:rsidR="00EF72F1" w:rsidRPr="00252642" w:rsidRDefault="00EF72F1">
            <w:r w:rsidRPr="00252642">
              <w:rPr>
                <w:b/>
                <w:smallCaps/>
              </w:rPr>
              <w:t>Judgment Rendered:</w:t>
            </w:r>
            <w:r w:rsidRPr="00252642">
              <w:t xml:space="preserve"> </w:t>
            </w:r>
            <w:r w:rsidR="006779AD" w:rsidRPr="00252642">
              <w:t>January 14, 2022</w:t>
            </w:r>
          </w:p>
          <w:p w:rsidR="00EF72F1" w:rsidRPr="00252642" w:rsidRDefault="00EF72F1" w:rsidP="00540106">
            <w:r w:rsidRPr="00252642">
              <w:rPr>
                <w:b/>
                <w:smallCaps/>
              </w:rPr>
              <w:t>Docket:</w:t>
            </w:r>
            <w:r w:rsidRPr="00252642">
              <w:t xml:space="preserve"> </w:t>
            </w:r>
            <w:r w:rsidR="006779AD" w:rsidRPr="00252642">
              <w:t>39590</w:t>
            </w:r>
          </w:p>
        </w:tc>
      </w:tr>
      <w:tr w:rsidR="00EF72F1" w:rsidRPr="00252642" w:rsidTr="00C0342A">
        <w:tblPrEx>
          <w:tblCellMar>
            <w:top w:w="58" w:type="dxa"/>
            <w:left w:w="58" w:type="dxa"/>
            <w:bottom w:w="58" w:type="dxa"/>
            <w:right w:w="58" w:type="dxa"/>
          </w:tblCellMar>
        </w:tblPrEx>
        <w:trPr>
          <w:gridAfter w:val="1"/>
          <w:wAfter w:w="28" w:type="pct"/>
        </w:trPr>
        <w:tc>
          <w:tcPr>
            <w:tcW w:w="4972" w:type="pct"/>
            <w:gridSpan w:val="4"/>
          </w:tcPr>
          <w:p w:rsidR="00EF72F1" w:rsidRPr="00252642" w:rsidRDefault="00EF72F1" w:rsidP="00EF72F1"/>
          <w:p w:rsidR="00ED6EEC" w:rsidRPr="00252642" w:rsidRDefault="001F7378">
            <w:pPr>
              <w:pStyle w:val="SCCLsocPrefix"/>
            </w:pPr>
            <w:r w:rsidRPr="00252642">
              <w:t>Between:</w:t>
            </w:r>
          </w:p>
          <w:p w:rsidR="006779AD" w:rsidRPr="00252642" w:rsidRDefault="006779AD" w:rsidP="006779AD"/>
          <w:p w:rsidR="00ED6EEC" w:rsidRPr="00252642" w:rsidRDefault="006779AD">
            <w:pPr>
              <w:pStyle w:val="SCCLsocParty"/>
            </w:pPr>
            <w:r w:rsidRPr="00252642">
              <w:rPr>
                <w:bCs/>
              </w:rPr>
              <w:t>Yasin Mahad Ali</w:t>
            </w:r>
          </w:p>
          <w:p w:rsidR="00ED6EEC" w:rsidRPr="00252642" w:rsidRDefault="001F7378">
            <w:pPr>
              <w:pStyle w:val="SCCLsocPartyRole"/>
            </w:pPr>
            <w:r w:rsidRPr="00252642">
              <w:t>Appellant</w:t>
            </w:r>
          </w:p>
          <w:p w:rsidR="00ED6EEC" w:rsidRPr="00252642" w:rsidRDefault="00ED6EEC"/>
          <w:p w:rsidR="00ED6EEC" w:rsidRPr="00252642" w:rsidRDefault="006779AD">
            <w:pPr>
              <w:pStyle w:val="SCCLsocVersus"/>
            </w:pPr>
            <w:r w:rsidRPr="00252642">
              <w:t>and</w:t>
            </w:r>
          </w:p>
          <w:p w:rsidR="00ED6EEC" w:rsidRPr="00252642" w:rsidRDefault="00ED6EEC"/>
          <w:p w:rsidR="00ED6EEC" w:rsidRPr="00252642" w:rsidRDefault="006779AD">
            <w:pPr>
              <w:pStyle w:val="SCCLsocParty"/>
            </w:pPr>
            <w:r w:rsidRPr="00252642">
              <w:t>Her Majesty The Queen</w:t>
            </w:r>
          </w:p>
          <w:p w:rsidR="00ED6EEC" w:rsidRPr="00252642" w:rsidRDefault="001F7378">
            <w:pPr>
              <w:pStyle w:val="SCCLsocPartyRole"/>
            </w:pPr>
            <w:r w:rsidRPr="00252642">
              <w:t>Respondent</w:t>
            </w:r>
          </w:p>
          <w:p w:rsidR="00ED6EEC" w:rsidRPr="00252642" w:rsidRDefault="00ED6EEC"/>
          <w:p w:rsidR="00EF72F1" w:rsidRPr="00252642" w:rsidRDefault="00EF72F1" w:rsidP="00EF72F1"/>
          <w:p w:rsidR="00261713" w:rsidRPr="00252642" w:rsidRDefault="00261713" w:rsidP="00EF72F1"/>
          <w:p w:rsidR="00EF72F1" w:rsidRPr="00252642" w:rsidRDefault="00EF72F1" w:rsidP="00EF72F1">
            <w:r w:rsidRPr="00252642">
              <w:rPr>
                <w:b/>
                <w:smallCaps/>
              </w:rPr>
              <w:t>Coram:</w:t>
            </w:r>
            <w:r w:rsidRPr="00252642">
              <w:t xml:space="preserve"> Moldaver, Côté, Brown, </w:t>
            </w:r>
            <w:r w:rsidR="00315695" w:rsidRPr="00252642">
              <w:t>Rowe</w:t>
            </w:r>
            <w:r w:rsidR="00410BF4" w:rsidRPr="00252642">
              <w:t xml:space="preserve"> and Jamal </w:t>
            </w:r>
            <w:r w:rsidRPr="00252642">
              <w:t>JJ.</w:t>
            </w:r>
          </w:p>
          <w:p w:rsidR="00EF72F1" w:rsidRPr="00252642" w:rsidRDefault="00EF72F1" w:rsidP="00451668">
            <w:pPr>
              <w:rPr>
                <w:b/>
                <w:smallCaps/>
              </w:rPr>
            </w:pPr>
          </w:p>
        </w:tc>
      </w:tr>
      <w:tr w:rsidR="004E69EC" w:rsidRPr="00252642" w:rsidTr="00C0342A">
        <w:tblPrEx>
          <w:tblCellMar>
            <w:top w:w="58" w:type="dxa"/>
            <w:left w:w="58" w:type="dxa"/>
            <w:bottom w:w="58" w:type="dxa"/>
            <w:right w:w="58" w:type="dxa"/>
          </w:tblCellMar>
        </w:tblPrEx>
        <w:trPr>
          <w:gridAfter w:val="1"/>
          <w:wAfter w:w="28" w:type="pct"/>
          <w:cantSplit/>
        </w:trPr>
        <w:tc>
          <w:tcPr>
            <w:tcW w:w="1602" w:type="pct"/>
            <w:vAlign w:val="center"/>
          </w:tcPr>
          <w:p w:rsidR="004E69EC" w:rsidRPr="00252642" w:rsidRDefault="00517EB1" w:rsidP="00F468B4">
            <w:pPr>
              <w:rPr>
                <w:smallCaps/>
              </w:rPr>
            </w:pPr>
            <w:r w:rsidRPr="00252642">
              <w:rPr>
                <w:rFonts w:eastAsia="Times New Roman" w:cs="Times New Roman"/>
                <w:b/>
                <w:bCs/>
                <w:smallCaps/>
                <w:color w:val="000000"/>
              </w:rPr>
              <w:t>Judgment Read By:</w:t>
            </w:r>
          </w:p>
          <w:p w:rsidR="00EC6CDA" w:rsidRPr="00252642" w:rsidRDefault="006779AD" w:rsidP="00F468B4">
            <w:r w:rsidRPr="00252642">
              <w:t xml:space="preserve">(paras. 1 </w:t>
            </w:r>
            <w:r w:rsidR="009A5E2F" w:rsidRPr="00252642">
              <w:t>to 5</w:t>
            </w:r>
            <w:r w:rsidRPr="00252642">
              <w:t>)</w:t>
            </w:r>
          </w:p>
        </w:tc>
        <w:tc>
          <w:tcPr>
            <w:tcW w:w="3370" w:type="pct"/>
            <w:gridSpan w:val="3"/>
          </w:tcPr>
          <w:p w:rsidR="004E69EC" w:rsidRPr="00252642" w:rsidRDefault="00517EB1" w:rsidP="00517EB1">
            <w:r w:rsidRPr="00252642">
              <w:t>Moldaver </w:t>
            </w:r>
            <w:r w:rsidR="00564C88" w:rsidRPr="00252642">
              <w:t>J.</w:t>
            </w:r>
          </w:p>
        </w:tc>
      </w:tr>
      <w:tr w:rsidR="00C621F5" w:rsidRPr="00252642" w:rsidTr="00C0342A">
        <w:tblPrEx>
          <w:tblCellMar>
            <w:top w:w="58" w:type="dxa"/>
            <w:left w:w="58" w:type="dxa"/>
            <w:bottom w:w="58" w:type="dxa"/>
            <w:right w:w="58" w:type="dxa"/>
          </w:tblCellMar>
        </w:tblPrEx>
        <w:trPr>
          <w:gridAfter w:val="1"/>
          <w:wAfter w:w="28" w:type="pct"/>
          <w:cantSplit/>
          <w:trHeight w:val="432"/>
        </w:trPr>
        <w:tc>
          <w:tcPr>
            <w:tcW w:w="1602" w:type="pct"/>
            <w:vAlign w:val="center"/>
          </w:tcPr>
          <w:p w:rsidR="00C621F5" w:rsidRPr="00252642" w:rsidRDefault="00517EB1" w:rsidP="00F468B4">
            <w:pPr>
              <w:rPr>
                <w:smallCaps/>
              </w:rPr>
            </w:pPr>
            <w:r w:rsidRPr="00252642">
              <w:rPr>
                <w:rStyle w:val="SCCReasonsTitleChar"/>
                <w:smallCaps/>
              </w:rPr>
              <w:t>Concurrence</w:t>
            </w:r>
            <w:r w:rsidRPr="00252642">
              <w:rPr>
                <w:rFonts w:eastAsia="Times New Roman" w:cs="Times New Roman"/>
                <w:b/>
                <w:bCs/>
                <w:smallCaps/>
                <w:color w:val="000000"/>
              </w:rPr>
              <w:t xml:space="preserve"> Read By:</w:t>
            </w:r>
          </w:p>
          <w:p w:rsidR="00EC6CDA" w:rsidRPr="00252642" w:rsidRDefault="00C621F5" w:rsidP="00F468B4">
            <w:pPr>
              <w:rPr>
                <w:rStyle w:val="SCCReasonsTitleChar"/>
                <w:b w:val="0"/>
              </w:rPr>
            </w:pPr>
            <w:r w:rsidRPr="00252642">
              <w:t xml:space="preserve">(paras. </w:t>
            </w:r>
            <w:r w:rsidR="009A5E2F" w:rsidRPr="00252642">
              <w:t>6</w:t>
            </w:r>
            <w:r w:rsidRPr="00252642">
              <w:t xml:space="preserve"> to </w:t>
            </w:r>
            <w:r w:rsidR="009A5E2F" w:rsidRPr="00252642">
              <w:t>17</w:t>
            </w:r>
            <w:r w:rsidRPr="00252642">
              <w:t>)</w:t>
            </w:r>
          </w:p>
        </w:tc>
        <w:tc>
          <w:tcPr>
            <w:tcW w:w="3370" w:type="pct"/>
            <w:gridSpan w:val="3"/>
          </w:tcPr>
          <w:p w:rsidR="00C621F5" w:rsidRPr="00252642" w:rsidRDefault="00517EB1">
            <w:r w:rsidRPr="00252642">
              <w:t>Côté </w:t>
            </w:r>
            <w:r w:rsidR="00C621F5" w:rsidRPr="00252642">
              <w:t>J.</w:t>
            </w:r>
          </w:p>
        </w:tc>
      </w:tr>
      <w:tr w:rsidR="00517EB1" w:rsidRPr="00252642" w:rsidTr="00C0342A">
        <w:tblPrEx>
          <w:tblCellMar>
            <w:top w:w="58" w:type="dxa"/>
            <w:left w:w="58" w:type="dxa"/>
            <w:bottom w:w="58" w:type="dxa"/>
            <w:right w:w="58" w:type="dxa"/>
          </w:tblCellMar>
        </w:tblPrEx>
        <w:trPr>
          <w:gridAfter w:val="1"/>
          <w:wAfter w:w="28" w:type="pct"/>
          <w:cantSplit/>
          <w:trHeight w:val="504"/>
        </w:trPr>
        <w:tc>
          <w:tcPr>
            <w:tcW w:w="1602" w:type="pct"/>
            <w:vAlign w:val="center"/>
          </w:tcPr>
          <w:p w:rsidR="00EC6CDA" w:rsidRPr="00252642" w:rsidRDefault="00517EB1" w:rsidP="00F468B4">
            <w:pPr>
              <w:rPr>
                <w:rStyle w:val="SCCReasonsTitleChar"/>
                <w:rFonts w:eastAsia="Times New Roman" w:cs="Times New Roman"/>
                <w:bCs/>
                <w:smallCaps/>
                <w:color w:val="000000"/>
              </w:rPr>
            </w:pPr>
            <w:r w:rsidRPr="00252642">
              <w:rPr>
                <w:rFonts w:eastAsia="Times New Roman" w:cs="Times New Roman"/>
                <w:b/>
                <w:bCs/>
                <w:smallCaps/>
                <w:color w:val="000000"/>
              </w:rPr>
              <w:t>Majority:</w:t>
            </w:r>
          </w:p>
        </w:tc>
        <w:tc>
          <w:tcPr>
            <w:tcW w:w="3370" w:type="pct"/>
            <w:gridSpan w:val="3"/>
            <w:vAlign w:val="center"/>
          </w:tcPr>
          <w:p w:rsidR="00517EB1" w:rsidRPr="00252642" w:rsidRDefault="00517EB1" w:rsidP="00F468B4">
            <w:r w:rsidRPr="00252642">
              <w:t>Moldaver, Brown, Rowe and Jamal JJ.</w:t>
            </w:r>
          </w:p>
        </w:tc>
      </w:tr>
      <w:tr w:rsidR="00517EB1" w:rsidRPr="00252642" w:rsidTr="00C0342A">
        <w:tblPrEx>
          <w:tblCellMar>
            <w:top w:w="58" w:type="dxa"/>
            <w:left w:w="58" w:type="dxa"/>
            <w:bottom w:w="58" w:type="dxa"/>
            <w:right w:w="58" w:type="dxa"/>
          </w:tblCellMar>
        </w:tblPrEx>
        <w:trPr>
          <w:gridAfter w:val="1"/>
          <w:wAfter w:w="28" w:type="pct"/>
          <w:cantSplit/>
          <w:trHeight w:val="504"/>
        </w:trPr>
        <w:tc>
          <w:tcPr>
            <w:tcW w:w="1602" w:type="pct"/>
            <w:vAlign w:val="center"/>
          </w:tcPr>
          <w:p w:rsidR="00517EB1" w:rsidRPr="00252642" w:rsidRDefault="00517EB1" w:rsidP="00F468B4">
            <w:pPr>
              <w:rPr>
                <w:rStyle w:val="SCCReasonsTitleChar"/>
                <w:smallCaps/>
              </w:rPr>
            </w:pPr>
            <w:r w:rsidRPr="00252642">
              <w:rPr>
                <w:rStyle w:val="SCCReasonsTitleChar"/>
                <w:smallCaps/>
              </w:rPr>
              <w:t>Concurrence:</w:t>
            </w:r>
          </w:p>
        </w:tc>
        <w:tc>
          <w:tcPr>
            <w:tcW w:w="3370" w:type="pct"/>
            <w:gridSpan w:val="3"/>
            <w:vAlign w:val="center"/>
          </w:tcPr>
          <w:p w:rsidR="00517EB1" w:rsidRPr="00252642" w:rsidRDefault="00517EB1" w:rsidP="00F468B4">
            <w:r w:rsidRPr="00252642">
              <w:t>Côté J.</w:t>
            </w:r>
          </w:p>
        </w:tc>
      </w:tr>
      <w:tr w:rsidR="006779AD" w:rsidRPr="00252642" w:rsidTr="00C0342A">
        <w:tblPrEx>
          <w:tblCellMar>
            <w:top w:w="58" w:type="dxa"/>
            <w:left w:w="58" w:type="dxa"/>
            <w:bottom w:w="58" w:type="dxa"/>
            <w:right w:w="58" w:type="dxa"/>
          </w:tblCellMar>
        </w:tblPrEx>
        <w:trPr>
          <w:gridAfter w:val="1"/>
          <w:wAfter w:w="28" w:type="pct"/>
          <w:cantSplit/>
        </w:trPr>
        <w:tc>
          <w:tcPr>
            <w:tcW w:w="4972" w:type="pct"/>
            <w:gridSpan w:val="4"/>
          </w:tcPr>
          <w:p w:rsidR="006779AD" w:rsidRPr="00252642" w:rsidRDefault="006779AD" w:rsidP="000C2AD4">
            <w:pPr>
              <w:rPr>
                <w:lang w:val="en-US"/>
              </w:rPr>
            </w:pPr>
          </w:p>
        </w:tc>
      </w:tr>
    </w:tbl>
    <w:p w:rsidR="00904937" w:rsidRPr="00252642" w:rsidRDefault="00904937" w:rsidP="00076773">
      <w:pPr>
        <w:pStyle w:val="SCCBold"/>
        <w:rPr>
          <w:b w:val="0"/>
        </w:rPr>
      </w:pPr>
      <w:bookmarkStart w:id="0" w:name="_GoBack"/>
      <w:bookmarkEnd w:id="0"/>
      <w:r w:rsidRPr="00252642">
        <w:rPr>
          <w:smallCaps/>
        </w:rPr>
        <w:t>Note:</w:t>
      </w:r>
      <w:r w:rsidRPr="00252642">
        <w:t xml:space="preserve"> </w:t>
      </w:r>
      <w:r w:rsidRPr="00252642">
        <w:rPr>
          <w:b w:val="0"/>
        </w:rPr>
        <w:t>This do</w:t>
      </w:r>
      <w:r w:rsidR="009E7065" w:rsidRPr="00252642">
        <w:rPr>
          <w:b w:val="0"/>
        </w:rPr>
        <w:t>c</w:t>
      </w:r>
      <w:r w:rsidRPr="00252642">
        <w:rPr>
          <w:b w:val="0"/>
        </w:rPr>
        <w:t xml:space="preserve">ument is subject to editorial revision before its reproduction in final form in the </w:t>
      </w:r>
      <w:r w:rsidRPr="00252642">
        <w:rPr>
          <w:b w:val="0"/>
          <w:i/>
        </w:rPr>
        <w:t>Canada Supreme Court Reports</w:t>
      </w:r>
      <w:r w:rsidRPr="00252642">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RPr="00252642" w:rsidTr="003375C9">
        <w:tc>
          <w:tcPr>
            <w:tcW w:w="1500" w:type="pct"/>
            <w:tcMar>
              <w:top w:w="284" w:type="dxa"/>
            </w:tcMar>
          </w:tcPr>
          <w:p w:rsidR="00087E50" w:rsidRPr="00252642" w:rsidRDefault="00087E50" w:rsidP="003375C9">
            <w:pPr>
              <w:rPr>
                <w:rFonts w:eastAsia="Calibri"/>
              </w:rPr>
            </w:pPr>
          </w:p>
        </w:tc>
        <w:tc>
          <w:tcPr>
            <w:tcW w:w="2000" w:type="pct"/>
            <w:tcBorders>
              <w:bottom w:val="single" w:sz="4" w:space="0" w:color="auto"/>
            </w:tcBorders>
            <w:tcMar>
              <w:top w:w="284" w:type="dxa"/>
            </w:tcMar>
          </w:tcPr>
          <w:p w:rsidR="00087E50" w:rsidRPr="00252642" w:rsidRDefault="00087E50" w:rsidP="003375C9">
            <w:pPr>
              <w:rPr>
                <w:rFonts w:eastAsia="Calibri"/>
              </w:rPr>
            </w:pPr>
          </w:p>
        </w:tc>
        <w:tc>
          <w:tcPr>
            <w:tcW w:w="1500" w:type="pct"/>
            <w:tcMar>
              <w:top w:w="284" w:type="dxa"/>
            </w:tcMar>
          </w:tcPr>
          <w:p w:rsidR="00087E50" w:rsidRPr="00252642" w:rsidRDefault="00087E50" w:rsidP="003375C9">
            <w:pPr>
              <w:rPr>
                <w:rFonts w:eastAsia="Calibri"/>
              </w:rPr>
            </w:pPr>
          </w:p>
        </w:tc>
      </w:tr>
    </w:tbl>
    <w:p w:rsidR="00C0342A" w:rsidRPr="00252642" w:rsidRDefault="00C0342A"/>
    <w:p w:rsidR="00C0342A" w:rsidRPr="00252642" w:rsidRDefault="00C0342A" w:rsidP="00C0342A">
      <w:r w:rsidRPr="00252642">
        <w:br w:type="page"/>
      </w:r>
    </w:p>
    <w:p w:rsidR="0046151B" w:rsidRPr="0046151B" w:rsidRDefault="0046151B" w:rsidP="0046151B">
      <w:pPr>
        <w:tabs>
          <w:tab w:val="right" w:pos="8222"/>
        </w:tabs>
        <w:spacing w:after="720"/>
        <w:rPr>
          <w:rFonts w:eastAsia="Times New Roman" w:cs="Times New Roman"/>
          <w:b/>
          <w:szCs w:val="20"/>
          <w:lang w:val="fr-CA" w:eastAsia="en-CA"/>
        </w:rPr>
      </w:pPr>
      <w:r w:rsidRPr="0046151B">
        <w:rPr>
          <w:rFonts w:eastAsia="Times New Roman" w:cs="Times New Roman"/>
          <w:b/>
          <w:szCs w:val="20"/>
          <w:lang w:val="fr-CA" w:eastAsia="en-CA"/>
        </w:rPr>
        <w:lastRenderedPageBreak/>
        <w:t>Yasin Mahad Ali</w:t>
      </w:r>
      <w:r w:rsidRPr="0046151B">
        <w:rPr>
          <w:rFonts w:eastAsia="Times New Roman" w:cs="Times New Roman"/>
          <w:i/>
          <w:szCs w:val="20"/>
          <w:lang w:val="fr-CA" w:eastAsia="en-CA"/>
        </w:rPr>
        <w:tab/>
        <w:t>Appellant</w:t>
      </w:r>
    </w:p>
    <w:p w:rsidR="0046151B" w:rsidRPr="0046151B" w:rsidRDefault="0046151B" w:rsidP="0046151B">
      <w:pPr>
        <w:spacing w:after="720"/>
        <w:rPr>
          <w:rFonts w:eastAsia="Times New Roman" w:cs="Times New Roman"/>
          <w:i/>
          <w:szCs w:val="20"/>
          <w:lang w:val="fr-CA" w:eastAsia="en-CA"/>
        </w:rPr>
      </w:pPr>
      <w:r w:rsidRPr="0046151B">
        <w:rPr>
          <w:rFonts w:eastAsia="Times New Roman" w:cs="Times New Roman"/>
          <w:i/>
          <w:szCs w:val="20"/>
          <w:lang w:val="fr-CA" w:eastAsia="en-CA"/>
        </w:rPr>
        <w:t>v.</w:t>
      </w:r>
    </w:p>
    <w:p w:rsidR="0046151B" w:rsidRPr="0046151B" w:rsidRDefault="0046151B" w:rsidP="0046151B">
      <w:pPr>
        <w:tabs>
          <w:tab w:val="right" w:pos="8222"/>
        </w:tabs>
        <w:spacing w:after="720"/>
        <w:rPr>
          <w:rFonts w:eastAsia="Times New Roman" w:cs="Times New Roman"/>
          <w:b/>
          <w:szCs w:val="20"/>
          <w:lang w:eastAsia="en-CA"/>
        </w:rPr>
      </w:pPr>
      <w:r w:rsidRPr="0046151B">
        <w:rPr>
          <w:rFonts w:eastAsia="Times New Roman" w:cs="Times New Roman"/>
          <w:b/>
          <w:szCs w:val="20"/>
          <w:lang w:eastAsia="en-CA"/>
        </w:rPr>
        <w:t>Her Majesty The Queen</w:t>
      </w:r>
      <w:r w:rsidRPr="0046151B">
        <w:rPr>
          <w:rFonts w:eastAsia="Times New Roman" w:cs="Times New Roman"/>
          <w:i/>
          <w:szCs w:val="20"/>
          <w:lang w:eastAsia="en-CA"/>
        </w:rPr>
        <w:tab/>
        <w:t>Respondent</w:t>
      </w:r>
    </w:p>
    <w:p w:rsidR="0046151B" w:rsidRPr="0046151B" w:rsidRDefault="0046151B" w:rsidP="0046151B">
      <w:pPr>
        <w:spacing w:after="720"/>
        <w:jc w:val="both"/>
        <w:rPr>
          <w:rFonts w:eastAsia="Times New Roman" w:cs="Times New Roman"/>
          <w:b/>
          <w:szCs w:val="20"/>
          <w:lang w:eastAsia="en-CA"/>
        </w:rPr>
      </w:pPr>
      <w:r w:rsidRPr="0046151B">
        <w:rPr>
          <w:rFonts w:eastAsia="Times New Roman" w:cs="Times New Roman"/>
          <w:b/>
          <w:szCs w:val="20"/>
          <w:lang w:eastAsia="en-CA"/>
        </w:rPr>
        <w:t xml:space="preserve">Indexed as: R. </w:t>
      </w:r>
      <w:r w:rsidRPr="0046151B">
        <w:rPr>
          <w:rFonts w:eastAsia="Times New Roman" w:cs="Times New Roman"/>
          <w:b/>
          <w:i/>
          <w:szCs w:val="20"/>
          <w:lang w:eastAsia="en-CA"/>
        </w:rPr>
        <w:t xml:space="preserve">v. </w:t>
      </w:r>
      <w:r w:rsidRPr="0046151B">
        <w:rPr>
          <w:rFonts w:eastAsia="Times New Roman" w:cs="Times New Roman"/>
          <w:b/>
          <w:szCs w:val="20"/>
          <w:lang w:eastAsia="en-CA"/>
        </w:rPr>
        <w:t>Ali</w:t>
      </w:r>
    </w:p>
    <w:p w:rsidR="0046151B" w:rsidRPr="0046151B" w:rsidRDefault="0046151B" w:rsidP="0046151B">
      <w:pPr>
        <w:spacing w:after="720"/>
        <w:jc w:val="both"/>
        <w:rPr>
          <w:rFonts w:eastAsia="Times New Roman" w:cs="Times New Roman"/>
          <w:b/>
          <w:szCs w:val="20"/>
          <w:lang w:eastAsia="en-CA"/>
        </w:rPr>
      </w:pPr>
      <w:r w:rsidRPr="0046151B">
        <w:rPr>
          <w:rFonts w:eastAsia="Times New Roman" w:cs="Times New Roman"/>
          <w:b/>
          <w:szCs w:val="20"/>
          <w:lang w:eastAsia="en-CA"/>
        </w:rPr>
        <w:t>2022 SCC 1</w:t>
      </w:r>
    </w:p>
    <w:p w:rsidR="0046151B" w:rsidRPr="0046151B" w:rsidRDefault="0046151B" w:rsidP="0046151B">
      <w:pPr>
        <w:spacing w:after="720"/>
        <w:jc w:val="both"/>
        <w:rPr>
          <w:rFonts w:eastAsia="Times New Roman" w:cs="Times New Roman"/>
          <w:szCs w:val="20"/>
          <w:lang w:eastAsia="en-CA"/>
        </w:rPr>
      </w:pPr>
      <w:r w:rsidRPr="0046151B">
        <w:rPr>
          <w:rFonts w:eastAsia="Times New Roman" w:cs="Times New Roman"/>
          <w:szCs w:val="20"/>
          <w:lang w:eastAsia="en-CA"/>
        </w:rPr>
        <w:t>File No.: 39590.</w:t>
      </w:r>
    </w:p>
    <w:p w:rsidR="0046151B" w:rsidRPr="0046151B" w:rsidRDefault="0046151B" w:rsidP="0046151B">
      <w:pPr>
        <w:spacing w:after="720"/>
        <w:jc w:val="both"/>
        <w:rPr>
          <w:rFonts w:eastAsia="Times New Roman" w:cs="Times New Roman"/>
          <w:szCs w:val="20"/>
          <w:lang w:eastAsia="en-CA"/>
        </w:rPr>
      </w:pPr>
      <w:r w:rsidRPr="0046151B">
        <w:rPr>
          <w:rFonts w:eastAsia="Times New Roman" w:cs="Times New Roman"/>
          <w:szCs w:val="20"/>
          <w:lang w:eastAsia="en-CA"/>
        </w:rPr>
        <w:t>2022: January 14.</w:t>
      </w:r>
    </w:p>
    <w:p w:rsidR="0046151B" w:rsidRPr="0046151B" w:rsidRDefault="0046151B" w:rsidP="0046151B">
      <w:pPr>
        <w:spacing w:after="720"/>
        <w:jc w:val="both"/>
        <w:rPr>
          <w:rFonts w:eastAsia="Times New Roman" w:cs="Times New Roman"/>
          <w:szCs w:val="20"/>
          <w:lang w:eastAsia="en-CA"/>
        </w:rPr>
      </w:pPr>
      <w:r w:rsidRPr="0046151B">
        <w:rPr>
          <w:rFonts w:eastAsia="Times New Roman" w:cs="Times New Roman"/>
          <w:szCs w:val="20"/>
          <w:lang w:eastAsia="en-CA"/>
        </w:rPr>
        <w:t>Present: Moldaver, Côté, Brown, Rowe and Jamal JJ.</w:t>
      </w:r>
    </w:p>
    <w:p w:rsidR="0046151B" w:rsidRPr="0046151B" w:rsidRDefault="0046151B" w:rsidP="0046151B">
      <w:pPr>
        <w:tabs>
          <w:tab w:val="left" w:pos="1168"/>
        </w:tabs>
        <w:spacing w:after="720"/>
        <w:jc w:val="both"/>
        <w:rPr>
          <w:rFonts w:eastAsia="Times New Roman" w:cs="Times New Roman"/>
          <w:smallCaps/>
          <w:szCs w:val="20"/>
          <w:lang w:eastAsia="en-CA"/>
        </w:rPr>
      </w:pPr>
      <w:r w:rsidRPr="0046151B">
        <w:rPr>
          <w:rFonts w:eastAsia="Times New Roman" w:cs="Times New Roman"/>
          <w:smallCaps/>
          <w:szCs w:val="20"/>
          <w:lang w:eastAsia="en-CA"/>
        </w:rPr>
        <w:t>on appeal from the court of appeal for alberta</w:t>
      </w:r>
    </w:p>
    <w:p w:rsidR="0046151B" w:rsidRPr="0046151B" w:rsidRDefault="0046151B" w:rsidP="0046151B">
      <w:pPr>
        <w:tabs>
          <w:tab w:val="left" w:pos="1168"/>
        </w:tabs>
        <w:spacing w:after="480" w:line="480" w:lineRule="auto"/>
        <w:jc w:val="both"/>
        <w:rPr>
          <w:rFonts w:eastAsia="Times New Roman" w:cs="Times New Roman"/>
          <w:i/>
          <w:iCs/>
          <w:szCs w:val="20"/>
          <w:lang w:val="en-US" w:eastAsia="en-CA"/>
        </w:rPr>
      </w:pPr>
      <w:r w:rsidRPr="0046151B">
        <w:rPr>
          <w:rFonts w:eastAsia="Times New Roman" w:cs="Times New Roman"/>
          <w:szCs w:val="20"/>
          <w:lang w:eastAsia="en-CA"/>
        </w:rPr>
        <w:tab/>
      </w:r>
      <w:r w:rsidRPr="0046151B">
        <w:rPr>
          <w:rFonts w:eastAsia="Times New Roman" w:cs="Times New Roman"/>
          <w:i/>
          <w:iCs/>
          <w:szCs w:val="20"/>
          <w:lang w:val="en-GB" w:eastAsia="en-CA"/>
        </w:rPr>
        <w:t xml:space="preserve">Constitutional law — Charter of Rights — </w:t>
      </w:r>
      <w:r w:rsidRPr="0046151B">
        <w:rPr>
          <w:rFonts w:eastAsia="Times New Roman" w:cs="Times New Roman"/>
          <w:i/>
          <w:iCs/>
          <w:szCs w:val="20"/>
          <w:lang w:val="en-US" w:eastAsia="en-CA"/>
        </w:rPr>
        <w:t xml:space="preserve">Search and seizure — </w:t>
      </w:r>
      <w:r w:rsidRPr="0046151B">
        <w:rPr>
          <w:rFonts w:eastAsia="Times New Roman" w:cs="Times New Roman"/>
          <w:i/>
          <w:iCs/>
          <w:szCs w:val="20"/>
          <w:lang w:val="en-GB" w:eastAsia="en-CA"/>
        </w:rPr>
        <w:t xml:space="preserve">Search incident to arrest </w:t>
      </w:r>
      <w:r w:rsidRPr="0046151B">
        <w:rPr>
          <w:rFonts w:eastAsia="Times New Roman" w:cs="Times New Roman"/>
          <w:i/>
          <w:iCs/>
          <w:szCs w:val="20"/>
          <w:lang w:val="en-US" w:eastAsia="en-CA"/>
        </w:rPr>
        <w:t xml:space="preserve">— </w:t>
      </w:r>
      <w:r w:rsidRPr="0046151B">
        <w:rPr>
          <w:rFonts w:eastAsia="Times New Roman" w:cs="Times New Roman"/>
          <w:i/>
          <w:iCs/>
          <w:szCs w:val="20"/>
          <w:lang w:val="en-GB" w:eastAsia="en-CA"/>
        </w:rPr>
        <w:t>Strip search of accused resulting in seizure of cocaine — Trial judge finding that strip search justified and admitting evidence found during search — Accused convicted of</w:t>
      </w:r>
      <w:r w:rsidRPr="0046151B">
        <w:rPr>
          <w:rFonts w:eastAsia="Times New Roman" w:cs="Times New Roman"/>
          <w:color w:val="000000"/>
          <w:szCs w:val="20"/>
          <w:lang w:eastAsia="en-CA"/>
        </w:rPr>
        <w:t xml:space="preserve"> </w:t>
      </w:r>
      <w:r w:rsidRPr="0046151B">
        <w:rPr>
          <w:rFonts w:eastAsia="Times New Roman" w:cs="Times New Roman"/>
          <w:i/>
          <w:iCs/>
          <w:szCs w:val="20"/>
          <w:lang w:eastAsia="en-CA"/>
        </w:rPr>
        <w:t xml:space="preserve">possession of cocaine for purpose of trafficking </w:t>
      </w:r>
      <w:r w:rsidRPr="0046151B">
        <w:rPr>
          <w:rFonts w:eastAsia="Times New Roman" w:cs="Times New Roman"/>
          <w:i/>
          <w:iCs/>
          <w:szCs w:val="20"/>
          <w:lang w:val="en-GB" w:eastAsia="en-CA"/>
        </w:rPr>
        <w:t xml:space="preserve">— </w:t>
      </w:r>
      <w:r w:rsidRPr="0046151B">
        <w:rPr>
          <w:rFonts w:eastAsia="Times New Roman" w:cs="Times New Roman"/>
          <w:i/>
          <w:iCs/>
          <w:szCs w:val="20"/>
          <w:lang w:val="en-US" w:eastAsia="en-CA"/>
        </w:rPr>
        <w:t xml:space="preserve">Court of Appeal holding that </w:t>
      </w:r>
      <w:r w:rsidRPr="0046151B">
        <w:rPr>
          <w:rFonts w:eastAsia="Times New Roman" w:cs="Times New Roman"/>
          <w:i/>
          <w:iCs/>
          <w:szCs w:val="20"/>
          <w:lang w:eastAsia="en-CA"/>
        </w:rPr>
        <w:t>there was sufficient evidence to justify trial judge’s finding that there were reasonable and probable grounds for strip search and affirming conviction —</w:t>
      </w:r>
      <w:r w:rsidRPr="0046151B">
        <w:rPr>
          <w:rFonts w:eastAsia="Times New Roman" w:cs="Times New Roman"/>
          <w:i/>
          <w:iCs/>
          <w:szCs w:val="20"/>
          <w:lang w:val="en-GB" w:eastAsia="en-CA"/>
        </w:rPr>
        <w:t xml:space="preserve"> </w:t>
      </w:r>
      <w:r w:rsidRPr="0046151B">
        <w:rPr>
          <w:rFonts w:eastAsia="Times New Roman" w:cs="Times New Roman"/>
          <w:i/>
          <w:iCs/>
          <w:szCs w:val="20"/>
          <w:lang w:eastAsia="en-CA"/>
        </w:rPr>
        <w:t>Conviction upheld.</w:t>
      </w:r>
    </w:p>
    <w:p w:rsidR="0046151B" w:rsidRPr="0046151B" w:rsidRDefault="0046151B" w:rsidP="0046151B">
      <w:pPr>
        <w:widowControl w:val="0"/>
        <w:tabs>
          <w:tab w:val="left" w:pos="1168"/>
        </w:tabs>
        <w:spacing w:after="720"/>
        <w:jc w:val="both"/>
        <w:rPr>
          <w:rFonts w:eastAsia="Times New Roman" w:cs="Times New Roman"/>
          <w:b/>
          <w:szCs w:val="20"/>
          <w:lang w:eastAsia="en-CA"/>
        </w:rPr>
      </w:pPr>
      <w:r w:rsidRPr="0046151B">
        <w:rPr>
          <w:rFonts w:eastAsia="Times New Roman" w:cs="Times New Roman"/>
          <w:b/>
          <w:szCs w:val="20"/>
          <w:lang w:eastAsia="en-CA"/>
        </w:rPr>
        <w:lastRenderedPageBreak/>
        <w:t>Cases Cited</w:t>
      </w:r>
    </w:p>
    <w:p w:rsidR="0046151B" w:rsidRPr="0046151B" w:rsidRDefault="0046151B" w:rsidP="0046151B">
      <w:pPr>
        <w:widowControl w:val="0"/>
        <w:tabs>
          <w:tab w:val="left" w:pos="1168"/>
        </w:tabs>
        <w:spacing w:after="720"/>
        <w:jc w:val="both"/>
        <w:rPr>
          <w:rFonts w:eastAsia="Times New Roman" w:cs="Times New Roman"/>
          <w:szCs w:val="20"/>
          <w:lang w:eastAsia="en-CA"/>
        </w:rPr>
      </w:pPr>
      <w:r w:rsidRPr="0046151B">
        <w:rPr>
          <w:rFonts w:eastAsia="Times New Roman" w:cs="Times New Roman"/>
          <w:szCs w:val="20"/>
          <w:lang w:eastAsia="en-CA"/>
        </w:rPr>
        <w:t>By Moldaver J.</w:t>
      </w:r>
    </w:p>
    <w:p w:rsidR="0046151B" w:rsidRPr="0046151B" w:rsidRDefault="0046151B" w:rsidP="0046151B">
      <w:pPr>
        <w:widowControl w:val="0"/>
        <w:tabs>
          <w:tab w:val="left" w:pos="1168"/>
        </w:tabs>
        <w:spacing w:after="720"/>
        <w:jc w:val="both"/>
        <w:rPr>
          <w:rFonts w:eastAsia="Times New Roman" w:cs="Times New Roman"/>
          <w:color w:val="000000"/>
          <w:szCs w:val="20"/>
          <w:lang w:eastAsia="en-CA"/>
        </w:rPr>
      </w:pPr>
      <w:r w:rsidRPr="0046151B">
        <w:rPr>
          <w:rFonts w:eastAsia="Times New Roman" w:cs="Times New Roman"/>
          <w:szCs w:val="20"/>
          <w:lang w:eastAsia="en-CA"/>
        </w:rPr>
        <w:tab/>
      </w:r>
      <w:r w:rsidRPr="0046151B">
        <w:rPr>
          <w:rFonts w:eastAsia="Times New Roman" w:cs="Times New Roman"/>
          <w:b/>
          <w:szCs w:val="20"/>
          <w:lang w:eastAsia="en-CA"/>
        </w:rPr>
        <w:t>Applied:</w:t>
      </w:r>
      <w:r w:rsidRPr="0046151B">
        <w:rPr>
          <w:rFonts w:eastAsia="Times New Roman" w:cs="Times New Roman"/>
          <w:szCs w:val="20"/>
          <w:lang w:eastAsia="en-CA"/>
        </w:rPr>
        <w:t xml:space="preserve"> </w:t>
      </w:r>
      <w:r w:rsidRPr="0046151B">
        <w:rPr>
          <w:rFonts w:eastAsia="Times New Roman" w:cs="Times New Roman"/>
          <w:i/>
          <w:iCs/>
          <w:color w:val="000000"/>
          <w:szCs w:val="20"/>
          <w:lang w:eastAsia="en-CA"/>
        </w:rPr>
        <w:t>R. v. Golden</w:t>
      </w:r>
      <w:r w:rsidRPr="0046151B">
        <w:rPr>
          <w:rFonts w:eastAsia="Times New Roman" w:cs="Times New Roman"/>
          <w:color w:val="000000"/>
          <w:szCs w:val="20"/>
          <w:lang w:eastAsia="en-CA"/>
        </w:rPr>
        <w:t>, 2001 SCC 83, [2001] 3 S.C.R. 679.</w:t>
      </w:r>
    </w:p>
    <w:p w:rsidR="0046151B" w:rsidRPr="0046151B" w:rsidRDefault="0046151B" w:rsidP="0046151B">
      <w:pPr>
        <w:widowControl w:val="0"/>
        <w:tabs>
          <w:tab w:val="left" w:pos="1168"/>
        </w:tabs>
        <w:spacing w:after="720"/>
        <w:jc w:val="both"/>
        <w:rPr>
          <w:rFonts w:eastAsia="Times New Roman" w:cs="Times New Roman"/>
          <w:szCs w:val="20"/>
          <w:lang w:eastAsia="en-CA"/>
        </w:rPr>
      </w:pPr>
      <w:r w:rsidRPr="0046151B">
        <w:rPr>
          <w:rFonts w:eastAsia="Times New Roman" w:cs="Times New Roman"/>
          <w:szCs w:val="20"/>
          <w:lang w:eastAsia="en-CA"/>
        </w:rPr>
        <w:t>By Côté J.</w:t>
      </w:r>
    </w:p>
    <w:p w:rsidR="0046151B" w:rsidRPr="0046151B" w:rsidRDefault="0046151B" w:rsidP="0046151B">
      <w:pPr>
        <w:widowControl w:val="0"/>
        <w:tabs>
          <w:tab w:val="left" w:pos="1168"/>
        </w:tabs>
        <w:spacing w:after="720"/>
        <w:jc w:val="both"/>
        <w:rPr>
          <w:rFonts w:eastAsia="Times New Roman" w:cs="Times New Roman"/>
          <w:szCs w:val="20"/>
          <w:lang w:eastAsia="en-CA"/>
        </w:rPr>
      </w:pPr>
      <w:r w:rsidRPr="0046151B">
        <w:rPr>
          <w:rFonts w:eastAsia="Times New Roman" w:cs="Times New Roman"/>
          <w:szCs w:val="20"/>
          <w:lang w:eastAsia="en-CA"/>
        </w:rPr>
        <w:tab/>
      </w:r>
      <w:r w:rsidRPr="0046151B">
        <w:rPr>
          <w:rFonts w:eastAsia="Times New Roman" w:cs="Times New Roman"/>
          <w:b/>
          <w:szCs w:val="20"/>
          <w:lang w:eastAsia="en-CA"/>
        </w:rPr>
        <w:t>Applied:</w:t>
      </w:r>
      <w:r w:rsidRPr="0046151B">
        <w:rPr>
          <w:rFonts w:eastAsia="Times New Roman" w:cs="Times New Roman"/>
          <w:szCs w:val="20"/>
          <w:lang w:eastAsia="en-CA"/>
        </w:rPr>
        <w:t xml:space="preserve"> </w:t>
      </w:r>
      <w:r w:rsidRPr="0046151B">
        <w:rPr>
          <w:rFonts w:eastAsia="Times New Roman" w:cs="Times New Roman"/>
          <w:i/>
          <w:iCs/>
          <w:color w:val="000000"/>
          <w:szCs w:val="20"/>
          <w:lang w:eastAsia="en-CA"/>
        </w:rPr>
        <w:t>R. v. Golden</w:t>
      </w:r>
      <w:r w:rsidRPr="0046151B">
        <w:rPr>
          <w:rFonts w:eastAsia="Times New Roman" w:cs="Times New Roman"/>
          <w:color w:val="000000"/>
          <w:szCs w:val="20"/>
          <w:lang w:eastAsia="en-CA"/>
        </w:rPr>
        <w:t xml:space="preserve">, 2001 SCC 83, [2001] 3 S.C.R. 679; </w:t>
      </w:r>
      <w:r w:rsidRPr="0046151B">
        <w:rPr>
          <w:rFonts w:eastAsia="Times New Roman" w:cs="Times New Roman"/>
          <w:i/>
          <w:iCs/>
          <w:color w:val="000000"/>
          <w:szCs w:val="20"/>
          <w:lang w:eastAsia="en-CA"/>
        </w:rPr>
        <w:t>R. v. Grant</w:t>
      </w:r>
      <w:r w:rsidRPr="0046151B">
        <w:rPr>
          <w:rFonts w:eastAsia="Times New Roman" w:cs="Times New Roman"/>
          <w:color w:val="000000"/>
          <w:szCs w:val="20"/>
          <w:lang w:eastAsia="en-CA"/>
        </w:rPr>
        <w:t xml:space="preserve">, 2009 SCC 32, [2009] 2 S.C.R. 353; </w:t>
      </w:r>
      <w:r w:rsidRPr="0046151B">
        <w:rPr>
          <w:rFonts w:eastAsia="Times New Roman" w:cs="Times New Roman"/>
          <w:b/>
          <w:color w:val="000000"/>
          <w:szCs w:val="20"/>
          <w:lang w:eastAsia="en-CA"/>
        </w:rPr>
        <w:t xml:space="preserve">referred to: </w:t>
      </w:r>
      <w:r w:rsidRPr="0046151B">
        <w:rPr>
          <w:rFonts w:eastAsia="Times New Roman" w:cs="Times New Roman"/>
          <w:i/>
          <w:iCs/>
          <w:color w:val="000000"/>
          <w:szCs w:val="20"/>
          <w:lang w:eastAsia="en-CA"/>
        </w:rPr>
        <w:t>R. v. Spencer</w:t>
      </w:r>
      <w:r w:rsidRPr="0046151B">
        <w:rPr>
          <w:rFonts w:eastAsia="Times New Roman" w:cs="Times New Roman"/>
          <w:color w:val="000000"/>
          <w:szCs w:val="20"/>
          <w:lang w:eastAsia="en-CA"/>
        </w:rPr>
        <w:t>, 2014 SCC 43, [2014] 2 S.C.R. 212.</w:t>
      </w:r>
    </w:p>
    <w:p w:rsidR="0046151B" w:rsidRPr="0046151B" w:rsidRDefault="0046151B" w:rsidP="0046151B">
      <w:pPr>
        <w:tabs>
          <w:tab w:val="left" w:pos="1168"/>
        </w:tabs>
        <w:spacing w:after="720"/>
        <w:jc w:val="both"/>
        <w:rPr>
          <w:rFonts w:eastAsia="Times New Roman" w:cs="Times New Roman"/>
          <w:szCs w:val="20"/>
          <w:lang w:eastAsia="en-CA"/>
        </w:rPr>
      </w:pPr>
      <w:r w:rsidRPr="0046151B">
        <w:rPr>
          <w:rFonts w:eastAsia="Times New Roman" w:cs="Times New Roman"/>
          <w:b/>
          <w:szCs w:val="20"/>
          <w:lang w:eastAsia="en-CA"/>
        </w:rPr>
        <w:t>Statutes and Regulations Cited</w:t>
      </w:r>
    </w:p>
    <w:p w:rsidR="0046151B" w:rsidRPr="0046151B" w:rsidRDefault="0046151B" w:rsidP="0046151B">
      <w:pPr>
        <w:tabs>
          <w:tab w:val="left" w:pos="1168"/>
        </w:tabs>
        <w:spacing w:after="720"/>
        <w:ind w:left="547" w:hanging="547"/>
        <w:jc w:val="both"/>
        <w:rPr>
          <w:rFonts w:eastAsia="Times New Roman" w:cs="Times New Roman"/>
          <w:szCs w:val="20"/>
          <w:lang w:eastAsia="en-CA"/>
        </w:rPr>
      </w:pPr>
      <w:r w:rsidRPr="0046151B">
        <w:rPr>
          <w:rFonts w:eastAsiaTheme="majorEastAsia" w:cs="Times New Roman"/>
          <w:i/>
          <w:iCs/>
          <w:color w:val="000000"/>
          <w:szCs w:val="20"/>
          <w:lang w:eastAsia="en-CA"/>
        </w:rPr>
        <w:t>Canadian Charter of Rights and Freedoms</w:t>
      </w:r>
      <w:r w:rsidRPr="0046151B">
        <w:rPr>
          <w:rFonts w:eastAsiaTheme="majorEastAsia" w:cs="Times New Roman"/>
          <w:iCs/>
          <w:color w:val="000000"/>
          <w:szCs w:val="20"/>
          <w:lang w:eastAsia="en-CA"/>
        </w:rPr>
        <w:t>, ss. 8, 24(2).</w:t>
      </w:r>
    </w:p>
    <w:p w:rsidR="0046151B" w:rsidRPr="0046151B" w:rsidRDefault="0046151B" w:rsidP="0046151B">
      <w:pPr>
        <w:tabs>
          <w:tab w:val="left" w:pos="1168"/>
        </w:tabs>
        <w:spacing w:after="480" w:line="480" w:lineRule="auto"/>
        <w:jc w:val="both"/>
        <w:rPr>
          <w:rFonts w:eastAsia="Times New Roman" w:cs="Times New Roman"/>
          <w:szCs w:val="20"/>
          <w:lang w:eastAsia="en-CA"/>
        </w:rPr>
      </w:pPr>
      <w:r w:rsidRPr="0046151B">
        <w:rPr>
          <w:rFonts w:eastAsia="Times New Roman" w:cs="Times New Roman"/>
          <w:szCs w:val="20"/>
          <w:lang w:eastAsia="en-CA"/>
        </w:rPr>
        <w:tab/>
        <w:t xml:space="preserve">APPEAL from a judgment of the Alberta Court of Appeal (Paperny, Slatter and Veldhuis JJ.A.), 2020 ABCA 344, 17 Alta. L.R. (7th) 26, 394 C.C.C. (3d) 358, </w:t>
      </w:r>
      <w:r w:rsidRPr="0046151B">
        <w:rPr>
          <w:rFonts w:eastAsia="Times New Roman" w:cs="Times New Roman"/>
          <w:bCs/>
          <w:szCs w:val="20"/>
          <w:lang w:eastAsia="en-CA"/>
        </w:rPr>
        <w:t xml:space="preserve">[2020] A.J. No. 1005 (QL), 2020 CarswellAlta 1746 (WL Can.), </w:t>
      </w:r>
      <w:r w:rsidRPr="0046151B">
        <w:rPr>
          <w:rFonts w:eastAsia="Times New Roman" w:cs="Times New Roman"/>
          <w:szCs w:val="20"/>
          <w:lang w:eastAsia="en-CA"/>
        </w:rPr>
        <w:t>affirming the conviction of the accused for</w:t>
      </w:r>
      <w:r w:rsidRPr="0046151B">
        <w:rPr>
          <w:rFonts w:ascii="Arial" w:eastAsia="Times New Roman" w:hAnsi="Arial" w:cs="Arial"/>
          <w:color w:val="212121"/>
          <w:sz w:val="21"/>
          <w:szCs w:val="21"/>
          <w:lang w:eastAsia="en-CA"/>
        </w:rPr>
        <w:t xml:space="preserve"> </w:t>
      </w:r>
      <w:r w:rsidRPr="0046151B">
        <w:rPr>
          <w:rFonts w:eastAsia="Times New Roman" w:cs="Times New Roman"/>
          <w:color w:val="000000"/>
          <w:szCs w:val="20"/>
          <w:lang w:eastAsia="en-CA"/>
        </w:rPr>
        <w:t>possession of cocaine for the purpose of trafficking</w:t>
      </w:r>
      <w:r w:rsidRPr="0046151B">
        <w:rPr>
          <w:rFonts w:eastAsia="Times New Roman" w:cs="Times New Roman"/>
          <w:szCs w:val="20"/>
          <w:lang w:eastAsia="en-CA"/>
        </w:rPr>
        <w:t>. Appeal dismissed.</w:t>
      </w:r>
    </w:p>
    <w:p w:rsidR="0046151B" w:rsidRPr="0046151B" w:rsidRDefault="0046151B" w:rsidP="0046151B">
      <w:pPr>
        <w:tabs>
          <w:tab w:val="left" w:pos="1168"/>
        </w:tabs>
        <w:spacing w:after="480" w:line="480" w:lineRule="auto"/>
        <w:jc w:val="both"/>
        <w:rPr>
          <w:rFonts w:eastAsia="Times New Roman" w:cs="Times New Roman"/>
          <w:szCs w:val="20"/>
          <w:lang w:eastAsia="en-CA"/>
        </w:rPr>
      </w:pPr>
      <w:r w:rsidRPr="0046151B">
        <w:rPr>
          <w:rFonts w:eastAsia="Times New Roman" w:cs="Times New Roman"/>
          <w:i/>
          <w:szCs w:val="20"/>
          <w:lang w:eastAsia="en-CA"/>
        </w:rPr>
        <w:tab/>
        <w:t>Wade Hlady</w:t>
      </w:r>
      <w:r w:rsidRPr="0046151B">
        <w:rPr>
          <w:rFonts w:eastAsia="Times New Roman" w:cs="Times New Roman"/>
          <w:szCs w:val="20"/>
          <w:lang w:eastAsia="en-CA"/>
        </w:rPr>
        <w:t>, for the appellant.</w:t>
      </w:r>
    </w:p>
    <w:p w:rsidR="0046151B" w:rsidRPr="0046151B" w:rsidRDefault="0046151B" w:rsidP="0046151B">
      <w:pPr>
        <w:tabs>
          <w:tab w:val="left" w:pos="1168"/>
        </w:tabs>
        <w:spacing w:after="480" w:line="480" w:lineRule="auto"/>
        <w:jc w:val="both"/>
        <w:rPr>
          <w:rFonts w:eastAsia="Times New Roman" w:cs="Times New Roman"/>
          <w:szCs w:val="20"/>
          <w:lang w:eastAsia="en-CA"/>
        </w:rPr>
      </w:pPr>
      <w:r w:rsidRPr="0046151B">
        <w:rPr>
          <w:rFonts w:eastAsia="Times New Roman" w:cs="Times New Roman"/>
          <w:i/>
          <w:szCs w:val="20"/>
          <w:lang w:eastAsia="en-CA"/>
        </w:rPr>
        <w:tab/>
        <w:t>Monique Dion</w:t>
      </w:r>
      <w:r w:rsidRPr="0046151B">
        <w:rPr>
          <w:rFonts w:eastAsia="Times New Roman" w:cs="Times New Roman"/>
          <w:szCs w:val="20"/>
          <w:lang w:eastAsia="en-CA"/>
        </w:rPr>
        <w:t>, for the respondent.</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szCs w:val="20"/>
          <w:lang w:eastAsia="en-CA"/>
        </w:rPr>
        <w:tab/>
      </w:r>
      <w:r w:rsidRPr="0046151B">
        <w:rPr>
          <w:rFonts w:eastAsia="Times New Roman" w:cs="Times New Roman"/>
          <w:color w:val="000000"/>
          <w:szCs w:val="20"/>
          <w:lang w:eastAsia="en-CA"/>
        </w:rPr>
        <w:t>The judgment of Moldaver, Brown, Rowe and Jamal JJ. was delivered orally by</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lastRenderedPageBreak/>
        <w:t>[1]</w:t>
      </w:r>
      <w:r w:rsidRPr="0046151B">
        <w:rPr>
          <w:rFonts w:eastAsia="Times New Roman" w:cs="Times New Roman"/>
          <w:color w:val="000000"/>
          <w:szCs w:val="20"/>
          <w:lang w:eastAsia="en-CA"/>
        </w:rPr>
        <w:tab/>
      </w:r>
      <w:r w:rsidRPr="0046151B">
        <w:rPr>
          <w:rFonts w:eastAsia="Times New Roman" w:cs="Times New Roman"/>
          <w:smallCaps/>
          <w:color w:val="000000"/>
          <w:szCs w:val="20"/>
          <w:lang w:eastAsia="en-CA"/>
        </w:rPr>
        <w:t>Moldaver</w:t>
      </w:r>
      <w:r w:rsidRPr="0046151B">
        <w:rPr>
          <w:rFonts w:eastAsia="Times New Roman" w:cs="Times New Roman"/>
          <w:color w:val="000000"/>
          <w:szCs w:val="20"/>
          <w:lang w:eastAsia="en-CA"/>
        </w:rPr>
        <w:t> </w:t>
      </w:r>
      <w:r w:rsidRPr="0046151B">
        <w:rPr>
          <w:rFonts w:eastAsia="Times New Roman" w:cs="Times New Roman"/>
          <w:smallCaps/>
          <w:color w:val="000000"/>
          <w:szCs w:val="20"/>
          <w:lang w:eastAsia="en-CA"/>
        </w:rPr>
        <w:t>J.</w:t>
      </w:r>
      <w:r w:rsidRPr="0046151B">
        <w:rPr>
          <w:rFonts w:eastAsia="Times New Roman" w:cs="Times New Roman"/>
          <w:color w:val="000000"/>
          <w:szCs w:val="20"/>
          <w:lang w:eastAsia="en-CA"/>
        </w:rPr>
        <w:t xml:space="preserve"> — Mr. Ali appeals as of right to this Court. A majority of the Alberta Court of Appeal affirmed his conviction for possession of cocaine for the purpose of trafficking. They found that the trial judge did not err in determining that the police’s strip search of Mr. Ali, incident to his lawful arrest, complied with </w:t>
      </w:r>
      <w:r w:rsidRPr="0046151B">
        <w:rPr>
          <w:rFonts w:eastAsiaTheme="majorEastAsia" w:cs="Times New Roman"/>
          <w:szCs w:val="20"/>
          <w:lang w:eastAsia="en-CA"/>
        </w:rPr>
        <w:t>s. 8</w:t>
      </w:r>
      <w:r w:rsidRPr="0046151B">
        <w:rPr>
          <w:rFonts w:eastAsia="Times New Roman" w:cs="Times New Roman"/>
          <w:color w:val="000000"/>
          <w:szCs w:val="20"/>
          <w:lang w:eastAsia="en-CA"/>
        </w:rPr>
        <w:t xml:space="preserve"> of the </w:t>
      </w:r>
      <w:r w:rsidRPr="0046151B">
        <w:rPr>
          <w:rFonts w:eastAsiaTheme="majorEastAsia" w:cs="Times New Roman"/>
          <w:i/>
          <w:iCs/>
          <w:color w:val="000000"/>
          <w:szCs w:val="20"/>
          <w:lang w:eastAsia="en-CA"/>
        </w:rPr>
        <w:t>Canadian Charter of Rights and Freedoms</w:t>
      </w:r>
      <w:r w:rsidRPr="0046151B">
        <w:rPr>
          <w:rFonts w:eastAsia="Times New Roman" w:cs="Times New Roman"/>
          <w:i/>
          <w:iCs/>
          <w:color w:val="000000"/>
          <w:szCs w:val="20"/>
          <w:lang w:eastAsia="en-CA"/>
        </w:rPr>
        <w:t xml:space="preserve"> </w:t>
      </w:r>
      <w:r w:rsidRPr="0046151B">
        <w:rPr>
          <w:rFonts w:eastAsia="Times New Roman" w:cs="Times New Roman"/>
          <w:color w:val="000000"/>
          <w:szCs w:val="20"/>
          <w:lang w:eastAsia="en-CA"/>
        </w:rPr>
        <w:t xml:space="preserve">in accordance with the principles governing strip searches set out by this Court in </w:t>
      </w:r>
      <w:r w:rsidRPr="0046151B">
        <w:rPr>
          <w:rFonts w:eastAsia="Times New Roman" w:cs="Times New Roman"/>
          <w:i/>
          <w:iCs/>
          <w:color w:val="000000"/>
          <w:szCs w:val="20"/>
          <w:lang w:eastAsia="en-CA"/>
        </w:rPr>
        <w:t>R. v. Golden</w:t>
      </w:r>
      <w:r w:rsidRPr="0046151B">
        <w:rPr>
          <w:rFonts w:eastAsia="Times New Roman" w:cs="Times New Roman"/>
          <w:color w:val="000000"/>
          <w:szCs w:val="20"/>
          <w:lang w:eastAsia="en-CA"/>
        </w:rPr>
        <w:t>, 2001 SCC 83, [2001] 3 S.C.R. 679.</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t>[2]</w:t>
      </w:r>
      <w:r w:rsidRPr="0046151B">
        <w:rPr>
          <w:rFonts w:eastAsia="Times New Roman" w:cs="Times New Roman"/>
          <w:color w:val="000000"/>
          <w:szCs w:val="20"/>
          <w:lang w:eastAsia="en-CA"/>
        </w:rPr>
        <w:tab/>
        <w:t xml:space="preserve">A majority of this Court agrees with the conclusion of the majority of the Court of Appeal and would dismiss the appeal. Where a strip search is conducted as an incident to a person’s lawful arrest, there must be reasonable and probable grounds justifying the strip search, in addition to reasonable and probable grounds justifying the arrest (see </w:t>
      </w:r>
      <w:r w:rsidRPr="0046151B">
        <w:rPr>
          <w:rFonts w:eastAsia="Times New Roman" w:cs="Times New Roman"/>
          <w:i/>
          <w:iCs/>
          <w:color w:val="000000"/>
          <w:szCs w:val="20"/>
          <w:lang w:eastAsia="en-CA"/>
        </w:rPr>
        <w:t>Golden</w:t>
      </w:r>
      <w:r w:rsidRPr="0046151B">
        <w:rPr>
          <w:rFonts w:eastAsia="Times New Roman" w:cs="Times New Roman"/>
          <w:color w:val="000000"/>
          <w:szCs w:val="20"/>
          <w:lang w:eastAsia="en-CA"/>
        </w:rPr>
        <w:t xml:space="preserve">, at para. 99). These grounds are met for the strip search where there is some evidence suggesting the possibility of concealment of weapons or other evidence related to the reason for the arrest (see </w:t>
      </w:r>
      <w:r w:rsidRPr="0046151B">
        <w:rPr>
          <w:rFonts w:eastAsia="Times New Roman" w:cs="Times New Roman"/>
          <w:i/>
          <w:iCs/>
          <w:color w:val="000000"/>
          <w:szCs w:val="20"/>
          <w:lang w:eastAsia="en-CA"/>
        </w:rPr>
        <w:t>Golden</w:t>
      </w:r>
      <w:r w:rsidRPr="0046151B">
        <w:rPr>
          <w:rFonts w:eastAsia="Times New Roman" w:cs="Times New Roman"/>
          <w:color w:val="000000"/>
          <w:szCs w:val="20"/>
          <w:lang w:eastAsia="en-CA"/>
        </w:rPr>
        <w:t>, at paras. 94 and 111).</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t>[3]</w:t>
      </w:r>
      <w:r w:rsidRPr="0046151B">
        <w:rPr>
          <w:rFonts w:eastAsia="Times New Roman" w:cs="Times New Roman"/>
          <w:color w:val="000000"/>
          <w:szCs w:val="20"/>
          <w:lang w:eastAsia="en-CA"/>
        </w:rPr>
        <w:tab/>
        <w:t>Like the majority of the Court of Appeal, we are satisfied that there were reasonable and probable grounds justifying the strip search: the police had confidential source information that their target was in possession of a large quantity of cocaine and that he kept most of his drugs on his person; Mr. Ali was found next to a table with drugs, other than cocaine, and with items consistent with drug trafficking, including a scale, money, and a ringing cell phone; Mr. Ali’s pants were partially down as he was being arrested; and one of the officers reported seeing Mr. Ali reaching towards the back of his pants. Viewed in its totality, this was clearly some evidence suggesting the possibility that Mr. Ali had concealed drugs, particularly cocaine, in and around the area of his buttocks.</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lastRenderedPageBreak/>
        <w:t>[4]</w:t>
      </w:r>
      <w:r w:rsidRPr="0046151B">
        <w:rPr>
          <w:rFonts w:eastAsia="Times New Roman" w:cs="Times New Roman"/>
          <w:color w:val="000000"/>
          <w:szCs w:val="20"/>
          <w:lang w:eastAsia="en-CA"/>
        </w:rPr>
        <w:tab/>
        <w:t>We would not give effect to Mr. Ali’s argument that a hearsay error arose because the officer who requested the strip search, Cst. Darroch, testified that he was told by another officer, Cst. Odorski, that Mr. Ali was reaching towards the back of his pants, and Cst. Odorski did not refer to this in his testimony at trial. Mr. Ali now concedes that Cst. Darroch’s testimony was not inadmissible hearsay because it was not entered for the truth of its contents; the question, he maintains, was whether Cst. Darroch could reasonably rely on the information from Cst. Odorski as a factor in deciding whether he had reasonable and probable grounds to request the strip search. Defence counsel chose not to cross</w:t>
      </w:r>
      <w:r w:rsidRPr="0046151B">
        <w:rPr>
          <w:rFonts w:eastAsia="Times New Roman" w:cs="Times New Roman"/>
          <w:color w:val="000000"/>
          <w:szCs w:val="20"/>
          <w:lang w:eastAsia="en-CA"/>
        </w:rPr>
        <w:noBreakHyphen/>
        <w:t>examine either officer about this information. It stood uncontradicted. This tactical choice undermines Mr. Ali’s submission that it was unreasonable for Cst. Darroch to rely on Cst. Odorski’s information.</w:t>
      </w:r>
    </w:p>
    <w:p w:rsidR="0046151B" w:rsidRPr="0046151B" w:rsidRDefault="0046151B" w:rsidP="0046151B">
      <w:pPr>
        <w:tabs>
          <w:tab w:val="left" w:pos="1168"/>
        </w:tabs>
        <w:spacing w:after="480" w:line="480" w:lineRule="auto"/>
        <w:jc w:val="both"/>
        <w:rPr>
          <w:rFonts w:eastAsia="Times New Roman" w:cs="Times New Roman"/>
          <w:szCs w:val="20"/>
          <w:lang w:val="en-US" w:eastAsia="en-CA"/>
        </w:rPr>
      </w:pPr>
      <w:r w:rsidRPr="0046151B">
        <w:rPr>
          <w:rFonts w:eastAsia="Times New Roman" w:cs="Times New Roman"/>
          <w:color w:val="000000"/>
          <w:szCs w:val="20"/>
          <w:lang w:eastAsia="en-CA"/>
        </w:rPr>
        <w:t>[5]</w:t>
      </w:r>
      <w:r w:rsidRPr="0046151B">
        <w:rPr>
          <w:rFonts w:eastAsia="Times New Roman" w:cs="Times New Roman"/>
          <w:color w:val="000000"/>
          <w:szCs w:val="20"/>
          <w:lang w:eastAsia="en-CA"/>
        </w:rPr>
        <w:tab/>
        <w:t>For these reasons, we would dismiss the appeal.</w:t>
      </w:r>
    </w:p>
    <w:p w:rsidR="0046151B" w:rsidRPr="0046151B" w:rsidRDefault="0046151B" w:rsidP="0046151B">
      <w:pPr>
        <w:tabs>
          <w:tab w:val="left" w:pos="1168"/>
        </w:tabs>
        <w:spacing w:after="480" w:line="480" w:lineRule="auto"/>
        <w:jc w:val="both"/>
        <w:rPr>
          <w:rFonts w:eastAsia="Times New Roman" w:cs="Times New Roman"/>
          <w:szCs w:val="20"/>
          <w:lang w:eastAsia="en-CA"/>
        </w:rPr>
      </w:pPr>
      <w:r w:rsidRPr="0046151B">
        <w:rPr>
          <w:rFonts w:eastAsia="Times New Roman" w:cs="Times New Roman"/>
          <w:szCs w:val="20"/>
          <w:lang w:eastAsia="en-CA"/>
        </w:rPr>
        <w:tab/>
        <w:t xml:space="preserve">The following are the reasons delivered </w:t>
      </w:r>
      <w:r w:rsidRPr="0046151B">
        <w:rPr>
          <w:rFonts w:eastAsia="Times New Roman" w:cs="Times New Roman"/>
          <w:color w:val="000000"/>
          <w:szCs w:val="20"/>
          <w:lang w:eastAsia="en-CA"/>
        </w:rPr>
        <w:t xml:space="preserve">orally </w:t>
      </w:r>
      <w:r w:rsidRPr="0046151B">
        <w:rPr>
          <w:rFonts w:eastAsia="Times New Roman" w:cs="Times New Roman"/>
          <w:szCs w:val="20"/>
          <w:lang w:eastAsia="en-CA"/>
        </w:rPr>
        <w:t>by</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szCs w:val="20"/>
          <w:lang w:eastAsia="en-CA"/>
        </w:rPr>
        <w:t>[6]</w:t>
      </w:r>
      <w:r w:rsidRPr="0046151B">
        <w:rPr>
          <w:rFonts w:eastAsia="Times New Roman" w:cs="Times New Roman"/>
          <w:szCs w:val="20"/>
          <w:lang w:eastAsia="en-CA"/>
        </w:rPr>
        <w:tab/>
      </w:r>
      <w:r w:rsidRPr="0046151B">
        <w:rPr>
          <w:rFonts w:eastAsia="Times New Roman" w:cs="Times New Roman"/>
          <w:smallCaps/>
          <w:color w:val="000000"/>
          <w:szCs w:val="20"/>
          <w:lang w:eastAsia="en-CA"/>
        </w:rPr>
        <w:t>Côté J.</w:t>
      </w:r>
      <w:r w:rsidRPr="0046151B">
        <w:rPr>
          <w:rFonts w:eastAsia="Times New Roman" w:cs="Times New Roman"/>
          <w:color w:val="000000"/>
          <w:szCs w:val="20"/>
          <w:lang w:eastAsia="en-CA"/>
        </w:rPr>
        <w:t xml:space="preserve"> — I agree with the majority’s disposition of the appeal, but for different reasons.</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t>[7]</w:t>
      </w:r>
      <w:r w:rsidRPr="0046151B">
        <w:rPr>
          <w:rFonts w:eastAsia="Times New Roman" w:cs="Times New Roman"/>
          <w:color w:val="000000"/>
          <w:szCs w:val="20"/>
          <w:lang w:eastAsia="en-CA"/>
        </w:rPr>
        <w:tab/>
        <w:t xml:space="preserve">In my view, the respondent Crown failed to discharge its burden of establishing the legal basis for the strip search of Mr. Ali in accordance with the principles set out by this Court in </w:t>
      </w:r>
      <w:r w:rsidRPr="0046151B">
        <w:rPr>
          <w:rFonts w:eastAsia="Times New Roman" w:cs="Times New Roman"/>
          <w:i/>
          <w:iCs/>
          <w:color w:val="000000"/>
          <w:szCs w:val="20"/>
          <w:lang w:eastAsia="en-CA"/>
        </w:rPr>
        <w:t>Golden</w:t>
      </w:r>
      <w:r w:rsidRPr="0046151B">
        <w:rPr>
          <w:rFonts w:eastAsia="Times New Roman" w:cs="Times New Roman"/>
          <w:color w:val="000000"/>
          <w:szCs w:val="20"/>
          <w:lang w:eastAsia="en-CA"/>
        </w:rPr>
        <w:t xml:space="preserve">. As such, I find that Mr. Ali’s </w:t>
      </w:r>
      <w:r w:rsidRPr="0046151B">
        <w:rPr>
          <w:rFonts w:eastAsiaTheme="majorEastAsia" w:cs="Times New Roman"/>
          <w:szCs w:val="20"/>
          <w:lang w:eastAsia="en-CA"/>
        </w:rPr>
        <w:t>s. 8</w:t>
      </w:r>
      <w:r w:rsidRPr="0046151B">
        <w:rPr>
          <w:rFonts w:eastAsia="Times New Roman" w:cs="Times New Roman"/>
          <w:color w:val="000000"/>
          <w:szCs w:val="20"/>
          <w:lang w:eastAsia="en-CA"/>
        </w:rPr>
        <w:t xml:space="preserve"> </w:t>
      </w:r>
      <w:r w:rsidRPr="0046151B">
        <w:rPr>
          <w:rFonts w:eastAsiaTheme="majorEastAsia" w:cs="Times New Roman"/>
          <w:i/>
          <w:iCs/>
          <w:color w:val="000000"/>
          <w:szCs w:val="20"/>
          <w:lang w:eastAsia="en-CA"/>
        </w:rPr>
        <w:t>Charter</w:t>
      </w:r>
      <w:r w:rsidRPr="0046151B">
        <w:rPr>
          <w:rFonts w:eastAsia="Times New Roman" w:cs="Times New Roman"/>
          <w:i/>
          <w:iCs/>
          <w:color w:val="000000"/>
          <w:szCs w:val="20"/>
          <w:lang w:eastAsia="en-CA"/>
        </w:rPr>
        <w:t xml:space="preserve"> </w:t>
      </w:r>
      <w:r w:rsidRPr="0046151B">
        <w:rPr>
          <w:rFonts w:eastAsia="Times New Roman" w:cs="Times New Roman"/>
          <w:color w:val="000000"/>
          <w:szCs w:val="20"/>
          <w:lang w:eastAsia="en-CA"/>
        </w:rPr>
        <w:t>rights were violated, substantially for the reasons of Veldhuis J.A., at paras. 27</w:t>
      </w:r>
      <w:r w:rsidRPr="0046151B">
        <w:rPr>
          <w:rFonts w:eastAsia="Times New Roman" w:cs="Times New Roman"/>
          <w:color w:val="000000"/>
          <w:szCs w:val="20"/>
          <w:lang w:eastAsia="en-CA"/>
        </w:rPr>
        <w:noBreakHyphen/>
        <w:t>61.</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lastRenderedPageBreak/>
        <w:t>[8]</w:t>
      </w:r>
      <w:r w:rsidRPr="0046151B">
        <w:rPr>
          <w:rFonts w:eastAsia="Times New Roman" w:cs="Times New Roman"/>
          <w:color w:val="000000"/>
          <w:szCs w:val="20"/>
          <w:lang w:eastAsia="en-CA"/>
        </w:rPr>
        <w:tab/>
        <w:t xml:space="preserve">However, I part ways with Veldhuis J.A. with respect to the proper remedy. Relying on </w:t>
      </w:r>
      <w:r w:rsidRPr="0046151B">
        <w:rPr>
          <w:rFonts w:eastAsia="Times New Roman" w:cs="Times New Roman"/>
          <w:i/>
          <w:iCs/>
          <w:color w:val="000000"/>
          <w:szCs w:val="20"/>
          <w:lang w:eastAsia="en-CA"/>
        </w:rPr>
        <w:t>Golden</w:t>
      </w:r>
      <w:r w:rsidRPr="0046151B">
        <w:rPr>
          <w:rFonts w:eastAsia="Times New Roman" w:cs="Times New Roman"/>
          <w:color w:val="000000"/>
          <w:szCs w:val="20"/>
          <w:lang w:eastAsia="en-CA"/>
        </w:rPr>
        <w:t>,</w:t>
      </w:r>
      <w:r w:rsidRPr="0046151B">
        <w:rPr>
          <w:rFonts w:eastAsia="Times New Roman" w:cs="Times New Roman"/>
          <w:i/>
          <w:iCs/>
          <w:color w:val="000000"/>
          <w:szCs w:val="20"/>
          <w:lang w:eastAsia="en-CA"/>
        </w:rPr>
        <w:t xml:space="preserve"> </w:t>
      </w:r>
      <w:r w:rsidRPr="0046151B">
        <w:rPr>
          <w:rFonts w:eastAsia="Times New Roman" w:cs="Times New Roman"/>
          <w:color w:val="000000"/>
          <w:szCs w:val="20"/>
          <w:lang w:eastAsia="en-CA"/>
        </w:rPr>
        <w:t>at paras. 118</w:t>
      </w:r>
      <w:r w:rsidRPr="0046151B">
        <w:rPr>
          <w:rFonts w:eastAsia="Times New Roman" w:cs="Times New Roman"/>
          <w:color w:val="000000"/>
          <w:szCs w:val="20"/>
          <w:lang w:eastAsia="en-CA"/>
        </w:rPr>
        <w:noBreakHyphen/>
        <w:t>19,</w:t>
      </w:r>
      <w:r w:rsidRPr="0046151B">
        <w:rPr>
          <w:rFonts w:eastAsia="Times New Roman" w:cs="Times New Roman"/>
          <w:i/>
          <w:iCs/>
          <w:color w:val="000000"/>
          <w:szCs w:val="20"/>
          <w:lang w:eastAsia="en-CA"/>
        </w:rPr>
        <w:t xml:space="preserve"> </w:t>
      </w:r>
      <w:r w:rsidRPr="0046151B">
        <w:rPr>
          <w:rFonts w:eastAsia="Times New Roman" w:cs="Times New Roman"/>
          <w:color w:val="000000"/>
          <w:szCs w:val="20"/>
          <w:lang w:eastAsia="en-CA"/>
        </w:rPr>
        <w:t xml:space="preserve">Mr. Ali argues that this Court should substitute an acquittal because conducting an analysis under </w:t>
      </w:r>
      <w:r w:rsidRPr="0046151B">
        <w:rPr>
          <w:rFonts w:eastAsiaTheme="majorEastAsia" w:cs="Times New Roman"/>
          <w:szCs w:val="20"/>
          <w:lang w:eastAsia="en-CA"/>
        </w:rPr>
        <w:t>s. 24(2)</w:t>
      </w:r>
      <w:r w:rsidRPr="0046151B">
        <w:rPr>
          <w:rFonts w:eastAsia="Times New Roman" w:cs="Times New Roman"/>
          <w:color w:val="000000"/>
          <w:szCs w:val="20"/>
          <w:lang w:eastAsia="en-CA"/>
        </w:rPr>
        <w:t xml:space="preserve"> of the </w:t>
      </w:r>
      <w:r w:rsidRPr="0046151B">
        <w:rPr>
          <w:rFonts w:eastAsiaTheme="majorEastAsia" w:cs="Times New Roman"/>
          <w:i/>
          <w:iCs/>
          <w:color w:val="000000"/>
          <w:szCs w:val="20"/>
          <w:lang w:eastAsia="en-CA"/>
        </w:rPr>
        <w:t>Charter</w:t>
      </w:r>
      <w:r w:rsidRPr="0046151B">
        <w:rPr>
          <w:rFonts w:eastAsia="Times New Roman" w:cs="Times New Roman"/>
          <w:color w:val="000000"/>
          <w:szCs w:val="20"/>
          <w:lang w:eastAsia="en-CA"/>
        </w:rPr>
        <w:t xml:space="preserve"> would be a mere theoretical exercise.</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t>[9]</w:t>
      </w:r>
      <w:r w:rsidRPr="0046151B">
        <w:rPr>
          <w:rFonts w:eastAsia="Times New Roman" w:cs="Times New Roman"/>
          <w:color w:val="000000"/>
          <w:szCs w:val="20"/>
          <w:lang w:eastAsia="en-CA"/>
        </w:rPr>
        <w:tab/>
        <w:t xml:space="preserve">I disagree. As in </w:t>
      </w:r>
      <w:r w:rsidRPr="0046151B">
        <w:rPr>
          <w:rFonts w:eastAsia="Times New Roman" w:cs="Times New Roman"/>
          <w:i/>
          <w:iCs/>
          <w:color w:val="000000"/>
          <w:szCs w:val="20"/>
          <w:lang w:eastAsia="en-CA"/>
        </w:rPr>
        <w:t>Golden</w:t>
      </w:r>
      <w:r w:rsidRPr="0046151B">
        <w:rPr>
          <w:rFonts w:eastAsia="Times New Roman" w:cs="Times New Roman"/>
          <w:color w:val="000000"/>
          <w:szCs w:val="20"/>
          <w:lang w:eastAsia="en-CA"/>
        </w:rPr>
        <w:t>,</w:t>
      </w:r>
      <w:r w:rsidRPr="0046151B">
        <w:rPr>
          <w:rFonts w:eastAsia="Times New Roman" w:cs="Times New Roman"/>
          <w:i/>
          <w:iCs/>
          <w:color w:val="000000"/>
          <w:szCs w:val="20"/>
          <w:lang w:eastAsia="en-CA"/>
        </w:rPr>
        <w:t xml:space="preserve"> </w:t>
      </w:r>
      <w:r w:rsidRPr="0046151B">
        <w:rPr>
          <w:rFonts w:eastAsia="Times New Roman" w:cs="Times New Roman"/>
          <w:color w:val="000000"/>
          <w:szCs w:val="20"/>
          <w:lang w:eastAsia="en-CA"/>
        </w:rPr>
        <w:t>I acknowledge that Mr. Ali has already served his custodial sentence. Nevertheless, he remains subject to restrictions to his liberty, including a firearms prohibition and a DNA order. As such, determining whether the evidence ought to be admitted will have tangible consequences, both for Mr. Ali and for the public.</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t>[10]</w:t>
      </w:r>
      <w:r w:rsidRPr="0046151B">
        <w:rPr>
          <w:rFonts w:eastAsia="Times New Roman" w:cs="Times New Roman"/>
          <w:color w:val="000000"/>
          <w:szCs w:val="20"/>
          <w:lang w:eastAsia="en-CA"/>
        </w:rPr>
        <w:tab/>
        <w:t xml:space="preserve">Moreover, the facts of this case are plainly distinguishable from </w:t>
      </w:r>
      <w:r w:rsidRPr="0046151B">
        <w:rPr>
          <w:rFonts w:eastAsia="Times New Roman" w:cs="Times New Roman"/>
          <w:i/>
          <w:iCs/>
          <w:color w:val="000000"/>
          <w:szCs w:val="20"/>
          <w:lang w:eastAsia="en-CA"/>
        </w:rPr>
        <w:t>Golden</w:t>
      </w:r>
      <w:r w:rsidRPr="0046151B">
        <w:rPr>
          <w:rFonts w:eastAsia="Times New Roman" w:cs="Times New Roman"/>
          <w:color w:val="000000"/>
          <w:szCs w:val="20"/>
          <w:lang w:eastAsia="en-CA"/>
        </w:rPr>
        <w:t xml:space="preserve">. The strip search in </w:t>
      </w:r>
      <w:r w:rsidRPr="0046151B">
        <w:rPr>
          <w:rFonts w:eastAsia="Times New Roman" w:cs="Times New Roman"/>
          <w:i/>
          <w:iCs/>
          <w:color w:val="000000"/>
          <w:szCs w:val="20"/>
          <w:lang w:eastAsia="en-CA"/>
        </w:rPr>
        <w:t>Golden</w:t>
      </w:r>
      <w:r w:rsidRPr="0046151B">
        <w:rPr>
          <w:rFonts w:eastAsia="Times New Roman" w:cs="Times New Roman"/>
          <w:color w:val="000000"/>
          <w:szCs w:val="20"/>
          <w:lang w:eastAsia="en-CA"/>
        </w:rPr>
        <w:t xml:space="preserve"> was coercive and forceful, conducted in a public area without authorization from a senior officer, and may have jeopardized the accused’s health and safety. The search of Mr. Ali has none of these characteristics. It is undisputed that it was conducted in a reasonable manner. In my view, it is worthwhile to assess whether admitting evidence obtained as a result of the </w:t>
      </w:r>
      <w:r w:rsidRPr="0046151B">
        <w:rPr>
          <w:rFonts w:eastAsiaTheme="majorEastAsia" w:cs="Times New Roman"/>
          <w:i/>
          <w:iCs/>
          <w:color w:val="000000"/>
          <w:szCs w:val="20"/>
          <w:lang w:eastAsia="en-CA"/>
        </w:rPr>
        <w:t>Charter</w:t>
      </w:r>
      <w:r w:rsidRPr="0046151B">
        <w:rPr>
          <w:rFonts w:eastAsia="Times New Roman" w:cs="Times New Roman"/>
          <w:color w:val="000000"/>
          <w:szCs w:val="20"/>
          <w:lang w:eastAsia="en-CA"/>
        </w:rPr>
        <w:t xml:space="preserve"> breach would do further damage to the repute of the justice system.</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t>[11]</w:t>
      </w:r>
      <w:r w:rsidRPr="0046151B">
        <w:rPr>
          <w:rFonts w:eastAsia="Times New Roman" w:cs="Times New Roman"/>
          <w:color w:val="000000"/>
          <w:szCs w:val="20"/>
          <w:lang w:eastAsia="en-CA"/>
        </w:rPr>
        <w:tab/>
        <w:t xml:space="preserve">I further acknowledge that, as the courts below found no breach of </w:t>
      </w:r>
      <w:r w:rsidRPr="0046151B">
        <w:rPr>
          <w:rFonts w:eastAsiaTheme="majorEastAsia" w:cs="Times New Roman"/>
          <w:szCs w:val="20"/>
          <w:lang w:eastAsia="en-CA"/>
        </w:rPr>
        <w:t>s. 8</w:t>
      </w:r>
      <w:r w:rsidRPr="0046151B">
        <w:rPr>
          <w:rFonts w:eastAsia="Times New Roman" w:cs="Times New Roman"/>
          <w:color w:val="000000"/>
          <w:szCs w:val="20"/>
          <w:lang w:eastAsia="en-CA"/>
        </w:rPr>
        <w:t xml:space="preserve"> in this case, they did not consider whether the evidence should be excluded under </w:t>
      </w:r>
      <w:r w:rsidRPr="0046151B">
        <w:rPr>
          <w:rFonts w:eastAsiaTheme="majorEastAsia" w:cs="Times New Roman"/>
          <w:szCs w:val="20"/>
          <w:lang w:eastAsia="en-CA"/>
        </w:rPr>
        <w:t>s. 24(2)</w:t>
      </w:r>
      <w:r w:rsidRPr="0046151B">
        <w:rPr>
          <w:rFonts w:eastAsia="Times New Roman" w:cs="Times New Roman"/>
          <w:color w:val="000000"/>
          <w:szCs w:val="20"/>
          <w:lang w:eastAsia="en-CA"/>
        </w:rPr>
        <w:t>. However, I accept the Crown’s submission that the record before this Court is sufficient to determine whether the admission of the evidence would bring the administration of justice into disrepute. Therefore, I see no utility in sending the matter back for redetermination. In these circumstances, it is open to this Court to conduct its own first</w:t>
      </w:r>
      <w:r w:rsidRPr="0046151B">
        <w:rPr>
          <w:rFonts w:eastAsia="Times New Roman" w:cs="Times New Roman"/>
          <w:color w:val="000000"/>
          <w:szCs w:val="20"/>
          <w:lang w:eastAsia="en-CA"/>
        </w:rPr>
        <w:noBreakHyphen/>
        <w:t xml:space="preserve">instance </w:t>
      </w:r>
      <w:r w:rsidRPr="0046151B">
        <w:rPr>
          <w:rFonts w:eastAsiaTheme="majorEastAsia" w:cs="Times New Roman"/>
          <w:szCs w:val="20"/>
          <w:lang w:eastAsia="en-CA"/>
        </w:rPr>
        <w:t>s. 24(2)</w:t>
      </w:r>
      <w:r w:rsidRPr="0046151B">
        <w:rPr>
          <w:rFonts w:eastAsia="Times New Roman" w:cs="Times New Roman"/>
          <w:color w:val="000000"/>
          <w:szCs w:val="20"/>
          <w:lang w:eastAsia="en-CA"/>
        </w:rPr>
        <w:t xml:space="preserve"> analysis (</w:t>
      </w:r>
      <w:r w:rsidRPr="0046151B">
        <w:rPr>
          <w:rFonts w:eastAsia="Times New Roman" w:cs="Times New Roman"/>
          <w:i/>
          <w:iCs/>
          <w:color w:val="000000"/>
          <w:szCs w:val="20"/>
          <w:lang w:eastAsia="en-CA"/>
        </w:rPr>
        <w:t>R. v. Spencer</w:t>
      </w:r>
      <w:r w:rsidRPr="0046151B">
        <w:rPr>
          <w:rFonts w:eastAsia="Times New Roman" w:cs="Times New Roman"/>
          <w:color w:val="000000"/>
          <w:szCs w:val="20"/>
          <w:lang w:eastAsia="en-CA"/>
        </w:rPr>
        <w:t>, 2014 SCC 43, [2014] 2 S.C.R. 212, at para. 75).</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lastRenderedPageBreak/>
        <w:t>[12]</w:t>
      </w:r>
      <w:r w:rsidRPr="0046151B">
        <w:rPr>
          <w:rFonts w:eastAsia="Times New Roman" w:cs="Times New Roman"/>
          <w:color w:val="000000"/>
          <w:szCs w:val="20"/>
          <w:lang w:eastAsia="en-CA"/>
        </w:rPr>
        <w:tab/>
        <w:t xml:space="preserve">Applying the three lines of inquiry from </w:t>
      </w:r>
      <w:r w:rsidRPr="0046151B">
        <w:rPr>
          <w:rFonts w:eastAsia="Times New Roman" w:cs="Times New Roman"/>
          <w:i/>
          <w:iCs/>
          <w:color w:val="000000"/>
          <w:szCs w:val="20"/>
          <w:lang w:eastAsia="en-CA"/>
        </w:rPr>
        <w:t>R. v. Grant</w:t>
      </w:r>
      <w:r w:rsidRPr="0046151B">
        <w:rPr>
          <w:rFonts w:eastAsia="Times New Roman" w:cs="Times New Roman"/>
          <w:color w:val="000000"/>
          <w:szCs w:val="20"/>
          <w:lang w:eastAsia="en-CA"/>
        </w:rPr>
        <w:t>, 2009 SCC 32, [2009] 2 S.C.R. 353,</w:t>
      </w:r>
      <w:r w:rsidRPr="0046151B">
        <w:rPr>
          <w:rFonts w:eastAsia="Times New Roman" w:cs="Times New Roman"/>
          <w:i/>
          <w:iCs/>
          <w:color w:val="000000"/>
          <w:szCs w:val="20"/>
          <w:lang w:eastAsia="en-CA"/>
        </w:rPr>
        <w:t xml:space="preserve"> </w:t>
      </w:r>
      <w:r w:rsidRPr="0046151B">
        <w:rPr>
          <w:rFonts w:eastAsia="Times New Roman" w:cs="Times New Roman"/>
          <w:color w:val="000000"/>
          <w:szCs w:val="20"/>
          <w:lang w:eastAsia="en-CA"/>
        </w:rPr>
        <w:t>I would not exclude the evidence.</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t>[13]</w:t>
      </w:r>
      <w:r w:rsidRPr="0046151B">
        <w:rPr>
          <w:rFonts w:eastAsia="Times New Roman" w:cs="Times New Roman"/>
          <w:color w:val="000000"/>
          <w:szCs w:val="20"/>
          <w:lang w:eastAsia="en-CA"/>
        </w:rPr>
        <w:tab/>
        <w:t xml:space="preserve">First, the seriousness of the police conduct in this case was at the lowest end of the spectrum. Cst. Darroch believed in good faith that he had the requisite grounds to strip search Mr. Ali. He relayed his grounds to his superior officer, who authorized the search at the police station. I see no basis to suggest that the police wilfully disregarded Mr. Ali’s </w:t>
      </w:r>
      <w:r w:rsidRPr="0046151B">
        <w:rPr>
          <w:rFonts w:eastAsiaTheme="majorEastAsia" w:cs="Times New Roman"/>
          <w:i/>
          <w:iCs/>
          <w:color w:val="000000"/>
          <w:szCs w:val="20"/>
          <w:lang w:eastAsia="en-CA"/>
        </w:rPr>
        <w:t>Charter</w:t>
      </w:r>
      <w:r w:rsidRPr="0046151B">
        <w:rPr>
          <w:rFonts w:eastAsia="Times New Roman" w:cs="Times New Roman"/>
          <w:i/>
          <w:iCs/>
          <w:color w:val="000000"/>
          <w:szCs w:val="20"/>
          <w:lang w:eastAsia="en-CA"/>
        </w:rPr>
        <w:t xml:space="preserve"> </w:t>
      </w:r>
      <w:r w:rsidRPr="0046151B">
        <w:rPr>
          <w:rFonts w:eastAsia="Times New Roman" w:cs="Times New Roman"/>
          <w:color w:val="000000"/>
          <w:szCs w:val="20"/>
          <w:lang w:eastAsia="en-CA"/>
        </w:rPr>
        <w:t>rights. This factor favours admission.</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t>[14]</w:t>
      </w:r>
      <w:r w:rsidRPr="0046151B">
        <w:rPr>
          <w:rFonts w:eastAsia="Times New Roman" w:cs="Times New Roman"/>
          <w:color w:val="000000"/>
          <w:szCs w:val="20"/>
          <w:lang w:eastAsia="en-CA"/>
        </w:rPr>
        <w:tab/>
        <w:t>Second, the impact of the strip search on Mr. Ali’s privacy interests, while serious, was somewhat attenuated by the reasonable manner in which it was conducted. At trial, counsel for Mr. Ali noted the search was “as humane as possible given the circumstances” (trial transcript, A.R., at p. 173). In my view, this factor tips only moderately in favour of exclusion.</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t>[15]</w:t>
      </w:r>
      <w:r w:rsidRPr="0046151B">
        <w:rPr>
          <w:rFonts w:eastAsia="Times New Roman" w:cs="Times New Roman"/>
          <w:color w:val="000000"/>
          <w:szCs w:val="20"/>
          <w:lang w:eastAsia="en-CA"/>
        </w:rPr>
        <w:tab/>
        <w:t xml:space="preserve">The final </w:t>
      </w:r>
      <w:r w:rsidRPr="0046151B">
        <w:rPr>
          <w:rFonts w:eastAsia="Times New Roman" w:cs="Times New Roman"/>
          <w:i/>
          <w:iCs/>
          <w:color w:val="000000"/>
          <w:szCs w:val="20"/>
          <w:lang w:eastAsia="en-CA"/>
        </w:rPr>
        <w:t>Grant</w:t>
      </w:r>
      <w:r w:rsidRPr="0046151B">
        <w:rPr>
          <w:rFonts w:eastAsia="Times New Roman" w:cs="Times New Roman"/>
          <w:color w:val="000000"/>
          <w:szCs w:val="20"/>
          <w:lang w:eastAsia="en-CA"/>
        </w:rPr>
        <w:t xml:space="preserve"> inquiry strongly favours admission. Mr. Ali was in possession of 65 grams of crack cocaine. The Crown would have no case without this evidence. There is a strong societal interest in adjudicating this case on its merits.</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t>[16]</w:t>
      </w:r>
      <w:r w:rsidRPr="0046151B">
        <w:rPr>
          <w:rFonts w:eastAsia="Times New Roman" w:cs="Times New Roman"/>
          <w:color w:val="000000"/>
          <w:szCs w:val="20"/>
          <w:lang w:eastAsia="en-CA"/>
        </w:rPr>
        <w:tab/>
        <w:t>On balance, I conclude that excluding the evidence would bring the administration of justice into disrepute. To be clear, I would emphatically re</w:t>
      </w:r>
      <w:r w:rsidRPr="0046151B">
        <w:rPr>
          <w:rFonts w:eastAsia="Times New Roman" w:cs="Times New Roman"/>
          <w:color w:val="000000"/>
          <w:szCs w:val="20"/>
          <w:lang w:eastAsia="en-CA"/>
        </w:rPr>
        <w:noBreakHyphen/>
        <w:t xml:space="preserve">affirm the principles arising from </w:t>
      </w:r>
      <w:r w:rsidRPr="0046151B">
        <w:rPr>
          <w:rFonts w:eastAsia="Times New Roman" w:cs="Times New Roman"/>
          <w:i/>
          <w:iCs/>
          <w:color w:val="000000"/>
          <w:szCs w:val="20"/>
          <w:lang w:eastAsia="en-CA"/>
        </w:rPr>
        <w:t>Golden</w:t>
      </w:r>
      <w:r w:rsidRPr="0046151B">
        <w:rPr>
          <w:rFonts w:eastAsia="Times New Roman" w:cs="Times New Roman"/>
          <w:color w:val="000000"/>
          <w:szCs w:val="20"/>
          <w:lang w:eastAsia="en-CA"/>
        </w:rPr>
        <w:t xml:space="preserve"> and the high threshold the Crown must meet to justify a warrantless strip search. However, while the Crown failed to meet that threshold in this case, the conduct of the police did not undermine the integrity of the justice system. Therefore, I would not exclude the evidence.</w:t>
      </w:r>
    </w:p>
    <w:p w:rsidR="0046151B" w:rsidRPr="0046151B" w:rsidRDefault="0046151B" w:rsidP="0046151B">
      <w:pPr>
        <w:tabs>
          <w:tab w:val="left" w:pos="1168"/>
        </w:tabs>
        <w:spacing w:after="480" w:line="480" w:lineRule="auto"/>
        <w:jc w:val="both"/>
        <w:rPr>
          <w:rFonts w:eastAsia="Times New Roman" w:cs="Times New Roman"/>
          <w:color w:val="000000"/>
          <w:szCs w:val="20"/>
          <w:lang w:eastAsia="en-CA"/>
        </w:rPr>
      </w:pPr>
      <w:r w:rsidRPr="0046151B">
        <w:rPr>
          <w:rFonts w:eastAsia="Times New Roman" w:cs="Times New Roman"/>
          <w:color w:val="000000"/>
          <w:szCs w:val="20"/>
          <w:lang w:eastAsia="en-CA"/>
        </w:rPr>
        <w:lastRenderedPageBreak/>
        <w:t>[17]</w:t>
      </w:r>
      <w:r w:rsidRPr="0046151B">
        <w:rPr>
          <w:rFonts w:eastAsia="Times New Roman" w:cs="Times New Roman"/>
          <w:color w:val="000000"/>
          <w:szCs w:val="20"/>
          <w:lang w:eastAsia="en-CA"/>
        </w:rPr>
        <w:tab/>
        <w:t>For the foregoing reasons, I would dismiss the appeal and affirm the conviction.</w:t>
      </w:r>
    </w:p>
    <w:p w:rsidR="0046151B" w:rsidRPr="0046151B" w:rsidRDefault="0046151B" w:rsidP="0046151B">
      <w:pPr>
        <w:tabs>
          <w:tab w:val="left" w:pos="1168"/>
        </w:tabs>
        <w:spacing w:after="480" w:line="480" w:lineRule="auto"/>
        <w:jc w:val="both"/>
        <w:rPr>
          <w:rFonts w:eastAsia="Times New Roman" w:cs="Times New Roman"/>
          <w:i/>
          <w:color w:val="000000"/>
          <w:szCs w:val="20"/>
          <w:lang w:eastAsia="en-CA"/>
        </w:rPr>
      </w:pPr>
      <w:r w:rsidRPr="0046151B">
        <w:rPr>
          <w:rFonts w:eastAsia="Times New Roman" w:cs="Times New Roman"/>
          <w:i/>
          <w:color w:val="000000"/>
          <w:szCs w:val="20"/>
          <w:lang w:eastAsia="en-CA"/>
        </w:rPr>
        <w:tab/>
        <w:t>Judgment accordingly.</w:t>
      </w:r>
    </w:p>
    <w:p w:rsidR="0046151B" w:rsidRPr="0046151B" w:rsidRDefault="0046151B" w:rsidP="0046151B">
      <w:pPr>
        <w:tabs>
          <w:tab w:val="left" w:pos="1168"/>
        </w:tabs>
        <w:spacing w:after="480" w:line="480" w:lineRule="auto"/>
        <w:jc w:val="both"/>
        <w:rPr>
          <w:rFonts w:eastAsia="Times New Roman" w:cs="Times New Roman"/>
          <w:i/>
          <w:color w:val="000000"/>
          <w:szCs w:val="20"/>
          <w:lang w:eastAsia="en-CA"/>
        </w:rPr>
      </w:pPr>
      <w:r w:rsidRPr="0046151B">
        <w:rPr>
          <w:rFonts w:eastAsia="Times New Roman" w:cs="Times New Roman"/>
          <w:i/>
          <w:color w:val="000000"/>
          <w:szCs w:val="20"/>
          <w:lang w:eastAsia="en-CA"/>
        </w:rPr>
        <w:tab/>
        <w:t>Solicitors for the appellant: Hlady Law Office, Lethbridge.</w:t>
      </w:r>
    </w:p>
    <w:p w:rsidR="0046151B" w:rsidRPr="0046151B" w:rsidRDefault="0046151B" w:rsidP="0046151B">
      <w:pPr>
        <w:tabs>
          <w:tab w:val="left" w:pos="1168"/>
        </w:tabs>
        <w:spacing w:after="480" w:line="480" w:lineRule="auto"/>
        <w:jc w:val="both"/>
        <w:rPr>
          <w:rFonts w:eastAsia="Times New Roman" w:cs="Times New Roman"/>
          <w:i/>
          <w:szCs w:val="20"/>
          <w:lang w:val="en-US" w:eastAsia="en-CA"/>
        </w:rPr>
      </w:pPr>
      <w:r w:rsidRPr="0046151B">
        <w:rPr>
          <w:rFonts w:eastAsia="Times New Roman" w:cs="Times New Roman"/>
          <w:i/>
          <w:color w:val="000000"/>
          <w:szCs w:val="20"/>
          <w:lang w:eastAsia="en-CA"/>
        </w:rPr>
        <w:tab/>
        <w:t>Solicitor for the respondent: Public Prosecution Service of Canada, Edmonton.</w:t>
      </w:r>
    </w:p>
    <w:p w:rsidR="00904937" w:rsidRPr="0046151B" w:rsidRDefault="00904937">
      <w:pPr>
        <w:rPr>
          <w:lang w:val="en-US"/>
        </w:rPr>
      </w:pPr>
    </w:p>
    <w:sectPr w:rsidR="00904937" w:rsidRPr="0046151B"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3087F"/>
    <w:rsid w:val="00076773"/>
    <w:rsid w:val="00087E50"/>
    <w:rsid w:val="000A7A7D"/>
    <w:rsid w:val="000C2AD4"/>
    <w:rsid w:val="001311DA"/>
    <w:rsid w:val="00137FD2"/>
    <w:rsid w:val="001412E4"/>
    <w:rsid w:val="00151E1C"/>
    <w:rsid w:val="001648D4"/>
    <w:rsid w:val="001B0985"/>
    <w:rsid w:val="001B27ED"/>
    <w:rsid w:val="001B299D"/>
    <w:rsid w:val="001D6B8C"/>
    <w:rsid w:val="001F1F83"/>
    <w:rsid w:val="001F3E0C"/>
    <w:rsid w:val="001F7378"/>
    <w:rsid w:val="00205C5C"/>
    <w:rsid w:val="00205C5D"/>
    <w:rsid w:val="00252460"/>
    <w:rsid w:val="00252642"/>
    <w:rsid w:val="00261713"/>
    <w:rsid w:val="00273D07"/>
    <w:rsid w:val="0028675F"/>
    <w:rsid w:val="002B3784"/>
    <w:rsid w:val="002C1DA9"/>
    <w:rsid w:val="002C2CC6"/>
    <w:rsid w:val="002C5A33"/>
    <w:rsid w:val="002D4FC9"/>
    <w:rsid w:val="00307011"/>
    <w:rsid w:val="00315695"/>
    <w:rsid w:val="00355967"/>
    <w:rsid w:val="00384384"/>
    <w:rsid w:val="003B2BE1"/>
    <w:rsid w:val="003B3C63"/>
    <w:rsid w:val="003B4DCC"/>
    <w:rsid w:val="003D611B"/>
    <w:rsid w:val="00410BF4"/>
    <w:rsid w:val="00411A8D"/>
    <w:rsid w:val="00451668"/>
    <w:rsid w:val="00460AFC"/>
    <w:rsid w:val="0046151B"/>
    <w:rsid w:val="004E69EC"/>
    <w:rsid w:val="004F090E"/>
    <w:rsid w:val="00517955"/>
    <w:rsid w:val="00517EB1"/>
    <w:rsid w:val="00524C08"/>
    <w:rsid w:val="00540106"/>
    <w:rsid w:val="00564C88"/>
    <w:rsid w:val="0057185B"/>
    <w:rsid w:val="00582136"/>
    <w:rsid w:val="005D2CFA"/>
    <w:rsid w:val="005D4801"/>
    <w:rsid w:val="0061259C"/>
    <w:rsid w:val="00662DBC"/>
    <w:rsid w:val="006779AD"/>
    <w:rsid w:val="006B210C"/>
    <w:rsid w:val="006B3AD6"/>
    <w:rsid w:val="00701ABD"/>
    <w:rsid w:val="007740CA"/>
    <w:rsid w:val="0078280C"/>
    <w:rsid w:val="00815561"/>
    <w:rsid w:val="00842677"/>
    <w:rsid w:val="00843369"/>
    <w:rsid w:val="00852D4E"/>
    <w:rsid w:val="00880B14"/>
    <w:rsid w:val="008C4C2F"/>
    <w:rsid w:val="00904937"/>
    <w:rsid w:val="0093524C"/>
    <w:rsid w:val="00962C82"/>
    <w:rsid w:val="00996510"/>
    <w:rsid w:val="0099776C"/>
    <w:rsid w:val="009A5E2F"/>
    <w:rsid w:val="009B58B8"/>
    <w:rsid w:val="009E1B85"/>
    <w:rsid w:val="009E7065"/>
    <w:rsid w:val="00A15427"/>
    <w:rsid w:val="00A51D10"/>
    <w:rsid w:val="00A57778"/>
    <w:rsid w:val="00AB2201"/>
    <w:rsid w:val="00AC3EAB"/>
    <w:rsid w:val="00BC2DFD"/>
    <w:rsid w:val="00BD14D7"/>
    <w:rsid w:val="00BD4217"/>
    <w:rsid w:val="00C003E6"/>
    <w:rsid w:val="00C0342A"/>
    <w:rsid w:val="00C621F5"/>
    <w:rsid w:val="00CE17A0"/>
    <w:rsid w:val="00D030DA"/>
    <w:rsid w:val="00D76BDF"/>
    <w:rsid w:val="00DA7B22"/>
    <w:rsid w:val="00DF15D7"/>
    <w:rsid w:val="00E22DBA"/>
    <w:rsid w:val="00E356C7"/>
    <w:rsid w:val="00E5364D"/>
    <w:rsid w:val="00E54E6E"/>
    <w:rsid w:val="00E64FA7"/>
    <w:rsid w:val="00E770CB"/>
    <w:rsid w:val="00EA6DB9"/>
    <w:rsid w:val="00EB6286"/>
    <w:rsid w:val="00EC6CDA"/>
    <w:rsid w:val="00ED6EEC"/>
    <w:rsid w:val="00EF0E44"/>
    <w:rsid w:val="00EF72F1"/>
    <w:rsid w:val="00F36AF0"/>
    <w:rsid w:val="00F468B4"/>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character" w:styleId="CommentReference">
    <w:name w:val="annotation reference"/>
    <w:basedOn w:val="DefaultParagraphFont"/>
    <w:uiPriority w:val="99"/>
    <w:semiHidden/>
    <w:unhideWhenUsed/>
    <w:rsid w:val="009A5E2F"/>
    <w:rPr>
      <w:sz w:val="16"/>
      <w:szCs w:val="16"/>
    </w:rPr>
  </w:style>
  <w:style w:type="paragraph" w:styleId="CommentText">
    <w:name w:val="annotation text"/>
    <w:basedOn w:val="Normal"/>
    <w:link w:val="CommentTextChar"/>
    <w:uiPriority w:val="99"/>
    <w:semiHidden/>
    <w:unhideWhenUsed/>
    <w:rsid w:val="009A5E2F"/>
    <w:rPr>
      <w:sz w:val="20"/>
      <w:szCs w:val="20"/>
    </w:rPr>
  </w:style>
  <w:style w:type="character" w:customStyle="1" w:styleId="CommentTextChar">
    <w:name w:val="Comment Text Char"/>
    <w:basedOn w:val="DefaultParagraphFont"/>
    <w:link w:val="CommentText"/>
    <w:uiPriority w:val="99"/>
    <w:semiHidden/>
    <w:rsid w:val="009A5E2F"/>
    <w:rPr>
      <w:sz w:val="20"/>
      <w:szCs w:val="20"/>
      <w:lang w:val="en-CA"/>
    </w:rPr>
  </w:style>
  <w:style w:type="paragraph" w:styleId="CommentSubject">
    <w:name w:val="annotation subject"/>
    <w:basedOn w:val="CommentText"/>
    <w:next w:val="CommentText"/>
    <w:link w:val="CommentSubjectChar"/>
    <w:uiPriority w:val="99"/>
    <w:semiHidden/>
    <w:unhideWhenUsed/>
    <w:rsid w:val="009A5E2F"/>
    <w:rPr>
      <w:b/>
      <w:bCs/>
    </w:rPr>
  </w:style>
  <w:style w:type="character" w:customStyle="1" w:styleId="CommentSubjectChar">
    <w:name w:val="Comment Subject Char"/>
    <w:basedOn w:val="CommentTextChar"/>
    <w:link w:val="CommentSubject"/>
    <w:uiPriority w:val="99"/>
    <w:semiHidden/>
    <w:rsid w:val="009A5E2F"/>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3215-8FBD-4A89-A10E-5E7EF4B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2022-01-19T19:28:00Z</dcterms:created>
  <dcterms:modified xsi:type="dcterms:W3CDTF">2022-01-28T17:56:00Z</dcterms:modified>
</cp:coreProperties>
</file>