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9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1561"/>
        <w:gridCol w:w="2381"/>
        <w:gridCol w:w="3004"/>
      </w:tblGrid>
      <w:tr w:rsidR="00EF72F1" w:rsidTr="009B58B8">
        <w:trPr>
          <w:trHeight w:val="2103"/>
        </w:trPr>
        <w:tc>
          <w:tcPr>
            <w:tcW w:w="5000" w:type="pct"/>
            <w:gridSpan w:val="4"/>
          </w:tcPr>
          <w:p w:rsidR="00EF72F1" w:rsidRDefault="00EF72F1" w:rsidP="001F3E0C">
            <w:pPr>
              <w:pStyle w:val="SCCBold"/>
              <w:jc w:val="center"/>
            </w:pPr>
            <w:r>
              <w:rPr>
                <w:noProof/>
                <w:lang w:val="en-US"/>
              </w:rPr>
              <w:drawing>
                <wp:inline distT="0" distB="0" distL="0" distR="0" wp14:anchorId="1B25E650" wp14:editId="180151F3">
                  <wp:extent cx="1191895" cy="1638300"/>
                  <wp:effectExtent l="0" t="0" r="8255" b="0"/>
                  <wp:docPr id="2" name="Picture 2" descr="cid:image001.jpg@01D72252.19B69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252.19B69D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91895" cy="1638300"/>
                          </a:xfrm>
                          <a:prstGeom prst="rect">
                            <a:avLst/>
                          </a:prstGeom>
                          <a:noFill/>
                          <a:ln>
                            <a:noFill/>
                          </a:ln>
                        </pic:spPr>
                      </pic:pic>
                    </a:graphicData>
                  </a:graphic>
                </wp:inline>
              </w:drawing>
            </w:r>
          </w:p>
          <w:p w:rsidR="00EF72F1" w:rsidRDefault="00EF72F1" w:rsidP="009764CA">
            <w:pPr>
              <w:spacing w:before="120" w:after="100" w:afterAutospacing="1"/>
              <w:jc w:val="center"/>
              <w:rPr>
                <w:rFonts w:eastAsia="Calibri"/>
              </w:rPr>
            </w:pPr>
            <w:r w:rsidRPr="00C22905">
              <w:rPr>
                <w:rFonts w:eastAsia="Calibri"/>
                <w:b/>
              </w:rPr>
              <w:t>SUPREME COURT OF CANADA</w:t>
            </w:r>
          </w:p>
        </w:tc>
      </w:tr>
      <w:tr w:rsidR="00EF72F1" w:rsidRPr="00684821" w:rsidTr="00B62010">
        <w:tblPrEx>
          <w:tblCellMar>
            <w:top w:w="58" w:type="dxa"/>
            <w:left w:w="58" w:type="dxa"/>
            <w:bottom w:w="58" w:type="dxa"/>
            <w:right w:w="58" w:type="dxa"/>
          </w:tblCellMar>
        </w:tblPrEx>
        <w:trPr>
          <w:cantSplit/>
        </w:trPr>
        <w:tc>
          <w:tcPr>
            <w:tcW w:w="2078" w:type="pct"/>
            <w:gridSpan w:val="2"/>
          </w:tcPr>
          <w:p w:rsidR="00EF72F1" w:rsidRPr="00CF2168" w:rsidRDefault="00EF72F1" w:rsidP="00FC2782">
            <w:pPr>
              <w:rPr>
                <w:b/>
                <w:smallCaps/>
                <w:lang w:val="fr-CA"/>
              </w:rPr>
            </w:pPr>
          </w:p>
          <w:p w:rsidR="00EF72F1" w:rsidRPr="00684821" w:rsidRDefault="00EF72F1" w:rsidP="00FC2782">
            <w:pPr>
              <w:rPr>
                <w:b/>
                <w:smallCaps/>
                <w:lang w:val="fr-CA"/>
              </w:rPr>
            </w:pPr>
            <w:r w:rsidRPr="00684821">
              <w:rPr>
                <w:b/>
                <w:smallCaps/>
                <w:lang w:val="fr-CA"/>
              </w:rPr>
              <w:t>Citation:</w:t>
            </w:r>
            <w:r w:rsidRPr="00684821">
              <w:rPr>
                <w:lang w:val="fr-CA"/>
              </w:rPr>
              <w:t xml:space="preserve"> </w:t>
            </w:r>
            <w:r w:rsidR="00CF2168" w:rsidRPr="00684821">
              <w:rPr>
                <w:lang w:val="fr-CA"/>
              </w:rPr>
              <w:t xml:space="preserve">R. </w:t>
            </w:r>
            <w:r w:rsidR="00CF2168" w:rsidRPr="00684821">
              <w:rPr>
                <w:i/>
                <w:lang w:val="fr-CA"/>
              </w:rPr>
              <w:t>v.</w:t>
            </w:r>
            <w:r w:rsidR="00CF2168" w:rsidRPr="00684821">
              <w:rPr>
                <w:lang w:val="fr-CA"/>
              </w:rPr>
              <w:t xml:space="preserve"> Ste-Marie, 2022 SCC 3</w:t>
            </w:r>
          </w:p>
        </w:tc>
        <w:tc>
          <w:tcPr>
            <w:tcW w:w="1292" w:type="pct"/>
          </w:tcPr>
          <w:p w:rsidR="00EF72F1" w:rsidRPr="00684821" w:rsidRDefault="00EF72F1" w:rsidP="00FC2782">
            <w:pPr>
              <w:rPr>
                <w:lang w:val="fr-CA"/>
              </w:rPr>
            </w:pPr>
          </w:p>
        </w:tc>
        <w:tc>
          <w:tcPr>
            <w:tcW w:w="1630" w:type="pct"/>
          </w:tcPr>
          <w:p w:rsidR="00EF72F1" w:rsidRPr="00684821" w:rsidRDefault="00EF72F1" w:rsidP="00451668">
            <w:pPr>
              <w:rPr>
                <w:b/>
                <w:smallCaps/>
                <w:lang w:val="fr-CA"/>
              </w:rPr>
            </w:pPr>
          </w:p>
          <w:p w:rsidR="00EF72F1" w:rsidRPr="00684821" w:rsidRDefault="00EF72F1" w:rsidP="00EA6DB9">
            <w:pPr>
              <w:jc w:val="both"/>
              <w:rPr>
                <w:rFonts w:eastAsia="Times New Roman" w:cs="Times New Roman"/>
                <w:szCs w:val="20"/>
                <w:lang w:eastAsia="en-CA"/>
              </w:rPr>
            </w:pPr>
            <w:r w:rsidRPr="00684821">
              <w:rPr>
                <w:b/>
                <w:smallCaps/>
              </w:rPr>
              <w:t>Appeal Heard:</w:t>
            </w:r>
            <w:r w:rsidRPr="00684821">
              <w:t xml:space="preserve"> </w:t>
            </w:r>
            <w:r w:rsidR="00CF2168" w:rsidRPr="00684821">
              <w:rPr>
                <w:rFonts w:eastAsia="Times New Roman" w:cs="Times New Roman"/>
                <w:szCs w:val="20"/>
                <w:lang w:eastAsia="en-CA"/>
              </w:rPr>
              <w:t>February 10, 2022</w:t>
            </w:r>
          </w:p>
          <w:p w:rsidR="00EF72F1" w:rsidRPr="00684821" w:rsidRDefault="00EF72F1">
            <w:r w:rsidRPr="00684821">
              <w:rPr>
                <w:b/>
                <w:smallCaps/>
              </w:rPr>
              <w:t>Judgment Rendered:</w:t>
            </w:r>
            <w:r w:rsidRPr="00684821">
              <w:t xml:space="preserve"> </w:t>
            </w:r>
            <w:r w:rsidR="00CF2168" w:rsidRPr="00684821">
              <w:t>February 10, 2022</w:t>
            </w:r>
          </w:p>
          <w:p w:rsidR="00EF72F1" w:rsidRPr="00684821" w:rsidRDefault="00EF72F1" w:rsidP="00540106">
            <w:r w:rsidRPr="00684821">
              <w:rPr>
                <w:b/>
                <w:smallCaps/>
              </w:rPr>
              <w:t>Docket:</w:t>
            </w:r>
            <w:r w:rsidRPr="00684821">
              <w:t xml:space="preserve"> 39381</w:t>
            </w:r>
          </w:p>
        </w:tc>
      </w:tr>
      <w:tr w:rsidR="00EF72F1" w:rsidRPr="00684821" w:rsidTr="009B58B8">
        <w:tblPrEx>
          <w:tblCellMar>
            <w:top w:w="58" w:type="dxa"/>
            <w:left w:w="58" w:type="dxa"/>
            <w:bottom w:w="58" w:type="dxa"/>
            <w:right w:w="58" w:type="dxa"/>
          </w:tblCellMar>
        </w:tblPrEx>
        <w:trPr>
          <w:cantSplit/>
        </w:trPr>
        <w:tc>
          <w:tcPr>
            <w:tcW w:w="5000" w:type="pct"/>
            <w:gridSpan w:val="4"/>
          </w:tcPr>
          <w:p w:rsidR="00EF72F1" w:rsidRPr="00684821" w:rsidRDefault="00EF72F1" w:rsidP="00EF72F1"/>
          <w:p w:rsidR="00DC694C" w:rsidRPr="00684821" w:rsidRDefault="007E67F6">
            <w:pPr>
              <w:pStyle w:val="SCCLsocPrefix"/>
            </w:pPr>
            <w:r w:rsidRPr="00684821">
              <w:t>Between:</w:t>
            </w:r>
          </w:p>
          <w:p w:rsidR="00CF2168" w:rsidRPr="00684821" w:rsidRDefault="00CF2168" w:rsidP="00CF2168"/>
          <w:p w:rsidR="00DC694C" w:rsidRPr="00684821" w:rsidRDefault="00CF2168">
            <w:pPr>
              <w:pStyle w:val="SCCLsocParty"/>
            </w:pPr>
            <w:r w:rsidRPr="00684821">
              <w:t>Her Majesty T</w:t>
            </w:r>
            <w:r w:rsidR="007E67F6" w:rsidRPr="00684821">
              <w:t>he Queen</w:t>
            </w:r>
          </w:p>
          <w:p w:rsidR="00DC694C" w:rsidRPr="00684821" w:rsidRDefault="00CF2168">
            <w:pPr>
              <w:pStyle w:val="SCCLsocPartyRole"/>
            </w:pPr>
            <w:r w:rsidRPr="00684821">
              <w:t>Appellant</w:t>
            </w:r>
          </w:p>
          <w:p w:rsidR="00DC694C" w:rsidRPr="00684821" w:rsidRDefault="00DC694C"/>
          <w:p w:rsidR="00DC694C" w:rsidRPr="00684821" w:rsidRDefault="00CF2168">
            <w:pPr>
              <w:pStyle w:val="SCCLsocVersus"/>
              <w:rPr>
                <w:lang w:val="fr-CA"/>
              </w:rPr>
            </w:pPr>
            <w:r w:rsidRPr="00684821">
              <w:rPr>
                <w:lang w:val="fr-CA"/>
              </w:rPr>
              <w:t>and</w:t>
            </w:r>
          </w:p>
          <w:p w:rsidR="00DC694C" w:rsidRPr="00684821" w:rsidRDefault="00DC694C">
            <w:pPr>
              <w:rPr>
                <w:lang w:val="fr-CA"/>
              </w:rPr>
            </w:pPr>
          </w:p>
          <w:p w:rsidR="00DC694C" w:rsidRPr="00684821" w:rsidRDefault="007E67F6">
            <w:pPr>
              <w:pStyle w:val="SCCLsocParty"/>
              <w:rPr>
                <w:lang w:val="fr-CA"/>
              </w:rPr>
            </w:pPr>
            <w:r w:rsidRPr="00684821">
              <w:rPr>
                <w:lang w:val="fr-CA"/>
              </w:rPr>
              <w:t xml:space="preserve">Mélanie Ste-Marie, </w:t>
            </w:r>
            <w:r w:rsidR="00CF2168" w:rsidRPr="00684821">
              <w:rPr>
                <w:lang w:val="fr-CA"/>
              </w:rPr>
              <w:t>Michel Ste-Marie, Dax Ste-Marie and</w:t>
            </w:r>
            <w:r w:rsidRPr="00684821">
              <w:rPr>
                <w:lang w:val="fr-CA"/>
              </w:rPr>
              <w:t xml:space="preserve"> Richard Felx</w:t>
            </w:r>
          </w:p>
          <w:p w:rsidR="00DC694C" w:rsidRPr="00684821" w:rsidRDefault="007E67F6">
            <w:pPr>
              <w:pStyle w:val="SCCLsocPartyRole"/>
              <w:rPr>
                <w:lang w:val="fr-CA"/>
              </w:rPr>
            </w:pPr>
            <w:r w:rsidRPr="00684821">
              <w:rPr>
                <w:lang w:val="fr-CA"/>
              </w:rPr>
              <w:t>Respondents</w:t>
            </w:r>
          </w:p>
          <w:p w:rsidR="00DC694C" w:rsidRPr="00684821" w:rsidRDefault="00DC694C">
            <w:pPr>
              <w:rPr>
                <w:lang w:val="fr-CA"/>
              </w:rPr>
            </w:pPr>
          </w:p>
          <w:p w:rsidR="00DC694C" w:rsidRPr="00684821" w:rsidRDefault="007E67F6">
            <w:pPr>
              <w:pStyle w:val="SCCLsocOtherPartySeparator"/>
              <w:rPr>
                <w:lang w:val="fr-CA"/>
              </w:rPr>
            </w:pPr>
            <w:r w:rsidRPr="00684821">
              <w:rPr>
                <w:lang w:val="fr-CA"/>
              </w:rPr>
              <w:t>- and -</w:t>
            </w:r>
          </w:p>
          <w:p w:rsidR="00DC694C" w:rsidRPr="00684821" w:rsidRDefault="00DC694C">
            <w:pPr>
              <w:rPr>
                <w:lang w:val="fr-CA"/>
              </w:rPr>
            </w:pPr>
          </w:p>
          <w:p w:rsidR="00DC694C" w:rsidRPr="00684821" w:rsidRDefault="007E67F6">
            <w:pPr>
              <w:pStyle w:val="SCCLsocParty"/>
              <w:rPr>
                <w:lang w:val="fr-CA"/>
              </w:rPr>
            </w:pPr>
            <w:r w:rsidRPr="00684821">
              <w:rPr>
                <w:lang w:val="fr-CA"/>
              </w:rPr>
              <w:t>Attorney Gener</w:t>
            </w:r>
            <w:r w:rsidR="00CF2168" w:rsidRPr="00684821">
              <w:rPr>
                <w:lang w:val="fr-CA"/>
              </w:rPr>
              <w:t>al of Ontario, Criminal Lawyers’ Association (Ontario) and</w:t>
            </w:r>
            <w:r w:rsidRPr="00684821">
              <w:rPr>
                <w:lang w:val="fr-CA"/>
              </w:rPr>
              <w:t xml:space="preserve"> Association québécoise des avocats et avocates de la défense</w:t>
            </w:r>
          </w:p>
          <w:p w:rsidR="00DC694C" w:rsidRPr="00684821" w:rsidRDefault="007E67F6">
            <w:pPr>
              <w:pStyle w:val="SCCLsocPartyRole"/>
              <w:rPr>
                <w:lang w:val="fr-CA"/>
              </w:rPr>
            </w:pPr>
            <w:r w:rsidRPr="00684821">
              <w:rPr>
                <w:lang w:val="fr-CA"/>
              </w:rPr>
              <w:t>Interveners</w:t>
            </w:r>
          </w:p>
          <w:p w:rsidR="00843369" w:rsidRPr="00684821" w:rsidRDefault="00843369" w:rsidP="00EF72F1">
            <w:pPr>
              <w:rPr>
                <w:lang w:val="fr-CA"/>
              </w:rPr>
            </w:pPr>
          </w:p>
          <w:p w:rsidR="00EF72F1" w:rsidRPr="006E1CC4" w:rsidRDefault="00EF72F1" w:rsidP="00EF72F1">
            <w:pPr>
              <w:jc w:val="center"/>
              <w:rPr>
                <w:b/>
                <w:smallCaps/>
                <w:lang w:val="en-US"/>
              </w:rPr>
            </w:pPr>
            <w:r w:rsidRPr="006E1CC4">
              <w:rPr>
                <w:b/>
                <w:smallCaps/>
                <w:lang w:val="en-US"/>
              </w:rPr>
              <w:t>Official English Translation</w:t>
            </w:r>
          </w:p>
          <w:p w:rsidR="00EF72F1" w:rsidRPr="006E1CC4" w:rsidRDefault="00EF72F1" w:rsidP="00EF72F1">
            <w:pPr>
              <w:rPr>
                <w:lang w:val="en-US"/>
              </w:rPr>
            </w:pPr>
          </w:p>
          <w:p w:rsidR="00EF72F1" w:rsidRPr="00684821" w:rsidRDefault="00EF72F1" w:rsidP="00EF72F1">
            <w:r w:rsidRPr="00684821">
              <w:rPr>
                <w:b/>
                <w:smallCaps/>
              </w:rPr>
              <w:t>Coram:</w:t>
            </w:r>
            <w:r w:rsidRPr="00684821">
              <w:t xml:space="preserve"> Wagner C.J. and Moldaver, Karakatsanis, Côté, Brown, Rowe, Martin, Kasirer and Jamal JJ.</w:t>
            </w:r>
          </w:p>
          <w:p w:rsidR="00EF72F1" w:rsidRPr="00684821" w:rsidRDefault="00EF72F1" w:rsidP="00451668">
            <w:pPr>
              <w:rPr>
                <w:b/>
                <w:smallCaps/>
              </w:rPr>
            </w:pPr>
          </w:p>
        </w:tc>
      </w:tr>
      <w:tr w:rsidR="00CF2168" w:rsidRPr="00684821" w:rsidTr="002C1DA9">
        <w:tblPrEx>
          <w:tblCellMar>
            <w:top w:w="58" w:type="dxa"/>
            <w:left w:w="58" w:type="dxa"/>
            <w:bottom w:w="58" w:type="dxa"/>
            <w:right w:w="58" w:type="dxa"/>
          </w:tblCellMar>
        </w:tblPrEx>
        <w:trPr>
          <w:cantSplit/>
        </w:trPr>
        <w:tc>
          <w:tcPr>
            <w:tcW w:w="1231" w:type="pct"/>
          </w:tcPr>
          <w:p w:rsidR="00CF2168" w:rsidRPr="00684821" w:rsidRDefault="00CF2168" w:rsidP="00CF2168">
            <w:pPr>
              <w:widowControl w:val="0"/>
              <w:rPr>
                <w:b/>
                <w:smallCaps/>
              </w:rPr>
            </w:pPr>
            <w:r w:rsidRPr="00684821">
              <w:rPr>
                <w:b/>
                <w:smallCaps/>
              </w:rPr>
              <w:t>Unanimous Judgment Read By:</w:t>
            </w:r>
          </w:p>
          <w:p w:rsidR="00CF2168" w:rsidRPr="00684821" w:rsidRDefault="00CF2168" w:rsidP="00CF2168">
            <w:pPr>
              <w:widowControl w:val="0"/>
            </w:pPr>
            <w:r w:rsidRPr="00684821">
              <w:t>(paras. 1 to 14)</w:t>
            </w:r>
          </w:p>
          <w:p w:rsidR="00CF2168" w:rsidRPr="00684821" w:rsidRDefault="00CF2168" w:rsidP="00CF2168">
            <w:pPr>
              <w:widowControl w:val="0"/>
              <w:rPr>
                <w:lang w:val="fr-CA"/>
              </w:rPr>
            </w:pPr>
          </w:p>
        </w:tc>
        <w:tc>
          <w:tcPr>
            <w:tcW w:w="3769" w:type="pct"/>
            <w:gridSpan w:val="3"/>
          </w:tcPr>
          <w:p w:rsidR="00CF2168" w:rsidRPr="00684821" w:rsidRDefault="00CF2168" w:rsidP="00CF2168">
            <w:pPr>
              <w:widowControl w:val="0"/>
              <w:rPr>
                <w:lang w:val="en-US"/>
              </w:rPr>
            </w:pPr>
            <w:r w:rsidRPr="00684821">
              <w:rPr>
                <w:lang w:val="en-US"/>
              </w:rPr>
              <w:t>Kasirer J.</w:t>
            </w:r>
          </w:p>
        </w:tc>
      </w:tr>
      <w:tr w:rsidR="00861508" w:rsidRPr="00684821" w:rsidTr="002C1DA9">
        <w:tblPrEx>
          <w:tblCellMar>
            <w:top w:w="58" w:type="dxa"/>
            <w:left w:w="58" w:type="dxa"/>
            <w:bottom w:w="58" w:type="dxa"/>
            <w:right w:w="58" w:type="dxa"/>
          </w:tblCellMar>
        </w:tblPrEx>
        <w:trPr>
          <w:cantSplit/>
        </w:trPr>
        <w:tc>
          <w:tcPr>
            <w:tcW w:w="1231" w:type="pct"/>
          </w:tcPr>
          <w:p w:rsidR="00861508" w:rsidRPr="00861508" w:rsidRDefault="00861508" w:rsidP="00CF2168">
            <w:pPr>
              <w:widowControl w:val="0"/>
              <w:rPr>
                <w:smallCaps/>
              </w:rPr>
            </w:pPr>
          </w:p>
        </w:tc>
        <w:tc>
          <w:tcPr>
            <w:tcW w:w="3769" w:type="pct"/>
            <w:gridSpan w:val="3"/>
          </w:tcPr>
          <w:p w:rsidR="00861508" w:rsidRPr="00684821" w:rsidRDefault="00861508" w:rsidP="00CF2168">
            <w:pPr>
              <w:widowControl w:val="0"/>
              <w:rPr>
                <w:lang w:val="en-US"/>
              </w:rPr>
            </w:pPr>
          </w:p>
        </w:tc>
      </w:tr>
    </w:tbl>
    <w:p w:rsidR="00904937" w:rsidRPr="00564C88" w:rsidRDefault="00904937" w:rsidP="00076773">
      <w:pPr>
        <w:pStyle w:val="SCCBold"/>
        <w:rPr>
          <w:b w:val="0"/>
        </w:rPr>
      </w:pPr>
      <w:r w:rsidRPr="006B210C">
        <w:rPr>
          <w:smallCaps/>
        </w:rPr>
        <w:lastRenderedPageBreak/>
        <w:t>Note:</w:t>
      </w:r>
      <w:r w:rsidRPr="006B210C">
        <w:t xml:space="preserve"> </w:t>
      </w:r>
      <w:r w:rsidRPr="00564C88">
        <w:rPr>
          <w:b w:val="0"/>
        </w:rPr>
        <w:t>This do</w:t>
      </w:r>
      <w:r w:rsidR="009E7065" w:rsidRPr="00564C88">
        <w:rPr>
          <w:b w:val="0"/>
        </w:rPr>
        <w:t>c</w:t>
      </w:r>
      <w:r w:rsidRPr="00564C88">
        <w:rPr>
          <w:b w:val="0"/>
        </w:rPr>
        <w:t xml:space="preserve">ument is subject to editorial revision before its reproduction in final form in the </w:t>
      </w:r>
      <w:r w:rsidRPr="00564C88">
        <w:rPr>
          <w:b w:val="0"/>
          <w:i/>
        </w:rPr>
        <w:t>Canada Supreme Court Reports</w:t>
      </w:r>
      <w:r w:rsidRPr="00564C88">
        <w:rPr>
          <w:b w:val="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3744"/>
        <w:gridCol w:w="2808"/>
      </w:tblGrid>
      <w:tr w:rsidR="00087E50" w:rsidTr="003375C9">
        <w:tc>
          <w:tcPr>
            <w:tcW w:w="1500" w:type="pct"/>
            <w:tcMar>
              <w:top w:w="284" w:type="dxa"/>
            </w:tcMar>
          </w:tcPr>
          <w:p w:rsidR="00087E50" w:rsidRDefault="00087E50" w:rsidP="003375C9">
            <w:pPr>
              <w:rPr>
                <w:rFonts w:eastAsia="Calibri"/>
              </w:rPr>
            </w:pPr>
          </w:p>
        </w:tc>
        <w:tc>
          <w:tcPr>
            <w:tcW w:w="2000" w:type="pct"/>
            <w:tcBorders>
              <w:bottom w:val="single" w:sz="4" w:space="0" w:color="auto"/>
            </w:tcBorders>
            <w:tcMar>
              <w:top w:w="284" w:type="dxa"/>
            </w:tcMar>
          </w:tcPr>
          <w:p w:rsidR="00087E50" w:rsidRDefault="00087E50" w:rsidP="003375C9">
            <w:pPr>
              <w:rPr>
                <w:rFonts w:eastAsia="Calibri"/>
              </w:rPr>
            </w:pPr>
          </w:p>
        </w:tc>
        <w:tc>
          <w:tcPr>
            <w:tcW w:w="1500" w:type="pct"/>
            <w:tcMar>
              <w:top w:w="284" w:type="dxa"/>
            </w:tcMar>
          </w:tcPr>
          <w:p w:rsidR="00087E50" w:rsidRDefault="00087E50" w:rsidP="003375C9">
            <w:pPr>
              <w:rPr>
                <w:rFonts w:eastAsia="Calibri"/>
              </w:rPr>
            </w:pPr>
          </w:p>
        </w:tc>
      </w:tr>
    </w:tbl>
    <w:p w:rsidR="006E1CC4" w:rsidRDefault="006E1CC4" w:rsidP="006E1CC4"/>
    <w:p w:rsidR="00B62010" w:rsidRDefault="00B62010" w:rsidP="006E1CC4"/>
    <w:p w:rsidR="00B62010" w:rsidRDefault="00B62010" w:rsidP="006E1CC4">
      <w:bookmarkStart w:id="0" w:name="_GoBack"/>
      <w:bookmarkEnd w:id="0"/>
    </w:p>
    <w:p w:rsidR="00E75826" w:rsidRPr="00E75826" w:rsidRDefault="00E75826" w:rsidP="00E75826">
      <w:pPr>
        <w:tabs>
          <w:tab w:val="right" w:pos="8222"/>
        </w:tabs>
        <w:spacing w:after="720"/>
        <w:rPr>
          <w:rFonts w:eastAsia="Times New Roman" w:cs="Times New Roman"/>
          <w:b/>
          <w:szCs w:val="20"/>
          <w:lang w:eastAsia="en-CA"/>
        </w:rPr>
      </w:pPr>
      <w:r w:rsidRPr="00E75826">
        <w:rPr>
          <w:rFonts w:eastAsia="Times New Roman" w:cs="Times New Roman"/>
          <w:b/>
          <w:szCs w:val="20"/>
          <w:lang w:eastAsia="en-CA"/>
        </w:rPr>
        <w:t>Her Majesty The Queen</w:t>
      </w:r>
      <w:r w:rsidRPr="00E75826">
        <w:rPr>
          <w:rFonts w:eastAsia="Times New Roman" w:cs="Times New Roman"/>
          <w:i/>
          <w:szCs w:val="20"/>
          <w:lang w:eastAsia="en-CA"/>
        </w:rPr>
        <w:tab/>
        <w:t>Appellant</w:t>
      </w:r>
    </w:p>
    <w:p w:rsidR="00E75826" w:rsidRPr="00E75826" w:rsidRDefault="00E75826" w:rsidP="00E75826">
      <w:pPr>
        <w:spacing w:after="720"/>
        <w:rPr>
          <w:rFonts w:eastAsia="Times New Roman" w:cs="Times New Roman"/>
          <w:i/>
          <w:szCs w:val="20"/>
          <w:lang w:eastAsia="en-CA"/>
        </w:rPr>
      </w:pPr>
      <w:r w:rsidRPr="00E75826">
        <w:rPr>
          <w:rFonts w:eastAsia="Times New Roman" w:cs="Times New Roman"/>
          <w:i/>
          <w:szCs w:val="20"/>
          <w:lang w:eastAsia="en-CA"/>
        </w:rPr>
        <w:t>v.</w:t>
      </w:r>
    </w:p>
    <w:p w:rsidR="00E75826" w:rsidRPr="00E75826" w:rsidRDefault="00E75826" w:rsidP="00E75826">
      <w:pPr>
        <w:tabs>
          <w:tab w:val="right" w:pos="8222"/>
        </w:tabs>
        <w:jc w:val="both"/>
        <w:rPr>
          <w:rFonts w:eastAsia="Times New Roman" w:cs="Times New Roman"/>
          <w:b/>
          <w:szCs w:val="20"/>
          <w:lang w:val="fr-CA" w:eastAsia="en-CA"/>
        </w:rPr>
      </w:pPr>
      <w:r w:rsidRPr="00E75826">
        <w:rPr>
          <w:rFonts w:eastAsia="Times New Roman" w:cs="Times New Roman"/>
          <w:b/>
          <w:szCs w:val="20"/>
          <w:lang w:val="fr-CA" w:eastAsia="en-CA"/>
        </w:rPr>
        <w:t>Mélanie Ste-Marie,</w:t>
      </w:r>
    </w:p>
    <w:p w:rsidR="00E75826" w:rsidRPr="00E75826" w:rsidRDefault="00E75826" w:rsidP="00E75826">
      <w:pPr>
        <w:tabs>
          <w:tab w:val="right" w:pos="8222"/>
        </w:tabs>
        <w:jc w:val="both"/>
        <w:rPr>
          <w:rFonts w:eastAsia="Times New Roman" w:cs="Times New Roman"/>
          <w:b/>
          <w:szCs w:val="20"/>
          <w:lang w:val="fr-CA" w:eastAsia="en-CA"/>
        </w:rPr>
      </w:pPr>
      <w:r w:rsidRPr="00E75826">
        <w:rPr>
          <w:rFonts w:eastAsia="Times New Roman" w:cs="Times New Roman"/>
          <w:b/>
          <w:szCs w:val="20"/>
          <w:lang w:val="fr-CA" w:eastAsia="en-CA"/>
        </w:rPr>
        <w:t>Michel Ste-Marie,</w:t>
      </w:r>
    </w:p>
    <w:p w:rsidR="00E75826" w:rsidRPr="00E75826" w:rsidRDefault="00E75826" w:rsidP="00E75826">
      <w:pPr>
        <w:tabs>
          <w:tab w:val="right" w:pos="8222"/>
        </w:tabs>
        <w:jc w:val="both"/>
        <w:rPr>
          <w:rFonts w:eastAsia="Times New Roman" w:cs="Times New Roman"/>
          <w:b/>
          <w:szCs w:val="20"/>
          <w:lang w:val="en-US" w:eastAsia="en-CA"/>
        </w:rPr>
      </w:pPr>
      <w:r w:rsidRPr="00E75826">
        <w:rPr>
          <w:rFonts w:eastAsia="Times New Roman" w:cs="Times New Roman"/>
          <w:b/>
          <w:szCs w:val="20"/>
          <w:lang w:val="en-US" w:eastAsia="en-CA"/>
        </w:rPr>
        <w:t>Dax Ste-Marie and</w:t>
      </w:r>
    </w:p>
    <w:p w:rsidR="00E75826" w:rsidRPr="00E75826" w:rsidRDefault="00E75826" w:rsidP="00E75826">
      <w:pPr>
        <w:tabs>
          <w:tab w:val="right" w:pos="8222"/>
        </w:tabs>
        <w:spacing w:after="720"/>
        <w:rPr>
          <w:rFonts w:eastAsia="Times New Roman" w:cs="Times New Roman"/>
          <w:b/>
          <w:szCs w:val="20"/>
          <w:lang w:val="en-US" w:eastAsia="en-CA"/>
        </w:rPr>
      </w:pPr>
      <w:r w:rsidRPr="00E75826">
        <w:rPr>
          <w:rFonts w:eastAsia="Times New Roman" w:cs="Times New Roman"/>
          <w:b/>
          <w:szCs w:val="20"/>
          <w:lang w:val="en-US" w:eastAsia="en-CA"/>
        </w:rPr>
        <w:t>Richard Felx</w:t>
      </w:r>
      <w:r w:rsidRPr="00E75826">
        <w:rPr>
          <w:rFonts w:eastAsia="Times New Roman" w:cs="Times New Roman"/>
          <w:i/>
          <w:szCs w:val="20"/>
          <w:lang w:val="en-US" w:eastAsia="en-CA"/>
        </w:rPr>
        <w:tab/>
        <w:t>Respondents</w:t>
      </w:r>
    </w:p>
    <w:p w:rsidR="00E75826" w:rsidRPr="00E75826" w:rsidRDefault="00E75826" w:rsidP="00E75826">
      <w:pPr>
        <w:spacing w:after="720"/>
        <w:rPr>
          <w:rFonts w:eastAsia="Times New Roman" w:cs="Times New Roman"/>
          <w:szCs w:val="20"/>
          <w:lang w:eastAsia="en-CA"/>
        </w:rPr>
      </w:pPr>
      <w:r w:rsidRPr="00E75826">
        <w:rPr>
          <w:rFonts w:eastAsia="Times New Roman" w:cs="Times New Roman"/>
          <w:szCs w:val="20"/>
          <w:lang w:eastAsia="en-CA"/>
        </w:rPr>
        <w:t>and</w:t>
      </w:r>
    </w:p>
    <w:p w:rsidR="00E75826" w:rsidRPr="00E75826" w:rsidRDefault="00E75826" w:rsidP="00E75826">
      <w:pPr>
        <w:tabs>
          <w:tab w:val="right" w:pos="8222"/>
        </w:tabs>
        <w:jc w:val="both"/>
        <w:rPr>
          <w:rFonts w:eastAsia="Times New Roman" w:cs="Times New Roman"/>
          <w:b/>
          <w:szCs w:val="20"/>
          <w:lang w:eastAsia="en-CA"/>
        </w:rPr>
      </w:pPr>
      <w:r w:rsidRPr="00E75826">
        <w:rPr>
          <w:rFonts w:eastAsia="Times New Roman" w:cs="Times New Roman"/>
          <w:b/>
          <w:szCs w:val="20"/>
          <w:lang w:eastAsia="en-CA"/>
        </w:rPr>
        <w:t>Attorney General of Ontario,</w:t>
      </w:r>
    </w:p>
    <w:p w:rsidR="00E75826" w:rsidRPr="00A23894" w:rsidRDefault="00E75826" w:rsidP="00E75826">
      <w:pPr>
        <w:tabs>
          <w:tab w:val="right" w:pos="8222"/>
        </w:tabs>
        <w:jc w:val="both"/>
        <w:rPr>
          <w:rFonts w:eastAsia="Times New Roman" w:cs="Times New Roman"/>
          <w:b/>
          <w:szCs w:val="20"/>
          <w:lang w:val="en-US" w:eastAsia="en-CA"/>
        </w:rPr>
      </w:pPr>
      <w:r w:rsidRPr="00A23894">
        <w:rPr>
          <w:rFonts w:eastAsia="Times New Roman" w:cs="Times New Roman"/>
          <w:b/>
          <w:szCs w:val="20"/>
          <w:lang w:val="en-US" w:eastAsia="en-CA"/>
        </w:rPr>
        <w:t>Criminal Lawyers’ Association (Ontario) and</w:t>
      </w:r>
    </w:p>
    <w:p w:rsidR="00E75826" w:rsidRPr="00E75826" w:rsidRDefault="00E75826" w:rsidP="00E75826">
      <w:pPr>
        <w:tabs>
          <w:tab w:val="right" w:pos="8222"/>
        </w:tabs>
        <w:spacing w:after="720"/>
        <w:rPr>
          <w:rFonts w:eastAsia="Times New Roman" w:cs="Times New Roman"/>
          <w:b/>
          <w:szCs w:val="20"/>
          <w:lang w:val="fr-CA" w:eastAsia="en-CA"/>
        </w:rPr>
      </w:pPr>
      <w:r w:rsidRPr="00E75826">
        <w:rPr>
          <w:rFonts w:eastAsia="Times New Roman" w:cs="Times New Roman"/>
          <w:b/>
          <w:szCs w:val="20"/>
          <w:lang w:val="fr-CA" w:eastAsia="en-CA"/>
        </w:rPr>
        <w:t>Association québécoise des avocats et avocates de la défense</w:t>
      </w:r>
      <w:r w:rsidRPr="00E75826">
        <w:rPr>
          <w:rFonts w:eastAsia="Times New Roman" w:cs="Times New Roman"/>
          <w:i/>
          <w:szCs w:val="20"/>
          <w:lang w:val="fr-CA" w:eastAsia="en-CA"/>
        </w:rPr>
        <w:tab/>
        <w:t>Interveners</w:t>
      </w:r>
    </w:p>
    <w:p w:rsidR="00E75826" w:rsidRPr="00E75826" w:rsidRDefault="00E75826" w:rsidP="00E75826">
      <w:pPr>
        <w:spacing w:after="720"/>
        <w:jc w:val="both"/>
        <w:rPr>
          <w:rFonts w:eastAsia="Times New Roman" w:cs="Times New Roman"/>
          <w:b/>
          <w:szCs w:val="20"/>
          <w:lang w:val="en-US" w:eastAsia="en-CA"/>
        </w:rPr>
      </w:pPr>
      <w:r w:rsidRPr="00E75826">
        <w:rPr>
          <w:rFonts w:eastAsia="Times New Roman" w:cs="Times New Roman"/>
          <w:b/>
          <w:szCs w:val="20"/>
          <w:lang w:val="en-US" w:eastAsia="en-CA"/>
        </w:rPr>
        <w:t xml:space="preserve">Indexed as: R. </w:t>
      </w:r>
      <w:r w:rsidRPr="00E75826">
        <w:rPr>
          <w:rFonts w:eastAsia="Times New Roman" w:cs="Times New Roman"/>
          <w:b/>
          <w:i/>
          <w:szCs w:val="20"/>
          <w:lang w:val="en-US" w:eastAsia="en-CA"/>
        </w:rPr>
        <w:t>v.</w:t>
      </w:r>
      <w:r w:rsidRPr="00E75826">
        <w:rPr>
          <w:rFonts w:eastAsia="Times New Roman" w:cs="Times New Roman"/>
          <w:b/>
          <w:szCs w:val="20"/>
          <w:lang w:val="en-US" w:eastAsia="en-CA"/>
        </w:rPr>
        <w:t xml:space="preserve"> Ste-Marie</w:t>
      </w:r>
    </w:p>
    <w:p w:rsidR="00E75826" w:rsidRPr="00E75826" w:rsidRDefault="00E75826" w:rsidP="00E75826">
      <w:pPr>
        <w:spacing w:after="720"/>
        <w:jc w:val="both"/>
        <w:rPr>
          <w:rFonts w:eastAsia="Times New Roman" w:cs="Times New Roman"/>
          <w:b/>
          <w:szCs w:val="20"/>
          <w:lang w:eastAsia="en-CA"/>
        </w:rPr>
      </w:pPr>
      <w:r w:rsidRPr="00E75826">
        <w:rPr>
          <w:rFonts w:eastAsia="Times New Roman" w:cs="Times New Roman"/>
          <w:b/>
          <w:szCs w:val="20"/>
          <w:lang w:eastAsia="en-CA"/>
        </w:rPr>
        <w:t>2022 SCC 3</w:t>
      </w:r>
    </w:p>
    <w:p w:rsidR="00E75826" w:rsidRPr="00E75826" w:rsidRDefault="00E75826" w:rsidP="00E75826">
      <w:pPr>
        <w:spacing w:after="720"/>
        <w:jc w:val="both"/>
        <w:rPr>
          <w:rFonts w:eastAsia="Times New Roman" w:cs="Times New Roman"/>
          <w:szCs w:val="20"/>
          <w:lang w:eastAsia="en-CA"/>
        </w:rPr>
      </w:pPr>
      <w:r w:rsidRPr="00E75826">
        <w:rPr>
          <w:rFonts w:eastAsia="Times New Roman" w:cs="Times New Roman"/>
          <w:szCs w:val="20"/>
          <w:lang w:eastAsia="en-CA"/>
        </w:rPr>
        <w:t>File No.: 39381.</w:t>
      </w:r>
    </w:p>
    <w:p w:rsidR="00E75826" w:rsidRPr="00E75826" w:rsidRDefault="00E75826" w:rsidP="00E75826">
      <w:pPr>
        <w:spacing w:after="720"/>
        <w:jc w:val="both"/>
        <w:rPr>
          <w:rFonts w:eastAsia="Times New Roman" w:cs="Times New Roman"/>
          <w:szCs w:val="20"/>
          <w:lang w:eastAsia="en-CA"/>
        </w:rPr>
      </w:pPr>
      <w:r w:rsidRPr="00E75826">
        <w:rPr>
          <w:rFonts w:eastAsia="Times New Roman" w:cs="Times New Roman"/>
          <w:szCs w:val="20"/>
          <w:lang w:eastAsia="en-CA"/>
        </w:rPr>
        <w:t>2022: February 10.</w:t>
      </w:r>
    </w:p>
    <w:p w:rsidR="00E75826" w:rsidRPr="00E75826" w:rsidRDefault="00E75826" w:rsidP="00E75826">
      <w:pPr>
        <w:spacing w:after="720"/>
        <w:jc w:val="both"/>
        <w:rPr>
          <w:rFonts w:eastAsia="Times New Roman" w:cs="Times New Roman"/>
          <w:szCs w:val="20"/>
          <w:lang w:eastAsia="en-CA"/>
        </w:rPr>
      </w:pPr>
      <w:r w:rsidRPr="00E75826">
        <w:rPr>
          <w:rFonts w:eastAsia="Times New Roman" w:cs="Times New Roman"/>
          <w:szCs w:val="20"/>
          <w:lang w:eastAsia="en-CA"/>
        </w:rPr>
        <w:t>Present: Wagner C.J. and Moldaver, Karakatsanis, Côté, Brown, Rowe, Martin, Kasirer and Jamal JJ.</w:t>
      </w:r>
    </w:p>
    <w:p w:rsidR="00E75826" w:rsidRPr="00E75826" w:rsidRDefault="00E75826" w:rsidP="00E75826">
      <w:pPr>
        <w:tabs>
          <w:tab w:val="left" w:pos="1168"/>
        </w:tabs>
        <w:spacing w:after="720"/>
        <w:jc w:val="both"/>
        <w:rPr>
          <w:rFonts w:eastAsia="Times New Roman" w:cs="Times New Roman"/>
          <w:smallCaps/>
          <w:szCs w:val="20"/>
          <w:lang w:eastAsia="en-CA"/>
        </w:rPr>
      </w:pPr>
      <w:r w:rsidRPr="00E75826">
        <w:rPr>
          <w:rFonts w:eastAsia="Times New Roman" w:cs="Times New Roman"/>
          <w:smallCaps/>
          <w:szCs w:val="20"/>
          <w:lang w:eastAsia="en-CA"/>
        </w:rPr>
        <w:lastRenderedPageBreak/>
        <w:t>on appeal from the court of appeal for quebec</w:t>
      </w:r>
    </w:p>
    <w:p w:rsidR="00E75826" w:rsidRPr="00E75826" w:rsidRDefault="00E75826" w:rsidP="00A23894">
      <w:pPr>
        <w:pStyle w:val="SCCNormalDoubleSpacing"/>
        <w:spacing w:after="480"/>
        <w:rPr>
          <w:rFonts w:eastAsia="Times New Roman" w:cs="Times New Roman"/>
          <w:i/>
          <w:szCs w:val="20"/>
          <w:lang w:eastAsia="en-CA"/>
        </w:rPr>
      </w:pPr>
      <w:r w:rsidRPr="00E75826">
        <w:rPr>
          <w:rFonts w:eastAsia="Times New Roman" w:cs="Times New Roman"/>
          <w:szCs w:val="20"/>
          <w:lang w:eastAsia="en-CA"/>
        </w:rPr>
        <w:tab/>
      </w:r>
      <w:r w:rsidRPr="00E75826">
        <w:rPr>
          <w:rFonts w:eastAsia="Times New Roman" w:cs="Times New Roman"/>
          <w:i/>
          <w:szCs w:val="20"/>
          <w:lang w:eastAsia="en-CA"/>
        </w:rPr>
        <w:t>Constitutional law — Charter of Rights — Right to be tried within reasonable time — Re</w:t>
      </w:r>
      <w:r w:rsidRPr="00E75826">
        <w:rPr>
          <w:rFonts w:eastAsia="Times New Roman" w:cs="Times New Roman"/>
          <w:i/>
          <w:szCs w:val="20"/>
          <w:lang w:eastAsia="en-CA"/>
        </w:rPr>
        <w:noBreakHyphen/>
        <w:t>examination of unreasonableness of delays on appeal — Transitional exceptional circumstance — Trial judge holding that accused’s right to be tried within reasonable time had been infringed but that stay of proceedings was not appropriate remedy because</w:t>
      </w:r>
      <w:r w:rsidRPr="00E75826">
        <w:rPr>
          <w:rFonts w:eastAsia="Times New Roman" w:cs="Times New Roman"/>
          <w:szCs w:val="20"/>
          <w:lang w:eastAsia="en-CA"/>
        </w:rPr>
        <w:t xml:space="preserve"> </w:t>
      </w:r>
      <w:r w:rsidRPr="00E75826">
        <w:rPr>
          <w:rFonts w:eastAsia="Times New Roman" w:cs="Times New Roman"/>
          <w:i/>
          <w:szCs w:val="20"/>
          <w:lang w:eastAsia="en-CA"/>
        </w:rPr>
        <w:t>accused had not been prejudiced by delay — Court of Appeal setting aside convictions and entering stay of proceedings after declining to review trial judge’s assessment of delays — Stay of proceedings set aside.</w:t>
      </w:r>
    </w:p>
    <w:p w:rsidR="00E75826" w:rsidRPr="00E75826" w:rsidRDefault="00E75826" w:rsidP="00A23894">
      <w:pPr>
        <w:pStyle w:val="SCCNormalDoubleSpacing"/>
        <w:spacing w:after="720" w:line="240" w:lineRule="auto"/>
        <w:rPr>
          <w:rFonts w:eastAsia="Times New Roman" w:cs="Times New Roman"/>
          <w:b/>
          <w:szCs w:val="20"/>
          <w:lang w:eastAsia="en-CA"/>
        </w:rPr>
      </w:pPr>
      <w:r w:rsidRPr="00E75826">
        <w:rPr>
          <w:rFonts w:eastAsia="Times New Roman" w:cs="Times New Roman"/>
          <w:b/>
          <w:szCs w:val="20"/>
          <w:lang w:eastAsia="en-CA"/>
        </w:rPr>
        <w:t>Cases Cited</w:t>
      </w:r>
    </w:p>
    <w:p w:rsidR="00E75826" w:rsidRPr="00E75826" w:rsidRDefault="00E75826" w:rsidP="00A23894">
      <w:pPr>
        <w:pStyle w:val="SCCNormalDoubleSpacing"/>
        <w:spacing w:after="480"/>
        <w:rPr>
          <w:rFonts w:eastAsia="Times New Roman" w:cs="Times New Roman"/>
          <w:szCs w:val="20"/>
          <w:lang w:eastAsia="en-CA"/>
        </w:rPr>
      </w:pPr>
      <w:r w:rsidRPr="00E75826">
        <w:rPr>
          <w:rFonts w:eastAsia="Times New Roman" w:cs="Times New Roman"/>
          <w:szCs w:val="20"/>
          <w:lang w:eastAsia="en-CA"/>
        </w:rPr>
        <w:tab/>
      </w:r>
      <w:r w:rsidRPr="00E75826">
        <w:rPr>
          <w:rFonts w:eastAsia="Times New Roman" w:cs="Times New Roman"/>
          <w:b/>
          <w:szCs w:val="20"/>
          <w:lang w:eastAsia="en-CA"/>
        </w:rPr>
        <w:t>Referred to:</w:t>
      </w:r>
      <w:r w:rsidRPr="00E75826">
        <w:rPr>
          <w:rFonts w:eastAsia="Times New Roman" w:cs="Times New Roman"/>
          <w:szCs w:val="20"/>
          <w:lang w:eastAsia="en-CA"/>
        </w:rPr>
        <w:t xml:space="preserve"> </w:t>
      </w:r>
      <w:r w:rsidRPr="00E75826">
        <w:rPr>
          <w:rFonts w:eastAsia="Times New Roman" w:cs="Times New Roman"/>
          <w:i/>
          <w:szCs w:val="20"/>
          <w:lang w:eastAsia="en-CA"/>
        </w:rPr>
        <w:t>R. v. Jordan</w:t>
      </w:r>
      <w:r w:rsidRPr="00E75826">
        <w:rPr>
          <w:rFonts w:eastAsia="Times New Roman" w:cs="Times New Roman"/>
          <w:szCs w:val="20"/>
          <w:lang w:eastAsia="en-CA"/>
        </w:rPr>
        <w:t xml:space="preserve">, 2016 SCC 27, [2016] 1 S.C.R. 631; </w:t>
      </w:r>
      <w:r w:rsidRPr="00E75826">
        <w:rPr>
          <w:rFonts w:eastAsia="Times New Roman" w:cs="Times New Roman"/>
          <w:i/>
          <w:szCs w:val="20"/>
          <w:lang w:eastAsia="en-CA"/>
        </w:rPr>
        <w:t>R. v. Rahey</w:t>
      </w:r>
      <w:r w:rsidRPr="00E75826">
        <w:rPr>
          <w:rFonts w:eastAsia="Times New Roman" w:cs="Times New Roman"/>
          <w:szCs w:val="20"/>
          <w:lang w:eastAsia="en-CA"/>
        </w:rPr>
        <w:t xml:space="preserve">, [1987] 1 S.C.R. 588; </w:t>
      </w:r>
      <w:r w:rsidRPr="00E75826">
        <w:rPr>
          <w:rFonts w:eastAsia="Times New Roman" w:cs="Times New Roman"/>
          <w:i/>
          <w:szCs w:val="20"/>
          <w:lang w:eastAsia="en-CA"/>
        </w:rPr>
        <w:t>R. v. Morin</w:t>
      </w:r>
      <w:r w:rsidRPr="00E75826">
        <w:rPr>
          <w:rFonts w:eastAsia="Times New Roman" w:cs="Times New Roman"/>
          <w:szCs w:val="20"/>
          <w:lang w:eastAsia="en-CA"/>
        </w:rPr>
        <w:t xml:space="preserve">, [1992] 1 S.C.R. 771; </w:t>
      </w:r>
      <w:r w:rsidRPr="00E75826">
        <w:rPr>
          <w:rFonts w:eastAsia="Times New Roman" w:cs="Times New Roman"/>
          <w:i/>
          <w:szCs w:val="20"/>
          <w:lang w:eastAsia="en-CA"/>
        </w:rPr>
        <w:t>R. v. Bryant</w:t>
      </w:r>
      <w:r w:rsidRPr="00E75826">
        <w:rPr>
          <w:rFonts w:eastAsia="Times New Roman" w:cs="Times New Roman"/>
          <w:szCs w:val="20"/>
          <w:lang w:eastAsia="en-CA"/>
        </w:rPr>
        <w:t xml:space="preserve">, 2021 QCCA 1807; </w:t>
      </w:r>
      <w:r w:rsidRPr="00E75826">
        <w:rPr>
          <w:rFonts w:eastAsia="Times New Roman" w:cs="Times New Roman"/>
          <w:i/>
          <w:szCs w:val="20"/>
          <w:lang w:eastAsia="en-CA"/>
        </w:rPr>
        <w:t>R. v. Askov</w:t>
      </w:r>
      <w:r w:rsidRPr="00E75826">
        <w:rPr>
          <w:rFonts w:eastAsia="Times New Roman" w:cs="Times New Roman"/>
          <w:szCs w:val="20"/>
          <w:lang w:eastAsia="en-CA"/>
        </w:rPr>
        <w:t xml:space="preserve">, [1990] 2 S.C.R. 1199; </w:t>
      </w:r>
      <w:r w:rsidRPr="00E75826">
        <w:rPr>
          <w:rFonts w:eastAsia="Times New Roman" w:cs="Times New Roman"/>
          <w:i/>
          <w:szCs w:val="20"/>
          <w:lang w:eastAsia="en-CA"/>
        </w:rPr>
        <w:t>R. v. Cody</w:t>
      </w:r>
      <w:r w:rsidRPr="00E75826">
        <w:rPr>
          <w:rFonts w:eastAsia="Times New Roman" w:cs="Times New Roman"/>
          <w:szCs w:val="20"/>
          <w:lang w:eastAsia="en-CA"/>
        </w:rPr>
        <w:t xml:space="preserve">, 2017 SCC 31, [2017] 1 S.C.R. 659; </w:t>
      </w:r>
      <w:r w:rsidRPr="00E75826">
        <w:rPr>
          <w:rFonts w:eastAsia="Times New Roman" w:cs="Times New Roman"/>
          <w:i/>
          <w:szCs w:val="20"/>
          <w:lang w:eastAsia="en-CA"/>
        </w:rPr>
        <w:t>R. v. Rice</w:t>
      </w:r>
      <w:r w:rsidRPr="00E75826">
        <w:rPr>
          <w:rFonts w:eastAsia="Times New Roman" w:cs="Times New Roman"/>
          <w:szCs w:val="20"/>
          <w:lang w:eastAsia="en-CA"/>
        </w:rPr>
        <w:t>, 2018 QCCA 198.</w:t>
      </w:r>
    </w:p>
    <w:p w:rsidR="00E75826" w:rsidRPr="00E75826" w:rsidRDefault="00E75826" w:rsidP="00A23894">
      <w:pPr>
        <w:pStyle w:val="SCCNormalDoubleSpacing"/>
        <w:spacing w:after="720" w:line="240" w:lineRule="auto"/>
        <w:rPr>
          <w:rFonts w:eastAsia="Times New Roman" w:cs="Times New Roman"/>
          <w:szCs w:val="20"/>
          <w:lang w:eastAsia="en-CA"/>
        </w:rPr>
      </w:pPr>
      <w:r w:rsidRPr="00E75826">
        <w:rPr>
          <w:rFonts w:eastAsia="Times New Roman" w:cs="Times New Roman"/>
          <w:b/>
          <w:szCs w:val="20"/>
          <w:lang w:eastAsia="en-CA"/>
        </w:rPr>
        <w:t>Statutes and Regulations Cited</w:t>
      </w:r>
    </w:p>
    <w:p w:rsidR="00E75826" w:rsidRPr="00E75826" w:rsidRDefault="00E75826" w:rsidP="00A23894">
      <w:pPr>
        <w:pStyle w:val="SCCNormalDoubleSpacing"/>
        <w:spacing w:after="240" w:line="240" w:lineRule="auto"/>
        <w:rPr>
          <w:rFonts w:eastAsia="Times New Roman" w:cs="Times New Roman"/>
          <w:szCs w:val="20"/>
          <w:lang w:eastAsia="en-CA"/>
        </w:rPr>
      </w:pPr>
      <w:r w:rsidRPr="00E75826">
        <w:rPr>
          <w:rFonts w:eastAsia="Times New Roman" w:cs="Times New Roman"/>
          <w:i/>
          <w:szCs w:val="20"/>
          <w:lang w:eastAsia="en-CA"/>
        </w:rPr>
        <w:t>Canadian Charter of Rights and Freedoms</w:t>
      </w:r>
      <w:r w:rsidRPr="00E75826">
        <w:rPr>
          <w:rFonts w:eastAsia="Times New Roman" w:cs="Times New Roman"/>
          <w:szCs w:val="20"/>
          <w:lang w:eastAsia="en-CA"/>
        </w:rPr>
        <w:t>, ss. 11(b), 24(1).</w:t>
      </w:r>
    </w:p>
    <w:p w:rsidR="00E75826" w:rsidRPr="00E75826" w:rsidRDefault="00E75826" w:rsidP="00A23894">
      <w:pPr>
        <w:pStyle w:val="SCCNormalDoubleSpacing"/>
        <w:spacing w:after="720" w:line="240" w:lineRule="auto"/>
        <w:rPr>
          <w:rFonts w:eastAsia="Times New Roman" w:cs="Times New Roman"/>
          <w:szCs w:val="20"/>
          <w:lang w:val="fr-CA" w:eastAsia="en-CA"/>
        </w:rPr>
      </w:pPr>
      <w:r w:rsidRPr="00E75826">
        <w:rPr>
          <w:rFonts w:eastAsia="Times New Roman" w:cs="Times New Roman"/>
          <w:i/>
          <w:szCs w:val="20"/>
          <w:lang w:val="fr-CA" w:eastAsia="en-CA"/>
        </w:rPr>
        <w:t>Criminal Code</w:t>
      </w:r>
      <w:r w:rsidRPr="00E75826">
        <w:rPr>
          <w:rFonts w:eastAsia="Times New Roman" w:cs="Times New Roman"/>
          <w:szCs w:val="20"/>
          <w:lang w:val="fr-CA" w:eastAsia="en-CA"/>
        </w:rPr>
        <w:t>, R.S.C. 1985, c. C</w:t>
      </w:r>
      <w:r w:rsidRPr="00E75826">
        <w:rPr>
          <w:rFonts w:eastAsia="Times New Roman" w:cs="Times New Roman"/>
          <w:szCs w:val="20"/>
          <w:lang w:val="fr-CA" w:eastAsia="en-CA"/>
        </w:rPr>
        <w:noBreakHyphen/>
        <w:t>46, s. 655.</w:t>
      </w:r>
    </w:p>
    <w:p w:rsidR="00E75826" w:rsidRPr="00E75826" w:rsidRDefault="00E75826" w:rsidP="00A23894">
      <w:pPr>
        <w:pStyle w:val="SCCNormalDoubleSpacing"/>
        <w:spacing w:after="480"/>
        <w:rPr>
          <w:rFonts w:eastAsia="Times New Roman" w:cs="Times New Roman"/>
          <w:szCs w:val="20"/>
          <w:lang w:eastAsia="en-CA"/>
        </w:rPr>
      </w:pPr>
      <w:r w:rsidRPr="00E75826">
        <w:rPr>
          <w:rFonts w:eastAsia="Times New Roman" w:cs="Times New Roman"/>
          <w:szCs w:val="20"/>
          <w:lang w:val="fr-CA" w:eastAsia="en-CA"/>
        </w:rPr>
        <w:tab/>
      </w:r>
      <w:r w:rsidRPr="00E75826">
        <w:rPr>
          <w:rFonts w:eastAsia="Times New Roman" w:cs="Times New Roman"/>
          <w:szCs w:val="20"/>
          <w:lang w:eastAsia="en-CA"/>
        </w:rPr>
        <w:t>APPEAL from a judgment of the Quebec Court of Appeal (Levesque, Healy and Hamilton JJ.A.), 2020 QCCA 1118, 394 C.C.C. (3d) 18, [2020] AZ</w:t>
      </w:r>
      <w:r w:rsidRPr="00E75826">
        <w:rPr>
          <w:rFonts w:eastAsia="Times New Roman" w:cs="Times New Roman"/>
          <w:szCs w:val="20"/>
          <w:lang w:eastAsia="en-CA"/>
        </w:rPr>
        <w:noBreakHyphen/>
        <w:t>51705891, [2020] Q.J. No. 5730 (QL), 2020 CarswellQue 8863 (WL Can.), setting aside the convictions of the accused and ordering a stay of proceedings. Appeal allowed.</w:t>
      </w:r>
    </w:p>
    <w:p w:rsidR="00E75826" w:rsidRPr="00E75826" w:rsidRDefault="00E75826" w:rsidP="00A23894">
      <w:pPr>
        <w:pStyle w:val="SCCNormalDoubleSpacing"/>
        <w:spacing w:after="480"/>
        <w:rPr>
          <w:rFonts w:eastAsia="Times New Roman" w:cs="Times New Roman"/>
          <w:szCs w:val="20"/>
          <w:lang w:eastAsia="en-CA"/>
        </w:rPr>
      </w:pPr>
      <w:r w:rsidRPr="00E75826">
        <w:rPr>
          <w:rFonts w:eastAsia="Times New Roman" w:cs="Times New Roman"/>
          <w:i/>
          <w:szCs w:val="20"/>
          <w:lang w:eastAsia="en-CA"/>
        </w:rPr>
        <w:lastRenderedPageBreak/>
        <w:tab/>
        <w:t>Magalie Cimon, Émilie Robert and Geneviève Gravel</w:t>
      </w:r>
      <w:r w:rsidRPr="00E75826">
        <w:rPr>
          <w:rFonts w:eastAsia="Times New Roman" w:cs="Times New Roman"/>
          <w:szCs w:val="20"/>
          <w:lang w:eastAsia="en-CA"/>
        </w:rPr>
        <w:t>, for the appellant.</w:t>
      </w:r>
    </w:p>
    <w:p w:rsidR="00E75826" w:rsidRPr="00E75826" w:rsidRDefault="00E75826" w:rsidP="00A23894">
      <w:pPr>
        <w:pStyle w:val="SCCNormalDoubleSpacing"/>
        <w:spacing w:after="480"/>
        <w:rPr>
          <w:rFonts w:eastAsia="Times New Roman" w:cs="Times New Roman"/>
          <w:szCs w:val="20"/>
          <w:lang w:eastAsia="en-CA"/>
        </w:rPr>
      </w:pPr>
      <w:r w:rsidRPr="00E75826">
        <w:rPr>
          <w:rFonts w:eastAsia="Times New Roman" w:cs="Times New Roman"/>
          <w:i/>
          <w:szCs w:val="20"/>
          <w:lang w:eastAsia="en-CA"/>
        </w:rPr>
        <w:tab/>
        <w:t>Marie</w:t>
      </w:r>
      <w:r w:rsidRPr="00E75826">
        <w:rPr>
          <w:rFonts w:eastAsia="Times New Roman" w:cs="Times New Roman"/>
          <w:i/>
          <w:szCs w:val="20"/>
          <w:lang w:eastAsia="en-CA"/>
        </w:rPr>
        <w:noBreakHyphen/>
        <w:t>Pier Boulet</w:t>
      </w:r>
      <w:r w:rsidRPr="00E75826">
        <w:rPr>
          <w:rFonts w:eastAsia="Times New Roman" w:cs="Times New Roman"/>
          <w:szCs w:val="20"/>
          <w:lang w:eastAsia="en-CA"/>
        </w:rPr>
        <w:t xml:space="preserve"> and </w:t>
      </w:r>
      <w:r w:rsidRPr="00E75826">
        <w:rPr>
          <w:rFonts w:eastAsia="Times New Roman" w:cs="Times New Roman"/>
          <w:i/>
          <w:szCs w:val="20"/>
          <w:lang w:eastAsia="en-CA"/>
        </w:rPr>
        <w:t>Marie</w:t>
      </w:r>
      <w:r w:rsidRPr="00E75826">
        <w:rPr>
          <w:rFonts w:eastAsia="Times New Roman" w:cs="Times New Roman"/>
          <w:i/>
          <w:szCs w:val="20"/>
          <w:lang w:eastAsia="en-CA"/>
        </w:rPr>
        <w:noBreakHyphen/>
        <w:t>Ève Landry</w:t>
      </w:r>
      <w:r w:rsidRPr="00E75826">
        <w:rPr>
          <w:rFonts w:eastAsia="Times New Roman" w:cs="Times New Roman"/>
          <w:szCs w:val="20"/>
          <w:lang w:eastAsia="en-CA"/>
        </w:rPr>
        <w:t>, for the respondents Mélanie Ste</w:t>
      </w:r>
      <w:r w:rsidRPr="00E75826">
        <w:rPr>
          <w:rFonts w:eastAsia="Times New Roman" w:cs="Times New Roman"/>
          <w:szCs w:val="20"/>
          <w:lang w:eastAsia="en-CA"/>
        </w:rPr>
        <w:noBreakHyphen/>
        <w:t>Marie, Dax Ste</w:t>
      </w:r>
      <w:r w:rsidRPr="00E75826">
        <w:rPr>
          <w:rFonts w:eastAsia="Times New Roman" w:cs="Times New Roman"/>
          <w:szCs w:val="20"/>
          <w:lang w:eastAsia="en-CA"/>
        </w:rPr>
        <w:noBreakHyphen/>
        <w:t>Marie and Richard Felx.</w:t>
      </w:r>
    </w:p>
    <w:p w:rsidR="00E75826" w:rsidRPr="00E75826" w:rsidRDefault="00E75826" w:rsidP="00A23894">
      <w:pPr>
        <w:pStyle w:val="SCCNormalDoubleSpacing"/>
        <w:spacing w:after="480"/>
        <w:rPr>
          <w:rFonts w:eastAsia="Times New Roman" w:cs="Times New Roman"/>
          <w:szCs w:val="20"/>
          <w:lang w:eastAsia="en-CA"/>
        </w:rPr>
      </w:pPr>
      <w:r w:rsidRPr="00E75826">
        <w:rPr>
          <w:rFonts w:eastAsia="Times New Roman" w:cs="Times New Roman"/>
          <w:i/>
          <w:szCs w:val="20"/>
          <w:lang w:eastAsia="en-CA"/>
        </w:rPr>
        <w:tab/>
        <w:t>Sherif Foda and Frank Addario</w:t>
      </w:r>
      <w:r w:rsidRPr="00E75826">
        <w:rPr>
          <w:rFonts w:eastAsia="Times New Roman" w:cs="Times New Roman"/>
          <w:szCs w:val="20"/>
          <w:lang w:eastAsia="en-CA"/>
        </w:rPr>
        <w:t>, for the respondent Michel Ste</w:t>
      </w:r>
      <w:r w:rsidRPr="00E75826">
        <w:rPr>
          <w:rFonts w:eastAsia="Times New Roman" w:cs="Times New Roman"/>
          <w:szCs w:val="20"/>
          <w:lang w:eastAsia="en-CA"/>
        </w:rPr>
        <w:noBreakHyphen/>
        <w:t>Marie.</w:t>
      </w:r>
    </w:p>
    <w:p w:rsidR="00E75826" w:rsidRPr="00E75826" w:rsidRDefault="00E75826" w:rsidP="00A23894">
      <w:pPr>
        <w:pStyle w:val="SCCNormalDoubleSpacing"/>
        <w:spacing w:after="480"/>
        <w:rPr>
          <w:rFonts w:eastAsia="Times New Roman" w:cs="Times New Roman"/>
          <w:szCs w:val="20"/>
          <w:lang w:eastAsia="en-CA"/>
        </w:rPr>
      </w:pPr>
      <w:r w:rsidRPr="00E75826">
        <w:rPr>
          <w:rFonts w:eastAsia="Times New Roman" w:cs="Times New Roman"/>
          <w:i/>
          <w:szCs w:val="20"/>
          <w:lang w:eastAsia="en-CA"/>
        </w:rPr>
        <w:tab/>
        <w:t>Michael Fawcett</w:t>
      </w:r>
      <w:r w:rsidRPr="00E75826">
        <w:rPr>
          <w:rFonts w:eastAsia="Times New Roman" w:cs="Times New Roman"/>
          <w:szCs w:val="20"/>
          <w:lang w:eastAsia="en-CA"/>
        </w:rPr>
        <w:t>, for the intervener the Attorney General of Ontario.</w:t>
      </w:r>
    </w:p>
    <w:p w:rsidR="00E75826" w:rsidRPr="00E75826" w:rsidRDefault="00E75826" w:rsidP="00A23894">
      <w:pPr>
        <w:pStyle w:val="SCCNormalDoubleSpacing"/>
        <w:spacing w:after="480"/>
        <w:rPr>
          <w:rFonts w:eastAsia="Times New Roman" w:cs="Times New Roman"/>
          <w:szCs w:val="20"/>
          <w:lang w:eastAsia="en-CA"/>
        </w:rPr>
      </w:pPr>
      <w:r w:rsidRPr="00E75826">
        <w:rPr>
          <w:rFonts w:eastAsia="Times New Roman" w:cs="Times New Roman"/>
          <w:i/>
          <w:szCs w:val="20"/>
          <w:lang w:eastAsia="en-CA"/>
        </w:rPr>
        <w:tab/>
        <w:t>Erin Dann</w:t>
      </w:r>
      <w:r w:rsidRPr="00E75826">
        <w:rPr>
          <w:rFonts w:eastAsia="Times New Roman" w:cs="Times New Roman"/>
          <w:szCs w:val="20"/>
          <w:lang w:eastAsia="en-CA"/>
        </w:rPr>
        <w:t xml:space="preserve"> and </w:t>
      </w:r>
      <w:r w:rsidRPr="00E75826">
        <w:rPr>
          <w:rFonts w:eastAsia="Times New Roman" w:cs="Times New Roman"/>
          <w:i/>
          <w:szCs w:val="20"/>
          <w:lang w:eastAsia="en-CA"/>
        </w:rPr>
        <w:t>Daniel Goldbloom</w:t>
      </w:r>
      <w:r w:rsidRPr="00E75826">
        <w:rPr>
          <w:rFonts w:eastAsia="Times New Roman" w:cs="Times New Roman"/>
          <w:szCs w:val="20"/>
          <w:lang w:eastAsia="en-CA"/>
        </w:rPr>
        <w:t>, for the intervener the Criminal Lawyers’ Association (Ontario).</w:t>
      </w:r>
    </w:p>
    <w:p w:rsidR="00E75826" w:rsidRPr="00E75826" w:rsidRDefault="00E75826" w:rsidP="00A23894">
      <w:pPr>
        <w:pStyle w:val="SCCNormalDoubleSpacing"/>
        <w:spacing w:after="480"/>
        <w:rPr>
          <w:rFonts w:eastAsia="Times New Roman" w:cs="Times New Roman"/>
          <w:szCs w:val="20"/>
          <w:lang w:val="fr-CA" w:eastAsia="en-CA"/>
        </w:rPr>
      </w:pPr>
      <w:r w:rsidRPr="00E75826">
        <w:rPr>
          <w:rFonts w:eastAsia="Times New Roman" w:cs="Times New Roman"/>
          <w:i/>
          <w:szCs w:val="20"/>
          <w:lang w:eastAsia="en-CA"/>
        </w:rPr>
        <w:tab/>
      </w:r>
      <w:r w:rsidRPr="00E75826">
        <w:rPr>
          <w:rFonts w:eastAsia="Times New Roman" w:cs="Times New Roman"/>
          <w:i/>
          <w:szCs w:val="20"/>
          <w:lang w:val="fr-CA" w:eastAsia="en-CA"/>
        </w:rPr>
        <w:t xml:space="preserve">Louis Belleau </w:t>
      </w:r>
      <w:r w:rsidRPr="00E75826">
        <w:rPr>
          <w:rFonts w:eastAsia="Times New Roman" w:cs="Times New Roman"/>
          <w:szCs w:val="20"/>
          <w:lang w:val="fr-CA" w:eastAsia="en-CA"/>
        </w:rPr>
        <w:t xml:space="preserve">and </w:t>
      </w:r>
      <w:r w:rsidRPr="00E75826">
        <w:rPr>
          <w:rFonts w:eastAsia="Times New Roman" w:cs="Times New Roman"/>
          <w:i/>
          <w:szCs w:val="20"/>
          <w:lang w:val="fr-CA" w:eastAsia="en-CA"/>
        </w:rPr>
        <w:t>Antoine Grondin</w:t>
      </w:r>
      <w:r w:rsidRPr="00E75826">
        <w:rPr>
          <w:rFonts w:eastAsia="Times New Roman" w:cs="Times New Roman"/>
          <w:i/>
          <w:szCs w:val="20"/>
          <w:lang w:val="fr-CA" w:eastAsia="en-CA"/>
        </w:rPr>
        <w:noBreakHyphen/>
        <w:t>Couture</w:t>
      </w:r>
      <w:r w:rsidRPr="00E75826">
        <w:rPr>
          <w:rFonts w:eastAsia="Times New Roman" w:cs="Times New Roman"/>
          <w:szCs w:val="20"/>
          <w:lang w:val="fr-CA" w:eastAsia="en-CA"/>
        </w:rPr>
        <w:t>, for the intervener Association québécoise des avocats et avocates de la défense.</w:t>
      </w:r>
    </w:p>
    <w:p w:rsidR="00E75826" w:rsidRPr="00E75826" w:rsidRDefault="00E75826" w:rsidP="00A23894">
      <w:pPr>
        <w:pStyle w:val="SCCNormalDoubleSpacing"/>
        <w:spacing w:after="480"/>
        <w:rPr>
          <w:rFonts w:eastAsia="Times New Roman" w:cs="Times New Roman"/>
          <w:szCs w:val="20"/>
          <w:lang w:eastAsia="en-CA"/>
        </w:rPr>
      </w:pPr>
      <w:r w:rsidRPr="00E75826">
        <w:rPr>
          <w:rFonts w:eastAsia="Times New Roman" w:cs="Times New Roman"/>
          <w:szCs w:val="20"/>
          <w:lang w:val="fr-CA" w:eastAsia="en-CA"/>
        </w:rPr>
        <w:tab/>
      </w:r>
      <w:r w:rsidRPr="00E75826">
        <w:rPr>
          <w:rFonts w:eastAsia="Times New Roman" w:cs="Times New Roman"/>
          <w:szCs w:val="20"/>
          <w:lang w:eastAsia="en-CA"/>
        </w:rPr>
        <w:t xml:space="preserve">English version of the judgment of the Court delivered orally by </w:t>
      </w:r>
    </w:p>
    <w:p w:rsidR="00E75826" w:rsidRPr="00E75826" w:rsidRDefault="00E75826" w:rsidP="00A23894">
      <w:pPr>
        <w:pStyle w:val="SCCNormalDoubleSpacing"/>
        <w:spacing w:after="480"/>
        <w:rPr>
          <w:rFonts w:eastAsia="Times New Roman" w:cs="Times New Roman"/>
          <w:szCs w:val="20"/>
          <w:lang w:eastAsia="en-CA"/>
        </w:rPr>
      </w:pPr>
      <w:r w:rsidRPr="00E75826">
        <w:rPr>
          <w:rFonts w:eastAsia="Times New Roman" w:cs="Times New Roman"/>
          <w:szCs w:val="20"/>
          <w:lang w:eastAsia="en-CA"/>
        </w:rPr>
        <w:t>[1]</w:t>
      </w:r>
      <w:r w:rsidRPr="00E75826">
        <w:rPr>
          <w:rFonts w:eastAsia="Times New Roman" w:cs="Times New Roman"/>
          <w:szCs w:val="20"/>
          <w:lang w:eastAsia="en-CA"/>
        </w:rPr>
        <w:tab/>
      </w:r>
      <w:r w:rsidRPr="00E75826">
        <w:rPr>
          <w:rFonts w:eastAsia="Times New Roman" w:cs="Times New Roman"/>
          <w:smallCaps/>
          <w:szCs w:val="20"/>
          <w:lang w:eastAsia="en-CA"/>
        </w:rPr>
        <w:t>Kasirer J</w:t>
      </w:r>
      <w:r w:rsidRPr="00E75826">
        <w:rPr>
          <w:rFonts w:eastAsia="Times New Roman" w:cs="Times New Roman"/>
          <w:szCs w:val="20"/>
          <w:lang w:eastAsia="en-CA"/>
        </w:rPr>
        <w:t>. — The Crown appeals from a judgment of the Quebec Court of Appeal quashing four convictions and entering a stay of proceedings in favour of the respondents because of a violation of their right to be tried within a reasonable time. The appellant asks that the stay of proceedings be set aside and that the case be remanded to the Court of Appeal for a decision on the nine grounds of appeal that it chose not to address, as it found it unnecessary to do so in the circumstances.</w:t>
      </w:r>
    </w:p>
    <w:p w:rsidR="00E75826" w:rsidRPr="00E75826" w:rsidRDefault="00E75826" w:rsidP="00A23894">
      <w:pPr>
        <w:pStyle w:val="SCCNormalDoubleSpacing"/>
        <w:spacing w:after="480"/>
        <w:rPr>
          <w:rFonts w:eastAsia="Times New Roman" w:cs="Times New Roman"/>
          <w:szCs w:val="20"/>
          <w:lang w:eastAsia="en-CA"/>
        </w:rPr>
      </w:pPr>
      <w:r w:rsidRPr="00E75826">
        <w:rPr>
          <w:rFonts w:eastAsia="Times New Roman" w:cs="Times New Roman"/>
          <w:szCs w:val="20"/>
          <w:lang w:eastAsia="en-CA"/>
        </w:rPr>
        <w:lastRenderedPageBreak/>
        <w:t>[2]</w:t>
      </w:r>
      <w:r w:rsidRPr="00E75826">
        <w:rPr>
          <w:rFonts w:eastAsia="Times New Roman" w:cs="Times New Roman"/>
          <w:szCs w:val="20"/>
          <w:lang w:eastAsia="en-CA"/>
        </w:rPr>
        <w:tab/>
        <w:t xml:space="preserve">On September 14, 2009, the respondents were charged with laundering proceeds of crime, conspiracy and criminal organization offences. In 2014 and 2015, they filed motions for a stay of proceedings under ss. 11(b) and 24(1) of the </w:t>
      </w:r>
      <w:r w:rsidRPr="00E75826">
        <w:rPr>
          <w:rFonts w:eastAsia="Times New Roman" w:cs="Times New Roman"/>
          <w:i/>
          <w:szCs w:val="20"/>
          <w:lang w:eastAsia="en-CA"/>
        </w:rPr>
        <w:t>Canadian Charter of Rights and Freedoms</w:t>
      </w:r>
      <w:r w:rsidRPr="00E75826">
        <w:rPr>
          <w:rFonts w:eastAsia="Times New Roman" w:cs="Times New Roman"/>
          <w:szCs w:val="20"/>
          <w:lang w:eastAsia="en-CA"/>
        </w:rPr>
        <w:t xml:space="preserve">. On September 17, 2015, before this Court rendered its decision in </w:t>
      </w:r>
      <w:r w:rsidRPr="00E75826">
        <w:rPr>
          <w:rFonts w:eastAsia="Times New Roman" w:cs="Times New Roman"/>
          <w:i/>
          <w:szCs w:val="20"/>
          <w:lang w:eastAsia="en-CA"/>
        </w:rPr>
        <w:t>R. v. Jordan</w:t>
      </w:r>
      <w:r w:rsidRPr="00E75826">
        <w:rPr>
          <w:rFonts w:eastAsia="Times New Roman" w:cs="Times New Roman"/>
          <w:szCs w:val="20"/>
          <w:lang w:eastAsia="en-CA"/>
        </w:rPr>
        <w:t>, 2016 SCC 27, [2016] 1 S.C.R. 631, the Court of Québec dismissed the motions, finding that a stay of proceedings was not an appropriate remedy. Because the judge found a 77</w:t>
      </w:r>
      <w:r w:rsidRPr="00E75826">
        <w:rPr>
          <w:rFonts w:eastAsia="Times New Roman" w:cs="Times New Roman"/>
          <w:szCs w:val="20"/>
          <w:lang w:eastAsia="en-CA"/>
        </w:rPr>
        <w:noBreakHyphen/>
        <w:t xml:space="preserve">month delay between the charges and the anticipated end of the trial, he held that s. 11(b) of the </w:t>
      </w:r>
      <w:r w:rsidRPr="00E75826">
        <w:rPr>
          <w:rFonts w:eastAsia="Times New Roman" w:cs="Times New Roman"/>
          <w:i/>
          <w:szCs w:val="20"/>
          <w:lang w:eastAsia="en-CA"/>
        </w:rPr>
        <w:t>Charter</w:t>
      </w:r>
      <w:r w:rsidRPr="00E75826">
        <w:rPr>
          <w:rFonts w:eastAsia="Times New Roman" w:cs="Times New Roman"/>
          <w:szCs w:val="20"/>
          <w:lang w:eastAsia="en-CA"/>
        </w:rPr>
        <w:t xml:space="preserve"> had been infringed. However, he declined to enter a stay of proceedings on the ground that the accused had not been prejudiced by the delay. On this point, the judge held that [</w:t>
      </w:r>
      <w:r w:rsidRPr="00E75826">
        <w:rPr>
          <w:rFonts w:eastAsia="Times New Roman" w:cs="Times New Roman"/>
          <w:smallCaps/>
          <w:szCs w:val="20"/>
          <w:lang w:eastAsia="en-CA"/>
        </w:rPr>
        <w:t>translation</w:t>
      </w:r>
      <w:r w:rsidRPr="00E75826">
        <w:rPr>
          <w:rFonts w:eastAsia="Times New Roman" w:cs="Times New Roman"/>
          <w:szCs w:val="20"/>
          <w:lang w:eastAsia="en-CA"/>
        </w:rPr>
        <w:t>] “there is as much prejudice resulting from the charge, and not from the unreasonable delay”, and that there was a “clear and compelling” societal interest in having the accused stand trial (Court of Québec reasons, A.R., vol. I, at p. 60). The judgment of conviction was rendered on June 22, 2016.</w:t>
      </w:r>
    </w:p>
    <w:p w:rsidR="00E75826" w:rsidRPr="00E75826" w:rsidRDefault="00E75826" w:rsidP="00A23894">
      <w:pPr>
        <w:pStyle w:val="SCCNormalDoubleSpacing"/>
        <w:spacing w:after="480"/>
        <w:rPr>
          <w:rFonts w:eastAsia="Times New Roman" w:cs="Times New Roman"/>
          <w:szCs w:val="20"/>
          <w:lang w:eastAsia="en-CA"/>
        </w:rPr>
      </w:pPr>
      <w:r w:rsidRPr="00E75826">
        <w:rPr>
          <w:rFonts w:eastAsia="Times New Roman" w:cs="Times New Roman"/>
          <w:szCs w:val="20"/>
          <w:lang w:eastAsia="en-CA"/>
        </w:rPr>
        <w:t>[3]</w:t>
      </w:r>
      <w:r w:rsidRPr="00E75826">
        <w:rPr>
          <w:rFonts w:eastAsia="Times New Roman" w:cs="Times New Roman"/>
          <w:szCs w:val="20"/>
          <w:lang w:eastAsia="en-CA"/>
        </w:rPr>
        <w:tab/>
        <w:t>In the Court of Appeal’s view, the judge had no choice but to enter a stay of proceedings after finding an infringement of s. 11(b)</w:t>
      </w:r>
      <w:r w:rsidRPr="00E75826">
        <w:rPr>
          <w:rFonts w:eastAsia="Times New Roman" w:cs="Times New Roman"/>
          <w:i/>
          <w:szCs w:val="20"/>
          <w:lang w:eastAsia="en-CA"/>
        </w:rPr>
        <w:t xml:space="preserve"> </w:t>
      </w:r>
      <w:r w:rsidRPr="00E75826">
        <w:rPr>
          <w:rFonts w:eastAsia="Times New Roman" w:cs="Times New Roman"/>
          <w:szCs w:val="20"/>
          <w:lang w:eastAsia="en-CA"/>
        </w:rPr>
        <w:t xml:space="preserve">(citing </w:t>
      </w:r>
      <w:r w:rsidRPr="00E75826">
        <w:rPr>
          <w:rFonts w:eastAsia="Times New Roman" w:cs="Times New Roman"/>
          <w:i/>
          <w:szCs w:val="20"/>
          <w:lang w:eastAsia="en-CA"/>
        </w:rPr>
        <w:t>R. v. Rahey</w:t>
      </w:r>
      <w:r w:rsidRPr="00E75826">
        <w:rPr>
          <w:rFonts w:eastAsia="Times New Roman" w:cs="Times New Roman"/>
          <w:szCs w:val="20"/>
          <w:lang w:eastAsia="en-CA"/>
        </w:rPr>
        <w:t>, [1987] 1 S.C.R. 588). The Court of Appeal declined to review the trial judge’s reasons concerning the infringement of s. 11(b), finding that the appeal record was not sufficiently complete to permit it to determine whether the judge’s assessment of the delays was inadequate or wrong.</w:t>
      </w:r>
    </w:p>
    <w:p w:rsidR="00E75826" w:rsidRPr="00E75826" w:rsidRDefault="00E75826" w:rsidP="00A23894">
      <w:pPr>
        <w:pStyle w:val="SCCNormalDoubleSpacing"/>
        <w:spacing w:after="480"/>
        <w:rPr>
          <w:rFonts w:eastAsia="Times New Roman" w:cs="Times New Roman"/>
          <w:szCs w:val="20"/>
          <w:lang w:eastAsia="en-CA"/>
        </w:rPr>
      </w:pPr>
      <w:r w:rsidRPr="00E75826">
        <w:rPr>
          <w:rFonts w:eastAsia="Times New Roman" w:cs="Times New Roman"/>
          <w:szCs w:val="20"/>
          <w:lang w:eastAsia="en-CA"/>
        </w:rPr>
        <w:t>[4]</w:t>
      </w:r>
      <w:r w:rsidRPr="00E75826">
        <w:rPr>
          <w:rFonts w:eastAsia="Times New Roman" w:cs="Times New Roman"/>
          <w:szCs w:val="20"/>
          <w:lang w:eastAsia="en-CA"/>
        </w:rPr>
        <w:tab/>
        <w:t>In this Court, the Crown acknowledges that the trial judge made an error, but it takes the view that the error was not determinative of the outcome. It argues that the Court of Appeal erred in entering a stay of proceedings in reliance on the trial judge’s erroneous and premature conclusion that s. 11(b) had been infringed.</w:t>
      </w:r>
    </w:p>
    <w:p w:rsidR="00E75826" w:rsidRPr="00E75826" w:rsidRDefault="00E75826" w:rsidP="00A23894">
      <w:pPr>
        <w:pStyle w:val="SCCNormalDoubleSpacing"/>
        <w:spacing w:after="480"/>
        <w:rPr>
          <w:rFonts w:eastAsia="Times New Roman" w:cs="Times New Roman"/>
          <w:szCs w:val="20"/>
          <w:lang w:eastAsia="en-CA"/>
        </w:rPr>
      </w:pPr>
      <w:r w:rsidRPr="00E75826">
        <w:rPr>
          <w:rFonts w:eastAsia="Times New Roman" w:cs="Times New Roman"/>
          <w:szCs w:val="20"/>
          <w:lang w:eastAsia="en-CA"/>
        </w:rPr>
        <w:lastRenderedPageBreak/>
        <w:t>[5]</w:t>
      </w:r>
      <w:r w:rsidRPr="00E75826">
        <w:rPr>
          <w:rFonts w:eastAsia="Times New Roman" w:cs="Times New Roman"/>
          <w:szCs w:val="20"/>
          <w:lang w:eastAsia="en-CA"/>
        </w:rPr>
        <w:tab/>
        <w:t xml:space="preserve">With respect, the trial judge erred in assessing the prejudice suffered by the accused at the remedy stage rather than considering it in determining whether s. 11(b) had been infringed, in accordance with the criteria applicable at the time set out in </w:t>
      </w:r>
      <w:r w:rsidRPr="00E75826">
        <w:rPr>
          <w:rFonts w:eastAsia="Times New Roman" w:cs="Times New Roman"/>
          <w:i/>
          <w:szCs w:val="20"/>
          <w:lang w:eastAsia="en-CA"/>
        </w:rPr>
        <w:t>R. v. Morin</w:t>
      </w:r>
      <w:r w:rsidRPr="00E75826">
        <w:rPr>
          <w:rFonts w:eastAsia="Times New Roman" w:cs="Times New Roman"/>
          <w:szCs w:val="20"/>
          <w:lang w:eastAsia="en-CA"/>
        </w:rPr>
        <w:t>, [1992] 1 S.C.R. 771. Despite that error, however, a functional analysis of his reasons shows that he considered the relevant factors and reached the correct conclusion, namely that the motions for a stay of proceedings should be dismissed. Although he was mistaken about the stage of the analysis at which prejudice had to be considered, his refusal to enter a stay of proceedings nonetheless makes it possible to conclude that s. 11(b)</w:t>
      </w:r>
      <w:r w:rsidRPr="00E75826">
        <w:rPr>
          <w:rFonts w:eastAsia="Times New Roman" w:cs="Times New Roman"/>
          <w:i/>
          <w:szCs w:val="20"/>
          <w:lang w:eastAsia="en-CA"/>
        </w:rPr>
        <w:t xml:space="preserve"> </w:t>
      </w:r>
      <w:r w:rsidRPr="00E75826">
        <w:rPr>
          <w:rFonts w:eastAsia="Times New Roman" w:cs="Times New Roman"/>
          <w:szCs w:val="20"/>
          <w:lang w:eastAsia="en-CA"/>
        </w:rPr>
        <w:t xml:space="preserve">was not infringed based on the </w:t>
      </w:r>
      <w:r w:rsidRPr="00E75826">
        <w:rPr>
          <w:rFonts w:eastAsia="Times New Roman" w:cs="Times New Roman"/>
          <w:i/>
          <w:szCs w:val="20"/>
          <w:lang w:eastAsia="en-CA"/>
        </w:rPr>
        <w:t>Morin</w:t>
      </w:r>
      <w:r w:rsidRPr="00E75826">
        <w:rPr>
          <w:rFonts w:eastAsia="Times New Roman" w:cs="Times New Roman"/>
          <w:szCs w:val="20"/>
          <w:lang w:eastAsia="en-CA"/>
        </w:rPr>
        <w:t xml:space="preserve"> criteria</w:t>
      </w:r>
      <w:r w:rsidRPr="00E75826">
        <w:rPr>
          <w:rFonts w:eastAsia="Times New Roman" w:cs="Times New Roman"/>
          <w:i/>
          <w:szCs w:val="20"/>
          <w:lang w:eastAsia="en-CA"/>
        </w:rPr>
        <w:t>.</w:t>
      </w:r>
      <w:r w:rsidRPr="00E75826">
        <w:rPr>
          <w:rFonts w:eastAsia="Times New Roman" w:cs="Times New Roman"/>
          <w:szCs w:val="20"/>
          <w:lang w:eastAsia="en-CA"/>
        </w:rPr>
        <w:t xml:space="preserve"> The Court of Appeal failed to make this finding (paras. 17</w:t>
      </w:r>
      <w:r w:rsidRPr="00E75826">
        <w:rPr>
          <w:rFonts w:eastAsia="Times New Roman" w:cs="Times New Roman"/>
          <w:szCs w:val="20"/>
          <w:lang w:eastAsia="en-CA"/>
        </w:rPr>
        <w:noBreakHyphen/>
        <w:t>18).</w:t>
      </w:r>
    </w:p>
    <w:p w:rsidR="00E75826" w:rsidRPr="00E75826" w:rsidRDefault="00E75826" w:rsidP="00A23894">
      <w:pPr>
        <w:pStyle w:val="SCCNormalDoubleSpacing"/>
        <w:spacing w:after="480"/>
        <w:rPr>
          <w:rFonts w:eastAsia="Times New Roman" w:cs="Times New Roman"/>
          <w:szCs w:val="20"/>
          <w:lang w:eastAsia="en-CA"/>
        </w:rPr>
      </w:pPr>
      <w:r w:rsidRPr="00E75826">
        <w:rPr>
          <w:rFonts w:eastAsia="Times New Roman" w:cs="Times New Roman"/>
          <w:szCs w:val="20"/>
          <w:lang w:eastAsia="en-CA"/>
        </w:rPr>
        <w:t>[6]</w:t>
      </w:r>
      <w:r w:rsidRPr="00E75826">
        <w:rPr>
          <w:rFonts w:eastAsia="Times New Roman" w:cs="Times New Roman"/>
          <w:szCs w:val="20"/>
          <w:lang w:eastAsia="en-CA"/>
        </w:rPr>
        <w:tab/>
        <w:t>In the circumstances, we are all of the view that the Court of Appeal erred in entering the stay of proceedings that the judge had himself denied.</w:t>
      </w:r>
    </w:p>
    <w:p w:rsidR="00E75826" w:rsidRPr="00E75826" w:rsidRDefault="00E75826" w:rsidP="00A23894">
      <w:pPr>
        <w:pStyle w:val="SCCNormalDoubleSpacing"/>
        <w:spacing w:after="480"/>
        <w:rPr>
          <w:rFonts w:eastAsia="Times New Roman" w:cs="Times New Roman"/>
          <w:szCs w:val="20"/>
          <w:lang w:eastAsia="en-CA"/>
        </w:rPr>
      </w:pPr>
      <w:r w:rsidRPr="00E75826">
        <w:rPr>
          <w:rFonts w:eastAsia="Times New Roman" w:cs="Times New Roman"/>
          <w:szCs w:val="20"/>
          <w:lang w:eastAsia="en-CA"/>
        </w:rPr>
        <w:t>[7]</w:t>
      </w:r>
      <w:r w:rsidRPr="00E75826">
        <w:rPr>
          <w:rFonts w:eastAsia="Times New Roman" w:cs="Times New Roman"/>
          <w:szCs w:val="20"/>
          <w:lang w:eastAsia="en-CA"/>
        </w:rPr>
        <w:tab/>
        <w:t>With respect, the Court of Appeal erred in refusing to re</w:t>
      </w:r>
      <w:r w:rsidRPr="00E75826">
        <w:rPr>
          <w:rFonts w:eastAsia="Times New Roman" w:cs="Times New Roman"/>
          <w:szCs w:val="20"/>
          <w:lang w:eastAsia="en-CA"/>
        </w:rPr>
        <w:noBreakHyphen/>
        <w:t xml:space="preserve">examine the unreasonableness of the delays on the ground that the record before it was incomplete. On appeal, the Crown filed a statement of admissions by the parties — filed by the parties at trial under s. 655 of the </w:t>
      </w:r>
      <w:r w:rsidRPr="00E75826">
        <w:rPr>
          <w:rFonts w:eastAsia="Times New Roman" w:cs="Times New Roman"/>
          <w:i/>
          <w:szCs w:val="20"/>
          <w:lang w:eastAsia="en-CA"/>
        </w:rPr>
        <w:t>Criminal Code</w:t>
      </w:r>
      <w:r w:rsidRPr="00E75826">
        <w:rPr>
          <w:rFonts w:eastAsia="Times New Roman" w:cs="Times New Roman"/>
          <w:szCs w:val="20"/>
          <w:lang w:eastAsia="en-CA"/>
        </w:rPr>
        <w:t>, R.S.C. 1985, c. C</w:t>
      </w:r>
      <w:r w:rsidRPr="00E75826">
        <w:rPr>
          <w:rFonts w:eastAsia="Times New Roman" w:cs="Times New Roman"/>
          <w:szCs w:val="20"/>
          <w:lang w:eastAsia="en-CA"/>
        </w:rPr>
        <w:noBreakHyphen/>
        <w:t>46 — that contained a detailed chronology of events, the content of which was not analyzed at all by the Court of Appeal. In our opinion, the evidence in the record allowed the appeal judges to carry out that analysis. It should be noted that a statement of admissions by the parties was not part of the appeal records in the cases on which the Court of Appeal relied, at para. 14 of its reasons, to justify its refusal to re</w:t>
      </w:r>
      <w:r w:rsidRPr="00E75826">
        <w:rPr>
          <w:rFonts w:eastAsia="Times New Roman" w:cs="Times New Roman"/>
          <w:szCs w:val="20"/>
          <w:lang w:eastAsia="en-CA"/>
        </w:rPr>
        <w:noBreakHyphen/>
        <w:t xml:space="preserve">examine the delays in this case. Although a court is not bound by admissions of law, a joint statement may be useful on appeal and may help reduce the delays leading to the infringement alleged by an accused (see, e.g., </w:t>
      </w:r>
      <w:r w:rsidRPr="00E75826">
        <w:rPr>
          <w:rFonts w:eastAsia="Times New Roman" w:cs="Times New Roman"/>
          <w:i/>
          <w:szCs w:val="20"/>
          <w:lang w:eastAsia="en-CA"/>
        </w:rPr>
        <w:t>R. v. Bryant</w:t>
      </w:r>
      <w:r w:rsidRPr="00E75826">
        <w:rPr>
          <w:rFonts w:eastAsia="Times New Roman" w:cs="Times New Roman"/>
          <w:szCs w:val="20"/>
          <w:lang w:eastAsia="en-CA"/>
        </w:rPr>
        <w:t>, 2021 QCCA 1807, at para. 3).</w:t>
      </w:r>
    </w:p>
    <w:p w:rsidR="00E75826" w:rsidRPr="00E75826" w:rsidRDefault="00E75826" w:rsidP="00A23894">
      <w:pPr>
        <w:pStyle w:val="SCCNormalDoubleSpacing"/>
        <w:spacing w:after="480"/>
        <w:rPr>
          <w:rFonts w:eastAsia="Times New Roman" w:cs="Times New Roman"/>
          <w:szCs w:val="20"/>
          <w:lang w:eastAsia="en-CA"/>
        </w:rPr>
      </w:pPr>
      <w:r w:rsidRPr="00E75826">
        <w:rPr>
          <w:rFonts w:eastAsia="Times New Roman" w:cs="Times New Roman"/>
          <w:szCs w:val="20"/>
          <w:lang w:eastAsia="en-CA"/>
        </w:rPr>
        <w:lastRenderedPageBreak/>
        <w:t>[8]</w:t>
      </w:r>
      <w:r w:rsidRPr="00E75826">
        <w:rPr>
          <w:rFonts w:eastAsia="Times New Roman" w:cs="Times New Roman"/>
          <w:szCs w:val="20"/>
          <w:lang w:eastAsia="en-CA"/>
        </w:rPr>
        <w:tab/>
        <w:t>The evidence in the record shows that the respondents directly caused most of the delays of which they complain and that they attempted to derail the trial by filing multiple applications, motions and interlocutory appeals, which were unsuccessful for the most part. These delays are largely but not exclusively attributable to the defence and must be subtracted from the total delay.</w:t>
      </w:r>
    </w:p>
    <w:p w:rsidR="00E75826" w:rsidRPr="00E75826" w:rsidRDefault="00E75826" w:rsidP="00A23894">
      <w:pPr>
        <w:pStyle w:val="SCCNormalDoubleSpacing"/>
        <w:spacing w:after="480"/>
        <w:rPr>
          <w:rFonts w:eastAsia="Times New Roman" w:cs="Times New Roman"/>
          <w:szCs w:val="20"/>
          <w:lang w:eastAsia="en-CA"/>
        </w:rPr>
      </w:pPr>
      <w:r w:rsidRPr="00E75826">
        <w:rPr>
          <w:rFonts w:eastAsia="Times New Roman" w:cs="Times New Roman"/>
          <w:szCs w:val="20"/>
          <w:lang w:eastAsia="en-CA"/>
        </w:rPr>
        <w:t>[9]</w:t>
      </w:r>
      <w:r w:rsidRPr="00E75826">
        <w:rPr>
          <w:rFonts w:eastAsia="Times New Roman" w:cs="Times New Roman"/>
          <w:szCs w:val="20"/>
          <w:lang w:eastAsia="en-CA"/>
        </w:rPr>
        <w:tab/>
        <w:t>The respondents also caused additional delays by insisting that a certain lawyer represent them despite a clear conflict of interest. In 2011, the preliminary inquiry judge found that Mélanie and Dax Ste</w:t>
      </w:r>
      <w:r w:rsidRPr="00E75826">
        <w:rPr>
          <w:rFonts w:eastAsia="Times New Roman" w:cs="Times New Roman"/>
          <w:szCs w:val="20"/>
          <w:lang w:eastAsia="en-CA"/>
        </w:rPr>
        <w:noBreakHyphen/>
        <w:t>Marie could not be represented by the same lawyer. As a result, they represented themselves. Despite the conflict of interest, they continued to insist that the lawyer retained by their father, Michel Ste</w:t>
      </w:r>
      <w:r w:rsidRPr="00E75826">
        <w:rPr>
          <w:rFonts w:eastAsia="Times New Roman" w:cs="Times New Roman"/>
          <w:szCs w:val="20"/>
          <w:lang w:eastAsia="en-CA"/>
        </w:rPr>
        <w:noBreakHyphen/>
        <w:t>Marie, represent all three of them. They maintained that position for more than two years. That course of conduct was of course untenable and caused additional delay.</w:t>
      </w:r>
    </w:p>
    <w:p w:rsidR="00E75826" w:rsidRPr="00E75826" w:rsidRDefault="00E75826" w:rsidP="00A23894">
      <w:pPr>
        <w:pStyle w:val="SCCNormalDoubleSpacing"/>
        <w:spacing w:after="480"/>
        <w:rPr>
          <w:rFonts w:eastAsia="Times New Roman" w:cs="Times New Roman"/>
          <w:szCs w:val="20"/>
          <w:lang w:eastAsia="en-CA"/>
        </w:rPr>
      </w:pPr>
      <w:r w:rsidRPr="00E75826">
        <w:rPr>
          <w:rFonts w:eastAsia="Times New Roman" w:cs="Times New Roman"/>
          <w:szCs w:val="20"/>
          <w:lang w:eastAsia="en-CA"/>
        </w:rPr>
        <w:t>[10]</w:t>
      </w:r>
      <w:r w:rsidRPr="00E75826">
        <w:rPr>
          <w:rFonts w:eastAsia="Times New Roman" w:cs="Times New Roman"/>
          <w:szCs w:val="20"/>
          <w:lang w:eastAsia="en-CA"/>
        </w:rPr>
        <w:tab/>
        <w:t>We reach the same conclusion with respect to Richard Felx. Although the conflict of interest did not directly involve him, he never expressed concern about the delays caused by his co</w:t>
      </w:r>
      <w:r w:rsidRPr="00E75826">
        <w:rPr>
          <w:rFonts w:eastAsia="Times New Roman" w:cs="Times New Roman"/>
          <w:szCs w:val="20"/>
          <w:lang w:eastAsia="en-CA"/>
        </w:rPr>
        <w:noBreakHyphen/>
        <w:t>accused. Moreover, the prosecution offered him his own preliminary inquiry several times, but he always refused.</w:t>
      </w:r>
    </w:p>
    <w:p w:rsidR="00E75826" w:rsidRPr="00E75826" w:rsidRDefault="00E75826" w:rsidP="00A23894">
      <w:pPr>
        <w:pStyle w:val="SCCNormalDoubleSpacing"/>
        <w:spacing w:after="480"/>
        <w:rPr>
          <w:rFonts w:eastAsia="Times New Roman" w:cs="Times New Roman"/>
          <w:szCs w:val="20"/>
          <w:lang w:eastAsia="en-CA"/>
        </w:rPr>
      </w:pPr>
      <w:r w:rsidRPr="00E75826">
        <w:rPr>
          <w:rFonts w:eastAsia="Times New Roman" w:cs="Times New Roman"/>
          <w:szCs w:val="20"/>
          <w:lang w:eastAsia="en-CA"/>
        </w:rPr>
        <w:t>[11]</w:t>
      </w:r>
      <w:r w:rsidRPr="00E75826">
        <w:rPr>
          <w:rFonts w:eastAsia="Times New Roman" w:cs="Times New Roman"/>
          <w:szCs w:val="20"/>
          <w:lang w:eastAsia="en-CA"/>
        </w:rPr>
        <w:tab/>
      </w:r>
      <w:r w:rsidRPr="00E75826">
        <w:rPr>
          <w:rFonts w:eastAsia="Times New Roman" w:cs="Times New Roman"/>
          <w:i/>
          <w:szCs w:val="20"/>
          <w:lang w:eastAsia="en-CA"/>
        </w:rPr>
        <w:t>Jordan</w:t>
      </w:r>
      <w:r w:rsidRPr="00E75826">
        <w:rPr>
          <w:rFonts w:eastAsia="Times New Roman" w:cs="Times New Roman"/>
          <w:szCs w:val="20"/>
          <w:lang w:eastAsia="en-CA"/>
        </w:rPr>
        <w:t xml:space="preserve"> reaffirmed the principle, which is applicable in this case, that the defence should not be allowed to benefit from its own delay</w:t>
      </w:r>
      <w:r w:rsidRPr="00E75826">
        <w:rPr>
          <w:rFonts w:eastAsia="Times New Roman" w:cs="Times New Roman"/>
          <w:szCs w:val="20"/>
          <w:lang w:eastAsia="en-CA"/>
        </w:rPr>
        <w:noBreakHyphen/>
        <w:t xml:space="preserve">causing conduct or from its tactics aimed at causing delay (paras. 60 and 63; see </w:t>
      </w:r>
      <w:r w:rsidRPr="00E75826">
        <w:rPr>
          <w:rFonts w:eastAsia="Times New Roman" w:cs="Times New Roman"/>
          <w:i/>
          <w:szCs w:val="20"/>
          <w:lang w:eastAsia="en-CA"/>
        </w:rPr>
        <w:t>Morin</w:t>
      </w:r>
      <w:r w:rsidRPr="00E75826">
        <w:rPr>
          <w:rFonts w:eastAsia="Times New Roman" w:cs="Times New Roman"/>
          <w:szCs w:val="20"/>
          <w:lang w:eastAsia="en-CA"/>
        </w:rPr>
        <w:t xml:space="preserve">, at p. 802; </w:t>
      </w:r>
      <w:r w:rsidRPr="00E75826">
        <w:rPr>
          <w:rFonts w:eastAsia="Times New Roman" w:cs="Times New Roman"/>
          <w:i/>
          <w:szCs w:val="20"/>
          <w:lang w:eastAsia="en-CA"/>
        </w:rPr>
        <w:t>R. v. Askov</w:t>
      </w:r>
      <w:r w:rsidRPr="00E75826">
        <w:rPr>
          <w:rFonts w:eastAsia="Times New Roman" w:cs="Times New Roman"/>
          <w:szCs w:val="20"/>
          <w:lang w:eastAsia="en-CA"/>
        </w:rPr>
        <w:t>, [1990] 2 S.C.R. 1199, at pp. 1227</w:t>
      </w:r>
      <w:r w:rsidRPr="00E75826">
        <w:rPr>
          <w:rFonts w:eastAsia="Times New Roman" w:cs="Times New Roman"/>
          <w:szCs w:val="20"/>
          <w:lang w:eastAsia="en-CA"/>
        </w:rPr>
        <w:noBreakHyphen/>
        <w:t>28).</w:t>
      </w:r>
    </w:p>
    <w:p w:rsidR="00E75826" w:rsidRPr="00E75826" w:rsidRDefault="00E75826" w:rsidP="00A23894">
      <w:pPr>
        <w:pStyle w:val="SCCNormalDoubleSpacing"/>
        <w:spacing w:after="480"/>
        <w:rPr>
          <w:rFonts w:eastAsia="Times New Roman" w:cs="Times New Roman"/>
          <w:szCs w:val="20"/>
          <w:lang w:eastAsia="en-CA"/>
        </w:rPr>
      </w:pPr>
      <w:r w:rsidRPr="00E75826">
        <w:rPr>
          <w:rFonts w:eastAsia="Times New Roman" w:cs="Times New Roman"/>
          <w:szCs w:val="20"/>
          <w:lang w:eastAsia="en-CA"/>
        </w:rPr>
        <w:lastRenderedPageBreak/>
        <w:t>[12]</w:t>
      </w:r>
      <w:r w:rsidRPr="00E75826">
        <w:rPr>
          <w:rFonts w:eastAsia="Times New Roman" w:cs="Times New Roman"/>
          <w:szCs w:val="20"/>
          <w:lang w:eastAsia="en-CA"/>
        </w:rPr>
        <w:tab/>
        <w:t>The appellant argues that once the deductions are made, the net delay is 35 months at the most (A.F., at para. 41). The respondents Mélanie Ste</w:t>
      </w:r>
      <w:r w:rsidRPr="00E75826">
        <w:rPr>
          <w:rFonts w:eastAsia="Times New Roman" w:cs="Times New Roman"/>
          <w:szCs w:val="20"/>
          <w:lang w:eastAsia="en-CA"/>
        </w:rPr>
        <w:noBreakHyphen/>
        <w:t>Marie, Dax Ste</w:t>
      </w:r>
      <w:r w:rsidRPr="00E75826">
        <w:rPr>
          <w:rFonts w:eastAsia="Times New Roman" w:cs="Times New Roman"/>
          <w:szCs w:val="20"/>
          <w:lang w:eastAsia="en-CA"/>
        </w:rPr>
        <w:noBreakHyphen/>
        <w:t>Marie and Richard Felx refer to this same calculation in their factum (R.F., at para. 37).</w:t>
      </w:r>
    </w:p>
    <w:p w:rsidR="00E75826" w:rsidRPr="00E75826" w:rsidRDefault="00E75826" w:rsidP="00A23894">
      <w:pPr>
        <w:pStyle w:val="SCCNormalDoubleSpacing"/>
        <w:spacing w:after="480"/>
        <w:rPr>
          <w:rFonts w:eastAsia="Times New Roman" w:cs="Times New Roman"/>
          <w:szCs w:val="20"/>
          <w:lang w:eastAsia="en-CA"/>
        </w:rPr>
      </w:pPr>
      <w:r w:rsidRPr="00E75826">
        <w:rPr>
          <w:rFonts w:eastAsia="Times New Roman" w:cs="Times New Roman"/>
          <w:szCs w:val="20"/>
          <w:lang w:eastAsia="en-CA"/>
        </w:rPr>
        <w:t>[13]</w:t>
      </w:r>
      <w:r w:rsidRPr="00E75826">
        <w:rPr>
          <w:rFonts w:eastAsia="Times New Roman" w:cs="Times New Roman"/>
          <w:szCs w:val="20"/>
          <w:lang w:eastAsia="en-CA"/>
        </w:rPr>
        <w:tab/>
        <w:t xml:space="preserve">Assuming for the sake of argument that the residual delay exceeds the ceiling set in </w:t>
      </w:r>
      <w:r w:rsidRPr="00E75826">
        <w:rPr>
          <w:rFonts w:eastAsia="Times New Roman" w:cs="Times New Roman"/>
          <w:i/>
          <w:szCs w:val="20"/>
          <w:lang w:eastAsia="en-CA"/>
        </w:rPr>
        <w:t>Jordan</w:t>
      </w:r>
      <w:r w:rsidRPr="00E75826">
        <w:rPr>
          <w:rFonts w:eastAsia="Times New Roman" w:cs="Times New Roman"/>
          <w:szCs w:val="20"/>
          <w:lang w:eastAsia="en-CA"/>
        </w:rPr>
        <w:t>, the presumption of unreasonableness may be rebutted on the basis of the transitional exceptional circumstance (</w:t>
      </w:r>
      <w:r w:rsidRPr="00E75826">
        <w:rPr>
          <w:rFonts w:eastAsia="Times New Roman" w:cs="Times New Roman"/>
          <w:i/>
          <w:szCs w:val="20"/>
          <w:lang w:eastAsia="en-CA"/>
        </w:rPr>
        <w:t>Jordan</w:t>
      </w:r>
      <w:r w:rsidRPr="00E75826">
        <w:rPr>
          <w:rFonts w:eastAsia="Times New Roman" w:cs="Times New Roman"/>
          <w:szCs w:val="20"/>
          <w:lang w:eastAsia="en-CA"/>
        </w:rPr>
        <w:t>, at paras. 96</w:t>
      </w:r>
      <w:r w:rsidRPr="00E75826">
        <w:rPr>
          <w:rFonts w:eastAsia="Times New Roman" w:cs="Times New Roman"/>
          <w:szCs w:val="20"/>
          <w:lang w:eastAsia="en-CA"/>
        </w:rPr>
        <w:noBreakHyphen/>
        <w:t>97). The transitional exceptional circumstance may apply where it is shown that “the time the case has taken is justified based on the parties’ reasonable reliance on the law as it previously existed” (</w:t>
      </w:r>
      <w:r w:rsidRPr="00E75826">
        <w:rPr>
          <w:rFonts w:eastAsia="Times New Roman" w:cs="Times New Roman"/>
          <w:i/>
          <w:szCs w:val="20"/>
          <w:lang w:eastAsia="en-CA"/>
        </w:rPr>
        <w:t>R. v. Cody</w:t>
      </w:r>
      <w:r w:rsidRPr="00E75826">
        <w:rPr>
          <w:rFonts w:eastAsia="Times New Roman" w:cs="Times New Roman"/>
          <w:szCs w:val="20"/>
          <w:lang w:eastAsia="en-CA"/>
        </w:rPr>
        <w:t xml:space="preserve">, 2017 SCC 31, [2017] 1 S.C.R. 659, at para. 68). In </w:t>
      </w:r>
      <w:r w:rsidRPr="00E75826">
        <w:rPr>
          <w:rFonts w:eastAsia="Times New Roman" w:cs="Times New Roman"/>
          <w:i/>
          <w:szCs w:val="20"/>
          <w:lang w:eastAsia="en-CA"/>
        </w:rPr>
        <w:t>R. v. Rice</w:t>
      </w:r>
      <w:r w:rsidRPr="00E75826">
        <w:rPr>
          <w:rFonts w:eastAsia="Times New Roman" w:cs="Times New Roman"/>
          <w:szCs w:val="20"/>
          <w:lang w:eastAsia="en-CA"/>
        </w:rPr>
        <w:t>, 2018 QCCA 198, at para. 202 (CanLII), Vauclair J.A. noted that, for this purpose, the court may examine the conduct of the accused: [</w:t>
      </w:r>
      <w:r w:rsidRPr="00E75826">
        <w:rPr>
          <w:rFonts w:eastAsia="Times New Roman" w:cs="Times New Roman"/>
          <w:smallCaps/>
          <w:szCs w:val="20"/>
          <w:lang w:eastAsia="en-CA"/>
        </w:rPr>
        <w:t>translation</w:t>
      </w:r>
      <w:r w:rsidRPr="00E75826">
        <w:rPr>
          <w:rFonts w:eastAsia="Times New Roman" w:cs="Times New Roman"/>
          <w:szCs w:val="20"/>
          <w:lang w:eastAsia="en-CA"/>
        </w:rPr>
        <w:t xml:space="preserve">] “[t]he absence of haste is an indicator of the lack of concern the accused has for delays and may be helpful in assessing prejudice”. This is in line with the factual determination made by the trial judge in this case, who found that the prejudice complained of by the respondents did not result from delay. In this situation, in light of the transitional exceptional circumstance identified in </w:t>
      </w:r>
      <w:r w:rsidRPr="00E75826">
        <w:rPr>
          <w:rFonts w:eastAsia="Times New Roman" w:cs="Times New Roman"/>
          <w:i/>
          <w:szCs w:val="20"/>
          <w:lang w:eastAsia="en-CA"/>
        </w:rPr>
        <w:t>Jordan</w:t>
      </w:r>
      <w:r w:rsidRPr="00E75826">
        <w:rPr>
          <w:rFonts w:eastAsia="Times New Roman" w:cs="Times New Roman"/>
          <w:szCs w:val="20"/>
          <w:lang w:eastAsia="en-CA"/>
        </w:rPr>
        <w:t xml:space="preserve">, it should be concluded that s. 11(b) of the </w:t>
      </w:r>
      <w:r w:rsidRPr="00E75826">
        <w:rPr>
          <w:rFonts w:eastAsia="Times New Roman" w:cs="Times New Roman"/>
          <w:i/>
          <w:szCs w:val="20"/>
          <w:lang w:eastAsia="en-CA"/>
        </w:rPr>
        <w:t>Charter</w:t>
      </w:r>
      <w:r w:rsidRPr="00E75826">
        <w:rPr>
          <w:rFonts w:eastAsia="Times New Roman" w:cs="Times New Roman"/>
          <w:szCs w:val="20"/>
          <w:lang w:eastAsia="en-CA"/>
        </w:rPr>
        <w:t xml:space="preserve"> was not infringed and that the trial judge was right to dismiss the motions for a stay of proceedings.</w:t>
      </w:r>
    </w:p>
    <w:p w:rsidR="00E75826" w:rsidRPr="00E75826" w:rsidRDefault="00E75826" w:rsidP="00A23894">
      <w:pPr>
        <w:pStyle w:val="SCCNormalDoubleSpacing"/>
        <w:spacing w:after="480"/>
        <w:rPr>
          <w:rFonts w:eastAsia="Times New Roman" w:cs="Times New Roman"/>
          <w:szCs w:val="20"/>
          <w:lang w:eastAsia="en-CA"/>
        </w:rPr>
      </w:pPr>
      <w:r w:rsidRPr="00E75826">
        <w:rPr>
          <w:rFonts w:eastAsia="Times New Roman" w:cs="Times New Roman"/>
          <w:szCs w:val="20"/>
          <w:lang w:eastAsia="en-CA"/>
        </w:rPr>
        <w:t>[14]</w:t>
      </w:r>
      <w:r w:rsidRPr="00E75826">
        <w:rPr>
          <w:rFonts w:eastAsia="Times New Roman" w:cs="Times New Roman"/>
          <w:szCs w:val="20"/>
          <w:lang w:eastAsia="en-CA"/>
        </w:rPr>
        <w:tab/>
        <w:t>For these reasons, we would allow the appeal, set aside the stay of proceedings and remand the case to a new panel of the Quebec Court of Appeal for consideration of the other grounds of appeal that remain outstanding.</w:t>
      </w:r>
    </w:p>
    <w:p w:rsidR="00E75826" w:rsidRPr="00E75826" w:rsidRDefault="00E75826" w:rsidP="00A23894">
      <w:pPr>
        <w:pStyle w:val="SCCNormalDoubleSpacing"/>
        <w:spacing w:after="480"/>
        <w:rPr>
          <w:rFonts w:eastAsia="Times New Roman" w:cs="Times New Roman"/>
          <w:szCs w:val="20"/>
          <w:lang w:eastAsia="en-CA"/>
        </w:rPr>
      </w:pPr>
      <w:r w:rsidRPr="00E75826">
        <w:rPr>
          <w:rFonts w:eastAsia="Times New Roman" w:cs="Times New Roman"/>
          <w:szCs w:val="20"/>
          <w:lang w:eastAsia="en-CA"/>
        </w:rPr>
        <w:tab/>
      </w:r>
      <w:r w:rsidRPr="00E75826">
        <w:rPr>
          <w:rFonts w:eastAsia="Times New Roman" w:cs="Times New Roman"/>
          <w:i/>
          <w:szCs w:val="20"/>
          <w:lang w:eastAsia="en-CA"/>
        </w:rPr>
        <w:t>Judgment accordingly.</w:t>
      </w:r>
    </w:p>
    <w:p w:rsidR="00E75826" w:rsidRPr="00E75826" w:rsidRDefault="00E75826" w:rsidP="00A23894">
      <w:pPr>
        <w:pStyle w:val="SCCNormalDoubleSpacing"/>
        <w:spacing w:after="480"/>
        <w:rPr>
          <w:rFonts w:eastAsia="Times New Roman" w:cs="Times New Roman"/>
          <w:i/>
          <w:szCs w:val="20"/>
          <w:lang w:eastAsia="en-CA"/>
        </w:rPr>
      </w:pPr>
      <w:r w:rsidRPr="00E75826">
        <w:rPr>
          <w:rFonts w:eastAsia="Times New Roman" w:cs="Times New Roman"/>
          <w:szCs w:val="20"/>
          <w:lang w:eastAsia="en-CA"/>
        </w:rPr>
        <w:lastRenderedPageBreak/>
        <w:tab/>
      </w:r>
      <w:r w:rsidRPr="00E75826">
        <w:rPr>
          <w:rFonts w:eastAsia="Times New Roman" w:cs="Times New Roman"/>
          <w:i/>
          <w:szCs w:val="20"/>
          <w:lang w:eastAsia="en-CA"/>
        </w:rPr>
        <w:t>Solicitor for the appellant: Director of Criminal and Penal Prosecutions, Montréal.</w:t>
      </w:r>
    </w:p>
    <w:p w:rsidR="00E75826" w:rsidRPr="00E75826" w:rsidRDefault="00E75826" w:rsidP="00A23894">
      <w:pPr>
        <w:pStyle w:val="SCCNormalDoubleSpacing"/>
        <w:spacing w:after="480"/>
        <w:rPr>
          <w:rFonts w:eastAsia="Times New Roman" w:cs="Times New Roman"/>
          <w:i/>
          <w:szCs w:val="20"/>
          <w:lang w:eastAsia="en-CA"/>
        </w:rPr>
      </w:pPr>
      <w:r w:rsidRPr="00E75826">
        <w:rPr>
          <w:rFonts w:eastAsia="Times New Roman" w:cs="Times New Roman"/>
          <w:szCs w:val="20"/>
          <w:lang w:eastAsia="en-CA"/>
        </w:rPr>
        <w:tab/>
      </w:r>
      <w:r w:rsidRPr="00E75826">
        <w:rPr>
          <w:rFonts w:eastAsia="Times New Roman" w:cs="Times New Roman"/>
          <w:i/>
          <w:szCs w:val="20"/>
          <w:lang w:eastAsia="en-CA"/>
        </w:rPr>
        <w:t>Solicitors for the respondents Mélanie Ste</w:t>
      </w:r>
      <w:r w:rsidRPr="00E75826">
        <w:rPr>
          <w:rFonts w:eastAsia="Times New Roman" w:cs="Times New Roman"/>
          <w:i/>
          <w:szCs w:val="20"/>
          <w:lang w:eastAsia="en-CA"/>
        </w:rPr>
        <w:noBreakHyphen/>
        <w:t>Marie, Dax Ste</w:t>
      </w:r>
      <w:r w:rsidRPr="00E75826">
        <w:rPr>
          <w:rFonts w:eastAsia="Times New Roman" w:cs="Times New Roman"/>
          <w:i/>
          <w:szCs w:val="20"/>
          <w:lang w:eastAsia="en-CA"/>
        </w:rPr>
        <w:noBreakHyphen/>
        <w:t>Marie and Richard Felx: BMD Avocats inc., Laval.</w:t>
      </w:r>
    </w:p>
    <w:p w:rsidR="00E75826" w:rsidRPr="00E75826" w:rsidRDefault="00E75826" w:rsidP="00A23894">
      <w:pPr>
        <w:pStyle w:val="SCCNormalDoubleSpacing"/>
        <w:spacing w:after="480"/>
        <w:rPr>
          <w:rFonts w:eastAsia="Times New Roman" w:cs="Times New Roman"/>
          <w:i/>
          <w:szCs w:val="20"/>
          <w:lang w:eastAsia="en-CA"/>
        </w:rPr>
      </w:pPr>
      <w:r w:rsidRPr="00E75826">
        <w:rPr>
          <w:rFonts w:eastAsia="Times New Roman" w:cs="Times New Roman"/>
          <w:szCs w:val="20"/>
          <w:lang w:eastAsia="en-CA"/>
        </w:rPr>
        <w:tab/>
      </w:r>
      <w:r w:rsidRPr="00E75826">
        <w:rPr>
          <w:rFonts w:eastAsia="Times New Roman" w:cs="Times New Roman"/>
          <w:i/>
          <w:szCs w:val="20"/>
          <w:lang w:eastAsia="en-CA"/>
        </w:rPr>
        <w:t>Solicitors for the respondent Michel Ste</w:t>
      </w:r>
      <w:r w:rsidRPr="00E75826">
        <w:rPr>
          <w:rFonts w:eastAsia="Times New Roman" w:cs="Times New Roman"/>
          <w:i/>
          <w:szCs w:val="20"/>
          <w:lang w:eastAsia="en-CA"/>
        </w:rPr>
        <w:noBreakHyphen/>
        <w:t>Marie: Sherif Foda, Toronto; Addario Law Group, Toronto.</w:t>
      </w:r>
    </w:p>
    <w:p w:rsidR="00E75826" w:rsidRPr="00E75826" w:rsidRDefault="00E75826" w:rsidP="00A23894">
      <w:pPr>
        <w:pStyle w:val="SCCNormalDoubleSpacing"/>
        <w:spacing w:after="480"/>
        <w:rPr>
          <w:rFonts w:eastAsia="Times New Roman" w:cs="Times New Roman"/>
          <w:i/>
          <w:szCs w:val="20"/>
          <w:lang w:eastAsia="en-CA"/>
        </w:rPr>
      </w:pPr>
      <w:r w:rsidRPr="00E75826">
        <w:rPr>
          <w:rFonts w:eastAsia="Times New Roman" w:cs="Times New Roman"/>
          <w:szCs w:val="20"/>
          <w:lang w:eastAsia="en-CA"/>
        </w:rPr>
        <w:tab/>
      </w:r>
      <w:r w:rsidRPr="00E75826">
        <w:rPr>
          <w:rFonts w:eastAsia="Times New Roman" w:cs="Times New Roman"/>
          <w:i/>
          <w:szCs w:val="20"/>
          <w:lang w:eastAsia="en-CA"/>
        </w:rPr>
        <w:t>Solicitor for the intervener the Attorney General of Ontario: Attorney General of Ontario, Toronto.</w:t>
      </w:r>
    </w:p>
    <w:p w:rsidR="00E75826" w:rsidRPr="00E75826" w:rsidRDefault="00E75826" w:rsidP="00A23894">
      <w:pPr>
        <w:pStyle w:val="SCCNormalDoubleSpacing"/>
        <w:spacing w:after="480"/>
        <w:rPr>
          <w:rFonts w:eastAsia="Times New Roman" w:cs="Times New Roman"/>
          <w:i/>
          <w:szCs w:val="20"/>
          <w:lang w:eastAsia="en-CA"/>
        </w:rPr>
      </w:pPr>
      <w:r w:rsidRPr="00E75826">
        <w:rPr>
          <w:rFonts w:eastAsia="Times New Roman" w:cs="Times New Roman"/>
          <w:szCs w:val="20"/>
          <w:lang w:eastAsia="en-CA"/>
        </w:rPr>
        <w:tab/>
      </w:r>
      <w:r w:rsidRPr="00E75826">
        <w:rPr>
          <w:rFonts w:eastAsia="Times New Roman" w:cs="Times New Roman"/>
          <w:i/>
          <w:szCs w:val="20"/>
          <w:lang w:eastAsia="en-CA"/>
        </w:rPr>
        <w:t>Solicitors for the intervener the Criminal Lawyers’ Association (Ontario): Embry Dann, Toronto; Goldbloom Law, Toronto.</w:t>
      </w:r>
    </w:p>
    <w:p w:rsidR="00E75826" w:rsidRPr="00E75826" w:rsidRDefault="00E75826" w:rsidP="00A23894">
      <w:pPr>
        <w:pStyle w:val="SCCNormalDoubleSpacing"/>
        <w:spacing w:after="480"/>
        <w:rPr>
          <w:rFonts w:eastAsia="Times New Roman" w:cs="Times New Roman"/>
          <w:i/>
          <w:szCs w:val="20"/>
          <w:lang w:val="fr-CA" w:eastAsia="en-CA"/>
        </w:rPr>
      </w:pPr>
      <w:r w:rsidRPr="00E75826">
        <w:rPr>
          <w:rFonts w:eastAsia="Times New Roman" w:cs="Times New Roman"/>
          <w:szCs w:val="20"/>
          <w:lang w:eastAsia="en-CA"/>
        </w:rPr>
        <w:tab/>
      </w:r>
      <w:r w:rsidRPr="00E75826">
        <w:rPr>
          <w:rFonts w:eastAsia="Times New Roman" w:cs="Times New Roman"/>
          <w:i/>
          <w:szCs w:val="20"/>
          <w:lang w:val="fr-CA" w:eastAsia="en-CA"/>
        </w:rPr>
        <w:t>Solicitors for the intervener Association québécoise des avocats et avocates de la défense: Louis Belleau Avocat, Montréal.</w:t>
      </w:r>
    </w:p>
    <w:sectPr w:rsidR="00E75826" w:rsidRPr="00E75826" w:rsidSect="00F72014">
      <w:pgSz w:w="12240" w:h="15840"/>
      <w:pgMar w:top="1440" w:right="1440" w:bottom="1440" w:left="1440" w:header="43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E44" w:rsidRDefault="00EF0E44" w:rsidP="00F72014">
      <w:r>
        <w:separator/>
      </w:r>
    </w:p>
  </w:endnote>
  <w:endnote w:type="continuationSeparator" w:id="0">
    <w:p w:rsidR="00EF0E44" w:rsidRDefault="00EF0E44" w:rsidP="00F7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E44" w:rsidRDefault="00EF0E44" w:rsidP="00F72014">
      <w:r>
        <w:separator/>
      </w:r>
    </w:p>
  </w:footnote>
  <w:footnote w:type="continuationSeparator" w:id="0">
    <w:p w:rsidR="00EF0E44" w:rsidRDefault="00EF0E44" w:rsidP="00F720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83EE8"/>
    <w:multiLevelType w:val="multilevel"/>
    <w:tmpl w:val="1E283004"/>
    <w:lvl w:ilvl="0">
      <w:start w:val="1"/>
      <w:numFmt w:val="decimal"/>
      <w:pStyle w:val="ParaNoNdepar-AltN"/>
      <w:lvlText w:val="[%1]"/>
      <w:lvlJc w:val="left"/>
      <w:pPr>
        <w:tabs>
          <w:tab w:val="num" w:pos="1152"/>
        </w:tabs>
        <w:ind w:left="0" w:firstLine="0"/>
      </w:pPr>
      <w:rPr>
        <w:rFonts w:ascii="Times New Roman" w:hAnsi="Times New Roman" w:hint="default"/>
        <w:b w:val="0"/>
        <w:i w:val="0"/>
        <w:sz w:val="24"/>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defaultTabStop w:val="720"/>
  <w:hyphenationZone w:val="425"/>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0DA"/>
    <w:rsid w:val="00001315"/>
    <w:rsid w:val="0003087F"/>
    <w:rsid w:val="00076773"/>
    <w:rsid w:val="00087E50"/>
    <w:rsid w:val="001311DA"/>
    <w:rsid w:val="001412E4"/>
    <w:rsid w:val="001648D4"/>
    <w:rsid w:val="001B0985"/>
    <w:rsid w:val="001B27ED"/>
    <w:rsid w:val="001B299D"/>
    <w:rsid w:val="001D6B8C"/>
    <w:rsid w:val="001F1F83"/>
    <w:rsid w:val="001F3E0C"/>
    <w:rsid w:val="00205C5C"/>
    <w:rsid w:val="00205C5D"/>
    <w:rsid w:val="00252460"/>
    <w:rsid w:val="00273D07"/>
    <w:rsid w:val="0028675F"/>
    <w:rsid w:val="002C1DA9"/>
    <w:rsid w:val="002C5A33"/>
    <w:rsid w:val="002D4FC9"/>
    <w:rsid w:val="00307011"/>
    <w:rsid w:val="00355967"/>
    <w:rsid w:val="00384384"/>
    <w:rsid w:val="003B2BE1"/>
    <w:rsid w:val="003B3C63"/>
    <w:rsid w:val="0041360D"/>
    <w:rsid w:val="00451668"/>
    <w:rsid w:val="00460AFC"/>
    <w:rsid w:val="004E69EC"/>
    <w:rsid w:val="004E7498"/>
    <w:rsid w:val="004F090E"/>
    <w:rsid w:val="00524C08"/>
    <w:rsid w:val="00540106"/>
    <w:rsid w:val="00564C88"/>
    <w:rsid w:val="00582136"/>
    <w:rsid w:val="005D2CFA"/>
    <w:rsid w:val="005D4801"/>
    <w:rsid w:val="005E5347"/>
    <w:rsid w:val="0061259C"/>
    <w:rsid w:val="00684821"/>
    <w:rsid w:val="006B210C"/>
    <w:rsid w:val="006E1CC4"/>
    <w:rsid w:val="00701ABD"/>
    <w:rsid w:val="007740CA"/>
    <w:rsid w:val="007E67F6"/>
    <w:rsid w:val="00815561"/>
    <w:rsid w:val="00842677"/>
    <w:rsid w:val="00843369"/>
    <w:rsid w:val="00852D4E"/>
    <w:rsid w:val="00861508"/>
    <w:rsid w:val="00880B14"/>
    <w:rsid w:val="00904937"/>
    <w:rsid w:val="00916183"/>
    <w:rsid w:val="0093524C"/>
    <w:rsid w:val="00962C82"/>
    <w:rsid w:val="00996510"/>
    <w:rsid w:val="0099776C"/>
    <w:rsid w:val="009B58B8"/>
    <w:rsid w:val="009E1B85"/>
    <w:rsid w:val="009E7065"/>
    <w:rsid w:val="00A15427"/>
    <w:rsid w:val="00A23894"/>
    <w:rsid w:val="00A51D10"/>
    <w:rsid w:val="00A57778"/>
    <w:rsid w:val="00AB2201"/>
    <w:rsid w:val="00B454EE"/>
    <w:rsid w:val="00B62010"/>
    <w:rsid w:val="00BC2DFD"/>
    <w:rsid w:val="00BD4217"/>
    <w:rsid w:val="00C003E6"/>
    <w:rsid w:val="00CE17A0"/>
    <w:rsid w:val="00CF2168"/>
    <w:rsid w:val="00D030DA"/>
    <w:rsid w:val="00D76BDF"/>
    <w:rsid w:val="00DA7B22"/>
    <w:rsid w:val="00DC694C"/>
    <w:rsid w:val="00DF15D7"/>
    <w:rsid w:val="00E22DBA"/>
    <w:rsid w:val="00E356C7"/>
    <w:rsid w:val="00E5364D"/>
    <w:rsid w:val="00E54E6E"/>
    <w:rsid w:val="00E64FA7"/>
    <w:rsid w:val="00E75826"/>
    <w:rsid w:val="00E770CB"/>
    <w:rsid w:val="00EA6DB9"/>
    <w:rsid w:val="00EF0E44"/>
    <w:rsid w:val="00EF72F1"/>
    <w:rsid w:val="00F36AF0"/>
    <w:rsid w:val="00F72014"/>
    <w:rsid w:val="00F9518C"/>
    <w:rsid w:val="00FA59EF"/>
    <w:rsid w:val="00FC2782"/>
    <w:rsid w:val="00FC70CB"/>
    <w:rsid w:val="00FE57D3"/>
    <w:rsid w:val="00FE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7ED"/>
    <w:rPr>
      <w:lang w:val="en-CA"/>
    </w:rPr>
  </w:style>
  <w:style w:type="paragraph" w:styleId="Heading8">
    <w:name w:val="heading 8"/>
    <w:basedOn w:val="ListParagraph"/>
    <w:next w:val="Normal"/>
    <w:link w:val="Heading8Char"/>
    <w:uiPriority w:val="9"/>
    <w:unhideWhenUsed/>
    <w:qFormat/>
    <w:rsid w:val="006E1CC4"/>
    <w:pPr>
      <w:numPr>
        <w:ilvl w:val="6"/>
        <w:numId w:val="1"/>
      </w:numPr>
      <w:tabs>
        <w:tab w:val="left" w:pos="2340"/>
      </w:tabs>
      <w:jc w:val="both"/>
      <w:outlineLvl w:val="7"/>
    </w:pPr>
    <w:rPr>
      <w:szCs w:val="2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30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030DA"/>
    <w:rPr>
      <w:color w:val="808080"/>
    </w:rPr>
  </w:style>
  <w:style w:type="paragraph" w:styleId="BalloonText">
    <w:name w:val="Balloon Text"/>
    <w:basedOn w:val="Normal"/>
    <w:link w:val="BalloonTextChar"/>
    <w:uiPriority w:val="99"/>
    <w:semiHidden/>
    <w:unhideWhenUsed/>
    <w:rsid w:val="00D030DA"/>
    <w:rPr>
      <w:rFonts w:ascii="Tahoma" w:hAnsi="Tahoma" w:cs="Tahoma"/>
      <w:sz w:val="16"/>
      <w:szCs w:val="16"/>
    </w:rPr>
  </w:style>
  <w:style w:type="character" w:customStyle="1" w:styleId="BalloonTextChar">
    <w:name w:val="Balloon Text Char"/>
    <w:basedOn w:val="DefaultParagraphFont"/>
    <w:link w:val="BalloonText"/>
    <w:uiPriority w:val="99"/>
    <w:semiHidden/>
    <w:rsid w:val="00D030DA"/>
    <w:rPr>
      <w:rFonts w:ascii="Tahoma" w:hAnsi="Tahoma" w:cs="Tahoma"/>
      <w:sz w:val="16"/>
      <w:szCs w:val="16"/>
    </w:rPr>
  </w:style>
  <w:style w:type="paragraph" w:styleId="Header">
    <w:name w:val="header"/>
    <w:basedOn w:val="Normal"/>
    <w:link w:val="HeaderChar"/>
    <w:uiPriority w:val="99"/>
    <w:unhideWhenUsed/>
    <w:rsid w:val="00F72014"/>
    <w:pPr>
      <w:tabs>
        <w:tab w:val="center" w:pos="4680"/>
        <w:tab w:val="right" w:pos="9360"/>
      </w:tabs>
    </w:pPr>
  </w:style>
  <w:style w:type="character" w:customStyle="1" w:styleId="HeaderChar">
    <w:name w:val="Header Char"/>
    <w:basedOn w:val="DefaultParagraphFont"/>
    <w:link w:val="Header"/>
    <w:uiPriority w:val="99"/>
    <w:rsid w:val="00F72014"/>
  </w:style>
  <w:style w:type="paragraph" w:styleId="Footer">
    <w:name w:val="footer"/>
    <w:basedOn w:val="Normal"/>
    <w:link w:val="FooterChar"/>
    <w:uiPriority w:val="99"/>
    <w:unhideWhenUsed/>
    <w:rsid w:val="00F72014"/>
    <w:pPr>
      <w:tabs>
        <w:tab w:val="center" w:pos="4680"/>
        <w:tab w:val="right" w:pos="9360"/>
      </w:tabs>
    </w:pPr>
  </w:style>
  <w:style w:type="character" w:customStyle="1" w:styleId="FooterChar">
    <w:name w:val="Footer Char"/>
    <w:basedOn w:val="DefaultParagraphFont"/>
    <w:link w:val="Footer"/>
    <w:uiPriority w:val="99"/>
    <w:rsid w:val="00F72014"/>
  </w:style>
  <w:style w:type="paragraph" w:customStyle="1" w:styleId="SCCRestrictionOnPublicationTitle">
    <w:name w:val="SCC.RestrictionOnPublicationTitle"/>
    <w:basedOn w:val="Normal"/>
    <w:next w:val="Normal"/>
    <w:link w:val="SCCRestrictionOnPublicationTitleChar"/>
    <w:rsid w:val="00252460"/>
    <w:rPr>
      <w:b/>
      <w:smallCaps/>
    </w:rPr>
  </w:style>
  <w:style w:type="character" w:customStyle="1" w:styleId="SCCRestrictionOnPublicationTitleChar">
    <w:name w:val="SCC.RestrictionOnPublicationTitle Char"/>
    <w:basedOn w:val="DefaultParagraphFont"/>
    <w:link w:val="SCCRestrictionOnPublicationTitle"/>
    <w:rsid w:val="00252460"/>
    <w:rPr>
      <w:b/>
      <w:smallCaps/>
      <w:lang w:val="en-CA"/>
    </w:rPr>
  </w:style>
  <w:style w:type="paragraph" w:customStyle="1" w:styleId="SCCRestrictionOnPublicationText">
    <w:name w:val="SCC.RestrictionOnPublicationText"/>
    <w:basedOn w:val="Normal"/>
    <w:next w:val="Normal"/>
    <w:link w:val="SCCRestrictionOnPublicationTextChar"/>
    <w:rsid w:val="00252460"/>
  </w:style>
  <w:style w:type="character" w:customStyle="1" w:styleId="SCCRestrictionOnPublicationTextChar">
    <w:name w:val="SCC.RestrictionOnPublicationText Char"/>
    <w:basedOn w:val="DefaultParagraphFont"/>
    <w:link w:val="SCCRestrictionOnPublicationText"/>
    <w:rsid w:val="00252460"/>
    <w:rPr>
      <w:lang w:val="en-CA"/>
    </w:rPr>
  </w:style>
  <w:style w:type="paragraph" w:customStyle="1" w:styleId="SCCLsocOtherPartyRole">
    <w:name w:val="SCC.Lsoc.OtherPartyRole"/>
    <w:basedOn w:val="Normal"/>
    <w:next w:val="Normal"/>
    <w:link w:val="SCCLsocOtherPartyRoleChar"/>
    <w:rsid w:val="0099776C"/>
    <w:pPr>
      <w:jc w:val="center"/>
    </w:pPr>
  </w:style>
  <w:style w:type="character" w:customStyle="1" w:styleId="SCCLsocOtherPartyRoleChar">
    <w:name w:val="SCC.Lsoc.OtherPartyRole Char"/>
    <w:basedOn w:val="DefaultParagraphFont"/>
    <w:link w:val="SCCLsocOtherPartyRole"/>
    <w:rsid w:val="0099776C"/>
    <w:rPr>
      <w:lang w:val="en-CA"/>
    </w:rPr>
  </w:style>
  <w:style w:type="paragraph" w:customStyle="1" w:styleId="SCCLsocParty">
    <w:name w:val="SCC.Lsoc.Party"/>
    <w:basedOn w:val="Normal"/>
    <w:next w:val="Normal"/>
    <w:link w:val="SCCLsocPartyChar"/>
    <w:rsid w:val="0099776C"/>
    <w:pPr>
      <w:jc w:val="center"/>
    </w:pPr>
    <w:rPr>
      <w:b/>
    </w:rPr>
  </w:style>
  <w:style w:type="character" w:customStyle="1" w:styleId="SCCLsocPartyChar">
    <w:name w:val="SCC.Lsoc.Party Char"/>
    <w:basedOn w:val="DefaultParagraphFont"/>
    <w:link w:val="SCCLsocParty"/>
    <w:rsid w:val="0099776C"/>
    <w:rPr>
      <w:b/>
      <w:lang w:val="en-CA"/>
    </w:rPr>
  </w:style>
  <w:style w:type="paragraph" w:customStyle="1" w:styleId="SCCLsocSubfileSeparator">
    <w:name w:val="SCC.Lsoc.SubfileSeparator"/>
    <w:basedOn w:val="Normal"/>
    <w:next w:val="Normal"/>
    <w:link w:val="SCCLsocSubfileSeparatorChar"/>
    <w:rsid w:val="00FE5ED5"/>
    <w:rPr>
      <w:b/>
      <w:smallCaps/>
    </w:rPr>
  </w:style>
  <w:style w:type="character" w:customStyle="1" w:styleId="SCCLsocSubfileSeparatorChar">
    <w:name w:val="SCC.Lsoc.SubfileSeparator Char"/>
    <w:basedOn w:val="DefaultParagraphFont"/>
    <w:link w:val="SCCLsocSubfileSeparator"/>
    <w:rsid w:val="00FE5ED5"/>
    <w:rPr>
      <w:b/>
      <w:smallCaps/>
      <w:lang w:val="en-CA"/>
    </w:rPr>
  </w:style>
  <w:style w:type="paragraph" w:customStyle="1" w:styleId="SCCLsocVersus">
    <w:name w:val="SCC.Lsoc.Versus"/>
    <w:basedOn w:val="Normal"/>
    <w:next w:val="Normal"/>
    <w:link w:val="SCCLsocVersusChar"/>
    <w:rsid w:val="0099776C"/>
    <w:pPr>
      <w:jc w:val="center"/>
    </w:pPr>
  </w:style>
  <w:style w:type="character" w:customStyle="1" w:styleId="SCCLsocVersusChar">
    <w:name w:val="SCC.Lsoc.Versus Char"/>
    <w:basedOn w:val="DefaultParagraphFont"/>
    <w:link w:val="SCCLsocVersus"/>
    <w:rsid w:val="0099776C"/>
    <w:rPr>
      <w:lang w:val="en-CA"/>
    </w:rPr>
  </w:style>
  <w:style w:type="paragraph" w:customStyle="1" w:styleId="SCCLsocPartyRole">
    <w:name w:val="SCC.Lsoc.PartyRole"/>
    <w:basedOn w:val="Normal"/>
    <w:next w:val="Normal"/>
    <w:link w:val="SCCLsocPartyRoleChar"/>
    <w:rsid w:val="0099776C"/>
    <w:pPr>
      <w:jc w:val="center"/>
    </w:pPr>
  </w:style>
  <w:style w:type="character" w:customStyle="1" w:styleId="SCCLsocPartyRoleChar">
    <w:name w:val="SCC.Lsoc.PartyRole Char"/>
    <w:basedOn w:val="DefaultParagraphFont"/>
    <w:link w:val="SCCLsocPartyRole"/>
    <w:rsid w:val="0099776C"/>
    <w:rPr>
      <w:lang w:val="en-CA"/>
    </w:rPr>
  </w:style>
  <w:style w:type="paragraph" w:customStyle="1" w:styleId="SCCLsocPrefix">
    <w:name w:val="SCC.Lsoc.Prefix"/>
    <w:basedOn w:val="Normal"/>
    <w:next w:val="Normal"/>
    <w:link w:val="SCCLsocPrefixChar"/>
    <w:rsid w:val="00FE5ED5"/>
    <w:rPr>
      <w:b/>
      <w:smallCaps/>
    </w:rPr>
  </w:style>
  <w:style w:type="character" w:customStyle="1" w:styleId="SCCLsocPrefixChar">
    <w:name w:val="SCC.Lsoc.Prefix Char"/>
    <w:basedOn w:val="DefaultParagraphFont"/>
    <w:link w:val="SCCLsocPrefix"/>
    <w:rsid w:val="00FE5ED5"/>
    <w:rPr>
      <w:b/>
      <w:smallCaps/>
      <w:lang w:val="en-CA"/>
    </w:rPr>
  </w:style>
  <w:style w:type="paragraph" w:customStyle="1" w:styleId="SCCHearingJudgmentDatesText">
    <w:name w:val="SCC.HearingJudgmentDatesText"/>
    <w:basedOn w:val="Normal"/>
    <w:next w:val="Normal"/>
    <w:link w:val="SCCHearingJudgmentDatesTextChar"/>
    <w:rsid w:val="00C003E6"/>
  </w:style>
  <w:style w:type="character" w:customStyle="1" w:styleId="SCCHearingJudgmentDatesTextChar">
    <w:name w:val="SCC.HearingJudgmentDatesText Char"/>
    <w:basedOn w:val="DefaultParagraphFont"/>
    <w:link w:val="SCCHearingJudgmentDatesText"/>
    <w:rsid w:val="00C003E6"/>
    <w:rPr>
      <w:lang w:val="en-CA"/>
    </w:rPr>
  </w:style>
  <w:style w:type="paragraph" w:customStyle="1" w:styleId="SCCHearingJudgmentDatesTitle">
    <w:name w:val="SCC.HearingJudgmentDatesTitle"/>
    <w:basedOn w:val="Normal"/>
    <w:next w:val="Normal"/>
    <w:link w:val="SCCHearingJudgmentDatesTitleChar"/>
    <w:rsid w:val="00C003E6"/>
    <w:rPr>
      <w:b/>
      <w:smallCaps/>
    </w:rPr>
  </w:style>
  <w:style w:type="character" w:customStyle="1" w:styleId="SCCHearingJudgmentDatesTitleChar">
    <w:name w:val="SCC.HearingJudgmentDatesTitle Char"/>
    <w:basedOn w:val="DefaultParagraphFont"/>
    <w:link w:val="SCCHearingJudgmentDatesTitle"/>
    <w:rsid w:val="00C003E6"/>
    <w:rPr>
      <w:b/>
      <w:smallCaps/>
      <w:lang w:val="en-CA"/>
    </w:rPr>
  </w:style>
  <w:style w:type="paragraph" w:customStyle="1" w:styleId="SCCLsocOtherPartySeparator">
    <w:name w:val="SCC.Lsoc.OtherPartySeparator"/>
    <w:basedOn w:val="Normal"/>
    <w:next w:val="Normal"/>
    <w:link w:val="SCCLsocOtherPartySeparatorChar"/>
    <w:rsid w:val="002C5A33"/>
    <w:pPr>
      <w:jc w:val="center"/>
    </w:pPr>
  </w:style>
  <w:style w:type="character" w:customStyle="1" w:styleId="SCCLsocOtherPartySeparatorChar">
    <w:name w:val="SCC.Lsoc.OtherPartySeparator Char"/>
    <w:basedOn w:val="DefaultParagraphFont"/>
    <w:link w:val="SCCLsocOtherPartySeparator"/>
    <w:rsid w:val="002C5A33"/>
    <w:rPr>
      <w:lang w:val="en-CA"/>
    </w:rPr>
  </w:style>
  <w:style w:type="paragraph" w:customStyle="1" w:styleId="SCCCounselName">
    <w:name w:val="SCC.CounselName"/>
    <w:basedOn w:val="Normal"/>
    <w:next w:val="Normal"/>
    <w:link w:val="SCCCounselNameChar"/>
    <w:rsid w:val="00962C82"/>
    <w:rPr>
      <w:i/>
    </w:rPr>
  </w:style>
  <w:style w:type="character" w:customStyle="1" w:styleId="SCCCounselNameChar">
    <w:name w:val="SCC.CounselName Char"/>
    <w:basedOn w:val="DefaultParagraphFont"/>
    <w:link w:val="SCCCounselName"/>
    <w:rsid w:val="00962C82"/>
    <w:rPr>
      <w:rFonts w:eastAsia="Times New Roman" w:cs="Times New Roman"/>
      <w:i/>
      <w:szCs w:val="20"/>
      <w:lang w:val="en-CA" w:eastAsia="en-CA"/>
    </w:rPr>
  </w:style>
  <w:style w:type="paragraph" w:customStyle="1" w:styleId="SCCCounselSeparator">
    <w:name w:val="SCC.CounselSeparator"/>
    <w:basedOn w:val="Normal"/>
    <w:next w:val="Normal"/>
    <w:link w:val="SCCCounselSeparatorChar"/>
    <w:rsid w:val="00962C82"/>
  </w:style>
  <w:style w:type="character" w:customStyle="1" w:styleId="SCCCounselSeparatorChar">
    <w:name w:val="SCC.CounselSeparator Char"/>
    <w:basedOn w:val="DefaultParagraphFont"/>
    <w:link w:val="SCCCounselSeparator"/>
    <w:rsid w:val="00962C82"/>
    <w:rPr>
      <w:rFonts w:eastAsia="Times New Roman" w:cs="Times New Roman"/>
      <w:szCs w:val="20"/>
      <w:lang w:val="en-CA" w:eastAsia="en-CA"/>
    </w:rPr>
  </w:style>
  <w:style w:type="paragraph" w:customStyle="1" w:styleId="SCCCounselPartyRole">
    <w:name w:val="SCC.CounselPartyRole"/>
    <w:basedOn w:val="Normal"/>
    <w:next w:val="Normal"/>
    <w:link w:val="SCCCounselPartyRoleChar"/>
    <w:rsid w:val="00962C82"/>
  </w:style>
  <w:style w:type="character" w:customStyle="1" w:styleId="SCCCounselPartyRoleChar">
    <w:name w:val="SCC.CounselPartyRole Char"/>
    <w:basedOn w:val="DefaultParagraphFont"/>
    <w:link w:val="SCCCounselPartyRole"/>
    <w:rsid w:val="00962C82"/>
    <w:rPr>
      <w:rFonts w:eastAsia="Times New Roman" w:cs="Times New Roman"/>
      <w:szCs w:val="20"/>
      <w:lang w:val="en-CA" w:eastAsia="en-CA"/>
    </w:rPr>
  </w:style>
  <w:style w:type="paragraph" w:customStyle="1" w:styleId="SCCBold">
    <w:name w:val="SCC.Bold"/>
    <w:basedOn w:val="Normal"/>
    <w:next w:val="Normal"/>
    <w:rsid w:val="005D2CFA"/>
    <w:rPr>
      <w:b/>
    </w:rPr>
  </w:style>
  <w:style w:type="paragraph" w:customStyle="1" w:styleId="SCCReasonsTitle">
    <w:name w:val="SCC.ReasonsTitle"/>
    <w:basedOn w:val="Normal"/>
    <w:next w:val="Normal"/>
    <w:link w:val="SCCReasonsTitleChar"/>
    <w:qFormat/>
    <w:rsid w:val="00076773"/>
    <w:rPr>
      <w:b/>
    </w:rPr>
  </w:style>
  <w:style w:type="character" w:customStyle="1" w:styleId="SCCReasonsTitleChar">
    <w:name w:val="SCC.ReasonsTitle Char"/>
    <w:basedOn w:val="DefaultParagraphFont"/>
    <w:link w:val="SCCReasonsTitle"/>
    <w:rsid w:val="001B27ED"/>
    <w:rPr>
      <w:b/>
      <w:lang w:val="en-CA"/>
    </w:rPr>
  </w:style>
  <w:style w:type="table" w:customStyle="1" w:styleId="TableGrid2">
    <w:name w:val="Table Grid2"/>
    <w:basedOn w:val="TableNormal"/>
    <w:next w:val="TableGrid"/>
    <w:uiPriority w:val="59"/>
    <w:rsid w:val="00CF2168"/>
    <w:rPr>
      <w:rFonts w:eastAsia="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8Char">
    <w:name w:val="Heading 8 Char"/>
    <w:basedOn w:val="DefaultParagraphFont"/>
    <w:link w:val="Heading8"/>
    <w:uiPriority w:val="9"/>
    <w:rsid w:val="006E1CC4"/>
    <w:rPr>
      <w:szCs w:val="22"/>
      <w:lang w:bidi="en-US"/>
    </w:rPr>
  </w:style>
  <w:style w:type="paragraph" w:customStyle="1" w:styleId="ParaNoNdepar-AltN">
    <w:name w:val="Para. No. / Nº de par. - Alt N"/>
    <w:link w:val="ParaNoNdepar-AltNChar"/>
    <w:qFormat/>
    <w:rsid w:val="006E1CC4"/>
    <w:pPr>
      <w:numPr>
        <w:numId w:val="1"/>
      </w:numPr>
      <w:spacing w:before="480" w:after="480" w:line="360" w:lineRule="auto"/>
      <w:jc w:val="both"/>
    </w:pPr>
    <w:rPr>
      <w:rFonts w:eastAsiaTheme="minorEastAsia"/>
      <w:szCs w:val="22"/>
      <w:lang w:val="en-CA"/>
    </w:rPr>
  </w:style>
  <w:style w:type="character" w:customStyle="1" w:styleId="ParaNoNdepar-AltNChar">
    <w:name w:val="Para. No. / Nº de par. - Alt N Char"/>
    <w:basedOn w:val="DefaultParagraphFont"/>
    <w:link w:val="ParaNoNdepar-AltN"/>
    <w:locked/>
    <w:rsid w:val="006E1CC4"/>
    <w:rPr>
      <w:rFonts w:eastAsiaTheme="minorEastAsia"/>
      <w:szCs w:val="22"/>
      <w:lang w:val="en-CA"/>
    </w:rPr>
  </w:style>
  <w:style w:type="paragraph" w:styleId="ListParagraph">
    <w:name w:val="List Paragraph"/>
    <w:basedOn w:val="Normal"/>
    <w:uiPriority w:val="34"/>
    <w:qFormat/>
    <w:rsid w:val="006E1CC4"/>
    <w:pPr>
      <w:ind w:left="720"/>
      <w:contextualSpacing/>
    </w:pPr>
  </w:style>
  <w:style w:type="paragraph" w:customStyle="1" w:styleId="SCCNormalDoubleSpacing">
    <w:name w:val="SCC.Normal.DoubleSpacing"/>
    <w:basedOn w:val="Normal"/>
    <w:link w:val="SCCNormalDoubleSpacingChar"/>
    <w:rsid w:val="00A23894"/>
    <w:pPr>
      <w:tabs>
        <w:tab w:val="left" w:pos="1168"/>
      </w:tabs>
      <w:spacing w:line="480" w:lineRule="auto"/>
      <w:jc w:val="both"/>
    </w:pPr>
    <w:rPr>
      <w:lang w:val="en-US"/>
    </w:rPr>
  </w:style>
  <w:style w:type="character" w:customStyle="1" w:styleId="SCCNormalDoubleSpacingChar">
    <w:name w:val="SCC.Normal.DoubleSpacing Char"/>
    <w:basedOn w:val="DefaultParagraphFont"/>
    <w:link w:val="SCCNormalDoubleSpacing"/>
    <w:locked/>
    <w:rsid w:val="00A23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72252.19B69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1CA06-CDFA-4637-9E2B-5DD286B8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1702</Words>
  <Characters>9703</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2022-02-16T13:30:00Z</dcterms:created>
  <dcterms:modified xsi:type="dcterms:W3CDTF">2022-03-01T17:17:00Z</dcterms:modified>
</cp:coreProperties>
</file>