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06"/>
        <w:gridCol w:w="980"/>
        <w:gridCol w:w="1390"/>
        <w:gridCol w:w="3745"/>
        <w:gridCol w:w="51"/>
      </w:tblGrid>
      <w:tr w:rsidR="00EF72F1" w:rsidTr="003642BE">
        <w:trPr>
          <w:gridAfter w:val="1"/>
          <w:wAfter w:w="28" w:type="pct"/>
          <w:trHeight w:val="2103"/>
        </w:trPr>
        <w:tc>
          <w:tcPr>
            <w:tcW w:w="4972" w:type="pct"/>
            <w:gridSpan w:val="4"/>
          </w:tcPr>
          <w:p w:rsidR="00EF72F1" w:rsidRDefault="00EF72F1" w:rsidP="001F3E0C">
            <w:pPr>
              <w:pStyle w:val="SCCBold"/>
              <w:jc w:val="center"/>
            </w:pPr>
            <w:r>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B210C" w:rsidTr="003642BE">
        <w:tblPrEx>
          <w:tblCellMar>
            <w:top w:w="58" w:type="dxa"/>
            <w:left w:w="58" w:type="dxa"/>
            <w:bottom w:w="58" w:type="dxa"/>
            <w:right w:w="58" w:type="dxa"/>
          </w:tblCellMar>
        </w:tblPrEx>
        <w:trPr>
          <w:cantSplit/>
        </w:trPr>
        <w:tc>
          <w:tcPr>
            <w:tcW w:w="2142" w:type="pct"/>
            <w:gridSpan w:val="2"/>
          </w:tcPr>
          <w:p w:rsidR="00EF72F1" w:rsidRPr="006779AD" w:rsidRDefault="00EF72F1" w:rsidP="00FC2782">
            <w:pPr>
              <w:rPr>
                <w:b/>
                <w:smallCaps/>
                <w:lang w:val="fr-CA"/>
              </w:rPr>
            </w:pPr>
          </w:p>
          <w:p w:rsidR="00EF72F1" w:rsidRPr="006779AD" w:rsidRDefault="00EF72F1" w:rsidP="00FC2782">
            <w:pPr>
              <w:rPr>
                <w:b/>
                <w:smallCaps/>
                <w:lang w:val="fr-CA"/>
              </w:rPr>
            </w:pPr>
            <w:r w:rsidRPr="006779AD">
              <w:rPr>
                <w:b/>
                <w:smallCaps/>
                <w:lang w:val="fr-CA"/>
              </w:rPr>
              <w:t>Citation:</w:t>
            </w:r>
            <w:r w:rsidRPr="006779AD">
              <w:rPr>
                <w:lang w:val="fr-CA"/>
              </w:rPr>
              <w:t xml:space="preserve"> </w:t>
            </w:r>
            <w:r w:rsidR="006779AD" w:rsidRPr="006779AD">
              <w:rPr>
                <w:lang w:val="fr-CA"/>
              </w:rPr>
              <w:t xml:space="preserve">R. </w:t>
            </w:r>
            <w:r w:rsidR="006779AD">
              <w:rPr>
                <w:i/>
                <w:lang w:val="fr-CA"/>
              </w:rPr>
              <w:t>v</w:t>
            </w:r>
            <w:r w:rsidR="006779AD" w:rsidRPr="006779AD">
              <w:rPr>
                <w:i/>
                <w:lang w:val="fr-CA"/>
              </w:rPr>
              <w:t>.</w:t>
            </w:r>
            <w:r w:rsidR="004B1700">
              <w:rPr>
                <w:lang w:val="fr-CA"/>
              </w:rPr>
              <w:t xml:space="preserve"> Badger</w:t>
            </w:r>
            <w:r w:rsidR="006779AD" w:rsidRPr="006779AD">
              <w:rPr>
                <w:lang w:val="fr-CA"/>
              </w:rPr>
              <w:t xml:space="preserve">, </w:t>
            </w:r>
            <w:r w:rsidR="00517A10">
              <w:rPr>
                <w:lang w:val="fr-CA"/>
              </w:rPr>
              <w:t xml:space="preserve">2022 SCC </w:t>
            </w:r>
            <w:r w:rsidR="004B1700">
              <w:rPr>
                <w:lang w:val="fr-CA"/>
              </w:rPr>
              <w:t>20</w:t>
            </w:r>
          </w:p>
        </w:tc>
        <w:tc>
          <w:tcPr>
            <w:tcW w:w="766" w:type="pct"/>
          </w:tcPr>
          <w:p w:rsidR="00EF72F1" w:rsidRPr="006779AD" w:rsidRDefault="00EF72F1" w:rsidP="00FC2782">
            <w:pPr>
              <w:rPr>
                <w:lang w:val="fr-CA"/>
              </w:rPr>
            </w:pPr>
          </w:p>
        </w:tc>
        <w:tc>
          <w:tcPr>
            <w:tcW w:w="2093" w:type="pct"/>
            <w:gridSpan w:val="2"/>
          </w:tcPr>
          <w:p w:rsidR="00EF72F1" w:rsidRPr="008A10A1" w:rsidRDefault="00EF72F1" w:rsidP="00451668">
            <w:pPr>
              <w:rPr>
                <w:b/>
                <w:smallCaps/>
                <w:lang w:val="en-US"/>
              </w:rPr>
            </w:pPr>
          </w:p>
          <w:p w:rsidR="00EF72F1" w:rsidRPr="006B210C" w:rsidRDefault="00EF72F1" w:rsidP="00EA6DB9">
            <w:pPr>
              <w:jc w:val="both"/>
            </w:pPr>
            <w:r>
              <w:rPr>
                <w:b/>
                <w:smallCaps/>
              </w:rPr>
              <w:t>Appeal Heard:</w:t>
            </w:r>
            <w:r w:rsidRPr="006B210C">
              <w:t xml:space="preserve"> </w:t>
            </w:r>
            <w:r w:rsidR="006E564E">
              <w:t>May 16</w:t>
            </w:r>
            <w:r w:rsidR="006779AD">
              <w:t>, 2022</w:t>
            </w:r>
          </w:p>
          <w:p w:rsidR="00EF72F1" w:rsidRPr="006B210C" w:rsidRDefault="00EF72F1">
            <w:r>
              <w:rPr>
                <w:b/>
                <w:smallCaps/>
              </w:rPr>
              <w:t>Judgment Rendered:</w:t>
            </w:r>
            <w:r w:rsidRPr="006B210C">
              <w:t xml:space="preserve"> </w:t>
            </w:r>
            <w:r w:rsidR="006E564E">
              <w:t>May 16</w:t>
            </w:r>
            <w:r w:rsidR="006779AD">
              <w:t>, 2022</w:t>
            </w:r>
          </w:p>
          <w:p w:rsidR="00EF72F1" w:rsidRPr="006B210C" w:rsidRDefault="00EF72F1" w:rsidP="00540106">
            <w:r w:rsidRPr="006B210C">
              <w:rPr>
                <w:b/>
                <w:smallCaps/>
              </w:rPr>
              <w:t>Docket</w:t>
            </w:r>
            <w:r>
              <w:rPr>
                <w:b/>
                <w:smallCaps/>
              </w:rPr>
              <w:t>:</w:t>
            </w:r>
            <w:r w:rsidRPr="006B210C">
              <w:t xml:space="preserve"> </w:t>
            </w:r>
            <w:r w:rsidR="006E564E">
              <w:t>39844</w:t>
            </w:r>
          </w:p>
        </w:tc>
      </w:tr>
      <w:tr w:rsidR="00EF72F1" w:rsidRPr="006B210C" w:rsidTr="003642BE">
        <w:tblPrEx>
          <w:tblCellMar>
            <w:top w:w="58" w:type="dxa"/>
            <w:left w:w="58" w:type="dxa"/>
            <w:bottom w:w="58" w:type="dxa"/>
            <w:right w:w="58" w:type="dxa"/>
          </w:tblCellMar>
        </w:tblPrEx>
        <w:trPr>
          <w:gridAfter w:val="1"/>
          <w:wAfter w:w="28" w:type="pct"/>
        </w:trPr>
        <w:tc>
          <w:tcPr>
            <w:tcW w:w="4972" w:type="pct"/>
            <w:gridSpan w:val="4"/>
          </w:tcPr>
          <w:p w:rsidR="00EF72F1" w:rsidRPr="006B210C" w:rsidRDefault="00EF72F1" w:rsidP="00EF72F1"/>
          <w:p w:rsidR="00ED6EEC" w:rsidRDefault="001F7378">
            <w:pPr>
              <w:pStyle w:val="SCCLsocPrefix"/>
            </w:pPr>
            <w:r>
              <w:t>Between:</w:t>
            </w:r>
          </w:p>
          <w:p w:rsidR="006779AD" w:rsidRPr="006779AD" w:rsidRDefault="006779AD" w:rsidP="006779AD"/>
          <w:p w:rsidR="000E2F0D" w:rsidRPr="006E564E" w:rsidRDefault="006E564E" w:rsidP="000E2F0D">
            <w:pPr>
              <w:pStyle w:val="SCCLsocParty"/>
              <w:rPr>
                <w:b w:val="0"/>
                <w:bCs/>
              </w:rPr>
            </w:pPr>
            <w:r>
              <w:rPr>
                <w:rStyle w:val="Strong"/>
                <w:rFonts w:ascii="Helvetica Neue" w:hAnsi="Helvetica Neue"/>
                <w:b/>
                <w:color w:val="333333"/>
                <w:shd w:val="clear" w:color="auto" w:fill="FFFFFF"/>
              </w:rPr>
              <w:t>Jacob Charles Badger</w:t>
            </w:r>
          </w:p>
          <w:p w:rsidR="00ED6EEC" w:rsidRPr="000E2F0D" w:rsidRDefault="001F7378" w:rsidP="000E2F0D">
            <w:pPr>
              <w:pStyle w:val="SCCLsocParty"/>
              <w:rPr>
                <w:b w:val="0"/>
              </w:rPr>
            </w:pPr>
            <w:r w:rsidRPr="000E2F0D">
              <w:rPr>
                <w:b w:val="0"/>
              </w:rPr>
              <w:t>Appellant</w:t>
            </w:r>
          </w:p>
          <w:p w:rsidR="00ED6EEC" w:rsidRDefault="00ED6EEC"/>
          <w:p w:rsidR="00ED6EEC" w:rsidRDefault="006779AD">
            <w:pPr>
              <w:pStyle w:val="SCCLsocVersus"/>
            </w:pPr>
            <w:r>
              <w:t>and</w:t>
            </w:r>
          </w:p>
          <w:p w:rsidR="00ED6EEC" w:rsidRDefault="00ED6EEC"/>
          <w:p w:rsidR="006E564E" w:rsidRPr="006E564E" w:rsidRDefault="006E564E">
            <w:pPr>
              <w:pStyle w:val="SCCLsocPartyRole"/>
              <w:rPr>
                <w:b/>
              </w:rPr>
            </w:pPr>
            <w:r w:rsidRPr="006E564E">
              <w:rPr>
                <w:b/>
              </w:rPr>
              <w:t>Her Majesty The Queen</w:t>
            </w:r>
          </w:p>
          <w:p w:rsidR="00ED6EEC" w:rsidRDefault="001F7378">
            <w:pPr>
              <w:pStyle w:val="SCCLsocPartyRole"/>
            </w:pPr>
            <w:r>
              <w:t>Respondent</w:t>
            </w:r>
          </w:p>
          <w:p w:rsidR="00ED6EEC" w:rsidRDefault="00ED6EEC"/>
          <w:p w:rsidR="00EF72F1" w:rsidRDefault="00EF72F1" w:rsidP="00EF72F1"/>
          <w:p w:rsidR="00261713" w:rsidRPr="006B210C" w:rsidRDefault="00261713" w:rsidP="00EF72F1"/>
          <w:p w:rsidR="00EF72F1" w:rsidRPr="006B210C" w:rsidRDefault="00EF72F1" w:rsidP="00EF72F1">
            <w:r w:rsidRPr="00315695">
              <w:rPr>
                <w:b/>
                <w:smallCaps/>
              </w:rPr>
              <w:t>Coram:</w:t>
            </w:r>
            <w:r w:rsidRPr="00315695">
              <w:t xml:space="preserve"> </w:t>
            </w:r>
            <w:r w:rsidR="002948AF" w:rsidRPr="00B04DC5">
              <w:t>Mold</w:t>
            </w:r>
            <w:r w:rsidR="00503C86">
              <w:t>aver, Karakatsanis, Côté, Brown</w:t>
            </w:r>
            <w:r w:rsidR="002948AF" w:rsidRPr="00B04DC5">
              <w:t xml:space="preserve"> </w:t>
            </w:r>
            <w:r w:rsidR="0082040D">
              <w:t>and Martin</w:t>
            </w:r>
            <w:r w:rsidR="002948AF">
              <w:t> JJ</w:t>
            </w:r>
            <w:r w:rsidRPr="00315695">
              <w:t>.</w:t>
            </w:r>
          </w:p>
          <w:p w:rsidR="00EF72F1" w:rsidRDefault="00EF72F1" w:rsidP="00451668">
            <w:pPr>
              <w:rPr>
                <w:b/>
                <w:smallCaps/>
              </w:rPr>
            </w:pPr>
          </w:p>
        </w:tc>
      </w:tr>
      <w:tr w:rsidR="004E69EC" w:rsidRPr="006B210C" w:rsidTr="003642BE">
        <w:tblPrEx>
          <w:tblCellMar>
            <w:top w:w="58" w:type="dxa"/>
            <w:left w:w="58" w:type="dxa"/>
            <w:bottom w:w="58" w:type="dxa"/>
            <w:right w:w="58" w:type="dxa"/>
          </w:tblCellMar>
        </w:tblPrEx>
        <w:trPr>
          <w:gridAfter w:val="1"/>
          <w:wAfter w:w="28" w:type="pct"/>
          <w:cantSplit/>
        </w:trPr>
        <w:tc>
          <w:tcPr>
            <w:tcW w:w="1602" w:type="pct"/>
            <w:vAlign w:val="center"/>
          </w:tcPr>
          <w:p w:rsidR="004E69EC" w:rsidRPr="006779AD" w:rsidRDefault="00517EB1" w:rsidP="00F468B4">
            <w:pPr>
              <w:rPr>
                <w:smallCaps/>
              </w:rPr>
            </w:pPr>
            <w:r w:rsidRPr="002F2E42">
              <w:rPr>
                <w:rFonts w:eastAsia="Times New Roman" w:cs="Times New Roman"/>
                <w:b/>
                <w:bCs/>
                <w:smallCaps/>
                <w:color w:val="000000"/>
              </w:rPr>
              <w:t>Judgment Read By:</w:t>
            </w:r>
          </w:p>
          <w:p w:rsidR="00EC6CDA" w:rsidRPr="006B210C" w:rsidRDefault="006779AD" w:rsidP="008A10A1">
            <w:r>
              <w:t>(</w:t>
            </w:r>
            <w:r w:rsidRPr="00C621F5">
              <w:t>para.</w:t>
            </w:r>
            <w:r w:rsidR="006C210C">
              <w:t> </w:t>
            </w:r>
            <w:r w:rsidRPr="009A5E2F">
              <w:t>1</w:t>
            </w:r>
            <w:r>
              <w:t>)</w:t>
            </w:r>
          </w:p>
        </w:tc>
        <w:tc>
          <w:tcPr>
            <w:tcW w:w="3370" w:type="pct"/>
            <w:gridSpan w:val="3"/>
          </w:tcPr>
          <w:p w:rsidR="004E69EC" w:rsidRPr="006B210C" w:rsidRDefault="00064EFC" w:rsidP="00064EFC">
            <w:r w:rsidRPr="00B04DC5">
              <w:t>Moldaver</w:t>
            </w:r>
            <w:r>
              <w:t> </w:t>
            </w:r>
            <w:r w:rsidR="00564C88">
              <w:t>J.</w:t>
            </w:r>
          </w:p>
        </w:tc>
      </w:tr>
      <w:tr w:rsidR="00BB1C87" w:rsidRPr="006B210C" w:rsidTr="003642BE">
        <w:tblPrEx>
          <w:tblCellMar>
            <w:top w:w="58" w:type="dxa"/>
            <w:left w:w="58" w:type="dxa"/>
            <w:bottom w:w="58" w:type="dxa"/>
            <w:right w:w="58" w:type="dxa"/>
          </w:tblCellMar>
        </w:tblPrEx>
        <w:trPr>
          <w:gridAfter w:val="1"/>
          <w:wAfter w:w="28" w:type="pct"/>
          <w:cantSplit/>
          <w:trHeight w:val="432"/>
        </w:trPr>
        <w:tc>
          <w:tcPr>
            <w:tcW w:w="1602" w:type="pct"/>
            <w:vAlign w:val="center"/>
          </w:tcPr>
          <w:p w:rsidR="00BB1C87" w:rsidRPr="00F468B4" w:rsidRDefault="00BB1C87" w:rsidP="00F468B4">
            <w:pPr>
              <w:rPr>
                <w:rStyle w:val="SCCReasonsTitleChar"/>
                <w:b w:val="0"/>
              </w:rPr>
            </w:pPr>
            <w:r w:rsidRPr="002F2E42">
              <w:rPr>
                <w:rFonts w:eastAsia="Times New Roman" w:cs="Times New Roman"/>
                <w:b/>
                <w:bCs/>
                <w:smallCaps/>
                <w:color w:val="000000"/>
              </w:rPr>
              <w:t>Majority:</w:t>
            </w:r>
          </w:p>
        </w:tc>
        <w:tc>
          <w:tcPr>
            <w:tcW w:w="3370" w:type="pct"/>
            <w:gridSpan w:val="3"/>
            <w:vAlign w:val="center"/>
          </w:tcPr>
          <w:p w:rsidR="00BB1C87" w:rsidRDefault="00BB1C87" w:rsidP="00026AEA">
            <w:r w:rsidRPr="00315695">
              <w:t xml:space="preserve">Moldaver, </w:t>
            </w:r>
            <w:r w:rsidR="00026AEA">
              <w:t>Côté</w:t>
            </w:r>
            <w:r w:rsidR="00026AEA" w:rsidRPr="00315695">
              <w:t xml:space="preserve"> </w:t>
            </w:r>
            <w:r w:rsidRPr="00315695">
              <w:t xml:space="preserve">and </w:t>
            </w:r>
            <w:r w:rsidR="00026AEA">
              <w:t>Brown</w:t>
            </w:r>
            <w:r w:rsidR="00064EFC">
              <w:t> </w:t>
            </w:r>
            <w:r w:rsidRPr="00315695">
              <w:t>JJ.</w:t>
            </w:r>
          </w:p>
        </w:tc>
      </w:tr>
      <w:tr w:rsidR="00BB1C87" w:rsidRPr="006B210C" w:rsidTr="003642BE">
        <w:tblPrEx>
          <w:tblCellMar>
            <w:top w:w="58" w:type="dxa"/>
            <w:left w:w="58" w:type="dxa"/>
            <w:bottom w:w="58" w:type="dxa"/>
            <w:right w:w="58" w:type="dxa"/>
          </w:tblCellMar>
        </w:tblPrEx>
        <w:trPr>
          <w:gridAfter w:val="1"/>
          <w:wAfter w:w="28" w:type="pct"/>
          <w:cantSplit/>
          <w:trHeight w:val="504"/>
        </w:trPr>
        <w:tc>
          <w:tcPr>
            <w:tcW w:w="1602" w:type="pct"/>
            <w:vAlign w:val="center"/>
          </w:tcPr>
          <w:p w:rsidR="00BB1C87" w:rsidRPr="00F468B4" w:rsidRDefault="002D4333" w:rsidP="00F468B4">
            <w:pPr>
              <w:rPr>
                <w:rStyle w:val="SCCReasonsTitleChar"/>
                <w:rFonts w:eastAsia="Times New Roman" w:cs="Times New Roman"/>
                <w:bCs/>
                <w:smallCaps/>
                <w:color w:val="000000"/>
              </w:rPr>
            </w:pPr>
            <w:r>
              <w:rPr>
                <w:rStyle w:val="SCCReasonsTitleChar"/>
                <w:smallCaps/>
              </w:rPr>
              <w:t>Dissent</w:t>
            </w:r>
            <w:r w:rsidR="00BB1C87">
              <w:rPr>
                <w:rStyle w:val="SCCReasonsTitleChar"/>
                <w:smallCaps/>
              </w:rPr>
              <w:t>:</w:t>
            </w:r>
          </w:p>
        </w:tc>
        <w:tc>
          <w:tcPr>
            <w:tcW w:w="3370" w:type="pct"/>
            <w:gridSpan w:val="3"/>
            <w:vAlign w:val="center"/>
          </w:tcPr>
          <w:p w:rsidR="00BB1C87" w:rsidRDefault="00064EFC" w:rsidP="00064EFC">
            <w:r w:rsidRPr="00B04DC5">
              <w:t>Karakatsanis</w:t>
            </w:r>
            <w:r>
              <w:t xml:space="preserve"> </w:t>
            </w:r>
            <w:r w:rsidR="002D73E2">
              <w:t>and Martin</w:t>
            </w:r>
            <w:r w:rsidR="00BB1C87">
              <w:t> J</w:t>
            </w:r>
            <w:r w:rsidR="002D4333">
              <w:t>J</w:t>
            </w:r>
            <w:r w:rsidR="00BB1C87">
              <w:t>.</w:t>
            </w:r>
          </w:p>
        </w:tc>
      </w:tr>
      <w:tr w:rsidR="00BB1C87" w:rsidRPr="006B210C" w:rsidTr="003642BE">
        <w:tblPrEx>
          <w:tblCellMar>
            <w:top w:w="58" w:type="dxa"/>
            <w:left w:w="58" w:type="dxa"/>
            <w:bottom w:w="58" w:type="dxa"/>
            <w:right w:w="58" w:type="dxa"/>
          </w:tblCellMar>
        </w:tblPrEx>
        <w:trPr>
          <w:gridAfter w:val="1"/>
          <w:wAfter w:w="28" w:type="pct"/>
          <w:cantSplit/>
          <w:trHeight w:val="504"/>
        </w:trPr>
        <w:tc>
          <w:tcPr>
            <w:tcW w:w="4972" w:type="pct"/>
            <w:gridSpan w:val="4"/>
          </w:tcPr>
          <w:p w:rsidR="00BB1C87" w:rsidRDefault="00BB1C87" w:rsidP="00F468B4"/>
        </w:tc>
      </w:tr>
    </w:tbl>
    <w:p w:rsidR="00ED6EEC" w:rsidRPr="006779AD" w:rsidRDefault="00ED6EEC">
      <w:pPr>
        <w:rPr>
          <w:lang w:val="en-US"/>
        </w:rPr>
      </w:pPr>
    </w:p>
    <w:p w:rsidR="001B299D" w:rsidRPr="006779AD" w:rsidRDefault="001B299D" w:rsidP="001B299D">
      <w:pPr>
        <w:rPr>
          <w:lang w:val="en-US"/>
        </w:rPr>
      </w:pPr>
    </w:p>
    <w:p w:rsidR="00904937" w:rsidRPr="00564C88" w:rsidRDefault="00904937" w:rsidP="00076773">
      <w:pPr>
        <w:pStyle w:val="SCCBold"/>
        <w:rPr>
          <w:b w:val="0"/>
        </w:rPr>
      </w:pPr>
      <w:r w:rsidRPr="006B210C">
        <w:rPr>
          <w:smallCaps/>
        </w:rPr>
        <w:lastRenderedPageBreak/>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F265D0" w:rsidRDefault="00F265D0" w:rsidP="00F265D0">
      <w:pPr>
        <w:tabs>
          <w:tab w:val="right" w:pos="8222"/>
        </w:tabs>
        <w:spacing w:after="720"/>
        <w:rPr>
          <w:rFonts w:eastAsia="Times New Roman" w:cs="Times New Roman"/>
          <w:b/>
          <w:szCs w:val="20"/>
          <w:lang w:val="fr-CA" w:eastAsia="en-CA"/>
        </w:rPr>
      </w:pPr>
    </w:p>
    <w:p w:rsidR="00F265D0" w:rsidRPr="00F265D0" w:rsidRDefault="00F265D0" w:rsidP="00F265D0">
      <w:pPr>
        <w:tabs>
          <w:tab w:val="right" w:pos="8222"/>
        </w:tabs>
        <w:spacing w:after="720"/>
        <w:rPr>
          <w:rFonts w:eastAsia="Times New Roman" w:cs="Times New Roman"/>
          <w:b/>
          <w:szCs w:val="20"/>
          <w:lang w:val="fr-CA" w:eastAsia="en-CA"/>
        </w:rPr>
      </w:pPr>
      <w:bookmarkStart w:id="0" w:name="_GoBack"/>
      <w:bookmarkEnd w:id="0"/>
      <w:r w:rsidRPr="00F265D0">
        <w:rPr>
          <w:rFonts w:eastAsia="Times New Roman" w:cs="Times New Roman"/>
          <w:b/>
          <w:szCs w:val="20"/>
          <w:lang w:val="fr-CA" w:eastAsia="en-CA"/>
        </w:rPr>
        <w:t>Jacob Charles Badger</w:t>
      </w:r>
      <w:r w:rsidRPr="00F265D0">
        <w:rPr>
          <w:rFonts w:eastAsia="Times New Roman" w:cs="Times New Roman"/>
          <w:i/>
          <w:szCs w:val="20"/>
          <w:lang w:val="fr-CA" w:eastAsia="en-CA"/>
        </w:rPr>
        <w:tab/>
        <w:t>Appellant</w:t>
      </w:r>
    </w:p>
    <w:p w:rsidR="00F265D0" w:rsidRPr="00F265D0" w:rsidRDefault="00F265D0" w:rsidP="00F265D0">
      <w:pPr>
        <w:spacing w:after="720"/>
        <w:rPr>
          <w:rFonts w:eastAsia="Times New Roman" w:cs="Times New Roman"/>
          <w:i/>
          <w:szCs w:val="20"/>
          <w:lang w:val="fr-CA" w:eastAsia="en-CA"/>
        </w:rPr>
      </w:pPr>
      <w:r w:rsidRPr="00F265D0">
        <w:rPr>
          <w:rFonts w:eastAsia="Times New Roman" w:cs="Times New Roman"/>
          <w:i/>
          <w:szCs w:val="20"/>
          <w:lang w:val="fr-CA" w:eastAsia="en-CA"/>
        </w:rPr>
        <w:t>v.</w:t>
      </w:r>
    </w:p>
    <w:p w:rsidR="00F265D0" w:rsidRPr="00F265D0" w:rsidRDefault="00F265D0" w:rsidP="00F265D0">
      <w:pPr>
        <w:tabs>
          <w:tab w:val="right" w:pos="8222"/>
        </w:tabs>
        <w:spacing w:after="720"/>
        <w:rPr>
          <w:rFonts w:eastAsia="Times New Roman" w:cs="Times New Roman"/>
          <w:b/>
          <w:szCs w:val="20"/>
          <w:lang w:eastAsia="en-CA"/>
        </w:rPr>
      </w:pPr>
      <w:r w:rsidRPr="00F265D0">
        <w:rPr>
          <w:rFonts w:eastAsia="Times New Roman" w:cs="Times New Roman"/>
          <w:b/>
          <w:szCs w:val="20"/>
          <w:lang w:eastAsia="en-CA"/>
        </w:rPr>
        <w:t>Her Majesty The Queen</w:t>
      </w:r>
      <w:r w:rsidRPr="00F265D0">
        <w:rPr>
          <w:rFonts w:eastAsia="Times New Roman" w:cs="Times New Roman"/>
          <w:i/>
          <w:szCs w:val="20"/>
          <w:lang w:eastAsia="en-CA"/>
        </w:rPr>
        <w:tab/>
        <w:t>Respondent</w:t>
      </w:r>
    </w:p>
    <w:p w:rsidR="00F265D0" w:rsidRPr="00F265D0" w:rsidRDefault="00F265D0" w:rsidP="00F265D0">
      <w:pPr>
        <w:spacing w:after="720"/>
        <w:jc w:val="both"/>
        <w:rPr>
          <w:rFonts w:eastAsia="Times New Roman" w:cs="Times New Roman"/>
          <w:b/>
          <w:szCs w:val="20"/>
          <w:lang w:eastAsia="en-CA"/>
        </w:rPr>
      </w:pPr>
      <w:r w:rsidRPr="00F265D0">
        <w:rPr>
          <w:rFonts w:eastAsia="Times New Roman" w:cs="Times New Roman"/>
          <w:b/>
          <w:szCs w:val="20"/>
          <w:lang w:eastAsia="en-CA"/>
        </w:rPr>
        <w:t xml:space="preserve">Indexed as: R. </w:t>
      </w:r>
      <w:r w:rsidRPr="00F265D0">
        <w:rPr>
          <w:rFonts w:eastAsia="Times New Roman" w:cs="Times New Roman"/>
          <w:b/>
          <w:i/>
          <w:szCs w:val="20"/>
          <w:lang w:eastAsia="en-CA"/>
        </w:rPr>
        <w:t>v.</w:t>
      </w:r>
      <w:r w:rsidRPr="00F265D0">
        <w:rPr>
          <w:rFonts w:eastAsia="Times New Roman" w:cs="Times New Roman"/>
          <w:b/>
          <w:szCs w:val="20"/>
          <w:lang w:eastAsia="en-CA"/>
        </w:rPr>
        <w:t xml:space="preserve"> Badger</w:t>
      </w:r>
    </w:p>
    <w:p w:rsidR="00F265D0" w:rsidRPr="00F265D0" w:rsidRDefault="00F265D0" w:rsidP="00F265D0">
      <w:pPr>
        <w:spacing w:after="720"/>
        <w:jc w:val="both"/>
        <w:rPr>
          <w:rFonts w:eastAsia="Times New Roman" w:cs="Times New Roman"/>
          <w:b/>
          <w:szCs w:val="20"/>
          <w:lang w:eastAsia="en-CA"/>
        </w:rPr>
      </w:pPr>
      <w:r w:rsidRPr="00F265D0">
        <w:rPr>
          <w:rFonts w:eastAsia="Times New Roman" w:cs="Times New Roman"/>
          <w:b/>
          <w:szCs w:val="20"/>
          <w:lang w:eastAsia="en-CA"/>
        </w:rPr>
        <w:t>2022 SCC 20</w:t>
      </w:r>
    </w:p>
    <w:p w:rsidR="00F265D0" w:rsidRPr="00F265D0" w:rsidRDefault="00F265D0" w:rsidP="00F265D0">
      <w:pPr>
        <w:spacing w:after="720"/>
        <w:jc w:val="both"/>
        <w:rPr>
          <w:rFonts w:eastAsia="Times New Roman" w:cs="Times New Roman"/>
          <w:szCs w:val="20"/>
          <w:lang w:eastAsia="en-CA"/>
        </w:rPr>
      </w:pPr>
      <w:r w:rsidRPr="00F265D0">
        <w:rPr>
          <w:rFonts w:eastAsia="Times New Roman" w:cs="Times New Roman"/>
          <w:szCs w:val="20"/>
          <w:lang w:eastAsia="en-CA"/>
        </w:rPr>
        <w:t>File No.: 39844.</w:t>
      </w:r>
    </w:p>
    <w:p w:rsidR="00F265D0" w:rsidRPr="00F265D0" w:rsidRDefault="00F265D0" w:rsidP="00F265D0">
      <w:pPr>
        <w:spacing w:after="720"/>
        <w:jc w:val="both"/>
        <w:rPr>
          <w:rFonts w:eastAsia="Times New Roman" w:cs="Times New Roman"/>
          <w:szCs w:val="20"/>
          <w:lang w:eastAsia="en-CA"/>
        </w:rPr>
      </w:pPr>
      <w:r w:rsidRPr="00F265D0">
        <w:rPr>
          <w:rFonts w:eastAsia="Times New Roman" w:cs="Times New Roman"/>
          <w:szCs w:val="20"/>
          <w:lang w:eastAsia="en-CA"/>
        </w:rPr>
        <w:t>2022: May 16.</w:t>
      </w:r>
    </w:p>
    <w:p w:rsidR="00F265D0" w:rsidRPr="00F265D0" w:rsidRDefault="00F265D0" w:rsidP="00F265D0">
      <w:pPr>
        <w:spacing w:after="720"/>
        <w:jc w:val="both"/>
        <w:rPr>
          <w:rFonts w:eastAsia="Times New Roman" w:cs="Times New Roman"/>
          <w:szCs w:val="20"/>
          <w:lang w:eastAsia="en-CA"/>
        </w:rPr>
      </w:pPr>
      <w:r w:rsidRPr="00F265D0">
        <w:rPr>
          <w:rFonts w:eastAsia="Times New Roman" w:cs="Times New Roman"/>
          <w:szCs w:val="20"/>
          <w:lang w:eastAsia="en-CA"/>
        </w:rPr>
        <w:t>Present: Moldaver, Karakatsanis, Côté, Brown and Martin JJ.</w:t>
      </w:r>
    </w:p>
    <w:p w:rsidR="00F265D0" w:rsidRPr="00F265D0" w:rsidRDefault="00F265D0" w:rsidP="00F265D0">
      <w:pPr>
        <w:tabs>
          <w:tab w:val="left" w:pos="1168"/>
        </w:tabs>
        <w:spacing w:after="720"/>
        <w:jc w:val="both"/>
        <w:rPr>
          <w:rFonts w:eastAsia="Times New Roman" w:cs="Times New Roman"/>
          <w:smallCaps/>
          <w:szCs w:val="20"/>
          <w:lang w:eastAsia="en-CA"/>
        </w:rPr>
      </w:pPr>
      <w:r w:rsidRPr="00F265D0">
        <w:rPr>
          <w:rFonts w:eastAsia="Times New Roman" w:cs="Times New Roman"/>
          <w:smallCaps/>
          <w:szCs w:val="20"/>
          <w:lang w:eastAsia="en-CA"/>
        </w:rPr>
        <w:t>on appeal from the court of appeal for saskatchewan</w:t>
      </w:r>
    </w:p>
    <w:p w:rsidR="00F265D0" w:rsidRPr="00F265D0" w:rsidRDefault="00F265D0" w:rsidP="00F265D0">
      <w:pPr>
        <w:tabs>
          <w:tab w:val="left" w:pos="1168"/>
        </w:tabs>
        <w:spacing w:after="480" w:line="480" w:lineRule="auto"/>
        <w:jc w:val="both"/>
        <w:rPr>
          <w:rFonts w:eastAsia="Times New Roman" w:cs="Times New Roman"/>
          <w:i/>
          <w:szCs w:val="20"/>
          <w:lang w:eastAsia="en-CA"/>
        </w:rPr>
      </w:pPr>
      <w:r w:rsidRPr="00F265D0">
        <w:rPr>
          <w:rFonts w:eastAsia="Times New Roman" w:cs="Times New Roman"/>
          <w:szCs w:val="20"/>
          <w:lang w:eastAsia="en-CA"/>
        </w:rPr>
        <w:tab/>
      </w:r>
      <w:r w:rsidRPr="00F265D0">
        <w:rPr>
          <w:rFonts w:eastAsia="Times New Roman" w:cs="Times New Roman"/>
          <w:i/>
          <w:szCs w:val="20"/>
          <w:lang w:eastAsia="en-CA"/>
        </w:rPr>
        <w:t>Criminal law — Evidence — Spontaneous utterances — Alibi — Identification — Accused convicted of aggravated assault at trial — Accused appealing conviction on basis that trial judge erred in admitting evidence of spontaneous utterances, in assessment of alibi evidence and in assessment of identification evidence — Majority of Court of Appeal dismissing appeal — Dissenting judge finding that trial judge failed to conduct analysis of identification evidence that law requires — Conviction upheld.</w:t>
      </w:r>
    </w:p>
    <w:p w:rsidR="00F265D0" w:rsidRPr="00F265D0" w:rsidRDefault="00F265D0" w:rsidP="00F265D0">
      <w:pPr>
        <w:tabs>
          <w:tab w:val="left" w:pos="1168"/>
        </w:tabs>
        <w:spacing w:after="480" w:line="480" w:lineRule="auto"/>
        <w:jc w:val="both"/>
        <w:rPr>
          <w:rFonts w:eastAsia="Times New Roman" w:cs="Times New Roman"/>
          <w:szCs w:val="20"/>
          <w:lang w:eastAsia="en-CA"/>
        </w:rPr>
      </w:pPr>
      <w:r w:rsidRPr="00F265D0">
        <w:rPr>
          <w:rFonts w:eastAsia="Times New Roman" w:cs="Times New Roman"/>
          <w:szCs w:val="20"/>
          <w:lang w:eastAsia="en-CA"/>
        </w:rPr>
        <w:tab/>
        <w:t xml:space="preserve">APPEAL from a judgment of the Saskatchewan Court of Appeal (Caldwell, Tholl and Kalmakoff JJ.A.), </w:t>
      </w:r>
      <w:hyperlink r:id="rId9" w:history="1">
        <w:r w:rsidRPr="00F265D0">
          <w:rPr>
            <w:rFonts w:eastAsia="Times New Roman" w:cs="Times New Roman"/>
            <w:color w:val="660000"/>
            <w:szCs w:val="20"/>
            <w:lang w:eastAsia="en-CA"/>
          </w:rPr>
          <w:t>2021 SKCA 118</w:t>
        </w:r>
      </w:hyperlink>
      <w:r w:rsidRPr="00F265D0">
        <w:rPr>
          <w:rFonts w:eastAsia="Times New Roman" w:cs="Times New Roman"/>
          <w:szCs w:val="20"/>
          <w:lang w:eastAsia="en-CA"/>
        </w:rPr>
        <w:t xml:space="preserve">, 406 C.C.C. (3d) 459, 468 D.L.R. (4th) 610, [2022] 1 W.W.R. 600, </w:t>
      </w:r>
      <w:r w:rsidRPr="00F265D0">
        <w:rPr>
          <w:rFonts w:eastAsia="Times New Roman" w:cs="Times New Roman"/>
          <w:bCs/>
          <w:szCs w:val="20"/>
          <w:lang w:eastAsia="en-CA"/>
        </w:rPr>
        <w:t>[2021] S.J. No. 382</w:t>
      </w:r>
      <w:r w:rsidRPr="00F265D0">
        <w:rPr>
          <w:rFonts w:eastAsia="Times New Roman" w:cs="Times New Roman"/>
          <w:szCs w:val="20"/>
          <w:lang w:eastAsia="en-CA"/>
        </w:rPr>
        <w:t xml:space="preserve"> (QL), 2021 CarswellSask 514 (WL), affirming the conviction entered by Hinds Prov. Ct. J., 2019 SKPC 65, [2019] S.J. No. 457 (QL), 2019 CarswellSask 599 (WL). Appeal dismissed, Karakatsanis and Martin JJ. dissenting.</w:t>
      </w:r>
    </w:p>
    <w:p w:rsidR="00F265D0" w:rsidRPr="00F265D0" w:rsidRDefault="00F265D0" w:rsidP="00F265D0">
      <w:pPr>
        <w:tabs>
          <w:tab w:val="left" w:pos="1168"/>
        </w:tabs>
        <w:spacing w:after="480" w:line="480" w:lineRule="auto"/>
        <w:jc w:val="both"/>
        <w:rPr>
          <w:rFonts w:eastAsia="Times New Roman" w:cs="Times New Roman"/>
          <w:szCs w:val="20"/>
          <w:lang w:eastAsia="en-CA"/>
        </w:rPr>
      </w:pPr>
      <w:r w:rsidRPr="00F265D0">
        <w:rPr>
          <w:rFonts w:eastAsia="Times New Roman" w:cs="Times New Roman"/>
          <w:i/>
          <w:szCs w:val="20"/>
          <w:lang w:eastAsia="en-CA"/>
        </w:rPr>
        <w:tab/>
        <w:t>Thomas Hynes</w:t>
      </w:r>
      <w:r w:rsidRPr="00F265D0">
        <w:rPr>
          <w:rFonts w:eastAsia="Times New Roman" w:cs="Times New Roman"/>
          <w:szCs w:val="20"/>
          <w:lang w:eastAsia="en-CA"/>
        </w:rPr>
        <w:t xml:space="preserve"> and </w:t>
      </w:r>
      <w:r w:rsidRPr="00F265D0">
        <w:rPr>
          <w:rFonts w:eastAsia="Times New Roman" w:cs="Times New Roman"/>
          <w:i/>
          <w:szCs w:val="20"/>
          <w:lang w:eastAsia="en-CA"/>
        </w:rPr>
        <w:t>Zachary Carter</w:t>
      </w:r>
      <w:r w:rsidRPr="00F265D0">
        <w:rPr>
          <w:rFonts w:eastAsia="Times New Roman" w:cs="Times New Roman"/>
          <w:szCs w:val="20"/>
          <w:lang w:eastAsia="en-CA"/>
        </w:rPr>
        <w:t>, for the appellant.</w:t>
      </w:r>
    </w:p>
    <w:p w:rsidR="00F265D0" w:rsidRPr="00F265D0" w:rsidRDefault="00F265D0" w:rsidP="00F265D0">
      <w:pPr>
        <w:tabs>
          <w:tab w:val="left" w:pos="1168"/>
        </w:tabs>
        <w:spacing w:after="480" w:line="480" w:lineRule="auto"/>
        <w:jc w:val="both"/>
        <w:rPr>
          <w:rFonts w:eastAsia="Times New Roman" w:cs="Times New Roman"/>
          <w:szCs w:val="20"/>
          <w:lang w:eastAsia="en-CA"/>
        </w:rPr>
      </w:pPr>
      <w:r w:rsidRPr="00F265D0">
        <w:rPr>
          <w:rFonts w:eastAsia="Times New Roman" w:cs="Times New Roman"/>
          <w:i/>
          <w:szCs w:val="20"/>
          <w:lang w:eastAsia="en-CA"/>
        </w:rPr>
        <w:tab/>
        <w:t>Grace Hession David</w:t>
      </w:r>
      <w:r w:rsidRPr="00F265D0">
        <w:rPr>
          <w:rFonts w:eastAsia="Times New Roman" w:cs="Times New Roman"/>
          <w:szCs w:val="20"/>
          <w:lang w:eastAsia="en-CA"/>
        </w:rPr>
        <w:t>, for the respondent.</w:t>
      </w:r>
    </w:p>
    <w:p w:rsidR="00F265D0" w:rsidRPr="00F265D0" w:rsidRDefault="00F265D0" w:rsidP="00F265D0">
      <w:pPr>
        <w:tabs>
          <w:tab w:val="left" w:pos="1168"/>
        </w:tabs>
        <w:spacing w:after="480" w:line="480" w:lineRule="auto"/>
        <w:jc w:val="both"/>
        <w:rPr>
          <w:rFonts w:eastAsia="Times New Roman" w:cs="Times New Roman"/>
          <w:szCs w:val="20"/>
          <w:lang w:eastAsia="en-CA"/>
        </w:rPr>
      </w:pPr>
      <w:r w:rsidRPr="00F265D0">
        <w:rPr>
          <w:rFonts w:eastAsia="Times New Roman" w:cs="Times New Roman"/>
          <w:szCs w:val="20"/>
          <w:lang w:eastAsia="en-CA"/>
        </w:rPr>
        <w:tab/>
        <w:t>The judgment of the Court was delivered orally by</w:t>
      </w:r>
    </w:p>
    <w:p w:rsidR="00F265D0" w:rsidRPr="00F265D0" w:rsidRDefault="00F265D0" w:rsidP="00F265D0">
      <w:pPr>
        <w:tabs>
          <w:tab w:val="left" w:pos="1168"/>
        </w:tabs>
        <w:spacing w:after="480" w:line="480" w:lineRule="auto"/>
        <w:jc w:val="both"/>
        <w:rPr>
          <w:rFonts w:eastAsia="Times New Roman" w:cs="Times New Roman"/>
          <w:szCs w:val="20"/>
          <w:lang w:eastAsia="en-CA"/>
        </w:rPr>
      </w:pPr>
      <w:r w:rsidRPr="00F265D0">
        <w:rPr>
          <w:rFonts w:eastAsia="Times New Roman" w:cs="Times New Roman"/>
          <w:szCs w:val="20"/>
          <w:lang w:eastAsia="en-CA"/>
        </w:rPr>
        <w:t>[1]</w:t>
      </w:r>
      <w:r w:rsidRPr="00F265D0">
        <w:rPr>
          <w:rFonts w:eastAsia="Times New Roman" w:cs="Times New Roman"/>
          <w:szCs w:val="20"/>
          <w:lang w:eastAsia="en-CA"/>
        </w:rPr>
        <w:tab/>
      </w:r>
      <w:r w:rsidRPr="00F265D0">
        <w:rPr>
          <w:rFonts w:eastAsia="Times New Roman" w:cs="Times New Roman"/>
          <w:smallCaps/>
          <w:szCs w:val="20"/>
          <w:lang w:eastAsia="en-CA"/>
        </w:rPr>
        <w:t>Moldaver J.</w:t>
      </w:r>
      <w:r w:rsidRPr="00F265D0">
        <w:rPr>
          <w:rFonts w:eastAsia="Times New Roman" w:cs="Times New Roman"/>
          <w:szCs w:val="20"/>
          <w:lang w:eastAsia="en-CA"/>
        </w:rPr>
        <w:t xml:space="preserve"> — A majority of the Court would dismiss the appeal, substantially for the reasons of the majority of the Saskatchewan Court of Appeal. Justices Karakatsanis and Martin would allow the appeal, substantially for the reasons of the dissenting judge of the Court of Appeal.</w:t>
      </w:r>
    </w:p>
    <w:p w:rsidR="00F265D0" w:rsidRPr="00F265D0" w:rsidRDefault="00F265D0" w:rsidP="00F265D0">
      <w:pPr>
        <w:tabs>
          <w:tab w:val="left" w:pos="1168"/>
        </w:tabs>
        <w:spacing w:after="480" w:line="480" w:lineRule="auto"/>
        <w:jc w:val="both"/>
        <w:rPr>
          <w:rFonts w:eastAsia="Times New Roman" w:cs="Times New Roman"/>
          <w:i/>
          <w:szCs w:val="20"/>
          <w:lang w:eastAsia="en-CA"/>
        </w:rPr>
      </w:pPr>
      <w:r w:rsidRPr="00F265D0">
        <w:rPr>
          <w:rFonts w:eastAsia="Times New Roman" w:cs="Times New Roman"/>
          <w:szCs w:val="20"/>
          <w:lang w:eastAsia="en-CA"/>
        </w:rPr>
        <w:tab/>
      </w:r>
      <w:r w:rsidRPr="00F265D0">
        <w:rPr>
          <w:rFonts w:eastAsia="Times New Roman" w:cs="Times New Roman"/>
          <w:i/>
          <w:szCs w:val="20"/>
          <w:lang w:eastAsia="en-CA"/>
        </w:rPr>
        <w:t>Judgment accordingly.</w:t>
      </w:r>
    </w:p>
    <w:p w:rsidR="00F265D0" w:rsidRPr="00F265D0" w:rsidRDefault="00F265D0" w:rsidP="00F265D0">
      <w:pPr>
        <w:tabs>
          <w:tab w:val="left" w:pos="1168"/>
        </w:tabs>
        <w:spacing w:after="480" w:line="480" w:lineRule="auto"/>
        <w:jc w:val="both"/>
        <w:rPr>
          <w:rFonts w:eastAsia="Times New Roman" w:cs="Times New Roman"/>
          <w:i/>
          <w:szCs w:val="20"/>
          <w:lang w:eastAsia="en-CA"/>
        </w:rPr>
      </w:pPr>
      <w:r w:rsidRPr="00F265D0">
        <w:rPr>
          <w:rFonts w:eastAsia="Times New Roman" w:cs="Times New Roman"/>
          <w:i/>
          <w:szCs w:val="20"/>
          <w:lang w:eastAsia="en-CA"/>
        </w:rPr>
        <w:tab/>
        <w:t>Solicitors for the appellant: Pfefferle Law Office, Saskatoon.</w:t>
      </w:r>
    </w:p>
    <w:p w:rsidR="00F265D0" w:rsidRDefault="00F265D0" w:rsidP="00F265D0">
      <w:pPr>
        <w:tabs>
          <w:tab w:val="left" w:pos="1168"/>
        </w:tabs>
        <w:spacing w:after="480" w:line="480" w:lineRule="auto"/>
        <w:jc w:val="both"/>
        <w:rPr>
          <w:rFonts w:eastAsia="Times New Roman" w:cs="Times New Roman"/>
          <w:i/>
          <w:szCs w:val="20"/>
          <w:lang w:eastAsia="en-CA"/>
        </w:rPr>
      </w:pPr>
      <w:r w:rsidRPr="00F265D0">
        <w:rPr>
          <w:rFonts w:eastAsia="Times New Roman" w:cs="Times New Roman"/>
          <w:i/>
          <w:szCs w:val="20"/>
          <w:lang w:eastAsia="en-CA"/>
        </w:rPr>
        <w:tab/>
        <w:t>Solicitor for the respondent: Attorney General of Saskatchewan, Regina.</w:t>
      </w:r>
    </w:p>
    <w:p w:rsidR="00F265D0" w:rsidRPr="00F265D0" w:rsidRDefault="00F265D0" w:rsidP="00F265D0">
      <w:pPr>
        <w:tabs>
          <w:tab w:val="left" w:pos="1168"/>
        </w:tabs>
        <w:spacing w:after="480" w:line="480" w:lineRule="auto"/>
        <w:jc w:val="both"/>
        <w:rPr>
          <w:rFonts w:eastAsia="Times New Roman" w:cs="Times New Roman"/>
          <w:i/>
          <w:szCs w:val="20"/>
          <w:lang w:eastAsia="en-CA"/>
        </w:rPr>
      </w:pPr>
    </w:p>
    <w:sectPr w:rsidR="00F265D0" w:rsidRPr="00F265D0"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0B76"/>
    <w:rsid w:val="00001315"/>
    <w:rsid w:val="00026AEA"/>
    <w:rsid w:val="0003087F"/>
    <w:rsid w:val="00064EFC"/>
    <w:rsid w:val="00076773"/>
    <w:rsid w:val="000855EE"/>
    <w:rsid w:val="00087E50"/>
    <w:rsid w:val="000C2AD4"/>
    <w:rsid w:val="000E2F0D"/>
    <w:rsid w:val="001311DA"/>
    <w:rsid w:val="00137FD2"/>
    <w:rsid w:val="001412E4"/>
    <w:rsid w:val="00151E1C"/>
    <w:rsid w:val="001648D4"/>
    <w:rsid w:val="001B0985"/>
    <w:rsid w:val="001B27ED"/>
    <w:rsid w:val="001B299D"/>
    <w:rsid w:val="001D6B8C"/>
    <w:rsid w:val="001F1F83"/>
    <w:rsid w:val="001F3E0C"/>
    <w:rsid w:val="001F7378"/>
    <w:rsid w:val="00205C5C"/>
    <w:rsid w:val="00205C5D"/>
    <w:rsid w:val="00252460"/>
    <w:rsid w:val="00261713"/>
    <w:rsid w:val="00273D07"/>
    <w:rsid w:val="0028675F"/>
    <w:rsid w:val="002948AF"/>
    <w:rsid w:val="002C1DA9"/>
    <w:rsid w:val="002C5A33"/>
    <w:rsid w:val="002D4333"/>
    <w:rsid w:val="002D4FC9"/>
    <w:rsid w:val="002D73E2"/>
    <w:rsid w:val="00307011"/>
    <w:rsid w:val="00315695"/>
    <w:rsid w:val="00355967"/>
    <w:rsid w:val="003642BE"/>
    <w:rsid w:val="00384384"/>
    <w:rsid w:val="003B2BE1"/>
    <w:rsid w:val="003B3C63"/>
    <w:rsid w:val="003D611B"/>
    <w:rsid w:val="00410BF4"/>
    <w:rsid w:val="00451668"/>
    <w:rsid w:val="00460AFC"/>
    <w:rsid w:val="004B1700"/>
    <w:rsid w:val="004E69EC"/>
    <w:rsid w:val="004F090E"/>
    <w:rsid w:val="00503C86"/>
    <w:rsid w:val="00517A10"/>
    <w:rsid w:val="00517EB1"/>
    <w:rsid w:val="00524C08"/>
    <w:rsid w:val="00540106"/>
    <w:rsid w:val="00564C88"/>
    <w:rsid w:val="00582136"/>
    <w:rsid w:val="005D2CFA"/>
    <w:rsid w:val="005D4801"/>
    <w:rsid w:val="0061259C"/>
    <w:rsid w:val="00662DBC"/>
    <w:rsid w:val="006779AD"/>
    <w:rsid w:val="00696F95"/>
    <w:rsid w:val="006B210C"/>
    <w:rsid w:val="006C210C"/>
    <w:rsid w:val="006E564E"/>
    <w:rsid w:val="00701ABD"/>
    <w:rsid w:val="007740CA"/>
    <w:rsid w:val="00815561"/>
    <w:rsid w:val="0082040D"/>
    <w:rsid w:val="00842677"/>
    <w:rsid w:val="00843369"/>
    <w:rsid w:val="00852D4E"/>
    <w:rsid w:val="00880B14"/>
    <w:rsid w:val="008A10A1"/>
    <w:rsid w:val="00904937"/>
    <w:rsid w:val="0093524C"/>
    <w:rsid w:val="00962C82"/>
    <w:rsid w:val="00996510"/>
    <w:rsid w:val="0099776C"/>
    <w:rsid w:val="009A5E2F"/>
    <w:rsid w:val="009B0656"/>
    <w:rsid w:val="009B58B8"/>
    <w:rsid w:val="009E1B85"/>
    <w:rsid w:val="009E7065"/>
    <w:rsid w:val="00A15427"/>
    <w:rsid w:val="00A51D10"/>
    <w:rsid w:val="00A57778"/>
    <w:rsid w:val="00AB2201"/>
    <w:rsid w:val="00B947C9"/>
    <w:rsid w:val="00BB1C87"/>
    <w:rsid w:val="00BC2DFD"/>
    <w:rsid w:val="00BD4217"/>
    <w:rsid w:val="00C003E6"/>
    <w:rsid w:val="00C621F5"/>
    <w:rsid w:val="00CE17A0"/>
    <w:rsid w:val="00D030DA"/>
    <w:rsid w:val="00D76BDF"/>
    <w:rsid w:val="00DA7B22"/>
    <w:rsid w:val="00DF15D7"/>
    <w:rsid w:val="00E20819"/>
    <w:rsid w:val="00E22DBA"/>
    <w:rsid w:val="00E356C7"/>
    <w:rsid w:val="00E5364D"/>
    <w:rsid w:val="00E54E6E"/>
    <w:rsid w:val="00E64FA7"/>
    <w:rsid w:val="00E770CB"/>
    <w:rsid w:val="00EA6DB9"/>
    <w:rsid w:val="00EC6CDA"/>
    <w:rsid w:val="00ED6EEC"/>
    <w:rsid w:val="00EF0E44"/>
    <w:rsid w:val="00EF72F1"/>
    <w:rsid w:val="00F154D0"/>
    <w:rsid w:val="00F265D0"/>
    <w:rsid w:val="00F31D44"/>
    <w:rsid w:val="00F36AF0"/>
    <w:rsid w:val="00F468B4"/>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9A5E2F"/>
    <w:rPr>
      <w:sz w:val="16"/>
      <w:szCs w:val="16"/>
    </w:rPr>
  </w:style>
  <w:style w:type="paragraph" w:styleId="CommentText">
    <w:name w:val="annotation text"/>
    <w:basedOn w:val="Normal"/>
    <w:link w:val="CommentTextChar"/>
    <w:uiPriority w:val="99"/>
    <w:semiHidden/>
    <w:unhideWhenUsed/>
    <w:rsid w:val="009A5E2F"/>
    <w:rPr>
      <w:sz w:val="20"/>
      <w:szCs w:val="20"/>
    </w:rPr>
  </w:style>
  <w:style w:type="character" w:customStyle="1" w:styleId="CommentTextChar">
    <w:name w:val="Comment Text Char"/>
    <w:basedOn w:val="DefaultParagraphFont"/>
    <w:link w:val="CommentText"/>
    <w:uiPriority w:val="99"/>
    <w:semiHidden/>
    <w:rsid w:val="009A5E2F"/>
    <w:rPr>
      <w:sz w:val="20"/>
      <w:szCs w:val="20"/>
      <w:lang w:val="en-CA"/>
    </w:rPr>
  </w:style>
  <w:style w:type="paragraph" w:styleId="CommentSubject">
    <w:name w:val="annotation subject"/>
    <w:basedOn w:val="CommentText"/>
    <w:next w:val="CommentText"/>
    <w:link w:val="CommentSubjectChar"/>
    <w:uiPriority w:val="99"/>
    <w:semiHidden/>
    <w:unhideWhenUsed/>
    <w:rsid w:val="009A5E2F"/>
    <w:rPr>
      <w:b/>
      <w:bCs/>
    </w:rPr>
  </w:style>
  <w:style w:type="character" w:customStyle="1" w:styleId="CommentSubjectChar">
    <w:name w:val="Comment Subject Char"/>
    <w:basedOn w:val="CommentTextChar"/>
    <w:link w:val="CommentSubject"/>
    <w:uiPriority w:val="99"/>
    <w:semiHidden/>
    <w:rsid w:val="009A5E2F"/>
    <w:rPr>
      <w:b/>
      <w:bCs/>
      <w:sz w:val="20"/>
      <w:szCs w:val="20"/>
      <w:lang w:val="en-CA"/>
    </w:rPr>
  </w:style>
  <w:style w:type="character" w:styleId="Strong">
    <w:name w:val="Strong"/>
    <w:basedOn w:val="DefaultParagraphFont"/>
    <w:uiPriority w:val="22"/>
    <w:qFormat/>
    <w:rsid w:val="000E2F0D"/>
    <w:rPr>
      <w:b/>
      <w:bCs/>
    </w:rPr>
  </w:style>
  <w:style w:type="character" w:styleId="Hyperlink">
    <w:name w:val="Hyperlink"/>
    <w:basedOn w:val="DefaultParagraphFont"/>
    <w:uiPriority w:val="99"/>
    <w:unhideWhenUsed/>
    <w:rsid w:val="003642BE"/>
    <w:rPr>
      <w:color w:val="66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lii.ca/t/jhx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52CD-936B-49AD-B302-093990FD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1977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2022-05-17T21:58:00Z</dcterms:created>
  <dcterms:modified xsi:type="dcterms:W3CDTF">2023-07-17T20:58:00Z</dcterms:modified>
</cp:coreProperties>
</file>