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71"/>
        <w:gridCol w:w="1559"/>
        <w:gridCol w:w="1439"/>
        <w:gridCol w:w="3945"/>
      </w:tblGrid>
      <w:tr w:rsidR="00EF72F1" w:rsidRPr="00874D34" w14:paraId="23E95CB5" w14:textId="77777777" w:rsidTr="009B58B8">
        <w:trPr>
          <w:trHeight w:val="2103"/>
        </w:trPr>
        <w:tc>
          <w:tcPr>
            <w:tcW w:w="5000" w:type="pct"/>
            <w:gridSpan w:val="4"/>
          </w:tcPr>
          <w:p w14:paraId="3EAD8564" w14:textId="77777777" w:rsidR="00EF72F1" w:rsidRPr="00874D34" w:rsidRDefault="00EF72F1" w:rsidP="001F3E0C">
            <w:pPr>
              <w:pStyle w:val="SCCBold"/>
              <w:jc w:val="center"/>
            </w:pPr>
            <w:r w:rsidRPr="00874D34">
              <w:rPr>
                <w:noProof/>
                <w:lang w:val="fr-CA" w:eastAsia="fr-CA"/>
              </w:rPr>
              <w:drawing>
                <wp:inline distT="0" distB="0" distL="0" distR="0" wp14:anchorId="492A38F3" wp14:editId="73D790A6">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1E3315C" w14:textId="77777777" w:rsidR="00EF72F1" w:rsidRPr="00874D34" w:rsidRDefault="00EF72F1" w:rsidP="009764CA">
            <w:pPr>
              <w:spacing w:before="120" w:after="100" w:afterAutospacing="1"/>
              <w:jc w:val="center"/>
              <w:rPr>
                <w:rFonts w:eastAsia="Calibri"/>
              </w:rPr>
            </w:pPr>
            <w:r w:rsidRPr="00874D34">
              <w:rPr>
                <w:rFonts w:eastAsia="Calibri"/>
                <w:b/>
              </w:rPr>
              <w:t>SUPREME COURT OF CANADA</w:t>
            </w:r>
          </w:p>
        </w:tc>
      </w:tr>
      <w:tr w:rsidR="00EF72F1" w:rsidRPr="00874D34" w14:paraId="3CABCB94" w14:textId="77777777" w:rsidTr="009B58B8">
        <w:tblPrEx>
          <w:tblCellMar>
            <w:top w:w="58" w:type="dxa"/>
            <w:left w:w="58" w:type="dxa"/>
            <w:bottom w:w="58" w:type="dxa"/>
            <w:right w:w="58" w:type="dxa"/>
          </w:tblCellMar>
        </w:tblPrEx>
        <w:trPr>
          <w:cantSplit/>
        </w:trPr>
        <w:tc>
          <w:tcPr>
            <w:tcW w:w="2078" w:type="pct"/>
            <w:gridSpan w:val="2"/>
          </w:tcPr>
          <w:p w14:paraId="4A964DC4" w14:textId="77777777" w:rsidR="00EF72F1" w:rsidRPr="00874D34" w:rsidRDefault="00EF72F1" w:rsidP="00FC2782">
            <w:pPr>
              <w:rPr>
                <w:b/>
                <w:smallCaps/>
                <w:lang w:val="fr-CA"/>
              </w:rPr>
            </w:pPr>
          </w:p>
          <w:p w14:paraId="03323305" w14:textId="5EEFD7E8" w:rsidR="00EF72F1" w:rsidRPr="00874D34" w:rsidRDefault="00EF72F1" w:rsidP="00714DAB">
            <w:pPr>
              <w:rPr>
                <w:b/>
                <w:smallCaps/>
                <w:lang w:val="fr-CA"/>
              </w:rPr>
            </w:pPr>
            <w:r w:rsidRPr="00874D34">
              <w:rPr>
                <w:b/>
                <w:smallCaps/>
                <w:lang w:val="fr-CA"/>
              </w:rPr>
              <w:t>Citation:</w:t>
            </w:r>
            <w:r w:rsidRPr="00874D34">
              <w:rPr>
                <w:lang w:val="fr-CA"/>
              </w:rPr>
              <w:t xml:space="preserve"> </w:t>
            </w:r>
            <w:r w:rsidR="00283C46" w:rsidRPr="00874D34">
              <w:rPr>
                <w:lang w:val="fr-CA"/>
              </w:rPr>
              <w:t xml:space="preserve">R. </w:t>
            </w:r>
            <w:r w:rsidR="00283C46" w:rsidRPr="00874D34">
              <w:rPr>
                <w:i/>
                <w:lang w:val="fr-CA"/>
              </w:rPr>
              <w:t>v.</w:t>
            </w:r>
            <w:r w:rsidR="00283C46" w:rsidRPr="00874D34">
              <w:rPr>
                <w:lang w:val="fr-CA"/>
              </w:rPr>
              <w:t xml:space="preserve"> </w:t>
            </w:r>
            <w:r w:rsidR="00714DAB" w:rsidRPr="00874D34">
              <w:t>Safdar</w:t>
            </w:r>
            <w:r w:rsidR="00283C46" w:rsidRPr="00874D34">
              <w:rPr>
                <w:lang w:val="fr-CA"/>
              </w:rPr>
              <w:t xml:space="preserve">, 2022 SCC </w:t>
            </w:r>
            <w:r w:rsidR="00714DAB" w:rsidRPr="00874D34">
              <w:rPr>
                <w:lang w:val="fr-CA"/>
              </w:rPr>
              <w:t>21</w:t>
            </w:r>
          </w:p>
        </w:tc>
        <w:tc>
          <w:tcPr>
            <w:tcW w:w="781" w:type="pct"/>
          </w:tcPr>
          <w:p w14:paraId="37DBFFFD" w14:textId="77777777" w:rsidR="00EF72F1" w:rsidRPr="00874D34" w:rsidRDefault="00EF72F1" w:rsidP="00FC2782">
            <w:pPr>
              <w:rPr>
                <w:lang w:val="fr-CA"/>
              </w:rPr>
            </w:pPr>
          </w:p>
        </w:tc>
        <w:tc>
          <w:tcPr>
            <w:tcW w:w="2141" w:type="pct"/>
          </w:tcPr>
          <w:p w14:paraId="0DF85718" w14:textId="77777777" w:rsidR="00EF72F1" w:rsidRPr="00874D34" w:rsidRDefault="00EF72F1" w:rsidP="00451668">
            <w:pPr>
              <w:rPr>
                <w:b/>
                <w:smallCaps/>
                <w:lang w:val="en-US"/>
              </w:rPr>
            </w:pPr>
          </w:p>
          <w:p w14:paraId="0B31F775" w14:textId="65DF2476" w:rsidR="00EF72F1" w:rsidRPr="00874D34" w:rsidRDefault="00EF72F1" w:rsidP="00EA6DB9">
            <w:pPr>
              <w:jc w:val="both"/>
            </w:pPr>
            <w:r w:rsidRPr="00874D34">
              <w:rPr>
                <w:b/>
                <w:smallCaps/>
              </w:rPr>
              <w:t>Appeal Heard:</w:t>
            </w:r>
            <w:r w:rsidRPr="00874D34">
              <w:t xml:space="preserve"> </w:t>
            </w:r>
            <w:r w:rsidR="00714DAB" w:rsidRPr="00874D34">
              <w:t>May 18</w:t>
            </w:r>
            <w:r w:rsidR="00283C46" w:rsidRPr="00874D34">
              <w:t>, 2022</w:t>
            </w:r>
          </w:p>
          <w:p w14:paraId="16EEFEC6" w14:textId="29D46715" w:rsidR="00EF72F1" w:rsidRPr="00874D34" w:rsidRDefault="00EF72F1">
            <w:r w:rsidRPr="00874D34">
              <w:rPr>
                <w:b/>
                <w:smallCaps/>
              </w:rPr>
              <w:t>Judgment Rendered:</w:t>
            </w:r>
            <w:r w:rsidRPr="00874D34">
              <w:t xml:space="preserve"> </w:t>
            </w:r>
            <w:r w:rsidR="00714DAB" w:rsidRPr="00874D34">
              <w:t>May 18</w:t>
            </w:r>
            <w:r w:rsidR="00283C46" w:rsidRPr="00874D34">
              <w:t>, 2022</w:t>
            </w:r>
          </w:p>
          <w:p w14:paraId="69B0BF67" w14:textId="54C5E43B" w:rsidR="00EF72F1" w:rsidRPr="00874D34" w:rsidRDefault="00EF72F1" w:rsidP="00540106">
            <w:r w:rsidRPr="00874D34">
              <w:rPr>
                <w:b/>
                <w:smallCaps/>
              </w:rPr>
              <w:t>Docket:</w:t>
            </w:r>
            <w:r w:rsidRPr="00874D34">
              <w:t xml:space="preserve"> </w:t>
            </w:r>
            <w:r w:rsidR="00714DAB" w:rsidRPr="00874D34">
              <w:t>39629</w:t>
            </w:r>
          </w:p>
        </w:tc>
      </w:tr>
      <w:tr w:rsidR="00283C46" w:rsidRPr="00874D34" w14:paraId="61B6007B" w14:textId="77777777" w:rsidTr="00642091">
        <w:tblPrEx>
          <w:tblCellMar>
            <w:top w:w="58" w:type="dxa"/>
            <w:left w:w="58" w:type="dxa"/>
            <w:bottom w:w="58" w:type="dxa"/>
            <w:right w:w="58" w:type="dxa"/>
          </w:tblCellMar>
        </w:tblPrEx>
        <w:tc>
          <w:tcPr>
            <w:tcW w:w="5000" w:type="pct"/>
            <w:gridSpan w:val="4"/>
          </w:tcPr>
          <w:p w14:paraId="718838D6" w14:textId="77777777" w:rsidR="00283C46" w:rsidRPr="00874D34" w:rsidRDefault="00283C46" w:rsidP="00283C46"/>
          <w:p w14:paraId="11F96FF1" w14:textId="77777777" w:rsidR="00283C46" w:rsidRPr="00874D34" w:rsidRDefault="00283C46" w:rsidP="00283C46">
            <w:pPr>
              <w:pStyle w:val="SCCLsocPrefix"/>
            </w:pPr>
            <w:r w:rsidRPr="00874D34">
              <w:t>Between:</w:t>
            </w:r>
          </w:p>
          <w:p w14:paraId="29483051" w14:textId="77777777" w:rsidR="00283C46" w:rsidRPr="00874D34" w:rsidRDefault="00283C46" w:rsidP="00283C46"/>
          <w:p w14:paraId="51725D01" w14:textId="2E961467" w:rsidR="00283C46" w:rsidRPr="00874D34" w:rsidRDefault="00714DAB" w:rsidP="00283C46">
            <w:pPr>
              <w:pStyle w:val="SCCLsocParty"/>
            </w:pPr>
            <w:r w:rsidRPr="00874D34">
              <w:t>Syed Adeel Safdar</w:t>
            </w:r>
          </w:p>
          <w:p w14:paraId="2B66D771" w14:textId="77777777" w:rsidR="00283C46" w:rsidRPr="00874D34" w:rsidRDefault="00283C46" w:rsidP="00283C46">
            <w:pPr>
              <w:pStyle w:val="SCCLsocPartyRole"/>
            </w:pPr>
            <w:r w:rsidRPr="00874D34">
              <w:t>Appellant</w:t>
            </w:r>
          </w:p>
          <w:p w14:paraId="2363C8FE" w14:textId="77777777" w:rsidR="00283C46" w:rsidRPr="00874D34" w:rsidRDefault="00283C46" w:rsidP="00283C46"/>
          <w:p w14:paraId="462281EE" w14:textId="77777777" w:rsidR="00283C46" w:rsidRPr="00874D34" w:rsidRDefault="00283C46" w:rsidP="00283C46">
            <w:pPr>
              <w:pStyle w:val="SCCLsocVersus"/>
            </w:pPr>
            <w:r w:rsidRPr="00874D34">
              <w:t>and</w:t>
            </w:r>
          </w:p>
          <w:p w14:paraId="34DF5024" w14:textId="77777777" w:rsidR="00283C46" w:rsidRPr="00874D34" w:rsidRDefault="00283C46" w:rsidP="00283C46"/>
          <w:p w14:paraId="76125642" w14:textId="77777777" w:rsidR="00283C46" w:rsidRPr="00874D34" w:rsidRDefault="00283C46" w:rsidP="00283C46">
            <w:pPr>
              <w:pStyle w:val="SCCLsocParty"/>
            </w:pPr>
            <w:r w:rsidRPr="00874D34">
              <w:t>Her Majesty The Queen</w:t>
            </w:r>
          </w:p>
          <w:p w14:paraId="3884125F" w14:textId="77777777" w:rsidR="00283C46" w:rsidRPr="00874D34" w:rsidRDefault="00283C46" w:rsidP="00283C46">
            <w:pPr>
              <w:pStyle w:val="SCCLsocPartyRole"/>
            </w:pPr>
            <w:r w:rsidRPr="00874D34">
              <w:t>Respondent</w:t>
            </w:r>
          </w:p>
          <w:p w14:paraId="3DC18BAC" w14:textId="77777777" w:rsidR="00283C46" w:rsidRPr="00874D34" w:rsidRDefault="00283C46" w:rsidP="00283C46"/>
          <w:p w14:paraId="45181210" w14:textId="77777777" w:rsidR="00283C46" w:rsidRPr="00874D34" w:rsidRDefault="00283C46" w:rsidP="00283C46"/>
          <w:p w14:paraId="4779BBB7" w14:textId="77777777" w:rsidR="00283C46" w:rsidRPr="00874D34" w:rsidRDefault="00283C46" w:rsidP="00283C46"/>
          <w:p w14:paraId="24233565" w14:textId="77777777" w:rsidR="00283C46" w:rsidRPr="00874D34" w:rsidRDefault="00283C46" w:rsidP="00283C46"/>
          <w:p w14:paraId="75C43C54" w14:textId="37F8705C" w:rsidR="00283C46" w:rsidRPr="00874D34" w:rsidRDefault="00283C46" w:rsidP="00283C46">
            <w:r w:rsidRPr="00874D34">
              <w:rPr>
                <w:b/>
                <w:smallCaps/>
              </w:rPr>
              <w:t>Coram:</w:t>
            </w:r>
            <w:r w:rsidRPr="00874D34">
              <w:t xml:space="preserve"> </w:t>
            </w:r>
            <w:r w:rsidR="00C40B5E" w:rsidRPr="00874D34">
              <w:t xml:space="preserve">Wagner C.J. and Brown, Rowe, Martin </w:t>
            </w:r>
            <w:r w:rsidRPr="00874D34">
              <w:t xml:space="preserve">and </w:t>
            </w:r>
            <w:r w:rsidR="00C40B5E" w:rsidRPr="00874D34">
              <w:t>Jamal </w:t>
            </w:r>
            <w:r w:rsidRPr="00874D34">
              <w:t>JJ.</w:t>
            </w:r>
          </w:p>
          <w:p w14:paraId="35F06095" w14:textId="77777777" w:rsidR="00283C46" w:rsidRPr="00874D34" w:rsidRDefault="00283C46" w:rsidP="00283C46">
            <w:pPr>
              <w:rPr>
                <w:b/>
                <w:smallCaps/>
              </w:rPr>
            </w:pPr>
          </w:p>
        </w:tc>
      </w:tr>
      <w:tr w:rsidR="008726A9" w:rsidRPr="00874D34" w14:paraId="13D1F871" w14:textId="77777777" w:rsidTr="00FA0A61">
        <w:tblPrEx>
          <w:tblCellMar>
            <w:top w:w="58" w:type="dxa"/>
            <w:left w:w="58" w:type="dxa"/>
            <w:bottom w:w="58" w:type="dxa"/>
            <w:right w:w="58" w:type="dxa"/>
          </w:tblCellMar>
        </w:tblPrEx>
        <w:trPr>
          <w:cantSplit/>
        </w:trPr>
        <w:tc>
          <w:tcPr>
            <w:tcW w:w="1232" w:type="pct"/>
          </w:tcPr>
          <w:p w14:paraId="1E3D4C0C" w14:textId="77777777" w:rsidR="008726A9" w:rsidRPr="00874D34" w:rsidRDefault="008726A9" w:rsidP="00FA0A61">
            <w:pPr>
              <w:rPr>
                <w:b/>
                <w:bCs/>
                <w:smallCaps/>
                <w:color w:val="000000"/>
                <w:lang w:val="en-US"/>
              </w:rPr>
            </w:pPr>
            <w:r w:rsidRPr="00874D34">
              <w:rPr>
                <w:b/>
                <w:bCs/>
                <w:smallCaps/>
                <w:color w:val="000000"/>
                <w:lang w:val="en-US"/>
              </w:rPr>
              <w:t>Unanimous Judgment Read By:</w:t>
            </w:r>
          </w:p>
          <w:p w14:paraId="309B2846" w14:textId="4755B666" w:rsidR="008726A9" w:rsidRPr="00874D34" w:rsidRDefault="008726A9" w:rsidP="00FA0A61">
            <w:pPr>
              <w:rPr>
                <w:color w:val="000000"/>
              </w:rPr>
            </w:pPr>
            <w:r w:rsidRPr="00874D34">
              <w:rPr>
                <w:color w:val="000000"/>
                <w:lang w:val="en-US"/>
              </w:rPr>
              <w:t>(paras. </w:t>
            </w:r>
            <w:r w:rsidRPr="00874D34">
              <w:rPr>
                <w:color w:val="000000"/>
              </w:rPr>
              <w:t xml:space="preserve">1 to </w:t>
            </w:r>
            <w:r w:rsidR="00EE5DB8" w:rsidRPr="00874D34">
              <w:rPr>
                <w:color w:val="000000"/>
              </w:rPr>
              <w:t>6</w:t>
            </w:r>
            <w:r w:rsidRPr="00874D34">
              <w:rPr>
                <w:color w:val="000000"/>
              </w:rPr>
              <w:t>)</w:t>
            </w:r>
          </w:p>
          <w:p w14:paraId="4B64DCF2" w14:textId="77777777" w:rsidR="008726A9" w:rsidRPr="00874D34" w:rsidRDefault="008726A9" w:rsidP="00FA0A61"/>
        </w:tc>
        <w:tc>
          <w:tcPr>
            <w:tcW w:w="3768" w:type="pct"/>
            <w:gridSpan w:val="3"/>
          </w:tcPr>
          <w:p w14:paraId="777D0FBF" w14:textId="7861F098" w:rsidR="008726A9" w:rsidRPr="00874D34" w:rsidRDefault="00714DAB" w:rsidP="00FA0A61">
            <w:r w:rsidRPr="00874D34">
              <w:t>Brown</w:t>
            </w:r>
            <w:r w:rsidR="008726A9" w:rsidRPr="00874D34">
              <w:t> </w:t>
            </w:r>
            <w:r w:rsidR="008726A9" w:rsidRPr="00874D34">
              <w:rPr>
                <w:color w:val="000000"/>
              </w:rPr>
              <w:t>J.</w:t>
            </w:r>
          </w:p>
        </w:tc>
      </w:tr>
    </w:tbl>
    <w:p w14:paraId="49C32788" w14:textId="77777777" w:rsidR="001B299D" w:rsidRPr="00874D34" w:rsidRDefault="001B299D" w:rsidP="001B299D"/>
    <w:p w14:paraId="5ED07408" w14:textId="77777777" w:rsidR="00904937" w:rsidRPr="00874D34" w:rsidRDefault="00904937" w:rsidP="00076773">
      <w:pPr>
        <w:pStyle w:val="SCCBold"/>
        <w:rPr>
          <w:b w:val="0"/>
        </w:rPr>
      </w:pPr>
      <w:r w:rsidRPr="00874D34">
        <w:rPr>
          <w:smallCaps/>
        </w:rPr>
        <w:t>Note:</w:t>
      </w:r>
      <w:r w:rsidRPr="00874D34">
        <w:t xml:space="preserve"> </w:t>
      </w:r>
      <w:r w:rsidRPr="00874D34">
        <w:rPr>
          <w:b w:val="0"/>
        </w:rPr>
        <w:t>This do</w:t>
      </w:r>
      <w:r w:rsidR="009E7065" w:rsidRPr="00874D34">
        <w:rPr>
          <w:b w:val="0"/>
        </w:rPr>
        <w:t>c</w:t>
      </w:r>
      <w:r w:rsidRPr="00874D34">
        <w:rPr>
          <w:b w:val="0"/>
        </w:rPr>
        <w:t xml:space="preserve">ument is subject to editorial revision before its reproduction in final form in the </w:t>
      </w:r>
      <w:r w:rsidRPr="00874D34">
        <w:rPr>
          <w:b w:val="0"/>
          <w:i/>
        </w:rPr>
        <w:t>Canada Supreme Court Reports</w:t>
      </w:r>
      <w:r w:rsidRPr="00874D34">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RPr="00874D34" w14:paraId="6DD4F3E7" w14:textId="77777777" w:rsidTr="003375C9">
        <w:tc>
          <w:tcPr>
            <w:tcW w:w="1500" w:type="pct"/>
            <w:tcMar>
              <w:top w:w="284" w:type="dxa"/>
            </w:tcMar>
          </w:tcPr>
          <w:p w14:paraId="7E004725" w14:textId="77777777" w:rsidR="00087E50" w:rsidRPr="00874D34" w:rsidRDefault="00087E50" w:rsidP="003375C9">
            <w:pPr>
              <w:rPr>
                <w:rFonts w:eastAsia="Calibri"/>
              </w:rPr>
            </w:pPr>
          </w:p>
        </w:tc>
        <w:tc>
          <w:tcPr>
            <w:tcW w:w="2000" w:type="pct"/>
            <w:tcBorders>
              <w:bottom w:val="single" w:sz="4" w:space="0" w:color="auto"/>
            </w:tcBorders>
            <w:tcMar>
              <w:top w:w="284" w:type="dxa"/>
            </w:tcMar>
          </w:tcPr>
          <w:p w14:paraId="6BB65A63" w14:textId="77777777" w:rsidR="00087E50" w:rsidRPr="00874D34" w:rsidRDefault="00087E50" w:rsidP="003375C9">
            <w:pPr>
              <w:rPr>
                <w:rFonts w:eastAsia="Calibri"/>
              </w:rPr>
            </w:pPr>
          </w:p>
        </w:tc>
        <w:tc>
          <w:tcPr>
            <w:tcW w:w="1500" w:type="pct"/>
            <w:tcMar>
              <w:top w:w="284" w:type="dxa"/>
            </w:tcMar>
          </w:tcPr>
          <w:p w14:paraId="4DB68339" w14:textId="77777777" w:rsidR="00087E50" w:rsidRPr="00874D34" w:rsidRDefault="00087E50" w:rsidP="003375C9">
            <w:pPr>
              <w:rPr>
                <w:rFonts w:eastAsia="Calibri"/>
              </w:rPr>
            </w:pPr>
          </w:p>
        </w:tc>
      </w:tr>
    </w:tbl>
    <w:p w14:paraId="1D9DC8BA" w14:textId="543D6E11" w:rsidR="00BC0FC6" w:rsidRDefault="00BC0FC6"/>
    <w:p w14:paraId="1EEE32EC" w14:textId="77777777" w:rsidR="008A50EA" w:rsidRDefault="008A50EA"/>
    <w:p w14:paraId="26818299" w14:textId="77777777" w:rsidR="008A50EA" w:rsidRDefault="008A50EA">
      <w:bookmarkStart w:id="0" w:name="_GoBack"/>
      <w:bookmarkEnd w:id="0"/>
    </w:p>
    <w:p w14:paraId="4EE3CD57" w14:textId="77777777" w:rsidR="008A50EA" w:rsidRPr="008A50EA" w:rsidRDefault="008A50EA" w:rsidP="008A50EA">
      <w:pPr>
        <w:tabs>
          <w:tab w:val="right" w:pos="8222"/>
        </w:tabs>
        <w:spacing w:after="720"/>
        <w:rPr>
          <w:rFonts w:eastAsia="Times New Roman" w:cs="Times New Roman"/>
          <w:b/>
          <w:szCs w:val="20"/>
          <w:lang w:eastAsia="en-CA"/>
        </w:rPr>
      </w:pPr>
      <w:r w:rsidRPr="008A50EA">
        <w:rPr>
          <w:rFonts w:eastAsia="Times New Roman" w:cs="Times New Roman"/>
          <w:b/>
          <w:szCs w:val="20"/>
          <w:lang w:eastAsia="en-CA"/>
        </w:rPr>
        <w:t>Syed Adeel Safdar</w:t>
      </w:r>
      <w:r w:rsidRPr="008A50EA">
        <w:rPr>
          <w:rFonts w:eastAsia="Times New Roman" w:cs="Times New Roman"/>
          <w:i/>
          <w:szCs w:val="20"/>
          <w:lang w:eastAsia="en-CA"/>
        </w:rPr>
        <w:tab/>
        <w:t>Appellant</w:t>
      </w:r>
    </w:p>
    <w:p w14:paraId="14495421" w14:textId="77777777" w:rsidR="008A50EA" w:rsidRPr="008A50EA" w:rsidRDefault="008A50EA" w:rsidP="008A50EA">
      <w:pPr>
        <w:spacing w:after="720"/>
        <w:rPr>
          <w:rFonts w:eastAsia="Times New Roman" w:cs="Times New Roman"/>
          <w:i/>
          <w:szCs w:val="20"/>
          <w:lang w:eastAsia="en-CA"/>
        </w:rPr>
      </w:pPr>
      <w:r w:rsidRPr="008A50EA">
        <w:rPr>
          <w:rFonts w:eastAsia="Times New Roman" w:cs="Times New Roman"/>
          <w:i/>
          <w:szCs w:val="20"/>
          <w:lang w:eastAsia="en-CA"/>
        </w:rPr>
        <w:t>v.</w:t>
      </w:r>
    </w:p>
    <w:p w14:paraId="5C2D4171" w14:textId="77777777" w:rsidR="008A50EA" w:rsidRPr="008A50EA" w:rsidRDefault="008A50EA" w:rsidP="008A50EA">
      <w:pPr>
        <w:tabs>
          <w:tab w:val="right" w:pos="8222"/>
        </w:tabs>
        <w:spacing w:after="720"/>
        <w:rPr>
          <w:rFonts w:eastAsia="Times New Roman" w:cs="Times New Roman"/>
          <w:b/>
          <w:szCs w:val="20"/>
          <w:lang w:eastAsia="en-CA"/>
        </w:rPr>
      </w:pPr>
      <w:r w:rsidRPr="008A50EA">
        <w:rPr>
          <w:rFonts w:eastAsia="Times New Roman" w:cs="Times New Roman"/>
          <w:b/>
          <w:szCs w:val="20"/>
          <w:lang w:eastAsia="en-CA"/>
        </w:rPr>
        <w:t>Her Majesty The Queen</w:t>
      </w:r>
      <w:r w:rsidRPr="008A50EA">
        <w:rPr>
          <w:rFonts w:eastAsia="Times New Roman" w:cs="Times New Roman"/>
          <w:i/>
          <w:szCs w:val="20"/>
          <w:lang w:eastAsia="en-CA"/>
        </w:rPr>
        <w:tab/>
        <w:t>Respondent</w:t>
      </w:r>
    </w:p>
    <w:p w14:paraId="4F346284" w14:textId="77777777" w:rsidR="008A50EA" w:rsidRPr="008A50EA" w:rsidRDefault="008A50EA" w:rsidP="008A50EA">
      <w:pPr>
        <w:spacing w:after="720"/>
        <w:jc w:val="both"/>
        <w:rPr>
          <w:rFonts w:eastAsia="Times New Roman" w:cs="Times New Roman"/>
          <w:b/>
          <w:szCs w:val="20"/>
          <w:lang w:eastAsia="en-CA"/>
        </w:rPr>
      </w:pPr>
      <w:r w:rsidRPr="008A50EA">
        <w:rPr>
          <w:rFonts w:eastAsia="Times New Roman" w:cs="Times New Roman"/>
          <w:b/>
          <w:szCs w:val="20"/>
          <w:lang w:eastAsia="en-CA"/>
        </w:rPr>
        <w:t xml:space="preserve">Indexed as: </w:t>
      </w:r>
      <w:r w:rsidRPr="008A50EA">
        <w:rPr>
          <w:rFonts w:eastAsia="Times New Roman" w:cs="Times New Roman"/>
          <w:b/>
          <w:szCs w:val="20"/>
          <w:lang w:val="en-US" w:eastAsia="en-CA"/>
        </w:rPr>
        <w:t xml:space="preserve">R. </w:t>
      </w:r>
      <w:r w:rsidRPr="008A50EA">
        <w:rPr>
          <w:rFonts w:eastAsia="Times New Roman" w:cs="Times New Roman"/>
          <w:b/>
          <w:i/>
          <w:szCs w:val="20"/>
          <w:lang w:val="en-US" w:eastAsia="en-CA"/>
        </w:rPr>
        <w:t>v.</w:t>
      </w:r>
      <w:r w:rsidRPr="008A50EA">
        <w:rPr>
          <w:rFonts w:eastAsia="Times New Roman" w:cs="Times New Roman"/>
          <w:b/>
          <w:szCs w:val="20"/>
          <w:lang w:val="en-US" w:eastAsia="en-CA"/>
        </w:rPr>
        <w:t xml:space="preserve"> </w:t>
      </w:r>
      <w:r w:rsidRPr="008A50EA">
        <w:rPr>
          <w:rFonts w:eastAsia="Times New Roman" w:cs="Times New Roman"/>
          <w:b/>
          <w:szCs w:val="20"/>
          <w:lang w:eastAsia="en-CA"/>
        </w:rPr>
        <w:t>Safdar</w:t>
      </w:r>
    </w:p>
    <w:p w14:paraId="27B45352" w14:textId="77777777" w:rsidR="008A50EA" w:rsidRPr="008A50EA" w:rsidRDefault="008A50EA" w:rsidP="008A50EA">
      <w:pPr>
        <w:spacing w:after="720"/>
        <w:jc w:val="both"/>
        <w:rPr>
          <w:rFonts w:eastAsia="Times New Roman" w:cs="Times New Roman"/>
          <w:b/>
          <w:szCs w:val="20"/>
          <w:lang w:eastAsia="en-CA"/>
        </w:rPr>
      </w:pPr>
      <w:r w:rsidRPr="008A50EA">
        <w:rPr>
          <w:rFonts w:eastAsia="Times New Roman" w:cs="Times New Roman"/>
          <w:b/>
          <w:szCs w:val="20"/>
          <w:lang w:eastAsia="en-CA"/>
        </w:rPr>
        <w:t>2022 SCC 21</w:t>
      </w:r>
    </w:p>
    <w:p w14:paraId="4BED43CF" w14:textId="77777777" w:rsidR="008A50EA" w:rsidRPr="008A50EA" w:rsidRDefault="008A50EA" w:rsidP="008A50EA">
      <w:pPr>
        <w:spacing w:after="720"/>
        <w:jc w:val="both"/>
        <w:rPr>
          <w:rFonts w:eastAsia="Times New Roman" w:cs="Times New Roman"/>
          <w:szCs w:val="20"/>
          <w:lang w:eastAsia="en-CA"/>
        </w:rPr>
      </w:pPr>
      <w:r w:rsidRPr="008A50EA">
        <w:rPr>
          <w:rFonts w:eastAsia="Times New Roman" w:cs="Times New Roman"/>
          <w:szCs w:val="20"/>
          <w:lang w:eastAsia="en-CA"/>
        </w:rPr>
        <w:t>File No.: 39629.</w:t>
      </w:r>
    </w:p>
    <w:p w14:paraId="684F3FED" w14:textId="77777777" w:rsidR="008A50EA" w:rsidRPr="008A50EA" w:rsidRDefault="008A50EA" w:rsidP="008A50EA">
      <w:pPr>
        <w:spacing w:after="720"/>
        <w:jc w:val="both"/>
        <w:rPr>
          <w:rFonts w:eastAsia="Times New Roman" w:cs="Times New Roman"/>
          <w:szCs w:val="20"/>
          <w:lang w:eastAsia="en-CA"/>
        </w:rPr>
      </w:pPr>
      <w:r w:rsidRPr="008A50EA">
        <w:rPr>
          <w:rFonts w:eastAsia="Times New Roman" w:cs="Times New Roman"/>
          <w:szCs w:val="20"/>
          <w:lang w:eastAsia="en-CA"/>
        </w:rPr>
        <w:t>2022: May 18.</w:t>
      </w:r>
    </w:p>
    <w:p w14:paraId="43545E3C" w14:textId="77777777" w:rsidR="008A50EA" w:rsidRPr="008A50EA" w:rsidRDefault="008A50EA" w:rsidP="008A50EA">
      <w:pPr>
        <w:spacing w:after="720"/>
        <w:jc w:val="both"/>
        <w:rPr>
          <w:rFonts w:eastAsia="Times New Roman" w:cs="Times New Roman"/>
          <w:szCs w:val="20"/>
          <w:lang w:eastAsia="en-CA"/>
        </w:rPr>
      </w:pPr>
      <w:r w:rsidRPr="008A50EA">
        <w:rPr>
          <w:rFonts w:eastAsia="Times New Roman" w:cs="Times New Roman"/>
          <w:szCs w:val="20"/>
          <w:lang w:eastAsia="en-CA"/>
        </w:rPr>
        <w:t>Present: Wagner C.J. and Brown, Rowe, Martin and Jamal JJ.</w:t>
      </w:r>
    </w:p>
    <w:p w14:paraId="16AFF64C" w14:textId="77777777" w:rsidR="008A50EA" w:rsidRPr="008A50EA" w:rsidRDefault="008A50EA" w:rsidP="008A50EA">
      <w:pPr>
        <w:tabs>
          <w:tab w:val="left" w:pos="1168"/>
        </w:tabs>
        <w:spacing w:after="720"/>
        <w:jc w:val="both"/>
        <w:rPr>
          <w:rFonts w:eastAsia="Times New Roman" w:cs="Times New Roman"/>
          <w:smallCaps/>
          <w:szCs w:val="20"/>
          <w:lang w:eastAsia="en-CA"/>
        </w:rPr>
      </w:pPr>
      <w:r w:rsidRPr="008A50EA">
        <w:rPr>
          <w:rFonts w:eastAsia="Times New Roman" w:cs="Times New Roman"/>
          <w:smallCaps/>
          <w:szCs w:val="20"/>
          <w:lang w:eastAsia="en-CA"/>
        </w:rPr>
        <w:t>on appeal from the court of appeal for ontario</w:t>
      </w:r>
    </w:p>
    <w:p w14:paraId="7788748F" w14:textId="77777777" w:rsidR="008A50EA" w:rsidRPr="008A50EA" w:rsidRDefault="008A50EA" w:rsidP="008A50EA">
      <w:pPr>
        <w:tabs>
          <w:tab w:val="left" w:pos="1168"/>
        </w:tabs>
        <w:spacing w:after="480" w:line="480" w:lineRule="auto"/>
        <w:jc w:val="both"/>
        <w:rPr>
          <w:rFonts w:eastAsia="Times New Roman" w:cs="Times New Roman"/>
          <w:i/>
          <w:iCs/>
          <w:szCs w:val="20"/>
          <w:lang w:val="en-US" w:eastAsia="en-CA"/>
        </w:rPr>
      </w:pPr>
      <w:r w:rsidRPr="008A50EA">
        <w:rPr>
          <w:rFonts w:eastAsia="Times New Roman" w:cs="Times New Roman"/>
          <w:szCs w:val="20"/>
          <w:lang w:eastAsia="en-CA"/>
        </w:rPr>
        <w:tab/>
      </w:r>
      <w:r w:rsidRPr="008A50EA">
        <w:rPr>
          <w:rFonts w:eastAsia="Times New Roman" w:cs="Times New Roman"/>
          <w:i/>
          <w:szCs w:val="20"/>
          <w:lang w:val="en-US" w:eastAsia="en-CA"/>
        </w:rPr>
        <w:t>Constitutional law —</w:t>
      </w:r>
      <w:r w:rsidRPr="008A50EA">
        <w:rPr>
          <w:rFonts w:eastAsia="Times New Roman" w:cs="Times New Roman"/>
          <w:szCs w:val="20"/>
          <w:lang w:val="en-GB" w:eastAsia="en-CA"/>
        </w:rPr>
        <w:t xml:space="preserve"> </w:t>
      </w:r>
      <w:r w:rsidRPr="008A50EA">
        <w:rPr>
          <w:rFonts w:eastAsia="Times New Roman" w:cs="Times New Roman"/>
          <w:i/>
          <w:szCs w:val="20"/>
          <w:lang w:val="en-GB" w:eastAsia="en-CA"/>
        </w:rPr>
        <w:t xml:space="preserve">Charter of Rights — Right to be tried within reasonable </w:t>
      </w:r>
      <w:r w:rsidRPr="008A50EA">
        <w:rPr>
          <w:rFonts w:eastAsia="Times New Roman" w:cs="Times New Roman"/>
          <w:i/>
          <w:iCs/>
          <w:szCs w:val="20"/>
          <w:lang w:val="en-GB" w:eastAsia="en-CA"/>
        </w:rPr>
        <w:t xml:space="preserve">time — Calculation of delay — Accused charged with several offences involving abuse of his wife — </w:t>
      </w:r>
      <w:r w:rsidRPr="008A50EA">
        <w:rPr>
          <w:rFonts w:eastAsia="Times New Roman" w:cs="Times New Roman"/>
          <w:i/>
          <w:iCs/>
          <w:szCs w:val="20"/>
          <w:lang w:val="en-US" w:eastAsia="en-CA"/>
        </w:rPr>
        <w:t xml:space="preserve">Accused applying for stay of proceedings on basis that right to be tried within reasonable time under s. 11(b) of Canadian Charter of Rights and Freedoms infringed </w:t>
      </w:r>
      <w:r w:rsidRPr="008A50EA">
        <w:rPr>
          <w:rFonts w:eastAsia="Times New Roman" w:cs="Times New Roman"/>
          <w:i/>
          <w:iCs/>
          <w:szCs w:val="20"/>
          <w:lang w:val="en-GB" w:eastAsia="en-CA"/>
        </w:rPr>
        <w:t xml:space="preserve">— Trial judge </w:t>
      </w:r>
      <w:r w:rsidRPr="008A50EA">
        <w:rPr>
          <w:rFonts w:eastAsia="Times New Roman" w:cs="Times New Roman"/>
          <w:i/>
          <w:iCs/>
          <w:szCs w:val="20"/>
          <w:lang w:val="en-US" w:eastAsia="en-CA"/>
        </w:rPr>
        <w:t xml:space="preserve">holding that net delay exceeded presumptive ceiling set out in Jordan and staying proceedings — Court of Appeal </w:t>
      </w:r>
      <w:r w:rsidRPr="008A50EA">
        <w:rPr>
          <w:rFonts w:eastAsia="Times New Roman" w:cs="Times New Roman"/>
          <w:i/>
          <w:iCs/>
          <w:szCs w:val="20"/>
          <w:lang w:val="en-GB" w:eastAsia="en-CA"/>
        </w:rPr>
        <w:t>holding that period between</w:t>
      </w:r>
      <w:r w:rsidRPr="008A50EA">
        <w:rPr>
          <w:rFonts w:eastAsia="Times New Roman" w:cs="Times New Roman"/>
          <w:i/>
          <w:iCs/>
          <w:szCs w:val="20"/>
          <w:lang w:val="en-US" w:eastAsia="en-CA"/>
        </w:rPr>
        <w:t xml:space="preserve"> end of evidence and argument at trial and release of decision on stay application should not be included in calculation of delay — Court of Appeal concluding that net delay was below Jordan ceiling and setting aside stay of proceedings —</w:t>
      </w:r>
      <w:r w:rsidRPr="008A50EA">
        <w:rPr>
          <w:rFonts w:eastAsia="Times New Roman" w:cs="Times New Roman"/>
          <w:i/>
          <w:iCs/>
          <w:szCs w:val="20"/>
          <w:lang w:val="en-GB" w:eastAsia="en-CA"/>
        </w:rPr>
        <w:t xml:space="preserve"> </w:t>
      </w:r>
      <w:r w:rsidRPr="008A50EA">
        <w:rPr>
          <w:rFonts w:eastAsia="Times New Roman" w:cs="Times New Roman"/>
          <w:bCs/>
          <w:i/>
          <w:iCs/>
          <w:szCs w:val="20"/>
          <w:lang w:val="en-US" w:eastAsia="en-CA"/>
        </w:rPr>
        <w:t>Court of Appeal’s decision affirmed.</w:t>
      </w:r>
    </w:p>
    <w:p w14:paraId="48EC7F92" w14:textId="77777777" w:rsidR="008A50EA" w:rsidRPr="008A50EA" w:rsidRDefault="008A50EA" w:rsidP="008A50EA">
      <w:pPr>
        <w:widowControl w:val="0"/>
        <w:tabs>
          <w:tab w:val="left" w:pos="1168"/>
        </w:tabs>
        <w:spacing w:after="720"/>
        <w:jc w:val="both"/>
        <w:rPr>
          <w:rFonts w:eastAsia="Times New Roman" w:cs="Times New Roman"/>
          <w:b/>
          <w:szCs w:val="20"/>
          <w:lang w:eastAsia="en-CA"/>
        </w:rPr>
      </w:pPr>
      <w:r w:rsidRPr="008A50EA">
        <w:rPr>
          <w:rFonts w:eastAsia="Times New Roman" w:cs="Times New Roman"/>
          <w:b/>
          <w:szCs w:val="20"/>
          <w:lang w:eastAsia="en-CA"/>
        </w:rPr>
        <w:t>Cases Cited</w:t>
      </w:r>
    </w:p>
    <w:p w14:paraId="33E6D3FD" w14:textId="77777777" w:rsidR="008A50EA" w:rsidRPr="008A50EA" w:rsidRDefault="008A50EA" w:rsidP="008A50EA">
      <w:pPr>
        <w:widowControl w:val="0"/>
        <w:tabs>
          <w:tab w:val="left" w:pos="1168"/>
        </w:tabs>
        <w:spacing w:after="480" w:line="480" w:lineRule="auto"/>
        <w:jc w:val="both"/>
        <w:rPr>
          <w:rFonts w:eastAsia="Times New Roman" w:cs="Times New Roman"/>
          <w:szCs w:val="20"/>
          <w:lang w:eastAsia="en-CA"/>
        </w:rPr>
      </w:pPr>
      <w:r w:rsidRPr="008A50EA">
        <w:rPr>
          <w:rFonts w:eastAsia="Times New Roman" w:cs="Times New Roman"/>
          <w:szCs w:val="20"/>
          <w:lang w:eastAsia="en-CA"/>
        </w:rPr>
        <w:tab/>
      </w:r>
      <w:r w:rsidRPr="008A50EA">
        <w:rPr>
          <w:rFonts w:eastAsia="Times New Roman" w:cs="Times New Roman"/>
          <w:b/>
          <w:szCs w:val="20"/>
          <w:lang w:eastAsia="en-CA"/>
        </w:rPr>
        <w:t>Applied:</w:t>
      </w:r>
      <w:r w:rsidRPr="008A50EA">
        <w:rPr>
          <w:rFonts w:eastAsia="Times New Roman" w:cs="Times New Roman"/>
          <w:szCs w:val="20"/>
          <w:lang w:eastAsia="en-CA"/>
        </w:rPr>
        <w:t xml:space="preserve"> </w:t>
      </w:r>
      <w:r w:rsidRPr="008A50EA">
        <w:rPr>
          <w:rFonts w:eastAsia="Times New Roman" w:cs="Times New Roman"/>
          <w:i/>
          <w:szCs w:val="20"/>
          <w:lang w:eastAsia="en-CA"/>
        </w:rPr>
        <w:t>R. v. K.G.K.</w:t>
      </w:r>
      <w:r w:rsidRPr="008A50EA">
        <w:rPr>
          <w:rFonts w:eastAsia="Times New Roman" w:cs="Times New Roman"/>
          <w:szCs w:val="20"/>
          <w:lang w:eastAsia="en-CA"/>
        </w:rPr>
        <w:t xml:space="preserve">, 2020 SCC 7, [2020] 1 S.C.R. 364; </w:t>
      </w:r>
      <w:r w:rsidRPr="008A50EA">
        <w:rPr>
          <w:rFonts w:eastAsia="Times New Roman" w:cs="Times New Roman"/>
          <w:b/>
          <w:szCs w:val="20"/>
          <w:lang w:eastAsia="en-CA"/>
        </w:rPr>
        <w:t>referred to:</w:t>
      </w:r>
      <w:r w:rsidRPr="008A50EA">
        <w:rPr>
          <w:rFonts w:eastAsia="Times New Roman" w:cs="Times New Roman"/>
          <w:szCs w:val="20"/>
          <w:lang w:eastAsia="en-CA"/>
        </w:rPr>
        <w:t xml:space="preserve"> </w:t>
      </w:r>
      <w:r w:rsidRPr="008A50EA">
        <w:rPr>
          <w:rFonts w:eastAsia="Times New Roman" w:cs="Times New Roman"/>
          <w:i/>
          <w:szCs w:val="20"/>
          <w:lang w:val="en-US" w:eastAsia="en-CA"/>
        </w:rPr>
        <w:t xml:space="preserve">R. </w:t>
      </w:r>
      <w:r w:rsidRPr="008A50EA">
        <w:rPr>
          <w:rFonts w:eastAsia="Times New Roman" w:cs="Times New Roman"/>
          <w:i/>
          <w:iCs/>
          <w:szCs w:val="20"/>
          <w:lang w:val="en-US" w:eastAsia="en-CA"/>
        </w:rPr>
        <w:t xml:space="preserve">v. </w:t>
      </w:r>
      <w:r w:rsidRPr="008A50EA">
        <w:rPr>
          <w:rFonts w:eastAsia="Times New Roman" w:cs="Times New Roman"/>
          <w:i/>
          <w:szCs w:val="20"/>
          <w:lang w:val="en-US" w:eastAsia="en-CA"/>
        </w:rPr>
        <w:t>J.F.</w:t>
      </w:r>
      <w:r w:rsidRPr="008A50EA">
        <w:rPr>
          <w:rFonts w:eastAsia="Times New Roman" w:cs="Times New Roman"/>
          <w:szCs w:val="20"/>
          <w:lang w:val="en-US" w:eastAsia="en-CA"/>
        </w:rPr>
        <w:t>, 2022 SCC 17.</w:t>
      </w:r>
    </w:p>
    <w:p w14:paraId="395F637B" w14:textId="77777777" w:rsidR="008A50EA" w:rsidRPr="008A50EA" w:rsidRDefault="008A50EA" w:rsidP="008A50EA">
      <w:pPr>
        <w:tabs>
          <w:tab w:val="left" w:pos="1168"/>
        </w:tabs>
        <w:spacing w:after="720"/>
        <w:jc w:val="both"/>
        <w:rPr>
          <w:rFonts w:eastAsia="Times New Roman" w:cs="Times New Roman"/>
          <w:szCs w:val="20"/>
          <w:lang w:eastAsia="en-CA"/>
        </w:rPr>
      </w:pPr>
      <w:r w:rsidRPr="008A50EA">
        <w:rPr>
          <w:rFonts w:eastAsia="Times New Roman" w:cs="Times New Roman"/>
          <w:b/>
          <w:szCs w:val="20"/>
          <w:lang w:eastAsia="en-CA"/>
        </w:rPr>
        <w:t>Statutes and Regulations Cited</w:t>
      </w:r>
    </w:p>
    <w:p w14:paraId="1B7845F8" w14:textId="77777777" w:rsidR="008A50EA" w:rsidRPr="008A50EA" w:rsidRDefault="008A50EA" w:rsidP="008A50EA">
      <w:pPr>
        <w:tabs>
          <w:tab w:val="left" w:pos="1168"/>
        </w:tabs>
        <w:spacing w:after="720"/>
        <w:ind w:left="540" w:hanging="540"/>
        <w:jc w:val="both"/>
        <w:rPr>
          <w:rFonts w:eastAsia="Times New Roman" w:cs="Times New Roman"/>
          <w:szCs w:val="20"/>
          <w:lang w:eastAsia="en-CA"/>
        </w:rPr>
      </w:pPr>
      <w:r w:rsidRPr="008A50EA">
        <w:rPr>
          <w:rFonts w:eastAsia="Times New Roman" w:cs="Times New Roman"/>
          <w:i/>
          <w:szCs w:val="20"/>
          <w:lang w:eastAsia="en-CA"/>
        </w:rPr>
        <w:t>Canadian Charter of Rights and Freedoms</w:t>
      </w:r>
      <w:r w:rsidRPr="008A50EA">
        <w:rPr>
          <w:rFonts w:eastAsia="Times New Roman" w:cs="Times New Roman"/>
          <w:szCs w:val="20"/>
          <w:lang w:eastAsia="en-CA"/>
        </w:rPr>
        <w:t>, s. 11(b).</w:t>
      </w:r>
    </w:p>
    <w:p w14:paraId="7020FE3A" w14:textId="77777777" w:rsidR="008A50EA" w:rsidRPr="008A50EA" w:rsidRDefault="008A50EA" w:rsidP="008A50EA">
      <w:pPr>
        <w:tabs>
          <w:tab w:val="left" w:pos="1168"/>
        </w:tabs>
        <w:spacing w:after="480" w:line="480" w:lineRule="auto"/>
        <w:jc w:val="both"/>
        <w:rPr>
          <w:rFonts w:eastAsia="Times New Roman" w:cs="Times New Roman"/>
          <w:szCs w:val="20"/>
          <w:lang w:eastAsia="en-CA"/>
        </w:rPr>
      </w:pPr>
      <w:r w:rsidRPr="008A50EA">
        <w:rPr>
          <w:rFonts w:eastAsia="Times New Roman" w:cs="Times New Roman"/>
          <w:szCs w:val="20"/>
          <w:lang w:eastAsia="en-CA"/>
        </w:rPr>
        <w:tab/>
        <w:t xml:space="preserve">APPEAL from a judgment of the Ontario Court of Appeal (Feldman, Gillese and Miller JJ.A.), </w:t>
      </w:r>
      <w:hyperlink r:id="rId10" w:history="1">
        <w:r w:rsidRPr="008A50EA">
          <w:rPr>
            <w:rFonts w:eastAsia="Times New Roman" w:cs="Times New Roman"/>
            <w:color w:val="660000"/>
            <w:szCs w:val="20"/>
            <w:lang w:eastAsia="en-CA"/>
          </w:rPr>
          <w:t>2021 ONCA 207</w:t>
        </w:r>
      </w:hyperlink>
      <w:r w:rsidRPr="008A50EA">
        <w:rPr>
          <w:rFonts w:eastAsia="Times New Roman" w:cs="Times New Roman"/>
          <w:szCs w:val="20"/>
          <w:lang w:eastAsia="en-CA"/>
        </w:rPr>
        <w:t>, 469 D.L.R. (4th) 447, 403 C.C.C. (3d) 91, [2021] O.J. No. 1625 (QL), 2021 CarswellOnt 4322 (WL), setting aside the stay of proceedings entered by Goodman J., 2018 ONSC 7067, 423 C.R.R. (2d) 98, [2018] O.J. No. 6328 (QL), 2018 CarswellOnt 20274 (WL), and remitting the matter for verdict. Appeal dismissed.</w:t>
      </w:r>
    </w:p>
    <w:p w14:paraId="3CC5EDAF" w14:textId="77777777" w:rsidR="008A50EA" w:rsidRPr="008A50EA" w:rsidRDefault="008A50EA" w:rsidP="008A50EA">
      <w:pPr>
        <w:tabs>
          <w:tab w:val="left" w:pos="1168"/>
        </w:tabs>
        <w:spacing w:after="480" w:line="480" w:lineRule="auto"/>
        <w:jc w:val="both"/>
        <w:rPr>
          <w:rFonts w:eastAsia="Times New Roman" w:cs="Times New Roman"/>
          <w:szCs w:val="20"/>
          <w:lang w:eastAsia="en-CA"/>
        </w:rPr>
      </w:pPr>
      <w:r w:rsidRPr="008A50EA">
        <w:rPr>
          <w:rFonts w:eastAsia="Times New Roman" w:cs="Times New Roman"/>
          <w:i/>
          <w:szCs w:val="20"/>
          <w:lang w:eastAsia="en-CA"/>
        </w:rPr>
        <w:tab/>
        <w:t>Nader R. Hasan</w:t>
      </w:r>
      <w:r w:rsidRPr="008A50EA">
        <w:rPr>
          <w:rFonts w:eastAsia="Times New Roman" w:cs="Times New Roman"/>
          <w:szCs w:val="20"/>
          <w:lang w:eastAsia="en-CA"/>
        </w:rPr>
        <w:t xml:space="preserve"> and </w:t>
      </w:r>
      <w:r w:rsidRPr="008A50EA">
        <w:rPr>
          <w:rFonts w:eastAsia="Times New Roman" w:cs="Times New Roman"/>
          <w:i/>
          <w:szCs w:val="20"/>
          <w:lang w:eastAsia="en-CA"/>
        </w:rPr>
        <w:t>Caitlin Milne</w:t>
      </w:r>
      <w:r w:rsidRPr="008A50EA">
        <w:rPr>
          <w:rFonts w:eastAsia="Times New Roman" w:cs="Times New Roman"/>
          <w:szCs w:val="20"/>
          <w:lang w:eastAsia="en-CA"/>
        </w:rPr>
        <w:t>, for the appellant.</w:t>
      </w:r>
    </w:p>
    <w:p w14:paraId="103C1ABC" w14:textId="77777777" w:rsidR="008A50EA" w:rsidRPr="008A50EA" w:rsidRDefault="008A50EA" w:rsidP="008A50EA">
      <w:pPr>
        <w:tabs>
          <w:tab w:val="left" w:pos="1168"/>
        </w:tabs>
        <w:spacing w:after="480" w:line="480" w:lineRule="auto"/>
        <w:jc w:val="both"/>
        <w:rPr>
          <w:rFonts w:eastAsia="Times New Roman" w:cs="Times New Roman"/>
          <w:szCs w:val="20"/>
          <w:lang w:eastAsia="en-CA"/>
        </w:rPr>
      </w:pPr>
      <w:r w:rsidRPr="008A50EA">
        <w:rPr>
          <w:rFonts w:eastAsia="Times New Roman" w:cs="Times New Roman"/>
          <w:i/>
          <w:szCs w:val="20"/>
          <w:lang w:eastAsia="en-CA"/>
        </w:rPr>
        <w:tab/>
        <w:t>Tracy Kozlowski</w:t>
      </w:r>
      <w:r w:rsidRPr="008A50EA">
        <w:rPr>
          <w:rFonts w:eastAsia="Times New Roman" w:cs="Times New Roman"/>
          <w:szCs w:val="20"/>
          <w:lang w:eastAsia="en-CA"/>
        </w:rPr>
        <w:t>, for the respondent.</w:t>
      </w:r>
    </w:p>
    <w:p w14:paraId="6CDA4EB3" w14:textId="77777777" w:rsidR="008A50EA" w:rsidRPr="008A50EA" w:rsidRDefault="008A50EA" w:rsidP="008A50EA">
      <w:pPr>
        <w:tabs>
          <w:tab w:val="left" w:pos="1168"/>
        </w:tabs>
        <w:spacing w:after="480" w:line="480" w:lineRule="auto"/>
        <w:jc w:val="both"/>
        <w:rPr>
          <w:rFonts w:eastAsia="Times New Roman" w:cs="Times New Roman"/>
          <w:szCs w:val="20"/>
          <w:lang w:eastAsia="en-CA"/>
        </w:rPr>
      </w:pPr>
      <w:r w:rsidRPr="008A50EA">
        <w:rPr>
          <w:rFonts w:eastAsia="Times New Roman" w:cs="Times New Roman"/>
          <w:szCs w:val="20"/>
          <w:lang w:eastAsia="en-CA"/>
        </w:rPr>
        <w:tab/>
        <w:t>The judgment of the Court was delivered orally by</w:t>
      </w:r>
    </w:p>
    <w:p w14:paraId="0E0A0FE8" w14:textId="77777777" w:rsidR="008A50EA" w:rsidRPr="008A50EA" w:rsidRDefault="008A50EA" w:rsidP="008A50EA">
      <w:pPr>
        <w:tabs>
          <w:tab w:val="num" w:pos="1152"/>
        </w:tabs>
        <w:spacing w:before="480" w:after="480" w:line="480" w:lineRule="auto"/>
        <w:jc w:val="both"/>
        <w:rPr>
          <w:rFonts w:eastAsiaTheme="minorEastAsia"/>
          <w:color w:val="000000"/>
          <w:szCs w:val="22"/>
        </w:rPr>
      </w:pPr>
      <w:r w:rsidRPr="008A50EA">
        <w:rPr>
          <w:rFonts w:eastAsiaTheme="minorEastAsia"/>
          <w:szCs w:val="22"/>
        </w:rPr>
        <w:t>[1]</w:t>
      </w:r>
      <w:r w:rsidRPr="008A50EA">
        <w:rPr>
          <w:rFonts w:eastAsiaTheme="minorEastAsia"/>
          <w:szCs w:val="22"/>
        </w:rPr>
        <w:tab/>
      </w:r>
      <w:r w:rsidRPr="008A50EA">
        <w:rPr>
          <w:rFonts w:eastAsiaTheme="minorEastAsia"/>
          <w:smallCaps/>
          <w:szCs w:val="22"/>
        </w:rPr>
        <w:t xml:space="preserve">Brown J. </w:t>
      </w:r>
      <w:r w:rsidRPr="008A50EA">
        <w:rPr>
          <w:rFonts w:eastAsiaTheme="minorEastAsia"/>
          <w:szCs w:val="22"/>
        </w:rPr>
        <w:t xml:space="preserve">— </w:t>
      </w:r>
      <w:r w:rsidRPr="008A50EA">
        <w:rPr>
          <w:rFonts w:eastAsiaTheme="minorEastAsia"/>
          <w:color w:val="000000"/>
          <w:szCs w:val="22"/>
        </w:rPr>
        <w:t xml:space="preserve">The appellant, Syed Adeel Safdar, was tried for offences related to the abuse of his wife. At the conclusion of evidence and submissions, he applied for a stay based on a breach of his right under </w:t>
      </w:r>
      <w:r w:rsidRPr="008A50EA">
        <w:rPr>
          <w:rFonts w:eastAsiaTheme="majorEastAsia"/>
          <w:szCs w:val="22"/>
        </w:rPr>
        <w:t xml:space="preserve">s. 11(b) </w:t>
      </w:r>
      <w:r w:rsidRPr="008A50EA">
        <w:rPr>
          <w:rFonts w:eastAsiaTheme="minorEastAsia"/>
          <w:color w:val="000000"/>
          <w:szCs w:val="22"/>
        </w:rPr>
        <w:t xml:space="preserve">of the </w:t>
      </w:r>
      <w:r w:rsidRPr="008A50EA">
        <w:rPr>
          <w:rFonts w:eastAsiaTheme="majorEastAsia"/>
          <w:i/>
          <w:iCs/>
          <w:color w:val="000000"/>
          <w:szCs w:val="22"/>
        </w:rPr>
        <w:t xml:space="preserve">Canadian Charter of Rights and Freedoms </w:t>
      </w:r>
      <w:r w:rsidRPr="008A50EA">
        <w:rPr>
          <w:rFonts w:eastAsiaTheme="minorEastAsia"/>
          <w:color w:val="000000"/>
          <w:szCs w:val="22"/>
        </w:rPr>
        <w:t>to be tried within a reasonable time. The trial judge heard the application while preparing his decision on the trial proper, then reserved that decision and granted the stay. In his reasons for ordering a stay, he also advised that he had completed his reserved trial decision, which remained under seal pending the outcome of any appeal from his stay order.</w:t>
      </w:r>
    </w:p>
    <w:p w14:paraId="3310F9E5" w14:textId="77777777" w:rsidR="008A50EA" w:rsidRPr="008A50EA" w:rsidRDefault="008A50EA" w:rsidP="008A50EA">
      <w:pPr>
        <w:tabs>
          <w:tab w:val="num" w:pos="1152"/>
        </w:tabs>
        <w:spacing w:after="480" w:line="480" w:lineRule="auto"/>
        <w:jc w:val="both"/>
        <w:rPr>
          <w:rFonts w:eastAsiaTheme="minorEastAsia"/>
          <w:szCs w:val="22"/>
        </w:rPr>
      </w:pPr>
      <w:r w:rsidRPr="008A50EA">
        <w:rPr>
          <w:rFonts w:eastAsiaTheme="minorEastAsia"/>
          <w:szCs w:val="22"/>
        </w:rPr>
        <w:t>[2]</w:t>
      </w:r>
      <w:r w:rsidRPr="008A50EA">
        <w:rPr>
          <w:rFonts w:eastAsiaTheme="minorEastAsia"/>
          <w:szCs w:val="22"/>
        </w:rPr>
        <w:tab/>
      </w:r>
      <w:r w:rsidRPr="008A50EA">
        <w:rPr>
          <w:rFonts w:eastAsiaTheme="minorEastAsia"/>
          <w:color w:val="000000"/>
          <w:szCs w:val="22"/>
        </w:rPr>
        <w:t xml:space="preserve">The Crown appealed the stay order, arguing that, on the authority of this Court’s decision in </w:t>
      </w:r>
      <w:r w:rsidRPr="008A50EA">
        <w:rPr>
          <w:rFonts w:eastAsiaTheme="minorEastAsia"/>
          <w:i/>
          <w:iCs/>
          <w:color w:val="000000"/>
          <w:szCs w:val="22"/>
        </w:rPr>
        <w:t>R. v. K.G.K.</w:t>
      </w:r>
      <w:r w:rsidRPr="008A50EA">
        <w:rPr>
          <w:rFonts w:eastAsiaTheme="minorEastAsia"/>
          <w:color w:val="000000"/>
          <w:szCs w:val="22"/>
        </w:rPr>
        <w:t>, 2020 SCC 7, [2020] 1 S.C.R. 364 (which was not available to the trial judge), the trial judge had erred by including as part of the total delay the period from the end of the evidence and argument to the release of the stay decision. Absent that error, the total delay fell under 30 months. The Court of Appeal for Ontario agreed, set aside the stay order and referred the matter back to the trial judge to release his decision on the trial proper. Mr. Safdar now appeals the Court of Appeal’s decision to this Court.</w:t>
      </w:r>
    </w:p>
    <w:p w14:paraId="2D4F8C07" w14:textId="77777777" w:rsidR="008A50EA" w:rsidRPr="008A50EA" w:rsidRDefault="008A50EA" w:rsidP="008A50EA">
      <w:pPr>
        <w:tabs>
          <w:tab w:val="num" w:pos="1152"/>
        </w:tabs>
        <w:spacing w:after="480" w:line="480" w:lineRule="auto"/>
        <w:jc w:val="both"/>
        <w:rPr>
          <w:rFonts w:eastAsiaTheme="minorEastAsia"/>
          <w:szCs w:val="22"/>
        </w:rPr>
      </w:pPr>
      <w:r w:rsidRPr="008A50EA">
        <w:rPr>
          <w:rFonts w:eastAsiaTheme="minorEastAsia"/>
          <w:szCs w:val="22"/>
        </w:rPr>
        <w:t>[3]</w:t>
      </w:r>
      <w:r w:rsidRPr="008A50EA">
        <w:rPr>
          <w:rFonts w:eastAsiaTheme="minorEastAsia"/>
          <w:szCs w:val="22"/>
        </w:rPr>
        <w:tab/>
      </w:r>
      <w:r w:rsidRPr="008A50EA">
        <w:rPr>
          <w:rFonts w:eastAsiaTheme="minorEastAsia"/>
          <w:color w:val="000000"/>
          <w:szCs w:val="22"/>
        </w:rPr>
        <w:t xml:space="preserve">We agree with the Court of Appeal that </w:t>
      </w:r>
      <w:r w:rsidRPr="008A50EA">
        <w:rPr>
          <w:rFonts w:eastAsiaTheme="minorEastAsia"/>
          <w:i/>
          <w:iCs/>
          <w:color w:val="000000"/>
          <w:szCs w:val="22"/>
        </w:rPr>
        <w:t xml:space="preserve">K.G.K. </w:t>
      </w:r>
      <w:r w:rsidRPr="008A50EA">
        <w:rPr>
          <w:rFonts w:eastAsiaTheme="minorEastAsia"/>
          <w:color w:val="000000"/>
          <w:szCs w:val="22"/>
        </w:rPr>
        <w:t xml:space="preserve">is dispositive of the central issue in this appeal. For the purposes of determining whether the total delay exceeded the </w:t>
      </w:r>
      <w:r w:rsidRPr="008A50EA">
        <w:rPr>
          <w:rFonts w:eastAsiaTheme="minorEastAsia"/>
          <w:i/>
          <w:iCs/>
          <w:color w:val="000000"/>
          <w:szCs w:val="22"/>
        </w:rPr>
        <w:t>Jordan</w:t>
      </w:r>
      <w:r w:rsidRPr="008A50EA">
        <w:rPr>
          <w:rFonts w:eastAsiaTheme="minorEastAsia"/>
          <w:color w:val="000000"/>
          <w:szCs w:val="22"/>
        </w:rPr>
        <w:t xml:space="preserve"> presumptive ceiling, the time between the conclusion of evidence and argument, and the bringing of the s. 11(b) application in this case, should not have been counted (</w:t>
      </w:r>
      <w:r w:rsidRPr="008A50EA">
        <w:rPr>
          <w:rFonts w:eastAsiaTheme="minorEastAsia"/>
          <w:i/>
          <w:iCs/>
          <w:color w:val="000000"/>
          <w:szCs w:val="22"/>
        </w:rPr>
        <w:t>K.G.K.</w:t>
      </w:r>
      <w:r w:rsidRPr="008A50EA">
        <w:rPr>
          <w:rFonts w:eastAsiaTheme="minorEastAsia"/>
          <w:color w:val="000000"/>
          <w:szCs w:val="22"/>
        </w:rPr>
        <w:t xml:space="preserve">, at paras. 31 and 33; </w:t>
      </w:r>
      <w:r w:rsidRPr="008A50EA">
        <w:rPr>
          <w:rFonts w:eastAsiaTheme="minorEastAsia"/>
          <w:i/>
          <w:iCs/>
          <w:color w:val="000000"/>
          <w:szCs w:val="22"/>
        </w:rPr>
        <w:t>R. v. J.F.</w:t>
      </w:r>
      <w:r w:rsidRPr="008A50EA">
        <w:rPr>
          <w:rFonts w:eastAsiaTheme="minorEastAsia"/>
          <w:color w:val="000000"/>
          <w:szCs w:val="22"/>
        </w:rPr>
        <w:t>, 2022 SCC 17, at para. 27).</w:t>
      </w:r>
    </w:p>
    <w:p w14:paraId="5FBBA71B" w14:textId="77777777" w:rsidR="008A50EA" w:rsidRPr="008A50EA" w:rsidRDefault="008A50EA" w:rsidP="008A50EA">
      <w:pPr>
        <w:tabs>
          <w:tab w:val="num" w:pos="1152"/>
        </w:tabs>
        <w:spacing w:after="480" w:line="480" w:lineRule="auto"/>
        <w:jc w:val="both"/>
        <w:rPr>
          <w:rFonts w:eastAsiaTheme="minorEastAsia"/>
          <w:szCs w:val="22"/>
        </w:rPr>
      </w:pPr>
      <w:r w:rsidRPr="008A50EA">
        <w:rPr>
          <w:rFonts w:eastAsiaTheme="minorEastAsia"/>
          <w:szCs w:val="22"/>
        </w:rPr>
        <w:t>[4]</w:t>
      </w:r>
      <w:r w:rsidRPr="008A50EA">
        <w:rPr>
          <w:rFonts w:eastAsiaTheme="minorEastAsia"/>
          <w:szCs w:val="22"/>
        </w:rPr>
        <w:tab/>
      </w:r>
      <w:r w:rsidRPr="008A50EA">
        <w:rPr>
          <w:rFonts w:eastAsiaTheme="minorEastAsia"/>
          <w:color w:val="000000"/>
          <w:szCs w:val="22"/>
        </w:rPr>
        <w:t>Nor, in our view, and despite Mr. Hasan’s able submissions before us, has Mr. Safdar established that the total delay of 29.25 months was markedly longer than reasonable delay in the broader context of the trial (</w:t>
      </w:r>
      <w:r w:rsidRPr="008A50EA">
        <w:rPr>
          <w:rFonts w:eastAsiaTheme="minorEastAsia"/>
          <w:i/>
          <w:iCs/>
          <w:color w:val="000000"/>
          <w:szCs w:val="22"/>
        </w:rPr>
        <w:t>K.G.K.</w:t>
      </w:r>
      <w:r w:rsidRPr="008A50EA">
        <w:rPr>
          <w:rFonts w:eastAsiaTheme="minorEastAsia"/>
          <w:color w:val="000000"/>
          <w:szCs w:val="22"/>
        </w:rPr>
        <w:t>, at paras. 3, 23 and 54</w:t>
      </w:r>
      <w:r w:rsidRPr="008A50EA">
        <w:rPr>
          <w:rFonts w:eastAsiaTheme="minorEastAsia"/>
          <w:color w:val="000000"/>
          <w:szCs w:val="22"/>
        </w:rPr>
        <w:noBreakHyphen/>
        <w:t>55), taking into account the length of time taken for the application, the moderate complexity of the case, and other institutional factors that he raises (</w:t>
      </w:r>
      <w:r w:rsidRPr="008A50EA">
        <w:rPr>
          <w:rFonts w:eastAsiaTheme="minorEastAsia"/>
          <w:i/>
          <w:iCs/>
          <w:color w:val="000000"/>
          <w:szCs w:val="22"/>
        </w:rPr>
        <w:t>K.G.K.</w:t>
      </w:r>
      <w:r w:rsidRPr="008A50EA">
        <w:rPr>
          <w:rFonts w:eastAsiaTheme="minorEastAsia"/>
          <w:color w:val="000000"/>
          <w:szCs w:val="22"/>
        </w:rPr>
        <w:t>, at paras. 65 and 68</w:t>
      </w:r>
      <w:r w:rsidRPr="008A50EA">
        <w:rPr>
          <w:rFonts w:eastAsiaTheme="minorEastAsia"/>
          <w:color w:val="000000"/>
          <w:szCs w:val="22"/>
        </w:rPr>
        <w:noBreakHyphen/>
        <w:t>72).</w:t>
      </w:r>
    </w:p>
    <w:p w14:paraId="3D06AA59" w14:textId="77777777" w:rsidR="008A50EA" w:rsidRPr="008A50EA" w:rsidRDefault="008A50EA" w:rsidP="008A50EA">
      <w:pPr>
        <w:tabs>
          <w:tab w:val="num" w:pos="1152"/>
        </w:tabs>
        <w:spacing w:after="480" w:line="480" w:lineRule="auto"/>
        <w:jc w:val="both"/>
        <w:rPr>
          <w:rFonts w:eastAsiaTheme="minorEastAsia"/>
          <w:szCs w:val="22"/>
        </w:rPr>
      </w:pPr>
      <w:r w:rsidRPr="008A50EA">
        <w:rPr>
          <w:rFonts w:eastAsiaTheme="minorEastAsia"/>
          <w:szCs w:val="22"/>
        </w:rPr>
        <w:t>[5]</w:t>
      </w:r>
      <w:r w:rsidRPr="008A50EA">
        <w:rPr>
          <w:rFonts w:eastAsiaTheme="minorEastAsia"/>
          <w:szCs w:val="22"/>
        </w:rPr>
        <w:tab/>
      </w:r>
      <w:r w:rsidRPr="008A50EA">
        <w:rPr>
          <w:rFonts w:eastAsiaTheme="minorEastAsia"/>
          <w:color w:val="000000"/>
          <w:szCs w:val="22"/>
        </w:rPr>
        <w:t>We also agree with the Court of Appeal’s disposition of the other issues raised by Mr. Safdar in this appeal, substantially for the reasons it gives.</w:t>
      </w:r>
    </w:p>
    <w:p w14:paraId="43C1F59E" w14:textId="77777777" w:rsidR="008A50EA" w:rsidRPr="008A50EA" w:rsidRDefault="008A50EA" w:rsidP="008A50EA">
      <w:pPr>
        <w:tabs>
          <w:tab w:val="num" w:pos="1152"/>
        </w:tabs>
        <w:spacing w:after="480" w:line="480" w:lineRule="auto"/>
        <w:jc w:val="both"/>
        <w:rPr>
          <w:rFonts w:eastAsiaTheme="minorEastAsia"/>
          <w:szCs w:val="22"/>
        </w:rPr>
      </w:pPr>
      <w:r w:rsidRPr="008A50EA">
        <w:rPr>
          <w:rFonts w:eastAsiaTheme="minorEastAsia"/>
          <w:szCs w:val="22"/>
        </w:rPr>
        <w:t>[6]</w:t>
      </w:r>
      <w:r w:rsidRPr="008A50EA">
        <w:rPr>
          <w:rFonts w:eastAsiaTheme="minorEastAsia"/>
          <w:szCs w:val="22"/>
        </w:rPr>
        <w:tab/>
      </w:r>
      <w:r w:rsidRPr="008A50EA">
        <w:rPr>
          <w:rFonts w:eastAsiaTheme="minorEastAsia"/>
          <w:color w:val="000000"/>
          <w:szCs w:val="22"/>
        </w:rPr>
        <w:t>The appeal is dismissed.</w:t>
      </w:r>
    </w:p>
    <w:p w14:paraId="02F88DB6" w14:textId="77777777" w:rsidR="008A50EA" w:rsidRPr="008A50EA" w:rsidRDefault="008A50EA" w:rsidP="008A50EA">
      <w:pPr>
        <w:tabs>
          <w:tab w:val="left" w:pos="1168"/>
        </w:tabs>
        <w:spacing w:after="480" w:line="480" w:lineRule="auto"/>
        <w:jc w:val="both"/>
        <w:rPr>
          <w:rFonts w:eastAsia="Times New Roman" w:cs="Times New Roman"/>
          <w:i/>
          <w:szCs w:val="20"/>
          <w:lang w:eastAsia="en-CA"/>
        </w:rPr>
      </w:pPr>
      <w:r w:rsidRPr="008A50EA">
        <w:rPr>
          <w:rFonts w:eastAsia="Times New Roman" w:cs="Times New Roman"/>
          <w:i/>
          <w:szCs w:val="20"/>
          <w:lang w:eastAsia="en-CA"/>
        </w:rPr>
        <w:tab/>
        <w:t>Judgment accordingly.</w:t>
      </w:r>
    </w:p>
    <w:p w14:paraId="14613465" w14:textId="77777777" w:rsidR="008A50EA" w:rsidRPr="008A50EA" w:rsidRDefault="008A50EA" w:rsidP="008A50EA">
      <w:pPr>
        <w:tabs>
          <w:tab w:val="left" w:pos="1168"/>
        </w:tabs>
        <w:spacing w:after="480" w:line="480" w:lineRule="auto"/>
        <w:jc w:val="both"/>
        <w:rPr>
          <w:rFonts w:eastAsia="Times New Roman" w:cs="Times New Roman"/>
          <w:i/>
          <w:szCs w:val="20"/>
          <w:lang w:eastAsia="en-CA"/>
        </w:rPr>
      </w:pPr>
      <w:r w:rsidRPr="008A50EA">
        <w:rPr>
          <w:rFonts w:eastAsia="Times New Roman" w:cs="Times New Roman"/>
          <w:i/>
          <w:szCs w:val="20"/>
          <w:lang w:eastAsia="en-CA"/>
        </w:rPr>
        <w:tab/>
        <w:t>Solicitors for the appellant: Stockwoods, Toronto.</w:t>
      </w:r>
    </w:p>
    <w:p w14:paraId="7023BFC9" w14:textId="77777777" w:rsidR="008A50EA" w:rsidRPr="008A50EA" w:rsidRDefault="008A50EA" w:rsidP="008A50EA">
      <w:pPr>
        <w:tabs>
          <w:tab w:val="left" w:pos="1168"/>
        </w:tabs>
        <w:spacing w:after="480" w:line="480" w:lineRule="auto"/>
        <w:jc w:val="both"/>
        <w:rPr>
          <w:rFonts w:eastAsia="Times New Roman" w:cs="Times New Roman"/>
          <w:i/>
          <w:szCs w:val="20"/>
          <w:lang w:eastAsia="en-CA"/>
        </w:rPr>
      </w:pPr>
      <w:r w:rsidRPr="008A50EA">
        <w:rPr>
          <w:rFonts w:eastAsia="Times New Roman" w:cs="Times New Roman"/>
          <w:i/>
          <w:szCs w:val="20"/>
          <w:lang w:eastAsia="en-CA"/>
        </w:rPr>
        <w:tab/>
        <w:t>Solicitor for the respondent: Attorney General of Ontario, Toronto.</w:t>
      </w:r>
    </w:p>
    <w:p w14:paraId="33244BB2" w14:textId="77777777" w:rsidR="008A50EA" w:rsidRPr="00874D34" w:rsidRDefault="008A50EA"/>
    <w:sectPr w:rsidR="008A50EA" w:rsidRPr="00874D34"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ED56B" w14:textId="77777777" w:rsidR="00EF0E44" w:rsidRDefault="00EF0E44" w:rsidP="00F72014">
      <w:r>
        <w:separator/>
      </w:r>
    </w:p>
  </w:endnote>
  <w:endnote w:type="continuationSeparator" w:id="0">
    <w:p w14:paraId="116371E5" w14:textId="77777777"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D8C41" w14:textId="77777777" w:rsidR="00EF0E44" w:rsidRDefault="00EF0E44" w:rsidP="00F72014">
      <w:r>
        <w:separator/>
      </w:r>
    </w:p>
  </w:footnote>
  <w:footnote w:type="continuationSeparator" w:id="0">
    <w:p w14:paraId="5B0BD133" w14:textId="77777777" w:rsidR="00EF0E44" w:rsidRDefault="00EF0E44" w:rsidP="00F7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5AF7"/>
    <w:multiLevelType w:val="hybridMultilevel"/>
    <w:tmpl w:val="EC0C3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206FC"/>
    <w:rsid w:val="0003087F"/>
    <w:rsid w:val="00076773"/>
    <w:rsid w:val="00087E50"/>
    <w:rsid w:val="001311DA"/>
    <w:rsid w:val="001412E4"/>
    <w:rsid w:val="001648D4"/>
    <w:rsid w:val="001B0985"/>
    <w:rsid w:val="001B27ED"/>
    <w:rsid w:val="001B299D"/>
    <w:rsid w:val="001D6B8C"/>
    <w:rsid w:val="001F1F83"/>
    <w:rsid w:val="001F3E0C"/>
    <w:rsid w:val="00205C5C"/>
    <w:rsid w:val="00205C5D"/>
    <w:rsid w:val="00246AAB"/>
    <w:rsid w:val="00252460"/>
    <w:rsid w:val="002710EC"/>
    <w:rsid w:val="00273D07"/>
    <w:rsid w:val="00283C46"/>
    <w:rsid w:val="0028675F"/>
    <w:rsid w:val="00294F3E"/>
    <w:rsid w:val="002C1DA9"/>
    <w:rsid w:val="002C5A33"/>
    <w:rsid w:val="002C7082"/>
    <w:rsid w:val="002D10DD"/>
    <w:rsid w:val="002D4FC9"/>
    <w:rsid w:val="00307011"/>
    <w:rsid w:val="00310E87"/>
    <w:rsid w:val="00324391"/>
    <w:rsid w:val="00355967"/>
    <w:rsid w:val="003574A0"/>
    <w:rsid w:val="00376245"/>
    <w:rsid w:val="00384384"/>
    <w:rsid w:val="003B2BE1"/>
    <w:rsid w:val="003B3C63"/>
    <w:rsid w:val="00451668"/>
    <w:rsid w:val="00460AFC"/>
    <w:rsid w:val="004C5EBA"/>
    <w:rsid w:val="004C794F"/>
    <w:rsid w:val="004E25A2"/>
    <w:rsid w:val="004E69EC"/>
    <w:rsid w:val="004F090E"/>
    <w:rsid w:val="005054B1"/>
    <w:rsid w:val="00524C08"/>
    <w:rsid w:val="00540106"/>
    <w:rsid w:val="00564C88"/>
    <w:rsid w:val="00582136"/>
    <w:rsid w:val="005B1409"/>
    <w:rsid w:val="005D2CFA"/>
    <w:rsid w:val="005D4801"/>
    <w:rsid w:val="0061259C"/>
    <w:rsid w:val="006274DE"/>
    <w:rsid w:val="00642091"/>
    <w:rsid w:val="006859D1"/>
    <w:rsid w:val="00693B4B"/>
    <w:rsid w:val="006B210C"/>
    <w:rsid w:val="006C61CA"/>
    <w:rsid w:val="006F400D"/>
    <w:rsid w:val="00701ABD"/>
    <w:rsid w:val="00714DAB"/>
    <w:rsid w:val="007740CA"/>
    <w:rsid w:val="00815561"/>
    <w:rsid w:val="00842677"/>
    <w:rsid w:val="00843369"/>
    <w:rsid w:val="00852D4E"/>
    <w:rsid w:val="00867F79"/>
    <w:rsid w:val="008726A9"/>
    <w:rsid w:val="00874D34"/>
    <w:rsid w:val="00880B14"/>
    <w:rsid w:val="008A50EA"/>
    <w:rsid w:val="00904937"/>
    <w:rsid w:val="0093524C"/>
    <w:rsid w:val="00962C82"/>
    <w:rsid w:val="00974C91"/>
    <w:rsid w:val="00996510"/>
    <w:rsid w:val="0099776C"/>
    <w:rsid w:val="009B58B8"/>
    <w:rsid w:val="009E1B85"/>
    <w:rsid w:val="009E7065"/>
    <w:rsid w:val="00A15427"/>
    <w:rsid w:val="00A27E9E"/>
    <w:rsid w:val="00A51D10"/>
    <w:rsid w:val="00A57778"/>
    <w:rsid w:val="00AB2201"/>
    <w:rsid w:val="00AC51CD"/>
    <w:rsid w:val="00B523C5"/>
    <w:rsid w:val="00B60817"/>
    <w:rsid w:val="00BC0FC6"/>
    <w:rsid w:val="00BC2DFD"/>
    <w:rsid w:val="00BD4217"/>
    <w:rsid w:val="00C003E6"/>
    <w:rsid w:val="00C118E6"/>
    <w:rsid w:val="00C40B5E"/>
    <w:rsid w:val="00CC23C6"/>
    <w:rsid w:val="00CE17A0"/>
    <w:rsid w:val="00D030DA"/>
    <w:rsid w:val="00D76BDF"/>
    <w:rsid w:val="00DA7B22"/>
    <w:rsid w:val="00DF12CD"/>
    <w:rsid w:val="00DF15D7"/>
    <w:rsid w:val="00E22DBA"/>
    <w:rsid w:val="00E356C7"/>
    <w:rsid w:val="00E5364D"/>
    <w:rsid w:val="00E54E6E"/>
    <w:rsid w:val="00E64FA7"/>
    <w:rsid w:val="00E770CB"/>
    <w:rsid w:val="00E94AE9"/>
    <w:rsid w:val="00EA5B4A"/>
    <w:rsid w:val="00EA6DB9"/>
    <w:rsid w:val="00EE256B"/>
    <w:rsid w:val="00EE5DB8"/>
    <w:rsid w:val="00EF0E44"/>
    <w:rsid w:val="00EF72F1"/>
    <w:rsid w:val="00F36AF0"/>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C8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character" w:styleId="CommentReference">
    <w:name w:val="annotation reference"/>
    <w:basedOn w:val="DefaultParagraphFont"/>
    <w:uiPriority w:val="99"/>
    <w:semiHidden/>
    <w:unhideWhenUsed/>
    <w:rsid w:val="00EE256B"/>
    <w:rPr>
      <w:sz w:val="16"/>
      <w:szCs w:val="16"/>
    </w:rPr>
  </w:style>
  <w:style w:type="paragraph" w:styleId="CommentText">
    <w:name w:val="annotation text"/>
    <w:basedOn w:val="Normal"/>
    <w:link w:val="CommentTextChar"/>
    <w:uiPriority w:val="99"/>
    <w:semiHidden/>
    <w:unhideWhenUsed/>
    <w:rsid w:val="00EE256B"/>
    <w:rPr>
      <w:sz w:val="20"/>
      <w:szCs w:val="20"/>
    </w:rPr>
  </w:style>
  <w:style w:type="character" w:customStyle="1" w:styleId="CommentTextChar">
    <w:name w:val="Comment Text Char"/>
    <w:basedOn w:val="DefaultParagraphFont"/>
    <w:link w:val="CommentText"/>
    <w:uiPriority w:val="99"/>
    <w:semiHidden/>
    <w:rsid w:val="00EE256B"/>
    <w:rPr>
      <w:sz w:val="20"/>
      <w:szCs w:val="20"/>
      <w:lang w:val="en-CA"/>
    </w:rPr>
  </w:style>
  <w:style w:type="paragraph" w:styleId="CommentSubject">
    <w:name w:val="annotation subject"/>
    <w:basedOn w:val="CommentText"/>
    <w:next w:val="CommentText"/>
    <w:link w:val="CommentSubjectChar"/>
    <w:uiPriority w:val="99"/>
    <w:semiHidden/>
    <w:unhideWhenUsed/>
    <w:rsid w:val="00EE256B"/>
    <w:rPr>
      <w:b/>
      <w:bCs/>
    </w:rPr>
  </w:style>
  <w:style w:type="character" w:customStyle="1" w:styleId="CommentSubjectChar">
    <w:name w:val="Comment Subject Char"/>
    <w:basedOn w:val="CommentTextChar"/>
    <w:link w:val="CommentSubject"/>
    <w:uiPriority w:val="99"/>
    <w:semiHidden/>
    <w:rsid w:val="00EE256B"/>
    <w:rPr>
      <w:b/>
      <w:bCs/>
      <w:sz w:val="20"/>
      <w:szCs w:val="20"/>
      <w:lang w:val="en-CA"/>
    </w:rPr>
  </w:style>
  <w:style w:type="character" w:styleId="Hyperlink">
    <w:name w:val="Hyperlink"/>
    <w:basedOn w:val="DefaultParagraphFont"/>
    <w:uiPriority w:val="99"/>
    <w:unhideWhenUsed/>
    <w:rsid w:val="00BC0FC6"/>
    <w:rPr>
      <w:color w:val="7D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2493">
      <w:bodyDiv w:val="1"/>
      <w:marLeft w:val="0"/>
      <w:marRight w:val="0"/>
      <w:marTop w:val="0"/>
      <w:marBottom w:val="0"/>
      <w:divBdr>
        <w:top w:val="none" w:sz="0" w:space="0" w:color="auto"/>
        <w:left w:val="none" w:sz="0" w:space="0" w:color="auto"/>
        <w:bottom w:val="none" w:sz="0" w:space="0" w:color="auto"/>
        <w:right w:val="none" w:sz="0" w:space="0" w:color="auto"/>
      </w:divBdr>
    </w:div>
    <w:div w:id="353000034">
      <w:bodyDiv w:val="1"/>
      <w:marLeft w:val="0"/>
      <w:marRight w:val="0"/>
      <w:marTop w:val="0"/>
      <w:marBottom w:val="0"/>
      <w:divBdr>
        <w:top w:val="none" w:sz="0" w:space="0" w:color="auto"/>
        <w:left w:val="none" w:sz="0" w:space="0" w:color="auto"/>
        <w:bottom w:val="none" w:sz="0" w:space="0" w:color="auto"/>
        <w:right w:val="none" w:sz="0" w:space="0" w:color="auto"/>
      </w:divBdr>
    </w:div>
    <w:div w:id="372268820">
      <w:bodyDiv w:val="1"/>
      <w:marLeft w:val="0"/>
      <w:marRight w:val="0"/>
      <w:marTop w:val="0"/>
      <w:marBottom w:val="0"/>
      <w:divBdr>
        <w:top w:val="none" w:sz="0" w:space="0" w:color="auto"/>
        <w:left w:val="none" w:sz="0" w:space="0" w:color="auto"/>
        <w:bottom w:val="none" w:sz="0" w:space="0" w:color="auto"/>
        <w:right w:val="none" w:sz="0" w:space="0" w:color="auto"/>
      </w:divBdr>
    </w:div>
    <w:div w:id="388308635">
      <w:bodyDiv w:val="1"/>
      <w:marLeft w:val="0"/>
      <w:marRight w:val="0"/>
      <w:marTop w:val="0"/>
      <w:marBottom w:val="0"/>
      <w:divBdr>
        <w:top w:val="none" w:sz="0" w:space="0" w:color="auto"/>
        <w:left w:val="none" w:sz="0" w:space="0" w:color="auto"/>
        <w:bottom w:val="none" w:sz="0" w:space="0" w:color="auto"/>
        <w:right w:val="none" w:sz="0" w:space="0" w:color="auto"/>
      </w:divBdr>
    </w:div>
    <w:div w:id="627588026">
      <w:bodyDiv w:val="1"/>
      <w:marLeft w:val="0"/>
      <w:marRight w:val="0"/>
      <w:marTop w:val="0"/>
      <w:marBottom w:val="0"/>
      <w:divBdr>
        <w:top w:val="none" w:sz="0" w:space="0" w:color="auto"/>
        <w:left w:val="none" w:sz="0" w:space="0" w:color="auto"/>
        <w:bottom w:val="none" w:sz="0" w:space="0" w:color="auto"/>
        <w:right w:val="none" w:sz="0" w:space="0" w:color="auto"/>
      </w:divBdr>
    </w:div>
    <w:div w:id="1015765027">
      <w:bodyDiv w:val="1"/>
      <w:marLeft w:val="0"/>
      <w:marRight w:val="0"/>
      <w:marTop w:val="0"/>
      <w:marBottom w:val="0"/>
      <w:divBdr>
        <w:top w:val="none" w:sz="0" w:space="0" w:color="auto"/>
        <w:left w:val="none" w:sz="0" w:space="0" w:color="auto"/>
        <w:bottom w:val="none" w:sz="0" w:space="0" w:color="auto"/>
        <w:right w:val="none" w:sz="0" w:space="0" w:color="auto"/>
      </w:divBdr>
    </w:div>
    <w:div w:id="1145197378">
      <w:bodyDiv w:val="1"/>
      <w:marLeft w:val="0"/>
      <w:marRight w:val="0"/>
      <w:marTop w:val="0"/>
      <w:marBottom w:val="0"/>
      <w:divBdr>
        <w:top w:val="none" w:sz="0" w:space="0" w:color="auto"/>
        <w:left w:val="none" w:sz="0" w:space="0" w:color="auto"/>
        <w:bottom w:val="none" w:sz="0" w:space="0" w:color="auto"/>
        <w:right w:val="none" w:sz="0" w:space="0" w:color="auto"/>
      </w:divBdr>
    </w:div>
    <w:div w:id="1333222692">
      <w:bodyDiv w:val="1"/>
      <w:marLeft w:val="0"/>
      <w:marRight w:val="0"/>
      <w:marTop w:val="0"/>
      <w:marBottom w:val="0"/>
      <w:divBdr>
        <w:top w:val="none" w:sz="0" w:space="0" w:color="auto"/>
        <w:left w:val="none" w:sz="0" w:space="0" w:color="auto"/>
        <w:bottom w:val="none" w:sz="0" w:space="0" w:color="auto"/>
        <w:right w:val="none" w:sz="0" w:space="0" w:color="auto"/>
      </w:divBdr>
    </w:div>
    <w:div w:id="1823543574">
      <w:bodyDiv w:val="1"/>
      <w:marLeft w:val="0"/>
      <w:marRight w:val="0"/>
      <w:marTop w:val="0"/>
      <w:marBottom w:val="0"/>
      <w:divBdr>
        <w:top w:val="none" w:sz="0" w:space="0" w:color="auto"/>
        <w:left w:val="none" w:sz="0" w:space="0" w:color="auto"/>
        <w:bottom w:val="none" w:sz="0" w:space="0" w:color="auto"/>
        <w:right w:val="none" w:sz="0" w:space="0" w:color="auto"/>
      </w:divBdr>
    </w:div>
    <w:div w:id="1824467910">
      <w:bodyDiv w:val="1"/>
      <w:marLeft w:val="0"/>
      <w:marRight w:val="0"/>
      <w:marTop w:val="0"/>
      <w:marBottom w:val="0"/>
      <w:divBdr>
        <w:top w:val="none" w:sz="0" w:space="0" w:color="auto"/>
        <w:left w:val="none" w:sz="0" w:space="0" w:color="auto"/>
        <w:bottom w:val="none" w:sz="0" w:space="0" w:color="auto"/>
        <w:right w:val="none" w:sz="0" w:space="0" w:color="auto"/>
      </w:divBdr>
    </w:div>
    <w:div w:id="1854804274">
      <w:bodyDiv w:val="1"/>
      <w:marLeft w:val="0"/>
      <w:marRight w:val="0"/>
      <w:marTop w:val="0"/>
      <w:marBottom w:val="0"/>
      <w:divBdr>
        <w:top w:val="none" w:sz="0" w:space="0" w:color="auto"/>
        <w:left w:val="none" w:sz="0" w:space="0" w:color="auto"/>
        <w:bottom w:val="none" w:sz="0" w:space="0" w:color="auto"/>
        <w:right w:val="none" w:sz="0" w:space="0" w:color="auto"/>
      </w:divBdr>
    </w:div>
    <w:div w:id="20541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ntariocourts.ca/decisions/2021/2021ONCA0207.pdf"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0E29-0C1B-4B26-8399-38E8493B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2022-05-19T19:31:00Z</dcterms:created>
  <dcterms:modified xsi:type="dcterms:W3CDTF">2023-05-04T19:05:00Z</dcterms:modified>
</cp:coreProperties>
</file>