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689"/>
        <w:gridCol w:w="1891"/>
        <w:gridCol w:w="3761"/>
        <w:gridCol w:w="19"/>
      </w:tblGrid>
      <w:tr w:rsidR="008C4067" w:rsidTr="00546C2B">
        <w:trPr>
          <w:trHeight w:val="2103"/>
        </w:trPr>
        <w:tc>
          <w:tcPr>
            <w:tcW w:w="5000" w:type="pct"/>
            <w:gridSpan w:val="4"/>
          </w:tcPr>
          <w:p w:rsidR="008C4067" w:rsidRDefault="008C4067" w:rsidP="00546C2B">
            <w:pPr>
              <w:jc w:val="center"/>
            </w:pPr>
            <w:r>
              <w:rPr>
                <w:noProof/>
                <w:lang w:val="fr-CA" w:eastAsia="fr-CA"/>
              </w:rPr>
              <w:drawing>
                <wp:inline distT="0" distB="0" distL="0" distR="0" wp14:anchorId="471FA8B9" wp14:editId="24989CB2">
                  <wp:extent cx="1191895" cy="1638300"/>
                  <wp:effectExtent l="0" t="0" r="8255" b="0"/>
                  <wp:docPr id="1" name="Picture 1"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8C4067" w:rsidRDefault="008C4067" w:rsidP="00546C2B">
            <w:pPr>
              <w:spacing w:before="120" w:after="100" w:afterAutospacing="1"/>
              <w:jc w:val="center"/>
              <w:rPr>
                <w:rFonts w:eastAsia="Calibri"/>
              </w:rPr>
            </w:pPr>
            <w:r w:rsidRPr="00C22905">
              <w:rPr>
                <w:rFonts w:eastAsia="Calibri"/>
                <w:b/>
                <w:szCs w:val="24"/>
                <w:lang w:eastAsia="en-US"/>
              </w:rPr>
              <w:t>SUPREME COURT OF CANADA</w:t>
            </w:r>
          </w:p>
        </w:tc>
      </w:tr>
      <w:tr w:rsidR="008C4067" w:rsidTr="00546C2B">
        <w:trPr>
          <w:gridAfter w:val="1"/>
          <w:wAfter w:w="10" w:type="pct"/>
        </w:trPr>
        <w:tc>
          <w:tcPr>
            <w:tcW w:w="1971" w:type="pct"/>
            <w:tcMar>
              <w:top w:w="284" w:type="dxa"/>
            </w:tcMar>
          </w:tcPr>
          <w:p w:rsidR="008C4067" w:rsidRPr="004803D6" w:rsidRDefault="008C4067" w:rsidP="00546C2B">
            <w:pPr>
              <w:spacing w:before="100" w:beforeAutospacing="1"/>
              <w:rPr>
                <w:rFonts w:eastAsia="Calibri"/>
                <w:lang w:val="fr-CA"/>
              </w:rPr>
            </w:pPr>
            <w:r w:rsidRPr="00FE4398">
              <w:rPr>
                <w:b/>
                <w:smallCaps/>
                <w:lang w:val="fr-CA"/>
              </w:rPr>
              <w:t>Citation:</w:t>
            </w:r>
            <w:r w:rsidRPr="00FE4398">
              <w:rPr>
                <w:lang w:val="fr-CA"/>
              </w:rPr>
              <w:t xml:space="preserve"> R. </w:t>
            </w:r>
            <w:r w:rsidRPr="00FE4398">
              <w:rPr>
                <w:i/>
                <w:lang w:val="fr-CA"/>
              </w:rPr>
              <w:t>v.</w:t>
            </w:r>
            <w:r w:rsidRPr="00FE4398">
              <w:rPr>
                <w:lang w:val="fr-CA"/>
              </w:rPr>
              <w:t xml:space="preserve"> </w:t>
            </w:r>
            <w:r w:rsidRPr="00516B30">
              <w:rPr>
                <w:lang w:val="fr-CA"/>
              </w:rPr>
              <w:t>Vernelus</w:t>
            </w:r>
            <w:r w:rsidRPr="00FE4398">
              <w:rPr>
                <w:lang w:val="fr-CA"/>
              </w:rPr>
              <w:t>, 202</w:t>
            </w:r>
            <w:r>
              <w:rPr>
                <w:lang w:val="fr-CA"/>
              </w:rPr>
              <w:t>2</w:t>
            </w:r>
            <w:r w:rsidRPr="00FE4398">
              <w:rPr>
                <w:lang w:val="fr-CA"/>
              </w:rPr>
              <w:t xml:space="preserve"> SCC </w:t>
            </w:r>
            <w:r w:rsidRPr="00101DD7">
              <w:rPr>
                <w:lang w:val="fr-CA"/>
              </w:rPr>
              <w:t>53</w:t>
            </w:r>
          </w:p>
        </w:tc>
        <w:tc>
          <w:tcPr>
            <w:tcW w:w="1010" w:type="pct"/>
          </w:tcPr>
          <w:p w:rsidR="008C4067" w:rsidRPr="00FE4398" w:rsidRDefault="008C4067" w:rsidP="00546C2B">
            <w:pPr>
              <w:rPr>
                <w:b/>
                <w:smallCaps/>
                <w:lang w:val="fr-CA"/>
              </w:rPr>
            </w:pPr>
          </w:p>
        </w:tc>
        <w:tc>
          <w:tcPr>
            <w:tcW w:w="2009" w:type="pct"/>
            <w:tcMar>
              <w:top w:w="284" w:type="dxa"/>
            </w:tcMar>
          </w:tcPr>
          <w:p w:rsidR="008C4067" w:rsidRPr="006B210C" w:rsidRDefault="008C4067" w:rsidP="00546C2B">
            <w:r>
              <w:rPr>
                <w:b/>
                <w:smallCaps/>
              </w:rPr>
              <w:t xml:space="preserve">Appeal Heard: </w:t>
            </w:r>
            <w:r w:rsidRPr="004803D6">
              <w:t>December 6</w:t>
            </w:r>
            <w:r>
              <w:t>, 2022</w:t>
            </w:r>
          </w:p>
          <w:p w:rsidR="008C4067" w:rsidRDefault="008C4067" w:rsidP="00546C2B">
            <w:r>
              <w:rPr>
                <w:b/>
                <w:smallCaps/>
              </w:rPr>
              <w:t xml:space="preserve">Judgment Rendered: </w:t>
            </w:r>
            <w:r w:rsidRPr="004803D6">
              <w:t>December 6</w:t>
            </w:r>
            <w:r>
              <w:t>, 2022</w:t>
            </w:r>
          </w:p>
          <w:p w:rsidR="008C4067" w:rsidRPr="006B210C" w:rsidRDefault="008C4067" w:rsidP="00546C2B">
            <w:r w:rsidRPr="00527E81">
              <w:rPr>
                <w:b/>
                <w:smallCaps/>
              </w:rPr>
              <w:t>Docket:</w:t>
            </w:r>
            <w:r>
              <w:t xml:space="preserve"> </w:t>
            </w:r>
            <w:r w:rsidRPr="004803D6">
              <w:rPr>
                <w:lang w:val="fr-CA"/>
              </w:rPr>
              <w:t>40072</w:t>
            </w:r>
          </w:p>
        </w:tc>
      </w:tr>
      <w:tr w:rsidR="008C4067" w:rsidTr="00546C2B">
        <w:tc>
          <w:tcPr>
            <w:tcW w:w="5000" w:type="pct"/>
            <w:gridSpan w:val="4"/>
          </w:tcPr>
          <w:p w:rsidR="008C4067" w:rsidRDefault="008C4067" w:rsidP="00546C2B">
            <w:pPr>
              <w:rPr>
                <w:rFonts w:eastAsiaTheme="minorHAnsi" w:cstheme="minorBidi"/>
                <w:b/>
                <w:szCs w:val="24"/>
                <w:lang w:eastAsia="en-US"/>
              </w:rPr>
            </w:pPr>
          </w:p>
          <w:p w:rsidR="008C4067" w:rsidRDefault="008C4067" w:rsidP="00546C2B">
            <w:pPr>
              <w:rPr>
                <w:rFonts w:eastAsiaTheme="minorHAnsi" w:cstheme="minorBidi"/>
                <w:b/>
                <w:smallCaps/>
                <w:szCs w:val="24"/>
                <w:lang w:eastAsia="en-US"/>
              </w:rPr>
            </w:pPr>
            <w:r w:rsidRPr="00C8650B">
              <w:rPr>
                <w:rFonts w:eastAsiaTheme="minorHAnsi" w:cstheme="minorBidi"/>
                <w:b/>
                <w:smallCaps/>
                <w:szCs w:val="24"/>
                <w:lang w:eastAsia="en-US"/>
              </w:rPr>
              <w:t>Between:</w:t>
            </w:r>
          </w:p>
          <w:p w:rsidR="008C4067" w:rsidRPr="00C8650B" w:rsidRDefault="008C4067" w:rsidP="00546C2B">
            <w:pPr>
              <w:rPr>
                <w:rFonts w:eastAsiaTheme="minorHAnsi" w:cstheme="minorBidi"/>
                <w:b/>
                <w:smallCaps/>
                <w:szCs w:val="24"/>
                <w:lang w:eastAsia="en-US"/>
              </w:rPr>
            </w:pPr>
          </w:p>
          <w:p w:rsidR="008C4067" w:rsidRPr="00D745D8" w:rsidRDefault="008C4067" w:rsidP="00546C2B">
            <w:pPr>
              <w:jc w:val="center"/>
              <w:rPr>
                <w:rFonts w:eastAsiaTheme="minorHAnsi" w:cstheme="minorBidi"/>
                <w:b/>
                <w:szCs w:val="24"/>
                <w:lang w:eastAsia="en-US"/>
              </w:rPr>
            </w:pPr>
            <w:r w:rsidRPr="004803D6">
              <w:rPr>
                <w:rFonts w:eastAsiaTheme="minorHAnsi" w:cstheme="minorBidi"/>
                <w:b/>
                <w:szCs w:val="24"/>
                <w:lang w:eastAsia="en-US"/>
              </w:rPr>
              <w:t>Mikerlson Vernelus</w:t>
            </w:r>
          </w:p>
          <w:p w:rsidR="008C4067" w:rsidRDefault="008C4067" w:rsidP="00546C2B">
            <w:pPr>
              <w:jc w:val="center"/>
              <w:rPr>
                <w:rFonts w:eastAsiaTheme="minorHAnsi" w:cstheme="minorBidi"/>
                <w:szCs w:val="24"/>
                <w:lang w:eastAsia="en-US"/>
              </w:rPr>
            </w:pPr>
            <w:r w:rsidRPr="00C8650B">
              <w:rPr>
                <w:rFonts w:eastAsiaTheme="minorHAnsi" w:cstheme="minorBidi"/>
                <w:szCs w:val="24"/>
                <w:lang w:eastAsia="en-US"/>
              </w:rPr>
              <w:t>Appellant</w:t>
            </w:r>
          </w:p>
          <w:p w:rsidR="008C4067" w:rsidRPr="00C8650B" w:rsidRDefault="008C4067" w:rsidP="00546C2B">
            <w:pPr>
              <w:jc w:val="center"/>
              <w:rPr>
                <w:rFonts w:eastAsiaTheme="minorHAnsi" w:cstheme="minorBidi"/>
                <w:szCs w:val="24"/>
                <w:lang w:eastAsia="en-US"/>
              </w:rPr>
            </w:pPr>
          </w:p>
          <w:p w:rsidR="008C4067" w:rsidRDefault="008C4067" w:rsidP="00546C2B">
            <w:pPr>
              <w:jc w:val="center"/>
              <w:rPr>
                <w:rFonts w:eastAsiaTheme="minorHAnsi" w:cstheme="minorBidi"/>
                <w:szCs w:val="24"/>
                <w:lang w:eastAsia="en-US"/>
              </w:rPr>
            </w:pPr>
            <w:r>
              <w:rPr>
                <w:rFonts w:eastAsiaTheme="minorHAnsi" w:cstheme="minorBidi"/>
                <w:szCs w:val="24"/>
                <w:lang w:eastAsia="en-US"/>
              </w:rPr>
              <w:t>and</w:t>
            </w:r>
          </w:p>
          <w:p w:rsidR="008C4067" w:rsidRPr="00C8650B" w:rsidRDefault="008C4067" w:rsidP="00546C2B">
            <w:pPr>
              <w:jc w:val="center"/>
              <w:rPr>
                <w:rFonts w:eastAsiaTheme="minorHAnsi" w:cstheme="minorBidi"/>
                <w:szCs w:val="24"/>
                <w:lang w:eastAsia="en-US"/>
              </w:rPr>
            </w:pPr>
          </w:p>
          <w:p w:rsidR="008C4067" w:rsidRDefault="008C4067" w:rsidP="00546C2B">
            <w:pPr>
              <w:jc w:val="center"/>
              <w:rPr>
                <w:rFonts w:eastAsiaTheme="minorHAnsi" w:cstheme="minorBidi"/>
                <w:szCs w:val="24"/>
                <w:lang w:eastAsia="en-US"/>
              </w:rPr>
            </w:pPr>
            <w:r w:rsidRPr="00D745D8">
              <w:rPr>
                <w:rStyle w:val="Strong"/>
                <w:rFonts w:ascii="Helvetica Neue" w:eastAsiaTheme="majorEastAsia" w:hAnsi="Helvetica Neue"/>
                <w:shd w:val="clear" w:color="auto" w:fill="FFFFFF"/>
              </w:rPr>
              <w:t>His Majesty The King</w:t>
            </w:r>
          </w:p>
          <w:p w:rsidR="008C4067" w:rsidRDefault="008C4067" w:rsidP="00546C2B">
            <w:pPr>
              <w:jc w:val="center"/>
              <w:rPr>
                <w:rFonts w:eastAsiaTheme="minorHAnsi" w:cstheme="minorBidi"/>
                <w:szCs w:val="24"/>
                <w:lang w:eastAsia="en-US"/>
              </w:rPr>
            </w:pPr>
            <w:r w:rsidRPr="00C8650B">
              <w:rPr>
                <w:rFonts w:eastAsiaTheme="minorHAnsi" w:cstheme="minorBidi"/>
                <w:szCs w:val="24"/>
                <w:lang w:eastAsia="en-US"/>
              </w:rPr>
              <w:t>Respondent</w:t>
            </w:r>
          </w:p>
          <w:p w:rsidR="008C4067" w:rsidRDefault="008C4067" w:rsidP="00546C2B">
            <w:pPr>
              <w:jc w:val="center"/>
              <w:rPr>
                <w:b/>
                <w:smallCaps/>
              </w:rPr>
            </w:pPr>
          </w:p>
          <w:p w:rsidR="008C4067" w:rsidRDefault="008C4067" w:rsidP="00546C2B">
            <w:pPr>
              <w:jc w:val="center"/>
              <w:rPr>
                <w:b/>
                <w:smallCaps/>
              </w:rPr>
            </w:pPr>
            <w:r>
              <w:rPr>
                <w:rStyle w:val="solexhl"/>
                <w:rFonts w:eastAsiaTheme="majorEastAsia"/>
                <w:b/>
                <w:bCs/>
                <w:smallCaps/>
                <w:color w:val="000000"/>
              </w:rPr>
              <w:t>Official English Translation</w:t>
            </w:r>
          </w:p>
          <w:p w:rsidR="008C4067" w:rsidRPr="00C22905" w:rsidRDefault="008C4067" w:rsidP="00546C2B">
            <w:pPr>
              <w:jc w:val="center"/>
              <w:rPr>
                <w:b/>
                <w:smallCaps/>
              </w:rPr>
            </w:pP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104"/>
        <w:gridCol w:w="7235"/>
        <w:gridCol w:w="21"/>
      </w:tblGrid>
      <w:tr w:rsidR="008C4067" w:rsidRPr="00C22905" w:rsidTr="00546C2B">
        <w:trPr>
          <w:cantSplit/>
          <w:trHeight w:val="508"/>
        </w:trPr>
        <w:tc>
          <w:tcPr>
            <w:tcW w:w="5000" w:type="pct"/>
            <w:gridSpan w:val="3"/>
            <w:tcMar>
              <w:top w:w="284" w:type="dxa"/>
              <w:bottom w:w="57" w:type="dxa"/>
            </w:tcMar>
            <w:vAlign w:val="center"/>
          </w:tcPr>
          <w:p w:rsidR="008C4067" w:rsidRPr="00C22905" w:rsidRDefault="008C4067" w:rsidP="00546C2B">
            <w:r w:rsidRPr="006B210C">
              <w:rPr>
                <w:b/>
                <w:smallCaps/>
              </w:rPr>
              <w:t>Coram</w:t>
            </w:r>
            <w:r>
              <w:rPr>
                <w:b/>
                <w:smallCaps/>
              </w:rPr>
              <w:t>:</w:t>
            </w:r>
            <w:r w:rsidRPr="00B04DC5">
              <w:t xml:space="preserve"> Côté, Brown, </w:t>
            </w:r>
            <w:r>
              <w:t xml:space="preserve">Martin, </w:t>
            </w:r>
            <w:r w:rsidRPr="00B04DC5">
              <w:t>Kasirer</w:t>
            </w:r>
            <w:r>
              <w:t xml:space="preserve"> and </w:t>
            </w:r>
            <w:r w:rsidRPr="004E34F8">
              <w:rPr>
                <w:lang w:val="en-CA"/>
              </w:rPr>
              <w:t>O’Bonsawin</w:t>
            </w:r>
            <w:r>
              <w:t> JJ.</w:t>
            </w:r>
          </w:p>
        </w:tc>
      </w:tr>
      <w:tr w:rsidR="008C4067" w:rsidRPr="00C22905" w:rsidTr="00546C2B">
        <w:trPr>
          <w:gridAfter w:val="1"/>
          <w:wAfter w:w="11" w:type="pct"/>
          <w:cantSplit/>
          <w:trHeight w:val="508"/>
        </w:trPr>
        <w:tc>
          <w:tcPr>
            <w:tcW w:w="1124" w:type="pct"/>
            <w:tcMar>
              <w:top w:w="28" w:type="dxa"/>
              <w:left w:w="57" w:type="dxa"/>
              <w:bottom w:w="57" w:type="dxa"/>
              <w:right w:w="57" w:type="dxa"/>
            </w:tcMar>
            <w:vAlign w:val="center"/>
          </w:tcPr>
          <w:p w:rsidR="008C4067" w:rsidRPr="00577F18" w:rsidRDefault="008C4067" w:rsidP="00546C2B">
            <w:pPr>
              <w:spacing w:before="120"/>
              <w:rPr>
                <w:smallCaps/>
              </w:rPr>
            </w:pPr>
            <w:r>
              <w:rPr>
                <w:rStyle w:val="solexhl"/>
                <w:b/>
                <w:bCs/>
                <w:smallCaps/>
                <w:color w:val="000000"/>
              </w:rPr>
              <w:t>Unanimous Judgment Read By</w:t>
            </w:r>
            <w:r>
              <w:rPr>
                <w:b/>
                <w:bCs/>
                <w:smallCaps/>
                <w:color w:val="000000"/>
              </w:rPr>
              <w:t>:</w:t>
            </w:r>
          </w:p>
          <w:p w:rsidR="008C4067" w:rsidRPr="00577F18" w:rsidRDefault="008C4067" w:rsidP="00546C2B">
            <w:pPr>
              <w:rPr>
                <w:b/>
                <w:smallCaps/>
              </w:rPr>
            </w:pPr>
            <w:r w:rsidRPr="00577F18">
              <w:t>(para</w:t>
            </w:r>
            <w:r>
              <w:t>s</w:t>
            </w:r>
            <w:r w:rsidRPr="00577F18">
              <w:t>. 1</w:t>
            </w:r>
            <w:r>
              <w:t xml:space="preserve"> to 8</w:t>
            </w:r>
            <w:r w:rsidRPr="00577F18">
              <w:t>)</w:t>
            </w:r>
          </w:p>
        </w:tc>
        <w:tc>
          <w:tcPr>
            <w:tcW w:w="3865" w:type="pct"/>
            <w:tcMar>
              <w:top w:w="28" w:type="dxa"/>
              <w:left w:w="57" w:type="dxa"/>
              <w:bottom w:w="57" w:type="dxa"/>
              <w:right w:w="57" w:type="dxa"/>
            </w:tcMar>
            <w:vAlign w:val="center"/>
          </w:tcPr>
          <w:p w:rsidR="008C4067" w:rsidRPr="000C433D" w:rsidRDefault="008C4067" w:rsidP="00546C2B">
            <w:pPr>
              <w:spacing w:before="120"/>
            </w:pPr>
            <w:r w:rsidRPr="00B04DC5">
              <w:t>Kasirer</w:t>
            </w:r>
            <w:r>
              <w:t xml:space="preserve"> J.</w:t>
            </w:r>
          </w:p>
        </w:tc>
      </w:tr>
      <w:tr w:rsidR="008C4067" w:rsidRPr="00C22905" w:rsidTr="00546C2B">
        <w:trPr>
          <w:cantSplit/>
        </w:trPr>
        <w:tc>
          <w:tcPr>
            <w:tcW w:w="5000" w:type="pct"/>
            <w:gridSpan w:val="3"/>
            <w:tcMar>
              <w:top w:w="284" w:type="dxa"/>
              <w:bottom w:w="57" w:type="dxa"/>
            </w:tcMar>
            <w:vAlign w:val="center"/>
          </w:tcPr>
          <w:p w:rsidR="008C4067" w:rsidRPr="00B23F5C" w:rsidRDefault="008C4067" w:rsidP="00546C2B"/>
        </w:tc>
      </w:tr>
    </w:tbl>
    <w:p w:rsidR="008C4067" w:rsidRDefault="008C4067" w:rsidP="008C4067">
      <w:pPr>
        <w:spacing w:before="100" w:beforeAutospacing="1"/>
        <w:rPr>
          <w:rFonts w:eastAsia="Calibri"/>
          <w:szCs w:val="24"/>
          <w:lang w:eastAsia="en-US"/>
        </w:rPr>
      </w:pPr>
      <w:r w:rsidRPr="00C22905">
        <w:rPr>
          <w:rFonts w:eastAsia="Calibri"/>
          <w:b/>
          <w:smallCaps/>
          <w:szCs w:val="24"/>
          <w:lang w:eastAsia="en-US"/>
        </w:rPr>
        <w:t>Note:</w:t>
      </w:r>
      <w:r w:rsidRPr="00C22905">
        <w:rPr>
          <w:rFonts w:eastAsia="Calibri"/>
          <w:szCs w:val="24"/>
          <w:lang w:eastAsia="en-US"/>
        </w:rPr>
        <w:t xml:space="preserve"> This document is subject to editorial revision before its reproduction in final form in the </w:t>
      </w:r>
      <w:r w:rsidRPr="00C22905">
        <w:rPr>
          <w:rFonts w:eastAsia="Calibri"/>
          <w:i/>
          <w:szCs w:val="24"/>
          <w:lang w:eastAsia="en-US"/>
        </w:rPr>
        <w:t>Canada Supreme Court Reports</w:t>
      </w:r>
      <w:r w:rsidRPr="00C22905">
        <w:rPr>
          <w:rFonts w:eastAsia="Calibri"/>
          <w:szCs w:val="24"/>
          <w:lang w:eastAsia="en-US"/>
        </w:rPr>
        <w:t>.</w:t>
      </w:r>
      <w:r w:rsidRPr="00715A65">
        <w:rPr>
          <w:rFonts w:eastAsia="Calibri"/>
          <w:szCs w:val="24"/>
          <w:lang w:eastAsia="en-US"/>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8C4067" w:rsidTr="00546C2B">
        <w:tc>
          <w:tcPr>
            <w:tcW w:w="1500" w:type="pct"/>
            <w:tcMar>
              <w:top w:w="284" w:type="dxa"/>
            </w:tcMar>
          </w:tcPr>
          <w:p w:rsidR="008C4067" w:rsidRDefault="008C4067" w:rsidP="00546C2B">
            <w:pPr>
              <w:rPr>
                <w:rFonts w:eastAsia="Calibri"/>
                <w:szCs w:val="24"/>
                <w:lang w:eastAsia="en-US"/>
              </w:rPr>
            </w:pPr>
          </w:p>
        </w:tc>
        <w:tc>
          <w:tcPr>
            <w:tcW w:w="2000" w:type="pct"/>
            <w:tcBorders>
              <w:bottom w:val="single" w:sz="4" w:space="0" w:color="auto"/>
            </w:tcBorders>
            <w:tcMar>
              <w:top w:w="284" w:type="dxa"/>
            </w:tcMar>
          </w:tcPr>
          <w:p w:rsidR="008C4067" w:rsidRDefault="008C4067" w:rsidP="00546C2B">
            <w:pPr>
              <w:rPr>
                <w:rFonts w:eastAsia="Calibri"/>
                <w:szCs w:val="24"/>
                <w:lang w:eastAsia="en-US"/>
              </w:rPr>
            </w:pPr>
          </w:p>
        </w:tc>
        <w:tc>
          <w:tcPr>
            <w:tcW w:w="1500" w:type="pct"/>
            <w:tcMar>
              <w:top w:w="284" w:type="dxa"/>
            </w:tcMar>
          </w:tcPr>
          <w:p w:rsidR="008C4067" w:rsidRDefault="008C4067" w:rsidP="00546C2B">
            <w:pPr>
              <w:rPr>
                <w:rFonts w:eastAsia="Calibri"/>
                <w:szCs w:val="24"/>
                <w:lang w:eastAsia="en-US"/>
              </w:rPr>
            </w:pPr>
          </w:p>
        </w:tc>
      </w:tr>
    </w:tbl>
    <w:p w:rsidR="008C4067" w:rsidRDefault="008C4067" w:rsidP="008C4067">
      <w:pPr>
        <w:rPr>
          <w:rFonts w:eastAsia="Calibri"/>
          <w:szCs w:val="24"/>
          <w:lang w:eastAsia="en-US"/>
        </w:rPr>
        <w:sectPr w:rsidR="008C4067" w:rsidSect="00F138C9">
          <w:pgSz w:w="12240" w:h="15840"/>
          <w:pgMar w:top="1440" w:right="1440" w:bottom="1440" w:left="1440" w:header="1803" w:footer="720" w:gutter="0"/>
          <w:cols w:space="720"/>
          <w:docGrid w:linePitch="326"/>
        </w:sectPr>
      </w:pPr>
    </w:p>
    <w:p w:rsidR="00A736B0" w:rsidRDefault="00FB204E">
      <w:pPr>
        <w:pStyle w:val="SCCLsocLastPartyInRole"/>
      </w:pPr>
      <w:r>
        <w:lastRenderedPageBreak/>
        <w:t>Mikerlson Vernelus</w:t>
      </w:r>
      <w:r>
        <w:rPr>
          <w:rStyle w:val="SCCLsocPartyRole"/>
        </w:rPr>
        <w:tab/>
        <w:t>Appellant</w:t>
      </w:r>
    </w:p>
    <w:p w:rsidR="00A736B0" w:rsidRDefault="00FB204E">
      <w:pPr>
        <w:pStyle w:val="SCCLsocVersus"/>
      </w:pPr>
      <w:r>
        <w:t>v.</w:t>
      </w:r>
    </w:p>
    <w:p w:rsidR="00A736B0" w:rsidRDefault="00B16753" w:rsidP="000F7228">
      <w:pPr>
        <w:pStyle w:val="SCCLsocLastPartyInRole"/>
      </w:pPr>
      <w:r>
        <w:t>His Majesty T</w:t>
      </w:r>
      <w:r w:rsidR="00FB204E">
        <w:t>he King</w:t>
      </w:r>
      <w:r w:rsidR="00FB204E">
        <w:rPr>
          <w:rStyle w:val="SCCLsocPartyRole"/>
        </w:rPr>
        <w:tab/>
        <w:t>Respondent</w:t>
      </w:r>
    </w:p>
    <w:p w:rsidR="00426659" w:rsidRPr="00426659" w:rsidRDefault="00426659" w:rsidP="000F7228">
      <w:pPr>
        <w:spacing w:after="720"/>
        <w:jc w:val="both"/>
        <w:rPr>
          <w:b/>
        </w:rPr>
      </w:pPr>
      <w:r w:rsidRPr="00426659">
        <w:rPr>
          <w:b/>
        </w:rPr>
        <w:t>Indexed as:</w:t>
      </w:r>
      <w:r>
        <w:rPr>
          <w:b/>
        </w:rPr>
        <w:t xml:space="preserve"> </w:t>
      </w:r>
      <w:r w:rsidR="00B16753">
        <w:rPr>
          <w:b/>
        </w:rPr>
        <w:t xml:space="preserve">R. </w:t>
      </w:r>
      <w:r w:rsidR="00B16753">
        <w:rPr>
          <w:b/>
          <w:i/>
        </w:rPr>
        <w:t>v.</w:t>
      </w:r>
      <w:r w:rsidRPr="00426659">
        <w:rPr>
          <w:b/>
        </w:rPr>
        <w:t xml:space="preserve"> </w:t>
      </w:r>
      <w:r>
        <w:rPr>
          <w:rStyle w:val="SCCAppellantForIndexChar"/>
        </w:rPr>
        <w:t>Vernelus</w:t>
      </w:r>
    </w:p>
    <w:p w:rsidR="00426659" w:rsidRPr="00C02092" w:rsidRDefault="00AE4535" w:rsidP="000F7228">
      <w:pPr>
        <w:pStyle w:val="SCCSystemYear"/>
        <w:spacing w:after="720"/>
        <w:jc w:val="both"/>
      </w:pPr>
      <w:r>
        <w:t>2022</w:t>
      </w:r>
      <w:r w:rsidR="003D0399">
        <w:t xml:space="preserve"> </w:t>
      </w:r>
      <w:r w:rsidR="000F7228">
        <w:t xml:space="preserve">SCC </w:t>
      </w:r>
      <w:r w:rsidR="00B16753">
        <w:t>53</w:t>
      </w:r>
    </w:p>
    <w:p w:rsidR="008322BD" w:rsidRDefault="00B16753" w:rsidP="000F7228">
      <w:pPr>
        <w:spacing w:after="720"/>
        <w:jc w:val="both"/>
      </w:pPr>
      <w:r>
        <w:t xml:space="preserve">File No.: </w:t>
      </w:r>
      <w:r w:rsidR="009B57B3">
        <w:t>40072</w:t>
      </w:r>
      <w:r w:rsidR="009B57B3" w:rsidRPr="001426A9">
        <w:t>.</w:t>
      </w:r>
    </w:p>
    <w:p w:rsidR="008322BD" w:rsidRDefault="00AE4535" w:rsidP="000F7228">
      <w:pPr>
        <w:spacing w:after="720"/>
        <w:jc w:val="both"/>
      </w:pPr>
      <w:r>
        <w:t>2022: December 6</w:t>
      </w:r>
      <w:r w:rsidR="009B57B3" w:rsidRPr="001426A9">
        <w:t>.</w:t>
      </w:r>
    </w:p>
    <w:p w:rsidR="008322BD" w:rsidRDefault="009B57B3" w:rsidP="000F7228">
      <w:pPr>
        <w:spacing w:after="720"/>
        <w:jc w:val="both"/>
      </w:pPr>
      <w:r w:rsidRPr="001426A9">
        <w:t xml:space="preserve">Present: </w:t>
      </w:r>
      <w:r>
        <w:t>Côté, Brown, Martin, Kasirer and O</w:t>
      </w:r>
      <w:r w:rsidR="00B16753">
        <w:t>’</w:t>
      </w:r>
      <w:r>
        <w:t>Bonsawin JJ.</w:t>
      </w:r>
    </w:p>
    <w:p w:rsidR="008322BD" w:rsidRPr="001C779F" w:rsidRDefault="00656313" w:rsidP="000F7228">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cour</w:t>
      </w:r>
      <w:r w:rsidR="00B16753">
        <w:t>t of appeal for quebec</w:t>
      </w:r>
      <w:r w:rsidR="00385BA6">
        <w:t xml:space="preserve"> </w:t>
      </w:r>
      <w:bookmarkStart w:id="0" w:name="_GoBack"/>
      <w:bookmarkEnd w:id="0"/>
    </w:p>
    <w:p w:rsidR="00FD72F3" w:rsidRPr="004D759C" w:rsidRDefault="00FD72F3" w:rsidP="000F7228">
      <w:pPr>
        <w:pStyle w:val="SCCNormalDoubleSpacing"/>
        <w:spacing w:after="480"/>
        <w:rPr>
          <w:i/>
        </w:rPr>
      </w:pPr>
      <w:r w:rsidRPr="004D759C">
        <w:tab/>
      </w:r>
      <w:r w:rsidRPr="004D759C">
        <w:rPr>
          <w:i/>
        </w:rPr>
        <w:t>Criminal law — Appeals — Unreasonable verdict — Accused charged with possession of loaded restricted firearm and failure to comply with condition of recognizance —</w:t>
      </w:r>
      <w:r>
        <w:rPr>
          <w:i/>
        </w:rPr>
        <w:t xml:space="preserve"> F</w:t>
      </w:r>
      <w:r w:rsidRPr="004D759C">
        <w:rPr>
          <w:i/>
        </w:rPr>
        <w:t xml:space="preserve">irearm </w:t>
      </w:r>
      <w:r>
        <w:rPr>
          <w:i/>
        </w:rPr>
        <w:t xml:space="preserve">found by police </w:t>
      </w:r>
      <w:r w:rsidRPr="004D759C">
        <w:rPr>
          <w:i/>
        </w:rPr>
        <w:t xml:space="preserve">in bag belonging to accused in back seat of car </w:t>
      </w:r>
      <w:r>
        <w:rPr>
          <w:i/>
        </w:rPr>
        <w:t>in which</w:t>
      </w:r>
      <w:r w:rsidRPr="004D759C">
        <w:rPr>
          <w:i/>
        </w:rPr>
        <w:t xml:space="preserve"> </w:t>
      </w:r>
      <w:r>
        <w:rPr>
          <w:i/>
        </w:rPr>
        <w:t xml:space="preserve">there were also </w:t>
      </w:r>
      <w:r w:rsidRPr="004D759C">
        <w:rPr>
          <w:i/>
        </w:rPr>
        <w:t xml:space="preserve">two other </w:t>
      </w:r>
      <w:r>
        <w:rPr>
          <w:i/>
        </w:rPr>
        <w:t>individuals</w:t>
      </w:r>
      <w:r w:rsidRPr="004D759C">
        <w:rPr>
          <w:i/>
        </w:rPr>
        <w:t xml:space="preserve"> — Trial judge finding that accused’s testimony that he </w:t>
      </w:r>
      <w:r>
        <w:rPr>
          <w:i/>
        </w:rPr>
        <w:t xml:space="preserve">did not know </w:t>
      </w:r>
      <w:r w:rsidRPr="004D759C">
        <w:rPr>
          <w:i/>
        </w:rPr>
        <w:t xml:space="preserve">firearm was in his bag was not credible — Accused convicted — </w:t>
      </w:r>
      <w:r w:rsidRPr="00ED7BAD">
        <w:rPr>
          <w:i/>
        </w:rPr>
        <w:t>Accused appealing on ground that verdict was unreasonable</w:t>
      </w:r>
      <w:r w:rsidRPr="004D759C">
        <w:rPr>
          <w:i/>
        </w:rPr>
        <w:t xml:space="preserve"> — Majority of Court of Appeal dismissing appeal — Convictions upheld.</w:t>
      </w:r>
    </w:p>
    <w:p w:rsidR="007E1C47" w:rsidRDefault="002E6705" w:rsidP="000F7228">
      <w:pPr>
        <w:pStyle w:val="SCCNormalDoubleSpacing"/>
        <w:widowControl w:val="0"/>
        <w:spacing w:after="720" w:line="240" w:lineRule="auto"/>
        <w:rPr>
          <w:b/>
        </w:rPr>
      </w:pPr>
      <w:r w:rsidRPr="00314E01">
        <w:rPr>
          <w:b/>
        </w:rPr>
        <w:t>Cases Cited</w:t>
      </w:r>
    </w:p>
    <w:p w:rsidR="004E2C26" w:rsidRPr="007E1C47" w:rsidRDefault="002E6705" w:rsidP="000F7228">
      <w:pPr>
        <w:pStyle w:val="SCCNormalDoubleSpacing"/>
        <w:widowControl w:val="0"/>
        <w:spacing w:after="480"/>
      </w:pPr>
      <w:r>
        <w:tab/>
      </w:r>
      <w:r w:rsidRPr="00314E01">
        <w:rPr>
          <w:b/>
        </w:rPr>
        <w:t>Referred to:</w:t>
      </w:r>
      <w:r w:rsidR="00BD0E9E" w:rsidRPr="00BD0E9E">
        <w:t xml:space="preserve"> </w:t>
      </w:r>
      <w:r w:rsidR="0040223D">
        <w:rPr>
          <w:i/>
          <w:iCs/>
          <w:color w:val="000000"/>
        </w:rPr>
        <w:t>R. v. Villaroman</w:t>
      </w:r>
      <w:r w:rsidR="0040223D">
        <w:rPr>
          <w:color w:val="000000"/>
        </w:rPr>
        <w:t xml:space="preserve">, 2016 SCC 33, [2016] 1 S.C.R. 1000; </w:t>
      </w:r>
      <w:r w:rsidR="0040223D">
        <w:rPr>
          <w:i/>
          <w:iCs/>
          <w:color w:val="000000"/>
        </w:rPr>
        <w:t>R. v. W.(D.)</w:t>
      </w:r>
      <w:r w:rsidR="0040223D">
        <w:rPr>
          <w:color w:val="000000"/>
        </w:rPr>
        <w:t>, [1991] 1 S.C.R. 742.</w:t>
      </w:r>
    </w:p>
    <w:p w:rsidR="00656313" w:rsidRPr="00400A45" w:rsidRDefault="009B57B3" w:rsidP="000F7228">
      <w:pPr>
        <w:pStyle w:val="SCCNormalDoubleSpacing"/>
        <w:spacing w:after="480"/>
        <w:rPr>
          <w:lang w:val="en-US"/>
        </w:rPr>
      </w:pPr>
      <w:r w:rsidRPr="001426A9">
        <w:tab/>
        <w:t xml:space="preserve">APPEAL from a judgment of the </w:t>
      </w:r>
      <w:r w:rsidR="00B16753">
        <w:t xml:space="preserve">Quebec </w:t>
      </w:r>
      <w:r>
        <w:t>Cour</w:t>
      </w:r>
      <w:r w:rsidR="00B16753">
        <w:t>t of Appeal (</w:t>
      </w:r>
      <w:r w:rsidR="00400A45" w:rsidRPr="00400A45">
        <w:rPr>
          <w:lang w:val="en-US"/>
        </w:rPr>
        <w:t xml:space="preserve">Pelletier, Schrager </w:t>
      </w:r>
      <w:r w:rsidR="00400A45">
        <w:rPr>
          <w:lang w:val="en-US"/>
        </w:rPr>
        <w:t>and</w:t>
      </w:r>
      <w:r w:rsidR="00400A45" w:rsidRPr="00400A45">
        <w:rPr>
          <w:lang w:val="en-US"/>
        </w:rPr>
        <w:t xml:space="preserve"> Moore JJ.</w:t>
      </w:r>
      <w:r w:rsidR="00400A45">
        <w:rPr>
          <w:lang w:val="en-US"/>
        </w:rPr>
        <w:t>A.</w:t>
      </w:r>
      <w:r w:rsidR="00B16753">
        <w:t>)</w:t>
      </w:r>
      <w:r w:rsidR="00400A45">
        <w:t xml:space="preserve">, </w:t>
      </w:r>
      <w:hyperlink r:id="rId9" w:history="1">
        <w:r w:rsidR="00400A45" w:rsidRPr="000D0DC0">
          <w:rPr>
            <w:rStyle w:val="Hyperlink"/>
            <w:lang w:val="en-US"/>
          </w:rPr>
          <w:t>2022 QCCA 138</w:t>
        </w:r>
      </w:hyperlink>
      <w:r w:rsidR="00400A45" w:rsidRPr="00400A45">
        <w:rPr>
          <w:lang w:val="en-US"/>
        </w:rPr>
        <w:t>,</w:t>
      </w:r>
      <w:r w:rsidR="00097693">
        <w:rPr>
          <w:lang w:val="en-US"/>
        </w:rPr>
        <w:t xml:space="preserve"> </w:t>
      </w:r>
      <w:r w:rsidR="00097693">
        <w:t xml:space="preserve">[2022] </w:t>
      </w:r>
      <w:r w:rsidR="000F7228">
        <w:t>AZ</w:t>
      </w:r>
      <w:r w:rsidR="000F7228">
        <w:noBreakHyphen/>
      </w:r>
      <w:r w:rsidR="00097693" w:rsidRPr="00097693">
        <w:t>51826418</w:t>
      </w:r>
      <w:r w:rsidR="00097693">
        <w:t>,</w:t>
      </w:r>
      <w:r w:rsidR="005509BE">
        <w:rPr>
          <w:lang w:val="en-US"/>
        </w:rPr>
        <w:t xml:space="preserve"> </w:t>
      </w:r>
      <w:r w:rsidR="00512E3C">
        <w:rPr>
          <w:lang w:val="en-US"/>
        </w:rPr>
        <w:t>480 D.L.R. (4</w:t>
      </w:r>
      <w:r w:rsidR="00512E3C" w:rsidRPr="00512E3C">
        <w:rPr>
          <w:lang w:val="en-US"/>
        </w:rPr>
        <w:t>th</w:t>
      </w:r>
      <w:r w:rsidR="00512E3C">
        <w:rPr>
          <w:lang w:val="en-US"/>
        </w:rPr>
        <w:t xml:space="preserve">) 623, 424 C.C.C. (3d) 272, </w:t>
      </w:r>
      <w:r w:rsidR="005509BE">
        <w:rPr>
          <w:lang w:val="en-US"/>
        </w:rPr>
        <w:t xml:space="preserve">[2022] </w:t>
      </w:r>
      <w:r w:rsidR="00097693" w:rsidRPr="00097693">
        <w:rPr>
          <w:lang w:val="en-US"/>
        </w:rPr>
        <w:t>Q.</w:t>
      </w:r>
      <w:r w:rsidR="005509BE">
        <w:rPr>
          <w:lang w:val="en-US"/>
        </w:rPr>
        <w:t>J. No. 4</w:t>
      </w:r>
      <w:r w:rsidR="00097693" w:rsidRPr="00097693">
        <w:rPr>
          <w:lang w:val="en-US"/>
        </w:rPr>
        <w:t>13</w:t>
      </w:r>
      <w:r w:rsidR="00097693">
        <w:rPr>
          <w:lang w:val="en-US"/>
        </w:rPr>
        <w:t xml:space="preserve"> (QL), </w:t>
      </w:r>
      <w:r w:rsidR="00097693" w:rsidRPr="00097693">
        <w:t xml:space="preserve">2022 CarswellQue </w:t>
      </w:r>
      <w:r w:rsidR="005509BE">
        <w:t>20272</w:t>
      </w:r>
      <w:r w:rsidR="00097693">
        <w:t xml:space="preserve"> (WL),</w:t>
      </w:r>
      <w:r w:rsidR="009E1E99" w:rsidRPr="00796D65">
        <w:rPr>
          <w:lang w:val="en"/>
        </w:rPr>
        <w:t xml:space="preserve"> </w:t>
      </w:r>
      <w:r w:rsidR="009E1E99" w:rsidRPr="00F05B87">
        <w:rPr>
          <w:lang w:val="en"/>
        </w:rPr>
        <w:t xml:space="preserve">affirming the convictions of the accused </w:t>
      </w:r>
      <w:r w:rsidR="00F05B87" w:rsidRPr="00F05B87">
        <w:rPr>
          <w:lang w:val="en"/>
        </w:rPr>
        <w:t xml:space="preserve">for possession of a loaded restricted firearm </w:t>
      </w:r>
      <w:r w:rsidR="00F05B87" w:rsidRPr="00F05B87">
        <w:t>and failure to comply with a condition of a recognizance</w:t>
      </w:r>
      <w:r w:rsidR="009E1E99">
        <w:rPr>
          <w:rFonts w:ascii="Helvetica Neue" w:hAnsi="Helvetica Neue"/>
          <w:color w:val="333333"/>
          <w:shd w:val="clear" w:color="auto" w:fill="FFFFFF"/>
        </w:rPr>
        <w:t>. Appeal dismissed.</w:t>
      </w:r>
    </w:p>
    <w:p w:rsidR="00A736B0" w:rsidRDefault="00FB204E" w:rsidP="000F7228">
      <w:pPr>
        <w:pStyle w:val="SCCNormalDoubleSpacing"/>
        <w:spacing w:after="480"/>
      </w:pPr>
      <w:r>
        <w:rPr>
          <w:rStyle w:val="SCCCounselNameChar"/>
        </w:rPr>
        <w:tab/>
        <w:t>David Leclair</w:t>
      </w:r>
      <w:r>
        <w:rPr>
          <w:rStyle w:val="SCCCounselSeparatorChar"/>
        </w:rPr>
        <w:t xml:space="preserve"> and </w:t>
      </w:r>
      <w:r>
        <w:rPr>
          <w:rStyle w:val="SCCCounselNameChar"/>
        </w:rPr>
        <w:t>Mustapha Mahmoud</w:t>
      </w:r>
      <w:r>
        <w:rPr>
          <w:rStyle w:val="SCCCounselPartyRoleChar"/>
        </w:rPr>
        <w:t>, for the appellant.</w:t>
      </w:r>
    </w:p>
    <w:p w:rsidR="00A736B0" w:rsidRDefault="000F7228" w:rsidP="000F7228">
      <w:pPr>
        <w:pStyle w:val="SCCNormalDoubleSpacing"/>
        <w:spacing w:after="480"/>
      </w:pPr>
      <w:r>
        <w:rPr>
          <w:rStyle w:val="SCCCounselNameChar"/>
        </w:rPr>
        <w:tab/>
        <w:t>Jean</w:t>
      </w:r>
      <w:r>
        <w:rPr>
          <w:rStyle w:val="SCCCounselNameChar"/>
        </w:rPr>
        <w:noBreakHyphen/>
      </w:r>
      <w:r w:rsidR="00FB204E">
        <w:rPr>
          <w:rStyle w:val="SCCCounselNameChar"/>
        </w:rPr>
        <w:t xml:space="preserve">Philippe </w:t>
      </w:r>
      <w:r w:rsidR="006218A3" w:rsidRPr="00B23F5C">
        <w:rPr>
          <w:i/>
        </w:rPr>
        <w:t xml:space="preserve">MacKay </w:t>
      </w:r>
      <w:r w:rsidR="00FB204E">
        <w:rPr>
          <w:rStyle w:val="SCCCounselSeparatorChar"/>
        </w:rPr>
        <w:t xml:space="preserve">and </w:t>
      </w:r>
      <w:r w:rsidR="00FB204E">
        <w:rPr>
          <w:rStyle w:val="SCCCounselNameChar"/>
        </w:rPr>
        <w:t>Robert Benoit</w:t>
      </w:r>
      <w:r w:rsidR="00FB204E">
        <w:rPr>
          <w:rStyle w:val="SCCCounselPartyRoleChar"/>
        </w:rPr>
        <w:t>, for the respondent.</w:t>
      </w:r>
    </w:p>
    <w:p w:rsidR="00A736B0" w:rsidRPr="00A16B7F" w:rsidRDefault="00FB204E" w:rsidP="000F7228">
      <w:pPr>
        <w:pStyle w:val="SCCLawFirm"/>
        <w:spacing w:after="480"/>
        <w:rPr>
          <w:i w:val="0"/>
          <w:lang w:val="en-US"/>
        </w:rPr>
      </w:pPr>
      <w:r w:rsidRPr="004F43B7">
        <w:rPr>
          <w:lang w:val="en-US"/>
        </w:rPr>
        <w:tab/>
      </w:r>
      <w:r w:rsidR="00B16753" w:rsidRPr="00A16B7F">
        <w:rPr>
          <w:i w:val="0"/>
        </w:rPr>
        <w:t>English version of the judgment of the Court delivered orally by</w:t>
      </w:r>
    </w:p>
    <w:p w:rsidR="003B7EF2" w:rsidRPr="0040223D" w:rsidRDefault="0040223D" w:rsidP="000F7228">
      <w:pPr>
        <w:pStyle w:val="ParaNoNdepar-AltN"/>
        <w:numPr>
          <w:ilvl w:val="0"/>
          <w:numId w:val="1"/>
        </w:numPr>
        <w:tabs>
          <w:tab w:val="left" w:pos="1166"/>
        </w:tabs>
        <w:spacing w:before="0"/>
        <w:rPr>
          <w:lang w:val="en-US"/>
        </w:rPr>
      </w:pPr>
      <w:r w:rsidRPr="0040223D">
        <w:rPr>
          <w:smallCaps/>
        </w:rPr>
        <w:t>Kasirer J.</w:t>
      </w:r>
      <w:r w:rsidR="003B7EF2" w:rsidRPr="0040223D">
        <w:rPr>
          <w:smallCaps/>
          <w:lang w:val="en-US"/>
        </w:rPr>
        <w:t xml:space="preserve"> </w:t>
      </w:r>
      <w:r w:rsidR="003B7EF2" w:rsidRPr="0040223D">
        <w:rPr>
          <w:lang w:val="en-US"/>
        </w:rPr>
        <w:t xml:space="preserve">— </w:t>
      </w:r>
      <w:r>
        <w:rPr>
          <w:color w:val="000000"/>
        </w:rPr>
        <w:t>The Court is of the view that the appeal should be dismissed for the reasons given by Moore J.A. for the majority of the Court of Appeal.</w:t>
      </w:r>
    </w:p>
    <w:p w:rsidR="003B7EF2" w:rsidRPr="0040223D" w:rsidRDefault="0040223D" w:rsidP="00760EED">
      <w:pPr>
        <w:pStyle w:val="ParaNoNdepar-AltN"/>
        <w:numPr>
          <w:ilvl w:val="0"/>
          <w:numId w:val="1"/>
        </w:numPr>
        <w:tabs>
          <w:tab w:val="left" w:pos="1166"/>
        </w:tabs>
        <w:spacing w:before="0"/>
        <w:rPr>
          <w:lang w:val="en-US"/>
        </w:rPr>
      </w:pPr>
      <w:r>
        <w:rPr>
          <w:color w:val="000000"/>
        </w:rPr>
        <w:t>We agree with the majority that it was reasonable for the trial judge to conclude that the evidence as a whole excluded all reasonable alternatives to guilt (see</w:t>
      </w:r>
      <w:r w:rsidR="00653DE6">
        <w:rPr>
          <w:color w:val="000000"/>
        </w:rPr>
        <w:t xml:space="preserve"> </w:t>
      </w:r>
      <w:r>
        <w:rPr>
          <w:i/>
          <w:iCs/>
          <w:color w:val="000000"/>
        </w:rPr>
        <w:t>R. v. Villaroman</w:t>
      </w:r>
      <w:r>
        <w:rPr>
          <w:color w:val="000000"/>
        </w:rPr>
        <w:t>, 2016 SCC 33, [2016] 1 S.C.R. 1000, at para. 71, cited by the majority in this case at para. 41 of its reasons).</w:t>
      </w:r>
    </w:p>
    <w:p w:rsidR="003B7EF2" w:rsidRPr="0040223D" w:rsidRDefault="0040223D" w:rsidP="002F0CED">
      <w:pPr>
        <w:pStyle w:val="ParaNoNdepar-AltN"/>
        <w:numPr>
          <w:ilvl w:val="0"/>
          <w:numId w:val="1"/>
        </w:numPr>
        <w:tabs>
          <w:tab w:val="left" w:pos="1166"/>
        </w:tabs>
        <w:spacing w:before="0"/>
        <w:rPr>
          <w:lang w:val="en-US"/>
        </w:rPr>
      </w:pPr>
      <w:r>
        <w:rPr>
          <w:color w:val="000000"/>
        </w:rPr>
        <w:t>All of the grounds of appeal are without merit.</w:t>
      </w:r>
    </w:p>
    <w:p w:rsidR="003B7EF2" w:rsidRPr="0040223D" w:rsidRDefault="0040223D" w:rsidP="002F0CED">
      <w:pPr>
        <w:pStyle w:val="ParaNoNdepar-AltN"/>
        <w:numPr>
          <w:ilvl w:val="0"/>
          <w:numId w:val="1"/>
        </w:numPr>
        <w:tabs>
          <w:tab w:val="left" w:pos="1166"/>
        </w:tabs>
        <w:spacing w:before="0"/>
        <w:rPr>
          <w:lang w:val="en-US"/>
        </w:rPr>
      </w:pPr>
      <w:r>
        <w:rPr>
          <w:color w:val="000000"/>
        </w:rPr>
        <w:t>First, the trial judge made no error in applying the test set out in</w:t>
      </w:r>
      <w:r w:rsidR="00653DE6">
        <w:rPr>
          <w:color w:val="000000"/>
        </w:rPr>
        <w:t xml:space="preserve"> </w:t>
      </w:r>
      <w:r>
        <w:rPr>
          <w:i/>
          <w:iCs/>
          <w:color w:val="000000"/>
        </w:rPr>
        <w:t>R. v. W.(D.)</w:t>
      </w:r>
      <w:r>
        <w:rPr>
          <w:color w:val="000000"/>
        </w:rPr>
        <w:t>, [1991] 1 S.C.R. 742, at p. 758. She wholly rejected the defence evidence while concluding that it did not raise a reasonable doubt. Finding that there was strong circumstantial evidence relating to possession, the judge was faced with a lack of evidence that could counter the inference of guilt reasonably arising from the Crown’s evidence. Nothing in the judge’s reasons suggests that she used the rejection of the defence evidence as positive evidence of guilt. The majority of the Court of Appeal made the same observation at para. 36 of its reasons, finding that [</w:t>
      </w:r>
      <w:r>
        <w:rPr>
          <w:smallCaps/>
          <w:color w:val="000000"/>
        </w:rPr>
        <w:t>translation</w:t>
      </w:r>
      <w:r>
        <w:rPr>
          <w:color w:val="000000"/>
        </w:rPr>
        <w:t>] “the judge’s rejection of the appellant’s testimony, due to its inconsistencies, became determinative of and fatal to the outcome of his defence”.</w:t>
      </w:r>
    </w:p>
    <w:p w:rsidR="003B7EF2" w:rsidRPr="0040223D" w:rsidRDefault="0040223D" w:rsidP="002F0CED">
      <w:pPr>
        <w:pStyle w:val="ParaNoNdepar-AltN"/>
        <w:numPr>
          <w:ilvl w:val="0"/>
          <w:numId w:val="1"/>
        </w:numPr>
        <w:tabs>
          <w:tab w:val="left" w:pos="1166"/>
        </w:tabs>
        <w:spacing w:before="0"/>
        <w:rPr>
          <w:lang w:val="en-US"/>
        </w:rPr>
      </w:pPr>
      <w:r>
        <w:rPr>
          <w:color w:val="000000"/>
        </w:rPr>
        <w:t>Second, the majority of the Court of Appeal did not err in applying</w:t>
      </w:r>
      <w:r w:rsidR="00653DE6">
        <w:rPr>
          <w:color w:val="000000"/>
        </w:rPr>
        <w:t xml:space="preserve"> </w:t>
      </w:r>
      <w:r>
        <w:rPr>
          <w:i/>
          <w:iCs/>
          <w:color w:val="000000"/>
        </w:rPr>
        <w:t>Villaroman</w:t>
      </w:r>
      <w:r>
        <w:rPr>
          <w:color w:val="000000"/>
        </w:rPr>
        <w:t>. The “only reasonable inference” criterion obviously does not mean that guilt had to be the only possible or conceivable inference.</w:t>
      </w:r>
    </w:p>
    <w:p w:rsidR="003B7EF2" w:rsidRPr="0040223D" w:rsidRDefault="0040223D" w:rsidP="002F0CED">
      <w:pPr>
        <w:pStyle w:val="ParaNoNdepar-AltN"/>
        <w:numPr>
          <w:ilvl w:val="0"/>
          <w:numId w:val="1"/>
        </w:numPr>
        <w:tabs>
          <w:tab w:val="left" w:pos="1166"/>
        </w:tabs>
        <w:spacing w:before="0"/>
        <w:rPr>
          <w:lang w:val="en-US"/>
        </w:rPr>
      </w:pPr>
      <w:r>
        <w:rPr>
          <w:color w:val="000000"/>
        </w:rPr>
        <w:t>The dissenting judge on appeal stressed that it was [</w:t>
      </w:r>
      <w:r>
        <w:rPr>
          <w:smallCaps/>
          <w:color w:val="000000"/>
        </w:rPr>
        <w:t>translation</w:t>
      </w:r>
      <w:r>
        <w:rPr>
          <w:color w:val="000000"/>
        </w:rPr>
        <w:t>] “reasonable and not speculative to infer that Mr. Daniel may have placed the firearm in the bag” (para. 28 (footnote omitted)). This is indeed a plausible theory given the fact that Mr. Daniel was sitting beside the bag and that his DNA was found on the firearm. However, as the majority of the Court of Appeal noted, whether or not it was the appellant who placed the firearm in the bag [</w:t>
      </w:r>
      <w:r>
        <w:rPr>
          <w:smallCaps/>
          <w:color w:val="000000"/>
        </w:rPr>
        <w:t>translation</w:t>
      </w:r>
      <w:r>
        <w:rPr>
          <w:color w:val="000000"/>
        </w:rPr>
        <w:t>] “is immaterial” (para. 38). Insofar as the prosecution established that the firearm had not been placed there without the appellant’s knowledge or against his will, all of the elements of possession were present. The trial judge could therefore conclude that the only reasonable inference was that the firearm had been concealed in the bag with the appellant’s full knowledge.</w:t>
      </w:r>
    </w:p>
    <w:p w:rsidR="003B7EF2" w:rsidRPr="0040223D" w:rsidRDefault="0040223D" w:rsidP="002F0CED">
      <w:pPr>
        <w:pStyle w:val="ParaNoNdepar-AltN"/>
        <w:numPr>
          <w:ilvl w:val="0"/>
          <w:numId w:val="1"/>
        </w:numPr>
        <w:tabs>
          <w:tab w:val="left" w:pos="1166"/>
        </w:tabs>
        <w:spacing w:before="0"/>
        <w:rPr>
          <w:lang w:val="en-US"/>
        </w:rPr>
      </w:pPr>
      <w:r>
        <w:rPr>
          <w:color w:val="000000"/>
        </w:rPr>
        <w:t>Third, the trial judge did not err in referring to the appellant’s calm reaction when he was arrested for possession of a firearm. As the majority noted, the judge did not use this to evaluate the appellant’s credibility during his testimony, but rather to assess, as one element of the circumstantial evidence, the appellant’s knowledge of the fact that the firearm was in his bag (majority reasons, at para. 37).</w:t>
      </w:r>
    </w:p>
    <w:p w:rsidR="003B7EF2" w:rsidRPr="0040223D" w:rsidRDefault="0040223D" w:rsidP="002F0CED">
      <w:pPr>
        <w:pStyle w:val="ParaNoNdepar-AltN"/>
        <w:numPr>
          <w:ilvl w:val="0"/>
          <w:numId w:val="1"/>
        </w:numPr>
        <w:tabs>
          <w:tab w:val="left" w:pos="1166"/>
        </w:tabs>
        <w:spacing w:before="0"/>
        <w:rPr>
          <w:lang w:val="en-US"/>
        </w:rPr>
      </w:pPr>
      <w:r>
        <w:rPr>
          <w:color w:val="000000"/>
        </w:rPr>
        <w:t>For these reasons, the appeal is dismissed.</w:t>
      </w:r>
    </w:p>
    <w:p w:rsidR="009B57B3" w:rsidRDefault="009B57B3" w:rsidP="002F0CED">
      <w:pPr>
        <w:pStyle w:val="SCCNormalDoubleSpacing"/>
        <w:spacing w:after="480"/>
      </w:pPr>
      <w:r w:rsidRPr="00B16753">
        <w:rPr>
          <w:lang w:val="en-US"/>
        </w:rPr>
        <w:tab/>
      </w:r>
      <w:r w:rsidR="00B16753" w:rsidRPr="003B7EF2">
        <w:rPr>
          <w:i/>
          <w:lang w:val="en-US"/>
        </w:rPr>
        <w:t>Judgment accordingly.</w:t>
      </w:r>
    </w:p>
    <w:p w:rsidR="00A736B0" w:rsidRPr="00A16B7F" w:rsidRDefault="00B16753" w:rsidP="002F0CED">
      <w:pPr>
        <w:pStyle w:val="SCCLawFirm"/>
        <w:spacing w:after="480"/>
        <w:rPr>
          <w:lang w:val="en-US"/>
        </w:rPr>
      </w:pPr>
      <w:r w:rsidRPr="00A16B7F">
        <w:rPr>
          <w:lang w:val="en-US"/>
        </w:rPr>
        <w:tab/>
        <w:t>Solicitor</w:t>
      </w:r>
      <w:r w:rsidR="00FB204E" w:rsidRPr="00A16B7F">
        <w:rPr>
          <w:lang w:val="en-US"/>
        </w:rPr>
        <w:t>s for the appellant: David Leclair</w:t>
      </w:r>
      <w:r w:rsidRPr="00A16B7F">
        <w:rPr>
          <w:lang w:val="en-US"/>
        </w:rPr>
        <w:t>, avocat</w:t>
      </w:r>
      <w:r w:rsidR="00FB204E" w:rsidRPr="00A16B7F">
        <w:rPr>
          <w:lang w:val="en-US"/>
        </w:rPr>
        <w:t>, Montréal</w:t>
      </w:r>
      <w:r w:rsidRPr="00A16B7F">
        <w:rPr>
          <w:lang w:val="en-US"/>
        </w:rPr>
        <w:t>; LEMN Avocats, Montréal</w:t>
      </w:r>
      <w:r w:rsidR="00FB204E" w:rsidRPr="00A16B7F">
        <w:rPr>
          <w:lang w:val="en-US"/>
        </w:rPr>
        <w:t>.</w:t>
      </w:r>
    </w:p>
    <w:p w:rsidR="00A736B0" w:rsidRPr="003B7EF2" w:rsidRDefault="00FB204E" w:rsidP="002F0CED">
      <w:pPr>
        <w:pStyle w:val="SCCLawFirm"/>
        <w:spacing w:after="480"/>
        <w:rPr>
          <w:lang w:val="en-US"/>
        </w:rPr>
      </w:pPr>
      <w:r w:rsidRPr="00A16B7F">
        <w:rPr>
          <w:lang w:val="en-US"/>
        </w:rPr>
        <w:tab/>
      </w:r>
      <w:r w:rsidR="00B16753" w:rsidRPr="003B7EF2">
        <w:rPr>
          <w:lang w:val="en-US"/>
        </w:rPr>
        <w:t>Solicitor</w:t>
      </w:r>
      <w:r w:rsidRPr="003B7EF2">
        <w:rPr>
          <w:lang w:val="en-US"/>
        </w:rPr>
        <w:t xml:space="preserve"> for the respondent: </w:t>
      </w:r>
      <w:r w:rsidR="00B16753" w:rsidRPr="003B7EF2">
        <w:rPr>
          <w:lang w:val="en-US"/>
        </w:rPr>
        <w:t>Director of Criminal and Penal Prosecutions</w:t>
      </w:r>
      <w:r w:rsidRPr="003B7EF2">
        <w:rPr>
          <w:lang w:val="en-US"/>
        </w:rPr>
        <w:t>, Montréal.</w:t>
      </w:r>
    </w:p>
    <w:sectPr w:rsidR="00A736B0" w:rsidRPr="003B7EF2" w:rsidSect="000648CC">
      <w:headerReference w:type="even" r:id="rId10"/>
      <w:footerReference w:type="even" r:id="rId11"/>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437" w:rsidRDefault="00C06437">
      <w:r>
        <w:separator/>
      </w:r>
    </w:p>
  </w:endnote>
  <w:endnote w:type="continuationSeparator" w:id="0">
    <w:p w:rsidR="00C06437" w:rsidRDefault="00C0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437" w:rsidRDefault="00C06437">
      <w:r>
        <w:separator/>
      </w:r>
    </w:p>
  </w:footnote>
  <w:footnote w:type="continuationSeparator" w:id="0">
    <w:p w:rsidR="00C06437" w:rsidRDefault="00C0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267E7"/>
    <w:multiLevelType w:val="hybridMultilevel"/>
    <w:tmpl w:val="24D6A4EA"/>
    <w:lvl w:ilvl="0" w:tplc="E78A321E">
      <w:start w:val="1"/>
      <w:numFmt w:val="decimal"/>
      <w:lvlText w:val="[%1]"/>
      <w:lvlJc w:val="left"/>
      <w:pPr>
        <w:tabs>
          <w:tab w:val="num" w:pos="1166"/>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578A3"/>
    <w:rsid w:val="000648CC"/>
    <w:rsid w:val="00097693"/>
    <w:rsid w:val="000A5334"/>
    <w:rsid w:val="000C59B8"/>
    <w:rsid w:val="000C6AF0"/>
    <w:rsid w:val="000D0DC0"/>
    <w:rsid w:val="000F7228"/>
    <w:rsid w:val="00104F33"/>
    <w:rsid w:val="00111DE2"/>
    <w:rsid w:val="00116B38"/>
    <w:rsid w:val="00135406"/>
    <w:rsid w:val="00135972"/>
    <w:rsid w:val="001426A9"/>
    <w:rsid w:val="00154D7C"/>
    <w:rsid w:val="001570B0"/>
    <w:rsid w:val="0015752C"/>
    <w:rsid w:val="00157737"/>
    <w:rsid w:val="00165277"/>
    <w:rsid w:val="00170592"/>
    <w:rsid w:val="00186351"/>
    <w:rsid w:val="00195D83"/>
    <w:rsid w:val="001A00C1"/>
    <w:rsid w:val="001B33E0"/>
    <w:rsid w:val="001B4573"/>
    <w:rsid w:val="001C779F"/>
    <w:rsid w:val="001D2AC1"/>
    <w:rsid w:val="001D4E88"/>
    <w:rsid w:val="00220FC2"/>
    <w:rsid w:val="002222F4"/>
    <w:rsid w:val="00224FC0"/>
    <w:rsid w:val="00225EA4"/>
    <w:rsid w:val="00226EAF"/>
    <w:rsid w:val="00231F3A"/>
    <w:rsid w:val="00234199"/>
    <w:rsid w:val="002406EE"/>
    <w:rsid w:val="00243EC8"/>
    <w:rsid w:val="00270D93"/>
    <w:rsid w:val="002745CC"/>
    <w:rsid w:val="002B7924"/>
    <w:rsid w:val="002D28C3"/>
    <w:rsid w:val="002D39A4"/>
    <w:rsid w:val="002E6705"/>
    <w:rsid w:val="002F0CED"/>
    <w:rsid w:val="002F3DA2"/>
    <w:rsid w:val="00301D08"/>
    <w:rsid w:val="0030329A"/>
    <w:rsid w:val="0031086F"/>
    <w:rsid w:val="0031414C"/>
    <w:rsid w:val="00314E01"/>
    <w:rsid w:val="0032089D"/>
    <w:rsid w:val="003310DE"/>
    <w:rsid w:val="003323B0"/>
    <w:rsid w:val="0035169A"/>
    <w:rsid w:val="0035259D"/>
    <w:rsid w:val="00364B18"/>
    <w:rsid w:val="00385BA6"/>
    <w:rsid w:val="003A125D"/>
    <w:rsid w:val="003A4C70"/>
    <w:rsid w:val="003B215F"/>
    <w:rsid w:val="003B7EF2"/>
    <w:rsid w:val="003C799C"/>
    <w:rsid w:val="003D0399"/>
    <w:rsid w:val="003E1C71"/>
    <w:rsid w:val="003F327B"/>
    <w:rsid w:val="00400A45"/>
    <w:rsid w:val="0040223D"/>
    <w:rsid w:val="00406166"/>
    <w:rsid w:val="0040704B"/>
    <w:rsid w:val="00410A55"/>
    <w:rsid w:val="00411300"/>
    <w:rsid w:val="00415417"/>
    <w:rsid w:val="00426659"/>
    <w:rsid w:val="00450352"/>
    <w:rsid w:val="00454BDB"/>
    <w:rsid w:val="00464800"/>
    <w:rsid w:val="00465132"/>
    <w:rsid w:val="00480C90"/>
    <w:rsid w:val="0048396F"/>
    <w:rsid w:val="00493C18"/>
    <w:rsid w:val="004A600C"/>
    <w:rsid w:val="004A6118"/>
    <w:rsid w:val="004C478D"/>
    <w:rsid w:val="004E2C26"/>
    <w:rsid w:val="004F36FF"/>
    <w:rsid w:val="004F43B7"/>
    <w:rsid w:val="005125A8"/>
    <w:rsid w:val="00512E3C"/>
    <w:rsid w:val="00521AE8"/>
    <w:rsid w:val="00527180"/>
    <w:rsid w:val="0054201E"/>
    <w:rsid w:val="005509BE"/>
    <w:rsid w:val="00555291"/>
    <w:rsid w:val="00566AD1"/>
    <w:rsid w:val="00583EDE"/>
    <w:rsid w:val="005A6079"/>
    <w:rsid w:val="005E4698"/>
    <w:rsid w:val="00610539"/>
    <w:rsid w:val="00613969"/>
    <w:rsid w:val="006218A3"/>
    <w:rsid w:val="00625C35"/>
    <w:rsid w:val="00653DE6"/>
    <w:rsid w:val="00656313"/>
    <w:rsid w:val="006565F4"/>
    <w:rsid w:val="00684EEA"/>
    <w:rsid w:val="0069689B"/>
    <w:rsid w:val="006A1551"/>
    <w:rsid w:val="006B5FF5"/>
    <w:rsid w:val="006F30AF"/>
    <w:rsid w:val="00701759"/>
    <w:rsid w:val="00705C15"/>
    <w:rsid w:val="0071600E"/>
    <w:rsid w:val="007208D1"/>
    <w:rsid w:val="00747288"/>
    <w:rsid w:val="00747DD3"/>
    <w:rsid w:val="007549C8"/>
    <w:rsid w:val="00754A0B"/>
    <w:rsid w:val="00760EED"/>
    <w:rsid w:val="00766D14"/>
    <w:rsid w:val="00767A0F"/>
    <w:rsid w:val="007A05F6"/>
    <w:rsid w:val="007B6F4A"/>
    <w:rsid w:val="007E1C47"/>
    <w:rsid w:val="007E337A"/>
    <w:rsid w:val="007E5C70"/>
    <w:rsid w:val="007F2FF5"/>
    <w:rsid w:val="007F3F08"/>
    <w:rsid w:val="00804CC6"/>
    <w:rsid w:val="00811C55"/>
    <w:rsid w:val="00817190"/>
    <w:rsid w:val="00820EE5"/>
    <w:rsid w:val="008260E2"/>
    <w:rsid w:val="008322BD"/>
    <w:rsid w:val="00833E0A"/>
    <w:rsid w:val="00834F73"/>
    <w:rsid w:val="00864CF8"/>
    <w:rsid w:val="00872819"/>
    <w:rsid w:val="00874914"/>
    <w:rsid w:val="00891422"/>
    <w:rsid w:val="00892E1A"/>
    <w:rsid w:val="008A3F29"/>
    <w:rsid w:val="008B660A"/>
    <w:rsid w:val="008C01DA"/>
    <w:rsid w:val="008C4067"/>
    <w:rsid w:val="008F78E9"/>
    <w:rsid w:val="00911989"/>
    <w:rsid w:val="009179F9"/>
    <w:rsid w:val="00933E5E"/>
    <w:rsid w:val="00935218"/>
    <w:rsid w:val="009403F3"/>
    <w:rsid w:val="009555B7"/>
    <w:rsid w:val="009567AA"/>
    <w:rsid w:val="00967374"/>
    <w:rsid w:val="009A343A"/>
    <w:rsid w:val="009B2F23"/>
    <w:rsid w:val="009B57B3"/>
    <w:rsid w:val="009C5B92"/>
    <w:rsid w:val="009D2920"/>
    <w:rsid w:val="009D5AEB"/>
    <w:rsid w:val="009E1E99"/>
    <w:rsid w:val="009F0E33"/>
    <w:rsid w:val="00A030CE"/>
    <w:rsid w:val="00A149DF"/>
    <w:rsid w:val="00A16B7F"/>
    <w:rsid w:val="00A1755C"/>
    <w:rsid w:val="00A21B90"/>
    <w:rsid w:val="00A41805"/>
    <w:rsid w:val="00A42DCD"/>
    <w:rsid w:val="00A52AFB"/>
    <w:rsid w:val="00A548CB"/>
    <w:rsid w:val="00A5521C"/>
    <w:rsid w:val="00A643E7"/>
    <w:rsid w:val="00A736B0"/>
    <w:rsid w:val="00A73C38"/>
    <w:rsid w:val="00AB670D"/>
    <w:rsid w:val="00AE4535"/>
    <w:rsid w:val="00AF03C5"/>
    <w:rsid w:val="00B000D8"/>
    <w:rsid w:val="00B00F75"/>
    <w:rsid w:val="00B145B6"/>
    <w:rsid w:val="00B16753"/>
    <w:rsid w:val="00B279EB"/>
    <w:rsid w:val="00B50C81"/>
    <w:rsid w:val="00B557F8"/>
    <w:rsid w:val="00B815FC"/>
    <w:rsid w:val="00B93FBC"/>
    <w:rsid w:val="00BA7DA0"/>
    <w:rsid w:val="00BB2EE4"/>
    <w:rsid w:val="00BC2108"/>
    <w:rsid w:val="00BD0E9E"/>
    <w:rsid w:val="00BD1BEC"/>
    <w:rsid w:val="00BD32FF"/>
    <w:rsid w:val="00C02092"/>
    <w:rsid w:val="00C06437"/>
    <w:rsid w:val="00C24D91"/>
    <w:rsid w:val="00C53F14"/>
    <w:rsid w:val="00C600CF"/>
    <w:rsid w:val="00C6084F"/>
    <w:rsid w:val="00C62A66"/>
    <w:rsid w:val="00C71458"/>
    <w:rsid w:val="00C77613"/>
    <w:rsid w:val="00C828E7"/>
    <w:rsid w:val="00C86719"/>
    <w:rsid w:val="00C921DD"/>
    <w:rsid w:val="00CA6391"/>
    <w:rsid w:val="00CC34BD"/>
    <w:rsid w:val="00CE161A"/>
    <w:rsid w:val="00CE3171"/>
    <w:rsid w:val="00CE48A7"/>
    <w:rsid w:val="00CF1601"/>
    <w:rsid w:val="00D0172F"/>
    <w:rsid w:val="00D068A7"/>
    <w:rsid w:val="00D17476"/>
    <w:rsid w:val="00D32086"/>
    <w:rsid w:val="00D37A3F"/>
    <w:rsid w:val="00D4431D"/>
    <w:rsid w:val="00D4667A"/>
    <w:rsid w:val="00D63A1C"/>
    <w:rsid w:val="00D7516F"/>
    <w:rsid w:val="00D8579F"/>
    <w:rsid w:val="00D93D66"/>
    <w:rsid w:val="00D95F8E"/>
    <w:rsid w:val="00DA0590"/>
    <w:rsid w:val="00DB7BEA"/>
    <w:rsid w:val="00DC1739"/>
    <w:rsid w:val="00DC1788"/>
    <w:rsid w:val="00DE319C"/>
    <w:rsid w:val="00DF0CA8"/>
    <w:rsid w:val="00DF2B48"/>
    <w:rsid w:val="00DF49A7"/>
    <w:rsid w:val="00E07EE2"/>
    <w:rsid w:val="00E07FD1"/>
    <w:rsid w:val="00E176D8"/>
    <w:rsid w:val="00E24573"/>
    <w:rsid w:val="00E25E1E"/>
    <w:rsid w:val="00E27EE7"/>
    <w:rsid w:val="00E35404"/>
    <w:rsid w:val="00E45109"/>
    <w:rsid w:val="00E47B7A"/>
    <w:rsid w:val="00E56A44"/>
    <w:rsid w:val="00E60269"/>
    <w:rsid w:val="00E77932"/>
    <w:rsid w:val="00E97830"/>
    <w:rsid w:val="00EE643C"/>
    <w:rsid w:val="00EF0683"/>
    <w:rsid w:val="00EF69D2"/>
    <w:rsid w:val="00EF766E"/>
    <w:rsid w:val="00F0070C"/>
    <w:rsid w:val="00F00EB7"/>
    <w:rsid w:val="00F05B87"/>
    <w:rsid w:val="00F36AB6"/>
    <w:rsid w:val="00F37A09"/>
    <w:rsid w:val="00F409CE"/>
    <w:rsid w:val="00F4379D"/>
    <w:rsid w:val="00F50D2D"/>
    <w:rsid w:val="00F56C8B"/>
    <w:rsid w:val="00F66810"/>
    <w:rsid w:val="00F818AE"/>
    <w:rsid w:val="00F846D9"/>
    <w:rsid w:val="00F84DF4"/>
    <w:rsid w:val="00F85C97"/>
    <w:rsid w:val="00FB204E"/>
    <w:rsid w:val="00FB37D2"/>
    <w:rsid w:val="00FC4EFB"/>
    <w:rsid w:val="00FD068D"/>
    <w:rsid w:val="00FD4F28"/>
    <w:rsid w:val="00FD72F3"/>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styleId="ListParagraph">
    <w:name w:val="List Paragraph"/>
    <w:basedOn w:val="Normal"/>
    <w:uiPriority w:val="34"/>
    <w:qFormat/>
    <w:rsid w:val="003B7EF2"/>
    <w:pPr>
      <w:ind w:left="720"/>
      <w:contextualSpacing/>
    </w:pPr>
  </w:style>
  <w:style w:type="character" w:styleId="Hyperlink">
    <w:name w:val="Hyperlink"/>
    <w:basedOn w:val="DefaultParagraphFont"/>
    <w:uiPriority w:val="99"/>
    <w:unhideWhenUsed/>
    <w:rsid w:val="00F818AE"/>
    <w:rPr>
      <w:color w:val="660000"/>
      <w:u w:val="none"/>
    </w:rPr>
  </w:style>
  <w:style w:type="paragraph" w:customStyle="1" w:styleId="ParaNoNdepar-AltN">
    <w:name w:val="Para. No. / Nº de par. - Alt N"/>
    <w:link w:val="ParaNoNdepar-AltNChar"/>
    <w:qFormat/>
    <w:rsid w:val="000F7228"/>
    <w:pPr>
      <w:tabs>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0F7228"/>
    <w:rPr>
      <w:rFonts w:eastAsiaTheme="minorEastAsia" w:cstheme="minorBidi"/>
      <w:sz w:val="24"/>
      <w:szCs w:val="22"/>
      <w:lang w:eastAsia="en-US"/>
    </w:rPr>
  </w:style>
  <w:style w:type="character" w:styleId="FollowedHyperlink">
    <w:name w:val="FollowedHyperlink"/>
    <w:basedOn w:val="DefaultParagraphFont"/>
    <w:uiPriority w:val="99"/>
    <w:semiHidden/>
    <w:unhideWhenUsed/>
    <w:rsid w:val="00F818AE"/>
    <w:rPr>
      <w:color w:val="800080" w:themeColor="followedHyperlink"/>
      <w:u w:val="single"/>
    </w:rPr>
  </w:style>
  <w:style w:type="character" w:customStyle="1" w:styleId="solexhl">
    <w:name w:val="solexhl"/>
    <w:basedOn w:val="DefaultParagraphFont"/>
    <w:rsid w:val="008C4067"/>
  </w:style>
  <w:style w:type="table" w:styleId="TableGrid">
    <w:name w:val="Table Grid"/>
    <w:basedOn w:val="TableNormal"/>
    <w:uiPriority w:val="59"/>
    <w:rsid w:val="008C4067"/>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8C4067"/>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soquij.ca/y6Z4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815</Words>
  <Characters>4217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2023-07-25T13:38:00Z</dcterms:created>
  <dcterms:modified xsi:type="dcterms:W3CDTF">2023-07-27T19:29:00Z</dcterms:modified>
</cp:coreProperties>
</file>