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vertAnchor="page" w:horzAnchor="margin" w:tblpY="117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89"/>
        <w:gridCol w:w="1891"/>
        <w:gridCol w:w="3761"/>
        <w:gridCol w:w="19"/>
      </w:tblGrid>
      <w:tr w:rsidR="006230B6" w:rsidRPr="009A3732" w:rsidTr="00AB05FA">
        <w:trPr>
          <w:trHeight w:val="2103"/>
        </w:trPr>
        <w:tc>
          <w:tcPr>
            <w:tcW w:w="5000" w:type="pct"/>
            <w:gridSpan w:val="4"/>
          </w:tcPr>
          <w:p w:rsidR="006230B6" w:rsidRPr="009A3732" w:rsidRDefault="00B91A56" w:rsidP="00AB05FA">
            <w:pPr>
              <w:jc w:val="center"/>
              <w:rPr>
                <w:szCs w:val="24"/>
              </w:rPr>
            </w:pPr>
            <w:bookmarkStart w:id="0" w:name="_GoBack"/>
            <w:bookmarkEnd w:id="0"/>
            <w:r w:rsidRPr="009A3732">
              <w:rPr>
                <w:noProof/>
                <w:szCs w:val="24"/>
                <w:lang w:val="fr-CA" w:eastAsia="fr-CA"/>
              </w:rPr>
              <w:drawing>
                <wp:inline distT="0" distB="0" distL="0" distR="0">
                  <wp:extent cx="1191895" cy="1638300"/>
                  <wp:effectExtent l="0" t="0" r="8255" b="0"/>
                  <wp:docPr id="1" name="Picture 1"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6230B6" w:rsidRPr="009A3732" w:rsidRDefault="006230B6" w:rsidP="00AB05FA">
            <w:pPr>
              <w:spacing w:before="120" w:after="100" w:afterAutospacing="1"/>
              <w:jc w:val="center"/>
              <w:rPr>
                <w:rFonts w:eastAsia="Calibri"/>
                <w:szCs w:val="24"/>
              </w:rPr>
            </w:pPr>
            <w:r w:rsidRPr="009A3732">
              <w:rPr>
                <w:rFonts w:eastAsia="Calibri"/>
                <w:b/>
                <w:szCs w:val="24"/>
                <w:lang w:eastAsia="en-US"/>
              </w:rPr>
              <w:t>SUPREME COURT OF CANADA</w:t>
            </w:r>
          </w:p>
        </w:tc>
      </w:tr>
      <w:tr w:rsidR="008201FB" w:rsidRPr="009A3732" w:rsidTr="00AB05FA">
        <w:trPr>
          <w:gridAfter w:val="1"/>
          <w:wAfter w:w="10" w:type="pct"/>
        </w:trPr>
        <w:tc>
          <w:tcPr>
            <w:tcW w:w="1971" w:type="pct"/>
            <w:tcMar>
              <w:top w:w="284" w:type="dxa"/>
            </w:tcMar>
          </w:tcPr>
          <w:p w:rsidR="006230B6" w:rsidRPr="009A3732" w:rsidRDefault="006230B6" w:rsidP="00AB05FA">
            <w:pPr>
              <w:spacing w:before="100" w:beforeAutospacing="1"/>
              <w:rPr>
                <w:rFonts w:eastAsia="Calibri"/>
                <w:szCs w:val="24"/>
                <w:lang w:val="fr-CA"/>
              </w:rPr>
            </w:pPr>
            <w:r w:rsidRPr="009A3732">
              <w:rPr>
                <w:b/>
                <w:smallCaps/>
                <w:szCs w:val="24"/>
                <w:lang w:val="fr-CA"/>
              </w:rPr>
              <w:t>Citation:</w:t>
            </w:r>
            <w:r w:rsidRPr="009A3732">
              <w:rPr>
                <w:szCs w:val="24"/>
                <w:lang w:val="fr-CA"/>
              </w:rPr>
              <w:t xml:space="preserve"> </w:t>
            </w:r>
            <w:r w:rsidR="00410588" w:rsidRPr="009A3732">
              <w:rPr>
                <w:szCs w:val="24"/>
                <w:lang w:val="fr-CA"/>
              </w:rPr>
              <w:t xml:space="preserve">R. </w:t>
            </w:r>
            <w:r w:rsidR="00410588" w:rsidRPr="009A3732">
              <w:rPr>
                <w:i/>
                <w:szCs w:val="24"/>
                <w:lang w:val="fr-CA"/>
              </w:rPr>
              <w:t>v.</w:t>
            </w:r>
            <w:r w:rsidR="00896C73" w:rsidRPr="009A3732">
              <w:rPr>
                <w:szCs w:val="24"/>
                <w:lang w:val="fr-CA"/>
              </w:rPr>
              <w:t xml:space="preserve"> </w:t>
            </w:r>
            <w:r w:rsidR="002B56E8" w:rsidRPr="009A3732">
              <w:rPr>
                <w:szCs w:val="24"/>
                <w:lang w:val="fr-CA"/>
              </w:rPr>
              <w:t>S.S.</w:t>
            </w:r>
            <w:r w:rsidR="00972251" w:rsidRPr="009A3732">
              <w:rPr>
                <w:szCs w:val="24"/>
                <w:lang w:val="fr-CA"/>
              </w:rPr>
              <w:t>, 202</w:t>
            </w:r>
            <w:r w:rsidR="002B56E8" w:rsidRPr="009A3732">
              <w:rPr>
                <w:szCs w:val="24"/>
                <w:lang w:val="fr-CA"/>
              </w:rPr>
              <w:t>3</w:t>
            </w:r>
            <w:r w:rsidR="00972251" w:rsidRPr="009A3732">
              <w:rPr>
                <w:szCs w:val="24"/>
                <w:lang w:val="fr-CA"/>
              </w:rPr>
              <w:t xml:space="preserve"> SCC </w:t>
            </w:r>
            <w:r w:rsidR="002B56E8" w:rsidRPr="009A3732">
              <w:rPr>
                <w:szCs w:val="24"/>
                <w:lang w:val="fr-CA"/>
              </w:rPr>
              <w:t>1</w:t>
            </w:r>
          </w:p>
        </w:tc>
        <w:tc>
          <w:tcPr>
            <w:tcW w:w="1010" w:type="pct"/>
          </w:tcPr>
          <w:p w:rsidR="006230B6" w:rsidRPr="009A3732" w:rsidRDefault="006230B6" w:rsidP="00AB05FA">
            <w:pPr>
              <w:rPr>
                <w:b/>
                <w:smallCaps/>
                <w:szCs w:val="24"/>
                <w:lang w:val="fr-CA"/>
              </w:rPr>
            </w:pPr>
          </w:p>
        </w:tc>
        <w:tc>
          <w:tcPr>
            <w:tcW w:w="2009" w:type="pct"/>
            <w:tcMar>
              <w:top w:w="284" w:type="dxa"/>
            </w:tcMar>
          </w:tcPr>
          <w:p w:rsidR="006230B6" w:rsidRPr="009A3732" w:rsidRDefault="006230B6" w:rsidP="00AB05FA">
            <w:pPr>
              <w:rPr>
                <w:szCs w:val="24"/>
              </w:rPr>
            </w:pPr>
            <w:r w:rsidRPr="009A3732">
              <w:rPr>
                <w:b/>
                <w:smallCaps/>
                <w:szCs w:val="24"/>
              </w:rPr>
              <w:t>Appeal Heard:</w:t>
            </w:r>
            <w:r w:rsidR="00EA07C1" w:rsidRPr="009A3732">
              <w:rPr>
                <w:b/>
                <w:smallCaps/>
                <w:szCs w:val="24"/>
              </w:rPr>
              <w:t xml:space="preserve"> </w:t>
            </w:r>
            <w:r w:rsidR="002B56E8" w:rsidRPr="009A3732">
              <w:rPr>
                <w:szCs w:val="24"/>
              </w:rPr>
              <w:t>January</w:t>
            </w:r>
            <w:r w:rsidR="0075717D" w:rsidRPr="009A3732">
              <w:rPr>
                <w:szCs w:val="24"/>
              </w:rPr>
              <w:t xml:space="preserve"> </w:t>
            </w:r>
            <w:r w:rsidR="002B56E8" w:rsidRPr="009A3732">
              <w:rPr>
                <w:szCs w:val="24"/>
              </w:rPr>
              <w:t>10, 2023</w:t>
            </w:r>
          </w:p>
          <w:p w:rsidR="006230B6" w:rsidRPr="009A3732" w:rsidRDefault="006230B6" w:rsidP="00AB05FA">
            <w:pPr>
              <w:rPr>
                <w:szCs w:val="24"/>
              </w:rPr>
            </w:pPr>
            <w:r w:rsidRPr="009A3732">
              <w:rPr>
                <w:b/>
                <w:smallCaps/>
                <w:szCs w:val="24"/>
              </w:rPr>
              <w:t>Judgment Rendered:</w:t>
            </w:r>
            <w:r w:rsidR="00EA07C1" w:rsidRPr="009A3732">
              <w:rPr>
                <w:b/>
                <w:smallCaps/>
                <w:szCs w:val="24"/>
              </w:rPr>
              <w:t xml:space="preserve"> </w:t>
            </w:r>
            <w:r w:rsidR="002B56E8" w:rsidRPr="009A3732">
              <w:rPr>
                <w:szCs w:val="24"/>
              </w:rPr>
              <w:t>January 10, 2023</w:t>
            </w:r>
          </w:p>
          <w:p w:rsidR="006230B6" w:rsidRPr="009A3732" w:rsidRDefault="006230B6" w:rsidP="00AB05FA">
            <w:pPr>
              <w:rPr>
                <w:szCs w:val="24"/>
              </w:rPr>
            </w:pPr>
            <w:r w:rsidRPr="009A3732">
              <w:rPr>
                <w:b/>
                <w:smallCaps/>
                <w:szCs w:val="24"/>
              </w:rPr>
              <w:t>Docket:</w:t>
            </w:r>
            <w:r w:rsidRPr="009A3732">
              <w:rPr>
                <w:szCs w:val="24"/>
              </w:rPr>
              <w:t xml:space="preserve"> </w:t>
            </w:r>
            <w:r w:rsidR="002B56E8" w:rsidRPr="009A3732">
              <w:rPr>
                <w:szCs w:val="24"/>
                <w:lang w:val="fr-CA"/>
              </w:rPr>
              <w:t>40147</w:t>
            </w:r>
          </w:p>
        </w:tc>
      </w:tr>
      <w:tr w:rsidR="006230B6" w:rsidRPr="009A3732" w:rsidTr="00AB05FA">
        <w:tc>
          <w:tcPr>
            <w:tcW w:w="5000" w:type="pct"/>
            <w:gridSpan w:val="4"/>
          </w:tcPr>
          <w:p w:rsidR="006230B6" w:rsidRPr="009A3732" w:rsidRDefault="006230B6" w:rsidP="00AB05FA">
            <w:pPr>
              <w:rPr>
                <w:rFonts w:eastAsiaTheme="minorHAnsi"/>
                <w:b/>
                <w:szCs w:val="24"/>
                <w:lang w:eastAsia="en-US"/>
              </w:rPr>
            </w:pPr>
          </w:p>
          <w:p w:rsidR="00C8650B" w:rsidRPr="009A3732" w:rsidRDefault="00C8650B" w:rsidP="00AB05FA">
            <w:pPr>
              <w:rPr>
                <w:rFonts w:eastAsiaTheme="minorHAnsi"/>
                <w:b/>
                <w:smallCaps/>
                <w:szCs w:val="24"/>
                <w:lang w:eastAsia="en-US"/>
              </w:rPr>
            </w:pPr>
            <w:r w:rsidRPr="009A3732">
              <w:rPr>
                <w:rFonts w:eastAsiaTheme="minorHAnsi"/>
                <w:b/>
                <w:smallCaps/>
                <w:szCs w:val="24"/>
                <w:lang w:eastAsia="en-US"/>
              </w:rPr>
              <w:t>Between:</w:t>
            </w:r>
          </w:p>
          <w:p w:rsidR="0075717D" w:rsidRPr="009A3732" w:rsidRDefault="0075717D" w:rsidP="00AB05FA">
            <w:pPr>
              <w:rPr>
                <w:rFonts w:eastAsiaTheme="minorHAnsi"/>
                <w:b/>
                <w:smallCaps/>
                <w:szCs w:val="24"/>
                <w:lang w:eastAsia="en-US"/>
              </w:rPr>
            </w:pPr>
          </w:p>
          <w:p w:rsidR="00C8650B" w:rsidRPr="009A3732" w:rsidRDefault="005A6071" w:rsidP="00AB05FA">
            <w:pPr>
              <w:jc w:val="center"/>
              <w:rPr>
                <w:rFonts w:eastAsiaTheme="minorHAnsi"/>
                <w:b/>
                <w:szCs w:val="24"/>
                <w:lang w:eastAsia="en-US"/>
              </w:rPr>
            </w:pPr>
            <w:r w:rsidRPr="009A3732">
              <w:rPr>
                <w:rStyle w:val="Strong"/>
                <w:rFonts w:eastAsiaTheme="majorEastAsia"/>
                <w:szCs w:val="24"/>
                <w:shd w:val="clear" w:color="auto" w:fill="FFFFFF"/>
              </w:rPr>
              <w:t>His Majesty The King</w:t>
            </w:r>
          </w:p>
          <w:p w:rsidR="00C8650B" w:rsidRPr="009A3732" w:rsidRDefault="00C8650B" w:rsidP="00AB05FA">
            <w:pPr>
              <w:jc w:val="center"/>
              <w:rPr>
                <w:rFonts w:eastAsiaTheme="minorHAnsi"/>
                <w:szCs w:val="24"/>
                <w:lang w:eastAsia="en-US"/>
              </w:rPr>
            </w:pPr>
            <w:r w:rsidRPr="009A3732">
              <w:rPr>
                <w:rFonts w:eastAsiaTheme="minorHAnsi"/>
                <w:szCs w:val="24"/>
                <w:lang w:eastAsia="en-US"/>
              </w:rPr>
              <w:t>Appellant</w:t>
            </w:r>
          </w:p>
          <w:p w:rsidR="00DA09F8" w:rsidRPr="009A3732" w:rsidRDefault="00DA09F8" w:rsidP="00AB05FA">
            <w:pPr>
              <w:jc w:val="center"/>
              <w:rPr>
                <w:rFonts w:eastAsiaTheme="minorHAnsi"/>
                <w:szCs w:val="24"/>
                <w:lang w:eastAsia="en-US"/>
              </w:rPr>
            </w:pPr>
          </w:p>
          <w:p w:rsidR="00C8650B" w:rsidRPr="009A3732" w:rsidRDefault="00DA09F8" w:rsidP="00AB05FA">
            <w:pPr>
              <w:jc w:val="center"/>
              <w:rPr>
                <w:rFonts w:eastAsiaTheme="minorHAnsi"/>
                <w:szCs w:val="24"/>
                <w:lang w:eastAsia="en-US"/>
              </w:rPr>
            </w:pPr>
            <w:r w:rsidRPr="009A3732">
              <w:rPr>
                <w:rFonts w:eastAsiaTheme="minorHAnsi"/>
                <w:szCs w:val="24"/>
                <w:lang w:eastAsia="en-US"/>
              </w:rPr>
              <w:t>and</w:t>
            </w:r>
          </w:p>
          <w:p w:rsidR="00DA09F8" w:rsidRPr="009A3732" w:rsidRDefault="00DA09F8" w:rsidP="00AB05FA">
            <w:pPr>
              <w:jc w:val="center"/>
              <w:rPr>
                <w:rFonts w:eastAsiaTheme="minorHAnsi"/>
                <w:szCs w:val="24"/>
                <w:lang w:eastAsia="en-US"/>
              </w:rPr>
            </w:pPr>
          </w:p>
          <w:p w:rsidR="00D33A8F" w:rsidRPr="009A3732" w:rsidRDefault="0073049D" w:rsidP="00AB05FA">
            <w:pPr>
              <w:jc w:val="center"/>
              <w:rPr>
                <w:rFonts w:eastAsiaTheme="minorHAnsi"/>
                <w:b/>
                <w:szCs w:val="24"/>
                <w:lang w:eastAsia="en-US"/>
              </w:rPr>
            </w:pPr>
            <w:r w:rsidRPr="009A3732">
              <w:rPr>
                <w:rFonts w:eastAsiaTheme="minorHAnsi"/>
                <w:b/>
                <w:szCs w:val="24"/>
                <w:lang w:eastAsia="en-US"/>
              </w:rPr>
              <w:t>S.S.</w:t>
            </w:r>
          </w:p>
          <w:p w:rsidR="00C8650B" w:rsidRPr="009A3732" w:rsidRDefault="00C8650B" w:rsidP="00AB05FA">
            <w:pPr>
              <w:jc w:val="center"/>
              <w:rPr>
                <w:rFonts w:eastAsiaTheme="minorHAnsi"/>
                <w:szCs w:val="24"/>
                <w:lang w:eastAsia="en-US"/>
              </w:rPr>
            </w:pPr>
            <w:r w:rsidRPr="009A3732">
              <w:rPr>
                <w:rFonts w:eastAsiaTheme="minorHAnsi"/>
                <w:szCs w:val="24"/>
                <w:lang w:eastAsia="en-US"/>
              </w:rPr>
              <w:t>Respondent</w:t>
            </w:r>
          </w:p>
          <w:p w:rsidR="000F2039" w:rsidRPr="009A3732" w:rsidRDefault="000F2039" w:rsidP="00AB05FA">
            <w:pPr>
              <w:jc w:val="center"/>
              <w:rPr>
                <w:b/>
                <w:smallCaps/>
                <w:szCs w:val="24"/>
              </w:rPr>
            </w:pPr>
          </w:p>
          <w:p w:rsidR="002B56E8" w:rsidRPr="009A3732" w:rsidRDefault="002B56E8" w:rsidP="00AB05FA">
            <w:pPr>
              <w:jc w:val="center"/>
              <w:rPr>
                <w:color w:val="000000"/>
                <w:szCs w:val="24"/>
                <w:lang w:val="en-US" w:eastAsia="en-US"/>
              </w:rPr>
            </w:pPr>
            <w:r w:rsidRPr="009A3732">
              <w:rPr>
                <w:color w:val="000000"/>
                <w:szCs w:val="24"/>
                <w:lang w:val="en-US" w:eastAsia="en-US"/>
              </w:rPr>
              <w:t>- and -</w:t>
            </w:r>
          </w:p>
          <w:p w:rsidR="002B56E8" w:rsidRPr="009A3732" w:rsidRDefault="002B56E8" w:rsidP="00AB05FA">
            <w:pPr>
              <w:rPr>
                <w:color w:val="000000"/>
                <w:szCs w:val="24"/>
                <w:lang w:val="en-US" w:eastAsia="en-US"/>
              </w:rPr>
            </w:pPr>
          </w:p>
          <w:p w:rsidR="002B56E8" w:rsidRPr="009A3732" w:rsidRDefault="002B56E8" w:rsidP="00AB05FA">
            <w:pPr>
              <w:jc w:val="center"/>
              <w:rPr>
                <w:color w:val="000000"/>
                <w:szCs w:val="24"/>
                <w:lang w:val="en-US" w:eastAsia="en-US"/>
              </w:rPr>
            </w:pPr>
            <w:r w:rsidRPr="009A3732">
              <w:rPr>
                <w:b/>
                <w:bCs/>
                <w:color w:val="000000"/>
                <w:szCs w:val="24"/>
                <w:lang w:val="en-US" w:eastAsia="en-US"/>
              </w:rPr>
              <w:t>Criminal Lawyers</w:t>
            </w:r>
            <w:r w:rsidR="000D1960" w:rsidRPr="009A3732">
              <w:rPr>
                <w:b/>
                <w:bCs/>
                <w:color w:val="000000"/>
                <w:szCs w:val="24"/>
                <w:lang w:val="en-US" w:eastAsia="en-US"/>
              </w:rPr>
              <w:t>’</w:t>
            </w:r>
            <w:r w:rsidRPr="009A3732">
              <w:rPr>
                <w:b/>
                <w:bCs/>
                <w:color w:val="000000"/>
                <w:szCs w:val="24"/>
                <w:lang w:val="en-US" w:eastAsia="en-US"/>
              </w:rPr>
              <w:t xml:space="preserve"> Association (Ontario) and Criminal Trial Lawyers</w:t>
            </w:r>
            <w:r w:rsidR="000D1960" w:rsidRPr="009A3732">
              <w:rPr>
                <w:b/>
                <w:bCs/>
                <w:color w:val="000000"/>
                <w:szCs w:val="24"/>
                <w:lang w:val="en-US" w:eastAsia="en-US"/>
              </w:rPr>
              <w:t>’</w:t>
            </w:r>
            <w:r w:rsidRPr="009A3732">
              <w:rPr>
                <w:b/>
                <w:bCs/>
                <w:color w:val="000000"/>
                <w:szCs w:val="24"/>
                <w:lang w:val="en-US" w:eastAsia="en-US"/>
              </w:rPr>
              <w:t xml:space="preserve"> Association</w:t>
            </w:r>
          </w:p>
          <w:p w:rsidR="002B56E8" w:rsidRPr="009A3732" w:rsidRDefault="002B56E8" w:rsidP="00AB05FA">
            <w:pPr>
              <w:jc w:val="center"/>
              <w:rPr>
                <w:color w:val="000000"/>
                <w:szCs w:val="24"/>
                <w:lang w:val="en-US" w:eastAsia="en-US"/>
              </w:rPr>
            </w:pPr>
            <w:r w:rsidRPr="009A3732">
              <w:rPr>
                <w:color w:val="000000"/>
                <w:szCs w:val="24"/>
                <w:lang w:val="en-US" w:eastAsia="en-US"/>
              </w:rPr>
              <w:t>Interveners</w:t>
            </w:r>
          </w:p>
          <w:p w:rsidR="002B56E8" w:rsidRPr="009A3732" w:rsidRDefault="002B56E8" w:rsidP="00AB05FA">
            <w:pPr>
              <w:jc w:val="center"/>
              <w:rPr>
                <w:b/>
                <w:smallCaps/>
                <w:szCs w:val="24"/>
              </w:rPr>
            </w:pPr>
          </w:p>
          <w:p w:rsidR="004C5B67" w:rsidRPr="009A3732" w:rsidRDefault="004C5B67" w:rsidP="00AB05FA">
            <w:pPr>
              <w:rPr>
                <w:b/>
                <w:smallCaps/>
                <w:szCs w:val="24"/>
              </w:rPr>
            </w:pPr>
          </w:p>
          <w:p w:rsidR="004C5B67" w:rsidRPr="009A3732" w:rsidRDefault="004C5B67" w:rsidP="00AB05FA">
            <w:pPr>
              <w:jc w:val="center"/>
              <w:rPr>
                <w:b/>
                <w:smallCaps/>
                <w:szCs w:val="24"/>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104"/>
        <w:gridCol w:w="7235"/>
        <w:gridCol w:w="21"/>
      </w:tblGrid>
      <w:tr w:rsidR="00E92347" w:rsidRPr="009A3732" w:rsidTr="00E92347">
        <w:trPr>
          <w:cantSplit/>
          <w:trHeight w:val="508"/>
        </w:trPr>
        <w:tc>
          <w:tcPr>
            <w:tcW w:w="5000" w:type="pct"/>
            <w:gridSpan w:val="3"/>
            <w:tcMar>
              <w:top w:w="284" w:type="dxa"/>
              <w:bottom w:w="57" w:type="dxa"/>
            </w:tcMar>
            <w:vAlign w:val="center"/>
          </w:tcPr>
          <w:p w:rsidR="00E92347" w:rsidRPr="009A3732" w:rsidRDefault="00A12217" w:rsidP="002B56E8">
            <w:r w:rsidRPr="009A3732">
              <w:rPr>
                <w:b/>
                <w:smallCaps/>
              </w:rPr>
              <w:t>Coram:</w:t>
            </w:r>
            <w:r w:rsidRPr="009A3732">
              <w:t xml:space="preserve"> </w:t>
            </w:r>
            <w:r w:rsidR="002B56E8" w:rsidRPr="009A3732">
              <w:t xml:space="preserve">Wagner </w:t>
            </w:r>
            <w:proofErr w:type="spellStart"/>
            <w:r w:rsidR="002B56E8" w:rsidRPr="009A3732">
              <w:t>C.J</w:t>
            </w:r>
            <w:proofErr w:type="spellEnd"/>
            <w:r w:rsidR="002B56E8" w:rsidRPr="009A3732">
              <w:t>. and Karakatsanis, Côté, Rowe, Martin, Kasirer and O</w:t>
            </w:r>
            <w:r w:rsidR="000D1960" w:rsidRPr="009A3732">
              <w:t>’</w:t>
            </w:r>
            <w:r w:rsidR="002B56E8" w:rsidRPr="009A3732">
              <w:t>Bonsawin JJ.</w:t>
            </w:r>
          </w:p>
        </w:tc>
      </w:tr>
      <w:tr w:rsidR="006230B6" w:rsidRPr="009A3732" w:rsidTr="0040508D">
        <w:trPr>
          <w:gridAfter w:val="1"/>
          <w:wAfter w:w="11" w:type="pct"/>
          <w:cantSplit/>
          <w:trHeight w:val="508"/>
        </w:trPr>
        <w:tc>
          <w:tcPr>
            <w:tcW w:w="1124" w:type="pct"/>
            <w:tcMar>
              <w:top w:w="28" w:type="dxa"/>
              <w:left w:w="57" w:type="dxa"/>
              <w:bottom w:w="57" w:type="dxa"/>
              <w:right w:w="57" w:type="dxa"/>
            </w:tcMar>
            <w:vAlign w:val="center"/>
          </w:tcPr>
          <w:p w:rsidR="00040F00" w:rsidRPr="009A3732" w:rsidRDefault="00090AC3" w:rsidP="00AD4C25">
            <w:pPr>
              <w:spacing w:before="120"/>
              <w:rPr>
                <w:smallCaps/>
              </w:rPr>
            </w:pPr>
            <w:r w:rsidRPr="009A3732">
              <w:rPr>
                <w:rStyle w:val="solexhl"/>
                <w:b/>
                <w:bCs/>
                <w:smallCaps/>
                <w:color w:val="000000"/>
              </w:rPr>
              <w:t>Judgment Read By</w:t>
            </w:r>
            <w:r w:rsidRPr="009A3732">
              <w:rPr>
                <w:b/>
                <w:bCs/>
                <w:smallCaps/>
                <w:color w:val="000000"/>
              </w:rPr>
              <w:t>:</w:t>
            </w:r>
          </w:p>
          <w:p w:rsidR="006230B6" w:rsidRPr="009A3732" w:rsidRDefault="00CD6453" w:rsidP="00170CD9">
            <w:pPr>
              <w:rPr>
                <w:b/>
                <w:smallCaps/>
              </w:rPr>
            </w:pPr>
            <w:r w:rsidRPr="009A3732">
              <w:t>(</w:t>
            </w:r>
            <w:r w:rsidR="00E42BC1" w:rsidRPr="009A3732">
              <w:t>para. </w:t>
            </w:r>
            <w:r w:rsidR="008C1723" w:rsidRPr="009A3732">
              <w:t>1</w:t>
            </w:r>
            <w:r w:rsidR="006230B6" w:rsidRPr="009A3732">
              <w:t>)</w:t>
            </w:r>
          </w:p>
        </w:tc>
        <w:tc>
          <w:tcPr>
            <w:tcW w:w="3865" w:type="pct"/>
            <w:tcMar>
              <w:top w:w="28" w:type="dxa"/>
              <w:left w:w="57" w:type="dxa"/>
              <w:bottom w:w="57" w:type="dxa"/>
              <w:right w:w="57" w:type="dxa"/>
            </w:tcMar>
            <w:vAlign w:val="center"/>
          </w:tcPr>
          <w:p w:rsidR="000C433D" w:rsidRPr="009A3732" w:rsidRDefault="00B65301" w:rsidP="000F2039">
            <w:pPr>
              <w:spacing w:before="120"/>
            </w:pPr>
            <w:r w:rsidRPr="009A3732">
              <w:t>Wagner C.J.</w:t>
            </w:r>
          </w:p>
        </w:tc>
      </w:tr>
      <w:tr w:rsidR="00B65301" w:rsidRPr="009A3732" w:rsidTr="00273C37">
        <w:trPr>
          <w:gridAfter w:val="1"/>
          <w:wAfter w:w="11" w:type="pct"/>
          <w:cantSplit/>
          <w:trHeight w:val="508"/>
        </w:trPr>
        <w:tc>
          <w:tcPr>
            <w:tcW w:w="1124" w:type="pct"/>
            <w:tcMar>
              <w:top w:w="28" w:type="dxa"/>
              <w:left w:w="57" w:type="dxa"/>
              <w:bottom w:w="57" w:type="dxa"/>
              <w:right w:w="57" w:type="dxa"/>
            </w:tcMar>
            <w:vAlign w:val="center"/>
          </w:tcPr>
          <w:p w:rsidR="00B65301" w:rsidRPr="009A3732" w:rsidRDefault="00B65301" w:rsidP="00273C37">
            <w:pPr>
              <w:spacing w:before="120"/>
              <w:rPr>
                <w:b/>
                <w:smallCaps/>
              </w:rPr>
            </w:pPr>
            <w:r w:rsidRPr="009A3732">
              <w:rPr>
                <w:b/>
                <w:smallCaps/>
              </w:rPr>
              <w:t>Majority:</w:t>
            </w:r>
          </w:p>
        </w:tc>
        <w:tc>
          <w:tcPr>
            <w:tcW w:w="3865" w:type="pct"/>
            <w:tcMar>
              <w:top w:w="28" w:type="dxa"/>
              <w:left w:w="57" w:type="dxa"/>
              <w:bottom w:w="57" w:type="dxa"/>
              <w:right w:w="57" w:type="dxa"/>
            </w:tcMar>
            <w:vAlign w:val="center"/>
          </w:tcPr>
          <w:p w:rsidR="00B65301" w:rsidRPr="009A3732" w:rsidRDefault="00B65301" w:rsidP="00B65301">
            <w:pPr>
              <w:spacing w:before="120"/>
            </w:pPr>
            <w:r w:rsidRPr="009A3732">
              <w:t>Wagner C.J. and Karakatsanis, Côté, Martin, Kasirer and O</w:t>
            </w:r>
            <w:r w:rsidR="000D1960" w:rsidRPr="009A3732">
              <w:t>’</w:t>
            </w:r>
            <w:r w:rsidRPr="009A3732">
              <w:t>Bonsawin JJ.</w:t>
            </w:r>
          </w:p>
        </w:tc>
      </w:tr>
      <w:tr w:rsidR="00B65301" w:rsidRPr="009A3732" w:rsidTr="00273C37">
        <w:trPr>
          <w:gridAfter w:val="1"/>
          <w:wAfter w:w="11" w:type="pct"/>
          <w:cantSplit/>
          <w:trHeight w:val="508"/>
        </w:trPr>
        <w:tc>
          <w:tcPr>
            <w:tcW w:w="1124" w:type="pct"/>
            <w:tcMar>
              <w:top w:w="28" w:type="dxa"/>
              <w:left w:w="57" w:type="dxa"/>
              <w:bottom w:w="57" w:type="dxa"/>
              <w:right w:w="57" w:type="dxa"/>
            </w:tcMar>
            <w:vAlign w:val="center"/>
          </w:tcPr>
          <w:p w:rsidR="00B65301" w:rsidRPr="009A3732" w:rsidRDefault="00B65301" w:rsidP="00273C37">
            <w:pPr>
              <w:spacing w:before="120"/>
              <w:rPr>
                <w:b/>
                <w:smallCaps/>
              </w:rPr>
            </w:pPr>
            <w:r w:rsidRPr="009A3732">
              <w:rPr>
                <w:b/>
                <w:smallCaps/>
              </w:rPr>
              <w:t>Dissent:</w:t>
            </w:r>
          </w:p>
        </w:tc>
        <w:tc>
          <w:tcPr>
            <w:tcW w:w="3865" w:type="pct"/>
            <w:tcMar>
              <w:top w:w="28" w:type="dxa"/>
              <w:left w:w="57" w:type="dxa"/>
              <w:bottom w:w="57" w:type="dxa"/>
              <w:right w:w="57" w:type="dxa"/>
            </w:tcMar>
            <w:vAlign w:val="center"/>
          </w:tcPr>
          <w:p w:rsidR="00B65301" w:rsidRPr="009A3732" w:rsidRDefault="00B65301" w:rsidP="00B65301">
            <w:pPr>
              <w:spacing w:before="120"/>
            </w:pPr>
            <w:r w:rsidRPr="009A3732">
              <w:t>Rowe J.</w:t>
            </w:r>
          </w:p>
        </w:tc>
      </w:tr>
      <w:tr w:rsidR="00EB0B7C" w:rsidRPr="009A3732" w:rsidTr="00EB0B7C">
        <w:trPr>
          <w:cantSplit/>
        </w:trPr>
        <w:tc>
          <w:tcPr>
            <w:tcW w:w="5000" w:type="pct"/>
            <w:gridSpan w:val="3"/>
            <w:tcMar>
              <w:top w:w="284" w:type="dxa"/>
              <w:bottom w:w="57" w:type="dxa"/>
            </w:tcMar>
            <w:vAlign w:val="center"/>
          </w:tcPr>
          <w:p w:rsidR="001B327A" w:rsidRPr="009A3732" w:rsidRDefault="001B327A" w:rsidP="00AB05FA">
            <w:pPr>
              <w:jc w:val="both"/>
            </w:pPr>
          </w:p>
        </w:tc>
      </w:tr>
    </w:tbl>
    <w:p w:rsidR="00715A65" w:rsidRPr="009A3732" w:rsidRDefault="00C22905" w:rsidP="00715A65">
      <w:pPr>
        <w:spacing w:before="100" w:beforeAutospacing="1"/>
        <w:rPr>
          <w:rFonts w:eastAsia="Calibri"/>
          <w:szCs w:val="24"/>
          <w:lang w:eastAsia="en-US"/>
        </w:rPr>
      </w:pPr>
      <w:r w:rsidRPr="009A3732">
        <w:rPr>
          <w:rFonts w:eastAsia="Calibri"/>
          <w:b/>
          <w:smallCaps/>
          <w:szCs w:val="24"/>
          <w:lang w:eastAsia="en-US"/>
        </w:rPr>
        <w:t>Note:</w:t>
      </w:r>
      <w:r w:rsidRPr="009A3732">
        <w:rPr>
          <w:rFonts w:eastAsia="Calibri"/>
          <w:szCs w:val="24"/>
          <w:lang w:eastAsia="en-US"/>
        </w:rPr>
        <w:t xml:space="preserve"> This document is subject to editorial revision before its reproduction in final form in the </w:t>
      </w:r>
      <w:r w:rsidRPr="009A3732">
        <w:rPr>
          <w:rFonts w:eastAsia="Calibri"/>
          <w:i/>
          <w:szCs w:val="24"/>
          <w:lang w:eastAsia="en-US"/>
        </w:rPr>
        <w:t>Canada Supreme Court Reports</w:t>
      </w:r>
      <w:r w:rsidRPr="009A3732">
        <w:rPr>
          <w:rFonts w:eastAsia="Calibri"/>
          <w:szCs w:val="24"/>
          <w:lang w:eastAsia="en-US"/>
        </w:rPr>
        <w:t>.</w:t>
      </w:r>
      <w:r w:rsidR="00715A65" w:rsidRPr="009A3732">
        <w:rPr>
          <w:rFonts w:eastAsia="Calibri"/>
          <w:szCs w:val="24"/>
          <w:lang w:eastAsia="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715A65" w:rsidRPr="009A3732" w:rsidTr="00A80425">
        <w:tc>
          <w:tcPr>
            <w:tcW w:w="1500" w:type="pct"/>
            <w:tcMar>
              <w:top w:w="284" w:type="dxa"/>
            </w:tcMar>
          </w:tcPr>
          <w:p w:rsidR="00715A65" w:rsidRPr="009A3732" w:rsidRDefault="00715A65" w:rsidP="00A80425">
            <w:pPr>
              <w:rPr>
                <w:rFonts w:eastAsia="Calibri"/>
                <w:szCs w:val="24"/>
                <w:lang w:eastAsia="en-US"/>
              </w:rPr>
            </w:pPr>
          </w:p>
        </w:tc>
        <w:tc>
          <w:tcPr>
            <w:tcW w:w="2000" w:type="pct"/>
            <w:tcBorders>
              <w:bottom w:val="single" w:sz="4" w:space="0" w:color="auto"/>
            </w:tcBorders>
            <w:tcMar>
              <w:top w:w="284" w:type="dxa"/>
            </w:tcMar>
          </w:tcPr>
          <w:p w:rsidR="00715A65" w:rsidRPr="009A3732" w:rsidRDefault="00715A65" w:rsidP="00A80425">
            <w:pPr>
              <w:rPr>
                <w:rFonts w:eastAsia="Calibri"/>
                <w:szCs w:val="24"/>
                <w:lang w:eastAsia="en-US"/>
              </w:rPr>
            </w:pPr>
          </w:p>
        </w:tc>
        <w:tc>
          <w:tcPr>
            <w:tcW w:w="1500" w:type="pct"/>
            <w:tcMar>
              <w:top w:w="284" w:type="dxa"/>
            </w:tcMar>
          </w:tcPr>
          <w:p w:rsidR="00715A65" w:rsidRPr="009A3732" w:rsidRDefault="00715A65" w:rsidP="00A80425">
            <w:pPr>
              <w:rPr>
                <w:rFonts w:eastAsia="Calibri"/>
                <w:szCs w:val="24"/>
                <w:lang w:eastAsia="en-US"/>
              </w:rPr>
            </w:pPr>
          </w:p>
        </w:tc>
      </w:tr>
    </w:tbl>
    <w:p w:rsidR="00AB05FA" w:rsidRDefault="00AB05FA" w:rsidP="00715A65">
      <w:pPr>
        <w:rPr>
          <w:rFonts w:eastAsia="Calibri"/>
          <w:szCs w:val="24"/>
          <w:lang w:eastAsia="en-US"/>
        </w:rPr>
      </w:pPr>
    </w:p>
    <w:p w:rsidR="00AB05FA" w:rsidRPr="00AB05FA" w:rsidRDefault="00AB05FA" w:rsidP="00AB05FA">
      <w:pPr>
        <w:rPr>
          <w:rFonts w:eastAsia="Calibri"/>
          <w:szCs w:val="24"/>
          <w:lang w:eastAsia="en-US"/>
        </w:rPr>
      </w:pPr>
    </w:p>
    <w:p w:rsidR="00AB05FA" w:rsidRPr="00AB05FA" w:rsidRDefault="00AB05FA" w:rsidP="00AB05FA">
      <w:pPr>
        <w:rPr>
          <w:rFonts w:eastAsia="Calibri"/>
          <w:szCs w:val="24"/>
          <w:lang w:eastAsia="en-US"/>
        </w:rPr>
      </w:pPr>
    </w:p>
    <w:p w:rsidR="00AB05FA" w:rsidRPr="00AB05FA" w:rsidRDefault="00AB05FA" w:rsidP="00AB05FA">
      <w:pPr>
        <w:rPr>
          <w:rFonts w:eastAsia="Calibri"/>
          <w:szCs w:val="24"/>
          <w:lang w:eastAsia="en-US"/>
        </w:rPr>
      </w:pPr>
    </w:p>
    <w:p w:rsidR="00AB05FA" w:rsidRPr="00AB05FA" w:rsidRDefault="00AB05FA" w:rsidP="00AB05FA">
      <w:pPr>
        <w:rPr>
          <w:rFonts w:eastAsia="Calibri"/>
          <w:szCs w:val="24"/>
          <w:lang w:eastAsia="en-US"/>
        </w:rPr>
      </w:pPr>
    </w:p>
    <w:p w:rsidR="00AB05FA" w:rsidRPr="00AB05FA" w:rsidRDefault="00AB05FA" w:rsidP="00AB05FA">
      <w:pPr>
        <w:rPr>
          <w:rFonts w:eastAsia="Calibri"/>
          <w:szCs w:val="24"/>
          <w:lang w:eastAsia="en-US"/>
        </w:rPr>
      </w:pPr>
    </w:p>
    <w:p w:rsidR="00AB05FA" w:rsidRPr="00AB05FA" w:rsidRDefault="00AB05FA" w:rsidP="00AB05FA">
      <w:pPr>
        <w:tabs>
          <w:tab w:val="right" w:pos="8222"/>
        </w:tabs>
        <w:spacing w:after="720"/>
        <w:rPr>
          <w:b/>
        </w:rPr>
      </w:pPr>
      <w:r w:rsidRPr="00AB05FA">
        <w:rPr>
          <w:b/>
        </w:rPr>
        <w:t xml:space="preserve">His Majesty </w:t>
      </w:r>
      <w:proofErr w:type="gramStart"/>
      <w:r w:rsidRPr="00AB05FA">
        <w:rPr>
          <w:b/>
        </w:rPr>
        <w:t>The</w:t>
      </w:r>
      <w:proofErr w:type="gramEnd"/>
      <w:r w:rsidRPr="00AB05FA">
        <w:rPr>
          <w:b/>
        </w:rPr>
        <w:t xml:space="preserve"> King</w:t>
      </w:r>
      <w:r w:rsidRPr="00AB05FA">
        <w:rPr>
          <w:i/>
        </w:rPr>
        <w:tab/>
        <w:t>Appellant</w:t>
      </w:r>
    </w:p>
    <w:p w:rsidR="00AB05FA" w:rsidRPr="00AB05FA" w:rsidRDefault="00AB05FA" w:rsidP="00AB05FA">
      <w:pPr>
        <w:spacing w:after="720"/>
        <w:rPr>
          <w:i/>
        </w:rPr>
      </w:pPr>
      <w:proofErr w:type="gramStart"/>
      <w:r w:rsidRPr="00AB05FA">
        <w:rPr>
          <w:i/>
        </w:rPr>
        <w:t>v</w:t>
      </w:r>
      <w:proofErr w:type="gramEnd"/>
      <w:r w:rsidRPr="00AB05FA">
        <w:rPr>
          <w:i/>
        </w:rPr>
        <w:t>.</w:t>
      </w:r>
    </w:p>
    <w:p w:rsidR="00AB05FA" w:rsidRPr="00AB05FA" w:rsidRDefault="00AB05FA" w:rsidP="00AB05FA">
      <w:pPr>
        <w:tabs>
          <w:tab w:val="right" w:pos="8222"/>
        </w:tabs>
        <w:spacing w:after="720"/>
        <w:rPr>
          <w:b/>
        </w:rPr>
      </w:pPr>
      <w:r w:rsidRPr="00AB05FA">
        <w:rPr>
          <w:b/>
        </w:rPr>
        <w:t>S.S.</w:t>
      </w:r>
      <w:r w:rsidRPr="00AB05FA">
        <w:rPr>
          <w:i/>
        </w:rPr>
        <w:tab/>
        <w:t>Respondent</w:t>
      </w:r>
    </w:p>
    <w:p w:rsidR="00AB05FA" w:rsidRPr="00AB05FA" w:rsidRDefault="00AB05FA" w:rsidP="00AB05FA">
      <w:pPr>
        <w:spacing w:after="720"/>
      </w:pPr>
      <w:proofErr w:type="gramStart"/>
      <w:r w:rsidRPr="00AB05FA">
        <w:t>and</w:t>
      </w:r>
      <w:proofErr w:type="gramEnd"/>
    </w:p>
    <w:p w:rsidR="00AB05FA" w:rsidRPr="00AB05FA" w:rsidRDefault="00AB05FA" w:rsidP="00AB05FA">
      <w:pPr>
        <w:tabs>
          <w:tab w:val="right" w:pos="8222"/>
        </w:tabs>
        <w:jc w:val="both"/>
        <w:rPr>
          <w:b/>
        </w:rPr>
      </w:pPr>
      <w:r w:rsidRPr="00AB05FA">
        <w:rPr>
          <w:b/>
        </w:rPr>
        <w:t>Criminal Lawyers’ Association (Ontario) and</w:t>
      </w:r>
    </w:p>
    <w:p w:rsidR="00AB05FA" w:rsidRPr="00AB05FA" w:rsidRDefault="00AB05FA" w:rsidP="00AB05FA">
      <w:pPr>
        <w:tabs>
          <w:tab w:val="right" w:pos="8222"/>
        </w:tabs>
        <w:spacing w:after="720"/>
        <w:rPr>
          <w:b/>
        </w:rPr>
      </w:pPr>
      <w:r w:rsidRPr="00AB05FA">
        <w:rPr>
          <w:b/>
        </w:rPr>
        <w:t>Criminal Trial Lawyers’ Association</w:t>
      </w:r>
      <w:r w:rsidRPr="00AB05FA">
        <w:rPr>
          <w:i/>
        </w:rPr>
        <w:tab/>
        <w:t>Interveners</w:t>
      </w:r>
    </w:p>
    <w:p w:rsidR="00AB05FA" w:rsidRPr="00AB05FA" w:rsidRDefault="00AB05FA" w:rsidP="00AB05FA">
      <w:pPr>
        <w:spacing w:after="720"/>
        <w:jc w:val="both"/>
        <w:rPr>
          <w:b/>
        </w:rPr>
      </w:pPr>
      <w:r w:rsidRPr="00AB05FA">
        <w:rPr>
          <w:b/>
        </w:rPr>
        <w:t xml:space="preserve">Indexed as: R. </w:t>
      </w:r>
      <w:r w:rsidRPr="00AB05FA">
        <w:rPr>
          <w:b/>
          <w:i/>
        </w:rPr>
        <w:t>v.</w:t>
      </w:r>
      <w:r w:rsidRPr="00AB05FA">
        <w:rPr>
          <w:b/>
        </w:rPr>
        <w:t xml:space="preserve"> S.S.</w:t>
      </w:r>
    </w:p>
    <w:p w:rsidR="00AB05FA" w:rsidRPr="00AB05FA" w:rsidRDefault="00AB05FA" w:rsidP="00AB05FA">
      <w:pPr>
        <w:spacing w:after="720"/>
        <w:jc w:val="both"/>
        <w:rPr>
          <w:b/>
        </w:rPr>
      </w:pPr>
      <w:r w:rsidRPr="00AB05FA">
        <w:rPr>
          <w:b/>
        </w:rPr>
        <w:t>2023 SCC 1</w:t>
      </w:r>
    </w:p>
    <w:p w:rsidR="00AB05FA" w:rsidRPr="00AB05FA" w:rsidRDefault="00AB05FA" w:rsidP="00AB05FA">
      <w:pPr>
        <w:spacing w:after="720"/>
        <w:jc w:val="both"/>
      </w:pPr>
      <w:r w:rsidRPr="00AB05FA">
        <w:t>File No.: 40147.</w:t>
      </w:r>
    </w:p>
    <w:p w:rsidR="00AB05FA" w:rsidRPr="00AB05FA" w:rsidRDefault="00AB05FA" w:rsidP="00AB05FA">
      <w:pPr>
        <w:spacing w:after="720"/>
        <w:jc w:val="both"/>
      </w:pPr>
      <w:r w:rsidRPr="00AB05FA">
        <w:t>2023: January 10.</w:t>
      </w:r>
    </w:p>
    <w:p w:rsidR="00AB05FA" w:rsidRPr="00AB05FA" w:rsidRDefault="00AB05FA" w:rsidP="00AB05FA">
      <w:pPr>
        <w:spacing w:after="720"/>
        <w:jc w:val="both"/>
      </w:pPr>
      <w:r w:rsidRPr="00AB05FA">
        <w:t>Present: Wagner </w:t>
      </w:r>
      <w:proofErr w:type="spellStart"/>
      <w:r w:rsidRPr="00AB05FA">
        <w:t>C.J</w:t>
      </w:r>
      <w:proofErr w:type="spellEnd"/>
      <w:r w:rsidRPr="00AB05FA">
        <w:t xml:space="preserve">. and </w:t>
      </w:r>
      <w:proofErr w:type="spellStart"/>
      <w:r w:rsidRPr="00AB05FA">
        <w:t>Karakatsanis</w:t>
      </w:r>
      <w:proofErr w:type="spellEnd"/>
      <w:r w:rsidRPr="00AB05FA">
        <w:t xml:space="preserve">, Côté, Rowe, Martin, </w:t>
      </w:r>
      <w:proofErr w:type="spellStart"/>
      <w:r w:rsidRPr="00AB05FA">
        <w:t>Kasirer</w:t>
      </w:r>
      <w:proofErr w:type="spellEnd"/>
      <w:r w:rsidRPr="00AB05FA">
        <w:t xml:space="preserve"> and </w:t>
      </w:r>
      <w:proofErr w:type="spellStart"/>
      <w:r w:rsidRPr="00AB05FA">
        <w:t>O’Bonsawin</w:t>
      </w:r>
      <w:proofErr w:type="spellEnd"/>
      <w:r w:rsidRPr="00AB05FA">
        <w:t> </w:t>
      </w:r>
      <w:proofErr w:type="spellStart"/>
      <w:r w:rsidRPr="00AB05FA">
        <w:t>JJ</w:t>
      </w:r>
      <w:proofErr w:type="spellEnd"/>
      <w:r w:rsidRPr="00AB05FA">
        <w:t>.</w:t>
      </w:r>
    </w:p>
    <w:p w:rsidR="00AB05FA" w:rsidRPr="00AB05FA" w:rsidRDefault="00AB05FA" w:rsidP="00AB05FA">
      <w:pPr>
        <w:tabs>
          <w:tab w:val="left" w:pos="1168"/>
        </w:tabs>
        <w:spacing w:after="720"/>
        <w:jc w:val="both"/>
        <w:rPr>
          <w:smallCaps/>
        </w:rPr>
      </w:pPr>
      <w:r w:rsidRPr="00AB05FA">
        <w:rPr>
          <w:smallCaps/>
        </w:rPr>
        <w:t xml:space="preserve">on appeal from the court of appeal for </w:t>
      </w:r>
      <w:proofErr w:type="spellStart"/>
      <w:r w:rsidRPr="00AB05FA">
        <w:rPr>
          <w:smallCaps/>
        </w:rPr>
        <w:t>ontario</w:t>
      </w:r>
      <w:proofErr w:type="spellEnd"/>
    </w:p>
    <w:p w:rsidR="00AB05FA" w:rsidRPr="00AB05FA" w:rsidRDefault="00AB05FA" w:rsidP="00AB05FA">
      <w:pPr>
        <w:tabs>
          <w:tab w:val="left" w:pos="1168"/>
        </w:tabs>
        <w:spacing w:after="480" w:line="480" w:lineRule="auto"/>
        <w:jc w:val="both"/>
        <w:rPr>
          <w:i/>
        </w:rPr>
      </w:pPr>
      <w:r w:rsidRPr="00AB05FA">
        <w:tab/>
      </w:r>
      <w:r w:rsidRPr="00AB05FA">
        <w:rPr>
          <w:i/>
        </w:rPr>
        <w:t>Criminal law — Evidence — Admissibility — Hearsay — Threshold reliability — Accused charged with sexual offences against young niece — Child psychologist concluding that niece could not testify at trial because it would be too traumatizing — Trial judge admitting niece’s unsworn videotaped police statement into evidence at trial by application of principled exception to hearsay rule — Accused convicted and appealing on basis that trial judge erred in threshold reliability analysis and in admitting statement — Majority of Court of Appeal setting aside conviction and entering acquittal — Majority holding that trial judge erred in failing to tailor threshold reliability analysis to specific hearsay dangers at play and to determine whether there were procedural or substantive substitutes for contemporaneous cross-examination that could overcome dangers — Majority also holding that trial judge erred in making positive finding that niece had no motive to fabricate and using finding to support reliability of statement — Dissenting judge concluding that trial judge was alive to role of cross-examination in threshold reliability analysis and that his reasons convincingly address procedural and substantive reliability — Dissenting judge also concluding that trial judge was entitled to conclude that niece’s police statement was not deliberate untruth — Conviction restored.</w:t>
      </w:r>
    </w:p>
    <w:p w:rsidR="00AB05FA" w:rsidRPr="00AB05FA" w:rsidRDefault="00AB05FA" w:rsidP="00AB05FA">
      <w:pPr>
        <w:tabs>
          <w:tab w:val="left" w:pos="1168"/>
        </w:tabs>
        <w:spacing w:after="480" w:line="480" w:lineRule="auto"/>
        <w:jc w:val="both"/>
      </w:pPr>
      <w:r w:rsidRPr="00AB05FA">
        <w:tab/>
        <w:t xml:space="preserve">APPEAL from a judgment of the Ontario Court of Appeal (Feldman, MacPherson and </w:t>
      </w:r>
      <w:proofErr w:type="spellStart"/>
      <w:r w:rsidRPr="00AB05FA">
        <w:t>Thorburn</w:t>
      </w:r>
      <w:proofErr w:type="spellEnd"/>
      <w:r w:rsidRPr="00AB05FA">
        <w:t> </w:t>
      </w:r>
      <w:proofErr w:type="spellStart"/>
      <w:r w:rsidRPr="00AB05FA">
        <w:t>JJ.A</w:t>
      </w:r>
      <w:proofErr w:type="spellEnd"/>
      <w:r w:rsidRPr="00AB05FA">
        <w:t xml:space="preserve">.), </w:t>
      </w:r>
      <w:hyperlink r:id="rId10" w:history="1">
        <w:r w:rsidRPr="00AB05FA">
          <w:rPr>
            <w:color w:val="660000"/>
          </w:rPr>
          <w:t xml:space="preserve">2022 </w:t>
        </w:r>
        <w:proofErr w:type="spellStart"/>
        <w:r w:rsidRPr="00AB05FA">
          <w:rPr>
            <w:color w:val="660000"/>
          </w:rPr>
          <w:t>ONCA</w:t>
        </w:r>
        <w:proofErr w:type="spellEnd"/>
        <w:r w:rsidRPr="00AB05FA">
          <w:rPr>
            <w:color w:val="660000"/>
          </w:rPr>
          <w:t xml:space="preserve"> 305</w:t>
        </w:r>
      </w:hyperlink>
      <w:r w:rsidRPr="00AB05FA">
        <w:t xml:space="preserve">, 161 </w:t>
      </w:r>
      <w:proofErr w:type="spellStart"/>
      <w:r w:rsidRPr="00AB05FA">
        <w:t>O.R</w:t>
      </w:r>
      <w:proofErr w:type="spellEnd"/>
      <w:r w:rsidRPr="00AB05FA">
        <w:t>. (</w:t>
      </w:r>
      <w:proofErr w:type="spellStart"/>
      <w:r w:rsidRPr="00AB05FA">
        <w:t>3d</w:t>
      </w:r>
      <w:proofErr w:type="spellEnd"/>
      <w:r w:rsidRPr="00AB05FA">
        <w:t xml:space="preserve">) 641, 414 </w:t>
      </w:r>
      <w:proofErr w:type="spellStart"/>
      <w:r w:rsidRPr="00AB05FA">
        <w:t>C.C.C</w:t>
      </w:r>
      <w:proofErr w:type="spellEnd"/>
      <w:r w:rsidRPr="00AB05FA">
        <w:t>. (</w:t>
      </w:r>
      <w:proofErr w:type="spellStart"/>
      <w:r w:rsidRPr="00AB05FA">
        <w:t>3d</w:t>
      </w:r>
      <w:proofErr w:type="spellEnd"/>
      <w:r w:rsidRPr="00AB05FA">
        <w:t>) 56, [2022] O.J. No. 1841 (</w:t>
      </w:r>
      <w:proofErr w:type="spellStart"/>
      <w:r w:rsidRPr="00AB05FA">
        <w:t>QL</w:t>
      </w:r>
      <w:proofErr w:type="spellEnd"/>
      <w:r w:rsidRPr="00AB05FA">
        <w:t xml:space="preserve">), 2022 </w:t>
      </w:r>
      <w:proofErr w:type="spellStart"/>
      <w:r w:rsidRPr="00AB05FA">
        <w:t>CarswellOnt</w:t>
      </w:r>
      <w:proofErr w:type="spellEnd"/>
      <w:r w:rsidRPr="00AB05FA">
        <w:t xml:space="preserve"> 5175 (WL), setting aside the conviction entered by Gray J., 2017 </w:t>
      </w:r>
      <w:proofErr w:type="spellStart"/>
      <w:r w:rsidRPr="00AB05FA">
        <w:t>ONSC</w:t>
      </w:r>
      <w:proofErr w:type="spellEnd"/>
      <w:r w:rsidRPr="00AB05FA">
        <w:t xml:space="preserve"> 5459, [2017] O.J. No. 4840 (</w:t>
      </w:r>
      <w:proofErr w:type="spellStart"/>
      <w:r w:rsidRPr="00AB05FA">
        <w:t>QL</w:t>
      </w:r>
      <w:proofErr w:type="spellEnd"/>
      <w:r w:rsidRPr="00AB05FA">
        <w:t xml:space="preserve">), 2017 </w:t>
      </w:r>
      <w:proofErr w:type="spellStart"/>
      <w:r w:rsidRPr="00AB05FA">
        <w:t>CarswellOnt</w:t>
      </w:r>
      <w:proofErr w:type="spellEnd"/>
      <w:r w:rsidRPr="00AB05FA">
        <w:t xml:space="preserve"> 14644 (WL), and entering an acquittal. Appeal allowed, Rowe J. dissenting.</w:t>
      </w:r>
    </w:p>
    <w:p w:rsidR="00AB05FA" w:rsidRPr="00AB05FA" w:rsidRDefault="00AB05FA" w:rsidP="00AB05FA">
      <w:pPr>
        <w:tabs>
          <w:tab w:val="left" w:pos="1168"/>
        </w:tabs>
        <w:spacing w:after="480" w:line="480" w:lineRule="auto"/>
        <w:jc w:val="both"/>
      </w:pPr>
      <w:r w:rsidRPr="00AB05FA">
        <w:rPr>
          <w:i/>
        </w:rPr>
        <w:tab/>
        <w:t>Michael S. Dunn</w:t>
      </w:r>
      <w:r w:rsidRPr="00AB05FA">
        <w:t>, for the appellant.</w:t>
      </w:r>
    </w:p>
    <w:p w:rsidR="00AB05FA" w:rsidRPr="00AB05FA" w:rsidRDefault="00AB05FA" w:rsidP="00AB05FA">
      <w:pPr>
        <w:tabs>
          <w:tab w:val="left" w:pos="1168"/>
        </w:tabs>
        <w:spacing w:after="480" w:line="480" w:lineRule="auto"/>
        <w:jc w:val="both"/>
      </w:pPr>
      <w:r w:rsidRPr="00AB05FA">
        <w:rPr>
          <w:i/>
        </w:rPr>
        <w:tab/>
        <w:t xml:space="preserve">Jeff </w:t>
      </w:r>
      <w:proofErr w:type="spellStart"/>
      <w:r w:rsidRPr="00AB05FA">
        <w:rPr>
          <w:i/>
        </w:rPr>
        <w:t>Marshman</w:t>
      </w:r>
      <w:proofErr w:type="spellEnd"/>
      <w:r w:rsidRPr="00AB05FA">
        <w:t xml:space="preserve"> and </w:t>
      </w:r>
      <w:r w:rsidRPr="00AB05FA">
        <w:rPr>
          <w:i/>
        </w:rPr>
        <w:t>Ingrid Grant</w:t>
      </w:r>
      <w:r w:rsidRPr="00AB05FA">
        <w:t>, for the respondent.</w:t>
      </w:r>
    </w:p>
    <w:p w:rsidR="00AB05FA" w:rsidRPr="00AB05FA" w:rsidRDefault="00AB05FA" w:rsidP="00AB05FA">
      <w:pPr>
        <w:tabs>
          <w:tab w:val="left" w:pos="1168"/>
        </w:tabs>
        <w:spacing w:after="480" w:line="480" w:lineRule="auto"/>
        <w:jc w:val="both"/>
      </w:pPr>
      <w:r w:rsidRPr="00AB05FA">
        <w:rPr>
          <w:i/>
        </w:rPr>
        <w:tab/>
      </w:r>
      <w:proofErr w:type="spellStart"/>
      <w:r w:rsidRPr="00AB05FA">
        <w:rPr>
          <w:i/>
        </w:rPr>
        <w:t>Maija</w:t>
      </w:r>
      <w:proofErr w:type="spellEnd"/>
      <w:r w:rsidRPr="00AB05FA">
        <w:rPr>
          <w:i/>
        </w:rPr>
        <w:t xml:space="preserve"> Martin</w:t>
      </w:r>
      <w:r w:rsidRPr="00AB05FA">
        <w:t xml:space="preserve"> and </w:t>
      </w:r>
      <w:r w:rsidRPr="00AB05FA">
        <w:rPr>
          <w:i/>
        </w:rPr>
        <w:t xml:space="preserve">Nicola </w:t>
      </w:r>
      <w:proofErr w:type="spellStart"/>
      <w:r w:rsidRPr="00AB05FA">
        <w:rPr>
          <w:i/>
        </w:rPr>
        <w:t>Langille</w:t>
      </w:r>
      <w:proofErr w:type="spellEnd"/>
      <w:r w:rsidRPr="00AB05FA">
        <w:t>, for the intervener the Criminal Lawyers’ Association (Ontario).</w:t>
      </w:r>
    </w:p>
    <w:p w:rsidR="00AB05FA" w:rsidRPr="00AB05FA" w:rsidRDefault="00AB05FA" w:rsidP="00AB05FA">
      <w:pPr>
        <w:tabs>
          <w:tab w:val="left" w:pos="1168"/>
        </w:tabs>
        <w:spacing w:after="480" w:line="480" w:lineRule="auto"/>
        <w:jc w:val="both"/>
      </w:pPr>
      <w:r w:rsidRPr="00AB05FA">
        <w:rPr>
          <w:i/>
        </w:rPr>
        <w:tab/>
        <w:t xml:space="preserve">William J. van Engen </w:t>
      </w:r>
      <w:r w:rsidRPr="00AB05FA">
        <w:t>and</w:t>
      </w:r>
      <w:r w:rsidRPr="00AB05FA">
        <w:rPr>
          <w:i/>
        </w:rPr>
        <w:t xml:space="preserve"> Deborah R. Hatch</w:t>
      </w:r>
      <w:r w:rsidRPr="00AB05FA">
        <w:t>, for the intervener the Criminal Trial Lawyers’ Association.</w:t>
      </w:r>
    </w:p>
    <w:p w:rsidR="00AB05FA" w:rsidRPr="00AB05FA" w:rsidRDefault="00AB05FA" w:rsidP="00AB05FA">
      <w:pPr>
        <w:tabs>
          <w:tab w:val="left" w:pos="1168"/>
        </w:tabs>
        <w:spacing w:after="480" w:line="480" w:lineRule="auto"/>
        <w:jc w:val="both"/>
      </w:pPr>
      <w:r w:rsidRPr="00AB05FA">
        <w:tab/>
        <w:t>The judgment of the Court was delivered orally by</w:t>
      </w:r>
    </w:p>
    <w:p w:rsidR="00AB05FA" w:rsidRPr="00AB05FA" w:rsidRDefault="00AB05FA" w:rsidP="00AB05FA">
      <w:pPr>
        <w:tabs>
          <w:tab w:val="left" w:pos="1168"/>
        </w:tabs>
        <w:spacing w:after="480" w:line="480" w:lineRule="auto"/>
        <w:jc w:val="both"/>
      </w:pPr>
      <w:r w:rsidRPr="00AB05FA">
        <w:t>[1]</w:t>
      </w:r>
      <w:r w:rsidRPr="00AB05FA">
        <w:tab/>
      </w:r>
      <w:r w:rsidRPr="00AB05FA">
        <w:rPr>
          <w:smallCaps/>
        </w:rPr>
        <w:t>The Chief Justice</w:t>
      </w:r>
      <w:r w:rsidRPr="00AB05FA">
        <w:t xml:space="preserve"> — </w:t>
      </w:r>
      <w:proofErr w:type="gramStart"/>
      <w:r w:rsidRPr="00AB05FA">
        <w:t>A</w:t>
      </w:r>
      <w:proofErr w:type="gramEnd"/>
      <w:r w:rsidRPr="00AB05FA">
        <w:t xml:space="preserve"> majority of this Court would allow the appeal, substantially for the reasons of the dissenting judge, MacPherson J.A. Justice Rowe would dismiss the appeal, substantially for the reasons of the majority of the Court of Appeal. Therefore, the appeal is allowed and the conviction is restored.</w:t>
      </w:r>
    </w:p>
    <w:p w:rsidR="00AB05FA" w:rsidRPr="00AB05FA" w:rsidRDefault="00AB05FA" w:rsidP="00AB05FA">
      <w:pPr>
        <w:tabs>
          <w:tab w:val="left" w:pos="1168"/>
        </w:tabs>
        <w:spacing w:after="480" w:line="480" w:lineRule="auto"/>
        <w:jc w:val="both"/>
        <w:rPr>
          <w:i/>
        </w:rPr>
      </w:pPr>
      <w:r w:rsidRPr="00AB05FA">
        <w:tab/>
      </w:r>
      <w:r w:rsidRPr="00AB05FA">
        <w:rPr>
          <w:i/>
        </w:rPr>
        <w:t>Judgment accordingly.</w:t>
      </w:r>
    </w:p>
    <w:p w:rsidR="00AB05FA" w:rsidRPr="00AB05FA" w:rsidRDefault="00AB05FA" w:rsidP="00AB05FA">
      <w:pPr>
        <w:tabs>
          <w:tab w:val="left" w:pos="1168"/>
        </w:tabs>
        <w:spacing w:after="480" w:line="480" w:lineRule="auto"/>
        <w:jc w:val="both"/>
        <w:rPr>
          <w:i/>
        </w:rPr>
      </w:pPr>
      <w:r w:rsidRPr="00AB05FA">
        <w:rPr>
          <w:i/>
        </w:rPr>
        <w:tab/>
        <w:t>Solicitor for the appellant: Ministry of the Attorney General — Crown Law Office, Criminal, Toronto.</w:t>
      </w:r>
    </w:p>
    <w:p w:rsidR="00AB05FA" w:rsidRPr="00AB05FA" w:rsidRDefault="00AB05FA" w:rsidP="00AB05FA">
      <w:pPr>
        <w:tabs>
          <w:tab w:val="left" w:pos="1168"/>
        </w:tabs>
        <w:spacing w:after="480" w:line="480" w:lineRule="auto"/>
        <w:jc w:val="both"/>
        <w:rPr>
          <w:i/>
        </w:rPr>
      </w:pPr>
      <w:r w:rsidRPr="00AB05FA">
        <w:rPr>
          <w:i/>
        </w:rPr>
        <w:tab/>
        <w:t xml:space="preserve">Solicitors for the respondent: Grant and </w:t>
      </w:r>
      <w:proofErr w:type="spellStart"/>
      <w:r w:rsidRPr="00AB05FA">
        <w:rPr>
          <w:i/>
        </w:rPr>
        <w:t>Marshman</w:t>
      </w:r>
      <w:proofErr w:type="spellEnd"/>
      <w:r w:rsidRPr="00AB05FA">
        <w:rPr>
          <w:i/>
        </w:rPr>
        <w:t>, Toronto.</w:t>
      </w:r>
    </w:p>
    <w:p w:rsidR="00AB05FA" w:rsidRPr="00AB05FA" w:rsidRDefault="00AB05FA" w:rsidP="00AB05FA">
      <w:pPr>
        <w:tabs>
          <w:tab w:val="left" w:pos="1168"/>
        </w:tabs>
        <w:spacing w:after="480" w:line="480" w:lineRule="auto"/>
        <w:jc w:val="both"/>
        <w:rPr>
          <w:i/>
        </w:rPr>
      </w:pPr>
      <w:r w:rsidRPr="00AB05FA">
        <w:rPr>
          <w:i/>
        </w:rPr>
        <w:tab/>
        <w:t>Solicitors for the intervener the Criminal Lawyers’ Association (Ontario): Martin Barristers, Toronto; Yellowknife Legal Aid Clinic, Yellowknife.</w:t>
      </w:r>
    </w:p>
    <w:p w:rsidR="00AB05FA" w:rsidRPr="00AB05FA" w:rsidRDefault="00AB05FA" w:rsidP="00AB05FA">
      <w:pPr>
        <w:tabs>
          <w:tab w:val="left" w:pos="1168"/>
        </w:tabs>
        <w:spacing w:after="480" w:line="480" w:lineRule="auto"/>
        <w:jc w:val="both"/>
        <w:rPr>
          <w:i/>
        </w:rPr>
      </w:pPr>
      <w:r w:rsidRPr="00AB05FA">
        <w:rPr>
          <w:i/>
        </w:rPr>
        <w:tab/>
        <w:t xml:space="preserve">Solicitors for the intervener the Criminal Trial Lawyers’ Association: </w:t>
      </w:r>
      <w:proofErr w:type="spellStart"/>
      <w:r w:rsidRPr="00AB05FA">
        <w:rPr>
          <w:i/>
        </w:rPr>
        <w:t>Bottos</w:t>
      </w:r>
      <w:proofErr w:type="spellEnd"/>
      <w:r w:rsidRPr="00AB05FA">
        <w:rPr>
          <w:i/>
        </w:rPr>
        <w:t xml:space="preserve"> Law Group, Edmonton; Deborah R. Hatch Criminal Law, Edmonton.</w:t>
      </w:r>
    </w:p>
    <w:p w:rsidR="000F0995" w:rsidRPr="00F53E0F" w:rsidRDefault="000F0995" w:rsidP="00AB05FA">
      <w:pPr>
        <w:spacing w:before="100" w:beforeAutospacing="1"/>
        <w:rPr>
          <w:szCs w:val="24"/>
        </w:rPr>
      </w:pPr>
    </w:p>
    <w:sectPr w:rsidR="000F0995" w:rsidRPr="00F53E0F" w:rsidSect="002A582A">
      <w:headerReference w:type="default" r:id="rId11"/>
      <w:headerReference w:type="first" r:id="rId12"/>
      <w:pgSz w:w="12240" w:h="15840"/>
      <w:pgMar w:top="1440" w:right="1440" w:bottom="144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D8" w:rsidRDefault="00437DD8">
      <w:r>
        <w:separator/>
      </w:r>
    </w:p>
  </w:endnote>
  <w:endnote w:type="continuationSeparator" w:id="0">
    <w:p w:rsidR="00437DD8" w:rsidRDefault="0043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D8" w:rsidRDefault="00437DD8">
      <w:r>
        <w:separator/>
      </w:r>
    </w:p>
  </w:footnote>
  <w:footnote w:type="continuationSeparator" w:id="0">
    <w:p w:rsidR="00437DD8" w:rsidRDefault="0043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DA" w:rsidRDefault="009A3732" w:rsidP="00F07DDA">
    <w:pPr>
      <w:tabs>
        <w:tab w:val="center" w:pos="4680"/>
      </w:tabs>
      <w:jc w:val="center"/>
      <w:rPr>
        <w:szCs w:val="24"/>
      </w:rPr>
    </w:pPr>
    <w:r>
      <w:rPr>
        <w:szCs w:val="24"/>
      </w:rPr>
      <w:t xml:space="preserve">- </w:t>
    </w:r>
    <w:r w:rsidRPr="00417FB7">
      <w:rPr>
        <w:szCs w:val="24"/>
      </w:rPr>
      <w:fldChar w:fldCharType="begin"/>
    </w:r>
    <w:r w:rsidRPr="00417FB7">
      <w:rPr>
        <w:szCs w:val="24"/>
      </w:rPr>
      <w:instrText xml:space="preserve"> PAGE   \* MERGEFORMAT </w:instrText>
    </w:r>
    <w:r w:rsidRPr="00417FB7">
      <w:rPr>
        <w:szCs w:val="24"/>
      </w:rPr>
      <w:fldChar w:fldCharType="separate"/>
    </w:r>
    <w:r w:rsidR="00AB05FA">
      <w:rPr>
        <w:noProof/>
        <w:szCs w:val="24"/>
      </w:rPr>
      <w:t>5</w:t>
    </w:r>
    <w:r w:rsidRPr="00417FB7">
      <w:rPr>
        <w:szCs w:val="24"/>
      </w:rPr>
      <w:fldChar w:fldCharType="end"/>
    </w:r>
    <w:r>
      <w:rPr>
        <w:szCs w:val="24"/>
      </w:rPr>
      <w:t xml:space="preserve"> -</w:t>
    </w:r>
  </w:p>
  <w:p w:rsidR="00F07DDA" w:rsidRDefault="00AB05FA" w:rsidP="00F07DDA">
    <w:pPr>
      <w:rPr>
        <w:szCs w:val="24"/>
      </w:rPr>
    </w:pPr>
  </w:p>
  <w:p w:rsidR="00F07DDA" w:rsidRDefault="00AB05FA" w:rsidP="00F07DDA">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2754"/>
      <w:lock w:val="contentLocked"/>
      <w:showingPlcHdr/>
      <w:text/>
    </w:sdtPr>
    <w:sdtEndPr/>
    <w:sdtContent>
      <w:p w:rsidR="000367A3" w:rsidRDefault="00AB05FA" w:rsidP="000367A3"/>
      <w:p w:rsidR="000367A3" w:rsidRDefault="00AB05FA" w:rsidP="000367A3"/>
      <w:p w:rsidR="000367A3" w:rsidRPr="0031097F" w:rsidRDefault="00AB05FA" w:rsidP="000367A3"/>
      <w:p w:rsidR="000367A3" w:rsidRDefault="00AB05FA" w:rsidP="000367A3"/>
      <w:p w:rsidR="000367A3" w:rsidRDefault="00AB05FA" w:rsidP="000367A3"/>
      <w:p w:rsidR="000367A3" w:rsidRDefault="00AB05FA" w:rsidP="000367A3"/>
      <w:p w:rsidR="000367A3" w:rsidRDefault="00AB05FA" w:rsidP="000367A3"/>
      <w:p w:rsidR="000367A3" w:rsidRDefault="00AB05FA" w:rsidP="000367A3"/>
      <w:p w:rsidR="000367A3" w:rsidRPr="00FE22F9" w:rsidRDefault="00AB05FA" w:rsidP="000367A3"/>
      <w:p w:rsidR="000367A3" w:rsidRPr="00FE22F9" w:rsidRDefault="00AB05FA" w:rsidP="000367A3"/>
      <w:p w:rsidR="000367A3" w:rsidRDefault="00AB05FA" w:rsidP="000367A3">
        <w:pPr>
          <w:pStyle w:val="Header"/>
        </w:pPr>
      </w:p>
      <w:p w:rsidR="00484355" w:rsidRPr="000367A3" w:rsidRDefault="00AB05FA" w:rsidP="000367A3">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148B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CA3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D66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2044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42DC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4A02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262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009E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96C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2A33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D83"/>
    <w:rsid w:val="00011368"/>
    <w:rsid w:val="00013781"/>
    <w:rsid w:val="00016814"/>
    <w:rsid w:val="00017885"/>
    <w:rsid w:val="00025198"/>
    <w:rsid w:val="00025763"/>
    <w:rsid w:val="00026467"/>
    <w:rsid w:val="00040D1B"/>
    <w:rsid w:val="00040F00"/>
    <w:rsid w:val="00041BDD"/>
    <w:rsid w:val="000578A3"/>
    <w:rsid w:val="000648CC"/>
    <w:rsid w:val="00076E46"/>
    <w:rsid w:val="00090AC3"/>
    <w:rsid w:val="00094FED"/>
    <w:rsid w:val="00096F6F"/>
    <w:rsid w:val="000B5CFA"/>
    <w:rsid w:val="000B69B5"/>
    <w:rsid w:val="000C3FCE"/>
    <w:rsid w:val="000C433D"/>
    <w:rsid w:val="000C59B8"/>
    <w:rsid w:val="000C6AF0"/>
    <w:rsid w:val="000C78C2"/>
    <w:rsid w:val="000D1960"/>
    <w:rsid w:val="000F0995"/>
    <w:rsid w:val="000F2039"/>
    <w:rsid w:val="000F2FF1"/>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625A"/>
    <w:rsid w:val="001677C1"/>
    <w:rsid w:val="00170592"/>
    <w:rsid w:val="00170CD9"/>
    <w:rsid w:val="0018066E"/>
    <w:rsid w:val="00184C66"/>
    <w:rsid w:val="00186351"/>
    <w:rsid w:val="00195D83"/>
    <w:rsid w:val="001977DB"/>
    <w:rsid w:val="001A00C1"/>
    <w:rsid w:val="001A42A4"/>
    <w:rsid w:val="001B327A"/>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B77"/>
    <w:rsid w:val="00264F49"/>
    <w:rsid w:val="00270D93"/>
    <w:rsid w:val="002745CC"/>
    <w:rsid w:val="00284EBA"/>
    <w:rsid w:val="0029178F"/>
    <w:rsid w:val="002A582A"/>
    <w:rsid w:val="002B56E8"/>
    <w:rsid w:val="002B7924"/>
    <w:rsid w:val="002B7ABA"/>
    <w:rsid w:val="002D0C2D"/>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435C"/>
    <w:rsid w:val="00337C82"/>
    <w:rsid w:val="00342089"/>
    <w:rsid w:val="00347BA4"/>
    <w:rsid w:val="0035169A"/>
    <w:rsid w:val="0035259D"/>
    <w:rsid w:val="00353B79"/>
    <w:rsid w:val="00354BF8"/>
    <w:rsid w:val="00355C66"/>
    <w:rsid w:val="00362ADA"/>
    <w:rsid w:val="00364B18"/>
    <w:rsid w:val="00374070"/>
    <w:rsid w:val="00396BF3"/>
    <w:rsid w:val="00397B36"/>
    <w:rsid w:val="003A125D"/>
    <w:rsid w:val="003A4C70"/>
    <w:rsid w:val="003B215F"/>
    <w:rsid w:val="003C2CFF"/>
    <w:rsid w:val="003C799C"/>
    <w:rsid w:val="003D0399"/>
    <w:rsid w:val="003E1C71"/>
    <w:rsid w:val="003E2693"/>
    <w:rsid w:val="003E53AC"/>
    <w:rsid w:val="003F327B"/>
    <w:rsid w:val="003F7ACB"/>
    <w:rsid w:val="00400B24"/>
    <w:rsid w:val="00404D28"/>
    <w:rsid w:val="0040508D"/>
    <w:rsid w:val="00406166"/>
    <w:rsid w:val="0040704B"/>
    <w:rsid w:val="00407839"/>
    <w:rsid w:val="00410003"/>
    <w:rsid w:val="00410588"/>
    <w:rsid w:val="00410A55"/>
    <w:rsid w:val="00411300"/>
    <w:rsid w:val="00415417"/>
    <w:rsid w:val="0041747D"/>
    <w:rsid w:val="00424FE1"/>
    <w:rsid w:val="00426659"/>
    <w:rsid w:val="00426D16"/>
    <w:rsid w:val="00437DD8"/>
    <w:rsid w:val="00450352"/>
    <w:rsid w:val="00454BDB"/>
    <w:rsid w:val="004567CE"/>
    <w:rsid w:val="0046210B"/>
    <w:rsid w:val="00463A7A"/>
    <w:rsid w:val="00464800"/>
    <w:rsid w:val="00464BF6"/>
    <w:rsid w:val="00465132"/>
    <w:rsid w:val="00465EF1"/>
    <w:rsid w:val="00470DB3"/>
    <w:rsid w:val="0047411A"/>
    <w:rsid w:val="00480C90"/>
    <w:rsid w:val="0048396F"/>
    <w:rsid w:val="00493C18"/>
    <w:rsid w:val="00495D96"/>
    <w:rsid w:val="004A600C"/>
    <w:rsid w:val="004A6118"/>
    <w:rsid w:val="004C2314"/>
    <w:rsid w:val="004C25EE"/>
    <w:rsid w:val="004C478D"/>
    <w:rsid w:val="004C5B67"/>
    <w:rsid w:val="004D4FEC"/>
    <w:rsid w:val="004E0D6A"/>
    <w:rsid w:val="004E2C26"/>
    <w:rsid w:val="004E61A7"/>
    <w:rsid w:val="004F36FF"/>
    <w:rsid w:val="004F7454"/>
    <w:rsid w:val="005125A8"/>
    <w:rsid w:val="00516DED"/>
    <w:rsid w:val="00521AE8"/>
    <w:rsid w:val="00524449"/>
    <w:rsid w:val="00527180"/>
    <w:rsid w:val="00533A2E"/>
    <w:rsid w:val="005341CE"/>
    <w:rsid w:val="00534AB2"/>
    <w:rsid w:val="0054201E"/>
    <w:rsid w:val="005541DB"/>
    <w:rsid w:val="00555291"/>
    <w:rsid w:val="0056265A"/>
    <w:rsid w:val="00566AD1"/>
    <w:rsid w:val="0057257D"/>
    <w:rsid w:val="00577F18"/>
    <w:rsid w:val="00583EDE"/>
    <w:rsid w:val="005857BC"/>
    <w:rsid w:val="00586928"/>
    <w:rsid w:val="005A4F85"/>
    <w:rsid w:val="005A6071"/>
    <w:rsid w:val="005A6079"/>
    <w:rsid w:val="005C5BED"/>
    <w:rsid w:val="005C7840"/>
    <w:rsid w:val="005E4698"/>
    <w:rsid w:val="006003EE"/>
    <w:rsid w:val="00610539"/>
    <w:rsid w:val="00613969"/>
    <w:rsid w:val="0061523C"/>
    <w:rsid w:val="00617208"/>
    <w:rsid w:val="006230B6"/>
    <w:rsid w:val="00625C35"/>
    <w:rsid w:val="006260EB"/>
    <w:rsid w:val="00626A7D"/>
    <w:rsid w:val="0062787A"/>
    <w:rsid w:val="00635521"/>
    <w:rsid w:val="006468AB"/>
    <w:rsid w:val="00656313"/>
    <w:rsid w:val="006565F4"/>
    <w:rsid w:val="0066108F"/>
    <w:rsid w:val="006763FD"/>
    <w:rsid w:val="00684EEA"/>
    <w:rsid w:val="006908E8"/>
    <w:rsid w:val="0069689B"/>
    <w:rsid w:val="006A1551"/>
    <w:rsid w:val="006A31A1"/>
    <w:rsid w:val="006A48DB"/>
    <w:rsid w:val="006B5FF5"/>
    <w:rsid w:val="006B7683"/>
    <w:rsid w:val="006D4200"/>
    <w:rsid w:val="006D6275"/>
    <w:rsid w:val="006F30AF"/>
    <w:rsid w:val="007000FF"/>
    <w:rsid w:val="007009A0"/>
    <w:rsid w:val="00701759"/>
    <w:rsid w:val="00701CF2"/>
    <w:rsid w:val="00705C15"/>
    <w:rsid w:val="00712E55"/>
    <w:rsid w:val="00713025"/>
    <w:rsid w:val="007154A1"/>
    <w:rsid w:val="00715A65"/>
    <w:rsid w:val="0071600E"/>
    <w:rsid w:val="00717FDC"/>
    <w:rsid w:val="007208D1"/>
    <w:rsid w:val="0072428C"/>
    <w:rsid w:val="00730177"/>
    <w:rsid w:val="0073049D"/>
    <w:rsid w:val="00741E1C"/>
    <w:rsid w:val="00742119"/>
    <w:rsid w:val="00747288"/>
    <w:rsid w:val="00747DD3"/>
    <w:rsid w:val="007549C8"/>
    <w:rsid w:val="00754A0B"/>
    <w:rsid w:val="0075717D"/>
    <w:rsid w:val="00766D14"/>
    <w:rsid w:val="00767A0F"/>
    <w:rsid w:val="00780E64"/>
    <w:rsid w:val="007A05F6"/>
    <w:rsid w:val="007B6F4A"/>
    <w:rsid w:val="007D097E"/>
    <w:rsid w:val="007E1C47"/>
    <w:rsid w:val="007E337A"/>
    <w:rsid w:val="007E5C70"/>
    <w:rsid w:val="007F2FF5"/>
    <w:rsid w:val="007F3F08"/>
    <w:rsid w:val="00804CC6"/>
    <w:rsid w:val="00813B48"/>
    <w:rsid w:val="0081470C"/>
    <w:rsid w:val="00817190"/>
    <w:rsid w:val="008201FB"/>
    <w:rsid w:val="00820EE5"/>
    <w:rsid w:val="008244E9"/>
    <w:rsid w:val="008260E2"/>
    <w:rsid w:val="008311DB"/>
    <w:rsid w:val="008322BD"/>
    <w:rsid w:val="008323C4"/>
    <w:rsid w:val="00832F3F"/>
    <w:rsid w:val="00833E0A"/>
    <w:rsid w:val="00834F73"/>
    <w:rsid w:val="00847F55"/>
    <w:rsid w:val="00851F3D"/>
    <w:rsid w:val="008544FA"/>
    <w:rsid w:val="00854728"/>
    <w:rsid w:val="00864CF8"/>
    <w:rsid w:val="00872819"/>
    <w:rsid w:val="00874914"/>
    <w:rsid w:val="00891422"/>
    <w:rsid w:val="00892E1A"/>
    <w:rsid w:val="00895EB7"/>
    <w:rsid w:val="00896C73"/>
    <w:rsid w:val="008A3F29"/>
    <w:rsid w:val="008B660A"/>
    <w:rsid w:val="008B70F9"/>
    <w:rsid w:val="008C01DA"/>
    <w:rsid w:val="008C02C9"/>
    <w:rsid w:val="008C1723"/>
    <w:rsid w:val="008C7263"/>
    <w:rsid w:val="008D2104"/>
    <w:rsid w:val="008D44F3"/>
    <w:rsid w:val="008F78E9"/>
    <w:rsid w:val="00903C32"/>
    <w:rsid w:val="00911011"/>
    <w:rsid w:val="00911989"/>
    <w:rsid w:val="009179F9"/>
    <w:rsid w:val="00921B52"/>
    <w:rsid w:val="0093031F"/>
    <w:rsid w:val="00931C1C"/>
    <w:rsid w:val="00933E5E"/>
    <w:rsid w:val="00935218"/>
    <w:rsid w:val="009403F3"/>
    <w:rsid w:val="009555B7"/>
    <w:rsid w:val="009567AA"/>
    <w:rsid w:val="0096120B"/>
    <w:rsid w:val="0096473A"/>
    <w:rsid w:val="00967374"/>
    <w:rsid w:val="0097155E"/>
    <w:rsid w:val="00972251"/>
    <w:rsid w:val="00976EB5"/>
    <w:rsid w:val="00981B4D"/>
    <w:rsid w:val="009A343A"/>
    <w:rsid w:val="009A3732"/>
    <w:rsid w:val="009A4E51"/>
    <w:rsid w:val="009A520F"/>
    <w:rsid w:val="009B2F23"/>
    <w:rsid w:val="009B57B3"/>
    <w:rsid w:val="009B6FFE"/>
    <w:rsid w:val="009B7BE6"/>
    <w:rsid w:val="009C5B92"/>
    <w:rsid w:val="009D2920"/>
    <w:rsid w:val="009D5AEB"/>
    <w:rsid w:val="009D79D6"/>
    <w:rsid w:val="009F0E33"/>
    <w:rsid w:val="009F1E77"/>
    <w:rsid w:val="00A003F4"/>
    <w:rsid w:val="00A030CE"/>
    <w:rsid w:val="00A12217"/>
    <w:rsid w:val="00A149DF"/>
    <w:rsid w:val="00A1755C"/>
    <w:rsid w:val="00A21B90"/>
    <w:rsid w:val="00A23CE6"/>
    <w:rsid w:val="00A244B9"/>
    <w:rsid w:val="00A41805"/>
    <w:rsid w:val="00A42DCD"/>
    <w:rsid w:val="00A44699"/>
    <w:rsid w:val="00A52AFB"/>
    <w:rsid w:val="00A548CB"/>
    <w:rsid w:val="00A5521C"/>
    <w:rsid w:val="00A557A1"/>
    <w:rsid w:val="00A55CEF"/>
    <w:rsid w:val="00A643E7"/>
    <w:rsid w:val="00A70913"/>
    <w:rsid w:val="00A73C38"/>
    <w:rsid w:val="00AB05FA"/>
    <w:rsid w:val="00AB305A"/>
    <w:rsid w:val="00AB670D"/>
    <w:rsid w:val="00AC5BFC"/>
    <w:rsid w:val="00AC6FA4"/>
    <w:rsid w:val="00AD2826"/>
    <w:rsid w:val="00AD342F"/>
    <w:rsid w:val="00AD4C25"/>
    <w:rsid w:val="00AE25FE"/>
    <w:rsid w:val="00AE4535"/>
    <w:rsid w:val="00AF03C5"/>
    <w:rsid w:val="00AF0B26"/>
    <w:rsid w:val="00B000D8"/>
    <w:rsid w:val="00B00F75"/>
    <w:rsid w:val="00B11735"/>
    <w:rsid w:val="00B145B6"/>
    <w:rsid w:val="00B2215E"/>
    <w:rsid w:val="00B279EB"/>
    <w:rsid w:val="00B30E18"/>
    <w:rsid w:val="00B32357"/>
    <w:rsid w:val="00B36958"/>
    <w:rsid w:val="00B43559"/>
    <w:rsid w:val="00B50C81"/>
    <w:rsid w:val="00B557F8"/>
    <w:rsid w:val="00B56AAF"/>
    <w:rsid w:val="00B652DB"/>
    <w:rsid w:val="00B65301"/>
    <w:rsid w:val="00B67199"/>
    <w:rsid w:val="00B815FC"/>
    <w:rsid w:val="00B91A56"/>
    <w:rsid w:val="00B93FBC"/>
    <w:rsid w:val="00BA066D"/>
    <w:rsid w:val="00BA7DA0"/>
    <w:rsid w:val="00BB2366"/>
    <w:rsid w:val="00BB2640"/>
    <w:rsid w:val="00BB2EE4"/>
    <w:rsid w:val="00BB5AE6"/>
    <w:rsid w:val="00BC2108"/>
    <w:rsid w:val="00BC5642"/>
    <w:rsid w:val="00BD0E9E"/>
    <w:rsid w:val="00BD1BEC"/>
    <w:rsid w:val="00BD32FF"/>
    <w:rsid w:val="00BD67ED"/>
    <w:rsid w:val="00C01A6A"/>
    <w:rsid w:val="00C02092"/>
    <w:rsid w:val="00C14AA0"/>
    <w:rsid w:val="00C22905"/>
    <w:rsid w:val="00C229CD"/>
    <w:rsid w:val="00C248ED"/>
    <w:rsid w:val="00C24D91"/>
    <w:rsid w:val="00C53F14"/>
    <w:rsid w:val="00C55E34"/>
    <w:rsid w:val="00C600CF"/>
    <w:rsid w:val="00C6084F"/>
    <w:rsid w:val="00C62A66"/>
    <w:rsid w:val="00C62FD6"/>
    <w:rsid w:val="00C71458"/>
    <w:rsid w:val="00C767AD"/>
    <w:rsid w:val="00C77613"/>
    <w:rsid w:val="00C828E7"/>
    <w:rsid w:val="00C8650B"/>
    <w:rsid w:val="00C86719"/>
    <w:rsid w:val="00C921DD"/>
    <w:rsid w:val="00CA6391"/>
    <w:rsid w:val="00CA7B39"/>
    <w:rsid w:val="00CC34BD"/>
    <w:rsid w:val="00CD6453"/>
    <w:rsid w:val="00CE08B9"/>
    <w:rsid w:val="00CE161A"/>
    <w:rsid w:val="00CE3171"/>
    <w:rsid w:val="00CE7262"/>
    <w:rsid w:val="00CF09E5"/>
    <w:rsid w:val="00CF1601"/>
    <w:rsid w:val="00D0172F"/>
    <w:rsid w:val="00D068A7"/>
    <w:rsid w:val="00D173CE"/>
    <w:rsid w:val="00D17476"/>
    <w:rsid w:val="00D2527D"/>
    <w:rsid w:val="00D26B67"/>
    <w:rsid w:val="00D32086"/>
    <w:rsid w:val="00D33A8F"/>
    <w:rsid w:val="00D360E6"/>
    <w:rsid w:val="00D37A3F"/>
    <w:rsid w:val="00D4431D"/>
    <w:rsid w:val="00D4667A"/>
    <w:rsid w:val="00D469D5"/>
    <w:rsid w:val="00D47BFC"/>
    <w:rsid w:val="00D57CCA"/>
    <w:rsid w:val="00D614A5"/>
    <w:rsid w:val="00D614E0"/>
    <w:rsid w:val="00D63A1C"/>
    <w:rsid w:val="00D67CB1"/>
    <w:rsid w:val="00D745D8"/>
    <w:rsid w:val="00D7516F"/>
    <w:rsid w:val="00D83628"/>
    <w:rsid w:val="00D8579F"/>
    <w:rsid w:val="00D90B9E"/>
    <w:rsid w:val="00D91A89"/>
    <w:rsid w:val="00D94841"/>
    <w:rsid w:val="00D95F8E"/>
    <w:rsid w:val="00DA0590"/>
    <w:rsid w:val="00DA09F8"/>
    <w:rsid w:val="00DA0C16"/>
    <w:rsid w:val="00DB1C39"/>
    <w:rsid w:val="00DB7BEA"/>
    <w:rsid w:val="00DC1739"/>
    <w:rsid w:val="00DC1788"/>
    <w:rsid w:val="00DC2F37"/>
    <w:rsid w:val="00DD105B"/>
    <w:rsid w:val="00DE319C"/>
    <w:rsid w:val="00DE416C"/>
    <w:rsid w:val="00DE54B0"/>
    <w:rsid w:val="00DF0CA8"/>
    <w:rsid w:val="00DF2B48"/>
    <w:rsid w:val="00DF49A7"/>
    <w:rsid w:val="00E03F44"/>
    <w:rsid w:val="00E07EE2"/>
    <w:rsid w:val="00E07FD1"/>
    <w:rsid w:val="00E176D8"/>
    <w:rsid w:val="00E24573"/>
    <w:rsid w:val="00E25E1E"/>
    <w:rsid w:val="00E27EE7"/>
    <w:rsid w:val="00E31D67"/>
    <w:rsid w:val="00E3214F"/>
    <w:rsid w:val="00E333F9"/>
    <w:rsid w:val="00E35404"/>
    <w:rsid w:val="00E37104"/>
    <w:rsid w:val="00E42BC1"/>
    <w:rsid w:val="00E45109"/>
    <w:rsid w:val="00E47574"/>
    <w:rsid w:val="00E47B7A"/>
    <w:rsid w:val="00E50A79"/>
    <w:rsid w:val="00E56A44"/>
    <w:rsid w:val="00E60269"/>
    <w:rsid w:val="00E653D0"/>
    <w:rsid w:val="00E65A2E"/>
    <w:rsid w:val="00E71951"/>
    <w:rsid w:val="00E77932"/>
    <w:rsid w:val="00E83FDA"/>
    <w:rsid w:val="00E92347"/>
    <w:rsid w:val="00E97830"/>
    <w:rsid w:val="00EA07C1"/>
    <w:rsid w:val="00EA13F9"/>
    <w:rsid w:val="00EA1D3B"/>
    <w:rsid w:val="00EB0B7C"/>
    <w:rsid w:val="00ED60AA"/>
    <w:rsid w:val="00ED681A"/>
    <w:rsid w:val="00EE5737"/>
    <w:rsid w:val="00EE643C"/>
    <w:rsid w:val="00EF0683"/>
    <w:rsid w:val="00EF69D2"/>
    <w:rsid w:val="00EF766E"/>
    <w:rsid w:val="00F0070C"/>
    <w:rsid w:val="00F00EB7"/>
    <w:rsid w:val="00F138C9"/>
    <w:rsid w:val="00F2271D"/>
    <w:rsid w:val="00F32475"/>
    <w:rsid w:val="00F36AB6"/>
    <w:rsid w:val="00F37A09"/>
    <w:rsid w:val="00F409CE"/>
    <w:rsid w:val="00F4379D"/>
    <w:rsid w:val="00F50635"/>
    <w:rsid w:val="00F50D2D"/>
    <w:rsid w:val="00F53E0F"/>
    <w:rsid w:val="00F56C8B"/>
    <w:rsid w:val="00F66810"/>
    <w:rsid w:val="00F70A7A"/>
    <w:rsid w:val="00F75F4E"/>
    <w:rsid w:val="00F846D9"/>
    <w:rsid w:val="00F84DF4"/>
    <w:rsid w:val="00F85C97"/>
    <w:rsid w:val="00F94A57"/>
    <w:rsid w:val="00FA51A0"/>
    <w:rsid w:val="00FA61A8"/>
    <w:rsid w:val="00FB37D2"/>
    <w:rsid w:val="00FB7D08"/>
    <w:rsid w:val="00FC3788"/>
    <w:rsid w:val="00FC4EFB"/>
    <w:rsid w:val="00FD068D"/>
    <w:rsid w:val="00FD4F28"/>
    <w:rsid w:val="00FE0416"/>
    <w:rsid w:val="00FE22A8"/>
    <w:rsid w:val="00FE4398"/>
    <w:rsid w:val="00FE6784"/>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2A582A"/>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2A582A"/>
    <w:rPr>
      <w:rFonts w:eastAsiaTheme="minorHAnsi" w:cstheme="minorBidi"/>
      <w:b/>
      <w:szCs w:val="22"/>
      <w:lang w:eastAsia="en-US"/>
    </w:rPr>
  </w:style>
  <w:style w:type="character" w:customStyle="1" w:styleId="SCCLsocPrefixChar">
    <w:name w:val="SCC.Lsoc.Prefix Char"/>
    <w:basedOn w:val="DefaultParagraphFont"/>
    <w:link w:val="SCCLsocPrefix"/>
    <w:rsid w:val="002A582A"/>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77">
      <w:bodyDiv w:val="1"/>
      <w:marLeft w:val="0"/>
      <w:marRight w:val="0"/>
      <w:marTop w:val="0"/>
      <w:marBottom w:val="0"/>
      <w:divBdr>
        <w:top w:val="none" w:sz="0" w:space="0" w:color="auto"/>
        <w:left w:val="none" w:sz="0" w:space="0" w:color="auto"/>
        <w:bottom w:val="none" w:sz="0" w:space="0" w:color="auto"/>
        <w:right w:val="none" w:sz="0" w:space="0" w:color="auto"/>
      </w:divBdr>
    </w:div>
    <w:div w:id="403189242">
      <w:bodyDiv w:val="1"/>
      <w:marLeft w:val="0"/>
      <w:marRight w:val="0"/>
      <w:marTop w:val="0"/>
      <w:marBottom w:val="0"/>
      <w:divBdr>
        <w:top w:val="none" w:sz="0" w:space="0" w:color="auto"/>
        <w:left w:val="none" w:sz="0" w:space="0" w:color="auto"/>
        <w:bottom w:val="none" w:sz="0" w:space="0" w:color="auto"/>
        <w:right w:val="none" w:sz="0" w:space="0" w:color="auto"/>
      </w:divBdr>
    </w:div>
    <w:div w:id="427433501">
      <w:bodyDiv w:val="1"/>
      <w:marLeft w:val="0"/>
      <w:marRight w:val="0"/>
      <w:marTop w:val="0"/>
      <w:marBottom w:val="0"/>
      <w:divBdr>
        <w:top w:val="none" w:sz="0" w:space="0" w:color="auto"/>
        <w:left w:val="none" w:sz="0" w:space="0" w:color="auto"/>
        <w:bottom w:val="none" w:sz="0" w:space="0" w:color="auto"/>
        <w:right w:val="none" w:sz="0" w:space="0" w:color="auto"/>
      </w:divBdr>
    </w:div>
    <w:div w:id="510067599">
      <w:bodyDiv w:val="1"/>
      <w:marLeft w:val="0"/>
      <w:marRight w:val="0"/>
      <w:marTop w:val="0"/>
      <w:marBottom w:val="0"/>
      <w:divBdr>
        <w:top w:val="none" w:sz="0" w:space="0" w:color="auto"/>
        <w:left w:val="none" w:sz="0" w:space="0" w:color="auto"/>
        <w:bottom w:val="none" w:sz="0" w:space="0" w:color="auto"/>
        <w:right w:val="none" w:sz="0" w:space="0" w:color="auto"/>
      </w:divBdr>
    </w:div>
    <w:div w:id="675503589">
      <w:bodyDiv w:val="1"/>
      <w:marLeft w:val="0"/>
      <w:marRight w:val="0"/>
      <w:marTop w:val="0"/>
      <w:marBottom w:val="0"/>
      <w:divBdr>
        <w:top w:val="none" w:sz="0" w:space="0" w:color="auto"/>
        <w:left w:val="none" w:sz="0" w:space="0" w:color="auto"/>
        <w:bottom w:val="none" w:sz="0" w:space="0" w:color="auto"/>
        <w:right w:val="none" w:sz="0" w:space="0" w:color="auto"/>
      </w:divBdr>
    </w:div>
    <w:div w:id="746463406">
      <w:bodyDiv w:val="1"/>
      <w:marLeft w:val="0"/>
      <w:marRight w:val="0"/>
      <w:marTop w:val="0"/>
      <w:marBottom w:val="0"/>
      <w:divBdr>
        <w:top w:val="none" w:sz="0" w:space="0" w:color="auto"/>
        <w:left w:val="none" w:sz="0" w:space="0" w:color="auto"/>
        <w:bottom w:val="none" w:sz="0" w:space="0" w:color="auto"/>
        <w:right w:val="none" w:sz="0" w:space="0" w:color="auto"/>
      </w:divBdr>
    </w:div>
    <w:div w:id="1150101078">
      <w:bodyDiv w:val="1"/>
      <w:marLeft w:val="0"/>
      <w:marRight w:val="0"/>
      <w:marTop w:val="0"/>
      <w:marBottom w:val="0"/>
      <w:divBdr>
        <w:top w:val="none" w:sz="0" w:space="0" w:color="auto"/>
        <w:left w:val="none" w:sz="0" w:space="0" w:color="auto"/>
        <w:bottom w:val="none" w:sz="0" w:space="0" w:color="auto"/>
        <w:right w:val="none" w:sz="0" w:space="0" w:color="auto"/>
      </w:divBdr>
    </w:div>
    <w:div w:id="1159036783">
      <w:bodyDiv w:val="1"/>
      <w:marLeft w:val="0"/>
      <w:marRight w:val="0"/>
      <w:marTop w:val="0"/>
      <w:marBottom w:val="0"/>
      <w:divBdr>
        <w:top w:val="none" w:sz="0" w:space="0" w:color="auto"/>
        <w:left w:val="none" w:sz="0" w:space="0" w:color="auto"/>
        <w:bottom w:val="none" w:sz="0" w:space="0" w:color="auto"/>
        <w:right w:val="none" w:sz="0" w:space="0" w:color="auto"/>
      </w:divBdr>
    </w:div>
    <w:div w:id="1226144663">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13252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ntariocourts.ca/decisions/2022/2022ONCA0305.ht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A502-E933-4F57-9DEE-89EECC78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568</Words>
  <Characters>3450</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2023-01-11T21:15:00Z</dcterms:created>
  <dcterms:modified xsi:type="dcterms:W3CDTF">2023-12-18T22:04:00Z</dcterms:modified>
</cp:coreProperties>
</file>