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6230B6" w:rsidRPr="00F53E0F" w:rsidTr="00B91A56">
        <w:trPr>
          <w:trHeight w:val="2103"/>
        </w:trPr>
        <w:tc>
          <w:tcPr>
            <w:tcW w:w="5000" w:type="pct"/>
            <w:gridSpan w:val="4"/>
          </w:tcPr>
          <w:p w:rsidR="006230B6" w:rsidRPr="00F53E0F" w:rsidRDefault="00B91A56" w:rsidP="00E92347">
            <w:pPr>
              <w:jc w:val="center"/>
              <w:rPr>
                <w:szCs w:val="24"/>
              </w:rPr>
            </w:pPr>
            <w:r w:rsidRPr="00F53E0F">
              <w:rPr>
                <w:noProof/>
                <w:szCs w:val="24"/>
                <w:lang w:val="fr-CA" w:eastAsia="fr-CA"/>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F53E0F" w:rsidRDefault="006230B6" w:rsidP="0081470C">
            <w:pPr>
              <w:spacing w:before="120" w:after="100" w:afterAutospacing="1"/>
              <w:jc w:val="center"/>
              <w:rPr>
                <w:rFonts w:eastAsia="Calibri"/>
                <w:szCs w:val="24"/>
              </w:rPr>
            </w:pPr>
            <w:r w:rsidRPr="00F53E0F">
              <w:rPr>
                <w:rFonts w:eastAsia="Calibri"/>
                <w:b/>
                <w:szCs w:val="24"/>
                <w:lang w:eastAsia="en-US"/>
              </w:rPr>
              <w:t>SUPREME COURT OF CANADA</w:t>
            </w:r>
          </w:p>
        </w:tc>
      </w:tr>
      <w:tr w:rsidR="008201FB" w:rsidRPr="00F53E0F" w:rsidTr="00F138C9">
        <w:trPr>
          <w:gridAfter w:val="1"/>
          <w:wAfter w:w="10" w:type="pct"/>
        </w:trPr>
        <w:tc>
          <w:tcPr>
            <w:tcW w:w="1971" w:type="pct"/>
            <w:tcMar>
              <w:top w:w="284" w:type="dxa"/>
            </w:tcMar>
          </w:tcPr>
          <w:p w:rsidR="006230B6" w:rsidRPr="00F53E0F" w:rsidRDefault="006230B6" w:rsidP="0075717D">
            <w:pPr>
              <w:spacing w:before="100" w:beforeAutospacing="1"/>
              <w:rPr>
                <w:rFonts w:eastAsia="Calibri"/>
                <w:szCs w:val="24"/>
                <w:lang w:val="fr-CA"/>
              </w:rPr>
            </w:pPr>
            <w:r w:rsidRPr="00F53E0F">
              <w:rPr>
                <w:b/>
                <w:smallCaps/>
                <w:szCs w:val="24"/>
                <w:lang w:val="fr-CA"/>
              </w:rPr>
              <w:t>Citation:</w:t>
            </w:r>
            <w:r w:rsidRPr="00F53E0F">
              <w:rPr>
                <w:szCs w:val="24"/>
                <w:lang w:val="fr-CA"/>
              </w:rPr>
              <w:t xml:space="preserve"> </w:t>
            </w:r>
            <w:r w:rsidR="00410588" w:rsidRPr="00F53E0F">
              <w:rPr>
                <w:szCs w:val="24"/>
                <w:lang w:val="fr-CA"/>
              </w:rPr>
              <w:t xml:space="preserve">R. </w:t>
            </w:r>
            <w:r w:rsidR="00410588" w:rsidRPr="00F53E0F">
              <w:rPr>
                <w:i/>
                <w:szCs w:val="24"/>
                <w:lang w:val="fr-CA"/>
              </w:rPr>
              <w:t>v.</w:t>
            </w:r>
            <w:r w:rsidR="00896C73" w:rsidRPr="00F53E0F">
              <w:rPr>
                <w:szCs w:val="24"/>
                <w:lang w:val="fr-CA"/>
              </w:rPr>
              <w:t xml:space="preserve"> </w:t>
            </w:r>
            <w:r w:rsidR="00817B94" w:rsidRPr="008C4CC2">
              <w:rPr>
                <w:lang w:val="fr-CA"/>
              </w:rPr>
              <w:t>Chatillon</w:t>
            </w:r>
            <w:r w:rsidR="00972251" w:rsidRPr="00F53E0F">
              <w:rPr>
                <w:szCs w:val="24"/>
                <w:lang w:val="fr-CA"/>
              </w:rPr>
              <w:t>, 202</w:t>
            </w:r>
            <w:r w:rsidR="002B56E8" w:rsidRPr="00F53E0F">
              <w:rPr>
                <w:szCs w:val="24"/>
                <w:lang w:val="fr-CA"/>
              </w:rPr>
              <w:t>3</w:t>
            </w:r>
            <w:r w:rsidR="00972251" w:rsidRPr="00F53E0F">
              <w:rPr>
                <w:szCs w:val="24"/>
                <w:lang w:val="fr-CA"/>
              </w:rPr>
              <w:t xml:space="preserve"> SCC </w:t>
            </w:r>
            <w:r w:rsidR="00817B94">
              <w:rPr>
                <w:szCs w:val="24"/>
                <w:lang w:val="fr-CA"/>
              </w:rPr>
              <w:t>7</w:t>
            </w:r>
          </w:p>
        </w:tc>
        <w:tc>
          <w:tcPr>
            <w:tcW w:w="1010" w:type="pct"/>
          </w:tcPr>
          <w:p w:rsidR="006230B6" w:rsidRPr="00F53E0F" w:rsidRDefault="006230B6" w:rsidP="00A12217">
            <w:pPr>
              <w:rPr>
                <w:b/>
                <w:smallCaps/>
                <w:szCs w:val="24"/>
                <w:lang w:val="fr-CA"/>
              </w:rPr>
            </w:pPr>
          </w:p>
        </w:tc>
        <w:tc>
          <w:tcPr>
            <w:tcW w:w="2009" w:type="pct"/>
            <w:tcMar>
              <w:top w:w="284" w:type="dxa"/>
            </w:tcMar>
          </w:tcPr>
          <w:p w:rsidR="006230B6" w:rsidRPr="00F53E0F" w:rsidRDefault="006230B6" w:rsidP="00A12217">
            <w:pPr>
              <w:rPr>
                <w:szCs w:val="24"/>
              </w:rPr>
            </w:pPr>
            <w:r w:rsidRPr="00F53E0F">
              <w:rPr>
                <w:b/>
                <w:smallCaps/>
                <w:szCs w:val="24"/>
              </w:rPr>
              <w:t>Appeal Heard:</w:t>
            </w:r>
            <w:r w:rsidR="00EA07C1" w:rsidRPr="00F53E0F">
              <w:rPr>
                <w:b/>
                <w:smallCaps/>
                <w:szCs w:val="24"/>
              </w:rPr>
              <w:t xml:space="preserve"> </w:t>
            </w:r>
            <w:r w:rsidR="00817B94">
              <w:rPr>
                <w:szCs w:val="24"/>
              </w:rPr>
              <w:t>March</w:t>
            </w:r>
            <w:r w:rsidR="0075717D" w:rsidRPr="00F53E0F">
              <w:rPr>
                <w:szCs w:val="24"/>
              </w:rPr>
              <w:t xml:space="preserve"> </w:t>
            </w:r>
            <w:r w:rsidR="002B56E8" w:rsidRPr="00F53E0F">
              <w:rPr>
                <w:szCs w:val="24"/>
              </w:rPr>
              <w:t>1</w:t>
            </w:r>
            <w:r w:rsidR="00817B94">
              <w:rPr>
                <w:szCs w:val="24"/>
              </w:rPr>
              <w:t>5</w:t>
            </w:r>
            <w:r w:rsidR="002B56E8" w:rsidRPr="00F53E0F">
              <w:rPr>
                <w:szCs w:val="24"/>
              </w:rPr>
              <w:t>, 2023</w:t>
            </w:r>
          </w:p>
          <w:p w:rsidR="006230B6" w:rsidRPr="00F53E0F" w:rsidRDefault="006230B6" w:rsidP="00A12217">
            <w:pPr>
              <w:rPr>
                <w:szCs w:val="24"/>
              </w:rPr>
            </w:pPr>
            <w:r w:rsidRPr="00F53E0F">
              <w:rPr>
                <w:b/>
                <w:smallCaps/>
                <w:szCs w:val="24"/>
              </w:rPr>
              <w:t>Judgment Rendered:</w:t>
            </w:r>
            <w:r w:rsidR="00EA07C1" w:rsidRPr="00F53E0F">
              <w:rPr>
                <w:b/>
                <w:smallCaps/>
                <w:szCs w:val="24"/>
              </w:rPr>
              <w:t xml:space="preserve"> </w:t>
            </w:r>
            <w:r w:rsidR="00817B94">
              <w:rPr>
                <w:szCs w:val="24"/>
              </w:rPr>
              <w:t>March</w:t>
            </w:r>
            <w:r w:rsidR="00817B94" w:rsidRPr="00F53E0F">
              <w:rPr>
                <w:szCs w:val="24"/>
              </w:rPr>
              <w:t xml:space="preserve"> 1</w:t>
            </w:r>
            <w:r w:rsidR="00817B94">
              <w:rPr>
                <w:szCs w:val="24"/>
              </w:rPr>
              <w:t>5</w:t>
            </w:r>
            <w:r w:rsidR="002B56E8" w:rsidRPr="00F53E0F">
              <w:rPr>
                <w:szCs w:val="24"/>
              </w:rPr>
              <w:t>, 2023</w:t>
            </w:r>
          </w:p>
          <w:p w:rsidR="006230B6" w:rsidRPr="00F53E0F" w:rsidRDefault="006230B6" w:rsidP="000F2039">
            <w:pPr>
              <w:rPr>
                <w:szCs w:val="24"/>
              </w:rPr>
            </w:pPr>
            <w:r w:rsidRPr="00F53E0F">
              <w:rPr>
                <w:b/>
                <w:smallCaps/>
                <w:szCs w:val="24"/>
              </w:rPr>
              <w:t>Docket:</w:t>
            </w:r>
            <w:r w:rsidRPr="00F53E0F">
              <w:rPr>
                <w:szCs w:val="24"/>
              </w:rPr>
              <w:t xml:space="preserve"> </w:t>
            </w:r>
            <w:r w:rsidR="00817B94">
              <w:t>40331</w:t>
            </w:r>
          </w:p>
        </w:tc>
      </w:tr>
      <w:tr w:rsidR="006230B6" w:rsidRPr="00F53E0F" w:rsidTr="00D614E0">
        <w:tc>
          <w:tcPr>
            <w:tcW w:w="5000" w:type="pct"/>
            <w:gridSpan w:val="4"/>
          </w:tcPr>
          <w:p w:rsidR="006230B6" w:rsidRPr="00F53E0F" w:rsidRDefault="006230B6" w:rsidP="00A12217">
            <w:pPr>
              <w:rPr>
                <w:rFonts w:eastAsiaTheme="minorHAnsi"/>
                <w:b/>
                <w:szCs w:val="24"/>
                <w:lang w:eastAsia="en-US"/>
              </w:rPr>
            </w:pPr>
          </w:p>
          <w:p w:rsidR="00C8650B" w:rsidRPr="00F53E0F" w:rsidRDefault="00C8650B" w:rsidP="00C8650B">
            <w:pPr>
              <w:rPr>
                <w:rFonts w:eastAsiaTheme="minorHAnsi"/>
                <w:b/>
                <w:smallCaps/>
                <w:szCs w:val="24"/>
                <w:lang w:eastAsia="en-US"/>
              </w:rPr>
            </w:pPr>
            <w:r w:rsidRPr="00F53E0F">
              <w:rPr>
                <w:rFonts w:eastAsiaTheme="minorHAnsi"/>
                <w:b/>
                <w:smallCaps/>
                <w:szCs w:val="24"/>
                <w:lang w:eastAsia="en-US"/>
              </w:rPr>
              <w:t>Between:</w:t>
            </w:r>
          </w:p>
          <w:p w:rsidR="0075717D" w:rsidRPr="00F53E0F" w:rsidRDefault="0075717D" w:rsidP="00C8650B">
            <w:pPr>
              <w:rPr>
                <w:rFonts w:eastAsiaTheme="minorHAnsi"/>
                <w:b/>
                <w:smallCaps/>
                <w:szCs w:val="24"/>
                <w:lang w:eastAsia="en-US"/>
              </w:rPr>
            </w:pPr>
          </w:p>
          <w:p w:rsidR="00C8650B" w:rsidRPr="00F53E0F" w:rsidRDefault="005A6071" w:rsidP="00C8650B">
            <w:pPr>
              <w:jc w:val="center"/>
              <w:rPr>
                <w:rFonts w:eastAsiaTheme="minorHAnsi"/>
                <w:b/>
                <w:szCs w:val="24"/>
                <w:lang w:eastAsia="en-US"/>
              </w:rPr>
            </w:pPr>
            <w:r w:rsidRPr="00F53E0F">
              <w:rPr>
                <w:rStyle w:val="Strong"/>
                <w:rFonts w:eastAsiaTheme="majorEastAsia"/>
                <w:szCs w:val="24"/>
                <w:shd w:val="clear" w:color="auto" w:fill="FFFFFF"/>
              </w:rPr>
              <w:t>His Majesty The King</w:t>
            </w:r>
          </w:p>
          <w:p w:rsidR="00C8650B" w:rsidRPr="00F53E0F" w:rsidRDefault="00C8650B" w:rsidP="00C8650B">
            <w:pPr>
              <w:jc w:val="center"/>
              <w:rPr>
                <w:rFonts w:eastAsiaTheme="minorHAnsi"/>
                <w:szCs w:val="24"/>
                <w:lang w:eastAsia="en-US"/>
              </w:rPr>
            </w:pPr>
            <w:r w:rsidRPr="00F53E0F">
              <w:rPr>
                <w:rFonts w:eastAsiaTheme="minorHAnsi"/>
                <w:szCs w:val="24"/>
                <w:lang w:eastAsia="en-US"/>
              </w:rPr>
              <w:t>Appellant</w:t>
            </w:r>
          </w:p>
          <w:p w:rsidR="00DA09F8" w:rsidRPr="00F53E0F" w:rsidRDefault="00DA09F8" w:rsidP="00C8650B">
            <w:pPr>
              <w:jc w:val="center"/>
              <w:rPr>
                <w:rFonts w:eastAsiaTheme="minorHAnsi"/>
                <w:szCs w:val="24"/>
                <w:lang w:eastAsia="en-US"/>
              </w:rPr>
            </w:pPr>
          </w:p>
          <w:p w:rsidR="00C8650B" w:rsidRPr="00F53E0F" w:rsidRDefault="00DA09F8" w:rsidP="00C8650B">
            <w:pPr>
              <w:jc w:val="center"/>
              <w:rPr>
                <w:rFonts w:eastAsiaTheme="minorHAnsi"/>
                <w:szCs w:val="24"/>
                <w:lang w:eastAsia="en-US"/>
              </w:rPr>
            </w:pPr>
            <w:r w:rsidRPr="00F53E0F">
              <w:rPr>
                <w:rFonts w:eastAsiaTheme="minorHAnsi"/>
                <w:szCs w:val="24"/>
                <w:lang w:eastAsia="en-US"/>
              </w:rPr>
              <w:t>and</w:t>
            </w:r>
          </w:p>
          <w:p w:rsidR="00DA09F8" w:rsidRPr="00F53E0F" w:rsidRDefault="00DA09F8" w:rsidP="00C8650B">
            <w:pPr>
              <w:jc w:val="center"/>
              <w:rPr>
                <w:rFonts w:eastAsiaTheme="minorHAnsi"/>
                <w:szCs w:val="24"/>
                <w:lang w:eastAsia="en-US"/>
              </w:rPr>
            </w:pPr>
          </w:p>
          <w:p w:rsidR="00D33A8F" w:rsidRPr="00F53E0F" w:rsidRDefault="00817B94" w:rsidP="00C8650B">
            <w:pPr>
              <w:jc w:val="center"/>
              <w:rPr>
                <w:rFonts w:eastAsiaTheme="minorHAnsi"/>
                <w:b/>
                <w:szCs w:val="24"/>
                <w:lang w:eastAsia="en-US"/>
              </w:rPr>
            </w:pPr>
            <w:r w:rsidRPr="00E840B0">
              <w:rPr>
                <w:rFonts w:eastAsiaTheme="minorHAnsi"/>
                <w:b/>
                <w:szCs w:val="24"/>
                <w:lang w:val="en-US" w:eastAsia="en-US"/>
              </w:rPr>
              <w:t>Olivier Chatillon</w:t>
            </w:r>
          </w:p>
          <w:p w:rsidR="00C8650B" w:rsidRPr="00F53E0F" w:rsidRDefault="00C8650B" w:rsidP="00C8650B">
            <w:pPr>
              <w:jc w:val="center"/>
              <w:rPr>
                <w:rFonts w:eastAsiaTheme="minorHAnsi"/>
                <w:szCs w:val="24"/>
                <w:lang w:eastAsia="en-US"/>
              </w:rPr>
            </w:pPr>
            <w:r w:rsidRPr="00F53E0F">
              <w:rPr>
                <w:rFonts w:eastAsiaTheme="minorHAnsi"/>
                <w:szCs w:val="24"/>
                <w:lang w:eastAsia="en-US"/>
              </w:rPr>
              <w:t>Respondent</w:t>
            </w:r>
          </w:p>
          <w:p w:rsidR="000F2039" w:rsidRPr="00F53E0F" w:rsidRDefault="000F2039" w:rsidP="00E03F44">
            <w:pPr>
              <w:jc w:val="center"/>
              <w:rPr>
                <w:b/>
                <w:smallCaps/>
                <w:szCs w:val="24"/>
              </w:rPr>
            </w:pPr>
          </w:p>
          <w:p w:rsidR="002B56E8" w:rsidRPr="002B56E8" w:rsidRDefault="002B56E8" w:rsidP="002B56E8">
            <w:pPr>
              <w:jc w:val="center"/>
              <w:rPr>
                <w:color w:val="000000"/>
                <w:szCs w:val="24"/>
                <w:lang w:val="en-US" w:eastAsia="en-US"/>
              </w:rPr>
            </w:pPr>
            <w:r w:rsidRPr="002B56E8">
              <w:rPr>
                <w:color w:val="000000"/>
                <w:szCs w:val="24"/>
                <w:lang w:val="en-US" w:eastAsia="en-US"/>
              </w:rPr>
              <w:t>- and -</w:t>
            </w:r>
          </w:p>
          <w:p w:rsidR="002B56E8" w:rsidRPr="002B56E8" w:rsidRDefault="002B56E8" w:rsidP="002B56E8">
            <w:pPr>
              <w:rPr>
                <w:color w:val="000000"/>
                <w:szCs w:val="24"/>
                <w:lang w:val="en-US" w:eastAsia="en-US"/>
              </w:rPr>
            </w:pPr>
          </w:p>
          <w:p w:rsidR="002B56E8" w:rsidRPr="00817B94" w:rsidRDefault="00817B94" w:rsidP="002B56E8">
            <w:pPr>
              <w:jc w:val="center"/>
              <w:rPr>
                <w:color w:val="000000"/>
                <w:szCs w:val="24"/>
                <w:lang w:val="fr-CA" w:eastAsia="en-US"/>
              </w:rPr>
            </w:pPr>
            <w:r w:rsidRPr="00817B94">
              <w:rPr>
                <w:b/>
                <w:bCs/>
                <w:color w:val="000000"/>
                <w:szCs w:val="24"/>
                <w:lang w:val="fr-CA" w:eastAsia="en-US"/>
              </w:rPr>
              <w:t>Association québécoise des avocats et avocates de la défense</w:t>
            </w:r>
          </w:p>
          <w:p w:rsidR="002B56E8" w:rsidRPr="002B56E8" w:rsidRDefault="003F4047" w:rsidP="002B56E8">
            <w:pPr>
              <w:jc w:val="center"/>
              <w:rPr>
                <w:color w:val="000000"/>
                <w:szCs w:val="24"/>
                <w:lang w:val="en-US" w:eastAsia="en-US"/>
              </w:rPr>
            </w:pPr>
            <w:r>
              <w:rPr>
                <w:color w:val="000000"/>
                <w:szCs w:val="24"/>
                <w:lang w:val="en-US" w:eastAsia="en-US"/>
              </w:rPr>
              <w:t>Intervener</w:t>
            </w:r>
          </w:p>
          <w:p w:rsidR="002B56E8" w:rsidRDefault="002B56E8" w:rsidP="00E03F44">
            <w:pPr>
              <w:jc w:val="center"/>
              <w:rPr>
                <w:b/>
                <w:smallCaps/>
                <w:szCs w:val="24"/>
              </w:rPr>
            </w:pPr>
          </w:p>
          <w:p w:rsidR="00817B94" w:rsidRPr="006B210C" w:rsidRDefault="00817B94" w:rsidP="00817B94">
            <w:pPr>
              <w:jc w:val="center"/>
              <w:rPr>
                <w:b/>
                <w:smallCaps/>
              </w:rPr>
            </w:pPr>
            <w:r w:rsidRPr="006B210C">
              <w:rPr>
                <w:b/>
                <w:smallCaps/>
              </w:rPr>
              <w:t>Official English Translation</w:t>
            </w:r>
          </w:p>
          <w:p w:rsidR="004C5B67" w:rsidRPr="00F53E0F" w:rsidRDefault="004C5B67" w:rsidP="004C5B67">
            <w:pPr>
              <w:rPr>
                <w:b/>
                <w:smallCaps/>
                <w:szCs w:val="24"/>
              </w:rPr>
            </w:pPr>
          </w:p>
          <w:p w:rsidR="004C5B67" w:rsidRPr="00F53E0F" w:rsidRDefault="004C5B67" w:rsidP="00E03F44">
            <w:pPr>
              <w:jc w:val="center"/>
              <w:rPr>
                <w:b/>
                <w:smallCaps/>
                <w:szCs w:val="24"/>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E92347" w:rsidRPr="00F53E0F" w:rsidTr="00E92347">
        <w:trPr>
          <w:cantSplit/>
          <w:trHeight w:val="508"/>
        </w:trPr>
        <w:tc>
          <w:tcPr>
            <w:tcW w:w="5000" w:type="pct"/>
            <w:gridSpan w:val="3"/>
            <w:tcMar>
              <w:top w:w="284" w:type="dxa"/>
              <w:bottom w:w="57" w:type="dxa"/>
            </w:tcMar>
            <w:vAlign w:val="center"/>
          </w:tcPr>
          <w:p w:rsidR="00E92347" w:rsidRPr="00F53E0F" w:rsidRDefault="00A12217" w:rsidP="002B56E8">
            <w:r w:rsidRPr="00F53E0F">
              <w:rPr>
                <w:b/>
                <w:smallCaps/>
              </w:rPr>
              <w:t>Coram:</w:t>
            </w:r>
            <w:r w:rsidRPr="00F53E0F">
              <w:t xml:space="preserve"> </w:t>
            </w:r>
            <w:r w:rsidR="002B56E8" w:rsidRPr="00F53E0F">
              <w:t>Wagner C.J. and Karakatsanis, Côté, Rowe, Martin, Kasirer and O</w:t>
            </w:r>
            <w:r w:rsidR="000D1960">
              <w:t>’</w:t>
            </w:r>
            <w:r w:rsidR="002B56E8" w:rsidRPr="00F53E0F">
              <w:t>Bonsawin JJ.</w:t>
            </w:r>
          </w:p>
        </w:tc>
      </w:tr>
      <w:tr w:rsidR="006230B6" w:rsidRPr="00F53E0F" w:rsidTr="0040508D">
        <w:trPr>
          <w:gridAfter w:val="1"/>
          <w:wAfter w:w="11" w:type="pct"/>
          <w:cantSplit/>
          <w:trHeight w:val="508"/>
        </w:trPr>
        <w:tc>
          <w:tcPr>
            <w:tcW w:w="1124" w:type="pct"/>
            <w:tcMar>
              <w:top w:w="28" w:type="dxa"/>
              <w:left w:w="57" w:type="dxa"/>
              <w:bottom w:w="57" w:type="dxa"/>
              <w:right w:w="57" w:type="dxa"/>
            </w:tcMar>
            <w:vAlign w:val="center"/>
          </w:tcPr>
          <w:p w:rsidR="00040F00" w:rsidRPr="00F53E0F" w:rsidRDefault="00090AC3" w:rsidP="00AD4C25">
            <w:pPr>
              <w:spacing w:before="120"/>
              <w:rPr>
                <w:smallCaps/>
              </w:rPr>
            </w:pPr>
            <w:r w:rsidRPr="00F53E0F">
              <w:rPr>
                <w:rStyle w:val="solexhl"/>
                <w:b/>
                <w:bCs/>
                <w:smallCaps/>
                <w:color w:val="000000"/>
              </w:rPr>
              <w:lastRenderedPageBreak/>
              <w:t>Judgment Read By</w:t>
            </w:r>
            <w:r w:rsidRPr="00F53E0F">
              <w:rPr>
                <w:b/>
                <w:bCs/>
                <w:smallCaps/>
                <w:color w:val="000000"/>
              </w:rPr>
              <w:t>:</w:t>
            </w:r>
          </w:p>
          <w:p w:rsidR="006230B6" w:rsidRPr="00F53E0F" w:rsidRDefault="00CD6453" w:rsidP="00170CD9">
            <w:pPr>
              <w:rPr>
                <w:b/>
                <w:smallCaps/>
              </w:rPr>
            </w:pPr>
            <w:r w:rsidRPr="00F53E0F">
              <w:t>(</w:t>
            </w:r>
            <w:r w:rsidR="00E42BC1" w:rsidRPr="00F53E0F">
              <w:t>para</w:t>
            </w:r>
            <w:r w:rsidR="00E840B0">
              <w:t>s</w:t>
            </w:r>
            <w:r w:rsidR="00E42BC1" w:rsidRPr="00F53E0F">
              <w:t>. </w:t>
            </w:r>
            <w:r w:rsidR="008C1723" w:rsidRPr="00F53E0F">
              <w:t>1</w:t>
            </w:r>
            <w:r w:rsidR="00E840B0">
              <w:t xml:space="preserve"> to 3</w:t>
            </w:r>
            <w:r w:rsidR="006230B6" w:rsidRPr="00F53E0F">
              <w:t>)</w:t>
            </w:r>
          </w:p>
        </w:tc>
        <w:tc>
          <w:tcPr>
            <w:tcW w:w="3865" w:type="pct"/>
            <w:tcMar>
              <w:top w:w="28" w:type="dxa"/>
              <w:left w:w="57" w:type="dxa"/>
              <w:bottom w:w="57" w:type="dxa"/>
              <w:right w:w="57" w:type="dxa"/>
            </w:tcMar>
            <w:vAlign w:val="center"/>
          </w:tcPr>
          <w:p w:rsidR="000C433D" w:rsidRPr="00F53E0F" w:rsidRDefault="00B65301" w:rsidP="000F2039">
            <w:pPr>
              <w:spacing w:before="120"/>
            </w:pPr>
            <w:r w:rsidRPr="00F53E0F">
              <w:t>Wagner C.J.</w:t>
            </w:r>
          </w:p>
        </w:tc>
      </w:tr>
      <w:tr w:rsidR="00B65301" w:rsidRPr="00C22905" w:rsidTr="00273C37">
        <w:trPr>
          <w:gridAfter w:val="1"/>
          <w:wAfter w:w="11" w:type="pct"/>
          <w:cantSplit/>
          <w:trHeight w:val="508"/>
        </w:trPr>
        <w:tc>
          <w:tcPr>
            <w:tcW w:w="1124" w:type="pct"/>
            <w:tcMar>
              <w:top w:w="28" w:type="dxa"/>
              <w:left w:w="57" w:type="dxa"/>
              <w:bottom w:w="57" w:type="dxa"/>
              <w:right w:w="57" w:type="dxa"/>
            </w:tcMar>
            <w:vAlign w:val="center"/>
          </w:tcPr>
          <w:p w:rsidR="00B65301" w:rsidRDefault="00B65301" w:rsidP="00273C37">
            <w:pPr>
              <w:spacing w:before="120"/>
              <w:rPr>
                <w:b/>
                <w:smallCaps/>
              </w:rPr>
            </w:pPr>
            <w:r>
              <w:rPr>
                <w:b/>
                <w:smallCaps/>
              </w:rPr>
              <w:t>Majority:</w:t>
            </w:r>
          </w:p>
        </w:tc>
        <w:tc>
          <w:tcPr>
            <w:tcW w:w="3865" w:type="pct"/>
            <w:tcMar>
              <w:top w:w="28" w:type="dxa"/>
              <w:left w:w="57" w:type="dxa"/>
              <w:bottom w:w="57" w:type="dxa"/>
              <w:right w:w="57" w:type="dxa"/>
            </w:tcMar>
            <w:vAlign w:val="center"/>
          </w:tcPr>
          <w:p w:rsidR="00B65301" w:rsidRDefault="00B65301" w:rsidP="00817B94">
            <w:pPr>
              <w:spacing w:before="120"/>
            </w:pPr>
            <w:r w:rsidRPr="00F53E0F">
              <w:t>Wagner C.J. and Karakatsanis,</w:t>
            </w:r>
            <w:r w:rsidR="00817B94" w:rsidRPr="00B04DC5">
              <w:t xml:space="preserve"> Rowe</w:t>
            </w:r>
            <w:r w:rsidRPr="00F53E0F">
              <w:t>, Martin, Kasirer and O</w:t>
            </w:r>
            <w:r w:rsidR="000D1960">
              <w:t>’</w:t>
            </w:r>
            <w:r w:rsidR="00817B94">
              <w:t>Bonsawin</w:t>
            </w:r>
            <w:r w:rsidR="00817B94" w:rsidRPr="00F53E0F">
              <w:t> </w:t>
            </w:r>
            <w:r w:rsidRPr="00F53E0F">
              <w:t>JJ.</w:t>
            </w:r>
          </w:p>
        </w:tc>
      </w:tr>
      <w:tr w:rsidR="00B65301" w:rsidRPr="00C22905" w:rsidTr="00273C37">
        <w:trPr>
          <w:gridAfter w:val="1"/>
          <w:wAfter w:w="11" w:type="pct"/>
          <w:cantSplit/>
          <w:trHeight w:val="508"/>
        </w:trPr>
        <w:tc>
          <w:tcPr>
            <w:tcW w:w="1124" w:type="pct"/>
            <w:tcMar>
              <w:top w:w="28" w:type="dxa"/>
              <w:left w:w="57" w:type="dxa"/>
              <w:bottom w:w="57" w:type="dxa"/>
              <w:right w:w="57" w:type="dxa"/>
            </w:tcMar>
            <w:vAlign w:val="center"/>
          </w:tcPr>
          <w:p w:rsidR="00B65301" w:rsidRDefault="00B65301" w:rsidP="00273C37">
            <w:pPr>
              <w:spacing w:before="120"/>
              <w:rPr>
                <w:b/>
                <w:smallCaps/>
              </w:rPr>
            </w:pPr>
            <w:r>
              <w:rPr>
                <w:b/>
                <w:smallCaps/>
              </w:rPr>
              <w:t>Dissent:</w:t>
            </w:r>
          </w:p>
        </w:tc>
        <w:tc>
          <w:tcPr>
            <w:tcW w:w="3865" w:type="pct"/>
            <w:tcMar>
              <w:top w:w="28" w:type="dxa"/>
              <w:left w:w="57" w:type="dxa"/>
              <w:bottom w:w="57" w:type="dxa"/>
              <w:right w:w="57" w:type="dxa"/>
            </w:tcMar>
            <w:vAlign w:val="center"/>
          </w:tcPr>
          <w:p w:rsidR="00B65301" w:rsidRDefault="00817B94" w:rsidP="00817B94">
            <w:pPr>
              <w:spacing w:before="120"/>
            </w:pPr>
            <w:r w:rsidRPr="00F53E0F">
              <w:t>Côté</w:t>
            </w:r>
            <w:r w:rsidR="00B65301">
              <w:t> J.</w:t>
            </w:r>
          </w:p>
        </w:tc>
      </w:tr>
      <w:tr w:rsidR="00EB0B7C" w:rsidRPr="00F56F8E" w:rsidTr="00EB0B7C">
        <w:trPr>
          <w:cantSplit/>
        </w:trPr>
        <w:tc>
          <w:tcPr>
            <w:tcW w:w="5000" w:type="pct"/>
            <w:gridSpan w:val="3"/>
            <w:tcMar>
              <w:top w:w="284" w:type="dxa"/>
              <w:bottom w:w="57" w:type="dxa"/>
            </w:tcMar>
            <w:vAlign w:val="center"/>
          </w:tcPr>
          <w:p w:rsidR="001B327A" w:rsidRPr="00F60258" w:rsidRDefault="001B327A" w:rsidP="00F60258">
            <w:pPr>
              <w:jc w:val="both"/>
              <w:rPr>
                <w:lang w:val="fr-CA"/>
              </w:rPr>
            </w:pPr>
          </w:p>
        </w:tc>
      </w:tr>
    </w:tbl>
    <w:p w:rsidR="00715A65" w:rsidRPr="00F53E0F" w:rsidRDefault="00C22905" w:rsidP="00715A65">
      <w:pPr>
        <w:spacing w:before="100" w:beforeAutospacing="1"/>
        <w:rPr>
          <w:rFonts w:eastAsia="Calibri"/>
          <w:szCs w:val="24"/>
          <w:lang w:eastAsia="en-US"/>
        </w:rPr>
      </w:pPr>
      <w:r w:rsidRPr="00F53E0F">
        <w:rPr>
          <w:rFonts w:eastAsia="Calibri"/>
          <w:b/>
          <w:smallCaps/>
          <w:szCs w:val="24"/>
          <w:lang w:eastAsia="en-US"/>
        </w:rPr>
        <w:t>Note:</w:t>
      </w:r>
      <w:r w:rsidRPr="00F53E0F">
        <w:rPr>
          <w:rFonts w:eastAsia="Calibri"/>
          <w:szCs w:val="24"/>
          <w:lang w:eastAsia="en-US"/>
        </w:rPr>
        <w:t xml:space="preserve"> This document is subject to editorial revision before its reproduction in final form in the </w:t>
      </w:r>
      <w:r w:rsidRPr="00F53E0F">
        <w:rPr>
          <w:rFonts w:eastAsia="Calibri"/>
          <w:i/>
          <w:szCs w:val="24"/>
          <w:lang w:eastAsia="en-US"/>
        </w:rPr>
        <w:t>Canada Supreme Court Reports</w:t>
      </w:r>
      <w:r w:rsidRPr="00F53E0F">
        <w:rPr>
          <w:rFonts w:eastAsia="Calibri"/>
          <w:szCs w:val="24"/>
          <w:lang w:eastAsia="en-US"/>
        </w:rPr>
        <w:t>.</w:t>
      </w:r>
      <w:r w:rsidR="00715A65" w:rsidRPr="00F53E0F">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15A65" w:rsidRPr="00F53E0F" w:rsidTr="00A80425">
        <w:tc>
          <w:tcPr>
            <w:tcW w:w="1500" w:type="pct"/>
            <w:tcMar>
              <w:top w:w="284" w:type="dxa"/>
            </w:tcMar>
          </w:tcPr>
          <w:p w:rsidR="00715A65" w:rsidRPr="00F53E0F"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F53E0F" w:rsidRDefault="00715A65" w:rsidP="00A80425">
            <w:pPr>
              <w:rPr>
                <w:rFonts w:eastAsia="Calibri"/>
                <w:szCs w:val="24"/>
                <w:lang w:eastAsia="en-US"/>
              </w:rPr>
            </w:pPr>
          </w:p>
        </w:tc>
        <w:tc>
          <w:tcPr>
            <w:tcW w:w="1500" w:type="pct"/>
            <w:tcMar>
              <w:top w:w="284" w:type="dxa"/>
            </w:tcMar>
          </w:tcPr>
          <w:p w:rsidR="00715A65" w:rsidRPr="00F53E0F" w:rsidRDefault="00715A65" w:rsidP="00A80425">
            <w:pPr>
              <w:rPr>
                <w:rFonts w:eastAsia="Calibri"/>
                <w:szCs w:val="24"/>
                <w:lang w:eastAsia="en-US"/>
              </w:rPr>
            </w:pPr>
          </w:p>
        </w:tc>
      </w:tr>
    </w:tbl>
    <w:p w:rsidR="00656A54" w:rsidRDefault="00656A54" w:rsidP="00715A65">
      <w:pPr>
        <w:rPr>
          <w:rFonts w:eastAsia="Calibri"/>
          <w:szCs w:val="24"/>
          <w:lang w:eastAsia="en-US"/>
        </w:rPr>
      </w:pPr>
    </w:p>
    <w:p w:rsidR="00A05B45" w:rsidRPr="00A05B45" w:rsidRDefault="00A05B45" w:rsidP="00A05B45">
      <w:pPr>
        <w:tabs>
          <w:tab w:val="right" w:pos="8222"/>
        </w:tabs>
        <w:spacing w:after="720"/>
        <w:rPr>
          <w:b/>
        </w:rPr>
      </w:pPr>
      <w:r w:rsidRPr="00A05B45">
        <w:rPr>
          <w:b/>
        </w:rPr>
        <w:t xml:space="preserve">His Majesty </w:t>
      </w:r>
      <w:proofErr w:type="gramStart"/>
      <w:r w:rsidRPr="00A05B45">
        <w:rPr>
          <w:b/>
        </w:rPr>
        <w:t>The</w:t>
      </w:r>
      <w:proofErr w:type="gramEnd"/>
      <w:r w:rsidRPr="00A05B45">
        <w:rPr>
          <w:b/>
        </w:rPr>
        <w:t xml:space="preserve"> King</w:t>
      </w:r>
      <w:r w:rsidRPr="00A05B45">
        <w:rPr>
          <w:i/>
        </w:rPr>
        <w:tab/>
        <w:t>Appellant</w:t>
      </w:r>
    </w:p>
    <w:p w:rsidR="00A05B45" w:rsidRPr="00A05B45" w:rsidRDefault="00A05B45" w:rsidP="00A05B45">
      <w:pPr>
        <w:spacing w:after="720"/>
        <w:rPr>
          <w:i/>
          <w:lang w:val="en-US"/>
        </w:rPr>
      </w:pPr>
      <w:proofErr w:type="gramStart"/>
      <w:r w:rsidRPr="00A05B45">
        <w:rPr>
          <w:i/>
          <w:lang w:val="en-US"/>
        </w:rPr>
        <w:t>v</w:t>
      </w:r>
      <w:proofErr w:type="gramEnd"/>
      <w:r w:rsidRPr="00A05B45">
        <w:rPr>
          <w:i/>
          <w:lang w:val="en-US"/>
        </w:rPr>
        <w:t>.</w:t>
      </w:r>
    </w:p>
    <w:p w:rsidR="00A05B45" w:rsidRPr="00A05B45" w:rsidRDefault="00A05B45" w:rsidP="00A05B45">
      <w:pPr>
        <w:tabs>
          <w:tab w:val="right" w:pos="8222"/>
        </w:tabs>
        <w:spacing w:after="720"/>
        <w:rPr>
          <w:b/>
          <w:lang w:val="fr-CA"/>
        </w:rPr>
      </w:pPr>
      <w:r w:rsidRPr="00A05B45">
        <w:rPr>
          <w:b/>
          <w:lang w:val="fr-CA"/>
        </w:rPr>
        <w:t>Olivier Chatillon</w:t>
      </w:r>
      <w:r w:rsidRPr="00A05B45">
        <w:rPr>
          <w:i/>
          <w:lang w:val="fr-CA"/>
        </w:rPr>
        <w:tab/>
      </w:r>
      <w:proofErr w:type="spellStart"/>
      <w:r w:rsidRPr="00A05B45">
        <w:rPr>
          <w:i/>
          <w:lang w:val="fr-CA"/>
        </w:rPr>
        <w:t>Respondent</w:t>
      </w:r>
      <w:proofErr w:type="spellEnd"/>
    </w:p>
    <w:p w:rsidR="00A05B45" w:rsidRPr="00A05B45" w:rsidRDefault="00A05B45" w:rsidP="00A05B45">
      <w:pPr>
        <w:spacing w:after="720"/>
        <w:rPr>
          <w:lang w:val="fr-CA"/>
        </w:rPr>
      </w:pPr>
      <w:proofErr w:type="gramStart"/>
      <w:r w:rsidRPr="00A05B45">
        <w:rPr>
          <w:lang w:val="fr-CA"/>
        </w:rPr>
        <w:t>and</w:t>
      </w:r>
      <w:proofErr w:type="gramEnd"/>
    </w:p>
    <w:p w:rsidR="00A05B45" w:rsidRPr="00A05B45" w:rsidRDefault="00A05B45" w:rsidP="00A05B45">
      <w:pPr>
        <w:tabs>
          <w:tab w:val="right" w:pos="8222"/>
        </w:tabs>
        <w:spacing w:after="720"/>
        <w:rPr>
          <w:b/>
          <w:lang w:val="fr-CA"/>
        </w:rPr>
      </w:pPr>
      <w:r w:rsidRPr="00A05B45">
        <w:rPr>
          <w:b/>
          <w:lang w:val="fr-CA"/>
        </w:rPr>
        <w:t>Association québécoise des avocats et avocates de la défense</w:t>
      </w:r>
      <w:r w:rsidRPr="00A05B45">
        <w:rPr>
          <w:i/>
          <w:lang w:val="fr-CA"/>
        </w:rPr>
        <w:tab/>
      </w:r>
      <w:proofErr w:type="spellStart"/>
      <w:r w:rsidRPr="00A05B45">
        <w:rPr>
          <w:i/>
          <w:lang w:val="fr-CA"/>
        </w:rPr>
        <w:t>Intervener</w:t>
      </w:r>
      <w:proofErr w:type="spellEnd"/>
    </w:p>
    <w:p w:rsidR="00A05B45" w:rsidRPr="00A05B45" w:rsidRDefault="00A05B45" w:rsidP="00A05B45">
      <w:pPr>
        <w:spacing w:after="720"/>
        <w:jc w:val="both"/>
        <w:rPr>
          <w:b/>
        </w:rPr>
      </w:pPr>
      <w:r w:rsidRPr="00A05B45">
        <w:rPr>
          <w:b/>
        </w:rPr>
        <w:t xml:space="preserve">Indexed as: R. </w:t>
      </w:r>
      <w:r w:rsidRPr="00A05B45">
        <w:rPr>
          <w:b/>
          <w:i/>
        </w:rPr>
        <w:t>v.</w:t>
      </w:r>
      <w:r w:rsidRPr="00A05B45">
        <w:rPr>
          <w:b/>
        </w:rPr>
        <w:t xml:space="preserve"> </w:t>
      </w:r>
      <w:proofErr w:type="spellStart"/>
      <w:r w:rsidRPr="00A05B45">
        <w:rPr>
          <w:b/>
        </w:rPr>
        <w:t>Chatillon</w:t>
      </w:r>
      <w:proofErr w:type="spellEnd"/>
    </w:p>
    <w:p w:rsidR="00A05B45" w:rsidRPr="00A05B45" w:rsidRDefault="00A05B45" w:rsidP="00A05B45">
      <w:pPr>
        <w:spacing w:after="720"/>
        <w:jc w:val="both"/>
        <w:rPr>
          <w:b/>
        </w:rPr>
      </w:pPr>
      <w:r w:rsidRPr="00A05B45">
        <w:rPr>
          <w:b/>
        </w:rPr>
        <w:t>2023 SCC 7</w:t>
      </w:r>
    </w:p>
    <w:p w:rsidR="00A05B45" w:rsidRPr="00A05B45" w:rsidRDefault="00A05B45" w:rsidP="00A05B45">
      <w:pPr>
        <w:spacing w:after="720"/>
        <w:jc w:val="both"/>
      </w:pPr>
      <w:r w:rsidRPr="00A05B45">
        <w:t>File No.: 40331.</w:t>
      </w:r>
    </w:p>
    <w:p w:rsidR="00A05B45" w:rsidRPr="00A05B45" w:rsidRDefault="00A05B45" w:rsidP="00A05B45">
      <w:pPr>
        <w:spacing w:after="720"/>
        <w:jc w:val="both"/>
      </w:pPr>
      <w:r w:rsidRPr="00A05B45">
        <w:t>2023: March 15.</w:t>
      </w:r>
    </w:p>
    <w:p w:rsidR="00A05B45" w:rsidRPr="00A05B45" w:rsidRDefault="00A05B45" w:rsidP="00A05B45">
      <w:pPr>
        <w:spacing w:after="720"/>
        <w:jc w:val="both"/>
      </w:pPr>
      <w:r w:rsidRPr="00A05B45">
        <w:t xml:space="preserve">Present: Wagner </w:t>
      </w:r>
      <w:proofErr w:type="spellStart"/>
      <w:r w:rsidRPr="00A05B45">
        <w:t>C.J</w:t>
      </w:r>
      <w:proofErr w:type="spellEnd"/>
      <w:r w:rsidRPr="00A05B45">
        <w:t xml:space="preserve">. and </w:t>
      </w:r>
      <w:proofErr w:type="spellStart"/>
      <w:r w:rsidRPr="00A05B45">
        <w:t>Karakatsanis</w:t>
      </w:r>
      <w:proofErr w:type="spellEnd"/>
      <w:r w:rsidRPr="00A05B45">
        <w:t xml:space="preserve">, Côté, Rowe, Martin, </w:t>
      </w:r>
      <w:proofErr w:type="spellStart"/>
      <w:r w:rsidRPr="00A05B45">
        <w:t>Kasirer</w:t>
      </w:r>
      <w:proofErr w:type="spellEnd"/>
      <w:r w:rsidRPr="00A05B45">
        <w:t xml:space="preserve"> and </w:t>
      </w:r>
      <w:proofErr w:type="spellStart"/>
      <w:r w:rsidRPr="00A05B45">
        <w:t>O’Bonsawin</w:t>
      </w:r>
      <w:proofErr w:type="spellEnd"/>
      <w:r w:rsidRPr="00A05B45">
        <w:t> </w:t>
      </w:r>
      <w:proofErr w:type="spellStart"/>
      <w:r w:rsidRPr="00A05B45">
        <w:t>JJ</w:t>
      </w:r>
      <w:proofErr w:type="spellEnd"/>
      <w:r w:rsidRPr="00A05B45">
        <w:t>.</w:t>
      </w:r>
    </w:p>
    <w:p w:rsidR="00A05B45" w:rsidRPr="00A05B45" w:rsidRDefault="00A05B45" w:rsidP="00A05B45">
      <w:pPr>
        <w:tabs>
          <w:tab w:val="left" w:pos="1168"/>
        </w:tabs>
        <w:spacing w:after="720"/>
        <w:jc w:val="both"/>
        <w:rPr>
          <w:smallCaps/>
        </w:rPr>
      </w:pPr>
      <w:r w:rsidRPr="00A05B45">
        <w:rPr>
          <w:smallCaps/>
        </w:rPr>
        <w:t xml:space="preserve">on appeal from the court of appeal for </w:t>
      </w:r>
      <w:proofErr w:type="spellStart"/>
      <w:r w:rsidRPr="00A05B45">
        <w:rPr>
          <w:smallCaps/>
        </w:rPr>
        <w:t>quebec</w:t>
      </w:r>
      <w:proofErr w:type="spellEnd"/>
    </w:p>
    <w:p w:rsidR="00A05B45" w:rsidRPr="00A05B45" w:rsidRDefault="00A05B45" w:rsidP="00A05B45">
      <w:pPr>
        <w:tabs>
          <w:tab w:val="left" w:pos="1168"/>
        </w:tabs>
        <w:spacing w:after="480" w:line="480" w:lineRule="auto"/>
        <w:jc w:val="both"/>
        <w:rPr>
          <w:i/>
          <w:iCs/>
        </w:rPr>
      </w:pPr>
      <w:r w:rsidRPr="00A05B45">
        <w:tab/>
      </w:r>
      <w:r w:rsidRPr="00A05B45">
        <w:rPr>
          <w:i/>
        </w:rPr>
        <w:t>Criminal law — Evidence —</w:t>
      </w:r>
      <w:r w:rsidRPr="00A05B45">
        <w:rPr>
          <w:i/>
          <w:iCs/>
        </w:rPr>
        <w:t xml:space="preserve"> Admissibility —</w:t>
      </w:r>
      <w:r w:rsidRPr="00A05B45">
        <w:t xml:space="preserve"> </w:t>
      </w:r>
      <w:r w:rsidRPr="00A05B45">
        <w:rPr>
          <w:i/>
        </w:rPr>
        <w:t>Admissions</w:t>
      </w:r>
      <w:r w:rsidRPr="00A05B45">
        <w:t xml:space="preserve"> </w:t>
      </w:r>
      <w:r w:rsidRPr="00A05B45">
        <w:rPr>
          <w:i/>
          <w:iCs/>
        </w:rPr>
        <w:t xml:space="preserve">— Accused voluntarily making admissions, during treatment process, concerning acts of sexual nature committed by him against child — Admissions sent to director of youth protection and then to police with accused’s consent — Accused charged with sexual assault — Accused filing motion to exclude admissions — Trial judge dismissing motion on ground that application of </w:t>
      </w:r>
      <w:proofErr w:type="spellStart"/>
      <w:r w:rsidRPr="00A05B45">
        <w:rPr>
          <w:i/>
          <w:iCs/>
        </w:rPr>
        <w:t>Wigmore</w:t>
      </w:r>
      <w:proofErr w:type="spellEnd"/>
      <w:r w:rsidRPr="00A05B45">
        <w:rPr>
          <w:i/>
          <w:iCs/>
        </w:rPr>
        <w:t xml:space="preserve"> criteria did not result in admissions being inadmissible — Accused convicted of sexual assault — Majority of Court of Appeal entering acquittal on ground that admissions were inadmissible — Dissenting judge finding that admissions were admissible because accused had expressly waived their confidentiality by consenting to their disclosure — Conviction restored.</w:t>
      </w:r>
    </w:p>
    <w:p w:rsidR="00A05B45" w:rsidRPr="00A05B45" w:rsidRDefault="00A05B45" w:rsidP="00A05B45">
      <w:pPr>
        <w:tabs>
          <w:tab w:val="left" w:pos="1168"/>
        </w:tabs>
        <w:spacing w:after="480" w:line="480" w:lineRule="auto"/>
        <w:jc w:val="both"/>
        <w:rPr>
          <w:lang w:val="en-US"/>
        </w:rPr>
      </w:pPr>
      <w:r w:rsidRPr="00A05B45">
        <w:tab/>
        <w:t>APPEAL from a judgment of the Quebec Court of Appeal (</w:t>
      </w:r>
      <w:proofErr w:type="spellStart"/>
      <w:r w:rsidRPr="00A05B45">
        <w:t>Vauclair</w:t>
      </w:r>
      <w:proofErr w:type="spellEnd"/>
      <w:r w:rsidRPr="00A05B45">
        <w:t xml:space="preserve">, </w:t>
      </w:r>
      <w:proofErr w:type="spellStart"/>
      <w:r w:rsidRPr="00A05B45">
        <w:t>Mainville</w:t>
      </w:r>
      <w:proofErr w:type="spellEnd"/>
      <w:r w:rsidRPr="00A05B45">
        <w:t xml:space="preserve"> and Healy </w:t>
      </w:r>
      <w:proofErr w:type="spellStart"/>
      <w:r w:rsidRPr="00A05B45">
        <w:t>JJ.A</w:t>
      </w:r>
      <w:proofErr w:type="spellEnd"/>
      <w:r w:rsidRPr="00A05B45">
        <w:t xml:space="preserve">.), </w:t>
      </w:r>
      <w:hyperlink r:id="rId10" w:history="1">
        <w:r w:rsidRPr="00A05B45">
          <w:rPr>
            <w:color w:val="660000"/>
          </w:rPr>
          <w:t>2022 QCCA 1072</w:t>
        </w:r>
      </w:hyperlink>
      <w:r w:rsidRPr="00A05B45">
        <w:t xml:space="preserve">, 83 C.R. (7th) 403, [2022] </w:t>
      </w:r>
      <w:proofErr w:type="spellStart"/>
      <w:r w:rsidRPr="00A05B45">
        <w:t>J.Q</w:t>
      </w:r>
      <w:proofErr w:type="spellEnd"/>
      <w:r w:rsidRPr="00A05B45">
        <w:t>. n</w:t>
      </w:r>
      <w:r w:rsidRPr="00A05B45">
        <w:rPr>
          <w:vertAlign w:val="superscript"/>
        </w:rPr>
        <w:t>o</w:t>
      </w:r>
      <w:r w:rsidRPr="00A05B45">
        <w:t> 7757 (</w:t>
      </w:r>
      <w:proofErr w:type="spellStart"/>
      <w:r w:rsidRPr="00A05B45">
        <w:t>QL</w:t>
      </w:r>
      <w:proofErr w:type="spellEnd"/>
      <w:r w:rsidRPr="00A05B45">
        <w:t xml:space="preserve">), 2022 </w:t>
      </w:r>
      <w:proofErr w:type="spellStart"/>
      <w:r w:rsidRPr="00A05B45">
        <w:t>CarswellQue</w:t>
      </w:r>
      <w:proofErr w:type="spellEnd"/>
      <w:r w:rsidRPr="00A05B45">
        <w:t xml:space="preserve"> 11441 (WL), s</w:t>
      </w:r>
      <w:r w:rsidRPr="00A05B45">
        <w:rPr>
          <w:rFonts w:eastAsiaTheme="majorEastAsia"/>
          <w:color w:val="000000"/>
        </w:rPr>
        <w:t xml:space="preserve">etting aside the conviction of the accused for </w:t>
      </w:r>
      <w:r w:rsidRPr="00A05B45">
        <w:rPr>
          <w:color w:val="000000"/>
        </w:rPr>
        <w:t>sexual assault and entering an acquittal</w:t>
      </w:r>
      <w:r w:rsidRPr="00A05B45">
        <w:rPr>
          <w:rFonts w:eastAsiaTheme="minorHAnsi" w:cs="Calibri"/>
          <w:szCs w:val="24"/>
          <w:lang w:eastAsia="en-US"/>
        </w:rPr>
        <w:t xml:space="preserve">. </w:t>
      </w:r>
      <w:r w:rsidRPr="00A05B45">
        <w:rPr>
          <w:color w:val="000000"/>
        </w:rPr>
        <w:t>Appeal allowed, Côté J. dissenting.</w:t>
      </w:r>
    </w:p>
    <w:p w:rsidR="00A05B45" w:rsidRPr="00A05B45" w:rsidRDefault="00A05B45" w:rsidP="00A05B45">
      <w:pPr>
        <w:tabs>
          <w:tab w:val="left" w:pos="1168"/>
        </w:tabs>
        <w:spacing w:after="480" w:line="480" w:lineRule="auto"/>
        <w:jc w:val="both"/>
      </w:pPr>
      <w:r w:rsidRPr="00A05B45">
        <w:rPr>
          <w:i/>
          <w:lang w:val="en-US"/>
        </w:rPr>
        <w:tab/>
      </w:r>
      <w:proofErr w:type="spellStart"/>
      <w:r w:rsidRPr="00A05B45">
        <w:rPr>
          <w:i/>
        </w:rPr>
        <w:t>Maxime</w:t>
      </w:r>
      <w:proofErr w:type="spellEnd"/>
      <w:r w:rsidRPr="00A05B45">
        <w:rPr>
          <w:i/>
        </w:rPr>
        <w:t xml:space="preserve"> </w:t>
      </w:r>
      <w:proofErr w:type="spellStart"/>
      <w:r w:rsidRPr="00A05B45">
        <w:rPr>
          <w:i/>
          <w:iCs/>
          <w:color w:val="000000"/>
        </w:rPr>
        <w:t>Hébrard</w:t>
      </w:r>
      <w:proofErr w:type="spellEnd"/>
      <w:r w:rsidRPr="00A05B45">
        <w:rPr>
          <w:i/>
          <w:iCs/>
          <w:color w:val="000000"/>
        </w:rPr>
        <w:t xml:space="preserve"> </w:t>
      </w:r>
      <w:r w:rsidRPr="00A05B45">
        <w:rPr>
          <w:color w:val="000000"/>
        </w:rPr>
        <w:t xml:space="preserve">and </w:t>
      </w:r>
      <w:r w:rsidRPr="00A05B45">
        <w:rPr>
          <w:i/>
          <w:iCs/>
          <w:color w:val="000000"/>
        </w:rPr>
        <w:t>Julien Fitzgerald</w:t>
      </w:r>
      <w:r w:rsidRPr="00A05B45">
        <w:t>, for the appellant.</w:t>
      </w:r>
    </w:p>
    <w:p w:rsidR="00A05B45" w:rsidRPr="00A05B45" w:rsidRDefault="00A05B45" w:rsidP="00A05B45">
      <w:pPr>
        <w:tabs>
          <w:tab w:val="left" w:pos="1168"/>
        </w:tabs>
        <w:spacing w:after="480" w:line="480" w:lineRule="auto"/>
        <w:jc w:val="both"/>
        <w:rPr>
          <w:lang w:val="en-US"/>
        </w:rPr>
      </w:pPr>
      <w:r w:rsidRPr="00A05B45">
        <w:rPr>
          <w:i/>
        </w:rPr>
        <w:tab/>
      </w:r>
      <w:r w:rsidRPr="00A05B45">
        <w:rPr>
          <w:i/>
          <w:lang w:val="en-US"/>
        </w:rPr>
        <w:t>Nicolas Lemyre</w:t>
      </w:r>
      <w:r w:rsidRPr="00A05B45">
        <w:rPr>
          <w:i/>
          <w:lang w:val="en-US"/>
        </w:rPr>
        <w:noBreakHyphen/>
        <w:t>Cossette</w:t>
      </w:r>
      <w:r w:rsidRPr="00A05B45">
        <w:rPr>
          <w:lang w:val="en-US"/>
        </w:rPr>
        <w:t xml:space="preserve"> and </w:t>
      </w:r>
      <w:r w:rsidRPr="00A05B45">
        <w:rPr>
          <w:i/>
          <w:lang w:val="en-US"/>
        </w:rPr>
        <w:t>Marie</w:t>
      </w:r>
      <w:r w:rsidRPr="00A05B45">
        <w:rPr>
          <w:i/>
          <w:lang w:val="en-US"/>
        </w:rPr>
        <w:noBreakHyphen/>
        <w:t>Pier Boulet</w:t>
      </w:r>
      <w:r w:rsidRPr="00A05B45">
        <w:rPr>
          <w:lang w:val="en-US"/>
        </w:rPr>
        <w:t>, for the respondent.</w:t>
      </w:r>
    </w:p>
    <w:p w:rsidR="00A05B45" w:rsidRPr="00A05B45" w:rsidRDefault="00A05B45" w:rsidP="00A05B45">
      <w:pPr>
        <w:tabs>
          <w:tab w:val="left" w:pos="1168"/>
        </w:tabs>
        <w:spacing w:after="480" w:line="480" w:lineRule="auto"/>
        <w:jc w:val="both"/>
        <w:rPr>
          <w:lang w:val="en-US"/>
        </w:rPr>
      </w:pPr>
      <w:r w:rsidRPr="00A05B45">
        <w:rPr>
          <w:i/>
          <w:lang w:val="en-US"/>
        </w:rPr>
        <w:tab/>
        <w:t>Cynthia Lacombe</w:t>
      </w:r>
      <w:r w:rsidRPr="00A05B45">
        <w:rPr>
          <w:lang w:val="en-US"/>
        </w:rPr>
        <w:t>, for the intervener.</w:t>
      </w:r>
    </w:p>
    <w:p w:rsidR="00A05B45" w:rsidRPr="00A05B45" w:rsidRDefault="00A05B45" w:rsidP="00A05B45">
      <w:pPr>
        <w:tabs>
          <w:tab w:val="left" w:pos="1168"/>
        </w:tabs>
        <w:spacing w:after="480" w:line="480" w:lineRule="auto"/>
        <w:jc w:val="both"/>
      </w:pPr>
      <w:r w:rsidRPr="00A05B45">
        <w:rPr>
          <w:lang w:val="en-US"/>
        </w:rPr>
        <w:tab/>
      </w:r>
      <w:r w:rsidRPr="00A05B45">
        <w:t>English version of the judgment of the Court delivered orally by</w:t>
      </w:r>
    </w:p>
    <w:p w:rsidR="00A05B45" w:rsidRPr="00A05B45" w:rsidRDefault="00A05B45" w:rsidP="00A05B45">
      <w:pPr>
        <w:numPr>
          <w:ilvl w:val="0"/>
          <w:numId w:val="31"/>
        </w:numPr>
        <w:tabs>
          <w:tab w:val="left" w:pos="1166"/>
        </w:tabs>
        <w:spacing w:before="480" w:after="480" w:line="480" w:lineRule="auto"/>
        <w:jc w:val="both"/>
        <w:rPr>
          <w:rFonts w:eastAsiaTheme="minorEastAsia" w:cstheme="minorBidi"/>
          <w:szCs w:val="22"/>
          <w:lang w:val="en-US" w:eastAsia="en-US"/>
        </w:rPr>
      </w:pPr>
      <w:r w:rsidRPr="00A05B45">
        <w:rPr>
          <w:rFonts w:eastAsiaTheme="minorEastAsia" w:cstheme="minorBidi"/>
          <w:smallCaps/>
          <w:color w:val="000000"/>
          <w:szCs w:val="22"/>
          <w:lang w:eastAsia="en-US"/>
        </w:rPr>
        <w:t>The Chief Justice</w:t>
      </w:r>
      <w:r w:rsidRPr="00A05B45">
        <w:rPr>
          <w:rFonts w:eastAsiaTheme="minorEastAsia" w:cstheme="minorBidi"/>
          <w:color w:val="000000"/>
          <w:szCs w:val="22"/>
          <w:lang w:eastAsia="en-US"/>
        </w:rPr>
        <w:t xml:space="preserve"> — </w:t>
      </w:r>
      <w:proofErr w:type="gramStart"/>
      <w:r w:rsidRPr="00A05B45">
        <w:rPr>
          <w:rFonts w:eastAsiaTheme="minorEastAsia" w:cstheme="minorBidi"/>
          <w:color w:val="000000"/>
          <w:szCs w:val="22"/>
          <w:lang w:eastAsia="en-US"/>
        </w:rPr>
        <w:t>A</w:t>
      </w:r>
      <w:proofErr w:type="gramEnd"/>
      <w:r w:rsidRPr="00A05B45">
        <w:rPr>
          <w:rFonts w:eastAsiaTheme="minorEastAsia" w:cstheme="minorBidi"/>
          <w:color w:val="000000"/>
          <w:szCs w:val="22"/>
          <w:lang w:eastAsia="en-US"/>
        </w:rPr>
        <w:t xml:space="preserve"> majority of the Court is of the view that the appeal should be allowed on the sole issue of the respondent’s consent to the disclosure of his admissions, discussed by the dissenting judge at paras. 83</w:t>
      </w:r>
      <w:r w:rsidRPr="00A05B45">
        <w:rPr>
          <w:rFonts w:eastAsiaTheme="minorEastAsia" w:cstheme="minorBidi"/>
          <w:color w:val="000000"/>
          <w:szCs w:val="22"/>
          <w:lang w:eastAsia="en-US"/>
        </w:rPr>
        <w:noBreakHyphen/>
        <w:t>85 of the reasons. In the Court’s opinion, this is sufficient to dispose of the appeal.</w:t>
      </w:r>
    </w:p>
    <w:p w:rsidR="00A05B45" w:rsidRPr="00A05B45" w:rsidRDefault="00A05B45" w:rsidP="00A05B45">
      <w:pPr>
        <w:numPr>
          <w:ilvl w:val="0"/>
          <w:numId w:val="31"/>
        </w:numPr>
        <w:tabs>
          <w:tab w:val="left" w:pos="1166"/>
        </w:tabs>
        <w:spacing w:before="480" w:after="480" w:line="480" w:lineRule="auto"/>
        <w:jc w:val="both"/>
        <w:rPr>
          <w:rFonts w:eastAsiaTheme="minorEastAsia" w:cstheme="minorBidi"/>
          <w:szCs w:val="22"/>
          <w:lang w:val="en-US" w:eastAsia="en-US"/>
        </w:rPr>
      </w:pPr>
      <w:r w:rsidRPr="00A05B45">
        <w:rPr>
          <w:rFonts w:eastAsiaTheme="minorEastAsia" w:cstheme="minorBidi"/>
          <w:color w:val="000000"/>
          <w:szCs w:val="22"/>
          <w:lang w:eastAsia="en-US"/>
        </w:rPr>
        <w:t>Côté J. would have dismissed the appeal, substantially for the reasons of the majority of the Court of Appeal.</w:t>
      </w:r>
    </w:p>
    <w:p w:rsidR="00A05B45" w:rsidRPr="00A05B45" w:rsidRDefault="00A05B45" w:rsidP="00A05B45">
      <w:pPr>
        <w:numPr>
          <w:ilvl w:val="0"/>
          <w:numId w:val="31"/>
        </w:numPr>
        <w:tabs>
          <w:tab w:val="left" w:pos="1166"/>
        </w:tabs>
        <w:spacing w:before="480" w:after="480" w:line="480" w:lineRule="auto"/>
        <w:jc w:val="both"/>
        <w:rPr>
          <w:rFonts w:eastAsiaTheme="minorEastAsia" w:cstheme="minorBidi"/>
          <w:szCs w:val="22"/>
          <w:lang w:val="en-US" w:eastAsia="en-US"/>
        </w:rPr>
      </w:pPr>
      <w:r w:rsidRPr="00A05B45">
        <w:rPr>
          <w:rFonts w:eastAsiaTheme="minorEastAsia" w:cstheme="minorBidi"/>
          <w:color w:val="000000"/>
          <w:szCs w:val="22"/>
          <w:lang w:eastAsia="en-US"/>
        </w:rPr>
        <w:t>The appeal is allowed, the judgment of the Court of Appeal is set aside and the respondent’s conviction is restored.</w:t>
      </w:r>
    </w:p>
    <w:p w:rsidR="00A05B45" w:rsidRPr="00A05B45" w:rsidRDefault="00A05B45" w:rsidP="00A05B45">
      <w:pPr>
        <w:tabs>
          <w:tab w:val="left" w:pos="1168"/>
        </w:tabs>
        <w:spacing w:after="480" w:line="480" w:lineRule="auto"/>
        <w:jc w:val="both"/>
        <w:rPr>
          <w:i/>
          <w:lang w:val="fr-CA"/>
        </w:rPr>
      </w:pPr>
      <w:r w:rsidRPr="00A05B45">
        <w:rPr>
          <w:lang w:val="en-US"/>
        </w:rPr>
        <w:tab/>
      </w:r>
      <w:proofErr w:type="spellStart"/>
      <w:r w:rsidRPr="00A05B45">
        <w:rPr>
          <w:i/>
          <w:lang w:val="fr-CA"/>
        </w:rPr>
        <w:t>Judgment</w:t>
      </w:r>
      <w:proofErr w:type="spellEnd"/>
      <w:r w:rsidRPr="00A05B45">
        <w:rPr>
          <w:i/>
          <w:lang w:val="fr-CA"/>
        </w:rPr>
        <w:t xml:space="preserve"> </w:t>
      </w:r>
      <w:proofErr w:type="spellStart"/>
      <w:r w:rsidRPr="00A05B45">
        <w:rPr>
          <w:i/>
          <w:lang w:val="fr-CA"/>
        </w:rPr>
        <w:t>accordingly</w:t>
      </w:r>
      <w:proofErr w:type="spellEnd"/>
      <w:r w:rsidRPr="00A05B45">
        <w:rPr>
          <w:i/>
          <w:lang w:val="fr-CA"/>
        </w:rPr>
        <w:t>.</w:t>
      </w:r>
    </w:p>
    <w:p w:rsidR="00A05B45" w:rsidRPr="00A05B45" w:rsidRDefault="00A05B45" w:rsidP="00A05B45">
      <w:pPr>
        <w:tabs>
          <w:tab w:val="left" w:pos="1168"/>
        </w:tabs>
        <w:spacing w:after="480" w:line="480" w:lineRule="auto"/>
        <w:jc w:val="both"/>
        <w:rPr>
          <w:i/>
          <w:lang w:val="fr-CA"/>
        </w:rPr>
      </w:pPr>
      <w:r w:rsidRPr="00A05B45">
        <w:rPr>
          <w:i/>
          <w:lang w:val="fr-CA"/>
        </w:rPr>
        <w:tab/>
        <w:t xml:space="preserve">Solicitor for the </w:t>
      </w:r>
      <w:proofErr w:type="spellStart"/>
      <w:r w:rsidRPr="00A05B45">
        <w:rPr>
          <w:i/>
          <w:lang w:val="fr-CA"/>
        </w:rPr>
        <w:t>appellant</w:t>
      </w:r>
      <w:proofErr w:type="spellEnd"/>
      <w:r w:rsidRPr="00A05B45">
        <w:rPr>
          <w:i/>
          <w:lang w:val="fr-CA"/>
        </w:rPr>
        <w:t>: Procureur aux poursuites criminelles et pénales, Longueuil.</w:t>
      </w:r>
    </w:p>
    <w:p w:rsidR="00A05B45" w:rsidRPr="00A05B45" w:rsidRDefault="00A05B45" w:rsidP="00A05B45">
      <w:pPr>
        <w:tabs>
          <w:tab w:val="left" w:pos="1168"/>
        </w:tabs>
        <w:spacing w:after="480" w:line="480" w:lineRule="auto"/>
        <w:jc w:val="both"/>
        <w:rPr>
          <w:i/>
          <w:lang w:val="fr-CA"/>
        </w:rPr>
      </w:pPr>
      <w:r w:rsidRPr="00A05B45">
        <w:rPr>
          <w:i/>
          <w:lang w:val="fr-CA"/>
        </w:rPr>
        <w:tab/>
        <w:t xml:space="preserve">Solicitors for the </w:t>
      </w:r>
      <w:proofErr w:type="spellStart"/>
      <w:r w:rsidRPr="00A05B45">
        <w:rPr>
          <w:i/>
          <w:lang w:val="fr-CA"/>
        </w:rPr>
        <w:t>respondent</w:t>
      </w:r>
      <w:proofErr w:type="spellEnd"/>
      <w:r w:rsidRPr="00A05B45">
        <w:rPr>
          <w:i/>
          <w:lang w:val="fr-CA"/>
        </w:rPr>
        <w:t xml:space="preserve">: </w:t>
      </w:r>
      <w:proofErr w:type="spellStart"/>
      <w:r w:rsidRPr="00A05B45">
        <w:rPr>
          <w:i/>
          <w:lang w:val="fr-CA"/>
        </w:rPr>
        <w:t>Poitras</w:t>
      </w:r>
      <w:proofErr w:type="spellEnd"/>
      <w:r w:rsidRPr="00A05B45">
        <w:rPr>
          <w:i/>
          <w:lang w:val="fr-CA"/>
        </w:rPr>
        <w:t>, Fournier, Cossette, Granby; BMD, Laval.</w:t>
      </w:r>
    </w:p>
    <w:p w:rsidR="00A05B45" w:rsidRPr="00A05B45" w:rsidRDefault="00A05B45" w:rsidP="00A05B45">
      <w:pPr>
        <w:tabs>
          <w:tab w:val="left" w:pos="1168"/>
        </w:tabs>
        <w:spacing w:after="480" w:line="480" w:lineRule="auto"/>
        <w:jc w:val="both"/>
        <w:rPr>
          <w:i/>
          <w:lang w:val="en-US"/>
        </w:rPr>
      </w:pPr>
      <w:r w:rsidRPr="00A05B45">
        <w:rPr>
          <w:i/>
          <w:lang w:val="fr-CA"/>
        </w:rPr>
        <w:tab/>
      </w:r>
      <w:r w:rsidRPr="00A05B45">
        <w:rPr>
          <w:i/>
          <w:lang w:val="en-US"/>
        </w:rPr>
        <w:t>Solicitors for the intervener: BMD, Laval.</w:t>
      </w:r>
    </w:p>
    <w:p w:rsidR="00656A54" w:rsidRPr="00656A54" w:rsidRDefault="00656A54" w:rsidP="00656A54">
      <w:pPr>
        <w:tabs>
          <w:tab w:val="right" w:pos="8222"/>
        </w:tabs>
        <w:spacing w:after="720"/>
        <w:rPr>
          <w:lang w:val="fr-CA"/>
        </w:rPr>
      </w:pPr>
      <w:bookmarkStart w:id="0" w:name="_GoBack"/>
      <w:bookmarkEnd w:id="0"/>
    </w:p>
    <w:sectPr w:rsidR="00656A54" w:rsidRPr="00656A54" w:rsidSect="00656A54">
      <w:headerReference w:type="default" r:id="rId11"/>
      <w:headerReference w:type="first" r:id="rId12"/>
      <w:pgSz w:w="12240" w:h="15840"/>
      <w:pgMar w:top="1440" w:right="1440" w:bottom="1440" w:left="1440"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36" w:rsidRDefault="009F1CCE" w:rsidP="0013661E">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A05B45">
      <w:rPr>
        <w:noProof/>
        <w:szCs w:val="24"/>
      </w:rPr>
      <w:t>3</w:t>
    </w:r>
    <w:r w:rsidRPr="00417FB7">
      <w:rPr>
        <w:szCs w:val="24"/>
      </w:rPr>
      <w:fldChar w:fldCharType="end"/>
    </w:r>
    <w:r>
      <w:rPr>
        <w:szCs w:val="24"/>
      </w:rPr>
      <w:t xml:space="preserve"> -</w:t>
    </w:r>
  </w:p>
  <w:p w:rsidR="00542236" w:rsidRDefault="00A05B45" w:rsidP="0013661E">
    <w:pPr>
      <w:rPr>
        <w:szCs w:val="24"/>
      </w:rPr>
    </w:pPr>
  </w:p>
  <w:p w:rsidR="00542236" w:rsidRDefault="00A05B45" w:rsidP="0013661E">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52973"/>
      <w:lock w:val="contentLocked"/>
      <w:showingPlcHdr/>
      <w:text/>
    </w:sdtPr>
    <w:sdtEndPr/>
    <w:sdtContent>
      <w:p w:rsidR="00542236" w:rsidRDefault="00A05B45" w:rsidP="00A83D11"/>
      <w:p w:rsidR="00542236" w:rsidRDefault="00A05B45" w:rsidP="00A83D11"/>
      <w:p w:rsidR="00542236" w:rsidRPr="0031097F" w:rsidRDefault="00A05B45" w:rsidP="00A83D11"/>
      <w:p w:rsidR="00542236" w:rsidRPr="0031097F" w:rsidRDefault="00A05B45" w:rsidP="00A83D11"/>
      <w:p w:rsidR="00542236" w:rsidRDefault="00A05B45" w:rsidP="00A83D11"/>
      <w:p w:rsidR="00542236" w:rsidRDefault="00A05B45" w:rsidP="00A83D11"/>
      <w:p w:rsidR="00542236" w:rsidRDefault="00A05B45" w:rsidP="00A83D11"/>
      <w:p w:rsidR="00542236" w:rsidRDefault="00A05B45" w:rsidP="00A83D11"/>
      <w:p w:rsidR="00542236" w:rsidRDefault="00A05B45" w:rsidP="00A83D11"/>
      <w:p w:rsidR="00542236" w:rsidRPr="0031097F" w:rsidRDefault="00A05B45" w:rsidP="00A83D11"/>
      <w:p w:rsidR="00542236" w:rsidRPr="0031097F" w:rsidRDefault="00A05B45" w:rsidP="00A83D11"/>
      <w:p w:rsidR="00542236" w:rsidRPr="00A83D11" w:rsidRDefault="00A05B45" w:rsidP="00A83D11">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48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A3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6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2044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D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4A0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262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09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6C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A3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0F520B"/>
    <w:multiLevelType w:val="multilevel"/>
    <w:tmpl w:val="EC1A4062"/>
    <w:lvl w:ilvl="0">
      <w:start w:val="1"/>
      <w:numFmt w:val="decimal"/>
      <w:lvlText w:val="[%1]"/>
      <w:lvlJc w:val="left"/>
      <w:pPr>
        <w:tabs>
          <w:tab w:val="num" w:pos="1166"/>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3"/>
  </w:num>
  <w:num w:numId="12">
    <w:abstractNumId w:val="11"/>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4"/>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1368"/>
    <w:rsid w:val="00013781"/>
    <w:rsid w:val="00016814"/>
    <w:rsid w:val="00017885"/>
    <w:rsid w:val="00025198"/>
    <w:rsid w:val="00025763"/>
    <w:rsid w:val="00026467"/>
    <w:rsid w:val="00040D1B"/>
    <w:rsid w:val="00040F00"/>
    <w:rsid w:val="00041BDD"/>
    <w:rsid w:val="000578A3"/>
    <w:rsid w:val="000648CC"/>
    <w:rsid w:val="00076E46"/>
    <w:rsid w:val="00090AC3"/>
    <w:rsid w:val="00094FED"/>
    <w:rsid w:val="00096F6F"/>
    <w:rsid w:val="000B5CFA"/>
    <w:rsid w:val="000B69B5"/>
    <w:rsid w:val="000C3FCE"/>
    <w:rsid w:val="000C433D"/>
    <w:rsid w:val="000C59B8"/>
    <w:rsid w:val="000C6AF0"/>
    <w:rsid w:val="000C78C2"/>
    <w:rsid w:val="000D1960"/>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70CD9"/>
    <w:rsid w:val="0018066E"/>
    <w:rsid w:val="00184C66"/>
    <w:rsid w:val="00186351"/>
    <w:rsid w:val="00195D83"/>
    <w:rsid w:val="001977DB"/>
    <w:rsid w:val="001A00C1"/>
    <w:rsid w:val="001A42A4"/>
    <w:rsid w:val="001B327A"/>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B56E8"/>
    <w:rsid w:val="002B7924"/>
    <w:rsid w:val="002B7ABA"/>
    <w:rsid w:val="002D0C2D"/>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74070"/>
    <w:rsid w:val="00396BF3"/>
    <w:rsid w:val="00397B36"/>
    <w:rsid w:val="003A125D"/>
    <w:rsid w:val="003A4C70"/>
    <w:rsid w:val="003B215F"/>
    <w:rsid w:val="003C2CFF"/>
    <w:rsid w:val="003C799C"/>
    <w:rsid w:val="003D0399"/>
    <w:rsid w:val="003E1C71"/>
    <w:rsid w:val="003E2693"/>
    <w:rsid w:val="003E53AC"/>
    <w:rsid w:val="003F327B"/>
    <w:rsid w:val="003F4047"/>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1"/>
    <w:rsid w:val="005A6079"/>
    <w:rsid w:val="005C5BED"/>
    <w:rsid w:val="005C7840"/>
    <w:rsid w:val="005E4698"/>
    <w:rsid w:val="006003EE"/>
    <w:rsid w:val="00610539"/>
    <w:rsid w:val="00613969"/>
    <w:rsid w:val="0061523C"/>
    <w:rsid w:val="00617208"/>
    <w:rsid w:val="006230B6"/>
    <w:rsid w:val="00625C35"/>
    <w:rsid w:val="006260EB"/>
    <w:rsid w:val="00626A7D"/>
    <w:rsid w:val="0062787A"/>
    <w:rsid w:val="00635521"/>
    <w:rsid w:val="006468AB"/>
    <w:rsid w:val="00656313"/>
    <w:rsid w:val="006565F4"/>
    <w:rsid w:val="00656A54"/>
    <w:rsid w:val="0066108F"/>
    <w:rsid w:val="006763FD"/>
    <w:rsid w:val="00684EEA"/>
    <w:rsid w:val="006908E8"/>
    <w:rsid w:val="0069689B"/>
    <w:rsid w:val="006A1551"/>
    <w:rsid w:val="006A31A1"/>
    <w:rsid w:val="006A48DB"/>
    <w:rsid w:val="006B5FF5"/>
    <w:rsid w:val="006B7683"/>
    <w:rsid w:val="006C7684"/>
    <w:rsid w:val="006D4200"/>
    <w:rsid w:val="006D6275"/>
    <w:rsid w:val="006F30AF"/>
    <w:rsid w:val="007000FF"/>
    <w:rsid w:val="007009A0"/>
    <w:rsid w:val="00701759"/>
    <w:rsid w:val="00701CF2"/>
    <w:rsid w:val="00705C15"/>
    <w:rsid w:val="00712E55"/>
    <w:rsid w:val="00713025"/>
    <w:rsid w:val="007154A1"/>
    <w:rsid w:val="00715A65"/>
    <w:rsid w:val="0071600E"/>
    <w:rsid w:val="00717FDC"/>
    <w:rsid w:val="007208D1"/>
    <w:rsid w:val="0072428C"/>
    <w:rsid w:val="00730177"/>
    <w:rsid w:val="0073049D"/>
    <w:rsid w:val="00741E1C"/>
    <w:rsid w:val="00742119"/>
    <w:rsid w:val="00747288"/>
    <w:rsid w:val="00747DD3"/>
    <w:rsid w:val="007549C8"/>
    <w:rsid w:val="00754A0B"/>
    <w:rsid w:val="0075717D"/>
    <w:rsid w:val="00766D14"/>
    <w:rsid w:val="00767A0F"/>
    <w:rsid w:val="00780E64"/>
    <w:rsid w:val="007A05F6"/>
    <w:rsid w:val="007B6F4A"/>
    <w:rsid w:val="007D097E"/>
    <w:rsid w:val="007E1C47"/>
    <w:rsid w:val="007E337A"/>
    <w:rsid w:val="007E5C70"/>
    <w:rsid w:val="007F2FF5"/>
    <w:rsid w:val="007F3F08"/>
    <w:rsid w:val="00804CC6"/>
    <w:rsid w:val="00813B48"/>
    <w:rsid w:val="0081470C"/>
    <w:rsid w:val="00817190"/>
    <w:rsid w:val="00817B94"/>
    <w:rsid w:val="008201FB"/>
    <w:rsid w:val="00820EE5"/>
    <w:rsid w:val="008244E9"/>
    <w:rsid w:val="008260E2"/>
    <w:rsid w:val="008311DB"/>
    <w:rsid w:val="008322BD"/>
    <w:rsid w:val="008323C4"/>
    <w:rsid w:val="00832F3F"/>
    <w:rsid w:val="00833E0A"/>
    <w:rsid w:val="00834F73"/>
    <w:rsid w:val="00847F55"/>
    <w:rsid w:val="00851F3D"/>
    <w:rsid w:val="008544FA"/>
    <w:rsid w:val="00854728"/>
    <w:rsid w:val="00864CF8"/>
    <w:rsid w:val="00872819"/>
    <w:rsid w:val="00874914"/>
    <w:rsid w:val="00891422"/>
    <w:rsid w:val="00892E1A"/>
    <w:rsid w:val="00895EB7"/>
    <w:rsid w:val="00896C73"/>
    <w:rsid w:val="008A3F29"/>
    <w:rsid w:val="008B660A"/>
    <w:rsid w:val="008B70F9"/>
    <w:rsid w:val="008C01DA"/>
    <w:rsid w:val="008C02C9"/>
    <w:rsid w:val="008C1723"/>
    <w:rsid w:val="008C7263"/>
    <w:rsid w:val="008D2104"/>
    <w:rsid w:val="008D44F3"/>
    <w:rsid w:val="008F78E9"/>
    <w:rsid w:val="00903C32"/>
    <w:rsid w:val="00911011"/>
    <w:rsid w:val="00911989"/>
    <w:rsid w:val="009179F9"/>
    <w:rsid w:val="00921B52"/>
    <w:rsid w:val="0093031F"/>
    <w:rsid w:val="00931C1C"/>
    <w:rsid w:val="00933E5E"/>
    <w:rsid w:val="00935218"/>
    <w:rsid w:val="009403F3"/>
    <w:rsid w:val="009555B7"/>
    <w:rsid w:val="009567AA"/>
    <w:rsid w:val="0096120B"/>
    <w:rsid w:val="0096473A"/>
    <w:rsid w:val="00967374"/>
    <w:rsid w:val="0097155E"/>
    <w:rsid w:val="00972251"/>
    <w:rsid w:val="00976EB5"/>
    <w:rsid w:val="00981B4D"/>
    <w:rsid w:val="009A343A"/>
    <w:rsid w:val="009A4E51"/>
    <w:rsid w:val="009A520F"/>
    <w:rsid w:val="009B2F23"/>
    <w:rsid w:val="009B57B3"/>
    <w:rsid w:val="009B6FFE"/>
    <w:rsid w:val="009B7BE6"/>
    <w:rsid w:val="009C5B92"/>
    <w:rsid w:val="009D2920"/>
    <w:rsid w:val="009D5AEB"/>
    <w:rsid w:val="009D79D6"/>
    <w:rsid w:val="009F0E33"/>
    <w:rsid w:val="009F1CCE"/>
    <w:rsid w:val="009F1E77"/>
    <w:rsid w:val="00A003F4"/>
    <w:rsid w:val="00A030CE"/>
    <w:rsid w:val="00A05B45"/>
    <w:rsid w:val="00A12217"/>
    <w:rsid w:val="00A149DF"/>
    <w:rsid w:val="00A1755C"/>
    <w:rsid w:val="00A21B90"/>
    <w:rsid w:val="00A23CE6"/>
    <w:rsid w:val="00A244B9"/>
    <w:rsid w:val="00A41805"/>
    <w:rsid w:val="00A42DCD"/>
    <w:rsid w:val="00A44699"/>
    <w:rsid w:val="00A52AFB"/>
    <w:rsid w:val="00A548CB"/>
    <w:rsid w:val="00A5521C"/>
    <w:rsid w:val="00A557A1"/>
    <w:rsid w:val="00A55CEF"/>
    <w:rsid w:val="00A643E7"/>
    <w:rsid w:val="00A70913"/>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57F8"/>
    <w:rsid w:val="00B56AAF"/>
    <w:rsid w:val="00B652DB"/>
    <w:rsid w:val="00B65301"/>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1A6A"/>
    <w:rsid w:val="00C02092"/>
    <w:rsid w:val="00C14AA0"/>
    <w:rsid w:val="00C22905"/>
    <w:rsid w:val="00C229CD"/>
    <w:rsid w:val="00C248ED"/>
    <w:rsid w:val="00C24D91"/>
    <w:rsid w:val="00C53F14"/>
    <w:rsid w:val="00C55E34"/>
    <w:rsid w:val="00C600CF"/>
    <w:rsid w:val="00C6084F"/>
    <w:rsid w:val="00C62A66"/>
    <w:rsid w:val="00C62FD6"/>
    <w:rsid w:val="00C71458"/>
    <w:rsid w:val="00C767AD"/>
    <w:rsid w:val="00C77613"/>
    <w:rsid w:val="00C828E7"/>
    <w:rsid w:val="00C8650B"/>
    <w:rsid w:val="00C86719"/>
    <w:rsid w:val="00C921DD"/>
    <w:rsid w:val="00CA6391"/>
    <w:rsid w:val="00CA7B39"/>
    <w:rsid w:val="00CC34BD"/>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45D8"/>
    <w:rsid w:val="00D7516F"/>
    <w:rsid w:val="00D83628"/>
    <w:rsid w:val="00D8579F"/>
    <w:rsid w:val="00D90B9E"/>
    <w:rsid w:val="00D91A89"/>
    <w:rsid w:val="00D94841"/>
    <w:rsid w:val="00D95F8E"/>
    <w:rsid w:val="00DA0590"/>
    <w:rsid w:val="00DA09F8"/>
    <w:rsid w:val="00DA0C16"/>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574"/>
    <w:rsid w:val="00E47B7A"/>
    <w:rsid w:val="00E50A79"/>
    <w:rsid w:val="00E56A44"/>
    <w:rsid w:val="00E60269"/>
    <w:rsid w:val="00E653D0"/>
    <w:rsid w:val="00E65A2E"/>
    <w:rsid w:val="00E71951"/>
    <w:rsid w:val="00E77932"/>
    <w:rsid w:val="00E83FDA"/>
    <w:rsid w:val="00E840B0"/>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8C9"/>
    <w:rsid w:val="00F2271D"/>
    <w:rsid w:val="00F32475"/>
    <w:rsid w:val="00F36AB6"/>
    <w:rsid w:val="00F37A09"/>
    <w:rsid w:val="00F409CE"/>
    <w:rsid w:val="00F4379D"/>
    <w:rsid w:val="00F50635"/>
    <w:rsid w:val="00F50D2D"/>
    <w:rsid w:val="00F53E0F"/>
    <w:rsid w:val="00F56C8B"/>
    <w:rsid w:val="00F56F8E"/>
    <w:rsid w:val="00F60258"/>
    <w:rsid w:val="00F66810"/>
    <w:rsid w:val="00F70A7A"/>
    <w:rsid w:val="00F75F4E"/>
    <w:rsid w:val="00F846D9"/>
    <w:rsid w:val="00F84DF4"/>
    <w:rsid w:val="00F85C97"/>
    <w:rsid w:val="00F94A57"/>
    <w:rsid w:val="00FA51A0"/>
    <w:rsid w:val="00FA61A8"/>
    <w:rsid w:val="00FB37D2"/>
    <w:rsid w:val="00FB7D08"/>
    <w:rsid w:val="00FC3788"/>
    <w:rsid w:val="00FC4EFB"/>
    <w:rsid w:val="00FD068D"/>
    <w:rsid w:val="00FD4F28"/>
    <w:rsid w:val="00FE0416"/>
    <w:rsid w:val="00FE22A8"/>
    <w:rsid w:val="00FE439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9F1CCE"/>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9F1CCE"/>
    <w:rPr>
      <w:rFonts w:eastAsiaTheme="minorHAnsi" w:cstheme="minorBidi"/>
      <w:b/>
      <w:szCs w:val="22"/>
      <w:lang w:val="fr-CA" w:eastAsia="en-US"/>
    </w:rPr>
  </w:style>
  <w:style w:type="character" w:customStyle="1" w:styleId="SCCLsocPrefixChar">
    <w:name w:val="SCC.Lsoc.Prefix Char"/>
    <w:basedOn w:val="DefaultParagraphFont"/>
    <w:link w:val="SCCLsocPrefix"/>
    <w:rsid w:val="009F1CCE"/>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77">
      <w:bodyDiv w:val="1"/>
      <w:marLeft w:val="0"/>
      <w:marRight w:val="0"/>
      <w:marTop w:val="0"/>
      <w:marBottom w:val="0"/>
      <w:divBdr>
        <w:top w:val="none" w:sz="0" w:space="0" w:color="auto"/>
        <w:left w:val="none" w:sz="0" w:space="0" w:color="auto"/>
        <w:bottom w:val="none" w:sz="0" w:space="0" w:color="auto"/>
        <w:right w:val="none" w:sz="0" w:space="0" w:color="auto"/>
      </w:divBdr>
    </w:div>
    <w:div w:id="403189242">
      <w:bodyDiv w:val="1"/>
      <w:marLeft w:val="0"/>
      <w:marRight w:val="0"/>
      <w:marTop w:val="0"/>
      <w:marBottom w:val="0"/>
      <w:divBdr>
        <w:top w:val="none" w:sz="0" w:space="0" w:color="auto"/>
        <w:left w:val="none" w:sz="0" w:space="0" w:color="auto"/>
        <w:bottom w:val="none" w:sz="0" w:space="0" w:color="auto"/>
        <w:right w:val="none" w:sz="0" w:space="0" w:color="auto"/>
      </w:divBdr>
    </w:div>
    <w:div w:id="427433501">
      <w:bodyDiv w:val="1"/>
      <w:marLeft w:val="0"/>
      <w:marRight w:val="0"/>
      <w:marTop w:val="0"/>
      <w:marBottom w:val="0"/>
      <w:divBdr>
        <w:top w:val="none" w:sz="0" w:space="0" w:color="auto"/>
        <w:left w:val="none" w:sz="0" w:space="0" w:color="auto"/>
        <w:bottom w:val="none" w:sz="0" w:space="0" w:color="auto"/>
        <w:right w:val="none" w:sz="0" w:space="0" w:color="auto"/>
      </w:divBdr>
    </w:div>
    <w:div w:id="510067599">
      <w:bodyDiv w:val="1"/>
      <w:marLeft w:val="0"/>
      <w:marRight w:val="0"/>
      <w:marTop w:val="0"/>
      <w:marBottom w:val="0"/>
      <w:divBdr>
        <w:top w:val="none" w:sz="0" w:space="0" w:color="auto"/>
        <w:left w:val="none" w:sz="0" w:space="0" w:color="auto"/>
        <w:bottom w:val="none" w:sz="0" w:space="0" w:color="auto"/>
        <w:right w:val="none" w:sz="0" w:space="0" w:color="auto"/>
      </w:divBdr>
    </w:div>
    <w:div w:id="675503589">
      <w:bodyDiv w:val="1"/>
      <w:marLeft w:val="0"/>
      <w:marRight w:val="0"/>
      <w:marTop w:val="0"/>
      <w:marBottom w:val="0"/>
      <w:divBdr>
        <w:top w:val="none" w:sz="0" w:space="0" w:color="auto"/>
        <w:left w:val="none" w:sz="0" w:space="0" w:color="auto"/>
        <w:bottom w:val="none" w:sz="0" w:space="0" w:color="auto"/>
        <w:right w:val="none" w:sz="0" w:space="0" w:color="auto"/>
      </w:divBdr>
    </w:div>
    <w:div w:id="746463406">
      <w:bodyDiv w:val="1"/>
      <w:marLeft w:val="0"/>
      <w:marRight w:val="0"/>
      <w:marTop w:val="0"/>
      <w:marBottom w:val="0"/>
      <w:divBdr>
        <w:top w:val="none" w:sz="0" w:space="0" w:color="auto"/>
        <w:left w:val="none" w:sz="0" w:space="0" w:color="auto"/>
        <w:bottom w:val="none" w:sz="0" w:space="0" w:color="auto"/>
        <w:right w:val="none" w:sz="0" w:space="0" w:color="auto"/>
      </w:divBdr>
    </w:div>
    <w:div w:id="1003825330">
      <w:bodyDiv w:val="1"/>
      <w:marLeft w:val="0"/>
      <w:marRight w:val="0"/>
      <w:marTop w:val="0"/>
      <w:marBottom w:val="0"/>
      <w:divBdr>
        <w:top w:val="none" w:sz="0" w:space="0" w:color="auto"/>
        <w:left w:val="none" w:sz="0" w:space="0" w:color="auto"/>
        <w:bottom w:val="none" w:sz="0" w:space="0" w:color="auto"/>
        <w:right w:val="none" w:sz="0" w:space="0" w:color="auto"/>
      </w:divBdr>
    </w:div>
    <w:div w:id="1150101078">
      <w:bodyDiv w:val="1"/>
      <w:marLeft w:val="0"/>
      <w:marRight w:val="0"/>
      <w:marTop w:val="0"/>
      <w:marBottom w:val="0"/>
      <w:divBdr>
        <w:top w:val="none" w:sz="0" w:space="0" w:color="auto"/>
        <w:left w:val="none" w:sz="0" w:space="0" w:color="auto"/>
        <w:bottom w:val="none" w:sz="0" w:space="0" w:color="auto"/>
        <w:right w:val="none" w:sz="0" w:space="0" w:color="auto"/>
      </w:divBdr>
    </w:div>
    <w:div w:id="1159036783">
      <w:bodyDiv w:val="1"/>
      <w:marLeft w:val="0"/>
      <w:marRight w:val="0"/>
      <w:marTop w:val="0"/>
      <w:marBottom w:val="0"/>
      <w:divBdr>
        <w:top w:val="none" w:sz="0" w:space="0" w:color="auto"/>
        <w:left w:val="none" w:sz="0" w:space="0" w:color="auto"/>
        <w:bottom w:val="none" w:sz="0" w:space="0" w:color="auto"/>
        <w:right w:val="none" w:sz="0" w:space="0" w:color="auto"/>
      </w:divBdr>
    </w:div>
    <w:div w:id="1224098678">
      <w:bodyDiv w:val="1"/>
      <w:marLeft w:val="0"/>
      <w:marRight w:val="0"/>
      <w:marTop w:val="0"/>
      <w:marBottom w:val="0"/>
      <w:divBdr>
        <w:top w:val="none" w:sz="0" w:space="0" w:color="auto"/>
        <w:left w:val="none" w:sz="0" w:space="0" w:color="auto"/>
        <w:bottom w:val="none" w:sz="0" w:space="0" w:color="auto"/>
        <w:right w:val="none" w:sz="0" w:space="0" w:color="auto"/>
      </w:divBdr>
    </w:div>
    <w:div w:id="122614466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25277311">
      <w:bodyDiv w:val="1"/>
      <w:marLeft w:val="0"/>
      <w:marRight w:val="0"/>
      <w:marTop w:val="0"/>
      <w:marBottom w:val="0"/>
      <w:divBdr>
        <w:top w:val="none" w:sz="0" w:space="0" w:color="auto"/>
        <w:left w:val="none" w:sz="0" w:space="0" w:color="auto"/>
        <w:bottom w:val="none" w:sz="0" w:space="0" w:color="auto"/>
        <w:right w:val="none" w:sz="0" w:space="0" w:color="auto"/>
      </w:divBdr>
    </w:div>
    <w:div w:id="1433935148">
      <w:bodyDiv w:val="1"/>
      <w:marLeft w:val="0"/>
      <w:marRight w:val="0"/>
      <w:marTop w:val="0"/>
      <w:marBottom w:val="0"/>
      <w:divBdr>
        <w:top w:val="none" w:sz="0" w:space="0" w:color="auto"/>
        <w:left w:val="none" w:sz="0" w:space="0" w:color="auto"/>
        <w:bottom w:val="none" w:sz="0" w:space="0" w:color="auto"/>
        <w:right w:val="none" w:sz="0" w:space="0" w:color="auto"/>
      </w:divBdr>
    </w:div>
    <w:div w:id="1464157130">
      <w:bodyDiv w:val="1"/>
      <w:marLeft w:val="0"/>
      <w:marRight w:val="0"/>
      <w:marTop w:val="0"/>
      <w:marBottom w:val="0"/>
      <w:divBdr>
        <w:top w:val="none" w:sz="0" w:space="0" w:color="auto"/>
        <w:left w:val="none" w:sz="0" w:space="0" w:color="auto"/>
        <w:bottom w:val="none" w:sz="0" w:space="0" w:color="auto"/>
        <w:right w:val="none" w:sz="0" w:space="0" w:color="auto"/>
      </w:divBdr>
    </w:div>
    <w:div w:id="1784880901">
      <w:bodyDiv w:val="1"/>
      <w:marLeft w:val="0"/>
      <w:marRight w:val="0"/>
      <w:marTop w:val="0"/>
      <w:marBottom w:val="0"/>
      <w:divBdr>
        <w:top w:val="none" w:sz="0" w:space="0" w:color="auto"/>
        <w:left w:val="none" w:sz="0" w:space="0" w:color="auto"/>
        <w:bottom w:val="none" w:sz="0" w:space="0" w:color="auto"/>
        <w:right w:val="none" w:sz="0" w:space="0" w:color="auto"/>
      </w:divBdr>
    </w:div>
    <w:div w:id="20812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soquij.ca/Sg2z6"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AF85-1FEB-419C-9E2F-E5D6936F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2023-03-20T14:20:00Z</dcterms:created>
  <dcterms:modified xsi:type="dcterms:W3CDTF">2023-05-09T13:21:00Z</dcterms:modified>
</cp:coreProperties>
</file>