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B35E92" w:rsidRPr="00B35E92" w14:paraId="2E8E74A7" w14:textId="77777777" w:rsidTr="001925EB">
        <w:trPr>
          <w:trHeight w:val="2103"/>
        </w:trPr>
        <w:tc>
          <w:tcPr>
            <w:tcW w:w="5000" w:type="pct"/>
            <w:gridSpan w:val="4"/>
          </w:tcPr>
          <w:p w14:paraId="2FEB324F" w14:textId="77777777" w:rsidR="00B35E92" w:rsidRPr="00B35E92" w:rsidRDefault="00B35E92" w:rsidP="00B35E92">
            <w:pPr>
              <w:jc w:val="center"/>
              <w:rPr>
                <w:b/>
              </w:rPr>
            </w:pPr>
            <w:r w:rsidRPr="00B35E92">
              <w:rPr>
                <w:b/>
                <w:noProof/>
              </w:rPr>
              <w:drawing>
                <wp:inline distT="0" distB="0" distL="0" distR="0" wp14:anchorId="53F59B42" wp14:editId="10521656">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CF5D8E3" w14:textId="77777777" w:rsidR="00B35E92" w:rsidRPr="00B35E92" w:rsidRDefault="00B35E92" w:rsidP="00B35E92">
            <w:pPr>
              <w:spacing w:before="120" w:after="100" w:afterAutospacing="1"/>
              <w:jc w:val="center"/>
            </w:pPr>
            <w:r w:rsidRPr="00B35E92">
              <w:rPr>
                <w:b/>
              </w:rPr>
              <w:t>SUPREME COURT OF CANADA</w:t>
            </w:r>
          </w:p>
        </w:tc>
      </w:tr>
      <w:tr w:rsidR="00B35E92" w:rsidRPr="00B35E92" w14:paraId="4C7C2757" w14:textId="77777777" w:rsidTr="001925EB">
        <w:tblPrEx>
          <w:tblCellMar>
            <w:top w:w="58" w:type="dxa"/>
            <w:left w:w="58" w:type="dxa"/>
            <w:bottom w:w="58" w:type="dxa"/>
            <w:right w:w="58" w:type="dxa"/>
          </w:tblCellMar>
        </w:tblPrEx>
        <w:trPr>
          <w:cantSplit/>
        </w:trPr>
        <w:tc>
          <w:tcPr>
            <w:tcW w:w="2078" w:type="pct"/>
            <w:gridSpan w:val="2"/>
          </w:tcPr>
          <w:p w14:paraId="2A1DEBA2" w14:textId="77777777" w:rsidR="00B35E92" w:rsidRPr="00B35E92" w:rsidRDefault="00B35E92" w:rsidP="00B35E92">
            <w:pPr>
              <w:rPr>
                <w:b/>
                <w:smallCaps/>
              </w:rPr>
            </w:pPr>
          </w:p>
          <w:p w14:paraId="58E56BD5" w14:textId="77777777" w:rsidR="00B35E92" w:rsidRPr="00B35E92" w:rsidRDefault="00B35E92" w:rsidP="00B35E92">
            <w:pPr>
              <w:rPr>
                <w:b/>
                <w:smallCaps/>
              </w:rPr>
            </w:pPr>
            <w:r w:rsidRPr="00B35E92">
              <w:rPr>
                <w:b/>
                <w:smallCaps/>
              </w:rPr>
              <w:t>Citation:</w:t>
            </w:r>
            <w:r w:rsidRPr="00B35E92">
              <w:t xml:space="preserve"> Ontario (Attorney General) </w:t>
            </w:r>
            <w:r w:rsidRPr="00B35E92">
              <w:rPr>
                <w:i/>
              </w:rPr>
              <w:t>v.</w:t>
            </w:r>
            <w:r w:rsidRPr="00B35E92">
              <w:t xml:space="preserve"> Ontario (Information and Privacy Commissioner), 2024 SCC 4</w:t>
            </w:r>
          </w:p>
        </w:tc>
        <w:tc>
          <w:tcPr>
            <w:tcW w:w="781" w:type="pct"/>
          </w:tcPr>
          <w:p w14:paraId="7466BD3E" w14:textId="77777777" w:rsidR="00B35E92" w:rsidRPr="00B35E92" w:rsidRDefault="00B35E92" w:rsidP="00B35E92"/>
        </w:tc>
        <w:tc>
          <w:tcPr>
            <w:tcW w:w="2141" w:type="pct"/>
          </w:tcPr>
          <w:p w14:paraId="2476DED3" w14:textId="77777777" w:rsidR="00B35E92" w:rsidRPr="00B35E92" w:rsidRDefault="00B35E92" w:rsidP="00B35E92">
            <w:pPr>
              <w:rPr>
                <w:b/>
                <w:smallCaps/>
              </w:rPr>
            </w:pPr>
          </w:p>
          <w:p w14:paraId="7F4EFC52" w14:textId="77777777" w:rsidR="00B35E92" w:rsidRPr="00B35E92" w:rsidRDefault="00B35E92" w:rsidP="00B35E92">
            <w:pPr>
              <w:jc w:val="both"/>
            </w:pPr>
            <w:r w:rsidRPr="00B35E92">
              <w:rPr>
                <w:b/>
                <w:smallCaps/>
              </w:rPr>
              <w:t>Appeal Heard:</w:t>
            </w:r>
            <w:r w:rsidRPr="00B35E92">
              <w:t xml:space="preserve"> April 18, 2023</w:t>
            </w:r>
          </w:p>
          <w:p w14:paraId="1432D46C" w14:textId="77777777" w:rsidR="00B35E92" w:rsidRPr="00B35E92" w:rsidRDefault="00B35E92" w:rsidP="00B35E92">
            <w:r w:rsidRPr="00B35E92">
              <w:rPr>
                <w:b/>
                <w:smallCaps/>
              </w:rPr>
              <w:t>Judgment Rendered:</w:t>
            </w:r>
            <w:r w:rsidRPr="00B35E92">
              <w:t xml:space="preserve"> February 2, 2024</w:t>
            </w:r>
          </w:p>
          <w:p w14:paraId="7D0BE5CF" w14:textId="77777777" w:rsidR="00B35E92" w:rsidRPr="00B35E92" w:rsidRDefault="00B35E92" w:rsidP="00B35E92">
            <w:r w:rsidRPr="00B35E92">
              <w:rPr>
                <w:b/>
                <w:smallCaps/>
              </w:rPr>
              <w:t>Docket:</w:t>
            </w:r>
            <w:r w:rsidRPr="00B35E92">
              <w:t xml:space="preserve"> 40078</w:t>
            </w:r>
          </w:p>
        </w:tc>
      </w:tr>
      <w:tr w:rsidR="00B35E92" w:rsidRPr="00B35E92" w14:paraId="005BC678" w14:textId="77777777" w:rsidTr="001925EB">
        <w:tblPrEx>
          <w:tblCellMar>
            <w:top w:w="58" w:type="dxa"/>
            <w:left w:w="58" w:type="dxa"/>
            <w:bottom w:w="58" w:type="dxa"/>
            <w:right w:w="58" w:type="dxa"/>
          </w:tblCellMar>
        </w:tblPrEx>
        <w:trPr>
          <w:cantSplit/>
        </w:trPr>
        <w:tc>
          <w:tcPr>
            <w:tcW w:w="5000" w:type="pct"/>
            <w:gridSpan w:val="4"/>
          </w:tcPr>
          <w:p w14:paraId="51FE193C" w14:textId="77777777" w:rsidR="00B35E92" w:rsidRPr="00B35E92" w:rsidRDefault="00B35E92" w:rsidP="00B35E92"/>
          <w:p w14:paraId="1C1AEA77" w14:textId="77777777" w:rsidR="00B35E92" w:rsidRPr="00B35E92" w:rsidRDefault="00B35E92" w:rsidP="00B35E92">
            <w:pPr>
              <w:rPr>
                <w:b/>
                <w:smallCaps/>
              </w:rPr>
            </w:pPr>
            <w:r w:rsidRPr="00B35E92">
              <w:rPr>
                <w:b/>
                <w:smallCaps/>
              </w:rPr>
              <w:t>Between:</w:t>
            </w:r>
          </w:p>
          <w:p w14:paraId="4FA19EA3" w14:textId="77777777" w:rsidR="00B35E92" w:rsidRPr="00B35E92" w:rsidRDefault="00B35E92" w:rsidP="00B35E92"/>
          <w:p w14:paraId="064FB107" w14:textId="77777777" w:rsidR="00B35E92" w:rsidRPr="00B35E92" w:rsidRDefault="00B35E92" w:rsidP="00B35E92">
            <w:pPr>
              <w:jc w:val="center"/>
              <w:rPr>
                <w:b/>
              </w:rPr>
            </w:pPr>
            <w:r w:rsidRPr="00B35E92">
              <w:rPr>
                <w:b/>
              </w:rPr>
              <w:t>Attorney General of Ontario</w:t>
            </w:r>
          </w:p>
          <w:p w14:paraId="3A471CE7" w14:textId="77777777" w:rsidR="00B35E92" w:rsidRPr="00B35E92" w:rsidRDefault="00B35E92" w:rsidP="00B35E92">
            <w:pPr>
              <w:jc w:val="center"/>
            </w:pPr>
            <w:r w:rsidRPr="00B35E92">
              <w:t>Appellant</w:t>
            </w:r>
          </w:p>
          <w:p w14:paraId="552CAF12" w14:textId="77777777" w:rsidR="00B35E92" w:rsidRPr="00B35E92" w:rsidRDefault="00B35E92" w:rsidP="00B35E92"/>
          <w:p w14:paraId="2E45279F" w14:textId="77777777" w:rsidR="00B35E92" w:rsidRPr="00B35E92" w:rsidRDefault="00B35E92" w:rsidP="00B35E92">
            <w:pPr>
              <w:jc w:val="center"/>
            </w:pPr>
            <w:r w:rsidRPr="00B35E92">
              <w:t>and</w:t>
            </w:r>
          </w:p>
          <w:p w14:paraId="2E0DCFB0" w14:textId="77777777" w:rsidR="00B35E92" w:rsidRPr="00B35E92" w:rsidRDefault="00B35E92" w:rsidP="00B35E92"/>
          <w:p w14:paraId="62E54D01" w14:textId="77777777" w:rsidR="00B35E92" w:rsidRPr="00B35E92" w:rsidRDefault="00B35E92" w:rsidP="00B35E92">
            <w:pPr>
              <w:jc w:val="center"/>
              <w:rPr>
                <w:b/>
              </w:rPr>
            </w:pPr>
            <w:r w:rsidRPr="00B35E92">
              <w:rPr>
                <w:b/>
              </w:rPr>
              <w:t>Information and Privacy Commissioner of Ontario and Canadian Broadcasting Corporation</w:t>
            </w:r>
          </w:p>
          <w:p w14:paraId="11C816CD" w14:textId="77777777" w:rsidR="00B35E92" w:rsidRPr="00B35E92" w:rsidRDefault="00B35E92" w:rsidP="00B35E92">
            <w:pPr>
              <w:jc w:val="center"/>
            </w:pPr>
            <w:r w:rsidRPr="00B35E92">
              <w:t>Respondents</w:t>
            </w:r>
          </w:p>
          <w:p w14:paraId="441F7E7B" w14:textId="77777777" w:rsidR="00B35E92" w:rsidRPr="00B35E92" w:rsidRDefault="00B35E92" w:rsidP="00B35E92"/>
          <w:p w14:paraId="0743FD85" w14:textId="77777777" w:rsidR="00B35E92" w:rsidRPr="00B35E92" w:rsidRDefault="00B35E92" w:rsidP="00B35E92">
            <w:pPr>
              <w:jc w:val="center"/>
            </w:pPr>
            <w:r w:rsidRPr="00B35E92">
              <w:t>- and -</w:t>
            </w:r>
          </w:p>
          <w:p w14:paraId="566179B5" w14:textId="77777777" w:rsidR="00B35E92" w:rsidRPr="00B35E92" w:rsidRDefault="00B35E92" w:rsidP="00B35E92"/>
          <w:p w14:paraId="7486FCE7" w14:textId="77777777" w:rsidR="00B35E92" w:rsidRPr="00B35E92" w:rsidRDefault="00B35E92" w:rsidP="00B35E92">
            <w:pPr>
              <w:jc w:val="center"/>
              <w:rPr>
                <w:b/>
              </w:rPr>
            </w:pPr>
            <w:r w:rsidRPr="00B35E92">
              <w:rPr>
                <w:b/>
              </w:rPr>
              <w:t>Attorney General of British Columbia, Attorney General of Alberta, Canadian Civil Liberties Association, BC Freedom of Information and Privacy Association, Centre for Free Expression, Canadian Journalists for Free Expression, Canadian Association of Journalists and Aboriginal Peoples Television Network</w:t>
            </w:r>
          </w:p>
          <w:p w14:paraId="79A11630" w14:textId="77777777" w:rsidR="00B35E92" w:rsidRPr="00B35E92" w:rsidRDefault="00B35E92" w:rsidP="00B35E92">
            <w:pPr>
              <w:jc w:val="center"/>
            </w:pPr>
            <w:r w:rsidRPr="00B35E92">
              <w:t>Interveners</w:t>
            </w:r>
          </w:p>
          <w:p w14:paraId="33DD1B69" w14:textId="77777777" w:rsidR="00B35E92" w:rsidRPr="00B35E92" w:rsidRDefault="00B35E92" w:rsidP="00B35E92"/>
          <w:p w14:paraId="44715B3E" w14:textId="77777777" w:rsidR="00B35E92" w:rsidRPr="00B35E92" w:rsidRDefault="00B35E92" w:rsidP="00B35E92">
            <w:pPr>
              <w:jc w:val="center"/>
              <w:rPr>
                <w:b/>
                <w:smallCaps/>
              </w:rPr>
            </w:pPr>
          </w:p>
          <w:p w14:paraId="4BC63A08" w14:textId="77777777" w:rsidR="00B35E92" w:rsidRPr="00B35E92" w:rsidRDefault="00B35E92" w:rsidP="00B35E92"/>
          <w:p w14:paraId="0EAD1CF3" w14:textId="77777777" w:rsidR="00B35E92" w:rsidRPr="00B35E92" w:rsidRDefault="00B35E92" w:rsidP="00B35E92">
            <w:r w:rsidRPr="00B35E92">
              <w:rPr>
                <w:b/>
                <w:smallCaps/>
              </w:rPr>
              <w:t>Coram:</w:t>
            </w:r>
            <w:r w:rsidRPr="00B35E92">
              <w:t xml:space="preserve"> Wagner C.J. and Karakatsanis, Côté, Rowe, Martin, Jamal and O’Bonsawin JJ.</w:t>
            </w:r>
          </w:p>
          <w:p w14:paraId="223C5A2A" w14:textId="77777777" w:rsidR="00B35E92" w:rsidRPr="00B35E92" w:rsidRDefault="00B35E92" w:rsidP="00B35E92">
            <w:pPr>
              <w:rPr>
                <w:b/>
                <w:smallCaps/>
              </w:rPr>
            </w:pPr>
          </w:p>
        </w:tc>
      </w:tr>
      <w:tr w:rsidR="00B35E92" w:rsidRPr="00B35E92" w14:paraId="69271C5C" w14:textId="77777777" w:rsidTr="001925EB">
        <w:tblPrEx>
          <w:tblCellMar>
            <w:top w:w="58" w:type="dxa"/>
            <w:left w:w="58" w:type="dxa"/>
            <w:bottom w:w="58" w:type="dxa"/>
            <w:right w:w="58" w:type="dxa"/>
          </w:tblCellMar>
        </w:tblPrEx>
        <w:trPr>
          <w:cantSplit/>
        </w:trPr>
        <w:tc>
          <w:tcPr>
            <w:tcW w:w="1231" w:type="pct"/>
          </w:tcPr>
          <w:p w14:paraId="5BD98876" w14:textId="77777777" w:rsidR="00B35E92" w:rsidRPr="00B35E92" w:rsidRDefault="00B35E92" w:rsidP="00B35E92">
            <w:r w:rsidRPr="00B35E92">
              <w:rPr>
                <w:b/>
                <w:smallCaps/>
              </w:rPr>
              <w:lastRenderedPageBreak/>
              <w:t>Reasons for Judgment</w:t>
            </w:r>
            <w:r w:rsidRPr="00B35E92">
              <w:rPr>
                <w:b/>
              </w:rPr>
              <w:t>:</w:t>
            </w:r>
            <w:r w:rsidRPr="00B35E92">
              <w:t xml:space="preserve"> </w:t>
            </w:r>
          </w:p>
          <w:p w14:paraId="435510C7" w14:textId="77777777" w:rsidR="00B35E92" w:rsidRPr="00B35E92" w:rsidRDefault="00B35E92" w:rsidP="00B35E92">
            <w:r w:rsidRPr="00B35E92">
              <w:t>(paras. 1 to 64)</w:t>
            </w:r>
          </w:p>
        </w:tc>
        <w:tc>
          <w:tcPr>
            <w:tcW w:w="3769" w:type="pct"/>
            <w:gridSpan w:val="3"/>
          </w:tcPr>
          <w:p w14:paraId="31717876" w14:textId="77777777" w:rsidR="00B35E92" w:rsidRPr="00B35E92" w:rsidRDefault="00B35E92" w:rsidP="00B35E92">
            <w:r w:rsidRPr="00B35E92">
              <w:t>Karakatsanis J. (Wagner C.J. and Rowe, Martin, Jamal and O’Bonsawin JJ. concurring)</w:t>
            </w:r>
          </w:p>
        </w:tc>
      </w:tr>
      <w:tr w:rsidR="00B35E92" w:rsidRPr="00B35E92" w14:paraId="27631B60" w14:textId="77777777" w:rsidTr="001925EB">
        <w:tblPrEx>
          <w:tblCellMar>
            <w:top w:w="58" w:type="dxa"/>
            <w:left w:w="58" w:type="dxa"/>
            <w:bottom w:w="58" w:type="dxa"/>
            <w:right w:w="58" w:type="dxa"/>
          </w:tblCellMar>
        </w:tblPrEx>
        <w:trPr>
          <w:cantSplit/>
        </w:trPr>
        <w:tc>
          <w:tcPr>
            <w:tcW w:w="1231" w:type="pct"/>
          </w:tcPr>
          <w:p w14:paraId="1C77D8EE" w14:textId="77777777" w:rsidR="00B35E92" w:rsidRPr="00B35E92" w:rsidRDefault="00B35E92" w:rsidP="00B35E92"/>
        </w:tc>
        <w:tc>
          <w:tcPr>
            <w:tcW w:w="3769" w:type="pct"/>
            <w:gridSpan w:val="3"/>
          </w:tcPr>
          <w:p w14:paraId="3CC9DE54" w14:textId="77777777" w:rsidR="00B35E92" w:rsidRPr="00B35E92" w:rsidRDefault="00B35E92" w:rsidP="00B35E92"/>
        </w:tc>
      </w:tr>
      <w:tr w:rsidR="00B35E92" w:rsidRPr="00B35E92" w14:paraId="633089B6" w14:textId="77777777" w:rsidTr="001925EB">
        <w:tblPrEx>
          <w:tblCellMar>
            <w:top w:w="58" w:type="dxa"/>
            <w:left w:w="58" w:type="dxa"/>
            <w:bottom w:w="58" w:type="dxa"/>
            <w:right w:w="58" w:type="dxa"/>
          </w:tblCellMar>
        </w:tblPrEx>
        <w:trPr>
          <w:cantSplit/>
        </w:trPr>
        <w:tc>
          <w:tcPr>
            <w:tcW w:w="1231" w:type="pct"/>
          </w:tcPr>
          <w:p w14:paraId="201E0A11" w14:textId="77777777" w:rsidR="00B35E92" w:rsidRPr="00B35E92" w:rsidRDefault="00B35E92" w:rsidP="00B35E92">
            <w:r w:rsidRPr="00B35E92">
              <w:rPr>
                <w:b/>
                <w:smallCaps/>
              </w:rPr>
              <w:t>Concurring Reasons</w:t>
            </w:r>
            <w:r w:rsidRPr="00B35E92">
              <w:rPr>
                <w:b/>
              </w:rPr>
              <w:t>:</w:t>
            </w:r>
          </w:p>
          <w:p w14:paraId="3B750000" w14:textId="77777777" w:rsidR="00B35E92" w:rsidRPr="00B35E92" w:rsidRDefault="00B35E92" w:rsidP="00B35E92">
            <w:r w:rsidRPr="00B35E92">
              <w:t>(paras. 65 to 83)</w:t>
            </w:r>
          </w:p>
        </w:tc>
        <w:tc>
          <w:tcPr>
            <w:tcW w:w="3769" w:type="pct"/>
            <w:gridSpan w:val="3"/>
          </w:tcPr>
          <w:p w14:paraId="128DC0F7" w14:textId="77777777" w:rsidR="00B35E92" w:rsidRPr="00B35E92" w:rsidRDefault="00B35E92" w:rsidP="00B35E92">
            <w:r w:rsidRPr="00B35E92">
              <w:t>Côté J.</w:t>
            </w:r>
          </w:p>
        </w:tc>
      </w:tr>
    </w:tbl>
    <w:p w14:paraId="581FFDFB" w14:textId="77777777" w:rsidR="00B35E92" w:rsidRPr="00B35E92" w:rsidRDefault="00B35E92" w:rsidP="00B35E92">
      <w:pPr>
        <w:rPr>
          <w:rFonts w:eastAsiaTheme="minorHAnsi" w:cstheme="minorBidi"/>
          <w:szCs w:val="24"/>
          <w:lang w:eastAsia="en-US"/>
        </w:rPr>
      </w:pPr>
    </w:p>
    <w:p w14:paraId="5E5F717B" w14:textId="77777777" w:rsidR="00B35E92" w:rsidRPr="00B35E92" w:rsidRDefault="00B35E92" w:rsidP="00B35E92">
      <w:pPr>
        <w:rPr>
          <w:rFonts w:eastAsiaTheme="minorHAnsi" w:cstheme="minorBidi"/>
          <w:szCs w:val="24"/>
          <w:lang w:eastAsia="en-US"/>
        </w:rPr>
      </w:pPr>
    </w:p>
    <w:p w14:paraId="0E9159B9" w14:textId="77777777" w:rsidR="00B35E92" w:rsidRPr="00B35E92" w:rsidRDefault="00B35E92" w:rsidP="00B35E92">
      <w:pPr>
        <w:rPr>
          <w:rFonts w:eastAsiaTheme="minorHAnsi" w:cstheme="minorBidi"/>
          <w:szCs w:val="24"/>
          <w:lang w:eastAsia="en-US"/>
        </w:rPr>
      </w:pPr>
      <w:r w:rsidRPr="00B35E92">
        <w:rPr>
          <w:rFonts w:eastAsiaTheme="minorHAnsi" w:cstheme="minorBidi"/>
          <w:b/>
          <w:smallCaps/>
          <w:szCs w:val="24"/>
          <w:lang w:eastAsia="en-US"/>
        </w:rPr>
        <w:t>Note:</w:t>
      </w:r>
      <w:r w:rsidRPr="00B35E92">
        <w:rPr>
          <w:rFonts w:eastAsiaTheme="minorHAnsi" w:cstheme="minorBidi"/>
          <w:b/>
          <w:szCs w:val="24"/>
          <w:lang w:eastAsia="en-US"/>
        </w:rPr>
        <w:t xml:space="preserve"> </w:t>
      </w:r>
      <w:r w:rsidRPr="00B35E92">
        <w:rPr>
          <w:rFonts w:eastAsiaTheme="minorHAnsi" w:cstheme="minorBidi"/>
          <w:szCs w:val="24"/>
          <w:lang w:eastAsia="en-US"/>
        </w:rPr>
        <w:t xml:space="preserve">This document is subject to editorial revision before its reproduction in final form in the </w:t>
      </w:r>
      <w:r w:rsidRPr="00B35E92">
        <w:rPr>
          <w:rFonts w:eastAsiaTheme="minorHAnsi" w:cstheme="minorBidi"/>
          <w:i/>
          <w:szCs w:val="24"/>
          <w:lang w:eastAsia="en-US"/>
        </w:rPr>
        <w:t>Canada Supreme Court Reports</w:t>
      </w:r>
      <w:r w:rsidRPr="00B35E92">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B35E92" w:rsidRPr="00B35E92" w14:paraId="755607A1" w14:textId="77777777" w:rsidTr="001925EB">
        <w:tc>
          <w:tcPr>
            <w:tcW w:w="1500" w:type="pct"/>
            <w:tcMar>
              <w:top w:w="284" w:type="dxa"/>
            </w:tcMar>
          </w:tcPr>
          <w:p w14:paraId="792BC01B" w14:textId="77777777" w:rsidR="00B35E92" w:rsidRPr="00B35E92" w:rsidRDefault="00B35E92" w:rsidP="00B35E92"/>
        </w:tc>
        <w:tc>
          <w:tcPr>
            <w:tcW w:w="2000" w:type="pct"/>
            <w:tcBorders>
              <w:bottom w:val="single" w:sz="4" w:space="0" w:color="auto"/>
            </w:tcBorders>
            <w:tcMar>
              <w:top w:w="284" w:type="dxa"/>
            </w:tcMar>
          </w:tcPr>
          <w:p w14:paraId="1E75CAF7" w14:textId="77777777" w:rsidR="00B35E92" w:rsidRPr="00B35E92" w:rsidRDefault="00B35E92" w:rsidP="00B35E92"/>
        </w:tc>
        <w:tc>
          <w:tcPr>
            <w:tcW w:w="1500" w:type="pct"/>
            <w:tcMar>
              <w:top w:w="284" w:type="dxa"/>
            </w:tcMar>
          </w:tcPr>
          <w:p w14:paraId="27F822A6" w14:textId="77777777" w:rsidR="00B35E92" w:rsidRPr="00B35E92" w:rsidRDefault="00B35E92" w:rsidP="00B35E92"/>
        </w:tc>
      </w:tr>
    </w:tbl>
    <w:p w14:paraId="006F96B7" w14:textId="77777777" w:rsidR="00B35E92" w:rsidRPr="00B35E92" w:rsidRDefault="00B35E92" w:rsidP="00B35E92">
      <w:pPr>
        <w:rPr>
          <w:rFonts w:eastAsiaTheme="minorHAnsi" w:cstheme="minorBidi"/>
          <w:szCs w:val="24"/>
          <w:lang w:eastAsia="en-US"/>
        </w:rPr>
      </w:pPr>
    </w:p>
    <w:p w14:paraId="6B758D21" w14:textId="77777777" w:rsidR="00B35E92" w:rsidRPr="00B35E92" w:rsidRDefault="00B35E92">
      <w:pPr>
        <w:rPr>
          <w:b/>
        </w:rPr>
      </w:pPr>
      <w:r w:rsidRPr="00B35E92">
        <w:br w:type="page"/>
      </w:r>
    </w:p>
    <w:p w14:paraId="41BABC98" w14:textId="5931ED9D" w:rsidR="000C3C1A" w:rsidRPr="00B35E92" w:rsidRDefault="0091512E" w:rsidP="005449E2">
      <w:pPr>
        <w:pStyle w:val="SCCLsocLastPartyInRole"/>
      </w:pPr>
      <w:r w:rsidRPr="00B35E92">
        <w:lastRenderedPageBreak/>
        <w:t>Attorney General of</w:t>
      </w:r>
      <w:r w:rsidR="00592410" w:rsidRPr="00B35E92">
        <w:t xml:space="preserve"> Ontario</w:t>
      </w:r>
      <w:r w:rsidR="00592410" w:rsidRPr="00B35E92">
        <w:rPr>
          <w:rStyle w:val="SCCLsocPartyRole"/>
        </w:rPr>
        <w:tab/>
        <w:t>Appellant</w:t>
      </w:r>
    </w:p>
    <w:p w14:paraId="33E1E44B" w14:textId="77777777" w:rsidR="000C3C1A" w:rsidRPr="00B35E92" w:rsidRDefault="00592410" w:rsidP="005449E2">
      <w:pPr>
        <w:pStyle w:val="SCCLsocVersus"/>
      </w:pPr>
      <w:r w:rsidRPr="00B35E92">
        <w:t>v.</w:t>
      </w:r>
    </w:p>
    <w:p w14:paraId="7BFFD940" w14:textId="77777777" w:rsidR="000C3C1A" w:rsidRPr="00B35E92" w:rsidRDefault="00592410">
      <w:pPr>
        <w:pStyle w:val="SCCLsocParty"/>
      </w:pPr>
      <w:r w:rsidRPr="00B35E92">
        <w:t xml:space="preserve">Information and </w:t>
      </w:r>
      <w:r w:rsidR="00B04142" w:rsidRPr="00B35E92">
        <w:t>Privacy Commissioner of Ontario and</w:t>
      </w:r>
    </w:p>
    <w:p w14:paraId="213E5B72" w14:textId="77777777" w:rsidR="000C3C1A" w:rsidRPr="00B35E92" w:rsidRDefault="00592410" w:rsidP="005449E2">
      <w:pPr>
        <w:pStyle w:val="SCCLsocLastPartyInRole"/>
      </w:pPr>
      <w:r w:rsidRPr="00B35E92">
        <w:t>Canadian Broadcasting Corporation</w:t>
      </w:r>
      <w:r w:rsidRPr="00B35E92">
        <w:rPr>
          <w:rStyle w:val="SCCLsocPartyRole"/>
        </w:rPr>
        <w:tab/>
        <w:t>Respondents</w:t>
      </w:r>
    </w:p>
    <w:p w14:paraId="7046ED2B" w14:textId="77777777" w:rsidR="000C3C1A" w:rsidRPr="00B35E92" w:rsidRDefault="00592410" w:rsidP="005449E2">
      <w:pPr>
        <w:pStyle w:val="SCCLsocOtherPartySeparator"/>
      </w:pPr>
      <w:r w:rsidRPr="00B35E92">
        <w:t>and</w:t>
      </w:r>
    </w:p>
    <w:p w14:paraId="6C0572C5" w14:textId="77777777" w:rsidR="000C3C1A" w:rsidRPr="00B35E92" w:rsidRDefault="00592410">
      <w:pPr>
        <w:pStyle w:val="SCCLsocParty"/>
      </w:pPr>
      <w:r w:rsidRPr="00B35E92">
        <w:t>Attorney General of British Columbia,</w:t>
      </w:r>
    </w:p>
    <w:p w14:paraId="2810DBFD" w14:textId="77777777" w:rsidR="000C3C1A" w:rsidRPr="00B35E92" w:rsidRDefault="00592410">
      <w:pPr>
        <w:pStyle w:val="SCCLsocParty"/>
      </w:pPr>
      <w:r w:rsidRPr="00B35E92">
        <w:t>Attorney General of Alberta,</w:t>
      </w:r>
    </w:p>
    <w:p w14:paraId="29D44C75" w14:textId="77777777" w:rsidR="000C3C1A" w:rsidRPr="00B35E92" w:rsidRDefault="00592410">
      <w:pPr>
        <w:pStyle w:val="SCCLsocParty"/>
      </w:pPr>
      <w:r w:rsidRPr="00B35E92">
        <w:t>Canadian Civil Liberties Association,</w:t>
      </w:r>
    </w:p>
    <w:p w14:paraId="5085EC49" w14:textId="77777777" w:rsidR="000C3C1A" w:rsidRPr="00B35E92" w:rsidRDefault="00592410">
      <w:pPr>
        <w:pStyle w:val="SCCLsocParty"/>
      </w:pPr>
      <w:r w:rsidRPr="00B35E92">
        <w:t>BC Freedom of Information and Privacy Association,</w:t>
      </w:r>
    </w:p>
    <w:p w14:paraId="3CC686CF" w14:textId="77777777" w:rsidR="00B04142" w:rsidRPr="00B35E92" w:rsidRDefault="00592410">
      <w:pPr>
        <w:pStyle w:val="SCCLsocParty"/>
      </w:pPr>
      <w:r w:rsidRPr="00B35E92">
        <w:t xml:space="preserve">Centre for Free Expression, </w:t>
      </w:r>
    </w:p>
    <w:p w14:paraId="272E8852" w14:textId="77777777" w:rsidR="00B04142" w:rsidRPr="00B35E92" w:rsidRDefault="00592410">
      <w:pPr>
        <w:pStyle w:val="SCCLsocParty"/>
      </w:pPr>
      <w:r w:rsidRPr="00B35E92">
        <w:t>Canadian Jou</w:t>
      </w:r>
      <w:r w:rsidR="00B04142" w:rsidRPr="00B35E92">
        <w:t>rnalists for Free Expression,</w:t>
      </w:r>
      <w:r w:rsidRPr="00B35E92">
        <w:t xml:space="preserve"> </w:t>
      </w:r>
    </w:p>
    <w:p w14:paraId="3F307274" w14:textId="77777777" w:rsidR="000C3C1A" w:rsidRPr="00B35E92" w:rsidRDefault="00592410" w:rsidP="004333F4">
      <w:pPr>
        <w:pStyle w:val="SCCLsocParty"/>
      </w:pPr>
      <w:r w:rsidRPr="00B35E92">
        <w:t>Cana</w:t>
      </w:r>
      <w:r w:rsidR="00B04142" w:rsidRPr="00B35E92">
        <w:t>dian Association of Journalists and</w:t>
      </w:r>
    </w:p>
    <w:p w14:paraId="40A39C9D" w14:textId="77777777" w:rsidR="000C3C1A" w:rsidRPr="00B35E92" w:rsidRDefault="00592410" w:rsidP="005449E2">
      <w:pPr>
        <w:pStyle w:val="SCCLsocLastPartyInRole"/>
      </w:pPr>
      <w:r w:rsidRPr="00B35E92">
        <w:t>Aboriginal Peoples Television Network</w:t>
      </w:r>
      <w:r w:rsidRPr="00B35E92">
        <w:rPr>
          <w:rStyle w:val="SCCLsocPartyRole"/>
        </w:rPr>
        <w:tab/>
        <w:t>Interveners</w:t>
      </w:r>
    </w:p>
    <w:p w14:paraId="460DA47E" w14:textId="77777777" w:rsidR="00426659" w:rsidRPr="00B35E92" w:rsidRDefault="00426659" w:rsidP="005449E2">
      <w:pPr>
        <w:spacing w:after="720"/>
        <w:jc w:val="both"/>
        <w:rPr>
          <w:b/>
        </w:rPr>
      </w:pPr>
      <w:r w:rsidRPr="00B35E92">
        <w:rPr>
          <w:b/>
        </w:rPr>
        <w:t xml:space="preserve">Indexed as: </w:t>
      </w:r>
      <w:r w:rsidRPr="00B35E92">
        <w:rPr>
          <w:rStyle w:val="SCCAppellantForIndexChar"/>
        </w:rPr>
        <w:t>Ontario</w:t>
      </w:r>
      <w:r w:rsidR="00B04142" w:rsidRPr="00B35E92">
        <w:rPr>
          <w:rStyle w:val="SCCAppellantForIndexChar"/>
        </w:rPr>
        <w:t xml:space="preserve"> (Attorney General)</w:t>
      </w:r>
      <w:r w:rsidRPr="00B35E92">
        <w:rPr>
          <w:b/>
        </w:rPr>
        <w:t xml:space="preserve"> </w:t>
      </w:r>
      <w:r w:rsidRPr="00B35E92">
        <w:rPr>
          <w:b/>
          <w:i/>
        </w:rPr>
        <w:t>v.</w:t>
      </w:r>
      <w:r w:rsidRPr="00B35E92">
        <w:rPr>
          <w:b/>
        </w:rPr>
        <w:t xml:space="preserve"> </w:t>
      </w:r>
      <w:r w:rsidR="00B04142" w:rsidRPr="00B35E92">
        <w:rPr>
          <w:b/>
        </w:rPr>
        <w:t xml:space="preserve">Ontario </w:t>
      </w:r>
      <w:r w:rsidR="00B04142" w:rsidRPr="00B35E92">
        <w:rPr>
          <w:rStyle w:val="SCCRespondentForIndexChar"/>
        </w:rPr>
        <w:t>(</w:t>
      </w:r>
      <w:r w:rsidR="00B04142" w:rsidRPr="00B35E92">
        <w:rPr>
          <w:b/>
        </w:rPr>
        <w:t>Information and Privacy Commissioner</w:t>
      </w:r>
      <w:r w:rsidR="00B04142" w:rsidRPr="00B35E92">
        <w:rPr>
          <w:rStyle w:val="SCCRespondentForIndexChar"/>
        </w:rPr>
        <w:t>)</w:t>
      </w:r>
    </w:p>
    <w:p w14:paraId="5CE8BA8D" w14:textId="091222B1" w:rsidR="00426659" w:rsidRPr="00B35E92" w:rsidRDefault="00CA7230" w:rsidP="005449E2">
      <w:pPr>
        <w:pStyle w:val="SCCSystemYear"/>
        <w:spacing w:after="720"/>
        <w:jc w:val="both"/>
      </w:pPr>
      <w:r w:rsidRPr="00B35E92">
        <w:t>2024</w:t>
      </w:r>
      <w:r w:rsidR="003D0399" w:rsidRPr="00B35E92">
        <w:t xml:space="preserve"> </w:t>
      </w:r>
      <w:r w:rsidR="00426659" w:rsidRPr="00B35E92">
        <w:t>SCC </w:t>
      </w:r>
      <w:r w:rsidR="000B1054" w:rsidRPr="00B35E92">
        <w:t>4</w:t>
      </w:r>
    </w:p>
    <w:p w14:paraId="79E9270C" w14:textId="77777777" w:rsidR="008322BD" w:rsidRPr="00B35E92" w:rsidRDefault="00B76496" w:rsidP="005449E2">
      <w:pPr>
        <w:spacing w:after="720"/>
        <w:jc w:val="both"/>
      </w:pPr>
      <w:r w:rsidRPr="00B35E92">
        <w:t xml:space="preserve">File No.: </w:t>
      </w:r>
      <w:r w:rsidR="009B57B3" w:rsidRPr="00B35E92">
        <w:t>40078.</w:t>
      </w:r>
    </w:p>
    <w:p w14:paraId="34D6EB44" w14:textId="5CE5FCB5" w:rsidR="008322BD" w:rsidRPr="00B35E92" w:rsidRDefault="005449E2" w:rsidP="005449E2">
      <w:pPr>
        <w:spacing w:after="720"/>
        <w:jc w:val="both"/>
      </w:pPr>
      <w:r w:rsidRPr="00B35E92">
        <w:t>2023: April </w:t>
      </w:r>
      <w:r w:rsidR="00AE4535" w:rsidRPr="00B35E92">
        <w:t>18</w:t>
      </w:r>
      <w:r w:rsidR="009B57B3" w:rsidRPr="00B35E92">
        <w:t xml:space="preserve">; </w:t>
      </w:r>
      <w:r w:rsidR="0075069A" w:rsidRPr="00B35E92">
        <w:t>2024</w:t>
      </w:r>
      <w:r w:rsidR="00047CF1" w:rsidRPr="00B35E92">
        <w:t>:</w:t>
      </w:r>
      <w:r w:rsidR="0075069A" w:rsidRPr="00B35E92">
        <w:t> February 2</w:t>
      </w:r>
      <w:r w:rsidR="009B57B3" w:rsidRPr="00B35E92">
        <w:t>.</w:t>
      </w:r>
    </w:p>
    <w:p w14:paraId="56AFABC9" w14:textId="61CBC861" w:rsidR="008322BD" w:rsidRPr="00B35E92" w:rsidRDefault="009B57B3" w:rsidP="005449E2">
      <w:pPr>
        <w:spacing w:after="720"/>
        <w:jc w:val="both"/>
      </w:pPr>
      <w:r w:rsidRPr="00B35E92">
        <w:t>Present</w:t>
      </w:r>
      <w:r w:rsidR="00B22F3E" w:rsidRPr="00B35E92">
        <w:t xml:space="preserve">: </w:t>
      </w:r>
      <w:r w:rsidR="005449E2" w:rsidRPr="00B35E92">
        <w:rPr>
          <w:rStyle w:val="solexhl"/>
          <w:rFonts w:eastAsiaTheme="majorEastAsia"/>
          <w:color w:val="000000"/>
        </w:rPr>
        <w:t>Wagner </w:t>
      </w:r>
      <w:r w:rsidR="00EF4B2A" w:rsidRPr="00B35E92">
        <w:rPr>
          <w:rStyle w:val="solexhl"/>
          <w:rFonts w:eastAsiaTheme="majorEastAsia"/>
          <w:color w:val="000000"/>
        </w:rPr>
        <w:t>C.J. and Karakatsanis, Côté, Rowe</w:t>
      </w:r>
      <w:r w:rsidR="00EF4B2A" w:rsidRPr="00B35E92">
        <w:rPr>
          <w:color w:val="000000"/>
        </w:rPr>
        <w:t xml:space="preserve">, Martin, </w:t>
      </w:r>
      <w:r w:rsidR="00EF4B2A" w:rsidRPr="00B35E92">
        <w:rPr>
          <w:color w:val="000000"/>
          <w:lang w:val="en-US"/>
        </w:rPr>
        <w:t xml:space="preserve">Jamal </w:t>
      </w:r>
      <w:r w:rsidR="00EF4B2A" w:rsidRPr="00B35E92">
        <w:rPr>
          <w:color w:val="000000"/>
        </w:rPr>
        <w:t>and O’Bonsawin JJ</w:t>
      </w:r>
      <w:r w:rsidR="00B22F3E" w:rsidRPr="00B35E92">
        <w:t>.</w:t>
      </w:r>
    </w:p>
    <w:p w14:paraId="796A97DF" w14:textId="77777777" w:rsidR="008322BD" w:rsidRPr="00B35E92" w:rsidRDefault="00656313" w:rsidP="005449E2">
      <w:pPr>
        <w:pStyle w:val="SCCLowerCourtNameLowercase"/>
        <w:spacing w:after="720" w:line="240" w:lineRule="auto"/>
      </w:pPr>
      <w:r w:rsidRPr="00B35E92">
        <w:lastRenderedPageBreak/>
        <w:t>o</w:t>
      </w:r>
      <w:r w:rsidR="00170592" w:rsidRPr="00B35E92">
        <w:t>n</w:t>
      </w:r>
      <w:r w:rsidR="00224FC0" w:rsidRPr="00B35E92">
        <w:t xml:space="preserve"> </w:t>
      </w:r>
      <w:r w:rsidRPr="00B35E92">
        <w:t>a</w:t>
      </w:r>
      <w:r w:rsidR="00170592" w:rsidRPr="00B35E92">
        <w:t>ppeal</w:t>
      </w:r>
      <w:r w:rsidR="00224FC0" w:rsidRPr="00B35E92">
        <w:t xml:space="preserve"> </w:t>
      </w:r>
      <w:r w:rsidR="00170592" w:rsidRPr="00B35E92">
        <w:t>from</w:t>
      </w:r>
      <w:r w:rsidR="009567AA" w:rsidRPr="00B35E92">
        <w:t xml:space="preserve"> the</w:t>
      </w:r>
      <w:r w:rsidR="00224FC0" w:rsidRPr="00B35E92">
        <w:t xml:space="preserve"> </w:t>
      </w:r>
      <w:r w:rsidR="009B57B3" w:rsidRPr="00B35E92">
        <w:t>court of appeal for ontario</w:t>
      </w:r>
    </w:p>
    <w:p w14:paraId="0E6FAFB1" w14:textId="0A4967DE" w:rsidR="008322BD" w:rsidRPr="00B35E92" w:rsidRDefault="009B57B3" w:rsidP="005449E2">
      <w:pPr>
        <w:pStyle w:val="SCCNormalDoubleSpacing"/>
        <w:spacing w:after="480"/>
      </w:pPr>
      <w:r w:rsidRPr="00B35E92">
        <w:tab/>
      </w:r>
      <w:r w:rsidR="00E63CB0" w:rsidRPr="00B35E92">
        <w:rPr>
          <w:i/>
          <w:iCs/>
          <w:color w:val="000000"/>
        </w:rPr>
        <w:t>Access to information — Exemptions — Cabinet records — Mandate letters — Cabinet records exempted by provincial legislation from general right</w:t>
      </w:r>
      <w:r w:rsidR="008069D0" w:rsidRPr="00B35E92">
        <w:rPr>
          <w:i/>
          <w:iCs/>
          <w:color w:val="000000"/>
        </w:rPr>
        <w:t xml:space="preserve"> of public access to government</w:t>
      </w:r>
      <w:r w:rsidR="008069D0" w:rsidRPr="00B35E92">
        <w:rPr>
          <w:i/>
          <w:iCs/>
          <w:color w:val="000000"/>
        </w:rPr>
        <w:noBreakHyphen/>
      </w:r>
      <w:r w:rsidR="00E63CB0" w:rsidRPr="00B35E92">
        <w:rPr>
          <w:i/>
          <w:iCs/>
          <w:color w:val="000000"/>
        </w:rPr>
        <w:t xml:space="preserve">held information — Cabinet records exemption applicable when disclosure would reveal substance of cabinet deliberations — Whether cabinet records exemption protects mandate letters prepared for cabinet ministers by premier from disclosure — Freedom of Information and Protection </w:t>
      </w:r>
      <w:r w:rsidR="005413B1" w:rsidRPr="00B35E92">
        <w:rPr>
          <w:i/>
          <w:iCs/>
          <w:color w:val="000000"/>
        </w:rPr>
        <w:t>of Privacy Act, R.S.O. 1990, c. </w:t>
      </w:r>
      <w:r w:rsidR="008069D0" w:rsidRPr="00B35E92">
        <w:rPr>
          <w:i/>
          <w:iCs/>
          <w:color w:val="000000"/>
        </w:rPr>
        <w:t>F. 31, s. </w:t>
      </w:r>
      <w:r w:rsidR="00E63CB0" w:rsidRPr="00B35E92">
        <w:rPr>
          <w:i/>
          <w:iCs/>
          <w:color w:val="000000"/>
        </w:rPr>
        <w:t>12(1).</w:t>
      </w:r>
    </w:p>
    <w:p w14:paraId="244B30E9" w14:textId="7FD36EB1" w:rsidR="008322BD" w:rsidRPr="00B35E92" w:rsidRDefault="009B57B3" w:rsidP="005449E2">
      <w:pPr>
        <w:pStyle w:val="SCCNormalDoubleSpacing"/>
        <w:spacing w:after="480"/>
      </w:pPr>
      <w:r w:rsidRPr="00B35E92">
        <w:tab/>
      </w:r>
      <w:r w:rsidR="00E63CB0" w:rsidRPr="00B35E92">
        <w:t>A CBC journalist requested access to 23 mandate letters that the Premier of Ontario delivered to each of his ministers shortly after forming government in 2018.</w:t>
      </w:r>
      <w:r w:rsidR="00B87614" w:rsidRPr="00B35E92">
        <w:t xml:space="preserve"> </w:t>
      </w:r>
      <w:r w:rsidR="00E63CB0" w:rsidRPr="00B35E92">
        <w:t>The letters set out the Premier’s views on policy priorities for the government’s term in office. Cabinet Office declined the journalist’s request. It claimed the letters were exempt from disclosure under the Cabinet records exemption in s.</w:t>
      </w:r>
      <w:r w:rsidR="008069D0" w:rsidRPr="00B35E92">
        <w:t> </w:t>
      </w:r>
      <w:r w:rsidR="00E63CB0" w:rsidRPr="00B35E92">
        <w:t xml:space="preserve">12(1) of Ontario’s </w:t>
      </w:r>
      <w:r w:rsidR="00E63CB0" w:rsidRPr="00B35E92">
        <w:rPr>
          <w:i/>
        </w:rPr>
        <w:t>Freedom of Information and Protection of Privacy Act</w:t>
      </w:r>
      <w:r w:rsidR="00E63CB0" w:rsidRPr="00B35E92">
        <w:t xml:space="preserve"> (“</w:t>
      </w:r>
      <w:r w:rsidR="00E63CB0" w:rsidRPr="00B35E92">
        <w:rPr>
          <w:i/>
        </w:rPr>
        <w:t>FIPPA</w:t>
      </w:r>
      <w:r w:rsidR="00E63CB0" w:rsidRPr="00B35E92">
        <w:t xml:space="preserve">”), which protects, in its opening words, the confidentiality of records that would reveal the “substance of deliberations” of Cabinet or its committees. </w:t>
      </w:r>
      <w:r w:rsidR="00E63CB0" w:rsidRPr="00B35E92">
        <w:rPr>
          <w:lang w:val="en-US"/>
        </w:rPr>
        <w:t xml:space="preserve">The CBC appealed to the Information and Privacy Commissioner of Ontario (“IPC or Commissioner”), who found that the letters were not exempt and ordered their disclosure. </w:t>
      </w:r>
      <w:r w:rsidR="00E63CB0" w:rsidRPr="00B35E92">
        <w:t xml:space="preserve">On judicial review, </w:t>
      </w:r>
      <w:r w:rsidR="00E63CB0" w:rsidRPr="00B35E92">
        <w:rPr>
          <w:lang w:val="en-US"/>
        </w:rPr>
        <w:t>the Divisional Court found that the IPC’s decision was reasonable and a majority of the Court of Appeal agreed.</w:t>
      </w:r>
      <w:r w:rsidR="00E63CB0" w:rsidRPr="00B35E92">
        <w:t xml:space="preserve"> </w:t>
      </w:r>
    </w:p>
    <w:p w14:paraId="5EA688CB" w14:textId="4D56A3ED" w:rsidR="008322BD" w:rsidRPr="00B35E92" w:rsidRDefault="009B57B3" w:rsidP="005449E2">
      <w:pPr>
        <w:pStyle w:val="SCCNormalDoubleSpacing"/>
        <w:spacing w:after="480"/>
      </w:pPr>
      <w:r w:rsidRPr="00B35E92">
        <w:tab/>
      </w:r>
      <w:r w:rsidR="00E63CB0" w:rsidRPr="00B35E92">
        <w:rPr>
          <w:i/>
        </w:rPr>
        <w:t>Held</w:t>
      </w:r>
      <w:r w:rsidR="00E63CB0" w:rsidRPr="00B35E92">
        <w:t xml:space="preserve">: The appeal should be allowed and the order of the IPC set aside. </w:t>
      </w:r>
    </w:p>
    <w:p w14:paraId="3C26F920" w14:textId="08ED316F" w:rsidR="00E63CB0" w:rsidRPr="00B35E92" w:rsidRDefault="009B57B3" w:rsidP="008069D0">
      <w:pPr>
        <w:pStyle w:val="SCCNormalDoubleSpacing"/>
        <w:spacing w:after="480"/>
      </w:pPr>
      <w:r w:rsidRPr="00B35E92">
        <w:tab/>
      </w:r>
      <w:r w:rsidR="00E63CB0" w:rsidRPr="00B35E92">
        <w:rPr>
          <w:i/>
        </w:rPr>
        <w:t xml:space="preserve">Per </w:t>
      </w:r>
      <w:r w:rsidR="00CC2B87" w:rsidRPr="00B35E92">
        <w:t xml:space="preserve">Wagner </w:t>
      </w:r>
      <w:r w:rsidR="00E63CB0" w:rsidRPr="00B35E92">
        <w:t xml:space="preserve">C.J. and </w:t>
      </w:r>
      <w:r w:rsidR="00E63CB0" w:rsidRPr="00B35E92">
        <w:rPr>
          <w:b/>
        </w:rPr>
        <w:t>Karakatsanis</w:t>
      </w:r>
      <w:r w:rsidR="00E63CB0" w:rsidRPr="00B35E92">
        <w:t>, Rowe, Martin, Jamal and O’Bonsawin</w:t>
      </w:r>
      <w:r w:rsidR="008069D0" w:rsidRPr="00B35E92">
        <w:t> </w:t>
      </w:r>
      <w:r w:rsidR="00E63CB0" w:rsidRPr="00B35E92">
        <w:t xml:space="preserve">JJ.: The mandate letters are protected from disclosure under s. 12(1) of </w:t>
      </w:r>
      <w:r w:rsidR="00E63CB0" w:rsidRPr="00B35E92">
        <w:rPr>
          <w:i/>
        </w:rPr>
        <w:t>FIPPA</w:t>
      </w:r>
      <w:r w:rsidR="00E63CB0" w:rsidRPr="00B35E92">
        <w:t xml:space="preserve">. The opening words of s. 12(1) demand a substantive analysis of the requested record and its substance to determine whether disclosure of the record would shed light on Cabinet deliberations. Statutory text, purpose, and context lead inexorably to the conclusion that the mandate letters are protected from disclosure under s. 12(1)’s opening words. The mandate letters reflect the view of the Premier on the importance of certain policy priorities and mark the initiation of a fluid process of policy formulation within Cabinet. The letters are revealing of the substance of Cabinet deliberations. </w:t>
      </w:r>
    </w:p>
    <w:p w14:paraId="3E3003E9" w14:textId="0BB89E2F" w:rsidR="00E63CB0" w:rsidRPr="00B35E92" w:rsidRDefault="008069D0" w:rsidP="008069D0">
      <w:pPr>
        <w:pStyle w:val="SCCNormalDoubleSpacing"/>
        <w:spacing w:after="480"/>
        <w:rPr>
          <w:lang w:val="en-US"/>
        </w:rPr>
      </w:pPr>
      <w:r w:rsidRPr="00B35E92">
        <w:rPr>
          <w:lang w:val="en-US"/>
        </w:rPr>
        <w:tab/>
      </w:r>
      <w:r w:rsidR="00E63CB0" w:rsidRPr="00B35E92">
        <w:rPr>
          <w:lang w:val="en-US"/>
        </w:rPr>
        <w:t xml:space="preserve">Freedom of information legislation strikes a balance between the public’s need to know and the </w:t>
      </w:r>
      <w:r w:rsidR="00E63CB0" w:rsidRPr="00B35E92">
        <w:t>confidentiality</w:t>
      </w:r>
      <w:r w:rsidR="00E63CB0" w:rsidRPr="00B35E92">
        <w:rPr>
          <w:lang w:val="en-US"/>
        </w:rPr>
        <w:t xml:space="preserve"> the executive requires to govern effectively. All such legislation across Canada balances these two essential goals through a general right</w:t>
      </w:r>
      <w:r w:rsidRPr="00B35E92">
        <w:rPr>
          <w:lang w:val="en-US"/>
        </w:rPr>
        <w:t xml:space="preserve"> of public access to government</w:t>
      </w:r>
      <w:r w:rsidRPr="00B35E92">
        <w:rPr>
          <w:lang w:val="en-US"/>
        </w:rPr>
        <w:noBreakHyphen/>
      </w:r>
      <w:r w:rsidR="00E63CB0" w:rsidRPr="00B35E92">
        <w:rPr>
          <w:lang w:val="en-US"/>
        </w:rPr>
        <w:t>held information subject to exemptions or exclusions — including those for Cabinet records or confidences. In Ontario, s.</w:t>
      </w:r>
      <w:r w:rsidRPr="00B35E92">
        <w:rPr>
          <w:lang w:val="en-US"/>
        </w:rPr>
        <w:t> </w:t>
      </w:r>
      <w:r w:rsidR="00E63CB0" w:rsidRPr="00B35E92">
        <w:rPr>
          <w:lang w:val="en-US"/>
        </w:rPr>
        <w:t xml:space="preserve">12(1) of </w:t>
      </w:r>
      <w:r w:rsidR="00E63CB0" w:rsidRPr="00B35E92">
        <w:rPr>
          <w:i/>
          <w:lang w:val="en-US"/>
        </w:rPr>
        <w:t>FIPPA</w:t>
      </w:r>
      <w:r w:rsidR="00E63CB0" w:rsidRPr="00B35E92">
        <w:rPr>
          <w:lang w:val="en-US"/>
        </w:rPr>
        <w:t xml:space="preserve"> exempts a list of records, as well as any other records that would reveal the substance of deliberations of Cabinet or its committees. </w:t>
      </w:r>
      <w:r w:rsidR="00E63CB0" w:rsidRPr="00B35E92">
        <w:t>The legislative context shows that this</w:t>
      </w:r>
      <w:r w:rsidR="00E63CB0" w:rsidRPr="00B35E92">
        <w:rPr>
          <w:lang w:val="en-US"/>
        </w:rPr>
        <w:t xml:space="preserve"> exemption was a critical part of the balance the legislature struck between public access to information and necessary spheres of government confidentiality. But beyond legislation, Cabinet confidentiality is protected as a matter of constitutional convention. B</w:t>
      </w:r>
      <w:r w:rsidRPr="00B35E92">
        <w:rPr>
          <w:lang w:val="en-US"/>
        </w:rPr>
        <w:t>ecause s. </w:t>
      </w:r>
      <w:r w:rsidR="00E63CB0" w:rsidRPr="00B35E92">
        <w:rPr>
          <w:lang w:val="en-US"/>
        </w:rPr>
        <w:t>12(1) was designed to preserve the secrecy of Cabinet’s deliberative process, the constitutional dimension of Cabinet secrecy is cru</w:t>
      </w:r>
      <w:r w:rsidRPr="00B35E92">
        <w:rPr>
          <w:lang w:val="en-US"/>
        </w:rPr>
        <w:t>cial context in interpreting s. </w:t>
      </w:r>
      <w:r w:rsidR="00E63CB0" w:rsidRPr="00B35E92">
        <w:rPr>
          <w:lang w:val="en-US"/>
        </w:rPr>
        <w:t>12(1).</w:t>
      </w:r>
    </w:p>
    <w:p w14:paraId="5312DFD4" w14:textId="79C7F238" w:rsidR="00E63CB0" w:rsidRPr="00B35E92" w:rsidRDefault="008069D0" w:rsidP="008069D0">
      <w:pPr>
        <w:pStyle w:val="SCCNormalDoubleSpacing"/>
        <w:spacing w:after="480"/>
      </w:pPr>
      <w:r w:rsidRPr="00B35E92">
        <w:rPr>
          <w:lang w:val="en-US"/>
        </w:rPr>
        <w:tab/>
      </w:r>
      <w:r w:rsidR="00E63CB0" w:rsidRPr="00B35E92">
        <w:rPr>
          <w:lang w:val="en-US"/>
        </w:rPr>
        <w:t xml:space="preserve">In Canada’s constitutional democracy, the confidentiality of Cabinet deliberations is a precondition to responsible government because it enables collective ministerial </w:t>
      </w:r>
      <w:r w:rsidR="00E63CB0" w:rsidRPr="00B35E92">
        <w:t>responsibility</w:t>
      </w:r>
      <w:r w:rsidR="00E63CB0" w:rsidRPr="00B35E92">
        <w:rPr>
          <w:lang w:val="en-US"/>
        </w:rPr>
        <w:t>. Responsible government is a fundamental principle of Canada’s system of government and the most important non-federal characteristic of the Canadian Constitution. Cabinet secrecy derives from the collective dimension of ministerial responsibility, which requires that ministers be able to speak freely when deliberating without fear that what they say might be subject to public scrutiny. This is necessary so ministers do not censor themselves in policy debate, and so ministers can stand together in public, and be held responsible as a whole, once a policy decision has been made and announced. These purposes are referred to as the candour and solidarity rationales for Cabinet confidentiality. There is also</w:t>
      </w:r>
      <w:r w:rsidR="00E63CB0" w:rsidRPr="00B35E92">
        <w:t xml:space="preserve"> a third rationale for the convention of</w:t>
      </w:r>
      <w:r w:rsidR="00E63CB0" w:rsidRPr="00B35E92">
        <w:rPr>
          <w:lang w:val="en-US"/>
        </w:rPr>
        <w:t xml:space="preserve"> Cabinet confidentiality: it promotes the efficiency of the collective decision-making process. </w:t>
      </w:r>
      <w:r w:rsidR="00E63CB0" w:rsidRPr="00B35E92">
        <w:t xml:space="preserve">Thus, Cabinet secrecy promotes candour, solidarity, and efficiency, all in aid of effective government. </w:t>
      </w:r>
    </w:p>
    <w:p w14:paraId="1621AE38" w14:textId="3705EFA9" w:rsidR="00E63CB0" w:rsidRPr="00B35E92" w:rsidRDefault="008069D0" w:rsidP="008069D0">
      <w:pPr>
        <w:pStyle w:val="SCCNormalDoubleSpacing"/>
        <w:spacing w:after="480"/>
        <w:rPr>
          <w:lang w:val="en-US"/>
        </w:rPr>
      </w:pPr>
      <w:r w:rsidRPr="00B35E92">
        <w:rPr>
          <w:lang w:val="en-US"/>
        </w:rPr>
        <w:tab/>
      </w:r>
      <w:r w:rsidR="00E63CB0" w:rsidRPr="00B35E92">
        <w:rPr>
          <w:lang w:val="en-US"/>
        </w:rPr>
        <w:t xml:space="preserve">The prerogative to determine when and how to announce Cabinet decisions is grounded in the harmful impact that premature disclosure of policy priorities can have on the deliberative </w:t>
      </w:r>
      <w:r w:rsidR="00E63CB0" w:rsidRPr="00B35E92">
        <w:t>process</w:t>
      </w:r>
      <w:r w:rsidR="00E63CB0" w:rsidRPr="00B35E92">
        <w:rPr>
          <w:lang w:val="en-US"/>
        </w:rPr>
        <w:t xml:space="preserve">. The efficiency of the deliberative process justifies keeping Cabinet proceedings confidential until a final decision is made and announced. </w:t>
      </w:r>
      <w:r w:rsidR="00E63CB0" w:rsidRPr="00B35E92">
        <w:t xml:space="preserve">Publicizing Cabinet’s decision-making process before the formulation and announcement of a final decision would increase the public pressure that stakeholders put on ministers and give rise to partisan criticism from their political opponents; this scrutiny would ultimately paralyze the collective decision-making process. The </w:t>
      </w:r>
      <w:r w:rsidR="00E63CB0" w:rsidRPr="00B35E92">
        <w:rPr>
          <w:lang w:val="en-US"/>
        </w:rPr>
        <w:t>substance of Cabinet deliberations also encompasses discussion of when and how to communicate government priorities.</w:t>
      </w:r>
    </w:p>
    <w:p w14:paraId="25256AE5" w14:textId="4283823D" w:rsidR="00E63CB0" w:rsidRPr="00B35E92" w:rsidRDefault="008069D0" w:rsidP="008069D0">
      <w:pPr>
        <w:pStyle w:val="SCCNormalDoubleSpacing"/>
        <w:spacing w:after="480"/>
        <w:rPr>
          <w:lang w:val="en-US"/>
        </w:rPr>
      </w:pPr>
      <w:r w:rsidRPr="00B35E92">
        <w:rPr>
          <w:lang w:val="en-US"/>
        </w:rPr>
        <w:tab/>
      </w:r>
      <w:r w:rsidR="00E63CB0" w:rsidRPr="00B35E92">
        <w:rPr>
          <w:lang w:val="en-US"/>
        </w:rPr>
        <w:t xml:space="preserve">Cabinet’s deliberative process consists of discussion, consultation, and policy formulation between the Premier, individual ministers, and </w:t>
      </w:r>
      <w:r w:rsidR="00E63CB0" w:rsidRPr="00B35E92">
        <w:t>Cabinet</w:t>
      </w:r>
      <w:r w:rsidR="00E63CB0" w:rsidRPr="00B35E92">
        <w:rPr>
          <w:lang w:val="en-US"/>
        </w:rPr>
        <w:t xml:space="preserve"> as a whole. The first minister, as head of Cabinet, enjoys extensive powers within Cabinet’s deliberative process. </w:t>
      </w:r>
      <w:r w:rsidR="00E63CB0" w:rsidRPr="00B35E92">
        <w:t xml:space="preserve">In many regards, the role and activities of the Premier are inseparable from Cabinet and its deliberations. First ministers preside over Cabinet, set Cabinet agendas, determine Cabinet’s membership and internal structure, set Cabinet procedures, and have the right to identify the consensus and determine what Cabinet has decided. </w:t>
      </w:r>
      <w:r w:rsidR="00E63CB0" w:rsidRPr="00B35E92">
        <w:rPr>
          <w:lang w:val="en-US"/>
        </w:rPr>
        <w:t>A</w:t>
      </w:r>
      <w:r w:rsidRPr="00B35E92">
        <w:t>genda</w:t>
      </w:r>
      <w:r w:rsidRPr="00B35E92">
        <w:noBreakHyphen/>
      </w:r>
      <w:r w:rsidR="00E63CB0" w:rsidRPr="00B35E92">
        <w:t>setting, which occurs at an early stage, is a crucial part of the decision-making process. Though deliberative processes have changed over time at both the provincial and federal levels, the critical role of agenda-setting and the central involvement of the first minister in this exercise have remained constant.</w:t>
      </w:r>
      <w:r w:rsidR="00E63CB0" w:rsidRPr="00B35E92">
        <w:rPr>
          <w:lang w:val="en-US"/>
        </w:rPr>
        <w:t xml:space="preserve"> Not all stages of Cabinet’s deliberative process take place sitting around the Cabinet table behind a closed door.</w:t>
      </w:r>
      <w:r w:rsidR="00B87614" w:rsidRPr="00B35E92">
        <w:rPr>
          <w:lang w:val="en-US"/>
        </w:rPr>
        <w:t xml:space="preserve"> </w:t>
      </w:r>
      <w:r w:rsidR="00E63CB0" w:rsidRPr="00B35E92">
        <w:rPr>
          <w:lang w:val="en-US"/>
        </w:rPr>
        <w:t>The decision-making process in Cabinet extends beyond formal meetings of Cabinet or its committees. The priorities communicated to ministers by the Premier at the outset of governance are the initiation of Cabinet’s deliberative process, and will be revealing of the substance of Cabinet deliberations when compared against subsequent government action.</w:t>
      </w:r>
    </w:p>
    <w:p w14:paraId="278290C9" w14:textId="32614E3A" w:rsidR="00E63CB0" w:rsidRPr="00B35E92" w:rsidRDefault="008069D0" w:rsidP="008069D0">
      <w:pPr>
        <w:pStyle w:val="SCCNormalDoubleSpacing"/>
        <w:spacing w:after="480"/>
        <w:rPr>
          <w:lang w:val="en-US"/>
        </w:rPr>
      </w:pPr>
      <w:r w:rsidRPr="00B35E92">
        <w:rPr>
          <w:lang w:val="en-US"/>
        </w:rPr>
        <w:tab/>
      </w:r>
      <w:r w:rsidR="00E63CB0" w:rsidRPr="00B35E92">
        <w:rPr>
          <w:lang w:val="en-US"/>
        </w:rPr>
        <w:t xml:space="preserve">In approaching assertions of Cabinet confidentiality, administrative decision makers and reviewing courts must be attentive to the vital importance of public access to government-held information but also to Cabinet secrecy’s core purpose of enabling effective </w:t>
      </w:r>
      <w:r w:rsidR="00E63CB0" w:rsidRPr="00B35E92">
        <w:t>government</w:t>
      </w:r>
      <w:r w:rsidR="00E63CB0" w:rsidRPr="00B35E92">
        <w:rPr>
          <w:lang w:val="en-US"/>
        </w:rPr>
        <w:t xml:space="preserve">, and its underlying rationales of efficiency, candour, and solidarity. They must also be attentive to the dynamic nature of executive decision-making, the function of Cabinet itself and its individual members, the role of the Premier, and Cabinet’s prerogative to determine when and how to announce its decisions. </w:t>
      </w:r>
    </w:p>
    <w:p w14:paraId="56F92E55" w14:textId="04AB61A8" w:rsidR="00E63CB0" w:rsidRPr="00B35E92" w:rsidRDefault="008069D0" w:rsidP="008069D0">
      <w:pPr>
        <w:pStyle w:val="SCCNormalDoubleSpacing"/>
        <w:spacing w:after="480"/>
        <w:rPr>
          <w:lang w:val="en-US"/>
        </w:rPr>
      </w:pPr>
      <w:r w:rsidRPr="00B35E92">
        <w:tab/>
      </w:r>
      <w:r w:rsidR="00E63CB0" w:rsidRPr="00B35E92">
        <w:t>In the instant case, i</w:t>
      </w:r>
      <w:r w:rsidR="00E63CB0" w:rsidRPr="00B35E92">
        <w:rPr>
          <w:lang w:val="en-US"/>
        </w:rPr>
        <w:t xml:space="preserve">t is not necessary to resolve the issue of standard of review, as the same conclusion follows regardless of whether the standard of review of the IPC’s decision is correctness or reasonableness. The narrow zone of protection for Cabinet </w:t>
      </w:r>
      <w:r w:rsidR="00E63CB0" w:rsidRPr="00B35E92">
        <w:t>deliberations</w:t>
      </w:r>
      <w:r w:rsidR="00E63CB0" w:rsidRPr="00B35E92">
        <w:rPr>
          <w:lang w:val="en-US"/>
        </w:rPr>
        <w:t xml:space="preserve"> created by the IPC’s inter</w:t>
      </w:r>
      <w:r w:rsidRPr="00B35E92">
        <w:rPr>
          <w:lang w:val="en-US"/>
        </w:rPr>
        <w:t>pretation and application of s. </w:t>
      </w:r>
      <w:r w:rsidR="00E63CB0" w:rsidRPr="00B35E92">
        <w:rPr>
          <w:lang w:val="en-US"/>
        </w:rPr>
        <w:t xml:space="preserve">12(1) is not justified, even on the more deferential standard of reasonableness. The IPC failed to give meaningful weight to the legal and factual context, including traditions and constitutional conventions concerning Cabinet confidentiality, the role of the Premier, and the fluid, dynamic nature of the Cabinet decision-making process. As a result, the IPC’s narrow interpretation of the “substance of deliberations” was unreasonable, as was his application of the provision to the mandate letters. </w:t>
      </w:r>
    </w:p>
    <w:p w14:paraId="30735F60" w14:textId="2931C02C" w:rsidR="00E63CB0" w:rsidRPr="00B35E92" w:rsidRDefault="008069D0" w:rsidP="008069D0">
      <w:pPr>
        <w:pStyle w:val="SCCNormalDoubleSpacing"/>
        <w:spacing w:after="480"/>
      </w:pPr>
      <w:r w:rsidRPr="00B35E92">
        <w:rPr>
          <w:i/>
        </w:rPr>
        <w:tab/>
      </w:r>
      <w:r w:rsidR="00E63CB0" w:rsidRPr="00B35E92">
        <w:rPr>
          <w:i/>
        </w:rPr>
        <w:t xml:space="preserve">Per </w:t>
      </w:r>
      <w:r w:rsidR="00E63CB0" w:rsidRPr="00B35E92">
        <w:rPr>
          <w:b/>
        </w:rPr>
        <w:t>Côté</w:t>
      </w:r>
      <w:r w:rsidRPr="00B35E92">
        <w:t> </w:t>
      </w:r>
      <w:r w:rsidR="00E63CB0" w:rsidRPr="00B35E92">
        <w:t xml:space="preserve">J.: There is agreement with the majority’s interpretation of s. 12(1) of </w:t>
      </w:r>
      <w:r w:rsidR="00E63CB0" w:rsidRPr="00B35E92">
        <w:rPr>
          <w:i/>
        </w:rPr>
        <w:t>FIPPA</w:t>
      </w:r>
      <w:r w:rsidR="00E63CB0" w:rsidRPr="00B35E92">
        <w:t>, and with its conclusion that the mandate letters at issue are exempt from disclosure under that provision. However, there is disagreement with the majority’s statement that it is not necessary to resolve the question of the applicable standard of review.</w:t>
      </w:r>
    </w:p>
    <w:p w14:paraId="551EC050" w14:textId="2434BD6E" w:rsidR="00E63CB0" w:rsidRPr="00B35E92" w:rsidRDefault="008069D0" w:rsidP="008069D0">
      <w:pPr>
        <w:pStyle w:val="SCCNormalDoubleSpacing"/>
        <w:spacing w:after="480"/>
        <w:rPr>
          <w:rFonts w:eastAsia="Calibri"/>
        </w:rPr>
      </w:pPr>
      <w:r w:rsidRPr="00B35E92">
        <w:tab/>
      </w:r>
      <w:r w:rsidR="00E63CB0" w:rsidRPr="00B35E92">
        <w:t xml:space="preserve">The Court has recognized that correctness review is necessary to resolve general questions of law — such as the appropriateness of limits on solicitor-client privilege and the scope of parliamentary privilege — that are of fundamental importance and broad applicability, with significant legal consequences for the justice system as a whole. The scope of Cabinet privilege is not a question particular to Ontario’s specific regulatory regime and </w:t>
      </w:r>
      <w:r w:rsidR="00E63CB0" w:rsidRPr="00B35E92">
        <w:rPr>
          <w:rFonts w:eastAsia="Calibri"/>
        </w:rPr>
        <w:t>there is no principled reason why Cabinet privilege sh</w:t>
      </w:r>
      <w:r w:rsidRPr="00B35E92">
        <w:rPr>
          <w:rFonts w:eastAsia="Calibri"/>
        </w:rPr>
        <w:t xml:space="preserve">ould be treated any differently — </w:t>
      </w:r>
      <w:r w:rsidR="00E63CB0" w:rsidRPr="00B35E92">
        <w:rPr>
          <w:rFonts w:eastAsia="Calibri"/>
        </w:rPr>
        <w:t>or is any less important</w:t>
      </w:r>
      <w:r w:rsidRPr="00B35E92">
        <w:rPr>
          <w:rFonts w:eastAsia="Calibri"/>
        </w:rPr>
        <w:t xml:space="preserve"> to the legal system as a whole — </w:t>
      </w:r>
      <w:r w:rsidR="00E63CB0" w:rsidRPr="00B35E92">
        <w:rPr>
          <w:rFonts w:eastAsia="Calibri"/>
        </w:rPr>
        <w:t>than solicitor</w:t>
      </w:r>
      <w:r w:rsidR="00E63CB0" w:rsidRPr="00B35E92">
        <w:rPr>
          <w:rFonts w:eastAsia="Calibri"/>
        </w:rPr>
        <w:noBreakHyphen/>
        <w:t xml:space="preserve">client privilege or parliamentary privilege. The scope of Cabinet privilege is a question of central importance to the legal system as a whole. It </w:t>
      </w:r>
      <w:r w:rsidR="00E63CB0" w:rsidRPr="00B35E92">
        <w:t xml:space="preserve">must be reviewed for correctness because courts, when conducting a reasonableness review, cannot provide the single determinate answer that such questions require. </w:t>
      </w:r>
    </w:p>
    <w:p w14:paraId="17C4A01F" w14:textId="2B358041" w:rsidR="00E63CB0" w:rsidRPr="00B35E92" w:rsidRDefault="008069D0" w:rsidP="008069D0">
      <w:pPr>
        <w:pStyle w:val="SCCNormalDoubleSpacing"/>
        <w:spacing w:after="480"/>
      </w:pPr>
      <w:r w:rsidRPr="00B35E92">
        <w:rPr>
          <w:rFonts w:eastAsia="Calibri"/>
        </w:rPr>
        <w:tab/>
      </w:r>
      <w:r w:rsidR="00E63CB0" w:rsidRPr="00B35E92">
        <w:rPr>
          <w:rFonts w:eastAsia="Calibri"/>
        </w:rPr>
        <w:t xml:space="preserve">In the instant case, there is disagreement with the majority that </w:t>
      </w:r>
      <w:r w:rsidR="00E63CB0" w:rsidRPr="00B35E92">
        <w:t>the same conclusion follows regardless of whether the standard of review is correctness or reasonableness. The Commissioner’s reasons were intelligible and transparent and a number of relevant factors weigh in favour of the Commissioner’s interpretation</w:t>
      </w:r>
      <w:r w:rsidRPr="00B35E92">
        <w:t xml:space="preserve"> of s. </w:t>
      </w:r>
      <w:r w:rsidR="00E63CB0" w:rsidRPr="00B35E92">
        <w:t>12(1). The fact that the majority would have reached a different conclusion does not make the Commissioner’s decision unreasonable. A court conducting reasonableness review must focus on the decision the administrative decision maker actually made, including the justification offered for it, and not on the conclusion the court itself would have reached. The majority fails to apply this methodology in practice.</w:t>
      </w:r>
    </w:p>
    <w:p w14:paraId="24728070" w14:textId="7998FEFF" w:rsidR="00610539" w:rsidRPr="00B35E92" w:rsidRDefault="008069D0" w:rsidP="008069D0">
      <w:pPr>
        <w:pStyle w:val="SCCNormalDoubleSpacing"/>
        <w:spacing w:after="480"/>
      </w:pPr>
      <w:r w:rsidRPr="00B35E92">
        <w:tab/>
      </w:r>
      <w:r w:rsidR="00E63CB0" w:rsidRPr="00B35E92">
        <w:t>However, there is agreement with the majority’s interpretation of the scope of Cabinet privilege, which is the correct interpretation, and with its conclusion that the mandate letters are exempt from disclosure under s. 12(1). The “substance of deliberations” encompasses Cabinet’s deliberative process from beginning to end, including directives and policy priorities communicated by the Premier to individual ministers. By concluding otherwise, the Commissioner adopted an incorrect interpretation.</w:t>
      </w:r>
    </w:p>
    <w:p w14:paraId="7E5AC91D" w14:textId="77777777" w:rsidR="007E1C47" w:rsidRPr="00B35E92" w:rsidRDefault="002E6705" w:rsidP="008B260B">
      <w:pPr>
        <w:pStyle w:val="SCCNormalDoubleSpacing"/>
        <w:spacing w:after="720" w:line="240" w:lineRule="auto"/>
        <w:rPr>
          <w:b/>
        </w:rPr>
      </w:pPr>
      <w:r w:rsidRPr="00B35E92">
        <w:rPr>
          <w:b/>
        </w:rPr>
        <w:t>Cases Cited</w:t>
      </w:r>
    </w:p>
    <w:p w14:paraId="7BE24CF3" w14:textId="6668CD58" w:rsidR="00A149DF" w:rsidRPr="00B35E92" w:rsidRDefault="008B260B" w:rsidP="008B260B">
      <w:pPr>
        <w:pStyle w:val="SCCNormalDoubleSpacing"/>
        <w:spacing w:after="720" w:line="240" w:lineRule="auto"/>
      </w:pPr>
      <w:r w:rsidRPr="00B35E92">
        <w:t>By Karakatsanis </w:t>
      </w:r>
      <w:r w:rsidR="0064501A" w:rsidRPr="00B35E92">
        <w:t>J.</w:t>
      </w:r>
    </w:p>
    <w:p w14:paraId="33AF0A61" w14:textId="29FE23EC" w:rsidR="004E2C26" w:rsidRPr="00B35E92" w:rsidRDefault="002E6705" w:rsidP="008B260B">
      <w:pPr>
        <w:pStyle w:val="SCCNormalDoubleSpacing"/>
        <w:spacing w:after="480"/>
      </w:pPr>
      <w:r w:rsidRPr="00B35E92">
        <w:tab/>
      </w:r>
      <w:r w:rsidR="00BB4F3A" w:rsidRPr="00B35E92">
        <w:rPr>
          <w:b/>
        </w:rPr>
        <w:t xml:space="preserve">Applied: </w:t>
      </w:r>
      <w:r w:rsidR="00BB4F3A" w:rsidRPr="00B35E92">
        <w:rPr>
          <w:i/>
          <w:lang w:val="en-GB"/>
        </w:rPr>
        <w:t>Canada (Minister of Citizenship and Immigration) v. Vavilov</w:t>
      </w:r>
      <w:r w:rsidR="00BB4F3A" w:rsidRPr="00B35E92">
        <w:rPr>
          <w:lang w:val="en-GB"/>
        </w:rPr>
        <w:t xml:space="preserve">, 2019 SCC 65, [2019] 4 S.C.R. 653; </w:t>
      </w:r>
      <w:r w:rsidR="00BB4F3A" w:rsidRPr="00B35E92">
        <w:rPr>
          <w:b/>
        </w:rPr>
        <w:t>r</w:t>
      </w:r>
      <w:r w:rsidRPr="00B35E92">
        <w:rPr>
          <w:b/>
        </w:rPr>
        <w:t>eferred to:</w:t>
      </w:r>
      <w:r w:rsidR="00BD0E9E" w:rsidRPr="00B35E92">
        <w:t xml:space="preserve"> </w:t>
      </w:r>
      <w:r w:rsidR="0078093E" w:rsidRPr="00B35E92">
        <w:rPr>
          <w:i/>
          <w:lang w:val="en-US"/>
        </w:rPr>
        <w:t>Dagg v. Canada (Minister of Finance)</w:t>
      </w:r>
      <w:r w:rsidR="0078093E" w:rsidRPr="00B35E92">
        <w:rPr>
          <w:lang w:val="en-US"/>
        </w:rPr>
        <w:t>,</w:t>
      </w:r>
      <w:r w:rsidR="0078093E" w:rsidRPr="00B35E92">
        <w:rPr>
          <w:i/>
          <w:lang w:val="en-US"/>
        </w:rPr>
        <w:t xml:space="preserve"> </w:t>
      </w:r>
      <w:r w:rsidR="0078093E" w:rsidRPr="00B35E92">
        <w:rPr>
          <w:lang w:val="en-US"/>
        </w:rPr>
        <w:t xml:space="preserve">[1997] 2 S.C.R. 403; </w:t>
      </w:r>
      <w:r w:rsidR="005426EA" w:rsidRPr="00B35E92">
        <w:rPr>
          <w:i/>
          <w:iCs/>
        </w:rPr>
        <w:t>Ontario v. Criminal Lawyers’ Association of Ontario</w:t>
      </w:r>
      <w:r w:rsidR="005426EA" w:rsidRPr="00B35E92">
        <w:t xml:space="preserve">, 2013 SCC 43, [2013] 3 S.C.R. 3; </w:t>
      </w:r>
      <w:r w:rsidR="00F36DEF" w:rsidRPr="00B35E92">
        <w:rPr>
          <w:i/>
        </w:rPr>
        <w:t>British Columbia (Attorney General) v. Provincial Court Judges’ Association of British Columbia</w:t>
      </w:r>
      <w:r w:rsidR="00F36DEF" w:rsidRPr="00B35E92">
        <w:t xml:space="preserve">, 2020 SCC 20, [2020] 2 S.C.R. 506; </w:t>
      </w:r>
      <w:r w:rsidR="000314C3" w:rsidRPr="00B35E92">
        <w:rPr>
          <w:i/>
        </w:rPr>
        <w:t>Chagnon v. Syndicat de la fonction publique et parapublique du Québec</w:t>
      </w:r>
      <w:r w:rsidR="000314C3" w:rsidRPr="00B35E92">
        <w:t xml:space="preserve">, 2018 SCC 39, [2018] 2 S.C.R. 687; </w:t>
      </w:r>
      <w:r w:rsidR="000314C3" w:rsidRPr="00B35E92">
        <w:rPr>
          <w:i/>
        </w:rPr>
        <w:t>MacKeigan v. Hickman</w:t>
      </w:r>
      <w:r w:rsidR="00160CC7" w:rsidRPr="00B35E92">
        <w:t>, [1989] 2 S.C.R. 796</w:t>
      </w:r>
      <w:r w:rsidR="000B1CC0" w:rsidRPr="00B35E92">
        <w:t xml:space="preserve">; </w:t>
      </w:r>
      <w:r w:rsidR="000B1CC0" w:rsidRPr="00B35E92">
        <w:rPr>
          <w:i/>
        </w:rPr>
        <w:t>Babcock v. Canada (Attorney General)</w:t>
      </w:r>
      <w:r w:rsidR="000B1CC0" w:rsidRPr="00B35E92">
        <w:t>, 2002 SCC 57, [2002] 3 S.C.R. 3</w:t>
      </w:r>
      <w:r w:rsidR="00B36EE7" w:rsidRPr="00B35E92">
        <w:rPr>
          <w:lang w:val="en-US"/>
        </w:rPr>
        <w:t xml:space="preserve">; </w:t>
      </w:r>
      <w:r w:rsidR="0055278E" w:rsidRPr="00B35E92">
        <w:rPr>
          <w:i/>
          <w:lang w:val="en-US"/>
        </w:rPr>
        <w:t>Carey v. Ontario</w:t>
      </w:r>
      <w:r w:rsidR="0055278E" w:rsidRPr="00B35E92">
        <w:rPr>
          <w:lang w:val="en-US"/>
        </w:rPr>
        <w:t>, [1986] 2 S.C.R. 637</w:t>
      </w:r>
      <w:r w:rsidR="001F5361" w:rsidRPr="00B35E92">
        <w:rPr>
          <w:lang w:val="en-US"/>
        </w:rPr>
        <w:t>; Order PO-1725, 1999 CanLII 14318</w:t>
      </w:r>
      <w:r w:rsidR="00F06E9E" w:rsidRPr="00B35E92">
        <w:rPr>
          <w:lang w:val="en-US"/>
        </w:rPr>
        <w:t xml:space="preserve">; </w:t>
      </w:r>
      <w:r w:rsidR="00F06E9E" w:rsidRPr="00B35E92">
        <w:rPr>
          <w:i/>
        </w:rPr>
        <w:t>Northern Regional</w:t>
      </w:r>
      <w:r w:rsidR="00F06E9E" w:rsidRPr="00B35E92">
        <w:t xml:space="preserve"> </w:t>
      </w:r>
      <w:r w:rsidR="00F06E9E" w:rsidRPr="00B35E92">
        <w:rPr>
          <w:i/>
        </w:rPr>
        <w:t xml:space="preserve">Health </w:t>
      </w:r>
      <w:r w:rsidR="00F06E9E" w:rsidRPr="00B35E92">
        <w:rPr>
          <w:i/>
          <w:lang w:val="en-US"/>
        </w:rPr>
        <w:t>Authority v. Horrocks</w:t>
      </w:r>
      <w:r w:rsidR="00F06E9E" w:rsidRPr="00B35E92">
        <w:rPr>
          <w:lang w:val="en-US"/>
        </w:rPr>
        <w:t xml:space="preserve">, 2021 SCC 42; </w:t>
      </w:r>
      <w:r w:rsidR="00F06E9E" w:rsidRPr="00B35E92">
        <w:rPr>
          <w:i/>
          <w:lang w:val="en-US"/>
        </w:rPr>
        <w:t>Agraira v. Canada (Public Safety and Emergency Preparedness)</w:t>
      </w:r>
      <w:r w:rsidR="00F06E9E" w:rsidRPr="00B35E92">
        <w:rPr>
          <w:lang w:val="en-US"/>
        </w:rPr>
        <w:t>, 2013 SCC 36, [2013] 2 S.C.R. 559</w:t>
      </w:r>
      <w:r w:rsidR="0055278E" w:rsidRPr="00B35E92">
        <w:rPr>
          <w:lang w:val="en-US"/>
        </w:rPr>
        <w:t xml:space="preserve">; </w:t>
      </w:r>
      <w:r w:rsidR="001A236D" w:rsidRPr="00B35E92">
        <w:rPr>
          <w:i/>
          <w:lang w:val="en-GB"/>
        </w:rPr>
        <w:t>Reference re Resolution to amend the Constitution</w:t>
      </w:r>
      <w:r w:rsidR="001A236D" w:rsidRPr="00B35E92">
        <w:rPr>
          <w:lang w:val="en-GB"/>
        </w:rPr>
        <w:t xml:space="preserve">, [1981] 1 S.C.R. 753; </w:t>
      </w:r>
      <w:r w:rsidR="00A64586" w:rsidRPr="00B35E92">
        <w:rPr>
          <w:i/>
        </w:rPr>
        <w:t>OPSEU v. Ontario (Attorney General)</w:t>
      </w:r>
      <w:r w:rsidR="00A64586" w:rsidRPr="00B35E92">
        <w:rPr>
          <w:lang w:val="en-US"/>
        </w:rPr>
        <w:t xml:space="preserve">, [1987] 2 S.C.R. 2; </w:t>
      </w:r>
      <w:r w:rsidR="00C33B8E" w:rsidRPr="00B35E92">
        <w:rPr>
          <w:i/>
          <w:lang w:val="en-US"/>
        </w:rPr>
        <w:t xml:space="preserve">John Doe </w:t>
      </w:r>
      <w:r w:rsidR="00C33B8E" w:rsidRPr="00B35E92">
        <w:rPr>
          <w:i/>
          <w:iCs/>
          <w:lang w:val="en-US"/>
        </w:rPr>
        <w:t>v. Ontario (Finance)</w:t>
      </w:r>
      <w:r w:rsidR="00C33B8E" w:rsidRPr="00B35E92">
        <w:rPr>
          <w:lang w:val="en-US"/>
        </w:rPr>
        <w:t>, 2014 SCC 36, [2014] 2 S.C.R. 3</w:t>
      </w:r>
      <w:r w:rsidR="00B661E4" w:rsidRPr="00B35E92">
        <w:rPr>
          <w:lang w:val="en-US"/>
        </w:rPr>
        <w:t xml:space="preserve">; </w:t>
      </w:r>
      <w:r w:rsidR="00B661E4" w:rsidRPr="00B35E92">
        <w:rPr>
          <w:i/>
          <w:iCs/>
        </w:rPr>
        <w:t>Canadian Council of Christian Charities v. Canada (Minister of Finance)</w:t>
      </w:r>
      <w:r w:rsidR="00B661E4" w:rsidRPr="00B35E92">
        <w:t>, [1999] 4 F.C. 245</w:t>
      </w:r>
      <w:r w:rsidR="00C33B8E" w:rsidRPr="00B35E92">
        <w:rPr>
          <w:lang w:val="en-US"/>
        </w:rPr>
        <w:t xml:space="preserve">; </w:t>
      </w:r>
      <w:r w:rsidR="00F732B9" w:rsidRPr="00B35E92">
        <w:rPr>
          <w:i/>
          <w:lang w:val="en-US"/>
        </w:rPr>
        <w:t>Ontario (Public Safety and Security) v. Criminal Lawyers’ Association</w:t>
      </w:r>
      <w:r w:rsidR="00F732B9" w:rsidRPr="00B35E92">
        <w:rPr>
          <w:lang w:val="en-US"/>
        </w:rPr>
        <w:t>, 2010 SCC 23</w:t>
      </w:r>
      <w:r w:rsidR="00C33B8E" w:rsidRPr="00B35E92">
        <w:rPr>
          <w:lang w:val="en-US"/>
        </w:rPr>
        <w:t>, [2010] 1 S.C.R. 815</w:t>
      </w:r>
      <w:r w:rsidR="00F732B9" w:rsidRPr="00B35E92">
        <w:rPr>
          <w:lang w:val="en-US"/>
        </w:rPr>
        <w:t xml:space="preserve">; </w:t>
      </w:r>
      <w:r w:rsidR="00B72DCF" w:rsidRPr="00B35E92">
        <w:rPr>
          <w:i/>
          <w:lang w:val="en-US"/>
        </w:rPr>
        <w:t>Conway v. Rimmer</w:t>
      </w:r>
      <w:r w:rsidR="00B72DCF" w:rsidRPr="00B35E92">
        <w:rPr>
          <w:lang w:val="en-US"/>
        </w:rPr>
        <w:t xml:space="preserve">, </w:t>
      </w:r>
      <w:r w:rsidR="00B661E4" w:rsidRPr="00B35E92">
        <w:rPr>
          <w:color w:val="000000"/>
        </w:rPr>
        <w:t>[1968] A.C. 910</w:t>
      </w:r>
      <w:r w:rsidR="007E2EAB" w:rsidRPr="00B35E92">
        <w:t>.</w:t>
      </w:r>
    </w:p>
    <w:p w14:paraId="06E4B951" w14:textId="0C7946CA" w:rsidR="00BB127E" w:rsidRPr="00B35E92" w:rsidRDefault="008B260B" w:rsidP="008B260B">
      <w:pPr>
        <w:pStyle w:val="SCCNormalDoubleSpacing"/>
        <w:spacing w:after="720" w:line="240" w:lineRule="auto"/>
      </w:pPr>
      <w:r w:rsidRPr="00B35E92">
        <w:t>By Côté </w:t>
      </w:r>
      <w:r w:rsidR="00BB127E" w:rsidRPr="00B35E92">
        <w:t>J.</w:t>
      </w:r>
    </w:p>
    <w:p w14:paraId="5D2DE7B4" w14:textId="6809333D" w:rsidR="00A149DF" w:rsidRPr="00B35E92" w:rsidRDefault="00BB127E" w:rsidP="005449E2">
      <w:pPr>
        <w:pStyle w:val="SCCNormalDoubleSpacing"/>
        <w:spacing w:after="480"/>
        <w:rPr>
          <w:b/>
        </w:rPr>
      </w:pPr>
      <w:r w:rsidRPr="00B35E92">
        <w:tab/>
      </w:r>
      <w:r w:rsidR="00BB4F3A" w:rsidRPr="00B35E92">
        <w:rPr>
          <w:b/>
        </w:rPr>
        <w:t>Applied</w:t>
      </w:r>
      <w:r w:rsidRPr="00B35E92">
        <w:rPr>
          <w:b/>
        </w:rPr>
        <w:t>:</w:t>
      </w:r>
      <w:r w:rsidRPr="00B35E92">
        <w:t xml:space="preserve"> </w:t>
      </w:r>
      <w:r w:rsidRPr="00B35E92">
        <w:rPr>
          <w:i/>
          <w:lang w:val="en-US"/>
        </w:rPr>
        <w:t>Canada (Minister of Citizenship and Immigration) v. Vavilov</w:t>
      </w:r>
      <w:r w:rsidRPr="00B35E92">
        <w:rPr>
          <w:lang w:val="en-US"/>
        </w:rPr>
        <w:t>, 2019 SCC 65, [2019] 4 S.C.R. 653</w:t>
      </w:r>
      <w:r w:rsidR="0020115E" w:rsidRPr="00B35E92">
        <w:rPr>
          <w:lang w:val="en-US"/>
        </w:rPr>
        <w:t xml:space="preserve">; </w:t>
      </w:r>
      <w:r w:rsidR="00BB4F3A" w:rsidRPr="00B35E92">
        <w:rPr>
          <w:b/>
          <w:lang w:val="en-US"/>
        </w:rPr>
        <w:t>referred to:</w:t>
      </w:r>
      <w:r w:rsidR="00BB4F3A" w:rsidRPr="00B35E92">
        <w:rPr>
          <w:lang w:val="en-US"/>
        </w:rPr>
        <w:t xml:space="preserve"> </w:t>
      </w:r>
      <w:r w:rsidR="0020115E" w:rsidRPr="00B35E92">
        <w:rPr>
          <w:i/>
          <w:lang w:val="en-US"/>
        </w:rPr>
        <w:t>Mason v. Canada (Citizenship and Immigration)</w:t>
      </w:r>
      <w:r w:rsidR="0020115E" w:rsidRPr="00B35E92">
        <w:rPr>
          <w:lang w:val="en-US"/>
        </w:rPr>
        <w:t>, 2023 SCC 21</w:t>
      </w:r>
      <w:r w:rsidRPr="00B35E92">
        <w:rPr>
          <w:lang w:val="en-US"/>
        </w:rPr>
        <w:t xml:space="preserve">; </w:t>
      </w:r>
      <w:r w:rsidRPr="00B35E92">
        <w:rPr>
          <w:i/>
          <w:lang w:val="en-US"/>
        </w:rPr>
        <w:t>Northern Regional Health Authority v. Horrocks</w:t>
      </w:r>
      <w:r w:rsidRPr="00B35E92">
        <w:rPr>
          <w:lang w:val="en-US"/>
        </w:rPr>
        <w:t xml:space="preserve">, 2021 SCC 42; </w:t>
      </w:r>
      <w:r w:rsidRPr="00B35E92">
        <w:rPr>
          <w:i/>
          <w:lang w:val="en-US"/>
        </w:rPr>
        <w:t>Agraira v. Canada (Public Safety and Emergency Preparedness)</w:t>
      </w:r>
      <w:r w:rsidRPr="00B35E92">
        <w:rPr>
          <w:lang w:val="en-US"/>
        </w:rPr>
        <w:t xml:space="preserve">, 2013 SCC 36, [2013] 2 S.C.R. 559; </w:t>
      </w:r>
      <w:r w:rsidRPr="00B35E92">
        <w:rPr>
          <w:i/>
          <w:lang w:val="en-US"/>
        </w:rPr>
        <w:t>Merck Frosst Canada Ltd. v. Canada (Health)</w:t>
      </w:r>
      <w:r w:rsidRPr="00B35E92">
        <w:rPr>
          <w:lang w:val="en-US"/>
        </w:rPr>
        <w:t xml:space="preserve">, 2012 SCC 3, [2012] 1 S.C.R. 23; </w:t>
      </w:r>
      <w:r w:rsidRPr="00B35E92">
        <w:rPr>
          <w:i/>
          <w:lang w:val="en-US"/>
        </w:rPr>
        <w:t>Chagnon v. Syndicat de la fonction publique et parapublique du Québec</w:t>
      </w:r>
      <w:r w:rsidRPr="00B35E92">
        <w:rPr>
          <w:lang w:val="en-US"/>
        </w:rPr>
        <w:t>, 2</w:t>
      </w:r>
      <w:r w:rsidR="005A1572" w:rsidRPr="00B35E92">
        <w:rPr>
          <w:lang w:val="en-US"/>
        </w:rPr>
        <w:t>018 SCC 39, [2018] 2 S.C.R. 687</w:t>
      </w:r>
      <w:r w:rsidRPr="00B35E92">
        <w:rPr>
          <w:bCs/>
          <w:lang w:val="en-US"/>
        </w:rPr>
        <w:t xml:space="preserve">; </w:t>
      </w:r>
      <w:r w:rsidRPr="00B35E92">
        <w:rPr>
          <w:i/>
          <w:lang w:val="en-US"/>
        </w:rPr>
        <w:t>Canadian National Railway Co. v. Canada (Attorney General)</w:t>
      </w:r>
      <w:r w:rsidRPr="00B35E92">
        <w:rPr>
          <w:lang w:val="en-US"/>
        </w:rPr>
        <w:t xml:space="preserve">, 2014 SCC 40, [2014] 2 S.C.R. 135; </w:t>
      </w:r>
      <w:r w:rsidRPr="00B35E92">
        <w:rPr>
          <w:i/>
          <w:lang w:val="en-US"/>
        </w:rPr>
        <w:t>O’Connor v. Nova Scotia (Minister of the Priorities and Planning Secretariat)</w:t>
      </w:r>
      <w:r w:rsidRPr="00B35E92">
        <w:rPr>
          <w:lang w:val="en-US"/>
        </w:rPr>
        <w:t xml:space="preserve">, 2001 NSCA 132, 197 N.S.R. (2d) 154; </w:t>
      </w:r>
      <w:r w:rsidR="00881D51" w:rsidRPr="00B35E92">
        <w:rPr>
          <w:i/>
        </w:rPr>
        <w:t>Aquasource Ltd. v. Freedom of Information and Protection of Privacy Commissioner (B.C.)</w:t>
      </w:r>
      <w:r w:rsidR="00881D51" w:rsidRPr="00B35E92">
        <w:t xml:space="preserve"> (1998), 111 B.C.A.C. 95</w:t>
      </w:r>
      <w:r w:rsidR="005A1572" w:rsidRPr="00B35E92">
        <w:t xml:space="preserve">; </w:t>
      </w:r>
      <w:r w:rsidR="005A1572" w:rsidRPr="00B35E92">
        <w:rPr>
          <w:bCs/>
          <w:i/>
          <w:lang w:val="en-US"/>
        </w:rPr>
        <w:t xml:space="preserve">Alberta (Information and Privacy Commissioner) </w:t>
      </w:r>
      <w:r w:rsidR="005A1572" w:rsidRPr="00B35E92">
        <w:rPr>
          <w:bCs/>
          <w:i/>
          <w:iCs/>
          <w:lang w:val="en-US"/>
        </w:rPr>
        <w:t xml:space="preserve">v. </w:t>
      </w:r>
      <w:r w:rsidR="005A1572" w:rsidRPr="00B35E92">
        <w:rPr>
          <w:bCs/>
          <w:i/>
          <w:lang w:val="en-US"/>
        </w:rPr>
        <w:t>University of Calgary</w:t>
      </w:r>
      <w:r w:rsidR="005A1572" w:rsidRPr="00B35E92">
        <w:rPr>
          <w:bCs/>
          <w:lang w:val="en-US"/>
        </w:rPr>
        <w:t>, 2016 SCC 53, [2016] 2 S.C.R. 555</w:t>
      </w:r>
      <w:r w:rsidRPr="00B35E92">
        <w:rPr>
          <w:lang w:val="en-US"/>
        </w:rPr>
        <w:t xml:space="preserve">; </w:t>
      </w:r>
      <w:r w:rsidRPr="00B35E92">
        <w:rPr>
          <w:i/>
          <w:lang w:val="en-US"/>
        </w:rPr>
        <w:t>Kanthasamy v. Canada (Citizenship and Immigration)</w:t>
      </w:r>
      <w:r w:rsidRPr="00B35E92">
        <w:rPr>
          <w:lang w:val="en-US"/>
        </w:rPr>
        <w:t>, 2</w:t>
      </w:r>
      <w:r w:rsidR="0020115E" w:rsidRPr="00B35E92">
        <w:rPr>
          <w:lang w:val="en-US"/>
        </w:rPr>
        <w:t>015 SCC 61, [2015] 3 S.C.R. 909</w:t>
      </w:r>
      <w:r w:rsidRPr="00B35E92">
        <w:rPr>
          <w:lang w:val="en-US"/>
        </w:rPr>
        <w:t xml:space="preserve">; </w:t>
      </w:r>
      <w:r w:rsidRPr="00B35E92">
        <w:rPr>
          <w:i/>
          <w:lang w:val="en-US"/>
        </w:rPr>
        <w:t>Babcock v. Canada (Attorney General)</w:t>
      </w:r>
      <w:r w:rsidRPr="00B35E92">
        <w:rPr>
          <w:lang w:val="en-US"/>
        </w:rPr>
        <w:t xml:space="preserve">, 2002 SCC 57, [2002] 3 S.C.R. 3; </w:t>
      </w:r>
      <w:r w:rsidRPr="00B35E92">
        <w:rPr>
          <w:i/>
          <w:lang w:val="en-US"/>
        </w:rPr>
        <w:t>Nova Tube Inc./Nova Steel Inc. v. Conares Metal Supply Ltd.</w:t>
      </w:r>
      <w:r w:rsidRPr="00B35E92">
        <w:rPr>
          <w:lang w:val="en-US"/>
        </w:rPr>
        <w:t xml:space="preserve">, 2019 FCA 52; </w:t>
      </w:r>
      <w:r w:rsidRPr="00B35E92">
        <w:rPr>
          <w:i/>
          <w:lang w:val="en-US"/>
        </w:rPr>
        <w:t>Dagg v. Canada (Minister of Finance)</w:t>
      </w:r>
      <w:r w:rsidRPr="00B35E92">
        <w:rPr>
          <w:lang w:val="en-US"/>
        </w:rPr>
        <w:t>, [1997] 2 S.C.R. 403.</w:t>
      </w:r>
    </w:p>
    <w:p w14:paraId="451ED4A2" w14:textId="77777777" w:rsidR="003B215F" w:rsidRPr="00B35E92" w:rsidRDefault="002E6705" w:rsidP="005449E2">
      <w:pPr>
        <w:pStyle w:val="SCCNormalDoubleSpacing"/>
        <w:spacing w:after="720" w:line="240" w:lineRule="auto"/>
      </w:pPr>
      <w:r w:rsidRPr="00B35E92">
        <w:rPr>
          <w:b/>
        </w:rPr>
        <w:t>Statutes and Regulations Cite</w:t>
      </w:r>
      <w:r w:rsidR="00A41805" w:rsidRPr="00B35E92">
        <w:rPr>
          <w:b/>
        </w:rPr>
        <w:t>d</w:t>
      </w:r>
    </w:p>
    <w:p w14:paraId="53DC5412" w14:textId="6CE82149" w:rsidR="002474D3" w:rsidRPr="00B35E92" w:rsidRDefault="002474D3" w:rsidP="008B260B">
      <w:pPr>
        <w:pStyle w:val="SCCNormalDoubleSpacing"/>
        <w:spacing w:after="240" w:line="240" w:lineRule="auto"/>
        <w:ind w:left="540" w:hanging="540"/>
        <w:rPr>
          <w:lang w:val="en-US"/>
        </w:rPr>
      </w:pPr>
      <w:r w:rsidRPr="00B35E92">
        <w:rPr>
          <w:i/>
          <w:lang w:val="en-US"/>
        </w:rPr>
        <w:t>Access to Information Act</w:t>
      </w:r>
      <w:r w:rsidRPr="00B35E92">
        <w:rPr>
          <w:lang w:val="en-US"/>
        </w:rPr>
        <w:t>, R.S.C. 1985, c.</w:t>
      </w:r>
      <w:r w:rsidR="009B48B4" w:rsidRPr="00B35E92">
        <w:rPr>
          <w:lang w:val="en-US"/>
        </w:rPr>
        <w:t> </w:t>
      </w:r>
      <w:r w:rsidR="005413B1" w:rsidRPr="00B35E92">
        <w:rPr>
          <w:lang w:val="en-US"/>
        </w:rPr>
        <w:t>A</w:t>
      </w:r>
      <w:r w:rsidR="005413B1" w:rsidRPr="00B35E92">
        <w:rPr>
          <w:lang w:val="en-US"/>
        </w:rPr>
        <w:noBreakHyphen/>
      </w:r>
      <w:r w:rsidRPr="00B35E92">
        <w:rPr>
          <w:lang w:val="en-US"/>
        </w:rPr>
        <w:t>1, s. 69.</w:t>
      </w:r>
    </w:p>
    <w:p w14:paraId="4CE11BA7" w14:textId="7D7C3907" w:rsidR="000B60A6" w:rsidRPr="00B35E92" w:rsidRDefault="000B60A6" w:rsidP="008B260B">
      <w:pPr>
        <w:pStyle w:val="SCCNormalDoubleSpacing"/>
        <w:spacing w:after="240" w:line="240" w:lineRule="auto"/>
        <w:ind w:left="540" w:hanging="540"/>
        <w:rPr>
          <w:i/>
          <w:lang w:val="en-US"/>
        </w:rPr>
      </w:pPr>
      <w:r w:rsidRPr="00B35E92">
        <w:rPr>
          <w:i/>
          <w:lang w:val="en-US"/>
        </w:rPr>
        <w:t>Access to Information and Protection of Privacy Act,</w:t>
      </w:r>
      <w:r w:rsidRPr="00B35E92">
        <w:rPr>
          <w:lang w:val="en-US"/>
        </w:rPr>
        <w:t xml:space="preserve"> </w:t>
      </w:r>
      <w:r w:rsidRPr="00B35E92">
        <w:rPr>
          <w:i/>
          <w:lang w:val="en-US"/>
        </w:rPr>
        <w:t>2015</w:t>
      </w:r>
      <w:r w:rsidRPr="00B35E92">
        <w:rPr>
          <w:lang w:val="en-US"/>
        </w:rPr>
        <w:t>, S.N.L. 2015, c. </w:t>
      </w:r>
      <w:r w:rsidR="005413B1" w:rsidRPr="00B35E92">
        <w:rPr>
          <w:lang w:val="en-US"/>
        </w:rPr>
        <w:t>A</w:t>
      </w:r>
      <w:r w:rsidR="005413B1" w:rsidRPr="00B35E92">
        <w:rPr>
          <w:lang w:val="en-US"/>
        </w:rPr>
        <w:noBreakHyphen/>
      </w:r>
      <w:r w:rsidRPr="00B35E92">
        <w:rPr>
          <w:lang w:val="en-US"/>
        </w:rPr>
        <w:t>1.2, s. 27.</w:t>
      </w:r>
    </w:p>
    <w:p w14:paraId="606B7231" w14:textId="0B4CA5E9" w:rsidR="003B148D" w:rsidRPr="00B35E92" w:rsidRDefault="003B148D" w:rsidP="008B260B">
      <w:pPr>
        <w:pStyle w:val="SCCNormalDoubleSpacing"/>
        <w:spacing w:after="240" w:line="240" w:lineRule="auto"/>
        <w:ind w:left="540" w:hanging="540"/>
        <w:rPr>
          <w:lang w:val="en-US"/>
        </w:rPr>
      </w:pPr>
      <w:r w:rsidRPr="00B35E92">
        <w:rPr>
          <w:i/>
          <w:lang w:val="en-US"/>
        </w:rPr>
        <w:t>Access to Information and Protection of Privacy Act</w:t>
      </w:r>
      <w:r w:rsidRPr="00B35E92">
        <w:rPr>
          <w:lang w:val="en-US"/>
        </w:rPr>
        <w:t>, S.N.W.T. 1994, c. 20, ss. 13 to 14.</w:t>
      </w:r>
    </w:p>
    <w:p w14:paraId="37B10E4B" w14:textId="16AB44A0" w:rsidR="00F23EE3" w:rsidRPr="00B35E92" w:rsidRDefault="003602D6" w:rsidP="008B260B">
      <w:pPr>
        <w:pStyle w:val="SCCNormalDoubleSpacing"/>
        <w:spacing w:after="240" w:line="240" w:lineRule="auto"/>
        <w:ind w:left="540" w:hanging="540"/>
        <w:rPr>
          <w:lang w:val="en-US"/>
        </w:rPr>
      </w:pPr>
      <w:r w:rsidRPr="00B35E92">
        <w:rPr>
          <w:i/>
          <w:lang w:val="en-US"/>
        </w:rPr>
        <w:t>Access to Information and Protection of Privacy Act</w:t>
      </w:r>
      <w:r w:rsidRPr="00B35E92">
        <w:rPr>
          <w:lang w:val="en-US"/>
        </w:rPr>
        <w:t xml:space="preserve">, </w:t>
      </w:r>
      <w:r w:rsidR="00BC1B2E" w:rsidRPr="00B35E92">
        <w:rPr>
          <w:lang w:val="en-US"/>
        </w:rPr>
        <w:t>C.S.Nu.,</w:t>
      </w:r>
      <w:r w:rsidR="00650A1D" w:rsidRPr="00B35E92">
        <w:rPr>
          <w:lang w:val="en-US"/>
        </w:rPr>
        <w:t xml:space="preserve"> c. </w:t>
      </w:r>
      <w:r w:rsidR="00336340" w:rsidRPr="00B35E92">
        <w:rPr>
          <w:lang w:val="en-US"/>
        </w:rPr>
        <w:t>A</w:t>
      </w:r>
      <w:r w:rsidR="00336340" w:rsidRPr="00B35E92">
        <w:rPr>
          <w:lang w:val="en-US"/>
        </w:rPr>
        <w:noBreakHyphen/>
      </w:r>
      <w:r w:rsidR="00650A1D" w:rsidRPr="00B35E92">
        <w:rPr>
          <w:lang w:val="en-US"/>
        </w:rPr>
        <w:t>20</w:t>
      </w:r>
      <w:r w:rsidRPr="00B35E92">
        <w:rPr>
          <w:lang w:val="en-US"/>
        </w:rPr>
        <w:t>, s. 13.</w:t>
      </w:r>
    </w:p>
    <w:p w14:paraId="724C72A0" w14:textId="3BFF624D" w:rsidR="00E75560" w:rsidRPr="00B35E92" w:rsidRDefault="00E75560" w:rsidP="008B260B">
      <w:pPr>
        <w:pStyle w:val="SCCNormalDoubleSpacing"/>
        <w:spacing w:after="240" w:line="240" w:lineRule="auto"/>
        <w:ind w:left="540" w:hanging="540"/>
        <w:rPr>
          <w:i/>
          <w:lang w:val="en-US"/>
        </w:rPr>
      </w:pPr>
      <w:r w:rsidRPr="00B35E92">
        <w:rPr>
          <w:i/>
          <w:lang w:val="en-US"/>
        </w:rPr>
        <w:t>Access to Information and Protection of Privacy Act</w:t>
      </w:r>
      <w:r w:rsidRPr="00B35E92">
        <w:rPr>
          <w:lang w:val="en-US"/>
        </w:rPr>
        <w:t>, S.Y. 2018, c. 9, s. 67.</w:t>
      </w:r>
    </w:p>
    <w:p w14:paraId="63C42DEB" w14:textId="062C73A2" w:rsidR="00A53911" w:rsidRPr="00B35E92" w:rsidRDefault="00A53911" w:rsidP="008B260B">
      <w:pPr>
        <w:pStyle w:val="SCCNormalDoubleSpacing"/>
        <w:spacing w:after="240" w:line="240" w:lineRule="auto"/>
        <w:ind w:left="540" w:hanging="540"/>
        <w:rPr>
          <w:lang w:val="en-US"/>
        </w:rPr>
      </w:pPr>
      <w:r w:rsidRPr="00B35E92">
        <w:rPr>
          <w:i/>
          <w:lang w:val="en-US"/>
        </w:rPr>
        <w:t>Act respecting Access to documents held by public bodies and the Protection of personal information</w:t>
      </w:r>
      <w:r w:rsidRPr="00B35E92">
        <w:rPr>
          <w:lang w:val="en-US"/>
        </w:rPr>
        <w:t>, CQLR, c. A-2.1, ss. 30 to 38.</w:t>
      </w:r>
    </w:p>
    <w:p w14:paraId="15E895A1" w14:textId="77777777" w:rsidR="00BB127E" w:rsidRPr="00B35E92" w:rsidRDefault="00BB127E" w:rsidP="008B260B">
      <w:pPr>
        <w:pStyle w:val="SCCNormalDoubleSpacing"/>
        <w:spacing w:after="240" w:line="240" w:lineRule="auto"/>
        <w:ind w:left="540" w:hanging="540"/>
        <w:rPr>
          <w:lang w:val="en-US"/>
        </w:rPr>
      </w:pPr>
      <w:r w:rsidRPr="00B35E92">
        <w:rPr>
          <w:i/>
          <w:lang w:val="en-US"/>
        </w:rPr>
        <w:t>Canada Evidence Act</w:t>
      </w:r>
      <w:r w:rsidRPr="00B35E92">
        <w:rPr>
          <w:lang w:val="en-US"/>
        </w:rPr>
        <w:t>, R.S.C. 1985, c. C-5, s. 39.</w:t>
      </w:r>
    </w:p>
    <w:p w14:paraId="29E801AE" w14:textId="53A564D2" w:rsidR="009B48B4" w:rsidRPr="00B35E92" w:rsidRDefault="009B48B4" w:rsidP="008B260B">
      <w:pPr>
        <w:pStyle w:val="SCCNormalDoubleSpacing"/>
        <w:spacing w:after="240" w:line="240" w:lineRule="auto"/>
        <w:ind w:left="540" w:hanging="540"/>
        <w:rPr>
          <w:lang w:val="en-US"/>
        </w:rPr>
      </w:pPr>
      <w:r w:rsidRPr="00B35E92">
        <w:rPr>
          <w:i/>
          <w:lang w:val="en-US"/>
        </w:rPr>
        <w:t>Freedom of Information and Protection of Privacy Act</w:t>
      </w:r>
      <w:r w:rsidRPr="00B35E92">
        <w:rPr>
          <w:lang w:val="en-US"/>
        </w:rPr>
        <w:t>, C.C.S.M</w:t>
      </w:r>
      <w:r w:rsidR="00851216" w:rsidRPr="00B35E92">
        <w:rPr>
          <w:lang w:val="en-US"/>
        </w:rPr>
        <w:t>.</w:t>
      </w:r>
      <w:r w:rsidR="00A37DAE" w:rsidRPr="00B35E92">
        <w:rPr>
          <w:lang w:val="en-US"/>
        </w:rPr>
        <w:t>,</w:t>
      </w:r>
      <w:r w:rsidRPr="00B35E92">
        <w:rPr>
          <w:lang w:val="en-US"/>
        </w:rPr>
        <w:t xml:space="preserve"> c. F175, s. 19</w:t>
      </w:r>
      <w:r w:rsidR="00143960" w:rsidRPr="00B35E92">
        <w:rPr>
          <w:lang w:val="en-US"/>
        </w:rPr>
        <w:t>.</w:t>
      </w:r>
    </w:p>
    <w:p w14:paraId="30B78907" w14:textId="43521AD4" w:rsidR="00CF40ED" w:rsidRPr="00B35E92" w:rsidRDefault="00CF40ED" w:rsidP="008B260B">
      <w:pPr>
        <w:pStyle w:val="SCCNormalDoubleSpacing"/>
        <w:spacing w:after="240" w:line="240" w:lineRule="auto"/>
        <w:ind w:left="540" w:hanging="540"/>
      </w:pPr>
      <w:r w:rsidRPr="00B35E92">
        <w:rPr>
          <w:i/>
        </w:rPr>
        <w:t>Freedom of Information and Protection of Privacy Act</w:t>
      </w:r>
      <w:r w:rsidRPr="00B35E92">
        <w:t>, R.S.A. 2000, c.</w:t>
      </w:r>
      <w:r w:rsidR="009B48B4" w:rsidRPr="00B35E92">
        <w:t> </w:t>
      </w:r>
      <w:r w:rsidR="002E3CB1" w:rsidRPr="00B35E92">
        <w:t>F</w:t>
      </w:r>
      <w:r w:rsidR="002E3CB1" w:rsidRPr="00B35E92">
        <w:noBreakHyphen/>
      </w:r>
      <w:r w:rsidRPr="00B35E92">
        <w:t>25, s. 22.</w:t>
      </w:r>
    </w:p>
    <w:p w14:paraId="72571E67" w14:textId="5A53CBAB" w:rsidR="001D1A06" w:rsidRPr="00B35E92" w:rsidRDefault="001D1A06" w:rsidP="008B260B">
      <w:pPr>
        <w:pStyle w:val="SCCNormalDoubleSpacing"/>
        <w:spacing w:after="240" w:line="240" w:lineRule="auto"/>
        <w:ind w:left="540" w:hanging="540"/>
        <w:rPr>
          <w:lang w:val="en-US"/>
        </w:rPr>
      </w:pPr>
      <w:r w:rsidRPr="00B35E92">
        <w:rPr>
          <w:i/>
          <w:lang w:val="en-US"/>
        </w:rPr>
        <w:t>Freedom of Information and Protection of Privacy Act</w:t>
      </w:r>
      <w:r w:rsidRPr="00B35E92">
        <w:rPr>
          <w:lang w:val="en-US"/>
        </w:rPr>
        <w:t>, R.S.B.C. 1996, c.</w:t>
      </w:r>
      <w:r w:rsidR="009B48B4" w:rsidRPr="00B35E92">
        <w:rPr>
          <w:lang w:val="en-US"/>
        </w:rPr>
        <w:t> </w:t>
      </w:r>
      <w:r w:rsidRPr="00B35E92">
        <w:rPr>
          <w:lang w:val="en-US"/>
        </w:rPr>
        <w:t>165, s. 12</w:t>
      </w:r>
      <w:r w:rsidR="00310E20" w:rsidRPr="00B35E92">
        <w:rPr>
          <w:lang w:val="en-US"/>
        </w:rPr>
        <w:t>.</w:t>
      </w:r>
    </w:p>
    <w:p w14:paraId="5B27C419" w14:textId="5B3818F6" w:rsidR="00CF40ED" w:rsidRPr="00B35E92" w:rsidRDefault="00B0006C" w:rsidP="008B260B">
      <w:pPr>
        <w:pStyle w:val="SCCNormalDoubleSpacing"/>
        <w:spacing w:after="240" w:line="240" w:lineRule="auto"/>
        <w:ind w:left="540" w:hanging="540"/>
        <w:rPr>
          <w:lang w:val="en-US"/>
        </w:rPr>
      </w:pPr>
      <w:r w:rsidRPr="00B35E92">
        <w:rPr>
          <w:i/>
          <w:lang w:val="en-US"/>
        </w:rPr>
        <w:t>Freedom of Information and Protection of Privacy Act</w:t>
      </w:r>
      <w:r w:rsidRPr="00B35E92">
        <w:rPr>
          <w:lang w:val="en-US"/>
        </w:rPr>
        <w:t xml:space="preserve">, </w:t>
      </w:r>
      <w:r w:rsidR="009B48B4" w:rsidRPr="00B35E92">
        <w:t>R.S.O. 1990, c. </w:t>
      </w:r>
      <w:r w:rsidRPr="00B35E92">
        <w:t>F.31, s</w:t>
      </w:r>
      <w:r w:rsidR="00ED23DF" w:rsidRPr="00B35E92">
        <w:t>s</w:t>
      </w:r>
      <w:r w:rsidRPr="00B35E92">
        <w:t>. </w:t>
      </w:r>
      <w:r w:rsidR="00183EB2" w:rsidRPr="00B35E92">
        <w:t xml:space="preserve">1(a)(ii), </w:t>
      </w:r>
      <w:r w:rsidR="00874AB8" w:rsidRPr="00B35E92">
        <w:rPr>
          <w:lang w:val="en-US"/>
        </w:rPr>
        <w:t>12</w:t>
      </w:r>
      <w:r w:rsidR="00C25B17" w:rsidRPr="00B35E92">
        <w:rPr>
          <w:lang w:val="en-US"/>
        </w:rPr>
        <w:t>(1)</w:t>
      </w:r>
      <w:r w:rsidR="00ED23DF" w:rsidRPr="00B35E92">
        <w:rPr>
          <w:lang w:val="en-US"/>
        </w:rPr>
        <w:t>, 16, 20, 21</w:t>
      </w:r>
      <w:r w:rsidRPr="00B35E92">
        <w:rPr>
          <w:lang w:val="en-US"/>
        </w:rPr>
        <w:t>.</w:t>
      </w:r>
    </w:p>
    <w:p w14:paraId="4B06E394" w14:textId="05A48973" w:rsidR="000B60A6" w:rsidRPr="00B35E92" w:rsidRDefault="000B60A6" w:rsidP="008B260B">
      <w:pPr>
        <w:pStyle w:val="SCCNormalDoubleSpacing"/>
        <w:spacing w:after="240" w:line="240" w:lineRule="auto"/>
        <w:ind w:left="540" w:hanging="540"/>
        <w:rPr>
          <w:lang w:val="en-US"/>
        </w:rPr>
      </w:pPr>
      <w:r w:rsidRPr="00B35E92">
        <w:rPr>
          <w:i/>
          <w:lang w:val="en-US"/>
        </w:rPr>
        <w:t>Freedom of Information and Protection of Privacy Act</w:t>
      </w:r>
      <w:r w:rsidRPr="00B35E92">
        <w:rPr>
          <w:lang w:val="en-US"/>
        </w:rPr>
        <w:t>, S.N.S. 1993, c. 5, s. 13.</w:t>
      </w:r>
    </w:p>
    <w:p w14:paraId="17DBFA7A" w14:textId="4D3F6B21" w:rsidR="00310E20" w:rsidRPr="00B35E92" w:rsidRDefault="00310E20" w:rsidP="008B260B">
      <w:pPr>
        <w:pStyle w:val="SCCNormalDoubleSpacing"/>
        <w:spacing w:after="240" w:line="240" w:lineRule="auto"/>
        <w:ind w:left="540" w:hanging="540"/>
        <w:rPr>
          <w:lang w:val="en-US"/>
        </w:rPr>
      </w:pPr>
      <w:r w:rsidRPr="00B35E92">
        <w:rPr>
          <w:i/>
          <w:lang w:val="en-US"/>
        </w:rPr>
        <w:t>Freedom of Information and Protection of Privacy Act</w:t>
      </w:r>
      <w:r w:rsidR="00B9278C" w:rsidRPr="00B35E92">
        <w:rPr>
          <w:lang w:val="en-US"/>
        </w:rPr>
        <w:t xml:space="preserve">, </w:t>
      </w:r>
      <w:r w:rsidRPr="00B35E92">
        <w:rPr>
          <w:lang w:val="en-US"/>
        </w:rPr>
        <w:t>S.P.E.I.</w:t>
      </w:r>
      <w:r w:rsidR="00B9278C" w:rsidRPr="00B35E92">
        <w:rPr>
          <w:lang w:val="en-US"/>
        </w:rPr>
        <w:t xml:space="preserve"> 2001</w:t>
      </w:r>
      <w:r w:rsidRPr="00B35E92">
        <w:rPr>
          <w:lang w:val="en-US"/>
        </w:rPr>
        <w:t>, c</w:t>
      </w:r>
      <w:r w:rsidR="00B9278C" w:rsidRPr="00B35E92">
        <w:rPr>
          <w:lang w:val="en-US"/>
        </w:rPr>
        <w:t>. 37</w:t>
      </w:r>
      <w:r w:rsidRPr="00B35E92">
        <w:rPr>
          <w:lang w:val="en-US"/>
        </w:rPr>
        <w:t>, s. 20.</w:t>
      </w:r>
    </w:p>
    <w:p w14:paraId="5D071898" w14:textId="092269CE" w:rsidR="00F86C7F" w:rsidRPr="00B35E92" w:rsidRDefault="00F86C7F" w:rsidP="005449E2">
      <w:pPr>
        <w:pStyle w:val="SCCNormalDoubleSpacing"/>
        <w:spacing w:after="720" w:line="240" w:lineRule="auto"/>
        <w:ind w:left="540" w:hanging="540"/>
        <w:rPr>
          <w:lang w:val="en-US"/>
        </w:rPr>
      </w:pPr>
      <w:r w:rsidRPr="00B35E92">
        <w:rPr>
          <w:i/>
          <w:lang w:val="en-US"/>
        </w:rPr>
        <w:t>Freedom of Information and Protection of Privacy Act</w:t>
      </w:r>
      <w:r w:rsidRPr="00B35E92">
        <w:rPr>
          <w:lang w:val="en-US"/>
        </w:rPr>
        <w:t>, S.S.</w:t>
      </w:r>
      <w:r w:rsidR="008B260B" w:rsidRPr="00B35E92">
        <w:rPr>
          <w:lang w:val="en-US"/>
        </w:rPr>
        <w:t xml:space="preserve"> 1990</w:t>
      </w:r>
      <w:r w:rsidR="008B260B" w:rsidRPr="00B35E92">
        <w:rPr>
          <w:lang w:val="en-US"/>
        </w:rPr>
        <w:noBreakHyphen/>
      </w:r>
      <w:r w:rsidRPr="00B35E92">
        <w:rPr>
          <w:lang w:val="en-US"/>
        </w:rPr>
        <w:t>91, c. </w:t>
      </w:r>
      <w:r w:rsidR="008B260B" w:rsidRPr="00B35E92">
        <w:rPr>
          <w:lang w:val="en-US"/>
        </w:rPr>
        <w:t>F</w:t>
      </w:r>
      <w:r w:rsidR="008B260B" w:rsidRPr="00B35E92">
        <w:rPr>
          <w:lang w:val="en-US"/>
        </w:rPr>
        <w:noBreakHyphen/>
      </w:r>
      <w:r w:rsidRPr="00B35E92">
        <w:rPr>
          <w:lang w:val="en-US"/>
        </w:rPr>
        <w:t>22.01, s. 16.</w:t>
      </w:r>
    </w:p>
    <w:p w14:paraId="17B2E533" w14:textId="77777777" w:rsidR="002E6705" w:rsidRPr="00B35E92" w:rsidRDefault="002E6705" w:rsidP="005449E2">
      <w:pPr>
        <w:pStyle w:val="SCCNormalDoubleSpacing"/>
        <w:spacing w:after="720" w:line="240" w:lineRule="auto"/>
        <w:rPr>
          <w:b/>
        </w:rPr>
      </w:pPr>
      <w:r w:rsidRPr="00B35E92">
        <w:rPr>
          <w:b/>
        </w:rPr>
        <w:t>Authors Cited</w:t>
      </w:r>
    </w:p>
    <w:p w14:paraId="12678853" w14:textId="47198098" w:rsidR="003B7D00" w:rsidRPr="00B35E92" w:rsidRDefault="003B7D00" w:rsidP="008B260B">
      <w:pPr>
        <w:pStyle w:val="SCCNormalDoubleSpacing"/>
        <w:spacing w:after="240" w:line="240" w:lineRule="auto"/>
        <w:ind w:left="540" w:hanging="540"/>
      </w:pPr>
      <w:r w:rsidRPr="00B35E92">
        <w:rPr>
          <w:lang w:val="en-US"/>
        </w:rPr>
        <w:t>Bakvis,</w:t>
      </w:r>
      <w:r w:rsidR="00362407" w:rsidRPr="00B35E92">
        <w:rPr>
          <w:lang w:val="en-US"/>
        </w:rPr>
        <w:t xml:space="preserve"> Herman.</w:t>
      </w:r>
      <w:r w:rsidRPr="00B35E92">
        <w:rPr>
          <w:lang w:val="en-US"/>
        </w:rPr>
        <w:t xml:space="preserve"> “Prime Minister and Cabinet in Canada: An Autocracy in Need of Reform?” (2000), 35:4 </w:t>
      </w:r>
      <w:r w:rsidRPr="00B35E92">
        <w:rPr>
          <w:i/>
          <w:lang w:val="en-US"/>
        </w:rPr>
        <w:t>J. Can. Stud.</w:t>
      </w:r>
      <w:r w:rsidRPr="00B35E92">
        <w:rPr>
          <w:lang w:val="en-US"/>
        </w:rPr>
        <w:t xml:space="preserve"> 60.</w:t>
      </w:r>
    </w:p>
    <w:p w14:paraId="4A066DF8" w14:textId="25A46B7D" w:rsidR="005D6037" w:rsidRPr="00B35E92" w:rsidRDefault="005D6037" w:rsidP="008B260B">
      <w:pPr>
        <w:pStyle w:val="SCCNormalDoubleSpacing"/>
        <w:spacing w:after="240" w:line="240" w:lineRule="auto"/>
        <w:ind w:left="540" w:hanging="540"/>
      </w:pPr>
      <w:r w:rsidRPr="00B35E92">
        <w:t xml:space="preserve">Brooks, Stephen. </w:t>
      </w:r>
      <w:r w:rsidRPr="00B35E92">
        <w:rPr>
          <w:i/>
        </w:rPr>
        <w:t>Canadian Democracy</w:t>
      </w:r>
      <w:r w:rsidR="002E3CB1" w:rsidRPr="00B35E92">
        <w:t xml:space="preserve">, 9th </w:t>
      </w:r>
      <w:r w:rsidRPr="00B35E92">
        <w:t xml:space="preserve">ed. </w:t>
      </w:r>
      <w:r w:rsidRPr="00B35E92">
        <w:rPr>
          <w:color w:val="000000"/>
        </w:rPr>
        <w:t>Don Mills, Ont.</w:t>
      </w:r>
      <w:r w:rsidRPr="00B35E92">
        <w:rPr>
          <w:lang w:val="en-US"/>
        </w:rPr>
        <w:t>: Oxford University Press</w:t>
      </w:r>
      <w:r w:rsidRPr="00B35E92">
        <w:t>, 2020.</w:t>
      </w:r>
    </w:p>
    <w:p w14:paraId="09DA79DA" w14:textId="0A400F20" w:rsidR="00B72DCF" w:rsidRPr="00B35E92" w:rsidRDefault="00B72DCF" w:rsidP="008B260B">
      <w:pPr>
        <w:pStyle w:val="SCCNormalDoubleSpacing"/>
        <w:spacing w:after="240" w:line="240" w:lineRule="auto"/>
        <w:ind w:left="540" w:hanging="540"/>
        <w:rPr>
          <w:lang w:val="en-US"/>
        </w:rPr>
      </w:pPr>
      <w:r w:rsidRPr="00B35E92">
        <w:t xml:space="preserve">Campagnolo, Yan. </w:t>
      </w:r>
      <w:r w:rsidRPr="00B35E92">
        <w:rPr>
          <w:i/>
          <w:lang w:val="en-US"/>
        </w:rPr>
        <w:t>Behind Closed Doors: The Law and Politics of Cabinet Secrecy</w:t>
      </w:r>
      <w:r w:rsidRPr="00B35E92">
        <w:rPr>
          <w:lang w:val="en-US"/>
        </w:rPr>
        <w:t>. Vancouver: UBC Press, 2021.</w:t>
      </w:r>
    </w:p>
    <w:p w14:paraId="56CF0DFB" w14:textId="33D255B7" w:rsidR="008003CC" w:rsidRPr="00B35E92" w:rsidRDefault="008003CC" w:rsidP="008B260B">
      <w:pPr>
        <w:pStyle w:val="SCCNormalDoubleSpacing"/>
        <w:spacing w:after="240" w:line="240" w:lineRule="auto"/>
        <w:ind w:left="540" w:hanging="540"/>
      </w:pPr>
      <w:r w:rsidRPr="00B35E92">
        <w:t xml:space="preserve">Campagnolo, Yan. “The Political Legitimacy of Cabinet Secrecy” (2017), 51 </w:t>
      </w:r>
      <w:r w:rsidRPr="00B35E92">
        <w:rPr>
          <w:i/>
        </w:rPr>
        <w:t>R.J.T.U.M.</w:t>
      </w:r>
      <w:r w:rsidRPr="00B35E92">
        <w:t xml:space="preserve"> 51.</w:t>
      </w:r>
    </w:p>
    <w:p w14:paraId="7C51A137" w14:textId="7FBEEBE5" w:rsidR="006B62BC" w:rsidRPr="00B35E92" w:rsidRDefault="006B62BC" w:rsidP="008B260B">
      <w:pPr>
        <w:pStyle w:val="SCCNormalDoubleSpacing"/>
        <w:spacing w:after="240" w:line="240" w:lineRule="auto"/>
        <w:ind w:left="540" w:hanging="540"/>
      </w:pPr>
      <w:r w:rsidRPr="00B35E92">
        <w:t xml:space="preserve">Canada. </w:t>
      </w:r>
      <w:r w:rsidRPr="00B35E92">
        <w:rPr>
          <w:lang w:val="en-US"/>
        </w:rPr>
        <w:t xml:space="preserve">Privy Council Office. </w:t>
      </w:r>
      <w:r w:rsidRPr="00B35E92">
        <w:rPr>
          <w:i/>
          <w:lang w:val="en-US"/>
        </w:rPr>
        <w:t>A drafter’s guide to cabinet documents</w:t>
      </w:r>
      <w:r w:rsidRPr="00B35E92">
        <w:rPr>
          <w:lang w:val="en-US"/>
        </w:rPr>
        <w:t>. Ottawa, 2013.</w:t>
      </w:r>
    </w:p>
    <w:p w14:paraId="53132009" w14:textId="2B9D41D5" w:rsidR="00B9623F" w:rsidRPr="00B35E92" w:rsidRDefault="00B9623F" w:rsidP="008B260B">
      <w:pPr>
        <w:pStyle w:val="SCCNormalDoubleSpacing"/>
        <w:spacing w:after="240" w:line="240" w:lineRule="auto"/>
        <w:ind w:left="540" w:hanging="540"/>
        <w:rPr>
          <w:lang w:val="en-US"/>
        </w:rPr>
      </w:pPr>
      <w:r w:rsidRPr="00B35E92">
        <w:t xml:space="preserve">d’Ombrain, Nicholas. “Cabinet secrecy” (2004), 47 </w:t>
      </w:r>
      <w:r w:rsidRPr="00B35E92">
        <w:rPr>
          <w:i/>
        </w:rPr>
        <w:t>C</w:t>
      </w:r>
      <w:r w:rsidR="00DD0510" w:rsidRPr="00B35E92">
        <w:rPr>
          <w:i/>
        </w:rPr>
        <w:t>an.</w:t>
      </w:r>
      <w:r w:rsidR="00E155C1" w:rsidRPr="00B35E92">
        <w:rPr>
          <w:i/>
        </w:rPr>
        <w:t xml:space="preserve"> Pub. Adm</w:t>
      </w:r>
      <w:r w:rsidR="007F6762" w:rsidRPr="00B35E92">
        <w:rPr>
          <w:i/>
        </w:rPr>
        <w:t>in</w:t>
      </w:r>
      <w:r w:rsidR="00E155C1" w:rsidRPr="00B35E92">
        <w:rPr>
          <w:i/>
        </w:rPr>
        <w:t>.</w:t>
      </w:r>
      <w:r w:rsidRPr="00B35E92">
        <w:t xml:space="preserve"> 332.</w:t>
      </w:r>
    </w:p>
    <w:p w14:paraId="5AAD0056" w14:textId="14CF2F75" w:rsidR="00104DD1" w:rsidRPr="00B35E92" w:rsidRDefault="00104DD1" w:rsidP="008B260B">
      <w:pPr>
        <w:pStyle w:val="SCCNormalDoubleSpacing"/>
        <w:spacing w:after="240" w:line="240" w:lineRule="auto"/>
        <w:ind w:left="540" w:hanging="540"/>
        <w:rPr>
          <w:lang w:val="en-US"/>
        </w:rPr>
      </w:pPr>
      <w:r w:rsidRPr="00B35E92">
        <w:rPr>
          <w:lang w:val="en-US"/>
        </w:rPr>
        <w:t xml:space="preserve">Heard, Andrew. </w:t>
      </w:r>
      <w:r w:rsidRPr="00B35E92">
        <w:rPr>
          <w:i/>
          <w:lang w:val="en-US"/>
        </w:rPr>
        <w:t>Canadian Constitutional Conventions: The Marriage of Law &amp; Politics</w:t>
      </w:r>
      <w:r w:rsidRPr="00B35E92">
        <w:rPr>
          <w:lang w:val="en-US"/>
        </w:rPr>
        <w:t xml:space="preserve">, 2nd ed. </w:t>
      </w:r>
      <w:r w:rsidRPr="00B35E92">
        <w:rPr>
          <w:color w:val="000000"/>
        </w:rPr>
        <w:t>Don Mills, Ont.</w:t>
      </w:r>
      <w:r w:rsidRPr="00B35E92">
        <w:rPr>
          <w:lang w:val="en-US"/>
        </w:rPr>
        <w:t>: Oxford University Press, 2014.</w:t>
      </w:r>
    </w:p>
    <w:p w14:paraId="48EC0044" w14:textId="5D0922D1" w:rsidR="007A18FA" w:rsidRPr="00B35E92" w:rsidRDefault="008B260B" w:rsidP="008B260B">
      <w:pPr>
        <w:pStyle w:val="SCCNormalDoubleSpacing"/>
        <w:spacing w:after="240" w:line="240" w:lineRule="auto"/>
        <w:ind w:left="540" w:hanging="540"/>
      </w:pPr>
      <w:r w:rsidRPr="00B35E92">
        <w:rPr>
          <w:lang w:val="en-US"/>
        </w:rPr>
        <w:t>Hogg, Peter W., and Wade </w:t>
      </w:r>
      <w:r w:rsidR="007A18FA" w:rsidRPr="00B35E92">
        <w:rPr>
          <w:lang w:val="en-US"/>
        </w:rPr>
        <w:t xml:space="preserve">K. Wright. </w:t>
      </w:r>
      <w:r w:rsidR="007A18FA" w:rsidRPr="00B35E92">
        <w:rPr>
          <w:i/>
          <w:lang w:val="en-US"/>
        </w:rPr>
        <w:t>Constitutional Law of Canada</w:t>
      </w:r>
      <w:r w:rsidR="007A18FA" w:rsidRPr="00B35E92">
        <w:rPr>
          <w:lang w:val="en-US"/>
        </w:rPr>
        <w:t xml:space="preserve">, 5th ed. </w:t>
      </w:r>
      <w:r w:rsidR="007A18FA" w:rsidRPr="00B35E92">
        <w:t>Supp. Toronto: Thomson Reuters, 2023 (updated 2023, release 1).</w:t>
      </w:r>
    </w:p>
    <w:p w14:paraId="0046FA32" w14:textId="4F8641CA" w:rsidR="00A149DF" w:rsidRPr="00B35E92" w:rsidRDefault="009C1714" w:rsidP="008B260B">
      <w:pPr>
        <w:pStyle w:val="SCCNormalDoubleSpacing"/>
        <w:spacing w:after="240" w:line="240" w:lineRule="auto"/>
        <w:ind w:left="540" w:hanging="540"/>
      </w:pPr>
      <w:r w:rsidRPr="00B35E92">
        <w:t xml:space="preserve">Ontario. Commission on Freedom of Information and Individual Privacy. </w:t>
      </w:r>
      <w:r w:rsidRPr="00B35E92">
        <w:rPr>
          <w:i/>
        </w:rPr>
        <w:t>Public Government for Private People: The Report of the Commission on Freedom of Information and Individual Privacy</w:t>
      </w:r>
      <w:r w:rsidR="00426331" w:rsidRPr="00B35E92">
        <w:t>. Toronto</w:t>
      </w:r>
      <w:r w:rsidR="00DF6F8A" w:rsidRPr="00B35E92">
        <w:t>, 1980.</w:t>
      </w:r>
    </w:p>
    <w:p w14:paraId="487538B2" w14:textId="56211C1D" w:rsidR="00830A6F" w:rsidRPr="00B35E92" w:rsidRDefault="00830A6F" w:rsidP="008B260B">
      <w:pPr>
        <w:pStyle w:val="SCCNormalDoubleSpacing"/>
        <w:spacing w:after="240" w:line="240" w:lineRule="auto"/>
        <w:ind w:left="540" w:hanging="540"/>
        <w:rPr>
          <w:lang w:val="en-US"/>
        </w:rPr>
      </w:pPr>
      <w:r w:rsidRPr="00B35E92">
        <w:rPr>
          <w:color w:val="000000"/>
        </w:rPr>
        <w:t xml:space="preserve">Ontario. Legislative Assembly. </w:t>
      </w:r>
      <w:r w:rsidRPr="00B35E92">
        <w:rPr>
          <w:i/>
          <w:iCs/>
          <w:color w:val="000000"/>
        </w:rPr>
        <w:t>Official Report of Debates (Hansard)</w:t>
      </w:r>
      <w:r w:rsidR="0019644E" w:rsidRPr="00B35E92">
        <w:rPr>
          <w:color w:val="000000"/>
        </w:rPr>
        <w:t>, No. 21, 1st </w:t>
      </w:r>
      <w:r w:rsidRPr="00B35E92">
        <w:rPr>
          <w:color w:val="000000"/>
        </w:rPr>
        <w:t>Sess., 33rd Parl., July</w:t>
      </w:r>
      <w:r w:rsidR="002E3CB1" w:rsidRPr="00B35E92">
        <w:rPr>
          <w:color w:val="000000"/>
        </w:rPr>
        <w:t> </w:t>
      </w:r>
      <w:r w:rsidRPr="00B35E92">
        <w:rPr>
          <w:color w:val="000000"/>
        </w:rPr>
        <w:t xml:space="preserve">12, 1985, </w:t>
      </w:r>
      <w:r w:rsidR="00122D9B" w:rsidRPr="00B35E92">
        <w:rPr>
          <w:color w:val="000000"/>
        </w:rPr>
        <w:t>p</w:t>
      </w:r>
      <w:r w:rsidRPr="00B35E92">
        <w:rPr>
          <w:color w:val="000000"/>
        </w:rPr>
        <w:t>p. </w:t>
      </w:r>
      <w:r w:rsidR="00122D9B" w:rsidRPr="00B35E92">
        <w:rPr>
          <w:color w:val="000000"/>
        </w:rPr>
        <w:t>753-55</w:t>
      </w:r>
      <w:r w:rsidRPr="00B35E92">
        <w:rPr>
          <w:color w:val="000000"/>
        </w:rPr>
        <w:t>.</w:t>
      </w:r>
    </w:p>
    <w:p w14:paraId="36784A09" w14:textId="6AA685B6" w:rsidR="005B5E15" w:rsidRPr="00B35E92" w:rsidRDefault="005B5E15" w:rsidP="008B260B">
      <w:pPr>
        <w:pStyle w:val="SCCNormalDoubleSpacing"/>
        <w:spacing w:after="240" w:line="240" w:lineRule="auto"/>
        <w:ind w:left="540" w:hanging="540"/>
      </w:pPr>
      <w:r w:rsidRPr="00B35E92">
        <w:rPr>
          <w:lang w:val="en-US"/>
        </w:rPr>
        <w:t xml:space="preserve">Ontario. Office of the Premier. </w:t>
      </w:r>
      <w:r w:rsidRPr="00B35E92">
        <w:rPr>
          <w:i/>
          <w:lang w:val="en-US"/>
        </w:rPr>
        <w:t>A Government for the People: Speech from the Throne</w:t>
      </w:r>
      <w:r w:rsidR="008B260B" w:rsidRPr="00B35E92">
        <w:rPr>
          <w:lang w:val="en-US"/>
        </w:rPr>
        <w:t>, July </w:t>
      </w:r>
      <w:r w:rsidRPr="00B35E92">
        <w:rPr>
          <w:lang w:val="en-US"/>
        </w:rPr>
        <w:t xml:space="preserve">12, 2018 (online: https://news.ontario.ca/en/speech/49713/a-government-for-the-people; archived version: </w:t>
      </w:r>
      <w:hyperlink r:id="rId9" w:history="1">
        <w:r w:rsidRPr="007E5885">
          <w:rPr>
            <w:rStyle w:val="Hyperlink"/>
            <w:lang w:val="en-US"/>
          </w:rPr>
          <w:t>htt</w:t>
        </w:r>
        <w:r w:rsidR="00CA7230" w:rsidRPr="007E5885">
          <w:rPr>
            <w:rStyle w:val="Hyperlink"/>
            <w:lang w:val="en-US"/>
          </w:rPr>
          <w:t>ps://www.scc-csc.ca/cso-dce/2024</w:t>
        </w:r>
        <w:r w:rsidRPr="007E5885">
          <w:rPr>
            <w:rStyle w:val="Hyperlink"/>
            <w:lang w:val="en-US"/>
          </w:rPr>
          <w:t>SCC-CSC</w:t>
        </w:r>
        <w:r w:rsidR="00133F8D" w:rsidRPr="007E5885">
          <w:rPr>
            <w:rStyle w:val="Hyperlink"/>
            <w:lang w:val="en-US"/>
          </w:rPr>
          <w:t>4</w:t>
        </w:r>
        <w:r w:rsidRPr="007E5885">
          <w:rPr>
            <w:rStyle w:val="Hyperlink"/>
            <w:lang w:val="en-US"/>
          </w:rPr>
          <w:t>_1_eng.pdf</w:t>
        </w:r>
      </w:hyperlink>
      <w:r w:rsidRPr="00B35E92">
        <w:rPr>
          <w:lang w:val="en-US"/>
        </w:rPr>
        <w:t>)</w:t>
      </w:r>
      <w:r w:rsidR="00DE1691" w:rsidRPr="00B35E92">
        <w:rPr>
          <w:lang w:val="en-US"/>
        </w:rPr>
        <w:t>.</w:t>
      </w:r>
    </w:p>
    <w:p w14:paraId="6730A4F6" w14:textId="2E6FDC93" w:rsidR="002532CA" w:rsidRPr="00B35E92" w:rsidRDefault="002532CA" w:rsidP="008B260B">
      <w:pPr>
        <w:pStyle w:val="SCCNormalDoubleSpacing"/>
        <w:spacing w:after="240" w:line="240" w:lineRule="auto"/>
        <w:ind w:left="540" w:hanging="540"/>
        <w:rPr>
          <w:lang w:val="en-US"/>
        </w:rPr>
      </w:pPr>
      <w:r w:rsidRPr="00B35E92">
        <w:t xml:space="preserve">Schacter, Mark, and Phillip Haid. </w:t>
      </w:r>
      <w:r w:rsidRPr="00B35E92">
        <w:rPr>
          <w:i/>
        </w:rPr>
        <w:t>Cabinet Decision-Making in Canada: Lessons and Practices</w:t>
      </w:r>
      <w:r w:rsidRPr="00B35E92">
        <w:t>. Ottawa: Institute on Governance,</w:t>
      </w:r>
      <w:r w:rsidRPr="00B35E92">
        <w:rPr>
          <w:i/>
        </w:rPr>
        <w:t xml:space="preserve"> </w:t>
      </w:r>
      <w:r w:rsidRPr="00B35E92">
        <w:t>1999.</w:t>
      </w:r>
    </w:p>
    <w:p w14:paraId="7BC93162" w14:textId="0E524C9C" w:rsidR="00667553" w:rsidRPr="00B35E92" w:rsidRDefault="00667553" w:rsidP="005449E2">
      <w:pPr>
        <w:pStyle w:val="SCCNormalDoubleSpacing"/>
        <w:spacing w:after="720" w:line="240" w:lineRule="auto"/>
        <w:ind w:left="540" w:hanging="540"/>
      </w:pPr>
      <w:r w:rsidRPr="00B35E92">
        <w:rPr>
          <w:lang w:val="en-US"/>
        </w:rPr>
        <w:t xml:space="preserve">White, Graham. </w:t>
      </w:r>
      <w:r w:rsidRPr="00B35E92">
        <w:rPr>
          <w:i/>
          <w:lang w:val="en-US"/>
        </w:rPr>
        <w:t>Cabinets and First Ministers</w:t>
      </w:r>
      <w:r w:rsidRPr="00B35E92">
        <w:rPr>
          <w:lang w:val="en-US"/>
        </w:rPr>
        <w:t>. Vancouver: UBC Press, 2005.</w:t>
      </w:r>
    </w:p>
    <w:p w14:paraId="12E59516" w14:textId="0340152A" w:rsidR="00656313" w:rsidRPr="00B35E92" w:rsidRDefault="009B57B3" w:rsidP="005449E2">
      <w:pPr>
        <w:pStyle w:val="SCCNormalDoubleSpacing"/>
        <w:spacing w:after="480"/>
      </w:pPr>
      <w:r w:rsidRPr="00B35E92">
        <w:tab/>
        <w:t xml:space="preserve">APPEAL from a judgment of the </w:t>
      </w:r>
      <w:r w:rsidR="00B22F3E" w:rsidRPr="00B35E92">
        <w:t xml:space="preserve">Ontario </w:t>
      </w:r>
      <w:r w:rsidRPr="00B35E92">
        <w:t xml:space="preserve">Court of Appeal </w:t>
      </w:r>
      <w:r w:rsidR="00B22F3E" w:rsidRPr="00B35E92">
        <w:t>(Gillese, Lauwers and Sossin JJ.A.),</w:t>
      </w:r>
      <w:r w:rsidR="00B22F3E" w:rsidRPr="00B35E92">
        <w:rPr>
          <w:rFonts w:ascii="Georgia" w:hAnsi="Georgia"/>
          <w:color w:val="212121"/>
          <w:sz w:val="21"/>
          <w:szCs w:val="21"/>
        </w:rPr>
        <w:t xml:space="preserve"> </w:t>
      </w:r>
      <w:hyperlink r:id="rId10" w:history="1">
        <w:r w:rsidR="00B22F3E" w:rsidRPr="00B35E92">
          <w:rPr>
            <w:rStyle w:val="Hyperlink"/>
          </w:rPr>
          <w:t>2022 ONCA 74</w:t>
        </w:r>
      </w:hyperlink>
      <w:r w:rsidR="00B22F3E" w:rsidRPr="00B35E92">
        <w:t>, 160 O.R. (3d) 481, 465 D.L.R. (4th) 707, 93 Admin. L.R. (6th) 17, [2022] O.J. No. 430</w:t>
      </w:r>
      <w:r w:rsidR="002238DC" w:rsidRPr="00B35E92">
        <w:t xml:space="preserve"> (Lexis</w:t>
      </w:r>
      <w:r w:rsidR="00B22F3E" w:rsidRPr="00B35E92">
        <w:t>), 2022 CarswellOnt 859 (WL), affirming a decision of Swinton, Penny and</w:t>
      </w:r>
      <w:r w:rsidR="002E3CB1" w:rsidRPr="00B35E92">
        <w:t xml:space="preserve"> Kristjanson </w:t>
      </w:r>
      <w:r w:rsidR="00B22F3E" w:rsidRPr="00B35E92">
        <w:t>JJ., 2020 ONSC 5085, 93 Admin. L.R. (6th) 1, [2020] O.J. No. 3606</w:t>
      </w:r>
      <w:r w:rsidR="002238DC" w:rsidRPr="00B35E92">
        <w:t xml:space="preserve"> (</w:t>
      </w:r>
      <w:r w:rsidR="00B22F3E" w:rsidRPr="00B35E92">
        <w:t>L</w:t>
      </w:r>
      <w:r w:rsidR="002238DC" w:rsidRPr="00B35E92">
        <w:t>exis</w:t>
      </w:r>
      <w:r w:rsidR="00B22F3E" w:rsidRPr="00B35E92">
        <w:t>), 2020 CarswellOnt 12185 (WL)</w:t>
      </w:r>
      <w:r w:rsidR="00F07C9F" w:rsidRPr="00B35E92">
        <w:t>, affirming a decision of the Information and Privacy Commissioner</w:t>
      </w:r>
      <w:r w:rsidR="007F3436" w:rsidRPr="00B35E92">
        <w:t xml:space="preserve"> of Ontario</w:t>
      </w:r>
      <w:r w:rsidR="00F07C9F" w:rsidRPr="00B35E92">
        <w:t>, Order PO</w:t>
      </w:r>
      <w:r w:rsidR="00F07C9F" w:rsidRPr="00B35E92">
        <w:noBreakHyphen/>
        <w:t>3973</w:t>
      </w:r>
      <w:r w:rsidR="00407F45" w:rsidRPr="00B35E92">
        <w:t xml:space="preserve">, </w:t>
      </w:r>
      <w:r w:rsidR="000E4917" w:rsidRPr="00B35E92">
        <w:t xml:space="preserve">2019 CanLII 76037, </w:t>
      </w:r>
      <w:r w:rsidR="00407F45" w:rsidRPr="00B35E92">
        <w:t>[2019] O.I.P.C. No. 155 (Lexis)</w:t>
      </w:r>
      <w:r w:rsidR="00B22F3E" w:rsidRPr="00B35E92">
        <w:t xml:space="preserve">. Appeal </w:t>
      </w:r>
      <w:r w:rsidR="003502D3" w:rsidRPr="00B35E92">
        <w:t>allowed</w:t>
      </w:r>
      <w:r w:rsidR="00B22F3E" w:rsidRPr="00B35E92">
        <w:t>.</w:t>
      </w:r>
    </w:p>
    <w:p w14:paraId="4FFA2E0A" w14:textId="77777777" w:rsidR="000C3C1A" w:rsidRPr="00B35E92" w:rsidRDefault="00592410" w:rsidP="005449E2">
      <w:pPr>
        <w:pStyle w:val="SCCNormalDoubleSpacing"/>
        <w:spacing w:after="480"/>
      </w:pPr>
      <w:r w:rsidRPr="00B35E92">
        <w:rPr>
          <w:rStyle w:val="SCCCounselNameChar"/>
        </w:rPr>
        <w:tab/>
        <w:t>Judie Im</w:t>
      </w:r>
      <w:r w:rsidRPr="00B35E92">
        <w:rPr>
          <w:rStyle w:val="SCCCounselNameChar"/>
          <w:i w:val="0"/>
        </w:rPr>
        <w:t>,</w:t>
      </w:r>
      <w:r w:rsidRPr="00B35E92">
        <w:rPr>
          <w:rStyle w:val="SCCCounselNameChar"/>
        </w:rPr>
        <w:t xml:space="preserve"> Nadia Laeeque</w:t>
      </w:r>
      <w:r w:rsidRPr="00B35E92">
        <w:rPr>
          <w:rStyle w:val="SCCCounselSeparatorChar"/>
        </w:rPr>
        <w:t xml:space="preserve"> and </w:t>
      </w:r>
      <w:r w:rsidRPr="00B35E92">
        <w:rPr>
          <w:rStyle w:val="SCCCounselNameChar"/>
        </w:rPr>
        <w:t>Jennifer Boyczuk</w:t>
      </w:r>
      <w:r w:rsidRPr="00B35E92">
        <w:rPr>
          <w:rStyle w:val="SCCCounselPartyRoleChar"/>
        </w:rPr>
        <w:t>, for the appellant.</w:t>
      </w:r>
    </w:p>
    <w:p w14:paraId="6592BCBA" w14:textId="1147046D" w:rsidR="00D33CA3" w:rsidRPr="00B35E92" w:rsidRDefault="002E3CB1" w:rsidP="005449E2">
      <w:pPr>
        <w:pStyle w:val="SCCNormalDoubleSpacing"/>
        <w:spacing w:after="480"/>
      </w:pPr>
      <w:r w:rsidRPr="00B35E92">
        <w:rPr>
          <w:rStyle w:val="SCCCounselNameChar"/>
        </w:rPr>
        <w:tab/>
        <w:t>William </w:t>
      </w:r>
      <w:r w:rsidR="00D33CA3" w:rsidRPr="00B35E92">
        <w:rPr>
          <w:rStyle w:val="SCCCounselNameChar"/>
        </w:rPr>
        <w:t>S. Challis</w:t>
      </w:r>
      <w:r w:rsidR="00D33CA3" w:rsidRPr="00B35E92">
        <w:rPr>
          <w:rStyle w:val="SCCCounselSeparatorChar"/>
        </w:rPr>
        <w:t xml:space="preserve"> and </w:t>
      </w:r>
      <w:r w:rsidR="00D33CA3" w:rsidRPr="00B35E92">
        <w:rPr>
          <w:rStyle w:val="SCCCounselNameChar"/>
        </w:rPr>
        <w:t>Linda Chen</w:t>
      </w:r>
      <w:r w:rsidR="00D33CA3" w:rsidRPr="00B35E92">
        <w:rPr>
          <w:rStyle w:val="SCCCounselPartyRoleChar"/>
        </w:rPr>
        <w:t>, for the respondent</w:t>
      </w:r>
      <w:r w:rsidR="00FF5C69" w:rsidRPr="00B35E92">
        <w:rPr>
          <w:rStyle w:val="SCCCounselPartyRoleChar"/>
        </w:rPr>
        <w:t xml:space="preserve"> the </w:t>
      </w:r>
      <w:r w:rsidR="00FF5C69" w:rsidRPr="00B35E92">
        <w:t>Information and Privacy Commissioner of Ontario</w:t>
      </w:r>
      <w:r w:rsidR="00D33CA3" w:rsidRPr="00B35E92">
        <w:rPr>
          <w:rStyle w:val="SCCCounselPartyRoleChar"/>
        </w:rPr>
        <w:t>.</w:t>
      </w:r>
    </w:p>
    <w:p w14:paraId="5E6D92A9" w14:textId="77777777" w:rsidR="000C3C1A" w:rsidRPr="00B35E92" w:rsidRDefault="00592410" w:rsidP="005449E2">
      <w:pPr>
        <w:pStyle w:val="SCCNormalDoubleSpacing"/>
        <w:spacing w:after="480"/>
      </w:pPr>
      <w:r w:rsidRPr="00B35E92">
        <w:rPr>
          <w:rStyle w:val="SCCCounselNameChar"/>
        </w:rPr>
        <w:tab/>
        <w:t>Justin Safayeni</w:t>
      </w:r>
      <w:r w:rsidR="00A211FE" w:rsidRPr="00B35E92">
        <w:rPr>
          <w:rStyle w:val="SCCCounselNameChar"/>
          <w:i w:val="0"/>
        </w:rPr>
        <w:t>,</w:t>
      </w:r>
      <w:r w:rsidRPr="00B35E92">
        <w:rPr>
          <w:rStyle w:val="SCCCounselSeparatorChar"/>
        </w:rPr>
        <w:t xml:space="preserve"> </w:t>
      </w:r>
      <w:r w:rsidRPr="00B35E92">
        <w:rPr>
          <w:rStyle w:val="SCCCounselNameChar"/>
        </w:rPr>
        <w:t>Spencer Bass</w:t>
      </w:r>
      <w:r w:rsidR="00A211FE" w:rsidRPr="00B35E92">
        <w:rPr>
          <w:rStyle w:val="SCCCounselSeparatorChar"/>
        </w:rPr>
        <w:t xml:space="preserve"> and</w:t>
      </w:r>
      <w:r w:rsidR="00A211FE" w:rsidRPr="00B35E92">
        <w:t xml:space="preserve"> </w:t>
      </w:r>
      <w:r w:rsidR="00A211FE" w:rsidRPr="00B35E92">
        <w:rPr>
          <w:rStyle w:val="SCCCounselSeparatorChar"/>
          <w:i/>
        </w:rPr>
        <w:t>Dustin Milligan</w:t>
      </w:r>
      <w:r w:rsidRPr="00B35E92">
        <w:rPr>
          <w:rStyle w:val="SCCCounselPartyRoleChar"/>
        </w:rPr>
        <w:t>, for the respondent</w:t>
      </w:r>
      <w:r w:rsidR="00D33CA3" w:rsidRPr="00B35E92">
        <w:rPr>
          <w:rStyle w:val="SCCCounselPartyRoleChar"/>
        </w:rPr>
        <w:t xml:space="preserve"> the </w:t>
      </w:r>
      <w:r w:rsidR="00D33CA3" w:rsidRPr="00B35E92">
        <w:t>Canadian Broadcasting Corporation</w:t>
      </w:r>
      <w:r w:rsidRPr="00B35E92">
        <w:rPr>
          <w:rStyle w:val="SCCCounselPartyRoleChar"/>
        </w:rPr>
        <w:t>.</w:t>
      </w:r>
    </w:p>
    <w:p w14:paraId="18D2D1B7" w14:textId="77777777" w:rsidR="0095112E" w:rsidRPr="00B35E92" w:rsidRDefault="0095112E" w:rsidP="005449E2">
      <w:pPr>
        <w:pStyle w:val="SCCNormalDoubleSpacing"/>
        <w:spacing w:after="480"/>
      </w:pPr>
      <w:r w:rsidRPr="00B35E92">
        <w:rPr>
          <w:rStyle w:val="SCCCounselNameChar"/>
        </w:rPr>
        <w:tab/>
        <w:t>Tara Callan</w:t>
      </w:r>
      <w:r w:rsidRPr="00B35E92">
        <w:rPr>
          <w:rStyle w:val="SCCCounselNameChar"/>
          <w:i w:val="0"/>
        </w:rPr>
        <w:t>,</w:t>
      </w:r>
      <w:r w:rsidRPr="00B35E92">
        <w:rPr>
          <w:rStyle w:val="SCCCounselNameChar"/>
        </w:rPr>
        <w:t xml:space="preserve"> Tamara Saunders</w:t>
      </w:r>
      <w:r w:rsidRPr="00B35E92">
        <w:rPr>
          <w:rStyle w:val="SCCCounselSeparatorChar"/>
        </w:rPr>
        <w:t xml:space="preserve"> and </w:t>
      </w:r>
      <w:r w:rsidRPr="00B35E92">
        <w:rPr>
          <w:rStyle w:val="SCCCounselNameChar"/>
        </w:rPr>
        <w:t>Layli Antinuk</w:t>
      </w:r>
      <w:r w:rsidRPr="00B35E92">
        <w:rPr>
          <w:rStyle w:val="SCCCounselPartyRoleChar"/>
        </w:rPr>
        <w:t>, for the intervener</w:t>
      </w:r>
      <w:r w:rsidR="00F56633" w:rsidRPr="00B35E92">
        <w:rPr>
          <w:rStyle w:val="SCCCounselPartyRoleChar"/>
        </w:rPr>
        <w:t xml:space="preserve"> the</w:t>
      </w:r>
      <w:r w:rsidRPr="00B35E92">
        <w:rPr>
          <w:rStyle w:val="SCCCounselPartyRoleChar"/>
        </w:rPr>
        <w:t xml:space="preserve"> Attorney General of British Columbia.</w:t>
      </w:r>
    </w:p>
    <w:p w14:paraId="7E37A46A" w14:textId="77777777" w:rsidR="0095112E" w:rsidRPr="00B35E92" w:rsidRDefault="0095112E" w:rsidP="005449E2">
      <w:pPr>
        <w:pStyle w:val="SCCNormalDoubleSpacing"/>
        <w:spacing w:after="480"/>
      </w:pPr>
      <w:r w:rsidRPr="00B35E92">
        <w:rPr>
          <w:rStyle w:val="SCCCounselNameChar"/>
        </w:rPr>
        <w:tab/>
        <w:t>Sean McDonough</w:t>
      </w:r>
      <w:r w:rsidRPr="00B35E92">
        <w:rPr>
          <w:rStyle w:val="SCCCounselSeparatorChar"/>
        </w:rPr>
        <w:t xml:space="preserve"> and </w:t>
      </w:r>
      <w:r w:rsidRPr="00B35E92">
        <w:rPr>
          <w:rStyle w:val="SCCCounselNameChar"/>
        </w:rPr>
        <w:t>Melissa Burkett</w:t>
      </w:r>
      <w:r w:rsidRPr="00B35E92">
        <w:rPr>
          <w:rStyle w:val="SCCCounselPartyRoleChar"/>
        </w:rPr>
        <w:t xml:space="preserve">, for the intervener </w:t>
      </w:r>
      <w:r w:rsidR="00F56633" w:rsidRPr="00B35E92">
        <w:rPr>
          <w:rStyle w:val="SCCCounselPartyRoleChar"/>
        </w:rPr>
        <w:t xml:space="preserve">the </w:t>
      </w:r>
      <w:r w:rsidRPr="00B35E92">
        <w:rPr>
          <w:rStyle w:val="SCCCounselPartyRoleChar"/>
        </w:rPr>
        <w:t>Attorney General of Alberta.</w:t>
      </w:r>
    </w:p>
    <w:p w14:paraId="46A884DE" w14:textId="77777777" w:rsidR="0095112E" w:rsidRPr="00B35E92" w:rsidRDefault="0095112E" w:rsidP="005449E2">
      <w:pPr>
        <w:pStyle w:val="SCCNormalDoubleSpacing"/>
        <w:spacing w:after="480"/>
      </w:pPr>
      <w:r w:rsidRPr="00B35E92">
        <w:rPr>
          <w:rStyle w:val="SCCCounselNameChar"/>
        </w:rPr>
        <w:tab/>
        <w:t>Iris Fischer</w:t>
      </w:r>
      <w:r w:rsidRPr="00B35E92">
        <w:rPr>
          <w:rStyle w:val="SCCCounselSeparatorChar"/>
        </w:rPr>
        <w:t xml:space="preserve"> and </w:t>
      </w:r>
      <w:r w:rsidRPr="00B35E92">
        <w:rPr>
          <w:rStyle w:val="SCCCounselNameChar"/>
        </w:rPr>
        <w:t>Gregory Sheppard</w:t>
      </w:r>
      <w:r w:rsidRPr="00B35E92">
        <w:rPr>
          <w:rStyle w:val="SCCCounselPartyRoleChar"/>
        </w:rPr>
        <w:t xml:space="preserve">, for the intervener </w:t>
      </w:r>
      <w:r w:rsidR="00300046" w:rsidRPr="00B35E92">
        <w:rPr>
          <w:rStyle w:val="SCCCounselPartyRoleChar"/>
        </w:rPr>
        <w:t xml:space="preserve">the </w:t>
      </w:r>
      <w:r w:rsidRPr="00B35E92">
        <w:rPr>
          <w:rStyle w:val="SCCCounselPartyRoleChar"/>
        </w:rPr>
        <w:t>Canadian Civil Liberties Association.</w:t>
      </w:r>
    </w:p>
    <w:p w14:paraId="30F8CF87" w14:textId="77777777" w:rsidR="0095112E" w:rsidRPr="00B35E92" w:rsidRDefault="0095112E" w:rsidP="008B260B">
      <w:pPr>
        <w:pStyle w:val="SCCNormalDoubleSpacing"/>
        <w:spacing w:after="480"/>
      </w:pPr>
      <w:r w:rsidRPr="00B35E92">
        <w:rPr>
          <w:rStyle w:val="SCCCounselNameChar"/>
        </w:rPr>
        <w:tab/>
        <w:t>Sean Hern</w:t>
      </w:r>
      <w:r w:rsidRPr="00B35E92">
        <w:rPr>
          <w:rStyle w:val="SCCCounselNameChar"/>
          <w:i w:val="0"/>
        </w:rPr>
        <w:t>,</w:t>
      </w:r>
      <w:r w:rsidRPr="00B35E92">
        <w:rPr>
          <w:rStyle w:val="SCCCounselNameChar"/>
        </w:rPr>
        <w:t xml:space="preserve"> K.C.</w:t>
      </w:r>
      <w:r w:rsidRPr="00B35E92">
        <w:rPr>
          <w:rStyle w:val="SCCCounselNameChar"/>
          <w:i w:val="0"/>
        </w:rPr>
        <w:t>,</w:t>
      </w:r>
      <w:r w:rsidRPr="00B35E92">
        <w:rPr>
          <w:rStyle w:val="SCCCounselSeparatorChar"/>
        </w:rPr>
        <w:t xml:space="preserve"> and </w:t>
      </w:r>
      <w:r w:rsidRPr="00B35E92">
        <w:rPr>
          <w:rStyle w:val="SCCCounselNameChar"/>
        </w:rPr>
        <w:t>Benjamin Isitt</w:t>
      </w:r>
      <w:r w:rsidRPr="00B35E92">
        <w:rPr>
          <w:rStyle w:val="SCCCounselPartyRoleChar"/>
        </w:rPr>
        <w:t>, for the intervener the BC Freedom of Information and Privacy Association.</w:t>
      </w:r>
    </w:p>
    <w:p w14:paraId="704509B7" w14:textId="77777777" w:rsidR="000C3C1A" w:rsidRPr="00B35E92" w:rsidRDefault="00592410" w:rsidP="00B35E92">
      <w:pPr>
        <w:pStyle w:val="SCCNormalDoubleSpacing"/>
        <w:spacing w:after="480"/>
      </w:pPr>
      <w:r w:rsidRPr="00B35E92">
        <w:rPr>
          <w:rStyle w:val="SCCCounselNameChar"/>
        </w:rPr>
        <w:tab/>
        <w:t>Jessica Orkin</w:t>
      </w:r>
      <w:r w:rsidRPr="00B35E92">
        <w:rPr>
          <w:rStyle w:val="SCCCounselSeparatorChar"/>
        </w:rPr>
        <w:t xml:space="preserve"> and </w:t>
      </w:r>
      <w:r w:rsidRPr="00B35E92">
        <w:rPr>
          <w:rStyle w:val="SCCCounselNameChar"/>
        </w:rPr>
        <w:t>Adriel Weaver</w:t>
      </w:r>
      <w:r w:rsidRPr="00B35E92">
        <w:rPr>
          <w:rStyle w:val="SCCCounselPartyRoleChar"/>
        </w:rPr>
        <w:t>, for the intervener</w:t>
      </w:r>
      <w:r w:rsidR="0095112E" w:rsidRPr="00B35E92">
        <w:rPr>
          <w:rStyle w:val="SCCCounselPartyRoleChar"/>
        </w:rPr>
        <w:t>s the</w:t>
      </w:r>
      <w:r w:rsidRPr="00B35E92">
        <w:rPr>
          <w:rStyle w:val="SCCCounselPartyRoleChar"/>
        </w:rPr>
        <w:t xml:space="preserve"> Centre for Free Expression, </w:t>
      </w:r>
      <w:r w:rsidR="0095112E" w:rsidRPr="00B35E92">
        <w:rPr>
          <w:rStyle w:val="SCCCounselPartyRoleChar"/>
        </w:rPr>
        <w:t xml:space="preserve">the </w:t>
      </w:r>
      <w:r w:rsidRPr="00B35E92">
        <w:rPr>
          <w:rStyle w:val="SCCCounselPartyRoleChar"/>
        </w:rPr>
        <w:t>Canadian Journalists for Free Expression</w:t>
      </w:r>
      <w:r w:rsidR="0095112E" w:rsidRPr="00B35E92">
        <w:rPr>
          <w:rStyle w:val="SCCCounselPartyRoleChar"/>
        </w:rPr>
        <w:t>,</w:t>
      </w:r>
      <w:r w:rsidRPr="00B35E92">
        <w:rPr>
          <w:rStyle w:val="SCCCounselPartyRoleChar"/>
        </w:rPr>
        <w:t xml:space="preserve"> </w:t>
      </w:r>
      <w:r w:rsidR="0095112E" w:rsidRPr="00B35E92">
        <w:rPr>
          <w:rStyle w:val="SCCCounselPartyRoleChar"/>
        </w:rPr>
        <w:t xml:space="preserve">the </w:t>
      </w:r>
      <w:r w:rsidRPr="00B35E92">
        <w:rPr>
          <w:rStyle w:val="SCCCounselPartyRoleChar"/>
        </w:rPr>
        <w:t>Canadian Association of Journalists</w:t>
      </w:r>
      <w:r w:rsidR="0095112E" w:rsidRPr="00B35E92">
        <w:rPr>
          <w:rStyle w:val="SCCCounselPartyRoleChar"/>
        </w:rPr>
        <w:t xml:space="preserve"> and the Aboriginal Peoples Television Network</w:t>
      </w:r>
      <w:r w:rsidRPr="00B35E92">
        <w:rPr>
          <w:rStyle w:val="SCCCounselPartyRoleChar"/>
        </w:rPr>
        <w:t>.</w:t>
      </w:r>
    </w:p>
    <w:p w14:paraId="2267CD78" w14:textId="77777777" w:rsidR="00B35E92" w:rsidRPr="00B35E92" w:rsidRDefault="00B35E92" w:rsidP="00B35E92">
      <w:pPr>
        <w:tabs>
          <w:tab w:val="left" w:pos="1134"/>
        </w:tabs>
        <w:spacing w:after="480" w:line="480" w:lineRule="auto"/>
        <w:jc w:val="both"/>
        <w:rPr>
          <w:lang w:val="en-US"/>
        </w:rPr>
      </w:pPr>
      <w:r w:rsidRPr="00B35E92">
        <w:rPr>
          <w:lang w:val="fr-CA"/>
        </w:rPr>
        <w:tab/>
      </w:r>
      <w:r w:rsidRPr="00B35E92">
        <w:rPr>
          <w:lang w:val="en-US"/>
        </w:rPr>
        <w:t>The judgment of Wagner C.J. and Karakatsanis, Rowe, Martin, Jamal and O’Bonsawin JJ. was delivered by</w:t>
      </w:r>
    </w:p>
    <w:p w14:paraId="0FE75779" w14:textId="77777777" w:rsidR="00B35E92" w:rsidRPr="00B35E92" w:rsidRDefault="00B35E92" w:rsidP="00B35E92">
      <w:pPr>
        <w:pStyle w:val="JudgeJuge"/>
      </w:pPr>
      <w:r w:rsidRPr="00B35E92">
        <w:tab/>
        <w:t xml:space="preserve">Karakatsanis J. — </w:t>
      </w:r>
    </w:p>
    <w:p w14:paraId="3BDE0C33" w14:textId="77777777" w:rsidR="00B35E92" w:rsidRPr="00B35E92" w:rsidRDefault="00B35E92" w:rsidP="00B35E92">
      <w:pPr>
        <w:pStyle w:val="Title1LevelTitre1Niveau-AltL"/>
        <w:rPr>
          <w:rFonts w:cs="Times New Roman"/>
        </w:rPr>
      </w:pPr>
      <w:bookmarkStart w:id="0" w:name="_Toc135146102"/>
      <w:r w:rsidRPr="00B35E92">
        <w:rPr>
          <w:rFonts w:cs="Times New Roman"/>
        </w:rPr>
        <w:t>Introduction</w:t>
      </w:r>
      <w:bookmarkEnd w:id="0"/>
      <w:r w:rsidRPr="00B35E92">
        <w:rPr>
          <w:rFonts w:cs="Times New Roman"/>
        </w:rPr>
        <w:t xml:space="preserve"> </w:t>
      </w:r>
    </w:p>
    <w:p w14:paraId="5086E2E8" w14:textId="77777777" w:rsidR="00B35E92" w:rsidRPr="00B35E92" w:rsidRDefault="00B35E92" w:rsidP="00B35E92">
      <w:pPr>
        <w:pStyle w:val="ParaNoNdepar-AltN"/>
        <w:rPr>
          <w:rFonts w:cs="Times New Roman"/>
          <w:lang w:val="en-US"/>
        </w:rPr>
      </w:pPr>
      <w:r w:rsidRPr="00B35E92">
        <w:rPr>
          <w:rFonts w:cs="Times New Roman"/>
          <w:lang w:val="en-US"/>
        </w:rPr>
        <w:t>Freedom of information (FOI) legislation strikes a balance between the public’s need to know and the confidentiality the executive requires to govern effectively. Both are crucial to the proper functioning of our democracy. This appeal concerns the balance between these two foundational principles.</w:t>
      </w:r>
    </w:p>
    <w:p w14:paraId="61BBCB13" w14:textId="77777777" w:rsidR="00B35E92" w:rsidRPr="00B35E92" w:rsidRDefault="00B35E92" w:rsidP="00B35E92">
      <w:pPr>
        <w:pStyle w:val="ParaNoNdepar-AltN"/>
        <w:rPr>
          <w:rFonts w:cs="Times New Roman"/>
          <w:lang w:val="en-US"/>
        </w:rPr>
      </w:pPr>
      <w:r w:rsidRPr="00B35E92">
        <w:rPr>
          <w:rFonts w:cs="Times New Roman"/>
          <w:lang w:val="en-US"/>
        </w:rPr>
        <w:t>Access to information promotes transparency, accountability, and meaningful public participation. Without adequate knowledge of what is going on, legislators and the public can neither hold government to account nor meaningfully contribute to decision making, policy formation, and law making. In this way, FOI legislation is intended not to hinder government but to “improve the workings of government” by making it “more effective, responsive and accountable” to both the legislative branch and the public (</w:t>
      </w:r>
      <w:r w:rsidRPr="00B35E92">
        <w:rPr>
          <w:rFonts w:cs="Times New Roman"/>
          <w:i/>
          <w:lang w:val="en-US"/>
        </w:rPr>
        <w:t>Dagg v. Canada (Minister of Finance)</w:t>
      </w:r>
      <w:r w:rsidRPr="00B35E92">
        <w:rPr>
          <w:rFonts w:cs="Times New Roman"/>
          <w:lang w:val="en-US"/>
        </w:rPr>
        <w:t>,</w:t>
      </w:r>
      <w:r w:rsidRPr="00B35E92">
        <w:rPr>
          <w:rFonts w:cs="Times New Roman"/>
          <w:i/>
          <w:lang w:val="en-US"/>
        </w:rPr>
        <w:t xml:space="preserve"> </w:t>
      </w:r>
      <w:r w:rsidRPr="00B35E92">
        <w:rPr>
          <w:rFonts w:cs="Times New Roman"/>
          <w:lang w:val="en-US"/>
        </w:rPr>
        <w:t xml:space="preserve">[1997] 2 S.C.R. 403, at para. 63).  </w:t>
      </w:r>
    </w:p>
    <w:p w14:paraId="7C6A8E36" w14:textId="77777777" w:rsidR="00B35E92" w:rsidRPr="00B35E92" w:rsidRDefault="00B35E92" w:rsidP="00B35E92">
      <w:pPr>
        <w:pStyle w:val="ParaNoNdepar-AltN"/>
        <w:rPr>
          <w:rFonts w:cs="Times New Roman"/>
          <w:lang w:val="en-US"/>
        </w:rPr>
      </w:pPr>
      <w:r w:rsidRPr="00B35E92">
        <w:rPr>
          <w:rFonts w:cs="Times New Roman"/>
          <w:lang w:val="en-US"/>
        </w:rPr>
        <w:t>However, in our Westminster system of government, the executive — like the judicial and legislative branches — also requires certain spheres of confidentiality to fulfill its constitutional role. Each of the executive, legislative branch, and judiciary play “critical and complementary roles in our constitutional democracy” and “each branch will be unable to fulfill its role if it is unduly interfered with by the others” (</w:t>
      </w:r>
      <w:r w:rsidRPr="00B35E92">
        <w:rPr>
          <w:rFonts w:cs="Times New Roman"/>
          <w:i/>
          <w:iCs/>
        </w:rPr>
        <w:t>Ontario v. Criminal Lawyers’ Association of Ontario</w:t>
      </w:r>
      <w:r w:rsidRPr="00B35E92">
        <w:rPr>
          <w:rFonts w:cs="Times New Roman"/>
        </w:rPr>
        <w:t>, 2013 SCC 43, [2013] 3 S.C.R. 3, at para. 29</w:t>
      </w:r>
      <w:r w:rsidRPr="00B35E92">
        <w:rPr>
          <w:rFonts w:cs="Times New Roman"/>
          <w:lang w:val="en-US"/>
        </w:rPr>
        <w:t>). Thus, constitutional conventions flow from the separation of powers and protect the spheres of confidentiality needed for a government institution “to perform its constitutionally-assigned functions” (</w:t>
      </w:r>
      <w:r w:rsidRPr="00B35E92">
        <w:rPr>
          <w:rFonts w:cs="Times New Roman"/>
          <w:i/>
        </w:rPr>
        <w:t>British Columbia (Attorney General) v. Provincial Court Judges’ Association of British Columbia</w:t>
      </w:r>
      <w:r w:rsidRPr="00B35E92">
        <w:rPr>
          <w:rFonts w:cs="Times New Roman"/>
        </w:rPr>
        <w:t xml:space="preserve">, 2020 SCC 20, [2020] 2 S.C.R. 506 </w:t>
      </w:r>
      <w:r w:rsidRPr="00B35E92">
        <w:rPr>
          <w:rFonts w:cs="Times New Roman"/>
          <w:lang w:val="en-US"/>
        </w:rPr>
        <w:t>(</w:t>
      </w:r>
      <w:r w:rsidRPr="00B35E92">
        <w:rPr>
          <w:rFonts w:cs="Times New Roman"/>
          <w:i/>
          <w:lang w:val="en-US"/>
        </w:rPr>
        <w:t>B.C. Judges</w:t>
      </w:r>
      <w:r w:rsidRPr="00B35E92">
        <w:rPr>
          <w:rFonts w:cs="Times New Roman"/>
          <w:lang w:val="en-US"/>
        </w:rPr>
        <w:t xml:space="preserve">), at para. 66). </w:t>
      </w:r>
      <w:r w:rsidRPr="00B35E92">
        <w:rPr>
          <w:rFonts w:cs="Times New Roman"/>
        </w:rPr>
        <w:t>Just as legislative privilege protects the ability of elected representatives to act on the will of the people (</w:t>
      </w:r>
      <w:r w:rsidRPr="00B35E92">
        <w:rPr>
          <w:rFonts w:cs="Times New Roman"/>
          <w:i/>
        </w:rPr>
        <w:t>Chagnon v. Syndicat de la fonction publique et parapublique du Québec</w:t>
      </w:r>
      <w:r w:rsidRPr="00B35E92">
        <w:rPr>
          <w:rFonts w:cs="Times New Roman"/>
        </w:rPr>
        <w:t>, 2018 SCC 39, [2018] 2 S.C.R. 687), and deliberative secrecy preserves the independence of the judiciary (</w:t>
      </w:r>
      <w:r w:rsidRPr="00B35E92">
        <w:rPr>
          <w:rFonts w:cs="Times New Roman"/>
          <w:i/>
        </w:rPr>
        <w:t>MacKeigan v. Hickman</w:t>
      </w:r>
      <w:r w:rsidRPr="00B35E92">
        <w:rPr>
          <w:rFonts w:cs="Times New Roman"/>
        </w:rPr>
        <w:t>, [1989] 2 S.C.R. 796, at pp. 830-31), Cabinet confidentiality grants the executive the necessary latitude to govern in an effective, collectively responsible manner (</w:t>
      </w:r>
      <w:r w:rsidRPr="00B35E92">
        <w:rPr>
          <w:rFonts w:cs="Times New Roman"/>
          <w:i/>
        </w:rPr>
        <w:t>Babcock v. Canada (Attorney General)</w:t>
      </w:r>
      <w:r w:rsidRPr="00B35E92">
        <w:rPr>
          <w:rFonts w:cs="Times New Roman"/>
        </w:rPr>
        <w:t>, 2002 SCC 57, [2002] 3 S.C.R. 3, at para. 15). Cabinet secrecy is “essential to good government” (</w:t>
      </w:r>
      <w:r w:rsidRPr="00B35E92">
        <w:rPr>
          <w:rFonts w:cs="Times New Roman"/>
          <w:i/>
        </w:rPr>
        <w:t>ibid.</w:t>
      </w:r>
      <w:r w:rsidRPr="00B35E92">
        <w:rPr>
          <w:rFonts w:cs="Times New Roman"/>
        </w:rPr>
        <w:t>), as it</w:t>
      </w:r>
      <w:r w:rsidRPr="00B35E92">
        <w:rPr>
          <w:rFonts w:cs="Times New Roman"/>
          <w:lang w:val="en-US"/>
        </w:rPr>
        <w:t xml:space="preserve"> promotes deliberative candour, ministerial solidarity, and governmental efficiency by protecting Cabinet’s deliberations (</w:t>
      </w:r>
      <w:r w:rsidRPr="00B35E92">
        <w:rPr>
          <w:rFonts w:cs="Times New Roman"/>
          <w:i/>
          <w:lang w:val="en-US"/>
        </w:rPr>
        <w:t>B.C. Judges</w:t>
      </w:r>
      <w:r w:rsidRPr="00B35E92">
        <w:rPr>
          <w:rFonts w:cs="Times New Roman"/>
          <w:lang w:val="en-US"/>
        </w:rPr>
        <w:t xml:space="preserve">, at paras. 95-97; </w:t>
      </w:r>
      <w:r w:rsidRPr="00B35E92">
        <w:rPr>
          <w:rFonts w:cs="Times New Roman"/>
          <w:i/>
          <w:lang w:val="en-US"/>
        </w:rPr>
        <w:t>Carey v. Ontario</w:t>
      </w:r>
      <w:r w:rsidRPr="00B35E92">
        <w:rPr>
          <w:rFonts w:cs="Times New Roman"/>
          <w:lang w:val="en-US"/>
        </w:rPr>
        <w:t xml:space="preserve">, [1986] 2 S.C.R. 637, at pp. 658-59). </w:t>
      </w:r>
    </w:p>
    <w:p w14:paraId="1EDEA68E" w14:textId="77777777" w:rsidR="00B35E92" w:rsidRPr="00B35E92" w:rsidRDefault="00B35E92" w:rsidP="00B35E92">
      <w:pPr>
        <w:pStyle w:val="ParaNoNdepar-AltN"/>
        <w:rPr>
          <w:rFonts w:cs="Times New Roman"/>
          <w:lang w:val="en-US"/>
        </w:rPr>
      </w:pPr>
      <w:r w:rsidRPr="00B35E92">
        <w:rPr>
          <w:rFonts w:cs="Times New Roman"/>
          <w:lang w:val="en-US"/>
        </w:rPr>
        <w:t xml:space="preserve">All FOI legislation across Canada balances these two essential goals through a general right of public access to government-held information subject to exemptions or exclusions — including those for Cabinet records or confidences. This appeal implicates that balance in relation to the Cabinet records exemption in s. 12(1) of Ontario’s </w:t>
      </w:r>
      <w:r w:rsidRPr="00B35E92">
        <w:rPr>
          <w:rFonts w:cs="Times New Roman"/>
          <w:i/>
          <w:lang w:val="en-US"/>
        </w:rPr>
        <w:t>Freedom of Information and Protection of Privacy Act</w:t>
      </w:r>
      <w:r w:rsidRPr="00B35E92">
        <w:rPr>
          <w:rFonts w:cs="Times New Roman"/>
          <w:lang w:val="en-US"/>
        </w:rPr>
        <w:t xml:space="preserve">, </w:t>
      </w:r>
      <w:r w:rsidRPr="00B35E92">
        <w:rPr>
          <w:rFonts w:cs="Times New Roman"/>
        </w:rPr>
        <w:t>R.S.O. 1990, c. F.31</w:t>
      </w:r>
      <w:r w:rsidRPr="00B35E92">
        <w:rPr>
          <w:rFonts w:cs="Times New Roman"/>
          <w:lang w:val="en-US"/>
        </w:rPr>
        <w:t xml:space="preserve"> (</w:t>
      </w:r>
      <w:r w:rsidRPr="00B35E92">
        <w:rPr>
          <w:rFonts w:cs="Times New Roman"/>
          <w:i/>
          <w:lang w:val="en-US"/>
        </w:rPr>
        <w:t>FIPPA</w:t>
      </w:r>
      <w:r w:rsidRPr="00B35E92">
        <w:rPr>
          <w:rFonts w:cs="Times New Roman"/>
          <w:lang w:val="en-US"/>
        </w:rPr>
        <w:t>). Section 12(1) exempts a list of records, as well as any other records that would reveal the “substance of deliberations” of Cabinet or its committees. The interpretation of “substance of deliberations” by the Information and Privacy Commissioner of Ontario (IPC or Commissioner) is at the heart of this case.</w:t>
      </w:r>
    </w:p>
    <w:p w14:paraId="5EA84FA7" w14:textId="77777777" w:rsidR="00B35E92" w:rsidRPr="00B35E92" w:rsidRDefault="00B35E92" w:rsidP="00B35E92">
      <w:pPr>
        <w:pStyle w:val="ParaNoNdepar-AltN"/>
        <w:rPr>
          <w:rFonts w:cs="Times New Roman"/>
          <w:lang w:val="en-US"/>
        </w:rPr>
      </w:pPr>
      <w:r w:rsidRPr="00B35E92">
        <w:rPr>
          <w:rFonts w:cs="Times New Roman"/>
          <w:lang w:val="en-US"/>
        </w:rPr>
        <w:t xml:space="preserve">The access to information dispute in this appeal arises out of a Canadian Broadcasting Corporation (CBC) journalist’s request to access 23 letters that the Premier of Ontario delivered to each of his ministers shortly after forming government in 2018 (Letters). These Letters, commonly called “mandate letters”, set </w:t>
      </w:r>
      <w:r w:rsidRPr="00B35E92">
        <w:rPr>
          <w:rFonts w:cs="Times New Roman"/>
        </w:rPr>
        <w:t>out</w:t>
      </w:r>
      <w:r w:rsidRPr="00B35E92">
        <w:rPr>
          <w:rFonts w:cs="Times New Roman"/>
          <w:lang w:val="en-US"/>
        </w:rPr>
        <w:t xml:space="preserve"> the Premier’s views on policy priorities for the government’s term in office. Cabinet Office declined the journalist’s request, claiming the Letters were exempt from disclosure under s. 12(1) of </w:t>
      </w:r>
      <w:r w:rsidRPr="00B35E92">
        <w:rPr>
          <w:rFonts w:cs="Times New Roman"/>
          <w:i/>
          <w:lang w:val="en-US"/>
        </w:rPr>
        <w:t>FIPPA</w:t>
      </w:r>
      <w:r w:rsidRPr="00B35E92">
        <w:rPr>
          <w:rFonts w:cs="Times New Roman"/>
          <w:lang w:val="en-US"/>
        </w:rPr>
        <w:t xml:space="preserve">. </w:t>
      </w:r>
    </w:p>
    <w:p w14:paraId="7A04B11A" w14:textId="77777777" w:rsidR="00B35E92" w:rsidRPr="00B35E92" w:rsidRDefault="00B35E92" w:rsidP="00B35E92">
      <w:pPr>
        <w:pStyle w:val="ParaNoNdepar-AltN"/>
        <w:rPr>
          <w:rFonts w:cs="Times New Roman"/>
          <w:lang w:val="en-US"/>
        </w:rPr>
      </w:pPr>
      <w:r w:rsidRPr="00B35E92">
        <w:rPr>
          <w:rFonts w:cs="Times New Roman"/>
          <w:lang w:val="en-US"/>
        </w:rPr>
        <w:t xml:space="preserve">The CBC appealed to the IPC, who found that the Letters were not exempt and ordered their disclosure (Order PO-3973, 2019 CanLII 76037). On judicial review, the Ontario Divisional Court found that the IPC’s decision was reasonable and a majority of the Ontario Court of Appeal agreed (2020 ONSC 5085, </w:t>
      </w:r>
      <w:r w:rsidRPr="00B35E92">
        <w:rPr>
          <w:rFonts w:cs="Times New Roman"/>
        </w:rPr>
        <w:t>93 Admin. L.R. (6th) 1</w:t>
      </w:r>
      <w:r w:rsidRPr="00B35E92">
        <w:rPr>
          <w:rFonts w:cs="Times New Roman"/>
          <w:lang w:val="en-US"/>
        </w:rPr>
        <w:t>; 2022 ONCA 74,</w:t>
      </w:r>
      <w:r w:rsidRPr="00B35E92">
        <w:rPr>
          <w:rFonts w:cs="Times New Roman"/>
        </w:rPr>
        <w:t xml:space="preserve"> 160 O.R. (3d) 481</w:t>
      </w:r>
      <w:r w:rsidRPr="00B35E92">
        <w:rPr>
          <w:rFonts w:cs="Times New Roman"/>
          <w:lang w:val="en-US"/>
        </w:rPr>
        <w:t xml:space="preserve">). In dissent, Lauwers J.A. would have found that the decision was unreasonable for several reasons, but mainly because it eroded the sphere of Cabinet privilege that s. 12(1) is designed to preserve. </w:t>
      </w:r>
    </w:p>
    <w:p w14:paraId="210B20D1" w14:textId="77777777" w:rsidR="00B35E92" w:rsidRPr="00B35E92" w:rsidRDefault="00B35E92" w:rsidP="00B35E92">
      <w:pPr>
        <w:pStyle w:val="ParaNoNdepar-AltN"/>
        <w:rPr>
          <w:rFonts w:cs="Times New Roman"/>
          <w:lang w:val="en-US"/>
        </w:rPr>
      </w:pPr>
      <w:r w:rsidRPr="00B35E92">
        <w:rPr>
          <w:rFonts w:cs="Times New Roman"/>
          <w:lang w:val="en-US"/>
        </w:rPr>
        <w:t xml:space="preserve">As I shall explain, I conclude that the IPC’s decision was unreasonable. The Commissioner paid careful attention to the text of the legislation and considered some of the purposes of Cabinet confidentiality. His reasons were intelligible and transparent. But he did not engage meaningfully with the legal and factual context against which s. 12(1) operates — in particular, constitutional conventions and traditions surrounding Cabinet confidentiality and Cabinet’s decision-making process, including the role of the Premier within that process. Cabinet confidentiality creates conditions necessary to ensure an effective government. The Commissioner did not consider a key </w:t>
      </w:r>
      <w:r w:rsidRPr="00B35E92">
        <w:rPr>
          <w:rFonts w:cs="Times New Roman"/>
        </w:rPr>
        <w:t>rationale underlying the convention: promoting the efficiency of the collective decision-making process</w:t>
      </w:r>
      <w:r w:rsidRPr="00B35E92">
        <w:rPr>
          <w:rFonts w:cs="Times New Roman"/>
          <w:lang w:val="en-US"/>
        </w:rPr>
        <w:t xml:space="preserve">. His failure to grapple with the broader constitutional dimension of Cabinet confidentiality led him to an overly narrow interpretation of s. 12(1). He excluded “outcomes” of the deliberative process, without regard for the impact that premature disclosure of policy priorities at an early stage of the process may have on the efficient workings of government. </w:t>
      </w:r>
    </w:p>
    <w:p w14:paraId="42F6BAD5" w14:textId="77777777" w:rsidR="00B35E92" w:rsidRPr="00B35E92" w:rsidRDefault="00B35E92" w:rsidP="00B35E92">
      <w:pPr>
        <w:pStyle w:val="ParaNoNdepar-AltN"/>
        <w:rPr>
          <w:rFonts w:cs="Times New Roman"/>
        </w:rPr>
      </w:pPr>
      <w:r w:rsidRPr="00B35E92">
        <w:rPr>
          <w:rFonts w:cs="Times New Roman"/>
          <w:lang w:val="en-US"/>
        </w:rPr>
        <w:t xml:space="preserve">Moreover, even on the Commissioner’s interpretation of s. 12(1), his application of the standard to the Letters was unreasonable. The IPC’s characterization of the Letters as containing only non-exempt “topics” or final “outcomes” of the </w:t>
      </w:r>
      <w:r w:rsidRPr="00B35E92">
        <w:rPr>
          <w:rFonts w:cs="Times New Roman"/>
          <w:i/>
          <w:lang w:val="en-US"/>
        </w:rPr>
        <w:t>Premier’s</w:t>
      </w:r>
      <w:r w:rsidRPr="00B35E92">
        <w:rPr>
          <w:rFonts w:cs="Times New Roman"/>
          <w:lang w:val="en-US"/>
        </w:rPr>
        <w:t xml:space="preserve"> deliberative process did not account for the broader context of the Cabinet’s deliberative process. For one, as head of Cabinet, the Premier’s deliberations cannot be artificially segmented from those of Cabinet. And far from being mere “topics” like items on an agenda,</w:t>
      </w:r>
      <w:r w:rsidRPr="00B35E92" w:rsidDel="004C1FFC">
        <w:rPr>
          <w:rFonts w:cs="Times New Roman"/>
          <w:lang w:val="en-US"/>
        </w:rPr>
        <w:t xml:space="preserve"> </w:t>
      </w:r>
      <w:r w:rsidRPr="00B35E92">
        <w:rPr>
          <w:rFonts w:cs="Times New Roman"/>
          <w:lang w:val="en-US"/>
        </w:rPr>
        <w:t>the Letters reflect the views of the Premier on the importance of certain policy priorities, and mark the initiation of a fluid process of policy formulation within Cabinet. The Letters are revealing of the substance of Cabinet deliberations, both on their face and when compared against what government actually does.</w:t>
      </w:r>
    </w:p>
    <w:p w14:paraId="0E6A4D1B" w14:textId="77777777" w:rsidR="00B35E92" w:rsidRPr="00B35E92" w:rsidRDefault="00B35E92" w:rsidP="00B35E92">
      <w:pPr>
        <w:pStyle w:val="ParaNoNdepar-AltN"/>
        <w:rPr>
          <w:rFonts w:cs="Times New Roman"/>
        </w:rPr>
      </w:pPr>
      <w:r w:rsidRPr="00B35E92">
        <w:rPr>
          <w:rFonts w:cs="Times New Roman"/>
          <w:lang w:val="en-US"/>
        </w:rPr>
        <w:t>I would allow the appeal and set aside the decision of the IPC.</w:t>
      </w:r>
    </w:p>
    <w:p w14:paraId="1F1CC27A" w14:textId="77777777" w:rsidR="00B35E92" w:rsidRPr="00B35E92" w:rsidRDefault="00B35E92" w:rsidP="00B35E92">
      <w:pPr>
        <w:pStyle w:val="Title1LevelTitre1Niveau-AltL"/>
        <w:rPr>
          <w:rFonts w:cs="Times New Roman"/>
        </w:rPr>
      </w:pPr>
      <w:r w:rsidRPr="00B35E92">
        <w:rPr>
          <w:rFonts w:cs="Times New Roman"/>
        </w:rPr>
        <w:t>Reasons of the IPC</w:t>
      </w:r>
    </w:p>
    <w:p w14:paraId="2D5D889B" w14:textId="77777777" w:rsidR="00B35E92" w:rsidRPr="00B35E92" w:rsidRDefault="00B35E92" w:rsidP="00B35E92">
      <w:pPr>
        <w:pStyle w:val="ParaNoNdepar-AltN"/>
        <w:rPr>
          <w:rFonts w:cs="Times New Roman"/>
          <w:lang w:val="en-US"/>
        </w:rPr>
      </w:pPr>
      <w:r w:rsidRPr="00B35E92">
        <w:rPr>
          <w:rFonts w:cs="Times New Roman"/>
          <w:lang w:val="en-US"/>
        </w:rPr>
        <w:t>Before the IPC, Cabinet Office submitted the Letters should be protected for three reasons: (1) the Letters were placed on the agenda of Cabinet’s initial meeting, provided to each minister during the meeting, and the Premier’s key messages on policy initiatives would have been discussed at that meeting; (2) the Letters reveal the deliberations of the Premier in setting policy priorities for Cabinet, which are inherently part of the deliberative process of Cabinet; and (3) disclosure of the Letters would reveal the substance of future Cabinet deliberations because many priorities outlined in the Letters require deliberation by Cabinet and its committees before implementation (paras. 26-29). Cabinet Office submitted that prematurely disclosing policy initiatives could endanger free and frank discussion of these initiatives in future Cabinet meetings, and stressed the prerogative of the Premier “to determine the manner and timing by which the government will disclose its policy priorities” (paras. 30 and 32).</w:t>
      </w:r>
    </w:p>
    <w:p w14:paraId="784E6451" w14:textId="77777777" w:rsidR="00B35E92" w:rsidRPr="00B35E92" w:rsidRDefault="00B35E92" w:rsidP="00B35E92">
      <w:pPr>
        <w:pStyle w:val="ParaNoNdepar-AltN"/>
        <w:rPr>
          <w:rFonts w:cs="Times New Roman"/>
        </w:rPr>
      </w:pPr>
      <w:r w:rsidRPr="00B35E92">
        <w:rPr>
          <w:rFonts w:cs="Times New Roman"/>
          <w:lang w:val="en-US"/>
        </w:rPr>
        <w:t xml:space="preserve">The IPC found the Letters were not protected by s. 12(1) and ordered they be disclosed. The IPC began by examining the purpose of the Cabinet records exemption, given two underlying rationales for preserving the confidentiality of Cabinet deliberations: ministerial candour and solidarity. He found that the purpose was “to promote the free and frank discussion among Cabinet members of issues coming before them for decision, without </w:t>
      </w:r>
      <w:r w:rsidRPr="00B35E92">
        <w:rPr>
          <w:rFonts w:cs="Times New Roman"/>
        </w:rPr>
        <w:t>concern</w:t>
      </w:r>
      <w:r w:rsidRPr="00B35E92">
        <w:rPr>
          <w:rFonts w:cs="Times New Roman"/>
          <w:lang w:val="en-US"/>
        </w:rPr>
        <w:t xml:space="preserve"> for the chilling effect that might result from disclosure of their statements or the material on which they are deliberating” (para. 86).</w:t>
      </w:r>
    </w:p>
    <w:p w14:paraId="726B7899" w14:textId="77777777" w:rsidR="00B35E92" w:rsidRPr="00B35E92" w:rsidRDefault="00B35E92" w:rsidP="00B35E92">
      <w:pPr>
        <w:pStyle w:val="ParaNoNdepar-AltN"/>
        <w:rPr>
          <w:rFonts w:cs="Times New Roman"/>
        </w:rPr>
      </w:pPr>
      <w:r w:rsidRPr="00B35E92">
        <w:rPr>
          <w:rFonts w:cs="Times New Roman"/>
          <w:lang w:val="en-US"/>
        </w:rPr>
        <w:t xml:space="preserve">The IPC rejected the CBC’s argument that “substance of deliberations” should be restricted to records revealing discussion of the pros and cons of a course of action. He recognized that “the exemption may extend more generally to include Cabinet members’ views, opinions, thoughts, ideas and concerns” expressed in the deliberative process and to </w:t>
      </w:r>
      <w:r w:rsidRPr="00B35E92">
        <w:rPr>
          <w:rFonts w:cs="Times New Roman"/>
        </w:rPr>
        <w:t xml:space="preserve">documents that “were intended to serve, or did serve, as . . . the basis for discussions by Cabinet as a whole” (paras. 98 and 113; see also paras. 116, 119 and 131). </w:t>
      </w:r>
      <w:r w:rsidRPr="00B35E92">
        <w:rPr>
          <w:rFonts w:cs="Times New Roman"/>
          <w:lang w:val="en-US"/>
        </w:rPr>
        <w:t xml:space="preserve">The IPC noted that, generally, “[s]ection 12(1) is designed to protect deliberative communications occurring within” Cabinet’s policy-making process, not the “outcomes” of that process (i.e. the decisions themselves) or mere “subjects” or “topics” of deliberation (paras. 92 and 104). Still, he recognized that topics or subject matters will be exempt where “the context or other additional information would permit the reader to draw accurate inferences” as to Cabinet deliberations (para. 100, quoting Order PO-1725, 1999 CanLII 14318 (Ont. I.P.C.), at p. 16). Later in his decision, the IPC relied on past precedent interpreting s. 12(1)(a) to hold that records not falling within the specific exemptions at s. 12(1)(a) to (f) will only qualify for protection where it is likely disclosure “would permit accurate inferences to be drawn as to actual Cabinet deliberations at a specific Cabinet meeting” (paras. 94, 101 and 121). </w:t>
      </w:r>
    </w:p>
    <w:p w14:paraId="1FFE8B7B" w14:textId="77777777" w:rsidR="00B35E92" w:rsidRPr="00B35E92" w:rsidRDefault="00B35E92" w:rsidP="00B35E92">
      <w:pPr>
        <w:pStyle w:val="ParaNoNdepar-AltN"/>
        <w:rPr>
          <w:rFonts w:cs="Times New Roman"/>
        </w:rPr>
      </w:pPr>
      <w:r w:rsidRPr="00B35E92">
        <w:rPr>
          <w:rFonts w:cs="Times New Roman"/>
          <w:lang w:val="en-US"/>
        </w:rPr>
        <w:t xml:space="preserve">In the application, the IPC held the Letters were not protected because nothing suggested they were intended to serve, or served, as the basis for discussions by Cabinet as a whole (paras. 113-14). At most, the Letters indicate topics that </w:t>
      </w:r>
      <w:r w:rsidRPr="00B35E92">
        <w:rPr>
          <w:rFonts w:cs="Times New Roman"/>
          <w:i/>
          <w:lang w:val="en-US"/>
        </w:rPr>
        <w:t>may</w:t>
      </w:r>
      <w:r w:rsidRPr="00B35E92">
        <w:rPr>
          <w:rFonts w:cs="Times New Roman"/>
          <w:lang w:val="en-US"/>
        </w:rPr>
        <w:t xml:space="preserve"> have arisen during a Cabinet meeting, or the subject matter of unspecified policy initiatives that </w:t>
      </w:r>
      <w:r w:rsidRPr="00B35E92">
        <w:rPr>
          <w:rFonts w:cs="Times New Roman"/>
          <w:i/>
          <w:lang w:val="en-US"/>
        </w:rPr>
        <w:t>may</w:t>
      </w:r>
      <w:r w:rsidRPr="00B35E92">
        <w:rPr>
          <w:rFonts w:cs="Times New Roman"/>
          <w:lang w:val="en-US"/>
        </w:rPr>
        <w:t xml:space="preserve"> be considered in future meetings (paras. 115 and 119). Moreover, rather than being revealing of the views, opinions, thoughts, ideas, and concerns of ministers, the IPC held that the Letters represent “the end point of the Premier’s formulation of the policies and goals to be achieved by each Ministry” — or, “the product of his deliberations” — and fell outside the ambit of s. 12(1) (paras. 132 and 134; see also para. 79). </w:t>
      </w:r>
    </w:p>
    <w:p w14:paraId="0339B7F1" w14:textId="77777777" w:rsidR="00B35E92" w:rsidRPr="00B35E92" w:rsidRDefault="00B35E92" w:rsidP="00B35E92">
      <w:pPr>
        <w:pStyle w:val="Title1LevelTitre1Niveau-AltL"/>
        <w:rPr>
          <w:rFonts w:cs="Times New Roman"/>
        </w:rPr>
      </w:pPr>
      <w:r w:rsidRPr="00B35E92">
        <w:rPr>
          <w:rFonts w:cs="Times New Roman"/>
        </w:rPr>
        <w:t>Analysis</w:t>
      </w:r>
    </w:p>
    <w:p w14:paraId="58524C40" w14:textId="77777777" w:rsidR="00B35E92" w:rsidRPr="00B35E92" w:rsidRDefault="00B35E92" w:rsidP="00B35E92">
      <w:pPr>
        <w:pStyle w:val="ParaNoNdepar-AltN"/>
        <w:rPr>
          <w:rFonts w:cs="Times New Roman"/>
          <w:lang w:val="en-US"/>
        </w:rPr>
      </w:pPr>
      <w:r w:rsidRPr="00B35E92">
        <w:rPr>
          <w:rFonts w:cs="Times New Roman"/>
          <w:lang w:val="en-US"/>
        </w:rPr>
        <w:t>Section 12(1) protects the confidentiality of records that “would reveal the substance of [Cabinet] deliberations”.</w:t>
      </w:r>
      <w:r w:rsidRPr="00B35E92">
        <w:rPr>
          <w:rFonts w:cs="Times New Roman"/>
        </w:rPr>
        <w:t xml:space="preserve"> </w:t>
      </w:r>
      <w:r w:rsidRPr="00B35E92">
        <w:rPr>
          <w:rFonts w:cs="Times New Roman"/>
          <w:lang w:val="en-US"/>
        </w:rPr>
        <w:t>Similar exemptions are found in FOI legislation across the country.</w:t>
      </w:r>
      <w:r w:rsidRPr="006A391A">
        <w:rPr>
          <w:rStyle w:val="Hyperlink"/>
          <w:vertAlign w:val="superscript"/>
        </w:rPr>
        <w:footnoteReference w:id="1"/>
      </w:r>
      <w:r w:rsidRPr="00B35E92">
        <w:rPr>
          <w:rFonts w:cs="Times New Roman"/>
          <w:lang w:val="en-US"/>
        </w:rPr>
        <w:t xml:space="preserve"> The opening words of s. 12(1) provide that “[a] head shall refuse to disclose a record where the disclosure would reveal the substance of deliberations” of Cabinet or its committees. The paragraphs of the provision protect listed records, which need not meet the standard set out in s. 12(1)’s opening words to qualify for protection. Section 12(1) is reproduced in full in the attached Appendix. Only the opening words of the provision are at issue.</w:t>
      </w:r>
    </w:p>
    <w:p w14:paraId="684419D4" w14:textId="77777777" w:rsidR="00B35E92" w:rsidRPr="00B35E92" w:rsidRDefault="00B35E92" w:rsidP="00B35E92">
      <w:pPr>
        <w:pStyle w:val="ParaNoNdepar-AltN"/>
        <w:rPr>
          <w:rFonts w:cs="Times New Roman"/>
          <w:lang w:val="en-US"/>
        </w:rPr>
      </w:pPr>
      <w:r w:rsidRPr="00B35E92">
        <w:rPr>
          <w:rFonts w:cs="Times New Roman"/>
        </w:rPr>
        <w:t>Here, the sole issue is whether the public should have access to the Premier’s mandate letters. This turns on the IPC’s interpretation of the opening words of s. 12(1) and its application on these facts. The parties submit that this Court should review the IPC’s decision for reasonableness. We are not bound by that agreement as a “reviewing judge’s selection and application of the standard of review is reviewable for correctness” (</w:t>
      </w:r>
      <w:r w:rsidRPr="00B35E92">
        <w:rPr>
          <w:rFonts w:cs="Times New Roman"/>
          <w:i/>
        </w:rPr>
        <w:t>Northern Regional</w:t>
      </w:r>
      <w:r w:rsidRPr="00B35E92">
        <w:rPr>
          <w:rFonts w:cs="Times New Roman"/>
        </w:rPr>
        <w:t xml:space="preserve"> </w:t>
      </w:r>
      <w:r w:rsidRPr="00B35E92">
        <w:rPr>
          <w:rFonts w:cs="Times New Roman"/>
          <w:i/>
        </w:rPr>
        <w:t xml:space="preserve">Health </w:t>
      </w:r>
      <w:r w:rsidRPr="00B35E92">
        <w:rPr>
          <w:rFonts w:cs="Times New Roman"/>
          <w:i/>
          <w:lang w:val="en-US"/>
        </w:rPr>
        <w:t>Authority v. Horrocks</w:t>
      </w:r>
      <w:r w:rsidRPr="00B35E92">
        <w:rPr>
          <w:rFonts w:cs="Times New Roman"/>
          <w:lang w:val="en-US"/>
        </w:rPr>
        <w:t xml:space="preserve">, 2021 SCC 42, at para. 10; </w:t>
      </w:r>
      <w:r w:rsidRPr="00B35E92">
        <w:rPr>
          <w:rFonts w:cs="Times New Roman"/>
          <w:i/>
          <w:lang w:val="en-US"/>
        </w:rPr>
        <w:t>Agraira v. Canada (Public Safety and Emergency Preparedness)</w:t>
      </w:r>
      <w:r w:rsidRPr="00B35E92">
        <w:rPr>
          <w:rFonts w:cs="Times New Roman"/>
          <w:lang w:val="en-US"/>
        </w:rPr>
        <w:t xml:space="preserve">, 2013 SCC 36, [2013] 2 S.C.R. 559, at paras. 45-47). </w:t>
      </w:r>
    </w:p>
    <w:p w14:paraId="179FBE0C" w14:textId="77777777" w:rsidR="00B35E92" w:rsidRPr="00B35E92" w:rsidRDefault="00B35E92" w:rsidP="00B35E92">
      <w:pPr>
        <w:pStyle w:val="ParaNoNdepar-AltN"/>
        <w:rPr>
          <w:rFonts w:cs="Times New Roman"/>
          <w:lang w:val="en-US"/>
        </w:rPr>
      </w:pPr>
      <w:r w:rsidRPr="00B35E92">
        <w:rPr>
          <w:rFonts w:cs="Times New Roman"/>
          <w:lang w:val="en-US"/>
        </w:rPr>
        <w:t>We note, however, that the</w:t>
      </w:r>
      <w:r w:rsidRPr="00B35E92">
        <w:rPr>
          <w:rFonts w:cs="Times New Roman"/>
        </w:rPr>
        <w:t xml:space="preserve"> </w:t>
      </w:r>
      <w:r w:rsidRPr="00B35E92">
        <w:rPr>
          <w:rFonts w:cs="Times New Roman"/>
          <w:lang w:val="en-US"/>
        </w:rPr>
        <w:t>case was argued and decided by the courts below based on reasonableness review. Dissenting at the Court of Appeal, Lauwers J.A. raised</w:t>
      </w:r>
      <w:r w:rsidRPr="00B35E92">
        <w:rPr>
          <w:rFonts w:cs="Times New Roman"/>
        </w:rPr>
        <w:t>,</w:t>
      </w:r>
      <w:r w:rsidRPr="00B35E92">
        <w:rPr>
          <w:rFonts w:cs="Times New Roman"/>
          <w:lang w:val="en-US"/>
        </w:rPr>
        <w:t xml:space="preserve"> without deciding</w:t>
      </w:r>
      <w:r w:rsidRPr="00B35E92">
        <w:rPr>
          <w:rFonts w:cs="Times New Roman"/>
        </w:rPr>
        <w:t xml:space="preserve">, serious questions as to </w:t>
      </w:r>
      <w:r w:rsidRPr="00B35E92">
        <w:rPr>
          <w:rFonts w:cs="Times New Roman"/>
          <w:lang w:val="en-US"/>
        </w:rPr>
        <w:t>whether the standard of review ought to be correctness in this case given the constitutional conventions and associated traditions and practices engaged by s. 12(1) (paras. 106-8). In this case, the same conclusion follows regardless of whether the standard of review is correctness or reasonableness. The narrow zone of protection for Cabinet deliberations created by the IPC’s interpretation and application of s. 12(1) is not justified, even on the more deferential standard of reasonableness. In light of this conclusion and considering that the parties had not raised the issue of the applicable standard of review before this Court, it is not necessary to finally resolve the issue here. We therefore make no comment about the “thorny question” raised by Lauwers J.A. (at para. 108) and proceed on the basis of reasonableness review.</w:t>
      </w:r>
    </w:p>
    <w:p w14:paraId="664A98A4" w14:textId="77777777" w:rsidR="00B35E92" w:rsidRPr="00B35E92" w:rsidRDefault="00B35E92" w:rsidP="00B35E92">
      <w:pPr>
        <w:pStyle w:val="ParaNoNdepar-AltN"/>
        <w:rPr>
          <w:rFonts w:cs="Times New Roman"/>
          <w:lang w:val="en-US"/>
        </w:rPr>
      </w:pPr>
      <w:r w:rsidRPr="00B35E92">
        <w:rPr>
          <w:rFonts w:cs="Times New Roman"/>
          <w:lang w:val="en-US"/>
        </w:rPr>
        <w:t>Reasonableness review focuses both on the decision maker’s reasoning process and the outcome (</w:t>
      </w:r>
      <w:r w:rsidRPr="00B35E92">
        <w:rPr>
          <w:rFonts w:cs="Times New Roman"/>
          <w:i/>
          <w:lang w:val="en-GB"/>
        </w:rPr>
        <w:t>Canada (Minister of Citizenship and Immigration) v. Vavilov</w:t>
      </w:r>
      <w:r w:rsidRPr="00B35E92">
        <w:rPr>
          <w:rFonts w:cs="Times New Roman"/>
          <w:lang w:val="en-GB"/>
        </w:rPr>
        <w:t>, 2019 SCC 65, [2019] 4 S.C.R. 653</w:t>
      </w:r>
      <w:r w:rsidRPr="00B35E92">
        <w:rPr>
          <w:rFonts w:cs="Times New Roman"/>
          <w:lang w:val="en-US"/>
        </w:rPr>
        <w:t xml:space="preserve">, at paras. 83-84). A reasonable decision is “justified in relation to the constellation of law and facts that are relevant to the decision”; the legal and factual contexts thus “operate as constraints on the decision maker in the exercise of its delegated powers” (para. 105). Relevant contextual constraints may include “the governing statutory scheme; other relevant statutory or common law; the principles of statutory interpretation; the evidence before the decision maker . . .; the submissions of the parties; </w:t>
      </w:r>
      <w:r w:rsidRPr="00B35E92">
        <w:rPr>
          <w:rFonts w:cs="Times New Roman"/>
        </w:rPr>
        <w:t>the past practices and decisions of the administrative body; and the potential impact of the decision on the individual”</w:t>
      </w:r>
      <w:r w:rsidRPr="00B35E92">
        <w:rPr>
          <w:rFonts w:cs="Times New Roman"/>
          <w:lang w:val="en-US"/>
        </w:rPr>
        <w:t xml:space="preserve"> (para. 106). </w:t>
      </w:r>
    </w:p>
    <w:p w14:paraId="56CEB3F4" w14:textId="77777777" w:rsidR="00B35E92" w:rsidRPr="00B35E92" w:rsidRDefault="00B35E92" w:rsidP="00B35E92">
      <w:pPr>
        <w:pStyle w:val="ParaNoNdepar-AltN"/>
        <w:rPr>
          <w:rFonts w:cs="Times New Roman"/>
          <w:lang w:val="en-US"/>
        </w:rPr>
      </w:pPr>
      <w:r w:rsidRPr="00B35E92">
        <w:rPr>
          <w:rFonts w:cs="Times New Roman"/>
          <w:lang w:val="en-US"/>
        </w:rPr>
        <w:t>In conducting reasonableness review, reviewing judges must “be attentive to the application by decision makers of specialized knowledge” and “institutional expertise and experience” (para. 93; see also paras. 232-34). Judges must not reweigh and reassess the evidence considered by the decision maker, absent a fundamental misapprehension or failure to account for some aspect of the evidence (paras. 125-26). Reasonableness review thus entails deference to the decision maker, and, throughout, I examine the reasons offered by the IPC in light of the parties’ arguments and the context of the proceedings.</w:t>
      </w:r>
    </w:p>
    <w:p w14:paraId="52DA7274" w14:textId="77777777" w:rsidR="00B35E92" w:rsidRPr="00B35E92" w:rsidRDefault="00B35E92" w:rsidP="00B35E92">
      <w:pPr>
        <w:pStyle w:val="ParaNoNdepar-AltN"/>
        <w:rPr>
          <w:rFonts w:cs="Times New Roman"/>
          <w:lang w:val="en-US"/>
        </w:rPr>
      </w:pPr>
      <w:r w:rsidRPr="00B35E92">
        <w:rPr>
          <w:rFonts w:cs="Times New Roman"/>
          <w:lang w:val="en-US"/>
        </w:rPr>
        <w:t xml:space="preserve">The appellant Attorney General of Ontario submits the IPC’s decision was unreasonable on several bases, including: (1) the IPC’s interpretation of s. 12(1) is inconsistent with the purpose of the exemption to broadly protect Cabinet confidentiality, in line with tradition and constitutional convention; (2) the IPC unreasonably established a heightened test for s. 12(1) in requiring evidence that the Letters were connected to “actual Cabinet deliberations at a specific Cabinet meeting”; and (3) the IPC erred in concluding that the Letters were not exempt because they were “outcomes” of the Premier’s deliberative process, or mere “topics” and “subjects” of Cabinet meetings. </w:t>
      </w:r>
    </w:p>
    <w:p w14:paraId="2165ABAD" w14:textId="77777777" w:rsidR="00B35E92" w:rsidRPr="00B35E92" w:rsidRDefault="00B35E92" w:rsidP="00B35E92">
      <w:pPr>
        <w:pStyle w:val="ParaNoNdepar-AltN"/>
        <w:rPr>
          <w:rFonts w:cs="Times New Roman"/>
          <w:lang w:val="en-US"/>
        </w:rPr>
      </w:pPr>
      <w:r w:rsidRPr="00B35E92">
        <w:rPr>
          <w:rFonts w:cs="Times New Roman"/>
          <w:lang w:val="en-US"/>
        </w:rPr>
        <w:t xml:space="preserve">The respondent CBC seeks to uphold the IPC’s decision, noting that the IPC was alive to the purpose of the exemption and reasonably concluded that disclosure of the Letters would not impair that goal. The CBC contends that the IPC’s decision did not turn on whether “actual” deliberations occurred at a “specific” Cabinet meeting. Rather, it was driven by a lack of evidence the Letters would disclose the substance of </w:t>
      </w:r>
      <w:r w:rsidRPr="00B35E92">
        <w:rPr>
          <w:rFonts w:cs="Times New Roman"/>
          <w:i/>
          <w:lang w:val="en-US"/>
        </w:rPr>
        <w:t>any</w:t>
      </w:r>
      <w:r w:rsidRPr="00B35E92">
        <w:rPr>
          <w:rFonts w:cs="Times New Roman"/>
          <w:lang w:val="en-US"/>
        </w:rPr>
        <w:t xml:space="preserve"> deliberations at </w:t>
      </w:r>
      <w:r w:rsidRPr="00B35E92">
        <w:rPr>
          <w:rFonts w:cs="Times New Roman"/>
          <w:i/>
          <w:lang w:val="en-US"/>
        </w:rPr>
        <w:t xml:space="preserve">any </w:t>
      </w:r>
      <w:r w:rsidRPr="00B35E92">
        <w:rPr>
          <w:rFonts w:cs="Times New Roman"/>
          <w:lang w:val="en-US"/>
        </w:rPr>
        <w:t xml:space="preserve">Cabinet meeting. The CBC also argues that the IPC recognized that “outcomes” of a deliberative process may be exempt where they would permit accurate inferences to be drawn as to the substance of Cabinet’s deliberations, and reasonably found the Letters did not meet this test. As mandated by the statutory process, the CBC made its submissions without the benefit of viewing the Letters, which had been disclosed only to the IPC and reviewing judges in these proceedings. </w:t>
      </w:r>
    </w:p>
    <w:p w14:paraId="5477D607" w14:textId="77777777" w:rsidR="00B35E92" w:rsidRPr="00B35E92" w:rsidRDefault="00B35E92" w:rsidP="00B35E92">
      <w:pPr>
        <w:pStyle w:val="ParaNoNdepar-AltN"/>
        <w:rPr>
          <w:rFonts w:cs="Times New Roman"/>
        </w:rPr>
      </w:pPr>
      <w:r w:rsidRPr="00B35E92">
        <w:rPr>
          <w:rFonts w:cs="Times New Roman"/>
          <w:lang w:val="en-US"/>
        </w:rPr>
        <w:t xml:space="preserve">As I will explain, I agree with the Attorney </w:t>
      </w:r>
      <w:r w:rsidRPr="00B35E92">
        <w:rPr>
          <w:rFonts w:cs="Times New Roman"/>
        </w:rPr>
        <w:t>General</w:t>
      </w:r>
      <w:r w:rsidRPr="00B35E92">
        <w:rPr>
          <w:rFonts w:cs="Times New Roman"/>
          <w:lang w:val="en-US"/>
        </w:rPr>
        <w:t xml:space="preserve"> of Ontario that the Commissioner did not adequately grapple with the broader legal and factual context in interpreting s. 12(1). As a result, he unreasonably rejected the arguments of Cabinet Office as to the impact that disclosure of the Letters would have on Cabinet’s deliberative process. The legal and factual constraints operating on s. 12(1) implicate constitutional conventions and traditions governing Cabinet confidentiality and Cabinet’s deliberative process. Given the centrality of such traditions and conventions to the proper functioning of our democracy, it was vital that the IPC’s decision meaningfully consider this context. His failure to do so led him to an unreasonably narrow interpretation of s. 12(1) and caused him to mischaracterize the Letters themselves. </w:t>
      </w:r>
    </w:p>
    <w:p w14:paraId="145A9DA4" w14:textId="77777777" w:rsidR="00B35E92" w:rsidRPr="00B35E92" w:rsidRDefault="00B35E92" w:rsidP="00B35E92">
      <w:pPr>
        <w:pStyle w:val="ParaNoNdepar-AltN"/>
        <w:rPr>
          <w:rFonts w:cs="Times New Roman"/>
        </w:rPr>
      </w:pPr>
      <w:r w:rsidRPr="00B35E92">
        <w:rPr>
          <w:rFonts w:cs="Times New Roman"/>
          <w:lang w:val="en-US"/>
        </w:rPr>
        <w:t xml:space="preserve">I proceed by assessing </w:t>
      </w:r>
      <w:r w:rsidRPr="00B35E92" w:rsidDel="00B352A3">
        <w:rPr>
          <w:rFonts w:cs="Times New Roman"/>
          <w:lang w:val="en-US"/>
        </w:rPr>
        <w:t>the reasonableness of the IPC’s interpretation of s.</w:t>
      </w:r>
      <w:r w:rsidRPr="00B35E92">
        <w:rPr>
          <w:rFonts w:cs="Times New Roman"/>
          <w:lang w:val="en-US"/>
        </w:rPr>
        <w:t> </w:t>
      </w:r>
      <w:r w:rsidRPr="00B35E92" w:rsidDel="00B352A3">
        <w:rPr>
          <w:rFonts w:cs="Times New Roman"/>
          <w:lang w:val="en-US"/>
        </w:rPr>
        <w:t xml:space="preserve">12(1) against the </w:t>
      </w:r>
      <w:r w:rsidRPr="00B35E92">
        <w:rPr>
          <w:rFonts w:cs="Times New Roman"/>
          <w:lang w:val="en-US"/>
        </w:rPr>
        <w:t xml:space="preserve">legislation and the </w:t>
      </w:r>
      <w:r w:rsidRPr="00B35E92" w:rsidDel="00B352A3">
        <w:rPr>
          <w:rFonts w:cs="Times New Roman"/>
          <w:lang w:val="en-US"/>
        </w:rPr>
        <w:t xml:space="preserve">legal backdrop </w:t>
      </w:r>
      <w:r w:rsidRPr="00B35E92">
        <w:rPr>
          <w:rFonts w:cs="Times New Roman"/>
          <w:lang w:val="en-US"/>
        </w:rPr>
        <w:t xml:space="preserve">of </w:t>
      </w:r>
      <w:r w:rsidRPr="00B35E92" w:rsidDel="00B352A3">
        <w:rPr>
          <w:rFonts w:cs="Times New Roman"/>
          <w:lang w:val="en-US"/>
        </w:rPr>
        <w:t xml:space="preserve">Cabinet confidentiality. </w:t>
      </w:r>
      <w:r w:rsidRPr="00B35E92">
        <w:rPr>
          <w:rFonts w:cs="Times New Roman"/>
          <w:lang w:val="en-US"/>
        </w:rPr>
        <w:t>I then assess the Commissioner’s characterization of the Letters, given the context advanced by Cabinet Office about the deliberative process and the role of the Premier.</w:t>
      </w:r>
    </w:p>
    <w:p w14:paraId="735E60E9" w14:textId="77777777" w:rsidR="00B35E92" w:rsidRPr="00B35E92" w:rsidRDefault="00B35E92" w:rsidP="00B35E92">
      <w:pPr>
        <w:pStyle w:val="Title2LevelTitre2Niveau"/>
        <w:rPr>
          <w:rFonts w:cs="Times New Roman"/>
          <w:lang w:val="en-US"/>
        </w:rPr>
      </w:pPr>
      <w:r w:rsidRPr="00B35E92">
        <w:rPr>
          <w:rFonts w:cs="Times New Roman"/>
          <w:lang w:val="en-US"/>
        </w:rPr>
        <w:t xml:space="preserve">The IPC’s Interpretation of Section 12(1) </w:t>
      </w:r>
    </w:p>
    <w:p w14:paraId="06B8BDAA" w14:textId="77777777" w:rsidR="00B35E92" w:rsidRPr="00B35E92" w:rsidRDefault="00B35E92" w:rsidP="00B35E92">
      <w:pPr>
        <w:pStyle w:val="ParaNoNdepar-AltN"/>
        <w:rPr>
          <w:rFonts w:cs="Times New Roman"/>
          <w:lang w:val="en-US"/>
        </w:rPr>
      </w:pPr>
      <w:r w:rsidRPr="00B35E92">
        <w:rPr>
          <w:rFonts w:cs="Times New Roman"/>
          <w:lang w:val="en-US"/>
        </w:rPr>
        <w:t>A reasonable decision is justified in relation to the salient aspects of the statute’s text, context, and purpose, in line with the modern principle of statutory interpretation (</w:t>
      </w:r>
      <w:r w:rsidRPr="00B35E92">
        <w:rPr>
          <w:rFonts w:cs="Times New Roman"/>
          <w:i/>
          <w:lang w:val="en-US"/>
        </w:rPr>
        <w:t>Vavilov</w:t>
      </w:r>
      <w:r w:rsidRPr="00B35E92">
        <w:rPr>
          <w:rFonts w:cs="Times New Roman"/>
          <w:lang w:val="en-US"/>
        </w:rPr>
        <w:t>, at paras. 117-22). A minor omission of some element of text, context, or purpose is unlikely to be a basis for finding the decision unreasonable. Still, a court will intervene where “</w:t>
      </w:r>
      <w:r w:rsidRPr="00B35E92">
        <w:rPr>
          <w:rFonts w:cs="Times New Roman"/>
        </w:rPr>
        <w:t xml:space="preserve">the omitted aspect of the analysis causes the reviewing court to lose confidence in the outcome reached by the decision maker” </w:t>
      </w:r>
      <w:r w:rsidRPr="00B35E92">
        <w:rPr>
          <w:rFonts w:cs="Times New Roman"/>
          <w:lang w:val="en-US"/>
        </w:rPr>
        <w:t>(para. 122)</w:t>
      </w:r>
      <w:r w:rsidRPr="00B35E92">
        <w:rPr>
          <w:rFonts w:cs="Times New Roman"/>
        </w:rPr>
        <w:t xml:space="preserve">. </w:t>
      </w:r>
      <w:r w:rsidRPr="00B35E92">
        <w:rPr>
          <w:rFonts w:cs="Times New Roman"/>
          <w:lang w:val="en-US"/>
        </w:rPr>
        <w:t xml:space="preserve"> </w:t>
      </w:r>
    </w:p>
    <w:p w14:paraId="7850CF56" w14:textId="77777777" w:rsidR="00B35E92" w:rsidRPr="00B35E92" w:rsidRDefault="00B35E92" w:rsidP="00B35E92">
      <w:pPr>
        <w:pStyle w:val="ParaNoNdepar-AltN"/>
        <w:rPr>
          <w:rFonts w:cs="Times New Roman"/>
          <w:lang w:val="en-US"/>
        </w:rPr>
      </w:pPr>
      <w:r w:rsidRPr="00B35E92">
        <w:rPr>
          <w:rFonts w:cs="Times New Roman"/>
          <w:lang w:val="en-US"/>
        </w:rPr>
        <w:t xml:space="preserve">In my view, the IPC’s decision demonstrates careful regard for the text of s. 12(1) — for example, noting the meaning of the words “substance”, “deliberations”, “including”, and “would” in the provision (paras. 9, 90-97 and 111). The IPC also noted FOI legislation’s general purpose of facilitating democracy (para. 106), and accounted for two of the purposes of Cabinet confidentiality: candour and solidarity (para. 87). But the IPC was not attentive to important legal context surrounding the exemption, which must inform the interpretation of its purpose and text. This omission led the IPC to an overly narrow interpretation of the exemption’s purpose and scope. </w:t>
      </w:r>
    </w:p>
    <w:p w14:paraId="4F2F195E" w14:textId="77777777" w:rsidR="00B35E92" w:rsidRPr="00B35E92" w:rsidRDefault="00B35E92" w:rsidP="00B35E92">
      <w:pPr>
        <w:pStyle w:val="ParaNoNdepar-AltN"/>
        <w:rPr>
          <w:rFonts w:cs="Times New Roman"/>
          <w:lang w:val="en-US"/>
        </w:rPr>
      </w:pPr>
      <w:r w:rsidRPr="00B35E92">
        <w:rPr>
          <w:rFonts w:cs="Times New Roman"/>
          <w:lang w:val="en-US"/>
        </w:rPr>
        <w:t xml:space="preserve">The parties submit that the purposes informing the legislation were key considerations to the IPC’s interpretation of s. 12(1). </w:t>
      </w:r>
      <w:r w:rsidRPr="00B35E92">
        <w:rPr>
          <w:rFonts w:cs="Times New Roman"/>
          <w:i/>
          <w:lang w:val="en-US"/>
        </w:rPr>
        <w:t xml:space="preserve">FIPPA </w:t>
      </w:r>
      <w:r w:rsidRPr="00B35E92">
        <w:rPr>
          <w:rFonts w:cs="Times New Roman"/>
          <w:lang w:val="en-US"/>
        </w:rPr>
        <w:t xml:space="preserve">was enacted in 1987 based on recommendations made by the Ontario Commission on Freedom of Information and Individual Privacy, headed by Commissioner D. Carlton Williams, in 1980. As the IPC observed, </w:t>
      </w:r>
      <w:r w:rsidRPr="00B35E92">
        <w:rPr>
          <w:rFonts w:cs="Times New Roman"/>
          <w:i/>
          <w:lang w:val="en-US"/>
        </w:rPr>
        <w:t>FIPPA</w:t>
      </w:r>
      <w:r w:rsidRPr="00B35E92">
        <w:rPr>
          <w:rFonts w:cs="Times New Roman"/>
          <w:lang w:val="en-US"/>
        </w:rPr>
        <w:t xml:space="preserve"> creates a general right of public access to government information, subject to necessary exemptions which are limited and specific (para. 107, citing s. 1(a)). </w:t>
      </w:r>
    </w:p>
    <w:p w14:paraId="5CED0031" w14:textId="77777777" w:rsidR="00B35E92" w:rsidRPr="00B35E92" w:rsidRDefault="00B35E92" w:rsidP="00B35E92">
      <w:pPr>
        <w:pStyle w:val="ParaNoNdepar-AltN"/>
        <w:rPr>
          <w:rFonts w:cs="Times New Roman"/>
          <w:lang w:val="en-US"/>
        </w:rPr>
      </w:pPr>
      <w:r w:rsidRPr="00B35E92">
        <w:rPr>
          <w:rFonts w:cs="Times New Roman"/>
        </w:rPr>
        <w:t xml:space="preserve">The legislative context shows </w:t>
      </w:r>
      <w:r w:rsidRPr="00B35E92">
        <w:rPr>
          <w:rFonts w:cs="Times New Roman"/>
          <w:i/>
          <w:lang w:val="en-US"/>
        </w:rPr>
        <w:t>FIPPA</w:t>
      </w:r>
      <w:r w:rsidRPr="00B35E92">
        <w:rPr>
          <w:rFonts w:cs="Times New Roman"/>
          <w:lang w:val="en-US"/>
        </w:rPr>
        <w:t xml:space="preserve">’s Cabinet records exemption was a critical part of the balance the legislature struck between public access to information and necessary spheres of government confidentiality (see </w:t>
      </w:r>
      <w:r w:rsidRPr="00B35E92">
        <w:rPr>
          <w:rFonts w:cs="Times New Roman"/>
        </w:rPr>
        <w:t xml:space="preserve">Legislative Assembly of Ontario, </w:t>
      </w:r>
      <w:r w:rsidRPr="00B35E92">
        <w:rPr>
          <w:rFonts w:cs="Times New Roman"/>
          <w:i/>
        </w:rPr>
        <w:t>Official Report of Debates</w:t>
      </w:r>
      <w:r w:rsidRPr="00B35E92">
        <w:rPr>
          <w:rFonts w:cs="Times New Roman"/>
        </w:rPr>
        <w:t xml:space="preserve"> </w:t>
      </w:r>
      <w:r w:rsidRPr="00B35E92">
        <w:rPr>
          <w:rFonts w:cs="Times New Roman"/>
          <w:i/>
        </w:rPr>
        <w:t>(Hansard)</w:t>
      </w:r>
      <w:r w:rsidRPr="00B35E92">
        <w:rPr>
          <w:rFonts w:cs="Times New Roman"/>
        </w:rPr>
        <w:t>, No. 21, 1st Sess., 33rd </w:t>
      </w:r>
      <w:r w:rsidRPr="00A82C95">
        <w:rPr>
          <w:rFonts w:cs="Times New Roman"/>
        </w:rPr>
        <w:t xml:space="preserve">Parl., </w:t>
      </w:r>
      <w:r w:rsidRPr="00A82C95">
        <w:rPr>
          <w:rStyle w:val="Hyperlink"/>
          <w:rFonts w:cs="Times New Roman"/>
          <w:color w:val="auto"/>
        </w:rPr>
        <w:t>July 12, 1985</w:t>
      </w:r>
      <w:r w:rsidRPr="00A82C95">
        <w:rPr>
          <w:rFonts w:cs="Times New Roman"/>
        </w:rPr>
        <w:t>, at pp. 7</w:t>
      </w:r>
      <w:r w:rsidRPr="00B35E92">
        <w:rPr>
          <w:rFonts w:cs="Times New Roman"/>
        </w:rPr>
        <w:t xml:space="preserve">53-55 (Hon. Ian G. Scott) (recognizing that </w:t>
      </w:r>
      <w:r w:rsidRPr="00B35E92">
        <w:rPr>
          <w:rFonts w:cs="Times New Roman"/>
          <w:i/>
        </w:rPr>
        <w:t xml:space="preserve">FIPPA </w:t>
      </w:r>
      <w:r w:rsidRPr="00B35E92">
        <w:rPr>
          <w:rFonts w:cs="Times New Roman"/>
        </w:rPr>
        <w:t>required “balanc[ing]” of competing interests and that the Cabinet records exemption protected “central institutions of representative government”))</w:t>
      </w:r>
      <w:r w:rsidRPr="00B35E92">
        <w:rPr>
          <w:rFonts w:cs="Times New Roman"/>
          <w:lang w:val="en-US"/>
        </w:rPr>
        <w:t xml:space="preserve">. </w:t>
      </w:r>
      <w:r w:rsidRPr="00B35E92">
        <w:rPr>
          <w:rFonts w:cs="Times New Roman"/>
        </w:rPr>
        <w:t xml:space="preserve">In contemplating the enactment of FOI legislation in Ontario, the official report of the Williams Commission recognized that changes to access to government information practices had to be compatible with the province’s traditions and the constitutional conventions related to the effective functioning of Cabinet (Commission on Freedom of Information and Individual Privacy, </w:t>
      </w:r>
      <w:r w:rsidRPr="00B35E92">
        <w:rPr>
          <w:rFonts w:cs="Times New Roman"/>
          <w:i/>
        </w:rPr>
        <w:t>Public Government for Private People: The Report of the Commission on Freedom of Information and Individual Privacy</w:t>
      </w:r>
      <w:r w:rsidRPr="00B35E92">
        <w:rPr>
          <w:rFonts w:cs="Times New Roman"/>
        </w:rPr>
        <w:t xml:space="preserve"> (1980) (Williams Report), at pp. 83 and 85). </w:t>
      </w:r>
    </w:p>
    <w:p w14:paraId="0B2D37DD" w14:textId="77777777" w:rsidR="00B35E92" w:rsidRPr="00B35E92" w:rsidRDefault="00B35E92" w:rsidP="00B35E92">
      <w:pPr>
        <w:pStyle w:val="ParaNoNdepar-AltN"/>
        <w:rPr>
          <w:rFonts w:cs="Times New Roman"/>
          <w:lang w:val="en-US"/>
        </w:rPr>
      </w:pPr>
      <w:r w:rsidRPr="00B35E92">
        <w:rPr>
          <w:rFonts w:cs="Times New Roman"/>
          <w:lang w:val="en-US"/>
        </w:rPr>
        <w:t xml:space="preserve">Beyond legislation, Cabinet confidentiality is protected as a matter of constitutional convention, or the rules of behavior established by government institutions that are not enforced by the courts, but are considered binding by those who operate the Constitution (A. Heard, </w:t>
      </w:r>
      <w:r w:rsidRPr="00B35E92">
        <w:rPr>
          <w:rFonts w:cs="Times New Roman"/>
          <w:i/>
          <w:lang w:val="en-US"/>
        </w:rPr>
        <w:t>Canadian Constitutional Conventions</w:t>
      </w:r>
      <w:r w:rsidRPr="00B35E92">
        <w:rPr>
          <w:rFonts w:cs="Times New Roman"/>
          <w:i/>
          <w:iCs/>
        </w:rPr>
        <w:t>: The Marriage of Law &amp; Politics</w:t>
      </w:r>
      <w:r w:rsidRPr="00B35E92">
        <w:rPr>
          <w:rFonts w:cs="Times New Roman"/>
          <w:lang w:val="en-US"/>
        </w:rPr>
        <w:t xml:space="preserve"> (2nd ed. 2014), at p. 5; see also </w:t>
      </w:r>
      <w:r w:rsidRPr="00B35E92">
        <w:rPr>
          <w:rFonts w:cs="Times New Roman"/>
          <w:i/>
          <w:lang w:val="en-US"/>
        </w:rPr>
        <w:t>Reference re Resolution to amend the Constitution</w:t>
      </w:r>
      <w:r w:rsidRPr="00B35E92">
        <w:rPr>
          <w:rFonts w:cs="Times New Roman"/>
          <w:lang w:val="en-US"/>
        </w:rPr>
        <w:t>, [1981] 1 S.C.R. 753, at p. 880). Because s. 12(1) was designed to preserve the secrecy of Cabinet’s deliberative process, the constitutional dimension of Cabinet secrecy was crucial context in interpreting s. 12(1).</w:t>
      </w:r>
    </w:p>
    <w:p w14:paraId="60C4C784" w14:textId="77777777" w:rsidR="00B35E92" w:rsidRPr="00B35E92" w:rsidRDefault="00B35E92" w:rsidP="00B35E92">
      <w:pPr>
        <w:pStyle w:val="ParaNoNdepar-AltN"/>
        <w:rPr>
          <w:rFonts w:cs="Times New Roman"/>
          <w:lang w:val="en-US"/>
        </w:rPr>
      </w:pPr>
      <w:r w:rsidRPr="00B35E92">
        <w:rPr>
          <w:rFonts w:cs="Times New Roman"/>
          <w:lang w:val="en-US"/>
        </w:rPr>
        <w:t>In our constitutional democracy, the confidentiality of Cabinet deliberations is a precondition to responsible government because it enables collective ministerial responsibility. Responsible government is a fundamental principle of our system of government (</w:t>
      </w:r>
      <w:r w:rsidRPr="00B35E92">
        <w:rPr>
          <w:rFonts w:cs="Times New Roman"/>
          <w:i/>
        </w:rPr>
        <w:t>OPSEU v. Ontario (Attorney General)</w:t>
      </w:r>
      <w:r w:rsidRPr="00B35E92">
        <w:rPr>
          <w:rFonts w:cs="Times New Roman"/>
          <w:lang w:val="en-US"/>
        </w:rPr>
        <w:t xml:space="preserve">, [1987] 2 S.C.R. 2, at p. 38) and the “most important non-federal characteristic of the Canadian Constitution” (P. W. Hogg and W. K. Wright, </w:t>
      </w:r>
      <w:r w:rsidRPr="00B35E92">
        <w:rPr>
          <w:rFonts w:cs="Times New Roman"/>
          <w:i/>
          <w:lang w:val="en-US"/>
        </w:rPr>
        <w:t>Constitutional Law of Canada</w:t>
      </w:r>
      <w:r w:rsidRPr="00B35E92">
        <w:rPr>
          <w:rFonts w:cs="Times New Roman"/>
          <w:lang w:val="en-US"/>
        </w:rPr>
        <w:t xml:space="preserve"> (5th ed. Supp.), at § 9:3). Government is “responsible” in that the executive is accountable to, and must maintain the confidence of, the legislative assembly (§ 9:1; Heard, at p. 90). Cabinet ministers are both </w:t>
      </w:r>
      <w:r w:rsidRPr="00B35E92">
        <w:rPr>
          <w:rFonts w:cs="Times New Roman"/>
          <w:i/>
          <w:lang w:val="en-US"/>
        </w:rPr>
        <w:t xml:space="preserve">individually </w:t>
      </w:r>
      <w:r w:rsidRPr="00B35E92">
        <w:rPr>
          <w:rFonts w:cs="Times New Roman"/>
          <w:lang w:val="en-US"/>
        </w:rPr>
        <w:t xml:space="preserve">responsible for their own conduct and respective departments, and </w:t>
      </w:r>
      <w:r w:rsidRPr="00B35E92">
        <w:rPr>
          <w:rFonts w:cs="Times New Roman"/>
          <w:i/>
          <w:lang w:val="en-US"/>
        </w:rPr>
        <w:t xml:space="preserve">collectively </w:t>
      </w:r>
      <w:r w:rsidRPr="00B35E92">
        <w:rPr>
          <w:rFonts w:cs="Times New Roman"/>
          <w:lang w:val="en-US"/>
        </w:rPr>
        <w:t xml:space="preserve">responsible for government policy and action (G. White, </w:t>
      </w:r>
      <w:r w:rsidRPr="00B35E92">
        <w:rPr>
          <w:rFonts w:cs="Times New Roman"/>
          <w:i/>
          <w:lang w:val="en-US"/>
        </w:rPr>
        <w:t>Cabinets and First Ministers</w:t>
      </w:r>
      <w:r w:rsidRPr="00B35E92">
        <w:rPr>
          <w:rFonts w:cs="Times New Roman"/>
          <w:lang w:val="en-US"/>
        </w:rPr>
        <w:t xml:space="preserve"> (2005), at pp. 15-16). </w:t>
      </w:r>
    </w:p>
    <w:p w14:paraId="7826EF90" w14:textId="77777777" w:rsidR="00B35E92" w:rsidRPr="00B35E92" w:rsidRDefault="00B35E92" w:rsidP="00B35E92">
      <w:pPr>
        <w:pStyle w:val="ParaNoNdepar-AltN"/>
        <w:rPr>
          <w:rFonts w:cs="Times New Roman"/>
          <w:lang w:val="en-US"/>
        </w:rPr>
      </w:pPr>
      <w:r w:rsidRPr="00B35E92">
        <w:rPr>
          <w:rFonts w:cs="Times New Roman"/>
          <w:lang w:val="en-US"/>
        </w:rPr>
        <w:t>Cabinet secrecy derives from the collective dimension of ministerial responsibility (</w:t>
      </w:r>
      <w:r w:rsidRPr="00B35E92">
        <w:rPr>
          <w:rFonts w:cs="Times New Roman"/>
        </w:rPr>
        <w:t xml:space="preserve">Y. Campagnolo, “The Political Legitimacy of Cabinet Secrecy” (2017), 51 </w:t>
      </w:r>
      <w:r w:rsidRPr="00B35E92">
        <w:rPr>
          <w:rFonts w:cs="Times New Roman"/>
          <w:i/>
        </w:rPr>
        <w:t>R.J.T.U.M.</w:t>
      </w:r>
      <w:r w:rsidRPr="00B35E92">
        <w:rPr>
          <w:rFonts w:cs="Times New Roman"/>
        </w:rPr>
        <w:t xml:space="preserve"> 51,</w:t>
      </w:r>
      <w:r w:rsidRPr="00B35E92">
        <w:rPr>
          <w:rFonts w:cs="Times New Roman"/>
          <w:lang w:val="en-US"/>
        </w:rPr>
        <w:t xml:space="preserve"> at p. 59). Collective ministerial responsibility requires that ministers be able to speak freely when deliberating without fear that what they say might be subject to public scrutiny (IPC reasons, at paras. 86-87 and 97). This is necessary so ministers do not censor themselves in policy debate, and so ministers can stand together in public, and be held responsible as a whole, once a policy decision has been made and announced. These purposes are referred to by scholars as the “candour” and “solidarity” rationales for Cabinet confidentiality (see </w:t>
      </w:r>
      <w:r w:rsidRPr="00B35E92">
        <w:rPr>
          <w:rFonts w:cs="Times New Roman"/>
        </w:rPr>
        <w:t>Campagnolo (2017), at pp. 66-72</w:t>
      </w:r>
      <w:r w:rsidRPr="00B35E92">
        <w:rPr>
          <w:rFonts w:cs="Times New Roman"/>
          <w:lang w:val="en-US"/>
        </w:rPr>
        <w:t xml:space="preserve">). At base, Cabinet confidentiality promotes executive accountability by permitting private </w:t>
      </w:r>
      <w:r w:rsidRPr="00B35E92">
        <w:rPr>
          <w:rFonts w:cs="Times New Roman"/>
        </w:rPr>
        <w:t>disagreement</w:t>
      </w:r>
      <w:r w:rsidRPr="00B35E92">
        <w:rPr>
          <w:rFonts w:cs="Times New Roman"/>
          <w:lang w:val="en-US"/>
        </w:rPr>
        <w:t xml:space="preserve"> and candour in ministerial deliberations, despite public solidarity (</w:t>
      </w:r>
      <w:r w:rsidRPr="00B35E92">
        <w:rPr>
          <w:rFonts w:cs="Times New Roman"/>
          <w:i/>
          <w:lang w:val="en-US"/>
        </w:rPr>
        <w:t>ibid.</w:t>
      </w:r>
      <w:r w:rsidRPr="00B35E92">
        <w:rPr>
          <w:rFonts w:cs="Times New Roman"/>
          <w:lang w:val="en-US"/>
        </w:rPr>
        <w:t xml:space="preserve">; see also </w:t>
      </w:r>
      <w:r w:rsidRPr="00B35E92">
        <w:rPr>
          <w:rFonts w:cs="Times New Roman"/>
        </w:rPr>
        <w:t xml:space="preserve">N. d’Ombrain, “Cabinet secrecy” (2004), 47 </w:t>
      </w:r>
      <w:r w:rsidRPr="00B35E92">
        <w:rPr>
          <w:rFonts w:cs="Times New Roman"/>
          <w:i/>
        </w:rPr>
        <w:t>Can. Pub. Admin.</w:t>
      </w:r>
      <w:r w:rsidRPr="00B35E92">
        <w:rPr>
          <w:rFonts w:cs="Times New Roman"/>
        </w:rPr>
        <w:t xml:space="preserve"> 332, at p. 336</w:t>
      </w:r>
      <w:r w:rsidRPr="00B35E92">
        <w:rPr>
          <w:rFonts w:cs="Times New Roman"/>
          <w:lang w:val="en-US"/>
        </w:rPr>
        <w:t xml:space="preserve">). </w:t>
      </w:r>
    </w:p>
    <w:p w14:paraId="08C154A3" w14:textId="77777777" w:rsidR="00B35E92" w:rsidRPr="00B35E92" w:rsidRDefault="00B35E92" w:rsidP="00B35E92">
      <w:pPr>
        <w:pStyle w:val="ParaNoNdepar-AltN"/>
        <w:rPr>
          <w:rFonts w:cs="Times New Roman"/>
        </w:rPr>
      </w:pPr>
      <w:r w:rsidRPr="00B35E92">
        <w:rPr>
          <w:rFonts w:cs="Times New Roman"/>
          <w:lang w:val="en-US"/>
        </w:rPr>
        <w:t>Scholars</w:t>
      </w:r>
      <w:r w:rsidRPr="00B35E92">
        <w:rPr>
          <w:rFonts w:cs="Times New Roman"/>
        </w:rPr>
        <w:t xml:space="preserve"> also refer to a third rationale for the convention of Cabinet confidentiality:</w:t>
      </w:r>
      <w:r w:rsidRPr="00B35E92">
        <w:rPr>
          <w:rFonts w:cs="Times New Roman"/>
          <w:lang w:val="en-US"/>
        </w:rPr>
        <w:t xml:space="preserve"> it promotes the efficiency of the collective decision-making process</w:t>
      </w:r>
      <w:r w:rsidRPr="00B35E92">
        <w:rPr>
          <w:rFonts w:cs="Times New Roman"/>
        </w:rPr>
        <w:t xml:space="preserve"> (see Campagnolo (2017), at p. 68). Thus, Cabinet secrecy promotes candour, solidarity, and efficiency, all in aid of effective government. This objective is also reflected in the jurisprudence of this Court. In </w:t>
      </w:r>
      <w:r w:rsidRPr="00B35E92">
        <w:rPr>
          <w:rFonts w:cs="Times New Roman"/>
          <w:i/>
          <w:iCs/>
        </w:rPr>
        <w:t>Carey</w:t>
      </w:r>
      <w:r w:rsidRPr="00B35E92">
        <w:rPr>
          <w:rFonts w:cs="Times New Roman"/>
        </w:rPr>
        <w:t xml:space="preserve">, this Court observed that the very purpose of the confidentiality is the proper functioning of government (pp. 664, 670-71 and 673). In </w:t>
      </w:r>
      <w:r w:rsidRPr="00B35E92">
        <w:rPr>
          <w:rFonts w:cs="Times New Roman"/>
          <w:i/>
          <w:iCs/>
        </w:rPr>
        <w:t>Babcock</w:t>
      </w:r>
      <w:r w:rsidRPr="00B35E92">
        <w:rPr>
          <w:rFonts w:cs="Times New Roman"/>
        </w:rPr>
        <w:t xml:space="preserve">, McLachlin C.J. stated: “Cabinet confidentiality is essential to good government” (para. 15). And in </w:t>
      </w:r>
      <w:r w:rsidRPr="00B35E92">
        <w:rPr>
          <w:rFonts w:cs="Times New Roman"/>
          <w:i/>
          <w:iCs/>
        </w:rPr>
        <w:t>John Doe v. Ontario (Finance)</w:t>
      </w:r>
      <w:r w:rsidRPr="00B35E92">
        <w:rPr>
          <w:rFonts w:cs="Times New Roman"/>
          <w:iCs/>
        </w:rPr>
        <w:t>,</w:t>
      </w:r>
      <w:r w:rsidRPr="00B35E92">
        <w:rPr>
          <w:rFonts w:cs="Times New Roman"/>
          <w:lang w:val="en-US"/>
        </w:rPr>
        <w:t xml:space="preserve"> 2014 SCC 36, [2014] 2 S.C.R. 3</w:t>
      </w:r>
      <w:r w:rsidRPr="00B35E92">
        <w:rPr>
          <w:rFonts w:cs="Times New Roman"/>
        </w:rPr>
        <w:t>, this Court noted that exposure of policy priorities at an early stage of the deliberative process to journalists or political opponents “is combustible material liable to fuel a fire that could quickly destroy governmental credibility and effectiveness” (para. 44</w:t>
      </w:r>
      <w:r w:rsidRPr="00B35E92">
        <w:rPr>
          <w:rFonts w:eastAsiaTheme="majorEastAsia" w:cs="Times New Roman"/>
          <w:sz w:val="22"/>
          <w:lang w:val="en-US" w:eastAsia="en-CA"/>
        </w:rPr>
        <w:t xml:space="preserve">, </w:t>
      </w:r>
      <w:r w:rsidRPr="00B35E92">
        <w:rPr>
          <w:rFonts w:cs="Times New Roman"/>
          <w:lang w:val="en-US"/>
        </w:rPr>
        <w:t xml:space="preserve">quoting </w:t>
      </w:r>
      <w:r w:rsidRPr="00B35E92">
        <w:rPr>
          <w:rFonts w:cs="Times New Roman"/>
          <w:i/>
          <w:iCs/>
          <w:lang w:val="en-US"/>
        </w:rPr>
        <w:t>Canadian Council of Christian Charities v. Canada (Minister of Finance)</w:t>
      </w:r>
      <w:r w:rsidRPr="00B35E92">
        <w:rPr>
          <w:rFonts w:cs="Times New Roman"/>
          <w:lang w:val="en-US"/>
        </w:rPr>
        <w:t>, [1999] 4 F.C. 245, at para. 31</w:t>
      </w:r>
      <w:r w:rsidRPr="00B35E92">
        <w:rPr>
          <w:rFonts w:cs="Times New Roman"/>
        </w:rPr>
        <w:t>).</w:t>
      </w:r>
    </w:p>
    <w:p w14:paraId="7BD8A549" w14:textId="77777777" w:rsidR="00B35E92" w:rsidRPr="00B35E92" w:rsidRDefault="00B35E92" w:rsidP="00B35E92">
      <w:pPr>
        <w:pStyle w:val="ParaNoNdepar-AltN"/>
        <w:rPr>
          <w:rFonts w:cs="Times New Roman"/>
          <w:lang w:val="en-US"/>
        </w:rPr>
      </w:pPr>
      <w:r w:rsidRPr="00B35E92">
        <w:rPr>
          <w:rFonts w:cs="Times New Roman"/>
        </w:rPr>
        <w:t>Cabinet confidentiality is therefore “not just a convenient political dodge; it is essential to effective government” (see White, at p. 139; see also p. 138</w:t>
      </w:r>
      <w:r w:rsidRPr="00B35E92">
        <w:rPr>
          <w:rFonts w:cs="Times New Roman"/>
          <w:lang w:val="en-US"/>
        </w:rPr>
        <w:t>). O</w:t>
      </w:r>
      <w:r w:rsidRPr="00B35E92">
        <w:rPr>
          <w:rFonts w:cs="Times New Roman"/>
        </w:rPr>
        <w:t>ur jurisprudence focuses broadly on the value of deliberative secrecy to the effective operation of government institutions, including Cabinet. It also recognizes that too much openness can impair that aim (</w:t>
      </w:r>
      <w:r w:rsidRPr="00B35E92">
        <w:rPr>
          <w:rFonts w:cs="Times New Roman"/>
          <w:lang w:val="en-US"/>
        </w:rPr>
        <w:t xml:space="preserve">see </w:t>
      </w:r>
      <w:r w:rsidRPr="00B35E92">
        <w:rPr>
          <w:rFonts w:cs="Times New Roman"/>
          <w:i/>
          <w:lang w:val="en-US"/>
        </w:rPr>
        <w:t>Babcock</w:t>
      </w:r>
      <w:r w:rsidRPr="00B35E92">
        <w:rPr>
          <w:rFonts w:cs="Times New Roman"/>
          <w:lang w:val="en-US"/>
        </w:rPr>
        <w:t xml:space="preserve">, at para. 18; </w:t>
      </w:r>
      <w:r w:rsidRPr="00B35E92">
        <w:rPr>
          <w:rFonts w:cs="Times New Roman"/>
          <w:i/>
          <w:lang w:val="en-US"/>
        </w:rPr>
        <w:t>Ontario (Public Safety and Security) v. Criminal Lawyers’ Association</w:t>
      </w:r>
      <w:r w:rsidRPr="00B35E92">
        <w:rPr>
          <w:rFonts w:cs="Times New Roman"/>
          <w:lang w:val="en-US"/>
        </w:rPr>
        <w:t>, 2010 SCC 23, [2010] 1 S.C.R. 815 (</w:t>
      </w:r>
      <w:r w:rsidRPr="00B35E92">
        <w:rPr>
          <w:rFonts w:cs="Times New Roman"/>
          <w:i/>
          <w:lang w:val="en-US"/>
        </w:rPr>
        <w:t>Criminal Lawyers’ Association 2010</w:t>
      </w:r>
      <w:r w:rsidRPr="00B35E92">
        <w:rPr>
          <w:rFonts w:cs="Times New Roman"/>
          <w:lang w:val="en-US"/>
        </w:rPr>
        <w:t xml:space="preserve">), at para. 40; </w:t>
      </w:r>
      <w:r w:rsidRPr="00B35E92">
        <w:rPr>
          <w:rFonts w:cs="Times New Roman"/>
          <w:i/>
          <w:lang w:val="en-US"/>
        </w:rPr>
        <w:t>B.C. Judges</w:t>
      </w:r>
      <w:r w:rsidRPr="00B35E92">
        <w:rPr>
          <w:rFonts w:cs="Times New Roman"/>
          <w:lang w:val="en-US"/>
        </w:rPr>
        <w:t xml:space="preserve">, at para. 96; see also </w:t>
      </w:r>
      <w:r w:rsidRPr="00B35E92">
        <w:rPr>
          <w:rFonts w:cs="Times New Roman"/>
          <w:i/>
          <w:lang w:val="en-US"/>
        </w:rPr>
        <w:t>John Doe</w:t>
      </w:r>
      <w:r w:rsidRPr="00B35E92">
        <w:rPr>
          <w:rFonts w:cs="Times New Roman"/>
          <w:lang w:val="en-US"/>
        </w:rPr>
        <w:t xml:space="preserve">, at para. 44; Williams Report, at p. 235). </w:t>
      </w:r>
    </w:p>
    <w:p w14:paraId="4149EAF0" w14:textId="77777777" w:rsidR="00B35E92" w:rsidRPr="00B35E92" w:rsidRDefault="00B35E92" w:rsidP="00B35E92">
      <w:pPr>
        <w:pStyle w:val="ParaNoNdepar-AltN"/>
        <w:rPr>
          <w:rFonts w:cs="Times New Roman"/>
          <w:lang w:val="en-US"/>
        </w:rPr>
      </w:pPr>
      <w:r w:rsidRPr="00B35E92">
        <w:rPr>
          <w:rFonts w:cs="Times New Roman"/>
          <w:lang w:val="en-US"/>
        </w:rPr>
        <w:t xml:space="preserve">The IPC demonstrated appreciation for the import of the candour and solidarity rationales supporting Cabinet confidentiality, citing this Court’s decision in </w:t>
      </w:r>
      <w:r w:rsidRPr="00B35E92">
        <w:rPr>
          <w:rFonts w:cs="Times New Roman"/>
          <w:i/>
          <w:lang w:val="en-US"/>
        </w:rPr>
        <w:t>Babcock</w:t>
      </w:r>
      <w:r w:rsidRPr="00B35E92">
        <w:rPr>
          <w:rFonts w:cs="Times New Roman"/>
          <w:lang w:val="en-US"/>
        </w:rPr>
        <w:t xml:space="preserve"> (see para. 87). These rationales informed the IPC’s articulation of the purpose of s. 12(1) as “promot[ing] the free and frank discussion among Cabinet members of issues coming before them for decision, without concern for the chilling effect that might result from disclosure of their statements or the material on which they are deliberating” (para. 86). </w:t>
      </w:r>
      <w:r w:rsidRPr="00B35E92">
        <w:rPr>
          <w:rFonts w:eastAsia="Times New Roman" w:cs="Times New Roman"/>
          <w:szCs w:val="24"/>
          <w:lang w:eastAsia="en-CA"/>
        </w:rPr>
        <w:t xml:space="preserve">But the IPC’s engagement with the convention of Cabinet confidentiality essentially stopped there (see para. 87). </w:t>
      </w:r>
      <w:r w:rsidRPr="00B35E92">
        <w:rPr>
          <w:rFonts w:cs="Times New Roman"/>
          <w:lang w:val="en-US"/>
        </w:rPr>
        <w:t>Despite the submissions of Cabinet Office</w:t>
      </w:r>
      <w:r w:rsidRPr="00B35E92">
        <w:rPr>
          <w:rFonts w:cs="Times New Roman"/>
        </w:rPr>
        <w:t xml:space="preserve"> </w:t>
      </w:r>
      <w:r w:rsidRPr="00B35E92">
        <w:rPr>
          <w:rFonts w:cs="Times New Roman"/>
          <w:lang w:val="en-US"/>
        </w:rPr>
        <w:t xml:space="preserve">that disclosure of the mandate Letters could harm the efficacy of the Cabinet decision-making process (A.R., vol. III, at pp. 101-2), the Commissioner did not engage with a core purpose of Cabinet secrecy to promote </w:t>
      </w:r>
      <w:r w:rsidRPr="00B35E92">
        <w:rPr>
          <w:rFonts w:cs="Times New Roman"/>
        </w:rPr>
        <w:t>the efficiency of the collective decision making, nor with the ultimate goal of this constitutional convention:</w:t>
      </w:r>
      <w:r w:rsidRPr="00B35E92">
        <w:rPr>
          <w:rFonts w:cs="Times New Roman"/>
          <w:lang w:val="en-US"/>
        </w:rPr>
        <w:t xml:space="preserve"> effective government. This was critical context to interpreting s. 12(1).</w:t>
      </w:r>
    </w:p>
    <w:p w14:paraId="4BC6D81F" w14:textId="77777777" w:rsidR="00B35E92" w:rsidRPr="00B35E92" w:rsidRDefault="00B35E92" w:rsidP="00B35E92">
      <w:pPr>
        <w:pStyle w:val="ParaNoNdepar-AltN"/>
        <w:rPr>
          <w:rFonts w:cs="Times New Roman"/>
          <w:lang w:val="en-US"/>
        </w:rPr>
      </w:pPr>
      <w:r w:rsidRPr="00B35E92">
        <w:rPr>
          <w:rFonts w:cs="Times New Roman"/>
          <w:lang w:val="en-US"/>
        </w:rPr>
        <w:t xml:space="preserve">Ministerial candour and solidarity are components of effective governance, to be sure, but they are only part of the foundation on which Cabinet confidentiality and effective governance rests — and thus the legal context within which s. 12(1) operates. To reasonably interpret the opening words of s. 12(1), it was therefore critical that the IPC fully consider the function of Cabinet within our system of government, and the bounds of confidentiality necessary for it to discharge that function effectively (see </w:t>
      </w:r>
      <w:r w:rsidRPr="00B35E92">
        <w:rPr>
          <w:rFonts w:cs="Times New Roman"/>
          <w:i/>
          <w:lang w:val="en-US"/>
        </w:rPr>
        <w:t>Criminal Lawyers’ Association 2010</w:t>
      </w:r>
      <w:r w:rsidRPr="00B35E92">
        <w:rPr>
          <w:rFonts w:cs="Times New Roman"/>
          <w:lang w:val="en-US"/>
        </w:rPr>
        <w:t xml:space="preserve">, at para. 40; C.A. reasons, at para. 163). The IPC’s failure to do so was material. It led him to: (1) ascribe an overly narrow purpose to s. 12(1); and (2) neglect important arguments made by Cabinet Office that informed the scope of the exemption. </w:t>
      </w:r>
    </w:p>
    <w:p w14:paraId="265DFC6C" w14:textId="77777777" w:rsidR="00B35E92" w:rsidRPr="00B35E92" w:rsidRDefault="00B35E92" w:rsidP="00B35E92">
      <w:pPr>
        <w:pStyle w:val="ParaNoNdepar-AltN"/>
        <w:rPr>
          <w:rFonts w:cs="Times New Roman"/>
          <w:lang w:val="en-US"/>
        </w:rPr>
      </w:pPr>
      <w:r w:rsidRPr="00B35E92">
        <w:rPr>
          <w:rFonts w:cs="Times New Roman"/>
        </w:rPr>
        <w:t xml:space="preserve">First, had the IPC recognized that the fundamental focus of deliberative secrecy is </w:t>
      </w:r>
      <w:r w:rsidRPr="00B35E92">
        <w:rPr>
          <w:rFonts w:cs="Times New Roman"/>
          <w:i/>
        </w:rPr>
        <w:t>effective</w:t>
      </w:r>
      <w:r w:rsidRPr="00B35E92">
        <w:rPr>
          <w:rFonts w:cs="Times New Roman"/>
        </w:rPr>
        <w:t xml:space="preserve"> government, the Commissioner could not have framed the purpose to focus only on “free and frank discussion among Cabinet members”. Rather, as Lauwers J.A. noted, a contextual interpretation of s. 12(1) instructs that the provision more broadly aims to establish the confidentiality necessary for the executive to function effectively (paras. 187 and 208). </w:t>
      </w:r>
    </w:p>
    <w:p w14:paraId="7EA988EE" w14:textId="77777777" w:rsidR="00B35E92" w:rsidRPr="00B35E92" w:rsidRDefault="00B35E92" w:rsidP="00B35E92">
      <w:pPr>
        <w:pStyle w:val="ParaNoNdepar-AltN"/>
        <w:rPr>
          <w:rFonts w:cs="Times New Roman"/>
          <w:lang w:val="en-US"/>
        </w:rPr>
      </w:pPr>
      <w:r w:rsidRPr="00B35E92">
        <w:rPr>
          <w:rFonts w:cs="Times New Roman"/>
          <w:lang w:val="en-US"/>
        </w:rPr>
        <w:t xml:space="preserve">Second, had the IPC framed the purpose of s. 12(1) more broadly, he </w:t>
      </w:r>
      <w:r w:rsidRPr="00B35E92">
        <w:rPr>
          <w:rFonts w:cs="Times New Roman"/>
        </w:rPr>
        <w:t>may not have rejected a central argument from Cabinet Office going to the scope of s. 12(1). Cabinet Office argued that, along with ensuring ministerial candour and solidarity, Cabinet secrecy also helps to ensure the deliberative process runs efficiently by preserving the confidentiality of deliberations until a final decision has been made and announced (IPC reasons, at paras. 30-32; A.R., vol. III, at pp. 90, 101-2, 228 and 232). In this Court, Cabinet Office and the intervener the Canadian Civil Liberties Association submitted that the Cabinet secrecy convention is aimed at the efficiency of the deliberative process (A.F., at paras. 11 and 54; I.F., at paras. 7-8). This argument rests on the third rationale underlying the convention of Cabinet secrecy.</w:t>
      </w:r>
      <w:r w:rsidRPr="00B35E92">
        <w:rPr>
          <w:rFonts w:cs="Times New Roman"/>
          <w:lang w:val="en-US"/>
        </w:rPr>
        <w:t xml:space="preserve"> Lord Reid famously explained the value of Cabinet confidentiality to government efficiency in </w:t>
      </w:r>
      <w:r w:rsidRPr="00B35E92">
        <w:rPr>
          <w:rFonts w:cs="Times New Roman"/>
          <w:i/>
          <w:lang w:val="en-US"/>
        </w:rPr>
        <w:t>Conway v. Rimmer</w:t>
      </w:r>
      <w:r w:rsidRPr="00B35E92">
        <w:rPr>
          <w:rFonts w:cs="Times New Roman"/>
          <w:lang w:val="en-US"/>
        </w:rPr>
        <w:t xml:space="preserve">, </w:t>
      </w:r>
      <w:r w:rsidRPr="00B35E92">
        <w:rPr>
          <w:rFonts w:cs="Times New Roman"/>
        </w:rPr>
        <w:t>[1968] A.C. 910 (H.L.), at p. 952</w:t>
      </w:r>
      <w:r w:rsidRPr="00B35E92">
        <w:rPr>
          <w:rFonts w:cs="Times New Roman"/>
          <w:lang w:val="en-US"/>
        </w:rPr>
        <w:t xml:space="preserve">, in words quoted with approval by this Court in </w:t>
      </w:r>
      <w:r w:rsidRPr="00B35E92">
        <w:rPr>
          <w:rFonts w:cs="Times New Roman"/>
          <w:i/>
          <w:lang w:val="en-US"/>
        </w:rPr>
        <w:t>Carey</w:t>
      </w:r>
      <w:r w:rsidRPr="00B35E92">
        <w:rPr>
          <w:rFonts w:cs="Times New Roman"/>
          <w:lang w:val="en-US"/>
        </w:rPr>
        <w:t xml:space="preserve">, at pp. 658-59: </w:t>
      </w:r>
    </w:p>
    <w:p w14:paraId="48F72086" w14:textId="77777777" w:rsidR="00B35E92" w:rsidRPr="00B35E92" w:rsidRDefault="00B35E92" w:rsidP="00B35E92">
      <w:pPr>
        <w:pStyle w:val="Citation-AltC"/>
        <w:rPr>
          <w:lang w:val="en-US"/>
        </w:rPr>
      </w:pPr>
      <w:r w:rsidRPr="00B35E92">
        <w:rPr>
          <w:lang w:val="en-US"/>
        </w:rPr>
        <w:t>[The premature disclosure of Cabinet secrets] would create or fan ill-informed or captious public or political criticism. The business of government is difficult enough as it is, and no government could contemplate with equanimity the inner workings of the government machine being exposed to the gaze of those ready to criticise without adequate knowledge of the background and perhaps with some axe to grind.</w:t>
      </w:r>
    </w:p>
    <w:p w14:paraId="4BA79D81" w14:textId="77777777" w:rsidR="00B35E92" w:rsidRPr="00B35E92" w:rsidRDefault="00B35E92" w:rsidP="00B35E92">
      <w:pPr>
        <w:pStyle w:val="ParaNoNdepar-AltN"/>
        <w:rPr>
          <w:rFonts w:cs="Times New Roman"/>
          <w:lang w:val="en-US"/>
        </w:rPr>
      </w:pPr>
      <w:r w:rsidRPr="00B35E92">
        <w:rPr>
          <w:rFonts w:cs="Times New Roman"/>
          <w:lang w:val="en-US"/>
        </w:rPr>
        <w:t>The prerogative to determine when and how to announce Cabinet decisions is grounded in the harmful impact that premature disclosure of policy priorities can have on the deliberative process. As Professor Campagnolo explains, as a matter of convention, the efficiency of the deliberative process justifies “keeping Cabinet proceedings confidential until a final decision is made and announced by ministers” (</w:t>
      </w:r>
      <w:r w:rsidRPr="00B35E92">
        <w:rPr>
          <w:rFonts w:cs="Times New Roman"/>
          <w:i/>
          <w:lang w:val="en-US"/>
        </w:rPr>
        <w:t>Behind Closed Doors: The Law and Politics of Cabinet Secrecy</w:t>
      </w:r>
      <w:r w:rsidRPr="00B35E92">
        <w:rPr>
          <w:rFonts w:cs="Times New Roman"/>
          <w:lang w:val="en-US"/>
        </w:rPr>
        <w:t xml:space="preserve"> (2021), at p. 26). </w:t>
      </w:r>
      <w:r w:rsidRPr="00B35E92">
        <w:rPr>
          <w:rFonts w:cs="Times New Roman"/>
        </w:rPr>
        <w:t>Publicizing Cabinet’s decision-making process before the formulation and announcement of a final decision “would increase the public pressure that stakeholders put on ministers and give rise to partisan criticism from their political opponents”; this scrutiny “would ultimately paralyze the collective decision-making process” (</w:t>
      </w:r>
      <w:r w:rsidRPr="00B35E92">
        <w:rPr>
          <w:rFonts w:cs="Times New Roman"/>
          <w:lang w:eastAsia="en-CA"/>
        </w:rPr>
        <w:t>p. 26).</w:t>
      </w:r>
    </w:p>
    <w:p w14:paraId="78523C1F" w14:textId="77777777" w:rsidR="00B35E92" w:rsidRPr="00B35E92" w:rsidRDefault="00B35E92" w:rsidP="00B35E92">
      <w:pPr>
        <w:pStyle w:val="ParaNoNdepar-AltN"/>
        <w:rPr>
          <w:rFonts w:cs="Times New Roman"/>
          <w:lang w:val="en-US"/>
        </w:rPr>
      </w:pPr>
      <w:r w:rsidRPr="00B35E92">
        <w:rPr>
          <w:rFonts w:cs="Times New Roman"/>
          <w:lang w:val="en-US"/>
        </w:rPr>
        <w:t>Because the IPC largely did not engage with this important argument, he did not acknowledge Cabinet Office’s submission that determining “</w:t>
      </w:r>
      <w:r w:rsidRPr="00B35E92">
        <w:rPr>
          <w:rFonts w:cs="Times New Roman"/>
          <w:u w:val="single"/>
          <w:lang w:val="en-US"/>
        </w:rPr>
        <w:t>when</w:t>
      </w:r>
      <w:r w:rsidRPr="00B35E92">
        <w:rPr>
          <w:rFonts w:cs="Times New Roman"/>
          <w:lang w:val="en-US"/>
        </w:rPr>
        <w:t xml:space="preserve"> and </w:t>
      </w:r>
      <w:r w:rsidRPr="00B35E92">
        <w:rPr>
          <w:rFonts w:cs="Times New Roman"/>
          <w:u w:val="single"/>
          <w:lang w:val="en-US"/>
        </w:rPr>
        <w:t>how</w:t>
      </w:r>
      <w:r w:rsidRPr="00B35E92">
        <w:rPr>
          <w:rFonts w:cs="Times New Roman"/>
          <w:lang w:val="en-US"/>
        </w:rPr>
        <w:t xml:space="preserve">” to communicate policy priorities to the public and opposition parties is itself an important part of Cabinet’s deliberative process (A.R., vol. III, at p. 103 (emphasis added); see also White, at pp. 22-23). Materials presented to Cabinet seeking a decision on a policy matter invariably include a communications strategy, which also requires Cabinet deliberation and approval (see, e.g., Privy Council Office, </w:t>
      </w:r>
      <w:r w:rsidRPr="00B35E92">
        <w:rPr>
          <w:rFonts w:cs="Times New Roman"/>
          <w:i/>
          <w:lang w:val="en-US"/>
        </w:rPr>
        <w:t>A drafter’s guide to cabinet documents</w:t>
      </w:r>
      <w:r w:rsidRPr="00B35E92">
        <w:rPr>
          <w:rFonts w:cs="Times New Roman"/>
          <w:lang w:val="en-US"/>
        </w:rPr>
        <w:t xml:space="preserve"> (2013), at pp. 6, 11 and 27). Cabinet may charge individual ministers with public communications related to their respective portfolios. And as a matter of tradition, Cabinet often makes important announcements of policy decisions in the Legislative Assembly (Williams Report, at p. 286). </w:t>
      </w:r>
    </w:p>
    <w:p w14:paraId="05D95E70" w14:textId="77777777" w:rsidR="00B35E92" w:rsidRPr="00B35E92" w:rsidRDefault="00B35E92" w:rsidP="00B35E92">
      <w:pPr>
        <w:pStyle w:val="ParaNoNdepar-AltN"/>
        <w:rPr>
          <w:rFonts w:cs="Times New Roman"/>
          <w:lang w:val="en-US"/>
        </w:rPr>
      </w:pPr>
      <w:r w:rsidRPr="00B35E92">
        <w:rPr>
          <w:rFonts w:cs="Times New Roman"/>
          <w:lang w:val="en-US"/>
        </w:rPr>
        <w:t xml:space="preserve">That is what happened in this case. The day after the Letters were distributed to Cabinet ministers, the Lieutenant Governor delivered the new government’s Speech from the Throne in the Ontario Legislative Assembly, setting out the government’s agenda for the legislative session (Office of the Premier, </w:t>
      </w:r>
      <w:r w:rsidRPr="00B35E92">
        <w:rPr>
          <w:rFonts w:cs="Times New Roman"/>
          <w:i/>
          <w:lang w:val="en-US"/>
        </w:rPr>
        <w:t>A Government for the People: Speech from the Throne</w:t>
      </w:r>
      <w:r w:rsidRPr="00B35E92">
        <w:rPr>
          <w:rFonts w:cs="Times New Roman"/>
          <w:lang w:val="en-US"/>
        </w:rPr>
        <w:t xml:space="preserve">, July 12, 2018 (online)). Certain policy priorities named in the Letters were announced, while others were kept confidential. And the priorities that </w:t>
      </w:r>
      <w:r w:rsidRPr="00B35E92">
        <w:rPr>
          <w:rFonts w:cs="Times New Roman"/>
          <w:i/>
          <w:lang w:val="en-US"/>
        </w:rPr>
        <w:t xml:space="preserve">were </w:t>
      </w:r>
      <w:r w:rsidRPr="00B35E92">
        <w:rPr>
          <w:rFonts w:cs="Times New Roman"/>
          <w:lang w:val="en-US"/>
        </w:rPr>
        <w:t>announced were framed at a high level of generality not necessarily reflective of their description in the Letters.</w:t>
      </w:r>
      <w:r w:rsidRPr="00B35E92">
        <w:rPr>
          <w:rFonts w:cs="Times New Roman"/>
        </w:rPr>
        <w:t xml:space="preserve"> Clearly,</w:t>
      </w:r>
      <w:r w:rsidRPr="00B35E92">
        <w:rPr>
          <w:rFonts w:cs="Times New Roman"/>
          <w:lang w:val="en-US"/>
        </w:rPr>
        <w:t xml:space="preserve"> government’s desire to make information public is not relevant to the question of whether that information is protected. However, it shows how the substance of Cabinet deliberations also encompasses discussion of when and how to communicate government priorities.</w:t>
      </w:r>
    </w:p>
    <w:p w14:paraId="7F0894D3" w14:textId="77777777" w:rsidR="00B35E92" w:rsidRPr="00B35E92" w:rsidRDefault="00B35E92" w:rsidP="00B35E92">
      <w:pPr>
        <w:pStyle w:val="ParaNoNdepar-AltN"/>
        <w:rPr>
          <w:rFonts w:cs="Times New Roman"/>
          <w:lang w:val="en-US"/>
        </w:rPr>
      </w:pPr>
      <w:r w:rsidRPr="00B35E92">
        <w:rPr>
          <w:rFonts w:cs="Times New Roman"/>
          <w:lang w:val="en-US"/>
        </w:rPr>
        <w:t xml:space="preserve">The failure to engage meaningfully with Cabinet Office’s arguments about the fundamental underpinnings of Cabinet confidentiality had implications for the IPC’s interpretation of the scope of s. 12(1). The IPC concluded that “outcomes” of the deliberative process are not encompassed by the opening words of s. 12(1), full stop, without acknowledging that an important part of Cabinet confidentiality is government’s prerogative to decide how and when to announce policy priorities (see para. 104). Because the IPC ultimately characterized the Letters as non-exempt outcomes or products of the Premier’s deliberative process, as I explain below, this omission was material. </w:t>
      </w:r>
    </w:p>
    <w:p w14:paraId="07424DF4" w14:textId="77777777" w:rsidR="00B35E92" w:rsidRPr="00B35E92" w:rsidRDefault="00B35E92" w:rsidP="00B35E92">
      <w:pPr>
        <w:pStyle w:val="ParaNoNdepar-AltN"/>
        <w:rPr>
          <w:rFonts w:cs="Times New Roman"/>
          <w:lang w:val="en-US"/>
        </w:rPr>
      </w:pPr>
      <w:r w:rsidRPr="00B35E92">
        <w:rPr>
          <w:rFonts w:cs="Times New Roman"/>
          <w:lang w:val="en-US"/>
        </w:rPr>
        <w:t xml:space="preserve">As </w:t>
      </w:r>
      <w:r w:rsidRPr="00B35E92">
        <w:rPr>
          <w:rFonts w:cs="Times New Roman"/>
          <w:i/>
          <w:lang w:val="en-US"/>
        </w:rPr>
        <w:t>Vavilov</w:t>
      </w:r>
      <w:r w:rsidRPr="00B35E92">
        <w:rPr>
          <w:rFonts w:cs="Times New Roman"/>
        </w:rPr>
        <w:t xml:space="preserve"> makes clear,</w:t>
      </w:r>
      <w:r w:rsidRPr="00B35E92">
        <w:rPr>
          <w:rFonts w:cs="Times New Roman"/>
          <w:lang w:val="en-US"/>
        </w:rPr>
        <w:t xml:space="preserve"> failing to meaningfully grapple with central arguments raised by the parties is a marker of unreasonableness (para. 128); and overlooking a salient part of statutory context is unreasonable where the decision maker may have arrived at a different interpretation had it considered the key element (para. 122).</w:t>
      </w:r>
    </w:p>
    <w:p w14:paraId="15B54151" w14:textId="77777777" w:rsidR="00B35E92" w:rsidRPr="00B35E92" w:rsidRDefault="00B35E92" w:rsidP="00B35E92">
      <w:pPr>
        <w:pStyle w:val="Title2LevelTitre2Niveau"/>
        <w:rPr>
          <w:rFonts w:cs="Times New Roman"/>
          <w:lang w:val="en-US"/>
        </w:rPr>
      </w:pPr>
      <w:r w:rsidRPr="00B35E92">
        <w:rPr>
          <w:rFonts w:cs="Times New Roman"/>
          <w:lang w:val="en-US"/>
        </w:rPr>
        <w:t xml:space="preserve">The IPC’s Application of Section 12(1) to the Letters </w:t>
      </w:r>
    </w:p>
    <w:p w14:paraId="65977253" w14:textId="77777777" w:rsidR="00B35E92" w:rsidRPr="00B35E92" w:rsidRDefault="00B35E92" w:rsidP="00B35E92">
      <w:pPr>
        <w:pStyle w:val="ParaNoNdepar-AltN"/>
        <w:rPr>
          <w:rFonts w:cs="Times New Roman"/>
          <w:lang w:val="en-US"/>
        </w:rPr>
      </w:pPr>
      <w:r w:rsidRPr="00B35E92">
        <w:rPr>
          <w:rFonts w:cs="Times New Roman"/>
          <w:lang w:val="en-US"/>
        </w:rPr>
        <w:t>In considering how the exemption applied to the Letters, the IPC’s reasons also did not sufficiently engage with important conventions and traditions surrounding the Cabinet decision-making process, including the role of the Premier within that process.</w:t>
      </w:r>
    </w:p>
    <w:p w14:paraId="7E09D94D" w14:textId="77777777" w:rsidR="00B35E92" w:rsidRPr="00B35E92" w:rsidRDefault="00B35E92" w:rsidP="00B35E92">
      <w:pPr>
        <w:pStyle w:val="ParaNoNdepar-AltN"/>
        <w:rPr>
          <w:rFonts w:cs="Times New Roman"/>
          <w:lang w:val="en-US"/>
        </w:rPr>
      </w:pPr>
      <w:r w:rsidRPr="00B35E92">
        <w:rPr>
          <w:rFonts w:cs="Times New Roman"/>
          <w:lang w:val="en-US"/>
        </w:rPr>
        <w:t xml:space="preserve">Before the IPC, Cabinet Office relied on IPC precedent recognizing that constitutional conventions surrounding the Premier make his role of establishing the priorities and agenda for Cabinet inseparable from the deliberations of Cabinet (A.R., vol. III, at pp. 92-94, citing Order PO-1725). Also, in arguing that disclosure of the Letters would reveal the substance of future Cabinet deliberations, Cabinet Office stressed that, given conventions and practice, “many of the policy priorities assigned to each minister in the mandate letters will require each minister to develop an operational, legislative or financial policy proposal that would return to [Cabinet] and its committees for decision-making before implementation” (A.R., vol III., at p. 100). Cabinet Office submitted that Cabinet deliberations occur on a “continuum” and that the mandate Letters “initiate a continuing deliberative process at Cabinet that necessarily extends beyond the initial Cabinet meeting” (IPC reasons, at para. 27). </w:t>
      </w:r>
    </w:p>
    <w:p w14:paraId="5AE2688A" w14:textId="77777777" w:rsidR="00B35E92" w:rsidRPr="00B35E92" w:rsidRDefault="00B35E92" w:rsidP="00B35E92">
      <w:pPr>
        <w:pStyle w:val="ParaNoNdepar-AltN"/>
        <w:rPr>
          <w:rFonts w:cs="Times New Roman"/>
          <w:lang w:val="en-US"/>
        </w:rPr>
      </w:pPr>
      <w:r w:rsidRPr="00B35E92">
        <w:rPr>
          <w:rFonts w:cs="Times New Roman"/>
          <w:lang w:val="en-US"/>
        </w:rPr>
        <w:t xml:space="preserve">The IPC held that the Letters were not revealing of the Premier’s deliberations nor of future Cabinet deliberations. The Commissioner concluded that the Letters did not disclose the substance of the Premier’s deliberations because they were the “end point” or “product” of his deliberative process. As to future Cabinet deliberations, the IPC stated that where a record does not fall within the specific categories of records listed at s. 12(1)(a) to (f), it will be protected only “where . . . the context or additional information would permit accurate inferences to be drawn as to actual deliberations at a specific Cabinet meeting” (para. 110). </w:t>
      </w:r>
    </w:p>
    <w:p w14:paraId="3AD162DB" w14:textId="77777777" w:rsidR="00B35E92" w:rsidRPr="00B35E92" w:rsidRDefault="00B35E92" w:rsidP="00B35E92">
      <w:pPr>
        <w:pStyle w:val="ParaNoNdepar-AltN"/>
        <w:rPr>
          <w:rFonts w:cs="Times New Roman"/>
          <w:lang w:val="en-US"/>
        </w:rPr>
      </w:pPr>
      <w:r w:rsidRPr="00B35E92">
        <w:rPr>
          <w:rFonts w:cs="Times New Roman"/>
          <w:lang w:val="en-US"/>
        </w:rPr>
        <w:t xml:space="preserve">I agree with the CBC that, on a generous reading of the reasons, the IPC did not understand the deliberative process to be limited to discussions at a specific meeting of Cabinet. Still, the IPC rejected Cabinet Office’s argument that the Letters start a continuing deliberative process in part because Cabinet Office had not shown that the priorities discussed in the Letters would be discussed at a future Cabinet meeting (para. 116). And, as to those priorities which the IPC accepted would return to Cabinet, the IPC found they were also non-exempt because they were mere topics that did not reveal the substance of deliberations. </w:t>
      </w:r>
    </w:p>
    <w:p w14:paraId="0DCA348B" w14:textId="77777777" w:rsidR="00B35E92" w:rsidRPr="00B35E92" w:rsidRDefault="00B35E92" w:rsidP="00B35E92">
      <w:pPr>
        <w:pStyle w:val="ParaNoNdepar-AltN"/>
        <w:rPr>
          <w:rFonts w:cs="Times New Roman"/>
          <w:lang w:val="en-US"/>
        </w:rPr>
      </w:pPr>
      <w:r w:rsidRPr="00B35E92">
        <w:rPr>
          <w:rFonts w:cs="Times New Roman"/>
          <w:lang w:val="en-US"/>
        </w:rPr>
        <w:t xml:space="preserve">In my view, this reasoning and the conclusions the Commissioner drew about the Letters are not justifiable, given two key contextual constraints: the nature of the Cabinet decision-making process and the Premier’s role as head of Cabinet within that process. These constitutional conventions run counter to the IPC’s reasoning. I shall explain. </w:t>
      </w:r>
    </w:p>
    <w:p w14:paraId="214E68D4" w14:textId="77777777" w:rsidR="00B35E92" w:rsidRPr="00B35E92" w:rsidRDefault="00B35E92" w:rsidP="00B35E92">
      <w:pPr>
        <w:pStyle w:val="ParaNoNdepar-AltN"/>
        <w:rPr>
          <w:rFonts w:cs="Times New Roman"/>
          <w:lang w:val="en-US"/>
        </w:rPr>
      </w:pPr>
      <w:r w:rsidRPr="00B35E92">
        <w:rPr>
          <w:rFonts w:cs="Times New Roman"/>
          <w:lang w:val="en-US"/>
        </w:rPr>
        <w:t xml:space="preserve">To begin, Cabinet’s deliberative process consists of discussion, consultation, and policy formulation between the Premier, individual ministers, and </w:t>
      </w:r>
      <w:r w:rsidRPr="00B35E92">
        <w:rPr>
          <w:rFonts w:cs="Times New Roman"/>
        </w:rPr>
        <w:t>Cabinet</w:t>
      </w:r>
      <w:r w:rsidRPr="00B35E92">
        <w:rPr>
          <w:rFonts w:cs="Times New Roman"/>
          <w:lang w:val="en-US"/>
        </w:rPr>
        <w:t xml:space="preserve"> as a whole — informed by the advice of civil servants every step along the way. The first minister, as head of Cabinet, enjoys extensive powers within Cabinet’s deliberative process by convention. </w:t>
      </w:r>
      <w:r w:rsidRPr="00B35E92">
        <w:rPr>
          <w:rFonts w:cs="Times New Roman"/>
        </w:rPr>
        <w:t>In many regards, the role and activities of the Premier are inseparable from Cabinet and its deliberations. First ministers preside over Cabinet, set Cabinet agendas, determine Cabinet’s membership and its internal structure (e.g., the number, nature, and membership of Cabinet committees), set Cabinet procedures, and have the right to identify the consensus and determine what Cabinet has decided (Hogg</w:t>
      </w:r>
      <w:r w:rsidRPr="00B35E92">
        <w:rPr>
          <w:rFonts w:cs="Times New Roman"/>
          <w:lang w:val="en-US"/>
        </w:rPr>
        <w:t xml:space="preserve"> and Wright</w:t>
      </w:r>
      <w:r w:rsidRPr="00B35E92">
        <w:rPr>
          <w:rFonts w:cs="Times New Roman"/>
        </w:rPr>
        <w:t xml:space="preserve">, at §§ 9:5-9:6). </w:t>
      </w:r>
    </w:p>
    <w:p w14:paraId="5818468F" w14:textId="77777777" w:rsidR="00B35E92" w:rsidRPr="00B35E92" w:rsidRDefault="00B35E92" w:rsidP="00B35E92">
      <w:pPr>
        <w:pStyle w:val="ParaNoNdepar-AltN"/>
        <w:rPr>
          <w:rFonts w:cs="Times New Roman"/>
          <w:lang w:val="en-US"/>
        </w:rPr>
      </w:pPr>
      <w:r w:rsidRPr="00B35E92">
        <w:rPr>
          <w:rFonts w:cs="Times New Roman"/>
          <w:lang w:val="en-US"/>
        </w:rPr>
        <w:t xml:space="preserve">As this Court recognized in </w:t>
      </w:r>
      <w:r w:rsidRPr="00B35E92">
        <w:rPr>
          <w:rFonts w:cs="Times New Roman"/>
          <w:i/>
          <w:lang w:val="en-US"/>
        </w:rPr>
        <w:t>John Doe</w:t>
      </w:r>
      <w:r w:rsidRPr="00B35E92">
        <w:rPr>
          <w:rFonts w:cs="Times New Roman"/>
          <w:lang w:val="en-US"/>
        </w:rPr>
        <w:t xml:space="preserve">, “the policy-making process include[s] false starts, blind alleys, wrong turns, changes of mind, the solicitation and rejection of advice, and the re-evaluation of priorities and the re-weighing of the relative importance of the relevant factors as a problem is studied more closely” (para. 44, quoting </w:t>
      </w:r>
      <w:r w:rsidRPr="00B35E92">
        <w:rPr>
          <w:rFonts w:cs="Times New Roman"/>
          <w:i/>
          <w:iCs/>
        </w:rPr>
        <w:t>Canadian Council of Christian Charities</w:t>
      </w:r>
      <w:r w:rsidRPr="00B35E92">
        <w:rPr>
          <w:rFonts w:cs="Times New Roman"/>
        </w:rPr>
        <w:t xml:space="preserve">, at para. 31). </w:t>
      </w:r>
      <w:r w:rsidRPr="00B35E92">
        <w:rPr>
          <w:rFonts w:cs="Times New Roman"/>
          <w:lang w:val="en-US"/>
        </w:rPr>
        <w:t xml:space="preserve">In other words, the process is dynamic, fluid, and continues to evolve as leadership changes hands. Cabinet enjoys tremendous flexibility in terms of its organization, its processes, and its composition (White, at p. 34). </w:t>
      </w:r>
    </w:p>
    <w:p w14:paraId="3657C8F9" w14:textId="77777777" w:rsidR="00B35E92" w:rsidRPr="00B35E92" w:rsidRDefault="00B35E92" w:rsidP="00B35E92">
      <w:pPr>
        <w:pStyle w:val="ParaNoNdepar-AltN"/>
        <w:rPr>
          <w:rFonts w:cs="Times New Roman"/>
          <w:lang w:val="en-US"/>
        </w:rPr>
      </w:pPr>
      <w:r w:rsidRPr="00B35E92">
        <w:rPr>
          <w:rFonts w:cs="Times New Roman"/>
          <w:lang w:val="en-US"/>
        </w:rPr>
        <w:t>A</w:t>
      </w:r>
      <w:r w:rsidRPr="00B35E92">
        <w:rPr>
          <w:rFonts w:cs="Times New Roman"/>
        </w:rPr>
        <w:t xml:space="preserve">genda-setting, which occurs at an early stage, is “a crucial part” of the decision-making process (S. Brooks, </w:t>
      </w:r>
      <w:r w:rsidRPr="00B35E92">
        <w:rPr>
          <w:rFonts w:cs="Times New Roman"/>
          <w:i/>
        </w:rPr>
        <w:t>Canadian Democracy</w:t>
      </w:r>
      <w:r w:rsidRPr="00B35E92">
        <w:rPr>
          <w:rFonts w:cs="Times New Roman"/>
        </w:rPr>
        <w:t xml:space="preserve"> (9th ed. 2020), at p. 241). The role of the first minister and of Cabinet in establishing the government’s policy and budget priorities “is institutionalized through the formal structure of cabinet decision-making” (</w:t>
      </w:r>
      <w:r w:rsidRPr="00B35E92">
        <w:rPr>
          <w:rFonts w:cs="Times New Roman"/>
          <w:i/>
        </w:rPr>
        <w:t>ibid.</w:t>
      </w:r>
      <w:r w:rsidRPr="00B35E92">
        <w:rPr>
          <w:rFonts w:cs="Times New Roman"/>
        </w:rPr>
        <w:t xml:space="preserve">). Though deliberative processes have changed over time at both the provincial and federal levels, the critical role of agenda-setting and the central involvement of the first minister in this exercise have remained constant. </w:t>
      </w:r>
    </w:p>
    <w:p w14:paraId="60C5B6F2" w14:textId="77777777" w:rsidR="00B35E92" w:rsidRPr="00B35E92" w:rsidRDefault="00B35E92" w:rsidP="00B35E92">
      <w:pPr>
        <w:pStyle w:val="ParaNoNdepar-AltN"/>
        <w:rPr>
          <w:rFonts w:cs="Times New Roman"/>
          <w:lang w:val="en-US"/>
        </w:rPr>
      </w:pPr>
      <w:r w:rsidRPr="00B35E92">
        <w:rPr>
          <w:rFonts w:cs="Times New Roman"/>
          <w:lang w:val="en-US"/>
        </w:rPr>
        <w:t>The dynamic and fluid nature of Cabinet’s deliberative process also means that not all stages of the process take place sitting around the Cabinet table behind a closed door. The decision-making process in Cabinet extends beyond formal meetings of Cabinet or its committees, and encompasses “[o]ne-on-one conversations in the corridors . . ., in the [first minister’s] office . . ., over the phone, or however and wherever they may take place” (Brooks, at p. 242). As Professor Brooks writes, “[n]o organization chart can capture this informal but crucial aspect” of the deliberative process, nor the centrality of the first minister’s role within it (</w:t>
      </w:r>
      <w:r w:rsidRPr="00B35E92">
        <w:rPr>
          <w:rFonts w:cs="Times New Roman"/>
          <w:i/>
          <w:lang w:val="en-US"/>
        </w:rPr>
        <w:t>ibid.</w:t>
      </w:r>
      <w:r w:rsidRPr="00B35E92">
        <w:rPr>
          <w:rFonts w:cs="Times New Roman"/>
          <w:lang w:val="en-US"/>
        </w:rPr>
        <w:t>).</w:t>
      </w:r>
    </w:p>
    <w:p w14:paraId="1C084E7D" w14:textId="77777777" w:rsidR="00B35E92" w:rsidRPr="00B35E92" w:rsidRDefault="00B35E92" w:rsidP="00B35E92">
      <w:pPr>
        <w:pStyle w:val="ParaNoNdepar-AltN"/>
        <w:rPr>
          <w:rFonts w:cs="Times New Roman"/>
          <w:lang w:val="en-US"/>
        </w:rPr>
      </w:pPr>
      <w:r w:rsidRPr="00B35E92">
        <w:rPr>
          <w:rFonts w:cs="Times New Roman"/>
          <w:lang w:val="en-US"/>
        </w:rPr>
        <w:t>The IPC ostensibly recognized the role of the Premier in Cabinet’s decision-making process, citing past IPC precedent which recognized that “by virtue of the Premier’s unique role in setting the priorities and supervising the policy making, legislative and administrative agendas of Cabinet, the deliberations of the Premier . . . cannot be separated from the deliberations of the Cabinet as a whole” (para. 23, quoting Order PO-1725, at pp. 14-16). Still, a number of the IPC’s conclusions conflict with the role of the Premier within Cabinet and the nature of the Cabinet decision-making process — both of which are essential elements of the statutory context surrounding s. 12(1)</w:t>
      </w:r>
      <w:r w:rsidRPr="00B35E92" w:rsidDel="00262838">
        <w:rPr>
          <w:rFonts w:cs="Times New Roman"/>
          <w:lang w:val="en-US"/>
        </w:rPr>
        <w:t xml:space="preserve"> </w:t>
      </w:r>
      <w:r w:rsidRPr="00B35E92">
        <w:rPr>
          <w:rFonts w:cs="Times New Roman"/>
          <w:lang w:val="en-US"/>
        </w:rPr>
        <w:t xml:space="preserve">(see </w:t>
      </w:r>
      <w:r w:rsidRPr="00B35E92">
        <w:rPr>
          <w:rFonts w:cs="Times New Roman"/>
          <w:i/>
          <w:lang w:val="en-US"/>
        </w:rPr>
        <w:t>Vavilov</w:t>
      </w:r>
      <w:r w:rsidRPr="00B35E92">
        <w:rPr>
          <w:rFonts w:cs="Times New Roman"/>
          <w:lang w:val="en-US"/>
        </w:rPr>
        <w:t>, at para. 120).</w:t>
      </w:r>
    </w:p>
    <w:p w14:paraId="05B7CC75" w14:textId="77777777" w:rsidR="00B35E92" w:rsidRPr="00B35E92" w:rsidRDefault="00B35E92" w:rsidP="00B35E92">
      <w:pPr>
        <w:pStyle w:val="ParaNoNdepar-AltN"/>
        <w:rPr>
          <w:rFonts w:cs="Times New Roman"/>
          <w:lang w:val="en-US"/>
        </w:rPr>
      </w:pPr>
      <w:r w:rsidRPr="00B35E92">
        <w:rPr>
          <w:rFonts w:cs="Times New Roman"/>
          <w:lang w:val="en-US"/>
        </w:rPr>
        <w:t xml:space="preserve">For one, in characterizing the Letters as non-exempt outcomes of the Premier’s deliberative process, the IPC drew an artificial dichotomy between the Premier’s deliberative process, and the rest of Cabinet’s (see, e.g., para. 132). That dichotomy not only contradicts past IPC precedent, but, more important, runs counter to the constitutional role of the Premier as first minister in Cabinet. </w:t>
      </w:r>
    </w:p>
    <w:p w14:paraId="772B5D12" w14:textId="77777777" w:rsidR="00B35E92" w:rsidRPr="00B35E92" w:rsidRDefault="00B35E92" w:rsidP="00B35E92">
      <w:pPr>
        <w:pStyle w:val="ParaNoNdepar-AltN"/>
        <w:rPr>
          <w:rFonts w:cs="Times New Roman"/>
          <w:lang w:val="en-US"/>
        </w:rPr>
      </w:pPr>
      <w:r w:rsidRPr="00B35E92">
        <w:rPr>
          <w:rFonts w:cs="Times New Roman"/>
          <w:lang w:val="en-US"/>
        </w:rPr>
        <w:t xml:space="preserve">The priorities communicated to ministers by the Premier at the outset of governance are the initiation of Cabinet’s deliberative process, and are subject to change. Ministers may seek to persuade the Premier and the rest of Cabinet that priorities should be added, abandoned, or approached in a different way (see, e.g., H. Bakvis, “Prime Minister and Cabinet in Canada: An Autocracy in Need of Reform?” (2000), 35:4 </w:t>
      </w:r>
      <w:r w:rsidRPr="00B35E92">
        <w:rPr>
          <w:rFonts w:cs="Times New Roman"/>
          <w:i/>
          <w:lang w:val="en-US"/>
        </w:rPr>
        <w:t>J. Can. Stud.</w:t>
      </w:r>
      <w:r w:rsidRPr="00B35E92">
        <w:rPr>
          <w:rFonts w:cs="Times New Roman"/>
          <w:lang w:val="en-US"/>
        </w:rPr>
        <w:t xml:space="preserve"> 60, at pp. 65-66 (discussing the important role of individual ministers and their ability to shape the government’s priorities)). Moreover, the Premier may revise priorities at any point throughout the process — whether due to Cabinet colleagues’ views, advice from civil servants, or events and changing circumstances. </w:t>
      </w:r>
    </w:p>
    <w:p w14:paraId="559E810F" w14:textId="77777777" w:rsidR="00B35E92" w:rsidRPr="00B35E92" w:rsidRDefault="00B35E92" w:rsidP="00B35E92">
      <w:pPr>
        <w:pStyle w:val="ParaNoNdepar-AltN"/>
        <w:rPr>
          <w:rFonts w:cs="Times New Roman"/>
          <w:lang w:val="en-US"/>
        </w:rPr>
      </w:pPr>
      <w:r w:rsidRPr="00B35E92">
        <w:rPr>
          <w:rFonts w:cs="Times New Roman"/>
          <w:lang w:val="en-US"/>
        </w:rPr>
        <w:t xml:space="preserve">The Letters on their face contain communications between the Premier and Cabinet ministers about policy priorities, many if not most of which would require decisions from Cabinet, both as to their substance and as to how they should be communicated to the public. Cabinet “formulates and carries out all executive policies,” and </w:t>
      </w:r>
      <w:r w:rsidRPr="00B35E92">
        <w:rPr>
          <w:rFonts w:cs="Times New Roman"/>
        </w:rPr>
        <w:t>all major government policy matters are forwarded to Cabinet for decision (Hogg</w:t>
      </w:r>
      <w:r w:rsidRPr="00B35E92">
        <w:rPr>
          <w:rFonts w:cs="Times New Roman"/>
          <w:lang w:val="en-US"/>
        </w:rPr>
        <w:t xml:space="preserve"> and Wright</w:t>
      </w:r>
      <w:r w:rsidRPr="00B35E92">
        <w:rPr>
          <w:rFonts w:cs="Times New Roman"/>
        </w:rPr>
        <w:t xml:space="preserve">, at </w:t>
      </w:r>
      <w:r w:rsidRPr="00B35E92">
        <w:rPr>
          <w:rFonts w:cs="Times New Roman"/>
          <w:lang w:val="en-US"/>
        </w:rPr>
        <w:t xml:space="preserve">§ 9:5; </w:t>
      </w:r>
      <w:r w:rsidRPr="00B35E92">
        <w:rPr>
          <w:rFonts w:cs="Times New Roman"/>
        </w:rPr>
        <w:t xml:space="preserve">M. Schacter and P. Haid, </w:t>
      </w:r>
      <w:r w:rsidRPr="00B35E92">
        <w:rPr>
          <w:rFonts w:cs="Times New Roman"/>
          <w:i/>
        </w:rPr>
        <w:t xml:space="preserve">Cabinet Decision-Making in Canada: Lessons and Practices </w:t>
      </w:r>
      <w:r w:rsidRPr="00B35E92">
        <w:rPr>
          <w:rFonts w:cs="Times New Roman"/>
        </w:rPr>
        <w:t>(1999), at p. 1; see also Brooks, at p. 236)</w:t>
      </w:r>
      <w:r w:rsidRPr="00B35E92">
        <w:rPr>
          <w:rFonts w:cs="Times New Roman"/>
          <w:lang w:val="en-US"/>
        </w:rPr>
        <w:t xml:space="preserve">. There is no basis in convention or past precedent to separate the Premier’s role in this process from the rest of Cabinet. Disclosure of the Premier’s initial priorities, when compared against later announcements of government policy and what government actually accomplished, would reveal the substance of what happened during Cabinet’s deliberative process. The IPC’s characterization of the Letters as </w:t>
      </w:r>
      <w:r w:rsidRPr="00B35E92">
        <w:rPr>
          <w:rFonts w:cs="Times New Roman"/>
        </w:rPr>
        <w:t xml:space="preserve">“the end point of the </w:t>
      </w:r>
      <w:r w:rsidRPr="00B35E92">
        <w:rPr>
          <w:rFonts w:cs="Times New Roman"/>
          <w:u w:val="single"/>
        </w:rPr>
        <w:t>Premier</w:t>
      </w:r>
      <w:r w:rsidRPr="00B35E92">
        <w:rPr>
          <w:rFonts w:cs="Times New Roman"/>
        </w:rPr>
        <w:t>’s formulation of the policies and goals to be achieved by each Ministry”, or “the product of his deliberations” was thus beside the point, and an unreasonable basis upon which to deny protection under s. 12(1) (paras. 132 and 134 (emphasis added); see also para. 79)</w:t>
      </w:r>
      <w:r w:rsidRPr="00B35E92">
        <w:rPr>
          <w:rFonts w:cs="Times New Roman"/>
          <w:lang w:val="en-US"/>
        </w:rPr>
        <w:t xml:space="preserve">. </w:t>
      </w:r>
    </w:p>
    <w:p w14:paraId="3CCA10AA" w14:textId="77777777" w:rsidR="00B35E92" w:rsidRPr="00B35E92" w:rsidRDefault="00B35E92" w:rsidP="00B35E92">
      <w:pPr>
        <w:pStyle w:val="ParaNoNdepar-AltN"/>
        <w:rPr>
          <w:rFonts w:cs="Times New Roman"/>
          <w:lang w:val="en-US"/>
        </w:rPr>
      </w:pPr>
      <w:r w:rsidRPr="00B35E92">
        <w:rPr>
          <w:rFonts w:cs="Times New Roman"/>
          <w:lang w:val="en-US"/>
        </w:rPr>
        <w:t xml:space="preserve">Relatedly, to the extent the IPC required evidence linking the Letters to “actual Cabinet deliberations at a specific Cabinet meeting”, that approach was unreasonable. Such a requirement is far too narrow and does not account for the realities of the deliberative process, including the Premier’s priority-setting and supervisory functions, which are not necessarily performed at a specific Cabinet meeting and may occur throughout the continuum of Cabinet’s deliberative process. Accordingly, it would be unreasonable for the Commissioner to establish a heightened test for exemption from disclosure that would require evidence linking the record to “actual Cabinet deliberations at a specific Cabinet meeting”. </w:t>
      </w:r>
    </w:p>
    <w:p w14:paraId="2EEE1909" w14:textId="77777777" w:rsidR="00B35E92" w:rsidRPr="00B35E92" w:rsidRDefault="00B35E92" w:rsidP="00B35E92">
      <w:pPr>
        <w:pStyle w:val="ParaNoNdepar-AltN"/>
        <w:rPr>
          <w:rFonts w:cs="Times New Roman"/>
          <w:lang w:val="en-US"/>
        </w:rPr>
      </w:pPr>
      <w:r w:rsidRPr="00B35E92">
        <w:rPr>
          <w:rFonts w:cs="Times New Roman"/>
          <w:lang w:val="en-US"/>
        </w:rPr>
        <w:t xml:space="preserve">I agree with the CBC that the IPC did not adopt this test throughout his reasons. Still, his focus on actual deliberations at a specific Cabinet meeting underscored his finding that the fact that some policy priorities “may never return to Cabinet at all or . . . may be altered or amended in significant . . . ways” was a “deficiency” in Cabinet Office’s continuum argument and meant that the Letters could not be exempted in their entirety (para. 121). This determination was unreasonable because it did not account for the fact that disclosure of early policy priorities not acted on, or changed in significant ways before implementation, would be revealing of the substance of Cabinet deliberations — whether the decision to abandon or alter the priority was the decision of Cabinet, its committees, or the Premier. </w:t>
      </w:r>
    </w:p>
    <w:p w14:paraId="7F43287C" w14:textId="77777777" w:rsidR="00B35E92" w:rsidRPr="00B35E92" w:rsidRDefault="00B35E92" w:rsidP="00B35E92">
      <w:pPr>
        <w:pStyle w:val="ParaNoNdepar-AltN"/>
        <w:rPr>
          <w:rFonts w:cs="Times New Roman"/>
          <w:lang w:val="en-US"/>
        </w:rPr>
      </w:pPr>
      <w:r w:rsidRPr="00B35E92">
        <w:rPr>
          <w:rFonts w:cs="Times New Roman"/>
          <w:lang w:val="en-US"/>
        </w:rPr>
        <w:t xml:space="preserve">Finally, the IPC concluded that the Letters were not exempt because even the priorities that would return to Cabinet in the future constituted mere “topics” or subject matters of potential future deliberations. This conclusion, too, was tainted by a failure to evaluate the Letters in context. The IPC stated that topics or subject matters of Cabinet deliberations will not be protected under s. 12(1) unless their disclosure would permit accurate inferences to be drawn as to the substance of those deliberations (paras. 99-101). However, the IPC did not consider the broader context in discerning whether the Letters met his test. </w:t>
      </w:r>
    </w:p>
    <w:p w14:paraId="4E75226B" w14:textId="77777777" w:rsidR="00B35E92" w:rsidRPr="00B35E92" w:rsidRDefault="00B35E92" w:rsidP="00B35E92">
      <w:pPr>
        <w:pStyle w:val="ParaNoNdepar-AltN"/>
        <w:rPr>
          <w:rFonts w:cs="Times New Roman"/>
          <w:lang w:val="en-US"/>
        </w:rPr>
      </w:pPr>
      <w:r w:rsidRPr="00B35E92">
        <w:rPr>
          <w:rFonts w:cs="Times New Roman"/>
          <w:lang w:val="en-US"/>
        </w:rPr>
        <w:t>As noted, the Letters are communications between the Premier and his Cabinet colleagues relating to policy priorities that are or will be before Cabinet; they cannot be written off as mere “topics” like general items on an agenda. The Letters reveal the Premier’s initial views on priorities for the new government — priorities subject to change as the deliberative process unfolds. The communication of the Premier’s initial views to other members of Cabinet are part of Cabinet’s decision-making process, and will be revealing of the substance of Cabinet deliberations when compared against subsequent government action.</w:t>
      </w:r>
      <w:r w:rsidRPr="00B35E92">
        <w:rPr>
          <w:rFonts w:cs="Times New Roman"/>
          <w:vertAlign w:val="superscript"/>
          <w:lang w:val="en-US"/>
        </w:rPr>
        <w:t xml:space="preserve"> </w:t>
      </w:r>
      <w:r w:rsidRPr="00B35E92">
        <w:rPr>
          <w:rFonts w:cs="Times New Roman"/>
        </w:rPr>
        <w:t>This context is crucial. And it mitigates the IPC’s concern that exempting priorities contained in mandate letters would result in the exemption “encompass[ing] any record that was not placed or intended to be placed before Cabinet if it contains information that Cabinet Office claims may become the subject of a future Cabinet meeting” (para. 118).</w:t>
      </w:r>
      <w:r w:rsidRPr="00B35E92">
        <w:rPr>
          <w:rFonts w:cs="Times New Roman"/>
          <w:lang w:val="en-US"/>
        </w:rPr>
        <w:t xml:space="preserve"> The IPC’s characterization of the Letters as mere topics thus rested on a fundamental misapprehension of the factual and legal context, ran counter to the text of the Letters and was unreasonable (see </w:t>
      </w:r>
      <w:r w:rsidRPr="00B35E92">
        <w:rPr>
          <w:rFonts w:cs="Times New Roman"/>
          <w:i/>
          <w:lang w:val="en-US"/>
        </w:rPr>
        <w:t>Vavilov</w:t>
      </w:r>
      <w:r w:rsidRPr="00B35E92">
        <w:rPr>
          <w:rFonts w:cs="Times New Roman"/>
          <w:lang w:val="en-US"/>
        </w:rPr>
        <w:t>, at para. 126).</w:t>
      </w:r>
    </w:p>
    <w:p w14:paraId="7EB648FF" w14:textId="77777777" w:rsidR="00B35E92" w:rsidRPr="00B35E92" w:rsidRDefault="00B35E92" w:rsidP="00B35E92">
      <w:pPr>
        <w:pStyle w:val="Title2LevelTitre2Niveau"/>
        <w:rPr>
          <w:rFonts w:cs="Times New Roman"/>
          <w:lang w:val="en-US"/>
        </w:rPr>
      </w:pPr>
      <w:bookmarkStart w:id="1" w:name="_GoBack"/>
      <w:bookmarkEnd w:id="1"/>
      <w:r w:rsidRPr="00B35E92">
        <w:rPr>
          <w:rFonts w:cs="Times New Roman"/>
          <w:lang w:val="en-US"/>
        </w:rPr>
        <w:t>Conclusion</w:t>
      </w:r>
    </w:p>
    <w:p w14:paraId="321B4E95" w14:textId="77777777" w:rsidR="00B35E92" w:rsidRPr="00B35E92" w:rsidRDefault="00B35E92" w:rsidP="00B35E92">
      <w:pPr>
        <w:pStyle w:val="ParaNoNdepar-AltN"/>
        <w:rPr>
          <w:rFonts w:cs="Times New Roman"/>
          <w:lang w:val="en-US"/>
        </w:rPr>
      </w:pPr>
      <w:r w:rsidRPr="00B35E92">
        <w:rPr>
          <w:rFonts w:cs="Times New Roman"/>
          <w:lang w:val="en-US"/>
        </w:rPr>
        <w:t xml:space="preserve">In sum, the IPC failed to give meaningful weight to the legal and factual context, including traditions and constitutional conventions concerning Cabinet confidentiality, the role of the Premier, and the fluid, dynamic nature of the Cabinet decision-making process. The IPC’s lack of appreciation for the contextual constraints bearing upon its decision led him to unreasonable interpretive approaches and conclusions. He characterized the Letters as outcomes of the </w:t>
      </w:r>
      <w:r w:rsidRPr="00B35E92">
        <w:rPr>
          <w:rFonts w:cs="Times New Roman"/>
          <w:i/>
          <w:lang w:val="en-US"/>
        </w:rPr>
        <w:t>Premier’s</w:t>
      </w:r>
      <w:r w:rsidRPr="00B35E92">
        <w:rPr>
          <w:rFonts w:cs="Times New Roman"/>
          <w:lang w:val="en-US"/>
        </w:rPr>
        <w:t xml:space="preserve"> deliberative process; found they were mere topics that did not permit accurate inferences </w:t>
      </w:r>
      <w:r w:rsidRPr="00B35E92">
        <w:rPr>
          <w:rFonts w:cs="Times New Roman"/>
        </w:rPr>
        <w:t>as</w:t>
      </w:r>
      <w:r w:rsidRPr="00B35E92">
        <w:rPr>
          <w:rFonts w:cs="Times New Roman"/>
          <w:lang w:val="en-US"/>
        </w:rPr>
        <w:t xml:space="preserve"> to Cabinet deliberations; and required evidence from Cabinet Office to show that disclosure of the Letters would permit accurate inferences to be drawn as to “actual Cabinet deliberations at a specific Cabinet meeting” (para. 100; see also paras. 116-17). As a result, the IPC’s narrow interpretation of the “substance of deliberations” was unreasonable. And even on his understanding of the provision, his application of the provision to the Letters was unreasonable. The Letters, along with the representations of Cabinet Office, were clearly sufficient to establish the Letters fell within s. 12(1). The IPC’s decision ordering disclosure must be set aside.</w:t>
      </w:r>
    </w:p>
    <w:p w14:paraId="5CA26BFD" w14:textId="77777777" w:rsidR="00B35E92" w:rsidRPr="00B35E92" w:rsidRDefault="00B35E92" w:rsidP="00B35E92">
      <w:pPr>
        <w:pStyle w:val="ParaNoNdepar-AltN"/>
        <w:rPr>
          <w:rFonts w:cs="Times New Roman"/>
          <w:lang w:val="en-US"/>
        </w:rPr>
      </w:pPr>
      <w:r w:rsidRPr="00B35E92">
        <w:rPr>
          <w:rFonts w:cs="Times New Roman"/>
          <w:lang w:val="en-US"/>
        </w:rPr>
        <w:t xml:space="preserve">I would add this. There can be no doubt that, as the CBC submits, public access to government-held information is vital to our democratic process (see R.F., at para. 49, citing </w:t>
      </w:r>
      <w:r w:rsidRPr="00B35E92">
        <w:rPr>
          <w:rFonts w:cs="Times New Roman"/>
          <w:i/>
          <w:lang w:val="en-US"/>
        </w:rPr>
        <w:t>John Doe</w:t>
      </w:r>
      <w:r w:rsidRPr="00B35E92">
        <w:rPr>
          <w:rFonts w:cs="Times New Roman"/>
          <w:lang w:val="en-US"/>
        </w:rPr>
        <w:t xml:space="preserve">, at para. 41). As this Court noted in </w:t>
      </w:r>
      <w:r w:rsidRPr="00B35E92">
        <w:rPr>
          <w:rFonts w:cs="Times New Roman"/>
          <w:i/>
          <w:lang w:val="en-US"/>
        </w:rPr>
        <w:t>Dagg</w:t>
      </w:r>
      <w:r w:rsidRPr="00B35E92">
        <w:rPr>
          <w:rFonts w:cs="Times New Roman"/>
          <w:lang w:val="en-US"/>
        </w:rPr>
        <w:t>, “without an adequate knowledge of what is going on”, neither legislators nor the public can hope to hold government accountable or contribute to the policy-making process (para. 61, quoting D. C. Rowat, “How Much Administrative Secrecy?” (1965), 31 </w:t>
      </w:r>
      <w:r w:rsidRPr="00B35E92">
        <w:rPr>
          <w:rFonts w:cs="Times New Roman"/>
          <w:i/>
          <w:lang w:val="en-US"/>
        </w:rPr>
        <w:t>Can. J. of Econ. and Pol. Sci.</w:t>
      </w:r>
      <w:r w:rsidRPr="00B35E92">
        <w:rPr>
          <w:rFonts w:cs="Times New Roman"/>
          <w:lang w:val="en-US"/>
        </w:rPr>
        <w:t xml:space="preserve"> 479, at p. 480). Still, </w:t>
      </w:r>
      <w:r w:rsidRPr="00B35E92">
        <w:rPr>
          <w:rFonts w:cs="Times New Roman"/>
          <w:i/>
          <w:lang w:val="en-US"/>
        </w:rPr>
        <w:t>FIPPA</w:t>
      </w:r>
      <w:r w:rsidRPr="00B35E92">
        <w:rPr>
          <w:rFonts w:cs="Times New Roman"/>
          <w:lang w:val="en-US"/>
        </w:rPr>
        <w:t xml:space="preserve"> contemplates that, where engaged, other weighty public interests — whether national security, personal privacy, or the confidentiality of Cabinet deliberations — are important enough to outweigh the public’s interest in access to information (see </w:t>
      </w:r>
      <w:r w:rsidRPr="00B35E92">
        <w:rPr>
          <w:rFonts w:cs="Times New Roman"/>
          <w:i/>
          <w:lang w:val="en-US"/>
        </w:rPr>
        <w:t>FIPPA</w:t>
      </w:r>
      <w:r w:rsidRPr="00B35E92">
        <w:rPr>
          <w:rFonts w:cs="Times New Roman"/>
          <w:lang w:val="en-US"/>
        </w:rPr>
        <w:t xml:space="preserve">, ss. 16, 20 and 21). </w:t>
      </w:r>
    </w:p>
    <w:p w14:paraId="5E15BC26" w14:textId="77777777" w:rsidR="00B35E92" w:rsidRPr="00B35E92" w:rsidRDefault="00B35E92" w:rsidP="00B35E92">
      <w:pPr>
        <w:pStyle w:val="ParaNoNdepar-AltN"/>
        <w:rPr>
          <w:rFonts w:cs="Times New Roman"/>
          <w:lang w:val="en-US"/>
        </w:rPr>
      </w:pPr>
      <w:r w:rsidRPr="00B35E92">
        <w:rPr>
          <w:rFonts w:cs="Times New Roman"/>
          <w:lang w:val="en-US"/>
        </w:rPr>
        <w:t>Given</w:t>
      </w:r>
      <w:r w:rsidRPr="00B35E92" w:rsidDel="00800794">
        <w:rPr>
          <w:rFonts w:cs="Times New Roman"/>
          <w:lang w:val="en-US"/>
        </w:rPr>
        <w:t xml:space="preserve"> </w:t>
      </w:r>
      <w:r w:rsidRPr="00B35E92">
        <w:rPr>
          <w:rFonts w:cs="Times New Roman"/>
          <w:lang w:val="en-US"/>
        </w:rPr>
        <w:t xml:space="preserve">the key role </w:t>
      </w:r>
      <w:r w:rsidRPr="00B35E92" w:rsidDel="00800794">
        <w:rPr>
          <w:rFonts w:cs="Times New Roman"/>
          <w:lang w:val="en-US"/>
        </w:rPr>
        <w:t>Cabinet confidentiality</w:t>
      </w:r>
      <w:r w:rsidRPr="00B35E92">
        <w:rPr>
          <w:rFonts w:cs="Times New Roman"/>
          <w:lang w:val="en-US"/>
        </w:rPr>
        <w:t xml:space="preserve"> plays in</w:t>
      </w:r>
      <w:r w:rsidRPr="00B35E92" w:rsidDel="00800794">
        <w:rPr>
          <w:rFonts w:cs="Times New Roman"/>
          <w:lang w:val="en-US"/>
        </w:rPr>
        <w:t xml:space="preserve"> the proper functioning of our Westminster system of government, </w:t>
      </w:r>
      <w:r w:rsidRPr="00B35E92">
        <w:rPr>
          <w:rFonts w:cs="Times New Roman"/>
          <w:lang w:val="en-US"/>
        </w:rPr>
        <w:t>cases about its proper scope</w:t>
      </w:r>
      <w:r w:rsidRPr="00B35E92" w:rsidDel="00800794">
        <w:rPr>
          <w:rFonts w:cs="Times New Roman"/>
          <w:lang w:val="en-US"/>
        </w:rPr>
        <w:t xml:space="preserve"> </w:t>
      </w:r>
      <w:r w:rsidRPr="00B35E92">
        <w:rPr>
          <w:rFonts w:cs="Times New Roman"/>
          <w:lang w:val="en-US"/>
        </w:rPr>
        <w:t>raise</w:t>
      </w:r>
      <w:r w:rsidRPr="00B35E92" w:rsidDel="00800794">
        <w:rPr>
          <w:rFonts w:cs="Times New Roman"/>
          <w:lang w:val="en-US"/>
        </w:rPr>
        <w:t xml:space="preserve"> important issues for the stability and legitimacy of our democra</w:t>
      </w:r>
      <w:r w:rsidRPr="00B35E92">
        <w:rPr>
          <w:rFonts w:cs="Times New Roman"/>
          <w:lang w:val="en-US"/>
        </w:rPr>
        <w:t>cy</w:t>
      </w:r>
      <w:r w:rsidRPr="00B35E92" w:rsidDel="00800794">
        <w:rPr>
          <w:rFonts w:cs="Times New Roman"/>
          <w:lang w:val="en-US"/>
        </w:rPr>
        <w:t xml:space="preserve">. </w:t>
      </w:r>
      <w:r w:rsidRPr="00B35E92">
        <w:rPr>
          <w:rFonts w:cs="Times New Roman"/>
          <w:lang w:val="en-US"/>
        </w:rPr>
        <w:t>Cabinet confidentiality both enables the proper functioning of responsible government by promoting collective ministerial accountability to the legislature and affords the executive the operational space it needs to function effectively (</w:t>
      </w:r>
      <w:r w:rsidRPr="00B35E92">
        <w:rPr>
          <w:rFonts w:cs="Times New Roman"/>
          <w:i/>
          <w:lang w:val="en-US"/>
        </w:rPr>
        <w:t>B.C. Judges</w:t>
      </w:r>
      <w:r w:rsidRPr="00B35E92">
        <w:rPr>
          <w:rFonts w:cs="Times New Roman"/>
          <w:lang w:val="en-US"/>
        </w:rPr>
        <w:t xml:space="preserve">, at paras. 65-67 and 96; </w:t>
      </w:r>
      <w:r w:rsidRPr="00B35E92">
        <w:rPr>
          <w:rFonts w:cs="Times New Roman"/>
          <w:i/>
          <w:lang w:val="en-US"/>
        </w:rPr>
        <w:t>Carey</w:t>
      </w:r>
      <w:r w:rsidRPr="00B35E92">
        <w:rPr>
          <w:rFonts w:cs="Times New Roman"/>
          <w:lang w:val="en-US"/>
        </w:rPr>
        <w:t xml:space="preserve">, at p. 659; see also </w:t>
      </w:r>
      <w:r w:rsidRPr="00B35E92">
        <w:rPr>
          <w:rFonts w:cs="Times New Roman"/>
          <w:i/>
          <w:lang w:val="en-US"/>
        </w:rPr>
        <w:t>Criminal Lawyers’ Association 2010</w:t>
      </w:r>
      <w:r w:rsidRPr="00B35E92">
        <w:rPr>
          <w:rFonts w:cs="Times New Roman"/>
          <w:lang w:val="en-US"/>
        </w:rPr>
        <w:t>, at para. 40). These functions are crucial both to the principle of responsible government and to the separation of powers. Spheres of confidentiality insulated from “undue external interference” are essential to the executive’s ability to “perform its constitutionally-assigned functions” (</w:t>
      </w:r>
      <w:r w:rsidRPr="00B35E92">
        <w:rPr>
          <w:rFonts w:cs="Times New Roman"/>
          <w:i/>
          <w:lang w:val="en-US"/>
        </w:rPr>
        <w:t>B.C. Judges</w:t>
      </w:r>
      <w:r w:rsidRPr="00B35E92">
        <w:rPr>
          <w:rFonts w:cs="Times New Roman"/>
          <w:lang w:val="en-US"/>
        </w:rPr>
        <w:t xml:space="preserve">, at paras. 66 and 96). </w:t>
      </w:r>
    </w:p>
    <w:p w14:paraId="02DFE596" w14:textId="77777777" w:rsidR="00B35E92" w:rsidRPr="00B35E92" w:rsidRDefault="00B35E92" w:rsidP="00B35E92">
      <w:pPr>
        <w:pStyle w:val="ParaNoNdepar-AltN"/>
        <w:rPr>
          <w:rFonts w:cs="Times New Roman"/>
          <w:lang w:val="en-US"/>
        </w:rPr>
      </w:pPr>
      <w:r w:rsidRPr="00B35E92">
        <w:rPr>
          <w:rFonts w:cs="Times New Roman"/>
          <w:lang w:val="en-US"/>
        </w:rPr>
        <w:t xml:space="preserve">In approaching assertions of Cabinet confidentiality, administrative decision makers and reviewing courts must be attentive not only to the vital importance of public access to government-held information but also to Cabinet secrecy’s core purpose of enabling effective government, and its underlying rationales of efficiency, candour, and solidarity. They must also be attentive to the dynamic and fluid nature of executive decision making, the function of Cabinet itself and its individual members, the role of the Premier, and Cabinet’s prerogative to determine when and how to announce its decisions. </w:t>
      </w:r>
    </w:p>
    <w:p w14:paraId="62774E8F" w14:textId="77777777" w:rsidR="00B35E92" w:rsidRPr="00B35E92" w:rsidRDefault="00B35E92" w:rsidP="00B35E92">
      <w:pPr>
        <w:pStyle w:val="ParaNoNdepar-AltN"/>
        <w:rPr>
          <w:rFonts w:cs="Times New Roman"/>
          <w:lang w:val="en-US"/>
        </w:rPr>
      </w:pPr>
      <w:r w:rsidRPr="00B35E92">
        <w:rPr>
          <w:rFonts w:cs="Times New Roman"/>
          <w:lang w:val="en-US"/>
        </w:rPr>
        <w:t>Such an approach reflects the opening words of s. 12(1), which mandate a substantive analysis of the requested record and its substance to determine whether disclosure of the record would shed light on Cabinet deliberations, rather than categorically excluding certain types of information from protection. Thus, “deliberations” understood purposively can include outcomes or decisions of Cabinet’s deliberative process, topics of deliberation, and priorities identified by the Premier, even if they do not ultimately result in government action.</w:t>
      </w:r>
      <w:r w:rsidRPr="00B35E92" w:rsidDel="00067AE6">
        <w:rPr>
          <w:rFonts w:cs="Times New Roman"/>
          <w:lang w:val="en-US"/>
        </w:rPr>
        <w:t xml:space="preserve"> </w:t>
      </w:r>
      <w:r w:rsidRPr="00B35E92">
        <w:rPr>
          <w:rFonts w:cs="Times New Roman"/>
          <w:lang w:val="en-US"/>
        </w:rPr>
        <w:t>And decision makers should always be attentive to what even generally phrased records could reveal about those deliberations to a sophisticated reader when placed in the broader context.</w:t>
      </w:r>
      <w:r w:rsidRPr="00B35E92" w:rsidDel="00B14E8D">
        <w:rPr>
          <w:rFonts w:cs="Times New Roman"/>
          <w:lang w:val="en-US"/>
        </w:rPr>
        <w:t xml:space="preserve"> </w:t>
      </w:r>
      <w:r w:rsidRPr="00B35E92">
        <w:rPr>
          <w:rFonts w:cs="Times New Roman"/>
          <w:lang w:val="en-US"/>
        </w:rPr>
        <w:t xml:space="preserve">The identification and discussion of policy priorities in communications </w:t>
      </w:r>
      <w:r w:rsidRPr="00B35E92">
        <w:rPr>
          <w:rFonts w:cs="Times New Roman"/>
          <w:i/>
          <w:lang w:val="en-US"/>
        </w:rPr>
        <w:t>among Cabinet members</w:t>
      </w:r>
      <w:r w:rsidRPr="00B35E92">
        <w:rPr>
          <w:rFonts w:cs="Times New Roman"/>
          <w:lang w:val="en-US"/>
        </w:rPr>
        <w:t xml:space="preserve"> are more likely to reveal the substance of deliberations, especially when considered alongside other available information, including what Cabinet chooses to do.</w:t>
      </w:r>
    </w:p>
    <w:p w14:paraId="160D9E18" w14:textId="77777777" w:rsidR="00B35E92" w:rsidRPr="00B35E92" w:rsidRDefault="00B35E92" w:rsidP="00B35E92">
      <w:pPr>
        <w:pStyle w:val="ParaNoNdepar-AltN"/>
        <w:rPr>
          <w:rFonts w:cs="Times New Roman"/>
        </w:rPr>
      </w:pPr>
      <w:r w:rsidRPr="00B35E92">
        <w:rPr>
          <w:rFonts w:cs="Times New Roman"/>
          <w:lang w:val="en-US"/>
        </w:rPr>
        <w:t>As to remedy in this case, where “the interplay of text, context and purpose leaves room for a single reasonable interpretation”, it “would serve no useful purpose” to remit the question to the original decision maker (</w:t>
      </w:r>
      <w:r w:rsidRPr="00B35E92">
        <w:rPr>
          <w:rFonts w:cs="Times New Roman"/>
          <w:i/>
          <w:lang w:val="en-US"/>
        </w:rPr>
        <w:t>Vavilov</w:t>
      </w:r>
      <w:r w:rsidRPr="00B35E92">
        <w:rPr>
          <w:rFonts w:cs="Times New Roman"/>
          <w:lang w:val="en-US"/>
        </w:rPr>
        <w:t xml:space="preserve">, at para. 124). Here, statutory text, purpose, and context lead inexorably to the conclusion that the Letters are protected from disclosure under s. 12(1)’s opening words. I would not remit the matter to the IPC. </w:t>
      </w:r>
    </w:p>
    <w:p w14:paraId="2376B68B" w14:textId="77777777" w:rsidR="00B35E92" w:rsidRPr="00B35E92" w:rsidRDefault="00B35E92" w:rsidP="00B35E92">
      <w:pPr>
        <w:pStyle w:val="ParaNoNdepar-AltN"/>
        <w:rPr>
          <w:rFonts w:cs="Times New Roman"/>
        </w:rPr>
      </w:pPr>
      <w:r w:rsidRPr="00B35E92">
        <w:rPr>
          <w:rFonts w:cs="Times New Roman"/>
        </w:rPr>
        <w:t>I would allow the appeal and set aside the order of the IPC, with costs to the appellant payable by the CBC. The private record of proceedings filed with this Court will remain in the Court file but shall be confidential, sealed, and not form part of the public record.</w:t>
      </w:r>
    </w:p>
    <w:p w14:paraId="3A76BAC8" w14:textId="77777777" w:rsidR="00B35E92" w:rsidRPr="00B35E92" w:rsidRDefault="00B35E92" w:rsidP="00B35E92">
      <w:pPr>
        <w:tabs>
          <w:tab w:val="left" w:pos="1134"/>
        </w:tabs>
        <w:spacing w:after="480" w:line="480" w:lineRule="auto"/>
        <w:jc w:val="both"/>
        <w:rPr>
          <w:lang w:val="en-US"/>
        </w:rPr>
      </w:pPr>
      <w:r w:rsidRPr="00B35E92">
        <w:rPr>
          <w:lang w:val="en-US"/>
        </w:rPr>
        <w:tab/>
        <w:t>The following are the reasons delivered by</w:t>
      </w:r>
    </w:p>
    <w:p w14:paraId="0BC16652" w14:textId="77777777" w:rsidR="00B35E92" w:rsidRPr="00B35E92" w:rsidRDefault="00B35E92" w:rsidP="00B35E92">
      <w:pPr>
        <w:pStyle w:val="JudgeJuge"/>
      </w:pPr>
      <w:r w:rsidRPr="00B35E92">
        <w:tab/>
        <w:t xml:space="preserve">Côté J. — </w:t>
      </w:r>
    </w:p>
    <w:p w14:paraId="157F2229" w14:textId="77777777" w:rsidR="00B35E92" w:rsidRPr="00D42E09" w:rsidRDefault="00B35E92" w:rsidP="00D42E09">
      <w:pPr>
        <w:pStyle w:val="Title1LevelTitre1Niveau-AltL"/>
        <w:numPr>
          <w:ilvl w:val="0"/>
          <w:numId w:val="25"/>
        </w:numPr>
        <w:rPr>
          <w:rFonts w:cs="Times New Roman"/>
        </w:rPr>
      </w:pPr>
      <w:r w:rsidRPr="00D42E09">
        <w:rPr>
          <w:rFonts w:cs="Times New Roman"/>
        </w:rPr>
        <w:t>Introduction</w:t>
      </w:r>
    </w:p>
    <w:p w14:paraId="494E29DE" w14:textId="77777777" w:rsidR="00B35E92" w:rsidRPr="00B35E92" w:rsidRDefault="00B35E92" w:rsidP="00B35E92">
      <w:pPr>
        <w:pStyle w:val="ParaNoNdepar-AltN"/>
      </w:pPr>
      <w:r w:rsidRPr="00B35E92">
        <w:t xml:space="preserve">I agree with my colleague’s interpretation of s. 12(1) of the </w:t>
      </w:r>
      <w:r w:rsidRPr="00B35E92">
        <w:rPr>
          <w:i/>
        </w:rPr>
        <w:t>Freedom of Information and Protection of Privacy Act</w:t>
      </w:r>
      <w:r w:rsidRPr="00B35E92">
        <w:t xml:space="preserve">, R.S.O. 1990, c. F.31 (“Act”), and with her conclusion that the mandate letters at issue are exempt from disclosure under that provision. However, I do not agree that “the same conclusion follows regardless of whether the standard of review is correctness or reasonableness” (para. 16). Indeed, according to </w:t>
      </w:r>
      <w:r w:rsidRPr="00B35E92">
        <w:rPr>
          <w:i/>
        </w:rPr>
        <w:t>Canada (Minister of Citizenship and Immigration) v. Vavilov</w:t>
      </w:r>
      <w:r w:rsidRPr="00B35E92">
        <w:t xml:space="preserve">, 2019 SCC 65, [2019] 4 S.C.R. 653, “[r]easonableness review is methodologically distinct from correctness review” (para. 12; </w:t>
      </w:r>
      <w:r w:rsidRPr="00B35E92">
        <w:rPr>
          <w:i/>
        </w:rPr>
        <w:t>Mason v. Canada (Citizenship and Immigration)</w:t>
      </w:r>
      <w:r w:rsidRPr="00B35E92">
        <w:t>, 2023 SCC 21, at para. 58). For the reasons I explain below,</w:t>
      </w:r>
      <w:r w:rsidRPr="00B35E92">
        <w:rPr>
          <w:i/>
        </w:rPr>
        <w:t xml:space="preserve"> </w:t>
      </w:r>
      <w:r w:rsidRPr="00B35E92">
        <w:t>I would consider the issue raised in this appeal — the scope of Cabinet privilege — to be a general question of law of central importance to the legal system as a whole. I would therefore review the Information and Privacy Commissioner’s decision on a standard of correctness.</w:t>
      </w:r>
    </w:p>
    <w:p w14:paraId="56A8F6DC" w14:textId="77777777" w:rsidR="00B35E92" w:rsidRPr="00B35E92" w:rsidRDefault="00B35E92" w:rsidP="00B35E92">
      <w:pPr>
        <w:pStyle w:val="Title1LevelTitre1Niveau-AltL"/>
        <w:rPr>
          <w:rFonts w:cs="Times New Roman"/>
        </w:rPr>
      </w:pPr>
      <w:r w:rsidRPr="00B35E92">
        <w:rPr>
          <w:rFonts w:cs="Times New Roman"/>
        </w:rPr>
        <w:t>Standard of Review</w:t>
      </w:r>
    </w:p>
    <w:p w14:paraId="2B1349EA" w14:textId="77777777" w:rsidR="00B35E92" w:rsidRPr="00B35E92" w:rsidRDefault="00B35E92" w:rsidP="00B35E92">
      <w:pPr>
        <w:pStyle w:val="ParaNoNdepar-AltN"/>
        <w:rPr>
          <w:rFonts w:cs="Times New Roman"/>
        </w:rPr>
      </w:pPr>
      <w:r w:rsidRPr="00B35E92">
        <w:rPr>
          <w:rFonts w:cs="Times New Roman"/>
        </w:rPr>
        <w:t>A reviewing judge’s selection and application of the standard of review are reviewable for correctness (</w:t>
      </w:r>
      <w:r w:rsidRPr="00B35E92">
        <w:rPr>
          <w:rFonts w:cs="Times New Roman"/>
          <w:i/>
        </w:rPr>
        <w:t>Northern Regional Health Authority v. Horrocks</w:t>
      </w:r>
      <w:r w:rsidRPr="00B35E92">
        <w:rPr>
          <w:rFonts w:cs="Times New Roman"/>
        </w:rPr>
        <w:t xml:space="preserve">, 2021 SCC 42, at para. 10). As my colleague notes, this Court held in </w:t>
      </w:r>
      <w:r w:rsidRPr="00B35E92">
        <w:rPr>
          <w:rFonts w:cs="Times New Roman"/>
          <w:i/>
        </w:rPr>
        <w:t xml:space="preserve">Agraira v. Canada </w:t>
      </w:r>
      <w:r w:rsidRPr="00B35E92">
        <w:rPr>
          <w:rFonts w:eastAsia="Calibri" w:cs="Times New Roman"/>
          <w:i/>
        </w:rPr>
        <w:t>(Public Safety and Emergency Preparedness)</w:t>
      </w:r>
      <w:r w:rsidRPr="00B35E92">
        <w:rPr>
          <w:rFonts w:eastAsia="Calibri" w:cs="Times New Roman"/>
        </w:rPr>
        <w:t xml:space="preserve">, 2013 SCC 36, [2013] 2 S.C.R. 559, that an appellate court “‘step[s] into the shoes of the lower court’ such that the ‘appellate court’s focus is, in effect, on the administrative decision’” (para. 46, quoting </w:t>
      </w:r>
      <w:r w:rsidRPr="00B35E92">
        <w:rPr>
          <w:rFonts w:eastAsia="Calibri" w:cs="Times New Roman"/>
          <w:i/>
        </w:rPr>
        <w:t>Merck Frosst Canada Ltd. v. Canada (Health)</w:t>
      </w:r>
      <w:r w:rsidRPr="00B35E92">
        <w:rPr>
          <w:rFonts w:eastAsia="Calibri" w:cs="Times New Roman"/>
        </w:rPr>
        <w:t xml:space="preserve">, 2012 SCC 3, [2012] 1 S.C.R. 23, at para. 247 (emphasis deleted)). Our Court is not bound by the standard of review applied in the lower courts, nor is it bound by the parties’ agreement with respect to the applicable standard of review. It performs its own </w:t>
      </w:r>
      <w:r w:rsidRPr="00B35E92">
        <w:rPr>
          <w:rFonts w:cs="Times New Roman"/>
        </w:rPr>
        <w:t xml:space="preserve">review of the Commissioner’s decision (see </w:t>
      </w:r>
      <w:r w:rsidRPr="00B35E92">
        <w:rPr>
          <w:rFonts w:cs="Times New Roman"/>
          <w:i/>
        </w:rPr>
        <w:t>Horrocks</w:t>
      </w:r>
      <w:r w:rsidRPr="00B35E92">
        <w:rPr>
          <w:rFonts w:cs="Times New Roman"/>
        </w:rPr>
        <w:t xml:space="preserve">, at para. 10, citing D. J. M. Brown, with the assistance of D. Fairlie, </w:t>
      </w:r>
      <w:r w:rsidRPr="00B35E92">
        <w:rPr>
          <w:rFonts w:cs="Times New Roman"/>
          <w:i/>
        </w:rPr>
        <w:t xml:space="preserve">Civil Appeals </w:t>
      </w:r>
      <w:r w:rsidRPr="00B35E92">
        <w:rPr>
          <w:rFonts w:cs="Times New Roman"/>
        </w:rPr>
        <w:t>(loose</w:t>
      </w:r>
      <w:r w:rsidRPr="00B35E92">
        <w:rPr>
          <w:rFonts w:cs="Times New Roman"/>
        </w:rPr>
        <w:noBreakHyphen/>
        <w:t>leaf), at § 14:45).</w:t>
      </w:r>
    </w:p>
    <w:p w14:paraId="1E075061" w14:textId="77777777" w:rsidR="00B35E92" w:rsidRPr="00B35E92" w:rsidRDefault="00B35E92" w:rsidP="00B35E92">
      <w:pPr>
        <w:pStyle w:val="ParaNoNdepar-AltN"/>
        <w:rPr>
          <w:rFonts w:cs="Times New Roman"/>
        </w:rPr>
      </w:pPr>
      <w:r w:rsidRPr="00B35E92">
        <w:rPr>
          <w:rFonts w:cs="Times New Roman"/>
        </w:rPr>
        <w:t xml:space="preserve">Following the teachings of </w:t>
      </w:r>
      <w:r w:rsidRPr="00B35E92">
        <w:rPr>
          <w:rFonts w:cs="Times New Roman"/>
          <w:i/>
        </w:rPr>
        <w:t>Vavilov</w:t>
      </w:r>
      <w:r w:rsidRPr="00B35E92">
        <w:rPr>
          <w:rFonts w:cs="Times New Roman"/>
        </w:rPr>
        <w:t xml:space="preserve">, </w:t>
      </w:r>
      <w:r w:rsidRPr="00B35E92">
        <w:rPr>
          <w:rFonts w:cs="Times New Roman"/>
          <w:lang w:val="en-US"/>
        </w:rPr>
        <w:t>“a reviewing court must be prepared to derogate from the presumption of reasonableness review where respect for the rule of law requires a singular, determinate and final answer to the question before it” (para. 32).</w:t>
      </w:r>
      <w:r w:rsidRPr="00B35E92">
        <w:rPr>
          <w:rFonts w:cs="Times New Roman"/>
        </w:rPr>
        <w:t xml:space="preserve"> The applicable standard of review is an essential question, one that my colleague — and Lauwers J.A. — have deemed serious (see Karakatsanis J.’s reasons, at para. 16; 2022 ONCA 74, 160 O.R. (3d) 481, at paras. 106</w:t>
      </w:r>
      <w:r w:rsidRPr="00B35E92">
        <w:rPr>
          <w:rFonts w:cs="Times New Roman"/>
        </w:rPr>
        <w:noBreakHyphen/>
        <w:t xml:space="preserve">8). Therefore, I cannot agree that “it is not necessary to finally resolve” the question of the applicable standard of review (Karakatsanis J.’s reasons, at para. 16). In my view, the scope of Cabinet privilege falls within the already existing </w:t>
      </w:r>
      <w:r w:rsidRPr="00B35E92">
        <w:rPr>
          <w:rFonts w:cs="Times New Roman"/>
          <w:i/>
        </w:rPr>
        <w:t xml:space="preserve">Vavilov </w:t>
      </w:r>
      <w:r w:rsidRPr="00B35E92">
        <w:rPr>
          <w:rFonts w:cs="Times New Roman"/>
        </w:rPr>
        <w:t>category of general questions of law of central importance to the legal system as a whole. This question is thus subject to correctness review. Let me explain.</w:t>
      </w:r>
    </w:p>
    <w:p w14:paraId="19A35FD3" w14:textId="77777777" w:rsidR="00B35E92" w:rsidRPr="00B35E92" w:rsidRDefault="00B35E92" w:rsidP="00B35E92">
      <w:pPr>
        <w:pStyle w:val="ParaNoNdepar-AltN"/>
        <w:rPr>
          <w:rFonts w:cs="Times New Roman"/>
        </w:rPr>
      </w:pPr>
      <w:r w:rsidRPr="00B35E92">
        <w:rPr>
          <w:rFonts w:cs="Times New Roman"/>
        </w:rPr>
        <w:t xml:space="preserve">In </w:t>
      </w:r>
      <w:r w:rsidRPr="00B35E92">
        <w:rPr>
          <w:rFonts w:cs="Times New Roman"/>
          <w:i/>
        </w:rPr>
        <w:t>Vavilov</w:t>
      </w:r>
      <w:r w:rsidRPr="00B35E92">
        <w:rPr>
          <w:rFonts w:cs="Times New Roman"/>
        </w:rPr>
        <w:t xml:space="preserve">, our Court recognized that “correctness review is necessary to resolve general questions of law that are of ‘fundamental importance and broad applicability’, with significant legal consequences for the justice system as a whole or for other institutions of government” (para. 59). Our Court provided specific examples of this kind of question: “. . . when an administrative proceeding will be barred by the doctrines of </w:t>
      </w:r>
      <w:r w:rsidRPr="00B35E92">
        <w:rPr>
          <w:rFonts w:cs="Times New Roman"/>
          <w:i/>
        </w:rPr>
        <w:t>res judicata</w:t>
      </w:r>
      <w:r w:rsidRPr="00B35E92">
        <w:rPr>
          <w:rFonts w:cs="Times New Roman"/>
        </w:rPr>
        <w:t xml:space="preserve"> and abuse of process (</w:t>
      </w:r>
      <w:r w:rsidRPr="00B35E92">
        <w:rPr>
          <w:rFonts w:cs="Times New Roman"/>
          <w:i/>
        </w:rPr>
        <w:t>Toronto (City)</w:t>
      </w:r>
      <w:r w:rsidRPr="00B35E92">
        <w:rPr>
          <w:rFonts w:cs="Times New Roman"/>
        </w:rPr>
        <w:t>, at para. 15); the scope of the state’s duty of religious neutrality (</w:t>
      </w:r>
      <w:r w:rsidRPr="00B35E92">
        <w:rPr>
          <w:rFonts w:cs="Times New Roman"/>
          <w:i/>
        </w:rPr>
        <w:t>Saguenay</w:t>
      </w:r>
      <w:r w:rsidRPr="00B35E92">
        <w:rPr>
          <w:rFonts w:cs="Times New Roman"/>
        </w:rPr>
        <w:t>, at para. 49); the appropriateness of limits on solicitor</w:t>
      </w:r>
      <w:r w:rsidRPr="00B35E92">
        <w:rPr>
          <w:rFonts w:cs="Times New Roman"/>
        </w:rPr>
        <w:noBreakHyphen/>
        <w:t>client privilege (</w:t>
      </w:r>
      <w:r w:rsidRPr="00B35E92">
        <w:rPr>
          <w:rFonts w:cs="Times New Roman"/>
          <w:i/>
        </w:rPr>
        <w:t>University of Calgary</w:t>
      </w:r>
      <w:r w:rsidRPr="00B35E92">
        <w:rPr>
          <w:rFonts w:cs="Times New Roman"/>
        </w:rPr>
        <w:t>, at para. 20); and the scope of parliamentary privilege (</w:t>
      </w:r>
      <w:r w:rsidRPr="00B35E92">
        <w:rPr>
          <w:rFonts w:cs="Times New Roman"/>
          <w:i/>
        </w:rPr>
        <w:t>Chagnon</w:t>
      </w:r>
      <w:r w:rsidRPr="00B35E92">
        <w:rPr>
          <w:rFonts w:cs="Times New Roman"/>
        </w:rPr>
        <w:t>, at para. 17)” (para. 60).</w:t>
      </w:r>
    </w:p>
    <w:p w14:paraId="2B9FD92D" w14:textId="77777777" w:rsidR="00B35E92" w:rsidRPr="00B35E92" w:rsidRDefault="00B35E92" w:rsidP="00B35E92">
      <w:pPr>
        <w:pStyle w:val="ParaNoNdepar-AltN"/>
        <w:rPr>
          <w:rFonts w:cs="Times New Roman"/>
        </w:rPr>
      </w:pPr>
      <w:r w:rsidRPr="00B35E92">
        <w:rPr>
          <w:rFonts w:eastAsia="Calibri" w:cs="Times New Roman"/>
        </w:rPr>
        <w:t>There is no principled reason why Cabinet privilege should be treated any differently — or is any less important to the legal system as a whole — than solicitor</w:t>
      </w:r>
      <w:r w:rsidRPr="00B35E92">
        <w:rPr>
          <w:rFonts w:eastAsia="Calibri" w:cs="Times New Roman"/>
        </w:rPr>
        <w:noBreakHyphen/>
        <w:t xml:space="preserve">client privilege or parliamentary privilege. Writing for the majority of the Court in </w:t>
      </w:r>
      <w:r w:rsidRPr="00B35E92">
        <w:rPr>
          <w:rFonts w:eastAsia="Calibri" w:cs="Times New Roman"/>
          <w:i/>
        </w:rPr>
        <w:t>Chagnon v. Syndicat de la fonction publique et parapublique du Québec</w:t>
      </w:r>
      <w:r w:rsidRPr="00B35E92">
        <w:rPr>
          <w:rFonts w:eastAsia="Calibri" w:cs="Times New Roman"/>
        </w:rPr>
        <w:t>, 2018 SCC 39, [2018] 2 S.C.R. 687, my colleague noted that parliamentary privilege helps preserve the separation of powers and plays an important role in our Westminster model of parliamentary democracy (para. 1). This is echoed in her consideration of the importance of Cabinet privilege in this case, which implicates constitutional traditions and conventions “crucial to the proper functioning of our democracy” (para. 1; see also paras. 3, 7, 21, 27</w:t>
      </w:r>
      <w:r w:rsidRPr="00B35E92">
        <w:rPr>
          <w:rFonts w:eastAsia="Calibri" w:cs="Times New Roman"/>
        </w:rPr>
        <w:noBreakHyphen/>
        <w:t xml:space="preserve">28 and 60). Indeed, “[j]ust as legislative privilege protects the ability of elected representatives to act on the will of the people”, she states, citing </w:t>
      </w:r>
      <w:r w:rsidRPr="00B35E92">
        <w:rPr>
          <w:rFonts w:eastAsia="Calibri" w:cs="Times New Roman"/>
          <w:i/>
        </w:rPr>
        <w:t>Chagnon</w:t>
      </w:r>
      <w:r w:rsidRPr="00B35E92">
        <w:rPr>
          <w:rFonts w:eastAsia="Calibri" w:cs="Times New Roman"/>
        </w:rPr>
        <w:t>, “Cabinet confidentiality grants the executive the necessary latitude to govern in an effective, collectively responsible manner” (para. 3).</w:t>
      </w:r>
    </w:p>
    <w:p w14:paraId="2E5B5DAE" w14:textId="77777777" w:rsidR="00B35E92" w:rsidRPr="00B35E92" w:rsidRDefault="00B35E92" w:rsidP="00B35E92">
      <w:pPr>
        <w:pStyle w:val="ParaNoNdepar-AltN"/>
        <w:rPr>
          <w:rFonts w:cs="Times New Roman"/>
        </w:rPr>
      </w:pPr>
      <w:r w:rsidRPr="00B35E92">
        <w:rPr>
          <w:rFonts w:cs="Times New Roman"/>
        </w:rPr>
        <w:t xml:space="preserve">The scope of Cabinet privilege is not a question particular to Ontario’s specific regulatory regime (see </w:t>
      </w:r>
      <w:r w:rsidRPr="00B35E92">
        <w:rPr>
          <w:rFonts w:cs="Times New Roman"/>
          <w:i/>
        </w:rPr>
        <w:t>Vavilov</w:t>
      </w:r>
      <w:r w:rsidRPr="00B35E92">
        <w:rPr>
          <w:rFonts w:cs="Times New Roman"/>
        </w:rPr>
        <w:t xml:space="preserve">, at para. 61; </w:t>
      </w:r>
      <w:r w:rsidRPr="00B35E92">
        <w:rPr>
          <w:rFonts w:cs="Times New Roman"/>
          <w:i/>
        </w:rPr>
        <w:t>Canadian National Railway Co. v. Canada (Attorney General)</w:t>
      </w:r>
      <w:r w:rsidRPr="00B35E92">
        <w:rPr>
          <w:rFonts w:cs="Times New Roman"/>
        </w:rPr>
        <w:t xml:space="preserve">, 2014 SCC 40, [2014] 2 S.C.R. 135, at para. 60). As my colleague notes, similar exemptions are found in freedom of information legislation across the country (para. 14). This is evidenced by the Commissioner’s reliance on the Nova Scotia Court of Appeal’s decision in </w:t>
      </w:r>
      <w:r w:rsidRPr="00B35E92">
        <w:rPr>
          <w:rFonts w:eastAsia="Calibri" w:cs="Times New Roman"/>
          <w:i/>
        </w:rPr>
        <w:t>O’Connor v. Nova Scotia (Minister of the Priorities and Planning Secretariat)</w:t>
      </w:r>
      <w:r w:rsidRPr="00B35E92">
        <w:rPr>
          <w:rFonts w:eastAsia="Calibri" w:cs="Times New Roman"/>
        </w:rPr>
        <w:t xml:space="preserve">, 2001 NSCA 132, 197 N.S.R. (2d) 154, in contrast to the different approach taken by the British Columbia Court of Appeal in </w:t>
      </w:r>
      <w:r w:rsidRPr="00B35E92">
        <w:rPr>
          <w:rFonts w:eastAsia="Calibri" w:cs="Times New Roman"/>
          <w:i/>
        </w:rPr>
        <w:t>Aquasource Ltd. v. Freedom of Information and Protection of Privacy Commissioner (B.C.)</w:t>
      </w:r>
      <w:r w:rsidRPr="00B35E92">
        <w:rPr>
          <w:rFonts w:eastAsia="Calibri" w:cs="Times New Roman"/>
        </w:rPr>
        <w:t xml:space="preserve"> (1998), 111 B.C.A.C. 95. Further, courts must determine the scope of Cabinet privilege, including under s. 39 of the </w:t>
      </w:r>
      <w:r w:rsidRPr="00B35E92">
        <w:rPr>
          <w:rFonts w:eastAsia="Calibri" w:cs="Times New Roman"/>
          <w:i/>
        </w:rPr>
        <w:t>Canada Evidence Act</w:t>
      </w:r>
      <w:r w:rsidRPr="00B35E92">
        <w:rPr>
          <w:rFonts w:eastAsia="Calibri" w:cs="Times New Roman"/>
        </w:rPr>
        <w:t>, R.S.C. 1985, c. C</w:t>
      </w:r>
      <w:r w:rsidRPr="00B35E92">
        <w:rPr>
          <w:rFonts w:eastAsia="Calibri" w:cs="Times New Roman"/>
        </w:rPr>
        <w:noBreakHyphen/>
        <w:t>5, when dealing with questions of admissibility of evidence. Indeed, my colleague’s interpretation of the purpose of Cabinet privilege is largely based on common law jurisprudence or jurisprudence concerning freedom of information legislation from other jurisdictions (see, e.g., paras. 3 and 31). This confirms the wide</w:t>
      </w:r>
      <w:r w:rsidRPr="00B35E92">
        <w:rPr>
          <w:rFonts w:eastAsia="Calibri" w:cs="Times New Roman"/>
        </w:rPr>
        <w:noBreakHyphen/>
        <w:t>ranging implications of decisions on the nature and scope of Cabinet privilege.</w:t>
      </w:r>
    </w:p>
    <w:p w14:paraId="022596E2" w14:textId="77777777" w:rsidR="00B35E92" w:rsidRPr="00B35E92" w:rsidRDefault="00B35E92" w:rsidP="00B35E92">
      <w:pPr>
        <w:pStyle w:val="ParaNoNdepar-AltN"/>
        <w:rPr>
          <w:rFonts w:cs="Times New Roman"/>
        </w:rPr>
      </w:pPr>
      <w:r w:rsidRPr="00B35E92">
        <w:rPr>
          <w:rFonts w:eastAsia="Calibri" w:cs="Times New Roman"/>
        </w:rPr>
        <w:t xml:space="preserve">For these reasons, I would find that the scope of Cabinet privilege is a question of central importance to the legal system as a whole that requires a final and determinate answer. In both </w:t>
      </w:r>
      <w:r w:rsidRPr="00B35E92">
        <w:rPr>
          <w:rFonts w:eastAsia="Calibri" w:cs="Times New Roman"/>
          <w:i/>
        </w:rPr>
        <w:t xml:space="preserve">Chagnon </w:t>
      </w:r>
      <w:r w:rsidRPr="00B35E92">
        <w:rPr>
          <w:rFonts w:eastAsia="Calibri" w:cs="Times New Roman"/>
        </w:rPr>
        <w:t xml:space="preserve">and </w:t>
      </w:r>
      <w:r w:rsidRPr="00B35E92">
        <w:rPr>
          <w:rFonts w:eastAsia="Calibri" w:cs="Times New Roman"/>
          <w:i/>
        </w:rPr>
        <w:t>Alberta (Information and Privacy Commissioner) v. University of Calgary</w:t>
      </w:r>
      <w:r w:rsidRPr="00B35E92">
        <w:rPr>
          <w:rFonts w:eastAsia="Calibri" w:cs="Times New Roman"/>
        </w:rPr>
        <w:t>, 2016 SCC 53, [2016] 2 S.C.R. 555, our Court relied on constitutional dimensions in identifying parliamentary privilege and solicitor</w:t>
      </w:r>
      <w:r w:rsidRPr="00B35E92">
        <w:rPr>
          <w:rFonts w:eastAsia="Calibri" w:cs="Times New Roman"/>
        </w:rPr>
        <w:noBreakHyphen/>
        <w:t xml:space="preserve">client privilege as questions of law of central importance (see </w:t>
      </w:r>
      <w:r w:rsidRPr="00B35E92">
        <w:rPr>
          <w:rFonts w:eastAsia="Calibri" w:cs="Times New Roman"/>
          <w:i/>
        </w:rPr>
        <w:t>Chagnon</w:t>
      </w:r>
      <w:r w:rsidRPr="00B35E92">
        <w:rPr>
          <w:rFonts w:eastAsia="Calibri" w:cs="Times New Roman"/>
        </w:rPr>
        <w:t>, at paras. 1</w:t>
      </w:r>
      <w:r w:rsidRPr="00B35E92">
        <w:rPr>
          <w:rFonts w:eastAsia="Calibri" w:cs="Times New Roman"/>
        </w:rPr>
        <w:noBreakHyphen/>
        <w:t>4 and 23</w:t>
      </w:r>
      <w:r w:rsidRPr="00B35E92">
        <w:rPr>
          <w:rFonts w:eastAsia="Calibri" w:cs="Times New Roman"/>
        </w:rPr>
        <w:noBreakHyphen/>
        <w:t xml:space="preserve">25; </w:t>
      </w:r>
      <w:r w:rsidRPr="00B35E92">
        <w:rPr>
          <w:rFonts w:eastAsia="Calibri" w:cs="Times New Roman"/>
          <w:i/>
        </w:rPr>
        <w:t>University of Calgary</w:t>
      </w:r>
      <w:r w:rsidRPr="00B35E92">
        <w:rPr>
          <w:rFonts w:eastAsia="Calibri" w:cs="Times New Roman"/>
        </w:rPr>
        <w:t xml:space="preserve">, at para. 20). As a result, it is unnecessary to decide whether the constitutional overlay in this case also places this question within the separate </w:t>
      </w:r>
      <w:r w:rsidRPr="00B35E92">
        <w:rPr>
          <w:rFonts w:eastAsia="Calibri" w:cs="Times New Roman"/>
          <w:i/>
        </w:rPr>
        <w:t xml:space="preserve">Vavilov </w:t>
      </w:r>
      <w:r w:rsidRPr="00B35E92">
        <w:rPr>
          <w:rFonts w:eastAsia="Calibri" w:cs="Times New Roman"/>
        </w:rPr>
        <w:t>category of constitutional questions (see C.A. reasons, at para. 108).</w:t>
      </w:r>
    </w:p>
    <w:p w14:paraId="771A1831" w14:textId="77777777" w:rsidR="00B35E92" w:rsidRPr="00B35E92" w:rsidRDefault="00B35E92" w:rsidP="00B35E92">
      <w:pPr>
        <w:pStyle w:val="Title1LevelTitre1Niveau-AltL"/>
        <w:rPr>
          <w:rFonts w:cs="Times New Roman"/>
        </w:rPr>
      </w:pPr>
      <w:r w:rsidRPr="00B35E92">
        <w:rPr>
          <w:rFonts w:cs="Times New Roman"/>
        </w:rPr>
        <w:t>A “Reasons First” Approach</w:t>
      </w:r>
    </w:p>
    <w:p w14:paraId="3F1F0391" w14:textId="77777777" w:rsidR="00B35E92" w:rsidRPr="00B35E92" w:rsidRDefault="00B35E92" w:rsidP="00B35E92">
      <w:pPr>
        <w:pStyle w:val="ParaNoNdepar-AltN"/>
        <w:rPr>
          <w:rFonts w:cs="Times New Roman"/>
        </w:rPr>
      </w:pPr>
      <w:r w:rsidRPr="00B35E92">
        <w:rPr>
          <w:rFonts w:cs="Times New Roman"/>
        </w:rPr>
        <w:t>As I stated at the beginning of these reasons, I do not agree that the same conclusion follows regardless of whether the standard of review is correctness or reasonableness. It must never be forgotten that “[r]easonableness review is methodologically distinct from correctness review” (</w:t>
      </w:r>
      <w:r w:rsidRPr="00B35E92">
        <w:rPr>
          <w:rFonts w:cs="Times New Roman"/>
          <w:i/>
        </w:rPr>
        <w:t>Vavilov</w:t>
      </w:r>
      <w:r w:rsidRPr="00B35E92">
        <w:rPr>
          <w:rFonts w:cs="Times New Roman"/>
        </w:rPr>
        <w:t xml:space="preserve">, at para. 12; </w:t>
      </w:r>
      <w:r w:rsidRPr="00B35E92">
        <w:rPr>
          <w:rFonts w:cs="Times New Roman"/>
          <w:i/>
        </w:rPr>
        <w:t>Mason</w:t>
      </w:r>
      <w:r w:rsidRPr="00B35E92">
        <w:rPr>
          <w:rFonts w:cs="Times New Roman"/>
        </w:rPr>
        <w:t>, at para. 58). General questions of law of central importance to the legal system as a whole must be reviewed for correctness because courts, when conducting a reasonableness review, cannot provide the single determinate answer that such questions require (</w:t>
      </w:r>
      <w:r w:rsidRPr="00B35E92">
        <w:rPr>
          <w:rFonts w:cs="Times New Roman"/>
          <w:i/>
        </w:rPr>
        <w:t>Vavilov</w:t>
      </w:r>
      <w:r w:rsidRPr="00B35E92">
        <w:rPr>
          <w:rFonts w:cs="Times New Roman"/>
        </w:rPr>
        <w:t xml:space="preserve">, at para. 62). Thus, whether the standard of review is correctness or reasonableness will dictate the kind of review that a court is entitled to undertake, namely whether the review will put the “reasons first” or whether the court will conduct a </w:t>
      </w:r>
      <w:r w:rsidRPr="00B35E92">
        <w:rPr>
          <w:rFonts w:cs="Times New Roman"/>
          <w:i/>
        </w:rPr>
        <w:t xml:space="preserve">de novo </w:t>
      </w:r>
      <w:r w:rsidRPr="00B35E92">
        <w:rPr>
          <w:rFonts w:cs="Times New Roman"/>
        </w:rPr>
        <w:t>analysis (</w:t>
      </w:r>
      <w:r w:rsidRPr="00B35E92">
        <w:rPr>
          <w:rFonts w:cs="Times New Roman"/>
          <w:i/>
        </w:rPr>
        <w:t>Vavilov</w:t>
      </w:r>
      <w:r w:rsidRPr="00B35E92">
        <w:rPr>
          <w:rFonts w:cs="Times New Roman"/>
        </w:rPr>
        <w:t>,</w:t>
      </w:r>
      <w:r w:rsidRPr="00B35E92">
        <w:rPr>
          <w:rFonts w:cs="Times New Roman"/>
          <w:i/>
        </w:rPr>
        <w:t xml:space="preserve"> </w:t>
      </w:r>
      <w:r w:rsidRPr="00B35E92">
        <w:rPr>
          <w:rFonts w:cs="Times New Roman"/>
        </w:rPr>
        <w:t>at paras. 83</w:t>
      </w:r>
      <w:r w:rsidRPr="00B35E92">
        <w:rPr>
          <w:rFonts w:cs="Times New Roman"/>
        </w:rPr>
        <w:noBreakHyphen/>
        <w:t>84 and 116).</w:t>
      </w:r>
    </w:p>
    <w:p w14:paraId="23D8B482" w14:textId="77777777" w:rsidR="00B35E92" w:rsidRPr="00B35E92" w:rsidRDefault="00B35E92" w:rsidP="00B35E92">
      <w:pPr>
        <w:pStyle w:val="ParaNoNdepar-AltN"/>
        <w:rPr>
          <w:rFonts w:cs="Times New Roman"/>
        </w:rPr>
      </w:pPr>
      <w:r w:rsidRPr="00B35E92">
        <w:rPr>
          <w:rFonts w:cs="Times New Roman"/>
        </w:rPr>
        <w:t>What distinguishes reasonableness review from correctness review “is that the court conducting a reasonableness review must focus on the decision the administrative decision maker actually made, including the justification offered for it, and not on the conclusion the court itself would have reached in the administrative decision maker’s place” (</w:t>
      </w:r>
      <w:r w:rsidRPr="00B35E92">
        <w:rPr>
          <w:rFonts w:cs="Times New Roman"/>
          <w:i/>
        </w:rPr>
        <w:t>Vavilov</w:t>
      </w:r>
      <w:r w:rsidRPr="00B35E92">
        <w:rPr>
          <w:rFonts w:cs="Times New Roman"/>
        </w:rPr>
        <w:t xml:space="preserve">, at paras. 15 and 83; </w:t>
      </w:r>
      <w:r w:rsidRPr="00B35E92">
        <w:rPr>
          <w:rFonts w:cs="Times New Roman"/>
          <w:i/>
        </w:rPr>
        <w:t>Mason</w:t>
      </w:r>
      <w:r w:rsidRPr="00B35E92">
        <w:rPr>
          <w:rFonts w:cs="Times New Roman"/>
        </w:rPr>
        <w:t>, at para. 8). A principled approach to reasonableness review is one which puts the administrative decision maker’s reasons first (</w:t>
      </w:r>
      <w:r w:rsidRPr="00B35E92">
        <w:rPr>
          <w:rFonts w:cs="Times New Roman"/>
          <w:i/>
        </w:rPr>
        <w:t>Vavilov</w:t>
      </w:r>
      <w:r w:rsidRPr="00B35E92">
        <w:rPr>
          <w:rFonts w:cs="Times New Roman"/>
        </w:rPr>
        <w:t xml:space="preserve">, at para. 83; see </w:t>
      </w:r>
      <w:r w:rsidRPr="00B35E92">
        <w:rPr>
          <w:rFonts w:cs="Times New Roman"/>
          <w:i/>
        </w:rPr>
        <w:t>Mason</w:t>
      </w:r>
      <w:r w:rsidRPr="00B35E92">
        <w:rPr>
          <w:rFonts w:cs="Times New Roman"/>
        </w:rPr>
        <w:t>, at paras. 58</w:t>
      </w:r>
      <w:r w:rsidRPr="00B35E92">
        <w:rPr>
          <w:rFonts w:cs="Times New Roman"/>
        </w:rPr>
        <w:noBreakHyphen/>
        <w:t xml:space="preserve">63). “The role of courts . . . is to </w:t>
      </w:r>
      <w:r w:rsidRPr="00B35E92">
        <w:rPr>
          <w:rFonts w:cs="Times New Roman"/>
          <w:i/>
        </w:rPr>
        <w:t>review</w:t>
      </w:r>
      <w:r w:rsidRPr="00B35E92">
        <w:rPr>
          <w:rFonts w:cs="Times New Roman"/>
        </w:rPr>
        <w:t>, and they are, at least as a general rule, to refrain from deciding the issue themselves” (</w:t>
      </w:r>
      <w:r w:rsidRPr="00B35E92">
        <w:rPr>
          <w:rFonts w:cs="Times New Roman"/>
          <w:i/>
        </w:rPr>
        <w:t>Vavilov</w:t>
      </w:r>
      <w:r w:rsidRPr="00B35E92">
        <w:rPr>
          <w:rFonts w:cs="Times New Roman"/>
        </w:rPr>
        <w:t>, at para. 83 (emphasis in original)). Reviewing judges are not to fashion their own yardstick and then use that yardstick to measure what the decision maker did.</w:t>
      </w:r>
    </w:p>
    <w:p w14:paraId="4B91A91B" w14:textId="77777777" w:rsidR="00B35E92" w:rsidRPr="00B35E92" w:rsidRDefault="00B35E92" w:rsidP="00B35E92">
      <w:pPr>
        <w:pStyle w:val="ParaNoNdepar-AltN"/>
        <w:rPr>
          <w:rFonts w:cs="Times New Roman"/>
        </w:rPr>
      </w:pPr>
      <w:r w:rsidRPr="00B35E92">
        <w:rPr>
          <w:rFonts w:cs="Times New Roman"/>
        </w:rPr>
        <w:t xml:space="preserve">With respect, my colleague fails to apply this methodology in practice. She conducts her own interpretation of s. 12(1), and of the importance and nature of Cabinet privilege, and then measures it against that of the Commissioner. The fact that my colleague would have reached a different conclusion than that of the Commissioner does not make the Commissioner’s decision unreasonable. However, on the basis of my colleague’s reasons, which in my view involve a </w:t>
      </w:r>
      <w:r w:rsidRPr="00B35E92">
        <w:rPr>
          <w:rFonts w:cs="Times New Roman"/>
          <w:i/>
        </w:rPr>
        <w:t>de facto</w:t>
      </w:r>
      <w:r w:rsidRPr="00B35E92">
        <w:rPr>
          <w:rFonts w:cs="Times New Roman"/>
        </w:rPr>
        <w:t xml:space="preserve"> correctness review, I conclude that the Commissioner’s decision is incorrect.</w:t>
      </w:r>
    </w:p>
    <w:p w14:paraId="2E114E65" w14:textId="77777777" w:rsidR="00B35E92" w:rsidRPr="00B35E92" w:rsidRDefault="00B35E92" w:rsidP="00B35E92">
      <w:pPr>
        <w:pStyle w:val="Title1LevelTitre1Niveau-AltL"/>
        <w:rPr>
          <w:rFonts w:cs="Times New Roman"/>
        </w:rPr>
      </w:pPr>
      <w:r w:rsidRPr="00B35E92">
        <w:rPr>
          <w:rFonts w:cs="Times New Roman"/>
        </w:rPr>
        <w:t>Analysis</w:t>
      </w:r>
    </w:p>
    <w:p w14:paraId="68F94D82" w14:textId="77777777" w:rsidR="00B35E92" w:rsidRPr="00B35E92" w:rsidRDefault="00B35E92" w:rsidP="00B35E92">
      <w:pPr>
        <w:pStyle w:val="ParaNoNdepar-AltN"/>
        <w:rPr>
          <w:rFonts w:cs="Times New Roman"/>
        </w:rPr>
      </w:pPr>
      <w:r w:rsidRPr="00B35E92">
        <w:rPr>
          <w:rFonts w:cs="Times New Roman"/>
        </w:rPr>
        <w:t xml:space="preserve">I agree with my colleague’s interpretation of the scope of Cabinet privilege, which is the correct interpretation, and with her conclusion that the mandate letters are exempt from disclosure under s. 12(1). The “substance of deliberations” encompasses Cabinet’s deliberative process from beginning to end, including directives and policy priorities communicated by the Premier to individual ministers. By concluding otherwise, the Commissioner adopted an incorrect interpretation. However, I am concerned that my colleague, in applying a standard of reasonableness, has not afforded the Commissioner’s reasons the deference which, time and again, our Court has said such reasons deserve (see </w:t>
      </w:r>
      <w:r w:rsidRPr="00B35E92">
        <w:rPr>
          <w:rFonts w:cs="Times New Roman"/>
          <w:i/>
        </w:rPr>
        <w:t>Kanthasamy v. Canada (Citizenship and Immigration)</w:t>
      </w:r>
      <w:r w:rsidRPr="00B35E92">
        <w:rPr>
          <w:rFonts w:cs="Times New Roman"/>
        </w:rPr>
        <w:t>, 2015 SCC 61, [2015] 3 S.C.R. 909, at para. 112, per</w:t>
      </w:r>
      <w:r w:rsidRPr="00B35E92">
        <w:rPr>
          <w:rFonts w:cs="Times New Roman"/>
          <w:i/>
        </w:rPr>
        <w:t xml:space="preserve"> </w:t>
      </w:r>
      <w:r w:rsidRPr="00B35E92">
        <w:rPr>
          <w:rFonts w:cs="Times New Roman"/>
        </w:rPr>
        <w:t xml:space="preserve">Moldaver J., dissenting; </w:t>
      </w:r>
      <w:r w:rsidRPr="00B35E92">
        <w:rPr>
          <w:rFonts w:cs="Times New Roman"/>
          <w:i/>
        </w:rPr>
        <w:t>Vavilov</w:t>
      </w:r>
      <w:r w:rsidRPr="00B35E92">
        <w:rPr>
          <w:rFonts w:cs="Times New Roman"/>
        </w:rPr>
        <w:t xml:space="preserve">, at paras. 13, 15, 83 and 99; </w:t>
      </w:r>
      <w:r w:rsidRPr="00B35E92">
        <w:rPr>
          <w:rFonts w:cs="Times New Roman"/>
          <w:i/>
        </w:rPr>
        <w:t>Mason</w:t>
      </w:r>
      <w:r w:rsidRPr="00B35E92">
        <w:rPr>
          <w:rFonts w:cs="Times New Roman"/>
        </w:rPr>
        <w:t>, at para. 60).</w:t>
      </w:r>
    </w:p>
    <w:p w14:paraId="3F1F65BE" w14:textId="77777777" w:rsidR="00B35E92" w:rsidRPr="00B35E92" w:rsidRDefault="00B35E92" w:rsidP="00B35E92">
      <w:pPr>
        <w:pStyle w:val="ParaNoNdepar-AltN"/>
        <w:rPr>
          <w:rFonts w:cs="Times New Roman"/>
        </w:rPr>
      </w:pPr>
      <w:r w:rsidRPr="00B35E92">
        <w:rPr>
          <w:rFonts w:cs="Times New Roman"/>
        </w:rPr>
        <w:t>My colleague conducts her own interpretation of the scope of Cabinet privilege under s. 12(1) (see paras. 1</w:t>
      </w:r>
      <w:r w:rsidRPr="00B35E92">
        <w:rPr>
          <w:rFonts w:cs="Times New Roman"/>
        </w:rPr>
        <w:noBreakHyphen/>
        <w:t>4, 24</w:t>
      </w:r>
      <w:r w:rsidRPr="00B35E92">
        <w:rPr>
          <w:rFonts w:cs="Times New Roman"/>
        </w:rPr>
        <w:noBreakHyphen/>
        <w:t>33, 36, 46</w:t>
      </w:r>
      <w:r w:rsidRPr="00B35E92">
        <w:rPr>
          <w:rFonts w:cs="Times New Roman"/>
        </w:rPr>
        <w:noBreakHyphen/>
        <w:t>49 and 59</w:t>
      </w:r>
      <w:r w:rsidRPr="00B35E92">
        <w:rPr>
          <w:rFonts w:cs="Times New Roman"/>
        </w:rPr>
        <w:noBreakHyphen/>
        <w:t>62) and uses her conclusions as a yardstick against which to measure the Commissioner’s decision. For example, my colleague refers to three rationales for the convention of Cabinet confidentiality: “. . . candour, solidarity, and efficiency . . .” (para. 30). She finds that the Commissioner considered the first two of these rationales but that he “did not engage with a core purpose of Cabinet secrecy to promote the efficiency</w:t>
      </w:r>
      <w:r w:rsidRPr="00B35E92">
        <w:rPr>
          <w:rFonts w:cs="Times New Roman"/>
          <w:i/>
        </w:rPr>
        <w:t xml:space="preserve"> </w:t>
      </w:r>
      <w:r w:rsidRPr="00B35E92">
        <w:rPr>
          <w:rFonts w:cs="Times New Roman"/>
        </w:rPr>
        <w:t xml:space="preserve">of the collective decision making” or with the ultimate goal of effective government (para. 32). However, this third rationale of “efficiency”, while an important tenet of Cabinet privilege, has not been articulated by our Court as such. As a result, I do not agree that it was unreasonable for the Commissioner to not address a concept that is fully expressed only in scholarly authority (see Karakatsanis J.’s reasons, at paras. 30 and 36, citing Y. Campagnolo, “The Political Legitimacy of Cabinet Secrecy” (2017), 51 </w:t>
      </w:r>
      <w:r w:rsidRPr="00B35E92">
        <w:rPr>
          <w:rFonts w:cs="Times New Roman"/>
          <w:i/>
        </w:rPr>
        <w:t>R.J.T.U.M.</w:t>
      </w:r>
      <w:r w:rsidRPr="00B35E92">
        <w:rPr>
          <w:rFonts w:cs="Times New Roman"/>
        </w:rPr>
        <w:t xml:space="preserve"> 51, at p. 68, and Y. Campagnolo, </w:t>
      </w:r>
      <w:r w:rsidRPr="00B35E92">
        <w:rPr>
          <w:rFonts w:cs="Times New Roman"/>
          <w:i/>
        </w:rPr>
        <w:t>Behind Closed Doors: The Law and Politics of Cabinet Secrecy</w:t>
      </w:r>
      <w:r w:rsidRPr="00B35E92">
        <w:rPr>
          <w:rFonts w:cs="Times New Roman"/>
        </w:rPr>
        <w:t xml:space="preserve"> (2021), at p. 26).</w:t>
      </w:r>
    </w:p>
    <w:p w14:paraId="328F0AFB" w14:textId="77777777" w:rsidR="00B35E92" w:rsidRPr="00B35E92" w:rsidRDefault="00B35E92" w:rsidP="00B35E92">
      <w:pPr>
        <w:pStyle w:val="ParaNoNdepar-AltN"/>
        <w:rPr>
          <w:rFonts w:cs="Times New Roman"/>
        </w:rPr>
      </w:pPr>
      <w:r w:rsidRPr="00B35E92">
        <w:rPr>
          <w:rFonts w:cs="Times New Roman"/>
        </w:rPr>
        <w:t xml:space="preserve">After her comprehensive discussion of the purpose of Cabinet privilege, my colleague finds that it was “critical that the [Commissioner] fully consider the function of Cabinet within our system of government, and the bounds of confidentiality necessary for it to discharge that function effectively” (para. 33). In my view, the Commissioner did exactly that, referring to this Court’s consideration of the issue in </w:t>
      </w:r>
      <w:r w:rsidRPr="00B35E92">
        <w:rPr>
          <w:rFonts w:cs="Times New Roman"/>
          <w:i/>
        </w:rPr>
        <w:t>Babcock v. Canada (Attorney General)</w:t>
      </w:r>
      <w:r w:rsidRPr="00B35E92">
        <w:rPr>
          <w:rFonts w:cs="Times New Roman"/>
        </w:rPr>
        <w:t>, 2002 SCC 57, [2002] 3 S.C.R. 3:</w:t>
      </w:r>
    </w:p>
    <w:p w14:paraId="34A51AAC" w14:textId="77777777" w:rsidR="00B35E92" w:rsidRPr="00B35E92" w:rsidRDefault="00B35E92" w:rsidP="00B35E92">
      <w:pPr>
        <w:pStyle w:val="Citation-AltC"/>
        <w:ind w:firstLine="274"/>
      </w:pPr>
      <w:r w:rsidRPr="00B35E92">
        <w:t xml:space="preserve">Cabinet Office and the appellant each make submissions on the interpretation of the opening words of section 12(1). Both accept that these words should be interpreted in light of their underlying purpose to promote the free and frank discussion among Cabinet members of issues coming before them for decision, without concern for the chilling effect that might result from disclosure of their statements or the material on which they are deliberating. This purpose is reflected in several authorities referred to by the parties, including in the following passage from </w:t>
      </w:r>
      <w:r w:rsidRPr="00B35E92">
        <w:rPr>
          <w:rFonts w:eastAsiaTheme="majorEastAsia"/>
          <w:i/>
        </w:rPr>
        <w:t>Babcock v. Canada (Attorney General)</w:t>
      </w:r>
      <w:r w:rsidRPr="00B35E92">
        <w:t xml:space="preserve"> cited by Cabinet Office:</w:t>
      </w:r>
    </w:p>
    <w:p w14:paraId="3CFD0A02" w14:textId="77777777" w:rsidR="00B35E92" w:rsidRPr="00B35E92" w:rsidRDefault="00B35E92" w:rsidP="00B35E92">
      <w:pPr>
        <w:pStyle w:val="Citation-AltC"/>
      </w:pPr>
    </w:p>
    <w:p w14:paraId="5275BA2E" w14:textId="77777777" w:rsidR="00B35E92" w:rsidRPr="00B35E92" w:rsidRDefault="00B35E92" w:rsidP="00B35E92">
      <w:pPr>
        <w:pStyle w:val="Citation-AltC"/>
        <w:ind w:left="1440" w:firstLine="274"/>
      </w:pPr>
      <w:r w:rsidRPr="00B35E92">
        <w:t>The British democratic tradition which informs the Canadian tradition has long affirmed the confidentiality of what is said in the Cabinet room, and documents and papers prepared for Cabinet discussions. The reasons are obvious. Those charged with the heavy responsibility of making government decisions must be free to discuss all aspects of the problems that come before them and to express all manner of views, without fear that what they read, say or act on will later be subject to public scrutiny . . . . If Cabinet members’ statements were subject to disclosure, Cabinet members might censor their words, consciously or unconsciously. They might shy away from stating unpopular positions, or from making comments that might be considered politically incorrect.</w:t>
      </w:r>
    </w:p>
    <w:p w14:paraId="09744D2F" w14:textId="77777777" w:rsidR="00B35E92" w:rsidRPr="00B35E92" w:rsidRDefault="00B35E92" w:rsidP="00B35E92">
      <w:pPr>
        <w:pStyle w:val="Citation-AltC"/>
      </w:pPr>
    </w:p>
    <w:p w14:paraId="4DC1A8B7" w14:textId="77777777" w:rsidR="00B35E92" w:rsidRPr="00B35E92" w:rsidRDefault="00B35E92" w:rsidP="00B35E92">
      <w:pPr>
        <w:pStyle w:val="Citation-AltC"/>
      </w:pPr>
      <w:r w:rsidRPr="00B35E92">
        <w:t>(Order PO</w:t>
      </w:r>
      <w:r w:rsidRPr="00B35E92">
        <w:noBreakHyphen/>
        <w:t xml:space="preserve">3973, 2019 CanLII 76037, at para. 86, quoting </w:t>
      </w:r>
      <w:r w:rsidRPr="00B35E92">
        <w:rPr>
          <w:i/>
        </w:rPr>
        <w:t>Babcock</w:t>
      </w:r>
      <w:r w:rsidRPr="00B35E92">
        <w:t>, at para. 18)</w:t>
      </w:r>
    </w:p>
    <w:p w14:paraId="19724781" w14:textId="77777777" w:rsidR="00B35E92" w:rsidRPr="00B35E92" w:rsidRDefault="00B35E92" w:rsidP="00B35E92">
      <w:pPr>
        <w:pStyle w:val="ParaNoNdepar-AltN"/>
        <w:rPr>
          <w:rFonts w:cs="Times New Roman"/>
        </w:rPr>
      </w:pPr>
      <w:r w:rsidRPr="00B35E92">
        <w:rPr>
          <w:rFonts w:cs="Times New Roman"/>
        </w:rPr>
        <w:t xml:space="preserve">At para. 87, the Commissioner justified his reading of </w:t>
      </w:r>
      <w:r w:rsidRPr="00B35E92">
        <w:rPr>
          <w:rFonts w:cs="Times New Roman"/>
          <w:i/>
        </w:rPr>
        <w:t>Babcock</w:t>
      </w:r>
      <w:r w:rsidRPr="00B35E92">
        <w:rPr>
          <w:rFonts w:cs="Times New Roman"/>
        </w:rPr>
        <w:t xml:space="preserve"> as follows:</w:t>
      </w:r>
    </w:p>
    <w:p w14:paraId="502DDD3B" w14:textId="77777777" w:rsidR="00B35E92" w:rsidRPr="00B35E92" w:rsidRDefault="00B35E92" w:rsidP="00B35E92">
      <w:pPr>
        <w:pStyle w:val="Citation-AltC"/>
        <w:ind w:firstLine="274"/>
      </w:pPr>
      <w:r w:rsidRPr="00B35E92">
        <w:t xml:space="preserve">I note that </w:t>
      </w:r>
      <w:r w:rsidRPr="00B35E92">
        <w:rPr>
          <w:i/>
        </w:rPr>
        <w:t xml:space="preserve">Babcock </w:t>
      </w:r>
      <w:r w:rsidRPr="00B35E92">
        <w:t xml:space="preserve">involved an appeal from the dismissal of an application brought in the course of a civil law suit to compel the production of records that had been certified by the Clerk of the Privy Council to be Cabinet confidences under s. 39 of the </w:t>
      </w:r>
      <w:r w:rsidRPr="00B35E92">
        <w:rPr>
          <w:i/>
        </w:rPr>
        <w:t>Canada Evidence Act</w:t>
      </w:r>
      <w:r w:rsidRPr="00B35E92">
        <w:t xml:space="preserve">. The purpose underlying s. 39 described by the Court in </w:t>
      </w:r>
      <w:r w:rsidRPr="00B35E92">
        <w:rPr>
          <w:rStyle w:val="Emphasis"/>
        </w:rPr>
        <w:t xml:space="preserve">Babcock </w:t>
      </w:r>
      <w:r w:rsidRPr="00B35E92">
        <w:t xml:space="preserve">is not, as Cabinet Office suggests (see paragraph 47 of this Order), to shield Cabinet ministers from questions or comments from members of the public regarding public policy or other matters that are or may become the subject of Cabinet deliberations. Rather, the concern expressed in </w:t>
      </w:r>
      <w:r w:rsidRPr="00B35E92">
        <w:rPr>
          <w:rStyle w:val="Emphasis"/>
        </w:rPr>
        <w:t xml:space="preserve">Babcock </w:t>
      </w:r>
      <w:r w:rsidRPr="00B35E92">
        <w:t xml:space="preserve">is to protect the substance of the deliberations themselves from being revealed by the disclosure of records and exposing </w:t>
      </w:r>
      <w:r w:rsidRPr="00B35E92">
        <w:rPr>
          <w:rStyle w:val="Emphasis"/>
        </w:rPr>
        <w:t>those deliberations</w:t>
      </w:r>
      <w:r w:rsidRPr="00B35E92">
        <w:t xml:space="preserve"> to public comment and criticism with the potential for adverse effects on Cabinet members’ candour and solidarity. All of the other authorities I have been referred to in this connection support the same view. [Emphasis in original.]</w:t>
      </w:r>
    </w:p>
    <w:p w14:paraId="0A8CF136" w14:textId="77777777" w:rsidR="00B35E92" w:rsidRPr="00B35E92" w:rsidRDefault="00B35E92" w:rsidP="00B35E92">
      <w:pPr>
        <w:pStyle w:val="ParaNoNdepar-AltN"/>
        <w:rPr>
          <w:rFonts w:cs="Times New Roman"/>
        </w:rPr>
      </w:pPr>
      <w:r w:rsidRPr="00B35E92">
        <w:rPr>
          <w:rFonts w:cs="Times New Roman"/>
        </w:rPr>
        <w:t xml:space="preserve">My colleague says that the Commissioner’s “engagement with the convention of Cabinet confidentiality essentially stopped there” (para. 32). Respectfully, I cannot agree. After his consideration of </w:t>
      </w:r>
      <w:r w:rsidRPr="00B35E92">
        <w:rPr>
          <w:rFonts w:cs="Times New Roman"/>
          <w:i/>
        </w:rPr>
        <w:t>Babcock</w:t>
      </w:r>
      <w:r w:rsidRPr="00B35E92">
        <w:rPr>
          <w:rFonts w:cs="Times New Roman"/>
        </w:rPr>
        <w:t>, the Commissioner returned to the underlying purposes of the Act and the Cabinet records exemption — and the function of Cabinet within our system of government — throughout his analysis (see, e.g., paras. 97, 102 and 105</w:t>
      </w:r>
      <w:r w:rsidRPr="00B35E92">
        <w:rPr>
          <w:rFonts w:cs="Times New Roman"/>
        </w:rPr>
        <w:noBreakHyphen/>
        <w:t>8). He did not “neglect” important arguments made by Cabinet Office (Karakatsanis J.’s reasons, at para. 33). He simply rejected them, and I could not agree more with my colleague when she acknowledges that the Commissioner’s reasons were intelligible and transparent (para. 7). The fact that my colleague disagrees with his interpretation, as do I, does not make it unreasonable.</w:t>
      </w:r>
    </w:p>
    <w:p w14:paraId="5C0E50C0" w14:textId="77777777" w:rsidR="00B35E92" w:rsidRPr="00B35E92" w:rsidRDefault="00B35E92" w:rsidP="00B35E92">
      <w:pPr>
        <w:pStyle w:val="ParaNoNdepar-AltN"/>
        <w:rPr>
          <w:rFonts w:cs="Times New Roman"/>
        </w:rPr>
      </w:pPr>
      <w:r w:rsidRPr="00B35E92">
        <w:rPr>
          <w:rFonts w:cs="Times New Roman"/>
        </w:rPr>
        <w:t>In her conclusion, my colleague finds that the interplay of statutory text, context and purpose leads “inexorably” to a single reasonable interpretation of s. 12(1) (para. 63). It may sometimes become clear that relevant factors weigh “so overwhelmingly” in favour of a particular interpretation that it is the only reasonable interpretation of the provision (</w:t>
      </w:r>
      <w:r w:rsidRPr="00B35E92">
        <w:rPr>
          <w:rFonts w:cs="Times New Roman"/>
          <w:i/>
        </w:rPr>
        <w:t>Vavilov</w:t>
      </w:r>
      <w:r w:rsidRPr="00B35E92">
        <w:rPr>
          <w:rFonts w:cs="Times New Roman"/>
        </w:rPr>
        <w:t xml:space="preserve">, at para. 124, citing with approval </w:t>
      </w:r>
      <w:r w:rsidRPr="00B35E92">
        <w:rPr>
          <w:rFonts w:cs="Times New Roman"/>
          <w:i/>
        </w:rPr>
        <w:t>Nova Tube Inc./Nova Steel Inc. v. Conares Metal Supply Ltd.</w:t>
      </w:r>
      <w:r w:rsidRPr="00B35E92">
        <w:rPr>
          <w:rFonts w:cs="Times New Roman"/>
        </w:rPr>
        <w:t>, 2019 FCA 52).</w:t>
      </w:r>
    </w:p>
    <w:p w14:paraId="2C3CAF11" w14:textId="77777777" w:rsidR="00B35E92" w:rsidRPr="00B35E92" w:rsidRDefault="00B35E92" w:rsidP="00B35E92">
      <w:pPr>
        <w:pStyle w:val="ParaNoNdepar-AltN"/>
        <w:rPr>
          <w:rFonts w:cs="Times New Roman"/>
        </w:rPr>
      </w:pPr>
      <w:r w:rsidRPr="00B35E92">
        <w:rPr>
          <w:rFonts w:cs="Times New Roman"/>
        </w:rPr>
        <w:t>However, in this case, there are a number of relevant factors weighing in favour of the Commissioner’s interpretation, many of which my colleague does not consider in her review of his reasoning process. The Commissioner relied on, among other things, the stated purposes of the legislation (see paras. 106</w:t>
      </w:r>
      <w:r w:rsidRPr="00B35E92">
        <w:rPr>
          <w:rFonts w:cs="Times New Roman"/>
        </w:rPr>
        <w:noBreakHyphen/>
        <w:t xml:space="preserve">8); the principle that “exemptions from the right of access should be limited and specific” (s. 1(a)(ii) of the Act); our Court’s decisions in </w:t>
      </w:r>
      <w:r w:rsidRPr="00B35E92">
        <w:rPr>
          <w:rFonts w:cs="Times New Roman"/>
          <w:i/>
        </w:rPr>
        <w:t>Babcock</w:t>
      </w:r>
      <w:r w:rsidRPr="00B35E92">
        <w:rPr>
          <w:rFonts w:cs="Times New Roman"/>
        </w:rPr>
        <w:t xml:space="preserve"> and </w:t>
      </w:r>
      <w:r w:rsidRPr="00B35E92">
        <w:rPr>
          <w:rFonts w:cs="Times New Roman"/>
          <w:i/>
        </w:rPr>
        <w:t>Dagg v. Canada (Minister of Finance)</w:t>
      </w:r>
      <w:r w:rsidRPr="00B35E92">
        <w:rPr>
          <w:rFonts w:cs="Times New Roman"/>
        </w:rPr>
        <w:t xml:space="preserve">, [1997] 2 S.C.R. 403; appellate jurisprudence across the country, notably </w:t>
      </w:r>
      <w:r w:rsidRPr="00B35E92">
        <w:rPr>
          <w:rFonts w:cs="Times New Roman"/>
          <w:i/>
        </w:rPr>
        <w:t>O’Connor</w:t>
      </w:r>
      <w:r w:rsidRPr="00B35E92">
        <w:rPr>
          <w:rFonts w:cs="Times New Roman"/>
        </w:rPr>
        <w:t>; and a significant body of past administrative decisions. All of these factors lend support to his interpretation.</w:t>
      </w:r>
    </w:p>
    <w:p w14:paraId="2F14E66F" w14:textId="77777777" w:rsidR="00B35E92" w:rsidRPr="00B35E92" w:rsidRDefault="00B35E92" w:rsidP="00B35E92">
      <w:pPr>
        <w:pStyle w:val="ParaNoNdepar-AltN"/>
        <w:rPr>
          <w:rFonts w:cs="Times New Roman"/>
        </w:rPr>
      </w:pPr>
      <w:r w:rsidRPr="00B35E92">
        <w:rPr>
          <w:rFonts w:cs="Times New Roman"/>
        </w:rPr>
        <w:t>As Sossin J.A. noted for the majority of the Court of Appeal, the Ontario Information and Privacy Commissioners’ consistency in their long</w:t>
      </w:r>
      <w:r w:rsidRPr="00B35E92">
        <w:rPr>
          <w:rFonts w:cs="Times New Roman"/>
        </w:rPr>
        <w:noBreakHyphen/>
        <w:t>standing approach to their governing statute may be taken as an indicator of the reasonableness of the Commissioner’s decision (paras. 49</w:t>
      </w:r>
      <w:r w:rsidRPr="00B35E92">
        <w:rPr>
          <w:rFonts w:cs="Times New Roman"/>
        </w:rPr>
        <w:noBreakHyphen/>
        <w:t xml:space="preserve">50). I agree. With respect, I have serious concerns with finding a decision that follows decades of administrative jurisprudence — including </w:t>
      </w:r>
      <w:r w:rsidRPr="00B35E92">
        <w:rPr>
          <w:rFonts w:cs="Times New Roman"/>
          <w:i/>
        </w:rPr>
        <w:t>O’Connor</w:t>
      </w:r>
      <w:r w:rsidRPr="00B35E92">
        <w:rPr>
          <w:rFonts w:cs="Times New Roman"/>
        </w:rPr>
        <w:t>, which is arguably the leading appellate decision on balancing access to information with Cabinet privilege — to be unreasonable. Nonetheless, that is the effect of my colleague’s decision in this case.</w:t>
      </w:r>
    </w:p>
    <w:p w14:paraId="4FD90032" w14:textId="77777777" w:rsidR="00B35E92" w:rsidRPr="00B35E92" w:rsidRDefault="00B35E92" w:rsidP="00B35E92">
      <w:pPr>
        <w:pStyle w:val="Title1LevelTitre1Niveau-AltL"/>
        <w:rPr>
          <w:rFonts w:cs="Times New Roman"/>
        </w:rPr>
      </w:pPr>
      <w:r w:rsidRPr="00B35E92">
        <w:rPr>
          <w:rFonts w:cs="Times New Roman"/>
        </w:rPr>
        <w:t>Summary and Disposition</w:t>
      </w:r>
    </w:p>
    <w:p w14:paraId="52E97021" w14:textId="77777777" w:rsidR="00B35E92" w:rsidRPr="00B35E92" w:rsidRDefault="00B35E92" w:rsidP="00B35E92">
      <w:pPr>
        <w:pStyle w:val="ParaNoNdepar-AltN"/>
        <w:rPr>
          <w:rFonts w:cs="Times New Roman"/>
        </w:rPr>
      </w:pPr>
      <w:r w:rsidRPr="00B35E92">
        <w:rPr>
          <w:rFonts w:cs="Times New Roman"/>
        </w:rPr>
        <w:t xml:space="preserve">While I agree with my colleague’s interpretation of s. 12(1), it is exactly that — her interpretation. Correctness review, in addition to being required by </w:t>
      </w:r>
      <w:r w:rsidRPr="00B35E92">
        <w:rPr>
          <w:rFonts w:cs="Times New Roman"/>
          <w:i/>
        </w:rPr>
        <w:t>Vavilov</w:t>
      </w:r>
      <w:r w:rsidRPr="00B35E92">
        <w:rPr>
          <w:rFonts w:cs="Times New Roman"/>
        </w:rPr>
        <w:t>, serves to eliminate my concerns about the lack of deference accorded to the Commissioner. My colleague’s interpretation of s. 12(1) of the Act is correct; the requested letters are exempt from disclosure under that provision. I would therefore allow the appeal and set aside the Commissioner’s decision.</w:t>
      </w:r>
    </w:p>
    <w:p w14:paraId="1C45B256" w14:textId="77777777" w:rsidR="00B35E92" w:rsidRPr="00B35E92" w:rsidRDefault="00B35E92" w:rsidP="00B35E92">
      <w:pPr>
        <w:rPr>
          <w:rFonts w:eastAsiaTheme="minorEastAsia"/>
          <w:b/>
          <w:szCs w:val="22"/>
          <w:u w:val="single"/>
          <w:lang w:eastAsia="en-US"/>
        </w:rPr>
      </w:pPr>
      <w:r w:rsidRPr="00B35E92">
        <w:rPr>
          <w:rFonts w:eastAsiaTheme="minorEastAsia"/>
          <w:b/>
          <w:szCs w:val="22"/>
          <w:u w:val="single"/>
          <w:lang w:eastAsia="en-US"/>
        </w:rPr>
        <w:br w:type="page"/>
      </w:r>
    </w:p>
    <w:p w14:paraId="38D75DCA" w14:textId="77777777" w:rsidR="00B35E92" w:rsidRPr="00B35E92" w:rsidRDefault="00B35E92" w:rsidP="00B35E92">
      <w:pPr>
        <w:pStyle w:val="ParaNoNdepar-AltN"/>
        <w:numPr>
          <w:ilvl w:val="0"/>
          <w:numId w:val="0"/>
        </w:numPr>
        <w:spacing w:after="240"/>
        <w:jc w:val="center"/>
        <w:rPr>
          <w:rFonts w:cs="Times New Roman"/>
          <w:b/>
          <w:u w:val="single"/>
        </w:rPr>
      </w:pPr>
      <w:r w:rsidRPr="00B35E92">
        <w:rPr>
          <w:rFonts w:cs="Times New Roman"/>
          <w:b/>
          <w:u w:val="single"/>
        </w:rPr>
        <w:t>APPENDIX</w:t>
      </w:r>
    </w:p>
    <w:p w14:paraId="3935F257" w14:textId="77777777" w:rsidR="00B35E92" w:rsidRPr="00B35E92" w:rsidRDefault="00B35E92" w:rsidP="00B35E92">
      <w:pPr>
        <w:shd w:val="clear" w:color="auto" w:fill="FFFFFF"/>
        <w:spacing w:line="312" w:lineRule="atLeast"/>
        <w:outlineLvl w:val="3"/>
      </w:pPr>
      <w:r w:rsidRPr="00B35E92">
        <w:rPr>
          <w:i/>
          <w:lang w:val="en-US"/>
        </w:rPr>
        <w:t>Freedom of Information and Protection of Privacy Act</w:t>
      </w:r>
      <w:r w:rsidRPr="00B35E92">
        <w:rPr>
          <w:lang w:val="en-US"/>
        </w:rPr>
        <w:t xml:space="preserve">, </w:t>
      </w:r>
      <w:r w:rsidRPr="00B35E92">
        <w:t>R.S.O. 1990, c. F.31</w:t>
      </w:r>
    </w:p>
    <w:p w14:paraId="659EB2EB" w14:textId="77777777" w:rsidR="00B35E92" w:rsidRPr="00B35E92" w:rsidRDefault="00B35E92" w:rsidP="00B35E92">
      <w:pPr>
        <w:shd w:val="clear" w:color="auto" w:fill="FFFFFF"/>
        <w:spacing w:line="312" w:lineRule="atLeast"/>
        <w:outlineLvl w:val="3"/>
        <w:rPr>
          <w:bCs/>
          <w:lang w:val="en-US" w:eastAsia="en-US"/>
        </w:rPr>
      </w:pPr>
    </w:p>
    <w:p w14:paraId="1442CDDF" w14:textId="77777777" w:rsidR="00B35E92" w:rsidRPr="00B35E92" w:rsidRDefault="00B35E92" w:rsidP="00B35E92">
      <w:pPr>
        <w:shd w:val="clear" w:color="auto" w:fill="FFFFFF"/>
        <w:spacing w:line="312" w:lineRule="atLeast"/>
        <w:outlineLvl w:val="3"/>
        <w:rPr>
          <w:b/>
          <w:bCs/>
          <w:lang w:val="en-US" w:eastAsia="en-US"/>
        </w:rPr>
      </w:pPr>
      <w:r w:rsidRPr="00B35E92">
        <w:rPr>
          <w:b/>
          <w:bCs/>
          <w:lang w:val="en-US" w:eastAsia="en-US"/>
        </w:rPr>
        <w:t>Cabinet records</w:t>
      </w:r>
    </w:p>
    <w:p w14:paraId="61E09816" w14:textId="77777777" w:rsidR="00B35E92" w:rsidRPr="00B35E92" w:rsidRDefault="00B35E92" w:rsidP="00B35E92">
      <w:pPr>
        <w:shd w:val="clear" w:color="auto" w:fill="FFFFFF"/>
        <w:spacing w:before="100" w:beforeAutospacing="1" w:after="100" w:afterAutospacing="1"/>
        <w:jc w:val="both"/>
        <w:rPr>
          <w:lang w:val="en-US" w:eastAsia="en-US"/>
        </w:rPr>
      </w:pPr>
      <w:r w:rsidRPr="00B35E92">
        <w:rPr>
          <w:b/>
          <w:bCs/>
          <w:lang w:val="en-US" w:eastAsia="en-US"/>
        </w:rPr>
        <w:t>12 </w:t>
      </w:r>
      <w:r w:rsidRPr="00B35E92">
        <w:rPr>
          <w:lang w:val="en-US" w:eastAsia="en-US"/>
        </w:rPr>
        <w:t>(1) A head shall refuse to disclose a record where the disclosure would reveal the substance of deliberations of the Executive Council or its committees, including,</w:t>
      </w:r>
    </w:p>
    <w:p w14:paraId="0037670D" w14:textId="77777777" w:rsidR="00B35E92" w:rsidRPr="00B35E92" w:rsidRDefault="00B35E92" w:rsidP="00B35E92">
      <w:pPr>
        <w:shd w:val="clear" w:color="auto" w:fill="FFFFFF"/>
        <w:spacing w:after="120"/>
        <w:ind w:left="720" w:hanging="360"/>
        <w:jc w:val="both"/>
        <w:rPr>
          <w:lang w:val="en-US" w:eastAsia="en-US"/>
        </w:rPr>
      </w:pPr>
      <w:r w:rsidRPr="00B35E92">
        <w:rPr>
          <w:lang w:val="en-US" w:eastAsia="en-US"/>
        </w:rPr>
        <w:t>(a) an agenda, minute or other record of the deliberations or decisions of the Executive Council or its committees;</w:t>
      </w:r>
    </w:p>
    <w:p w14:paraId="68791624" w14:textId="77777777" w:rsidR="00B35E92" w:rsidRPr="00B35E92" w:rsidRDefault="00B35E92" w:rsidP="00B35E92">
      <w:pPr>
        <w:shd w:val="clear" w:color="auto" w:fill="FFFFFF"/>
        <w:spacing w:after="120"/>
        <w:ind w:left="720" w:hanging="360"/>
        <w:jc w:val="both"/>
        <w:rPr>
          <w:lang w:val="en-US" w:eastAsia="en-US"/>
        </w:rPr>
      </w:pPr>
      <w:r w:rsidRPr="00B35E92">
        <w:rPr>
          <w:lang w:val="en-US" w:eastAsia="en-US"/>
        </w:rPr>
        <w:t>(b) a record containing policy options or recommendations submitted, or prepared for submission, to the Executive Council or its committees;</w:t>
      </w:r>
    </w:p>
    <w:p w14:paraId="08535AAB" w14:textId="77777777" w:rsidR="00B35E92" w:rsidRPr="00B35E92" w:rsidRDefault="00B35E92" w:rsidP="00B35E92">
      <w:pPr>
        <w:shd w:val="clear" w:color="auto" w:fill="FFFFFF"/>
        <w:spacing w:after="120"/>
        <w:ind w:left="720" w:hanging="360"/>
        <w:jc w:val="both"/>
        <w:rPr>
          <w:lang w:val="en-US" w:eastAsia="en-US"/>
        </w:rPr>
      </w:pPr>
      <w:r w:rsidRPr="00B35E92">
        <w:rPr>
          <w:lang w:val="en-US" w:eastAsia="en-US"/>
        </w:rPr>
        <w:t>(c) a record that does not contain policy options or recommendations referred to in clause (b) and that does contain background explanations or analyses of problems submitted, or prepared for submission, to the Executive Council or its committees for their consideration in making decisions, before those decisions are made and implemented;</w:t>
      </w:r>
    </w:p>
    <w:p w14:paraId="00CA1017" w14:textId="77777777" w:rsidR="00B35E92" w:rsidRPr="00B35E92" w:rsidRDefault="00B35E92" w:rsidP="00B35E92">
      <w:pPr>
        <w:shd w:val="clear" w:color="auto" w:fill="FFFFFF"/>
        <w:spacing w:after="120"/>
        <w:ind w:left="720" w:hanging="360"/>
        <w:jc w:val="both"/>
        <w:rPr>
          <w:lang w:val="en-US" w:eastAsia="en-US"/>
        </w:rPr>
      </w:pPr>
      <w:r w:rsidRPr="00B35E92">
        <w:rPr>
          <w:lang w:val="en-US" w:eastAsia="en-US"/>
        </w:rPr>
        <w:t>(d) a record used for or reflecting consultation among ministers of the Crown on matters relating to the making of government decisions or the formulation of government policy;</w:t>
      </w:r>
    </w:p>
    <w:p w14:paraId="62D7FE25" w14:textId="77777777" w:rsidR="00B35E92" w:rsidRPr="00B35E92" w:rsidRDefault="00B35E92" w:rsidP="00B35E92">
      <w:pPr>
        <w:shd w:val="clear" w:color="auto" w:fill="FFFFFF"/>
        <w:spacing w:after="120"/>
        <w:ind w:left="720" w:hanging="360"/>
        <w:jc w:val="both"/>
        <w:rPr>
          <w:lang w:val="en-US" w:eastAsia="en-US"/>
        </w:rPr>
      </w:pPr>
      <w:r w:rsidRPr="00B35E92">
        <w:rPr>
          <w:lang w:val="en-US" w:eastAsia="en-US"/>
        </w:rPr>
        <w:t>(e) a record prepared to brief a minister of the Crown in relation to matters that are before or are proposed to be brought before the Executive Council or its committees, or are the subject of consultations among ministers relating to government decisions or the formulation of government policy; and</w:t>
      </w:r>
    </w:p>
    <w:p w14:paraId="133DCFB3" w14:textId="77777777" w:rsidR="00B35E92" w:rsidRPr="00B35E92" w:rsidRDefault="00B35E92" w:rsidP="00B35E92">
      <w:pPr>
        <w:shd w:val="clear" w:color="auto" w:fill="FFFFFF"/>
        <w:spacing w:after="480" w:line="480" w:lineRule="auto"/>
        <w:ind w:left="714" w:hanging="357"/>
        <w:jc w:val="both"/>
        <w:rPr>
          <w:lang w:val="en-US" w:eastAsia="en-US"/>
        </w:rPr>
      </w:pPr>
      <w:r w:rsidRPr="00B35E92">
        <w:rPr>
          <w:lang w:val="en-US" w:eastAsia="en-US"/>
        </w:rPr>
        <w:t>(f) draft legislation or regulations.</w:t>
      </w:r>
    </w:p>
    <w:p w14:paraId="2D4D4901" w14:textId="74EFB53C" w:rsidR="009B57B3" w:rsidRPr="00B35E92" w:rsidRDefault="009B57B3" w:rsidP="005449E2">
      <w:pPr>
        <w:pStyle w:val="SCCNormalDoubleSpacing"/>
        <w:spacing w:after="480"/>
      </w:pPr>
      <w:r w:rsidRPr="00B35E92">
        <w:tab/>
      </w:r>
      <w:r w:rsidR="00656313" w:rsidRPr="00B35E92">
        <w:rPr>
          <w:i/>
        </w:rPr>
        <w:t>Appeal</w:t>
      </w:r>
      <w:r w:rsidR="007F3436" w:rsidRPr="00B35E92">
        <w:rPr>
          <w:i/>
        </w:rPr>
        <w:t xml:space="preserve"> allowed.</w:t>
      </w:r>
    </w:p>
    <w:p w14:paraId="70E5D5A7" w14:textId="2B607B1A" w:rsidR="000C3C1A" w:rsidRPr="00B35E92" w:rsidRDefault="00FF5C69" w:rsidP="005449E2">
      <w:pPr>
        <w:pStyle w:val="SCCLawFirm"/>
        <w:spacing w:after="480"/>
      </w:pPr>
      <w:r w:rsidRPr="00B35E92">
        <w:tab/>
        <w:t>Solicitor</w:t>
      </w:r>
      <w:r w:rsidR="008B260B" w:rsidRPr="00B35E92">
        <w:t xml:space="preserve"> for the appellant: </w:t>
      </w:r>
      <w:r w:rsidRPr="00B35E92">
        <w:t>Ministry of the Attorney General, Crown Law Office — Civil</w:t>
      </w:r>
      <w:r w:rsidR="00592410" w:rsidRPr="00B35E92">
        <w:t>, Toronto.</w:t>
      </w:r>
    </w:p>
    <w:p w14:paraId="568156D5" w14:textId="7B89B304" w:rsidR="00D33CA3" w:rsidRPr="00B35E92" w:rsidRDefault="00FF5C69" w:rsidP="005449E2">
      <w:pPr>
        <w:pStyle w:val="SCCLawFirm"/>
        <w:spacing w:after="480"/>
      </w:pPr>
      <w:r w:rsidRPr="00B35E92">
        <w:tab/>
        <w:t>Solicitor</w:t>
      </w:r>
      <w:r w:rsidR="00D33CA3" w:rsidRPr="00B35E92">
        <w:t xml:space="preserve"> for the respondent</w:t>
      </w:r>
      <w:r w:rsidRPr="00B35E92">
        <w:t xml:space="preserve"> the Information and Privacy Commissioner of Ontario</w:t>
      </w:r>
      <w:r w:rsidR="008B260B" w:rsidRPr="00B35E92">
        <w:t>: </w:t>
      </w:r>
      <w:r w:rsidRPr="00B35E92">
        <w:t>Information and Privacy Commissioner of Ontario</w:t>
      </w:r>
      <w:r w:rsidR="00D33CA3" w:rsidRPr="00B35E92">
        <w:t>, Toronto.</w:t>
      </w:r>
    </w:p>
    <w:p w14:paraId="3330DB0A" w14:textId="274AF337" w:rsidR="000C3C1A" w:rsidRPr="00B35E92" w:rsidRDefault="00E82A49" w:rsidP="005449E2">
      <w:pPr>
        <w:pStyle w:val="SCCLawFirm"/>
        <w:spacing w:after="480"/>
      </w:pPr>
      <w:r w:rsidRPr="00B35E92">
        <w:tab/>
        <w:t>Solicitor</w:t>
      </w:r>
      <w:r w:rsidR="00592410" w:rsidRPr="00B35E92">
        <w:t>s for the respondent</w:t>
      </w:r>
      <w:r w:rsidR="00B22F55" w:rsidRPr="00B35E92">
        <w:t xml:space="preserve"> the Canadian Broadcasting Corporation</w:t>
      </w:r>
      <w:r w:rsidR="008B260B" w:rsidRPr="00B35E92">
        <w:t>: </w:t>
      </w:r>
      <w:r w:rsidR="00592410" w:rsidRPr="00B35E92">
        <w:t>Stockwoods, Toronto</w:t>
      </w:r>
      <w:r w:rsidR="00D33CA3" w:rsidRPr="00B35E92">
        <w:rPr>
          <w:lang w:val="en-US"/>
        </w:rPr>
        <w:t xml:space="preserve">; </w:t>
      </w:r>
      <w:r w:rsidR="006E0BFB" w:rsidRPr="00B35E92">
        <w:t>Canadian Broadcasting Corporation</w:t>
      </w:r>
      <w:r w:rsidR="00D33CA3" w:rsidRPr="00B35E92">
        <w:rPr>
          <w:lang w:val="en-US"/>
        </w:rPr>
        <w:t>, Toronto</w:t>
      </w:r>
      <w:r w:rsidR="00592410" w:rsidRPr="00B35E92">
        <w:t>.</w:t>
      </w:r>
    </w:p>
    <w:p w14:paraId="38E997E1" w14:textId="2B226A8D" w:rsidR="00D33CA3" w:rsidRPr="00B35E92" w:rsidRDefault="00B22F55" w:rsidP="005449E2">
      <w:pPr>
        <w:pStyle w:val="SCCLawFirm"/>
        <w:spacing w:after="480"/>
        <w:rPr>
          <w:lang w:val="en-US"/>
        </w:rPr>
      </w:pPr>
      <w:r w:rsidRPr="00B35E92">
        <w:tab/>
        <w:t>Solicitor</w:t>
      </w:r>
      <w:r w:rsidR="00D33CA3" w:rsidRPr="00B35E92">
        <w:t xml:space="preserve"> for the intervener</w:t>
      </w:r>
      <w:r w:rsidRPr="00B35E92">
        <w:t xml:space="preserve"> the</w:t>
      </w:r>
      <w:r w:rsidR="00D33CA3" w:rsidRPr="00B35E92">
        <w:t xml:space="preserve"> Attorney General of British Columbia:</w:t>
      </w:r>
      <w:r w:rsidR="008B260B" w:rsidRPr="00B35E92">
        <w:t> </w:t>
      </w:r>
      <w:r w:rsidR="00D33CA3" w:rsidRPr="00B35E92">
        <w:t>Attorney General of British Columbia, Vancouver.</w:t>
      </w:r>
      <w:r w:rsidR="00D33CA3" w:rsidRPr="00B35E92">
        <w:rPr>
          <w:lang w:val="en-US"/>
        </w:rPr>
        <w:t xml:space="preserve"> </w:t>
      </w:r>
    </w:p>
    <w:p w14:paraId="30BE43B7" w14:textId="77777777" w:rsidR="00D33CA3" w:rsidRPr="00B35E92" w:rsidRDefault="00B22F55" w:rsidP="005449E2">
      <w:pPr>
        <w:pStyle w:val="SCCLawFirm"/>
        <w:spacing w:after="480"/>
      </w:pPr>
      <w:r w:rsidRPr="00B35E92">
        <w:tab/>
        <w:t>Solicitor</w:t>
      </w:r>
      <w:r w:rsidR="00D33CA3" w:rsidRPr="00B35E92">
        <w:t xml:space="preserve"> for the intervener </w:t>
      </w:r>
      <w:r w:rsidRPr="00B35E92">
        <w:t xml:space="preserve">the </w:t>
      </w:r>
      <w:r w:rsidR="00D33CA3" w:rsidRPr="00B35E92">
        <w:t xml:space="preserve">Attorney General of Alberta: </w:t>
      </w:r>
      <w:r w:rsidRPr="00B35E92">
        <w:rPr>
          <w:spacing w:val="-3"/>
          <w:lang w:val="en-US"/>
        </w:rPr>
        <w:t>Alberta J</w:t>
      </w:r>
      <w:r w:rsidRPr="00B35E92">
        <w:rPr>
          <w:spacing w:val="-2"/>
          <w:lang w:val="en-US"/>
        </w:rPr>
        <w:t>ustice, Justice and Solicitor General, Legal Services — Civil Litigation Team</w:t>
      </w:r>
      <w:r w:rsidR="00D33CA3" w:rsidRPr="00B35E92">
        <w:t>, Edmonton.</w:t>
      </w:r>
    </w:p>
    <w:p w14:paraId="2C34AD42" w14:textId="5C75318E" w:rsidR="00D33CA3" w:rsidRPr="00B35E92" w:rsidRDefault="00B22F55" w:rsidP="005449E2">
      <w:pPr>
        <w:pStyle w:val="SCCLawFirm"/>
        <w:spacing w:after="480"/>
      </w:pPr>
      <w:r w:rsidRPr="00B35E92">
        <w:tab/>
        <w:t>Solicitor</w:t>
      </w:r>
      <w:r w:rsidR="00D33CA3" w:rsidRPr="00B35E92">
        <w:t xml:space="preserve">s for the intervener </w:t>
      </w:r>
      <w:r w:rsidRPr="00B35E92">
        <w:t xml:space="preserve">the </w:t>
      </w:r>
      <w:r w:rsidR="00D33CA3" w:rsidRPr="00B35E92">
        <w:t>Canadi</w:t>
      </w:r>
      <w:r w:rsidR="008B260B" w:rsidRPr="00B35E92">
        <w:t>an Civil Liberties Association: </w:t>
      </w:r>
      <w:r w:rsidR="00D33CA3" w:rsidRPr="00B35E92">
        <w:t>Blake, Cassels &amp; Graydon, Toronto.</w:t>
      </w:r>
    </w:p>
    <w:p w14:paraId="7A811069" w14:textId="3490D226" w:rsidR="00D33CA3" w:rsidRPr="00B35E92" w:rsidRDefault="00B22F55" w:rsidP="005449E2">
      <w:pPr>
        <w:pStyle w:val="SCCLawFirm"/>
        <w:spacing w:after="480"/>
      </w:pPr>
      <w:r w:rsidRPr="00B35E92">
        <w:tab/>
        <w:t>Solicitor</w:t>
      </w:r>
      <w:r w:rsidR="00D33CA3" w:rsidRPr="00B35E92">
        <w:t xml:space="preserve">s for the intervener </w:t>
      </w:r>
      <w:r w:rsidRPr="00B35E92">
        <w:t xml:space="preserve">the </w:t>
      </w:r>
      <w:r w:rsidR="00D33CA3" w:rsidRPr="00B35E92">
        <w:t>BC Freedom of Infor</w:t>
      </w:r>
      <w:r w:rsidR="008B260B" w:rsidRPr="00B35E92">
        <w:t>mation and Privacy Association: </w:t>
      </w:r>
      <w:r w:rsidR="00D33CA3" w:rsidRPr="00B35E92">
        <w:t xml:space="preserve">Sean Hern, K.C., Victoria; </w:t>
      </w:r>
      <w:r w:rsidR="00D33CA3" w:rsidRPr="00B35E92">
        <w:rPr>
          <w:szCs w:val="28"/>
        </w:rPr>
        <w:t>Benjamin Isitt, Victoria</w:t>
      </w:r>
      <w:r w:rsidR="00D33CA3" w:rsidRPr="00B35E92">
        <w:t>.</w:t>
      </w:r>
    </w:p>
    <w:p w14:paraId="1FE00C5C" w14:textId="4A79D27A" w:rsidR="00D33CA3" w:rsidRPr="00300046" w:rsidRDefault="00D33CA3">
      <w:pPr>
        <w:pStyle w:val="SCCLawFirm"/>
      </w:pPr>
      <w:r w:rsidRPr="00B35E92">
        <w:tab/>
        <w:t>Solicitor</w:t>
      </w:r>
      <w:r w:rsidR="00592410" w:rsidRPr="00B35E92">
        <w:t>s for the intervener</w:t>
      </w:r>
      <w:r w:rsidRPr="00B35E92">
        <w:t>s</w:t>
      </w:r>
      <w:r w:rsidR="00592410" w:rsidRPr="00B35E92">
        <w:t xml:space="preserve"> </w:t>
      </w:r>
      <w:r w:rsidRPr="00B35E92">
        <w:t xml:space="preserve">the </w:t>
      </w:r>
      <w:r w:rsidR="00592410" w:rsidRPr="00B35E92">
        <w:t xml:space="preserve">Centre for Free Expression, </w:t>
      </w:r>
      <w:r w:rsidRPr="00B35E92">
        <w:t xml:space="preserve">the </w:t>
      </w:r>
      <w:r w:rsidR="00592410" w:rsidRPr="00B35E92">
        <w:t>Canadian Journalists for Free Expression</w:t>
      </w:r>
      <w:r w:rsidRPr="00B35E92">
        <w:t>, the</w:t>
      </w:r>
      <w:r w:rsidR="00592410" w:rsidRPr="00B35E92">
        <w:t xml:space="preserve"> Canadian Association of Journalists</w:t>
      </w:r>
      <w:r w:rsidRPr="00B35E92">
        <w:t xml:space="preserve"> and the Aboriginal Peoples Television Network</w:t>
      </w:r>
      <w:r w:rsidR="008B260B" w:rsidRPr="00B35E92">
        <w:t>: </w:t>
      </w:r>
      <w:r w:rsidR="00592410" w:rsidRPr="00B35E92">
        <w:t>Goldblatt Partners, Toronto.</w:t>
      </w:r>
    </w:p>
    <w:sectPr w:rsidR="00D33CA3" w:rsidRPr="00300046"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C57A3" w14:textId="77777777" w:rsidR="005E519B" w:rsidRDefault="005E519B">
      <w:r>
        <w:separator/>
      </w:r>
    </w:p>
  </w:endnote>
  <w:endnote w:type="continuationSeparator" w:id="0">
    <w:p w14:paraId="0F240C0F" w14:textId="77777777" w:rsidR="005E519B" w:rsidRDefault="005E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5BB1A" w14:textId="77777777" w:rsidR="00154C2A" w:rsidRDefault="00154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BC43D" w14:textId="77777777" w:rsidR="00154C2A" w:rsidRDefault="00154C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3D99" w14:textId="77777777" w:rsidR="00154C2A" w:rsidRDefault="00154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DF4AD" w14:textId="77777777" w:rsidR="005E519B" w:rsidRDefault="005E519B">
      <w:r>
        <w:separator/>
      </w:r>
    </w:p>
  </w:footnote>
  <w:footnote w:type="continuationSeparator" w:id="0">
    <w:p w14:paraId="6E6BDB09" w14:textId="77777777" w:rsidR="005E519B" w:rsidRDefault="005E519B">
      <w:r>
        <w:continuationSeparator/>
      </w:r>
    </w:p>
  </w:footnote>
  <w:footnote w:id="1">
    <w:p w14:paraId="06D1037C" w14:textId="77777777" w:rsidR="00B35E92" w:rsidRPr="002F5F68" w:rsidRDefault="00B35E92" w:rsidP="00B35E92">
      <w:pPr>
        <w:pStyle w:val="FootnoteText"/>
      </w:pPr>
      <w:r>
        <w:rPr>
          <w:rStyle w:val="FootnoteReference"/>
        </w:rPr>
        <w:footnoteRef/>
      </w:r>
      <w:r>
        <w:t xml:space="preserve"> </w:t>
      </w:r>
      <w:r>
        <w:tab/>
      </w:r>
      <w:r>
        <w:rPr>
          <w:lang w:val="en-US"/>
        </w:rPr>
        <w:t>S</w:t>
      </w:r>
      <w:r w:rsidRPr="00CE3772">
        <w:rPr>
          <w:lang w:val="en-US"/>
        </w:rPr>
        <w:t xml:space="preserve">ee </w:t>
      </w:r>
      <w:r w:rsidRPr="00EC12AB">
        <w:rPr>
          <w:i/>
          <w:lang w:val="en-US"/>
        </w:rPr>
        <w:t>Access to Information Act</w:t>
      </w:r>
      <w:r w:rsidRPr="00EC12AB">
        <w:rPr>
          <w:lang w:val="en-US"/>
        </w:rPr>
        <w:t>, R</w:t>
      </w:r>
      <w:r>
        <w:rPr>
          <w:lang w:val="en-US"/>
        </w:rPr>
        <w:t>.</w:t>
      </w:r>
      <w:r w:rsidRPr="00EC12AB">
        <w:rPr>
          <w:lang w:val="en-US"/>
        </w:rPr>
        <w:t>S</w:t>
      </w:r>
      <w:r>
        <w:rPr>
          <w:lang w:val="en-US"/>
        </w:rPr>
        <w:t>.</w:t>
      </w:r>
      <w:r w:rsidRPr="00EC12AB">
        <w:rPr>
          <w:lang w:val="en-US"/>
        </w:rPr>
        <w:t>C</w:t>
      </w:r>
      <w:r>
        <w:rPr>
          <w:lang w:val="en-US"/>
        </w:rPr>
        <w:t>.</w:t>
      </w:r>
      <w:r w:rsidRPr="00EC12AB">
        <w:rPr>
          <w:lang w:val="en-US"/>
        </w:rPr>
        <w:t xml:space="preserve"> 1985, c</w:t>
      </w:r>
      <w:r>
        <w:rPr>
          <w:lang w:val="en-US"/>
        </w:rPr>
        <w:t>.</w:t>
      </w:r>
      <w:r w:rsidRPr="00EC12AB">
        <w:rPr>
          <w:lang w:val="en-US"/>
        </w:rPr>
        <w:t xml:space="preserve"> A-1, s. 69; </w:t>
      </w:r>
      <w:r w:rsidRPr="00EC12AB">
        <w:rPr>
          <w:i/>
        </w:rPr>
        <w:t>Freedom of Information and Protection of Privacy Act</w:t>
      </w:r>
      <w:r>
        <w:t xml:space="preserve">, R.S.A. 2000, c. F-25, s. 22; </w:t>
      </w:r>
      <w:r w:rsidRPr="00CE3772">
        <w:rPr>
          <w:i/>
          <w:lang w:val="en-US"/>
        </w:rPr>
        <w:t>Freedom of Information and Protection of Privacy Act</w:t>
      </w:r>
      <w:r w:rsidRPr="00CE3772">
        <w:rPr>
          <w:lang w:val="en-US"/>
        </w:rPr>
        <w:t>, R</w:t>
      </w:r>
      <w:r>
        <w:rPr>
          <w:lang w:val="en-US"/>
        </w:rPr>
        <w:t>.</w:t>
      </w:r>
      <w:r w:rsidRPr="00CE3772">
        <w:rPr>
          <w:lang w:val="en-US"/>
        </w:rPr>
        <w:t>S</w:t>
      </w:r>
      <w:r>
        <w:rPr>
          <w:lang w:val="en-US"/>
        </w:rPr>
        <w:t>.</w:t>
      </w:r>
      <w:r w:rsidRPr="00CE3772">
        <w:rPr>
          <w:lang w:val="en-US"/>
        </w:rPr>
        <w:t>B</w:t>
      </w:r>
      <w:r>
        <w:rPr>
          <w:lang w:val="en-US"/>
        </w:rPr>
        <w:t>.</w:t>
      </w:r>
      <w:r w:rsidRPr="00CE3772">
        <w:rPr>
          <w:lang w:val="en-US"/>
        </w:rPr>
        <w:t>C</w:t>
      </w:r>
      <w:r>
        <w:rPr>
          <w:lang w:val="en-US"/>
        </w:rPr>
        <w:t>.</w:t>
      </w:r>
      <w:r w:rsidRPr="00CE3772">
        <w:rPr>
          <w:lang w:val="en-US"/>
        </w:rPr>
        <w:t xml:space="preserve"> 1996, c</w:t>
      </w:r>
      <w:r>
        <w:rPr>
          <w:lang w:val="en-US"/>
        </w:rPr>
        <w:t>.</w:t>
      </w:r>
      <w:r w:rsidRPr="00CE3772">
        <w:rPr>
          <w:lang w:val="en-US"/>
        </w:rPr>
        <w:t xml:space="preserve"> 165, s. 12; </w:t>
      </w:r>
      <w:r>
        <w:rPr>
          <w:i/>
          <w:lang w:val="en-US"/>
        </w:rPr>
        <w:t xml:space="preserve">The </w:t>
      </w:r>
      <w:r w:rsidRPr="00CE3772">
        <w:rPr>
          <w:i/>
          <w:lang w:val="en-US"/>
        </w:rPr>
        <w:t>Freedom of Information and Protection of Privacy Act</w:t>
      </w:r>
      <w:r w:rsidRPr="00EC12AB">
        <w:rPr>
          <w:lang w:val="en-US"/>
        </w:rPr>
        <w:t>, C</w:t>
      </w:r>
      <w:r>
        <w:rPr>
          <w:lang w:val="en-US"/>
        </w:rPr>
        <w:t>.</w:t>
      </w:r>
      <w:r w:rsidRPr="00EC12AB">
        <w:rPr>
          <w:lang w:val="en-US"/>
        </w:rPr>
        <w:t>C</w:t>
      </w:r>
      <w:r>
        <w:rPr>
          <w:lang w:val="en-US"/>
        </w:rPr>
        <w:t>.</w:t>
      </w:r>
      <w:r w:rsidRPr="00EC12AB">
        <w:rPr>
          <w:lang w:val="en-US"/>
        </w:rPr>
        <w:t>S</w:t>
      </w:r>
      <w:r>
        <w:rPr>
          <w:lang w:val="en-US"/>
        </w:rPr>
        <w:t>.</w:t>
      </w:r>
      <w:r w:rsidRPr="00EC12AB">
        <w:rPr>
          <w:lang w:val="en-US"/>
        </w:rPr>
        <w:t>M</w:t>
      </w:r>
      <w:r>
        <w:rPr>
          <w:lang w:val="en-US"/>
        </w:rPr>
        <w:t>.,</w:t>
      </w:r>
      <w:r w:rsidRPr="00EC12AB">
        <w:rPr>
          <w:lang w:val="en-US"/>
        </w:rPr>
        <w:t xml:space="preserve"> c</w:t>
      </w:r>
      <w:r>
        <w:rPr>
          <w:lang w:val="en-US"/>
        </w:rPr>
        <w:t>. F</w:t>
      </w:r>
      <w:r w:rsidRPr="00EC12AB">
        <w:rPr>
          <w:lang w:val="en-US"/>
        </w:rPr>
        <w:t xml:space="preserve">175, s. 19; </w:t>
      </w:r>
      <w:r w:rsidRPr="00EC12AB">
        <w:rPr>
          <w:i/>
          <w:lang w:val="en-US"/>
        </w:rPr>
        <w:t>Access to Information and Protection of Privacy Act</w:t>
      </w:r>
      <w:r w:rsidRPr="00053A28">
        <w:rPr>
          <w:i/>
          <w:lang w:val="en-US"/>
        </w:rPr>
        <w:t xml:space="preserve">, </w:t>
      </w:r>
      <w:r w:rsidRPr="00744E21">
        <w:rPr>
          <w:i/>
          <w:lang w:val="en-US"/>
        </w:rPr>
        <w:t>2015</w:t>
      </w:r>
      <w:r w:rsidRPr="00744E21">
        <w:rPr>
          <w:lang w:val="en-US"/>
        </w:rPr>
        <w:t>, S</w:t>
      </w:r>
      <w:r>
        <w:rPr>
          <w:lang w:val="en-US"/>
        </w:rPr>
        <w:t>.</w:t>
      </w:r>
      <w:r w:rsidRPr="00744E21">
        <w:rPr>
          <w:lang w:val="en-US"/>
        </w:rPr>
        <w:t>N</w:t>
      </w:r>
      <w:r>
        <w:rPr>
          <w:lang w:val="en-US"/>
        </w:rPr>
        <w:t>.</w:t>
      </w:r>
      <w:r w:rsidRPr="00744E21">
        <w:rPr>
          <w:lang w:val="en-US"/>
        </w:rPr>
        <w:t>L</w:t>
      </w:r>
      <w:r>
        <w:rPr>
          <w:lang w:val="en-US"/>
        </w:rPr>
        <w:t>.</w:t>
      </w:r>
      <w:r w:rsidRPr="00744E21">
        <w:rPr>
          <w:lang w:val="en-US"/>
        </w:rPr>
        <w:t xml:space="preserve"> 2015, c</w:t>
      </w:r>
      <w:r>
        <w:rPr>
          <w:lang w:val="en-US"/>
        </w:rPr>
        <w:t>.</w:t>
      </w:r>
      <w:r w:rsidRPr="00744E21">
        <w:rPr>
          <w:lang w:val="en-US"/>
        </w:rPr>
        <w:t xml:space="preserve"> A-1.2, s. 27; </w:t>
      </w:r>
      <w:r w:rsidRPr="00744E21">
        <w:rPr>
          <w:i/>
          <w:lang w:val="en-US"/>
        </w:rPr>
        <w:t>Access to Information and Protection of Privacy Act</w:t>
      </w:r>
      <w:r w:rsidRPr="002E6F54">
        <w:rPr>
          <w:lang w:val="en-US"/>
        </w:rPr>
        <w:t>, S</w:t>
      </w:r>
      <w:r>
        <w:rPr>
          <w:lang w:val="en-US"/>
        </w:rPr>
        <w:t>.</w:t>
      </w:r>
      <w:r w:rsidRPr="002E6F54">
        <w:rPr>
          <w:lang w:val="en-US"/>
        </w:rPr>
        <w:t>N</w:t>
      </w:r>
      <w:r>
        <w:rPr>
          <w:lang w:val="en-US"/>
        </w:rPr>
        <w:t>.</w:t>
      </w:r>
      <w:r w:rsidRPr="002E6F54">
        <w:rPr>
          <w:lang w:val="en-US"/>
        </w:rPr>
        <w:t>W</w:t>
      </w:r>
      <w:r>
        <w:rPr>
          <w:lang w:val="en-US"/>
        </w:rPr>
        <w:t>.</w:t>
      </w:r>
      <w:r w:rsidRPr="002E6F54">
        <w:rPr>
          <w:lang w:val="en-US"/>
        </w:rPr>
        <w:t>T</w:t>
      </w:r>
      <w:r>
        <w:rPr>
          <w:lang w:val="en-US"/>
        </w:rPr>
        <w:t>.</w:t>
      </w:r>
      <w:r w:rsidRPr="002E6F54">
        <w:rPr>
          <w:lang w:val="en-US"/>
        </w:rPr>
        <w:t xml:space="preserve"> 1994, c</w:t>
      </w:r>
      <w:r>
        <w:rPr>
          <w:lang w:val="en-US"/>
        </w:rPr>
        <w:t>.</w:t>
      </w:r>
      <w:r w:rsidRPr="002E6F54">
        <w:rPr>
          <w:lang w:val="en-US"/>
        </w:rPr>
        <w:t xml:space="preserve"> 20, ss. 13</w:t>
      </w:r>
      <w:r>
        <w:rPr>
          <w:lang w:val="en-US"/>
        </w:rPr>
        <w:t xml:space="preserve"> to </w:t>
      </w:r>
      <w:r w:rsidRPr="002E6F54">
        <w:rPr>
          <w:lang w:val="en-US"/>
        </w:rPr>
        <w:t xml:space="preserve">14; </w:t>
      </w:r>
      <w:r w:rsidRPr="002E6F54">
        <w:rPr>
          <w:i/>
          <w:lang w:val="en-US"/>
        </w:rPr>
        <w:t>Freedom of Information and Protection of Privacy Act</w:t>
      </w:r>
      <w:r w:rsidRPr="00793C7C">
        <w:rPr>
          <w:lang w:val="en-US"/>
        </w:rPr>
        <w:t>, S</w:t>
      </w:r>
      <w:r>
        <w:rPr>
          <w:lang w:val="en-US"/>
        </w:rPr>
        <w:t>.</w:t>
      </w:r>
      <w:r w:rsidRPr="00793C7C">
        <w:rPr>
          <w:lang w:val="en-US"/>
        </w:rPr>
        <w:t>N</w:t>
      </w:r>
      <w:r>
        <w:rPr>
          <w:lang w:val="en-US"/>
        </w:rPr>
        <w:t>.</w:t>
      </w:r>
      <w:r w:rsidRPr="00793C7C">
        <w:rPr>
          <w:lang w:val="en-US"/>
        </w:rPr>
        <w:t>S</w:t>
      </w:r>
      <w:r>
        <w:rPr>
          <w:lang w:val="en-US"/>
        </w:rPr>
        <w:t>.</w:t>
      </w:r>
      <w:r w:rsidRPr="00793C7C">
        <w:rPr>
          <w:lang w:val="en-US"/>
        </w:rPr>
        <w:t xml:space="preserve"> 1993, c</w:t>
      </w:r>
      <w:r>
        <w:rPr>
          <w:lang w:val="en-US"/>
        </w:rPr>
        <w:t>.</w:t>
      </w:r>
      <w:r w:rsidRPr="00793C7C">
        <w:rPr>
          <w:lang w:val="en-US"/>
        </w:rPr>
        <w:t xml:space="preserve"> 5, s. 13;</w:t>
      </w:r>
      <w:r w:rsidRPr="000F31C0">
        <w:t xml:space="preserve"> </w:t>
      </w:r>
      <w:r w:rsidRPr="00CE3772">
        <w:rPr>
          <w:i/>
          <w:lang w:val="en-US"/>
        </w:rPr>
        <w:t>Access to Information and Protection of Privacy Act</w:t>
      </w:r>
      <w:r w:rsidRPr="00CE3772">
        <w:rPr>
          <w:lang w:val="en-US"/>
        </w:rPr>
        <w:t>,</w:t>
      </w:r>
      <w:r>
        <w:rPr>
          <w:lang w:val="en-US"/>
        </w:rPr>
        <w:t xml:space="preserve"> C.S.Nu.</w:t>
      </w:r>
      <w:r w:rsidRPr="00CE3772">
        <w:rPr>
          <w:lang w:val="en-US"/>
        </w:rPr>
        <w:t>, c</w:t>
      </w:r>
      <w:r>
        <w:rPr>
          <w:lang w:val="en-US"/>
        </w:rPr>
        <w:t>.</w:t>
      </w:r>
      <w:r w:rsidRPr="00CE3772">
        <w:rPr>
          <w:lang w:val="en-US"/>
        </w:rPr>
        <w:t xml:space="preserve"> A-20, s. 13; </w:t>
      </w:r>
      <w:r w:rsidRPr="00CE3772">
        <w:rPr>
          <w:i/>
          <w:lang w:val="en-US"/>
        </w:rPr>
        <w:t>Freedom of Information and Protection of Privacy Act</w:t>
      </w:r>
      <w:r w:rsidRPr="00B52CEC">
        <w:rPr>
          <w:lang w:val="en-US"/>
        </w:rPr>
        <w:t>, S</w:t>
      </w:r>
      <w:r>
        <w:rPr>
          <w:lang w:val="en-US"/>
        </w:rPr>
        <w:t>.</w:t>
      </w:r>
      <w:r w:rsidRPr="00B52CEC">
        <w:rPr>
          <w:lang w:val="en-US"/>
        </w:rPr>
        <w:t>P</w:t>
      </w:r>
      <w:r>
        <w:rPr>
          <w:lang w:val="en-US"/>
        </w:rPr>
        <w:t>.</w:t>
      </w:r>
      <w:r w:rsidRPr="00B52CEC">
        <w:rPr>
          <w:lang w:val="en-US"/>
        </w:rPr>
        <w:t>E</w:t>
      </w:r>
      <w:r>
        <w:rPr>
          <w:lang w:val="en-US"/>
        </w:rPr>
        <w:t>.</w:t>
      </w:r>
      <w:r w:rsidRPr="00B52CEC">
        <w:rPr>
          <w:lang w:val="en-US"/>
        </w:rPr>
        <w:t>I</w:t>
      </w:r>
      <w:r>
        <w:rPr>
          <w:lang w:val="en-US"/>
        </w:rPr>
        <w:t>.</w:t>
      </w:r>
      <w:r w:rsidRPr="00B52CEC">
        <w:rPr>
          <w:lang w:val="en-US"/>
        </w:rPr>
        <w:t xml:space="preserve"> </w:t>
      </w:r>
      <w:r>
        <w:rPr>
          <w:lang w:val="en-US"/>
        </w:rPr>
        <w:t>2001</w:t>
      </w:r>
      <w:r w:rsidRPr="00B52CEC">
        <w:rPr>
          <w:lang w:val="en-US"/>
        </w:rPr>
        <w:t>, c</w:t>
      </w:r>
      <w:r>
        <w:rPr>
          <w:lang w:val="en-US"/>
        </w:rPr>
        <w:t>.</w:t>
      </w:r>
      <w:r w:rsidRPr="00B52CEC">
        <w:rPr>
          <w:lang w:val="en-US"/>
        </w:rPr>
        <w:t xml:space="preserve"> </w:t>
      </w:r>
      <w:r>
        <w:rPr>
          <w:lang w:val="en-US"/>
        </w:rPr>
        <w:t>37</w:t>
      </w:r>
      <w:r w:rsidRPr="00EC12AB">
        <w:rPr>
          <w:lang w:val="en-US"/>
        </w:rPr>
        <w:t xml:space="preserve">, s. 20; </w:t>
      </w:r>
      <w:r w:rsidRPr="00EC12AB">
        <w:rPr>
          <w:i/>
          <w:lang w:val="en-US"/>
        </w:rPr>
        <w:t xml:space="preserve">Act </w:t>
      </w:r>
      <w:r>
        <w:rPr>
          <w:i/>
          <w:lang w:val="en-US"/>
        </w:rPr>
        <w:t>r</w:t>
      </w:r>
      <w:r w:rsidRPr="00EC12AB">
        <w:rPr>
          <w:i/>
          <w:lang w:val="en-US"/>
        </w:rPr>
        <w:t xml:space="preserve">especting Access to </w:t>
      </w:r>
      <w:r>
        <w:rPr>
          <w:i/>
          <w:lang w:val="en-US"/>
        </w:rPr>
        <w:t>d</w:t>
      </w:r>
      <w:r w:rsidRPr="00EC12AB">
        <w:rPr>
          <w:i/>
          <w:lang w:val="en-US"/>
        </w:rPr>
        <w:t xml:space="preserve">ocuments </w:t>
      </w:r>
      <w:r>
        <w:rPr>
          <w:i/>
          <w:lang w:val="en-US"/>
        </w:rPr>
        <w:t>h</w:t>
      </w:r>
      <w:r w:rsidRPr="00EC12AB">
        <w:rPr>
          <w:i/>
          <w:lang w:val="en-US"/>
        </w:rPr>
        <w:t xml:space="preserve">eld by </w:t>
      </w:r>
      <w:r>
        <w:rPr>
          <w:i/>
          <w:lang w:val="en-US"/>
        </w:rPr>
        <w:t>p</w:t>
      </w:r>
      <w:r w:rsidRPr="00EC12AB">
        <w:rPr>
          <w:i/>
          <w:lang w:val="en-US"/>
        </w:rPr>
        <w:t xml:space="preserve">ublic </w:t>
      </w:r>
      <w:r>
        <w:rPr>
          <w:i/>
          <w:lang w:val="en-US"/>
        </w:rPr>
        <w:t>b</w:t>
      </w:r>
      <w:r w:rsidRPr="00EC12AB">
        <w:rPr>
          <w:i/>
          <w:lang w:val="en-US"/>
        </w:rPr>
        <w:t xml:space="preserve">odies and the Protection of </w:t>
      </w:r>
      <w:r>
        <w:rPr>
          <w:i/>
          <w:lang w:val="en-US"/>
        </w:rPr>
        <w:t>p</w:t>
      </w:r>
      <w:r w:rsidRPr="00EC12AB">
        <w:rPr>
          <w:i/>
          <w:lang w:val="en-US"/>
        </w:rPr>
        <w:t xml:space="preserve">ersonal </w:t>
      </w:r>
      <w:r>
        <w:rPr>
          <w:i/>
          <w:lang w:val="en-US"/>
        </w:rPr>
        <w:t>i</w:t>
      </w:r>
      <w:r w:rsidRPr="00EC12AB">
        <w:rPr>
          <w:i/>
          <w:lang w:val="en-US"/>
        </w:rPr>
        <w:t>nformation</w:t>
      </w:r>
      <w:r w:rsidRPr="00E45FC7">
        <w:rPr>
          <w:lang w:val="en-US"/>
        </w:rPr>
        <w:t>, CQLR</w:t>
      </w:r>
      <w:r>
        <w:rPr>
          <w:lang w:val="en-US"/>
        </w:rPr>
        <w:t>,</w:t>
      </w:r>
      <w:r w:rsidRPr="00E45FC7">
        <w:rPr>
          <w:lang w:val="en-US"/>
        </w:rPr>
        <w:t xml:space="preserve"> c</w:t>
      </w:r>
      <w:r>
        <w:rPr>
          <w:lang w:val="en-US"/>
        </w:rPr>
        <w:t>.</w:t>
      </w:r>
      <w:r w:rsidRPr="00E45FC7">
        <w:rPr>
          <w:lang w:val="en-US"/>
        </w:rPr>
        <w:t xml:space="preserve"> A-2.1, ss. 30</w:t>
      </w:r>
      <w:r>
        <w:rPr>
          <w:lang w:val="en-US"/>
        </w:rPr>
        <w:t xml:space="preserve"> to </w:t>
      </w:r>
      <w:r w:rsidRPr="00E45FC7">
        <w:rPr>
          <w:lang w:val="en-US"/>
        </w:rPr>
        <w:t xml:space="preserve">38; </w:t>
      </w:r>
      <w:r w:rsidRPr="00442191">
        <w:rPr>
          <w:i/>
          <w:lang w:val="en-US"/>
        </w:rPr>
        <w:t>The</w:t>
      </w:r>
      <w:r>
        <w:rPr>
          <w:i/>
          <w:lang w:val="en-US"/>
        </w:rPr>
        <w:t xml:space="preserve"> </w:t>
      </w:r>
      <w:r w:rsidRPr="00744E21">
        <w:rPr>
          <w:i/>
          <w:lang w:val="en-US"/>
        </w:rPr>
        <w:t>Freedom of Information and Protection of Privacy Act</w:t>
      </w:r>
      <w:r w:rsidRPr="00744E21">
        <w:rPr>
          <w:lang w:val="en-US"/>
        </w:rPr>
        <w:t>, S</w:t>
      </w:r>
      <w:r>
        <w:rPr>
          <w:lang w:val="en-US"/>
        </w:rPr>
        <w:t>.</w:t>
      </w:r>
      <w:r w:rsidRPr="00744E21">
        <w:rPr>
          <w:lang w:val="en-US"/>
        </w:rPr>
        <w:t>S</w:t>
      </w:r>
      <w:r>
        <w:rPr>
          <w:lang w:val="en-US"/>
        </w:rPr>
        <w:t>.</w:t>
      </w:r>
      <w:r w:rsidRPr="00744E21">
        <w:rPr>
          <w:lang w:val="en-US"/>
        </w:rPr>
        <w:t xml:space="preserve"> 1990-91, c</w:t>
      </w:r>
      <w:r>
        <w:rPr>
          <w:lang w:val="en-US"/>
        </w:rPr>
        <w:t>.</w:t>
      </w:r>
      <w:r w:rsidRPr="00744E21">
        <w:rPr>
          <w:lang w:val="en-US"/>
        </w:rPr>
        <w:t xml:space="preserve"> F-22.0</w:t>
      </w:r>
      <w:r>
        <w:rPr>
          <w:lang w:val="en-US"/>
        </w:rPr>
        <w:t>1</w:t>
      </w:r>
      <w:r w:rsidRPr="00744E21">
        <w:rPr>
          <w:lang w:val="en-US"/>
        </w:rPr>
        <w:t xml:space="preserve">, s. 16; </w:t>
      </w:r>
      <w:r w:rsidRPr="00744E21">
        <w:rPr>
          <w:i/>
          <w:lang w:val="en-US"/>
        </w:rPr>
        <w:t>Access to Information and Protection of Privacy Act</w:t>
      </w:r>
      <w:r>
        <w:rPr>
          <w:lang w:val="en-US"/>
        </w:rPr>
        <w:t xml:space="preserve">, </w:t>
      </w:r>
      <w:r w:rsidRPr="002E6F54">
        <w:rPr>
          <w:lang w:val="en-US"/>
        </w:rPr>
        <w:t>S</w:t>
      </w:r>
      <w:r>
        <w:rPr>
          <w:lang w:val="en-US"/>
        </w:rPr>
        <w:t>.</w:t>
      </w:r>
      <w:r w:rsidRPr="002E6F54">
        <w:rPr>
          <w:lang w:val="en-US"/>
        </w:rPr>
        <w:t>Y</w:t>
      </w:r>
      <w:r>
        <w:rPr>
          <w:lang w:val="en-US"/>
        </w:rPr>
        <w:t>. 2018</w:t>
      </w:r>
      <w:r w:rsidRPr="002E6F54">
        <w:rPr>
          <w:lang w:val="en-US"/>
        </w:rPr>
        <w:t>, c</w:t>
      </w:r>
      <w:r>
        <w:rPr>
          <w:lang w:val="en-US"/>
        </w:rPr>
        <w:t>.</w:t>
      </w:r>
      <w:r w:rsidRPr="002E6F54">
        <w:rPr>
          <w:lang w:val="en-US"/>
        </w:rPr>
        <w:t xml:space="preserve"> </w:t>
      </w:r>
      <w:r>
        <w:rPr>
          <w:lang w:val="en-US"/>
        </w:rPr>
        <w:t>9, s.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E0C6E" w14:textId="77777777" w:rsidR="00154C2A" w:rsidRDefault="00154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2C12C"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F73CC" w14:textId="77777777" w:rsidR="00154C2A" w:rsidRDefault="00154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DC2D7E8"/>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1863B5C"/>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3D2AF63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E52825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400290"/>
    <w:multiLevelType w:val="hybridMultilevel"/>
    <w:tmpl w:val="6C36E0D0"/>
    <w:lvl w:ilvl="0" w:tplc="1DACA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D070DF"/>
    <w:multiLevelType w:val="hybridMultilevel"/>
    <w:tmpl w:val="ED7A1404"/>
    <w:lvl w:ilvl="0" w:tplc="CF8604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813298"/>
    <w:multiLevelType w:val="hybridMultilevel"/>
    <w:tmpl w:val="07780834"/>
    <w:lvl w:ilvl="0" w:tplc="5DD2A7E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10F5A"/>
    <w:multiLevelType w:val="hybridMultilevel"/>
    <w:tmpl w:val="E6E8F0E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971B8"/>
    <w:multiLevelType w:val="hybridMultilevel"/>
    <w:tmpl w:val="A28C72A4"/>
    <w:lvl w:ilvl="0" w:tplc="0E74FC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E5257"/>
    <w:multiLevelType w:val="hybridMultilevel"/>
    <w:tmpl w:val="CBAADF48"/>
    <w:lvl w:ilvl="0" w:tplc="04090001">
      <w:start w:val="3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97C76"/>
    <w:multiLevelType w:val="hybridMultilevel"/>
    <w:tmpl w:val="465A7B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3130A"/>
    <w:multiLevelType w:val="multilevel"/>
    <w:tmpl w:val="1FD44AF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2" w15:restartNumberingAfterBreak="0">
    <w:nsid w:val="4FDD0606"/>
    <w:multiLevelType w:val="hybridMultilevel"/>
    <w:tmpl w:val="E0942FF2"/>
    <w:lvl w:ilvl="0" w:tplc="9E22E8E2">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D5EE3"/>
    <w:multiLevelType w:val="hybridMultilevel"/>
    <w:tmpl w:val="549075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83EE8"/>
    <w:multiLevelType w:val="multilevel"/>
    <w:tmpl w:val="91CA84A2"/>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Times New Roman" w:eastAsiaTheme="minorHAnsi" w:hAnsi="Times New Roman" w:cstheme="minorBid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C6F56B5"/>
    <w:multiLevelType w:val="hybridMultilevel"/>
    <w:tmpl w:val="DD020F6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77625"/>
    <w:multiLevelType w:val="hybridMultilevel"/>
    <w:tmpl w:val="34E25342"/>
    <w:lvl w:ilvl="0" w:tplc="CB5ACE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D6AA1"/>
    <w:multiLevelType w:val="hybridMultilevel"/>
    <w:tmpl w:val="66B83BA4"/>
    <w:lvl w:ilvl="0" w:tplc="6FDA83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916D80"/>
    <w:multiLevelType w:val="hybridMultilevel"/>
    <w:tmpl w:val="0AB893C4"/>
    <w:lvl w:ilvl="0" w:tplc="BF768F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03264"/>
    <w:multiLevelType w:val="hybridMultilevel"/>
    <w:tmpl w:val="92E01168"/>
    <w:lvl w:ilvl="0" w:tplc="99F824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86A66"/>
    <w:multiLevelType w:val="hybridMultilevel"/>
    <w:tmpl w:val="968A99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243BF"/>
    <w:multiLevelType w:val="hybridMultilevel"/>
    <w:tmpl w:val="027A5240"/>
    <w:lvl w:ilvl="0" w:tplc="3EAA6A8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2"/>
  </w:num>
  <w:num w:numId="5">
    <w:abstractNumId w:val="3"/>
  </w:num>
  <w:num w:numId="6">
    <w:abstractNumId w:val="2"/>
  </w:num>
  <w:num w:numId="7">
    <w:abstractNumId w:val="1"/>
  </w:num>
  <w:num w:numId="8">
    <w:abstractNumId w:val="0"/>
  </w:num>
  <w:num w:numId="9">
    <w:abstractNumId w:val="4"/>
  </w:num>
  <w:num w:numId="10">
    <w:abstractNumId w:val="6"/>
  </w:num>
  <w:num w:numId="11">
    <w:abstractNumId w:val="8"/>
  </w:num>
  <w:num w:numId="12">
    <w:abstractNumId w:val="18"/>
  </w:num>
  <w:num w:numId="13">
    <w:abstractNumId w:val="16"/>
  </w:num>
  <w:num w:numId="14">
    <w:abstractNumId w:val="9"/>
  </w:num>
  <w:num w:numId="15">
    <w:abstractNumId w:val="1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10"/>
  </w:num>
  <w:num w:numId="20">
    <w:abstractNumId w:val="21"/>
  </w:num>
  <w:num w:numId="21">
    <w:abstractNumId w:val="17"/>
  </w:num>
  <w:num w:numId="22">
    <w:abstractNumId w:val="20"/>
  </w:num>
  <w:num w:numId="23">
    <w:abstractNumId w:val="7"/>
  </w:num>
  <w:num w:numId="24">
    <w:abstractNumId w:val="1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14C3"/>
    <w:rsid w:val="00035625"/>
    <w:rsid w:val="00047676"/>
    <w:rsid w:val="00047CF1"/>
    <w:rsid w:val="000578A3"/>
    <w:rsid w:val="000648CC"/>
    <w:rsid w:val="00075A7D"/>
    <w:rsid w:val="00081654"/>
    <w:rsid w:val="0009213A"/>
    <w:rsid w:val="000B1054"/>
    <w:rsid w:val="000B1695"/>
    <w:rsid w:val="000B1CC0"/>
    <w:rsid w:val="000B60A6"/>
    <w:rsid w:val="000C2D6C"/>
    <w:rsid w:val="000C3C1A"/>
    <w:rsid w:val="000C45C2"/>
    <w:rsid w:val="000C59B8"/>
    <w:rsid w:val="000C6AF0"/>
    <w:rsid w:val="000C7853"/>
    <w:rsid w:val="000E4917"/>
    <w:rsid w:val="00101989"/>
    <w:rsid w:val="00104DD1"/>
    <w:rsid w:val="00104F33"/>
    <w:rsid w:val="0010612D"/>
    <w:rsid w:val="00111DE2"/>
    <w:rsid w:val="001140CB"/>
    <w:rsid w:val="00115AEA"/>
    <w:rsid w:val="00116B38"/>
    <w:rsid w:val="00122D9B"/>
    <w:rsid w:val="00133F8D"/>
    <w:rsid w:val="00135406"/>
    <w:rsid w:val="00135972"/>
    <w:rsid w:val="001426A9"/>
    <w:rsid w:val="00143960"/>
    <w:rsid w:val="00154C2A"/>
    <w:rsid w:val="00154D7C"/>
    <w:rsid w:val="001570B0"/>
    <w:rsid w:val="0015752C"/>
    <w:rsid w:val="00157737"/>
    <w:rsid w:val="00160CC7"/>
    <w:rsid w:val="00165277"/>
    <w:rsid w:val="00170592"/>
    <w:rsid w:val="00174B88"/>
    <w:rsid w:val="00183EB2"/>
    <w:rsid w:val="00186351"/>
    <w:rsid w:val="00195D83"/>
    <w:rsid w:val="0019644E"/>
    <w:rsid w:val="001A00C1"/>
    <w:rsid w:val="001A236D"/>
    <w:rsid w:val="001B33E0"/>
    <w:rsid w:val="001B3993"/>
    <w:rsid w:val="001B4573"/>
    <w:rsid w:val="001C02AC"/>
    <w:rsid w:val="001C393C"/>
    <w:rsid w:val="001C6441"/>
    <w:rsid w:val="001C779F"/>
    <w:rsid w:val="001D1A06"/>
    <w:rsid w:val="001D2AC1"/>
    <w:rsid w:val="001D4E88"/>
    <w:rsid w:val="001E3E9B"/>
    <w:rsid w:val="001F5361"/>
    <w:rsid w:val="001F6270"/>
    <w:rsid w:val="0020115E"/>
    <w:rsid w:val="00205AE4"/>
    <w:rsid w:val="00220FC2"/>
    <w:rsid w:val="002222F4"/>
    <w:rsid w:val="002238DC"/>
    <w:rsid w:val="00224FC0"/>
    <w:rsid w:val="00225EA4"/>
    <w:rsid w:val="00226EAF"/>
    <w:rsid w:val="00231F3A"/>
    <w:rsid w:val="00234199"/>
    <w:rsid w:val="002406EE"/>
    <w:rsid w:val="00242177"/>
    <w:rsid w:val="00243EC8"/>
    <w:rsid w:val="002474D3"/>
    <w:rsid w:val="002532CA"/>
    <w:rsid w:val="00270D93"/>
    <w:rsid w:val="002745CC"/>
    <w:rsid w:val="002B7924"/>
    <w:rsid w:val="002D28C3"/>
    <w:rsid w:val="002D2D29"/>
    <w:rsid w:val="002D39A4"/>
    <w:rsid w:val="002E3CB1"/>
    <w:rsid w:val="002E6705"/>
    <w:rsid w:val="00300046"/>
    <w:rsid w:val="00301D08"/>
    <w:rsid w:val="0030329A"/>
    <w:rsid w:val="0031086F"/>
    <w:rsid w:val="00310E20"/>
    <w:rsid w:val="0031414C"/>
    <w:rsid w:val="00314E01"/>
    <w:rsid w:val="0032089D"/>
    <w:rsid w:val="003310DE"/>
    <w:rsid w:val="003323B0"/>
    <w:rsid w:val="00336340"/>
    <w:rsid w:val="003502D3"/>
    <w:rsid w:val="0035169A"/>
    <w:rsid w:val="0035259D"/>
    <w:rsid w:val="003602D6"/>
    <w:rsid w:val="00362407"/>
    <w:rsid w:val="00364B18"/>
    <w:rsid w:val="003A125D"/>
    <w:rsid w:val="003A1D70"/>
    <w:rsid w:val="003A4C70"/>
    <w:rsid w:val="003B148D"/>
    <w:rsid w:val="003B215F"/>
    <w:rsid w:val="003B7D00"/>
    <w:rsid w:val="003C799C"/>
    <w:rsid w:val="003D0399"/>
    <w:rsid w:val="003E1C71"/>
    <w:rsid w:val="003F327B"/>
    <w:rsid w:val="00406166"/>
    <w:rsid w:val="0040704B"/>
    <w:rsid w:val="00407F45"/>
    <w:rsid w:val="00410A55"/>
    <w:rsid w:val="00411300"/>
    <w:rsid w:val="004131AA"/>
    <w:rsid w:val="00415417"/>
    <w:rsid w:val="004207FB"/>
    <w:rsid w:val="00426331"/>
    <w:rsid w:val="00426659"/>
    <w:rsid w:val="004333F4"/>
    <w:rsid w:val="00450352"/>
    <w:rsid w:val="00454BDB"/>
    <w:rsid w:val="00464800"/>
    <w:rsid w:val="00465132"/>
    <w:rsid w:val="00480C90"/>
    <w:rsid w:val="00483347"/>
    <w:rsid w:val="0048396F"/>
    <w:rsid w:val="00493C18"/>
    <w:rsid w:val="004A3ECB"/>
    <w:rsid w:val="004A600C"/>
    <w:rsid w:val="004A6118"/>
    <w:rsid w:val="004B76EB"/>
    <w:rsid w:val="004C478D"/>
    <w:rsid w:val="004D4B52"/>
    <w:rsid w:val="004E2C26"/>
    <w:rsid w:val="004F36FF"/>
    <w:rsid w:val="005125A8"/>
    <w:rsid w:val="0051648E"/>
    <w:rsid w:val="00521AE8"/>
    <w:rsid w:val="00527180"/>
    <w:rsid w:val="005413B1"/>
    <w:rsid w:val="0054201E"/>
    <w:rsid w:val="005426EA"/>
    <w:rsid w:val="005449E2"/>
    <w:rsid w:val="005463E3"/>
    <w:rsid w:val="0055278E"/>
    <w:rsid w:val="00555291"/>
    <w:rsid w:val="00566AD1"/>
    <w:rsid w:val="00583387"/>
    <w:rsid w:val="00583EDE"/>
    <w:rsid w:val="00592410"/>
    <w:rsid w:val="00595426"/>
    <w:rsid w:val="005A1572"/>
    <w:rsid w:val="005A6079"/>
    <w:rsid w:val="005B5E15"/>
    <w:rsid w:val="005B7957"/>
    <w:rsid w:val="005D6037"/>
    <w:rsid w:val="005E4698"/>
    <w:rsid w:val="005E4D30"/>
    <w:rsid w:val="005E519B"/>
    <w:rsid w:val="005F5E94"/>
    <w:rsid w:val="00610539"/>
    <w:rsid w:val="00613969"/>
    <w:rsid w:val="00625C35"/>
    <w:rsid w:val="00640360"/>
    <w:rsid w:val="0064501A"/>
    <w:rsid w:val="00650A1D"/>
    <w:rsid w:val="00656313"/>
    <w:rsid w:val="006565F4"/>
    <w:rsid w:val="00667553"/>
    <w:rsid w:val="00684232"/>
    <w:rsid w:val="00684EEA"/>
    <w:rsid w:val="0069689B"/>
    <w:rsid w:val="006A0D69"/>
    <w:rsid w:val="006A1551"/>
    <w:rsid w:val="006A391A"/>
    <w:rsid w:val="006B5FF5"/>
    <w:rsid w:val="006B62BC"/>
    <w:rsid w:val="006C6D0C"/>
    <w:rsid w:val="006E0BFB"/>
    <w:rsid w:val="006F2839"/>
    <w:rsid w:val="006F30AF"/>
    <w:rsid w:val="006F4FE7"/>
    <w:rsid w:val="00701759"/>
    <w:rsid w:val="00705C15"/>
    <w:rsid w:val="0071600E"/>
    <w:rsid w:val="007208D1"/>
    <w:rsid w:val="00747288"/>
    <w:rsid w:val="00747DD3"/>
    <w:rsid w:val="0075069A"/>
    <w:rsid w:val="007549C8"/>
    <w:rsid w:val="00754A0B"/>
    <w:rsid w:val="00766D14"/>
    <w:rsid w:val="00767A0F"/>
    <w:rsid w:val="0078093E"/>
    <w:rsid w:val="007A05F6"/>
    <w:rsid w:val="007A18FA"/>
    <w:rsid w:val="007B0CB7"/>
    <w:rsid w:val="007B6F4A"/>
    <w:rsid w:val="007E1C47"/>
    <w:rsid w:val="007E2EAB"/>
    <w:rsid w:val="007E337A"/>
    <w:rsid w:val="007E5885"/>
    <w:rsid w:val="007E5C70"/>
    <w:rsid w:val="007E6AD8"/>
    <w:rsid w:val="007F2FF5"/>
    <w:rsid w:val="007F3436"/>
    <w:rsid w:val="007F3F08"/>
    <w:rsid w:val="007F62B0"/>
    <w:rsid w:val="007F6762"/>
    <w:rsid w:val="008003CC"/>
    <w:rsid w:val="00804CC6"/>
    <w:rsid w:val="008069D0"/>
    <w:rsid w:val="00817190"/>
    <w:rsid w:val="00820EE5"/>
    <w:rsid w:val="008260E2"/>
    <w:rsid w:val="00830A6F"/>
    <w:rsid w:val="00830D11"/>
    <w:rsid w:val="008322BD"/>
    <w:rsid w:val="00833E0A"/>
    <w:rsid w:val="00834F73"/>
    <w:rsid w:val="0083688B"/>
    <w:rsid w:val="00840C68"/>
    <w:rsid w:val="00851216"/>
    <w:rsid w:val="00855CA1"/>
    <w:rsid w:val="00856F22"/>
    <w:rsid w:val="00864CF8"/>
    <w:rsid w:val="00872819"/>
    <w:rsid w:val="00874914"/>
    <w:rsid w:val="00874AB8"/>
    <w:rsid w:val="008755EE"/>
    <w:rsid w:val="00881D51"/>
    <w:rsid w:val="00891422"/>
    <w:rsid w:val="00892E1A"/>
    <w:rsid w:val="008A15E4"/>
    <w:rsid w:val="008A3F29"/>
    <w:rsid w:val="008B260B"/>
    <w:rsid w:val="008B660A"/>
    <w:rsid w:val="008C01DA"/>
    <w:rsid w:val="008F78E9"/>
    <w:rsid w:val="00911989"/>
    <w:rsid w:val="0091512E"/>
    <w:rsid w:val="009179F9"/>
    <w:rsid w:val="00933E5E"/>
    <w:rsid w:val="00935218"/>
    <w:rsid w:val="009403F3"/>
    <w:rsid w:val="00944F90"/>
    <w:rsid w:val="0095112E"/>
    <w:rsid w:val="009555B7"/>
    <w:rsid w:val="009567AA"/>
    <w:rsid w:val="00967374"/>
    <w:rsid w:val="009A343A"/>
    <w:rsid w:val="009B2F23"/>
    <w:rsid w:val="009B48B4"/>
    <w:rsid w:val="009B57B3"/>
    <w:rsid w:val="009C1714"/>
    <w:rsid w:val="009C5B92"/>
    <w:rsid w:val="009C6D25"/>
    <w:rsid w:val="009C72DE"/>
    <w:rsid w:val="009D2920"/>
    <w:rsid w:val="009D5AEB"/>
    <w:rsid w:val="009F0E33"/>
    <w:rsid w:val="009F5934"/>
    <w:rsid w:val="00A01037"/>
    <w:rsid w:val="00A030CE"/>
    <w:rsid w:val="00A0443D"/>
    <w:rsid w:val="00A149DF"/>
    <w:rsid w:val="00A1755C"/>
    <w:rsid w:val="00A211FE"/>
    <w:rsid w:val="00A21B90"/>
    <w:rsid w:val="00A334AB"/>
    <w:rsid w:val="00A37DAE"/>
    <w:rsid w:val="00A41805"/>
    <w:rsid w:val="00A42DCD"/>
    <w:rsid w:val="00A52AFB"/>
    <w:rsid w:val="00A53911"/>
    <w:rsid w:val="00A548CB"/>
    <w:rsid w:val="00A5521C"/>
    <w:rsid w:val="00A643E7"/>
    <w:rsid w:val="00A64586"/>
    <w:rsid w:val="00A73C38"/>
    <w:rsid w:val="00A82C95"/>
    <w:rsid w:val="00A841FD"/>
    <w:rsid w:val="00A868D3"/>
    <w:rsid w:val="00A9125A"/>
    <w:rsid w:val="00A9444B"/>
    <w:rsid w:val="00AB670D"/>
    <w:rsid w:val="00AC7177"/>
    <w:rsid w:val="00AE4535"/>
    <w:rsid w:val="00AF03C5"/>
    <w:rsid w:val="00B0006C"/>
    <w:rsid w:val="00B000D8"/>
    <w:rsid w:val="00B00F75"/>
    <w:rsid w:val="00B04142"/>
    <w:rsid w:val="00B145B6"/>
    <w:rsid w:val="00B22EA2"/>
    <w:rsid w:val="00B22F3E"/>
    <w:rsid w:val="00B22F55"/>
    <w:rsid w:val="00B23838"/>
    <w:rsid w:val="00B279EB"/>
    <w:rsid w:val="00B307D6"/>
    <w:rsid w:val="00B35E92"/>
    <w:rsid w:val="00B36EE7"/>
    <w:rsid w:val="00B50C81"/>
    <w:rsid w:val="00B557F8"/>
    <w:rsid w:val="00B661E4"/>
    <w:rsid w:val="00B72DCF"/>
    <w:rsid w:val="00B76496"/>
    <w:rsid w:val="00B77027"/>
    <w:rsid w:val="00B815FC"/>
    <w:rsid w:val="00B87614"/>
    <w:rsid w:val="00B91C20"/>
    <w:rsid w:val="00B9278C"/>
    <w:rsid w:val="00B93FBC"/>
    <w:rsid w:val="00B9623F"/>
    <w:rsid w:val="00BA7DA0"/>
    <w:rsid w:val="00BB127E"/>
    <w:rsid w:val="00BB2687"/>
    <w:rsid w:val="00BB2EE4"/>
    <w:rsid w:val="00BB4F3A"/>
    <w:rsid w:val="00BB5A00"/>
    <w:rsid w:val="00BC1B2E"/>
    <w:rsid w:val="00BC2108"/>
    <w:rsid w:val="00BD0E9E"/>
    <w:rsid w:val="00BD1BEC"/>
    <w:rsid w:val="00BD32FF"/>
    <w:rsid w:val="00C02092"/>
    <w:rsid w:val="00C24D91"/>
    <w:rsid w:val="00C25B17"/>
    <w:rsid w:val="00C33B8E"/>
    <w:rsid w:val="00C35A04"/>
    <w:rsid w:val="00C53F14"/>
    <w:rsid w:val="00C600CF"/>
    <w:rsid w:val="00C6084F"/>
    <w:rsid w:val="00C62A66"/>
    <w:rsid w:val="00C70557"/>
    <w:rsid w:val="00C71458"/>
    <w:rsid w:val="00C77613"/>
    <w:rsid w:val="00C828E7"/>
    <w:rsid w:val="00C86719"/>
    <w:rsid w:val="00C921DD"/>
    <w:rsid w:val="00CA6391"/>
    <w:rsid w:val="00CA7230"/>
    <w:rsid w:val="00CC2B87"/>
    <w:rsid w:val="00CC34BD"/>
    <w:rsid w:val="00CE161A"/>
    <w:rsid w:val="00CE3171"/>
    <w:rsid w:val="00CE7394"/>
    <w:rsid w:val="00CF1601"/>
    <w:rsid w:val="00CF2348"/>
    <w:rsid w:val="00CF40ED"/>
    <w:rsid w:val="00D0172F"/>
    <w:rsid w:val="00D050F5"/>
    <w:rsid w:val="00D068A7"/>
    <w:rsid w:val="00D17476"/>
    <w:rsid w:val="00D32086"/>
    <w:rsid w:val="00D33CA3"/>
    <w:rsid w:val="00D37A3F"/>
    <w:rsid w:val="00D42E09"/>
    <w:rsid w:val="00D43B8F"/>
    <w:rsid w:val="00D4431D"/>
    <w:rsid w:val="00D4667A"/>
    <w:rsid w:val="00D63A1C"/>
    <w:rsid w:val="00D70A82"/>
    <w:rsid w:val="00D7516F"/>
    <w:rsid w:val="00D8579F"/>
    <w:rsid w:val="00D95F8E"/>
    <w:rsid w:val="00DA0590"/>
    <w:rsid w:val="00DA2704"/>
    <w:rsid w:val="00DA40BC"/>
    <w:rsid w:val="00DB7BEA"/>
    <w:rsid w:val="00DC1739"/>
    <w:rsid w:val="00DC1788"/>
    <w:rsid w:val="00DD0510"/>
    <w:rsid w:val="00DD68B3"/>
    <w:rsid w:val="00DE1691"/>
    <w:rsid w:val="00DE319C"/>
    <w:rsid w:val="00DF0CA8"/>
    <w:rsid w:val="00DF2B48"/>
    <w:rsid w:val="00DF49A7"/>
    <w:rsid w:val="00DF6486"/>
    <w:rsid w:val="00DF6F8A"/>
    <w:rsid w:val="00E03AE0"/>
    <w:rsid w:val="00E07EE2"/>
    <w:rsid w:val="00E07FD1"/>
    <w:rsid w:val="00E10773"/>
    <w:rsid w:val="00E12246"/>
    <w:rsid w:val="00E155C1"/>
    <w:rsid w:val="00E176D8"/>
    <w:rsid w:val="00E24573"/>
    <w:rsid w:val="00E25E1E"/>
    <w:rsid w:val="00E27EE7"/>
    <w:rsid w:val="00E35404"/>
    <w:rsid w:val="00E45109"/>
    <w:rsid w:val="00E46609"/>
    <w:rsid w:val="00E47B7A"/>
    <w:rsid w:val="00E56A44"/>
    <w:rsid w:val="00E60269"/>
    <w:rsid w:val="00E6110B"/>
    <w:rsid w:val="00E63CB0"/>
    <w:rsid w:val="00E75560"/>
    <w:rsid w:val="00E75E79"/>
    <w:rsid w:val="00E77932"/>
    <w:rsid w:val="00E82A49"/>
    <w:rsid w:val="00E97830"/>
    <w:rsid w:val="00EA478F"/>
    <w:rsid w:val="00EA6836"/>
    <w:rsid w:val="00ED23DF"/>
    <w:rsid w:val="00ED5C9E"/>
    <w:rsid w:val="00ED76C7"/>
    <w:rsid w:val="00EE643C"/>
    <w:rsid w:val="00EF0683"/>
    <w:rsid w:val="00EF4B2A"/>
    <w:rsid w:val="00EF69D2"/>
    <w:rsid w:val="00EF766E"/>
    <w:rsid w:val="00F0070C"/>
    <w:rsid w:val="00F00EB7"/>
    <w:rsid w:val="00F06E9E"/>
    <w:rsid w:val="00F07C9F"/>
    <w:rsid w:val="00F23EE3"/>
    <w:rsid w:val="00F36AB6"/>
    <w:rsid w:val="00F36DEF"/>
    <w:rsid w:val="00F37A09"/>
    <w:rsid w:val="00F409CE"/>
    <w:rsid w:val="00F4379D"/>
    <w:rsid w:val="00F50D2D"/>
    <w:rsid w:val="00F56633"/>
    <w:rsid w:val="00F56C8B"/>
    <w:rsid w:val="00F66810"/>
    <w:rsid w:val="00F732B9"/>
    <w:rsid w:val="00F75511"/>
    <w:rsid w:val="00F846D9"/>
    <w:rsid w:val="00F84DF4"/>
    <w:rsid w:val="00F85C97"/>
    <w:rsid w:val="00F86C7F"/>
    <w:rsid w:val="00FB37D2"/>
    <w:rsid w:val="00FC4EFB"/>
    <w:rsid w:val="00FD068D"/>
    <w:rsid w:val="00FD4F28"/>
    <w:rsid w:val="00FD7E64"/>
    <w:rsid w:val="00FE4AF7"/>
    <w:rsid w:val="00FE6784"/>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B3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91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5E9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ListParagraph"/>
    <w:next w:val="Normal"/>
    <w:link w:val="Heading4Char"/>
    <w:uiPriority w:val="9"/>
    <w:unhideWhenUsed/>
    <w:qFormat/>
    <w:rsid w:val="00B35E92"/>
    <w:pPr>
      <w:numPr>
        <w:numId w:val="4"/>
      </w:numPr>
      <w:spacing w:before="240" w:after="240" w:line="240" w:lineRule="auto"/>
      <w:ind w:left="18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hl">
    <w:name w:val="solexhl"/>
    <w:basedOn w:val="DefaultParagraphFont"/>
    <w:rsid w:val="00EF4B2A"/>
  </w:style>
  <w:style w:type="character" w:styleId="CommentReference">
    <w:name w:val="annotation reference"/>
    <w:basedOn w:val="DefaultParagraphFont"/>
    <w:uiPriority w:val="99"/>
    <w:semiHidden/>
    <w:unhideWhenUsed/>
    <w:rsid w:val="00B91C20"/>
    <w:rPr>
      <w:sz w:val="16"/>
      <w:szCs w:val="16"/>
    </w:rPr>
  </w:style>
  <w:style w:type="paragraph" w:styleId="CommentText">
    <w:name w:val="annotation text"/>
    <w:basedOn w:val="Normal"/>
    <w:link w:val="CommentTextChar"/>
    <w:uiPriority w:val="99"/>
    <w:unhideWhenUsed/>
    <w:rsid w:val="00B91C20"/>
    <w:rPr>
      <w:sz w:val="20"/>
    </w:rPr>
  </w:style>
  <w:style w:type="character" w:customStyle="1" w:styleId="CommentTextChar">
    <w:name w:val="Comment Text Char"/>
    <w:basedOn w:val="DefaultParagraphFont"/>
    <w:link w:val="CommentText"/>
    <w:uiPriority w:val="99"/>
    <w:rsid w:val="00B91C20"/>
  </w:style>
  <w:style w:type="paragraph" w:styleId="CommentSubject">
    <w:name w:val="annotation subject"/>
    <w:basedOn w:val="CommentText"/>
    <w:next w:val="CommentText"/>
    <w:link w:val="CommentSubjectChar"/>
    <w:uiPriority w:val="99"/>
    <w:semiHidden/>
    <w:unhideWhenUsed/>
    <w:rsid w:val="00B91C20"/>
    <w:rPr>
      <w:b/>
      <w:bCs/>
    </w:rPr>
  </w:style>
  <w:style w:type="character" w:customStyle="1" w:styleId="CommentSubjectChar">
    <w:name w:val="Comment Subject Char"/>
    <w:basedOn w:val="CommentTextChar"/>
    <w:link w:val="CommentSubject"/>
    <w:uiPriority w:val="99"/>
    <w:semiHidden/>
    <w:rsid w:val="00B91C20"/>
    <w:rPr>
      <w:b/>
      <w:bCs/>
    </w:rPr>
  </w:style>
  <w:style w:type="character" w:styleId="Hyperlink">
    <w:name w:val="Hyperlink"/>
    <w:basedOn w:val="DefaultParagraphFont"/>
    <w:uiPriority w:val="99"/>
    <w:unhideWhenUsed/>
    <w:rsid w:val="00840C68"/>
    <w:rPr>
      <w:color w:val="660000"/>
      <w:u w:val="none"/>
    </w:rPr>
  </w:style>
  <w:style w:type="character" w:styleId="FollowedHyperlink">
    <w:name w:val="FollowedHyperlink"/>
    <w:basedOn w:val="DefaultParagraphFont"/>
    <w:uiPriority w:val="99"/>
    <w:semiHidden/>
    <w:unhideWhenUsed/>
    <w:rsid w:val="00E46609"/>
    <w:rPr>
      <w:color w:val="800080" w:themeColor="followedHyperlink"/>
      <w:u w:val="single"/>
    </w:rPr>
  </w:style>
  <w:style w:type="paragraph" w:customStyle="1" w:styleId="ParaNoNdepar-AltN">
    <w:name w:val="Para. No. / Nº de par. - Alt N"/>
    <w:link w:val="ParaNoNdepar-AltNChar"/>
    <w:qFormat/>
    <w:rsid w:val="00E63CB0"/>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E63CB0"/>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B35E9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35E92"/>
    <w:rPr>
      <w:rFonts w:eastAsiaTheme="minorHAnsi" w:cstheme="minorBidi"/>
      <w:b/>
      <w:sz w:val="24"/>
      <w:szCs w:val="22"/>
      <w:lang w:val="en-US" w:eastAsia="en-US"/>
    </w:rPr>
  </w:style>
  <w:style w:type="paragraph" w:customStyle="1" w:styleId="SCCLsocOtherPartyRoleSeparator">
    <w:name w:val="SCC.Lsoc.OtherPartyRoleSeparator"/>
    <w:basedOn w:val="Normal"/>
    <w:next w:val="Normal"/>
    <w:link w:val="SCCLsocOtherPartyRoleSeparatorChar"/>
    <w:rsid w:val="00B35E92"/>
    <w:pPr>
      <w:spacing w:after="480"/>
    </w:pPr>
    <w:rPr>
      <w:rFonts w:eastAsiaTheme="minorHAnsi" w:cstheme="minorBidi"/>
      <w:szCs w:val="22"/>
      <w:lang w:eastAsia="en-US"/>
    </w:rPr>
  </w:style>
  <w:style w:type="paragraph" w:customStyle="1" w:styleId="SCCCoram">
    <w:name w:val="SCC.Coram"/>
    <w:basedOn w:val="Normal"/>
    <w:next w:val="Normal"/>
    <w:link w:val="SCCCoramChar"/>
    <w:rsid w:val="00B35E9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35E9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35E92"/>
    <w:rPr>
      <w:rFonts w:eastAsiaTheme="minorHAnsi" w:cstheme="minorBidi"/>
      <w:sz w:val="24"/>
      <w:szCs w:val="22"/>
      <w:lang w:eastAsia="en-US"/>
    </w:rPr>
  </w:style>
  <w:style w:type="character" w:customStyle="1" w:styleId="SCCBanSummaryChar">
    <w:name w:val="SCC.BanSummary Char"/>
    <w:basedOn w:val="DefaultParagraphFont"/>
    <w:link w:val="SCCBanSummary"/>
    <w:rsid w:val="00B35E92"/>
    <w:rPr>
      <w:b/>
      <w:sz w:val="24"/>
    </w:rPr>
  </w:style>
  <w:style w:type="table" w:styleId="TableGrid">
    <w:name w:val="Table Grid"/>
    <w:basedOn w:val="TableNormal"/>
    <w:uiPriority w:val="39"/>
    <w:rsid w:val="00B35E9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35E9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35E9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35E9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B35E92"/>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35E9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35E92"/>
    <w:pPr>
      <w:numPr>
        <w:ilvl w:val="2"/>
      </w:numPr>
      <w:outlineLvl w:val="2"/>
    </w:pPr>
  </w:style>
  <w:style w:type="paragraph" w:customStyle="1" w:styleId="Title4LevelTitre4Niveau">
    <w:name w:val="Title 4 Level / Titre 4 Niveau"/>
    <w:basedOn w:val="Title3LevelTitre3Niveau"/>
    <w:next w:val="ParaNoNdepar-AltN"/>
    <w:uiPriority w:val="4"/>
    <w:qFormat/>
    <w:rsid w:val="00B35E9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35E92"/>
    <w:pPr>
      <w:numPr>
        <w:ilvl w:val="4"/>
      </w:numPr>
      <w:outlineLvl w:val="4"/>
    </w:pPr>
  </w:style>
  <w:style w:type="paragraph" w:styleId="TOC1">
    <w:name w:val="toc 1"/>
    <w:basedOn w:val="Normal"/>
    <w:next w:val="Normal"/>
    <w:autoRedefine/>
    <w:uiPriority w:val="39"/>
    <w:unhideWhenUsed/>
    <w:rsid w:val="00B35E9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35E9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35E9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35E9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35E9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35E92"/>
    <w:pPr>
      <w:tabs>
        <w:tab w:val="left" w:pos="2160"/>
        <w:tab w:val="right" w:leader="dot" w:pos="8270"/>
      </w:tabs>
      <w:spacing w:after="100"/>
      <w:ind w:left="1800"/>
    </w:pPr>
    <w:rPr>
      <w:noProof/>
    </w:rPr>
  </w:style>
  <w:style w:type="table" w:customStyle="1" w:styleId="TableGrid1">
    <w:name w:val="Table Grid1"/>
    <w:basedOn w:val="TableNormal"/>
    <w:uiPriority w:val="59"/>
    <w:rsid w:val="00B35E9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35E9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35E92"/>
    <w:pPr>
      <w:numPr>
        <w:ilvl w:val="5"/>
      </w:numPr>
      <w:outlineLvl w:val="5"/>
    </w:pPr>
    <w:rPr>
      <w:i/>
      <w:u w:val="none"/>
    </w:rPr>
  </w:style>
  <w:style w:type="paragraph" w:styleId="FootnoteText">
    <w:name w:val="footnote text"/>
    <w:basedOn w:val="Normal"/>
    <w:link w:val="FootnoteTextChar"/>
    <w:uiPriority w:val="99"/>
    <w:unhideWhenUsed/>
    <w:rsid w:val="00B35E9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35E92"/>
  </w:style>
  <w:style w:type="character" w:styleId="FootnoteReference">
    <w:name w:val="footnote reference"/>
    <w:basedOn w:val="DefaultParagraphFont"/>
    <w:uiPriority w:val="99"/>
    <w:semiHidden/>
    <w:unhideWhenUsed/>
    <w:rsid w:val="00B35E92"/>
    <w:rPr>
      <w:vertAlign w:val="superscript"/>
    </w:rPr>
  </w:style>
  <w:style w:type="character" w:styleId="SubtleEmphasis">
    <w:name w:val="Subtle Emphasis"/>
    <w:uiPriority w:val="19"/>
    <w:qFormat/>
    <w:rsid w:val="00B35E92"/>
    <w:rPr>
      <w:i/>
      <w:iCs/>
    </w:rPr>
  </w:style>
  <w:style w:type="paragraph" w:customStyle="1" w:styleId="scjnumber">
    <w:name w:val="scjnumber"/>
    <w:basedOn w:val="Normal"/>
    <w:rsid w:val="00B35E92"/>
    <w:pPr>
      <w:spacing w:before="100" w:beforeAutospacing="1" w:after="100" w:afterAutospacing="1"/>
    </w:pPr>
    <w:rPr>
      <w:szCs w:val="24"/>
      <w:lang w:val="en-US" w:eastAsia="en-US"/>
    </w:rPr>
  </w:style>
  <w:style w:type="paragraph" w:styleId="NoSpacing">
    <w:name w:val="No Spacing"/>
    <w:uiPriority w:val="1"/>
    <w:qFormat/>
    <w:rsid w:val="00B35E92"/>
    <w:rPr>
      <w:sz w:val="24"/>
      <w:szCs w:val="24"/>
    </w:rPr>
  </w:style>
  <w:style w:type="paragraph" w:customStyle="1" w:styleId="subsection">
    <w:name w:val="subsection"/>
    <w:basedOn w:val="Normal"/>
    <w:rsid w:val="00B35E92"/>
    <w:pPr>
      <w:spacing w:before="168" w:after="120"/>
      <w:ind w:firstLine="360"/>
    </w:pPr>
    <w:rPr>
      <w:szCs w:val="24"/>
    </w:rPr>
  </w:style>
  <w:style w:type="paragraph" w:customStyle="1" w:styleId="headnote">
    <w:name w:val="headnote"/>
    <w:basedOn w:val="Normal"/>
    <w:rsid w:val="00B35E92"/>
    <w:pPr>
      <w:spacing w:before="100" w:beforeAutospacing="1" w:after="100" w:afterAutospacing="1"/>
    </w:pPr>
    <w:rPr>
      <w:szCs w:val="24"/>
      <w:lang w:val="en-US" w:eastAsia="en-US"/>
    </w:rPr>
  </w:style>
  <w:style w:type="character" w:customStyle="1" w:styleId="canliisubsection">
    <w:name w:val="canlii_subsection"/>
    <w:basedOn w:val="DefaultParagraphFont"/>
    <w:rsid w:val="00B35E92"/>
  </w:style>
  <w:style w:type="character" w:customStyle="1" w:styleId="reflex">
    <w:name w:val="reflex"/>
    <w:basedOn w:val="DefaultParagraphFont"/>
    <w:rsid w:val="00B35E92"/>
  </w:style>
  <w:style w:type="character" w:customStyle="1" w:styleId="reflex3-block">
    <w:name w:val="reflex3-block"/>
    <w:basedOn w:val="DefaultParagraphFont"/>
    <w:rsid w:val="00B35E92"/>
  </w:style>
  <w:style w:type="paragraph" w:styleId="ListParagraph">
    <w:name w:val="List Paragraph"/>
    <w:basedOn w:val="Normal"/>
    <w:uiPriority w:val="34"/>
    <w:qFormat/>
    <w:rsid w:val="00B35E92"/>
    <w:pPr>
      <w:spacing w:after="160" w:line="259" w:lineRule="auto"/>
      <w:ind w:left="720"/>
      <w:contextualSpacing/>
    </w:pPr>
    <w:rPr>
      <w:rFonts w:eastAsiaTheme="minorHAnsi" w:cstheme="minorBidi"/>
      <w:szCs w:val="22"/>
      <w:lang w:val="en-US" w:eastAsia="en-US"/>
    </w:rPr>
  </w:style>
  <w:style w:type="paragraph" w:styleId="Revision">
    <w:name w:val="Revision"/>
    <w:hidden/>
    <w:uiPriority w:val="99"/>
    <w:semiHidden/>
    <w:rsid w:val="00B35E92"/>
    <w:rPr>
      <w:sz w:val="24"/>
      <w:szCs w:val="24"/>
    </w:rPr>
  </w:style>
  <w:style w:type="character" w:customStyle="1" w:styleId="Italic">
    <w:name w:val="Italic"/>
    <w:basedOn w:val="DefaultParagraphFont"/>
    <w:uiPriority w:val="1"/>
    <w:rsid w:val="00B35E92"/>
    <w:rPr>
      <w:i/>
    </w:rPr>
  </w:style>
  <w:style w:type="character" w:styleId="Emphasis">
    <w:name w:val="Emphasis"/>
    <w:basedOn w:val="DefaultParagraphFont"/>
    <w:uiPriority w:val="20"/>
    <w:qFormat/>
    <w:rsid w:val="00B35E92"/>
    <w:rPr>
      <w:i/>
      <w:iCs/>
    </w:rPr>
  </w:style>
  <w:style w:type="paragraph" w:styleId="ListBullet">
    <w:name w:val="List Bullet"/>
    <w:basedOn w:val="Normal"/>
    <w:uiPriority w:val="99"/>
    <w:unhideWhenUsed/>
    <w:rsid w:val="00B35E92"/>
    <w:pPr>
      <w:numPr>
        <w:numId w:val="5"/>
      </w:numPr>
      <w:contextualSpacing/>
    </w:pPr>
    <w:rPr>
      <w:rFonts w:eastAsiaTheme="minorHAnsi" w:cstheme="minorBidi"/>
      <w:szCs w:val="22"/>
      <w:lang w:val="en-US" w:eastAsia="en-US"/>
    </w:rPr>
  </w:style>
  <w:style w:type="paragraph" w:styleId="ListBullet2">
    <w:name w:val="List Bullet 2"/>
    <w:basedOn w:val="Normal"/>
    <w:uiPriority w:val="99"/>
    <w:unhideWhenUsed/>
    <w:rsid w:val="00B35E92"/>
    <w:pPr>
      <w:numPr>
        <w:numId w:val="6"/>
      </w:numPr>
      <w:contextualSpacing/>
    </w:pPr>
    <w:rPr>
      <w:rFonts w:eastAsiaTheme="minorHAnsi" w:cstheme="minorBidi"/>
      <w:szCs w:val="22"/>
      <w:lang w:val="en-US" w:eastAsia="en-US"/>
    </w:rPr>
  </w:style>
  <w:style w:type="paragraph" w:styleId="ListBullet3">
    <w:name w:val="List Bullet 3"/>
    <w:basedOn w:val="Normal"/>
    <w:uiPriority w:val="99"/>
    <w:unhideWhenUsed/>
    <w:rsid w:val="00B35E92"/>
    <w:pPr>
      <w:numPr>
        <w:numId w:val="7"/>
      </w:numPr>
      <w:contextualSpacing/>
    </w:pPr>
    <w:rPr>
      <w:rFonts w:eastAsiaTheme="minorHAnsi" w:cstheme="minorBidi"/>
      <w:szCs w:val="22"/>
      <w:lang w:val="en-US" w:eastAsia="en-US"/>
    </w:rPr>
  </w:style>
  <w:style w:type="paragraph" w:styleId="ListBullet4">
    <w:name w:val="List Bullet 4"/>
    <w:basedOn w:val="Normal"/>
    <w:uiPriority w:val="99"/>
    <w:unhideWhenUsed/>
    <w:rsid w:val="00B35E92"/>
    <w:pPr>
      <w:numPr>
        <w:numId w:val="8"/>
      </w:numPr>
      <w:contextualSpacing/>
    </w:pPr>
    <w:rPr>
      <w:rFonts w:eastAsiaTheme="minorHAnsi" w:cstheme="minorBidi"/>
      <w:szCs w:val="22"/>
      <w:lang w:val="en-US" w:eastAsia="en-US"/>
    </w:rPr>
  </w:style>
  <w:style w:type="paragraph" w:styleId="Title">
    <w:name w:val="Title"/>
    <w:basedOn w:val="Normal"/>
    <w:next w:val="Normal"/>
    <w:link w:val="TitleChar"/>
    <w:uiPriority w:val="10"/>
    <w:qFormat/>
    <w:rsid w:val="00B35E92"/>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B35E92"/>
    <w:rPr>
      <w:rFonts w:asciiTheme="majorHAnsi" w:eastAsiaTheme="majorEastAsia" w:hAnsiTheme="majorHAnsi" w:cstheme="majorBidi"/>
      <w:spacing w:val="-10"/>
      <w:kern w:val="28"/>
      <w:sz w:val="56"/>
      <w:szCs w:val="56"/>
      <w:lang w:val="en-US" w:eastAsia="en-US"/>
    </w:rPr>
  </w:style>
  <w:style w:type="paragraph" w:styleId="BodyText">
    <w:name w:val="Body Text"/>
    <w:basedOn w:val="Normal"/>
    <w:link w:val="BodyTextChar"/>
    <w:uiPriority w:val="99"/>
    <w:unhideWhenUsed/>
    <w:rsid w:val="00B35E92"/>
    <w:pPr>
      <w:spacing w:after="120"/>
    </w:pPr>
    <w:rPr>
      <w:rFonts w:eastAsiaTheme="minorHAnsi" w:cstheme="minorBidi"/>
      <w:szCs w:val="22"/>
      <w:lang w:val="en-US" w:eastAsia="en-US"/>
    </w:rPr>
  </w:style>
  <w:style w:type="character" w:customStyle="1" w:styleId="BodyTextChar">
    <w:name w:val="Body Text Char"/>
    <w:basedOn w:val="DefaultParagraphFont"/>
    <w:link w:val="BodyText"/>
    <w:uiPriority w:val="99"/>
    <w:rsid w:val="00B35E92"/>
    <w:rPr>
      <w:rFonts w:eastAsiaTheme="minorHAnsi" w:cstheme="minorBidi"/>
      <w:sz w:val="24"/>
      <w:szCs w:val="22"/>
      <w:lang w:val="en-US" w:eastAsia="en-US"/>
    </w:rPr>
  </w:style>
  <w:style w:type="paragraph" w:styleId="Subtitle">
    <w:name w:val="Subtitle"/>
    <w:basedOn w:val="Normal"/>
    <w:next w:val="Normal"/>
    <w:link w:val="SubtitleChar"/>
    <w:uiPriority w:val="11"/>
    <w:qFormat/>
    <w:rsid w:val="00B35E92"/>
    <w:pPr>
      <w:numPr>
        <w:ilvl w:val="1"/>
      </w:numPr>
      <w:spacing w:after="160"/>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sid w:val="00B35E92"/>
    <w:rPr>
      <w:rFonts w:asciiTheme="minorHAnsi" w:eastAsiaTheme="minorEastAsia" w:hAnsiTheme="minorHAnsi" w:cstheme="minorBidi"/>
      <w:color w:val="5A5A5A" w:themeColor="text1" w:themeTint="A5"/>
      <w:spacing w:val="15"/>
      <w:sz w:val="22"/>
      <w:szCs w:val="22"/>
      <w:lang w:val="en-US" w:eastAsia="en-US"/>
    </w:rPr>
  </w:style>
  <w:style w:type="character" w:customStyle="1" w:styleId="fontstyle01">
    <w:name w:val="fontstyle01"/>
    <w:basedOn w:val="DefaultParagraphFont"/>
    <w:rsid w:val="00B35E92"/>
    <w:rPr>
      <w:rFonts w:ascii="Times-Roman" w:hAnsi="Times-Roman" w:hint="default"/>
      <w:b w:val="0"/>
      <w:bCs w:val="0"/>
      <w:i w:val="0"/>
      <w:iCs w:val="0"/>
      <w:color w:val="000000"/>
      <w:sz w:val="22"/>
      <w:szCs w:val="22"/>
    </w:rPr>
  </w:style>
  <w:style w:type="character" w:customStyle="1" w:styleId="fontstyle21">
    <w:name w:val="fontstyle21"/>
    <w:basedOn w:val="DefaultParagraphFont"/>
    <w:rsid w:val="00B35E92"/>
    <w:rPr>
      <w:rFonts w:ascii="Times-Italic" w:hAnsi="Times-Italic" w:hint="default"/>
      <w:b w:val="0"/>
      <w:bCs w:val="0"/>
      <w:i/>
      <w:iCs/>
      <w:color w:val="000000"/>
      <w:sz w:val="22"/>
      <w:szCs w:val="22"/>
    </w:rPr>
  </w:style>
  <w:style w:type="table" w:customStyle="1" w:styleId="TableGrid2">
    <w:name w:val="Table Grid2"/>
    <w:basedOn w:val="TableNormal"/>
    <w:next w:val="TableGrid"/>
    <w:uiPriority w:val="59"/>
    <w:rsid w:val="00B35E9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9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oadecisions.ontariocourts.ca/coa/coa/en/item/20298/index.do" TargetMode="External"/><Relationship Id="rId4" Type="http://schemas.openxmlformats.org/officeDocument/2006/relationships/webSettings" Target="webSettings.xml"/><Relationship Id="rId9" Type="http://schemas.openxmlformats.org/officeDocument/2006/relationships/hyperlink" Target="https://www.scc-csc.ca/cso-dce/2024SCC-CSC4_1_eng.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13431</Words>
  <Characters>74598</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2024-02-02T12:04:00Z</dcterms:created>
  <dcterms:modified xsi:type="dcterms:W3CDTF">2024-02-02T13:59:00Z</dcterms:modified>
</cp:coreProperties>
</file>