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02" w:rsidRDefault="00FA7702" w:rsidP="00FA7702">
      <w:pP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5" o:title=""/>
          </v:shape>
          <o:OLEObject Type="Embed" ProgID="Presentations.Drawing.13" ShapeID="_x0000_i1025" DrawAspect="Content" ObjectID="_1359966423" r:id="rId6"/>
        </w:object>
      </w:r>
    </w:p>
    <w:p w:rsidR="00FA7702" w:rsidRDefault="00FA7702" w:rsidP="00FA7702">
      <w:pPr>
        <w:jc w:val="center"/>
        <w:rPr>
          <w:b/>
        </w:rPr>
      </w:pPr>
    </w:p>
    <w:p w:rsidR="00FA7702" w:rsidRPr="006B210C" w:rsidRDefault="00FA7702" w:rsidP="00FA7702">
      <w:pPr>
        <w:jc w:val="center"/>
        <w:rPr>
          <w:b/>
        </w:rPr>
      </w:pPr>
      <w:r w:rsidRPr="006B210C">
        <w:rPr>
          <w:b/>
        </w:rPr>
        <w:t>SUPREME COURT OF CANADA</w:t>
      </w:r>
    </w:p>
    <w:p w:rsidR="00FA7702" w:rsidRDefault="00FA7702" w:rsidP="00FA7702"/>
    <w:p w:rsidR="00FA7702" w:rsidRDefault="00FA7702" w:rsidP="00FA770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A7702" w:rsidRPr="006B210C" w:rsidTr="0095109A">
        <w:trPr>
          <w:cantSplit/>
        </w:trPr>
        <w:tc>
          <w:tcPr>
            <w:tcW w:w="6768" w:type="dxa"/>
          </w:tcPr>
          <w:p w:rsidR="00FA7702" w:rsidRPr="006B210C" w:rsidRDefault="00FA7702" w:rsidP="0095109A">
            <w:r w:rsidRPr="006B210C">
              <w:rPr>
                <w:b/>
                <w:smallCaps/>
              </w:rPr>
              <w:t xml:space="preserve">Citation </w:t>
            </w:r>
            <w:r w:rsidRPr="006B210C">
              <w:t xml:space="preserve">: </w:t>
            </w:r>
            <w:r w:rsidRPr="004C4F5E">
              <w:t xml:space="preserve">R. </w:t>
            </w:r>
            <w:r w:rsidRPr="004C4F5E">
              <w:rPr>
                <w:i/>
              </w:rPr>
              <w:t>v.</w:t>
            </w:r>
            <w:r w:rsidRPr="004C4F5E">
              <w:rPr>
                <w:b/>
              </w:rPr>
              <w:t xml:space="preserve"> </w:t>
            </w:r>
            <w:r w:rsidRPr="004C4F5E">
              <w:rPr>
                <w:rStyle w:val="SCCRespondentForIndexChar"/>
                <w:rFonts w:eastAsiaTheme="minorHAnsi"/>
                <w:b w:val="0"/>
              </w:rPr>
              <w:t>Allen, 2010 SCC 42</w:t>
            </w:r>
            <w:r>
              <w:rPr>
                <w:rStyle w:val="SCCRespondentForRunningHeadChar"/>
                <w:rFonts w:eastAsiaTheme="minorHAnsi"/>
              </w:rPr>
              <w:t>, [2010] 2 S.C.R. 648</w:t>
            </w:r>
          </w:p>
        </w:tc>
        <w:tc>
          <w:tcPr>
            <w:tcW w:w="2808" w:type="dxa"/>
          </w:tcPr>
          <w:p w:rsidR="00FA7702" w:rsidRPr="006B210C" w:rsidRDefault="00FA7702" w:rsidP="0095109A">
            <w:r w:rsidRPr="006B210C">
              <w:rPr>
                <w:b/>
                <w:smallCaps/>
              </w:rPr>
              <w:t xml:space="preserve">Date </w:t>
            </w:r>
            <w:r w:rsidRPr="006B210C">
              <w:t xml:space="preserve">: </w:t>
            </w:r>
            <w:r>
              <w:t>20101027</w:t>
            </w:r>
          </w:p>
          <w:p w:rsidR="00FA7702" w:rsidRPr="006B210C" w:rsidRDefault="00FA7702" w:rsidP="0095109A">
            <w:r w:rsidRPr="006B210C">
              <w:rPr>
                <w:b/>
                <w:smallCaps/>
              </w:rPr>
              <w:t xml:space="preserve">Docket </w:t>
            </w:r>
            <w:r w:rsidRPr="006B210C">
              <w:t xml:space="preserve">: </w:t>
            </w:r>
            <w:r>
              <w:t>33558</w:t>
            </w:r>
          </w:p>
        </w:tc>
      </w:tr>
    </w:tbl>
    <w:p w:rsidR="00FA7702" w:rsidRPr="006B210C" w:rsidRDefault="00FA7702" w:rsidP="00FA7702"/>
    <w:p w:rsidR="00FA7702" w:rsidRDefault="00FA7702" w:rsidP="00FA7702">
      <w:pPr>
        <w:pStyle w:val="SCCLsocPrefix"/>
      </w:pPr>
      <w:r>
        <w:t>Between:</w:t>
      </w:r>
    </w:p>
    <w:p w:rsidR="00FA7702" w:rsidRDefault="00FA7702" w:rsidP="00FA7702">
      <w:pPr>
        <w:pStyle w:val="SCCLsocParty"/>
      </w:pPr>
      <w:r>
        <w:t xml:space="preserve">George William Allen </w:t>
      </w:r>
    </w:p>
    <w:p w:rsidR="00FA7702" w:rsidRDefault="00FA7702" w:rsidP="00FA7702">
      <w:pPr>
        <w:pStyle w:val="SCCLsocPartyRole"/>
      </w:pPr>
      <w:r>
        <w:t>Appellant</w:t>
      </w:r>
    </w:p>
    <w:p w:rsidR="00FA7702" w:rsidRDefault="00FA7702" w:rsidP="00FA7702">
      <w:pPr>
        <w:pStyle w:val="SCCLsocVersus"/>
      </w:pPr>
      <w:proofErr w:type="gramStart"/>
      <w:r>
        <w:t>and</w:t>
      </w:r>
      <w:proofErr w:type="gramEnd"/>
    </w:p>
    <w:p w:rsidR="00FA7702" w:rsidRDefault="00FA7702" w:rsidP="00FA7702">
      <w:pPr>
        <w:pStyle w:val="SCCLsocParty"/>
      </w:pPr>
      <w:r>
        <w:t xml:space="preserve">Her Majesty </w:t>
      </w:r>
      <w:proofErr w:type="gramStart"/>
      <w:r>
        <w:t>The</w:t>
      </w:r>
      <w:proofErr w:type="gramEnd"/>
      <w:r>
        <w:t xml:space="preserve"> Queen</w:t>
      </w:r>
    </w:p>
    <w:p w:rsidR="00FA7702" w:rsidRDefault="00FA7702" w:rsidP="00FA7702">
      <w:pPr>
        <w:pStyle w:val="SCCLsocPartyRole"/>
      </w:pPr>
      <w:r>
        <w:t>Respondent</w:t>
      </w:r>
    </w:p>
    <w:p w:rsidR="00FA7702" w:rsidRDefault="00FA7702" w:rsidP="00FA7702"/>
    <w:p w:rsidR="00FA7702" w:rsidRPr="006B210C" w:rsidRDefault="00FA7702" w:rsidP="00FA7702"/>
    <w:p w:rsidR="00FA7702" w:rsidRPr="006B210C" w:rsidRDefault="00FA7702" w:rsidP="00FA7702">
      <w:proofErr w:type="gramStart"/>
      <w:r w:rsidRPr="006B210C">
        <w:rPr>
          <w:b/>
          <w:smallCaps/>
        </w:rPr>
        <w:t xml:space="preserve">Coram </w:t>
      </w:r>
      <w:r w:rsidRPr="006B210C">
        <w:t>:</w:t>
      </w:r>
      <w:proofErr w:type="gramEnd"/>
      <w:r w:rsidRPr="006B210C">
        <w:t xml:space="preserve">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xml:space="preserve"> and Rothstein JJ.</w:t>
      </w:r>
    </w:p>
    <w:p w:rsidR="00FA7702" w:rsidRPr="006B210C" w:rsidRDefault="00FA7702" w:rsidP="00FA77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A7702" w:rsidRPr="006B210C" w:rsidTr="0095109A">
        <w:trPr>
          <w:cantSplit/>
        </w:trPr>
        <w:tc>
          <w:tcPr>
            <w:tcW w:w="3618" w:type="dxa"/>
          </w:tcPr>
          <w:p w:rsidR="00FA7702" w:rsidRDefault="00FA7702" w:rsidP="0095109A">
            <w:r w:rsidRPr="006B210C">
              <w:rPr>
                <w:b/>
                <w:smallCaps/>
              </w:rPr>
              <w:t>Reasons for Judgment</w:t>
            </w:r>
            <w:r w:rsidRPr="006B210C">
              <w:t xml:space="preserve"> :</w:t>
            </w:r>
          </w:p>
          <w:p w:rsidR="00FA7702" w:rsidRPr="006B210C" w:rsidRDefault="00FA7702" w:rsidP="0095109A">
            <w:r>
              <w:t>(</w:t>
            </w:r>
            <w:proofErr w:type="spellStart"/>
            <w:r>
              <w:t>paras</w:t>
            </w:r>
            <w:proofErr w:type="spellEnd"/>
            <w:r>
              <w:t>. 1 to 2)</w:t>
            </w:r>
          </w:p>
        </w:tc>
        <w:tc>
          <w:tcPr>
            <w:tcW w:w="5958" w:type="dxa"/>
          </w:tcPr>
          <w:p w:rsidR="00FA7702" w:rsidRPr="006B210C" w:rsidRDefault="00FA7702" w:rsidP="0095109A">
            <w:r>
              <w:t xml:space="preserve">The Court </w:t>
            </w:r>
          </w:p>
        </w:tc>
      </w:tr>
    </w:tbl>
    <w:p w:rsidR="00FA7702" w:rsidRDefault="00FA7702" w:rsidP="00FA7702"/>
    <w:p w:rsidR="00FA7702" w:rsidRDefault="00FA7702" w:rsidP="00FA7702"/>
    <w:p w:rsidR="00FA7702" w:rsidRDefault="00B913DC" w:rsidP="00FA7702">
      <w:r w:rsidRPr="00B913DC">
        <w:rPr>
          <w:noProof/>
        </w:rPr>
        <w:pict>
          <v:shapetype id="_x0000_t32" coordsize="21600,21600" o:spt="32" o:oned="t" path="m,l21600,21600e" filled="f">
            <v:path arrowok="t" fillok="f" o:connecttype="none"/>
            <o:lock v:ext="edit" shapetype="t"/>
          </v:shapetype>
          <v:shape id="_x0000_s1026" type="#_x0000_t32" style="position:absolute;margin-left:135.75pt;margin-top:1.1pt;width:197.25pt;height:0;z-index:251660288;mso-position-horizontal-relative:margin" o:connectortype="straight">
            <w10:wrap anchorx="margin"/>
          </v:shape>
        </w:pict>
      </w:r>
    </w:p>
    <w:p w:rsidR="00FA7702" w:rsidRDefault="00FA7702">
      <w:pPr>
        <w:spacing w:after="200" w:line="276" w:lineRule="auto"/>
        <w:rPr>
          <w:rStyle w:val="SCCAppellantForRunningHeadChar"/>
          <w:rFonts w:eastAsiaTheme="minorHAnsi"/>
        </w:rPr>
      </w:pPr>
      <w:r>
        <w:rPr>
          <w:rStyle w:val="SCCAppellantForRunningHeadChar"/>
          <w:rFonts w:eastAsiaTheme="minorHAnsi"/>
        </w:rPr>
        <w:br w:type="page"/>
      </w:r>
    </w:p>
    <w:p w:rsidR="00FA7702" w:rsidRPr="008E189E" w:rsidRDefault="00FA7702" w:rsidP="00FA7702">
      <w:pPr>
        <w:spacing w:line="480" w:lineRule="auto"/>
        <w:jc w:val="both"/>
        <w:rPr>
          <w:rStyle w:val="SCCRespondentForRunningHeadChar"/>
          <w:rFonts w:eastAsiaTheme="minorHAnsi"/>
        </w:rPr>
      </w:pPr>
      <w:r>
        <w:rPr>
          <w:rStyle w:val="SCCAppellantForRunningHeadChar"/>
          <w:rFonts w:eastAsiaTheme="minorHAnsi"/>
        </w:rPr>
        <w:lastRenderedPageBreak/>
        <w:t>R</w:t>
      </w:r>
      <w:r w:rsidRPr="002F3159">
        <w:rPr>
          <w:rStyle w:val="SCCAppellantForRunningHeadChar"/>
          <w:rFonts w:eastAsiaTheme="minorHAnsi"/>
        </w:rPr>
        <w:t>.</w:t>
      </w:r>
      <w:r w:rsidRPr="008E189E">
        <w:t xml:space="preserve"> </w:t>
      </w:r>
      <w:r w:rsidRPr="008E189E">
        <w:rPr>
          <w:i/>
        </w:rPr>
        <w:t>v.</w:t>
      </w:r>
      <w:r w:rsidRPr="008E189E">
        <w:t xml:space="preserve"> </w:t>
      </w:r>
      <w:r>
        <w:t>A</w:t>
      </w:r>
      <w:r w:rsidRPr="002F3159">
        <w:rPr>
          <w:rStyle w:val="SCCRespondentForRunningHeadChar"/>
          <w:rFonts w:eastAsiaTheme="minorHAnsi"/>
        </w:rPr>
        <w:t>llen</w:t>
      </w:r>
      <w:r>
        <w:rPr>
          <w:rStyle w:val="SCCRespondentForRunningHeadChar"/>
          <w:rFonts w:eastAsiaTheme="minorHAnsi"/>
        </w:rPr>
        <w:t>, 2010 SCC 42, [2010] 2 S.C.R. 648</w:t>
      </w:r>
    </w:p>
    <w:p w:rsidR="00FA7702" w:rsidRPr="008E189E" w:rsidRDefault="00FA7702" w:rsidP="00FA7702">
      <w:pPr>
        <w:spacing w:line="480" w:lineRule="auto"/>
        <w:jc w:val="both"/>
        <w:rPr>
          <w:rStyle w:val="SCCRespondentForRunningHeadChar"/>
          <w:rFonts w:eastAsiaTheme="minorHAnsi"/>
        </w:rPr>
      </w:pPr>
    </w:p>
    <w:p w:rsidR="00FA7702" w:rsidRPr="008E189E" w:rsidRDefault="00FA7702" w:rsidP="00FA7702">
      <w:pPr>
        <w:pStyle w:val="SCCLsocParty"/>
        <w:tabs>
          <w:tab w:val="right" w:pos="8280"/>
        </w:tabs>
        <w:spacing w:line="480" w:lineRule="auto"/>
        <w:jc w:val="left"/>
      </w:pPr>
      <w:r w:rsidRPr="008E189E">
        <w:t>George William Allen</w:t>
      </w:r>
      <w:r w:rsidRPr="008E189E">
        <w:tab/>
      </w:r>
      <w:r w:rsidRPr="008E189E">
        <w:rPr>
          <w:b w:val="0"/>
          <w:i/>
        </w:rPr>
        <w:t>Appellant</w:t>
      </w:r>
      <w:r w:rsidRPr="008E189E">
        <w:br/>
      </w:r>
    </w:p>
    <w:p w:rsidR="00FA7702" w:rsidRPr="008E189E" w:rsidRDefault="00FA7702" w:rsidP="00FA7702">
      <w:pPr>
        <w:pStyle w:val="SCCLsocVersus"/>
        <w:spacing w:line="480" w:lineRule="auto"/>
        <w:jc w:val="left"/>
      </w:pPr>
      <w:proofErr w:type="gramStart"/>
      <w:r w:rsidRPr="008E189E">
        <w:t>v</w:t>
      </w:r>
      <w:proofErr w:type="gramEnd"/>
      <w:r w:rsidRPr="008E189E">
        <w:t>.</w:t>
      </w:r>
      <w:r w:rsidRPr="008E189E">
        <w:br/>
      </w:r>
    </w:p>
    <w:p w:rsidR="00FA7702" w:rsidRPr="008E189E" w:rsidRDefault="00FA7702" w:rsidP="00FA7702">
      <w:pPr>
        <w:pStyle w:val="SCCLsocParty"/>
        <w:tabs>
          <w:tab w:val="right" w:pos="8280"/>
        </w:tabs>
        <w:spacing w:line="480" w:lineRule="auto"/>
        <w:jc w:val="left"/>
      </w:pPr>
      <w:r w:rsidRPr="008E189E">
        <w:t xml:space="preserve">Her Majesty </w:t>
      </w:r>
      <w:proofErr w:type="gramStart"/>
      <w:r w:rsidRPr="008E189E">
        <w:t>The</w:t>
      </w:r>
      <w:proofErr w:type="gramEnd"/>
      <w:r w:rsidRPr="008E189E">
        <w:t xml:space="preserve"> Queen</w:t>
      </w:r>
      <w:r w:rsidRPr="008E189E">
        <w:rPr>
          <w:i/>
        </w:rPr>
        <w:tab/>
      </w:r>
      <w:r w:rsidRPr="008E189E">
        <w:rPr>
          <w:b w:val="0"/>
          <w:i/>
        </w:rPr>
        <w:t>Respondent</w:t>
      </w:r>
    </w:p>
    <w:p w:rsidR="00FA7702" w:rsidRPr="008E189E" w:rsidRDefault="00FA7702" w:rsidP="00FA7702">
      <w:pPr>
        <w:spacing w:line="480" w:lineRule="auto"/>
        <w:jc w:val="both"/>
      </w:pPr>
    </w:p>
    <w:p w:rsidR="00FA7702" w:rsidRPr="008E189E" w:rsidRDefault="00FA7702" w:rsidP="00FA7702">
      <w:pPr>
        <w:spacing w:line="480" w:lineRule="auto"/>
        <w:jc w:val="both"/>
        <w:rPr>
          <w:b/>
        </w:rPr>
      </w:pPr>
      <w:r w:rsidRPr="008E189E">
        <w:rPr>
          <w:b/>
        </w:rPr>
        <w:t xml:space="preserve">Indexed as:  R. </w:t>
      </w:r>
      <w:r w:rsidRPr="008E189E">
        <w:rPr>
          <w:b/>
          <w:i/>
        </w:rPr>
        <w:t>v.</w:t>
      </w:r>
      <w:r w:rsidRPr="008E189E">
        <w:rPr>
          <w:b/>
        </w:rPr>
        <w:t xml:space="preserve"> </w:t>
      </w:r>
      <w:r w:rsidRPr="008E189E">
        <w:rPr>
          <w:rStyle w:val="SCCRespondentForIndexChar"/>
          <w:rFonts w:eastAsiaTheme="minorHAnsi"/>
        </w:rPr>
        <w:t>Allen</w:t>
      </w:r>
    </w:p>
    <w:p w:rsidR="00FA7702" w:rsidRPr="008E189E" w:rsidRDefault="00FA7702" w:rsidP="00FA7702">
      <w:pPr>
        <w:spacing w:line="480" w:lineRule="auto"/>
        <w:jc w:val="both"/>
      </w:pPr>
    </w:p>
    <w:p w:rsidR="00FA7702" w:rsidRPr="008E189E" w:rsidRDefault="00FA7702" w:rsidP="00FA7702">
      <w:pPr>
        <w:pStyle w:val="SCCSystemYear"/>
        <w:spacing w:line="480" w:lineRule="auto"/>
        <w:jc w:val="both"/>
      </w:pPr>
      <w:r w:rsidRPr="008E189E">
        <w:t>2010 SCC 42</w:t>
      </w:r>
    </w:p>
    <w:p w:rsidR="00FA7702" w:rsidRPr="008E189E" w:rsidRDefault="00FA7702" w:rsidP="00FA7702">
      <w:pPr>
        <w:spacing w:line="480" w:lineRule="auto"/>
        <w:jc w:val="both"/>
      </w:pPr>
    </w:p>
    <w:p w:rsidR="00FA7702" w:rsidRPr="008E189E" w:rsidRDefault="00FA7702" w:rsidP="00FA7702">
      <w:pPr>
        <w:spacing w:line="480" w:lineRule="auto"/>
        <w:jc w:val="both"/>
      </w:pPr>
      <w:r w:rsidRPr="008E189E">
        <w:t>File No.:  33558.</w:t>
      </w:r>
    </w:p>
    <w:p w:rsidR="00FA7702" w:rsidRPr="008E189E" w:rsidRDefault="00FA7702" w:rsidP="00FA7702">
      <w:pPr>
        <w:spacing w:line="480" w:lineRule="auto"/>
        <w:jc w:val="both"/>
      </w:pPr>
    </w:p>
    <w:p w:rsidR="00FA7702" w:rsidRPr="008E189E" w:rsidRDefault="00FA7702" w:rsidP="00FA7702">
      <w:pPr>
        <w:spacing w:line="480" w:lineRule="auto"/>
        <w:jc w:val="both"/>
      </w:pPr>
      <w:r w:rsidRPr="008E189E">
        <w:t>2010:  October 8; 2010:  October 27.</w:t>
      </w:r>
    </w:p>
    <w:p w:rsidR="00FA7702" w:rsidRPr="008E189E" w:rsidRDefault="00FA7702" w:rsidP="00FA7702">
      <w:pPr>
        <w:spacing w:line="480" w:lineRule="auto"/>
        <w:jc w:val="both"/>
      </w:pPr>
    </w:p>
    <w:p w:rsidR="00FA7702" w:rsidRPr="008E189E" w:rsidRDefault="00FA7702" w:rsidP="00FA7702">
      <w:pPr>
        <w:spacing w:line="480" w:lineRule="auto"/>
        <w:jc w:val="both"/>
      </w:pPr>
      <w:r w:rsidRPr="008E189E">
        <w:t>Present:  </w:t>
      </w:r>
      <w:proofErr w:type="spellStart"/>
      <w:r w:rsidRPr="008E189E">
        <w:t>Binnie</w:t>
      </w:r>
      <w:proofErr w:type="spellEnd"/>
      <w:r w:rsidRPr="008E189E">
        <w:t xml:space="preserve">, </w:t>
      </w:r>
      <w:proofErr w:type="spellStart"/>
      <w:r w:rsidRPr="008E189E">
        <w:t>LeBel</w:t>
      </w:r>
      <w:proofErr w:type="spellEnd"/>
      <w:r w:rsidRPr="008E189E">
        <w:t xml:space="preserve">, </w:t>
      </w:r>
      <w:proofErr w:type="spellStart"/>
      <w:r w:rsidRPr="008E189E">
        <w:t>Deschamps</w:t>
      </w:r>
      <w:proofErr w:type="spellEnd"/>
      <w:r w:rsidRPr="008E189E">
        <w:t xml:space="preserve">, Fish, </w:t>
      </w:r>
      <w:proofErr w:type="spellStart"/>
      <w:r w:rsidRPr="008E189E">
        <w:t>Abella</w:t>
      </w:r>
      <w:proofErr w:type="spellEnd"/>
      <w:r w:rsidRPr="008E189E">
        <w:t xml:space="preserve">, </w:t>
      </w:r>
      <w:proofErr w:type="spellStart"/>
      <w:r w:rsidRPr="008E189E">
        <w:t>Charron</w:t>
      </w:r>
      <w:proofErr w:type="spellEnd"/>
      <w:r w:rsidRPr="008E189E">
        <w:t xml:space="preserve"> and Rothstein JJ.</w:t>
      </w:r>
    </w:p>
    <w:p w:rsidR="00FA7702" w:rsidRPr="008E189E" w:rsidRDefault="00FA7702" w:rsidP="00FA7702">
      <w:pPr>
        <w:spacing w:line="480" w:lineRule="auto"/>
        <w:jc w:val="both"/>
      </w:pPr>
    </w:p>
    <w:p w:rsidR="00FA7702" w:rsidRPr="008E189E" w:rsidRDefault="00FA7702" w:rsidP="00FA7702">
      <w:pPr>
        <w:pStyle w:val="SCCLowerCourtNameLowercase"/>
      </w:pPr>
      <w:r w:rsidRPr="008E189E">
        <w:t xml:space="preserve">on appeal from the court of appeal for </w:t>
      </w:r>
      <w:proofErr w:type="spellStart"/>
      <w:r w:rsidRPr="008E189E">
        <w:t>alberta</w:t>
      </w:r>
      <w:proofErr w:type="spellEnd"/>
    </w:p>
    <w:p w:rsidR="00FA7702" w:rsidRPr="008E189E" w:rsidRDefault="00FA7702" w:rsidP="00FA7702">
      <w:pPr>
        <w:pStyle w:val="SCCNormalDoubleSpacing"/>
      </w:pPr>
    </w:p>
    <w:p w:rsidR="00FA7702" w:rsidRPr="008E189E" w:rsidRDefault="00FA7702" w:rsidP="00FA7702">
      <w:pPr>
        <w:pStyle w:val="SCCNormalDoubleSpacing"/>
        <w:tabs>
          <w:tab w:val="left" w:pos="1170"/>
        </w:tabs>
        <w:rPr>
          <w:i/>
        </w:rPr>
      </w:pPr>
      <w:r w:rsidRPr="008E189E">
        <w:tab/>
      </w:r>
      <w:r w:rsidRPr="008E189E">
        <w:rPr>
          <w:i/>
        </w:rPr>
        <w:t xml:space="preserve">Criminal law </w:t>
      </w:r>
      <w:r w:rsidRPr="008E189E">
        <w:t xml:space="preserve">— </w:t>
      </w:r>
      <w:r w:rsidRPr="008E189E">
        <w:rPr>
          <w:i/>
        </w:rPr>
        <w:t xml:space="preserve">Trial </w:t>
      </w:r>
      <w:r w:rsidRPr="008E189E">
        <w:t>—</w:t>
      </w:r>
      <w:r w:rsidRPr="008E189E">
        <w:rPr>
          <w:i/>
        </w:rPr>
        <w:t xml:space="preserve"> Charge to jury </w:t>
      </w:r>
      <w:r w:rsidRPr="008E189E">
        <w:t>—</w:t>
      </w:r>
      <w:r w:rsidRPr="008E189E">
        <w:rPr>
          <w:i/>
        </w:rPr>
        <w:t xml:space="preserve"> Adequacy of trial judge’s instructions </w:t>
      </w:r>
      <w:r w:rsidRPr="008E189E">
        <w:t>—</w:t>
      </w:r>
      <w:r w:rsidRPr="008E189E">
        <w:rPr>
          <w:i/>
        </w:rPr>
        <w:t xml:space="preserve"> Charge adequate </w:t>
      </w:r>
      <w:r w:rsidRPr="008E189E">
        <w:t>—</w:t>
      </w:r>
      <w:r w:rsidRPr="008E189E">
        <w:rPr>
          <w:i/>
        </w:rPr>
        <w:t xml:space="preserve"> Jury instruction fair, balanced and accurate on matters of </w:t>
      </w:r>
      <w:proofErr w:type="spellStart"/>
      <w:r w:rsidRPr="008E189E">
        <w:rPr>
          <w:i/>
        </w:rPr>
        <w:t>post</w:t>
      </w:r>
      <w:r w:rsidRPr="008E189E">
        <w:rPr>
          <w:i/>
        </w:rPr>
        <w:noBreakHyphen/>
        <w:t>offence</w:t>
      </w:r>
      <w:proofErr w:type="spellEnd"/>
      <w:r w:rsidRPr="008E189E">
        <w:rPr>
          <w:i/>
        </w:rPr>
        <w:t xml:space="preserve"> conduct.</w:t>
      </w:r>
    </w:p>
    <w:p w:rsidR="00FA7702" w:rsidRPr="008E189E" w:rsidRDefault="00FA7702" w:rsidP="00FA7702">
      <w:pPr>
        <w:pStyle w:val="SCCNormalDoubleSpacing"/>
        <w:tabs>
          <w:tab w:val="left" w:pos="1170"/>
        </w:tabs>
      </w:pPr>
    </w:p>
    <w:p w:rsidR="00FA7702" w:rsidRPr="008E189E" w:rsidRDefault="00FA7702" w:rsidP="00FA7702">
      <w:pPr>
        <w:tabs>
          <w:tab w:val="left" w:pos="1170"/>
        </w:tabs>
        <w:spacing w:line="480" w:lineRule="auto"/>
        <w:ind w:firstLine="720"/>
        <w:jc w:val="both"/>
      </w:pPr>
      <w:r>
        <w:tab/>
      </w:r>
      <w:r w:rsidR="00B913DC" w:rsidRPr="008E189E">
        <w:fldChar w:fldCharType="begin"/>
      </w:r>
      <w:r w:rsidRPr="008E189E">
        <w:instrText xml:space="preserve"> SEQ CHAPTER \h \r 1</w:instrText>
      </w:r>
      <w:r w:rsidR="00B913DC" w:rsidRPr="008E189E">
        <w:fldChar w:fldCharType="end"/>
      </w:r>
      <w:r w:rsidRPr="008E189E">
        <w:rPr>
          <w:i/>
          <w:iCs/>
        </w:rPr>
        <w:t>Held</w:t>
      </w:r>
      <w:r w:rsidRPr="008E189E">
        <w:t>:  The appeal should be dismissed.</w:t>
      </w:r>
    </w:p>
    <w:p w:rsidR="00FA7702" w:rsidRPr="008E189E" w:rsidRDefault="00FA7702" w:rsidP="00FA7702">
      <w:pPr>
        <w:tabs>
          <w:tab w:val="left" w:pos="1170"/>
        </w:tabs>
        <w:spacing w:line="480" w:lineRule="auto"/>
        <w:ind w:firstLine="720"/>
        <w:jc w:val="both"/>
      </w:pPr>
    </w:p>
    <w:p w:rsidR="00FA7702" w:rsidRPr="008E189E" w:rsidRDefault="00FA7702" w:rsidP="00FA7702">
      <w:pPr>
        <w:tabs>
          <w:tab w:val="left" w:pos="1170"/>
        </w:tabs>
        <w:spacing w:line="480" w:lineRule="auto"/>
        <w:jc w:val="both"/>
      </w:pPr>
      <w:r w:rsidRPr="008E189E">
        <w:tab/>
        <w:t xml:space="preserve">APPEAL from a judgment of the Alberta Court of Appeal (Hunt and Watson JJ.A. and </w:t>
      </w:r>
      <w:proofErr w:type="spellStart"/>
      <w:r w:rsidRPr="008E189E">
        <w:t>Belzil</w:t>
      </w:r>
      <w:proofErr w:type="spellEnd"/>
      <w:r w:rsidRPr="008E189E">
        <w:t xml:space="preserve"> J. (</w:t>
      </w:r>
      <w:r w:rsidRPr="008E189E">
        <w:rPr>
          <w:i/>
        </w:rPr>
        <w:t>ad hoc</w:t>
      </w:r>
      <w:r w:rsidRPr="008E189E">
        <w:t xml:space="preserve">)), 2009 ABCA 341, </w:t>
      </w:r>
      <w:r w:rsidRPr="008E189E">
        <w:rPr>
          <w:lang w:val="en-US"/>
        </w:rPr>
        <w:t>15 Alta</w:t>
      </w:r>
      <w:r>
        <w:rPr>
          <w:lang w:val="en-US"/>
        </w:rPr>
        <w:t>.</w:t>
      </w:r>
      <w:r w:rsidRPr="008E189E">
        <w:rPr>
          <w:lang w:val="en-US"/>
        </w:rPr>
        <w:t xml:space="preserve"> L.R. (5th) 1, 464 A.R. 208, </w:t>
      </w:r>
      <w:r w:rsidR="00B913DC" w:rsidRPr="008E189E">
        <w:fldChar w:fldCharType="begin"/>
      </w:r>
      <w:r w:rsidRPr="008E189E">
        <w:instrText xml:space="preserve"> SEQ CHAPTER \h \r 1</w:instrText>
      </w:r>
      <w:r w:rsidR="00B913DC" w:rsidRPr="008E189E">
        <w:fldChar w:fldCharType="end"/>
      </w:r>
      <w:r w:rsidRPr="008E189E">
        <w:rPr>
          <w:lang w:val="en-US"/>
        </w:rPr>
        <w:t xml:space="preserve">467 W.A.C. 208, 249 C.C.C. (3d) 296, 71 C.R. (6th) 226, [2010] 2 W.W.R. 63, </w:t>
      </w:r>
      <w:r w:rsidR="00B913DC" w:rsidRPr="008E189E">
        <w:fldChar w:fldCharType="begin"/>
      </w:r>
      <w:r w:rsidRPr="008E189E">
        <w:instrText xml:space="preserve"> SEQ CHAPTER \h \r 1</w:instrText>
      </w:r>
      <w:r w:rsidR="00B913DC" w:rsidRPr="008E189E">
        <w:fldChar w:fldCharType="end"/>
      </w:r>
      <w:r w:rsidRPr="008E189E">
        <w:rPr>
          <w:lang w:val="en-US"/>
        </w:rPr>
        <w:t xml:space="preserve">[2009] A.J. No. 1116 (QL), 2009 </w:t>
      </w:r>
      <w:proofErr w:type="spellStart"/>
      <w:r w:rsidRPr="008E189E">
        <w:rPr>
          <w:lang w:val="en-US"/>
        </w:rPr>
        <w:t>CarswellAlta</w:t>
      </w:r>
      <w:proofErr w:type="spellEnd"/>
      <w:r w:rsidRPr="008E189E">
        <w:rPr>
          <w:lang w:val="en-US"/>
        </w:rPr>
        <w:t xml:space="preserve"> 1780, upholding the </w:t>
      </w:r>
      <w:proofErr w:type="spellStart"/>
      <w:r w:rsidRPr="008E189E">
        <w:rPr>
          <w:lang w:val="en-US"/>
        </w:rPr>
        <w:t>accused’s</w:t>
      </w:r>
      <w:proofErr w:type="spellEnd"/>
      <w:r w:rsidRPr="008E189E">
        <w:rPr>
          <w:lang w:val="en-US"/>
        </w:rPr>
        <w:t xml:space="preserve"> conviction.  Appeal dismissed. </w:t>
      </w:r>
    </w:p>
    <w:p w:rsidR="00FA7702" w:rsidRPr="008E189E" w:rsidRDefault="00FA7702" w:rsidP="00FA7702">
      <w:pPr>
        <w:pStyle w:val="SCCNormalDoubleSpacing"/>
        <w:tabs>
          <w:tab w:val="left" w:pos="1170"/>
        </w:tabs>
      </w:pPr>
    </w:p>
    <w:p w:rsidR="00FA7702" w:rsidRPr="008E189E" w:rsidRDefault="00FA7702" w:rsidP="00FA7702">
      <w:pPr>
        <w:pStyle w:val="SCCNormalDoubleSpacing"/>
        <w:tabs>
          <w:tab w:val="left" w:pos="1170"/>
        </w:tabs>
      </w:pPr>
      <w:r w:rsidRPr="008E189E">
        <w:rPr>
          <w:rStyle w:val="SCCCounselNameChar"/>
        </w:rPr>
        <w:tab/>
      </w:r>
      <w:proofErr w:type="spellStart"/>
      <w:r w:rsidRPr="008E189E">
        <w:rPr>
          <w:rStyle w:val="SCCCounselNameChar"/>
        </w:rPr>
        <w:t>Hersh</w:t>
      </w:r>
      <w:proofErr w:type="spellEnd"/>
      <w:r w:rsidRPr="008E189E">
        <w:rPr>
          <w:rStyle w:val="SCCCounselNameChar"/>
        </w:rPr>
        <w:t xml:space="preserve"> </w:t>
      </w:r>
      <w:proofErr w:type="spellStart"/>
      <w:r w:rsidRPr="008E189E">
        <w:rPr>
          <w:rStyle w:val="SCCCounselNameChar"/>
        </w:rPr>
        <w:t>Wolch</w:t>
      </w:r>
      <w:proofErr w:type="spellEnd"/>
      <w:r w:rsidRPr="008E189E">
        <w:rPr>
          <w:rStyle w:val="SCCCounselNameChar"/>
        </w:rPr>
        <w:t>, Q.C.</w:t>
      </w:r>
      <w:r w:rsidRPr="008E189E">
        <w:rPr>
          <w:rStyle w:val="SCCCounselPartyRoleChar"/>
        </w:rPr>
        <w:t>, for the appellant.</w:t>
      </w:r>
    </w:p>
    <w:p w:rsidR="00FA7702" w:rsidRPr="008E189E" w:rsidRDefault="00FA7702" w:rsidP="00FA7702">
      <w:pPr>
        <w:pStyle w:val="SCCNormalDoubleSpacing"/>
        <w:tabs>
          <w:tab w:val="left" w:pos="1170"/>
        </w:tabs>
      </w:pPr>
    </w:p>
    <w:p w:rsidR="00FA7702" w:rsidRPr="008E189E" w:rsidRDefault="00FA7702" w:rsidP="00FA7702">
      <w:pPr>
        <w:pStyle w:val="SCCNormalDoubleSpacing"/>
        <w:tabs>
          <w:tab w:val="left" w:pos="1170"/>
        </w:tabs>
        <w:rPr>
          <w:rStyle w:val="SCCCounselPartyRoleChar"/>
        </w:rPr>
      </w:pPr>
      <w:r w:rsidRPr="008E189E">
        <w:rPr>
          <w:rStyle w:val="SCCCounselNameChar"/>
        </w:rPr>
        <w:tab/>
        <w:t>David C. Marriott</w:t>
      </w:r>
      <w:r w:rsidRPr="008E189E">
        <w:rPr>
          <w:rStyle w:val="SCCCounselPartyRoleChar"/>
        </w:rPr>
        <w:t>,</w:t>
      </w:r>
      <w:r>
        <w:rPr>
          <w:rStyle w:val="SCCCounselPartyRoleChar"/>
        </w:rPr>
        <w:t xml:space="preserve"> </w:t>
      </w:r>
      <w:r w:rsidRPr="00CF08C5">
        <w:rPr>
          <w:rStyle w:val="SCCCounselPartyRoleChar"/>
          <w:i/>
        </w:rPr>
        <w:t>Q.C.</w:t>
      </w:r>
      <w:r>
        <w:rPr>
          <w:rStyle w:val="SCCCounselPartyRoleChar"/>
        </w:rPr>
        <w:t>,</w:t>
      </w:r>
      <w:r w:rsidRPr="008E189E">
        <w:rPr>
          <w:rStyle w:val="SCCCounselPartyRoleChar"/>
        </w:rPr>
        <w:t xml:space="preserve"> for the respondent.</w:t>
      </w:r>
    </w:p>
    <w:p w:rsidR="00FA7702" w:rsidRPr="008E189E" w:rsidRDefault="00FA7702" w:rsidP="00FA7702">
      <w:pPr>
        <w:pStyle w:val="SCCNormalDoubleSpacing"/>
        <w:tabs>
          <w:tab w:val="left" w:pos="1170"/>
        </w:tabs>
        <w:ind w:firstLine="720"/>
        <w:rPr>
          <w:rStyle w:val="SCCCounselPartyRoleChar"/>
        </w:rPr>
      </w:pPr>
    </w:p>
    <w:p w:rsidR="00FA7702" w:rsidRDefault="00FA7702" w:rsidP="00FA7702">
      <w:pPr>
        <w:tabs>
          <w:tab w:val="left" w:pos="1170"/>
        </w:tabs>
        <w:spacing w:line="480" w:lineRule="auto"/>
      </w:pPr>
      <w:r>
        <w:tab/>
        <w:t>The following is the judgment delivered by</w:t>
      </w:r>
    </w:p>
    <w:p w:rsidR="00FA7702" w:rsidRPr="008E189E" w:rsidRDefault="00FA7702" w:rsidP="00FA7702">
      <w:pPr>
        <w:tabs>
          <w:tab w:val="left" w:pos="1170"/>
        </w:tabs>
        <w:spacing w:line="480" w:lineRule="auto"/>
      </w:pPr>
    </w:p>
    <w:p w:rsidR="00FA7702" w:rsidRPr="008E189E" w:rsidRDefault="00FA7702" w:rsidP="00FA7702">
      <w:pPr>
        <w:pStyle w:val="ListParagraph"/>
        <w:numPr>
          <w:ilvl w:val="0"/>
          <w:numId w:val="1"/>
        </w:numPr>
        <w:tabs>
          <w:tab w:val="left" w:pos="1170"/>
        </w:tabs>
        <w:spacing w:after="480" w:line="480" w:lineRule="auto"/>
        <w:ind w:left="0" w:firstLine="0"/>
        <w:jc w:val="both"/>
      </w:pPr>
      <w:r w:rsidRPr="008E189E">
        <w:rPr>
          <w:smallCaps/>
        </w:rPr>
        <w:t>The Court</w:t>
      </w:r>
      <w:r w:rsidRPr="008E189E">
        <w:t xml:space="preserve"> — </w:t>
      </w:r>
      <w:proofErr w:type="gramStart"/>
      <w:r w:rsidRPr="008E189E">
        <w:t>Following</w:t>
      </w:r>
      <w:proofErr w:type="gramEnd"/>
      <w:r w:rsidRPr="008E189E">
        <w:t xml:space="preserve"> his trial by judge and jury, George William Allen was convicted of first degree murder in respect of the death of Garry Joseph McGrath.  He appealed his conviction, alleging error in the trial judge’s instructions to the jury respecting the evidence of his post-offence conduct.  More specifically, the appellant argued before the Court of Appeal of Alberta that it was legally objectionable and prejudicial for the jury to be told that they could consider whether his conduct after the offence was consistent with the existence of a pre-existing plan and intention to kill McGrath. Watson J.A., </w:t>
      </w:r>
      <w:proofErr w:type="spellStart"/>
      <w:r w:rsidRPr="008E189E">
        <w:t>Belzil</w:t>
      </w:r>
      <w:proofErr w:type="spellEnd"/>
      <w:r w:rsidRPr="008E189E">
        <w:t xml:space="preserve"> J. (</w:t>
      </w:r>
      <w:r w:rsidRPr="008E189E">
        <w:rPr>
          <w:i/>
        </w:rPr>
        <w:t>ad hoc</w:t>
      </w:r>
      <w:r w:rsidRPr="008E189E">
        <w:t xml:space="preserve">) concurring, rejected the appellant’s argument and affirmed his conviction (2009 ABCA 341, 15 Alta. L.R. (5th) 1). Hunt J.A. dissented, holding that the trial judge failed to explain sufficiently to the jury the </w:t>
      </w:r>
      <w:r w:rsidRPr="008E189E">
        <w:lastRenderedPageBreak/>
        <w:t>limited way in which the appellant’s post-offence conduct might relate to the issue of planning and deliberation.  Mr. Allen appeals to this Court as of right.</w:t>
      </w:r>
    </w:p>
    <w:p w:rsidR="00FA7702" w:rsidRPr="008E189E" w:rsidRDefault="00FA7702" w:rsidP="00FA7702">
      <w:pPr>
        <w:pStyle w:val="ListParagraph"/>
        <w:numPr>
          <w:ilvl w:val="0"/>
          <w:numId w:val="1"/>
        </w:numPr>
        <w:tabs>
          <w:tab w:val="left" w:pos="1170"/>
        </w:tabs>
        <w:spacing w:after="480" w:line="480" w:lineRule="auto"/>
        <w:ind w:left="0" w:firstLine="0"/>
        <w:jc w:val="both"/>
      </w:pPr>
      <w:r w:rsidRPr="008E189E">
        <w:t>We are not persuaded that the jury instructions, read as a whole and in the context of the issues at trial, contained any such error.  As the majority in the Court of Appeal concluded, it is our view that the trial judge’s “charge to the jury was fair, balanced and accurate on the challenged topics of post-offence conduct” (</w:t>
      </w:r>
      <w:proofErr w:type="spellStart"/>
      <w:r w:rsidRPr="008E189E">
        <w:t>para</w:t>
      </w:r>
      <w:proofErr w:type="spellEnd"/>
      <w:r w:rsidRPr="008E189E">
        <w:t xml:space="preserve">. 93). The appeal is dismissed. </w:t>
      </w:r>
    </w:p>
    <w:p w:rsidR="00FA7702" w:rsidRPr="008E189E" w:rsidRDefault="00FA7702" w:rsidP="00FA7702">
      <w:pPr>
        <w:pStyle w:val="SCCNormalDoubleSpacing"/>
        <w:tabs>
          <w:tab w:val="left" w:pos="1170"/>
        </w:tabs>
        <w:rPr>
          <w:i/>
        </w:rPr>
      </w:pPr>
      <w:r w:rsidRPr="008E189E">
        <w:tab/>
      </w:r>
      <w:r w:rsidRPr="008E189E">
        <w:rPr>
          <w:i/>
        </w:rPr>
        <w:t>Appeal dismissed.</w:t>
      </w:r>
    </w:p>
    <w:p w:rsidR="00FA7702" w:rsidRPr="008E189E" w:rsidRDefault="00FA7702" w:rsidP="00FA7702">
      <w:pPr>
        <w:pStyle w:val="SCCNormalDoubleSpacing"/>
        <w:tabs>
          <w:tab w:val="left" w:pos="1170"/>
        </w:tabs>
      </w:pPr>
    </w:p>
    <w:p w:rsidR="00FA7702" w:rsidRPr="008E189E" w:rsidRDefault="00FA7702" w:rsidP="00FA7702">
      <w:pPr>
        <w:pStyle w:val="SCCLawFirm"/>
        <w:tabs>
          <w:tab w:val="left" w:pos="1170"/>
        </w:tabs>
      </w:pPr>
      <w:r w:rsidRPr="008E189E">
        <w:tab/>
        <w:t>Solicitors for the appellant:  </w:t>
      </w:r>
      <w:proofErr w:type="spellStart"/>
      <w:r w:rsidRPr="008E189E">
        <w:t>Wolch</w:t>
      </w:r>
      <w:proofErr w:type="spellEnd"/>
      <w:r w:rsidRPr="008E189E">
        <w:t xml:space="preserve">, </w:t>
      </w:r>
      <w:proofErr w:type="spellStart"/>
      <w:r w:rsidRPr="008E189E">
        <w:t>Hursh</w:t>
      </w:r>
      <w:proofErr w:type="spellEnd"/>
      <w:r w:rsidRPr="008E189E">
        <w:t xml:space="preserve">, </w:t>
      </w:r>
      <w:proofErr w:type="spellStart"/>
      <w:r w:rsidRPr="008E189E">
        <w:t>deWit</w:t>
      </w:r>
      <w:proofErr w:type="spellEnd"/>
      <w:r w:rsidRPr="008E189E">
        <w:t>, Silverberg &amp; Watts, Calgary.</w:t>
      </w:r>
    </w:p>
    <w:p w:rsidR="00FA7702" w:rsidRPr="008E189E" w:rsidRDefault="00FA7702" w:rsidP="00FA7702">
      <w:pPr>
        <w:pStyle w:val="SCCLawFirm"/>
        <w:tabs>
          <w:tab w:val="left" w:pos="1170"/>
        </w:tabs>
      </w:pPr>
    </w:p>
    <w:p w:rsidR="00FA7702" w:rsidRPr="008E189E" w:rsidRDefault="00FA7702" w:rsidP="00FA7702">
      <w:pPr>
        <w:pStyle w:val="SCCLawFirm"/>
        <w:tabs>
          <w:tab w:val="left" w:pos="1170"/>
        </w:tabs>
      </w:pPr>
      <w:r w:rsidRPr="008E189E">
        <w:tab/>
        <w:t>Solicitor for the respondent:  Attorney General of Alberta, Edmonton.</w:t>
      </w:r>
    </w:p>
    <w:p w:rsidR="0071313A" w:rsidRDefault="0071313A"/>
    <w:sectPr w:rsidR="0071313A" w:rsidSect="00713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702"/>
    <w:rsid w:val="000D7992"/>
    <w:rsid w:val="004C4F5E"/>
    <w:rsid w:val="0071313A"/>
    <w:rsid w:val="008D5CF0"/>
    <w:rsid w:val="00A77FD3"/>
    <w:rsid w:val="00B913DC"/>
    <w:rsid w:val="00FA77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02"/>
    <w:pPr>
      <w:spacing w:after="0" w:line="240" w:lineRule="auto"/>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702"/>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FA7702"/>
    <w:pPr>
      <w:jc w:val="center"/>
    </w:pPr>
    <w:rPr>
      <w:b/>
    </w:rPr>
  </w:style>
  <w:style w:type="character" w:customStyle="1" w:styleId="SCCLsocPartyChar">
    <w:name w:val="SCC.Lsoc.Party Char"/>
    <w:basedOn w:val="DefaultParagraphFont"/>
    <w:link w:val="SCCLsocParty"/>
    <w:rsid w:val="00FA7702"/>
    <w:rPr>
      <w:rFonts w:ascii="Times New Roman" w:hAnsi="Times New Roman"/>
      <w:b/>
      <w:sz w:val="24"/>
      <w:szCs w:val="24"/>
      <w:lang w:val="en-CA"/>
    </w:rPr>
  </w:style>
  <w:style w:type="paragraph" w:customStyle="1" w:styleId="SCCLsocVersus">
    <w:name w:val="SCC.Lsoc.Versus"/>
    <w:basedOn w:val="Normal"/>
    <w:next w:val="Normal"/>
    <w:link w:val="SCCLsocVersusChar"/>
    <w:rsid w:val="00FA7702"/>
    <w:pPr>
      <w:jc w:val="center"/>
    </w:pPr>
  </w:style>
  <w:style w:type="character" w:customStyle="1" w:styleId="SCCLsocVersusChar">
    <w:name w:val="SCC.Lsoc.Versus Char"/>
    <w:basedOn w:val="DefaultParagraphFont"/>
    <w:link w:val="SCCLsocVersus"/>
    <w:rsid w:val="00FA7702"/>
    <w:rPr>
      <w:rFonts w:ascii="Times New Roman" w:hAnsi="Times New Roman"/>
      <w:sz w:val="24"/>
      <w:szCs w:val="24"/>
      <w:lang w:val="en-CA"/>
    </w:rPr>
  </w:style>
  <w:style w:type="paragraph" w:customStyle="1" w:styleId="SCCLsocPartyRole">
    <w:name w:val="SCC.Lsoc.PartyRole"/>
    <w:basedOn w:val="Normal"/>
    <w:next w:val="Normal"/>
    <w:link w:val="SCCLsocPartyRoleChar"/>
    <w:rsid w:val="00FA7702"/>
    <w:pPr>
      <w:jc w:val="center"/>
    </w:pPr>
  </w:style>
  <w:style w:type="character" w:customStyle="1" w:styleId="SCCLsocPartyRoleChar">
    <w:name w:val="SCC.Lsoc.PartyRole Char"/>
    <w:basedOn w:val="DefaultParagraphFont"/>
    <w:link w:val="SCCLsocPartyRole"/>
    <w:rsid w:val="00FA7702"/>
    <w:rPr>
      <w:rFonts w:ascii="Times New Roman" w:hAnsi="Times New Roman"/>
      <w:sz w:val="24"/>
      <w:szCs w:val="24"/>
      <w:lang w:val="en-CA"/>
    </w:rPr>
  </w:style>
  <w:style w:type="paragraph" w:customStyle="1" w:styleId="SCCLsocPrefix">
    <w:name w:val="SCC.Lsoc.Prefix"/>
    <w:basedOn w:val="Normal"/>
    <w:next w:val="Normal"/>
    <w:link w:val="SCCLsocPrefixChar"/>
    <w:rsid w:val="00FA7702"/>
    <w:rPr>
      <w:b/>
      <w:smallCaps/>
    </w:rPr>
  </w:style>
  <w:style w:type="character" w:customStyle="1" w:styleId="SCCLsocPrefixChar">
    <w:name w:val="SCC.Lsoc.Prefix Char"/>
    <w:basedOn w:val="DefaultParagraphFont"/>
    <w:link w:val="SCCLsocPrefix"/>
    <w:rsid w:val="00FA7702"/>
    <w:rPr>
      <w:rFonts w:ascii="Times New Roman" w:hAnsi="Times New Roman"/>
      <w:b/>
      <w:smallCaps/>
      <w:sz w:val="24"/>
      <w:szCs w:val="24"/>
      <w:lang w:val="en-CA"/>
    </w:rPr>
  </w:style>
  <w:style w:type="paragraph" w:customStyle="1" w:styleId="SCCRespondentForIndex">
    <w:name w:val="SCC.RespondentForIndex"/>
    <w:basedOn w:val="Normal"/>
    <w:next w:val="Normal"/>
    <w:link w:val="SCCRespondentForIndexChar"/>
    <w:rsid w:val="00FA7702"/>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FA7702"/>
    <w:rPr>
      <w:rFonts w:ascii="Times New Roman" w:eastAsia="Times New Roman" w:hAnsi="Times New Roman" w:cs="Times New Roman"/>
      <w:b/>
      <w:sz w:val="24"/>
      <w:szCs w:val="20"/>
      <w:lang w:val="en-CA" w:eastAsia="en-CA"/>
    </w:rPr>
  </w:style>
  <w:style w:type="paragraph" w:customStyle="1" w:styleId="SCCNormalDoubleSpacing">
    <w:name w:val="SCC.Normal.DoubleSpacing"/>
    <w:basedOn w:val="Normal"/>
    <w:link w:val="SCCNormalDoubleSpacingChar"/>
    <w:rsid w:val="00FA7702"/>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FA7702"/>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FA7702"/>
    <w:rPr>
      <w:rFonts w:eastAsia="Times New Roman" w:cs="Times New Roman"/>
      <w:smallCaps/>
      <w:szCs w:val="20"/>
      <w:lang w:eastAsia="en-CA"/>
    </w:rPr>
  </w:style>
  <w:style w:type="character" w:customStyle="1" w:styleId="SCCAppellantForRunningHeadChar">
    <w:name w:val="SCC.AppellantForRunningHead Char"/>
    <w:basedOn w:val="DefaultParagraphFont"/>
    <w:link w:val="SCCAppellantForRunningHead"/>
    <w:rsid w:val="00FA7702"/>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FA7702"/>
    <w:rPr>
      <w:rFonts w:eastAsia="Times New Roman" w:cs="Times New Roman"/>
      <w:smallCaps/>
      <w:szCs w:val="20"/>
      <w:lang w:eastAsia="en-CA"/>
    </w:rPr>
  </w:style>
  <w:style w:type="character" w:customStyle="1" w:styleId="SCCRespondentForRunningHeadChar">
    <w:name w:val="SCC.RespondentForRunningHead Char"/>
    <w:basedOn w:val="DefaultParagraphFont"/>
    <w:link w:val="SCCRespondentForRunningHead"/>
    <w:rsid w:val="00FA7702"/>
    <w:rPr>
      <w:rFonts w:ascii="Times New Roman" w:eastAsia="Times New Roman" w:hAnsi="Times New Roman" w:cs="Times New Roman"/>
      <w:smallCaps/>
      <w:sz w:val="24"/>
      <w:szCs w:val="20"/>
      <w:lang w:val="en-CA" w:eastAsia="en-CA"/>
    </w:rPr>
  </w:style>
  <w:style w:type="paragraph" w:customStyle="1" w:styleId="SCCSystemYear">
    <w:name w:val="SCC.SystemYear"/>
    <w:basedOn w:val="Normal"/>
    <w:next w:val="Normal"/>
    <w:link w:val="SCCSystemYearChar"/>
    <w:rsid w:val="00FA7702"/>
    <w:rPr>
      <w:rFonts w:eastAsia="Times New Roman" w:cs="Times New Roman"/>
      <w:b/>
      <w:szCs w:val="20"/>
      <w:lang w:eastAsia="en-CA"/>
    </w:rPr>
  </w:style>
  <w:style w:type="character" w:customStyle="1" w:styleId="SCCSystemYearChar">
    <w:name w:val="SCC.SystemYear Char"/>
    <w:basedOn w:val="DefaultParagraphFont"/>
    <w:link w:val="SCCSystemYear"/>
    <w:rsid w:val="00FA7702"/>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FA7702"/>
    <w:rPr>
      <w:smallCaps/>
    </w:rPr>
  </w:style>
  <w:style w:type="paragraph" w:customStyle="1" w:styleId="SCCCounselName">
    <w:name w:val="SCC.CounselName"/>
    <w:basedOn w:val="SCCNormalDoubleSpacing"/>
    <w:next w:val="SCCNormalDoubleSpacing"/>
    <w:link w:val="SCCCounselNameChar"/>
    <w:rsid w:val="00FA7702"/>
    <w:rPr>
      <w:i/>
    </w:rPr>
  </w:style>
  <w:style w:type="character" w:customStyle="1" w:styleId="SCCCounselNameChar">
    <w:name w:val="SCC.CounselName Char"/>
    <w:basedOn w:val="SCCNormalDoubleSpacingChar"/>
    <w:link w:val="SCCCounselName"/>
    <w:rsid w:val="00FA7702"/>
    <w:rPr>
      <w:i/>
    </w:rPr>
  </w:style>
  <w:style w:type="paragraph" w:customStyle="1" w:styleId="SCCLawFirm">
    <w:name w:val="SCC.LawFirm"/>
    <w:basedOn w:val="SCCNormalDoubleSpacing"/>
    <w:next w:val="SCCNormalDoubleSpacing"/>
    <w:link w:val="SCCLawFirmChar"/>
    <w:rsid w:val="00FA7702"/>
    <w:rPr>
      <w:i/>
    </w:rPr>
  </w:style>
  <w:style w:type="character" w:customStyle="1" w:styleId="SCCLawFirmChar">
    <w:name w:val="SCC.LawFirm Char"/>
    <w:basedOn w:val="SCCNormalDoubleSpacingChar"/>
    <w:link w:val="SCCLawFirm"/>
    <w:rsid w:val="00FA7702"/>
    <w:rPr>
      <w:i/>
    </w:rPr>
  </w:style>
  <w:style w:type="paragraph" w:customStyle="1" w:styleId="SCCCounselPartyRole">
    <w:name w:val="SCC.CounselPartyRole"/>
    <w:basedOn w:val="SCCNormalDoubleSpacing"/>
    <w:next w:val="SCCNormalDoubleSpacing"/>
    <w:link w:val="SCCCounselPartyRoleChar"/>
    <w:rsid w:val="00FA7702"/>
  </w:style>
  <w:style w:type="character" w:customStyle="1" w:styleId="SCCCounselPartyRoleChar">
    <w:name w:val="SCC.CounselPartyRole Char"/>
    <w:basedOn w:val="SCCNormalDoubleSpacingChar"/>
    <w:link w:val="SCCCounselPartyRole"/>
    <w:rsid w:val="00FA7702"/>
  </w:style>
  <w:style w:type="paragraph" w:styleId="ListParagraph">
    <w:name w:val="List Paragraph"/>
    <w:basedOn w:val="Normal"/>
    <w:uiPriority w:val="34"/>
    <w:qFormat/>
    <w:rsid w:val="00FA7702"/>
    <w:pPr>
      <w:ind w:left="720"/>
    </w:pPr>
    <w:rPr>
      <w:rFonts w:eastAsia="Times New Roman" w:cs="Times New Roman"/>
      <w:szCs w:val="20"/>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2547</Characters>
  <Application>Microsoft Office Word</Application>
  <DocSecurity>0</DocSecurity>
  <Lines>21</Lines>
  <Paragraphs>6</Paragraphs>
  <ScaleCrop>false</ScaleCrop>
  <Company>CSC</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cp:revision>
  <cp:lastPrinted>2011-02-22T21:40:00Z</cp:lastPrinted>
  <dcterms:created xsi:type="dcterms:W3CDTF">2011-02-23T16:41:00Z</dcterms:created>
  <dcterms:modified xsi:type="dcterms:W3CDTF">2011-02-23T16:41:00Z</dcterms:modified>
</cp:coreProperties>
</file>