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AB" w:rsidRDefault="00AB2AAB" w:rsidP="00AB2AA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362570224" r:id="rId8"/>
        </w:object>
      </w:r>
      <w:r>
        <w:t xml:space="preserve"> </w:t>
      </w:r>
      <w:r>
        <w:ptab w:relativeTo="margin" w:alignment="right" w:leader="none"/>
      </w:r>
    </w:p>
    <w:p w:rsidR="00AB2AAB" w:rsidRDefault="00AB2AAB" w:rsidP="00AB2AAB">
      <w:pPr>
        <w:pStyle w:val="Header"/>
      </w:pPr>
    </w:p>
    <w:p w:rsidR="00AB2AAB" w:rsidRPr="006B210C" w:rsidRDefault="00AB2AAB" w:rsidP="00AB2AAB">
      <w:pPr>
        <w:jc w:val="center"/>
        <w:rPr>
          <w:b/>
        </w:rPr>
      </w:pPr>
      <w:r w:rsidRPr="006B210C">
        <w:rPr>
          <w:b/>
        </w:rPr>
        <w:t>SUPREME COURT OF CANADA</w:t>
      </w:r>
    </w:p>
    <w:p w:rsidR="00AB2AAB" w:rsidRDefault="00AB2AAB">
      <w:pPr>
        <w:rPr>
          <w:rStyle w:val="SCCAppellantForRunningHeadChar"/>
          <w:smallCaps w:val="0"/>
          <w:lang w:val="fr-CA"/>
        </w:rPr>
      </w:pPr>
    </w:p>
    <w:p w:rsidR="00AB2AAB" w:rsidRDefault="00AB2AAB">
      <w:pPr>
        <w:rPr>
          <w:rStyle w:val="SCCAppellantForRunningHeadChar"/>
          <w:smallCaps w:val="0"/>
          <w:lang w:val="fr-CA"/>
        </w:rPr>
      </w:pPr>
    </w:p>
    <w:p w:rsidR="00AB2AAB" w:rsidRDefault="00AB2AAB">
      <w:pPr>
        <w:rPr>
          <w:rStyle w:val="SCCAppellantForRunningHeadChar"/>
          <w:smallCaps w:val="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B2AAB" w:rsidRPr="006B210C" w:rsidTr="00EB3E9F">
        <w:trPr>
          <w:cantSplit/>
        </w:trPr>
        <w:tc>
          <w:tcPr>
            <w:tcW w:w="6768" w:type="dxa"/>
          </w:tcPr>
          <w:p w:rsidR="00AB2AAB" w:rsidRPr="00413A23" w:rsidRDefault="00AB2AAB" w:rsidP="00EB3E9F">
            <w:pPr>
              <w:rPr>
                <w:lang w:val="fr-CA"/>
              </w:rPr>
            </w:pPr>
            <w:r w:rsidRPr="00413A23">
              <w:rPr>
                <w:b/>
                <w:smallCaps/>
                <w:lang w:val="fr-CA"/>
              </w:rPr>
              <w:t xml:space="preserve">Citation </w:t>
            </w:r>
            <w:r w:rsidRPr="00413A23">
              <w:rPr>
                <w:lang w:val="fr-CA"/>
              </w:rPr>
              <w:t xml:space="preserve">: R. </w:t>
            </w:r>
            <w:r w:rsidRPr="00413A23">
              <w:rPr>
                <w:i/>
                <w:lang w:val="fr-CA"/>
              </w:rPr>
              <w:t>v.</w:t>
            </w:r>
            <w:r w:rsidRPr="00413A23">
              <w:rPr>
                <w:lang w:val="fr-CA"/>
              </w:rPr>
              <w:t xml:space="preserve"> </w:t>
            </w:r>
            <w:proofErr w:type="spellStart"/>
            <w:r w:rsidRPr="00413A23">
              <w:rPr>
                <w:rStyle w:val="SCCRespondentForIndexChar"/>
                <w:b w:val="0"/>
                <w:lang w:val="fr-CA"/>
              </w:rPr>
              <w:t>Imoro</w:t>
            </w:r>
            <w:proofErr w:type="spellEnd"/>
            <w:r w:rsidRPr="00413A23">
              <w:rPr>
                <w:rStyle w:val="SCCRespondentForIndexChar"/>
                <w:b w:val="0"/>
                <w:lang w:val="fr-CA"/>
              </w:rPr>
              <w:t>, 2010 SCC 50, [2010] 3 S.C.R. 62</w:t>
            </w:r>
          </w:p>
        </w:tc>
        <w:tc>
          <w:tcPr>
            <w:tcW w:w="2808" w:type="dxa"/>
          </w:tcPr>
          <w:p w:rsidR="00AB2AAB" w:rsidRPr="006B210C" w:rsidRDefault="00AB2AAB" w:rsidP="00EB3E9F">
            <w:r w:rsidRPr="006B210C">
              <w:rPr>
                <w:b/>
                <w:smallCaps/>
              </w:rPr>
              <w:t xml:space="preserve">Date </w:t>
            </w:r>
            <w:r w:rsidRPr="006B210C">
              <w:t xml:space="preserve">: </w:t>
            </w:r>
            <w:r>
              <w:t>20101108</w:t>
            </w:r>
          </w:p>
          <w:p w:rsidR="00AB2AAB" w:rsidRPr="006B210C" w:rsidRDefault="00AB2AAB" w:rsidP="00EB3E9F">
            <w:r w:rsidRPr="006B210C">
              <w:rPr>
                <w:b/>
                <w:smallCaps/>
              </w:rPr>
              <w:t xml:space="preserve">Docket </w:t>
            </w:r>
            <w:r w:rsidRPr="006B210C">
              <w:t xml:space="preserve">: </w:t>
            </w:r>
            <w:r>
              <w:t>33649</w:t>
            </w:r>
          </w:p>
        </w:tc>
      </w:tr>
    </w:tbl>
    <w:p w:rsidR="00AB2AAB" w:rsidRPr="006B210C" w:rsidRDefault="00AB2AAB" w:rsidP="00AB2AAB"/>
    <w:p w:rsidR="00AB2AAB" w:rsidRDefault="00AB2AAB" w:rsidP="00AB2AAB">
      <w:pPr>
        <w:pStyle w:val="SCCLsocPrefix"/>
      </w:pPr>
      <w:r>
        <w:t>Between:</w:t>
      </w:r>
    </w:p>
    <w:p w:rsidR="00AB2AAB" w:rsidRDefault="00AB2AAB" w:rsidP="00AB2AAB">
      <w:pPr>
        <w:pStyle w:val="SCCLsocParty"/>
        <w:jc w:val="center"/>
      </w:pPr>
      <w:proofErr w:type="spellStart"/>
      <w:r>
        <w:t>Aliu</w:t>
      </w:r>
      <w:proofErr w:type="spellEnd"/>
      <w:r>
        <w:t xml:space="preserve"> </w:t>
      </w:r>
      <w:proofErr w:type="spellStart"/>
      <w:r>
        <w:t>Imoro</w:t>
      </w:r>
      <w:proofErr w:type="spellEnd"/>
    </w:p>
    <w:p w:rsidR="00AB2AAB" w:rsidRPr="000860BA" w:rsidRDefault="00AB2AAB" w:rsidP="00AB2AAB">
      <w:pPr>
        <w:pStyle w:val="SCCLsocPartyRole"/>
        <w:jc w:val="center"/>
        <w:rPr>
          <w:i w:val="0"/>
        </w:rPr>
      </w:pPr>
      <w:r w:rsidRPr="000860BA">
        <w:rPr>
          <w:i w:val="0"/>
        </w:rPr>
        <w:t>Appellant</w:t>
      </w:r>
    </w:p>
    <w:p w:rsidR="00AB2AAB" w:rsidRPr="000860BA" w:rsidRDefault="00AB2AAB" w:rsidP="00AB2AAB">
      <w:pPr>
        <w:pStyle w:val="SCCLsocVersus"/>
        <w:jc w:val="center"/>
        <w:rPr>
          <w:i w:val="0"/>
        </w:rPr>
      </w:pPr>
      <w:proofErr w:type="gramStart"/>
      <w:r w:rsidRPr="000860BA">
        <w:rPr>
          <w:i w:val="0"/>
        </w:rPr>
        <w:t>and</w:t>
      </w:r>
      <w:proofErr w:type="gramEnd"/>
    </w:p>
    <w:p w:rsidR="00AB2AAB" w:rsidRDefault="00AB2AAB" w:rsidP="00AB2AAB">
      <w:pPr>
        <w:pStyle w:val="SCCLsocParty"/>
        <w:jc w:val="center"/>
      </w:pPr>
      <w:r>
        <w:t xml:space="preserve">Her Majesty </w:t>
      </w:r>
      <w:proofErr w:type="gramStart"/>
      <w:r>
        <w:t>The</w:t>
      </w:r>
      <w:proofErr w:type="gramEnd"/>
      <w:r>
        <w:t xml:space="preserve"> Queen</w:t>
      </w:r>
    </w:p>
    <w:p w:rsidR="00AB2AAB" w:rsidRPr="000860BA" w:rsidRDefault="00AB2AAB" w:rsidP="00AB2AAB">
      <w:pPr>
        <w:pStyle w:val="SCCLsocPartyRole"/>
        <w:jc w:val="center"/>
        <w:rPr>
          <w:i w:val="0"/>
        </w:rPr>
      </w:pPr>
      <w:r w:rsidRPr="000860BA">
        <w:rPr>
          <w:i w:val="0"/>
        </w:rPr>
        <w:t>Respondent</w:t>
      </w:r>
    </w:p>
    <w:p w:rsidR="00AB2AAB" w:rsidRDefault="00AB2AAB" w:rsidP="00AB2AAB">
      <w:pPr>
        <w:jc w:val="center"/>
      </w:pPr>
      <w:r>
        <w:t xml:space="preserve">- </w:t>
      </w:r>
      <w:proofErr w:type="gramStart"/>
      <w:r>
        <w:t>and</w:t>
      </w:r>
      <w:proofErr w:type="gramEnd"/>
      <w:r>
        <w:t xml:space="preserve"> -</w:t>
      </w:r>
    </w:p>
    <w:p w:rsidR="00AB2AAB" w:rsidRPr="00413A23" w:rsidRDefault="00AB2AAB" w:rsidP="00AB2AAB">
      <w:pPr>
        <w:jc w:val="center"/>
        <w:rPr>
          <w:b/>
        </w:rPr>
      </w:pPr>
      <w:r w:rsidRPr="00413A23">
        <w:rPr>
          <w:b/>
        </w:rPr>
        <w:t>Attorney General of Ontario</w:t>
      </w:r>
    </w:p>
    <w:p w:rsidR="00AB2AAB" w:rsidRPr="00413A23" w:rsidRDefault="00AB2AAB" w:rsidP="00AB2AAB">
      <w:pPr>
        <w:jc w:val="center"/>
      </w:pPr>
      <w:r>
        <w:t>Intervener</w:t>
      </w:r>
    </w:p>
    <w:p w:rsidR="00AB2AAB" w:rsidRDefault="00AB2AAB" w:rsidP="00AB2AAB"/>
    <w:p w:rsidR="00AB2AAB" w:rsidRPr="006B210C" w:rsidRDefault="00AB2AAB" w:rsidP="00AB2AAB"/>
    <w:p w:rsidR="00AB2AAB" w:rsidRPr="006B210C" w:rsidRDefault="00AB2AAB" w:rsidP="00AB2AAB">
      <w:proofErr w:type="gramStart"/>
      <w:r w:rsidRPr="006B210C">
        <w:rPr>
          <w:b/>
          <w:smallCaps/>
        </w:rPr>
        <w:t xml:space="preserve">Coram </w:t>
      </w:r>
      <w:r w:rsidRPr="006B210C">
        <w:t>:</w:t>
      </w:r>
      <w:proofErr w:type="gramEnd"/>
      <w:r w:rsidRPr="006B210C">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Rothstein and Cromwell JJ.</w:t>
      </w:r>
    </w:p>
    <w:p w:rsidR="00AB2AAB" w:rsidRPr="006B210C" w:rsidRDefault="00AB2AAB" w:rsidP="00AB2A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B2AAB" w:rsidRPr="006B210C" w:rsidTr="00EB3E9F">
        <w:trPr>
          <w:cantSplit/>
        </w:trPr>
        <w:tc>
          <w:tcPr>
            <w:tcW w:w="3618" w:type="dxa"/>
          </w:tcPr>
          <w:p w:rsidR="00AB2AAB" w:rsidRDefault="00AB2AAB" w:rsidP="00EB3E9F">
            <w:r w:rsidRPr="006B210C">
              <w:rPr>
                <w:b/>
                <w:smallCaps/>
              </w:rPr>
              <w:t>Reasons for Judgment</w:t>
            </w:r>
            <w:r w:rsidRPr="006B210C">
              <w:t xml:space="preserve"> :</w:t>
            </w:r>
          </w:p>
          <w:p w:rsidR="00AB2AAB" w:rsidRPr="006B210C" w:rsidRDefault="00AB2AAB" w:rsidP="00EB3E9F">
            <w:r>
              <w:t>(</w:t>
            </w:r>
            <w:proofErr w:type="spellStart"/>
            <w:r>
              <w:t>para</w:t>
            </w:r>
            <w:proofErr w:type="spellEnd"/>
            <w:r>
              <w:t>. 1)</w:t>
            </w:r>
          </w:p>
        </w:tc>
        <w:tc>
          <w:tcPr>
            <w:tcW w:w="5958" w:type="dxa"/>
          </w:tcPr>
          <w:p w:rsidR="00AB2AAB" w:rsidRPr="006B210C" w:rsidRDefault="00AB2AAB" w:rsidP="00EB3E9F">
            <w:proofErr w:type="spellStart"/>
            <w:r>
              <w:t>LeBel</w:t>
            </w:r>
            <w:proofErr w:type="spellEnd"/>
            <w:r>
              <w:t xml:space="preserve"> J.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xml:space="preserve">, Rothstein and Cromwell JJ. concurring) </w:t>
            </w:r>
          </w:p>
        </w:tc>
      </w:tr>
    </w:tbl>
    <w:p w:rsidR="00AB2AAB" w:rsidRPr="006B210C" w:rsidRDefault="00B6736C" w:rsidP="00AB2AAB">
      <w:r w:rsidRPr="00B6736C">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AB2AAB" w:rsidRPr="00AB2AAB" w:rsidRDefault="00AB2AAB">
      <w:pPr>
        <w:rPr>
          <w:rStyle w:val="SCCAppellantForRunningHeadChar"/>
          <w:smallCaps w:val="0"/>
        </w:rPr>
      </w:pPr>
      <w:r w:rsidRPr="00AB2AAB">
        <w:rPr>
          <w:rStyle w:val="SCCAppellantForRunningHeadChar"/>
          <w:smallCaps w:val="0"/>
        </w:rPr>
        <w:br w:type="page"/>
      </w:r>
    </w:p>
    <w:p w:rsidR="008322BD" w:rsidRPr="00AB2AAB" w:rsidRDefault="00166A38" w:rsidP="00166A38">
      <w:pPr>
        <w:spacing w:line="480" w:lineRule="auto"/>
        <w:jc w:val="both"/>
        <w:rPr>
          <w:lang w:val="fr-CA"/>
        </w:rPr>
      </w:pPr>
      <w:r w:rsidRPr="00AB2AAB">
        <w:rPr>
          <w:rStyle w:val="SCCAppellantForRunningHeadChar"/>
          <w:smallCaps w:val="0"/>
          <w:lang w:val="fr-CA"/>
        </w:rPr>
        <w:lastRenderedPageBreak/>
        <w:t>R.</w:t>
      </w:r>
      <w:r w:rsidRPr="00AB2AAB">
        <w:rPr>
          <w:rStyle w:val="SCCAppellantForRunningHeadChar"/>
          <w:lang w:val="fr-CA"/>
        </w:rPr>
        <w:t xml:space="preserve"> </w:t>
      </w:r>
      <w:r w:rsidRPr="00AB2AAB">
        <w:rPr>
          <w:rStyle w:val="SCCAppellantForRunningHeadChar"/>
          <w:i/>
          <w:smallCaps w:val="0"/>
          <w:lang w:val="fr-CA"/>
        </w:rPr>
        <w:t>v.</w:t>
      </w:r>
      <w:r w:rsidRPr="00AB2AAB">
        <w:rPr>
          <w:rStyle w:val="SCCAppellantForRunningHeadChar"/>
          <w:lang w:val="fr-CA"/>
        </w:rPr>
        <w:t xml:space="preserve"> </w:t>
      </w:r>
      <w:proofErr w:type="spellStart"/>
      <w:r w:rsidR="008F78E9" w:rsidRPr="00AB2AAB">
        <w:rPr>
          <w:rStyle w:val="SCCAppellantForRunningHeadChar"/>
          <w:smallCaps w:val="0"/>
          <w:lang w:val="fr-CA"/>
        </w:rPr>
        <w:t>Imoro</w:t>
      </w:r>
      <w:proofErr w:type="spellEnd"/>
      <w:r w:rsidR="009D2E18" w:rsidRPr="00AB2AAB">
        <w:rPr>
          <w:rStyle w:val="SCCAppellantForRunningHeadChar"/>
          <w:lang w:val="fr-CA"/>
        </w:rPr>
        <w:t>, 2010</w:t>
      </w:r>
      <w:r w:rsidR="009D2E18" w:rsidRPr="00AB2AAB">
        <w:rPr>
          <w:rStyle w:val="SCCRespondentForRunningHeadChar"/>
          <w:smallCaps w:val="0"/>
          <w:lang w:val="fr-CA"/>
        </w:rPr>
        <w:t xml:space="preserve"> SCC 50, [2010] 3 S.C.R. 62</w:t>
      </w:r>
    </w:p>
    <w:p w:rsidR="00A149DF" w:rsidRPr="00AB2AAB" w:rsidRDefault="00A149DF" w:rsidP="00166A38">
      <w:pPr>
        <w:spacing w:line="480" w:lineRule="auto"/>
        <w:jc w:val="both"/>
        <w:rPr>
          <w:lang w:val="fr-CA"/>
        </w:rPr>
      </w:pPr>
    </w:p>
    <w:p w:rsidR="00504B76" w:rsidRPr="00AB2AAB" w:rsidRDefault="00166A38" w:rsidP="00166A38">
      <w:pPr>
        <w:pStyle w:val="SCCLsocParty"/>
        <w:tabs>
          <w:tab w:val="right" w:pos="8100"/>
        </w:tabs>
        <w:spacing w:line="480" w:lineRule="auto"/>
        <w:rPr>
          <w:lang w:val="fr-CA"/>
        </w:rPr>
      </w:pPr>
      <w:proofErr w:type="spellStart"/>
      <w:r w:rsidRPr="00AB2AAB">
        <w:rPr>
          <w:lang w:val="fr-CA"/>
        </w:rPr>
        <w:t>Aliu</w:t>
      </w:r>
      <w:proofErr w:type="spellEnd"/>
      <w:r w:rsidRPr="00AB2AAB">
        <w:rPr>
          <w:lang w:val="fr-CA"/>
        </w:rPr>
        <w:t xml:space="preserve"> </w:t>
      </w:r>
      <w:proofErr w:type="spellStart"/>
      <w:r w:rsidRPr="00AB2AAB">
        <w:rPr>
          <w:lang w:val="fr-CA"/>
        </w:rPr>
        <w:t>Imoro</w:t>
      </w:r>
      <w:proofErr w:type="spellEnd"/>
      <w:r w:rsidRPr="00AB2AAB">
        <w:rPr>
          <w:lang w:val="fr-CA"/>
        </w:rPr>
        <w:tab/>
      </w:r>
      <w:proofErr w:type="spellStart"/>
      <w:r w:rsidRPr="00AB2AAB">
        <w:rPr>
          <w:b w:val="0"/>
          <w:i/>
          <w:lang w:val="fr-CA"/>
        </w:rPr>
        <w:t>Appellant</w:t>
      </w:r>
      <w:proofErr w:type="spellEnd"/>
    </w:p>
    <w:p w:rsidR="00166A38" w:rsidRPr="00AB2AAB" w:rsidRDefault="00166A38" w:rsidP="00166A38">
      <w:pPr>
        <w:pStyle w:val="SCCLsocVersus"/>
        <w:spacing w:line="480" w:lineRule="auto"/>
        <w:rPr>
          <w:lang w:val="fr-CA"/>
        </w:rPr>
      </w:pPr>
    </w:p>
    <w:p w:rsidR="00504B76" w:rsidRDefault="00166A38" w:rsidP="00166A38">
      <w:pPr>
        <w:pStyle w:val="SCCLsocVersus"/>
        <w:spacing w:line="480" w:lineRule="auto"/>
      </w:pPr>
      <w:proofErr w:type="gramStart"/>
      <w:r>
        <w:t>v</w:t>
      </w:r>
      <w:proofErr w:type="gramEnd"/>
      <w:r>
        <w:t>.</w:t>
      </w:r>
    </w:p>
    <w:p w:rsidR="00166A38" w:rsidRPr="00166A38" w:rsidRDefault="00166A38" w:rsidP="00166A38">
      <w:pPr>
        <w:spacing w:line="480" w:lineRule="auto"/>
      </w:pPr>
    </w:p>
    <w:p w:rsidR="00504B76" w:rsidRPr="00166A38" w:rsidRDefault="00E51A75" w:rsidP="00166A38">
      <w:pPr>
        <w:pStyle w:val="SCCLsocParty"/>
        <w:tabs>
          <w:tab w:val="right" w:pos="8190"/>
        </w:tabs>
        <w:spacing w:line="480" w:lineRule="auto"/>
        <w:rPr>
          <w:b w:val="0"/>
          <w:i/>
        </w:rPr>
      </w:pPr>
      <w:r>
        <w:t xml:space="preserve">Her Majesty </w:t>
      </w:r>
      <w:proofErr w:type="gramStart"/>
      <w:r>
        <w:t>T</w:t>
      </w:r>
      <w:r w:rsidR="00166A38">
        <w:t>he</w:t>
      </w:r>
      <w:proofErr w:type="gramEnd"/>
      <w:r w:rsidR="00166A38">
        <w:t xml:space="preserve"> Queen</w:t>
      </w:r>
      <w:r w:rsidR="00166A38">
        <w:tab/>
      </w:r>
      <w:r w:rsidR="00166A38" w:rsidRPr="00166A38">
        <w:rPr>
          <w:b w:val="0"/>
          <w:i/>
        </w:rPr>
        <w:t>Respondent</w:t>
      </w:r>
    </w:p>
    <w:p w:rsidR="00166A38" w:rsidRDefault="00166A38" w:rsidP="00166A38">
      <w:pPr>
        <w:spacing w:line="480" w:lineRule="auto"/>
        <w:rPr>
          <w:i/>
        </w:rPr>
      </w:pPr>
    </w:p>
    <w:p w:rsidR="00504B76" w:rsidRDefault="00166A38" w:rsidP="00166A38">
      <w:pPr>
        <w:pStyle w:val="SCCLsocOtherPartySeparator"/>
        <w:spacing w:line="480" w:lineRule="auto"/>
      </w:pPr>
      <w:proofErr w:type="gramStart"/>
      <w:r>
        <w:t>and</w:t>
      </w:r>
      <w:proofErr w:type="gramEnd"/>
    </w:p>
    <w:p w:rsidR="00166A38" w:rsidRDefault="00166A38" w:rsidP="00166A38">
      <w:pPr>
        <w:spacing w:line="480" w:lineRule="auto"/>
      </w:pPr>
    </w:p>
    <w:p w:rsidR="00504B76" w:rsidRDefault="00166A38" w:rsidP="00166A38">
      <w:pPr>
        <w:pStyle w:val="SCCLsocParty"/>
        <w:tabs>
          <w:tab w:val="right" w:pos="8190"/>
        </w:tabs>
        <w:spacing w:line="480" w:lineRule="auto"/>
      </w:pPr>
      <w:r>
        <w:t>Attorney General of Ontario</w:t>
      </w:r>
      <w:r>
        <w:tab/>
      </w:r>
      <w:r w:rsidRPr="00166A38">
        <w:rPr>
          <w:b w:val="0"/>
          <w:i/>
        </w:rPr>
        <w:t>Intervener</w:t>
      </w:r>
    </w:p>
    <w:p w:rsidR="00766D14" w:rsidRDefault="00766D14" w:rsidP="00166A38">
      <w:pPr>
        <w:spacing w:line="480" w:lineRule="auto"/>
        <w:jc w:val="both"/>
      </w:pPr>
    </w:p>
    <w:p w:rsidR="00426659" w:rsidRPr="00426659" w:rsidRDefault="00426659" w:rsidP="00166A38">
      <w:pPr>
        <w:spacing w:line="480" w:lineRule="auto"/>
        <w:jc w:val="both"/>
        <w:rPr>
          <w:b/>
        </w:rPr>
      </w:pPr>
      <w:r w:rsidRPr="00426659">
        <w:rPr>
          <w:b/>
        </w:rPr>
        <w:t>Indexed as:</w:t>
      </w:r>
      <w:r>
        <w:rPr>
          <w:b/>
        </w:rPr>
        <w:t xml:space="preserve"> </w:t>
      </w:r>
      <w:r w:rsidRPr="00426659">
        <w:rPr>
          <w:b/>
        </w:rPr>
        <w:t xml:space="preserve"> </w:t>
      </w:r>
      <w:r w:rsidR="00166A38">
        <w:rPr>
          <w:b/>
        </w:rPr>
        <w:t xml:space="preserve">R. </w:t>
      </w:r>
      <w:r w:rsidR="00166A38" w:rsidRPr="00166A38">
        <w:rPr>
          <w:b/>
          <w:i/>
        </w:rPr>
        <w:t>v.</w:t>
      </w:r>
      <w:r w:rsidR="00166A38">
        <w:rPr>
          <w:b/>
        </w:rPr>
        <w:t xml:space="preserve"> </w:t>
      </w:r>
      <w:proofErr w:type="spellStart"/>
      <w:r>
        <w:rPr>
          <w:rStyle w:val="SCCAppellantForIndexChar"/>
        </w:rPr>
        <w:t>Imoro</w:t>
      </w:r>
      <w:proofErr w:type="spellEnd"/>
      <w:r w:rsidRPr="00426659">
        <w:rPr>
          <w:b/>
        </w:rPr>
        <w:t xml:space="preserve"> </w:t>
      </w:r>
    </w:p>
    <w:p w:rsidR="00426659" w:rsidRDefault="00426659" w:rsidP="00166A38">
      <w:pPr>
        <w:spacing w:line="480" w:lineRule="auto"/>
        <w:jc w:val="both"/>
      </w:pPr>
    </w:p>
    <w:p w:rsidR="00426659" w:rsidRPr="00C02092" w:rsidRDefault="007F3F08" w:rsidP="00166A38">
      <w:pPr>
        <w:pStyle w:val="SCCSystemYear"/>
        <w:spacing w:line="480" w:lineRule="auto"/>
        <w:jc w:val="both"/>
      </w:pPr>
      <w:r>
        <w:t>2010</w:t>
      </w:r>
      <w:r w:rsidR="003D0399">
        <w:t xml:space="preserve"> </w:t>
      </w:r>
      <w:r w:rsidR="00426659" w:rsidRPr="00C02092">
        <w:t>SCC </w:t>
      </w:r>
      <w:r w:rsidR="00166A38">
        <w:t>50</w:t>
      </w:r>
    </w:p>
    <w:p w:rsidR="00426659" w:rsidRDefault="00426659" w:rsidP="00166A38">
      <w:pPr>
        <w:spacing w:line="480" w:lineRule="auto"/>
        <w:jc w:val="both"/>
      </w:pPr>
    </w:p>
    <w:p w:rsidR="008322BD" w:rsidRDefault="009B57B3" w:rsidP="00166A38">
      <w:pPr>
        <w:spacing w:line="480" w:lineRule="auto"/>
        <w:jc w:val="both"/>
      </w:pPr>
      <w:r w:rsidRPr="001426A9">
        <w:t xml:space="preserve">File No.:  </w:t>
      </w:r>
      <w:r>
        <w:t>33649</w:t>
      </w:r>
      <w:r w:rsidRPr="001426A9">
        <w:t>.</w:t>
      </w:r>
    </w:p>
    <w:p w:rsidR="00A149DF" w:rsidRDefault="00A149DF" w:rsidP="00166A38">
      <w:pPr>
        <w:spacing w:line="480" w:lineRule="auto"/>
        <w:jc w:val="both"/>
      </w:pPr>
    </w:p>
    <w:p w:rsidR="008322BD" w:rsidRDefault="007F3F08" w:rsidP="00166A38">
      <w:pPr>
        <w:spacing w:line="480" w:lineRule="auto"/>
        <w:jc w:val="both"/>
      </w:pPr>
      <w:r>
        <w:t>2010:  November 8</w:t>
      </w:r>
      <w:r w:rsidR="009B57B3" w:rsidRPr="001426A9">
        <w:t>.</w:t>
      </w:r>
    </w:p>
    <w:p w:rsidR="00A149DF" w:rsidRDefault="00A149DF" w:rsidP="00166A38">
      <w:pPr>
        <w:spacing w:line="480" w:lineRule="auto"/>
        <w:jc w:val="both"/>
      </w:pPr>
    </w:p>
    <w:p w:rsidR="008322BD" w:rsidRDefault="009B57B3" w:rsidP="00166A38">
      <w:pPr>
        <w:spacing w:line="480" w:lineRule="auto"/>
        <w:jc w:val="both"/>
      </w:pPr>
      <w:r w:rsidRPr="001426A9">
        <w:t xml:space="preserve">Present: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Rothstein and Cromwell</w:t>
      </w:r>
      <w:r w:rsidR="001C779F">
        <w:t> </w:t>
      </w:r>
      <w:r w:rsidRPr="001426A9">
        <w:t>JJ.</w:t>
      </w:r>
    </w:p>
    <w:p w:rsidR="00E97830" w:rsidRDefault="00E97830" w:rsidP="00166A38">
      <w:pPr>
        <w:spacing w:line="480" w:lineRule="auto"/>
        <w:jc w:val="both"/>
      </w:pPr>
    </w:p>
    <w:p w:rsidR="008322BD" w:rsidRPr="001C779F" w:rsidRDefault="00656313" w:rsidP="00166A38">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3A4C70" w:rsidRPr="001426A9" w:rsidRDefault="003A4C70" w:rsidP="00166A38">
      <w:pPr>
        <w:pStyle w:val="SCCNormalDoubleSpacing"/>
      </w:pPr>
    </w:p>
    <w:p w:rsidR="008322BD" w:rsidRPr="007F763C" w:rsidRDefault="009B57B3" w:rsidP="00166A38">
      <w:pPr>
        <w:pStyle w:val="SCCNormalDoubleSpacing"/>
      </w:pPr>
      <w:r w:rsidRPr="00583EDE">
        <w:lastRenderedPageBreak/>
        <w:tab/>
      </w:r>
      <w:r w:rsidR="00000772" w:rsidRPr="007F763C">
        <w:rPr>
          <w:i/>
          <w:iCs/>
        </w:rPr>
        <w:t xml:space="preserve">Criminal law — Defences — Entrapment </w:t>
      </w:r>
      <w:r w:rsidR="00015915" w:rsidRPr="007F763C">
        <w:rPr>
          <w:i/>
          <w:iCs/>
        </w:rPr>
        <w:t xml:space="preserve">— </w:t>
      </w:r>
      <w:r w:rsidR="00A0402D" w:rsidRPr="007F763C">
        <w:rPr>
          <w:i/>
          <w:iCs/>
        </w:rPr>
        <w:t xml:space="preserve">Conduct of </w:t>
      </w:r>
      <w:r w:rsidR="00000772" w:rsidRPr="007F763C">
        <w:rPr>
          <w:i/>
          <w:iCs/>
        </w:rPr>
        <w:t xml:space="preserve">police officer </w:t>
      </w:r>
      <w:r w:rsidR="00A0402D" w:rsidRPr="007F763C">
        <w:rPr>
          <w:i/>
          <w:iCs/>
        </w:rPr>
        <w:t>not constituting entrapment</w:t>
      </w:r>
      <w:r w:rsidR="00000772" w:rsidRPr="007F763C">
        <w:rPr>
          <w:i/>
          <w:iCs/>
        </w:rPr>
        <w:t>.</w:t>
      </w:r>
    </w:p>
    <w:p w:rsidR="007F7F6D" w:rsidRDefault="007F7F6D" w:rsidP="00000772">
      <w:pPr>
        <w:pStyle w:val="SCCNormalDoubleSpacing"/>
      </w:pPr>
    </w:p>
    <w:p w:rsidR="00656313" w:rsidRDefault="00A677F2" w:rsidP="00FC4EFB">
      <w:pPr>
        <w:pStyle w:val="SCCNormalDoubleSpacing"/>
      </w:pPr>
      <w:r>
        <w:tab/>
      </w:r>
      <w:r w:rsidR="009B57B3" w:rsidRPr="001426A9">
        <w:t>APPEAL from a judgment of the</w:t>
      </w:r>
      <w:r>
        <w:t xml:space="preserve"> Ontario</w:t>
      </w:r>
      <w:r w:rsidR="009B57B3" w:rsidRPr="001426A9">
        <w:t xml:space="preserve"> </w:t>
      </w:r>
      <w:r w:rsidR="009B57B3">
        <w:t xml:space="preserve">Court </w:t>
      </w:r>
      <w:r>
        <w:t>of Appeal</w:t>
      </w:r>
      <w:r w:rsidR="00A15D10">
        <w:t xml:space="preserve"> (</w:t>
      </w:r>
      <w:proofErr w:type="spellStart"/>
      <w:r w:rsidR="00A15D10">
        <w:t>Laskin</w:t>
      </w:r>
      <w:proofErr w:type="spellEnd"/>
      <w:r w:rsidR="00A15D10">
        <w:t>, Blair and Watt JJ.</w:t>
      </w:r>
      <w:r w:rsidR="00944A82">
        <w:t>A.</w:t>
      </w:r>
      <w:r w:rsidR="00A15D10">
        <w:t>)</w:t>
      </w:r>
      <w:r w:rsidR="00560C6D">
        <w:t>, 2010 ONCA 122, 264 O.A.C. 362</w:t>
      </w:r>
      <w:r w:rsidR="008F50BF">
        <w:t>, 251 C</w:t>
      </w:r>
      <w:r w:rsidR="008F50BF" w:rsidRPr="008F50BF">
        <w:rPr>
          <w:lang w:val="en-US"/>
        </w:rPr>
        <w:t>.</w:t>
      </w:r>
      <w:r w:rsidR="008F50BF">
        <w:rPr>
          <w:lang w:val="en-US"/>
        </w:rPr>
        <w:t>C.C. (3d) 131,</w:t>
      </w:r>
      <w:r w:rsidR="00560C6D">
        <w:t xml:space="preserve"> 207 C.R.R. (</w:t>
      </w:r>
      <w:r w:rsidR="008F50BF">
        <w:t>2</w:t>
      </w:r>
      <w:r w:rsidR="00560C6D">
        <w:t>d) 1</w:t>
      </w:r>
      <w:r w:rsidR="008F50BF">
        <w:t>46</w:t>
      </w:r>
      <w:r w:rsidR="00560C6D">
        <w:t>, 72 C.R. (6th) 292, [2010] O.J. No. 586 (QL)</w:t>
      </w:r>
      <w:r w:rsidR="00844C9E">
        <w:t xml:space="preserve">, 2010 </w:t>
      </w:r>
      <w:proofErr w:type="spellStart"/>
      <w:r w:rsidR="00844C9E">
        <w:t>CarswellOnt</w:t>
      </w:r>
      <w:proofErr w:type="spellEnd"/>
      <w:r w:rsidR="00844C9E">
        <w:t xml:space="preserve"> 771, </w:t>
      </w:r>
      <w:r w:rsidR="00000772">
        <w:t xml:space="preserve">setting aside </w:t>
      </w:r>
      <w:r w:rsidR="00944A82">
        <w:t xml:space="preserve">the </w:t>
      </w:r>
      <w:proofErr w:type="spellStart"/>
      <w:r w:rsidR="00944A82">
        <w:t>accused’s</w:t>
      </w:r>
      <w:proofErr w:type="spellEnd"/>
      <w:r w:rsidR="00944A82">
        <w:t xml:space="preserve"> </w:t>
      </w:r>
      <w:r w:rsidR="00000772">
        <w:t xml:space="preserve">acquittals </w:t>
      </w:r>
      <w:r w:rsidR="00944A82">
        <w:t>and substituting convictions</w:t>
      </w:r>
      <w:r w:rsidR="002F7BC6">
        <w:t xml:space="preserve">. </w:t>
      </w:r>
      <w:r w:rsidR="00475EC1">
        <w:t>Appeal dismissed.</w:t>
      </w:r>
    </w:p>
    <w:p w:rsidR="00656313" w:rsidRDefault="00656313" w:rsidP="00FC4EFB">
      <w:pPr>
        <w:pStyle w:val="SCCNormalDoubleSpacing"/>
      </w:pPr>
    </w:p>
    <w:p w:rsidR="00504B76" w:rsidRDefault="00166A38">
      <w:pPr>
        <w:pStyle w:val="SCCNormalDoubleSpacing"/>
      </w:pPr>
      <w:r>
        <w:rPr>
          <w:rStyle w:val="SCCCounselNameChar"/>
        </w:rPr>
        <w:tab/>
      </w:r>
      <w:proofErr w:type="gramStart"/>
      <w:r>
        <w:rPr>
          <w:rStyle w:val="SCCCounselNameChar"/>
        </w:rPr>
        <w:t>Benjamin Moss</w:t>
      </w:r>
      <w:r>
        <w:rPr>
          <w:rStyle w:val="SCCCounselPartyRoleChar"/>
        </w:rPr>
        <w:t>, for the appellant.</w:t>
      </w:r>
      <w:proofErr w:type="gramEnd"/>
    </w:p>
    <w:p w:rsidR="00504B76" w:rsidRDefault="00504B76">
      <w:pPr>
        <w:pStyle w:val="SCCNormalDoubleSpacing"/>
      </w:pPr>
    </w:p>
    <w:p w:rsidR="00504B76" w:rsidRDefault="00166A38">
      <w:pPr>
        <w:pStyle w:val="SCCNormalDoubleSpacing"/>
      </w:pPr>
      <w:r>
        <w:rPr>
          <w:rStyle w:val="SCCCounselNameChar"/>
        </w:rPr>
        <w:tab/>
      </w:r>
      <w:proofErr w:type="gramStart"/>
      <w:r>
        <w:rPr>
          <w:rStyle w:val="SCCCounselNameChar"/>
        </w:rPr>
        <w:t>Nicholas E. Devlin</w:t>
      </w:r>
      <w:r>
        <w:rPr>
          <w:rStyle w:val="SCCCounselSeparatorChar"/>
        </w:rPr>
        <w:t xml:space="preserve"> and </w:t>
      </w:r>
      <w:r>
        <w:rPr>
          <w:rStyle w:val="SCCCounselNameChar"/>
        </w:rPr>
        <w:t xml:space="preserve">Lisa </w:t>
      </w:r>
      <w:proofErr w:type="spellStart"/>
      <w:r>
        <w:rPr>
          <w:rStyle w:val="SCCCounselNameChar"/>
        </w:rPr>
        <w:t>Csele</w:t>
      </w:r>
      <w:proofErr w:type="spellEnd"/>
      <w:r>
        <w:rPr>
          <w:rStyle w:val="SCCCounselPartyRoleChar"/>
        </w:rPr>
        <w:t>, for the respondent.</w:t>
      </w:r>
      <w:proofErr w:type="gramEnd"/>
    </w:p>
    <w:p w:rsidR="00504B76" w:rsidRDefault="00504B76">
      <w:pPr>
        <w:pStyle w:val="SCCNormalDoubleSpacing"/>
      </w:pPr>
    </w:p>
    <w:p w:rsidR="00844C9E" w:rsidRDefault="00166A38">
      <w:pPr>
        <w:pStyle w:val="SCCNormalDoubleSpacing"/>
        <w:rPr>
          <w:rStyle w:val="SCCCounselPartyRoleChar"/>
        </w:rPr>
      </w:pPr>
      <w:r>
        <w:rPr>
          <w:rStyle w:val="SCCCounselNameChar"/>
        </w:rPr>
        <w:tab/>
      </w:r>
      <w:proofErr w:type="gramStart"/>
      <w:r w:rsidR="002F7BC6">
        <w:rPr>
          <w:rStyle w:val="SCCCounselNameChar"/>
        </w:rPr>
        <w:t xml:space="preserve">Leanne </w:t>
      </w:r>
      <w:proofErr w:type="spellStart"/>
      <w:r w:rsidR="002F7BC6">
        <w:rPr>
          <w:rStyle w:val="SCCCounselNameChar"/>
        </w:rPr>
        <w:t>Salel</w:t>
      </w:r>
      <w:proofErr w:type="spellEnd"/>
      <w:r w:rsidR="002F7BC6">
        <w:rPr>
          <w:rStyle w:val="SCCCounselNameChar"/>
        </w:rPr>
        <w:t xml:space="preserve"> </w:t>
      </w:r>
      <w:r w:rsidR="002F7BC6" w:rsidRPr="002F7BC6">
        <w:rPr>
          <w:rStyle w:val="SCCCounselNameChar"/>
          <w:i w:val="0"/>
        </w:rPr>
        <w:t>and</w:t>
      </w:r>
      <w:r w:rsidR="002F7BC6">
        <w:rPr>
          <w:rStyle w:val="SCCCounselNameChar"/>
        </w:rPr>
        <w:t xml:space="preserve"> </w:t>
      </w:r>
      <w:r>
        <w:rPr>
          <w:rStyle w:val="SCCCounselNameChar"/>
        </w:rPr>
        <w:t>Robert W. Hubbard</w:t>
      </w:r>
      <w:r>
        <w:rPr>
          <w:rStyle w:val="SCCCounselPartyRoleChar"/>
        </w:rPr>
        <w:t>, for the intervener</w:t>
      </w:r>
      <w:r w:rsidR="00844C9E">
        <w:rPr>
          <w:rStyle w:val="SCCCounselPartyRoleChar"/>
        </w:rPr>
        <w:t>.</w:t>
      </w:r>
      <w:proofErr w:type="gramEnd"/>
    </w:p>
    <w:p w:rsidR="00844C9E" w:rsidRDefault="00844C9E">
      <w:pPr>
        <w:pStyle w:val="SCCNormalDoubleSpacing"/>
        <w:rPr>
          <w:rStyle w:val="SCCCounselPartyRoleChar"/>
        </w:rPr>
      </w:pPr>
    </w:p>
    <w:p w:rsidR="00475EC1" w:rsidRDefault="00475EC1" w:rsidP="00475EC1">
      <w:pPr>
        <w:pStyle w:val="SCCNormalDoubleSpacing"/>
        <w:ind w:firstLine="720"/>
        <w:rPr>
          <w:rStyle w:val="SCCCounselPartyRoleChar"/>
        </w:rPr>
      </w:pPr>
      <w:r>
        <w:t>The judgment of the Court was delivered orally by</w:t>
      </w:r>
    </w:p>
    <w:p w:rsidR="00475EC1" w:rsidRDefault="00475EC1">
      <w:pPr>
        <w:pStyle w:val="SCCNormalDoubleSpacing"/>
        <w:rPr>
          <w:rStyle w:val="SCCCounselPartyRoleChar"/>
        </w:rPr>
      </w:pPr>
    </w:p>
    <w:p w:rsidR="00A677F2" w:rsidRDefault="00A677F2" w:rsidP="00A15D10">
      <w:pPr>
        <w:pStyle w:val="SCCNormalDoubleSpacing"/>
        <w:numPr>
          <w:ilvl w:val="0"/>
          <w:numId w:val="1"/>
        </w:numPr>
        <w:tabs>
          <w:tab w:val="left" w:pos="1080"/>
        </w:tabs>
        <w:ind w:left="0" w:firstLine="0"/>
        <w:rPr>
          <w:rStyle w:val="SCCCounselPartyRoleChar"/>
        </w:rPr>
      </w:pPr>
      <w:proofErr w:type="spellStart"/>
      <w:r w:rsidRPr="00412B8E">
        <w:rPr>
          <w:smallCaps/>
        </w:rPr>
        <w:t>LeBel</w:t>
      </w:r>
      <w:proofErr w:type="spellEnd"/>
      <w:r w:rsidRPr="00412B8E">
        <w:rPr>
          <w:smallCaps/>
        </w:rPr>
        <w:t xml:space="preserve"> J.</w:t>
      </w:r>
      <w:r w:rsidR="00A15D10">
        <w:t xml:space="preserve"> — Like </w:t>
      </w:r>
      <w:r>
        <w:t xml:space="preserve">the Court of Appeal for Ontario, we are all of the view that there was no entrapment. On the facts of this case, the brief conversation between the police officer and the </w:t>
      </w:r>
      <w:r w:rsidRPr="008E2A15">
        <w:t>appellant</w:t>
      </w:r>
      <w:r>
        <w:t xml:space="preserve"> near his apartment could not ground a finding of entrapment. The </w:t>
      </w:r>
      <w:r w:rsidRPr="008E2A15">
        <w:t>appellant</w:t>
      </w:r>
      <w:r>
        <w:t xml:space="preserve"> himself </w:t>
      </w:r>
      <w:r w:rsidRPr="008E2A15">
        <w:t>allowed</w:t>
      </w:r>
      <w:r>
        <w:t xml:space="preserve"> the police officer to witness a criminal drug transaction. The </w:t>
      </w:r>
      <w:r w:rsidRPr="008E2A15">
        <w:t>appellant</w:t>
      </w:r>
      <w:r>
        <w:t xml:space="preserve"> was not induced to commit a crime, but was actually engaged in his criminal activities. By reason of our conclusion on entrapment, we need not express any opinion on the </w:t>
      </w:r>
      <w:r w:rsidRPr="008E2A15">
        <w:t>procedural</w:t>
      </w:r>
      <w:r w:rsidRPr="00721121">
        <w:rPr>
          <w:color w:val="FF0000"/>
        </w:rPr>
        <w:t xml:space="preserve"> </w:t>
      </w:r>
      <w:r>
        <w:t>issues raised by the parties in the courts below. The appeal is dismissed.</w:t>
      </w:r>
    </w:p>
    <w:p w:rsidR="00A677F2" w:rsidRDefault="00A677F2">
      <w:pPr>
        <w:pStyle w:val="SCCNormalDoubleSpacing"/>
      </w:pPr>
    </w:p>
    <w:p w:rsidR="009B57B3" w:rsidRPr="00844C9E" w:rsidRDefault="009B57B3" w:rsidP="00FC4EFB">
      <w:pPr>
        <w:pStyle w:val="SCCNormalDoubleSpacing"/>
        <w:rPr>
          <w:i/>
        </w:rPr>
      </w:pPr>
      <w:r w:rsidRPr="001426A9">
        <w:lastRenderedPageBreak/>
        <w:tab/>
      </w:r>
      <w:proofErr w:type="gramStart"/>
      <w:r w:rsidR="00844C9E" w:rsidRPr="00844C9E">
        <w:rPr>
          <w:i/>
        </w:rPr>
        <w:t>Judgment accordingly.</w:t>
      </w:r>
      <w:proofErr w:type="gramEnd"/>
    </w:p>
    <w:p w:rsidR="00A149DF" w:rsidRPr="001426A9" w:rsidRDefault="00A149DF" w:rsidP="00FC4EFB">
      <w:pPr>
        <w:pStyle w:val="SCCNormalDoubleSpacing"/>
      </w:pPr>
    </w:p>
    <w:p w:rsidR="00504B76" w:rsidRDefault="00166A38">
      <w:pPr>
        <w:pStyle w:val="SCCLawFirm"/>
      </w:pPr>
      <w:r>
        <w:tab/>
        <w:t>Solicitor for the appellant:  Benjamin Moss, Toronto.</w:t>
      </w:r>
    </w:p>
    <w:p w:rsidR="00504B76" w:rsidRDefault="00504B76">
      <w:pPr>
        <w:pStyle w:val="SCCLawFirm"/>
      </w:pPr>
    </w:p>
    <w:p w:rsidR="00504B76" w:rsidRDefault="00166A38">
      <w:pPr>
        <w:pStyle w:val="SCCLawFirm"/>
      </w:pPr>
      <w:r>
        <w:tab/>
        <w:t>Solicitor for the respondent:  Public Prosecution Service of Canada, Toronto.</w:t>
      </w:r>
    </w:p>
    <w:p w:rsidR="00504B76" w:rsidRDefault="00504B76">
      <w:pPr>
        <w:pStyle w:val="SCCLawFirm"/>
      </w:pPr>
    </w:p>
    <w:p w:rsidR="00504B76" w:rsidRDefault="00166A38">
      <w:pPr>
        <w:pStyle w:val="SCCLawFirm"/>
      </w:pPr>
      <w:r>
        <w:tab/>
        <w:t>Solicitor for the intervener: Attorney General of Ontario, Toronto.</w:t>
      </w:r>
    </w:p>
    <w:sectPr w:rsidR="00504B76" w:rsidSect="00135EBD">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9E" w:rsidRDefault="00844C9E">
      <w:r>
        <w:separator/>
      </w:r>
    </w:p>
  </w:endnote>
  <w:endnote w:type="continuationSeparator" w:id="0">
    <w:p w:rsidR="00844C9E" w:rsidRDefault="00844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9E" w:rsidRDefault="00844C9E">
      <w:r>
        <w:separator/>
      </w:r>
    </w:p>
  </w:footnote>
  <w:footnote w:type="continuationSeparator" w:id="0">
    <w:p w:rsidR="00844C9E" w:rsidRDefault="00844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22BA"/>
    <w:multiLevelType w:val="hybridMultilevel"/>
    <w:tmpl w:val="D44E483A"/>
    <w:lvl w:ilvl="0" w:tplc="F966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rsids>
    <w:rsidRoot w:val="0031414C"/>
    <w:rsid w:val="00000772"/>
    <w:rsid w:val="00000ED4"/>
    <w:rsid w:val="00015915"/>
    <w:rsid w:val="00025198"/>
    <w:rsid w:val="000578A3"/>
    <w:rsid w:val="000648CC"/>
    <w:rsid w:val="000860BA"/>
    <w:rsid w:val="000C59B8"/>
    <w:rsid w:val="00111DE2"/>
    <w:rsid w:val="00116B38"/>
    <w:rsid w:val="00135406"/>
    <w:rsid w:val="00135972"/>
    <w:rsid w:val="00135EBD"/>
    <w:rsid w:val="001426A9"/>
    <w:rsid w:val="00154D7C"/>
    <w:rsid w:val="001570B0"/>
    <w:rsid w:val="0015752C"/>
    <w:rsid w:val="00157737"/>
    <w:rsid w:val="00165277"/>
    <w:rsid w:val="00166A38"/>
    <w:rsid w:val="00170592"/>
    <w:rsid w:val="001B33E0"/>
    <w:rsid w:val="001B4573"/>
    <w:rsid w:val="001B6377"/>
    <w:rsid w:val="001C779F"/>
    <w:rsid w:val="001D2AC1"/>
    <w:rsid w:val="001D4E88"/>
    <w:rsid w:val="001D506F"/>
    <w:rsid w:val="001D743D"/>
    <w:rsid w:val="00220FC2"/>
    <w:rsid w:val="00224FC0"/>
    <w:rsid w:val="00225EA4"/>
    <w:rsid w:val="00226EAF"/>
    <w:rsid w:val="00231F3A"/>
    <w:rsid w:val="002406EE"/>
    <w:rsid w:val="00243EC8"/>
    <w:rsid w:val="002745CC"/>
    <w:rsid w:val="002B7924"/>
    <w:rsid w:val="002D39A4"/>
    <w:rsid w:val="002E6705"/>
    <w:rsid w:val="002F7BC6"/>
    <w:rsid w:val="0030329A"/>
    <w:rsid w:val="0031086F"/>
    <w:rsid w:val="0031414C"/>
    <w:rsid w:val="00314E01"/>
    <w:rsid w:val="0032089D"/>
    <w:rsid w:val="0032270D"/>
    <w:rsid w:val="003310DE"/>
    <w:rsid w:val="0035169A"/>
    <w:rsid w:val="0035259D"/>
    <w:rsid w:val="00364B18"/>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5132"/>
    <w:rsid w:val="00475EC1"/>
    <w:rsid w:val="00480C90"/>
    <w:rsid w:val="0048396F"/>
    <w:rsid w:val="00493C18"/>
    <w:rsid w:val="004A600C"/>
    <w:rsid w:val="004A6118"/>
    <w:rsid w:val="004C478D"/>
    <w:rsid w:val="004E2C26"/>
    <w:rsid w:val="00504B76"/>
    <w:rsid w:val="005125A8"/>
    <w:rsid w:val="00521AE8"/>
    <w:rsid w:val="00527180"/>
    <w:rsid w:val="00555291"/>
    <w:rsid w:val="00560C6D"/>
    <w:rsid w:val="00583EDE"/>
    <w:rsid w:val="005C1438"/>
    <w:rsid w:val="005E4698"/>
    <w:rsid w:val="005F7376"/>
    <w:rsid w:val="00610539"/>
    <w:rsid w:val="00613969"/>
    <w:rsid w:val="00625C35"/>
    <w:rsid w:val="00656313"/>
    <w:rsid w:val="006565F4"/>
    <w:rsid w:val="00684EEA"/>
    <w:rsid w:val="006A044D"/>
    <w:rsid w:val="006B5FF5"/>
    <w:rsid w:val="00701759"/>
    <w:rsid w:val="00747288"/>
    <w:rsid w:val="00747DD3"/>
    <w:rsid w:val="007549C8"/>
    <w:rsid w:val="00766D14"/>
    <w:rsid w:val="00767A0F"/>
    <w:rsid w:val="007A05F6"/>
    <w:rsid w:val="007B6F4A"/>
    <w:rsid w:val="007E1C47"/>
    <w:rsid w:val="007E337A"/>
    <w:rsid w:val="007E5C70"/>
    <w:rsid w:val="007F2FF5"/>
    <w:rsid w:val="007F3F08"/>
    <w:rsid w:val="007F763C"/>
    <w:rsid w:val="007F7F6D"/>
    <w:rsid w:val="00804CC6"/>
    <w:rsid w:val="00817190"/>
    <w:rsid w:val="008260E2"/>
    <w:rsid w:val="008322BD"/>
    <w:rsid w:val="00834F73"/>
    <w:rsid w:val="00844C9E"/>
    <w:rsid w:val="00864CF8"/>
    <w:rsid w:val="00874914"/>
    <w:rsid w:val="00891422"/>
    <w:rsid w:val="00892E1A"/>
    <w:rsid w:val="008C01DA"/>
    <w:rsid w:val="008F50BF"/>
    <w:rsid w:val="008F78E9"/>
    <w:rsid w:val="009179F9"/>
    <w:rsid w:val="00933E5E"/>
    <w:rsid w:val="00935218"/>
    <w:rsid w:val="009403F3"/>
    <w:rsid w:val="00944A82"/>
    <w:rsid w:val="009555B7"/>
    <w:rsid w:val="009567AA"/>
    <w:rsid w:val="00967374"/>
    <w:rsid w:val="00980716"/>
    <w:rsid w:val="009B2F23"/>
    <w:rsid w:val="009B57B3"/>
    <w:rsid w:val="009D2920"/>
    <w:rsid w:val="009D2E18"/>
    <w:rsid w:val="009D5AEB"/>
    <w:rsid w:val="009F0E33"/>
    <w:rsid w:val="00A0402D"/>
    <w:rsid w:val="00A149DF"/>
    <w:rsid w:val="00A15D10"/>
    <w:rsid w:val="00A21B90"/>
    <w:rsid w:val="00A23A87"/>
    <w:rsid w:val="00A41805"/>
    <w:rsid w:val="00A548CB"/>
    <w:rsid w:val="00A5521C"/>
    <w:rsid w:val="00A643E7"/>
    <w:rsid w:val="00A677F2"/>
    <w:rsid w:val="00A73C38"/>
    <w:rsid w:val="00AB2AAB"/>
    <w:rsid w:val="00AF03C5"/>
    <w:rsid w:val="00B000D8"/>
    <w:rsid w:val="00B00F75"/>
    <w:rsid w:val="00B145B6"/>
    <w:rsid w:val="00B50C81"/>
    <w:rsid w:val="00B557F8"/>
    <w:rsid w:val="00B6736C"/>
    <w:rsid w:val="00B815FC"/>
    <w:rsid w:val="00B93FBC"/>
    <w:rsid w:val="00BB2EE4"/>
    <w:rsid w:val="00BB3641"/>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870D1"/>
    <w:rsid w:val="00C91888"/>
    <w:rsid w:val="00C921DD"/>
    <w:rsid w:val="00CA6391"/>
    <w:rsid w:val="00CD6775"/>
    <w:rsid w:val="00CE3171"/>
    <w:rsid w:val="00CF1601"/>
    <w:rsid w:val="00D0172F"/>
    <w:rsid w:val="00D068A7"/>
    <w:rsid w:val="00D32086"/>
    <w:rsid w:val="00D37A3F"/>
    <w:rsid w:val="00D4431D"/>
    <w:rsid w:val="00D4667A"/>
    <w:rsid w:val="00D7516F"/>
    <w:rsid w:val="00D95F8E"/>
    <w:rsid w:val="00DA0590"/>
    <w:rsid w:val="00DB23C3"/>
    <w:rsid w:val="00DC1788"/>
    <w:rsid w:val="00DE319C"/>
    <w:rsid w:val="00DF0CA8"/>
    <w:rsid w:val="00DF2B48"/>
    <w:rsid w:val="00DF49A7"/>
    <w:rsid w:val="00E07EE2"/>
    <w:rsid w:val="00E07FD1"/>
    <w:rsid w:val="00E24573"/>
    <w:rsid w:val="00E25E1E"/>
    <w:rsid w:val="00E27EE7"/>
    <w:rsid w:val="00E35404"/>
    <w:rsid w:val="00E45109"/>
    <w:rsid w:val="00E47B7A"/>
    <w:rsid w:val="00E51A75"/>
    <w:rsid w:val="00E97830"/>
    <w:rsid w:val="00EE7780"/>
    <w:rsid w:val="00EF0683"/>
    <w:rsid w:val="00F0070C"/>
    <w:rsid w:val="00F00EB7"/>
    <w:rsid w:val="00F36AB6"/>
    <w:rsid w:val="00F37A09"/>
    <w:rsid w:val="00F409CE"/>
    <w:rsid w:val="00F4379D"/>
    <w:rsid w:val="00F84DF4"/>
    <w:rsid w:val="00F85C97"/>
    <w:rsid w:val="00F87722"/>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table" w:styleId="TableGrid">
    <w:name w:val="Table Grid"/>
    <w:basedOn w:val="TableNormal"/>
    <w:uiPriority w:val="59"/>
    <w:rsid w:val="00AB2AA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AB2AAB"/>
    <w:rPr>
      <w:rFonts w:eastAsiaTheme="minorHAnsi" w:cstheme="minorBidi"/>
      <w:b/>
      <w:smallCaps/>
      <w:szCs w:val="24"/>
      <w:lang w:eastAsia="en-US"/>
    </w:rPr>
  </w:style>
  <w:style w:type="character" w:customStyle="1" w:styleId="SCCLsocPrefixChar">
    <w:name w:val="SCC.Lsoc.Prefix Char"/>
    <w:basedOn w:val="DefaultParagraphFont"/>
    <w:link w:val="SCCLsocPrefix"/>
    <w:rsid w:val="00AB2AAB"/>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2011-03-25T18:57:00Z</dcterms:created>
  <dcterms:modified xsi:type="dcterms:W3CDTF">2011-03-25T18:57:00Z</dcterms:modified>
</cp:coreProperties>
</file>