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A2" w:rsidRPr="003B2490" w:rsidRDefault="001671A2" w:rsidP="001671A2">
      <w:pPr>
        <w:tabs>
          <w:tab w:val="center" w:pos="4680"/>
          <w:tab w:val="right" w:pos="9360"/>
        </w:tabs>
        <w:jc w:val="center"/>
        <w:rPr>
          <w:rFonts w:eastAsiaTheme="minorHAnsi" w:cstheme="minorBidi"/>
          <w:szCs w:val="24"/>
          <w:lang w:eastAsia="en-US"/>
        </w:rPr>
      </w:pPr>
      <w:r w:rsidRPr="003B2490">
        <w:rPr>
          <w:rFonts w:eastAsiaTheme="minorHAnsi" w:cstheme="minorBidi"/>
          <w:szCs w:val="24"/>
          <w:lang w:eastAsia="en-US"/>
        </w:rPr>
        <w:ptab w:relativeTo="margin" w:alignment="center" w:leader="none"/>
      </w:r>
      <w:r w:rsidRPr="003B2490">
        <w:rPr>
          <w:rFonts w:eastAsiaTheme="minorHAnsi" w:cstheme="minorBidi"/>
          <w:szCs w:val="24"/>
          <w:lang w:eastAsia="en-US"/>
        </w:rPr>
        <w:t xml:space="preserve"> </w:t>
      </w:r>
      <w:r w:rsidRPr="003B249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62828288" r:id="rId8"/>
        </w:object>
      </w:r>
      <w:r w:rsidRPr="003B2490">
        <w:rPr>
          <w:rFonts w:eastAsiaTheme="minorHAnsi" w:cstheme="minorBidi"/>
          <w:szCs w:val="24"/>
          <w:lang w:eastAsia="en-US"/>
        </w:rPr>
        <w:t xml:space="preserve"> </w:t>
      </w:r>
      <w:r w:rsidRPr="003B2490">
        <w:rPr>
          <w:rFonts w:eastAsiaTheme="minorHAnsi" w:cstheme="minorBidi"/>
          <w:szCs w:val="24"/>
          <w:lang w:eastAsia="en-US"/>
        </w:rPr>
        <w:ptab w:relativeTo="margin" w:alignment="right" w:leader="none"/>
      </w:r>
    </w:p>
    <w:p w:rsidR="001671A2" w:rsidRPr="003B2490" w:rsidRDefault="001671A2" w:rsidP="001671A2">
      <w:pPr>
        <w:tabs>
          <w:tab w:val="center" w:pos="4680"/>
          <w:tab w:val="right" w:pos="9360"/>
        </w:tabs>
        <w:rPr>
          <w:rFonts w:eastAsiaTheme="minorHAnsi" w:cstheme="minorBidi"/>
          <w:szCs w:val="24"/>
          <w:lang w:eastAsia="en-US"/>
        </w:rPr>
      </w:pPr>
    </w:p>
    <w:p w:rsidR="001671A2" w:rsidRPr="003B2490" w:rsidRDefault="001671A2" w:rsidP="001671A2">
      <w:pPr>
        <w:jc w:val="center"/>
        <w:rPr>
          <w:rFonts w:eastAsiaTheme="minorHAnsi" w:cstheme="minorBidi"/>
          <w:b/>
          <w:szCs w:val="24"/>
          <w:lang w:eastAsia="en-US"/>
        </w:rPr>
      </w:pPr>
      <w:r w:rsidRPr="003B2490">
        <w:rPr>
          <w:rFonts w:eastAsiaTheme="minorHAnsi" w:cstheme="minorBidi"/>
          <w:b/>
          <w:szCs w:val="24"/>
          <w:lang w:eastAsia="en-US"/>
        </w:rPr>
        <w:t>SUPREME COURT OF CANADA</w:t>
      </w:r>
    </w:p>
    <w:p w:rsidR="001671A2" w:rsidRPr="003B2490" w:rsidRDefault="001671A2" w:rsidP="001671A2">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671A2" w:rsidRPr="003B2490" w:rsidTr="00E30ABC">
        <w:trPr>
          <w:cantSplit/>
        </w:trPr>
        <w:tc>
          <w:tcPr>
            <w:tcW w:w="6768" w:type="dxa"/>
          </w:tcPr>
          <w:p w:rsidR="001671A2" w:rsidRPr="003B2490" w:rsidRDefault="001671A2" w:rsidP="00E30ABC">
            <w:pPr>
              <w:rPr>
                <w:lang w:val="fr-CA"/>
              </w:rPr>
            </w:pPr>
            <w:r w:rsidRPr="003B2490">
              <w:rPr>
                <w:b/>
                <w:smallCaps/>
                <w:lang w:val="fr-CA"/>
              </w:rPr>
              <w:t>Citation</w:t>
            </w:r>
            <w:r w:rsidRPr="003B2490">
              <w:rPr>
                <w:b/>
                <w:lang w:val="fr-CA"/>
              </w:rPr>
              <w:t>:</w:t>
            </w:r>
            <w:r w:rsidRPr="003B2490">
              <w:rPr>
                <w:lang w:val="fr-CA"/>
              </w:rPr>
              <w:t xml:space="preserve"> </w:t>
            </w:r>
            <w:proofErr w:type="spellStart"/>
            <w:r w:rsidRPr="003B2490">
              <w:rPr>
                <w:lang w:val="fr-CA"/>
              </w:rPr>
              <w:t>Gavrila</w:t>
            </w:r>
            <w:proofErr w:type="spellEnd"/>
            <w:r w:rsidRPr="003B2490">
              <w:rPr>
                <w:b/>
                <w:lang w:val="fr-CA"/>
              </w:rPr>
              <w:t xml:space="preserve"> </w:t>
            </w:r>
            <w:r w:rsidRPr="003B2490">
              <w:rPr>
                <w:i/>
                <w:lang w:val="fr-CA"/>
              </w:rPr>
              <w:t>v.</w:t>
            </w:r>
            <w:r w:rsidRPr="003B2490">
              <w:rPr>
                <w:b/>
                <w:lang w:val="fr-CA"/>
              </w:rPr>
              <w:t xml:space="preserve"> </w:t>
            </w:r>
            <w:r w:rsidRPr="003B2490">
              <w:rPr>
                <w:lang w:val="fr-CA"/>
              </w:rPr>
              <w:t>Canada (Justice), 2010 SCC 57</w:t>
            </w:r>
            <w:r w:rsidRPr="00861A7F">
              <w:rPr>
                <w:rStyle w:val="SCCRespondentForRunningHeadChar"/>
                <w:smallCaps w:val="0"/>
                <w:lang w:val="fr-CA"/>
              </w:rPr>
              <w:t xml:space="preserve">, [2010] 3 S.C.R. </w:t>
            </w:r>
            <w:r>
              <w:rPr>
                <w:rStyle w:val="SCCRespondentForRunningHeadChar"/>
                <w:smallCaps w:val="0"/>
                <w:lang w:val="fr-CA"/>
              </w:rPr>
              <w:t>34</w:t>
            </w:r>
            <w:r w:rsidRPr="00861A7F">
              <w:rPr>
                <w:rStyle w:val="SCCRespondentForRunningHeadChar"/>
                <w:smallCaps w:val="0"/>
                <w:lang w:val="fr-CA"/>
              </w:rPr>
              <w:t>2</w:t>
            </w:r>
          </w:p>
        </w:tc>
        <w:tc>
          <w:tcPr>
            <w:tcW w:w="2808" w:type="dxa"/>
          </w:tcPr>
          <w:p w:rsidR="001671A2" w:rsidRPr="003B2490" w:rsidRDefault="001671A2" w:rsidP="00E30ABC">
            <w:r w:rsidRPr="003B2490">
              <w:rPr>
                <w:b/>
                <w:smallCaps/>
              </w:rPr>
              <w:t>Date</w:t>
            </w:r>
            <w:r w:rsidRPr="003B2490">
              <w:rPr>
                <w:b/>
              </w:rPr>
              <w:t>:</w:t>
            </w:r>
            <w:r w:rsidRPr="003B2490">
              <w:t xml:space="preserve"> 20101125</w:t>
            </w:r>
          </w:p>
          <w:p w:rsidR="001671A2" w:rsidRPr="003B2490" w:rsidRDefault="001671A2" w:rsidP="00E30ABC">
            <w:r w:rsidRPr="003B2490">
              <w:rPr>
                <w:b/>
                <w:smallCaps/>
              </w:rPr>
              <w:t>Docket</w:t>
            </w:r>
            <w:r w:rsidRPr="003B2490">
              <w:rPr>
                <w:b/>
              </w:rPr>
              <w:t>:</w:t>
            </w:r>
            <w:r w:rsidRPr="003B2490">
              <w:t xml:space="preserve"> 33313</w:t>
            </w:r>
          </w:p>
        </w:tc>
      </w:tr>
    </w:tbl>
    <w:p w:rsidR="001671A2" w:rsidRPr="003B2490" w:rsidRDefault="001671A2" w:rsidP="001671A2">
      <w:pPr>
        <w:rPr>
          <w:rFonts w:eastAsiaTheme="minorHAnsi" w:cstheme="minorBidi"/>
          <w:szCs w:val="24"/>
          <w:lang w:eastAsia="en-US"/>
        </w:rPr>
      </w:pPr>
    </w:p>
    <w:p w:rsidR="001671A2" w:rsidRPr="003B2490" w:rsidRDefault="001671A2" w:rsidP="001671A2">
      <w:pPr>
        <w:rPr>
          <w:rFonts w:eastAsiaTheme="minorHAnsi" w:cstheme="minorBidi"/>
          <w:b/>
          <w:smallCaps/>
          <w:szCs w:val="24"/>
          <w:lang w:eastAsia="en-US"/>
        </w:rPr>
      </w:pPr>
      <w:r w:rsidRPr="003B2490">
        <w:rPr>
          <w:rFonts w:eastAsiaTheme="minorHAnsi" w:cstheme="minorBidi"/>
          <w:b/>
          <w:smallCaps/>
          <w:szCs w:val="24"/>
          <w:lang w:eastAsia="en-US"/>
        </w:rPr>
        <w:t>Between:</w:t>
      </w:r>
    </w:p>
    <w:p w:rsidR="001671A2" w:rsidRPr="003B2490" w:rsidRDefault="001671A2" w:rsidP="001671A2">
      <w:pPr>
        <w:jc w:val="center"/>
        <w:rPr>
          <w:rFonts w:eastAsiaTheme="minorHAnsi" w:cstheme="minorBidi"/>
          <w:b/>
          <w:szCs w:val="24"/>
          <w:lang w:eastAsia="en-US"/>
        </w:rPr>
      </w:pPr>
      <w:proofErr w:type="spellStart"/>
      <w:r w:rsidRPr="003B2490">
        <w:rPr>
          <w:rFonts w:eastAsiaTheme="minorHAnsi" w:cstheme="minorBidi"/>
          <w:b/>
          <w:szCs w:val="24"/>
          <w:lang w:eastAsia="en-US"/>
        </w:rPr>
        <w:t>Tiberiu</w:t>
      </w:r>
      <w:proofErr w:type="spellEnd"/>
      <w:r w:rsidRPr="003B2490">
        <w:rPr>
          <w:rFonts w:eastAsiaTheme="minorHAnsi" w:cstheme="minorBidi"/>
          <w:b/>
          <w:szCs w:val="24"/>
          <w:lang w:eastAsia="en-US"/>
        </w:rPr>
        <w:t xml:space="preserve"> </w:t>
      </w:r>
      <w:proofErr w:type="spellStart"/>
      <w:r w:rsidRPr="003B2490">
        <w:rPr>
          <w:rFonts w:eastAsiaTheme="minorHAnsi" w:cstheme="minorBidi"/>
          <w:b/>
          <w:szCs w:val="24"/>
          <w:lang w:eastAsia="en-US"/>
        </w:rPr>
        <w:t>Gavrila</w:t>
      </w:r>
      <w:proofErr w:type="spellEnd"/>
    </w:p>
    <w:p w:rsidR="001671A2" w:rsidRPr="003B2490" w:rsidRDefault="001671A2" w:rsidP="001671A2">
      <w:pPr>
        <w:jc w:val="center"/>
        <w:rPr>
          <w:rFonts w:eastAsiaTheme="minorHAnsi" w:cstheme="minorBidi"/>
          <w:szCs w:val="24"/>
          <w:lang w:eastAsia="en-US"/>
        </w:rPr>
      </w:pPr>
      <w:r w:rsidRPr="003B2490">
        <w:rPr>
          <w:rFonts w:eastAsiaTheme="minorHAnsi" w:cstheme="minorBidi"/>
          <w:szCs w:val="24"/>
          <w:lang w:eastAsia="en-US"/>
        </w:rPr>
        <w:t>Appellant</w:t>
      </w:r>
    </w:p>
    <w:p w:rsidR="001671A2" w:rsidRPr="003B2490" w:rsidRDefault="001671A2" w:rsidP="001671A2">
      <w:pPr>
        <w:jc w:val="center"/>
        <w:rPr>
          <w:rFonts w:eastAsiaTheme="minorHAnsi" w:cstheme="minorBidi"/>
          <w:szCs w:val="24"/>
          <w:lang w:eastAsia="en-US"/>
        </w:rPr>
      </w:pPr>
      <w:proofErr w:type="gramStart"/>
      <w:r w:rsidRPr="003B2490">
        <w:rPr>
          <w:rFonts w:eastAsiaTheme="minorHAnsi" w:cstheme="minorBidi"/>
          <w:szCs w:val="24"/>
          <w:lang w:eastAsia="en-US"/>
        </w:rPr>
        <w:t>and</w:t>
      </w:r>
      <w:proofErr w:type="gramEnd"/>
    </w:p>
    <w:p w:rsidR="001671A2" w:rsidRPr="003B2490" w:rsidRDefault="001671A2" w:rsidP="001671A2">
      <w:pPr>
        <w:jc w:val="center"/>
        <w:rPr>
          <w:rFonts w:eastAsiaTheme="minorHAnsi" w:cstheme="minorBidi"/>
          <w:b/>
          <w:szCs w:val="24"/>
          <w:lang w:eastAsia="en-US"/>
        </w:rPr>
      </w:pPr>
      <w:r w:rsidRPr="003B2490">
        <w:rPr>
          <w:rFonts w:eastAsiaTheme="minorHAnsi" w:cstheme="minorBidi"/>
          <w:b/>
          <w:szCs w:val="24"/>
          <w:lang w:eastAsia="en-US"/>
        </w:rPr>
        <w:t>Minister of Justice of Canada</w:t>
      </w:r>
    </w:p>
    <w:p w:rsidR="001671A2" w:rsidRPr="003B2490" w:rsidRDefault="001671A2" w:rsidP="001671A2">
      <w:pPr>
        <w:jc w:val="center"/>
        <w:rPr>
          <w:rFonts w:eastAsiaTheme="minorHAnsi" w:cstheme="minorBidi"/>
          <w:szCs w:val="24"/>
          <w:lang w:val="en-US" w:eastAsia="en-US"/>
        </w:rPr>
      </w:pPr>
      <w:r w:rsidRPr="003B2490">
        <w:rPr>
          <w:rFonts w:eastAsiaTheme="minorHAnsi" w:cstheme="minorBidi"/>
          <w:szCs w:val="24"/>
          <w:lang w:val="en-US" w:eastAsia="en-US"/>
        </w:rPr>
        <w:t>Respondent</w:t>
      </w:r>
    </w:p>
    <w:p w:rsidR="001671A2" w:rsidRPr="003B2490" w:rsidRDefault="001671A2" w:rsidP="001671A2">
      <w:pPr>
        <w:jc w:val="center"/>
        <w:rPr>
          <w:rFonts w:eastAsiaTheme="minorHAnsi" w:cstheme="minorBidi"/>
          <w:szCs w:val="24"/>
          <w:lang w:val="en-US" w:eastAsia="en-US"/>
        </w:rPr>
      </w:pPr>
      <w:r w:rsidRPr="003B2490">
        <w:rPr>
          <w:rFonts w:eastAsiaTheme="minorHAnsi" w:cstheme="minorBidi"/>
          <w:szCs w:val="24"/>
          <w:lang w:val="en-US" w:eastAsia="en-US"/>
        </w:rPr>
        <w:t xml:space="preserve">- </w:t>
      </w:r>
      <w:proofErr w:type="gramStart"/>
      <w:r w:rsidRPr="003B2490">
        <w:rPr>
          <w:rFonts w:eastAsiaTheme="minorHAnsi" w:cstheme="minorBidi"/>
          <w:szCs w:val="24"/>
          <w:lang w:val="en-US" w:eastAsia="en-US"/>
        </w:rPr>
        <w:t>and</w:t>
      </w:r>
      <w:proofErr w:type="gramEnd"/>
      <w:r w:rsidRPr="003B2490">
        <w:rPr>
          <w:rFonts w:eastAsiaTheme="minorHAnsi" w:cstheme="minorBidi"/>
          <w:szCs w:val="24"/>
          <w:lang w:val="en-US" w:eastAsia="en-US"/>
        </w:rPr>
        <w:t xml:space="preserve"> -</w:t>
      </w:r>
    </w:p>
    <w:p w:rsidR="001671A2" w:rsidRPr="003B2490" w:rsidRDefault="001671A2" w:rsidP="001671A2">
      <w:pPr>
        <w:jc w:val="center"/>
        <w:rPr>
          <w:rFonts w:eastAsiaTheme="minorHAnsi" w:cstheme="minorBidi"/>
          <w:b/>
          <w:szCs w:val="24"/>
          <w:lang w:val="en-US" w:eastAsia="en-US"/>
        </w:rPr>
      </w:pPr>
      <w:r w:rsidRPr="003B2490">
        <w:rPr>
          <w:rFonts w:eastAsiaTheme="minorHAnsi" w:cstheme="minorBidi"/>
          <w:b/>
          <w:szCs w:val="24"/>
          <w:lang w:val="en-US" w:eastAsia="en-US"/>
        </w:rPr>
        <w:t>Amnesty International (Canada Section),</w:t>
      </w:r>
    </w:p>
    <w:p w:rsidR="001671A2" w:rsidRPr="003B2490" w:rsidRDefault="001671A2" w:rsidP="001671A2">
      <w:pPr>
        <w:jc w:val="center"/>
        <w:rPr>
          <w:rFonts w:eastAsiaTheme="minorHAnsi" w:cstheme="minorBidi"/>
          <w:b/>
          <w:szCs w:val="24"/>
          <w:lang w:val="en-US" w:eastAsia="en-US"/>
        </w:rPr>
      </w:pPr>
      <w:r w:rsidRPr="003B2490">
        <w:rPr>
          <w:rFonts w:eastAsiaTheme="minorHAnsi" w:cstheme="minorBidi"/>
          <w:b/>
          <w:szCs w:val="24"/>
          <w:lang w:val="en-US" w:eastAsia="en-US"/>
        </w:rPr>
        <w:t>Québec Immigration Lawyers Association</w:t>
      </w:r>
    </w:p>
    <w:p w:rsidR="001671A2" w:rsidRPr="003B2490" w:rsidRDefault="001671A2" w:rsidP="001671A2">
      <w:pPr>
        <w:jc w:val="center"/>
        <w:rPr>
          <w:rFonts w:eastAsiaTheme="minorHAnsi" w:cstheme="minorBidi"/>
          <w:b/>
          <w:szCs w:val="24"/>
          <w:lang w:val="en-US" w:eastAsia="en-US"/>
        </w:rPr>
      </w:pPr>
      <w:proofErr w:type="gramStart"/>
      <w:r w:rsidRPr="003B2490">
        <w:rPr>
          <w:rFonts w:eastAsiaTheme="minorHAnsi" w:cstheme="minorBidi"/>
          <w:b/>
          <w:szCs w:val="24"/>
          <w:lang w:eastAsia="en-US"/>
        </w:rPr>
        <w:t>and</w:t>
      </w:r>
      <w:proofErr w:type="gramEnd"/>
      <w:r w:rsidRPr="003B2490">
        <w:rPr>
          <w:rFonts w:eastAsiaTheme="minorHAnsi" w:cstheme="minorBidi"/>
          <w:b/>
          <w:szCs w:val="24"/>
          <w:lang w:eastAsia="en-US"/>
        </w:rPr>
        <w:t xml:space="preserve"> Canadian Civil Liberties Association</w:t>
      </w:r>
    </w:p>
    <w:p w:rsidR="001671A2" w:rsidRPr="003B2490" w:rsidRDefault="001671A2" w:rsidP="001671A2">
      <w:pPr>
        <w:jc w:val="center"/>
        <w:rPr>
          <w:rFonts w:eastAsiaTheme="minorHAnsi" w:cstheme="minorBidi"/>
          <w:szCs w:val="24"/>
          <w:lang w:eastAsia="en-US"/>
        </w:rPr>
      </w:pPr>
      <w:r w:rsidRPr="003B2490">
        <w:rPr>
          <w:rFonts w:eastAsiaTheme="minorHAnsi" w:cstheme="minorBidi"/>
          <w:szCs w:val="24"/>
          <w:lang w:eastAsia="en-US"/>
        </w:rPr>
        <w:t>Interveners</w:t>
      </w:r>
    </w:p>
    <w:p w:rsidR="001671A2" w:rsidRPr="003B2490" w:rsidRDefault="001671A2" w:rsidP="001671A2">
      <w:pPr>
        <w:rPr>
          <w:rFonts w:eastAsiaTheme="minorHAnsi" w:cstheme="minorBidi"/>
          <w:szCs w:val="24"/>
          <w:lang w:eastAsia="en-US"/>
        </w:rPr>
      </w:pPr>
    </w:p>
    <w:p w:rsidR="001671A2" w:rsidRPr="003B2490" w:rsidRDefault="001671A2" w:rsidP="001671A2">
      <w:pPr>
        <w:rPr>
          <w:rFonts w:eastAsiaTheme="minorHAnsi" w:cstheme="minorBidi"/>
          <w:szCs w:val="24"/>
          <w:lang w:eastAsia="en-US"/>
        </w:rPr>
      </w:pPr>
      <w:r w:rsidRPr="003B2490">
        <w:rPr>
          <w:rFonts w:eastAsiaTheme="minorHAnsi" w:cstheme="minorBidi"/>
          <w:b/>
          <w:smallCaps/>
          <w:szCs w:val="24"/>
          <w:lang w:eastAsia="en-US"/>
        </w:rPr>
        <w:t>Coram</w:t>
      </w:r>
      <w:r w:rsidRPr="003B2490">
        <w:rPr>
          <w:rFonts w:eastAsiaTheme="minorHAnsi" w:cstheme="minorBidi"/>
          <w:b/>
          <w:szCs w:val="24"/>
          <w:lang w:eastAsia="en-US"/>
        </w:rPr>
        <w:t>:</w:t>
      </w:r>
      <w:r w:rsidRPr="003B2490">
        <w:rPr>
          <w:rFonts w:eastAsiaTheme="minorHAnsi" w:cstheme="minorBidi"/>
          <w:szCs w:val="24"/>
          <w:lang w:eastAsia="en-US"/>
        </w:rPr>
        <w:t xml:space="preserve"> </w:t>
      </w:r>
      <w:proofErr w:type="spellStart"/>
      <w:r w:rsidRPr="003B2490">
        <w:rPr>
          <w:rFonts w:eastAsiaTheme="minorHAnsi" w:cstheme="minorBidi"/>
          <w:szCs w:val="24"/>
          <w:lang w:eastAsia="en-US"/>
        </w:rPr>
        <w:t>McLachlin</w:t>
      </w:r>
      <w:proofErr w:type="spellEnd"/>
      <w:r w:rsidRPr="003B2490">
        <w:rPr>
          <w:rFonts w:eastAsiaTheme="minorHAnsi" w:cstheme="minorBidi"/>
          <w:szCs w:val="24"/>
          <w:lang w:eastAsia="en-US"/>
        </w:rPr>
        <w:t xml:space="preserve"> C.J. and </w:t>
      </w:r>
      <w:proofErr w:type="spellStart"/>
      <w:r w:rsidRPr="003B2490">
        <w:rPr>
          <w:rFonts w:eastAsiaTheme="minorHAnsi" w:cstheme="minorBidi"/>
          <w:szCs w:val="24"/>
          <w:lang w:eastAsia="en-US"/>
        </w:rPr>
        <w:t>Binnie</w:t>
      </w:r>
      <w:proofErr w:type="spellEnd"/>
      <w:r w:rsidRPr="003B2490">
        <w:rPr>
          <w:rFonts w:eastAsiaTheme="minorHAnsi" w:cstheme="minorBidi"/>
          <w:szCs w:val="24"/>
          <w:lang w:eastAsia="en-US"/>
        </w:rPr>
        <w:t xml:space="preserve">, </w:t>
      </w:r>
      <w:proofErr w:type="spellStart"/>
      <w:r w:rsidRPr="003B2490">
        <w:rPr>
          <w:rFonts w:eastAsiaTheme="minorHAnsi" w:cstheme="minorBidi"/>
          <w:szCs w:val="24"/>
          <w:lang w:eastAsia="en-US"/>
        </w:rPr>
        <w:t>LeBel</w:t>
      </w:r>
      <w:proofErr w:type="spellEnd"/>
      <w:r w:rsidRPr="003B2490">
        <w:rPr>
          <w:rFonts w:eastAsiaTheme="minorHAnsi" w:cstheme="minorBidi"/>
          <w:szCs w:val="24"/>
          <w:lang w:eastAsia="en-US"/>
        </w:rPr>
        <w:t xml:space="preserve">, </w:t>
      </w:r>
      <w:proofErr w:type="spellStart"/>
      <w:r w:rsidRPr="003B2490">
        <w:rPr>
          <w:rFonts w:eastAsiaTheme="minorHAnsi" w:cstheme="minorBidi"/>
          <w:szCs w:val="24"/>
          <w:lang w:eastAsia="en-US"/>
        </w:rPr>
        <w:t>Deschamps</w:t>
      </w:r>
      <w:proofErr w:type="spellEnd"/>
      <w:r w:rsidRPr="003B2490">
        <w:rPr>
          <w:rFonts w:eastAsiaTheme="minorHAnsi" w:cstheme="minorBidi"/>
          <w:szCs w:val="24"/>
          <w:lang w:eastAsia="en-US"/>
        </w:rPr>
        <w:t xml:space="preserve">, Fish, </w:t>
      </w:r>
      <w:proofErr w:type="spellStart"/>
      <w:r w:rsidRPr="003B2490">
        <w:rPr>
          <w:rFonts w:eastAsiaTheme="minorHAnsi" w:cstheme="minorBidi"/>
          <w:szCs w:val="24"/>
          <w:lang w:eastAsia="en-US"/>
        </w:rPr>
        <w:t>Abella</w:t>
      </w:r>
      <w:proofErr w:type="spellEnd"/>
      <w:r w:rsidRPr="003B2490">
        <w:rPr>
          <w:rFonts w:eastAsiaTheme="minorHAnsi" w:cstheme="minorBidi"/>
          <w:szCs w:val="24"/>
          <w:lang w:eastAsia="en-US"/>
        </w:rPr>
        <w:t xml:space="preserve">, </w:t>
      </w:r>
      <w:proofErr w:type="spellStart"/>
      <w:r w:rsidRPr="003B2490">
        <w:rPr>
          <w:rFonts w:eastAsiaTheme="minorHAnsi" w:cstheme="minorBidi"/>
          <w:szCs w:val="24"/>
          <w:lang w:eastAsia="en-US"/>
        </w:rPr>
        <w:t>Charron</w:t>
      </w:r>
      <w:proofErr w:type="spellEnd"/>
      <w:r w:rsidRPr="003B2490">
        <w:rPr>
          <w:rFonts w:eastAsiaTheme="minorHAnsi" w:cstheme="minorBidi"/>
          <w:szCs w:val="24"/>
          <w:lang w:eastAsia="en-US"/>
        </w:rPr>
        <w:t>, Rothstein and Cromwell JJ.</w:t>
      </w:r>
    </w:p>
    <w:p w:rsidR="001671A2" w:rsidRPr="003B2490" w:rsidRDefault="001671A2" w:rsidP="001671A2">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671A2" w:rsidRPr="003B2490" w:rsidTr="00E30ABC">
        <w:trPr>
          <w:cantSplit/>
        </w:trPr>
        <w:tc>
          <w:tcPr>
            <w:tcW w:w="3618" w:type="dxa"/>
          </w:tcPr>
          <w:p w:rsidR="001671A2" w:rsidRPr="003B2490" w:rsidRDefault="001671A2" w:rsidP="00E30ABC">
            <w:pPr>
              <w:rPr>
                <w:b/>
              </w:rPr>
            </w:pPr>
            <w:r w:rsidRPr="003B2490">
              <w:rPr>
                <w:b/>
                <w:smallCaps/>
              </w:rPr>
              <w:t>Reasons for Judgment</w:t>
            </w:r>
            <w:r w:rsidRPr="003B2490">
              <w:rPr>
                <w:b/>
              </w:rPr>
              <w:t>:</w:t>
            </w:r>
          </w:p>
          <w:p w:rsidR="001671A2" w:rsidRPr="003B2490" w:rsidRDefault="001671A2" w:rsidP="00E30ABC">
            <w:r w:rsidRPr="003B2490">
              <w:t>(</w:t>
            </w:r>
            <w:proofErr w:type="spellStart"/>
            <w:r w:rsidRPr="003B2490">
              <w:t>paras</w:t>
            </w:r>
            <w:proofErr w:type="spellEnd"/>
            <w:r w:rsidRPr="003B2490">
              <w:t>. 1 to 13)</w:t>
            </w:r>
          </w:p>
        </w:tc>
        <w:tc>
          <w:tcPr>
            <w:tcW w:w="5958" w:type="dxa"/>
          </w:tcPr>
          <w:p w:rsidR="001671A2" w:rsidRPr="003B2490" w:rsidRDefault="001671A2" w:rsidP="00E30ABC">
            <w:r w:rsidRPr="003B2490">
              <w:t>Cromwell J. (</w:t>
            </w:r>
            <w:proofErr w:type="spellStart"/>
            <w:r w:rsidRPr="003B2490">
              <w:t>McLachlin</w:t>
            </w:r>
            <w:proofErr w:type="spellEnd"/>
            <w:r w:rsidRPr="003B2490">
              <w:t xml:space="preserve"> C.J. and </w:t>
            </w:r>
            <w:proofErr w:type="spellStart"/>
            <w:r w:rsidRPr="003B2490">
              <w:t>Binnie</w:t>
            </w:r>
            <w:proofErr w:type="spellEnd"/>
            <w:r w:rsidRPr="003B2490">
              <w:t xml:space="preserve">, </w:t>
            </w:r>
            <w:proofErr w:type="spellStart"/>
            <w:r w:rsidRPr="003B2490">
              <w:t>LeBel</w:t>
            </w:r>
            <w:proofErr w:type="spellEnd"/>
            <w:r w:rsidRPr="003B2490">
              <w:t xml:space="preserve">, </w:t>
            </w:r>
            <w:proofErr w:type="spellStart"/>
            <w:r w:rsidRPr="003B2490">
              <w:t>Deschamps</w:t>
            </w:r>
            <w:proofErr w:type="spellEnd"/>
            <w:r w:rsidRPr="003B2490">
              <w:t xml:space="preserve">, Fish, </w:t>
            </w:r>
            <w:proofErr w:type="spellStart"/>
            <w:r w:rsidRPr="003B2490">
              <w:t>Abella</w:t>
            </w:r>
            <w:proofErr w:type="spellEnd"/>
            <w:r w:rsidRPr="003B2490">
              <w:t xml:space="preserve">, </w:t>
            </w:r>
            <w:proofErr w:type="spellStart"/>
            <w:r w:rsidRPr="003B2490">
              <w:t>Charron</w:t>
            </w:r>
            <w:proofErr w:type="spellEnd"/>
            <w:r w:rsidRPr="003B2490">
              <w:t xml:space="preserve"> and Rothstein JJ. concurring)</w:t>
            </w:r>
          </w:p>
        </w:tc>
      </w:tr>
    </w:tbl>
    <w:p w:rsidR="001671A2" w:rsidRPr="003B2490" w:rsidRDefault="001671A2" w:rsidP="001671A2">
      <w:pPr>
        <w:rPr>
          <w:rFonts w:eastAsiaTheme="minorHAnsi" w:cstheme="minorBidi"/>
          <w:szCs w:val="24"/>
          <w:lang w:eastAsia="en-US"/>
        </w:rPr>
      </w:pPr>
    </w:p>
    <w:p w:rsidR="001671A2" w:rsidRPr="003B2490" w:rsidRDefault="007F5A1F" w:rsidP="001671A2">
      <w:pPr>
        <w:rPr>
          <w:rFonts w:eastAsiaTheme="minorHAnsi" w:cstheme="minorBidi"/>
          <w:szCs w:val="24"/>
          <w:lang w:eastAsia="en-US"/>
        </w:rPr>
      </w:pPr>
      <w:r w:rsidRPr="007F5A1F">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1671A2" w:rsidRDefault="001671A2">
      <w:pPr>
        <w:rPr>
          <w:rStyle w:val="SCCAppellantForIndexChar"/>
          <w:b w:val="0"/>
        </w:rPr>
      </w:pPr>
      <w:r>
        <w:rPr>
          <w:rStyle w:val="SCCAppellantForIndexChar"/>
          <w:b w:val="0"/>
        </w:rPr>
        <w:br w:type="page"/>
      </w:r>
    </w:p>
    <w:p w:rsidR="008322BD" w:rsidRPr="00EC41EF" w:rsidRDefault="00906D78" w:rsidP="007528FD">
      <w:pPr>
        <w:spacing w:line="480" w:lineRule="auto"/>
        <w:jc w:val="both"/>
        <w:rPr>
          <w:lang w:val="fr-CA"/>
        </w:rPr>
      </w:pPr>
      <w:proofErr w:type="spellStart"/>
      <w:r w:rsidRPr="001671A2">
        <w:rPr>
          <w:rStyle w:val="SCCAppellantForIndexChar"/>
          <w:b w:val="0"/>
          <w:lang w:val="fr-CA"/>
        </w:rPr>
        <w:lastRenderedPageBreak/>
        <w:t>Gavrila</w:t>
      </w:r>
      <w:proofErr w:type="spellEnd"/>
      <w:r w:rsidRPr="001671A2">
        <w:rPr>
          <w:lang w:val="fr-CA"/>
        </w:rPr>
        <w:t xml:space="preserve"> </w:t>
      </w:r>
      <w:r w:rsidRPr="001671A2">
        <w:rPr>
          <w:i/>
          <w:lang w:val="fr-CA"/>
        </w:rPr>
        <w:t>v.</w:t>
      </w:r>
      <w:r w:rsidRPr="001671A2">
        <w:rPr>
          <w:lang w:val="fr-CA"/>
        </w:rPr>
        <w:t xml:space="preserve"> </w:t>
      </w:r>
      <w:r w:rsidRPr="001671A2">
        <w:rPr>
          <w:rStyle w:val="SCCRespondentForIndexChar"/>
          <w:b w:val="0"/>
          <w:lang w:val="fr-CA"/>
        </w:rPr>
        <w:t>Canada (Justice)</w:t>
      </w:r>
      <w:r>
        <w:rPr>
          <w:rStyle w:val="SCCRespondentForRunningHeadChar"/>
          <w:lang w:val="fr-CA"/>
        </w:rPr>
        <w:t xml:space="preserve">, </w:t>
      </w:r>
      <w:r w:rsidRPr="00861A7F">
        <w:rPr>
          <w:rStyle w:val="SCCAppellantForRunningHeadChar"/>
          <w:lang w:val="fr-CA"/>
        </w:rPr>
        <w:t>2010</w:t>
      </w:r>
      <w:r w:rsidRPr="00861A7F">
        <w:rPr>
          <w:rStyle w:val="SCCRespondentForRunningHeadChar"/>
          <w:smallCaps w:val="0"/>
          <w:lang w:val="fr-CA"/>
        </w:rPr>
        <w:t xml:space="preserve"> SCC 5</w:t>
      </w:r>
      <w:r>
        <w:rPr>
          <w:rStyle w:val="SCCRespondentForRunningHeadChar"/>
          <w:smallCaps w:val="0"/>
          <w:lang w:val="fr-CA"/>
        </w:rPr>
        <w:t>7</w:t>
      </w:r>
      <w:r w:rsidRPr="00861A7F">
        <w:rPr>
          <w:rStyle w:val="SCCRespondentForRunningHeadChar"/>
          <w:smallCaps w:val="0"/>
          <w:lang w:val="fr-CA"/>
        </w:rPr>
        <w:t xml:space="preserve">, [2010] 3 S.C.R. </w:t>
      </w:r>
      <w:r>
        <w:rPr>
          <w:rStyle w:val="SCCRespondentForRunningHeadChar"/>
          <w:smallCaps w:val="0"/>
          <w:lang w:val="fr-CA"/>
        </w:rPr>
        <w:t>34</w:t>
      </w:r>
      <w:r w:rsidRPr="00861A7F">
        <w:rPr>
          <w:rStyle w:val="SCCRespondentForRunningHeadChar"/>
          <w:smallCaps w:val="0"/>
          <w:lang w:val="fr-CA"/>
        </w:rPr>
        <w:t>2</w:t>
      </w:r>
    </w:p>
    <w:p w:rsidR="00A149DF" w:rsidRPr="00EC41EF" w:rsidRDefault="00A149DF" w:rsidP="007528FD">
      <w:pPr>
        <w:spacing w:line="480" w:lineRule="auto"/>
        <w:jc w:val="both"/>
        <w:rPr>
          <w:lang w:val="fr-CA"/>
        </w:rPr>
      </w:pPr>
    </w:p>
    <w:p w:rsidR="00C17460" w:rsidRPr="00EC41EF" w:rsidRDefault="00C17460" w:rsidP="007528FD">
      <w:pPr>
        <w:pStyle w:val="SCCLsocParty"/>
        <w:tabs>
          <w:tab w:val="left" w:pos="7200"/>
        </w:tabs>
        <w:spacing w:line="480" w:lineRule="auto"/>
        <w:rPr>
          <w:lang w:val="fr-CA"/>
        </w:rPr>
      </w:pPr>
      <w:proofErr w:type="spellStart"/>
      <w:r w:rsidRPr="00EC41EF">
        <w:rPr>
          <w:lang w:val="fr-CA"/>
        </w:rPr>
        <w:t>Tiberiu</w:t>
      </w:r>
      <w:proofErr w:type="spellEnd"/>
      <w:r w:rsidRPr="00EC41EF">
        <w:rPr>
          <w:lang w:val="fr-CA"/>
        </w:rPr>
        <w:t xml:space="preserve"> </w:t>
      </w:r>
      <w:proofErr w:type="spellStart"/>
      <w:r w:rsidRPr="00EC41EF">
        <w:rPr>
          <w:lang w:val="fr-CA"/>
        </w:rPr>
        <w:t>Gavrila</w:t>
      </w:r>
      <w:proofErr w:type="spellEnd"/>
      <w:r w:rsidRPr="00EC41EF">
        <w:rPr>
          <w:lang w:val="fr-CA"/>
        </w:rPr>
        <w:tab/>
      </w:r>
      <w:proofErr w:type="spellStart"/>
      <w:r w:rsidR="00446D68" w:rsidRPr="00EC41EF">
        <w:rPr>
          <w:b w:val="0"/>
          <w:i/>
          <w:lang w:val="fr-CA"/>
        </w:rPr>
        <w:t>Appellant</w:t>
      </w:r>
      <w:proofErr w:type="spellEnd"/>
    </w:p>
    <w:p w:rsidR="00B65B31" w:rsidRPr="00EC41EF" w:rsidRDefault="00B65B31" w:rsidP="007528FD">
      <w:pPr>
        <w:pStyle w:val="SCCLsocParty"/>
        <w:tabs>
          <w:tab w:val="left" w:pos="7287"/>
        </w:tabs>
        <w:spacing w:line="480" w:lineRule="auto"/>
        <w:rPr>
          <w:lang w:val="fr-CA"/>
        </w:rPr>
      </w:pPr>
    </w:p>
    <w:p w:rsidR="00B65B31" w:rsidRPr="00EC41EF" w:rsidRDefault="00446D68" w:rsidP="007528FD">
      <w:pPr>
        <w:pStyle w:val="SCCLsocVersus"/>
        <w:spacing w:line="480" w:lineRule="auto"/>
        <w:rPr>
          <w:lang w:val="en-US"/>
        </w:rPr>
      </w:pPr>
      <w:proofErr w:type="gramStart"/>
      <w:r w:rsidRPr="00EC41EF">
        <w:rPr>
          <w:lang w:val="en-US"/>
        </w:rPr>
        <w:t>v</w:t>
      </w:r>
      <w:proofErr w:type="gramEnd"/>
      <w:r w:rsidRPr="00EC41EF">
        <w:rPr>
          <w:lang w:val="en-US"/>
        </w:rPr>
        <w:t>.</w:t>
      </w:r>
      <w:r w:rsidRPr="00EC41EF">
        <w:rPr>
          <w:lang w:val="en-US"/>
        </w:rPr>
        <w:br/>
      </w:r>
    </w:p>
    <w:p w:rsidR="00C17460" w:rsidRPr="00EC41EF" w:rsidRDefault="000E1774" w:rsidP="007528FD">
      <w:pPr>
        <w:pStyle w:val="SCCLsocParty"/>
        <w:tabs>
          <w:tab w:val="left" w:pos="7020"/>
        </w:tabs>
        <w:spacing w:line="480" w:lineRule="auto"/>
        <w:rPr>
          <w:lang w:val="en-US"/>
        </w:rPr>
      </w:pPr>
      <w:r w:rsidRPr="00EC41EF">
        <w:rPr>
          <w:lang w:val="en-US"/>
        </w:rPr>
        <w:t>Minister of Justice</w:t>
      </w:r>
      <w:r w:rsidR="004C3B55" w:rsidRPr="00EC41EF">
        <w:rPr>
          <w:lang w:val="en-US"/>
        </w:rPr>
        <w:t xml:space="preserve"> of Canada</w:t>
      </w:r>
      <w:r w:rsidR="00C17460" w:rsidRPr="00EC41EF">
        <w:rPr>
          <w:lang w:val="en-US"/>
        </w:rPr>
        <w:tab/>
      </w:r>
      <w:r w:rsidR="00446D68" w:rsidRPr="00EC41EF">
        <w:rPr>
          <w:b w:val="0"/>
          <w:i/>
          <w:lang w:val="en-US"/>
        </w:rPr>
        <w:t>Respondent</w:t>
      </w:r>
    </w:p>
    <w:p w:rsidR="00B65B31" w:rsidRPr="00EC41EF" w:rsidRDefault="00B65B31" w:rsidP="007528FD">
      <w:pPr>
        <w:pStyle w:val="SCCLsocParty"/>
        <w:tabs>
          <w:tab w:val="left" w:pos="7020"/>
        </w:tabs>
        <w:spacing w:line="480" w:lineRule="auto"/>
        <w:rPr>
          <w:lang w:val="en-US"/>
        </w:rPr>
      </w:pPr>
    </w:p>
    <w:p w:rsidR="00C17460" w:rsidRPr="00EC41EF" w:rsidRDefault="00446D68" w:rsidP="007528FD">
      <w:pPr>
        <w:pStyle w:val="SCCLsocOtherPartySeparator"/>
        <w:spacing w:line="480" w:lineRule="auto"/>
        <w:rPr>
          <w:lang w:val="en-US"/>
        </w:rPr>
      </w:pPr>
      <w:proofErr w:type="gramStart"/>
      <w:r w:rsidRPr="00EC41EF">
        <w:rPr>
          <w:lang w:val="en-US"/>
        </w:rPr>
        <w:t>and</w:t>
      </w:r>
      <w:proofErr w:type="gramEnd"/>
    </w:p>
    <w:p w:rsidR="00B65B31" w:rsidRPr="00EC41EF" w:rsidRDefault="00B65B31" w:rsidP="007528FD">
      <w:pPr>
        <w:pStyle w:val="SCCLsocOtherPartySeparator"/>
        <w:spacing w:line="480" w:lineRule="auto"/>
        <w:rPr>
          <w:lang w:val="en-US"/>
        </w:rPr>
      </w:pPr>
    </w:p>
    <w:p w:rsidR="00B65B31" w:rsidRPr="00EC41EF" w:rsidRDefault="00446D68">
      <w:pPr>
        <w:pStyle w:val="SCCLsocParty"/>
        <w:rPr>
          <w:lang w:val="en-US"/>
        </w:rPr>
      </w:pPr>
      <w:r w:rsidRPr="00EC41EF">
        <w:rPr>
          <w:lang w:val="en-US"/>
        </w:rPr>
        <w:t xml:space="preserve">Amnesty International (Canada Section), </w:t>
      </w:r>
    </w:p>
    <w:p w:rsidR="00B65B31" w:rsidRPr="00EC41EF" w:rsidRDefault="00AF5752">
      <w:pPr>
        <w:pStyle w:val="SCCLsocParty"/>
        <w:rPr>
          <w:lang w:val="fr-CA"/>
        </w:rPr>
      </w:pPr>
      <w:r w:rsidRPr="00EC41EF">
        <w:rPr>
          <w:lang w:val="fr-CA"/>
        </w:rPr>
        <w:t xml:space="preserve">Québec Immigration </w:t>
      </w:r>
      <w:proofErr w:type="spellStart"/>
      <w:r w:rsidRPr="00EC41EF">
        <w:rPr>
          <w:lang w:val="fr-CA"/>
        </w:rPr>
        <w:t>Lawyers</w:t>
      </w:r>
      <w:proofErr w:type="spellEnd"/>
      <w:r w:rsidRPr="00EC41EF">
        <w:rPr>
          <w:lang w:val="fr-CA"/>
        </w:rPr>
        <w:t xml:space="preserve"> </w:t>
      </w:r>
      <w:r w:rsidR="00446D68" w:rsidRPr="00EC41EF">
        <w:rPr>
          <w:lang w:val="fr-CA"/>
        </w:rPr>
        <w:t xml:space="preserve">Association </w:t>
      </w:r>
    </w:p>
    <w:p w:rsidR="00B65B31" w:rsidRPr="00EC41EF" w:rsidRDefault="00C17460" w:rsidP="007528FD">
      <w:pPr>
        <w:pStyle w:val="SCCLsocParty"/>
        <w:tabs>
          <w:tab w:val="left" w:pos="7020"/>
        </w:tabs>
        <w:spacing w:line="480" w:lineRule="auto"/>
      </w:pPr>
      <w:proofErr w:type="gramStart"/>
      <w:r w:rsidRPr="00EC41EF">
        <w:t>and</w:t>
      </w:r>
      <w:proofErr w:type="gramEnd"/>
      <w:r w:rsidRPr="00EC41EF">
        <w:t xml:space="preserve"> </w:t>
      </w:r>
      <w:r w:rsidR="00446D68" w:rsidRPr="00EC41EF">
        <w:t>Canadian Civil Liberties Association</w:t>
      </w:r>
      <w:r w:rsidRPr="00EC41EF">
        <w:tab/>
      </w:r>
      <w:r w:rsidR="00446D68" w:rsidRPr="00EC41EF">
        <w:rPr>
          <w:b w:val="0"/>
          <w:i/>
        </w:rPr>
        <w:t>Interveners</w:t>
      </w:r>
    </w:p>
    <w:p w:rsidR="00766D14" w:rsidRPr="00EC41EF" w:rsidRDefault="00766D14" w:rsidP="007528FD">
      <w:pPr>
        <w:spacing w:line="480" w:lineRule="auto"/>
        <w:jc w:val="both"/>
      </w:pPr>
    </w:p>
    <w:p w:rsidR="00426659" w:rsidRPr="00EC41EF" w:rsidRDefault="00426659" w:rsidP="007528FD">
      <w:pPr>
        <w:spacing w:line="480" w:lineRule="auto"/>
        <w:jc w:val="both"/>
        <w:rPr>
          <w:b/>
        </w:rPr>
      </w:pPr>
      <w:r w:rsidRPr="00EC41EF">
        <w:rPr>
          <w:b/>
        </w:rPr>
        <w:t>Indexed as:</w:t>
      </w:r>
      <w:r w:rsidR="007528FD" w:rsidRPr="00EC41EF">
        <w:rPr>
          <w:b/>
        </w:rPr>
        <w:t>  </w:t>
      </w:r>
      <w:proofErr w:type="spellStart"/>
      <w:r w:rsidRPr="00EC41EF">
        <w:rPr>
          <w:rStyle w:val="SCCAppellantForIndexChar"/>
        </w:rPr>
        <w:t>Gavrila</w:t>
      </w:r>
      <w:proofErr w:type="spellEnd"/>
      <w:r w:rsidRPr="00EC41EF">
        <w:rPr>
          <w:b/>
        </w:rPr>
        <w:t xml:space="preserve"> </w:t>
      </w:r>
      <w:r w:rsidRPr="00EC41EF">
        <w:rPr>
          <w:b/>
          <w:i/>
        </w:rPr>
        <w:t>v.</w:t>
      </w:r>
      <w:r w:rsidRPr="00EC41EF">
        <w:rPr>
          <w:b/>
        </w:rPr>
        <w:t xml:space="preserve"> </w:t>
      </w:r>
      <w:r w:rsidR="00C17460" w:rsidRPr="00EC41EF">
        <w:rPr>
          <w:rStyle w:val="SCCRespondentForIndexChar"/>
        </w:rPr>
        <w:t xml:space="preserve">Canada </w:t>
      </w:r>
      <w:r w:rsidR="00EB6215" w:rsidRPr="00EC41EF">
        <w:rPr>
          <w:rStyle w:val="SCCRespondentForIndexChar"/>
        </w:rPr>
        <w:t>(</w:t>
      </w:r>
      <w:r w:rsidRPr="00EC41EF">
        <w:rPr>
          <w:rStyle w:val="SCCRespondentForIndexChar"/>
        </w:rPr>
        <w:t>Justice</w:t>
      </w:r>
      <w:r w:rsidR="00EB6215" w:rsidRPr="00EC41EF">
        <w:rPr>
          <w:rStyle w:val="SCCRespondentForIndexChar"/>
        </w:rPr>
        <w:t>)</w:t>
      </w:r>
      <w:r w:rsidRPr="00EC41EF">
        <w:rPr>
          <w:rStyle w:val="SCCRespondentForIndexChar"/>
        </w:rPr>
        <w:t xml:space="preserve"> </w:t>
      </w:r>
    </w:p>
    <w:p w:rsidR="00A149DF" w:rsidRPr="00EC41EF" w:rsidRDefault="00A149DF" w:rsidP="007528FD">
      <w:pPr>
        <w:spacing w:line="480" w:lineRule="auto"/>
        <w:jc w:val="both"/>
      </w:pPr>
    </w:p>
    <w:p w:rsidR="00426659" w:rsidRPr="00EC41EF" w:rsidRDefault="007F3F08" w:rsidP="007528FD">
      <w:pPr>
        <w:pStyle w:val="SCCSystemYear"/>
        <w:spacing w:line="480" w:lineRule="auto"/>
        <w:jc w:val="both"/>
      </w:pPr>
      <w:r w:rsidRPr="00EC41EF">
        <w:t>2010</w:t>
      </w:r>
      <w:r w:rsidR="007528FD" w:rsidRPr="00EC41EF">
        <w:t> </w:t>
      </w:r>
      <w:r w:rsidR="00426659" w:rsidRPr="00EC41EF">
        <w:t>SCC </w:t>
      </w:r>
      <w:r w:rsidR="00FD64A3" w:rsidRPr="00EC41EF">
        <w:t>57</w:t>
      </w:r>
    </w:p>
    <w:p w:rsidR="00426659" w:rsidRPr="00EC41EF" w:rsidRDefault="00426659" w:rsidP="007528FD">
      <w:pPr>
        <w:spacing w:line="480" w:lineRule="auto"/>
        <w:jc w:val="both"/>
      </w:pPr>
    </w:p>
    <w:p w:rsidR="008322BD" w:rsidRPr="00EC41EF" w:rsidRDefault="007528FD" w:rsidP="007528FD">
      <w:pPr>
        <w:spacing w:line="480" w:lineRule="auto"/>
        <w:jc w:val="both"/>
      </w:pPr>
      <w:r w:rsidRPr="00EC41EF">
        <w:t>File No.:  </w:t>
      </w:r>
      <w:r w:rsidR="009B57B3" w:rsidRPr="00EC41EF">
        <w:t>33313.</w:t>
      </w:r>
    </w:p>
    <w:p w:rsidR="00E97830" w:rsidRPr="00EC41EF" w:rsidRDefault="00E97830" w:rsidP="007528FD">
      <w:pPr>
        <w:spacing w:line="480" w:lineRule="auto"/>
        <w:jc w:val="both"/>
      </w:pPr>
    </w:p>
    <w:p w:rsidR="008322BD" w:rsidRPr="00EC41EF" w:rsidRDefault="007528FD" w:rsidP="007528FD">
      <w:pPr>
        <w:spacing w:line="480" w:lineRule="auto"/>
        <w:jc w:val="both"/>
      </w:pPr>
      <w:r w:rsidRPr="00EC41EF">
        <w:t>2010:  January </w:t>
      </w:r>
      <w:r w:rsidR="007F3F08" w:rsidRPr="00EC41EF">
        <w:t>13</w:t>
      </w:r>
      <w:r w:rsidR="009B57B3" w:rsidRPr="00EC41EF">
        <w:t xml:space="preserve">; </w:t>
      </w:r>
      <w:r w:rsidRPr="00EC41EF">
        <w:t>2010:  November </w:t>
      </w:r>
      <w:r w:rsidR="00AF5752" w:rsidRPr="00EC41EF">
        <w:t>25.</w:t>
      </w:r>
    </w:p>
    <w:p w:rsidR="00E97830" w:rsidRPr="00EC41EF" w:rsidRDefault="00E97830" w:rsidP="007528FD">
      <w:pPr>
        <w:spacing w:line="480" w:lineRule="auto"/>
        <w:jc w:val="both"/>
      </w:pPr>
    </w:p>
    <w:p w:rsidR="008322BD" w:rsidRPr="00EC41EF" w:rsidRDefault="007528FD" w:rsidP="007528FD">
      <w:pPr>
        <w:spacing w:after="480"/>
        <w:jc w:val="both"/>
      </w:pPr>
      <w:r w:rsidRPr="00EC41EF">
        <w:t>Present:  </w:t>
      </w:r>
      <w:proofErr w:type="spellStart"/>
      <w:r w:rsidRPr="00EC41EF">
        <w:t>McLachlin</w:t>
      </w:r>
      <w:proofErr w:type="spellEnd"/>
      <w:r w:rsidRPr="00EC41EF">
        <w:t> </w:t>
      </w:r>
      <w:r w:rsidR="009B57B3" w:rsidRPr="00EC41EF">
        <w:t xml:space="preserve">C.J. and </w:t>
      </w:r>
      <w:proofErr w:type="spellStart"/>
      <w:r w:rsidR="009B57B3" w:rsidRPr="00EC41EF">
        <w:t>Binnie</w:t>
      </w:r>
      <w:proofErr w:type="spellEnd"/>
      <w:r w:rsidR="009B57B3" w:rsidRPr="00EC41EF">
        <w:t xml:space="preserve">, </w:t>
      </w:r>
      <w:proofErr w:type="spellStart"/>
      <w:r w:rsidR="009B57B3" w:rsidRPr="00EC41EF">
        <w:t>LeBel</w:t>
      </w:r>
      <w:proofErr w:type="spellEnd"/>
      <w:r w:rsidR="009B57B3" w:rsidRPr="00EC41EF">
        <w:t>, Deschamps, Fish, Abella, Charron, Rothstein and Cromwell</w:t>
      </w:r>
      <w:r w:rsidR="001C779F" w:rsidRPr="00EC41EF">
        <w:t> </w:t>
      </w:r>
      <w:r w:rsidR="009B57B3" w:rsidRPr="00EC41EF">
        <w:t>JJ.</w:t>
      </w:r>
    </w:p>
    <w:p w:rsidR="008322BD" w:rsidRPr="00EC41EF" w:rsidRDefault="00656313" w:rsidP="007528FD">
      <w:pPr>
        <w:pStyle w:val="SCCLowerCourtNameLowercase"/>
        <w:keepNext/>
      </w:pPr>
      <w:r w:rsidRPr="00EC41EF">
        <w:lastRenderedPageBreak/>
        <w:t>o</w:t>
      </w:r>
      <w:r w:rsidR="00170592" w:rsidRPr="00EC41EF">
        <w:t>n</w:t>
      </w:r>
      <w:r w:rsidR="00224FC0" w:rsidRPr="00EC41EF">
        <w:t xml:space="preserve"> </w:t>
      </w:r>
      <w:r w:rsidRPr="00EC41EF">
        <w:t>a</w:t>
      </w:r>
      <w:r w:rsidR="00170592" w:rsidRPr="00EC41EF">
        <w:t>ppeal</w:t>
      </w:r>
      <w:r w:rsidR="00224FC0" w:rsidRPr="00EC41EF">
        <w:t xml:space="preserve"> </w:t>
      </w:r>
      <w:r w:rsidR="00170592" w:rsidRPr="00EC41EF">
        <w:t>from</w:t>
      </w:r>
      <w:r w:rsidR="009567AA" w:rsidRPr="00EC41EF">
        <w:t xml:space="preserve"> the</w:t>
      </w:r>
      <w:r w:rsidR="00224FC0" w:rsidRPr="00EC41EF">
        <w:t xml:space="preserve"> </w:t>
      </w:r>
      <w:r w:rsidR="00C17460" w:rsidRPr="00EC41EF">
        <w:t xml:space="preserve">court of appeal for </w:t>
      </w:r>
      <w:proofErr w:type="spellStart"/>
      <w:r w:rsidR="00C17460" w:rsidRPr="00EC41EF">
        <w:t>quebec</w:t>
      </w:r>
      <w:proofErr w:type="spellEnd"/>
    </w:p>
    <w:p w:rsidR="00AF5752" w:rsidRPr="00EC41EF" w:rsidRDefault="00AF5752" w:rsidP="007528FD">
      <w:pPr>
        <w:keepNext/>
        <w:spacing w:line="480" w:lineRule="auto"/>
        <w:rPr>
          <w:i/>
        </w:rPr>
      </w:pPr>
    </w:p>
    <w:p w:rsidR="00AF5752" w:rsidRPr="00EC41EF" w:rsidRDefault="003926A9" w:rsidP="00AF5752">
      <w:pPr>
        <w:spacing w:line="480" w:lineRule="auto"/>
        <w:jc w:val="both"/>
        <w:rPr>
          <w:i/>
        </w:rPr>
      </w:pPr>
      <w:r w:rsidRPr="00EC41EF">
        <w:rPr>
          <w:i/>
        </w:rPr>
        <w:tab/>
      </w:r>
      <w:r w:rsidR="00AF5752" w:rsidRPr="00EC41EF">
        <w:rPr>
          <w:i/>
        </w:rPr>
        <w:t xml:space="preserve">Extradition </w:t>
      </w:r>
      <w:r w:rsidR="007528FD" w:rsidRPr="00EC41EF">
        <w:rPr>
          <w:i/>
          <w:iCs/>
          <w:szCs w:val="24"/>
        </w:rPr>
        <w:t>—</w:t>
      </w:r>
      <w:r w:rsidR="00AF5752" w:rsidRPr="00EC41EF">
        <w:rPr>
          <w:i/>
        </w:rPr>
        <w:t xml:space="preserve"> Surrender </w:t>
      </w:r>
      <w:r w:rsidR="007528FD" w:rsidRPr="00EC41EF">
        <w:rPr>
          <w:i/>
          <w:iCs/>
          <w:szCs w:val="24"/>
        </w:rPr>
        <w:t>—</w:t>
      </w:r>
      <w:r w:rsidR="00AF5752" w:rsidRPr="00EC41EF">
        <w:rPr>
          <w:i/>
        </w:rPr>
        <w:t xml:space="preserve"> Convention refugees </w:t>
      </w:r>
      <w:r w:rsidR="007528FD" w:rsidRPr="00EC41EF">
        <w:rPr>
          <w:i/>
          <w:iCs/>
          <w:szCs w:val="24"/>
        </w:rPr>
        <w:t>—</w:t>
      </w:r>
      <w:r w:rsidR="00AF5752" w:rsidRPr="00EC41EF">
        <w:rPr>
          <w:i/>
        </w:rPr>
        <w:t xml:space="preserve"> Principle of “non-</w:t>
      </w:r>
      <w:proofErr w:type="spellStart"/>
      <w:r w:rsidR="00AF5752" w:rsidRPr="00EC41EF">
        <w:rPr>
          <w:i/>
        </w:rPr>
        <w:t>refoulement</w:t>
      </w:r>
      <w:proofErr w:type="spellEnd"/>
      <w:r w:rsidR="00AF5752" w:rsidRPr="00EC41EF">
        <w:rPr>
          <w:i/>
        </w:rPr>
        <w:t xml:space="preserve">” </w:t>
      </w:r>
      <w:r w:rsidR="007528FD" w:rsidRPr="00EC41EF">
        <w:rPr>
          <w:i/>
          <w:iCs/>
          <w:szCs w:val="24"/>
        </w:rPr>
        <w:t>—</w:t>
      </w:r>
      <w:r w:rsidR="00AF5752" w:rsidRPr="00EC41EF">
        <w:rPr>
          <w:i/>
        </w:rPr>
        <w:t xml:space="preserve"> Minister of Justice ordered extradition of Convention refugee to Romania </w:t>
      </w:r>
      <w:r w:rsidR="007528FD" w:rsidRPr="00EC41EF">
        <w:rPr>
          <w:i/>
          <w:iCs/>
          <w:szCs w:val="24"/>
        </w:rPr>
        <w:t>—</w:t>
      </w:r>
      <w:r w:rsidR="00AF5752" w:rsidRPr="00EC41EF">
        <w:rPr>
          <w:i/>
        </w:rPr>
        <w:t xml:space="preserve"> Whether Minister of Justice had legal authority to surrender for extradition refugee whose refugee status had not ceased or been revoked </w:t>
      </w:r>
      <w:r w:rsidR="007528FD" w:rsidRPr="00EC41EF">
        <w:rPr>
          <w:i/>
          <w:iCs/>
          <w:szCs w:val="24"/>
        </w:rPr>
        <w:t>—</w:t>
      </w:r>
      <w:r w:rsidR="00AF5752" w:rsidRPr="00EC41EF">
        <w:rPr>
          <w:i/>
        </w:rPr>
        <w:t xml:space="preserve"> If so, whether Minister reasonably exercised his authority to surrender </w:t>
      </w:r>
      <w:r w:rsidR="007528FD" w:rsidRPr="00EC41EF">
        <w:rPr>
          <w:i/>
          <w:iCs/>
          <w:szCs w:val="24"/>
        </w:rPr>
        <w:t>—</w:t>
      </w:r>
      <w:r w:rsidR="007528FD" w:rsidRPr="00EC41EF">
        <w:rPr>
          <w:i/>
        </w:rPr>
        <w:t xml:space="preserve"> Extradition Act, S.C. 1999, c. 18, s. </w:t>
      </w:r>
      <w:r w:rsidR="00AF5752" w:rsidRPr="00EC41EF">
        <w:rPr>
          <w:i/>
        </w:rPr>
        <w:t xml:space="preserve">44 </w:t>
      </w:r>
      <w:r w:rsidR="007528FD" w:rsidRPr="00EC41EF">
        <w:rPr>
          <w:i/>
          <w:iCs/>
          <w:szCs w:val="24"/>
        </w:rPr>
        <w:t>—</w:t>
      </w:r>
      <w:r w:rsidR="00AF5752" w:rsidRPr="00EC41EF">
        <w:rPr>
          <w:i/>
        </w:rPr>
        <w:t xml:space="preserve"> Immigration and Refuge</w:t>
      </w:r>
      <w:r w:rsidR="007528FD" w:rsidRPr="00EC41EF">
        <w:rPr>
          <w:i/>
        </w:rPr>
        <w:t>e Protection Act, S.C. 2001, c. 27, s. </w:t>
      </w:r>
      <w:r w:rsidR="00AF5752" w:rsidRPr="00EC41EF">
        <w:rPr>
          <w:i/>
        </w:rPr>
        <w:t>115.</w:t>
      </w:r>
    </w:p>
    <w:p w:rsidR="00AF5752" w:rsidRPr="00EC41EF" w:rsidRDefault="00AF5752" w:rsidP="00AF5752">
      <w:pPr>
        <w:spacing w:line="480" w:lineRule="auto"/>
        <w:jc w:val="both"/>
        <w:rPr>
          <w:i/>
        </w:rPr>
      </w:pPr>
    </w:p>
    <w:p w:rsidR="00AF5752" w:rsidRPr="00EC41EF" w:rsidRDefault="003926A9" w:rsidP="00AF5752">
      <w:pPr>
        <w:spacing w:line="480" w:lineRule="auto"/>
        <w:jc w:val="both"/>
        <w:rPr>
          <w:i/>
        </w:rPr>
      </w:pPr>
      <w:r w:rsidRPr="00EC41EF">
        <w:rPr>
          <w:i/>
        </w:rPr>
        <w:tab/>
      </w:r>
      <w:r w:rsidR="00AF5752" w:rsidRPr="00EC41EF">
        <w:rPr>
          <w:i/>
        </w:rPr>
        <w:t xml:space="preserve">Extradition </w:t>
      </w:r>
      <w:r w:rsidR="007528FD" w:rsidRPr="00EC41EF">
        <w:rPr>
          <w:i/>
          <w:iCs/>
          <w:szCs w:val="24"/>
        </w:rPr>
        <w:t>—</w:t>
      </w:r>
      <w:r w:rsidR="00AF5752" w:rsidRPr="00EC41EF">
        <w:rPr>
          <w:i/>
        </w:rPr>
        <w:t xml:space="preserve"> Surrender </w:t>
      </w:r>
      <w:r w:rsidR="007528FD" w:rsidRPr="00EC41EF">
        <w:rPr>
          <w:i/>
          <w:iCs/>
          <w:szCs w:val="24"/>
        </w:rPr>
        <w:t>—</w:t>
      </w:r>
      <w:r w:rsidR="00AF5752" w:rsidRPr="00EC41EF">
        <w:rPr>
          <w:i/>
        </w:rPr>
        <w:t xml:space="preserve"> Evidence </w:t>
      </w:r>
      <w:r w:rsidR="007528FD" w:rsidRPr="00EC41EF">
        <w:rPr>
          <w:i/>
          <w:iCs/>
          <w:szCs w:val="24"/>
        </w:rPr>
        <w:t>—</w:t>
      </w:r>
      <w:r w:rsidR="00AF5752" w:rsidRPr="00EC41EF">
        <w:rPr>
          <w:i/>
        </w:rPr>
        <w:t xml:space="preserve"> Burden of proof </w:t>
      </w:r>
      <w:r w:rsidR="007528FD" w:rsidRPr="00EC41EF">
        <w:rPr>
          <w:i/>
          <w:iCs/>
          <w:szCs w:val="24"/>
        </w:rPr>
        <w:t>—</w:t>
      </w:r>
      <w:r w:rsidR="00AF5752" w:rsidRPr="00EC41EF">
        <w:rPr>
          <w:i/>
        </w:rPr>
        <w:t xml:space="preserve"> Convention refugees sought for </w:t>
      </w:r>
      <w:proofErr w:type="gramStart"/>
      <w:r w:rsidR="00AF5752" w:rsidRPr="00EC41EF">
        <w:rPr>
          <w:i/>
        </w:rPr>
        <w:t>extradition</w:t>
      </w:r>
      <w:r w:rsidR="00432309" w:rsidRPr="00EC41EF">
        <w:rPr>
          <w:i/>
        </w:rPr>
        <w:t xml:space="preserve"> </w:t>
      </w:r>
      <w:r w:rsidR="004C3B55" w:rsidRPr="00EC41EF">
        <w:rPr>
          <w:i/>
        </w:rPr>
        <w:t xml:space="preserve"> </w:t>
      </w:r>
      <w:r w:rsidR="007528FD" w:rsidRPr="00EC41EF">
        <w:rPr>
          <w:i/>
          <w:iCs/>
          <w:szCs w:val="24"/>
        </w:rPr>
        <w:t>—</w:t>
      </w:r>
      <w:proofErr w:type="gramEnd"/>
      <w:r w:rsidR="00AF5752" w:rsidRPr="00EC41EF">
        <w:rPr>
          <w:i/>
        </w:rPr>
        <w:t xml:space="preserve">  Statutory grounds justifying Minister of Justice’s refusal to make surrender order </w:t>
      </w:r>
      <w:r w:rsidR="007528FD" w:rsidRPr="00EC41EF">
        <w:rPr>
          <w:i/>
          <w:iCs/>
          <w:szCs w:val="24"/>
        </w:rPr>
        <w:t>—</w:t>
      </w:r>
      <w:r w:rsidR="007528FD" w:rsidRPr="00EC41EF">
        <w:rPr>
          <w:i/>
        </w:rPr>
        <w:t xml:space="preserve"> Whether s. </w:t>
      </w:r>
      <w:r w:rsidR="00AF5752" w:rsidRPr="00EC41EF">
        <w:rPr>
          <w:i/>
        </w:rPr>
        <w:t xml:space="preserve">44(1)(b) of Extradition Act makes risk of persecution mandatory ground of refusal of surrender </w:t>
      </w:r>
      <w:r w:rsidR="007528FD" w:rsidRPr="00EC41EF">
        <w:rPr>
          <w:i/>
          <w:iCs/>
          <w:szCs w:val="24"/>
        </w:rPr>
        <w:t>—</w:t>
      </w:r>
      <w:r w:rsidR="00AF5752" w:rsidRPr="00EC41EF">
        <w:rPr>
          <w:i/>
        </w:rPr>
        <w:t xml:space="preserve">  Whether Minister of Justice erred by imposing on refugees the burden of showing that they would suffer persecution if extradited </w:t>
      </w:r>
      <w:r w:rsidR="007528FD" w:rsidRPr="00EC41EF">
        <w:rPr>
          <w:i/>
          <w:iCs/>
          <w:szCs w:val="24"/>
        </w:rPr>
        <w:t>—</w:t>
      </w:r>
      <w:r w:rsidR="00AF5752" w:rsidRPr="00EC41EF">
        <w:rPr>
          <w:i/>
        </w:rPr>
        <w:t xml:space="preserve"> Extradition Act, S.C. 1999, c.</w:t>
      </w:r>
      <w:r w:rsidR="007528FD" w:rsidRPr="00EC41EF">
        <w:rPr>
          <w:i/>
        </w:rPr>
        <w:t> 18, s. </w:t>
      </w:r>
      <w:r w:rsidR="00AF5752" w:rsidRPr="00EC41EF">
        <w:rPr>
          <w:i/>
        </w:rPr>
        <w:t xml:space="preserve">44(1)(b). </w:t>
      </w:r>
    </w:p>
    <w:p w:rsidR="00AF5752" w:rsidRPr="00EC41EF" w:rsidRDefault="00AF5752" w:rsidP="00AF5752">
      <w:pPr>
        <w:spacing w:line="480" w:lineRule="auto"/>
        <w:jc w:val="both"/>
        <w:rPr>
          <w:i/>
        </w:rPr>
      </w:pPr>
    </w:p>
    <w:p w:rsidR="00AF5752" w:rsidRPr="00EC41EF" w:rsidRDefault="00E159FB" w:rsidP="00E159FB">
      <w:pPr>
        <w:tabs>
          <w:tab w:val="left" w:pos="1080"/>
        </w:tabs>
        <w:spacing w:line="480" w:lineRule="auto"/>
        <w:jc w:val="both"/>
      </w:pPr>
      <w:r>
        <w:tab/>
      </w:r>
      <w:r w:rsidR="00AF5752" w:rsidRPr="00EC41EF">
        <w:t xml:space="preserve">G came to Canada in 2004 and successfully made a claim for refugee protection, alleging that he had been persecuted in Romania because of his ethnic origin and activities in a Roma advocacy association.  The Romanian authorities later requested that G be extradited to serve a prison sentence on a conviction for forging visas.  G had allegedly been convicted in Romania for participating in the forging of visas for two people in exchange for US$1,800.  In 2008, the Minister of Justice </w:t>
      </w:r>
      <w:r w:rsidR="00AF5752" w:rsidRPr="00EC41EF">
        <w:lastRenderedPageBreak/>
        <w:t>ordered that G be extradited to his country of origin to serve his prison sentence.  The Court of Appeal dismissed the application for judicial review.</w:t>
      </w:r>
    </w:p>
    <w:p w:rsidR="00AF5752" w:rsidRPr="00EC41EF" w:rsidRDefault="00AF5752" w:rsidP="00AF5752">
      <w:pPr>
        <w:spacing w:line="480" w:lineRule="auto"/>
        <w:jc w:val="both"/>
      </w:pPr>
    </w:p>
    <w:p w:rsidR="00AF5752" w:rsidRPr="00EC41EF" w:rsidRDefault="00AF5752" w:rsidP="00AF5752">
      <w:pPr>
        <w:spacing w:line="480" w:lineRule="auto"/>
        <w:jc w:val="both"/>
      </w:pPr>
      <w:r w:rsidRPr="00EC41EF">
        <w:tab/>
      </w:r>
      <w:r w:rsidRPr="00EC41EF">
        <w:rPr>
          <w:i/>
        </w:rPr>
        <w:t>Held</w:t>
      </w:r>
      <w:r w:rsidRPr="00EC41EF">
        <w:t xml:space="preserve">:  The appeal should be allowed and the matter remitted to the Minister of Justice for reconsideration. </w:t>
      </w:r>
    </w:p>
    <w:p w:rsidR="00AF5752" w:rsidRPr="00EC41EF" w:rsidRDefault="00AF5752" w:rsidP="00AF5752">
      <w:pPr>
        <w:spacing w:line="480" w:lineRule="auto"/>
        <w:jc w:val="both"/>
      </w:pPr>
    </w:p>
    <w:p w:rsidR="00AF5752" w:rsidRPr="00EC41EF" w:rsidRDefault="00E159FB" w:rsidP="00E159FB">
      <w:pPr>
        <w:tabs>
          <w:tab w:val="left" w:pos="1080"/>
        </w:tabs>
        <w:spacing w:line="480" w:lineRule="auto"/>
        <w:jc w:val="both"/>
      </w:pPr>
      <w:r>
        <w:tab/>
      </w:r>
      <w:r w:rsidR="00AF5752" w:rsidRPr="00EC41EF">
        <w:t xml:space="preserve">For the reasons given in </w:t>
      </w:r>
      <w:proofErr w:type="spellStart"/>
      <w:r w:rsidR="00AF5752" w:rsidRPr="00EC41EF">
        <w:rPr>
          <w:i/>
        </w:rPr>
        <w:t>Németh</w:t>
      </w:r>
      <w:proofErr w:type="spellEnd"/>
      <w:r w:rsidR="00EB6215" w:rsidRPr="00EC41EF">
        <w:rPr>
          <w:i/>
        </w:rPr>
        <w:t xml:space="preserve"> v. Canada (</w:t>
      </w:r>
      <w:r w:rsidR="00AF5752" w:rsidRPr="00EC41EF">
        <w:rPr>
          <w:i/>
        </w:rPr>
        <w:t>Justice)</w:t>
      </w:r>
      <w:r w:rsidR="000D49FA" w:rsidRPr="00A00EA3">
        <w:t xml:space="preserve">, 2010 </w:t>
      </w:r>
      <w:r w:rsidR="000D49FA">
        <w:t>SC</w:t>
      </w:r>
      <w:r w:rsidR="000D49FA" w:rsidRPr="00A00EA3">
        <w:t>C 56</w:t>
      </w:r>
      <w:r w:rsidR="000D49FA">
        <w:t xml:space="preserve">, [2010] 3 S.C.R. </w:t>
      </w:r>
      <w:r w:rsidR="002F67BA">
        <w:t>281</w:t>
      </w:r>
      <w:r w:rsidR="00AF5752" w:rsidRPr="00EC41EF">
        <w:t>, the Minister did not apply the correct legal principles given that at the time the surrender decision was made, G’s refugee status had not ceased or been revoked.  The Minister ought to have c</w:t>
      </w:r>
      <w:r w:rsidR="00033CE8" w:rsidRPr="00EC41EF">
        <w:t>onsidered the application of s. </w:t>
      </w:r>
      <w:r w:rsidR="00AF5752" w:rsidRPr="00EC41EF">
        <w:t>44(1</w:t>
      </w:r>
      <w:proofErr w:type="gramStart"/>
      <w:r w:rsidR="00AF5752" w:rsidRPr="00EC41EF">
        <w:t>)(</w:t>
      </w:r>
      <w:proofErr w:type="gramEnd"/>
      <w:r w:rsidR="00AF5752" w:rsidRPr="00EC41EF">
        <w:rPr>
          <w:i/>
        </w:rPr>
        <w:t>b</w:t>
      </w:r>
      <w:r w:rsidR="00AF5752" w:rsidRPr="00EC41EF">
        <w:t xml:space="preserve">) of the </w:t>
      </w:r>
      <w:r w:rsidR="00AF5752" w:rsidRPr="00EC41EF">
        <w:rPr>
          <w:i/>
        </w:rPr>
        <w:t>Extradition Act</w:t>
      </w:r>
      <w:r w:rsidR="00457038" w:rsidRPr="00EC41EF">
        <w:t xml:space="preserve">. </w:t>
      </w:r>
      <w:r w:rsidR="00AF5752" w:rsidRPr="00EC41EF">
        <w:t xml:space="preserve"> The Minister’s decision having been founded on wrong legal principles was unreasonable and must be set aside.  While the decisions taken under the </w:t>
      </w:r>
      <w:r w:rsidR="00AF5752" w:rsidRPr="00EC41EF">
        <w:rPr>
          <w:i/>
        </w:rPr>
        <w:t xml:space="preserve">Immigration </w:t>
      </w:r>
      <w:r w:rsidR="00821E57">
        <w:rPr>
          <w:i/>
        </w:rPr>
        <w:t xml:space="preserve">and </w:t>
      </w:r>
      <w:r w:rsidR="00AF5752" w:rsidRPr="00EC41EF">
        <w:rPr>
          <w:i/>
        </w:rPr>
        <w:t>Refugee Protection Act</w:t>
      </w:r>
      <w:r w:rsidR="00AF5752" w:rsidRPr="00EC41EF">
        <w:t xml:space="preserve"> are not binding on the Minister, G should not have been required to prove that persecution would in fact occur and that it would either shock the conscience or be fundamentally unacceptable to Canadians and should not have had his case ev</w:t>
      </w:r>
      <w:r w:rsidR="00033CE8" w:rsidRPr="00EC41EF">
        <w:t>aluated only on the basis of s. </w:t>
      </w:r>
      <w:r w:rsidR="00AF5752" w:rsidRPr="00EC41EF">
        <w:t>44(1</w:t>
      </w:r>
      <w:proofErr w:type="gramStart"/>
      <w:r w:rsidR="00AF5752" w:rsidRPr="00EC41EF">
        <w:t>)(</w:t>
      </w:r>
      <w:proofErr w:type="gramEnd"/>
      <w:r w:rsidR="00AF5752" w:rsidRPr="00EC41EF">
        <w:rPr>
          <w:i/>
        </w:rPr>
        <w:t>a</w:t>
      </w:r>
      <w:r w:rsidR="00AF5752" w:rsidRPr="00EC41EF">
        <w:t>) considerations.</w:t>
      </w:r>
    </w:p>
    <w:p w:rsidR="00A149DF" w:rsidRPr="00EC41EF" w:rsidRDefault="00A149DF" w:rsidP="00FC4EFB">
      <w:pPr>
        <w:pStyle w:val="SCCNormalDoubleSpacing"/>
      </w:pPr>
    </w:p>
    <w:p w:rsidR="007E1C47" w:rsidRPr="00EC41EF" w:rsidRDefault="002E6705" w:rsidP="00FC4EFB">
      <w:pPr>
        <w:pStyle w:val="SCCNormalDoubleSpacing"/>
        <w:keepNext/>
        <w:keepLines/>
        <w:rPr>
          <w:b/>
        </w:rPr>
      </w:pPr>
      <w:r w:rsidRPr="00EC41EF">
        <w:rPr>
          <w:b/>
        </w:rPr>
        <w:t>Cases Cited</w:t>
      </w:r>
    </w:p>
    <w:p w:rsidR="00A149DF" w:rsidRPr="00EC41EF" w:rsidRDefault="00A149DF" w:rsidP="00FC4EFB">
      <w:pPr>
        <w:pStyle w:val="SCCNormalDoubleSpacing"/>
        <w:keepNext/>
        <w:keepLines/>
      </w:pPr>
    </w:p>
    <w:p w:rsidR="004E2C26" w:rsidRPr="00EC41EF" w:rsidRDefault="002E6705" w:rsidP="00033CE8">
      <w:pPr>
        <w:pStyle w:val="SCCNormalDoubleSpacing"/>
        <w:keepNext/>
      </w:pPr>
      <w:r w:rsidRPr="00EC41EF">
        <w:tab/>
      </w:r>
      <w:r w:rsidR="00A948E7">
        <w:rPr>
          <w:b/>
        </w:rPr>
        <w:t>Applied</w:t>
      </w:r>
      <w:r w:rsidRPr="00EC41EF">
        <w:rPr>
          <w:b/>
        </w:rPr>
        <w:t>:</w:t>
      </w:r>
      <w:r w:rsidR="00BD0E9E" w:rsidRPr="00EC41EF">
        <w:t xml:space="preserve"> </w:t>
      </w:r>
      <w:r w:rsidR="00033CE8" w:rsidRPr="00EC41EF">
        <w:t xml:space="preserve"> </w:t>
      </w:r>
      <w:proofErr w:type="spellStart"/>
      <w:r w:rsidR="009F1ADD" w:rsidRPr="00EC41EF">
        <w:rPr>
          <w:i/>
        </w:rPr>
        <w:t>Németh</w:t>
      </w:r>
      <w:proofErr w:type="spellEnd"/>
      <w:r w:rsidR="009F1ADD" w:rsidRPr="00EC41EF">
        <w:rPr>
          <w:i/>
        </w:rPr>
        <w:t xml:space="preserve"> v. Canada (Justice)</w:t>
      </w:r>
      <w:r w:rsidR="009F1ADD" w:rsidRPr="00EC41EF">
        <w:t xml:space="preserve">, 2010 SCC </w:t>
      </w:r>
      <w:r w:rsidR="00FD64A3" w:rsidRPr="00EC41EF">
        <w:t>56</w:t>
      </w:r>
      <w:r w:rsidR="00821E57">
        <w:t xml:space="preserve">, [2010] 3 S.C.R. </w:t>
      </w:r>
      <w:r w:rsidR="002F67BA">
        <w:t>281</w:t>
      </w:r>
      <w:r w:rsidR="003926A9" w:rsidRPr="00EC41EF">
        <w:t>.</w:t>
      </w:r>
    </w:p>
    <w:p w:rsidR="00D033FC" w:rsidRPr="00EC41EF" w:rsidRDefault="00D033FC" w:rsidP="004E2C26">
      <w:pPr>
        <w:pStyle w:val="SCCNormalDoubleSpacing"/>
      </w:pPr>
    </w:p>
    <w:p w:rsidR="003B215F" w:rsidRPr="00EC41EF" w:rsidRDefault="002E6705" w:rsidP="00033CE8">
      <w:pPr>
        <w:pStyle w:val="SCCNormalDoubleSpacing"/>
        <w:keepNext/>
        <w:rPr>
          <w:b/>
        </w:rPr>
      </w:pPr>
      <w:r w:rsidRPr="00EC41EF">
        <w:rPr>
          <w:b/>
        </w:rPr>
        <w:lastRenderedPageBreak/>
        <w:t>Statutes and Regulations Cite</w:t>
      </w:r>
      <w:r w:rsidR="00A41805" w:rsidRPr="00EC41EF">
        <w:rPr>
          <w:b/>
        </w:rPr>
        <w:t>d</w:t>
      </w:r>
    </w:p>
    <w:p w:rsidR="00EC41EF" w:rsidRPr="00EC41EF" w:rsidRDefault="00EC41EF" w:rsidP="00033CE8">
      <w:pPr>
        <w:pStyle w:val="SCCNormalDoubleSpacing"/>
        <w:keepNext/>
      </w:pPr>
    </w:p>
    <w:p w:rsidR="000F5D22" w:rsidRPr="00EC41EF" w:rsidRDefault="000F5D22" w:rsidP="00FC4EFB">
      <w:pPr>
        <w:pStyle w:val="SCCNormalDoubleSpacing"/>
        <w:spacing w:line="240" w:lineRule="auto"/>
        <w:ind w:left="540" w:hanging="540"/>
      </w:pPr>
      <w:r w:rsidRPr="00EC41EF">
        <w:rPr>
          <w:i/>
        </w:rPr>
        <w:t>Canadian Charter of Rights and Freedoms</w:t>
      </w:r>
      <w:r w:rsidRPr="00EC41EF">
        <w:t>, s.</w:t>
      </w:r>
      <w:r w:rsidR="007B3379" w:rsidRPr="00EC41EF">
        <w:t> </w:t>
      </w:r>
      <w:r w:rsidRPr="00EC41EF">
        <w:t>7</w:t>
      </w:r>
      <w:r w:rsidR="00821E57">
        <w:t>.</w:t>
      </w:r>
    </w:p>
    <w:p w:rsidR="000F5D22" w:rsidRPr="00EC41EF" w:rsidRDefault="000F5D22" w:rsidP="00FC4EFB">
      <w:pPr>
        <w:pStyle w:val="SCCNormalDoubleSpacing"/>
        <w:spacing w:line="240" w:lineRule="auto"/>
        <w:ind w:left="540" w:hanging="540"/>
      </w:pPr>
    </w:p>
    <w:p w:rsidR="00A149DF" w:rsidRPr="00EC41EF" w:rsidRDefault="000F5D22" w:rsidP="00FC4EFB">
      <w:pPr>
        <w:pStyle w:val="SCCNormalDoubleSpacing"/>
        <w:spacing w:line="240" w:lineRule="auto"/>
        <w:ind w:left="540" w:hanging="540"/>
      </w:pPr>
      <w:r w:rsidRPr="00EC41EF">
        <w:rPr>
          <w:i/>
        </w:rPr>
        <w:t>Extradition Act</w:t>
      </w:r>
      <w:r w:rsidR="007B3379" w:rsidRPr="00EC41EF">
        <w:t>, S.C. 1999, c. 18, s. </w:t>
      </w:r>
      <w:r w:rsidRPr="00EC41EF">
        <w:t>44(1</w:t>
      </w:r>
      <w:proofErr w:type="gramStart"/>
      <w:r w:rsidRPr="00EC41EF">
        <w:t>)(</w:t>
      </w:r>
      <w:proofErr w:type="gramEnd"/>
      <w:r w:rsidRPr="00EC41EF">
        <w:rPr>
          <w:i/>
        </w:rPr>
        <w:t>a</w:t>
      </w:r>
      <w:r w:rsidRPr="00EC41EF">
        <w:t>), (</w:t>
      </w:r>
      <w:r w:rsidRPr="00EC41EF">
        <w:rPr>
          <w:i/>
        </w:rPr>
        <w:t>b</w:t>
      </w:r>
      <w:r w:rsidRPr="00EC41EF">
        <w:t>).</w:t>
      </w:r>
    </w:p>
    <w:p w:rsidR="000F5D22" w:rsidRPr="00EC41EF" w:rsidRDefault="000F5D22" w:rsidP="00FC4EFB">
      <w:pPr>
        <w:pStyle w:val="SCCNormalDoubleSpacing"/>
        <w:spacing w:line="240" w:lineRule="auto"/>
        <w:ind w:left="540" w:hanging="540"/>
      </w:pPr>
    </w:p>
    <w:p w:rsidR="000F5D22" w:rsidRPr="00EC41EF" w:rsidRDefault="000F5D22" w:rsidP="00FC4EFB">
      <w:pPr>
        <w:pStyle w:val="SCCNormalDoubleSpacing"/>
        <w:spacing w:line="240" w:lineRule="auto"/>
        <w:ind w:left="540" w:hanging="540"/>
      </w:pPr>
      <w:proofErr w:type="gramStart"/>
      <w:r w:rsidRPr="00EC41EF">
        <w:rPr>
          <w:i/>
        </w:rPr>
        <w:t>Immigration and Refugee Protection Act</w:t>
      </w:r>
      <w:r w:rsidR="00457038" w:rsidRPr="00EC41EF">
        <w:t>, S.C. 2001, c. </w:t>
      </w:r>
      <w:r w:rsidRPr="00EC41EF">
        <w:t>27.</w:t>
      </w:r>
      <w:proofErr w:type="gramEnd"/>
      <w:r w:rsidRPr="00EC41EF">
        <w:t xml:space="preserve"> </w:t>
      </w:r>
    </w:p>
    <w:p w:rsidR="00935218" w:rsidRPr="00EC41EF" w:rsidRDefault="00935218" w:rsidP="00FC4EFB">
      <w:pPr>
        <w:pStyle w:val="SCCNormalDoubleSpacing"/>
        <w:spacing w:line="240" w:lineRule="auto"/>
        <w:ind w:left="540" w:hanging="540"/>
      </w:pPr>
    </w:p>
    <w:p w:rsidR="000F5D22" w:rsidRPr="00EC41EF" w:rsidRDefault="000F5D22" w:rsidP="00FC4EFB">
      <w:pPr>
        <w:pStyle w:val="SCCNormalDoubleSpacing"/>
        <w:spacing w:line="240" w:lineRule="auto"/>
        <w:ind w:left="540" w:hanging="540"/>
      </w:pPr>
      <w:r w:rsidRPr="00EC41EF">
        <w:rPr>
          <w:i/>
        </w:rPr>
        <w:t>Penal Code</w:t>
      </w:r>
      <w:r w:rsidRPr="00EC41EF">
        <w:t xml:space="preserve"> (Romania).</w:t>
      </w:r>
    </w:p>
    <w:p w:rsidR="00C95E65" w:rsidRPr="00EC41EF" w:rsidRDefault="00C95E65" w:rsidP="00FC4EFB">
      <w:pPr>
        <w:pStyle w:val="SCCNormalDoubleSpacing"/>
        <w:spacing w:line="240" w:lineRule="auto"/>
        <w:ind w:left="540" w:hanging="540"/>
      </w:pPr>
    </w:p>
    <w:p w:rsidR="004C3B55" w:rsidRPr="00EC41EF" w:rsidRDefault="004C3B55" w:rsidP="00C95E65">
      <w:pPr>
        <w:pStyle w:val="SCCNormalDoubleSpacing"/>
        <w:ind w:left="540" w:hanging="540"/>
      </w:pPr>
    </w:p>
    <w:p w:rsidR="000F5D22" w:rsidRPr="00EC41EF" w:rsidRDefault="000F5D22" w:rsidP="00C95E65">
      <w:pPr>
        <w:pStyle w:val="SCCNormalDoubleSpacing"/>
        <w:keepNext/>
        <w:ind w:left="547" w:hanging="547"/>
        <w:rPr>
          <w:b/>
        </w:rPr>
      </w:pPr>
      <w:r w:rsidRPr="00EC41EF">
        <w:rPr>
          <w:b/>
        </w:rPr>
        <w:t xml:space="preserve">International </w:t>
      </w:r>
      <w:r w:rsidR="004C3B55" w:rsidRPr="00EC41EF">
        <w:rPr>
          <w:b/>
        </w:rPr>
        <w:t>Documents</w:t>
      </w:r>
    </w:p>
    <w:p w:rsidR="00EC41EF" w:rsidRPr="00EC41EF" w:rsidRDefault="00EC41EF" w:rsidP="00C95E65">
      <w:pPr>
        <w:pStyle w:val="SCCNormalDoubleSpacing"/>
        <w:keepNext/>
        <w:ind w:left="547" w:hanging="547"/>
        <w:rPr>
          <w:b/>
        </w:rPr>
      </w:pPr>
    </w:p>
    <w:p w:rsidR="000F5D22" w:rsidRPr="00EC41EF" w:rsidRDefault="000F5D22" w:rsidP="00C95E65">
      <w:pPr>
        <w:pStyle w:val="SCCNormalDoubleSpacing"/>
        <w:keepNext/>
        <w:spacing w:line="240" w:lineRule="auto"/>
        <w:ind w:left="547" w:hanging="547"/>
      </w:pPr>
      <w:r w:rsidRPr="00EC41EF">
        <w:rPr>
          <w:i/>
        </w:rPr>
        <w:t>Convention for the Protection of Human Rights and Fundamental Freedoms</w:t>
      </w:r>
      <w:r w:rsidRPr="00EC41EF">
        <w:t xml:space="preserve">, </w:t>
      </w:r>
      <w:proofErr w:type="gramStart"/>
      <w:r w:rsidRPr="00EC41EF">
        <w:t>213 U.N.T.S. 221</w:t>
      </w:r>
      <w:proofErr w:type="gramEnd"/>
      <w:r w:rsidRPr="00EC41EF">
        <w:t>.</w:t>
      </w:r>
    </w:p>
    <w:p w:rsidR="004C3B55" w:rsidRPr="00EC41EF" w:rsidRDefault="004C3B55" w:rsidP="00FC4EFB">
      <w:pPr>
        <w:pStyle w:val="SCCNormalDoubleSpacing"/>
        <w:spacing w:line="240" w:lineRule="auto"/>
        <w:ind w:left="540" w:hanging="540"/>
      </w:pPr>
    </w:p>
    <w:p w:rsidR="004C3B55" w:rsidRPr="00EC41EF" w:rsidRDefault="004C3B55" w:rsidP="00EC41EF">
      <w:pPr>
        <w:pStyle w:val="SCCNormalDoubleSpacing"/>
        <w:ind w:left="540" w:hanging="540"/>
      </w:pPr>
      <w:proofErr w:type="gramStart"/>
      <w:r w:rsidRPr="00EC41EF">
        <w:rPr>
          <w:i/>
        </w:rPr>
        <w:t>Convention Relating to the Status of Refugees</w:t>
      </w:r>
      <w:r w:rsidR="00457038" w:rsidRPr="00EC41EF">
        <w:t>, Can. T.S. 1969 No. 6, Art</w:t>
      </w:r>
      <w:r w:rsidR="00821E57">
        <w:t>.</w:t>
      </w:r>
      <w:proofErr w:type="gramEnd"/>
      <w:r w:rsidR="00457038" w:rsidRPr="00EC41EF">
        <w:t> </w:t>
      </w:r>
      <w:proofErr w:type="gramStart"/>
      <w:r w:rsidRPr="00EC41EF">
        <w:t>1F(</w:t>
      </w:r>
      <w:proofErr w:type="gramEnd"/>
      <w:r w:rsidRPr="00EC41EF">
        <w:t>b)</w:t>
      </w:r>
      <w:r w:rsidR="00DC193A">
        <w:t>.</w:t>
      </w:r>
    </w:p>
    <w:p w:rsidR="00A149DF" w:rsidRPr="00EC41EF" w:rsidRDefault="00A149DF" w:rsidP="00EC41EF">
      <w:pPr>
        <w:pStyle w:val="SCCNormalDoubleSpacing"/>
        <w:ind w:left="540" w:hanging="540"/>
      </w:pPr>
    </w:p>
    <w:p w:rsidR="00536719" w:rsidRPr="00EC41EF" w:rsidRDefault="00CA576E" w:rsidP="00EC41EF">
      <w:pPr>
        <w:pStyle w:val="SCCNormalDoubleSpacing"/>
      </w:pPr>
      <w:r w:rsidRPr="00EC41EF">
        <w:tab/>
      </w:r>
      <w:r w:rsidR="009B57B3" w:rsidRPr="00EC41EF">
        <w:t xml:space="preserve">APPEAL from a judgment of the </w:t>
      </w:r>
      <w:r w:rsidRPr="00EC41EF">
        <w:t>Quebec Court of Appeal</w:t>
      </w:r>
      <w:r w:rsidR="00EC41EF" w:rsidRPr="00EC41EF">
        <w:t xml:space="preserve"> (Beauregard, </w:t>
      </w:r>
      <w:proofErr w:type="spellStart"/>
      <w:r w:rsidR="00EC41EF" w:rsidRPr="00EC41EF">
        <w:t>Gendreau</w:t>
      </w:r>
      <w:proofErr w:type="spellEnd"/>
      <w:r w:rsidR="00EC41EF" w:rsidRPr="00EC41EF">
        <w:t xml:space="preserve"> and </w:t>
      </w:r>
      <w:proofErr w:type="spellStart"/>
      <w:r w:rsidR="00EC41EF" w:rsidRPr="00EC41EF">
        <w:t>Côté</w:t>
      </w:r>
      <w:proofErr w:type="spellEnd"/>
      <w:r w:rsidR="00EC41EF" w:rsidRPr="00EC41EF">
        <w:t> </w:t>
      </w:r>
      <w:r w:rsidRPr="00EC41EF">
        <w:t>JJ.A.), 2009 QCCA 1288, [2009] J.Q. n</w:t>
      </w:r>
      <w:r w:rsidRPr="00EC41EF">
        <w:rPr>
          <w:vertAlign w:val="superscript"/>
        </w:rPr>
        <w:t>o</w:t>
      </w:r>
      <w:r w:rsidR="00D041BC" w:rsidRPr="00EC41EF">
        <w:rPr>
          <w:vertAlign w:val="superscript"/>
        </w:rPr>
        <w:t> </w:t>
      </w:r>
      <w:r w:rsidRPr="00EC41EF">
        <w:t>6686 (QL)</w:t>
      </w:r>
      <w:r w:rsidR="00D033FC" w:rsidRPr="00EC41EF">
        <w:t>,</w:t>
      </w:r>
      <w:r w:rsidRPr="00EC41EF">
        <w:t xml:space="preserve"> 2009 </w:t>
      </w:r>
      <w:proofErr w:type="spellStart"/>
      <w:r w:rsidRPr="00EC41EF">
        <w:t>CarswellQue</w:t>
      </w:r>
      <w:proofErr w:type="spellEnd"/>
      <w:r w:rsidRPr="00EC41EF">
        <w:t xml:space="preserve"> 6650, </w:t>
      </w:r>
      <w:r w:rsidR="00536719" w:rsidRPr="00EC41EF">
        <w:t>dismissing an application for judicial review of a decision by the Minister of Justice of Canada ordering the appellant’</w:t>
      </w:r>
      <w:r w:rsidR="004C3B55" w:rsidRPr="00EC41EF">
        <w:t>s</w:t>
      </w:r>
      <w:r w:rsidR="00536719" w:rsidRPr="00EC41EF">
        <w:t xml:space="preserve"> surrender.  Appeal allowed.</w:t>
      </w:r>
    </w:p>
    <w:p w:rsidR="00536719" w:rsidRPr="00EC41EF" w:rsidRDefault="00536719" w:rsidP="00FC4EFB">
      <w:pPr>
        <w:pStyle w:val="SCCNormalDoubleSpacing"/>
      </w:pPr>
    </w:p>
    <w:p w:rsidR="00B65B31" w:rsidRPr="00EC41EF" w:rsidRDefault="00446D68">
      <w:pPr>
        <w:pStyle w:val="SCCNormalDoubleSpacing"/>
      </w:pPr>
      <w:r w:rsidRPr="00EC41EF">
        <w:rPr>
          <w:rStyle w:val="SCCCounselNameChar"/>
        </w:rPr>
        <w:tab/>
      </w:r>
      <w:proofErr w:type="gramStart"/>
      <w:r w:rsidRPr="00EC41EF">
        <w:rPr>
          <w:rStyle w:val="SCCCounselNameChar"/>
        </w:rPr>
        <w:t>Stéphane Handfield</w:t>
      </w:r>
      <w:r w:rsidRPr="00EC41EF">
        <w:rPr>
          <w:rStyle w:val="SCCCounselSeparatorChar"/>
        </w:rPr>
        <w:t xml:space="preserve"> and </w:t>
      </w:r>
      <w:r w:rsidRPr="00EC41EF">
        <w:rPr>
          <w:rStyle w:val="SCCCounselNameChar"/>
        </w:rPr>
        <w:t>Dimitrios Strapatsas</w:t>
      </w:r>
      <w:r w:rsidRPr="00EC41EF">
        <w:rPr>
          <w:rStyle w:val="SCCCounselPartyRoleChar"/>
        </w:rPr>
        <w:t>, for the appellant.</w:t>
      </w:r>
      <w:proofErr w:type="gramEnd"/>
    </w:p>
    <w:p w:rsidR="00B65B31" w:rsidRPr="00EC41EF" w:rsidRDefault="00B65B31">
      <w:pPr>
        <w:pStyle w:val="SCCNormalDoubleSpacing"/>
      </w:pPr>
    </w:p>
    <w:p w:rsidR="00B65B31" w:rsidRPr="00EC41EF" w:rsidRDefault="00446D68">
      <w:pPr>
        <w:pStyle w:val="SCCNormalDoubleSpacing"/>
      </w:pPr>
      <w:r w:rsidRPr="00EC41EF">
        <w:rPr>
          <w:rStyle w:val="SCCCounselNameChar"/>
        </w:rPr>
        <w:tab/>
      </w:r>
      <w:proofErr w:type="gramStart"/>
      <w:r w:rsidRPr="00EC41EF">
        <w:rPr>
          <w:rStyle w:val="SCCCounselNameChar"/>
        </w:rPr>
        <w:t>Ginette Gobeil</w:t>
      </w:r>
      <w:r w:rsidRPr="00EC41EF">
        <w:rPr>
          <w:rStyle w:val="SCCCounselSeparatorChar"/>
        </w:rPr>
        <w:t xml:space="preserve"> and </w:t>
      </w:r>
      <w:r w:rsidRPr="00EC41EF">
        <w:rPr>
          <w:rStyle w:val="SCCCounselNameChar"/>
        </w:rPr>
        <w:t>Janet Henchey</w:t>
      </w:r>
      <w:r w:rsidRPr="00EC41EF">
        <w:rPr>
          <w:rStyle w:val="SCCCounselPartyRoleChar"/>
        </w:rPr>
        <w:t>, for the respondent.</w:t>
      </w:r>
      <w:proofErr w:type="gramEnd"/>
    </w:p>
    <w:p w:rsidR="00B65B31" w:rsidRPr="00EC41EF" w:rsidRDefault="00B65B31">
      <w:pPr>
        <w:pStyle w:val="SCCNormalDoubleSpacing"/>
      </w:pPr>
    </w:p>
    <w:p w:rsidR="00B65B31" w:rsidRPr="00EC41EF" w:rsidRDefault="00446D68">
      <w:pPr>
        <w:pStyle w:val="SCCNormalDoubleSpacing"/>
        <w:rPr>
          <w:rStyle w:val="SCCCounselPartyRoleChar"/>
        </w:rPr>
      </w:pPr>
      <w:r w:rsidRPr="000D49FA">
        <w:rPr>
          <w:rStyle w:val="SCCCounselNameChar"/>
          <w:lang w:val="en-US"/>
        </w:rPr>
        <w:lastRenderedPageBreak/>
        <w:tab/>
      </w:r>
      <w:proofErr w:type="gramStart"/>
      <w:r w:rsidRPr="00EC41EF">
        <w:rPr>
          <w:rStyle w:val="SCCCounselNameChar"/>
        </w:rPr>
        <w:t>Lorne Waldman</w:t>
      </w:r>
      <w:r w:rsidRPr="00EC41EF">
        <w:rPr>
          <w:rStyle w:val="SCCCounselSeparatorChar"/>
        </w:rPr>
        <w:t xml:space="preserve"> and </w:t>
      </w:r>
      <w:r w:rsidRPr="00EC41EF">
        <w:rPr>
          <w:rStyle w:val="SCCCounselNameChar"/>
        </w:rPr>
        <w:t>Jacqueline Swaisland</w:t>
      </w:r>
      <w:r w:rsidRPr="00EC41EF">
        <w:rPr>
          <w:rStyle w:val="SCCCounselPartyRoleChar"/>
        </w:rPr>
        <w:t>, for the intervener Amnesty International (Canada Section).</w:t>
      </w:r>
      <w:proofErr w:type="gramEnd"/>
    </w:p>
    <w:p w:rsidR="00EC41EF" w:rsidRDefault="00EC41EF">
      <w:pPr>
        <w:pStyle w:val="SCCNormalDoubleSpacing"/>
      </w:pPr>
    </w:p>
    <w:p w:rsidR="00821E57" w:rsidRPr="00435C0D" w:rsidRDefault="00821E57" w:rsidP="00821E57">
      <w:pPr>
        <w:pStyle w:val="SCCNormalDoubleSpacing"/>
        <w:rPr>
          <w:lang w:val="en-US"/>
        </w:rPr>
      </w:pPr>
      <w:r w:rsidRPr="00EC41EF">
        <w:rPr>
          <w:rStyle w:val="SCCCounselNameChar"/>
        </w:rPr>
        <w:tab/>
      </w:r>
      <w:proofErr w:type="spellStart"/>
      <w:proofErr w:type="gramStart"/>
      <w:r w:rsidRPr="00435C0D">
        <w:rPr>
          <w:rStyle w:val="SCCCounselNameChar"/>
          <w:lang w:val="en-US"/>
        </w:rPr>
        <w:t>Johanne</w:t>
      </w:r>
      <w:proofErr w:type="spellEnd"/>
      <w:r w:rsidRPr="00435C0D">
        <w:rPr>
          <w:rStyle w:val="SCCCounselNameChar"/>
          <w:lang w:val="en-US"/>
        </w:rPr>
        <w:t xml:space="preserve"> Doyon</w:t>
      </w:r>
      <w:r w:rsidRPr="00435C0D">
        <w:rPr>
          <w:rStyle w:val="SCCCounselSeparatorChar"/>
          <w:lang w:val="en-US"/>
        </w:rPr>
        <w:t xml:space="preserve">, </w:t>
      </w:r>
      <w:r w:rsidRPr="00435C0D">
        <w:rPr>
          <w:rStyle w:val="SCCCounselSeparatorChar"/>
          <w:i/>
          <w:lang w:val="en-US"/>
        </w:rPr>
        <w:t xml:space="preserve">Elaine Doyon </w:t>
      </w:r>
      <w:r w:rsidRPr="00435C0D">
        <w:rPr>
          <w:rStyle w:val="SCCCounselSeparatorChar"/>
          <w:lang w:val="en-US"/>
        </w:rPr>
        <w:t>and</w:t>
      </w:r>
      <w:r w:rsidRPr="00435C0D">
        <w:rPr>
          <w:rStyle w:val="SCCCounselSeparatorChar"/>
          <w:i/>
          <w:lang w:val="en-US"/>
        </w:rPr>
        <w:t xml:space="preserve"> </w:t>
      </w:r>
      <w:r w:rsidRPr="00435C0D">
        <w:rPr>
          <w:rStyle w:val="SCCCounselNameChar"/>
          <w:lang w:val="en-US"/>
        </w:rPr>
        <w:t xml:space="preserve">Dan </w:t>
      </w:r>
      <w:proofErr w:type="spellStart"/>
      <w:r w:rsidRPr="00435C0D">
        <w:rPr>
          <w:rStyle w:val="SCCCounselNameChar"/>
          <w:lang w:val="en-US"/>
        </w:rPr>
        <w:t>Bohbot</w:t>
      </w:r>
      <w:proofErr w:type="spellEnd"/>
      <w:r w:rsidRPr="00435C0D">
        <w:rPr>
          <w:rStyle w:val="SCCCounselPartyRoleChar"/>
          <w:lang w:val="en-US"/>
        </w:rPr>
        <w:t xml:space="preserve">, for the intervener </w:t>
      </w:r>
      <w:r w:rsidR="00435C0D" w:rsidRPr="00435C0D">
        <w:rPr>
          <w:rStyle w:val="SCCCounselPartyRoleChar"/>
          <w:lang w:val="en-US"/>
        </w:rPr>
        <w:t>th</w:t>
      </w:r>
      <w:r w:rsidR="00435C0D">
        <w:rPr>
          <w:rStyle w:val="SCCCounselPartyRoleChar"/>
          <w:lang w:val="en-US"/>
        </w:rPr>
        <w:t xml:space="preserve">e </w:t>
      </w:r>
      <w:r w:rsidRPr="00435C0D">
        <w:rPr>
          <w:rStyle w:val="SCCCounselPartyRoleChar"/>
          <w:lang w:val="en-US"/>
        </w:rPr>
        <w:t>Québec Immigration Lawyers Association.</w:t>
      </w:r>
      <w:proofErr w:type="gramEnd"/>
    </w:p>
    <w:p w:rsidR="00821E57" w:rsidRPr="00435C0D" w:rsidRDefault="00821E57" w:rsidP="00821E57">
      <w:pPr>
        <w:pStyle w:val="SCCNormalDoubleSpacing"/>
        <w:rPr>
          <w:lang w:val="en-US"/>
        </w:rPr>
      </w:pPr>
    </w:p>
    <w:p w:rsidR="00B65B31" w:rsidRPr="00EC41EF" w:rsidRDefault="00446D68">
      <w:pPr>
        <w:pStyle w:val="SCCNormalDoubleSpacing"/>
      </w:pPr>
      <w:r w:rsidRPr="00EC41EF">
        <w:rPr>
          <w:rStyle w:val="SCCCounselNameChar"/>
        </w:rPr>
        <w:tab/>
      </w:r>
      <w:proofErr w:type="gramStart"/>
      <w:r w:rsidRPr="00EC41EF">
        <w:rPr>
          <w:rStyle w:val="SCCCounselNameChar"/>
        </w:rPr>
        <w:t>Sukanya Pillay</w:t>
      </w:r>
      <w:r w:rsidRPr="00EC41EF">
        <w:rPr>
          <w:rStyle w:val="SCCCounselPartyRoleChar"/>
        </w:rPr>
        <w:t>, for the intervener Canadian Civil Liberties Association.</w:t>
      </w:r>
      <w:proofErr w:type="gramEnd"/>
    </w:p>
    <w:p w:rsidR="00B65B31" w:rsidRDefault="00B65B31">
      <w:pPr>
        <w:pStyle w:val="SCCNormalDoubleSpacing"/>
      </w:pPr>
    </w:p>
    <w:p w:rsidR="00821E57" w:rsidRPr="00EC41EF" w:rsidRDefault="00821E57" w:rsidP="00821E57">
      <w:pPr>
        <w:pStyle w:val="SCCNormalDoubleSpacing"/>
        <w:spacing w:after="480"/>
      </w:pPr>
      <w:r>
        <w:tab/>
        <w:t>The judgment of the Court was delivered by</w:t>
      </w:r>
    </w:p>
    <w:p w:rsidR="000A300D" w:rsidRPr="00926B48" w:rsidRDefault="000A300D" w:rsidP="000A300D">
      <w:pPr>
        <w:tabs>
          <w:tab w:val="left" w:pos="-1440"/>
          <w:tab w:val="left" w:pos="-720"/>
          <w:tab w:val="left" w:pos="1170"/>
        </w:tabs>
        <w:spacing w:after="480" w:line="480" w:lineRule="auto"/>
        <w:jc w:val="both"/>
      </w:pPr>
      <w:r w:rsidRPr="00926B48">
        <w:tab/>
      </w:r>
      <w:proofErr w:type="gramStart"/>
      <w:r w:rsidRPr="00821E57">
        <w:rPr>
          <w:smallCaps/>
        </w:rPr>
        <w:t>Cromwell J.</w:t>
      </w:r>
      <w:r w:rsidRPr="00926B48">
        <w:t xml:space="preserve"> —</w:t>
      </w:r>
      <w:proofErr w:type="gramEnd"/>
      <w:r w:rsidRPr="00926B48">
        <w:t xml:space="preserve"> </w:t>
      </w:r>
    </w:p>
    <w:p w:rsidR="000A300D" w:rsidRPr="0058780E" w:rsidRDefault="000A300D" w:rsidP="00821E57">
      <w:pPr>
        <w:tabs>
          <w:tab w:val="left" w:pos="-1440"/>
          <w:tab w:val="left" w:pos="-720"/>
          <w:tab w:val="left" w:pos="0"/>
          <w:tab w:val="left" w:pos="540"/>
          <w:tab w:val="left" w:pos="1152"/>
          <w:tab w:val="left" w:pos="1570"/>
          <w:tab w:val="left" w:pos="1843"/>
          <w:tab w:val="left" w:pos="2261"/>
          <w:tab w:val="left" w:pos="6480"/>
        </w:tabs>
        <w:spacing w:line="480" w:lineRule="auto"/>
        <w:ind w:left="1152" w:hanging="1152"/>
        <w:rPr>
          <w:u w:val="single"/>
        </w:rPr>
      </w:pPr>
      <w:r w:rsidRPr="0058780E">
        <w:t>I.</w:t>
      </w:r>
      <w:r w:rsidRPr="0058780E">
        <w:tab/>
      </w:r>
      <w:r w:rsidRPr="0058780E">
        <w:rPr>
          <w:u w:val="single"/>
        </w:rPr>
        <w:t>Introduction</w:t>
      </w:r>
    </w:p>
    <w:p w:rsidR="000A300D" w:rsidRPr="00926B48" w:rsidRDefault="000A300D" w:rsidP="000A300D">
      <w:pPr>
        <w:tabs>
          <w:tab w:val="left" w:pos="-1440"/>
          <w:tab w:val="left" w:pos="-720"/>
          <w:tab w:val="left" w:pos="0"/>
          <w:tab w:val="left" w:pos="1152"/>
          <w:tab w:val="left" w:pos="1570"/>
          <w:tab w:val="left" w:pos="1843"/>
          <w:tab w:val="left" w:pos="2261"/>
          <w:tab w:val="left" w:pos="6480"/>
        </w:tabs>
        <w:spacing w:line="480" w:lineRule="auto"/>
        <w:ind w:left="1152" w:hanging="1152"/>
      </w:pPr>
    </w:p>
    <w:p w:rsidR="000A300D" w:rsidRPr="00926B48" w:rsidRDefault="000A300D" w:rsidP="000A300D">
      <w:pPr>
        <w:pStyle w:val="ListParagraph"/>
        <w:numPr>
          <w:ilvl w:val="0"/>
          <w:numId w:val="1"/>
        </w:numPr>
        <w:tabs>
          <w:tab w:val="left" w:pos="1170"/>
        </w:tabs>
        <w:spacing w:after="480" w:line="480" w:lineRule="auto"/>
        <w:ind w:left="0" w:firstLine="0"/>
        <w:jc w:val="both"/>
      </w:pPr>
      <w:r w:rsidRPr="00926B48">
        <w:t xml:space="preserve">This case, like its companion case </w:t>
      </w:r>
      <w:proofErr w:type="spellStart"/>
      <w:r w:rsidRPr="00926B48">
        <w:rPr>
          <w:i/>
        </w:rPr>
        <w:t>Németh</w:t>
      </w:r>
      <w:proofErr w:type="spellEnd"/>
      <w:r>
        <w:rPr>
          <w:i/>
        </w:rPr>
        <w:t xml:space="preserve"> v. Canada (Justice)</w:t>
      </w:r>
      <w:r>
        <w:t>, 2010 SCC 56</w:t>
      </w:r>
      <w:r w:rsidR="00821E57">
        <w:t xml:space="preserve">, [2010] 3 </w:t>
      </w:r>
      <w:r w:rsidR="00D727D6">
        <w:t>S.C.</w:t>
      </w:r>
      <w:r w:rsidR="00821E57">
        <w:t xml:space="preserve">R. </w:t>
      </w:r>
      <w:r w:rsidR="00435C0D">
        <w:t>281</w:t>
      </w:r>
      <w:r>
        <w:t xml:space="preserve">, </w:t>
      </w:r>
      <w:r w:rsidRPr="00926B48">
        <w:t xml:space="preserve">released concurrently, raises questions about the interplay between extradition and refugee protection.  Applying the principles developed in </w:t>
      </w:r>
      <w:proofErr w:type="spellStart"/>
      <w:r w:rsidRPr="00926B48">
        <w:rPr>
          <w:i/>
        </w:rPr>
        <w:t>Németh</w:t>
      </w:r>
      <w:proofErr w:type="spellEnd"/>
      <w:r w:rsidRPr="00926B48">
        <w:t>, I would allow the appeal and remit the matter to the Minister of Justice for reconsideration of his decision to surrender the appellant for extradition.</w:t>
      </w:r>
    </w:p>
    <w:p w:rsidR="000A300D" w:rsidRPr="0058780E" w:rsidRDefault="000A300D" w:rsidP="00644895">
      <w:pPr>
        <w:pStyle w:val="SCCNormalDoubleSpacing"/>
        <w:tabs>
          <w:tab w:val="left" w:pos="540"/>
        </w:tabs>
        <w:spacing w:after="480"/>
        <w:rPr>
          <w:lang w:val="en-US"/>
        </w:rPr>
      </w:pPr>
      <w:r w:rsidRPr="0058780E">
        <w:rPr>
          <w:lang w:val="en-US"/>
        </w:rPr>
        <w:t>II.</w:t>
      </w:r>
      <w:r w:rsidRPr="0058780E">
        <w:rPr>
          <w:lang w:val="en-US"/>
        </w:rPr>
        <w:tab/>
      </w:r>
      <w:r w:rsidRPr="00644895">
        <w:rPr>
          <w:u w:val="single"/>
          <w:lang w:val="en-US"/>
        </w:rPr>
        <w:t>Facts and Proceedings</w:t>
      </w:r>
    </w:p>
    <w:p w:rsidR="000A300D" w:rsidRPr="00926B48" w:rsidRDefault="000A300D" w:rsidP="000A300D">
      <w:pPr>
        <w:pStyle w:val="ListParagraph"/>
        <w:numPr>
          <w:ilvl w:val="0"/>
          <w:numId w:val="1"/>
        </w:numPr>
        <w:tabs>
          <w:tab w:val="left" w:pos="1170"/>
        </w:tabs>
        <w:spacing w:after="480" w:line="480" w:lineRule="auto"/>
        <w:ind w:left="0" w:firstLine="0"/>
        <w:jc w:val="both"/>
        <w:rPr>
          <w:lang w:val="en-US"/>
        </w:rPr>
      </w:pPr>
      <w:r w:rsidRPr="00C41550">
        <w:lastRenderedPageBreak/>
        <w:t>The appellant came to Canada in 2004 and made a claim for refugee protection, alleging that he had been persecuted in Romania because of his ethnic origin and his activities in a Roma advocacy association.  The Immigration and Refugee Board (“IRB”) allowed the appellant’s claim for refugee protection</w:t>
      </w:r>
      <w:r w:rsidRPr="00926B48">
        <w:rPr>
          <w:lang w:val="en-US"/>
        </w:rPr>
        <w:t xml:space="preserve">. </w:t>
      </w:r>
    </w:p>
    <w:p w:rsidR="000A300D" w:rsidRPr="00926B48" w:rsidRDefault="000A300D" w:rsidP="000A300D">
      <w:pPr>
        <w:pStyle w:val="ListParagraph"/>
        <w:numPr>
          <w:ilvl w:val="0"/>
          <w:numId w:val="1"/>
        </w:numPr>
        <w:tabs>
          <w:tab w:val="left" w:pos="1170"/>
        </w:tabs>
        <w:spacing w:after="480" w:line="480" w:lineRule="auto"/>
        <w:ind w:left="0" w:firstLine="0"/>
        <w:jc w:val="both"/>
        <w:rPr>
          <w:lang w:val="en-US"/>
        </w:rPr>
      </w:pPr>
      <w:r w:rsidRPr="00C41550">
        <w:t>The Romanian authorities later requested that he be extradited to serve a prison sentence on a conviction</w:t>
      </w:r>
      <w:r>
        <w:t xml:space="preserve"> for forging visas.  The appellant</w:t>
      </w:r>
      <w:r w:rsidRPr="00C41550">
        <w:t xml:space="preserve"> had allegedly been convicted in Romania for participating in the forging of </w:t>
      </w:r>
      <w:proofErr w:type="spellStart"/>
      <w:r w:rsidRPr="00C41550">
        <w:t>Schengen</w:t>
      </w:r>
      <w:proofErr w:type="spellEnd"/>
      <w:r w:rsidRPr="00C41550">
        <w:t xml:space="preserve"> visas for two persons in exchange for US$1,800.  The appellant did not reveal in his refugee claim that he was wanted by the Romanian police or that he had been convicted of forging visas.  He had not appeared at his trial or at the hearing of his appeal, even though he was still residing in Romania at the time.  He had therefore been convicted </w:t>
      </w:r>
      <w:r w:rsidRPr="00C41550">
        <w:rPr>
          <w:i/>
        </w:rPr>
        <w:t>in absentia</w:t>
      </w:r>
      <w:r w:rsidRPr="00C41550">
        <w:t>.  But he had been represented by counsel at every stage of the proceedings, both at trial and on appeal.  He left his country on December 18, 2003, a week after his appeal was dismissed</w:t>
      </w:r>
      <w:r w:rsidRPr="00926B48">
        <w:rPr>
          <w:lang w:val="en-US"/>
        </w:rPr>
        <w:t xml:space="preserve">.  </w:t>
      </w:r>
    </w:p>
    <w:p w:rsidR="000A300D" w:rsidRPr="00926B48" w:rsidRDefault="000A300D" w:rsidP="000A300D">
      <w:pPr>
        <w:pStyle w:val="ListParagraph"/>
        <w:numPr>
          <w:ilvl w:val="0"/>
          <w:numId w:val="1"/>
        </w:numPr>
        <w:tabs>
          <w:tab w:val="left" w:pos="1170"/>
        </w:tabs>
        <w:spacing w:after="480" w:line="480" w:lineRule="auto"/>
        <w:ind w:left="0" w:firstLine="0"/>
        <w:jc w:val="both"/>
        <w:rPr>
          <w:lang w:val="en-US"/>
        </w:rPr>
      </w:pPr>
      <w:r w:rsidRPr="00C41550">
        <w:t xml:space="preserve">In May 2005, the appellant’s spouse joined him in Canada without their children.  Their two sons were left in the care of their grandparents until July 2008, when they joined their parents here.  Ms. </w:t>
      </w:r>
      <w:proofErr w:type="spellStart"/>
      <w:r w:rsidRPr="00C41550">
        <w:t>Gavrila</w:t>
      </w:r>
      <w:proofErr w:type="spellEnd"/>
      <w:r w:rsidRPr="00C41550">
        <w:t xml:space="preserve"> has been a permanent resident of Canada since December 2007.  On May 4, 2006, she gave birth to a third child in Quebec</w:t>
      </w:r>
      <w:r w:rsidRPr="00926B48">
        <w:rPr>
          <w:lang w:val="en-US"/>
        </w:rPr>
        <w:t xml:space="preserve">. </w:t>
      </w:r>
    </w:p>
    <w:p w:rsidR="000A300D" w:rsidRPr="0058780E" w:rsidRDefault="000A300D" w:rsidP="000A300D">
      <w:pPr>
        <w:pStyle w:val="ListParagraph"/>
        <w:numPr>
          <w:ilvl w:val="0"/>
          <w:numId w:val="1"/>
        </w:numPr>
        <w:tabs>
          <w:tab w:val="left" w:pos="1170"/>
        </w:tabs>
        <w:spacing w:after="480" w:line="480" w:lineRule="auto"/>
        <w:ind w:left="0" w:firstLine="0"/>
        <w:jc w:val="both"/>
        <w:rPr>
          <w:lang w:val="en-US"/>
        </w:rPr>
      </w:pPr>
      <w:r w:rsidRPr="00C41550">
        <w:lastRenderedPageBreak/>
        <w:t xml:space="preserve">The appellant was never able to acquire permanent resident status, because he was inadmissible to Canada on grounds of serious criminality.  Between his arrival in Canada and the time he was taken into custody pursuant to an order made under the </w:t>
      </w:r>
      <w:r w:rsidRPr="00C41550">
        <w:rPr>
          <w:i/>
        </w:rPr>
        <w:t>Extradition Act</w:t>
      </w:r>
      <w:r w:rsidRPr="00C41550">
        <w:t>, S.C.</w:t>
      </w:r>
      <w:r>
        <w:t xml:space="preserve"> 1999, c. 18 (“</w:t>
      </w:r>
      <w:r w:rsidRPr="00644895">
        <w:rPr>
          <w:i/>
        </w:rPr>
        <w:t>EA</w:t>
      </w:r>
      <w:r>
        <w:t>”), the appellant</w:t>
      </w:r>
      <w:r w:rsidRPr="00C41550">
        <w:t xml:space="preserve"> was convicted of several indictable offences, including theft, fraud, possession and use of forged documents (credit card), obstruction of a peace officer, possession of break</w:t>
      </w:r>
      <w:r>
        <w:t>-in instruments, and conspiracy.</w:t>
      </w:r>
    </w:p>
    <w:p w:rsidR="000A300D" w:rsidRPr="0058780E" w:rsidRDefault="000A300D" w:rsidP="000A300D">
      <w:pPr>
        <w:pStyle w:val="ListParagraph"/>
        <w:numPr>
          <w:ilvl w:val="0"/>
          <w:numId w:val="1"/>
        </w:numPr>
        <w:tabs>
          <w:tab w:val="left" w:pos="1170"/>
        </w:tabs>
        <w:spacing w:after="480" w:line="480" w:lineRule="auto"/>
        <w:ind w:left="0" w:firstLine="0"/>
        <w:jc w:val="both"/>
        <w:rPr>
          <w:lang w:val="en-US"/>
        </w:rPr>
      </w:pPr>
      <w:r w:rsidRPr="00C41550">
        <w:t>In May 2006, the Minister of Citizenship and Immigration Canada applied to the IRB to vacate the decision to allow the appellant’s claim for refugee protection.  The issue was whether the decision in question had been obtained as a result of directly or indirectly misrepresenting material or relevant facts.  The IRB rejected the application to vacate the decision.  In its decision, the IRB found that the INTERPOL notice seemed to have been fabricated, as it was unlikely that INTERPOL would issue a wanted notice without fingerprints for a person who has allegedly bee</w:t>
      </w:r>
      <w:r>
        <w:t>n arrested, tried and convicted.</w:t>
      </w:r>
    </w:p>
    <w:p w:rsidR="000A300D" w:rsidRPr="00926B48" w:rsidRDefault="000A300D" w:rsidP="000A300D">
      <w:pPr>
        <w:pStyle w:val="ListParagraph"/>
        <w:numPr>
          <w:ilvl w:val="0"/>
          <w:numId w:val="1"/>
        </w:numPr>
        <w:tabs>
          <w:tab w:val="left" w:pos="1170"/>
        </w:tabs>
        <w:spacing w:after="480" w:line="480" w:lineRule="auto"/>
        <w:ind w:left="0" w:firstLine="0"/>
        <w:jc w:val="both"/>
        <w:rPr>
          <w:lang w:val="en-US"/>
        </w:rPr>
      </w:pPr>
      <w:r w:rsidRPr="00C41550">
        <w:t xml:space="preserve">The Quebec Superior Court ordered </w:t>
      </w:r>
      <w:r>
        <w:t>that the appellant</w:t>
      </w:r>
      <w:r w:rsidRPr="00C41550">
        <w:t xml:space="preserve"> be committed into custody to awa</w:t>
      </w:r>
      <w:r>
        <w:t>it his extradition.  The appellant</w:t>
      </w:r>
      <w:r w:rsidRPr="00C41550">
        <w:t xml:space="preserve"> contested his extradition, alleging, </w:t>
      </w:r>
      <w:r w:rsidRPr="00C41550">
        <w:rPr>
          <w:i/>
        </w:rPr>
        <w:t>inter alia</w:t>
      </w:r>
      <w:r w:rsidRPr="00C41550">
        <w:t xml:space="preserve">, that he was at risk of being mistreated and that he would be unable to have the verdict and the sentence reviewed.  On July 2, 2008, the Minister of Justice </w:t>
      </w:r>
      <w:r>
        <w:t>(“Minister”) ordered that the appellant</w:t>
      </w:r>
      <w:r w:rsidRPr="00C41550">
        <w:t xml:space="preserve"> be extradited to his country of origin to serve his prison sentence</w:t>
      </w:r>
      <w:r w:rsidRPr="00926B48">
        <w:rPr>
          <w:lang w:val="en-US"/>
        </w:rPr>
        <w:t>.</w:t>
      </w:r>
    </w:p>
    <w:p w:rsidR="000A300D" w:rsidRPr="00926B48" w:rsidRDefault="000A300D" w:rsidP="000A300D">
      <w:pPr>
        <w:pStyle w:val="ListParagraph"/>
        <w:numPr>
          <w:ilvl w:val="0"/>
          <w:numId w:val="1"/>
        </w:numPr>
        <w:tabs>
          <w:tab w:val="left" w:pos="1170"/>
        </w:tabs>
        <w:spacing w:after="480" w:line="480" w:lineRule="auto"/>
        <w:ind w:left="0" w:firstLine="0"/>
        <w:jc w:val="both"/>
        <w:rPr>
          <w:lang w:val="en-US"/>
        </w:rPr>
      </w:pPr>
      <w:r w:rsidRPr="00926B48">
        <w:lastRenderedPageBreak/>
        <w:t xml:space="preserve">In his July 2, 2008 decision to surrender </w:t>
      </w:r>
      <w:r>
        <w:t>the appellant for extradition, t</w:t>
      </w:r>
      <w:r w:rsidRPr="00926B48">
        <w:t xml:space="preserve">he Minister applied the same test that he had in </w:t>
      </w:r>
      <w:proofErr w:type="spellStart"/>
      <w:r>
        <w:rPr>
          <w:i/>
        </w:rPr>
        <w:t>Né</w:t>
      </w:r>
      <w:r w:rsidRPr="00926B48">
        <w:rPr>
          <w:i/>
        </w:rPr>
        <w:t>meth</w:t>
      </w:r>
      <w:proofErr w:type="spellEnd"/>
      <w:r w:rsidRPr="00926B48">
        <w:t>, namely whether the person sought had established on the balance of probabilities that he would be persecuted and that the persecution would sufficiently shock the conscience or be fundamentally u</w:t>
      </w:r>
      <w:r>
        <w:t xml:space="preserve">nacceptable to Canadian society.  </w:t>
      </w:r>
      <w:r w:rsidRPr="00C41550">
        <w:t>The Minister stated that Romania had joined the European Union and therefore had to meet that organization’s requirements regard</w:t>
      </w:r>
      <w:r>
        <w:t>ing</w:t>
      </w:r>
      <w:r w:rsidRPr="00C41550">
        <w:t xml:space="preserve">, in particular, the rule of law </w:t>
      </w:r>
      <w:r>
        <w:t xml:space="preserve">as well as </w:t>
      </w:r>
      <w:r w:rsidRPr="00C41550">
        <w:t>respect for</w:t>
      </w:r>
      <w:r>
        <w:t>,</w:t>
      </w:r>
      <w:r w:rsidRPr="00C41550">
        <w:t xml:space="preserve"> and the protection of</w:t>
      </w:r>
      <w:r>
        <w:t>,</w:t>
      </w:r>
      <w:r w:rsidRPr="00C41550">
        <w:t xml:space="preserve"> minorities.  The fact that it had become a member of the European Union also meant that its citizens are now afforded the protection and guarantees of the </w:t>
      </w:r>
      <w:r w:rsidRPr="0058780E">
        <w:rPr>
          <w:i/>
        </w:rPr>
        <w:t xml:space="preserve">Convention </w:t>
      </w:r>
      <w:r>
        <w:rPr>
          <w:i/>
        </w:rPr>
        <w:t>for the Protection of Human Rights and Fundamental Freedoms</w:t>
      </w:r>
      <w:r>
        <w:t>, 213 U.N.T.S. 221</w:t>
      </w:r>
      <w:r w:rsidRPr="00C41550">
        <w:t xml:space="preserve">.  The Minister concluded that </w:t>
      </w:r>
      <w:r>
        <w:t>the appellant</w:t>
      </w:r>
      <w:r w:rsidRPr="00C41550">
        <w:t xml:space="preserve"> had not satisfied him that his surrender would be unjust, oppressive or contrary to the </w:t>
      </w:r>
      <w:r w:rsidRPr="00C41550">
        <w:rPr>
          <w:i/>
        </w:rPr>
        <w:t>Canadian Charter of Rights and Freedoms</w:t>
      </w:r>
      <w:r w:rsidRPr="00C41550">
        <w:t xml:space="preserve">.  The Minister expressed the view that granting refugee status does not preclude extraditing a person if doing so is otherwise justified.  Finally, he noted that the Romanian authorities had informed him that that country’s </w:t>
      </w:r>
      <w:r w:rsidRPr="00C41550">
        <w:rPr>
          <w:i/>
        </w:rPr>
        <w:t>Penal Code</w:t>
      </w:r>
      <w:r w:rsidRPr="00C41550">
        <w:t xml:space="preserve"> provides for a right to a new trial in certain circumstances.  </w:t>
      </w:r>
      <w:r>
        <w:t>The appellant</w:t>
      </w:r>
      <w:r w:rsidRPr="00C41550">
        <w:t xml:space="preserve"> applied to the Court of Appeal for judicial review of the order of surrender</w:t>
      </w:r>
      <w:r w:rsidRPr="00926B48">
        <w:rPr>
          <w:lang w:val="en-US"/>
        </w:rPr>
        <w:t xml:space="preserve">. </w:t>
      </w:r>
    </w:p>
    <w:p w:rsidR="000A300D" w:rsidRPr="00926B48" w:rsidRDefault="000A300D" w:rsidP="000A300D">
      <w:pPr>
        <w:pStyle w:val="ListParagraph"/>
        <w:numPr>
          <w:ilvl w:val="0"/>
          <w:numId w:val="1"/>
        </w:numPr>
        <w:tabs>
          <w:tab w:val="left" w:pos="1170"/>
        </w:tabs>
        <w:spacing w:after="480" w:line="480" w:lineRule="auto"/>
        <w:ind w:left="0" w:firstLine="0"/>
        <w:jc w:val="both"/>
      </w:pPr>
      <w:r w:rsidRPr="00C41550">
        <w:t>The Court of Appeal dismissed the application for judicial review</w:t>
      </w:r>
      <w:r>
        <w:t xml:space="preserve"> (2009 QCCA 1288 (</w:t>
      </w:r>
      <w:proofErr w:type="spellStart"/>
      <w:r>
        <w:t>CanLII</w:t>
      </w:r>
      <w:proofErr w:type="spellEnd"/>
      <w:r>
        <w:t>))</w:t>
      </w:r>
      <w:r w:rsidRPr="00C41550">
        <w:t xml:space="preserve">, holding that the objective and purpose of the </w:t>
      </w:r>
      <w:r w:rsidRPr="00644895">
        <w:rPr>
          <w:i/>
        </w:rPr>
        <w:t>EA</w:t>
      </w:r>
      <w:r w:rsidRPr="00C41550">
        <w:t xml:space="preserve"> differ from those of the </w:t>
      </w:r>
      <w:r w:rsidRPr="00C41550">
        <w:rPr>
          <w:i/>
        </w:rPr>
        <w:t>Immigration and Refugee Protection Act</w:t>
      </w:r>
      <w:r>
        <w:t>, S.C. 2001, c. 27 (“</w:t>
      </w:r>
      <w:r w:rsidRPr="00644895">
        <w:rPr>
          <w:i/>
        </w:rPr>
        <w:t>IRPA</w:t>
      </w:r>
      <w:r>
        <w:t>”)</w:t>
      </w:r>
      <w:r w:rsidRPr="00C41550">
        <w:t xml:space="preserve">.  Therefore, the principle of </w:t>
      </w:r>
      <w:r w:rsidRPr="00C41550">
        <w:rPr>
          <w:i/>
        </w:rPr>
        <w:t>non-</w:t>
      </w:r>
      <w:proofErr w:type="spellStart"/>
      <w:r w:rsidRPr="00C41550">
        <w:rPr>
          <w:i/>
        </w:rPr>
        <w:t>refoulement</w:t>
      </w:r>
      <w:proofErr w:type="spellEnd"/>
      <w:r w:rsidRPr="00C41550">
        <w:t xml:space="preserve"> with respect to an individual who has been granted refugee protection does not bar a request for the extradition of that </w:t>
      </w:r>
      <w:r w:rsidRPr="00C41550">
        <w:lastRenderedPageBreak/>
        <w:t xml:space="preserve">individual to be tried or to serve a sentence imposed following a guilty verdict.  Moreover, the IRB may vacate a decision to allow a claim for refugee protection if it is shown that the decision was obtained as a result of a misrepresentation, which was the case here.  Finally, the Court of Appeal held that the impugned decision was not unreasonable from the standpoint of s. 7 of the </w:t>
      </w:r>
      <w:r w:rsidRPr="00C41550">
        <w:rPr>
          <w:i/>
        </w:rPr>
        <w:t>Charter</w:t>
      </w:r>
      <w:r w:rsidRPr="00926B48">
        <w:t xml:space="preserve">. </w:t>
      </w:r>
    </w:p>
    <w:p w:rsidR="000A300D" w:rsidRPr="0058780E" w:rsidRDefault="000A300D" w:rsidP="00644895">
      <w:pPr>
        <w:pStyle w:val="SCCNormalDoubleSpacing"/>
        <w:tabs>
          <w:tab w:val="left" w:pos="540"/>
        </w:tabs>
        <w:spacing w:after="480"/>
      </w:pPr>
      <w:r w:rsidRPr="0058780E">
        <w:t>III.</w:t>
      </w:r>
      <w:r w:rsidRPr="0058780E">
        <w:tab/>
      </w:r>
      <w:r w:rsidRPr="0058780E">
        <w:rPr>
          <w:u w:val="single"/>
        </w:rPr>
        <w:t>Issue</w:t>
      </w:r>
    </w:p>
    <w:p w:rsidR="000A300D" w:rsidRPr="00926B48" w:rsidRDefault="000A300D" w:rsidP="000A300D">
      <w:pPr>
        <w:pStyle w:val="ListParagraph"/>
        <w:numPr>
          <w:ilvl w:val="0"/>
          <w:numId w:val="1"/>
        </w:numPr>
        <w:tabs>
          <w:tab w:val="left" w:pos="1170"/>
        </w:tabs>
        <w:spacing w:after="480" w:line="480" w:lineRule="auto"/>
        <w:ind w:left="0" w:firstLine="0"/>
        <w:jc w:val="both"/>
      </w:pPr>
      <w:r w:rsidRPr="00926B48">
        <w:t xml:space="preserve">The appellant raises a number of issues, but it is only necessary for me to deal with one of them, namely whether the Minister’s decision to order the </w:t>
      </w:r>
      <w:proofErr w:type="gramStart"/>
      <w:r w:rsidRPr="00926B48">
        <w:t>appellant’s  surrender</w:t>
      </w:r>
      <w:proofErr w:type="gramEnd"/>
      <w:r w:rsidRPr="00926B48">
        <w:t xml:space="preserve"> was reasonable.</w:t>
      </w:r>
    </w:p>
    <w:p w:rsidR="000A300D" w:rsidRPr="00841CCC" w:rsidRDefault="000A300D" w:rsidP="00DA444E">
      <w:pPr>
        <w:pStyle w:val="SCCNormalDoubleSpacing"/>
        <w:tabs>
          <w:tab w:val="left" w:pos="540"/>
        </w:tabs>
        <w:spacing w:after="480"/>
      </w:pPr>
      <w:r w:rsidRPr="00841CCC">
        <w:t>IV.</w:t>
      </w:r>
      <w:r w:rsidRPr="00841CCC">
        <w:tab/>
      </w:r>
      <w:r w:rsidRPr="00644895">
        <w:rPr>
          <w:u w:val="single"/>
        </w:rPr>
        <w:t>Analysis</w:t>
      </w:r>
    </w:p>
    <w:p w:rsidR="000A300D" w:rsidRPr="00926B48" w:rsidRDefault="000A300D" w:rsidP="000A300D">
      <w:pPr>
        <w:pStyle w:val="ListParagraph"/>
        <w:numPr>
          <w:ilvl w:val="0"/>
          <w:numId w:val="1"/>
        </w:numPr>
        <w:tabs>
          <w:tab w:val="left" w:pos="1170"/>
        </w:tabs>
        <w:spacing w:after="480" w:line="480" w:lineRule="auto"/>
        <w:ind w:left="0" w:firstLine="0"/>
        <w:jc w:val="both"/>
      </w:pPr>
      <w:r w:rsidRPr="00926B48">
        <w:t>Responding to the submissions made to him by the appellant, the Minister viewed the case through the lens of s. 44(1</w:t>
      </w:r>
      <w:proofErr w:type="gramStart"/>
      <w:r w:rsidRPr="00926B48">
        <w:t>)(</w:t>
      </w:r>
      <w:proofErr w:type="gramEnd"/>
      <w:r w:rsidRPr="0058780E">
        <w:rPr>
          <w:i/>
        </w:rPr>
        <w:t>a</w:t>
      </w:r>
      <w:r w:rsidRPr="00926B48">
        <w:t xml:space="preserve">) </w:t>
      </w:r>
      <w:r>
        <w:t xml:space="preserve">of the </w:t>
      </w:r>
      <w:r w:rsidRPr="00644895">
        <w:rPr>
          <w:i/>
        </w:rPr>
        <w:t>EA</w:t>
      </w:r>
      <w:r>
        <w:t xml:space="preserve"> </w:t>
      </w:r>
      <w:r w:rsidRPr="00926B48">
        <w:t>and asked himself whether he was satisfied that the appellant had shown on the balance of probabilities that his surrender for extr</w:t>
      </w:r>
      <w:r>
        <w:t xml:space="preserve">adition would be oppressive or </w:t>
      </w:r>
      <w:r w:rsidRPr="00926B48">
        <w:t xml:space="preserve">unjust.  As noted, the Minister stated the test to be whether the appellant had shown on the balance of probabilities that he would be subjected to persecution in the requesting state and that the persecution would shock the conscience or be fundamentally unacceptable to Canadian society.  For the reasons given in </w:t>
      </w:r>
      <w:proofErr w:type="spellStart"/>
      <w:r w:rsidRPr="00926B48">
        <w:rPr>
          <w:i/>
        </w:rPr>
        <w:t>N</w:t>
      </w:r>
      <w:r>
        <w:rPr>
          <w:i/>
        </w:rPr>
        <w:t>é</w:t>
      </w:r>
      <w:r w:rsidRPr="00926B48">
        <w:rPr>
          <w:i/>
        </w:rPr>
        <w:t>meth</w:t>
      </w:r>
      <w:proofErr w:type="spellEnd"/>
      <w:r w:rsidRPr="00926B48">
        <w:t xml:space="preserve">, this was not the correct legal principle to apply given that at the time the surrender decision was made, the </w:t>
      </w:r>
      <w:r w:rsidRPr="00926B48">
        <w:lastRenderedPageBreak/>
        <w:t>appellant’s refugee status had not ceased or been revoked.  The Minister ought to have considered the application of s. 44(1</w:t>
      </w:r>
      <w:proofErr w:type="gramStart"/>
      <w:r w:rsidRPr="00926B48">
        <w:t>)(</w:t>
      </w:r>
      <w:proofErr w:type="gramEnd"/>
      <w:r w:rsidRPr="0058780E">
        <w:rPr>
          <w:i/>
        </w:rPr>
        <w:t>b</w:t>
      </w:r>
      <w:r w:rsidRPr="00926B48">
        <w:t xml:space="preserve">) </w:t>
      </w:r>
      <w:r>
        <w:t xml:space="preserve">of the </w:t>
      </w:r>
      <w:r w:rsidRPr="00644895">
        <w:rPr>
          <w:i/>
        </w:rPr>
        <w:t>EA</w:t>
      </w:r>
      <w:r w:rsidRPr="00926B48">
        <w:t xml:space="preserve">, the most relevant provision in this case, in light of the principles set out in </w:t>
      </w:r>
      <w:proofErr w:type="spellStart"/>
      <w:r w:rsidRPr="00926B48">
        <w:rPr>
          <w:i/>
        </w:rPr>
        <w:t>N</w:t>
      </w:r>
      <w:r>
        <w:rPr>
          <w:i/>
        </w:rPr>
        <w:t>é</w:t>
      </w:r>
      <w:r w:rsidRPr="00926B48">
        <w:rPr>
          <w:i/>
        </w:rPr>
        <w:t>meth</w:t>
      </w:r>
      <w:proofErr w:type="spellEnd"/>
      <w:r w:rsidRPr="00926B48">
        <w:rPr>
          <w:i/>
        </w:rPr>
        <w:t>.</w:t>
      </w:r>
      <w:r w:rsidRPr="00926B48">
        <w:t xml:space="preserve">  His decision having been founded on wrong legal principles, it was unreasonable and must be set aside. While as discussed in </w:t>
      </w:r>
      <w:proofErr w:type="spellStart"/>
      <w:r>
        <w:rPr>
          <w:i/>
        </w:rPr>
        <w:t>Né</w:t>
      </w:r>
      <w:r w:rsidRPr="00926B48">
        <w:rPr>
          <w:i/>
        </w:rPr>
        <w:t>meth</w:t>
      </w:r>
      <w:proofErr w:type="spellEnd"/>
      <w:r w:rsidRPr="00926B48">
        <w:t xml:space="preserve">, the decisions taken under </w:t>
      </w:r>
      <w:r>
        <w:t xml:space="preserve">the </w:t>
      </w:r>
      <w:r w:rsidRPr="00926B48">
        <w:rPr>
          <w:i/>
        </w:rPr>
        <w:t>IRPA</w:t>
      </w:r>
      <w:r w:rsidRPr="00926B48">
        <w:t xml:space="preserve"> (i.e. the decisions to grant refugee status and not to vacate that status) are not binding on the Minister, the appellant should not have been required to prove that persecution would in fact occur and that it would either shock the conscience or be fundamentally unacceptable to Canadians and should not have had his case evaluated only on the basis of s. 44(1</w:t>
      </w:r>
      <w:proofErr w:type="gramStart"/>
      <w:r w:rsidRPr="00926B48">
        <w:t>)(</w:t>
      </w:r>
      <w:proofErr w:type="gramEnd"/>
      <w:r w:rsidRPr="0058780E">
        <w:rPr>
          <w:i/>
        </w:rPr>
        <w:t>a</w:t>
      </w:r>
      <w:r w:rsidRPr="00926B48">
        <w:t>) considerations.</w:t>
      </w:r>
    </w:p>
    <w:p w:rsidR="000A300D" w:rsidRPr="00926B48" w:rsidRDefault="000A300D" w:rsidP="000A300D">
      <w:pPr>
        <w:pStyle w:val="ListParagraph"/>
        <w:numPr>
          <w:ilvl w:val="0"/>
          <w:numId w:val="1"/>
        </w:numPr>
        <w:tabs>
          <w:tab w:val="left" w:pos="1170"/>
        </w:tabs>
        <w:spacing w:after="480" w:line="480" w:lineRule="auto"/>
        <w:ind w:left="0" w:firstLine="0"/>
        <w:jc w:val="both"/>
      </w:pPr>
      <w:r w:rsidRPr="00926B48">
        <w:t xml:space="preserve">I should add that the Minister did not base his decision to surrender on, and appears not to have addressed, whether the appellant was no longer entitled to refugee (and therefore </w:t>
      </w:r>
      <w:r w:rsidRPr="00926B48">
        <w:rPr>
          <w:i/>
        </w:rPr>
        <w:t>non-</w:t>
      </w:r>
      <w:proofErr w:type="spellStart"/>
      <w:r w:rsidRPr="00926B48">
        <w:rPr>
          <w:i/>
        </w:rPr>
        <w:t>refoulement</w:t>
      </w:r>
      <w:proofErr w:type="spellEnd"/>
      <w:r w:rsidRPr="00926B48">
        <w:t xml:space="preserve">) protection by virtue of the serious non-political crimes exception </w:t>
      </w:r>
      <w:r w:rsidRPr="00926B48">
        <w:rPr>
          <w:color w:val="000000"/>
        </w:rPr>
        <w:t xml:space="preserve">under Article </w:t>
      </w:r>
      <w:proofErr w:type="gramStart"/>
      <w:r w:rsidRPr="00926B48">
        <w:rPr>
          <w:color w:val="000000"/>
        </w:rPr>
        <w:t>1F(</w:t>
      </w:r>
      <w:proofErr w:type="gramEnd"/>
      <w:r w:rsidRPr="00926B48">
        <w:rPr>
          <w:color w:val="000000"/>
        </w:rPr>
        <w:t xml:space="preserve">b) of the </w:t>
      </w:r>
      <w:r w:rsidRPr="0058780E">
        <w:rPr>
          <w:i/>
          <w:color w:val="000000"/>
        </w:rPr>
        <w:t>Convention Relating to the Status of Refugees</w:t>
      </w:r>
      <w:r>
        <w:rPr>
          <w:color w:val="000000"/>
        </w:rPr>
        <w:t xml:space="preserve">, Can. T.S. 1969 No. 6 </w:t>
      </w:r>
      <w:r w:rsidRPr="00926B48">
        <w:t xml:space="preserve">or of his extensive criminal conduct in Canada.  </w:t>
      </w:r>
      <w:r w:rsidRPr="00926B48">
        <w:rPr>
          <w:color w:val="000000"/>
        </w:rPr>
        <w:t xml:space="preserve">While not the subject of argument in this Court, it seems clear from the record that the extradition offence would constitute serious criminality for the purposes of </w:t>
      </w:r>
      <w:r>
        <w:rPr>
          <w:color w:val="000000"/>
        </w:rPr>
        <w:t xml:space="preserve">the </w:t>
      </w:r>
      <w:r w:rsidRPr="00644895">
        <w:rPr>
          <w:i/>
          <w:color w:val="000000"/>
        </w:rPr>
        <w:t>IRPA</w:t>
      </w:r>
      <w:r w:rsidRPr="00926B48">
        <w:rPr>
          <w:color w:val="000000"/>
        </w:rPr>
        <w:t xml:space="preserve"> and it is open to the Min</w:t>
      </w:r>
      <w:r w:rsidR="00644895">
        <w:rPr>
          <w:color w:val="000000"/>
        </w:rPr>
        <w:t>i</w:t>
      </w:r>
      <w:r w:rsidRPr="00926B48">
        <w:rPr>
          <w:color w:val="000000"/>
        </w:rPr>
        <w:t xml:space="preserve">ster to consider the possible application of Article </w:t>
      </w:r>
      <w:proofErr w:type="gramStart"/>
      <w:r w:rsidRPr="00926B48">
        <w:rPr>
          <w:color w:val="000000"/>
        </w:rPr>
        <w:t>1F(</w:t>
      </w:r>
      <w:proofErr w:type="gramEnd"/>
      <w:r w:rsidRPr="00926B48">
        <w:rPr>
          <w:color w:val="000000"/>
        </w:rPr>
        <w:t xml:space="preserve">b) of the </w:t>
      </w:r>
      <w:r w:rsidR="00644895" w:rsidRPr="0058780E">
        <w:rPr>
          <w:i/>
          <w:color w:val="000000"/>
        </w:rPr>
        <w:t>Convention Relating to the Status of Refugees</w:t>
      </w:r>
      <w:r w:rsidR="00644895" w:rsidRPr="00926B48">
        <w:rPr>
          <w:color w:val="000000"/>
        </w:rPr>
        <w:t xml:space="preserve"> </w:t>
      </w:r>
      <w:r w:rsidRPr="00926B48">
        <w:rPr>
          <w:color w:val="000000"/>
        </w:rPr>
        <w:t xml:space="preserve">in deciding whether </w:t>
      </w:r>
      <w:r>
        <w:rPr>
          <w:color w:val="000000"/>
        </w:rPr>
        <w:t>the appellant</w:t>
      </w:r>
      <w:r w:rsidRPr="00926B48">
        <w:rPr>
          <w:color w:val="000000"/>
        </w:rPr>
        <w:t xml:space="preserve"> is entitled to refugee protection. </w:t>
      </w:r>
      <w:r w:rsidRPr="00926B48">
        <w:t>I do not find it necessary to address the appellant’s submissions relating to the impact of extradition on his spouse and children.</w:t>
      </w:r>
    </w:p>
    <w:p w:rsidR="000A300D" w:rsidRPr="00921DE7" w:rsidRDefault="000A300D" w:rsidP="00644895">
      <w:pPr>
        <w:pStyle w:val="SCCNormalDoubleSpacing"/>
        <w:tabs>
          <w:tab w:val="left" w:pos="540"/>
        </w:tabs>
        <w:spacing w:after="480"/>
      </w:pPr>
      <w:r w:rsidRPr="00921DE7">
        <w:lastRenderedPageBreak/>
        <w:t>V.</w:t>
      </w:r>
      <w:r w:rsidRPr="00921DE7">
        <w:tab/>
      </w:r>
      <w:r w:rsidRPr="00644895">
        <w:rPr>
          <w:u w:val="single"/>
        </w:rPr>
        <w:t>Disposition</w:t>
      </w:r>
    </w:p>
    <w:p w:rsidR="000A300D" w:rsidRPr="00926B48" w:rsidRDefault="000A300D" w:rsidP="000A300D">
      <w:pPr>
        <w:pStyle w:val="ListParagraph"/>
        <w:numPr>
          <w:ilvl w:val="0"/>
          <w:numId w:val="1"/>
        </w:numPr>
        <w:tabs>
          <w:tab w:val="left" w:pos="1170"/>
        </w:tabs>
        <w:spacing w:after="480" w:line="480" w:lineRule="auto"/>
        <w:ind w:left="0" w:firstLine="0"/>
        <w:jc w:val="both"/>
      </w:pPr>
      <w:r w:rsidRPr="00926B48">
        <w:t>I would allow the appeal, set aside the decision of the Court of Appeal and the Minister’s order of surrender and remit the matter to the Minister for reconsideration in accordance with the law.</w:t>
      </w:r>
      <w:r>
        <w:t xml:space="preserve">  The appellant did not request costs and I would order none.</w:t>
      </w:r>
    </w:p>
    <w:p w:rsidR="009B57B3" w:rsidRPr="00EC41EF" w:rsidRDefault="00196D44" w:rsidP="000A300D">
      <w:pPr>
        <w:pStyle w:val="SCCNormalDoubleSpacing"/>
        <w:tabs>
          <w:tab w:val="left" w:pos="1170"/>
        </w:tabs>
        <w:rPr>
          <w:lang w:val="en-US"/>
        </w:rPr>
      </w:pPr>
      <w:r w:rsidRPr="00EC41EF">
        <w:tab/>
      </w:r>
      <w:r w:rsidR="00656313" w:rsidRPr="00EC41EF">
        <w:rPr>
          <w:i/>
          <w:lang w:val="en-US"/>
        </w:rPr>
        <w:t>Appeal</w:t>
      </w:r>
      <w:r w:rsidR="004C3B55" w:rsidRPr="00EC41EF">
        <w:rPr>
          <w:i/>
          <w:lang w:val="en-US"/>
        </w:rPr>
        <w:t xml:space="preserve"> allowed.</w:t>
      </w:r>
    </w:p>
    <w:p w:rsidR="00A149DF" w:rsidRPr="00EC41EF" w:rsidRDefault="00A149DF" w:rsidP="000A300D">
      <w:pPr>
        <w:pStyle w:val="SCCNormalDoubleSpacing"/>
        <w:tabs>
          <w:tab w:val="left" w:pos="1170"/>
        </w:tabs>
        <w:rPr>
          <w:lang w:val="en-US"/>
        </w:rPr>
      </w:pPr>
    </w:p>
    <w:p w:rsidR="00FD1FC3" w:rsidRPr="00EC41EF" w:rsidRDefault="00FD1FC3" w:rsidP="000A300D">
      <w:pPr>
        <w:pStyle w:val="SCCLawFirm"/>
        <w:tabs>
          <w:tab w:val="left" w:pos="1170"/>
        </w:tabs>
        <w:rPr>
          <w:lang w:val="fr-CA"/>
        </w:rPr>
      </w:pPr>
      <w:r w:rsidRPr="00EC41EF">
        <w:tab/>
      </w:r>
      <w:r w:rsidRPr="00EC41EF">
        <w:rPr>
          <w:lang w:val="fr-CA"/>
        </w:rPr>
        <w:t>Solicitors</w:t>
      </w:r>
      <w:r w:rsidR="00C95E65" w:rsidRPr="00EC41EF">
        <w:rPr>
          <w:lang w:val="fr-CA"/>
        </w:rPr>
        <w:t xml:space="preserve"> for the </w:t>
      </w:r>
      <w:proofErr w:type="spellStart"/>
      <w:r w:rsidR="00C95E65" w:rsidRPr="00EC41EF">
        <w:rPr>
          <w:lang w:val="fr-CA"/>
        </w:rPr>
        <w:t>appellant</w:t>
      </w:r>
      <w:proofErr w:type="spellEnd"/>
      <w:r w:rsidR="00C95E65" w:rsidRPr="00EC41EF">
        <w:rPr>
          <w:lang w:val="fr-CA"/>
        </w:rPr>
        <w:t>:</w:t>
      </w:r>
      <w:proofErr w:type="gramStart"/>
      <w:r w:rsidR="00C95E65" w:rsidRPr="00EC41EF">
        <w:rPr>
          <w:lang w:val="fr-CA"/>
        </w:rPr>
        <w:t>  </w:t>
      </w:r>
      <w:r w:rsidRPr="00EC41EF">
        <w:rPr>
          <w:lang w:val="fr-CA"/>
        </w:rPr>
        <w:t>Lapointe</w:t>
      </w:r>
      <w:proofErr w:type="gramEnd"/>
      <w:r w:rsidRPr="00EC41EF">
        <w:rPr>
          <w:lang w:val="fr-CA"/>
        </w:rPr>
        <w:t xml:space="preserve"> </w:t>
      </w:r>
      <w:r w:rsidR="00432309" w:rsidRPr="00EC41EF">
        <w:rPr>
          <w:lang w:val="fr-CA"/>
        </w:rPr>
        <w:t>&amp;</w:t>
      </w:r>
      <w:r w:rsidRPr="00EC41EF">
        <w:rPr>
          <w:lang w:val="fr-CA"/>
        </w:rPr>
        <w:t xml:space="preserve"> Associés, Montréal.</w:t>
      </w:r>
    </w:p>
    <w:p w:rsidR="00FD1FC3" w:rsidRPr="00EC41EF" w:rsidRDefault="00FD1FC3" w:rsidP="000A300D">
      <w:pPr>
        <w:pStyle w:val="SCCLawFirm"/>
        <w:tabs>
          <w:tab w:val="left" w:pos="1170"/>
        </w:tabs>
        <w:rPr>
          <w:lang w:val="fr-CA"/>
        </w:rPr>
      </w:pPr>
    </w:p>
    <w:p w:rsidR="00FD1FC3" w:rsidRPr="00EC41EF" w:rsidRDefault="00FD1FC3" w:rsidP="000A300D">
      <w:pPr>
        <w:pStyle w:val="SCCLawFirm"/>
        <w:tabs>
          <w:tab w:val="left" w:pos="1170"/>
        </w:tabs>
        <w:rPr>
          <w:lang w:val="en-US"/>
        </w:rPr>
      </w:pPr>
      <w:r w:rsidRPr="00EC41EF">
        <w:rPr>
          <w:lang w:val="fr-CA"/>
        </w:rPr>
        <w:tab/>
      </w:r>
      <w:r w:rsidR="00C95E65" w:rsidRPr="00EC41EF">
        <w:rPr>
          <w:lang w:val="en-US"/>
        </w:rPr>
        <w:t>Solicitor for the respondent:  </w:t>
      </w:r>
      <w:r w:rsidRPr="00EC41EF">
        <w:rPr>
          <w:lang w:val="en-US"/>
        </w:rPr>
        <w:t>Attorney General of Canada, Montréal.</w:t>
      </w:r>
    </w:p>
    <w:p w:rsidR="00644895" w:rsidRPr="000D49FA" w:rsidRDefault="00644895" w:rsidP="00644895">
      <w:pPr>
        <w:pStyle w:val="SCCLawFirm"/>
        <w:tabs>
          <w:tab w:val="left" w:pos="1170"/>
        </w:tabs>
        <w:rPr>
          <w:lang w:val="en-US"/>
        </w:rPr>
      </w:pPr>
    </w:p>
    <w:p w:rsidR="00644895" w:rsidRPr="00EC41EF" w:rsidRDefault="00644895" w:rsidP="00644895">
      <w:pPr>
        <w:pStyle w:val="SCCLawFirm"/>
        <w:tabs>
          <w:tab w:val="left" w:pos="1170"/>
        </w:tabs>
      </w:pPr>
      <w:r w:rsidRPr="000D49FA">
        <w:rPr>
          <w:lang w:val="en-US"/>
        </w:rPr>
        <w:tab/>
      </w:r>
      <w:r w:rsidRPr="00EC41EF">
        <w:t>Solicitors for the intervener Amnesty International (Canada Section):  Waldman &amp; Associates, Toronto.</w:t>
      </w:r>
    </w:p>
    <w:p w:rsidR="00644895" w:rsidRPr="00644895" w:rsidRDefault="00644895" w:rsidP="00644895">
      <w:pPr>
        <w:pStyle w:val="SCCNormalDoubleSpacing"/>
      </w:pPr>
    </w:p>
    <w:p w:rsidR="00FD1FC3" w:rsidRPr="00906D78" w:rsidRDefault="00FD1FC3" w:rsidP="000A300D">
      <w:pPr>
        <w:pStyle w:val="SCCLawFirm"/>
        <w:tabs>
          <w:tab w:val="left" w:pos="1170"/>
        </w:tabs>
        <w:rPr>
          <w:lang w:val="en-US"/>
        </w:rPr>
      </w:pPr>
      <w:r w:rsidRPr="00EC41EF">
        <w:rPr>
          <w:lang w:val="en-US"/>
        </w:rPr>
        <w:tab/>
      </w:r>
      <w:r w:rsidRPr="00906D78">
        <w:rPr>
          <w:lang w:val="en-US"/>
        </w:rPr>
        <w:t xml:space="preserve">Solicitors for the intervener </w:t>
      </w:r>
      <w:r w:rsidR="004A4925" w:rsidRPr="00906D78">
        <w:rPr>
          <w:lang w:val="en-US"/>
        </w:rPr>
        <w:t xml:space="preserve">the </w:t>
      </w:r>
      <w:r w:rsidR="004C3B55" w:rsidRPr="00906D78">
        <w:rPr>
          <w:lang w:val="en-US"/>
        </w:rPr>
        <w:t xml:space="preserve">Québec Immigration Lawyers </w:t>
      </w:r>
      <w:r w:rsidR="00C95E65" w:rsidRPr="00906D78">
        <w:rPr>
          <w:lang w:val="en-US"/>
        </w:rPr>
        <w:t>Association:  </w:t>
      </w:r>
      <w:r w:rsidRPr="00906D78">
        <w:rPr>
          <w:lang w:val="en-US"/>
        </w:rPr>
        <w:t xml:space="preserve">Doyon </w:t>
      </w:r>
      <w:proofErr w:type="gramStart"/>
      <w:r w:rsidRPr="00906D78">
        <w:rPr>
          <w:lang w:val="en-US"/>
        </w:rPr>
        <w:t>et</w:t>
      </w:r>
      <w:proofErr w:type="gramEnd"/>
      <w:r w:rsidRPr="00906D78">
        <w:rPr>
          <w:lang w:val="en-US"/>
        </w:rPr>
        <w:t xml:space="preserve"> </w:t>
      </w:r>
      <w:proofErr w:type="spellStart"/>
      <w:r w:rsidRPr="00906D78">
        <w:rPr>
          <w:lang w:val="en-US"/>
        </w:rPr>
        <w:t>Associés</w:t>
      </w:r>
      <w:proofErr w:type="spellEnd"/>
      <w:r w:rsidRPr="00906D78">
        <w:rPr>
          <w:lang w:val="en-US"/>
        </w:rPr>
        <w:t>, Montréal.</w:t>
      </w:r>
    </w:p>
    <w:p w:rsidR="00FD1FC3" w:rsidRPr="00906D78" w:rsidRDefault="00FD1FC3" w:rsidP="000A300D">
      <w:pPr>
        <w:pStyle w:val="SCCLawFirm"/>
        <w:tabs>
          <w:tab w:val="left" w:pos="1170"/>
        </w:tabs>
        <w:rPr>
          <w:lang w:val="en-US"/>
        </w:rPr>
      </w:pPr>
    </w:p>
    <w:p w:rsidR="00FD1FC3" w:rsidRPr="00EC41EF" w:rsidRDefault="00FD1FC3" w:rsidP="000A300D">
      <w:pPr>
        <w:pStyle w:val="SCCLawFirm"/>
        <w:tabs>
          <w:tab w:val="left" w:pos="1170"/>
        </w:tabs>
      </w:pPr>
      <w:r w:rsidRPr="00906D78">
        <w:rPr>
          <w:lang w:val="en-US"/>
        </w:rPr>
        <w:tab/>
      </w:r>
      <w:r w:rsidRPr="00EC41EF">
        <w:t>Solicitor for the intervener the Canadia</w:t>
      </w:r>
      <w:r w:rsidR="00C95E65" w:rsidRPr="00EC41EF">
        <w:t>n Civil Liberties Association:  </w:t>
      </w:r>
      <w:r w:rsidRPr="00EC41EF">
        <w:t xml:space="preserve">Canadian Civil Liberties Association, Toronto. </w:t>
      </w:r>
    </w:p>
    <w:p w:rsidR="00FD1FC3" w:rsidRPr="00EC41EF" w:rsidRDefault="00FD1FC3" w:rsidP="00FD1FC3">
      <w:pPr>
        <w:pStyle w:val="SCCNormalDoubleSpacing"/>
      </w:pPr>
    </w:p>
    <w:sectPr w:rsidR="00FD1FC3" w:rsidRPr="00EC41EF" w:rsidSect="00414BF2">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A9" w:rsidRDefault="003926A9">
      <w:r>
        <w:separator/>
      </w:r>
    </w:p>
  </w:endnote>
  <w:endnote w:type="continuationSeparator" w:id="0">
    <w:p w:rsidR="003926A9" w:rsidRDefault="00392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A9" w:rsidRDefault="003926A9">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A9" w:rsidRDefault="003926A9">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A9" w:rsidRDefault="003926A9">
      <w:r>
        <w:separator/>
      </w:r>
    </w:p>
  </w:footnote>
  <w:footnote w:type="continuationSeparator" w:id="0">
    <w:p w:rsidR="003926A9" w:rsidRDefault="00392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A9" w:rsidRDefault="003926A9">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A9" w:rsidRDefault="003926A9">
    <w:pPr>
      <w:pStyle w:val="Header"/>
      <w:jc w:val="center"/>
    </w:pPr>
    <w:r>
      <w:t xml:space="preserve">- </w:t>
    </w:r>
    <w:sdt>
      <w:sdtPr>
        <w:id w:val="4489865"/>
        <w:docPartObj>
          <w:docPartGallery w:val="Page Numbers (Top of Page)"/>
          <w:docPartUnique/>
        </w:docPartObj>
      </w:sdtPr>
      <w:sdtContent>
        <w:r w:rsidR="007F5A1F">
          <w:fldChar w:fldCharType="begin"/>
        </w:r>
        <w:r w:rsidR="00EC3945">
          <w:instrText xml:space="preserve"> PAGE   \* MERGEFORMAT </w:instrText>
        </w:r>
        <w:r w:rsidR="007F5A1F">
          <w:fldChar w:fldCharType="separate"/>
        </w:r>
        <w:r w:rsidR="00D35143">
          <w:rPr>
            <w:noProof/>
          </w:rPr>
          <w:t>12</w:t>
        </w:r>
        <w:r w:rsidR="007F5A1F">
          <w:fldChar w:fldCharType="end"/>
        </w:r>
        <w:r>
          <w:t xml:space="preserve"> -</w:t>
        </w:r>
      </w:sdtContent>
    </w:sdt>
  </w:p>
  <w:p w:rsidR="003926A9" w:rsidRDefault="003926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E7EC716"/>
    <w:lvl w:ilvl="0">
      <w:start w:val="1"/>
      <w:numFmt w:val="decimal"/>
      <w:lvlText w:val="%1."/>
      <w:lvlJc w:val="left"/>
      <w:pPr>
        <w:tabs>
          <w:tab w:val="num" w:pos="926"/>
        </w:tabs>
        <w:ind w:left="926" w:hanging="360"/>
      </w:pPr>
    </w:lvl>
  </w:abstractNum>
  <w:abstractNum w:abstractNumId="1">
    <w:nsid w:val="FFFFFF7F"/>
    <w:multiLevelType w:val="singleLevel"/>
    <w:tmpl w:val="2E7E0D12"/>
    <w:lvl w:ilvl="0">
      <w:start w:val="1"/>
      <w:numFmt w:val="decimal"/>
      <w:lvlText w:val="%1."/>
      <w:lvlJc w:val="left"/>
      <w:pPr>
        <w:tabs>
          <w:tab w:val="num" w:pos="643"/>
        </w:tabs>
        <w:ind w:left="643" w:hanging="360"/>
      </w:pPr>
    </w:lvl>
  </w:abstractNum>
  <w:abstractNum w:abstractNumId="2">
    <w:nsid w:val="FFFFFF88"/>
    <w:multiLevelType w:val="singleLevel"/>
    <w:tmpl w:val="E506A94E"/>
    <w:lvl w:ilvl="0">
      <w:start w:val="1"/>
      <w:numFmt w:val="decimal"/>
      <w:lvlText w:val="%1."/>
      <w:lvlJc w:val="left"/>
      <w:pPr>
        <w:tabs>
          <w:tab w:val="num" w:pos="360"/>
        </w:tabs>
        <w:ind w:left="360" w:hanging="360"/>
      </w:p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rsids>
    <w:rsidRoot w:val="0031414C"/>
    <w:rsid w:val="00000ED4"/>
    <w:rsid w:val="00025198"/>
    <w:rsid w:val="00033CE8"/>
    <w:rsid w:val="00055055"/>
    <w:rsid w:val="000578A3"/>
    <w:rsid w:val="000648CC"/>
    <w:rsid w:val="000A300D"/>
    <w:rsid w:val="000C59B8"/>
    <w:rsid w:val="000D49FA"/>
    <w:rsid w:val="000D4ADA"/>
    <w:rsid w:val="000E1774"/>
    <w:rsid w:val="000F5D22"/>
    <w:rsid w:val="00111DE2"/>
    <w:rsid w:val="00116B38"/>
    <w:rsid w:val="00135406"/>
    <w:rsid w:val="00135972"/>
    <w:rsid w:val="001426A9"/>
    <w:rsid w:val="00154D7C"/>
    <w:rsid w:val="001570B0"/>
    <w:rsid w:val="0015752C"/>
    <w:rsid w:val="00157737"/>
    <w:rsid w:val="00165277"/>
    <w:rsid w:val="001671A2"/>
    <w:rsid w:val="00170592"/>
    <w:rsid w:val="00196D44"/>
    <w:rsid w:val="001B33E0"/>
    <w:rsid w:val="001B4573"/>
    <w:rsid w:val="001B71B1"/>
    <w:rsid w:val="001C779F"/>
    <w:rsid w:val="001D1654"/>
    <w:rsid w:val="001D2AC1"/>
    <w:rsid w:val="001D4E88"/>
    <w:rsid w:val="00220FC2"/>
    <w:rsid w:val="00224FC0"/>
    <w:rsid w:val="00225EA4"/>
    <w:rsid w:val="00226EAF"/>
    <w:rsid w:val="00231F3A"/>
    <w:rsid w:val="002406EE"/>
    <w:rsid w:val="00243EC8"/>
    <w:rsid w:val="002745CC"/>
    <w:rsid w:val="002833CA"/>
    <w:rsid w:val="002B7924"/>
    <w:rsid w:val="002D39A4"/>
    <w:rsid w:val="002E6705"/>
    <w:rsid w:val="002F67BA"/>
    <w:rsid w:val="0030329A"/>
    <w:rsid w:val="0031086F"/>
    <w:rsid w:val="0031414C"/>
    <w:rsid w:val="00314E01"/>
    <w:rsid w:val="0032089D"/>
    <w:rsid w:val="003310DE"/>
    <w:rsid w:val="0035169A"/>
    <w:rsid w:val="0035259D"/>
    <w:rsid w:val="00364B18"/>
    <w:rsid w:val="003926A9"/>
    <w:rsid w:val="003A4C70"/>
    <w:rsid w:val="003B0ACA"/>
    <w:rsid w:val="003B215F"/>
    <w:rsid w:val="003C799C"/>
    <w:rsid w:val="003D0399"/>
    <w:rsid w:val="003E1C71"/>
    <w:rsid w:val="003F327B"/>
    <w:rsid w:val="00406166"/>
    <w:rsid w:val="0040704B"/>
    <w:rsid w:val="00410A55"/>
    <w:rsid w:val="00411300"/>
    <w:rsid w:val="00414BF2"/>
    <w:rsid w:val="00415417"/>
    <w:rsid w:val="00415A1B"/>
    <w:rsid w:val="00426659"/>
    <w:rsid w:val="00432309"/>
    <w:rsid w:val="00435C0D"/>
    <w:rsid w:val="00446D68"/>
    <w:rsid w:val="00450352"/>
    <w:rsid w:val="00454BDB"/>
    <w:rsid w:val="00457038"/>
    <w:rsid w:val="00465132"/>
    <w:rsid w:val="00480C90"/>
    <w:rsid w:val="0048396F"/>
    <w:rsid w:val="00493C18"/>
    <w:rsid w:val="004A4925"/>
    <w:rsid w:val="004A600C"/>
    <w:rsid w:val="004A6118"/>
    <w:rsid w:val="004B34E8"/>
    <w:rsid w:val="004C3B55"/>
    <w:rsid w:val="004C478D"/>
    <w:rsid w:val="004E2C26"/>
    <w:rsid w:val="005125A8"/>
    <w:rsid w:val="00521AE8"/>
    <w:rsid w:val="00527180"/>
    <w:rsid w:val="00536719"/>
    <w:rsid w:val="00555291"/>
    <w:rsid w:val="00583EDE"/>
    <w:rsid w:val="005E4698"/>
    <w:rsid w:val="00610539"/>
    <w:rsid w:val="00611C84"/>
    <w:rsid w:val="00613969"/>
    <w:rsid w:val="00625C35"/>
    <w:rsid w:val="00644895"/>
    <w:rsid w:val="00656313"/>
    <w:rsid w:val="006565F4"/>
    <w:rsid w:val="00684EEA"/>
    <w:rsid w:val="006B5FF5"/>
    <w:rsid w:val="006C192D"/>
    <w:rsid w:val="00701759"/>
    <w:rsid w:val="00747288"/>
    <w:rsid w:val="00747DD3"/>
    <w:rsid w:val="007528FD"/>
    <w:rsid w:val="007549C8"/>
    <w:rsid w:val="00766D14"/>
    <w:rsid w:val="00767A0F"/>
    <w:rsid w:val="007A05F6"/>
    <w:rsid w:val="007B3379"/>
    <w:rsid w:val="007B6F4A"/>
    <w:rsid w:val="007E1C47"/>
    <w:rsid w:val="007E337A"/>
    <w:rsid w:val="007E5C70"/>
    <w:rsid w:val="007F2FF5"/>
    <w:rsid w:val="007F3F08"/>
    <w:rsid w:val="007F5A1F"/>
    <w:rsid w:val="00804CC6"/>
    <w:rsid w:val="00817190"/>
    <w:rsid w:val="00821E57"/>
    <w:rsid w:val="008260E2"/>
    <w:rsid w:val="008322BD"/>
    <w:rsid w:val="00834F73"/>
    <w:rsid w:val="008555A9"/>
    <w:rsid w:val="00857605"/>
    <w:rsid w:val="00864CF8"/>
    <w:rsid w:val="00874914"/>
    <w:rsid w:val="00891422"/>
    <w:rsid w:val="00892E1A"/>
    <w:rsid w:val="008C01DA"/>
    <w:rsid w:val="008F78E9"/>
    <w:rsid w:val="00906D78"/>
    <w:rsid w:val="009179F9"/>
    <w:rsid w:val="00933E5E"/>
    <w:rsid w:val="00935218"/>
    <w:rsid w:val="009403F3"/>
    <w:rsid w:val="009555B7"/>
    <w:rsid w:val="009567AA"/>
    <w:rsid w:val="00967374"/>
    <w:rsid w:val="009730B7"/>
    <w:rsid w:val="009842F2"/>
    <w:rsid w:val="009B2F23"/>
    <w:rsid w:val="009B57B3"/>
    <w:rsid w:val="009C49EB"/>
    <w:rsid w:val="009D2920"/>
    <w:rsid w:val="009D5AEB"/>
    <w:rsid w:val="009F0E33"/>
    <w:rsid w:val="009F1ADD"/>
    <w:rsid w:val="00A149DF"/>
    <w:rsid w:val="00A21B90"/>
    <w:rsid w:val="00A32B6E"/>
    <w:rsid w:val="00A41805"/>
    <w:rsid w:val="00A548CB"/>
    <w:rsid w:val="00A5521C"/>
    <w:rsid w:val="00A643E7"/>
    <w:rsid w:val="00A73C38"/>
    <w:rsid w:val="00A948E7"/>
    <w:rsid w:val="00AF03C5"/>
    <w:rsid w:val="00AF5752"/>
    <w:rsid w:val="00B000D8"/>
    <w:rsid w:val="00B00F75"/>
    <w:rsid w:val="00B145B6"/>
    <w:rsid w:val="00B31466"/>
    <w:rsid w:val="00B50C81"/>
    <w:rsid w:val="00B557F8"/>
    <w:rsid w:val="00B65B31"/>
    <w:rsid w:val="00B815FC"/>
    <w:rsid w:val="00B93FBC"/>
    <w:rsid w:val="00BB2EE4"/>
    <w:rsid w:val="00BC2108"/>
    <w:rsid w:val="00BD0E9E"/>
    <w:rsid w:val="00BD1BEC"/>
    <w:rsid w:val="00BD32FF"/>
    <w:rsid w:val="00C02092"/>
    <w:rsid w:val="00C17460"/>
    <w:rsid w:val="00C24D91"/>
    <w:rsid w:val="00C53F14"/>
    <w:rsid w:val="00C600CF"/>
    <w:rsid w:val="00C6084F"/>
    <w:rsid w:val="00C62A66"/>
    <w:rsid w:val="00C71458"/>
    <w:rsid w:val="00C77613"/>
    <w:rsid w:val="00C828E7"/>
    <w:rsid w:val="00C86719"/>
    <w:rsid w:val="00C921DD"/>
    <w:rsid w:val="00C95E65"/>
    <w:rsid w:val="00CA576E"/>
    <w:rsid w:val="00CA6391"/>
    <w:rsid w:val="00CE3171"/>
    <w:rsid w:val="00CF1601"/>
    <w:rsid w:val="00D0172F"/>
    <w:rsid w:val="00D033FC"/>
    <w:rsid w:val="00D041BC"/>
    <w:rsid w:val="00D068A7"/>
    <w:rsid w:val="00D32086"/>
    <w:rsid w:val="00D35143"/>
    <w:rsid w:val="00D37A3F"/>
    <w:rsid w:val="00D4431D"/>
    <w:rsid w:val="00D4667A"/>
    <w:rsid w:val="00D56DE2"/>
    <w:rsid w:val="00D57E71"/>
    <w:rsid w:val="00D727D6"/>
    <w:rsid w:val="00D7516F"/>
    <w:rsid w:val="00D95F8E"/>
    <w:rsid w:val="00DA0590"/>
    <w:rsid w:val="00DA444E"/>
    <w:rsid w:val="00DC1788"/>
    <w:rsid w:val="00DC193A"/>
    <w:rsid w:val="00DE319C"/>
    <w:rsid w:val="00DF0CA8"/>
    <w:rsid w:val="00DF2B48"/>
    <w:rsid w:val="00DF49A7"/>
    <w:rsid w:val="00E07EE2"/>
    <w:rsid w:val="00E07FD1"/>
    <w:rsid w:val="00E159FB"/>
    <w:rsid w:val="00E24573"/>
    <w:rsid w:val="00E25E1E"/>
    <w:rsid w:val="00E27EE7"/>
    <w:rsid w:val="00E35404"/>
    <w:rsid w:val="00E45109"/>
    <w:rsid w:val="00E47B7A"/>
    <w:rsid w:val="00E671B0"/>
    <w:rsid w:val="00E97830"/>
    <w:rsid w:val="00EB6215"/>
    <w:rsid w:val="00EC3945"/>
    <w:rsid w:val="00EC41EF"/>
    <w:rsid w:val="00EF0683"/>
    <w:rsid w:val="00F0070C"/>
    <w:rsid w:val="00F00EB7"/>
    <w:rsid w:val="00F36AB6"/>
    <w:rsid w:val="00F37A09"/>
    <w:rsid w:val="00F409CE"/>
    <w:rsid w:val="00F4379D"/>
    <w:rsid w:val="00F84DF4"/>
    <w:rsid w:val="00F85C97"/>
    <w:rsid w:val="00FB37D2"/>
    <w:rsid w:val="00FC3B06"/>
    <w:rsid w:val="00FC3DD6"/>
    <w:rsid w:val="00FC4EFB"/>
    <w:rsid w:val="00FD068D"/>
    <w:rsid w:val="00FD1FC3"/>
    <w:rsid w:val="00FD4F28"/>
    <w:rsid w:val="00FD64A3"/>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0A300D"/>
    <w:pPr>
      <w:ind w:left="720"/>
    </w:pPr>
  </w:style>
  <w:style w:type="paragraph" w:customStyle="1" w:styleId="SCCCoram">
    <w:name w:val="SCC.Coram"/>
    <w:basedOn w:val="Normal"/>
    <w:next w:val="Normal"/>
    <w:link w:val="SCCCoramChar"/>
    <w:rsid w:val="000A300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A300D"/>
    <w:rPr>
      <w:rFonts w:eastAsiaTheme="minorHAnsi" w:cstheme="minorBidi"/>
      <w:sz w:val="24"/>
      <w:szCs w:val="22"/>
      <w:lang w:eastAsia="en-US"/>
    </w:rPr>
  </w:style>
  <w:style w:type="table" w:styleId="TableGrid">
    <w:name w:val="Table Grid"/>
    <w:basedOn w:val="TableNormal"/>
    <w:uiPriority w:val="59"/>
    <w:rsid w:val="000A30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2206</Words>
  <Characters>11778</Characters>
  <Application>Microsoft Office Word</Application>
  <DocSecurity>0</DocSecurity>
  <Lines>98</Lines>
  <Paragraphs>27</Paragraphs>
  <ScaleCrop>false</ScaleCrop>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2011-03-28T18:38:00Z</dcterms:created>
  <dcterms:modified xsi:type="dcterms:W3CDTF">2011-03-28T18:38:00Z</dcterms:modified>
</cp:coreProperties>
</file>