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D1" w:rsidRPr="009701B7" w:rsidRDefault="005743D1" w:rsidP="005743D1">
      <w:pPr>
        <w:tabs>
          <w:tab w:val="center" w:pos="4680"/>
          <w:tab w:val="right" w:pos="9360"/>
        </w:tabs>
        <w:rPr>
          <w:rFonts w:eastAsiaTheme="minorHAnsi" w:cstheme="minorBidi"/>
          <w:szCs w:val="24"/>
          <w:lang w:eastAsia="en-US"/>
        </w:rPr>
      </w:pPr>
      <w:r w:rsidRPr="009701B7">
        <w:rPr>
          <w:rFonts w:eastAsiaTheme="minorHAnsi" w:cstheme="minorBidi"/>
          <w:szCs w:val="24"/>
          <w:lang w:eastAsia="en-US"/>
        </w:rPr>
        <w:ptab w:relativeTo="margin" w:alignment="center" w:leader="none"/>
      </w:r>
      <w:r w:rsidRPr="009701B7">
        <w:rPr>
          <w:rFonts w:eastAsiaTheme="minorHAnsi" w:cstheme="minorBidi"/>
          <w:szCs w:val="24"/>
          <w:lang w:eastAsia="en-US"/>
        </w:rPr>
        <w:t xml:space="preserve"> </w:t>
      </w:r>
      <w:r w:rsidRPr="009701B7">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35pt" o:ole="">
            <v:imagedata r:id="rId7" o:title=""/>
          </v:shape>
          <o:OLEObject Type="Embed" ProgID="Presentations.Drawing.13" ShapeID="_x0000_i1025" DrawAspect="Content" ObjectID="_1368948000" r:id="rId8"/>
        </w:object>
      </w:r>
      <w:r w:rsidRPr="009701B7">
        <w:rPr>
          <w:rFonts w:eastAsiaTheme="minorHAnsi" w:cstheme="minorBidi"/>
          <w:szCs w:val="24"/>
          <w:lang w:eastAsia="en-US"/>
        </w:rPr>
        <w:t xml:space="preserve"> </w:t>
      </w:r>
      <w:r w:rsidRPr="009701B7">
        <w:rPr>
          <w:rFonts w:eastAsiaTheme="minorHAnsi" w:cstheme="minorBidi"/>
          <w:szCs w:val="24"/>
          <w:lang w:eastAsia="en-US"/>
        </w:rPr>
        <w:ptab w:relativeTo="margin" w:alignment="right" w:leader="none"/>
      </w:r>
    </w:p>
    <w:p w:rsidR="005743D1" w:rsidRPr="009701B7" w:rsidRDefault="005743D1" w:rsidP="005743D1">
      <w:pPr>
        <w:tabs>
          <w:tab w:val="center" w:pos="4680"/>
          <w:tab w:val="right" w:pos="9360"/>
        </w:tabs>
        <w:rPr>
          <w:rFonts w:eastAsiaTheme="minorHAnsi" w:cstheme="minorBidi"/>
          <w:szCs w:val="24"/>
          <w:lang w:eastAsia="en-US"/>
        </w:rPr>
      </w:pPr>
    </w:p>
    <w:p w:rsidR="005743D1" w:rsidRPr="009701B7" w:rsidRDefault="005743D1" w:rsidP="005743D1">
      <w:pPr>
        <w:jc w:val="center"/>
        <w:rPr>
          <w:rFonts w:eastAsiaTheme="minorHAnsi" w:cstheme="minorBidi"/>
          <w:b/>
          <w:szCs w:val="24"/>
          <w:lang w:eastAsia="en-US"/>
        </w:rPr>
      </w:pPr>
      <w:r w:rsidRPr="009701B7">
        <w:rPr>
          <w:rFonts w:eastAsiaTheme="minorHAnsi" w:cstheme="minorBidi"/>
          <w:b/>
          <w:szCs w:val="24"/>
          <w:lang w:eastAsia="en-US"/>
        </w:rPr>
        <w:t>SUPREME COURT OF CANADA</w:t>
      </w:r>
    </w:p>
    <w:p w:rsidR="005743D1" w:rsidRPr="009701B7" w:rsidRDefault="005743D1" w:rsidP="005743D1">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743D1" w:rsidRPr="009701B7" w:rsidTr="00BA475A">
        <w:trPr>
          <w:cantSplit/>
        </w:trPr>
        <w:tc>
          <w:tcPr>
            <w:tcW w:w="6768" w:type="dxa"/>
          </w:tcPr>
          <w:p w:rsidR="005743D1" w:rsidRPr="009701B7" w:rsidRDefault="005743D1" w:rsidP="00BA475A">
            <w:r w:rsidRPr="009701B7">
              <w:rPr>
                <w:b/>
                <w:smallCaps/>
              </w:rPr>
              <w:t>Citation:</w:t>
            </w:r>
            <w:r w:rsidRPr="009701B7">
              <w:t xml:space="preserve"> Canada (Attorney General) </w:t>
            </w:r>
            <w:r w:rsidRPr="009701B7">
              <w:rPr>
                <w:i/>
              </w:rPr>
              <w:t>v.</w:t>
            </w:r>
            <w:r w:rsidRPr="009701B7">
              <w:t xml:space="preserve"> McArthur,</w:t>
            </w:r>
          </w:p>
          <w:p w:rsidR="005743D1" w:rsidRPr="009701B7" w:rsidRDefault="005743D1" w:rsidP="00BA475A">
            <w:pPr>
              <w:rPr>
                <w:b/>
              </w:rPr>
            </w:pPr>
            <w:r>
              <w:rPr>
                <w:rStyle w:val="SCCRespondentForIndexChar"/>
                <w:b w:val="0"/>
              </w:rPr>
              <w:t>2010 SCC 63, [2010] 3 S.C.R. 626</w:t>
            </w:r>
          </w:p>
        </w:tc>
        <w:tc>
          <w:tcPr>
            <w:tcW w:w="2808" w:type="dxa"/>
          </w:tcPr>
          <w:p w:rsidR="005743D1" w:rsidRPr="009701B7" w:rsidRDefault="005743D1" w:rsidP="00BA475A">
            <w:r w:rsidRPr="009701B7">
              <w:rPr>
                <w:b/>
                <w:smallCaps/>
              </w:rPr>
              <w:t>Date:</w:t>
            </w:r>
            <w:r w:rsidRPr="009701B7">
              <w:t xml:space="preserve"> 20101223</w:t>
            </w:r>
          </w:p>
          <w:p w:rsidR="005743D1" w:rsidRPr="009701B7" w:rsidRDefault="005743D1" w:rsidP="00BA475A">
            <w:r w:rsidRPr="009701B7">
              <w:rPr>
                <w:b/>
                <w:smallCaps/>
              </w:rPr>
              <w:t>Docket:</w:t>
            </w:r>
            <w:r w:rsidRPr="009701B7">
              <w:t xml:space="preserve"> 33043</w:t>
            </w:r>
          </w:p>
        </w:tc>
      </w:tr>
    </w:tbl>
    <w:p w:rsidR="005743D1" w:rsidRPr="009701B7" w:rsidRDefault="005743D1" w:rsidP="005743D1">
      <w:pPr>
        <w:rPr>
          <w:rFonts w:eastAsiaTheme="minorHAnsi" w:cstheme="minorBidi"/>
          <w:szCs w:val="24"/>
          <w:lang w:eastAsia="en-US"/>
        </w:rPr>
      </w:pPr>
    </w:p>
    <w:p w:rsidR="005743D1" w:rsidRPr="009701B7" w:rsidRDefault="005743D1" w:rsidP="005743D1">
      <w:pPr>
        <w:rPr>
          <w:rFonts w:eastAsiaTheme="minorHAnsi" w:cstheme="minorBidi"/>
          <w:b/>
          <w:smallCaps/>
          <w:szCs w:val="24"/>
          <w:lang w:eastAsia="en-US"/>
        </w:rPr>
      </w:pPr>
      <w:r w:rsidRPr="009701B7">
        <w:rPr>
          <w:rFonts w:eastAsiaTheme="minorHAnsi" w:cstheme="minorBidi"/>
          <w:b/>
          <w:smallCaps/>
          <w:szCs w:val="24"/>
          <w:lang w:eastAsia="en-US"/>
        </w:rPr>
        <w:t>Between:</w:t>
      </w:r>
    </w:p>
    <w:p w:rsidR="005743D1" w:rsidRPr="009701B7" w:rsidRDefault="005743D1" w:rsidP="005743D1">
      <w:pPr>
        <w:jc w:val="center"/>
        <w:rPr>
          <w:rFonts w:eastAsiaTheme="minorHAnsi" w:cstheme="minorBidi"/>
          <w:b/>
          <w:szCs w:val="24"/>
          <w:lang w:eastAsia="en-US"/>
        </w:rPr>
      </w:pPr>
      <w:r w:rsidRPr="009701B7">
        <w:rPr>
          <w:rFonts w:eastAsiaTheme="minorHAnsi" w:cstheme="minorBidi"/>
          <w:b/>
          <w:szCs w:val="24"/>
          <w:lang w:eastAsia="en-US"/>
        </w:rPr>
        <w:t xml:space="preserve">Attorney General of Canada and James </w:t>
      </w:r>
      <w:proofErr w:type="spellStart"/>
      <w:r w:rsidRPr="009701B7">
        <w:rPr>
          <w:rFonts w:eastAsiaTheme="minorHAnsi" w:cstheme="minorBidi"/>
          <w:b/>
          <w:szCs w:val="24"/>
          <w:lang w:eastAsia="en-US"/>
        </w:rPr>
        <w:t>Blackler</w:t>
      </w:r>
      <w:proofErr w:type="spellEnd"/>
      <w:r w:rsidRPr="009701B7">
        <w:rPr>
          <w:rFonts w:eastAsiaTheme="minorHAnsi" w:cstheme="minorBidi"/>
          <w:b/>
          <w:szCs w:val="24"/>
          <w:lang w:eastAsia="en-US"/>
        </w:rPr>
        <w:t>,</w:t>
      </w:r>
    </w:p>
    <w:p w:rsidR="005743D1" w:rsidRPr="009701B7" w:rsidRDefault="005743D1" w:rsidP="005743D1">
      <w:pPr>
        <w:jc w:val="center"/>
        <w:rPr>
          <w:rFonts w:eastAsiaTheme="minorHAnsi" w:cstheme="minorBidi"/>
          <w:b/>
          <w:szCs w:val="24"/>
          <w:lang w:eastAsia="en-US"/>
        </w:rPr>
      </w:pPr>
      <w:proofErr w:type="gramStart"/>
      <w:r w:rsidRPr="009701B7">
        <w:rPr>
          <w:rFonts w:eastAsiaTheme="minorHAnsi" w:cstheme="minorBidi"/>
          <w:b/>
          <w:szCs w:val="24"/>
          <w:lang w:eastAsia="en-US"/>
        </w:rPr>
        <w:t>also</w:t>
      </w:r>
      <w:proofErr w:type="gramEnd"/>
      <w:r w:rsidRPr="009701B7">
        <w:rPr>
          <w:rFonts w:eastAsiaTheme="minorHAnsi" w:cstheme="minorBidi"/>
          <w:b/>
          <w:szCs w:val="24"/>
          <w:lang w:eastAsia="en-US"/>
        </w:rPr>
        <w:t xml:space="preserve"> known as Jim </w:t>
      </w:r>
      <w:proofErr w:type="spellStart"/>
      <w:r w:rsidRPr="009701B7">
        <w:rPr>
          <w:rFonts w:eastAsiaTheme="minorHAnsi" w:cstheme="minorBidi"/>
          <w:b/>
          <w:szCs w:val="24"/>
          <w:lang w:eastAsia="en-US"/>
        </w:rPr>
        <w:t>Blackler</w:t>
      </w:r>
      <w:proofErr w:type="spellEnd"/>
    </w:p>
    <w:p w:rsidR="005743D1" w:rsidRPr="009701B7" w:rsidRDefault="005743D1" w:rsidP="005743D1">
      <w:pPr>
        <w:jc w:val="center"/>
        <w:rPr>
          <w:rFonts w:eastAsiaTheme="minorHAnsi" w:cstheme="minorBidi"/>
          <w:szCs w:val="24"/>
          <w:lang w:val="en-US" w:eastAsia="en-US"/>
        </w:rPr>
      </w:pPr>
      <w:r w:rsidRPr="009701B7">
        <w:rPr>
          <w:rFonts w:eastAsiaTheme="minorHAnsi" w:cstheme="minorBidi"/>
          <w:szCs w:val="24"/>
          <w:lang w:val="en-US" w:eastAsia="en-US"/>
        </w:rPr>
        <w:t>Appellants</w:t>
      </w:r>
    </w:p>
    <w:p w:rsidR="005743D1" w:rsidRPr="009701B7" w:rsidRDefault="005743D1" w:rsidP="005743D1">
      <w:pPr>
        <w:jc w:val="center"/>
        <w:rPr>
          <w:rFonts w:eastAsiaTheme="minorHAnsi" w:cstheme="minorBidi"/>
          <w:szCs w:val="24"/>
          <w:lang w:val="en-US" w:eastAsia="en-US"/>
        </w:rPr>
      </w:pPr>
      <w:proofErr w:type="gramStart"/>
      <w:r w:rsidRPr="009701B7">
        <w:rPr>
          <w:rFonts w:eastAsiaTheme="minorHAnsi" w:cstheme="minorBidi"/>
          <w:szCs w:val="24"/>
          <w:lang w:val="en-US" w:eastAsia="en-US"/>
        </w:rPr>
        <w:t>and</w:t>
      </w:r>
      <w:proofErr w:type="gramEnd"/>
    </w:p>
    <w:p w:rsidR="005743D1" w:rsidRPr="009701B7" w:rsidRDefault="005743D1" w:rsidP="005743D1">
      <w:pPr>
        <w:jc w:val="center"/>
        <w:rPr>
          <w:rFonts w:eastAsiaTheme="minorHAnsi" w:cstheme="minorBidi"/>
          <w:b/>
          <w:szCs w:val="24"/>
          <w:lang w:val="en-US" w:eastAsia="en-US"/>
        </w:rPr>
      </w:pPr>
      <w:proofErr w:type="spellStart"/>
      <w:r w:rsidRPr="009701B7">
        <w:rPr>
          <w:rFonts w:eastAsiaTheme="minorHAnsi" w:cstheme="minorBidi"/>
          <w:b/>
          <w:szCs w:val="24"/>
          <w:lang w:val="en-US" w:eastAsia="en-US"/>
        </w:rPr>
        <w:t>Michiel</w:t>
      </w:r>
      <w:proofErr w:type="spellEnd"/>
      <w:r w:rsidRPr="009701B7">
        <w:rPr>
          <w:rFonts w:eastAsiaTheme="minorHAnsi" w:cstheme="minorBidi"/>
          <w:b/>
          <w:szCs w:val="24"/>
          <w:lang w:val="en-US" w:eastAsia="en-US"/>
        </w:rPr>
        <w:t xml:space="preserve"> McArthur</w:t>
      </w:r>
    </w:p>
    <w:p w:rsidR="005743D1" w:rsidRPr="009701B7" w:rsidRDefault="005743D1" w:rsidP="005743D1">
      <w:pPr>
        <w:jc w:val="center"/>
        <w:rPr>
          <w:rFonts w:eastAsiaTheme="minorHAnsi" w:cstheme="minorBidi"/>
          <w:szCs w:val="24"/>
          <w:lang w:val="en-US" w:eastAsia="en-US"/>
        </w:rPr>
      </w:pPr>
      <w:r w:rsidRPr="009701B7">
        <w:rPr>
          <w:rFonts w:eastAsiaTheme="minorHAnsi" w:cstheme="minorBidi"/>
          <w:szCs w:val="24"/>
          <w:lang w:val="en-US" w:eastAsia="en-US"/>
        </w:rPr>
        <w:t>Respondent</w:t>
      </w:r>
    </w:p>
    <w:p w:rsidR="005743D1" w:rsidRPr="009701B7" w:rsidRDefault="005743D1" w:rsidP="005743D1">
      <w:pPr>
        <w:jc w:val="center"/>
        <w:rPr>
          <w:rFonts w:eastAsiaTheme="minorHAnsi" w:cstheme="minorBidi"/>
          <w:szCs w:val="24"/>
          <w:lang w:val="en-US" w:eastAsia="en-US"/>
        </w:rPr>
      </w:pPr>
      <w:r w:rsidRPr="009701B7">
        <w:rPr>
          <w:rFonts w:eastAsiaTheme="minorHAnsi" w:cstheme="minorBidi"/>
          <w:szCs w:val="24"/>
          <w:lang w:val="en-US" w:eastAsia="en-US"/>
        </w:rPr>
        <w:t xml:space="preserve">- </w:t>
      </w:r>
      <w:proofErr w:type="gramStart"/>
      <w:r w:rsidRPr="009701B7">
        <w:rPr>
          <w:rFonts w:eastAsiaTheme="minorHAnsi" w:cstheme="minorBidi"/>
          <w:szCs w:val="24"/>
          <w:lang w:val="en-US" w:eastAsia="en-US"/>
        </w:rPr>
        <w:t>and</w:t>
      </w:r>
      <w:proofErr w:type="gramEnd"/>
      <w:r w:rsidRPr="009701B7">
        <w:rPr>
          <w:rFonts w:eastAsiaTheme="minorHAnsi" w:cstheme="minorBidi"/>
          <w:szCs w:val="24"/>
          <w:lang w:val="en-US" w:eastAsia="en-US"/>
        </w:rPr>
        <w:t xml:space="preserve"> -</w:t>
      </w:r>
    </w:p>
    <w:p w:rsidR="005743D1" w:rsidRPr="009701B7" w:rsidRDefault="005743D1" w:rsidP="005743D1">
      <w:pPr>
        <w:jc w:val="center"/>
        <w:rPr>
          <w:rFonts w:eastAsiaTheme="minorHAnsi" w:cstheme="minorBidi"/>
          <w:szCs w:val="24"/>
          <w:lang w:val="en-US" w:eastAsia="en-US"/>
        </w:rPr>
      </w:pPr>
      <w:proofErr w:type="gramStart"/>
      <w:r w:rsidRPr="009701B7">
        <w:rPr>
          <w:rFonts w:eastAsiaTheme="minorHAnsi" w:cstheme="minorBidi"/>
          <w:b/>
          <w:szCs w:val="24"/>
          <w:lang w:eastAsia="en-US"/>
        </w:rPr>
        <w:t xml:space="preserve">Attorney General of British Columbia, Roland </w:t>
      </w:r>
      <w:proofErr w:type="spellStart"/>
      <w:r w:rsidRPr="009701B7">
        <w:rPr>
          <w:rFonts w:eastAsiaTheme="minorHAnsi" w:cstheme="minorBidi"/>
          <w:b/>
          <w:szCs w:val="24"/>
          <w:lang w:eastAsia="en-US"/>
        </w:rPr>
        <w:t>Anglehart</w:t>
      </w:r>
      <w:proofErr w:type="spellEnd"/>
      <w:r w:rsidRPr="009701B7">
        <w:rPr>
          <w:rFonts w:eastAsiaTheme="minorHAnsi" w:cstheme="minorBidi"/>
          <w:b/>
          <w:szCs w:val="24"/>
          <w:lang w:eastAsia="en-US"/>
        </w:rPr>
        <w:t xml:space="preserve"> Sr. et al.</w:t>
      </w:r>
      <w:proofErr w:type="gramEnd"/>
    </w:p>
    <w:p w:rsidR="005743D1" w:rsidRPr="009701B7" w:rsidRDefault="005743D1" w:rsidP="005743D1">
      <w:pPr>
        <w:jc w:val="center"/>
        <w:rPr>
          <w:rFonts w:eastAsiaTheme="minorHAnsi" w:cstheme="minorBidi"/>
          <w:szCs w:val="24"/>
          <w:lang w:eastAsia="en-US"/>
        </w:rPr>
      </w:pPr>
      <w:r w:rsidRPr="009701B7">
        <w:rPr>
          <w:rFonts w:eastAsiaTheme="minorHAnsi" w:cstheme="minorBidi"/>
          <w:szCs w:val="24"/>
          <w:lang w:eastAsia="en-US"/>
        </w:rPr>
        <w:t>Interveners</w:t>
      </w:r>
      <w:r w:rsidRPr="009701B7">
        <w:rPr>
          <w:rFonts w:eastAsiaTheme="minorHAnsi" w:cstheme="minorBidi"/>
          <w:szCs w:val="24"/>
          <w:lang w:eastAsia="en-US"/>
        </w:rPr>
        <w:br/>
      </w:r>
    </w:p>
    <w:p w:rsidR="005743D1" w:rsidRPr="009701B7" w:rsidRDefault="005743D1" w:rsidP="005743D1">
      <w:pPr>
        <w:rPr>
          <w:rFonts w:eastAsiaTheme="minorHAnsi" w:cstheme="minorBidi"/>
          <w:szCs w:val="24"/>
          <w:lang w:eastAsia="en-US"/>
        </w:rPr>
      </w:pPr>
    </w:p>
    <w:p w:rsidR="005743D1" w:rsidRPr="009701B7" w:rsidRDefault="005743D1" w:rsidP="005743D1">
      <w:pPr>
        <w:rPr>
          <w:rFonts w:eastAsiaTheme="minorHAnsi" w:cstheme="minorBidi"/>
          <w:szCs w:val="24"/>
          <w:lang w:eastAsia="en-US"/>
        </w:rPr>
      </w:pPr>
      <w:r w:rsidRPr="009701B7">
        <w:rPr>
          <w:rFonts w:eastAsiaTheme="minorHAnsi" w:cstheme="minorBidi"/>
          <w:b/>
          <w:smallCaps/>
          <w:szCs w:val="24"/>
          <w:lang w:eastAsia="en-US"/>
        </w:rPr>
        <w:t>Coram:</w:t>
      </w:r>
      <w:r w:rsidRPr="009701B7">
        <w:rPr>
          <w:rFonts w:eastAsiaTheme="minorHAnsi" w:cstheme="minorBidi"/>
          <w:szCs w:val="24"/>
          <w:lang w:eastAsia="en-US"/>
        </w:rPr>
        <w:t xml:space="preserve"> </w:t>
      </w:r>
      <w:proofErr w:type="spellStart"/>
      <w:r w:rsidRPr="009701B7">
        <w:rPr>
          <w:rFonts w:eastAsiaTheme="minorHAnsi" w:cstheme="minorBidi"/>
          <w:szCs w:val="24"/>
          <w:lang w:eastAsia="en-US"/>
        </w:rPr>
        <w:t>Binnie</w:t>
      </w:r>
      <w:proofErr w:type="spellEnd"/>
      <w:r w:rsidRPr="009701B7">
        <w:rPr>
          <w:rFonts w:eastAsiaTheme="minorHAnsi" w:cstheme="minorBidi"/>
          <w:szCs w:val="24"/>
          <w:lang w:eastAsia="en-US"/>
        </w:rPr>
        <w:t xml:space="preserve">, </w:t>
      </w:r>
      <w:proofErr w:type="spellStart"/>
      <w:r w:rsidRPr="009701B7">
        <w:rPr>
          <w:rFonts w:eastAsiaTheme="minorHAnsi" w:cstheme="minorBidi"/>
          <w:szCs w:val="24"/>
          <w:lang w:eastAsia="en-US"/>
        </w:rPr>
        <w:t>LeBel</w:t>
      </w:r>
      <w:proofErr w:type="spellEnd"/>
      <w:r w:rsidRPr="009701B7">
        <w:rPr>
          <w:rFonts w:eastAsiaTheme="minorHAnsi" w:cstheme="minorBidi"/>
          <w:szCs w:val="24"/>
          <w:lang w:eastAsia="en-US"/>
        </w:rPr>
        <w:t xml:space="preserve">, </w:t>
      </w:r>
      <w:proofErr w:type="spellStart"/>
      <w:r w:rsidRPr="009701B7">
        <w:rPr>
          <w:rFonts w:eastAsiaTheme="minorHAnsi" w:cstheme="minorBidi"/>
          <w:szCs w:val="24"/>
          <w:lang w:eastAsia="en-US"/>
        </w:rPr>
        <w:t>Deschamps</w:t>
      </w:r>
      <w:proofErr w:type="spellEnd"/>
      <w:r w:rsidRPr="009701B7">
        <w:rPr>
          <w:rFonts w:eastAsiaTheme="minorHAnsi" w:cstheme="minorBidi"/>
          <w:szCs w:val="24"/>
          <w:lang w:eastAsia="en-US"/>
        </w:rPr>
        <w:t xml:space="preserve">, </w:t>
      </w:r>
      <w:proofErr w:type="spellStart"/>
      <w:r w:rsidRPr="009701B7">
        <w:rPr>
          <w:rFonts w:eastAsiaTheme="minorHAnsi" w:cstheme="minorBidi"/>
          <w:szCs w:val="24"/>
          <w:lang w:eastAsia="en-US"/>
        </w:rPr>
        <w:t>Abella</w:t>
      </w:r>
      <w:proofErr w:type="spellEnd"/>
      <w:r w:rsidRPr="009701B7">
        <w:rPr>
          <w:rFonts w:eastAsiaTheme="minorHAnsi" w:cstheme="minorBidi"/>
          <w:szCs w:val="24"/>
          <w:lang w:eastAsia="en-US"/>
        </w:rPr>
        <w:t xml:space="preserve">, </w:t>
      </w:r>
      <w:proofErr w:type="spellStart"/>
      <w:r w:rsidRPr="009701B7">
        <w:rPr>
          <w:rFonts w:eastAsiaTheme="minorHAnsi" w:cstheme="minorBidi"/>
          <w:szCs w:val="24"/>
          <w:lang w:eastAsia="en-US"/>
        </w:rPr>
        <w:t>Charron</w:t>
      </w:r>
      <w:proofErr w:type="spellEnd"/>
      <w:r w:rsidRPr="009701B7">
        <w:rPr>
          <w:rFonts w:eastAsiaTheme="minorHAnsi" w:cstheme="minorBidi"/>
          <w:szCs w:val="24"/>
          <w:lang w:eastAsia="en-US"/>
        </w:rPr>
        <w:t>, Rothstein and Cromwell JJ.</w:t>
      </w:r>
    </w:p>
    <w:p w:rsidR="005743D1" w:rsidRPr="009701B7" w:rsidRDefault="005743D1" w:rsidP="005743D1">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743D1" w:rsidRPr="009701B7" w:rsidTr="00BA475A">
        <w:trPr>
          <w:cantSplit/>
        </w:trPr>
        <w:tc>
          <w:tcPr>
            <w:tcW w:w="3618" w:type="dxa"/>
          </w:tcPr>
          <w:p w:rsidR="005743D1" w:rsidRPr="009701B7" w:rsidRDefault="005743D1" w:rsidP="00BA475A">
            <w:pPr>
              <w:rPr>
                <w:b/>
                <w:smallCaps/>
              </w:rPr>
            </w:pPr>
            <w:r w:rsidRPr="009701B7">
              <w:rPr>
                <w:b/>
                <w:smallCaps/>
              </w:rPr>
              <w:t>Reasons for Judgment:</w:t>
            </w:r>
          </w:p>
          <w:p w:rsidR="005743D1" w:rsidRPr="009701B7" w:rsidRDefault="005743D1" w:rsidP="00BA475A">
            <w:r w:rsidRPr="009701B7">
              <w:t>(</w:t>
            </w:r>
            <w:proofErr w:type="spellStart"/>
            <w:r w:rsidRPr="009701B7">
              <w:t>paras</w:t>
            </w:r>
            <w:proofErr w:type="spellEnd"/>
            <w:r w:rsidRPr="009701B7">
              <w:t>. 1 to 18)</w:t>
            </w:r>
          </w:p>
        </w:tc>
        <w:tc>
          <w:tcPr>
            <w:tcW w:w="5958" w:type="dxa"/>
          </w:tcPr>
          <w:p w:rsidR="005743D1" w:rsidRPr="009701B7" w:rsidRDefault="005743D1" w:rsidP="00BA475A">
            <w:proofErr w:type="spellStart"/>
            <w:r w:rsidRPr="009701B7">
              <w:t>Binnie</w:t>
            </w:r>
            <w:proofErr w:type="spellEnd"/>
            <w:r w:rsidRPr="009701B7">
              <w:t xml:space="preserve"> J. (</w:t>
            </w:r>
            <w:proofErr w:type="spellStart"/>
            <w:r w:rsidRPr="009701B7">
              <w:t>LeBel</w:t>
            </w:r>
            <w:proofErr w:type="spellEnd"/>
            <w:r w:rsidRPr="009701B7">
              <w:t xml:space="preserve">, </w:t>
            </w:r>
            <w:proofErr w:type="spellStart"/>
            <w:r w:rsidRPr="009701B7">
              <w:t>Deschamps</w:t>
            </w:r>
            <w:proofErr w:type="spellEnd"/>
            <w:r w:rsidRPr="009701B7">
              <w:t xml:space="preserve">, </w:t>
            </w:r>
            <w:proofErr w:type="spellStart"/>
            <w:r w:rsidRPr="009701B7">
              <w:t>Abella</w:t>
            </w:r>
            <w:proofErr w:type="spellEnd"/>
            <w:r w:rsidRPr="009701B7">
              <w:t xml:space="preserve">, </w:t>
            </w:r>
            <w:proofErr w:type="spellStart"/>
            <w:r w:rsidRPr="009701B7">
              <w:t>Charron</w:t>
            </w:r>
            <w:proofErr w:type="spellEnd"/>
            <w:r w:rsidRPr="009701B7">
              <w:t>, Rothstein and Cromwell JJ. concurring)</w:t>
            </w:r>
          </w:p>
        </w:tc>
      </w:tr>
    </w:tbl>
    <w:p w:rsidR="005743D1" w:rsidRPr="009701B7" w:rsidRDefault="005743D1" w:rsidP="005743D1">
      <w:pPr>
        <w:rPr>
          <w:rFonts w:eastAsiaTheme="minorHAnsi" w:cstheme="minorBidi"/>
          <w:szCs w:val="24"/>
          <w:lang w:eastAsia="en-US"/>
        </w:rPr>
      </w:pPr>
    </w:p>
    <w:p w:rsidR="005743D1" w:rsidRPr="009701B7" w:rsidRDefault="005743D1" w:rsidP="005743D1">
      <w:pPr>
        <w:rPr>
          <w:rFonts w:eastAsiaTheme="minorHAnsi" w:cstheme="minorBidi"/>
          <w:szCs w:val="24"/>
          <w:lang w:eastAsia="en-US"/>
        </w:rPr>
      </w:pPr>
      <w:r w:rsidRPr="000B3CF8">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5743D1" w:rsidRDefault="005743D1" w:rsidP="005743D1">
      <w:r>
        <w:rPr>
          <w:rStyle w:val="SCCAppellantForRunningHeadChar"/>
        </w:rPr>
        <w:br w:type="page"/>
      </w:r>
    </w:p>
    <w:p w:rsidR="008322BD" w:rsidRPr="00920D16" w:rsidRDefault="00920D16" w:rsidP="008B5922">
      <w:pPr>
        <w:spacing w:line="480" w:lineRule="auto"/>
        <w:jc w:val="both"/>
        <w:rPr>
          <w:smallCaps/>
        </w:rPr>
      </w:pPr>
      <w:r w:rsidRPr="00920D16">
        <w:lastRenderedPageBreak/>
        <w:t>Canada (</w:t>
      </w:r>
      <w:r w:rsidRPr="00920D16">
        <w:rPr>
          <w:rStyle w:val="SCCAppellantForIndexChar"/>
          <w:b w:val="0"/>
        </w:rPr>
        <w:t>Attorney General)</w:t>
      </w:r>
      <w:r w:rsidRPr="00920D16">
        <w:rPr>
          <w:i/>
        </w:rPr>
        <w:t xml:space="preserve"> v.</w:t>
      </w:r>
      <w:r w:rsidRPr="00920D16">
        <w:t xml:space="preserve"> </w:t>
      </w:r>
      <w:r w:rsidRPr="00920D16">
        <w:rPr>
          <w:rStyle w:val="SCCRespondentForIndexChar"/>
          <w:b w:val="0"/>
        </w:rPr>
        <w:t>McArthur</w:t>
      </w:r>
      <w:r>
        <w:rPr>
          <w:rStyle w:val="SCCRespondentForIndexChar"/>
          <w:b w:val="0"/>
        </w:rPr>
        <w:t>, 2010 SCC 63, [2010] 3 S.C.R. 626</w:t>
      </w:r>
    </w:p>
    <w:p w:rsidR="00A149DF" w:rsidRPr="001758BC" w:rsidRDefault="00A149DF" w:rsidP="008B5922">
      <w:pPr>
        <w:spacing w:line="480" w:lineRule="auto"/>
        <w:jc w:val="both"/>
      </w:pPr>
    </w:p>
    <w:p w:rsidR="00403354" w:rsidRPr="007274EF" w:rsidRDefault="00213D8A" w:rsidP="007274EF">
      <w:pPr>
        <w:pStyle w:val="SCCLsocParty"/>
        <w:spacing w:after="0"/>
        <w:rPr>
          <w:b/>
        </w:rPr>
      </w:pPr>
      <w:r w:rsidRPr="007274EF">
        <w:rPr>
          <w:b/>
        </w:rPr>
        <w:t>Attorney General of Canada and</w:t>
      </w:r>
      <w:r w:rsidR="00A707F6" w:rsidRPr="007274EF">
        <w:rPr>
          <w:b/>
        </w:rPr>
        <w:t xml:space="preserve"> </w:t>
      </w:r>
    </w:p>
    <w:p w:rsidR="008B5922" w:rsidRPr="001758BC" w:rsidRDefault="00213D8A" w:rsidP="007274EF">
      <w:pPr>
        <w:pStyle w:val="SCCLsocParty"/>
        <w:tabs>
          <w:tab w:val="right" w:pos="8280"/>
        </w:tabs>
        <w:rPr>
          <w:b/>
          <w:i/>
          <w:lang w:val="en-US"/>
        </w:rPr>
      </w:pPr>
      <w:r w:rsidRPr="007274EF">
        <w:rPr>
          <w:b/>
        </w:rPr>
        <w:t>James Blackler</w:t>
      </w:r>
      <w:r w:rsidR="00A707F6" w:rsidRPr="007274EF">
        <w:rPr>
          <w:b/>
        </w:rPr>
        <w:t xml:space="preserve"> also known as Jim Blackler</w:t>
      </w:r>
      <w:r w:rsidRPr="001758BC">
        <w:tab/>
      </w:r>
      <w:r w:rsidR="00A707F6" w:rsidRPr="001758BC">
        <w:rPr>
          <w:i/>
          <w:lang w:val="en-US"/>
        </w:rPr>
        <w:t>Appellants</w:t>
      </w:r>
    </w:p>
    <w:p w:rsidR="007274EF" w:rsidRDefault="007274EF" w:rsidP="007274EF">
      <w:pPr>
        <w:pStyle w:val="SCCLsocVersus"/>
        <w:rPr>
          <w:i/>
          <w:lang w:val="en-US"/>
        </w:rPr>
      </w:pPr>
    </w:p>
    <w:p w:rsidR="00EC146C" w:rsidRPr="007274EF" w:rsidRDefault="00A707F6" w:rsidP="007274EF">
      <w:pPr>
        <w:pStyle w:val="SCCLsocVersus"/>
        <w:rPr>
          <w:i/>
          <w:lang w:val="en-US"/>
        </w:rPr>
      </w:pPr>
      <w:r w:rsidRPr="007274EF">
        <w:rPr>
          <w:i/>
          <w:lang w:val="en-US"/>
        </w:rPr>
        <w:t>v.</w:t>
      </w:r>
    </w:p>
    <w:p w:rsidR="00403354" w:rsidRPr="001758BC" w:rsidRDefault="00403354" w:rsidP="007274EF">
      <w:pPr>
        <w:pStyle w:val="SCCLsocVersus"/>
        <w:rPr>
          <w:lang w:val="en-US"/>
        </w:rPr>
      </w:pPr>
    </w:p>
    <w:p w:rsidR="00EC146C" w:rsidRPr="001758BC" w:rsidRDefault="00A707F6" w:rsidP="007274EF">
      <w:pPr>
        <w:pStyle w:val="SCCLsocParty"/>
        <w:tabs>
          <w:tab w:val="right" w:pos="8280"/>
        </w:tabs>
        <w:rPr>
          <w:b/>
          <w:i/>
          <w:lang w:val="en-US"/>
        </w:rPr>
      </w:pPr>
      <w:r w:rsidRPr="007274EF">
        <w:rPr>
          <w:b/>
          <w:lang w:val="en-US"/>
        </w:rPr>
        <w:t>Michiel McArthur</w:t>
      </w:r>
      <w:r w:rsidR="00213D8A" w:rsidRPr="001758BC">
        <w:rPr>
          <w:lang w:val="en-US"/>
        </w:rPr>
        <w:tab/>
      </w:r>
      <w:r w:rsidRPr="001758BC">
        <w:rPr>
          <w:i/>
          <w:lang w:val="en-US"/>
        </w:rPr>
        <w:t>Respondent</w:t>
      </w:r>
    </w:p>
    <w:p w:rsidR="00403354" w:rsidRPr="00334829" w:rsidRDefault="00403354" w:rsidP="007274EF">
      <w:pPr>
        <w:pStyle w:val="SCCLsocParty"/>
        <w:tabs>
          <w:tab w:val="right" w:pos="8280"/>
        </w:tabs>
        <w:rPr>
          <w:b/>
          <w:lang w:val="en-US"/>
        </w:rPr>
      </w:pPr>
    </w:p>
    <w:p w:rsidR="00EC146C" w:rsidRPr="001758BC" w:rsidRDefault="00A707F6" w:rsidP="007274EF">
      <w:pPr>
        <w:pStyle w:val="SCCLsocOtherPartySeparator"/>
      </w:pPr>
      <w:r w:rsidRPr="001758BC">
        <w:t>and</w:t>
      </w:r>
    </w:p>
    <w:p w:rsidR="00EC146C" w:rsidRPr="001758BC" w:rsidRDefault="00EC146C" w:rsidP="007274EF">
      <w:pPr>
        <w:pStyle w:val="SCCLsocOtherPartySeparator"/>
      </w:pPr>
    </w:p>
    <w:p w:rsidR="00403354" w:rsidRPr="001758BC" w:rsidRDefault="00A707F6" w:rsidP="007274EF">
      <w:pPr>
        <w:pStyle w:val="SCCLsocOtherPartySeparator"/>
        <w:spacing w:after="0"/>
        <w:rPr>
          <w:b/>
        </w:rPr>
      </w:pPr>
      <w:r w:rsidRPr="001758BC">
        <w:rPr>
          <w:b/>
        </w:rPr>
        <w:t>Attor</w:t>
      </w:r>
      <w:r w:rsidR="00213D8A" w:rsidRPr="001758BC">
        <w:rPr>
          <w:b/>
        </w:rPr>
        <w:t xml:space="preserve">ney General of </w:t>
      </w:r>
      <w:r w:rsidR="008F7AAA">
        <w:rPr>
          <w:b/>
        </w:rPr>
        <w:t>British Columbia,</w:t>
      </w:r>
      <w:r w:rsidR="007274EF">
        <w:rPr>
          <w:b/>
        </w:rPr>
        <w:t xml:space="preserve"> </w:t>
      </w:r>
    </w:p>
    <w:p w:rsidR="00EC146C" w:rsidRPr="007274EF" w:rsidRDefault="00A707F6" w:rsidP="007274EF">
      <w:pPr>
        <w:pStyle w:val="SCCLsocParty"/>
        <w:tabs>
          <w:tab w:val="right" w:pos="8280"/>
        </w:tabs>
        <w:spacing w:after="0"/>
        <w:rPr>
          <w:b/>
          <w:lang w:val="en-US"/>
        </w:rPr>
      </w:pPr>
      <w:r w:rsidRPr="007274EF">
        <w:rPr>
          <w:b/>
          <w:lang w:val="en-US"/>
        </w:rPr>
        <w:t xml:space="preserve">Roland Anglehart </w:t>
      </w:r>
      <w:r w:rsidR="00DC2E44" w:rsidRPr="007274EF">
        <w:rPr>
          <w:b/>
          <w:lang w:val="en-US"/>
        </w:rPr>
        <w:t>S</w:t>
      </w:r>
      <w:r w:rsidRPr="007274EF">
        <w:rPr>
          <w:b/>
          <w:lang w:val="en-US"/>
        </w:rPr>
        <w:t>r.</w:t>
      </w:r>
      <w:r w:rsidR="00EC146C" w:rsidRPr="007274EF">
        <w:rPr>
          <w:b/>
          <w:lang w:val="en-US"/>
        </w:rPr>
        <w:t xml:space="preserve">, Roland Anglehart </w:t>
      </w:r>
      <w:r w:rsidR="00DC2E44" w:rsidRPr="007274EF">
        <w:rPr>
          <w:b/>
          <w:lang w:val="en-US"/>
        </w:rPr>
        <w:t>J</w:t>
      </w:r>
      <w:r w:rsidR="00EC146C" w:rsidRPr="007274EF">
        <w:rPr>
          <w:b/>
          <w:lang w:val="en-US"/>
        </w:rPr>
        <w:t xml:space="preserve">r., </w:t>
      </w:r>
    </w:p>
    <w:p w:rsidR="00EC146C" w:rsidRPr="007274EF" w:rsidRDefault="00EC146C" w:rsidP="007274EF">
      <w:pPr>
        <w:pStyle w:val="SCCLsocParty"/>
        <w:tabs>
          <w:tab w:val="right" w:pos="8280"/>
        </w:tabs>
        <w:spacing w:after="0"/>
        <w:rPr>
          <w:b/>
          <w:lang w:val="fr-CA"/>
        </w:rPr>
      </w:pPr>
      <w:r w:rsidRPr="007274EF">
        <w:rPr>
          <w:b/>
          <w:lang w:val="fr-CA"/>
        </w:rPr>
        <w:t xml:space="preserve">Bernard Arseneault, Héliodore Aucoin, Albert Benoît, </w:t>
      </w:r>
    </w:p>
    <w:p w:rsidR="00EC146C" w:rsidRPr="007274EF" w:rsidRDefault="00EC146C" w:rsidP="007274EF">
      <w:pPr>
        <w:pStyle w:val="SCCLsocParty"/>
        <w:tabs>
          <w:tab w:val="right" w:pos="8280"/>
        </w:tabs>
        <w:spacing w:after="0"/>
        <w:rPr>
          <w:b/>
          <w:lang w:val="fr-CA"/>
        </w:rPr>
      </w:pPr>
      <w:r w:rsidRPr="007274EF">
        <w:rPr>
          <w:b/>
          <w:lang w:val="fr-CA"/>
        </w:rPr>
        <w:t xml:space="preserve">Robert Boucher, Elide Bulger, Gérard Cassivi, </w:t>
      </w:r>
    </w:p>
    <w:p w:rsidR="00EC146C" w:rsidRPr="007274EF" w:rsidRDefault="00EC146C" w:rsidP="007274EF">
      <w:pPr>
        <w:pStyle w:val="SCCLsocParty"/>
        <w:tabs>
          <w:tab w:val="right" w:pos="8280"/>
        </w:tabs>
        <w:spacing w:after="0"/>
        <w:rPr>
          <w:b/>
          <w:lang w:val="fr-CA"/>
        </w:rPr>
      </w:pPr>
      <w:r w:rsidRPr="007274EF">
        <w:rPr>
          <w:b/>
          <w:lang w:val="fr-CA"/>
        </w:rPr>
        <w:t>Jean</w:t>
      </w:r>
      <w:r w:rsidR="00FC3D95">
        <w:rPr>
          <w:b/>
          <w:lang w:val="fr-CA"/>
        </w:rPr>
        <w:t>-</w:t>
      </w:r>
      <w:r w:rsidRPr="007274EF">
        <w:rPr>
          <w:b/>
          <w:lang w:val="fr-CA"/>
        </w:rPr>
        <w:t xml:space="preserve">Gilles Chiasson, Ludger Chiasson, </w:t>
      </w:r>
    </w:p>
    <w:p w:rsidR="00EC146C" w:rsidRPr="007274EF" w:rsidRDefault="00334829" w:rsidP="007274EF">
      <w:pPr>
        <w:pStyle w:val="SCCLsocParty"/>
        <w:tabs>
          <w:tab w:val="right" w:pos="8280"/>
        </w:tabs>
        <w:spacing w:after="0"/>
        <w:rPr>
          <w:b/>
          <w:lang w:val="fr-CA"/>
        </w:rPr>
      </w:pPr>
      <w:r w:rsidRPr="007274EF">
        <w:rPr>
          <w:b/>
          <w:lang w:val="fr-CA"/>
        </w:rPr>
        <w:t>Martin</w:t>
      </w:r>
      <w:r w:rsidR="00FC3D95">
        <w:rPr>
          <w:b/>
          <w:lang w:val="fr-CA"/>
        </w:rPr>
        <w:t xml:space="preserve"> </w:t>
      </w:r>
      <w:r w:rsidR="00EC146C" w:rsidRPr="007274EF">
        <w:rPr>
          <w:b/>
          <w:lang w:val="fr-CA"/>
        </w:rPr>
        <w:t xml:space="preserve">M. Chiasson, Rémi Chiasson, </w:t>
      </w:r>
    </w:p>
    <w:p w:rsidR="00EC146C" w:rsidRPr="007274EF" w:rsidRDefault="00EC146C" w:rsidP="007274EF">
      <w:pPr>
        <w:pStyle w:val="SCCLsocParty"/>
        <w:tabs>
          <w:tab w:val="right" w:pos="8280"/>
        </w:tabs>
        <w:spacing w:after="0"/>
        <w:rPr>
          <w:b/>
          <w:lang w:val="fr-CA"/>
        </w:rPr>
      </w:pPr>
      <w:r w:rsidRPr="007274EF">
        <w:rPr>
          <w:b/>
          <w:lang w:val="fr-CA"/>
        </w:rPr>
        <w:t>2973</w:t>
      </w:r>
      <w:r w:rsidR="00FC3D95">
        <w:rPr>
          <w:b/>
          <w:lang w:val="fr-CA"/>
        </w:rPr>
        <w:t>-</w:t>
      </w:r>
      <w:r w:rsidRPr="007274EF">
        <w:rPr>
          <w:b/>
          <w:lang w:val="fr-CA"/>
        </w:rPr>
        <w:t>0819 Québec inc., 2973</w:t>
      </w:r>
      <w:r w:rsidR="00FC3D95">
        <w:rPr>
          <w:b/>
          <w:lang w:val="fr-CA"/>
        </w:rPr>
        <w:t>-</w:t>
      </w:r>
      <w:r w:rsidRPr="007274EF">
        <w:rPr>
          <w:b/>
          <w:lang w:val="fr-CA"/>
        </w:rPr>
        <w:t xml:space="preserve">1288 Québec inc., </w:t>
      </w:r>
    </w:p>
    <w:p w:rsidR="00EC146C" w:rsidRPr="007274EF" w:rsidRDefault="00EC146C" w:rsidP="007274EF">
      <w:pPr>
        <w:pStyle w:val="SCCLsocParty"/>
        <w:tabs>
          <w:tab w:val="right" w:pos="8280"/>
        </w:tabs>
        <w:spacing w:after="0"/>
        <w:rPr>
          <w:b/>
          <w:lang w:val="fr-CA"/>
        </w:rPr>
      </w:pPr>
      <w:r w:rsidRPr="007274EF">
        <w:rPr>
          <w:b/>
          <w:lang w:val="fr-CA"/>
        </w:rPr>
        <w:t>3087</w:t>
      </w:r>
      <w:r w:rsidR="00FC3D95">
        <w:rPr>
          <w:b/>
          <w:lang w:val="fr-CA"/>
        </w:rPr>
        <w:t>-</w:t>
      </w:r>
      <w:r w:rsidRPr="007274EF">
        <w:rPr>
          <w:b/>
          <w:lang w:val="fr-CA"/>
        </w:rPr>
        <w:t>5199 Qu</w:t>
      </w:r>
      <w:r w:rsidR="00FC3D95">
        <w:rPr>
          <w:b/>
          <w:lang w:val="fr-CA"/>
        </w:rPr>
        <w:t xml:space="preserve">ébec inc., Robert Collin, Roméo </w:t>
      </w:r>
      <w:r w:rsidRPr="007274EF">
        <w:rPr>
          <w:b/>
          <w:lang w:val="fr-CA"/>
        </w:rPr>
        <w:t xml:space="preserve">G. Cormier, </w:t>
      </w:r>
    </w:p>
    <w:p w:rsidR="00EC146C" w:rsidRPr="007274EF" w:rsidRDefault="00EC146C" w:rsidP="007274EF">
      <w:pPr>
        <w:pStyle w:val="SCCLsocParty"/>
        <w:tabs>
          <w:tab w:val="right" w:pos="8280"/>
        </w:tabs>
        <w:spacing w:after="0"/>
        <w:rPr>
          <w:b/>
          <w:lang w:val="fr-CA"/>
        </w:rPr>
      </w:pPr>
      <w:r w:rsidRPr="007274EF">
        <w:rPr>
          <w:b/>
          <w:lang w:val="fr-CA"/>
        </w:rPr>
        <w:t xml:space="preserve">Marc Couture, Les Crustacées de Gaspé ltée, </w:t>
      </w:r>
    </w:p>
    <w:p w:rsidR="00EC146C" w:rsidRPr="007274EF" w:rsidRDefault="00EC146C" w:rsidP="007274EF">
      <w:pPr>
        <w:pStyle w:val="SCCLsocParty"/>
        <w:tabs>
          <w:tab w:val="right" w:pos="8280"/>
        </w:tabs>
        <w:spacing w:after="0"/>
        <w:rPr>
          <w:b/>
          <w:lang w:val="fr-CA"/>
        </w:rPr>
      </w:pPr>
      <w:r w:rsidRPr="007274EF">
        <w:rPr>
          <w:b/>
          <w:lang w:val="fr-CA"/>
        </w:rPr>
        <w:t xml:space="preserve">Lino Desbois, Randy Deveau, Carol Duguay, </w:t>
      </w:r>
    </w:p>
    <w:p w:rsidR="00EC146C" w:rsidRPr="007274EF" w:rsidRDefault="00EC146C" w:rsidP="007274EF">
      <w:pPr>
        <w:pStyle w:val="SCCLsocParty"/>
        <w:tabs>
          <w:tab w:val="right" w:pos="8280"/>
        </w:tabs>
        <w:spacing w:after="0"/>
        <w:rPr>
          <w:b/>
          <w:lang w:val="en-US"/>
        </w:rPr>
      </w:pPr>
      <w:r w:rsidRPr="007274EF">
        <w:rPr>
          <w:b/>
        </w:rPr>
        <w:t>Charles</w:t>
      </w:r>
      <w:r w:rsidR="00FC3D95">
        <w:rPr>
          <w:b/>
        </w:rPr>
        <w:t>-</w:t>
      </w:r>
      <w:r w:rsidRPr="007274EF">
        <w:rPr>
          <w:b/>
        </w:rPr>
        <w:t>Aimé Duguay, Denis Duguay, Don</w:t>
      </w:r>
      <w:r w:rsidRPr="007274EF">
        <w:rPr>
          <w:b/>
          <w:lang w:val="en-US"/>
        </w:rPr>
        <w:t xml:space="preserve">ald Duguay, </w:t>
      </w:r>
    </w:p>
    <w:p w:rsidR="00EC146C" w:rsidRPr="007274EF" w:rsidRDefault="00EC146C" w:rsidP="007274EF">
      <w:pPr>
        <w:pStyle w:val="SCCLsocParty"/>
        <w:tabs>
          <w:tab w:val="right" w:pos="8280"/>
        </w:tabs>
        <w:spacing w:after="0"/>
        <w:rPr>
          <w:b/>
          <w:lang w:val="en-US"/>
        </w:rPr>
      </w:pPr>
      <w:r w:rsidRPr="007274EF">
        <w:rPr>
          <w:b/>
          <w:lang w:val="en-US"/>
        </w:rPr>
        <w:t xml:space="preserve">Marius Duguay, Edgar Ferron, Armand Fiset, </w:t>
      </w:r>
    </w:p>
    <w:p w:rsidR="00EC146C" w:rsidRPr="007274EF" w:rsidRDefault="00EC146C" w:rsidP="007274EF">
      <w:pPr>
        <w:pStyle w:val="SCCLsocParty"/>
        <w:tabs>
          <w:tab w:val="right" w:pos="8280"/>
        </w:tabs>
        <w:spacing w:after="0"/>
        <w:rPr>
          <w:b/>
          <w:lang w:val="fr-CA"/>
        </w:rPr>
      </w:pPr>
      <w:r w:rsidRPr="007274EF">
        <w:rPr>
          <w:b/>
          <w:lang w:val="fr-CA"/>
        </w:rPr>
        <w:t xml:space="preserve">Livain Foulem, Claude Gionest, Jocelyn Gionet, </w:t>
      </w:r>
    </w:p>
    <w:p w:rsidR="00EC146C" w:rsidRPr="007274EF" w:rsidRDefault="00334829" w:rsidP="007274EF">
      <w:pPr>
        <w:pStyle w:val="SCCLsocParty"/>
        <w:tabs>
          <w:tab w:val="right" w:pos="8280"/>
        </w:tabs>
        <w:spacing w:after="0"/>
        <w:rPr>
          <w:b/>
          <w:lang w:val="fr-CA"/>
        </w:rPr>
      </w:pPr>
      <w:r w:rsidRPr="007274EF">
        <w:rPr>
          <w:b/>
          <w:lang w:val="fr-CA"/>
        </w:rPr>
        <w:t>Simon</w:t>
      </w:r>
      <w:r w:rsidR="00FC3D95">
        <w:rPr>
          <w:b/>
          <w:lang w:val="fr-CA"/>
        </w:rPr>
        <w:t xml:space="preserve"> </w:t>
      </w:r>
      <w:r w:rsidR="00EC146C" w:rsidRPr="007274EF">
        <w:rPr>
          <w:b/>
          <w:lang w:val="fr-CA"/>
        </w:rPr>
        <w:t xml:space="preserve">J. Gionet, Aurèle Godin, Valois Goupil, </w:t>
      </w:r>
    </w:p>
    <w:p w:rsidR="00EC146C" w:rsidRPr="007274EF" w:rsidRDefault="00EC146C" w:rsidP="007274EF">
      <w:pPr>
        <w:pStyle w:val="SCCLsocParty"/>
        <w:tabs>
          <w:tab w:val="right" w:pos="8280"/>
        </w:tabs>
        <w:spacing w:after="0"/>
        <w:rPr>
          <w:b/>
          <w:lang w:val="fr-CA"/>
        </w:rPr>
      </w:pPr>
      <w:r w:rsidRPr="007274EF">
        <w:rPr>
          <w:b/>
          <w:lang w:val="fr-CA"/>
        </w:rPr>
        <w:t xml:space="preserve">Aurélien Haché, Donald R. Haché, Gaëtan Haché, </w:t>
      </w:r>
    </w:p>
    <w:p w:rsidR="00EC146C" w:rsidRPr="007274EF" w:rsidRDefault="00334829" w:rsidP="007274EF">
      <w:pPr>
        <w:pStyle w:val="SCCLsocParty"/>
        <w:tabs>
          <w:tab w:val="right" w:pos="8280"/>
        </w:tabs>
        <w:spacing w:after="0"/>
        <w:rPr>
          <w:b/>
          <w:lang w:val="fr-CA"/>
        </w:rPr>
      </w:pPr>
      <w:r w:rsidRPr="007274EF">
        <w:rPr>
          <w:b/>
          <w:lang w:val="fr-CA"/>
        </w:rPr>
        <w:t>Guy Haché, Jacques</w:t>
      </w:r>
      <w:r w:rsidR="00FC3D95">
        <w:rPr>
          <w:b/>
          <w:lang w:val="fr-CA"/>
        </w:rPr>
        <w:t xml:space="preserve"> </w:t>
      </w:r>
      <w:r w:rsidR="00EC146C" w:rsidRPr="007274EF">
        <w:rPr>
          <w:b/>
          <w:lang w:val="fr-CA"/>
        </w:rPr>
        <w:t>E. Haché, Jason</w:t>
      </w:r>
      <w:r w:rsidR="00FC3D95">
        <w:rPr>
          <w:b/>
          <w:lang w:val="fr-CA"/>
        </w:rPr>
        <w:t>-</w:t>
      </w:r>
      <w:r w:rsidR="00EC146C" w:rsidRPr="007274EF">
        <w:rPr>
          <w:b/>
          <w:lang w:val="fr-CA"/>
        </w:rPr>
        <w:t xml:space="preserve">Sylvain Haché, </w:t>
      </w:r>
    </w:p>
    <w:p w:rsidR="00EC146C" w:rsidRPr="007274EF" w:rsidRDefault="00EC146C" w:rsidP="007274EF">
      <w:pPr>
        <w:pStyle w:val="SCCLsocParty"/>
        <w:tabs>
          <w:tab w:val="right" w:pos="8280"/>
        </w:tabs>
        <w:spacing w:after="0"/>
        <w:rPr>
          <w:b/>
          <w:lang w:val="fr-CA"/>
        </w:rPr>
      </w:pPr>
      <w:r w:rsidRPr="007274EF">
        <w:rPr>
          <w:b/>
          <w:lang w:val="fr-CA"/>
        </w:rPr>
        <w:t>Jean</w:t>
      </w:r>
      <w:r w:rsidR="00FC3D95">
        <w:rPr>
          <w:b/>
          <w:lang w:val="fr-CA"/>
        </w:rPr>
        <w:t>-</w:t>
      </w:r>
      <w:r w:rsidRPr="007274EF">
        <w:rPr>
          <w:b/>
          <w:lang w:val="fr-CA"/>
        </w:rPr>
        <w:t>Pierre</w:t>
      </w:r>
      <w:r w:rsidR="00334829" w:rsidRPr="007274EF">
        <w:rPr>
          <w:b/>
          <w:lang w:val="fr-CA"/>
        </w:rPr>
        <w:t xml:space="preserve"> Haché, Jacques</w:t>
      </w:r>
      <w:r w:rsidR="00FC3D95">
        <w:rPr>
          <w:b/>
          <w:lang w:val="fr-CA"/>
        </w:rPr>
        <w:t xml:space="preserve"> </w:t>
      </w:r>
      <w:r w:rsidRPr="007274EF">
        <w:rPr>
          <w:b/>
          <w:lang w:val="fr-CA"/>
        </w:rPr>
        <w:t xml:space="preserve">A. Haché, René Haché, </w:t>
      </w:r>
    </w:p>
    <w:p w:rsidR="00EC146C" w:rsidRPr="007274EF" w:rsidRDefault="00334829" w:rsidP="007274EF">
      <w:pPr>
        <w:pStyle w:val="SCCLsocParty"/>
        <w:tabs>
          <w:tab w:val="right" w:pos="8280"/>
        </w:tabs>
        <w:spacing w:after="0"/>
        <w:rPr>
          <w:b/>
          <w:lang w:val="fr-CA"/>
        </w:rPr>
      </w:pPr>
      <w:r w:rsidRPr="007274EF">
        <w:rPr>
          <w:b/>
          <w:lang w:val="fr-CA"/>
        </w:rPr>
        <w:t>Rhéal Haché, Robert </w:t>
      </w:r>
      <w:r w:rsidR="00EC146C" w:rsidRPr="007274EF">
        <w:rPr>
          <w:b/>
          <w:lang w:val="fr-CA"/>
        </w:rPr>
        <w:t>F. Haché, Alban Hautc</w:t>
      </w:r>
      <w:r w:rsidR="00FC3D95">
        <w:rPr>
          <w:rFonts w:cs="Times New Roman"/>
          <w:b/>
          <w:lang w:val="fr-CA"/>
        </w:rPr>
        <w:t>œ</w:t>
      </w:r>
      <w:r w:rsidR="00EC146C" w:rsidRPr="007274EF">
        <w:rPr>
          <w:b/>
          <w:lang w:val="fr-CA"/>
        </w:rPr>
        <w:t xml:space="preserve">ur, </w:t>
      </w:r>
    </w:p>
    <w:p w:rsidR="00EC146C" w:rsidRPr="007274EF" w:rsidRDefault="00EC146C" w:rsidP="007274EF">
      <w:pPr>
        <w:pStyle w:val="SCCLsocParty"/>
        <w:tabs>
          <w:tab w:val="right" w:pos="8280"/>
        </w:tabs>
        <w:spacing w:after="0"/>
        <w:rPr>
          <w:b/>
          <w:lang w:val="fr-CA"/>
        </w:rPr>
      </w:pPr>
      <w:r w:rsidRPr="007274EF">
        <w:rPr>
          <w:b/>
          <w:lang w:val="fr-CA"/>
        </w:rPr>
        <w:lastRenderedPageBreak/>
        <w:t>Fernand Hautc</w:t>
      </w:r>
      <w:r w:rsidR="00FC3D95">
        <w:rPr>
          <w:b/>
          <w:lang w:val="fr-CA"/>
        </w:rPr>
        <w:t>œ</w:t>
      </w:r>
      <w:r w:rsidRPr="007274EF">
        <w:rPr>
          <w:b/>
          <w:lang w:val="fr-CA"/>
        </w:rPr>
        <w:t>ur, Jean</w:t>
      </w:r>
      <w:r w:rsidR="00FC3D95">
        <w:rPr>
          <w:b/>
          <w:lang w:val="fr-CA"/>
        </w:rPr>
        <w:t>-</w:t>
      </w:r>
      <w:r w:rsidRPr="007274EF">
        <w:rPr>
          <w:b/>
          <w:lang w:val="fr-CA"/>
        </w:rPr>
        <w:t>Claude Hautc</w:t>
      </w:r>
      <w:r w:rsidR="00FC3D95">
        <w:rPr>
          <w:b/>
          <w:lang w:val="fr-CA"/>
        </w:rPr>
        <w:t>œ</w:t>
      </w:r>
      <w:r w:rsidRPr="007274EF">
        <w:rPr>
          <w:b/>
          <w:lang w:val="fr-CA"/>
        </w:rPr>
        <w:t xml:space="preserve">ur, </w:t>
      </w:r>
    </w:p>
    <w:p w:rsidR="00EC146C" w:rsidRPr="007274EF" w:rsidRDefault="00EC146C" w:rsidP="007274EF">
      <w:pPr>
        <w:pStyle w:val="SCCLsocParty"/>
        <w:tabs>
          <w:tab w:val="right" w:pos="8280"/>
        </w:tabs>
        <w:spacing w:after="0"/>
        <w:rPr>
          <w:b/>
          <w:lang w:val="fr-CA"/>
        </w:rPr>
      </w:pPr>
      <w:r w:rsidRPr="007274EF">
        <w:rPr>
          <w:b/>
          <w:lang w:val="fr-CA"/>
        </w:rPr>
        <w:t>Gregg Hinkley, Jean</w:t>
      </w:r>
      <w:r w:rsidR="00FC3D95">
        <w:rPr>
          <w:b/>
          <w:lang w:val="fr-CA"/>
        </w:rPr>
        <w:t>-</w:t>
      </w:r>
      <w:r w:rsidRPr="007274EF">
        <w:rPr>
          <w:b/>
          <w:lang w:val="fr-CA"/>
        </w:rPr>
        <w:t xml:space="preserve">Pierre Huard, Réjean Leblanc, </w:t>
      </w:r>
    </w:p>
    <w:p w:rsidR="00EC146C" w:rsidRPr="007274EF" w:rsidRDefault="00EC146C" w:rsidP="007274EF">
      <w:pPr>
        <w:pStyle w:val="SCCLsocParty"/>
        <w:tabs>
          <w:tab w:val="right" w:pos="8280"/>
        </w:tabs>
        <w:spacing w:after="0"/>
        <w:rPr>
          <w:b/>
          <w:lang w:val="fr-CA"/>
        </w:rPr>
      </w:pPr>
      <w:r w:rsidRPr="007274EF">
        <w:rPr>
          <w:b/>
          <w:lang w:val="fr-CA"/>
        </w:rPr>
        <w:t>Christian Lelièvre, Elphège Lelièvre, Jean</w:t>
      </w:r>
      <w:r w:rsidR="00FC3D95">
        <w:rPr>
          <w:b/>
          <w:lang w:val="fr-CA"/>
        </w:rPr>
        <w:t>-</w:t>
      </w:r>
      <w:r w:rsidRPr="007274EF">
        <w:rPr>
          <w:b/>
          <w:lang w:val="fr-CA"/>
        </w:rPr>
        <w:t xml:space="preserve">Elie Lelièvre, </w:t>
      </w:r>
    </w:p>
    <w:p w:rsidR="00EC146C" w:rsidRPr="007274EF" w:rsidRDefault="00EC146C" w:rsidP="007274EF">
      <w:pPr>
        <w:pStyle w:val="SCCLsocParty"/>
        <w:tabs>
          <w:tab w:val="right" w:pos="8280"/>
        </w:tabs>
        <w:spacing w:after="0"/>
        <w:rPr>
          <w:b/>
          <w:lang w:val="fr-CA"/>
        </w:rPr>
      </w:pPr>
      <w:r w:rsidRPr="007274EF">
        <w:rPr>
          <w:b/>
          <w:lang w:val="fr-CA"/>
        </w:rPr>
        <w:t xml:space="preserve">Jules Lelièvre, Dassise Mallet, Delphis Mallet, Francis Mallet, </w:t>
      </w:r>
    </w:p>
    <w:p w:rsidR="00EC146C" w:rsidRPr="007274EF" w:rsidRDefault="00EC146C" w:rsidP="007274EF">
      <w:pPr>
        <w:pStyle w:val="SCCLsocParty"/>
        <w:tabs>
          <w:tab w:val="right" w:pos="8280"/>
        </w:tabs>
        <w:spacing w:after="0"/>
        <w:rPr>
          <w:b/>
          <w:lang w:val="fr-CA"/>
        </w:rPr>
      </w:pPr>
      <w:r w:rsidRPr="007274EF">
        <w:rPr>
          <w:b/>
          <w:lang w:val="fr-CA"/>
        </w:rPr>
        <w:t>Jean</w:t>
      </w:r>
      <w:r w:rsidR="00FC3D95">
        <w:rPr>
          <w:b/>
          <w:lang w:val="fr-CA"/>
        </w:rPr>
        <w:t>-</w:t>
      </w:r>
      <w:r w:rsidRPr="007274EF">
        <w:rPr>
          <w:b/>
          <w:lang w:val="fr-CA"/>
        </w:rPr>
        <w:t xml:space="preserve">Marc Marcoux, André Mazerolle, Eddy Mazerolle, </w:t>
      </w:r>
    </w:p>
    <w:p w:rsidR="00EC146C" w:rsidRPr="007274EF" w:rsidRDefault="00FC3D95" w:rsidP="007274EF">
      <w:pPr>
        <w:pStyle w:val="SCCLsocParty"/>
        <w:tabs>
          <w:tab w:val="right" w:pos="8280"/>
        </w:tabs>
        <w:spacing w:after="0"/>
        <w:rPr>
          <w:b/>
          <w:lang w:val="fr-CA"/>
        </w:rPr>
      </w:pPr>
      <w:r>
        <w:rPr>
          <w:b/>
          <w:lang w:val="fr-CA"/>
        </w:rPr>
        <w:t xml:space="preserve">Gilles </w:t>
      </w:r>
      <w:r w:rsidR="00EC146C" w:rsidRPr="007274EF">
        <w:rPr>
          <w:b/>
          <w:lang w:val="fr-CA"/>
        </w:rPr>
        <w:t xml:space="preserve">A. Noël, Lévis Noël, Martin Noël, Nicolas Noël, </w:t>
      </w:r>
    </w:p>
    <w:p w:rsidR="00EC146C" w:rsidRPr="007274EF" w:rsidRDefault="00EC146C" w:rsidP="007274EF">
      <w:pPr>
        <w:pStyle w:val="SCCLsocParty"/>
        <w:tabs>
          <w:tab w:val="right" w:pos="8280"/>
        </w:tabs>
        <w:spacing w:after="0"/>
        <w:rPr>
          <w:b/>
          <w:lang w:val="fr-CA"/>
        </w:rPr>
      </w:pPr>
      <w:r w:rsidRPr="007274EF">
        <w:rPr>
          <w:b/>
          <w:lang w:val="fr-CA"/>
        </w:rPr>
        <w:t xml:space="preserve">Onésime Noël, Raymond Noël, Francis Parisé, Domitien Paulin, </w:t>
      </w:r>
    </w:p>
    <w:p w:rsidR="00EC146C" w:rsidRPr="007274EF" w:rsidRDefault="00EC146C" w:rsidP="007274EF">
      <w:pPr>
        <w:pStyle w:val="SCCLsocParty"/>
        <w:tabs>
          <w:tab w:val="right" w:pos="8280"/>
        </w:tabs>
        <w:spacing w:after="0"/>
        <w:rPr>
          <w:b/>
          <w:lang w:val="fr-CA"/>
        </w:rPr>
      </w:pPr>
      <w:r w:rsidRPr="007274EF">
        <w:rPr>
          <w:b/>
          <w:lang w:val="fr-CA"/>
        </w:rPr>
        <w:t xml:space="preserve">Sylvain Paulin, Pêcheries Denise Quinn Syvrais inc., </w:t>
      </w:r>
    </w:p>
    <w:p w:rsidR="00EC146C" w:rsidRPr="007274EF" w:rsidRDefault="00EC146C" w:rsidP="007274EF">
      <w:pPr>
        <w:pStyle w:val="SCCLsocParty"/>
        <w:tabs>
          <w:tab w:val="right" w:pos="8280"/>
        </w:tabs>
        <w:spacing w:after="0"/>
        <w:rPr>
          <w:b/>
          <w:lang w:val="fr-CA"/>
        </w:rPr>
      </w:pPr>
      <w:r w:rsidRPr="007274EF">
        <w:rPr>
          <w:b/>
          <w:lang w:val="fr-CA"/>
        </w:rPr>
        <w:t>Pêcheries François inc., Pêcheries Jean</w:t>
      </w:r>
      <w:r w:rsidR="00FC3D95">
        <w:rPr>
          <w:b/>
          <w:lang w:val="fr-CA"/>
        </w:rPr>
        <w:t>-</w:t>
      </w:r>
      <w:r w:rsidRPr="007274EF">
        <w:rPr>
          <w:b/>
          <w:lang w:val="fr-CA"/>
        </w:rPr>
        <w:t xml:space="preserve">Yan II inc., </w:t>
      </w:r>
    </w:p>
    <w:p w:rsidR="00EC146C" w:rsidRPr="007274EF" w:rsidRDefault="00334829" w:rsidP="007274EF">
      <w:pPr>
        <w:pStyle w:val="SCCLsocParty"/>
        <w:tabs>
          <w:tab w:val="right" w:pos="8280"/>
        </w:tabs>
        <w:spacing w:after="0"/>
        <w:rPr>
          <w:b/>
          <w:lang w:val="fr-CA"/>
        </w:rPr>
      </w:pPr>
      <w:r w:rsidRPr="007274EF">
        <w:rPr>
          <w:b/>
          <w:lang w:val="fr-CA"/>
        </w:rPr>
        <w:t>Pêcheries Jimmy </w:t>
      </w:r>
      <w:r w:rsidR="00EC146C" w:rsidRPr="007274EF">
        <w:rPr>
          <w:b/>
          <w:lang w:val="fr-CA"/>
        </w:rPr>
        <w:t xml:space="preserve">L. ltée, Pêcheries J.V.L. ltée, </w:t>
      </w:r>
    </w:p>
    <w:p w:rsidR="00EC146C" w:rsidRPr="007274EF" w:rsidRDefault="00EC146C" w:rsidP="007274EF">
      <w:pPr>
        <w:pStyle w:val="SCCLsocParty"/>
        <w:tabs>
          <w:tab w:val="right" w:pos="8280"/>
        </w:tabs>
        <w:spacing w:after="0"/>
        <w:rPr>
          <w:b/>
          <w:lang w:val="fr-CA"/>
        </w:rPr>
      </w:pPr>
      <w:r w:rsidRPr="007274EF">
        <w:rPr>
          <w:b/>
          <w:lang w:val="fr-CA"/>
        </w:rPr>
        <w:t>Pêcheries Ray</w:t>
      </w:r>
      <w:r w:rsidR="00FC3D95">
        <w:rPr>
          <w:b/>
          <w:lang w:val="fr-CA"/>
        </w:rPr>
        <w:t>-</w:t>
      </w:r>
      <w:r w:rsidRPr="007274EF">
        <w:rPr>
          <w:b/>
          <w:lang w:val="fr-CA"/>
        </w:rPr>
        <w:t>L. inc., Les Pêcheries Serge</w:t>
      </w:r>
      <w:r w:rsidR="00FC3D95">
        <w:rPr>
          <w:b/>
          <w:lang w:val="fr-CA"/>
        </w:rPr>
        <w:t>-</w:t>
      </w:r>
      <w:r w:rsidRPr="007274EF">
        <w:rPr>
          <w:b/>
          <w:lang w:val="fr-CA"/>
        </w:rPr>
        <w:t xml:space="preserve">Luc inc., </w:t>
      </w:r>
    </w:p>
    <w:p w:rsidR="00EC146C" w:rsidRPr="007274EF" w:rsidRDefault="00EC146C" w:rsidP="007274EF">
      <w:pPr>
        <w:pStyle w:val="SCCLsocParty"/>
        <w:tabs>
          <w:tab w:val="right" w:pos="8280"/>
        </w:tabs>
        <w:spacing w:after="0"/>
        <w:rPr>
          <w:b/>
          <w:lang w:val="fr-CA"/>
        </w:rPr>
      </w:pPr>
      <w:r w:rsidRPr="007274EF">
        <w:rPr>
          <w:b/>
          <w:lang w:val="fr-CA"/>
        </w:rPr>
        <w:t xml:space="preserve">Roger Pinel, Claude Poirier, Produits Belle Baie ltée, </w:t>
      </w:r>
    </w:p>
    <w:p w:rsidR="00EC146C" w:rsidRPr="007274EF" w:rsidRDefault="00EC146C" w:rsidP="007274EF">
      <w:pPr>
        <w:pStyle w:val="SCCLsocParty"/>
        <w:tabs>
          <w:tab w:val="right" w:pos="8280"/>
        </w:tabs>
        <w:spacing w:after="0"/>
        <w:rPr>
          <w:b/>
          <w:lang w:val="fr-CA"/>
        </w:rPr>
      </w:pPr>
      <w:r w:rsidRPr="007274EF">
        <w:rPr>
          <w:b/>
          <w:lang w:val="fr-CA"/>
        </w:rPr>
        <w:t>Adrien Roussel, Jean</w:t>
      </w:r>
      <w:r w:rsidR="00FC3D95">
        <w:rPr>
          <w:b/>
          <w:lang w:val="fr-CA"/>
        </w:rPr>
        <w:t>-</w:t>
      </w:r>
      <w:r w:rsidRPr="007274EF">
        <w:rPr>
          <w:b/>
          <w:lang w:val="fr-CA"/>
        </w:rPr>
        <w:t xml:space="preserve">Camille Roussel, Mathias Roussel, </w:t>
      </w:r>
    </w:p>
    <w:p w:rsidR="00EC146C" w:rsidRPr="007274EF" w:rsidRDefault="00EC146C" w:rsidP="007274EF">
      <w:pPr>
        <w:pStyle w:val="SCCLsocParty"/>
        <w:tabs>
          <w:tab w:val="right" w:pos="8280"/>
        </w:tabs>
        <w:spacing w:after="0"/>
        <w:rPr>
          <w:b/>
          <w:lang w:val="fr-CA"/>
        </w:rPr>
      </w:pPr>
      <w:r w:rsidRPr="007274EF">
        <w:rPr>
          <w:b/>
          <w:lang w:val="fr-CA"/>
        </w:rPr>
        <w:t xml:space="preserve">Steven Roussy, Mario Savoie, Succession </w:t>
      </w:r>
      <w:r w:rsidR="00244AD4" w:rsidRPr="007274EF">
        <w:rPr>
          <w:b/>
          <w:lang w:val="fr-CA"/>
        </w:rPr>
        <w:t>of</w:t>
      </w:r>
      <w:r w:rsidR="008C7504" w:rsidRPr="007274EF">
        <w:rPr>
          <w:b/>
          <w:lang w:val="fr-CA"/>
        </w:rPr>
        <w:t xml:space="preserve"> </w:t>
      </w:r>
      <w:r w:rsidRPr="007274EF">
        <w:rPr>
          <w:b/>
          <w:lang w:val="fr-CA"/>
        </w:rPr>
        <w:t>Jean</w:t>
      </w:r>
      <w:r w:rsidR="00FC3D95">
        <w:rPr>
          <w:b/>
          <w:lang w:val="fr-CA"/>
        </w:rPr>
        <w:t>-</w:t>
      </w:r>
      <w:r w:rsidRPr="007274EF">
        <w:rPr>
          <w:b/>
          <w:lang w:val="fr-CA"/>
        </w:rPr>
        <w:t xml:space="preserve">Pierre Robichaud, </w:t>
      </w:r>
    </w:p>
    <w:p w:rsidR="00EC146C" w:rsidRPr="007274EF" w:rsidRDefault="00EC146C" w:rsidP="007274EF">
      <w:pPr>
        <w:pStyle w:val="SCCLsocParty"/>
        <w:tabs>
          <w:tab w:val="right" w:pos="8280"/>
        </w:tabs>
        <w:spacing w:after="0"/>
        <w:rPr>
          <w:b/>
          <w:lang w:val="fr-CA"/>
        </w:rPr>
      </w:pPr>
      <w:r w:rsidRPr="007274EF">
        <w:rPr>
          <w:b/>
          <w:lang w:val="fr-CA"/>
        </w:rPr>
        <w:t xml:space="preserve">Succession </w:t>
      </w:r>
      <w:r w:rsidR="00244AD4" w:rsidRPr="007274EF">
        <w:rPr>
          <w:b/>
          <w:lang w:val="fr-CA"/>
        </w:rPr>
        <w:t>of</w:t>
      </w:r>
      <w:r w:rsidRPr="007274EF">
        <w:rPr>
          <w:b/>
          <w:lang w:val="fr-CA"/>
        </w:rPr>
        <w:t xml:space="preserve"> Lucien Chiasson, Succession </w:t>
      </w:r>
      <w:r w:rsidR="00244AD4" w:rsidRPr="007274EF">
        <w:rPr>
          <w:b/>
          <w:lang w:val="fr-CA"/>
        </w:rPr>
        <w:t>of</w:t>
      </w:r>
      <w:r w:rsidRPr="007274EF">
        <w:rPr>
          <w:b/>
          <w:lang w:val="fr-CA"/>
        </w:rPr>
        <w:t xml:space="preserve"> Sylva Haché, </w:t>
      </w:r>
    </w:p>
    <w:p w:rsidR="00EC146C" w:rsidRPr="007274EF" w:rsidRDefault="00EC146C" w:rsidP="007274EF">
      <w:pPr>
        <w:pStyle w:val="SCCLsocParty"/>
        <w:tabs>
          <w:tab w:val="right" w:pos="8280"/>
        </w:tabs>
        <w:spacing w:after="0"/>
        <w:rPr>
          <w:b/>
          <w:lang w:val="fr-CA"/>
        </w:rPr>
      </w:pPr>
      <w:r w:rsidRPr="007274EF">
        <w:rPr>
          <w:b/>
          <w:lang w:val="fr-CA"/>
        </w:rPr>
        <w:t>Jean</w:t>
      </w:r>
      <w:r w:rsidR="00FC3D95">
        <w:rPr>
          <w:b/>
          <w:lang w:val="fr-CA"/>
        </w:rPr>
        <w:t>-</w:t>
      </w:r>
      <w:r w:rsidRPr="007274EF">
        <w:rPr>
          <w:b/>
          <w:lang w:val="fr-CA"/>
        </w:rPr>
        <w:t xml:space="preserve">Marc Sweeney, Michel Turbide, Réal Turbide, </w:t>
      </w:r>
    </w:p>
    <w:p w:rsidR="00EC146C" w:rsidRPr="007274EF" w:rsidRDefault="00EC146C" w:rsidP="007274EF">
      <w:pPr>
        <w:pStyle w:val="SCCLsocParty"/>
        <w:tabs>
          <w:tab w:val="right" w:pos="8280"/>
        </w:tabs>
        <w:spacing w:after="0"/>
        <w:rPr>
          <w:b/>
          <w:lang w:val="fr-CA"/>
        </w:rPr>
      </w:pPr>
      <w:r w:rsidRPr="007274EF">
        <w:rPr>
          <w:b/>
          <w:lang w:val="fr-CA"/>
        </w:rPr>
        <w:t>Donat Vienneau, Fernand Vienneau, Livain Vienneau</w:t>
      </w:r>
      <w:r w:rsidR="007274EF">
        <w:rPr>
          <w:b/>
          <w:lang w:val="fr-CA"/>
        </w:rPr>
        <w:t xml:space="preserve"> </w:t>
      </w:r>
    </w:p>
    <w:p w:rsidR="00403354" w:rsidRPr="001758BC" w:rsidRDefault="00EC146C" w:rsidP="007274EF">
      <w:pPr>
        <w:pStyle w:val="SCCLsocParty"/>
        <w:tabs>
          <w:tab w:val="right" w:pos="8280"/>
        </w:tabs>
        <w:rPr>
          <w:b/>
          <w:i/>
        </w:rPr>
      </w:pPr>
      <w:r w:rsidRPr="007274EF">
        <w:rPr>
          <w:b/>
          <w:lang w:val="en-US"/>
        </w:rPr>
        <w:t>and Rhéal Vienneau</w:t>
      </w:r>
      <w:r w:rsidRPr="001758BC">
        <w:rPr>
          <w:lang w:val="en-US"/>
        </w:rPr>
        <w:t xml:space="preserve"> </w:t>
      </w:r>
      <w:r w:rsidR="00213D8A" w:rsidRPr="001758BC">
        <w:tab/>
      </w:r>
      <w:r w:rsidR="00A707F6" w:rsidRPr="001758BC">
        <w:rPr>
          <w:i/>
        </w:rPr>
        <w:t>Interveners</w:t>
      </w:r>
    </w:p>
    <w:p w:rsidR="007274EF" w:rsidRDefault="007274EF" w:rsidP="008B5922">
      <w:pPr>
        <w:spacing w:line="480" w:lineRule="auto"/>
        <w:jc w:val="both"/>
        <w:rPr>
          <w:b/>
        </w:rPr>
      </w:pPr>
    </w:p>
    <w:p w:rsidR="00426659" w:rsidRPr="001758BC" w:rsidRDefault="00334829" w:rsidP="008B5922">
      <w:pPr>
        <w:spacing w:line="480" w:lineRule="auto"/>
        <w:jc w:val="both"/>
        <w:rPr>
          <w:b/>
        </w:rPr>
      </w:pPr>
      <w:r>
        <w:rPr>
          <w:b/>
        </w:rPr>
        <w:t>Indexed as:  </w:t>
      </w:r>
      <w:r w:rsidR="007221D9" w:rsidRPr="001758BC">
        <w:rPr>
          <w:b/>
        </w:rPr>
        <w:t>Canada (</w:t>
      </w:r>
      <w:r w:rsidR="00426659" w:rsidRPr="001758BC">
        <w:rPr>
          <w:rStyle w:val="SCCAppellantForIndexChar"/>
        </w:rPr>
        <w:t>Attorney General</w:t>
      </w:r>
      <w:r w:rsidR="007221D9" w:rsidRPr="001758BC">
        <w:rPr>
          <w:rStyle w:val="SCCAppellantForIndexChar"/>
        </w:rPr>
        <w:t>)</w:t>
      </w:r>
      <w:r w:rsidR="00426659" w:rsidRPr="001758BC">
        <w:rPr>
          <w:rStyle w:val="SCCAppellantForIndexChar"/>
        </w:rPr>
        <w:t xml:space="preserve"> </w:t>
      </w:r>
      <w:r w:rsidR="00426659" w:rsidRPr="001758BC">
        <w:rPr>
          <w:b/>
          <w:i/>
        </w:rPr>
        <w:t>v.</w:t>
      </w:r>
      <w:r w:rsidR="00426659" w:rsidRPr="001758BC">
        <w:rPr>
          <w:b/>
        </w:rPr>
        <w:t xml:space="preserve"> </w:t>
      </w:r>
      <w:r w:rsidR="00426659" w:rsidRPr="001758BC">
        <w:rPr>
          <w:rStyle w:val="SCCRespondentForIndexChar"/>
        </w:rPr>
        <w:t>McArthur</w:t>
      </w:r>
    </w:p>
    <w:p w:rsidR="00426659" w:rsidRPr="001758BC" w:rsidRDefault="00426659" w:rsidP="008B5922">
      <w:pPr>
        <w:spacing w:line="480" w:lineRule="auto"/>
        <w:jc w:val="both"/>
      </w:pPr>
    </w:p>
    <w:p w:rsidR="00426659" w:rsidRPr="001758BC" w:rsidRDefault="007F3F08" w:rsidP="008B5922">
      <w:pPr>
        <w:pStyle w:val="SCCSystemYear"/>
        <w:spacing w:line="480" w:lineRule="auto"/>
        <w:jc w:val="both"/>
      </w:pPr>
      <w:r w:rsidRPr="001758BC">
        <w:t>2010</w:t>
      </w:r>
      <w:r w:rsidR="00334829">
        <w:t> </w:t>
      </w:r>
      <w:r w:rsidR="009625DA" w:rsidRPr="001758BC">
        <w:t>SCC 63</w:t>
      </w:r>
    </w:p>
    <w:p w:rsidR="00A149DF" w:rsidRPr="001758BC" w:rsidRDefault="00A149DF" w:rsidP="008B5922">
      <w:pPr>
        <w:spacing w:line="480" w:lineRule="auto"/>
        <w:jc w:val="both"/>
      </w:pPr>
    </w:p>
    <w:p w:rsidR="008322BD" w:rsidRPr="001758BC" w:rsidRDefault="00334829" w:rsidP="008B5922">
      <w:pPr>
        <w:spacing w:line="480" w:lineRule="auto"/>
        <w:jc w:val="both"/>
      </w:pPr>
      <w:r>
        <w:t>File No.:  </w:t>
      </w:r>
      <w:r w:rsidR="009B57B3" w:rsidRPr="001758BC">
        <w:t>33043.</w:t>
      </w:r>
    </w:p>
    <w:p w:rsidR="00A149DF" w:rsidRPr="001758BC" w:rsidRDefault="00A149DF" w:rsidP="008B5922">
      <w:pPr>
        <w:spacing w:line="480" w:lineRule="auto"/>
        <w:jc w:val="both"/>
      </w:pPr>
    </w:p>
    <w:p w:rsidR="008322BD" w:rsidRPr="001758BC" w:rsidRDefault="008B5922" w:rsidP="008B5922">
      <w:pPr>
        <w:spacing w:line="480" w:lineRule="auto"/>
        <w:jc w:val="both"/>
      </w:pPr>
      <w:r w:rsidRPr="001758BC">
        <w:t>2010:  January </w:t>
      </w:r>
      <w:r w:rsidR="007F3F08" w:rsidRPr="001758BC">
        <w:t>20</w:t>
      </w:r>
      <w:r w:rsidR="00FC3D95">
        <w:t>, 21</w:t>
      </w:r>
      <w:r w:rsidRPr="001758BC">
        <w:t>; 2010:  December </w:t>
      </w:r>
      <w:r w:rsidR="007221D9" w:rsidRPr="001758BC">
        <w:t>23</w:t>
      </w:r>
      <w:r w:rsidR="009B57B3" w:rsidRPr="001758BC">
        <w:t>.</w:t>
      </w:r>
    </w:p>
    <w:p w:rsidR="00E97830" w:rsidRPr="001758BC" w:rsidRDefault="00E97830" w:rsidP="008B5922">
      <w:pPr>
        <w:spacing w:line="480" w:lineRule="auto"/>
        <w:jc w:val="both"/>
      </w:pPr>
    </w:p>
    <w:p w:rsidR="008322BD" w:rsidRPr="001758BC" w:rsidRDefault="009B57B3" w:rsidP="008B5922">
      <w:pPr>
        <w:spacing w:line="480" w:lineRule="auto"/>
        <w:jc w:val="both"/>
      </w:pPr>
      <w:r w:rsidRPr="001758BC">
        <w:t>Present:  Binnie, LeBel, Deschamps, Abella, Charron, Rothstein and Cromwell</w:t>
      </w:r>
      <w:r w:rsidR="001C779F" w:rsidRPr="001758BC">
        <w:t> </w:t>
      </w:r>
      <w:r w:rsidRPr="001758BC">
        <w:t>JJ.</w:t>
      </w:r>
    </w:p>
    <w:p w:rsidR="008C7504" w:rsidRPr="001758BC" w:rsidRDefault="008C7504" w:rsidP="008B5922">
      <w:pPr>
        <w:pStyle w:val="SCCLowerCourtNameLowercase"/>
      </w:pPr>
    </w:p>
    <w:p w:rsidR="008322BD" w:rsidRPr="001758BC" w:rsidRDefault="00656313" w:rsidP="008B5922">
      <w:pPr>
        <w:pStyle w:val="SCCLowerCourtNameLowercase"/>
      </w:pPr>
      <w:r w:rsidRPr="001758BC">
        <w:t>o</w:t>
      </w:r>
      <w:r w:rsidR="00170592" w:rsidRPr="001758BC">
        <w:t>n</w:t>
      </w:r>
      <w:r w:rsidR="00224FC0" w:rsidRPr="001758BC">
        <w:t xml:space="preserve"> </w:t>
      </w:r>
      <w:r w:rsidRPr="001758BC">
        <w:t>a</w:t>
      </w:r>
      <w:r w:rsidR="00170592" w:rsidRPr="001758BC">
        <w:t>ppeal</w:t>
      </w:r>
      <w:r w:rsidR="00224FC0" w:rsidRPr="001758BC">
        <w:t xml:space="preserve"> </w:t>
      </w:r>
      <w:r w:rsidR="00170592" w:rsidRPr="001758BC">
        <w:t>from</w:t>
      </w:r>
      <w:r w:rsidR="009567AA" w:rsidRPr="001758BC">
        <w:t xml:space="preserve"> the</w:t>
      </w:r>
      <w:r w:rsidR="00224FC0" w:rsidRPr="001758BC">
        <w:t xml:space="preserve"> </w:t>
      </w:r>
      <w:r w:rsidR="009B57B3" w:rsidRPr="001758BC">
        <w:t>court of appeal for ontario</w:t>
      </w:r>
    </w:p>
    <w:p w:rsidR="00920B9B" w:rsidRPr="001758BC" w:rsidRDefault="00920B9B" w:rsidP="008B5922">
      <w:pPr>
        <w:pStyle w:val="SCCNormalDoubleSpacing"/>
      </w:pPr>
    </w:p>
    <w:p w:rsidR="00920B9B" w:rsidRPr="001758BC" w:rsidRDefault="00920B9B" w:rsidP="00026555">
      <w:pPr>
        <w:pStyle w:val="SCCNormalDoubleSpacing"/>
        <w:tabs>
          <w:tab w:val="left" w:pos="1170"/>
        </w:tabs>
        <w:spacing w:after="480"/>
        <w:rPr>
          <w:i/>
        </w:rPr>
      </w:pPr>
      <w:r w:rsidRPr="001758BC">
        <w:rPr>
          <w:i/>
        </w:rPr>
        <w:lastRenderedPageBreak/>
        <w:tab/>
        <w:t xml:space="preserve">Courts — Jurisdiction — Provincial superior courts — Action brought against Crown and federal official in Superior Court of Ontario seeking constitutional remedies and damages for wrongful or false imprisonment and for intentional or negligent infliction of emotional and mental distress — Whether plaintiff entitled to proceed by way of action in Superior Court of Ontario without first proceeding by way of judicial review in Federal Court — Federal Courts Act, </w:t>
      </w:r>
      <w:r w:rsidR="008B5922" w:rsidRPr="001758BC">
        <w:rPr>
          <w:i/>
        </w:rPr>
        <w:t>R.S.C. 1985, c.</w:t>
      </w:r>
      <w:r w:rsidR="009A0178">
        <w:rPr>
          <w:i/>
        </w:rPr>
        <w:t xml:space="preserve"> </w:t>
      </w:r>
      <w:r w:rsidRPr="001758BC">
        <w:rPr>
          <w:i/>
        </w:rPr>
        <w:t>F</w:t>
      </w:r>
      <w:r w:rsidR="009A0178">
        <w:rPr>
          <w:i/>
        </w:rPr>
        <w:t>-</w:t>
      </w:r>
      <w:r w:rsidRPr="001758BC">
        <w:rPr>
          <w:i/>
        </w:rPr>
        <w:t>7, ss.</w:t>
      </w:r>
      <w:r w:rsidR="009A0178">
        <w:rPr>
          <w:i/>
        </w:rPr>
        <w:t xml:space="preserve"> </w:t>
      </w:r>
      <w:r w:rsidRPr="001758BC">
        <w:rPr>
          <w:i/>
        </w:rPr>
        <w:t>17, 18; Crown Liability and Proceeding</w:t>
      </w:r>
      <w:r w:rsidR="009A0178">
        <w:rPr>
          <w:i/>
        </w:rPr>
        <w:t xml:space="preserve">s Act, R.S.C. 1985, c. </w:t>
      </w:r>
      <w:r w:rsidR="008B5922" w:rsidRPr="001758BC">
        <w:rPr>
          <w:i/>
        </w:rPr>
        <w:t>C</w:t>
      </w:r>
      <w:r w:rsidR="009A0178">
        <w:rPr>
          <w:i/>
        </w:rPr>
        <w:t xml:space="preserve">-50, s. </w:t>
      </w:r>
      <w:r w:rsidRPr="001758BC">
        <w:rPr>
          <w:i/>
        </w:rPr>
        <w:t>21.</w:t>
      </w:r>
    </w:p>
    <w:p w:rsidR="00920B9B" w:rsidRPr="001758BC" w:rsidRDefault="00920B9B" w:rsidP="00026555">
      <w:pPr>
        <w:pStyle w:val="SCCNormalDoubleSpacing"/>
        <w:tabs>
          <w:tab w:val="left" w:pos="1170"/>
        </w:tabs>
        <w:spacing w:after="480"/>
      </w:pPr>
      <w:r w:rsidRPr="001758BC">
        <w:tab/>
        <w:t xml:space="preserve">Between 1994 and 1999, M spent approximately four years and six months in solitary confinement, segregation or in a special handling unit on instructions of B or other federal employees for whom the Crown is responsible.  He did not seek to set aside the prison orders, but some years later filed a statement of claim in the Ontario Superior Court seeking damages and alleging that his detention had been arbitrary and constituted cruel and unusual punishment, contrary to the </w:t>
      </w:r>
      <w:r w:rsidRPr="001758BC">
        <w:rPr>
          <w:i/>
        </w:rPr>
        <w:t>Canadian Charter of Rights and Freedoms</w:t>
      </w:r>
      <w:r w:rsidRPr="001758BC">
        <w:t xml:space="preserve">.  He claimed to have suffered severe emotional and psychological injury and harm.  He also alleged that the decisions to place him in solitary confinement were made deliberately and maliciously or negligently.  The Superior Court dismissed the claim on the basis of </w:t>
      </w:r>
      <w:r w:rsidRPr="001758BC">
        <w:rPr>
          <w:i/>
        </w:rPr>
        <w:t>Canada v. Grenier</w:t>
      </w:r>
      <w:r w:rsidRPr="001758BC">
        <w:t>, 2005 FCA 348, [2006] 2 F.C.R. 287, but the Court of Appeal overturned the decision on the ground that relief by way of damages was available in the superior court.</w:t>
      </w:r>
    </w:p>
    <w:p w:rsidR="00920B9B" w:rsidRPr="001758BC" w:rsidRDefault="00920B9B" w:rsidP="00026555">
      <w:pPr>
        <w:pStyle w:val="SCCNormalDoubleSpacing"/>
        <w:tabs>
          <w:tab w:val="left" w:pos="1170"/>
        </w:tabs>
        <w:spacing w:after="480"/>
      </w:pPr>
      <w:r w:rsidRPr="001758BC">
        <w:lastRenderedPageBreak/>
        <w:tab/>
      </w:r>
      <w:r w:rsidRPr="001758BC">
        <w:rPr>
          <w:rStyle w:val="QuoteChar"/>
          <w:color w:val="auto"/>
          <w:lang w:val="en-CA"/>
        </w:rPr>
        <w:t>Held</w:t>
      </w:r>
      <w:r w:rsidRPr="001758BC">
        <w:rPr>
          <w:rStyle w:val="QuoteChar"/>
          <w:i w:val="0"/>
          <w:color w:val="auto"/>
          <w:lang w:val="en-CA"/>
        </w:rPr>
        <w:t>:</w:t>
      </w:r>
      <w:r w:rsidRPr="001758BC">
        <w:t xml:space="preserve">  The appeal should be dismissed.</w:t>
      </w:r>
    </w:p>
    <w:p w:rsidR="00A149DF" w:rsidRPr="001758BC" w:rsidRDefault="00920B9B" w:rsidP="00026555">
      <w:pPr>
        <w:pStyle w:val="SCCNormalDoubleSpacing"/>
        <w:tabs>
          <w:tab w:val="left" w:pos="1170"/>
        </w:tabs>
        <w:spacing w:after="480"/>
      </w:pPr>
      <w:r w:rsidRPr="001758BC">
        <w:tab/>
        <w:t xml:space="preserve">For the reasons set out in </w:t>
      </w:r>
      <w:r w:rsidRPr="001758BC">
        <w:rPr>
          <w:i/>
        </w:rPr>
        <w:t>Canada (Attorney General) v. TeleZone Inc.</w:t>
      </w:r>
      <w:r w:rsidRPr="001758BC">
        <w:t xml:space="preserve">, 2010 SCC </w:t>
      </w:r>
      <w:r w:rsidR="009625DA" w:rsidRPr="001758BC">
        <w:t>62</w:t>
      </w:r>
      <w:r w:rsidRPr="001758BC">
        <w:t>,</w:t>
      </w:r>
      <w:r w:rsidR="00FC3D95">
        <w:t xml:space="preserve"> [2010] 3 S.C.R.</w:t>
      </w:r>
      <w:r w:rsidR="002A05CB">
        <w:t xml:space="preserve"> 585</w:t>
      </w:r>
      <w:r w:rsidR="00FC3D95">
        <w:t>,</w:t>
      </w:r>
      <w:r w:rsidRPr="001758BC">
        <w:t xml:space="preserve"> a textual, contextual and purposive interpretation of the </w:t>
      </w:r>
      <w:r w:rsidRPr="001758BC">
        <w:rPr>
          <w:i/>
        </w:rPr>
        <w:t>Federal Courts Act</w:t>
      </w:r>
      <w:r w:rsidRPr="001758BC">
        <w:t xml:space="preserve"> does not support the view that a plaintiff who claims to have suffered compensable loss as a result of an administrative decision must first have the lawfulness of the decision determined by the Federal Court.  Further, the </w:t>
      </w:r>
      <w:r w:rsidRPr="001758BC">
        <w:rPr>
          <w:i/>
        </w:rPr>
        <w:t>Federal Courts Act</w:t>
      </w:r>
      <w:r w:rsidRPr="001758BC">
        <w:t xml:space="preserve"> does not prevent provincial superior court scrutiny of the constitutionality of the conduct of </w:t>
      </w:r>
      <w:r w:rsidR="009625DA" w:rsidRPr="001758BC">
        <w:t>federal officials.  Here,</w:t>
      </w:r>
      <w:r w:rsidRPr="001758BC">
        <w:t xml:space="preserve"> the Superior Court is authorized to consider the validity of M’s detention in the context of his damages claim, as well as the</w:t>
      </w:r>
      <w:r w:rsidR="009625DA" w:rsidRPr="001758BC">
        <w:t xml:space="preserve"> impact, if any, of any valid</w:t>
      </w:r>
      <w:r w:rsidRPr="001758BC">
        <w:t xml:space="preserve"> detention orders on Crown liability.  The collateral attack doctrine does not support the Attorney General’s jurisdictional challenge in light of the explicit statutory grant of jurisdiction to the provincial superior courts in the </w:t>
      </w:r>
      <w:r w:rsidRPr="001758BC">
        <w:rPr>
          <w:i/>
        </w:rPr>
        <w:t>Federal Courts Act</w:t>
      </w:r>
      <w:r w:rsidRPr="001758BC">
        <w:t xml:space="preserve"> where “relief is claimed against the [federal] Crown” as well as the provisions of the </w:t>
      </w:r>
      <w:r w:rsidRPr="001758BC">
        <w:rPr>
          <w:i/>
        </w:rPr>
        <w:t>Crown Liability and Proceedings Act</w:t>
      </w:r>
      <w:r w:rsidRPr="001758BC">
        <w:t>.</w:t>
      </w:r>
    </w:p>
    <w:p w:rsidR="007E1C47" w:rsidRPr="001758BC" w:rsidRDefault="002E6705" w:rsidP="00026555">
      <w:pPr>
        <w:pStyle w:val="SCCNormalDoubleSpacing"/>
        <w:keepNext/>
        <w:tabs>
          <w:tab w:val="left" w:pos="1170"/>
        </w:tabs>
        <w:spacing w:after="480"/>
        <w:rPr>
          <w:b/>
        </w:rPr>
      </w:pPr>
      <w:r w:rsidRPr="001758BC">
        <w:rPr>
          <w:b/>
        </w:rPr>
        <w:t>Cases Cited</w:t>
      </w:r>
    </w:p>
    <w:p w:rsidR="004E2C26" w:rsidRPr="001758BC" w:rsidRDefault="002E6705" w:rsidP="00026555">
      <w:pPr>
        <w:pStyle w:val="SCCNormalDoubleSpacing"/>
        <w:tabs>
          <w:tab w:val="left" w:pos="1170"/>
        </w:tabs>
        <w:spacing w:after="480"/>
      </w:pPr>
      <w:r w:rsidRPr="001758BC">
        <w:tab/>
      </w:r>
      <w:r w:rsidR="009625DA" w:rsidRPr="001758BC">
        <w:rPr>
          <w:b/>
        </w:rPr>
        <w:t>Applied:</w:t>
      </w:r>
      <w:r w:rsidR="009625DA" w:rsidRPr="001758BC">
        <w:t xml:space="preserve"> </w:t>
      </w:r>
      <w:r w:rsidR="009625DA" w:rsidRPr="001758BC">
        <w:rPr>
          <w:i/>
        </w:rPr>
        <w:t>Canada (Attorney General) v.</w:t>
      </w:r>
      <w:r w:rsidR="009625DA" w:rsidRPr="001758BC">
        <w:t xml:space="preserve"> </w:t>
      </w:r>
      <w:r w:rsidR="001102CB" w:rsidRPr="001758BC">
        <w:rPr>
          <w:szCs w:val="24"/>
        </w:rPr>
        <w:fldChar w:fldCharType="begin"/>
      </w:r>
      <w:r w:rsidR="009625DA" w:rsidRPr="001758BC">
        <w:rPr>
          <w:szCs w:val="24"/>
        </w:rPr>
        <w:instrText xml:space="preserve"> SEQ CHAPTER \h \r 1</w:instrText>
      </w:r>
      <w:r w:rsidR="001102CB" w:rsidRPr="001758BC">
        <w:rPr>
          <w:szCs w:val="24"/>
        </w:rPr>
        <w:fldChar w:fldCharType="end"/>
      </w:r>
      <w:proofErr w:type="spellStart"/>
      <w:r w:rsidR="009625DA" w:rsidRPr="001758BC">
        <w:rPr>
          <w:i/>
          <w:iCs/>
          <w:szCs w:val="24"/>
        </w:rPr>
        <w:t>TeleZone</w:t>
      </w:r>
      <w:proofErr w:type="spellEnd"/>
      <w:r w:rsidR="00413D25">
        <w:rPr>
          <w:i/>
          <w:iCs/>
          <w:szCs w:val="24"/>
        </w:rPr>
        <w:t xml:space="preserve"> Inc.</w:t>
      </w:r>
      <w:r w:rsidR="009625DA" w:rsidRPr="001758BC">
        <w:rPr>
          <w:iCs/>
          <w:szCs w:val="24"/>
        </w:rPr>
        <w:t>, 2010 SCC 62</w:t>
      </w:r>
      <w:r w:rsidR="00FC3D95">
        <w:rPr>
          <w:iCs/>
          <w:szCs w:val="24"/>
        </w:rPr>
        <w:t xml:space="preserve">, [2010] 3 S.C.R. </w:t>
      </w:r>
      <w:r w:rsidR="002A05CB">
        <w:rPr>
          <w:iCs/>
          <w:szCs w:val="24"/>
        </w:rPr>
        <w:t>585</w:t>
      </w:r>
      <w:r w:rsidR="009625DA" w:rsidRPr="001758BC">
        <w:rPr>
          <w:iCs/>
          <w:szCs w:val="24"/>
        </w:rPr>
        <w:t xml:space="preserve">; </w:t>
      </w:r>
      <w:r w:rsidR="00745CB1" w:rsidRPr="00ED028E">
        <w:rPr>
          <w:b/>
        </w:rPr>
        <w:t>overruled:</w:t>
      </w:r>
      <w:r w:rsidR="00745CB1">
        <w:t xml:space="preserve"> </w:t>
      </w:r>
      <w:r w:rsidR="00745CB1">
        <w:rPr>
          <w:i/>
        </w:rPr>
        <w:t>Canada v. Grenier</w:t>
      </w:r>
      <w:r w:rsidR="00745CB1">
        <w:t xml:space="preserve">, 2005 FCA 348, [2006] 2 F.C.R. 287; </w:t>
      </w:r>
      <w:r w:rsidR="009625DA" w:rsidRPr="001758BC">
        <w:rPr>
          <w:b/>
        </w:rPr>
        <w:t>referred to:</w:t>
      </w:r>
      <w:r w:rsidR="009A0178">
        <w:rPr>
          <w:b/>
        </w:rPr>
        <w:t xml:space="preserve"> </w:t>
      </w:r>
      <w:r w:rsidR="001102CB" w:rsidRPr="001758BC">
        <w:rPr>
          <w:szCs w:val="24"/>
        </w:rPr>
        <w:fldChar w:fldCharType="begin"/>
      </w:r>
      <w:r w:rsidR="005A0C89" w:rsidRPr="001758BC">
        <w:rPr>
          <w:szCs w:val="24"/>
        </w:rPr>
        <w:instrText xml:space="preserve"> SEQ CHAPTER \h \r 1</w:instrText>
      </w:r>
      <w:r w:rsidR="001102CB" w:rsidRPr="001758BC">
        <w:rPr>
          <w:szCs w:val="24"/>
        </w:rPr>
        <w:fldChar w:fldCharType="end"/>
      </w:r>
      <w:r w:rsidR="005A0C89" w:rsidRPr="001758BC">
        <w:rPr>
          <w:i/>
          <w:iCs/>
          <w:szCs w:val="24"/>
        </w:rPr>
        <w:t>Attorney General of Canada v. Law Society of British Columbia</w:t>
      </w:r>
      <w:r w:rsidR="005A0C89" w:rsidRPr="001758BC">
        <w:rPr>
          <w:szCs w:val="24"/>
        </w:rPr>
        <w:t xml:space="preserve">, [1982] 2 S.C.R. 307; </w:t>
      </w:r>
      <w:r w:rsidR="001102CB" w:rsidRPr="001758BC">
        <w:rPr>
          <w:szCs w:val="24"/>
        </w:rPr>
        <w:fldChar w:fldCharType="begin"/>
      </w:r>
      <w:r w:rsidR="005A0C89" w:rsidRPr="001758BC">
        <w:rPr>
          <w:szCs w:val="24"/>
        </w:rPr>
        <w:instrText xml:space="preserve"> SEQ CHAPTER \h \r 1</w:instrText>
      </w:r>
      <w:r w:rsidR="001102CB" w:rsidRPr="001758BC">
        <w:rPr>
          <w:szCs w:val="24"/>
        </w:rPr>
        <w:fldChar w:fldCharType="end"/>
      </w:r>
      <w:r w:rsidR="005A0C89" w:rsidRPr="001758BC">
        <w:rPr>
          <w:i/>
          <w:iCs/>
          <w:szCs w:val="24"/>
        </w:rPr>
        <w:t>Mills v. The Queen</w:t>
      </w:r>
      <w:r w:rsidR="005A0C89" w:rsidRPr="001758BC">
        <w:rPr>
          <w:szCs w:val="24"/>
        </w:rPr>
        <w:t xml:space="preserve">, [1986] 1 S.C.R. 863; </w:t>
      </w:r>
      <w:r w:rsidR="009625DA" w:rsidRPr="001758BC">
        <w:rPr>
          <w:i/>
          <w:szCs w:val="24"/>
        </w:rPr>
        <w:t>R. v. Morgentaler</w:t>
      </w:r>
      <w:r w:rsidR="009625DA" w:rsidRPr="001758BC">
        <w:rPr>
          <w:szCs w:val="24"/>
        </w:rPr>
        <w:t xml:space="preserve"> </w:t>
      </w:r>
      <w:r w:rsidR="009625DA" w:rsidRPr="001758BC">
        <w:rPr>
          <w:szCs w:val="24"/>
        </w:rPr>
        <w:lastRenderedPageBreak/>
        <w:t xml:space="preserve">(1984), 41 C.R. (3d) 262; </w:t>
      </w:r>
      <w:r w:rsidR="005A0C89" w:rsidRPr="001758BC">
        <w:rPr>
          <w:i/>
          <w:szCs w:val="24"/>
        </w:rPr>
        <w:t>R. v.</w:t>
      </w:r>
      <w:r w:rsidR="005A0C89" w:rsidRPr="001758BC">
        <w:rPr>
          <w:szCs w:val="24"/>
        </w:rPr>
        <w:t xml:space="preserve"> </w:t>
      </w:r>
      <w:r w:rsidR="001102CB" w:rsidRPr="001758BC">
        <w:rPr>
          <w:szCs w:val="24"/>
        </w:rPr>
        <w:fldChar w:fldCharType="begin"/>
      </w:r>
      <w:r w:rsidR="005A0C89" w:rsidRPr="001758BC">
        <w:rPr>
          <w:szCs w:val="24"/>
        </w:rPr>
        <w:instrText xml:space="preserve"> SEQ CHAPTER \h \r 1</w:instrText>
      </w:r>
      <w:r w:rsidR="001102CB" w:rsidRPr="001758BC">
        <w:rPr>
          <w:szCs w:val="24"/>
        </w:rPr>
        <w:fldChar w:fldCharType="end"/>
      </w:r>
      <w:r w:rsidR="005A0C89" w:rsidRPr="001758BC">
        <w:rPr>
          <w:i/>
          <w:iCs/>
          <w:szCs w:val="24"/>
        </w:rPr>
        <w:t>Rahey</w:t>
      </w:r>
      <w:r w:rsidR="005A0C89" w:rsidRPr="001758BC">
        <w:rPr>
          <w:szCs w:val="24"/>
        </w:rPr>
        <w:t xml:space="preserve">, [1987] 1 S.C.R. 588; </w:t>
      </w:r>
      <w:r w:rsidR="001102CB" w:rsidRPr="001758BC">
        <w:rPr>
          <w:i/>
          <w:szCs w:val="24"/>
        </w:rPr>
        <w:fldChar w:fldCharType="begin"/>
      </w:r>
      <w:r w:rsidR="005A0C89" w:rsidRPr="001758BC">
        <w:rPr>
          <w:i/>
          <w:szCs w:val="24"/>
        </w:rPr>
        <w:instrText xml:space="preserve"> SEQ CHAPTER \h \r 1</w:instrText>
      </w:r>
      <w:r w:rsidR="001102CB" w:rsidRPr="001758BC">
        <w:rPr>
          <w:i/>
          <w:szCs w:val="24"/>
        </w:rPr>
        <w:fldChar w:fldCharType="end"/>
      </w:r>
      <w:r w:rsidR="005A0C89" w:rsidRPr="001758BC">
        <w:rPr>
          <w:i/>
          <w:szCs w:val="24"/>
        </w:rPr>
        <w:t xml:space="preserve">R. </w:t>
      </w:r>
      <w:r w:rsidR="005A0C89" w:rsidRPr="001758BC">
        <w:rPr>
          <w:i/>
          <w:iCs/>
          <w:szCs w:val="24"/>
        </w:rPr>
        <w:t>v. 974649 Ontario Inc.</w:t>
      </w:r>
      <w:r w:rsidR="005A0C89" w:rsidRPr="001758BC">
        <w:rPr>
          <w:szCs w:val="24"/>
        </w:rPr>
        <w:t>, 2</w:t>
      </w:r>
      <w:r w:rsidR="000A18A2" w:rsidRPr="001758BC">
        <w:rPr>
          <w:szCs w:val="24"/>
        </w:rPr>
        <w:t>001 SCC 81, [2001] 3 S.C.R. 575</w:t>
      </w:r>
      <w:r w:rsidR="00E13F03" w:rsidRPr="001758BC">
        <w:rPr>
          <w:szCs w:val="24"/>
        </w:rPr>
        <w:t xml:space="preserve">; </w:t>
      </w:r>
      <w:r w:rsidR="00011D4B" w:rsidRPr="001758BC">
        <w:rPr>
          <w:i/>
          <w:szCs w:val="24"/>
        </w:rPr>
        <w:t>R. v. Conway</w:t>
      </w:r>
      <w:r w:rsidR="00011D4B" w:rsidRPr="001758BC">
        <w:rPr>
          <w:szCs w:val="24"/>
        </w:rPr>
        <w:t xml:space="preserve">, 2010 SCC 22, [2010] 1 S.C.R. 765. </w:t>
      </w:r>
    </w:p>
    <w:p w:rsidR="00F2451E" w:rsidRPr="001758BC" w:rsidRDefault="002E6705" w:rsidP="00026555">
      <w:pPr>
        <w:pStyle w:val="SCCNormalDoubleSpacing"/>
        <w:keepNext/>
        <w:spacing w:after="480"/>
        <w:rPr>
          <w:b/>
        </w:rPr>
      </w:pPr>
      <w:r w:rsidRPr="001758BC">
        <w:rPr>
          <w:b/>
        </w:rPr>
        <w:t>Statutes and Regulations Cite</w:t>
      </w:r>
      <w:r w:rsidR="00A41805" w:rsidRPr="001758BC">
        <w:rPr>
          <w:b/>
        </w:rPr>
        <w:t>d</w:t>
      </w:r>
    </w:p>
    <w:p w:rsidR="00213D8A" w:rsidRPr="001758BC" w:rsidRDefault="001102CB" w:rsidP="00F2451E">
      <w:pPr>
        <w:pStyle w:val="SCCNormalDoubleSpacing"/>
        <w:keepNext/>
        <w:spacing w:line="240" w:lineRule="auto"/>
        <w:ind w:left="547" w:hanging="547"/>
      </w:pPr>
      <w:r w:rsidRPr="001758BC">
        <w:rPr>
          <w:szCs w:val="24"/>
        </w:rPr>
        <w:fldChar w:fldCharType="begin"/>
      </w:r>
      <w:r w:rsidR="00213D8A" w:rsidRPr="001758BC">
        <w:rPr>
          <w:szCs w:val="24"/>
        </w:rPr>
        <w:instrText xml:space="preserve"> SEQ CHAPTER \h \r 1</w:instrText>
      </w:r>
      <w:r w:rsidRPr="001758BC">
        <w:rPr>
          <w:szCs w:val="24"/>
        </w:rPr>
        <w:fldChar w:fldCharType="end"/>
      </w:r>
      <w:proofErr w:type="gramStart"/>
      <w:r w:rsidR="00213D8A" w:rsidRPr="001758BC">
        <w:rPr>
          <w:i/>
          <w:iCs/>
          <w:szCs w:val="24"/>
        </w:rPr>
        <w:t>Canadian Charter of Rights and Freedoms</w:t>
      </w:r>
      <w:r w:rsidR="00B36B11" w:rsidRPr="001758BC">
        <w:rPr>
          <w:iCs/>
          <w:szCs w:val="24"/>
        </w:rPr>
        <w:t>,</w:t>
      </w:r>
      <w:r w:rsidR="00B36B11" w:rsidRPr="001758BC">
        <w:rPr>
          <w:i/>
          <w:iCs/>
          <w:szCs w:val="24"/>
        </w:rPr>
        <w:t xml:space="preserve"> </w:t>
      </w:r>
      <w:r w:rsidR="00B36B11" w:rsidRPr="001758BC">
        <w:rPr>
          <w:iCs/>
          <w:szCs w:val="24"/>
        </w:rPr>
        <w:t>s</w:t>
      </w:r>
      <w:r w:rsidR="005A0C89" w:rsidRPr="001758BC">
        <w:rPr>
          <w:iCs/>
          <w:szCs w:val="24"/>
        </w:rPr>
        <w:t>s</w:t>
      </w:r>
      <w:r w:rsidR="00B36B11" w:rsidRPr="001758BC">
        <w:rPr>
          <w:iCs/>
          <w:szCs w:val="24"/>
        </w:rPr>
        <w:t>.</w:t>
      </w:r>
      <w:r w:rsidR="00FC3D95">
        <w:rPr>
          <w:iCs/>
          <w:szCs w:val="24"/>
        </w:rPr>
        <w:t xml:space="preserve"> </w:t>
      </w:r>
      <w:r w:rsidR="00B36B11" w:rsidRPr="001758BC">
        <w:rPr>
          <w:iCs/>
          <w:szCs w:val="24"/>
        </w:rPr>
        <w:t>9, 12</w:t>
      </w:r>
      <w:r w:rsidR="005A0C89" w:rsidRPr="001758BC">
        <w:rPr>
          <w:iCs/>
          <w:szCs w:val="24"/>
        </w:rPr>
        <w:t>, 24(1)</w:t>
      </w:r>
      <w:r w:rsidR="00B36B11" w:rsidRPr="001758BC">
        <w:rPr>
          <w:iCs/>
          <w:szCs w:val="24"/>
        </w:rPr>
        <w:t>.</w:t>
      </w:r>
      <w:proofErr w:type="gramEnd"/>
      <w:r w:rsidR="00B36B11" w:rsidRPr="001758BC">
        <w:rPr>
          <w:i/>
          <w:iCs/>
          <w:szCs w:val="24"/>
        </w:rPr>
        <w:t xml:space="preserve"> </w:t>
      </w:r>
    </w:p>
    <w:p w:rsidR="005A0C89" w:rsidRPr="001758BC" w:rsidRDefault="005A0C89" w:rsidP="005A0C89">
      <w:pPr>
        <w:pStyle w:val="SCCNormalDoubleSpacing"/>
        <w:spacing w:line="240" w:lineRule="auto"/>
        <w:ind w:left="540" w:hanging="540"/>
      </w:pPr>
    </w:p>
    <w:p w:rsidR="00664862" w:rsidRPr="001758BC" w:rsidRDefault="00664862" w:rsidP="005A0C89">
      <w:pPr>
        <w:pStyle w:val="SCCNormalDoubleSpacing"/>
        <w:spacing w:line="240" w:lineRule="auto"/>
        <w:ind w:left="540" w:hanging="540"/>
      </w:pPr>
      <w:r w:rsidRPr="001758BC">
        <w:rPr>
          <w:i/>
        </w:rPr>
        <w:t>Constitution Act, 1867</w:t>
      </w:r>
      <w:r w:rsidR="00FC3D95">
        <w:t xml:space="preserve">, s. </w:t>
      </w:r>
      <w:r w:rsidRPr="001758BC">
        <w:t>101.</w:t>
      </w:r>
      <w:r w:rsidR="00E13F03" w:rsidRPr="001758BC">
        <w:t xml:space="preserve"> </w:t>
      </w:r>
    </w:p>
    <w:p w:rsidR="00664862" w:rsidRPr="001758BC" w:rsidRDefault="00664862" w:rsidP="005A0C89">
      <w:pPr>
        <w:pStyle w:val="SCCNormalDoubleSpacing"/>
        <w:spacing w:line="240" w:lineRule="auto"/>
        <w:ind w:left="540" w:hanging="540"/>
      </w:pPr>
    </w:p>
    <w:p w:rsidR="00A149DF" w:rsidRPr="001758BC" w:rsidRDefault="001102CB" w:rsidP="00FC4EFB">
      <w:pPr>
        <w:pStyle w:val="SCCNormalDoubleSpacing"/>
        <w:spacing w:line="240" w:lineRule="auto"/>
        <w:ind w:left="540" w:hanging="540"/>
        <w:rPr>
          <w:szCs w:val="24"/>
        </w:rPr>
      </w:pPr>
      <w:r w:rsidRPr="001758BC">
        <w:rPr>
          <w:szCs w:val="24"/>
        </w:rPr>
        <w:fldChar w:fldCharType="begin"/>
      </w:r>
      <w:r w:rsidR="00213D8A" w:rsidRPr="001758BC">
        <w:rPr>
          <w:szCs w:val="24"/>
        </w:rPr>
        <w:instrText xml:space="preserve"> SEQ CHAPTER \h \r 1</w:instrText>
      </w:r>
      <w:r w:rsidRPr="001758BC">
        <w:rPr>
          <w:szCs w:val="24"/>
        </w:rPr>
        <w:fldChar w:fldCharType="end"/>
      </w:r>
      <w:r w:rsidR="00213D8A" w:rsidRPr="001758BC">
        <w:rPr>
          <w:i/>
          <w:iCs/>
          <w:szCs w:val="24"/>
        </w:rPr>
        <w:t>Corrections and Conditional Release Act</w:t>
      </w:r>
      <w:r w:rsidR="00213D8A" w:rsidRPr="001758BC">
        <w:rPr>
          <w:szCs w:val="24"/>
        </w:rPr>
        <w:t>, S.C. 1992, c. 20</w:t>
      </w:r>
      <w:r w:rsidR="00F2451E" w:rsidRPr="001758BC">
        <w:rPr>
          <w:szCs w:val="24"/>
        </w:rPr>
        <w:t>, ss.</w:t>
      </w:r>
      <w:r w:rsidR="00FC3D95">
        <w:rPr>
          <w:szCs w:val="24"/>
        </w:rPr>
        <w:t xml:space="preserve"> </w:t>
      </w:r>
      <w:r w:rsidR="00B36B11" w:rsidRPr="001758BC">
        <w:rPr>
          <w:szCs w:val="24"/>
        </w:rPr>
        <w:t>3, 31, 32, 33.</w:t>
      </w:r>
      <w:r w:rsidR="00E13F03" w:rsidRPr="001758BC">
        <w:rPr>
          <w:szCs w:val="24"/>
        </w:rPr>
        <w:t xml:space="preserve"> </w:t>
      </w:r>
    </w:p>
    <w:p w:rsidR="00B36B11" w:rsidRPr="001758BC" w:rsidRDefault="00B36B11" w:rsidP="00FC4EFB">
      <w:pPr>
        <w:pStyle w:val="SCCNormalDoubleSpacing"/>
        <w:spacing w:line="240" w:lineRule="auto"/>
        <w:ind w:left="540" w:hanging="540"/>
        <w:rPr>
          <w:szCs w:val="24"/>
        </w:rPr>
      </w:pPr>
    </w:p>
    <w:p w:rsidR="00B36B11" w:rsidRPr="001758BC" w:rsidRDefault="00B36B11" w:rsidP="00FC4EFB">
      <w:pPr>
        <w:pStyle w:val="SCCNormalDoubleSpacing"/>
        <w:spacing w:line="240" w:lineRule="auto"/>
        <w:ind w:left="540" w:hanging="540"/>
        <w:rPr>
          <w:szCs w:val="24"/>
        </w:rPr>
      </w:pPr>
      <w:r w:rsidRPr="001758BC">
        <w:rPr>
          <w:i/>
          <w:iCs/>
          <w:szCs w:val="24"/>
        </w:rPr>
        <w:t>Corrections and Conditional Release Regulations</w:t>
      </w:r>
      <w:r w:rsidR="00F2451E" w:rsidRPr="001758BC">
        <w:rPr>
          <w:iCs/>
          <w:szCs w:val="24"/>
        </w:rPr>
        <w:t>, SOR/92</w:t>
      </w:r>
      <w:r w:rsidR="00FC3D95">
        <w:rPr>
          <w:iCs/>
          <w:szCs w:val="24"/>
        </w:rPr>
        <w:t>-</w:t>
      </w:r>
      <w:r w:rsidR="00F2451E" w:rsidRPr="001758BC">
        <w:rPr>
          <w:iCs/>
          <w:szCs w:val="24"/>
        </w:rPr>
        <w:t>620, ss.</w:t>
      </w:r>
      <w:r w:rsidR="00FC3D95">
        <w:rPr>
          <w:iCs/>
          <w:szCs w:val="24"/>
        </w:rPr>
        <w:t xml:space="preserve"> </w:t>
      </w:r>
      <w:r w:rsidRPr="001758BC">
        <w:rPr>
          <w:iCs/>
          <w:szCs w:val="24"/>
        </w:rPr>
        <w:t>21, 22.</w:t>
      </w:r>
      <w:r w:rsidR="00E13F03" w:rsidRPr="001758BC">
        <w:rPr>
          <w:iCs/>
          <w:szCs w:val="24"/>
        </w:rPr>
        <w:t xml:space="preserve"> </w:t>
      </w:r>
    </w:p>
    <w:p w:rsidR="00B36B11" w:rsidRPr="001758BC" w:rsidRDefault="00B36B11" w:rsidP="00FC4EFB">
      <w:pPr>
        <w:pStyle w:val="SCCNormalDoubleSpacing"/>
        <w:spacing w:line="240" w:lineRule="auto"/>
        <w:ind w:left="540" w:hanging="540"/>
      </w:pPr>
    </w:p>
    <w:p w:rsidR="005A0C89" w:rsidRPr="001758BC" w:rsidRDefault="001102CB" w:rsidP="00FC4EFB">
      <w:pPr>
        <w:pStyle w:val="SCCNormalDoubleSpacing"/>
        <w:spacing w:line="240" w:lineRule="auto"/>
        <w:ind w:left="540" w:hanging="540"/>
        <w:rPr>
          <w:szCs w:val="24"/>
        </w:rPr>
      </w:pPr>
      <w:r w:rsidRPr="001758BC">
        <w:rPr>
          <w:szCs w:val="24"/>
        </w:rPr>
        <w:fldChar w:fldCharType="begin"/>
      </w:r>
      <w:r w:rsidR="005A0C89" w:rsidRPr="001758BC">
        <w:rPr>
          <w:szCs w:val="24"/>
        </w:rPr>
        <w:instrText xml:space="preserve"> SEQ CHAPTER \h \r 1</w:instrText>
      </w:r>
      <w:r w:rsidRPr="001758BC">
        <w:rPr>
          <w:szCs w:val="24"/>
        </w:rPr>
        <w:fldChar w:fldCharType="end"/>
      </w:r>
      <w:r w:rsidR="005A0C89" w:rsidRPr="001758BC">
        <w:rPr>
          <w:i/>
          <w:iCs/>
          <w:szCs w:val="24"/>
        </w:rPr>
        <w:t>Crown Liability and Proceedings Act</w:t>
      </w:r>
      <w:r w:rsidR="00FC3D95">
        <w:rPr>
          <w:szCs w:val="24"/>
        </w:rPr>
        <w:t xml:space="preserve">, R.S.C. 1985, c. </w:t>
      </w:r>
      <w:r w:rsidR="009625DA" w:rsidRPr="001758BC">
        <w:rPr>
          <w:szCs w:val="24"/>
        </w:rPr>
        <w:t>C</w:t>
      </w:r>
      <w:r w:rsidR="00FC3D95">
        <w:rPr>
          <w:szCs w:val="24"/>
        </w:rPr>
        <w:t xml:space="preserve">-50, s. </w:t>
      </w:r>
      <w:r w:rsidR="005A0C89" w:rsidRPr="001758BC">
        <w:rPr>
          <w:szCs w:val="24"/>
        </w:rPr>
        <w:t>21.</w:t>
      </w:r>
      <w:r w:rsidR="00E13F03" w:rsidRPr="001758BC">
        <w:rPr>
          <w:szCs w:val="24"/>
        </w:rPr>
        <w:t xml:space="preserve"> </w:t>
      </w:r>
    </w:p>
    <w:p w:rsidR="005A0C89" w:rsidRPr="001758BC" w:rsidRDefault="005A0C89" w:rsidP="00FC4EFB">
      <w:pPr>
        <w:pStyle w:val="SCCNormalDoubleSpacing"/>
        <w:spacing w:line="240" w:lineRule="auto"/>
        <w:ind w:left="540" w:hanging="540"/>
      </w:pPr>
    </w:p>
    <w:p w:rsidR="00EC146C" w:rsidRPr="001758BC" w:rsidRDefault="001102CB" w:rsidP="00BD248C">
      <w:pPr>
        <w:pStyle w:val="SCCNormalDoubleSpacing"/>
        <w:spacing w:after="720" w:line="240" w:lineRule="auto"/>
        <w:ind w:left="547" w:hanging="547"/>
        <w:rPr>
          <w:iCs/>
          <w:szCs w:val="24"/>
        </w:rPr>
      </w:pPr>
      <w:r w:rsidRPr="001758BC">
        <w:rPr>
          <w:szCs w:val="24"/>
        </w:rPr>
        <w:fldChar w:fldCharType="begin"/>
      </w:r>
      <w:r w:rsidR="00B36B11" w:rsidRPr="001758BC">
        <w:rPr>
          <w:szCs w:val="24"/>
        </w:rPr>
        <w:instrText xml:space="preserve"> SEQ CHAPTER \h \r 1</w:instrText>
      </w:r>
      <w:r w:rsidRPr="001758BC">
        <w:rPr>
          <w:szCs w:val="24"/>
        </w:rPr>
        <w:fldChar w:fldCharType="end"/>
      </w:r>
      <w:r w:rsidR="00B36B11" w:rsidRPr="001758BC">
        <w:rPr>
          <w:i/>
          <w:iCs/>
          <w:szCs w:val="24"/>
        </w:rPr>
        <w:t>Federal Courts Act</w:t>
      </w:r>
      <w:r w:rsidR="00FC3D95">
        <w:rPr>
          <w:iCs/>
          <w:szCs w:val="24"/>
        </w:rPr>
        <w:t xml:space="preserve">, R.S.C. 1985, c. </w:t>
      </w:r>
      <w:r w:rsidR="00B36B11" w:rsidRPr="001758BC">
        <w:rPr>
          <w:iCs/>
          <w:szCs w:val="24"/>
        </w:rPr>
        <w:t>F</w:t>
      </w:r>
      <w:r w:rsidR="00FC3D95">
        <w:rPr>
          <w:iCs/>
          <w:szCs w:val="24"/>
        </w:rPr>
        <w:t>-</w:t>
      </w:r>
      <w:r w:rsidR="00B36B11" w:rsidRPr="001758BC">
        <w:rPr>
          <w:iCs/>
          <w:szCs w:val="24"/>
        </w:rPr>
        <w:t>7, s</w:t>
      </w:r>
      <w:r w:rsidR="005A0C89" w:rsidRPr="001758BC">
        <w:rPr>
          <w:iCs/>
          <w:szCs w:val="24"/>
        </w:rPr>
        <w:t>s</w:t>
      </w:r>
      <w:r w:rsidR="00B36B11" w:rsidRPr="001758BC">
        <w:rPr>
          <w:iCs/>
          <w:szCs w:val="24"/>
        </w:rPr>
        <w:t>.</w:t>
      </w:r>
      <w:r w:rsidR="00FC3D95">
        <w:rPr>
          <w:iCs/>
          <w:szCs w:val="24"/>
        </w:rPr>
        <w:t xml:space="preserve"> </w:t>
      </w:r>
      <w:r w:rsidR="005A0C89" w:rsidRPr="001758BC">
        <w:rPr>
          <w:iCs/>
          <w:szCs w:val="24"/>
        </w:rPr>
        <w:t>17,</w:t>
      </w:r>
      <w:r w:rsidR="00B36B11" w:rsidRPr="001758BC">
        <w:rPr>
          <w:iCs/>
          <w:szCs w:val="24"/>
        </w:rPr>
        <w:t xml:space="preserve"> 18.</w:t>
      </w:r>
      <w:r w:rsidR="00E13F03" w:rsidRPr="001758BC">
        <w:rPr>
          <w:iCs/>
          <w:szCs w:val="24"/>
        </w:rPr>
        <w:t xml:space="preserve"> </w:t>
      </w:r>
    </w:p>
    <w:p w:rsidR="00656313" w:rsidRPr="001758BC" w:rsidRDefault="00EE74E1" w:rsidP="00F2451E">
      <w:pPr>
        <w:pStyle w:val="SCCNormalDoubleSpacing"/>
        <w:tabs>
          <w:tab w:val="left" w:pos="1170"/>
        </w:tabs>
      </w:pPr>
      <w:r w:rsidRPr="001758BC">
        <w:tab/>
      </w:r>
      <w:r w:rsidR="009B57B3" w:rsidRPr="001758BC">
        <w:t xml:space="preserve">APPEAL from a judgment of the </w:t>
      </w:r>
      <w:r w:rsidRPr="001758BC">
        <w:t xml:space="preserve">Ontario </w:t>
      </w:r>
      <w:r w:rsidR="009B57B3" w:rsidRPr="001758BC">
        <w:t>Court of Appeal</w:t>
      </w:r>
      <w:r w:rsidRPr="001758BC">
        <w:t xml:space="preserve"> (</w:t>
      </w:r>
      <w:proofErr w:type="spellStart"/>
      <w:r w:rsidRPr="001758BC">
        <w:t>Laskin</w:t>
      </w:r>
      <w:proofErr w:type="spellEnd"/>
      <w:r w:rsidRPr="001758BC">
        <w:t xml:space="preserve">, </w:t>
      </w:r>
      <w:proofErr w:type="spellStart"/>
      <w:r w:rsidRPr="001758BC">
        <w:t>Bo</w:t>
      </w:r>
      <w:r w:rsidR="00F2451E" w:rsidRPr="001758BC">
        <w:t>rins</w:t>
      </w:r>
      <w:proofErr w:type="spellEnd"/>
      <w:r w:rsidR="00F2451E" w:rsidRPr="001758BC">
        <w:t xml:space="preserve"> and Feldman</w:t>
      </w:r>
      <w:r w:rsidR="009A0178">
        <w:t xml:space="preserve"> </w:t>
      </w:r>
      <w:r w:rsidR="00C513EB" w:rsidRPr="001758BC">
        <w:t>JJ.A.), 2008 ON</w:t>
      </w:r>
      <w:r w:rsidRPr="001758BC">
        <w:t xml:space="preserve">CA 892, 94 O.R. (3d) 19, 303 D.L.R. (4th) 626, </w:t>
      </w:r>
      <w:r w:rsidR="00761B20" w:rsidRPr="001758BC">
        <w:rPr>
          <w:szCs w:val="24"/>
          <w:lang w:val="en-US"/>
        </w:rPr>
        <w:t>245 O.A.C. 91, 86 Admin</w:t>
      </w:r>
      <w:r w:rsidR="00FC3D95">
        <w:rPr>
          <w:szCs w:val="24"/>
          <w:lang w:val="en-US"/>
        </w:rPr>
        <w:t>.</w:t>
      </w:r>
      <w:r w:rsidR="00761B20" w:rsidRPr="001758BC">
        <w:rPr>
          <w:szCs w:val="24"/>
          <w:lang w:val="en-US"/>
        </w:rPr>
        <w:t xml:space="preserve"> </w:t>
      </w:r>
      <w:proofErr w:type="gramStart"/>
      <w:r w:rsidR="00761B20" w:rsidRPr="001758BC">
        <w:rPr>
          <w:szCs w:val="24"/>
          <w:lang w:val="en-US"/>
        </w:rPr>
        <w:t xml:space="preserve">L.R. (4th) 163, 40 C.E.L.R. (3d) 183, </w:t>
      </w:r>
      <w:proofErr w:type="gramEnd"/>
      <w:r w:rsidR="001102CB" w:rsidRPr="001758BC">
        <w:rPr>
          <w:szCs w:val="24"/>
        </w:rPr>
        <w:fldChar w:fldCharType="begin"/>
      </w:r>
      <w:r w:rsidR="00761B20" w:rsidRPr="001758BC">
        <w:rPr>
          <w:szCs w:val="24"/>
        </w:rPr>
        <w:instrText xml:space="preserve"> SEQ CHAPTER \h \r 1</w:instrText>
      </w:r>
      <w:r w:rsidR="001102CB" w:rsidRPr="001758BC">
        <w:rPr>
          <w:szCs w:val="24"/>
        </w:rPr>
        <w:fldChar w:fldCharType="end"/>
      </w:r>
      <w:proofErr w:type="gramStart"/>
      <w:r w:rsidR="00F2451E" w:rsidRPr="001758BC">
        <w:rPr>
          <w:szCs w:val="24"/>
          <w:lang w:val="en-US"/>
        </w:rPr>
        <w:t>[2008] O.J. No.</w:t>
      </w:r>
      <w:r w:rsidR="009A0178">
        <w:rPr>
          <w:szCs w:val="24"/>
          <w:lang w:val="en-US"/>
        </w:rPr>
        <w:t xml:space="preserve"> </w:t>
      </w:r>
      <w:r w:rsidR="00761B20" w:rsidRPr="001758BC">
        <w:rPr>
          <w:szCs w:val="24"/>
          <w:lang w:val="en-US"/>
        </w:rPr>
        <w:t xml:space="preserve">5291 (QL), 2008 </w:t>
      </w:r>
      <w:proofErr w:type="spellStart"/>
      <w:r w:rsidR="00761B20" w:rsidRPr="001758BC">
        <w:rPr>
          <w:szCs w:val="24"/>
          <w:lang w:val="en-US"/>
        </w:rPr>
        <w:t>CarswellOnt</w:t>
      </w:r>
      <w:proofErr w:type="spellEnd"/>
      <w:r w:rsidR="00761B20" w:rsidRPr="001758BC">
        <w:rPr>
          <w:szCs w:val="24"/>
          <w:lang w:val="en-US"/>
        </w:rPr>
        <w:t xml:space="preserve"> 7826,</w:t>
      </w:r>
      <w:r w:rsidR="00F2451E" w:rsidRPr="001758BC">
        <w:rPr>
          <w:szCs w:val="24"/>
          <w:lang w:val="en-US"/>
        </w:rPr>
        <w:t xml:space="preserve"> </w:t>
      </w:r>
      <w:r w:rsidR="004E3A87">
        <w:rPr>
          <w:szCs w:val="24"/>
          <w:lang w:val="en-US"/>
        </w:rPr>
        <w:t>setting aside</w:t>
      </w:r>
      <w:r w:rsidR="00F2451E" w:rsidRPr="001758BC">
        <w:rPr>
          <w:szCs w:val="24"/>
          <w:lang w:val="en-US"/>
        </w:rPr>
        <w:t xml:space="preserve"> a decision of </w:t>
      </w:r>
      <w:proofErr w:type="spellStart"/>
      <w:r w:rsidR="00F2451E" w:rsidRPr="001758BC">
        <w:rPr>
          <w:szCs w:val="24"/>
          <w:lang w:val="en-US"/>
        </w:rPr>
        <w:t>Pedlar</w:t>
      </w:r>
      <w:proofErr w:type="spellEnd"/>
      <w:r w:rsidR="009A0178">
        <w:rPr>
          <w:szCs w:val="24"/>
          <w:lang w:val="en-US"/>
        </w:rPr>
        <w:t xml:space="preserve"> </w:t>
      </w:r>
      <w:r w:rsidR="00761B20" w:rsidRPr="001758BC">
        <w:rPr>
          <w:szCs w:val="24"/>
          <w:lang w:val="en-US"/>
        </w:rPr>
        <w:t>J.,</w:t>
      </w:r>
      <w:r w:rsidRPr="001758BC">
        <w:t xml:space="preserve"> </w:t>
      </w:r>
      <w:r w:rsidR="00761B20" w:rsidRPr="001758BC">
        <w:t>20</w:t>
      </w:r>
      <w:r w:rsidR="00E13F03" w:rsidRPr="001758BC">
        <w:t>06 CarswellOnt 9820.</w:t>
      </w:r>
      <w:proofErr w:type="gramEnd"/>
      <w:r w:rsidR="00E13F03" w:rsidRPr="001758BC">
        <w:t xml:space="preserve">  Appeal dismissed</w:t>
      </w:r>
      <w:r w:rsidR="00761B20" w:rsidRPr="001758BC">
        <w:t>.</w:t>
      </w:r>
      <w:r w:rsidRPr="001758BC">
        <w:t xml:space="preserve"> </w:t>
      </w:r>
    </w:p>
    <w:p w:rsidR="00656313" w:rsidRPr="001758BC" w:rsidRDefault="00656313" w:rsidP="00F2451E">
      <w:pPr>
        <w:pStyle w:val="SCCNormalDoubleSpacing"/>
        <w:tabs>
          <w:tab w:val="left" w:pos="1170"/>
        </w:tabs>
      </w:pPr>
    </w:p>
    <w:p w:rsidR="00403354" w:rsidRPr="001758BC" w:rsidRDefault="00F2451E" w:rsidP="00F2451E">
      <w:pPr>
        <w:pStyle w:val="SCCNormalDoubleSpacing"/>
        <w:tabs>
          <w:tab w:val="left" w:pos="1170"/>
        </w:tabs>
      </w:pPr>
      <w:r w:rsidRPr="001758BC">
        <w:rPr>
          <w:rStyle w:val="SCCCounselNameChar"/>
        </w:rPr>
        <w:tab/>
        <w:t>Christopher </w:t>
      </w:r>
      <w:r w:rsidR="00A707F6" w:rsidRPr="001758BC">
        <w:rPr>
          <w:rStyle w:val="SCCCounselNameChar"/>
        </w:rPr>
        <w:t>M. Rupar</w:t>
      </w:r>
      <w:r w:rsidR="00A707F6" w:rsidRPr="001758BC">
        <w:rPr>
          <w:rStyle w:val="SCCCounselSeparatorChar"/>
        </w:rPr>
        <w:t xml:space="preserve">, </w:t>
      </w:r>
      <w:r w:rsidR="00A707F6" w:rsidRPr="001758BC">
        <w:rPr>
          <w:rStyle w:val="SCCCounselNameChar"/>
        </w:rPr>
        <w:t>Alain Préfontaine</w:t>
      </w:r>
      <w:r w:rsidR="00A707F6" w:rsidRPr="001758BC">
        <w:rPr>
          <w:rStyle w:val="SCCCounselSeparatorChar"/>
        </w:rPr>
        <w:t xml:space="preserve"> and </w:t>
      </w:r>
      <w:r w:rsidR="00A707F6" w:rsidRPr="001758BC">
        <w:rPr>
          <w:rStyle w:val="SCCCounselNameChar"/>
        </w:rPr>
        <w:t>Bernard Letarte</w:t>
      </w:r>
      <w:r w:rsidR="00A707F6" w:rsidRPr="001758BC">
        <w:rPr>
          <w:rStyle w:val="SCCCounselPartyRoleChar"/>
        </w:rPr>
        <w:t>, for the appellant</w:t>
      </w:r>
      <w:r w:rsidR="007053C6" w:rsidRPr="001758BC">
        <w:rPr>
          <w:rStyle w:val="SCCCounselPartyRoleChar"/>
        </w:rPr>
        <w:t>s</w:t>
      </w:r>
      <w:r w:rsidR="00A707F6" w:rsidRPr="001758BC">
        <w:rPr>
          <w:rStyle w:val="SCCCounselPartyRoleChar"/>
        </w:rPr>
        <w:t>.</w:t>
      </w:r>
    </w:p>
    <w:p w:rsidR="00403354" w:rsidRPr="001758BC" w:rsidRDefault="00403354" w:rsidP="00F2451E">
      <w:pPr>
        <w:pStyle w:val="SCCNormalDoubleSpacing"/>
        <w:tabs>
          <w:tab w:val="left" w:pos="1170"/>
        </w:tabs>
      </w:pPr>
    </w:p>
    <w:p w:rsidR="00403354" w:rsidRPr="001758BC" w:rsidRDefault="00F2451E" w:rsidP="00F2451E">
      <w:pPr>
        <w:pStyle w:val="SCCNormalDoubleSpacing"/>
        <w:tabs>
          <w:tab w:val="left" w:pos="1170"/>
        </w:tabs>
      </w:pPr>
      <w:r w:rsidRPr="001758BC">
        <w:rPr>
          <w:rStyle w:val="SCCCounselNameChar"/>
        </w:rPr>
        <w:tab/>
      </w:r>
      <w:proofErr w:type="gramStart"/>
      <w:r w:rsidRPr="001758BC">
        <w:rPr>
          <w:rStyle w:val="SCCCounselNameChar"/>
        </w:rPr>
        <w:t>John </w:t>
      </w:r>
      <w:r w:rsidR="00A707F6" w:rsidRPr="001758BC">
        <w:rPr>
          <w:rStyle w:val="SCCCounselNameChar"/>
        </w:rPr>
        <w:t>A. Ryder</w:t>
      </w:r>
      <w:r w:rsidR="009A0178">
        <w:rPr>
          <w:rStyle w:val="SCCCounselNameChar"/>
        </w:rPr>
        <w:t>-</w:t>
      </w:r>
      <w:r w:rsidR="00A707F6" w:rsidRPr="001758BC">
        <w:rPr>
          <w:rStyle w:val="SCCCounselNameChar"/>
        </w:rPr>
        <w:t>Burbidge</w:t>
      </w:r>
      <w:r w:rsidR="00A707F6" w:rsidRPr="001758BC">
        <w:rPr>
          <w:rStyle w:val="SCCCounselPartyRoleChar"/>
        </w:rPr>
        <w:t>, for the respondent.</w:t>
      </w:r>
      <w:proofErr w:type="gramEnd"/>
    </w:p>
    <w:p w:rsidR="00403354" w:rsidRPr="001758BC" w:rsidRDefault="00403354" w:rsidP="00F2451E">
      <w:pPr>
        <w:pStyle w:val="SCCNormalDoubleSpacing"/>
        <w:tabs>
          <w:tab w:val="left" w:pos="1170"/>
        </w:tabs>
      </w:pPr>
    </w:p>
    <w:p w:rsidR="00403354" w:rsidRPr="001758BC" w:rsidRDefault="00A707F6" w:rsidP="00F2451E">
      <w:pPr>
        <w:pStyle w:val="SCCNormalDoubleSpacing"/>
        <w:tabs>
          <w:tab w:val="left" w:pos="1170"/>
        </w:tabs>
      </w:pPr>
      <w:r w:rsidRPr="001758BC">
        <w:rPr>
          <w:rStyle w:val="SCCCounselNameChar"/>
        </w:rPr>
        <w:tab/>
      </w:r>
      <w:r w:rsidR="003A20D1" w:rsidRPr="001758BC">
        <w:rPr>
          <w:rStyle w:val="SCCCounselNameChar"/>
          <w:i w:val="0"/>
        </w:rPr>
        <w:t xml:space="preserve">Written submissions only </w:t>
      </w:r>
      <w:r w:rsidR="00FC3D95">
        <w:rPr>
          <w:rStyle w:val="SCCCounselNameChar"/>
          <w:i w:val="0"/>
        </w:rPr>
        <w:t>for</w:t>
      </w:r>
      <w:r w:rsidRPr="001758BC">
        <w:rPr>
          <w:rStyle w:val="SCCCounselPartyRoleChar"/>
        </w:rPr>
        <w:t xml:space="preserve"> the intervener</w:t>
      </w:r>
      <w:r w:rsidR="00EF1411" w:rsidRPr="001758BC">
        <w:rPr>
          <w:rStyle w:val="SCCCounselPartyRoleChar"/>
        </w:rPr>
        <w:t xml:space="preserve"> the</w:t>
      </w:r>
      <w:r w:rsidRPr="001758BC">
        <w:rPr>
          <w:rStyle w:val="SCCCounselPartyRoleChar"/>
        </w:rPr>
        <w:t xml:space="preserve"> Attorney General of British Columbia.</w:t>
      </w:r>
    </w:p>
    <w:p w:rsidR="00403354" w:rsidRPr="001758BC" w:rsidRDefault="00403354" w:rsidP="00F2451E">
      <w:pPr>
        <w:pStyle w:val="SCCNormalDoubleSpacing"/>
        <w:tabs>
          <w:tab w:val="left" w:pos="1170"/>
        </w:tabs>
      </w:pPr>
    </w:p>
    <w:p w:rsidR="004D3DEB" w:rsidRDefault="00A707F6" w:rsidP="00F2451E">
      <w:pPr>
        <w:pStyle w:val="SCCNormalDoubleSpacing"/>
        <w:tabs>
          <w:tab w:val="left" w:pos="1170"/>
        </w:tabs>
        <w:rPr>
          <w:rStyle w:val="SCCCounselPartyRoleChar"/>
        </w:rPr>
      </w:pPr>
      <w:r w:rsidRPr="001758BC">
        <w:rPr>
          <w:rStyle w:val="SCCCounselNameChar"/>
        </w:rPr>
        <w:tab/>
        <w:t>Patrick Ferland</w:t>
      </w:r>
      <w:r w:rsidRPr="001758BC">
        <w:rPr>
          <w:rStyle w:val="SCCCounselSeparatorChar"/>
        </w:rPr>
        <w:t xml:space="preserve"> and </w:t>
      </w:r>
      <w:r w:rsidRPr="001758BC">
        <w:rPr>
          <w:rStyle w:val="SCCCounselNameChar"/>
        </w:rPr>
        <w:t>David Quesnel</w:t>
      </w:r>
      <w:r w:rsidRPr="001758BC">
        <w:rPr>
          <w:rStyle w:val="SCCCounselPartyRoleChar"/>
        </w:rPr>
        <w:t>, for the intervener</w:t>
      </w:r>
      <w:r w:rsidR="006203D2" w:rsidRPr="001758BC">
        <w:rPr>
          <w:rStyle w:val="SCCCounselPartyRoleChar"/>
        </w:rPr>
        <w:t>s</w:t>
      </w:r>
      <w:r w:rsidR="00DC2E44" w:rsidRPr="001758BC">
        <w:rPr>
          <w:rStyle w:val="SCCCounselPartyRoleChar"/>
        </w:rPr>
        <w:t xml:space="preserve"> Roland Anglehart S</w:t>
      </w:r>
      <w:r w:rsidRPr="001758BC">
        <w:rPr>
          <w:rStyle w:val="SCCCounselPartyRoleChar"/>
        </w:rPr>
        <w:t>r. et al.</w:t>
      </w:r>
    </w:p>
    <w:p w:rsidR="00250536" w:rsidRDefault="00250536" w:rsidP="00F2451E">
      <w:pPr>
        <w:pStyle w:val="SCCNormalDoubleSpacing"/>
        <w:tabs>
          <w:tab w:val="left" w:pos="1170"/>
        </w:tabs>
        <w:rPr>
          <w:rStyle w:val="SCCCounselPartyRoleChar"/>
        </w:rPr>
      </w:pPr>
    </w:p>
    <w:p w:rsidR="00250536" w:rsidRPr="001758BC" w:rsidRDefault="00250536" w:rsidP="00F2451E">
      <w:pPr>
        <w:pStyle w:val="SCCNormalDoubleSpacing"/>
        <w:tabs>
          <w:tab w:val="left" w:pos="1170"/>
        </w:tabs>
      </w:pPr>
      <w:r>
        <w:rPr>
          <w:rStyle w:val="SCCCounselPartyRoleChar"/>
        </w:rPr>
        <w:tab/>
        <w:t>The judgment of the Court was delivered by</w:t>
      </w:r>
    </w:p>
    <w:p w:rsidR="00F44443" w:rsidRPr="00EE515E" w:rsidRDefault="00F44443" w:rsidP="00F44443"/>
    <w:p w:rsidR="00F44443" w:rsidRPr="00EE515E" w:rsidRDefault="00FC3D95" w:rsidP="00FC3D95">
      <w:pPr>
        <w:pStyle w:val="ReasonsNumbering-AltN"/>
        <w:ind w:left="0" w:firstLine="0"/>
      </w:pPr>
      <w:r w:rsidRPr="00FC3D95">
        <w:rPr>
          <w:smallCaps/>
        </w:rPr>
        <w:t>Binnie J.</w:t>
      </w:r>
      <w:r w:rsidRPr="00EE515E">
        <w:t xml:space="preserve"> — </w:t>
      </w:r>
      <w:r w:rsidR="00F44443" w:rsidRPr="00EE515E">
        <w:t xml:space="preserve">The question raised by this appeal is whether a prison inmate who seeks damages in the Ontario Superior Court of Justice against federal prison authorities for arbitrary detention and alleged mistreatment over a decade ago must first seek judicial review in the Federal Court to quash the segregation orders that are the basis of his claim.  </w:t>
      </w:r>
    </w:p>
    <w:p w:rsidR="00F44443" w:rsidRPr="00EE515E" w:rsidRDefault="00F44443" w:rsidP="00617648">
      <w:pPr>
        <w:pStyle w:val="ReasonsNumbering-AltN"/>
        <w:ind w:left="0" w:firstLine="0"/>
      </w:pPr>
      <w:r w:rsidRPr="00EE515E">
        <w:t xml:space="preserve">As in the companion case of </w:t>
      </w:r>
      <w:r w:rsidRPr="00EE515E">
        <w:rPr>
          <w:i/>
        </w:rPr>
        <w:t>Canada (Attorney General) v. TeleZone Inc.</w:t>
      </w:r>
      <w:r w:rsidRPr="00EE515E">
        <w:t xml:space="preserve">, 2010 SCC </w:t>
      </w:r>
      <w:r>
        <w:t>62</w:t>
      </w:r>
      <w:r w:rsidR="006B40A0">
        <w:t xml:space="preserve">, [2010] 3 S.C.R. </w:t>
      </w:r>
      <w:r w:rsidR="002A05CB">
        <w:t>585</w:t>
      </w:r>
      <w:r w:rsidRPr="00EE515E">
        <w:t xml:space="preserve">, released concurrently, the Attorney General of Canada characterizes the damages claim as a collateral attack on an administrative decision, here the segregation orders, and contests the jurisdiction of the provincial superior court to proceed unless and until the orders are set aside by the Federal Court.  Until that happens, he says, the Crown and its servants are fully protected from liability by the statutory authority granted by the </w:t>
      </w:r>
      <w:r w:rsidRPr="00EE515E">
        <w:rPr>
          <w:i/>
        </w:rPr>
        <w:t>Corrections and Conditional Release Act</w:t>
      </w:r>
      <w:r w:rsidRPr="00EE515E">
        <w:t xml:space="preserve">, S.C. 1992, c. 20.   For the reasons given in </w:t>
      </w:r>
      <w:proofErr w:type="spellStart"/>
      <w:r w:rsidRPr="00EE515E">
        <w:rPr>
          <w:i/>
        </w:rPr>
        <w:t>TeleZone</w:t>
      </w:r>
      <w:proofErr w:type="spellEnd"/>
      <w:r w:rsidR="002A05CB" w:rsidRPr="002A05CB">
        <w:t>,</w:t>
      </w:r>
      <w:r w:rsidRPr="00EE515E">
        <w:t xml:space="preserve"> I believe this </w:t>
      </w:r>
      <w:r w:rsidRPr="00EE515E">
        <w:lastRenderedPageBreak/>
        <w:t>objection to provincial superior court jurisdiction is not well founded.  The Ontario Court of Appeal so held.  I agree with that decision.  I would dismiss the appeal.</w:t>
      </w:r>
    </w:p>
    <w:p w:rsidR="00F44443" w:rsidRPr="00EE515E" w:rsidRDefault="009A0178" w:rsidP="009B422B">
      <w:pPr>
        <w:tabs>
          <w:tab w:val="left" w:pos="540"/>
        </w:tabs>
        <w:spacing w:after="720"/>
      </w:pPr>
      <w:r>
        <w:t>I.</w:t>
      </w:r>
      <w:r>
        <w:tab/>
      </w:r>
      <w:r w:rsidR="00F44443" w:rsidRPr="00EE515E">
        <w:rPr>
          <w:u w:val="single"/>
        </w:rPr>
        <w:t>Facts</w:t>
      </w:r>
    </w:p>
    <w:p w:rsidR="00F44443" w:rsidRPr="00EE515E" w:rsidRDefault="00F44443" w:rsidP="00617648">
      <w:pPr>
        <w:pStyle w:val="ReasonsNumbering-AltN"/>
        <w:ind w:left="0" w:firstLine="0"/>
      </w:pPr>
      <w:r w:rsidRPr="00EE515E">
        <w:t>In October 1994, while on parole in respect of a previous conviction, Mr. McArthur was arrested and charged with numerous offences including robbery, kidnapping, attempted murder and assault causing bodily harm.  He was brought to Millhaven, a federal institution, to await trial.  The appellant James Blackler was the warden of Millhaven at that time.  According to the allegations in the amended statement of claim, which for present purposes are to be taken as capable of proof, Mr. McArthur was kept in solitary confinement for approximately 18 months at Millhaven on the instructions of Mr. Blackler or other federal employees for whom the Crown is responsible.</w:t>
      </w:r>
    </w:p>
    <w:p w:rsidR="00F44443" w:rsidRPr="00EE515E" w:rsidRDefault="00F44443" w:rsidP="00617648">
      <w:pPr>
        <w:pStyle w:val="ReasonsNumbering-AltN"/>
        <w:ind w:left="0" w:firstLine="0"/>
      </w:pPr>
      <w:r w:rsidRPr="00EE515E">
        <w:t>In May 1996, Mr. McArthur was voluntarily transferred from Millhaven to the Kingston Penitentiary.  Just prior to Mr. McArthur’s arrival there, Mr. Blackler became the warden of the penitentiary and, so it is alleged in the amended statement of claim, caused Mr. McArthur to be placed in solitary confinement for another 14 months.  This was all done, it is alleged, with “animus and malicious ill-will (</w:t>
      </w:r>
      <w:r w:rsidRPr="00EE515E">
        <w:rPr>
          <w:i/>
        </w:rPr>
        <w:t>sic</w:t>
      </w:r>
      <w:r w:rsidRPr="00EE515E">
        <w:t>)” (para. 24).</w:t>
      </w:r>
    </w:p>
    <w:p w:rsidR="00F44443" w:rsidRPr="00EE515E" w:rsidRDefault="00F44443" w:rsidP="00617648">
      <w:pPr>
        <w:pStyle w:val="ReasonsNumbering-AltN"/>
        <w:ind w:left="0" w:firstLine="0"/>
      </w:pPr>
      <w:r w:rsidRPr="00EE515E">
        <w:lastRenderedPageBreak/>
        <w:t>Subsequently, the Correctional Service of Canada (“CSC”) transferred Mr. McArthur to the Special Handling Unit at Ste</w:t>
      </w:r>
      <w:r w:rsidR="006B40A0">
        <w:t>-</w:t>
      </w:r>
      <w:r w:rsidRPr="00EE515E">
        <w:t>Anne</w:t>
      </w:r>
      <w:r w:rsidR="006B40A0">
        <w:t>-</w:t>
      </w:r>
      <w:r w:rsidRPr="00EE515E">
        <w:t>des</w:t>
      </w:r>
      <w:r w:rsidR="006B40A0">
        <w:t>-</w:t>
      </w:r>
      <w:r w:rsidRPr="00EE515E">
        <w:t>Plaines, where he was again put in solitary confinement, this time for four months.  In total, Mr. McArthur spent approximately four years and six months in solitary confinement, segregation or in a special handling unit between 1994 and 1999.</w:t>
      </w:r>
    </w:p>
    <w:p w:rsidR="00F44443" w:rsidRPr="00EE515E" w:rsidRDefault="00F44443" w:rsidP="00617648">
      <w:pPr>
        <w:pStyle w:val="ReasonsNumbering-AltN"/>
        <w:ind w:left="0" w:firstLine="0"/>
      </w:pPr>
      <w:r w:rsidRPr="00EE515E">
        <w:t xml:space="preserve">Mr. McArthur alleges that he suffered losses as a result of four years and six months of involuntary solitary confinement in the form of “severe emotional and psychological </w:t>
      </w:r>
      <w:r w:rsidRPr="00EE515E">
        <w:rPr>
          <w:i/>
        </w:rPr>
        <w:t>injury and</w:t>
      </w:r>
      <w:r w:rsidRPr="00EE515E">
        <w:t xml:space="preserve"> harm” (para. 26 (emphasis in original)).  He was denied private family visits “routinely granted to other inmates whose circumstances [were] similar” (para. 24) as well as schooling, rehabilitation programs and “inmate leisure activities” (para. 25).  Moreover, he says the same actions caused his wife and his daughter to suffer severe emotional and psychological harm, as “they were denied contacts and visits with [him] routinely granted to other inmates” (para. 26). </w:t>
      </w:r>
    </w:p>
    <w:p w:rsidR="00F44443" w:rsidRPr="00EE515E" w:rsidRDefault="00F44443" w:rsidP="00617648">
      <w:pPr>
        <w:pStyle w:val="ReasonsNumbering-AltN"/>
        <w:ind w:left="0" w:firstLine="0"/>
      </w:pPr>
      <w:r w:rsidRPr="00EE515E">
        <w:t xml:space="preserve">Mr. McArthur insists that his detention in solitary confinement </w:t>
      </w:r>
      <w:r w:rsidRPr="00EE515E">
        <w:rPr>
          <w:color w:val="000000"/>
        </w:rPr>
        <w:t xml:space="preserve">(sometimes referred to as </w:t>
      </w:r>
      <w:r w:rsidRPr="00EE515E">
        <w:t>a “prison with</w:t>
      </w:r>
      <w:r w:rsidRPr="00EE515E">
        <w:rPr>
          <w:color w:val="000000"/>
        </w:rPr>
        <w:t>in</w:t>
      </w:r>
      <w:r w:rsidRPr="00EE515E">
        <w:t xml:space="preserve"> a prison”</w:t>
      </w:r>
      <w:r w:rsidRPr="00EE515E">
        <w:rPr>
          <w:color w:val="000000"/>
        </w:rPr>
        <w:t>)</w:t>
      </w:r>
      <w:r w:rsidRPr="00EE515E">
        <w:t xml:space="preserve"> was arbitrary and constituted cruel and unusual punishment, contrary to ss. 9 and 12 of the </w:t>
      </w:r>
      <w:r w:rsidRPr="00EE515E">
        <w:rPr>
          <w:i/>
        </w:rPr>
        <w:t>Canadian Charter of Rights and Freedoms</w:t>
      </w:r>
      <w:r w:rsidRPr="00EE515E">
        <w:t xml:space="preserve">.  He further alleges that the respondents failed to comply with the </w:t>
      </w:r>
      <w:r w:rsidRPr="00EE515E">
        <w:rPr>
          <w:i/>
        </w:rPr>
        <w:t>Corrections and Conditional Release Act</w:t>
      </w:r>
      <w:r w:rsidRPr="00EE515E">
        <w:t xml:space="preserve">, which, together with its regulations and the directives of the Commissioner of Corrections, governs the circumstances in which an inmate may be placed in solitary confinement.  Mr. McArthur alleges the series of decisions to place and retain him in solitary confinement for such an </w:t>
      </w:r>
      <w:r w:rsidRPr="00EE515E">
        <w:lastRenderedPageBreak/>
        <w:t>extensive period of time was made deliberately and maliciously, or, in the alternative, negligently.  He seeks damages for wrongful or false imprisonment, and for the intentional or negligent infliction of emotional and mental distress.  Mr. McArthur does not seek to set aside the segregation orders, whose practical effects were exhausted over 10 years ago when he was eventually released from solitary confinement.</w:t>
      </w:r>
    </w:p>
    <w:p w:rsidR="00F44443" w:rsidRPr="00EE515E" w:rsidRDefault="00F44443" w:rsidP="009B422B">
      <w:pPr>
        <w:tabs>
          <w:tab w:val="left" w:pos="540"/>
        </w:tabs>
        <w:spacing w:after="720"/>
      </w:pPr>
      <w:r w:rsidRPr="00EE515E">
        <w:t>II.</w:t>
      </w:r>
      <w:r w:rsidR="009A0178">
        <w:tab/>
      </w:r>
      <w:r w:rsidRPr="00617648">
        <w:rPr>
          <w:u w:val="single"/>
        </w:rPr>
        <w:t>Judicial History</w:t>
      </w:r>
    </w:p>
    <w:p w:rsidR="00F44443" w:rsidRPr="00EE515E" w:rsidRDefault="00F44443" w:rsidP="009B422B">
      <w:pPr>
        <w:tabs>
          <w:tab w:val="left" w:pos="540"/>
        </w:tabs>
        <w:spacing w:after="720"/>
      </w:pPr>
      <w:r w:rsidRPr="00EE515E">
        <w:t>A.</w:t>
      </w:r>
      <w:r w:rsidR="009A0178">
        <w:tab/>
      </w:r>
      <w:r w:rsidRPr="00617648">
        <w:rPr>
          <w:i/>
        </w:rPr>
        <w:t>Superior Court of Ontario (Pedlar J.), 2006 Carswell</w:t>
      </w:r>
      <w:r w:rsidR="006B40A0">
        <w:rPr>
          <w:i/>
        </w:rPr>
        <w:t>Ont</w:t>
      </w:r>
      <w:r w:rsidRPr="00617648">
        <w:rPr>
          <w:i/>
        </w:rPr>
        <w:t xml:space="preserve"> 9820</w:t>
      </w:r>
    </w:p>
    <w:p w:rsidR="00F44443" w:rsidRPr="00EE515E" w:rsidRDefault="00F44443" w:rsidP="00617648">
      <w:pPr>
        <w:pStyle w:val="ReasonsNumbering-AltN"/>
        <w:ind w:left="0" w:firstLine="0"/>
      </w:pPr>
      <w:r w:rsidRPr="00EE515E">
        <w:t xml:space="preserve">The motions judge accepted the Attorney General’s argument based on the decision of the Federal Court of Appeal in </w:t>
      </w:r>
      <w:r w:rsidRPr="00EE515E">
        <w:rPr>
          <w:i/>
        </w:rPr>
        <w:t>Canada v. Grenier</w:t>
      </w:r>
      <w:r w:rsidRPr="00EE515E">
        <w:t xml:space="preserve">, 2005 FCA 348, [2006] 2 F.C.R. 287, which was decided on similar facts.  He concluded that to permit the damages action to proceed in the Superior Court would disregard or deny the intention clearly expressed by Parliament in the </w:t>
      </w:r>
      <w:r w:rsidRPr="00EE515E">
        <w:rPr>
          <w:i/>
        </w:rPr>
        <w:t>Federal Courts Act</w:t>
      </w:r>
      <w:r w:rsidRPr="00EE515E">
        <w:t xml:space="preserve">, R.S.C. 1985, c. F-7, to grant the Federal Court </w:t>
      </w:r>
      <w:r w:rsidRPr="00EE515E">
        <w:rPr>
          <w:i/>
        </w:rPr>
        <w:t>exclusive</w:t>
      </w:r>
      <w:r w:rsidRPr="00EE515E">
        <w:t xml:space="preserve"> jurisdiction in matters of judicial review.  Accordingly, a plaintiff who claims to have suffered compensable loss as a result of an  administrative decision must first have the lawfulness of the decision determined by the Federal Court.  The motions judge stated, “I don’t think the Ontario Superior Court has jurisdiction until that’s done” (</w:t>
      </w:r>
      <w:proofErr w:type="spellStart"/>
      <w:r w:rsidRPr="00EE515E">
        <w:t>para</w:t>
      </w:r>
      <w:proofErr w:type="spellEnd"/>
      <w:r w:rsidRPr="00EE515E">
        <w:t>. 8).</w:t>
      </w:r>
    </w:p>
    <w:p w:rsidR="00F44443" w:rsidRPr="00EE515E" w:rsidRDefault="00F44443" w:rsidP="009B422B">
      <w:pPr>
        <w:tabs>
          <w:tab w:val="left" w:pos="540"/>
        </w:tabs>
        <w:spacing w:after="720"/>
        <w:ind w:left="540" w:hanging="540"/>
      </w:pPr>
      <w:r w:rsidRPr="00EE515E">
        <w:t>B.</w:t>
      </w:r>
      <w:r w:rsidR="00617648">
        <w:tab/>
      </w:r>
      <w:r w:rsidRPr="00617648">
        <w:rPr>
          <w:i/>
        </w:rPr>
        <w:t>Ontario Court of Appeal (</w:t>
      </w:r>
      <w:proofErr w:type="spellStart"/>
      <w:r w:rsidRPr="00617648">
        <w:rPr>
          <w:i/>
        </w:rPr>
        <w:t>Laskin</w:t>
      </w:r>
      <w:proofErr w:type="spellEnd"/>
      <w:r w:rsidRPr="00617648">
        <w:rPr>
          <w:i/>
        </w:rPr>
        <w:t xml:space="preserve">, </w:t>
      </w:r>
      <w:proofErr w:type="spellStart"/>
      <w:r w:rsidRPr="00617648">
        <w:rPr>
          <w:i/>
        </w:rPr>
        <w:t>Borins</w:t>
      </w:r>
      <w:proofErr w:type="spellEnd"/>
      <w:r w:rsidRPr="00617648">
        <w:rPr>
          <w:i/>
        </w:rPr>
        <w:t xml:space="preserve"> and Feldman JJ.A.),</w:t>
      </w:r>
      <w:r w:rsidR="00131745">
        <w:rPr>
          <w:i/>
        </w:rPr>
        <w:t xml:space="preserve"> </w:t>
      </w:r>
      <w:r w:rsidRPr="00617648">
        <w:rPr>
          <w:i/>
        </w:rPr>
        <w:t>2008 ONCA 892, 94 O.R. (3d) 19</w:t>
      </w:r>
    </w:p>
    <w:p w:rsidR="00F44443" w:rsidRPr="00EE515E" w:rsidRDefault="00F44443" w:rsidP="00617648">
      <w:pPr>
        <w:pStyle w:val="ReasonsNumbering-AltN"/>
        <w:ind w:left="0" w:firstLine="0"/>
      </w:pPr>
      <w:r w:rsidRPr="00EE515E">
        <w:lastRenderedPageBreak/>
        <w:t>In a unanimous decision authored by Borins J.A., the court concluded that “</w:t>
      </w:r>
      <w:r w:rsidRPr="00EE515E">
        <w:rPr>
          <w:i/>
        </w:rPr>
        <w:t>Grenier</w:t>
      </w:r>
      <w:r w:rsidRPr="00EE515E">
        <w:t xml:space="preserve"> was not correctly decided” (para. 100).  The Attorney General had not established that the plaintiff’s claims fit “squarely within s. 18(1)” (para. 94) of the </w:t>
      </w:r>
      <w:r w:rsidRPr="00EE515E">
        <w:rPr>
          <w:i/>
        </w:rPr>
        <w:t>Federal Courts Act</w:t>
      </w:r>
      <w:r w:rsidRPr="00EE515E">
        <w:t xml:space="preserve"> which, in the court’s view, is concerned with remedies:  </w:t>
      </w:r>
    </w:p>
    <w:p w:rsidR="00F44443" w:rsidRPr="00EE515E" w:rsidRDefault="00F44443" w:rsidP="006B40A0">
      <w:pPr>
        <w:pStyle w:val="Citation"/>
        <w:spacing w:after="240"/>
      </w:pPr>
      <w:r w:rsidRPr="00EE515E">
        <w:t>In none of the cases is a remedy sought that comes within the prerogative writs or extraordinary remedies of s. 18.  Section 18 does not empower the Federal Court to award da</w:t>
      </w:r>
      <w:r w:rsidR="006B40A0">
        <w:t>mages, which are sought [here]. . . .</w:t>
      </w:r>
    </w:p>
    <w:p w:rsidR="00F44443" w:rsidRPr="00EE515E" w:rsidRDefault="00F44443" w:rsidP="00F44443">
      <w:pPr>
        <w:pStyle w:val="Citation"/>
        <w:jc w:val="center"/>
      </w:pPr>
    </w:p>
    <w:p w:rsidR="00F44443" w:rsidRPr="00EE515E" w:rsidRDefault="00D65A98" w:rsidP="00D65A98">
      <w:pPr>
        <w:pStyle w:val="Citation"/>
        <w:tabs>
          <w:tab w:val="left" w:pos="1620"/>
        </w:tabs>
        <w:ind w:left="1170"/>
      </w:pPr>
      <w:r>
        <w:tab/>
      </w:r>
      <w:r w:rsidR="00F44443" w:rsidRPr="00EE515E">
        <w:t>. . . Causes of action in contract or tort are distinct from the prerogative writs and extraordinary remedies described in s. 18.  Shortly put, relief by way of damages is not a form of relief contemplated by s. 18. [paras. 94-95]</w:t>
      </w:r>
    </w:p>
    <w:p w:rsidR="00F44443" w:rsidRPr="00EE515E" w:rsidRDefault="00F44443" w:rsidP="00617648">
      <w:pPr>
        <w:pStyle w:val="SCCNormalDoubleSpacing"/>
        <w:spacing w:after="480"/>
      </w:pPr>
      <w:r w:rsidRPr="00EE515E">
        <w:t>Accordingly, the appeal was allowed.</w:t>
      </w:r>
    </w:p>
    <w:p w:rsidR="00F44443" w:rsidRPr="00EE515E" w:rsidRDefault="00F44443" w:rsidP="009B422B">
      <w:pPr>
        <w:tabs>
          <w:tab w:val="left" w:pos="540"/>
        </w:tabs>
        <w:spacing w:after="720"/>
        <w:ind w:left="540" w:hanging="540"/>
      </w:pPr>
      <w:r w:rsidRPr="00EE515E">
        <w:t>III.</w:t>
      </w:r>
      <w:r w:rsidR="009A0178">
        <w:tab/>
      </w:r>
      <w:r w:rsidRPr="00617648">
        <w:rPr>
          <w:u w:val="single"/>
        </w:rPr>
        <w:t>Relevant Provisions</w:t>
      </w:r>
    </w:p>
    <w:p w:rsidR="00F44443" w:rsidRPr="00EE515E" w:rsidRDefault="00F44443" w:rsidP="00617648">
      <w:pPr>
        <w:pStyle w:val="ReasonsNumbering-AltN"/>
        <w:ind w:left="0" w:firstLine="0"/>
        <w:rPr>
          <w:i/>
        </w:rPr>
      </w:pPr>
      <w:r w:rsidRPr="00EE515E">
        <w:rPr>
          <w:i/>
        </w:rPr>
        <w:t xml:space="preserve">Corrections and </w:t>
      </w:r>
      <w:r w:rsidRPr="00617648">
        <w:t>Conditional</w:t>
      </w:r>
      <w:r w:rsidRPr="00EE515E">
        <w:rPr>
          <w:i/>
        </w:rPr>
        <w:t xml:space="preserve"> Release Act</w:t>
      </w:r>
      <w:r w:rsidRPr="00EE515E">
        <w:t>, S.C. 1992, c. 20</w:t>
      </w:r>
      <w:r w:rsidRPr="00EE515E">
        <w:rPr>
          <w:i/>
        </w:rPr>
        <w:t xml:space="preserve"> </w:t>
      </w:r>
    </w:p>
    <w:p w:rsidR="00F44443" w:rsidRDefault="009B422B" w:rsidP="009B422B">
      <w:pPr>
        <w:pStyle w:val="Citation1"/>
        <w:tabs>
          <w:tab w:val="left" w:pos="1620"/>
          <w:tab w:val="left" w:pos="1980"/>
          <w:tab w:val="left" w:pos="2520"/>
        </w:tabs>
        <w:spacing w:after="0"/>
        <w:ind w:left="1170"/>
        <w:contextualSpacing w:val="0"/>
      </w:pPr>
      <w:r>
        <w:rPr>
          <w:b/>
        </w:rPr>
        <w:tab/>
      </w:r>
      <w:r w:rsidR="00F44443" w:rsidRPr="00EE515E">
        <w:rPr>
          <w:b/>
        </w:rPr>
        <w:t>3.</w:t>
      </w:r>
      <w:r w:rsidR="00963A38" w:rsidRPr="00963A38">
        <w:rPr>
          <w:lang w:val="en-US"/>
        </w:rPr>
        <w:t> </w:t>
      </w:r>
      <w:r w:rsidR="00F44443" w:rsidRPr="00EE515E">
        <w:t xml:space="preserve">[Purpose of correctional system] </w:t>
      </w:r>
      <w:proofErr w:type="gramStart"/>
      <w:r w:rsidR="00F44443" w:rsidRPr="00EE515E">
        <w:t>The</w:t>
      </w:r>
      <w:proofErr w:type="gramEnd"/>
      <w:r w:rsidR="00F44443" w:rsidRPr="00EE515E">
        <w:t xml:space="preserve"> purpose of the federal correctional system is to contribute to the maintenance of a just, peaceful and safe society by </w:t>
      </w:r>
    </w:p>
    <w:p w:rsidR="009B422B" w:rsidRPr="00EE515E" w:rsidRDefault="009B422B" w:rsidP="009B422B">
      <w:pPr>
        <w:pStyle w:val="Citation1"/>
        <w:tabs>
          <w:tab w:val="left" w:pos="1620"/>
          <w:tab w:val="left" w:pos="1980"/>
          <w:tab w:val="left" w:pos="2520"/>
        </w:tabs>
        <w:spacing w:after="0"/>
        <w:ind w:left="1170"/>
        <w:contextualSpacing w:val="0"/>
      </w:pPr>
    </w:p>
    <w:p w:rsidR="00F44443" w:rsidRDefault="009B422B" w:rsidP="003C3A7D">
      <w:pPr>
        <w:pStyle w:val="Citation1"/>
        <w:tabs>
          <w:tab w:val="left" w:pos="1620"/>
          <w:tab w:val="left" w:pos="2070"/>
          <w:tab w:val="left" w:pos="2520"/>
        </w:tabs>
        <w:spacing w:after="0"/>
        <w:ind w:left="1620" w:hanging="450"/>
        <w:contextualSpacing w:val="0"/>
      </w:pPr>
      <w:r w:rsidRPr="009B422B">
        <w:rPr>
          <w:i/>
        </w:rPr>
        <w:tab/>
      </w:r>
      <w:r>
        <w:t>(</w:t>
      </w:r>
      <w:r w:rsidRPr="003C3A7D">
        <w:rPr>
          <w:i/>
        </w:rPr>
        <w:t>a</w:t>
      </w:r>
      <w:r>
        <w:t>)</w:t>
      </w:r>
      <w:r>
        <w:tab/>
      </w:r>
      <w:proofErr w:type="gramStart"/>
      <w:r w:rsidR="00F44443" w:rsidRPr="00EE515E">
        <w:t>carrying</w:t>
      </w:r>
      <w:proofErr w:type="gramEnd"/>
      <w:r w:rsidR="00F44443" w:rsidRPr="00EE515E">
        <w:t xml:space="preserve"> out sentences imposed by courts through the safe and humane custody and supervision of offenders; and</w:t>
      </w:r>
    </w:p>
    <w:p w:rsidR="009B422B" w:rsidRPr="00EE515E" w:rsidRDefault="009B422B" w:rsidP="009B422B">
      <w:pPr>
        <w:pStyle w:val="Citation1"/>
        <w:tabs>
          <w:tab w:val="left" w:pos="1620"/>
          <w:tab w:val="left" w:pos="1980"/>
          <w:tab w:val="left" w:pos="2520"/>
        </w:tabs>
        <w:spacing w:after="0"/>
        <w:ind w:left="1620" w:hanging="450"/>
        <w:contextualSpacing w:val="0"/>
      </w:pPr>
    </w:p>
    <w:p w:rsidR="00F44443" w:rsidRDefault="00AD26D4" w:rsidP="003C3A7D">
      <w:pPr>
        <w:pStyle w:val="Citation1"/>
        <w:tabs>
          <w:tab w:val="left" w:pos="1620"/>
          <w:tab w:val="left" w:pos="2070"/>
          <w:tab w:val="left" w:pos="2520"/>
        </w:tabs>
        <w:spacing w:after="0"/>
        <w:ind w:left="1620" w:hanging="450"/>
        <w:contextualSpacing w:val="0"/>
      </w:pPr>
      <w:r>
        <w:tab/>
      </w:r>
      <w:r w:rsidR="00F44443" w:rsidRPr="00EE515E">
        <w:t>(</w:t>
      </w:r>
      <w:r w:rsidR="00F44443" w:rsidRPr="00EE515E">
        <w:rPr>
          <w:i/>
        </w:rPr>
        <w:t>b</w:t>
      </w:r>
      <w:r w:rsidR="005F5343">
        <w:t>)</w:t>
      </w:r>
      <w:r w:rsidR="005F5343">
        <w:tab/>
      </w:r>
      <w:proofErr w:type="gramStart"/>
      <w:r w:rsidR="00F44443" w:rsidRPr="00EE515E">
        <w:t>assisting</w:t>
      </w:r>
      <w:proofErr w:type="gramEnd"/>
      <w:r w:rsidR="00F44443" w:rsidRPr="00EE515E">
        <w:t xml:space="preserve"> the rehabilitation of offenders and their reintegration into the community as law-abiding citizens through the provision of programs in penitentiaries and in the community.</w:t>
      </w:r>
    </w:p>
    <w:p w:rsidR="00AD26D4" w:rsidRPr="00EE515E" w:rsidRDefault="00AD26D4" w:rsidP="00AD26D4">
      <w:pPr>
        <w:pStyle w:val="Citation1"/>
        <w:tabs>
          <w:tab w:val="left" w:pos="1620"/>
          <w:tab w:val="left" w:pos="1980"/>
          <w:tab w:val="left" w:pos="2520"/>
        </w:tabs>
        <w:spacing w:after="0"/>
        <w:ind w:left="1620" w:hanging="450"/>
        <w:contextualSpacing w:val="0"/>
      </w:pPr>
    </w:p>
    <w:p w:rsidR="00F44443" w:rsidRPr="005F5343" w:rsidRDefault="00F44443" w:rsidP="005F5343">
      <w:pPr>
        <w:pStyle w:val="Citation"/>
        <w:spacing w:after="240"/>
        <w:contextualSpacing w:val="0"/>
        <w:jc w:val="center"/>
        <w:rPr>
          <w:i/>
        </w:rPr>
      </w:pPr>
      <w:r w:rsidRPr="005F5343">
        <w:rPr>
          <w:i/>
        </w:rPr>
        <w:t>Administrative Segregation</w:t>
      </w:r>
    </w:p>
    <w:p w:rsidR="00F44443" w:rsidRDefault="00AD26D4" w:rsidP="00AD26D4">
      <w:pPr>
        <w:pStyle w:val="Citation1"/>
        <w:tabs>
          <w:tab w:val="left" w:pos="1620"/>
          <w:tab w:val="left" w:pos="1980"/>
          <w:tab w:val="left" w:pos="2520"/>
        </w:tabs>
        <w:spacing w:after="0"/>
        <w:ind w:left="1170"/>
        <w:contextualSpacing w:val="0"/>
      </w:pPr>
      <w:r>
        <w:rPr>
          <w:b/>
        </w:rPr>
        <w:lastRenderedPageBreak/>
        <w:tab/>
      </w:r>
      <w:r w:rsidR="00F44443" w:rsidRPr="00EE515E">
        <w:rPr>
          <w:b/>
        </w:rPr>
        <w:t>31.</w:t>
      </w:r>
      <w:r w:rsidR="00963A38" w:rsidRPr="00963A38">
        <w:rPr>
          <w:lang w:val="en-US"/>
        </w:rPr>
        <w:t> </w:t>
      </w:r>
      <w:r w:rsidR="00F44443" w:rsidRPr="00EE515E">
        <w:t>(1)</w:t>
      </w:r>
      <w:r w:rsidR="00963A38" w:rsidRPr="00963A38">
        <w:rPr>
          <w:lang w:val="en-US"/>
        </w:rPr>
        <w:t> </w:t>
      </w:r>
      <w:r w:rsidR="00F44443" w:rsidRPr="00EE515E">
        <w:t>[Purpose]</w:t>
      </w:r>
      <w:r w:rsidR="00963A38" w:rsidRPr="00963A38">
        <w:rPr>
          <w:lang w:val="en-US"/>
        </w:rPr>
        <w:t> </w:t>
      </w:r>
      <w:r w:rsidR="00F44443" w:rsidRPr="00EE515E">
        <w:t xml:space="preserve">The purpose of administrative segregation is to keep an inmate from associating with the general inmate population. </w:t>
      </w:r>
    </w:p>
    <w:p w:rsidR="00AD26D4" w:rsidRPr="00EE515E" w:rsidRDefault="00AD26D4" w:rsidP="00AD26D4">
      <w:pPr>
        <w:pStyle w:val="Citation1"/>
        <w:tabs>
          <w:tab w:val="left" w:pos="1620"/>
          <w:tab w:val="left" w:pos="1980"/>
          <w:tab w:val="left" w:pos="2520"/>
        </w:tabs>
        <w:spacing w:after="0"/>
        <w:ind w:left="1170"/>
        <w:contextualSpacing w:val="0"/>
      </w:pPr>
    </w:p>
    <w:p w:rsidR="00F44443" w:rsidRDefault="00AD26D4" w:rsidP="00AD26D4">
      <w:pPr>
        <w:pStyle w:val="Citation1"/>
        <w:tabs>
          <w:tab w:val="left" w:pos="1620"/>
          <w:tab w:val="left" w:pos="1980"/>
          <w:tab w:val="left" w:pos="2520"/>
        </w:tabs>
        <w:spacing w:after="0"/>
        <w:ind w:left="1170"/>
        <w:contextualSpacing w:val="0"/>
      </w:pPr>
      <w:r>
        <w:tab/>
      </w:r>
      <w:r w:rsidR="00963A38">
        <w:t>(2)</w:t>
      </w:r>
      <w:r w:rsidR="00963A38" w:rsidRPr="00963A38">
        <w:rPr>
          <w:lang w:val="en-US"/>
        </w:rPr>
        <w:t> </w:t>
      </w:r>
      <w:r w:rsidR="00F44443" w:rsidRPr="00EE515E">
        <w:t>[Duration]</w:t>
      </w:r>
      <w:r w:rsidR="00963A38" w:rsidRPr="00963A38">
        <w:rPr>
          <w:lang w:val="en-US"/>
        </w:rPr>
        <w:t> </w:t>
      </w:r>
      <w:r w:rsidR="00F44443" w:rsidRPr="00EE515E">
        <w:t xml:space="preserve">Where an inmate is in administrative segregation in a penitentiary, the Service shall endeavour to return the inmate to the general inmate population, either of that penitentiary or of another penitentiary, at the earliest appropriate time. </w:t>
      </w:r>
    </w:p>
    <w:p w:rsidR="00AD26D4" w:rsidRPr="00EE515E" w:rsidRDefault="00AD26D4" w:rsidP="00AD26D4">
      <w:pPr>
        <w:pStyle w:val="Citation1"/>
        <w:tabs>
          <w:tab w:val="left" w:pos="1620"/>
          <w:tab w:val="left" w:pos="1980"/>
          <w:tab w:val="left" w:pos="2520"/>
        </w:tabs>
        <w:spacing w:after="0"/>
        <w:ind w:left="1170"/>
        <w:contextualSpacing w:val="0"/>
      </w:pPr>
    </w:p>
    <w:p w:rsidR="00F44443" w:rsidRDefault="00AD26D4" w:rsidP="00AD26D4">
      <w:pPr>
        <w:pStyle w:val="Citation1"/>
        <w:tabs>
          <w:tab w:val="left" w:pos="1620"/>
          <w:tab w:val="left" w:pos="1980"/>
          <w:tab w:val="left" w:pos="2520"/>
        </w:tabs>
        <w:spacing w:after="0"/>
        <w:ind w:left="1170"/>
        <w:contextualSpacing w:val="0"/>
      </w:pPr>
      <w:r>
        <w:tab/>
      </w:r>
      <w:r w:rsidR="00963A38">
        <w:t>(3)</w:t>
      </w:r>
      <w:r w:rsidR="00963A38" w:rsidRPr="00963A38">
        <w:rPr>
          <w:lang w:val="en-US"/>
        </w:rPr>
        <w:t> </w:t>
      </w:r>
      <w:r w:rsidR="00F44443" w:rsidRPr="00EE515E">
        <w:t xml:space="preserve">[Grounds for confining inmate in administrative segregation] </w:t>
      </w:r>
      <w:proofErr w:type="gramStart"/>
      <w:r w:rsidR="00F44443" w:rsidRPr="00EE515E">
        <w:t>The</w:t>
      </w:r>
      <w:proofErr w:type="gramEnd"/>
      <w:r w:rsidR="00F44443" w:rsidRPr="00EE515E">
        <w:t xml:space="preserve"> institutional head may order that an inmate be confined in administrative segregation if the institutional head believes on reasonable grounds </w:t>
      </w:r>
    </w:p>
    <w:p w:rsidR="00AD26D4" w:rsidRPr="00EE515E" w:rsidRDefault="00AD26D4" w:rsidP="00AD26D4">
      <w:pPr>
        <w:pStyle w:val="Citation1"/>
        <w:tabs>
          <w:tab w:val="left" w:pos="1620"/>
          <w:tab w:val="left" w:pos="1980"/>
          <w:tab w:val="left" w:pos="2520"/>
        </w:tabs>
        <w:spacing w:after="0"/>
        <w:ind w:left="1170"/>
        <w:contextualSpacing w:val="0"/>
      </w:pPr>
    </w:p>
    <w:p w:rsidR="00F44443" w:rsidRDefault="003C3A7D" w:rsidP="003C3A7D">
      <w:pPr>
        <w:pStyle w:val="Citation1"/>
        <w:tabs>
          <w:tab w:val="left" w:pos="1620"/>
          <w:tab w:val="left" w:pos="2070"/>
          <w:tab w:val="left" w:pos="2520"/>
        </w:tabs>
        <w:spacing w:after="0"/>
        <w:ind w:left="1620" w:hanging="450"/>
        <w:contextualSpacing w:val="0"/>
      </w:pPr>
      <w:r>
        <w:tab/>
      </w:r>
      <w:r w:rsidR="00AD26D4">
        <w:t>(</w:t>
      </w:r>
      <w:proofErr w:type="gramStart"/>
      <w:r w:rsidR="00AD26D4" w:rsidRPr="00AD26D4">
        <w:rPr>
          <w:i/>
        </w:rPr>
        <w:t>a</w:t>
      </w:r>
      <w:proofErr w:type="gramEnd"/>
      <w:r w:rsidR="00AD26D4">
        <w:t>)</w:t>
      </w:r>
      <w:r w:rsidR="00AD26D4">
        <w:tab/>
      </w:r>
      <w:r w:rsidR="00F44443" w:rsidRPr="00EE515E">
        <w:t xml:space="preserve">that </w:t>
      </w:r>
    </w:p>
    <w:p w:rsidR="00AD26D4" w:rsidRPr="00EE515E" w:rsidRDefault="00AD26D4" w:rsidP="00AD26D4">
      <w:pPr>
        <w:pStyle w:val="Citation1"/>
        <w:tabs>
          <w:tab w:val="left" w:pos="1620"/>
          <w:tab w:val="left" w:pos="1980"/>
          <w:tab w:val="left" w:pos="2520"/>
        </w:tabs>
        <w:spacing w:after="0"/>
        <w:ind w:left="1980"/>
        <w:contextualSpacing w:val="0"/>
      </w:pPr>
    </w:p>
    <w:p w:rsidR="00F44443" w:rsidRDefault="00C867F9" w:rsidP="005A23CF">
      <w:pPr>
        <w:pStyle w:val="Citation1"/>
        <w:tabs>
          <w:tab w:val="left" w:pos="1620"/>
          <w:tab w:val="left" w:pos="2070"/>
          <w:tab w:val="left" w:pos="2520"/>
        </w:tabs>
        <w:spacing w:after="0"/>
        <w:ind w:left="2070" w:hanging="900"/>
        <w:contextualSpacing w:val="0"/>
      </w:pPr>
      <w:r>
        <w:tab/>
      </w:r>
      <w:r>
        <w:tab/>
        <w:t>(</w:t>
      </w:r>
      <w:proofErr w:type="spellStart"/>
      <w:r>
        <w:t>i</w:t>
      </w:r>
      <w:proofErr w:type="spellEnd"/>
      <w:r>
        <w:t>)</w:t>
      </w:r>
      <w:r>
        <w:tab/>
      </w:r>
      <w:proofErr w:type="gramStart"/>
      <w:r w:rsidR="00F44443" w:rsidRPr="00EE515E">
        <w:t>the</w:t>
      </w:r>
      <w:proofErr w:type="gramEnd"/>
      <w:r w:rsidR="00F44443" w:rsidRPr="00EE515E">
        <w:t xml:space="preserve"> inmate has acted, has attempted to act or intends to act in a manner that jeopardizes the security of the penitentiary or the safety of any person, and</w:t>
      </w:r>
    </w:p>
    <w:p w:rsidR="00AD26D4" w:rsidRPr="00EE515E" w:rsidRDefault="00AD26D4" w:rsidP="00AD26D4">
      <w:pPr>
        <w:pStyle w:val="Citation1"/>
        <w:tabs>
          <w:tab w:val="left" w:pos="1620"/>
          <w:tab w:val="left" w:pos="1980"/>
          <w:tab w:val="left" w:pos="2520"/>
        </w:tabs>
        <w:spacing w:after="0"/>
        <w:ind w:left="2700"/>
        <w:contextualSpacing w:val="0"/>
      </w:pPr>
    </w:p>
    <w:p w:rsidR="00F44443" w:rsidRDefault="00C867F9" w:rsidP="0068601B">
      <w:pPr>
        <w:pStyle w:val="Citation1"/>
        <w:tabs>
          <w:tab w:val="left" w:pos="1620"/>
          <w:tab w:val="left" w:pos="2070"/>
          <w:tab w:val="left" w:pos="2520"/>
        </w:tabs>
        <w:spacing w:after="0"/>
        <w:ind w:left="2070" w:hanging="900"/>
        <w:contextualSpacing w:val="0"/>
      </w:pPr>
      <w:r>
        <w:tab/>
      </w:r>
      <w:r>
        <w:tab/>
        <w:t>(ii)</w:t>
      </w:r>
      <w:r>
        <w:tab/>
      </w:r>
      <w:proofErr w:type="gramStart"/>
      <w:r w:rsidR="00F44443" w:rsidRPr="00EE515E">
        <w:t>the</w:t>
      </w:r>
      <w:proofErr w:type="gramEnd"/>
      <w:r w:rsidR="00F44443" w:rsidRPr="00EE515E">
        <w:t xml:space="preserve"> continued presence of the inmate in the general inmate population would jeopardize the security of the penitentiary or the safety of any person,</w:t>
      </w:r>
    </w:p>
    <w:p w:rsidR="00AD26D4" w:rsidRPr="00EE515E" w:rsidRDefault="00AD26D4" w:rsidP="00AD26D4">
      <w:pPr>
        <w:pStyle w:val="Citation1"/>
        <w:tabs>
          <w:tab w:val="left" w:pos="1620"/>
          <w:tab w:val="left" w:pos="1980"/>
          <w:tab w:val="left" w:pos="2520"/>
        </w:tabs>
        <w:spacing w:after="0"/>
        <w:ind w:left="2520"/>
        <w:contextualSpacing w:val="0"/>
      </w:pPr>
    </w:p>
    <w:p w:rsidR="00F44443" w:rsidRDefault="00AD26D4" w:rsidP="003C3A7D">
      <w:pPr>
        <w:pStyle w:val="Citation1"/>
        <w:tabs>
          <w:tab w:val="left" w:pos="1620"/>
          <w:tab w:val="left" w:pos="2070"/>
          <w:tab w:val="left" w:pos="2520"/>
        </w:tabs>
        <w:spacing w:after="0"/>
        <w:ind w:left="1620" w:hanging="450"/>
        <w:contextualSpacing w:val="0"/>
      </w:pPr>
      <w:r w:rsidRPr="00AD26D4">
        <w:rPr>
          <w:i/>
        </w:rPr>
        <w:tab/>
      </w:r>
      <w:r>
        <w:t>(</w:t>
      </w:r>
      <w:r w:rsidRPr="00AD26D4">
        <w:rPr>
          <w:i/>
        </w:rPr>
        <w:t>b</w:t>
      </w:r>
      <w:r>
        <w:t>)</w:t>
      </w:r>
      <w:r>
        <w:tab/>
      </w:r>
      <w:proofErr w:type="gramStart"/>
      <w:r w:rsidR="00F44443" w:rsidRPr="00EE515E">
        <w:t>that</w:t>
      </w:r>
      <w:proofErr w:type="gramEnd"/>
      <w:r w:rsidR="00F44443" w:rsidRPr="00EE515E">
        <w:t xml:space="preserve"> the continued presence of the inmate in the general inmate population would interfere with an investigation that could lead to a criminal charge or a charge under subsection 41(2) of a serious disciplinary offence, or</w:t>
      </w:r>
    </w:p>
    <w:p w:rsidR="00AD26D4" w:rsidRPr="00EE515E" w:rsidRDefault="00AD26D4" w:rsidP="00AD26D4">
      <w:pPr>
        <w:pStyle w:val="Citation1"/>
        <w:tabs>
          <w:tab w:val="left" w:pos="1620"/>
          <w:tab w:val="left" w:pos="1980"/>
          <w:tab w:val="left" w:pos="2520"/>
        </w:tabs>
        <w:spacing w:after="0"/>
        <w:ind w:left="1620" w:hanging="454"/>
        <w:contextualSpacing w:val="0"/>
      </w:pPr>
    </w:p>
    <w:p w:rsidR="00B50BDB" w:rsidRDefault="00AD26D4" w:rsidP="003C3A7D">
      <w:pPr>
        <w:pStyle w:val="Citation1"/>
        <w:tabs>
          <w:tab w:val="left" w:pos="1620"/>
          <w:tab w:val="left" w:pos="2070"/>
          <w:tab w:val="left" w:pos="2520"/>
        </w:tabs>
        <w:spacing w:after="0"/>
        <w:ind w:left="1620" w:hanging="450"/>
        <w:contextualSpacing w:val="0"/>
      </w:pPr>
      <w:r>
        <w:tab/>
      </w:r>
      <w:r w:rsidR="00F44443" w:rsidRPr="00EE515E">
        <w:t>(</w:t>
      </w:r>
      <w:r w:rsidR="00F44443" w:rsidRPr="00EE515E">
        <w:rPr>
          <w:i/>
        </w:rPr>
        <w:t>c</w:t>
      </w:r>
      <w:r w:rsidR="005F5343">
        <w:t>)</w:t>
      </w:r>
      <w:r w:rsidR="005F5343">
        <w:tab/>
      </w:r>
      <w:proofErr w:type="gramStart"/>
      <w:r w:rsidR="00F44443" w:rsidRPr="00EE515E">
        <w:t>that</w:t>
      </w:r>
      <w:proofErr w:type="gramEnd"/>
      <w:r w:rsidR="00F44443" w:rsidRPr="00EE515E">
        <w:t xml:space="preserve"> the continued presence of the inmate in the general inmate population would jeopardize the inmate’s own safety, </w:t>
      </w:r>
    </w:p>
    <w:p w:rsidR="00B50BDB" w:rsidRDefault="00B50BDB" w:rsidP="003C3A7D">
      <w:pPr>
        <w:pStyle w:val="Citation1"/>
        <w:tabs>
          <w:tab w:val="left" w:pos="1620"/>
          <w:tab w:val="left" w:pos="2070"/>
          <w:tab w:val="left" w:pos="2520"/>
        </w:tabs>
        <w:spacing w:after="0"/>
        <w:ind w:left="1620" w:hanging="450"/>
        <w:contextualSpacing w:val="0"/>
      </w:pPr>
    </w:p>
    <w:p w:rsidR="00F44443" w:rsidRDefault="00F44443" w:rsidP="00B50BDB">
      <w:pPr>
        <w:pStyle w:val="Citation1"/>
        <w:tabs>
          <w:tab w:val="left" w:pos="1620"/>
          <w:tab w:val="left" w:pos="2070"/>
          <w:tab w:val="left" w:pos="2520"/>
        </w:tabs>
        <w:spacing w:after="0"/>
        <w:ind w:left="1170"/>
        <w:contextualSpacing w:val="0"/>
      </w:pPr>
      <w:proofErr w:type="gramStart"/>
      <w:r w:rsidRPr="00EE515E">
        <w:t>and</w:t>
      </w:r>
      <w:proofErr w:type="gramEnd"/>
      <w:r w:rsidRPr="00EE515E">
        <w:t xml:space="preserve"> the institutional head is satisfied that there is no reasonable alternative to administrative segregation.</w:t>
      </w:r>
    </w:p>
    <w:p w:rsidR="00AD26D4" w:rsidRPr="00EE515E" w:rsidRDefault="00AD26D4" w:rsidP="00AD26D4">
      <w:pPr>
        <w:pStyle w:val="Citation1"/>
        <w:tabs>
          <w:tab w:val="left" w:pos="1620"/>
          <w:tab w:val="left" w:pos="1980"/>
          <w:tab w:val="left" w:pos="2520"/>
        </w:tabs>
        <w:spacing w:after="0"/>
        <w:ind w:left="1620" w:hanging="454"/>
        <w:contextualSpacing w:val="0"/>
      </w:pPr>
    </w:p>
    <w:p w:rsidR="00F44443" w:rsidRDefault="00AD26D4" w:rsidP="00AD26D4">
      <w:pPr>
        <w:pStyle w:val="Citation1"/>
        <w:tabs>
          <w:tab w:val="left" w:pos="1620"/>
          <w:tab w:val="left" w:pos="1980"/>
          <w:tab w:val="left" w:pos="2520"/>
        </w:tabs>
        <w:spacing w:after="0"/>
        <w:ind w:left="1170"/>
        <w:contextualSpacing w:val="0"/>
      </w:pPr>
      <w:r>
        <w:rPr>
          <w:b/>
        </w:rPr>
        <w:tab/>
      </w:r>
      <w:r w:rsidR="00F44443" w:rsidRPr="00EE515E">
        <w:rPr>
          <w:b/>
        </w:rPr>
        <w:t>32.</w:t>
      </w:r>
      <w:r w:rsidR="00EF0A9F">
        <w:rPr>
          <w:b/>
        </w:rPr>
        <w:t xml:space="preserve"> </w:t>
      </w:r>
      <w:r w:rsidR="00F44443" w:rsidRPr="00EE515E">
        <w:t>[Considerations governing release] All recommendations to the institutional head referred to in paragraph 33(1)(</w:t>
      </w:r>
      <w:r w:rsidR="00F44443" w:rsidRPr="00EE515E">
        <w:rPr>
          <w:i/>
        </w:rPr>
        <w:t>c</w:t>
      </w:r>
      <w:r w:rsidR="00F44443" w:rsidRPr="00EE515E">
        <w:t xml:space="preserve">) and all decisions by the institutional head to release or not to release an inmate from administrative segregation shall be based on the considerations set out in section 31. </w:t>
      </w:r>
    </w:p>
    <w:p w:rsidR="00AD26D4" w:rsidRPr="00EE515E" w:rsidRDefault="00AD26D4" w:rsidP="00AD26D4">
      <w:pPr>
        <w:pStyle w:val="Citation1"/>
        <w:tabs>
          <w:tab w:val="left" w:pos="1620"/>
          <w:tab w:val="left" w:pos="1980"/>
          <w:tab w:val="left" w:pos="2520"/>
        </w:tabs>
        <w:spacing w:after="0"/>
        <w:ind w:left="1170"/>
        <w:contextualSpacing w:val="0"/>
      </w:pPr>
    </w:p>
    <w:p w:rsidR="00F44443" w:rsidRDefault="00AD26D4" w:rsidP="00AD26D4">
      <w:pPr>
        <w:pStyle w:val="Citation1"/>
        <w:tabs>
          <w:tab w:val="left" w:pos="1620"/>
          <w:tab w:val="left" w:pos="1980"/>
          <w:tab w:val="left" w:pos="2520"/>
        </w:tabs>
        <w:spacing w:after="0"/>
        <w:ind w:left="1170"/>
        <w:contextualSpacing w:val="0"/>
      </w:pPr>
      <w:r>
        <w:rPr>
          <w:b/>
        </w:rPr>
        <w:tab/>
      </w:r>
      <w:r w:rsidR="00F44443" w:rsidRPr="00EE515E">
        <w:rPr>
          <w:b/>
        </w:rPr>
        <w:t xml:space="preserve">33. </w:t>
      </w:r>
      <w:r w:rsidR="00F44443" w:rsidRPr="00EE515E">
        <w:t>(1)</w:t>
      </w:r>
      <w:r w:rsidR="00F7797F">
        <w:t xml:space="preserve"> </w:t>
      </w:r>
      <w:r w:rsidR="00F44443" w:rsidRPr="00EE515E">
        <w:t xml:space="preserve">[Case to be reviewed] </w:t>
      </w:r>
      <w:proofErr w:type="gramStart"/>
      <w:r w:rsidR="00F44443" w:rsidRPr="00EE515E">
        <w:t>Where</w:t>
      </w:r>
      <w:proofErr w:type="gramEnd"/>
      <w:r w:rsidR="00F44443" w:rsidRPr="00EE515E">
        <w:t xml:space="preserve"> an inmate is involuntarily confined in administrative segregation, a person or persons designated by the institutional head shall </w:t>
      </w:r>
    </w:p>
    <w:p w:rsidR="00AD26D4" w:rsidRPr="00EE515E" w:rsidRDefault="00AD26D4" w:rsidP="00AD26D4">
      <w:pPr>
        <w:pStyle w:val="Citation1"/>
        <w:tabs>
          <w:tab w:val="left" w:pos="1620"/>
          <w:tab w:val="left" w:pos="1980"/>
          <w:tab w:val="left" w:pos="2520"/>
        </w:tabs>
        <w:spacing w:after="0"/>
        <w:ind w:left="1170"/>
        <w:contextualSpacing w:val="0"/>
      </w:pPr>
    </w:p>
    <w:p w:rsidR="00F44443" w:rsidRPr="00EE515E" w:rsidRDefault="00AD26D4" w:rsidP="003C3A7D">
      <w:pPr>
        <w:pStyle w:val="Citation1"/>
        <w:tabs>
          <w:tab w:val="left" w:pos="1620"/>
          <w:tab w:val="left" w:pos="2070"/>
          <w:tab w:val="left" w:pos="2520"/>
        </w:tabs>
        <w:spacing w:after="0"/>
        <w:ind w:left="1620" w:hanging="450"/>
        <w:contextualSpacing w:val="0"/>
      </w:pPr>
      <w:r>
        <w:tab/>
      </w:r>
      <w:r w:rsidR="00F44443" w:rsidRPr="00EE515E">
        <w:t>(</w:t>
      </w:r>
      <w:r w:rsidR="00F44443" w:rsidRPr="00EE515E">
        <w:rPr>
          <w:i/>
        </w:rPr>
        <w:t>a</w:t>
      </w:r>
      <w:r w:rsidR="005F5343">
        <w:t>)</w:t>
      </w:r>
      <w:r w:rsidR="005F5343">
        <w:tab/>
      </w:r>
      <w:proofErr w:type="gramStart"/>
      <w:r w:rsidR="00F44443" w:rsidRPr="00EE515E">
        <w:t>conduct</w:t>
      </w:r>
      <w:proofErr w:type="gramEnd"/>
      <w:r w:rsidR="00F44443" w:rsidRPr="00EE515E">
        <w:t>, at the prescribed time and in the prescribed manner, a hearing to review the inmate’s case;</w:t>
      </w:r>
    </w:p>
    <w:p w:rsidR="00AD26D4" w:rsidRDefault="00AD26D4" w:rsidP="00AD26D4">
      <w:pPr>
        <w:pStyle w:val="Citation1"/>
        <w:tabs>
          <w:tab w:val="left" w:pos="1620"/>
          <w:tab w:val="left" w:pos="1980"/>
          <w:tab w:val="left" w:pos="2520"/>
        </w:tabs>
        <w:spacing w:after="0"/>
        <w:ind w:left="1620" w:hanging="454"/>
        <w:contextualSpacing w:val="0"/>
      </w:pPr>
    </w:p>
    <w:p w:rsidR="00F44443" w:rsidRPr="00EE515E" w:rsidRDefault="00AD26D4" w:rsidP="003C3A7D">
      <w:pPr>
        <w:pStyle w:val="Citation1"/>
        <w:tabs>
          <w:tab w:val="left" w:pos="1620"/>
          <w:tab w:val="left" w:pos="2070"/>
          <w:tab w:val="left" w:pos="2520"/>
        </w:tabs>
        <w:spacing w:after="0"/>
        <w:ind w:left="1620" w:hanging="450"/>
        <w:contextualSpacing w:val="0"/>
      </w:pPr>
      <w:r>
        <w:tab/>
      </w:r>
      <w:r w:rsidR="00F44443" w:rsidRPr="00EE515E">
        <w:t>(</w:t>
      </w:r>
      <w:r w:rsidR="00F44443" w:rsidRPr="00EE515E">
        <w:rPr>
          <w:i/>
        </w:rPr>
        <w:t>b</w:t>
      </w:r>
      <w:r w:rsidR="00F44443" w:rsidRPr="00EE515E">
        <w:t>)</w:t>
      </w:r>
      <w:r w:rsidR="005F5343">
        <w:tab/>
      </w:r>
      <w:proofErr w:type="gramStart"/>
      <w:r w:rsidR="00F44443" w:rsidRPr="00EE515E">
        <w:t>conduct</w:t>
      </w:r>
      <w:proofErr w:type="gramEnd"/>
      <w:r w:rsidR="00F44443" w:rsidRPr="00EE515E">
        <w:t>, at prescribed times and in the prescribed manner, further regular hearings to review the inmate’s case; and</w:t>
      </w:r>
    </w:p>
    <w:p w:rsidR="00AD26D4" w:rsidRDefault="00AD26D4" w:rsidP="00AD26D4">
      <w:pPr>
        <w:pStyle w:val="Citation1"/>
        <w:tabs>
          <w:tab w:val="left" w:pos="1620"/>
          <w:tab w:val="left" w:pos="1980"/>
          <w:tab w:val="left" w:pos="2520"/>
        </w:tabs>
        <w:spacing w:after="0"/>
        <w:ind w:left="1620" w:hanging="454"/>
        <w:contextualSpacing w:val="0"/>
      </w:pPr>
    </w:p>
    <w:p w:rsidR="00AD26D4" w:rsidRDefault="00AD26D4" w:rsidP="00026555">
      <w:pPr>
        <w:pStyle w:val="Citation1"/>
        <w:tabs>
          <w:tab w:val="left" w:pos="1620"/>
          <w:tab w:val="left" w:pos="2070"/>
          <w:tab w:val="left" w:pos="2520"/>
        </w:tabs>
        <w:spacing w:after="480"/>
        <w:ind w:left="1612" w:hanging="446"/>
        <w:contextualSpacing w:val="0"/>
      </w:pPr>
      <w:r>
        <w:tab/>
      </w:r>
      <w:r w:rsidR="00F44443" w:rsidRPr="00EE515E">
        <w:t>(</w:t>
      </w:r>
      <w:r w:rsidR="00F44443" w:rsidRPr="00EE515E">
        <w:rPr>
          <w:i/>
        </w:rPr>
        <w:t>c</w:t>
      </w:r>
      <w:r w:rsidR="005F5343">
        <w:t>)</w:t>
      </w:r>
      <w:r w:rsidR="005F5343">
        <w:tab/>
      </w:r>
      <w:proofErr w:type="gramStart"/>
      <w:r w:rsidR="00F44443" w:rsidRPr="00EE515E">
        <w:t>recommend</w:t>
      </w:r>
      <w:proofErr w:type="gramEnd"/>
      <w:r w:rsidR="00F44443" w:rsidRPr="00EE515E">
        <w:t xml:space="preserve"> to the institutional head, after the hearing mentioned in paragraph (</w:t>
      </w:r>
      <w:r w:rsidR="00F44443" w:rsidRPr="00EE515E">
        <w:rPr>
          <w:i/>
        </w:rPr>
        <w:t>a</w:t>
      </w:r>
      <w:r w:rsidR="00F44443" w:rsidRPr="00EE515E">
        <w:t>) and after each hearing mentioned in paragraph (</w:t>
      </w:r>
      <w:r w:rsidR="00F44443" w:rsidRPr="00EE515E">
        <w:rPr>
          <w:i/>
        </w:rPr>
        <w:t>b</w:t>
      </w:r>
      <w:r w:rsidR="00F44443" w:rsidRPr="00EE515E">
        <w:t>), whether or not the inmate should be released from administrative segregation.</w:t>
      </w:r>
    </w:p>
    <w:p w:rsidR="00F44443" w:rsidRPr="00EE515E" w:rsidRDefault="00F44443" w:rsidP="00617648">
      <w:pPr>
        <w:pStyle w:val="Citation"/>
        <w:spacing w:after="480" w:line="360" w:lineRule="auto"/>
        <w:ind w:left="0"/>
        <w:contextualSpacing w:val="0"/>
      </w:pPr>
      <w:r w:rsidRPr="00EE515E">
        <w:rPr>
          <w:i/>
        </w:rPr>
        <w:t>Corrections and Conditional Release Regulations</w:t>
      </w:r>
      <w:r w:rsidRPr="00EE515E">
        <w:t>, SOR/92-620</w:t>
      </w:r>
    </w:p>
    <w:p w:rsidR="00F44443" w:rsidRDefault="00AD26D4" w:rsidP="00AD26D4">
      <w:pPr>
        <w:pStyle w:val="Citation1"/>
        <w:tabs>
          <w:tab w:val="left" w:pos="1620"/>
          <w:tab w:val="left" w:pos="1980"/>
          <w:tab w:val="left" w:pos="2520"/>
        </w:tabs>
        <w:spacing w:after="0"/>
        <w:ind w:left="1170"/>
        <w:contextualSpacing w:val="0"/>
      </w:pPr>
      <w:r>
        <w:rPr>
          <w:b/>
        </w:rPr>
        <w:tab/>
      </w:r>
      <w:r w:rsidR="00F44443" w:rsidRPr="00EE515E">
        <w:rPr>
          <w:b/>
        </w:rPr>
        <w:t>21.</w:t>
      </w:r>
      <w:r w:rsidR="00F44443" w:rsidRPr="00EE515E">
        <w:t xml:space="preserve"> (1)</w:t>
      </w:r>
      <w:r w:rsidR="005F5343">
        <w:tab/>
      </w:r>
      <w:r w:rsidR="00F44443" w:rsidRPr="00EE515E">
        <w:t>Where an inmate is involuntarily confined in administrative segregation, the institutional head shall ensure that the person or persons referred to in section 33 of the Act who have been designated by the institutional head, which person or persons shall be known as a Segregation Review Board, are informed of the involuntary confinement.</w:t>
      </w:r>
    </w:p>
    <w:p w:rsidR="00AD26D4" w:rsidRPr="00EE515E" w:rsidRDefault="00AD26D4" w:rsidP="00AD26D4">
      <w:pPr>
        <w:pStyle w:val="Citation1"/>
        <w:tabs>
          <w:tab w:val="left" w:pos="1620"/>
          <w:tab w:val="left" w:pos="1980"/>
          <w:tab w:val="left" w:pos="2520"/>
        </w:tabs>
        <w:spacing w:after="0"/>
        <w:ind w:left="1170"/>
        <w:contextualSpacing w:val="0"/>
      </w:pPr>
    </w:p>
    <w:p w:rsidR="00F44443" w:rsidRDefault="00AD26D4" w:rsidP="003C3A7D">
      <w:pPr>
        <w:pStyle w:val="Citation1"/>
        <w:tabs>
          <w:tab w:val="left" w:pos="1620"/>
          <w:tab w:val="left" w:pos="2070"/>
          <w:tab w:val="left" w:pos="2520"/>
        </w:tabs>
        <w:spacing w:after="0"/>
        <w:ind w:left="1170"/>
        <w:contextualSpacing w:val="0"/>
      </w:pPr>
      <w:r>
        <w:tab/>
      </w:r>
      <w:r w:rsidR="005F5343">
        <w:t>(2)</w:t>
      </w:r>
      <w:r w:rsidR="005F5343">
        <w:tab/>
      </w:r>
      <w:r w:rsidR="00F44443" w:rsidRPr="00EE515E">
        <w:t>A Segregation Review Board referred to in subsection (1) shall conduct a hearing</w:t>
      </w:r>
    </w:p>
    <w:p w:rsidR="00AD26D4" w:rsidRPr="00EE515E" w:rsidRDefault="00AD26D4" w:rsidP="00AD26D4">
      <w:pPr>
        <w:pStyle w:val="Citation1"/>
        <w:tabs>
          <w:tab w:val="left" w:pos="1620"/>
          <w:tab w:val="left" w:pos="1980"/>
          <w:tab w:val="left" w:pos="2520"/>
        </w:tabs>
        <w:spacing w:after="0"/>
        <w:ind w:left="1170"/>
        <w:contextualSpacing w:val="0"/>
      </w:pPr>
    </w:p>
    <w:p w:rsidR="00F44443" w:rsidRDefault="008F46A9" w:rsidP="003C3A7D">
      <w:pPr>
        <w:pStyle w:val="Citation1"/>
        <w:tabs>
          <w:tab w:val="left" w:pos="1620"/>
          <w:tab w:val="left" w:pos="2070"/>
          <w:tab w:val="left" w:pos="2520"/>
        </w:tabs>
        <w:spacing w:after="0"/>
        <w:ind w:left="1620" w:hanging="450"/>
        <w:contextualSpacing w:val="0"/>
      </w:pPr>
      <w:r w:rsidRPr="008F46A9">
        <w:rPr>
          <w:i/>
        </w:rPr>
        <w:tab/>
      </w:r>
      <w:r>
        <w:t>(</w:t>
      </w:r>
      <w:r w:rsidRPr="008F46A9">
        <w:rPr>
          <w:i/>
        </w:rPr>
        <w:t>a</w:t>
      </w:r>
      <w:r>
        <w:t>)</w:t>
      </w:r>
      <w:r>
        <w:tab/>
      </w:r>
      <w:proofErr w:type="gramStart"/>
      <w:r w:rsidR="00F44443" w:rsidRPr="00EE515E">
        <w:t>within</w:t>
      </w:r>
      <w:proofErr w:type="gramEnd"/>
      <w:r w:rsidR="00F44443" w:rsidRPr="00EE515E">
        <w:t xml:space="preserve"> five working days after the inmate’s confinement in administrative segregation; and</w:t>
      </w:r>
    </w:p>
    <w:p w:rsidR="00AD26D4" w:rsidRPr="00EE515E" w:rsidRDefault="00AD26D4" w:rsidP="008F46A9">
      <w:pPr>
        <w:pStyle w:val="Citation1"/>
        <w:tabs>
          <w:tab w:val="left" w:pos="1620"/>
          <w:tab w:val="left" w:pos="1980"/>
          <w:tab w:val="left" w:pos="2520"/>
        </w:tabs>
        <w:spacing w:after="0"/>
        <w:ind w:left="1620" w:hanging="450"/>
        <w:contextualSpacing w:val="0"/>
      </w:pPr>
    </w:p>
    <w:p w:rsidR="00F44443" w:rsidRDefault="008F46A9" w:rsidP="003C3A7D">
      <w:pPr>
        <w:pStyle w:val="Citation1"/>
        <w:tabs>
          <w:tab w:val="left" w:pos="1620"/>
          <w:tab w:val="left" w:pos="2070"/>
          <w:tab w:val="left" w:pos="2520"/>
        </w:tabs>
        <w:spacing w:after="0"/>
        <w:ind w:left="1620" w:hanging="450"/>
        <w:contextualSpacing w:val="0"/>
      </w:pPr>
      <w:r>
        <w:tab/>
      </w:r>
      <w:r w:rsidR="00F44443" w:rsidRPr="00EE515E">
        <w:t>(</w:t>
      </w:r>
      <w:r w:rsidR="00F44443" w:rsidRPr="00EE515E">
        <w:rPr>
          <w:i/>
        </w:rPr>
        <w:t>b</w:t>
      </w:r>
      <w:r w:rsidR="00F44443" w:rsidRPr="00EE515E">
        <w:t>)</w:t>
      </w:r>
      <w:r w:rsidR="005F5343">
        <w:tab/>
      </w:r>
      <w:proofErr w:type="gramStart"/>
      <w:r w:rsidR="00F44443" w:rsidRPr="00EE515E">
        <w:t>at</w:t>
      </w:r>
      <w:proofErr w:type="gramEnd"/>
      <w:r w:rsidR="00F44443" w:rsidRPr="00EE515E">
        <w:t xml:space="preserve"> least once every 30 days thereafter that the inmate remains in administrative segregation.</w:t>
      </w:r>
    </w:p>
    <w:p w:rsidR="008F46A9" w:rsidRPr="00EE515E" w:rsidRDefault="008F46A9" w:rsidP="008F46A9">
      <w:pPr>
        <w:pStyle w:val="Citation1"/>
        <w:tabs>
          <w:tab w:val="left" w:pos="1620"/>
          <w:tab w:val="left" w:pos="1980"/>
          <w:tab w:val="left" w:pos="2520"/>
        </w:tabs>
        <w:spacing w:after="0"/>
        <w:ind w:left="1620" w:hanging="450"/>
        <w:contextualSpacing w:val="0"/>
      </w:pPr>
    </w:p>
    <w:p w:rsidR="00F44443" w:rsidRDefault="008F46A9" w:rsidP="003C3A7D">
      <w:pPr>
        <w:pStyle w:val="Citation1"/>
        <w:tabs>
          <w:tab w:val="left" w:pos="1620"/>
          <w:tab w:val="left" w:pos="2070"/>
          <w:tab w:val="left" w:pos="2520"/>
        </w:tabs>
        <w:spacing w:after="0"/>
        <w:ind w:left="1170"/>
        <w:contextualSpacing w:val="0"/>
      </w:pPr>
      <w:r>
        <w:tab/>
      </w:r>
      <w:r w:rsidR="005F5343">
        <w:t>(3)</w:t>
      </w:r>
      <w:r w:rsidR="005F5343">
        <w:tab/>
      </w:r>
      <w:r w:rsidR="00F44443" w:rsidRPr="00EE515E">
        <w:t>The institutional head shall ensure that an inmate who is the subject of a Segregation Review Board hearing pursuant to subsection (2)</w:t>
      </w:r>
    </w:p>
    <w:p w:rsidR="008F46A9" w:rsidRPr="00EE515E" w:rsidRDefault="008F46A9" w:rsidP="008F46A9">
      <w:pPr>
        <w:pStyle w:val="Citation1"/>
        <w:tabs>
          <w:tab w:val="left" w:pos="1620"/>
          <w:tab w:val="left" w:pos="1980"/>
          <w:tab w:val="left" w:pos="2520"/>
        </w:tabs>
        <w:spacing w:after="0"/>
        <w:ind w:left="1170"/>
        <w:contextualSpacing w:val="0"/>
      </w:pPr>
    </w:p>
    <w:p w:rsidR="00F44443" w:rsidRDefault="008F46A9" w:rsidP="003C3A7D">
      <w:pPr>
        <w:pStyle w:val="Citation1"/>
        <w:tabs>
          <w:tab w:val="left" w:pos="1620"/>
          <w:tab w:val="left" w:pos="2070"/>
          <w:tab w:val="left" w:pos="2520"/>
        </w:tabs>
        <w:spacing w:after="0"/>
        <w:ind w:left="1620" w:hanging="450"/>
        <w:contextualSpacing w:val="0"/>
      </w:pPr>
      <w:r>
        <w:tab/>
      </w:r>
      <w:r w:rsidR="00F44443" w:rsidRPr="00EE515E">
        <w:t>(</w:t>
      </w:r>
      <w:r w:rsidR="00F44443" w:rsidRPr="00EE515E">
        <w:rPr>
          <w:i/>
        </w:rPr>
        <w:t>a</w:t>
      </w:r>
      <w:r w:rsidR="005F5343">
        <w:t>)</w:t>
      </w:r>
      <w:r w:rsidR="005F5343">
        <w:tab/>
      </w:r>
      <w:proofErr w:type="gramStart"/>
      <w:r w:rsidR="00F44443" w:rsidRPr="00EE515E">
        <w:t>is</w:t>
      </w:r>
      <w:proofErr w:type="gramEnd"/>
      <w:r w:rsidR="00F44443" w:rsidRPr="00EE515E">
        <w:t xml:space="preserve"> given, at least three working days before the hearing, notice in writing of the hearing and the information that the Board will be considering at the hearing;</w:t>
      </w:r>
    </w:p>
    <w:p w:rsidR="008F46A9" w:rsidRPr="00EE515E" w:rsidRDefault="008F46A9" w:rsidP="008F46A9">
      <w:pPr>
        <w:pStyle w:val="Citation1"/>
        <w:tabs>
          <w:tab w:val="left" w:pos="1620"/>
          <w:tab w:val="left" w:pos="1980"/>
          <w:tab w:val="left" w:pos="2520"/>
        </w:tabs>
        <w:spacing w:after="0"/>
        <w:ind w:left="1620" w:hanging="450"/>
        <w:contextualSpacing w:val="0"/>
      </w:pPr>
    </w:p>
    <w:p w:rsidR="00F44443" w:rsidRDefault="008F46A9" w:rsidP="003C3A7D">
      <w:pPr>
        <w:pStyle w:val="Citation1"/>
        <w:tabs>
          <w:tab w:val="left" w:pos="1620"/>
          <w:tab w:val="left" w:pos="2070"/>
          <w:tab w:val="left" w:pos="2520"/>
        </w:tabs>
        <w:spacing w:after="0"/>
        <w:ind w:left="1620" w:hanging="450"/>
        <w:contextualSpacing w:val="0"/>
      </w:pPr>
      <w:r>
        <w:tab/>
      </w:r>
      <w:r w:rsidR="00F44443" w:rsidRPr="00EE515E">
        <w:t>(</w:t>
      </w:r>
      <w:r w:rsidR="00F44443" w:rsidRPr="00EE515E">
        <w:rPr>
          <w:i/>
        </w:rPr>
        <w:t>b</w:t>
      </w:r>
      <w:r w:rsidR="005F5343">
        <w:t>)</w:t>
      </w:r>
      <w:r w:rsidR="005F5343">
        <w:tab/>
      </w:r>
      <w:proofErr w:type="gramStart"/>
      <w:r w:rsidR="00F44443" w:rsidRPr="00EE515E">
        <w:t>is</w:t>
      </w:r>
      <w:proofErr w:type="gramEnd"/>
      <w:r w:rsidR="00F44443" w:rsidRPr="00EE515E">
        <w:t xml:space="preserve"> given an opportunity to be present and to make representations at the hearing; and</w:t>
      </w:r>
    </w:p>
    <w:p w:rsidR="008F46A9" w:rsidRPr="00EE515E" w:rsidRDefault="008F46A9" w:rsidP="008F46A9">
      <w:pPr>
        <w:pStyle w:val="Citation1"/>
        <w:tabs>
          <w:tab w:val="left" w:pos="1620"/>
          <w:tab w:val="left" w:pos="1980"/>
          <w:tab w:val="left" w:pos="2520"/>
        </w:tabs>
        <w:spacing w:after="0"/>
        <w:ind w:left="1620" w:hanging="450"/>
        <w:contextualSpacing w:val="0"/>
      </w:pPr>
    </w:p>
    <w:p w:rsidR="00F44443" w:rsidRDefault="008F46A9" w:rsidP="003C3A7D">
      <w:pPr>
        <w:pStyle w:val="Citation1"/>
        <w:tabs>
          <w:tab w:val="left" w:pos="1620"/>
          <w:tab w:val="left" w:pos="2070"/>
          <w:tab w:val="left" w:pos="2520"/>
        </w:tabs>
        <w:spacing w:after="0"/>
        <w:ind w:left="1620" w:hanging="450"/>
        <w:contextualSpacing w:val="0"/>
      </w:pPr>
      <w:r>
        <w:tab/>
      </w:r>
      <w:r w:rsidR="00F44443" w:rsidRPr="00EE515E">
        <w:t>(</w:t>
      </w:r>
      <w:r w:rsidR="00F44443" w:rsidRPr="00EE515E">
        <w:rPr>
          <w:i/>
        </w:rPr>
        <w:t>c</w:t>
      </w:r>
      <w:r w:rsidR="005F5343">
        <w:t>)</w:t>
      </w:r>
      <w:r w:rsidR="005F5343">
        <w:tab/>
      </w:r>
      <w:proofErr w:type="gramStart"/>
      <w:r w:rsidR="00F44443" w:rsidRPr="00EE515E">
        <w:t>is</w:t>
      </w:r>
      <w:proofErr w:type="gramEnd"/>
      <w:r w:rsidR="00F44443" w:rsidRPr="00EE515E">
        <w:t xml:space="preserve"> advised in writing of the Board’s recommendation to the institutional head and the reasons for the recommendation.</w:t>
      </w:r>
    </w:p>
    <w:p w:rsidR="008F46A9" w:rsidRPr="00EE515E" w:rsidRDefault="008F46A9" w:rsidP="008F46A9">
      <w:pPr>
        <w:pStyle w:val="Citation1"/>
        <w:tabs>
          <w:tab w:val="left" w:pos="1620"/>
          <w:tab w:val="left" w:pos="1980"/>
          <w:tab w:val="left" w:pos="2520"/>
        </w:tabs>
        <w:spacing w:after="0"/>
        <w:ind w:left="1620" w:hanging="450"/>
        <w:contextualSpacing w:val="0"/>
      </w:pPr>
    </w:p>
    <w:p w:rsidR="00F44443" w:rsidRDefault="009F0644" w:rsidP="00026555">
      <w:pPr>
        <w:pStyle w:val="Citation1"/>
        <w:tabs>
          <w:tab w:val="left" w:pos="1620"/>
          <w:tab w:val="left" w:pos="2070"/>
          <w:tab w:val="left" w:pos="2520"/>
        </w:tabs>
        <w:spacing w:after="480"/>
        <w:contextualSpacing w:val="0"/>
      </w:pPr>
      <w:r>
        <w:rPr>
          <w:b/>
        </w:rPr>
        <w:tab/>
      </w:r>
      <w:r w:rsidR="00F44443" w:rsidRPr="003C3A7D">
        <w:rPr>
          <w:b/>
        </w:rPr>
        <w:t>22.</w:t>
      </w:r>
      <w:r w:rsidR="005F5343">
        <w:rPr>
          <w:b/>
        </w:rPr>
        <w:tab/>
      </w:r>
      <w:r w:rsidR="00F44443" w:rsidRPr="00EE515E">
        <w:t xml:space="preserve">Where an inmate is confined in administrative segregation, the head of the region or a staff member in the regional headquarters who is designated by the head of the region shall review the inmate’s case at least once every 60 days that the inmate remains in administrative </w:t>
      </w:r>
      <w:r w:rsidR="00F44443" w:rsidRPr="00EE515E">
        <w:lastRenderedPageBreak/>
        <w:t>segregation to determine whether, based on the considerations set out in section 31 of the Act, the administrative segregation of the inmate continues to be justified.</w:t>
      </w:r>
    </w:p>
    <w:p w:rsidR="00F44443" w:rsidRPr="00EE515E" w:rsidRDefault="001E2883" w:rsidP="009B422B">
      <w:pPr>
        <w:tabs>
          <w:tab w:val="left" w:pos="540"/>
        </w:tabs>
        <w:spacing w:after="720"/>
        <w:ind w:left="540" w:hanging="540"/>
      </w:pPr>
      <w:r>
        <w:t>IV</w:t>
      </w:r>
      <w:r w:rsidR="00F44443" w:rsidRPr="00EE515E">
        <w:t>.</w:t>
      </w:r>
      <w:r w:rsidR="009A0178">
        <w:tab/>
      </w:r>
      <w:r w:rsidR="00F44443" w:rsidRPr="00CE43DD">
        <w:rPr>
          <w:u w:val="single"/>
        </w:rPr>
        <w:t>Analysis</w:t>
      </w:r>
    </w:p>
    <w:p w:rsidR="00F44443" w:rsidRPr="00EE515E" w:rsidRDefault="00F44443" w:rsidP="00617648">
      <w:pPr>
        <w:pStyle w:val="ReasonsNumbering-AltN"/>
        <w:ind w:left="0" w:firstLine="0"/>
      </w:pPr>
      <w:r w:rsidRPr="00EE515E">
        <w:t xml:space="preserve">The important principle at stake in this appeal, as in </w:t>
      </w:r>
      <w:r w:rsidRPr="00EE515E">
        <w:rPr>
          <w:i/>
        </w:rPr>
        <w:t>TeleZone</w:t>
      </w:r>
      <w:r w:rsidRPr="00EE515E">
        <w:t xml:space="preserve">, is access to justice.  With some notable exceptions, prison inmates are not rich people.  Few can afford the luxury of a front-end judicial review procedure to argue about the validity of a segregation order already served where quashing the order is no longer of practical interest.  Mr. McArthur may have some interest in the good governance of the prison system but at the moment he is looking for compensation.  He may not get it, of course, but he ought to be given his day in court without being put through unnecessary and unproductive proceedings unless the applicable statutes clearly and explicitly compel him to detour to the Federal Court. </w:t>
      </w:r>
    </w:p>
    <w:p w:rsidR="00F44443" w:rsidRPr="00EE515E" w:rsidRDefault="00F44443" w:rsidP="00617648">
      <w:pPr>
        <w:pStyle w:val="ReasonsNumbering-AltN"/>
        <w:ind w:left="0" w:firstLine="0"/>
      </w:pPr>
      <w:r w:rsidRPr="00EE515E">
        <w:t xml:space="preserve">For the reasons set out in the companion case of </w:t>
      </w:r>
      <w:r w:rsidRPr="00EE515E">
        <w:rPr>
          <w:i/>
        </w:rPr>
        <w:t>TeleZone</w:t>
      </w:r>
      <w:r w:rsidRPr="00EE515E">
        <w:t xml:space="preserve">, I believe that the Attorney General’s argument exaggerates the legal effect of the grant in s. 18 of the </w:t>
      </w:r>
      <w:r w:rsidRPr="00EE515E">
        <w:rPr>
          <w:i/>
        </w:rPr>
        <w:t>Federal Courts Act</w:t>
      </w:r>
      <w:r w:rsidRPr="00EE515E">
        <w:t xml:space="preserve"> of exclusive judicial review jurisdiction over federal decision makers.  A textual, contextual and purposive interpretation of the </w:t>
      </w:r>
      <w:r w:rsidRPr="00EE515E">
        <w:rPr>
          <w:i/>
        </w:rPr>
        <w:t>Federal Courts Act</w:t>
      </w:r>
      <w:r w:rsidRPr="00EE515E">
        <w:t xml:space="preserve"> does not support his case.  </w:t>
      </w:r>
    </w:p>
    <w:p w:rsidR="00F44443" w:rsidRPr="00EE515E" w:rsidRDefault="00F44443" w:rsidP="00617648">
      <w:pPr>
        <w:pStyle w:val="ReasonsNumbering-AltN"/>
        <w:ind w:left="0" w:firstLine="0"/>
      </w:pPr>
      <w:r w:rsidRPr="00EE515E">
        <w:t xml:space="preserve">As noted by the motions judge, the facts of this case closely resemble </w:t>
      </w:r>
      <w:r w:rsidRPr="00EE515E">
        <w:rPr>
          <w:i/>
        </w:rPr>
        <w:t>Grenier</w:t>
      </w:r>
      <w:r w:rsidRPr="00EE515E">
        <w:t>.  In his amended statement of claim, Mr. McArthur pleads that the segregation orders were made “without just cause or excuse” (</w:t>
      </w:r>
      <w:proofErr w:type="spellStart"/>
      <w:r w:rsidRPr="00EE515E">
        <w:t>para</w:t>
      </w:r>
      <w:proofErr w:type="spellEnd"/>
      <w:r w:rsidRPr="00EE515E">
        <w:t xml:space="preserve">. 12) and lacked </w:t>
      </w:r>
      <w:r w:rsidRPr="00EE515E">
        <w:lastRenderedPageBreak/>
        <w:t xml:space="preserve">“the reasonable grounds required under subsection 31(3) of the Act to justify placing [him] in involuntary administrative segregation” (para. 15).  Clearly, he is putting in issue the lawfulness or validity of the segregation orders, but he does so as an element of a private law cause of action over which the provincial superior court has jurisdiction.  There is nothing in the federal legislation that says the provincial courts can only determine some — but not all — elements of his monetary claims against the Crown.  </w:t>
      </w:r>
    </w:p>
    <w:p w:rsidR="00F44443" w:rsidRPr="00EE515E" w:rsidRDefault="00F44443" w:rsidP="00617648">
      <w:pPr>
        <w:pStyle w:val="ReasonsNumbering-AltN"/>
        <w:ind w:left="0" w:firstLine="0"/>
      </w:pPr>
      <w:r w:rsidRPr="00EE515E">
        <w:t xml:space="preserve">Moreover, the provincial superior court clearly has jurisdiction to hear Mr. McArthur’s claim for compensation under s. 24(1) of the </w:t>
      </w:r>
      <w:r w:rsidRPr="00EE515E">
        <w:rPr>
          <w:i/>
        </w:rPr>
        <w:t>Charter</w:t>
      </w:r>
      <w:r w:rsidRPr="00EE515E">
        <w:t xml:space="preserve">.  In </w:t>
      </w:r>
      <w:r w:rsidRPr="00EE515E">
        <w:rPr>
          <w:i/>
        </w:rPr>
        <w:t>Attorney General of Canada v. Law Society of British Columbia</w:t>
      </w:r>
      <w:r w:rsidRPr="00EE515E">
        <w:t xml:space="preserve">, [1982] 2 S.C.R. 307, an argument was made on behalf of the federal Crown that because constitutional relief was sought against federal officials (including the Director of Investigation and Research under the federal </w:t>
      </w:r>
      <w:r w:rsidRPr="00EE515E">
        <w:rPr>
          <w:i/>
        </w:rPr>
        <w:t>Combines Investigation Act</w:t>
      </w:r>
      <w:r w:rsidRPr="00EE515E">
        <w:t xml:space="preserve">, R.S.C. 1970, c. C-23, now repealed), all of whom fell within the definition of “federal board, commission or other tribunal”, the </w:t>
      </w:r>
      <w:r w:rsidRPr="00EE515E">
        <w:rPr>
          <w:i/>
        </w:rPr>
        <w:t>Federal Courts Act</w:t>
      </w:r>
      <w:r w:rsidRPr="00EE515E">
        <w:t xml:space="preserve"> (at the time titled </w:t>
      </w:r>
      <w:r w:rsidRPr="00EE515E">
        <w:rPr>
          <w:i/>
        </w:rPr>
        <w:t>Federal Court Act</w:t>
      </w:r>
      <w:r w:rsidRPr="00EE515E">
        <w:t xml:space="preserve">) had successfully ousted the jurisdiction of the British Columbia Supreme Court.  This Court concluded that Parliament could not, by giving exclusive jurisdiction to the Federal Court over federal officials, deny the provincial superior courts their traditional subject matter jurisdiction over constitutional issues.  In my opinion, the </w:t>
      </w:r>
      <w:r w:rsidRPr="00EE515E">
        <w:rPr>
          <w:i/>
        </w:rPr>
        <w:t>Federal Courts Act</w:t>
      </w:r>
      <w:r w:rsidRPr="00EE515E">
        <w:t xml:space="preserve"> equally cannot operate to prevent provincial superior court scrutiny of the constitutionality of the conduct of federal officials.  Section 101 of the </w:t>
      </w:r>
      <w:r w:rsidRPr="00EE515E">
        <w:rPr>
          <w:i/>
        </w:rPr>
        <w:t>Constitution Act, 1867</w:t>
      </w:r>
      <w:r w:rsidRPr="00EE515E">
        <w:t xml:space="preserve">, authorizes the creation of “additional Courts for the better </w:t>
      </w:r>
      <w:r w:rsidRPr="00EE515E">
        <w:lastRenderedPageBreak/>
        <w:t>Administration of the Laws of Canada”.  The provincial superior courts retain their historic jurisdiction over the Constitution.  This does not preclude concurrent jurisdiction over constitutional subject matters in the Federal Court, of course, but it is not and cannot be made exclusive.</w:t>
      </w:r>
      <w:r w:rsidRPr="00EE515E">
        <w:rPr>
          <w:color w:val="000000"/>
        </w:rPr>
        <w:t xml:space="preserve">  Accordingly, quite apart from s. 17 of the </w:t>
      </w:r>
      <w:r w:rsidRPr="00EE515E">
        <w:rPr>
          <w:i/>
          <w:color w:val="000000"/>
        </w:rPr>
        <w:t>Federal Courts Act</w:t>
      </w:r>
      <w:r w:rsidRPr="00EE515E">
        <w:rPr>
          <w:color w:val="000000"/>
        </w:rPr>
        <w:t xml:space="preserve">, the Ontario Superior Court had jurisdiction to deal with Mr. McArthur’s </w:t>
      </w:r>
      <w:r w:rsidRPr="00EE515E">
        <w:rPr>
          <w:i/>
          <w:color w:val="000000"/>
        </w:rPr>
        <w:t>Charter</w:t>
      </w:r>
      <w:r w:rsidRPr="00EE515E">
        <w:rPr>
          <w:color w:val="000000"/>
        </w:rPr>
        <w:t xml:space="preserve"> claim.</w:t>
      </w:r>
    </w:p>
    <w:p w:rsidR="00F44443" w:rsidRPr="00EE515E" w:rsidRDefault="00F44443" w:rsidP="00617648">
      <w:pPr>
        <w:pStyle w:val="ReasonsNumbering-AltN"/>
        <w:ind w:left="0" w:firstLine="0"/>
      </w:pPr>
      <w:r w:rsidRPr="00EE515E">
        <w:t xml:space="preserve">Clearly, an issue before the Superior Court is whether the Crown defendants are covered by a defence of statutory authority, i.e., that the administrative segregation orders were lawfully made and that the emotional and psychological trauma allegedly suffered by Mr. McArthur were an inevitable risk of his lawful detention in solitary confinement.  Since this is the case, the Attorney General argues, the claimed losses are not actionable.  However, with respect, the Superior Court can readily consider the validity of Mr. McArthur’s detention in the context of a damages claim, as well as the impact, if any, of a </w:t>
      </w:r>
      <w:r w:rsidRPr="00EE515E">
        <w:rPr>
          <w:i/>
        </w:rPr>
        <w:t>valid</w:t>
      </w:r>
      <w:r w:rsidRPr="00EE515E">
        <w:t xml:space="preserve"> order on Crown liability.</w:t>
      </w:r>
    </w:p>
    <w:p w:rsidR="00F44443" w:rsidRPr="00EE515E" w:rsidRDefault="00F44443" w:rsidP="00617648">
      <w:pPr>
        <w:pStyle w:val="ReasonsNumbering-AltN"/>
        <w:ind w:left="0" w:firstLine="0"/>
      </w:pPr>
      <w:r w:rsidRPr="00EE515E">
        <w:t xml:space="preserve">While Mr. McArthur’s damages claim could be characterized in some sense as a “collateral attack” on the segregation orders, I do not believe that such an “attack” is precluded by the </w:t>
      </w:r>
      <w:r w:rsidRPr="00EE515E">
        <w:rPr>
          <w:i/>
        </w:rPr>
        <w:t>Federal Courts Act</w:t>
      </w:r>
      <w:r w:rsidRPr="00EE515E">
        <w:t>.</w:t>
      </w:r>
      <w:r w:rsidRPr="00EE515E">
        <w:rPr>
          <w:color w:val="000000"/>
        </w:rPr>
        <w:t xml:space="preserve"> </w:t>
      </w:r>
      <w:r w:rsidRPr="00EE515E">
        <w:t xml:space="preserve"> </w:t>
      </w:r>
      <w:r w:rsidRPr="00EE515E">
        <w:rPr>
          <w:color w:val="000000"/>
        </w:rPr>
        <w:t>G</w:t>
      </w:r>
      <w:r w:rsidRPr="00EE515E">
        <w:t>overnment decision making lies at the heart of many, if not most claims to recover financial loss from the Crown</w:t>
      </w:r>
      <w:r w:rsidRPr="00EE515E">
        <w:rPr>
          <w:color w:val="000000"/>
        </w:rPr>
        <w:t xml:space="preserve">.  For the reasons outlined in </w:t>
      </w:r>
      <w:proofErr w:type="spellStart"/>
      <w:r w:rsidRPr="00EE515E">
        <w:rPr>
          <w:i/>
          <w:color w:val="000000"/>
        </w:rPr>
        <w:t>TeleZone</w:t>
      </w:r>
      <w:proofErr w:type="spellEnd"/>
      <w:r w:rsidR="00A275CB" w:rsidRPr="00A275CB">
        <w:rPr>
          <w:color w:val="000000"/>
        </w:rPr>
        <w:t>,</w:t>
      </w:r>
      <w:r w:rsidRPr="00EE515E">
        <w:rPr>
          <w:color w:val="000000"/>
        </w:rPr>
        <w:t xml:space="preserve"> I believe that</w:t>
      </w:r>
      <w:r w:rsidRPr="00EE515E">
        <w:t xml:space="preserve"> the explicit statutory grant of jurisdiction to the provincial superior courts in respect of claims against the Crown in </w:t>
      </w:r>
      <w:r w:rsidRPr="00EE515E">
        <w:lastRenderedPageBreak/>
        <w:t xml:space="preserve">s. 17 of the </w:t>
      </w:r>
      <w:r w:rsidRPr="00EE515E">
        <w:rPr>
          <w:i/>
        </w:rPr>
        <w:t>Federal Courts Act</w:t>
      </w:r>
      <w:r w:rsidRPr="00EE515E">
        <w:t xml:space="preserve"> and s. 21 of the </w:t>
      </w:r>
      <w:r w:rsidRPr="00EE515E">
        <w:rPr>
          <w:i/>
        </w:rPr>
        <w:t>Crown Liability and Proceedings Act</w:t>
      </w:r>
      <w:r w:rsidRPr="00EE515E">
        <w:t>, R.S.C. 1985, c. C-50, renders the collateral attack doctrine inapplicable here.</w:t>
      </w:r>
    </w:p>
    <w:p w:rsidR="00F44443" w:rsidRPr="00EE515E" w:rsidRDefault="00F44443" w:rsidP="00617648">
      <w:pPr>
        <w:pStyle w:val="ReasonsNumbering-AltN"/>
        <w:ind w:left="0" w:firstLine="0"/>
      </w:pPr>
      <w:r w:rsidRPr="00EE515E">
        <w:t xml:space="preserve">The Superior Court has jurisdiction to entertain Mr. McArthur’s damages claim (both in its tort and constitutional aspects) because its authority extends to “the person and the subject matter in question and, in addition, [because it] has authority to make the order sought”:  </w:t>
      </w:r>
      <w:r w:rsidRPr="00EE515E">
        <w:rPr>
          <w:i/>
        </w:rPr>
        <w:t>Mills v. The Queen</w:t>
      </w:r>
      <w:r w:rsidRPr="00EE515E">
        <w:t xml:space="preserve">, [1986] 1 S.C.R. 863, </w:t>
      </w:r>
      <w:r w:rsidRPr="00EE515E">
        <w:rPr>
          <w:i/>
        </w:rPr>
        <w:t>per</w:t>
      </w:r>
      <w:r w:rsidRPr="00EE515E">
        <w:t xml:space="preserve"> McIntyre J., at p. 960, quoting Brooke J.A. in </w:t>
      </w:r>
      <w:r w:rsidRPr="00EE515E">
        <w:rPr>
          <w:i/>
        </w:rPr>
        <w:t xml:space="preserve">R. v. Morgentaler </w:t>
      </w:r>
      <w:r w:rsidRPr="00EE515E">
        <w:t xml:space="preserve">(1984), 41 C.R. (3d) 262, at p. 271, and </w:t>
      </w:r>
      <w:r w:rsidRPr="00EE515E">
        <w:rPr>
          <w:i/>
        </w:rPr>
        <w:t xml:space="preserve">per </w:t>
      </w:r>
      <w:r w:rsidRPr="00EE515E">
        <w:t>Lamer J.</w:t>
      </w:r>
      <w:r w:rsidR="002179FA">
        <w:t xml:space="preserve"> (as he then was)</w:t>
      </w:r>
      <w:r w:rsidRPr="00EE515E">
        <w:t xml:space="preserve">, at p. 890.  See also </w:t>
      </w:r>
      <w:r w:rsidRPr="00EE515E">
        <w:rPr>
          <w:i/>
        </w:rPr>
        <w:t>R. v. Rahey</w:t>
      </w:r>
      <w:r w:rsidRPr="00EE515E">
        <w:t xml:space="preserve">, [1987] 1 S.C.R. 588, at p. 603; </w:t>
      </w:r>
      <w:r w:rsidRPr="00EE515E">
        <w:rPr>
          <w:i/>
        </w:rPr>
        <w:t>R. v. 974649 Ontario Inc.</w:t>
      </w:r>
      <w:r w:rsidRPr="00EE515E">
        <w:t xml:space="preserve">, 2001 SCC 81, [2001] 3 S.C.R. 575, at para. 15; </w:t>
      </w:r>
      <w:r w:rsidRPr="00EE515E">
        <w:rPr>
          <w:i/>
        </w:rPr>
        <w:t>R. v. Conway</w:t>
      </w:r>
      <w:r w:rsidRPr="00EE515E">
        <w:t xml:space="preserve">, 2010 SCC 22, [2010] 1 S.C.R. 765.  There is nothing in the </w:t>
      </w:r>
      <w:r w:rsidRPr="00EE515E">
        <w:rPr>
          <w:i/>
        </w:rPr>
        <w:t>Federal Courts Act</w:t>
      </w:r>
      <w:r w:rsidRPr="00EE515E">
        <w:t xml:space="preserve"> to give the Federal Court the exclusive jurisdiction to determine the lawfulness or validity of the order of a “federal board, commission or other tribunal” when </w:t>
      </w:r>
      <w:r w:rsidRPr="00EE515E">
        <w:rPr>
          <w:color w:val="000000"/>
        </w:rPr>
        <w:t xml:space="preserve">Mr. McArthur does not seek any of the remedies listed in s. 18 of the </w:t>
      </w:r>
      <w:r w:rsidRPr="00EE515E">
        <w:rPr>
          <w:i/>
          <w:color w:val="000000"/>
        </w:rPr>
        <w:t>Federal Courts Act</w:t>
      </w:r>
      <w:r w:rsidRPr="00EE515E">
        <w:rPr>
          <w:color w:val="000000"/>
        </w:rPr>
        <w:t xml:space="preserve">, and when the practical effects of the segregation orders he complains of are spent, and such orders are now simply one element </w:t>
      </w:r>
      <w:r w:rsidRPr="00EE515E">
        <w:t xml:space="preserve">in a private law cause of action against the Crown and </w:t>
      </w:r>
      <w:r w:rsidRPr="00EE515E">
        <w:rPr>
          <w:color w:val="000000"/>
        </w:rPr>
        <w:t xml:space="preserve">a </w:t>
      </w:r>
      <w:r w:rsidRPr="00EE515E">
        <w:t>federal official.  To hold otherwise would undermine an explicit statutory grant of jurisdiction to the superior courts of the provinces and would be for formalistic reasons that are neither compelling nor consistent with promotion of access to justice in a direct and cost efficient manner.</w:t>
      </w:r>
    </w:p>
    <w:p w:rsidR="00F44443" w:rsidRPr="00EE515E" w:rsidRDefault="00F44443" w:rsidP="009B422B">
      <w:pPr>
        <w:tabs>
          <w:tab w:val="left" w:pos="540"/>
        </w:tabs>
        <w:spacing w:after="720"/>
        <w:ind w:left="540" w:hanging="540"/>
      </w:pPr>
      <w:r w:rsidRPr="00EE515E">
        <w:t>V.</w:t>
      </w:r>
      <w:r w:rsidR="009A0178">
        <w:tab/>
      </w:r>
      <w:r w:rsidRPr="00A275CB">
        <w:rPr>
          <w:u w:val="single"/>
        </w:rPr>
        <w:t>Conclusion</w:t>
      </w:r>
    </w:p>
    <w:p w:rsidR="00F44443" w:rsidRPr="00EE515E" w:rsidRDefault="00F44443" w:rsidP="00617648">
      <w:pPr>
        <w:pStyle w:val="ReasonsNumbering-AltN"/>
        <w:ind w:left="0" w:firstLine="0"/>
      </w:pPr>
      <w:r w:rsidRPr="00EE515E">
        <w:lastRenderedPageBreak/>
        <w:t>I would dismiss the appeal with costs throughout to Mr. McArthur and order that the Superior Court has jurisdiction over his claim.</w:t>
      </w:r>
    </w:p>
    <w:p w:rsidR="009B57B3" w:rsidRPr="001758BC" w:rsidRDefault="006203D2" w:rsidP="00F2451E">
      <w:pPr>
        <w:pStyle w:val="SCCNormalDoubleSpacing"/>
        <w:tabs>
          <w:tab w:val="left" w:pos="1170"/>
        </w:tabs>
      </w:pPr>
      <w:r w:rsidRPr="001758BC">
        <w:tab/>
      </w:r>
      <w:r w:rsidR="00656313" w:rsidRPr="001758BC">
        <w:rPr>
          <w:i/>
        </w:rPr>
        <w:t>Appeal</w:t>
      </w:r>
      <w:r w:rsidR="00E13F03" w:rsidRPr="001758BC">
        <w:rPr>
          <w:i/>
        </w:rPr>
        <w:t xml:space="preserve"> dismissed</w:t>
      </w:r>
      <w:r w:rsidR="003B33D5" w:rsidRPr="001758BC">
        <w:rPr>
          <w:i/>
        </w:rPr>
        <w:t xml:space="preserve"> with costs</w:t>
      </w:r>
      <w:r w:rsidRPr="001758BC">
        <w:rPr>
          <w:i/>
        </w:rPr>
        <w:t>.</w:t>
      </w:r>
    </w:p>
    <w:p w:rsidR="00A149DF" w:rsidRPr="001758BC" w:rsidRDefault="00A149DF" w:rsidP="00F2451E">
      <w:pPr>
        <w:pStyle w:val="SCCNormalDoubleSpacing"/>
        <w:tabs>
          <w:tab w:val="left" w:pos="1170"/>
        </w:tabs>
      </w:pPr>
    </w:p>
    <w:p w:rsidR="006203D2" w:rsidRPr="001758BC" w:rsidRDefault="006203D2" w:rsidP="00F2451E">
      <w:pPr>
        <w:pStyle w:val="SCCLawFirm"/>
        <w:tabs>
          <w:tab w:val="left" w:pos="1170"/>
        </w:tabs>
      </w:pPr>
      <w:r w:rsidRPr="001758BC">
        <w:tab/>
        <w:t>Solicitor for the appellant</w:t>
      </w:r>
      <w:r w:rsidR="007053C6" w:rsidRPr="001758BC">
        <w:t>s</w:t>
      </w:r>
      <w:r w:rsidR="00F2451E" w:rsidRPr="001758BC">
        <w:t>:  </w:t>
      </w:r>
      <w:r w:rsidRPr="001758BC">
        <w:t xml:space="preserve"> Attorney General of Canada, Ottawa.</w:t>
      </w:r>
    </w:p>
    <w:p w:rsidR="006203D2" w:rsidRPr="001758BC" w:rsidRDefault="006203D2" w:rsidP="00F2451E">
      <w:pPr>
        <w:pStyle w:val="SCCLawFirm"/>
        <w:tabs>
          <w:tab w:val="left" w:pos="1170"/>
        </w:tabs>
      </w:pPr>
    </w:p>
    <w:p w:rsidR="006203D2" w:rsidRPr="001758BC" w:rsidRDefault="006203D2" w:rsidP="00F2451E">
      <w:pPr>
        <w:pStyle w:val="SCCLawFirm"/>
        <w:tabs>
          <w:tab w:val="left" w:pos="1170"/>
        </w:tabs>
      </w:pPr>
      <w:r w:rsidRPr="001758BC">
        <w:tab/>
      </w:r>
      <w:r w:rsidR="009A0178">
        <w:t xml:space="preserve">Solicitors for the respondent: </w:t>
      </w:r>
      <w:r w:rsidRPr="001758BC">
        <w:t>Ryder</w:t>
      </w:r>
      <w:r w:rsidR="002179FA">
        <w:t>-</w:t>
      </w:r>
      <w:r w:rsidRPr="001758BC">
        <w:t xml:space="preserve">Burbidge Hurley </w:t>
      </w:r>
      <w:proofErr w:type="spellStart"/>
      <w:r w:rsidRPr="001758BC">
        <w:t>Fasano</w:t>
      </w:r>
      <w:proofErr w:type="spellEnd"/>
      <w:r w:rsidRPr="001758BC">
        <w:t>, Kingston.</w:t>
      </w:r>
    </w:p>
    <w:p w:rsidR="006203D2" w:rsidRPr="001758BC" w:rsidRDefault="006203D2" w:rsidP="00F2451E">
      <w:pPr>
        <w:pStyle w:val="SCCLawFirm"/>
        <w:tabs>
          <w:tab w:val="left" w:pos="1170"/>
        </w:tabs>
      </w:pPr>
    </w:p>
    <w:p w:rsidR="006203D2" w:rsidRPr="001758BC" w:rsidRDefault="006203D2" w:rsidP="00F2451E">
      <w:pPr>
        <w:pStyle w:val="SCCLawFirm"/>
        <w:tabs>
          <w:tab w:val="left" w:pos="1170"/>
        </w:tabs>
      </w:pPr>
      <w:r w:rsidRPr="001758BC">
        <w:tab/>
        <w:t>Solicitor for the intervener the Attorney General of British</w:t>
      </w:r>
      <w:r w:rsidR="009A0178">
        <w:t xml:space="preserve"> </w:t>
      </w:r>
      <w:r w:rsidRPr="001758BC">
        <w:t>Columbi</w:t>
      </w:r>
      <w:r w:rsidR="009A0178">
        <w:t xml:space="preserve">a: </w:t>
      </w:r>
      <w:r w:rsidR="00F2451E" w:rsidRPr="001758BC">
        <w:t>Attorney General of British </w:t>
      </w:r>
      <w:r w:rsidRPr="001758BC">
        <w:t>Columbia, Vancouver.</w:t>
      </w:r>
    </w:p>
    <w:p w:rsidR="006203D2" w:rsidRPr="001758BC" w:rsidRDefault="006203D2" w:rsidP="00F2451E">
      <w:pPr>
        <w:pStyle w:val="SCCLawFirm"/>
        <w:tabs>
          <w:tab w:val="left" w:pos="1170"/>
        </w:tabs>
      </w:pPr>
    </w:p>
    <w:p w:rsidR="006203D2" w:rsidRPr="001758BC" w:rsidRDefault="006203D2" w:rsidP="00F2451E">
      <w:pPr>
        <w:pStyle w:val="SCCLawFirm"/>
        <w:tabs>
          <w:tab w:val="left" w:pos="1170"/>
        </w:tabs>
      </w:pPr>
      <w:r w:rsidRPr="001758BC">
        <w:tab/>
        <w:t xml:space="preserve">Solicitors for the interveners Roland Anglehart </w:t>
      </w:r>
      <w:r w:rsidR="00DC2E44" w:rsidRPr="001758BC">
        <w:t>S</w:t>
      </w:r>
      <w:r w:rsidRPr="001758BC">
        <w:t>r. et al.:</w:t>
      </w:r>
      <w:r w:rsidR="009A0178">
        <w:t xml:space="preserve"> </w:t>
      </w:r>
      <w:proofErr w:type="spellStart"/>
      <w:r w:rsidRPr="001758BC">
        <w:t>Heenan</w:t>
      </w:r>
      <w:proofErr w:type="spellEnd"/>
      <w:r w:rsidRPr="001758BC">
        <w:t xml:space="preserve"> </w:t>
      </w:r>
      <w:proofErr w:type="spellStart"/>
      <w:r w:rsidRPr="001758BC">
        <w:t>Blaikie</w:t>
      </w:r>
      <w:proofErr w:type="spellEnd"/>
      <w:r w:rsidRPr="001758BC">
        <w:t>, Montréal.</w:t>
      </w:r>
    </w:p>
    <w:sectPr w:rsidR="006203D2" w:rsidRPr="001758BC" w:rsidSect="007274EF">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7F9" w:rsidRDefault="001517F9">
      <w:r>
        <w:separator/>
      </w:r>
    </w:p>
  </w:endnote>
  <w:endnote w:type="continuationSeparator" w:id="0">
    <w:p w:rsidR="001517F9" w:rsidRDefault="001517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7F9" w:rsidRDefault="001517F9">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7F9" w:rsidRDefault="001517F9">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7F9" w:rsidRDefault="001517F9">
      <w:r>
        <w:separator/>
      </w:r>
    </w:p>
  </w:footnote>
  <w:footnote w:type="continuationSeparator" w:id="0">
    <w:p w:rsidR="001517F9" w:rsidRDefault="00151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7F9" w:rsidRDefault="001517F9">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7F9" w:rsidRDefault="001517F9">
    <w:pPr>
      <w:pStyle w:val="Header"/>
      <w:jc w:val="center"/>
    </w:pPr>
    <w:r>
      <w:t xml:space="preserve">- </w:t>
    </w:r>
    <w:sdt>
      <w:sdtPr>
        <w:id w:val="4489865"/>
        <w:docPartObj>
          <w:docPartGallery w:val="Page Numbers (Top of Page)"/>
          <w:docPartUnique/>
        </w:docPartObj>
      </w:sdtPr>
      <w:sdtContent>
        <w:fldSimple w:instr=" PAGE   \* MERGEFORMAT ">
          <w:r w:rsidR="00F61AA2">
            <w:rPr>
              <w:noProof/>
            </w:rPr>
            <w:t>6</w:t>
          </w:r>
        </w:fldSimple>
        <w:r>
          <w:t xml:space="preserve"> -</w:t>
        </w:r>
      </w:sdtContent>
    </w:sdt>
  </w:p>
  <w:p w:rsidR="001517F9" w:rsidRDefault="001517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AAA506"/>
    <w:lvl w:ilvl="0">
      <w:start w:val="1"/>
      <w:numFmt w:val="decimal"/>
      <w:lvlText w:val="%1."/>
      <w:lvlJc w:val="left"/>
      <w:pPr>
        <w:tabs>
          <w:tab w:val="num" w:pos="1800"/>
        </w:tabs>
        <w:ind w:left="1800" w:hanging="360"/>
      </w:pPr>
    </w:lvl>
  </w:abstractNum>
  <w:abstractNum w:abstractNumId="1">
    <w:nsid w:val="FFFFFF7D"/>
    <w:multiLevelType w:val="singleLevel"/>
    <w:tmpl w:val="D64CB27A"/>
    <w:lvl w:ilvl="0">
      <w:start w:val="1"/>
      <w:numFmt w:val="decimal"/>
      <w:lvlText w:val="%1."/>
      <w:lvlJc w:val="left"/>
      <w:pPr>
        <w:tabs>
          <w:tab w:val="num" w:pos="1440"/>
        </w:tabs>
        <w:ind w:left="1440" w:hanging="360"/>
      </w:pPr>
    </w:lvl>
  </w:abstractNum>
  <w:abstractNum w:abstractNumId="2">
    <w:nsid w:val="FFFFFF7E"/>
    <w:multiLevelType w:val="singleLevel"/>
    <w:tmpl w:val="F7A06FD8"/>
    <w:lvl w:ilvl="0">
      <w:start w:val="1"/>
      <w:numFmt w:val="decimal"/>
      <w:lvlText w:val="%1."/>
      <w:lvlJc w:val="left"/>
      <w:pPr>
        <w:tabs>
          <w:tab w:val="num" w:pos="1080"/>
        </w:tabs>
        <w:ind w:left="1080" w:hanging="360"/>
      </w:pPr>
    </w:lvl>
  </w:abstractNum>
  <w:abstractNum w:abstractNumId="3">
    <w:nsid w:val="FFFFFF7F"/>
    <w:multiLevelType w:val="singleLevel"/>
    <w:tmpl w:val="C14AB778"/>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52E9FE"/>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E427957"/>
    <w:multiLevelType w:val="hybridMultilevel"/>
    <w:tmpl w:val="8160B186"/>
    <w:lvl w:ilvl="0" w:tplc="77B4B10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0AE4C10"/>
    <w:multiLevelType w:val="hybridMultilevel"/>
    <w:tmpl w:val="0E4CCBD2"/>
    <w:lvl w:ilvl="0" w:tplc="D694783C">
      <w:start w:val="1"/>
      <w:numFmt w:val="lowerLetter"/>
      <w:lvlText w:val="(%1)"/>
      <w:lvlJc w:val="left"/>
      <w:pPr>
        <w:ind w:left="1980" w:hanging="360"/>
      </w:pPr>
      <w:rPr>
        <w:rFonts w:hint="default"/>
        <w: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31194F01"/>
    <w:multiLevelType w:val="hybridMultilevel"/>
    <w:tmpl w:val="3A8A161E"/>
    <w:lvl w:ilvl="0" w:tplc="6A409F98">
      <w:start w:val="1"/>
      <w:numFmt w:val="lowerLetter"/>
      <w:lvlText w:val="(%1)"/>
      <w:lvlJc w:val="left"/>
      <w:pPr>
        <w:ind w:left="1980" w:hanging="360"/>
      </w:pPr>
      <w:rPr>
        <w:rFonts w:hint="default"/>
        <w: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4AC64FE2"/>
    <w:multiLevelType w:val="hybridMultilevel"/>
    <w:tmpl w:val="580E7BAC"/>
    <w:lvl w:ilvl="0" w:tplc="1192553A">
      <w:start w:val="1"/>
      <w:numFmt w:val="decimal"/>
      <w:pStyle w:val="ReasonsNumbering-AltN"/>
      <w:lvlText w:val="[%1]"/>
      <w:lvlJc w:val="left"/>
      <w:pPr>
        <w:ind w:left="360" w:hanging="360"/>
      </w:pPr>
      <w:rPr>
        <w:rFonts w:ascii="Times New Roman" w:hAnsi="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E3E482F"/>
    <w:multiLevelType w:val="hybridMultilevel"/>
    <w:tmpl w:val="4912A198"/>
    <w:lvl w:ilvl="0" w:tplc="6DFE1A38">
      <w:start w:val="1"/>
      <w:numFmt w:val="lowerLetter"/>
      <w:lvlText w:val="(%1)"/>
      <w:lvlJc w:val="left"/>
      <w:pPr>
        <w:ind w:left="1980" w:hanging="360"/>
      </w:pPr>
      <w:rPr>
        <w:rFonts w:hint="default"/>
        <w: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34734FE"/>
    <w:multiLevelType w:val="hybridMultilevel"/>
    <w:tmpl w:val="A47A72E0"/>
    <w:lvl w:ilvl="0" w:tplc="A0963D08">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7"/>
  </w:num>
  <w:num w:numId="2">
    <w:abstractNumId w:val="19"/>
  </w:num>
  <w:num w:numId="3">
    <w:abstractNumId w:val="12"/>
  </w:num>
  <w:num w:numId="4">
    <w:abstractNumId w:val="10"/>
  </w:num>
  <w:num w:numId="5">
    <w:abstractNumId w:val="16"/>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3"/>
  </w:num>
  <w:num w:numId="37">
    <w:abstractNumId w:val="11"/>
  </w:num>
  <w:num w:numId="38">
    <w:abstractNumId w:val="20"/>
  </w:num>
  <w:num w:numId="39">
    <w:abstractNumId w:val="14"/>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rsids>
    <w:rsidRoot w:val="0031414C"/>
    <w:rsid w:val="00000ED4"/>
    <w:rsid w:val="00011D4B"/>
    <w:rsid w:val="00025198"/>
    <w:rsid w:val="00026555"/>
    <w:rsid w:val="000578A3"/>
    <w:rsid w:val="000648CC"/>
    <w:rsid w:val="0007653C"/>
    <w:rsid w:val="000A18A2"/>
    <w:rsid w:val="000C59B8"/>
    <w:rsid w:val="001102CB"/>
    <w:rsid w:val="00111DE2"/>
    <w:rsid w:val="001143E4"/>
    <w:rsid w:val="00116462"/>
    <w:rsid w:val="00116B38"/>
    <w:rsid w:val="00131745"/>
    <w:rsid w:val="001321F7"/>
    <w:rsid w:val="00135406"/>
    <w:rsid w:val="00135972"/>
    <w:rsid w:val="001426A9"/>
    <w:rsid w:val="001517F9"/>
    <w:rsid w:val="00154D7C"/>
    <w:rsid w:val="001570B0"/>
    <w:rsid w:val="0015752C"/>
    <w:rsid w:val="00157737"/>
    <w:rsid w:val="00165277"/>
    <w:rsid w:val="00170592"/>
    <w:rsid w:val="00170AEF"/>
    <w:rsid w:val="001758BC"/>
    <w:rsid w:val="001B33E0"/>
    <w:rsid w:val="001B4573"/>
    <w:rsid w:val="001C42BA"/>
    <w:rsid w:val="001C779F"/>
    <w:rsid w:val="001D2AC1"/>
    <w:rsid w:val="001D4E88"/>
    <w:rsid w:val="001D78D6"/>
    <w:rsid w:val="001E2883"/>
    <w:rsid w:val="00213984"/>
    <w:rsid w:val="00213D8A"/>
    <w:rsid w:val="002179FA"/>
    <w:rsid w:val="00220FC2"/>
    <w:rsid w:val="00224FC0"/>
    <w:rsid w:val="00225EA4"/>
    <w:rsid w:val="00226EAF"/>
    <w:rsid w:val="00231F3A"/>
    <w:rsid w:val="00237B23"/>
    <w:rsid w:val="002406EE"/>
    <w:rsid w:val="00243EC8"/>
    <w:rsid w:val="00244AD4"/>
    <w:rsid w:val="00250536"/>
    <w:rsid w:val="002745CC"/>
    <w:rsid w:val="00290C35"/>
    <w:rsid w:val="002A05CB"/>
    <w:rsid w:val="002B7924"/>
    <w:rsid w:val="002D39A4"/>
    <w:rsid w:val="002E34C0"/>
    <w:rsid w:val="002E6705"/>
    <w:rsid w:val="0030329A"/>
    <w:rsid w:val="0031086F"/>
    <w:rsid w:val="003131A9"/>
    <w:rsid w:val="0031414C"/>
    <w:rsid w:val="00314E01"/>
    <w:rsid w:val="0032089D"/>
    <w:rsid w:val="00326F76"/>
    <w:rsid w:val="003310DE"/>
    <w:rsid w:val="00334829"/>
    <w:rsid w:val="0035169A"/>
    <w:rsid w:val="0035259D"/>
    <w:rsid w:val="00364B18"/>
    <w:rsid w:val="003A20D1"/>
    <w:rsid w:val="003A4C70"/>
    <w:rsid w:val="003B215F"/>
    <w:rsid w:val="003B33D5"/>
    <w:rsid w:val="003C3A7D"/>
    <w:rsid w:val="003C799C"/>
    <w:rsid w:val="003D0399"/>
    <w:rsid w:val="003D1DA1"/>
    <w:rsid w:val="003E1C71"/>
    <w:rsid w:val="003F327B"/>
    <w:rsid w:val="00403354"/>
    <w:rsid w:val="00406166"/>
    <w:rsid w:val="0040704B"/>
    <w:rsid w:val="00410A55"/>
    <w:rsid w:val="00411300"/>
    <w:rsid w:val="00413D25"/>
    <w:rsid w:val="00414B3C"/>
    <w:rsid w:val="00415417"/>
    <w:rsid w:val="004203AA"/>
    <w:rsid w:val="00426659"/>
    <w:rsid w:val="00450352"/>
    <w:rsid w:val="00454BDB"/>
    <w:rsid w:val="004562AC"/>
    <w:rsid w:val="00465132"/>
    <w:rsid w:val="00480C90"/>
    <w:rsid w:val="0048396F"/>
    <w:rsid w:val="00493C18"/>
    <w:rsid w:val="004A0D83"/>
    <w:rsid w:val="004A600C"/>
    <w:rsid w:val="004A6118"/>
    <w:rsid w:val="004C478D"/>
    <w:rsid w:val="004D3DEB"/>
    <w:rsid w:val="004E2C26"/>
    <w:rsid w:val="004E3A87"/>
    <w:rsid w:val="004E5D56"/>
    <w:rsid w:val="004E6DFC"/>
    <w:rsid w:val="005125A8"/>
    <w:rsid w:val="00521AE8"/>
    <w:rsid w:val="00527180"/>
    <w:rsid w:val="00555291"/>
    <w:rsid w:val="005743D1"/>
    <w:rsid w:val="00583EDE"/>
    <w:rsid w:val="005A0C89"/>
    <w:rsid w:val="005A23CF"/>
    <w:rsid w:val="005E4698"/>
    <w:rsid w:val="005F5343"/>
    <w:rsid w:val="00610539"/>
    <w:rsid w:val="00613969"/>
    <w:rsid w:val="00617648"/>
    <w:rsid w:val="006203D2"/>
    <w:rsid w:val="00625C35"/>
    <w:rsid w:val="00626CDF"/>
    <w:rsid w:val="00656313"/>
    <w:rsid w:val="006565F4"/>
    <w:rsid w:val="00664862"/>
    <w:rsid w:val="00680D5C"/>
    <w:rsid w:val="00684EEA"/>
    <w:rsid w:val="0068601B"/>
    <w:rsid w:val="00692027"/>
    <w:rsid w:val="006B40A0"/>
    <w:rsid w:val="006B5FF5"/>
    <w:rsid w:val="006C500D"/>
    <w:rsid w:val="00701759"/>
    <w:rsid w:val="007053C6"/>
    <w:rsid w:val="007221D9"/>
    <w:rsid w:val="007267A0"/>
    <w:rsid w:val="007274EF"/>
    <w:rsid w:val="00745CB1"/>
    <w:rsid w:val="00747288"/>
    <w:rsid w:val="00747DD3"/>
    <w:rsid w:val="007549C8"/>
    <w:rsid w:val="00761B20"/>
    <w:rsid w:val="00766D14"/>
    <w:rsid w:val="00767A0F"/>
    <w:rsid w:val="007922AE"/>
    <w:rsid w:val="007A05F6"/>
    <w:rsid w:val="007B5A16"/>
    <w:rsid w:val="007B6F4A"/>
    <w:rsid w:val="007D3A57"/>
    <w:rsid w:val="007E1C47"/>
    <w:rsid w:val="007E337A"/>
    <w:rsid w:val="007E5C70"/>
    <w:rsid w:val="007F2FF5"/>
    <w:rsid w:val="007F3F08"/>
    <w:rsid w:val="00802B12"/>
    <w:rsid w:val="00804CC6"/>
    <w:rsid w:val="00817190"/>
    <w:rsid w:val="008260E2"/>
    <w:rsid w:val="008322BD"/>
    <w:rsid w:val="00834F73"/>
    <w:rsid w:val="00854458"/>
    <w:rsid w:val="00863A3E"/>
    <w:rsid w:val="00864CF8"/>
    <w:rsid w:val="00874914"/>
    <w:rsid w:val="00891422"/>
    <w:rsid w:val="00892E1A"/>
    <w:rsid w:val="00892ED4"/>
    <w:rsid w:val="008B5922"/>
    <w:rsid w:val="008C01DA"/>
    <w:rsid w:val="008C7504"/>
    <w:rsid w:val="008F46A9"/>
    <w:rsid w:val="008F78E9"/>
    <w:rsid w:val="008F7AAA"/>
    <w:rsid w:val="00906499"/>
    <w:rsid w:val="009137D4"/>
    <w:rsid w:val="009179F9"/>
    <w:rsid w:val="00920B9B"/>
    <w:rsid w:val="00920D16"/>
    <w:rsid w:val="00933E5E"/>
    <w:rsid w:val="00935218"/>
    <w:rsid w:val="009403F3"/>
    <w:rsid w:val="009555B7"/>
    <w:rsid w:val="009567AA"/>
    <w:rsid w:val="00960659"/>
    <w:rsid w:val="009625DA"/>
    <w:rsid w:val="00963A38"/>
    <w:rsid w:val="00967374"/>
    <w:rsid w:val="009A0178"/>
    <w:rsid w:val="009B2F23"/>
    <w:rsid w:val="009B422B"/>
    <w:rsid w:val="009B57B3"/>
    <w:rsid w:val="009D2920"/>
    <w:rsid w:val="009D5AEB"/>
    <w:rsid w:val="009F0644"/>
    <w:rsid w:val="009F0E33"/>
    <w:rsid w:val="009F3253"/>
    <w:rsid w:val="00A149DF"/>
    <w:rsid w:val="00A21B90"/>
    <w:rsid w:val="00A22FB4"/>
    <w:rsid w:val="00A275CB"/>
    <w:rsid w:val="00A34023"/>
    <w:rsid w:val="00A41805"/>
    <w:rsid w:val="00A548CB"/>
    <w:rsid w:val="00A5521C"/>
    <w:rsid w:val="00A643E7"/>
    <w:rsid w:val="00A655C1"/>
    <w:rsid w:val="00A66589"/>
    <w:rsid w:val="00A707F6"/>
    <w:rsid w:val="00A73C38"/>
    <w:rsid w:val="00AD26D4"/>
    <w:rsid w:val="00AF03C5"/>
    <w:rsid w:val="00B000D8"/>
    <w:rsid w:val="00B00F75"/>
    <w:rsid w:val="00B145B6"/>
    <w:rsid w:val="00B2627F"/>
    <w:rsid w:val="00B36B11"/>
    <w:rsid w:val="00B36BC5"/>
    <w:rsid w:val="00B50BDB"/>
    <w:rsid w:val="00B50C81"/>
    <w:rsid w:val="00B557F8"/>
    <w:rsid w:val="00B726ED"/>
    <w:rsid w:val="00B815FC"/>
    <w:rsid w:val="00B93FBC"/>
    <w:rsid w:val="00BA54DD"/>
    <w:rsid w:val="00BB2EE4"/>
    <w:rsid w:val="00BC2108"/>
    <w:rsid w:val="00BD0E9E"/>
    <w:rsid w:val="00BD1BEC"/>
    <w:rsid w:val="00BD248C"/>
    <w:rsid w:val="00BD32FF"/>
    <w:rsid w:val="00BD58EE"/>
    <w:rsid w:val="00BD6D2A"/>
    <w:rsid w:val="00C02092"/>
    <w:rsid w:val="00C1364D"/>
    <w:rsid w:val="00C24D91"/>
    <w:rsid w:val="00C343B9"/>
    <w:rsid w:val="00C513EB"/>
    <w:rsid w:val="00C53F14"/>
    <w:rsid w:val="00C600CF"/>
    <w:rsid w:val="00C6084F"/>
    <w:rsid w:val="00C62A66"/>
    <w:rsid w:val="00C71458"/>
    <w:rsid w:val="00C77613"/>
    <w:rsid w:val="00C828E7"/>
    <w:rsid w:val="00C86719"/>
    <w:rsid w:val="00C867F9"/>
    <w:rsid w:val="00C921DD"/>
    <w:rsid w:val="00CA6391"/>
    <w:rsid w:val="00CE3171"/>
    <w:rsid w:val="00CE43DD"/>
    <w:rsid w:val="00CF1601"/>
    <w:rsid w:val="00D0172F"/>
    <w:rsid w:val="00D027F4"/>
    <w:rsid w:val="00D068A7"/>
    <w:rsid w:val="00D32086"/>
    <w:rsid w:val="00D37A3F"/>
    <w:rsid w:val="00D4431D"/>
    <w:rsid w:val="00D4667A"/>
    <w:rsid w:val="00D53730"/>
    <w:rsid w:val="00D65A98"/>
    <w:rsid w:val="00D7516F"/>
    <w:rsid w:val="00D82B35"/>
    <w:rsid w:val="00D95F8E"/>
    <w:rsid w:val="00D97C21"/>
    <w:rsid w:val="00DA0590"/>
    <w:rsid w:val="00DC1788"/>
    <w:rsid w:val="00DC2E44"/>
    <w:rsid w:val="00DC4E02"/>
    <w:rsid w:val="00DE319C"/>
    <w:rsid w:val="00DF0CA8"/>
    <w:rsid w:val="00DF2B48"/>
    <w:rsid w:val="00DF49A7"/>
    <w:rsid w:val="00DF7C90"/>
    <w:rsid w:val="00E07EE2"/>
    <w:rsid w:val="00E07FD1"/>
    <w:rsid w:val="00E136A5"/>
    <w:rsid w:val="00E13F03"/>
    <w:rsid w:val="00E24573"/>
    <w:rsid w:val="00E25E1E"/>
    <w:rsid w:val="00E27EE7"/>
    <w:rsid w:val="00E35404"/>
    <w:rsid w:val="00E45109"/>
    <w:rsid w:val="00E47B7A"/>
    <w:rsid w:val="00E86230"/>
    <w:rsid w:val="00E976A9"/>
    <w:rsid w:val="00E97830"/>
    <w:rsid w:val="00EC146C"/>
    <w:rsid w:val="00EE74E1"/>
    <w:rsid w:val="00EF0683"/>
    <w:rsid w:val="00EF0A9F"/>
    <w:rsid w:val="00EF1411"/>
    <w:rsid w:val="00F0070C"/>
    <w:rsid w:val="00F00EB7"/>
    <w:rsid w:val="00F208AA"/>
    <w:rsid w:val="00F2451E"/>
    <w:rsid w:val="00F36AB6"/>
    <w:rsid w:val="00F37A09"/>
    <w:rsid w:val="00F409CE"/>
    <w:rsid w:val="00F4379D"/>
    <w:rsid w:val="00F44443"/>
    <w:rsid w:val="00F61AA2"/>
    <w:rsid w:val="00F7797F"/>
    <w:rsid w:val="00F84DF4"/>
    <w:rsid w:val="00F85C97"/>
    <w:rsid w:val="00FB37D2"/>
    <w:rsid w:val="00FC3D95"/>
    <w:rsid w:val="00FC4EFB"/>
    <w:rsid w:val="00FD068D"/>
    <w:rsid w:val="00FD23AE"/>
    <w:rsid w:val="00FD4F28"/>
    <w:rsid w:val="00FE6784"/>
    <w:rsid w:val="00FF18B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EF"/>
    <w:rPr>
      <w:sz w:val="24"/>
    </w:rPr>
  </w:style>
  <w:style w:type="paragraph" w:styleId="Heading1">
    <w:name w:val="heading 1"/>
    <w:next w:val="ReasonsNumbering-AltN"/>
    <w:link w:val="Heading1Char"/>
    <w:uiPriority w:val="2"/>
    <w:qFormat/>
    <w:rsid w:val="007274EF"/>
    <w:pPr>
      <w:keepNext/>
      <w:keepLines/>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7274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74EF"/>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7274EF"/>
    <w:rPr>
      <w:color w:val="808080"/>
    </w:rPr>
  </w:style>
  <w:style w:type="paragraph" w:styleId="BalloonText">
    <w:name w:val="Balloon Text"/>
    <w:basedOn w:val="Normal"/>
    <w:link w:val="BalloonTextChar"/>
    <w:uiPriority w:val="99"/>
    <w:semiHidden/>
    <w:unhideWhenUsed/>
    <w:rsid w:val="007274EF"/>
    <w:rPr>
      <w:rFonts w:cs="Tahoma"/>
      <w:sz w:val="28"/>
      <w:szCs w:val="16"/>
    </w:rPr>
  </w:style>
  <w:style w:type="character" w:customStyle="1" w:styleId="BalloonTextChar">
    <w:name w:val="Balloon Text Char"/>
    <w:basedOn w:val="DefaultParagraphFont"/>
    <w:link w:val="BalloonText"/>
    <w:uiPriority w:val="99"/>
    <w:semiHidden/>
    <w:rsid w:val="007274EF"/>
    <w:rPr>
      <w:rFonts w:cs="Tahoma"/>
      <w:sz w:val="28"/>
      <w:szCs w:val="16"/>
    </w:rPr>
  </w:style>
  <w:style w:type="paragraph" w:styleId="Header">
    <w:name w:val="header"/>
    <w:basedOn w:val="Normal"/>
    <w:link w:val="HeaderChar"/>
    <w:uiPriority w:val="99"/>
    <w:unhideWhenUsed/>
    <w:rsid w:val="007274EF"/>
    <w:pPr>
      <w:tabs>
        <w:tab w:val="center" w:pos="4680"/>
        <w:tab w:val="right" w:pos="9360"/>
      </w:tabs>
    </w:pPr>
  </w:style>
  <w:style w:type="character" w:customStyle="1" w:styleId="HeaderChar">
    <w:name w:val="Header Char"/>
    <w:basedOn w:val="DefaultParagraphFont"/>
    <w:link w:val="Header"/>
    <w:uiPriority w:val="99"/>
    <w:rsid w:val="007274EF"/>
    <w:rPr>
      <w:sz w:val="24"/>
    </w:rPr>
  </w:style>
  <w:style w:type="paragraph" w:styleId="Footer">
    <w:name w:val="footer"/>
    <w:basedOn w:val="Normal"/>
    <w:link w:val="FooterChar"/>
    <w:uiPriority w:val="99"/>
    <w:semiHidden/>
    <w:unhideWhenUsed/>
    <w:rsid w:val="007274EF"/>
    <w:pPr>
      <w:tabs>
        <w:tab w:val="center" w:pos="4680"/>
        <w:tab w:val="right" w:pos="9360"/>
      </w:tabs>
    </w:pPr>
  </w:style>
  <w:style w:type="character" w:customStyle="1" w:styleId="FooterChar">
    <w:name w:val="Footer Char"/>
    <w:basedOn w:val="DefaultParagraphFont"/>
    <w:link w:val="Footer"/>
    <w:uiPriority w:val="99"/>
    <w:semiHidden/>
    <w:rsid w:val="007274EF"/>
    <w:rPr>
      <w:sz w:val="24"/>
    </w:rPr>
  </w:style>
  <w:style w:type="paragraph" w:customStyle="1" w:styleId="SCCLsocParty">
    <w:name w:val="SCC.Lsoc.Party"/>
    <w:basedOn w:val="Normal"/>
    <w:next w:val="Normal"/>
    <w:link w:val="SCCLsocPartyChar"/>
    <w:rsid w:val="007274EF"/>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7274EF"/>
    <w:rPr>
      <w:rFonts w:eastAsiaTheme="minorHAnsi" w:cstheme="minorBidi"/>
      <w:sz w:val="24"/>
      <w:szCs w:val="22"/>
      <w:lang w:eastAsia="en-US"/>
    </w:rPr>
  </w:style>
  <w:style w:type="paragraph" w:customStyle="1" w:styleId="SCCLsocVersus">
    <w:name w:val="SCC.Lsoc.Versus"/>
    <w:basedOn w:val="Normal"/>
    <w:next w:val="Normal"/>
    <w:link w:val="SCCLsocVersusChar"/>
    <w:rsid w:val="007274EF"/>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7274EF"/>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7274EF"/>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7274EF"/>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7274EF"/>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7274EF"/>
    <w:rPr>
      <w:rFonts w:eastAsiaTheme="minorHAnsi" w:cstheme="minorBidi"/>
      <w:sz w:val="24"/>
      <w:szCs w:val="22"/>
      <w:lang w:eastAsia="en-US"/>
    </w:rPr>
  </w:style>
  <w:style w:type="character" w:customStyle="1" w:styleId="Heading1Char">
    <w:name w:val="Heading 1 Char"/>
    <w:basedOn w:val="DefaultParagraphFont"/>
    <w:link w:val="Heading1"/>
    <w:uiPriority w:val="2"/>
    <w:rsid w:val="007274EF"/>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7274EF"/>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F44443"/>
    <w:pPr>
      <w:ind w:left="720"/>
    </w:pPr>
  </w:style>
  <w:style w:type="paragraph" w:customStyle="1" w:styleId="SCCCoram">
    <w:name w:val="SCC.Coram"/>
    <w:basedOn w:val="Normal"/>
    <w:next w:val="Normal"/>
    <w:link w:val="SCCCoramChar"/>
    <w:rsid w:val="007274E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274EF"/>
    <w:rPr>
      <w:rFonts w:eastAsiaTheme="minorHAnsi" w:cstheme="minorBidi"/>
      <w:sz w:val="24"/>
      <w:szCs w:val="22"/>
      <w:lang w:eastAsia="en-US"/>
    </w:rPr>
  </w:style>
  <w:style w:type="table" w:styleId="TableGrid">
    <w:name w:val="Table Grid"/>
    <w:basedOn w:val="TableNormal"/>
    <w:uiPriority w:val="59"/>
    <w:rsid w:val="007274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F44443"/>
    <w:pPr>
      <w:spacing w:after="720"/>
      <w:ind w:left="1166"/>
      <w:contextualSpacing/>
      <w:jc w:val="both"/>
    </w:pPr>
  </w:style>
  <w:style w:type="paragraph" w:customStyle="1" w:styleId="SCCLsocOtherPartyRoleSeparator">
    <w:name w:val="SCC.Lsoc.OtherPartyRoleSeparator"/>
    <w:basedOn w:val="Normal"/>
    <w:next w:val="Normal"/>
    <w:link w:val="SCCLsocOtherPartyRoleSeparatorChar"/>
    <w:rsid w:val="007274EF"/>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7274EF"/>
    <w:rPr>
      <w:rFonts w:eastAsiaTheme="minorHAnsi" w:cstheme="minorBidi"/>
      <w:sz w:val="24"/>
      <w:szCs w:val="22"/>
      <w:lang w:eastAsia="en-US"/>
    </w:rPr>
  </w:style>
  <w:style w:type="character" w:customStyle="1" w:styleId="SCCBanSummaryChar">
    <w:name w:val="SCC.BanSummary Char"/>
    <w:basedOn w:val="DefaultParagraphFont"/>
    <w:link w:val="SCCBanSummary"/>
    <w:rsid w:val="007274EF"/>
    <w:rPr>
      <w:rFonts w:eastAsiaTheme="minorEastAsia"/>
      <w:b/>
      <w:sz w:val="24"/>
      <w:szCs w:val="24"/>
    </w:rPr>
  </w:style>
  <w:style w:type="paragraph" w:customStyle="1" w:styleId="ReasonsNumbering-AltN">
    <w:name w:val="Reasons Numbering - Alt N"/>
    <w:qFormat/>
    <w:rsid w:val="007274EF"/>
    <w:pPr>
      <w:numPr>
        <w:numId w:val="6"/>
      </w:numPr>
      <w:tabs>
        <w:tab w:val="left" w:pos="1152"/>
      </w:tabs>
      <w:spacing w:after="480" w:line="480" w:lineRule="auto"/>
      <w:jc w:val="both"/>
    </w:pPr>
    <w:rPr>
      <w:rFonts w:eastAsiaTheme="minorHAnsi" w:cstheme="minorBidi"/>
      <w:sz w:val="24"/>
      <w:szCs w:val="22"/>
      <w:lang w:eastAsia="en-US"/>
    </w:rPr>
  </w:style>
  <w:style w:type="paragraph" w:customStyle="1" w:styleId="Citation-AltC">
    <w:name w:val="Citation - Alt C"/>
    <w:uiPriority w:val="2"/>
    <w:qFormat/>
    <w:rsid w:val="007274EF"/>
    <w:pPr>
      <w:spacing w:after="720"/>
      <w:ind w:left="1166"/>
      <w:contextualSpacing/>
      <w:jc w:val="both"/>
    </w:pPr>
    <w:rPr>
      <w:sz w:val="24"/>
    </w:rPr>
  </w:style>
  <w:style w:type="character" w:styleId="CommentReference">
    <w:name w:val="annotation reference"/>
    <w:basedOn w:val="DefaultParagraphFont"/>
    <w:uiPriority w:val="99"/>
    <w:semiHidden/>
    <w:unhideWhenUsed/>
    <w:rsid w:val="007274EF"/>
    <w:rPr>
      <w:sz w:val="16"/>
      <w:szCs w:val="16"/>
    </w:rPr>
  </w:style>
  <w:style w:type="paragraph" w:styleId="CommentText">
    <w:name w:val="annotation text"/>
    <w:basedOn w:val="Normal"/>
    <w:link w:val="CommentTextChar"/>
    <w:uiPriority w:val="99"/>
    <w:semiHidden/>
    <w:unhideWhenUsed/>
    <w:rsid w:val="007274EF"/>
    <w:rPr>
      <w:sz w:val="20"/>
    </w:rPr>
  </w:style>
  <w:style w:type="character" w:customStyle="1" w:styleId="CommentTextChar">
    <w:name w:val="Comment Text Char"/>
    <w:basedOn w:val="DefaultParagraphFont"/>
    <w:link w:val="CommentText"/>
    <w:uiPriority w:val="99"/>
    <w:semiHidden/>
    <w:rsid w:val="007274EF"/>
  </w:style>
  <w:style w:type="paragraph" w:styleId="CommentSubject">
    <w:name w:val="annotation subject"/>
    <w:basedOn w:val="CommentText"/>
    <w:next w:val="CommentText"/>
    <w:link w:val="CommentSubjectChar"/>
    <w:uiPriority w:val="99"/>
    <w:semiHidden/>
    <w:unhideWhenUsed/>
    <w:rsid w:val="007274EF"/>
    <w:rPr>
      <w:b/>
      <w:bCs/>
    </w:rPr>
  </w:style>
  <w:style w:type="character" w:customStyle="1" w:styleId="CommentSubjectChar">
    <w:name w:val="Comment Subject Char"/>
    <w:basedOn w:val="CommentTextChar"/>
    <w:link w:val="CommentSubject"/>
    <w:uiPriority w:val="99"/>
    <w:semiHidden/>
    <w:rsid w:val="007274EF"/>
    <w:rPr>
      <w:b/>
      <w:bCs/>
    </w:rPr>
  </w:style>
  <w:style w:type="paragraph" w:customStyle="1" w:styleId="ContinueReasonsNo-AltP">
    <w:name w:val="Continue Reasons No # - Alt P"/>
    <w:next w:val="ReasonsNumbering-AltN"/>
    <w:uiPriority w:val="1"/>
    <w:qFormat/>
    <w:rsid w:val="007274EF"/>
    <w:pPr>
      <w:spacing w:before="480" w:after="480" w:line="480" w:lineRule="auto"/>
      <w:jc w:val="both"/>
    </w:pPr>
    <w:rPr>
      <w:rFonts w:eastAsiaTheme="minorHAnsi" w:cstheme="minorBidi"/>
      <w:sz w:val="24"/>
      <w:szCs w:val="22"/>
      <w:lang w:eastAsia="en-US"/>
    </w:rPr>
  </w:style>
  <w:style w:type="paragraph" w:customStyle="1" w:styleId="Citation1">
    <w:name w:val="Citation1"/>
    <w:basedOn w:val="Normal"/>
    <w:qFormat/>
    <w:rsid w:val="009B422B"/>
    <w:pPr>
      <w:spacing w:after="720"/>
      <w:ind w:left="1166"/>
      <w:contextualSpacing/>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Ltr_J18_e revised Feb 21 2011.dotx</Template>
  <TotalTime>0</TotalTime>
  <Pages>18</Pages>
  <Words>3845</Words>
  <Characters>20955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2010-12-23T15:50:00Z</dcterms:created>
  <dcterms:modified xsi:type="dcterms:W3CDTF">2011-06-07T14:33:00Z</dcterms:modified>
</cp:coreProperties>
</file>