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29" w:rsidRPr="00C95FF1" w:rsidRDefault="00AF6729" w:rsidP="00AF6729">
      <w:pPr>
        <w:tabs>
          <w:tab w:val="center" w:pos="4680"/>
          <w:tab w:val="right" w:pos="9360"/>
        </w:tabs>
        <w:rPr>
          <w:rFonts w:eastAsiaTheme="minorHAnsi" w:cstheme="minorBidi"/>
          <w:szCs w:val="24"/>
          <w:lang w:eastAsia="en-US"/>
        </w:rPr>
      </w:pPr>
      <w:r w:rsidRPr="00C95FF1">
        <w:rPr>
          <w:rFonts w:eastAsiaTheme="minorHAnsi" w:cstheme="minorBidi"/>
          <w:szCs w:val="24"/>
          <w:lang w:eastAsia="en-US"/>
        </w:rPr>
        <w:ptab w:relativeTo="margin" w:alignment="center" w:leader="none"/>
      </w:r>
      <w:r w:rsidRPr="00C95FF1">
        <w:rPr>
          <w:rFonts w:eastAsiaTheme="minorHAnsi" w:cstheme="minorBidi"/>
          <w:szCs w:val="24"/>
          <w:lang w:eastAsia="en-US"/>
        </w:rPr>
        <w:t xml:space="preserve"> </w:t>
      </w:r>
      <w:r w:rsidRPr="00C95FF1">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368947087" r:id="rId9"/>
        </w:object>
      </w:r>
      <w:r w:rsidRPr="00C95FF1">
        <w:rPr>
          <w:rFonts w:eastAsiaTheme="minorHAnsi" w:cstheme="minorBidi"/>
          <w:szCs w:val="24"/>
          <w:lang w:eastAsia="en-US"/>
        </w:rPr>
        <w:t xml:space="preserve"> </w:t>
      </w:r>
      <w:r w:rsidRPr="00C95FF1">
        <w:rPr>
          <w:rFonts w:eastAsiaTheme="minorHAnsi" w:cstheme="minorBidi"/>
          <w:szCs w:val="24"/>
          <w:lang w:eastAsia="en-US"/>
        </w:rPr>
        <w:ptab w:relativeTo="margin" w:alignment="right" w:leader="none"/>
      </w:r>
    </w:p>
    <w:p w:rsidR="00AF6729" w:rsidRPr="00C95FF1" w:rsidRDefault="00AF6729" w:rsidP="00AF6729">
      <w:pPr>
        <w:tabs>
          <w:tab w:val="center" w:pos="4680"/>
          <w:tab w:val="right" w:pos="9360"/>
        </w:tabs>
        <w:rPr>
          <w:rFonts w:eastAsiaTheme="minorHAnsi" w:cstheme="minorBidi"/>
          <w:szCs w:val="24"/>
          <w:lang w:eastAsia="en-US"/>
        </w:rPr>
      </w:pPr>
    </w:p>
    <w:p w:rsidR="00AF6729" w:rsidRPr="00C95FF1" w:rsidRDefault="00AF6729" w:rsidP="00AF6729">
      <w:pPr>
        <w:jc w:val="center"/>
        <w:rPr>
          <w:rFonts w:eastAsiaTheme="minorHAnsi" w:cstheme="minorBidi"/>
          <w:b/>
          <w:szCs w:val="24"/>
          <w:lang w:eastAsia="en-US"/>
        </w:rPr>
      </w:pPr>
      <w:r w:rsidRPr="00C95FF1">
        <w:rPr>
          <w:rFonts w:eastAsiaTheme="minorHAnsi" w:cstheme="minorBidi"/>
          <w:b/>
          <w:szCs w:val="24"/>
          <w:lang w:eastAsia="en-US"/>
        </w:rPr>
        <w:t>SUPREME COURT OF CANADA</w:t>
      </w:r>
    </w:p>
    <w:p w:rsidR="00AF6729" w:rsidRPr="00C95FF1" w:rsidRDefault="00AF6729" w:rsidP="00AF6729">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F6729" w:rsidRPr="00C95FF1" w:rsidTr="00BA475A">
        <w:trPr>
          <w:cantSplit/>
        </w:trPr>
        <w:tc>
          <w:tcPr>
            <w:tcW w:w="6768" w:type="dxa"/>
          </w:tcPr>
          <w:p w:rsidR="00AF6729" w:rsidRPr="00C95FF1" w:rsidRDefault="00AF6729" w:rsidP="00BA475A">
            <w:r w:rsidRPr="00C95FF1">
              <w:rPr>
                <w:b/>
                <w:smallCaps/>
              </w:rPr>
              <w:t>Citation:</w:t>
            </w:r>
            <w:r w:rsidRPr="00C95FF1">
              <w:t xml:space="preserve"> Canadian Food Inspection Agency </w:t>
            </w:r>
            <w:r w:rsidRPr="00C95FF1">
              <w:rPr>
                <w:i/>
              </w:rPr>
              <w:t>v.</w:t>
            </w:r>
            <w:r w:rsidRPr="00C95FF1">
              <w:t xml:space="preserve"> Professional Institute of the Public Service of Canada, </w:t>
            </w:r>
            <w:r>
              <w:rPr>
                <w:rStyle w:val="SCCRespondentForIndexChar"/>
                <w:b w:val="0"/>
              </w:rPr>
              <w:t>2010 SCC 66, [2010] 3 S.C.R. 657</w:t>
            </w:r>
          </w:p>
        </w:tc>
        <w:tc>
          <w:tcPr>
            <w:tcW w:w="2808" w:type="dxa"/>
          </w:tcPr>
          <w:p w:rsidR="00AF6729" w:rsidRPr="00C95FF1" w:rsidRDefault="00AF6729" w:rsidP="00BA475A">
            <w:r w:rsidRPr="00C95FF1">
              <w:rPr>
                <w:b/>
                <w:smallCaps/>
              </w:rPr>
              <w:t>Date:</w:t>
            </w:r>
            <w:r w:rsidRPr="00C95FF1">
              <w:t xml:space="preserve"> 20101223</w:t>
            </w:r>
          </w:p>
          <w:p w:rsidR="00AF6729" w:rsidRPr="00C95FF1" w:rsidRDefault="00AF6729" w:rsidP="00BA475A">
            <w:r w:rsidRPr="00C95FF1">
              <w:rPr>
                <w:b/>
                <w:smallCaps/>
              </w:rPr>
              <w:t>Docket:</w:t>
            </w:r>
            <w:r w:rsidRPr="00C95FF1">
              <w:t xml:space="preserve"> 32880</w:t>
            </w:r>
          </w:p>
        </w:tc>
      </w:tr>
    </w:tbl>
    <w:p w:rsidR="00AF6729" w:rsidRPr="00C95FF1" w:rsidRDefault="00AF6729" w:rsidP="00AF6729">
      <w:pPr>
        <w:rPr>
          <w:rFonts w:eastAsiaTheme="minorHAnsi" w:cstheme="minorBidi"/>
          <w:szCs w:val="24"/>
          <w:lang w:eastAsia="en-US"/>
        </w:rPr>
      </w:pPr>
    </w:p>
    <w:p w:rsidR="00AF6729" w:rsidRPr="00C95FF1" w:rsidRDefault="00AF6729" w:rsidP="00AF6729">
      <w:pPr>
        <w:rPr>
          <w:rFonts w:eastAsiaTheme="minorHAnsi" w:cstheme="minorBidi"/>
          <w:b/>
          <w:smallCaps/>
          <w:szCs w:val="24"/>
          <w:lang w:eastAsia="en-US"/>
        </w:rPr>
      </w:pPr>
      <w:r w:rsidRPr="00C95FF1">
        <w:rPr>
          <w:rFonts w:eastAsiaTheme="minorHAnsi" w:cstheme="minorBidi"/>
          <w:b/>
          <w:smallCaps/>
          <w:szCs w:val="24"/>
          <w:lang w:eastAsia="en-US"/>
        </w:rPr>
        <w:t>Between:</w:t>
      </w:r>
    </w:p>
    <w:p w:rsidR="00AF6729" w:rsidRPr="00C95FF1" w:rsidRDefault="00AF6729" w:rsidP="00AF6729">
      <w:pPr>
        <w:jc w:val="center"/>
        <w:rPr>
          <w:rFonts w:eastAsiaTheme="minorHAnsi" w:cstheme="minorBidi"/>
          <w:b/>
          <w:szCs w:val="24"/>
          <w:lang w:eastAsia="en-US"/>
        </w:rPr>
      </w:pPr>
      <w:r w:rsidRPr="00C95FF1">
        <w:rPr>
          <w:rFonts w:eastAsiaTheme="minorHAnsi" w:cstheme="minorBidi"/>
          <w:b/>
          <w:szCs w:val="24"/>
          <w:lang w:eastAsia="en-US"/>
        </w:rPr>
        <w:t>Canadian Food Inspection Agency</w:t>
      </w:r>
    </w:p>
    <w:p w:rsidR="00AF6729" w:rsidRPr="00C95FF1" w:rsidRDefault="00AF6729" w:rsidP="00AF6729">
      <w:pPr>
        <w:jc w:val="center"/>
        <w:rPr>
          <w:rFonts w:eastAsiaTheme="minorHAnsi" w:cstheme="minorBidi"/>
          <w:szCs w:val="24"/>
          <w:lang w:val="fr-CA" w:eastAsia="en-US"/>
        </w:rPr>
      </w:pPr>
      <w:proofErr w:type="spellStart"/>
      <w:r w:rsidRPr="00C95FF1">
        <w:rPr>
          <w:rFonts w:eastAsiaTheme="minorHAnsi" w:cstheme="minorBidi"/>
          <w:szCs w:val="24"/>
          <w:lang w:val="fr-CA" w:eastAsia="en-US"/>
        </w:rPr>
        <w:t>Appellant</w:t>
      </w:r>
      <w:proofErr w:type="spellEnd"/>
    </w:p>
    <w:p w:rsidR="00AF6729" w:rsidRPr="00C95FF1" w:rsidRDefault="00AF6729" w:rsidP="00AF6729">
      <w:pPr>
        <w:jc w:val="center"/>
        <w:rPr>
          <w:rFonts w:eastAsiaTheme="minorHAnsi" w:cstheme="minorBidi"/>
          <w:szCs w:val="24"/>
          <w:lang w:val="en-US" w:eastAsia="en-US"/>
        </w:rPr>
      </w:pPr>
      <w:proofErr w:type="gramStart"/>
      <w:r w:rsidRPr="00C95FF1">
        <w:rPr>
          <w:rFonts w:eastAsiaTheme="minorHAnsi" w:cstheme="minorBidi"/>
          <w:szCs w:val="24"/>
          <w:lang w:val="en-US" w:eastAsia="en-US"/>
        </w:rPr>
        <w:t>and</w:t>
      </w:r>
      <w:proofErr w:type="gramEnd"/>
    </w:p>
    <w:p w:rsidR="00AF6729" w:rsidRPr="00C95FF1" w:rsidRDefault="00AF6729" w:rsidP="00AF6729">
      <w:pPr>
        <w:jc w:val="center"/>
        <w:rPr>
          <w:rFonts w:eastAsiaTheme="minorHAnsi" w:cstheme="minorBidi"/>
          <w:b/>
          <w:szCs w:val="24"/>
          <w:lang w:eastAsia="en-US"/>
        </w:rPr>
      </w:pPr>
      <w:r w:rsidRPr="00C95FF1">
        <w:rPr>
          <w:rFonts w:eastAsiaTheme="minorHAnsi" w:cstheme="minorBidi"/>
          <w:b/>
          <w:szCs w:val="24"/>
          <w:lang w:eastAsia="en-US"/>
        </w:rPr>
        <w:t>Professional Institute of the Public Service of Canada,</w:t>
      </w:r>
    </w:p>
    <w:p w:rsidR="00AF6729" w:rsidRPr="00C95FF1" w:rsidRDefault="00AF6729" w:rsidP="00AF6729">
      <w:pPr>
        <w:jc w:val="center"/>
        <w:rPr>
          <w:rFonts w:eastAsiaTheme="minorHAnsi" w:cstheme="minorBidi"/>
          <w:b/>
          <w:szCs w:val="24"/>
          <w:lang w:val="fr-CA" w:eastAsia="en-US"/>
        </w:rPr>
      </w:pPr>
      <w:r w:rsidRPr="00C95FF1">
        <w:rPr>
          <w:rFonts w:eastAsiaTheme="minorHAnsi" w:cstheme="minorBidi"/>
          <w:b/>
          <w:szCs w:val="24"/>
          <w:lang w:val="fr-CA" w:eastAsia="en-US"/>
        </w:rPr>
        <w:t xml:space="preserve">Dany Beauregard, Gaston </w:t>
      </w:r>
      <w:proofErr w:type="spellStart"/>
      <w:r w:rsidRPr="00C95FF1">
        <w:rPr>
          <w:rFonts w:eastAsiaTheme="minorHAnsi" w:cstheme="minorBidi"/>
          <w:b/>
          <w:szCs w:val="24"/>
          <w:lang w:val="fr-CA" w:eastAsia="en-US"/>
        </w:rPr>
        <w:t>Duchemin</w:t>
      </w:r>
      <w:proofErr w:type="spellEnd"/>
      <w:r w:rsidRPr="00C95FF1">
        <w:rPr>
          <w:rFonts w:eastAsiaTheme="minorHAnsi" w:cstheme="minorBidi"/>
          <w:b/>
          <w:szCs w:val="24"/>
          <w:lang w:val="fr-CA" w:eastAsia="en-US"/>
        </w:rPr>
        <w:t xml:space="preserve">, Jacques </w:t>
      </w:r>
      <w:proofErr w:type="spellStart"/>
      <w:r w:rsidRPr="00C95FF1">
        <w:rPr>
          <w:rFonts w:eastAsiaTheme="minorHAnsi" w:cstheme="minorBidi"/>
          <w:b/>
          <w:szCs w:val="24"/>
          <w:lang w:val="fr-CA" w:eastAsia="en-US"/>
        </w:rPr>
        <w:t>Vézina</w:t>
      </w:r>
      <w:proofErr w:type="spellEnd"/>
      <w:r w:rsidRPr="00C95FF1">
        <w:rPr>
          <w:rFonts w:eastAsiaTheme="minorHAnsi" w:cstheme="minorBidi"/>
          <w:b/>
          <w:szCs w:val="24"/>
          <w:lang w:val="fr-CA" w:eastAsia="en-US"/>
        </w:rPr>
        <w:t>,</w:t>
      </w:r>
    </w:p>
    <w:p w:rsidR="00AF6729" w:rsidRPr="00C95FF1" w:rsidRDefault="00AF6729" w:rsidP="00AF6729">
      <w:pPr>
        <w:jc w:val="center"/>
        <w:rPr>
          <w:rFonts w:eastAsiaTheme="minorHAnsi" w:cstheme="minorBidi"/>
          <w:b/>
          <w:szCs w:val="24"/>
          <w:lang w:val="fr-CA" w:eastAsia="en-US"/>
        </w:rPr>
      </w:pPr>
      <w:r w:rsidRPr="00C95FF1">
        <w:rPr>
          <w:rFonts w:eastAsiaTheme="minorHAnsi" w:cstheme="minorBidi"/>
          <w:b/>
          <w:szCs w:val="24"/>
          <w:lang w:val="fr-CA" w:eastAsia="en-US"/>
        </w:rPr>
        <w:t xml:space="preserve">Normand </w:t>
      </w:r>
      <w:proofErr w:type="spellStart"/>
      <w:r w:rsidRPr="00C95FF1">
        <w:rPr>
          <w:rFonts w:eastAsiaTheme="minorHAnsi" w:cstheme="minorBidi"/>
          <w:b/>
          <w:szCs w:val="24"/>
          <w:lang w:val="fr-CA" w:eastAsia="en-US"/>
        </w:rPr>
        <w:t>Bélair</w:t>
      </w:r>
      <w:proofErr w:type="spellEnd"/>
      <w:r w:rsidRPr="00C95FF1">
        <w:rPr>
          <w:rFonts w:eastAsiaTheme="minorHAnsi" w:cstheme="minorBidi"/>
          <w:b/>
          <w:szCs w:val="24"/>
          <w:lang w:val="fr-CA" w:eastAsia="en-US"/>
        </w:rPr>
        <w:t xml:space="preserve">, </w:t>
      </w:r>
      <w:proofErr w:type="spellStart"/>
      <w:r w:rsidRPr="00C95FF1">
        <w:rPr>
          <w:rFonts w:eastAsiaTheme="minorHAnsi" w:cstheme="minorBidi"/>
          <w:b/>
          <w:szCs w:val="24"/>
          <w:lang w:val="fr-CA" w:eastAsia="en-US"/>
        </w:rPr>
        <w:t>Lyn</w:t>
      </w:r>
      <w:proofErr w:type="spellEnd"/>
      <w:r w:rsidRPr="00C95FF1">
        <w:rPr>
          <w:rFonts w:eastAsiaTheme="minorHAnsi" w:cstheme="minorBidi"/>
          <w:b/>
          <w:szCs w:val="24"/>
          <w:lang w:val="fr-CA" w:eastAsia="en-US"/>
        </w:rPr>
        <w:t xml:space="preserve"> Couture, Jacques Guy,</w:t>
      </w:r>
    </w:p>
    <w:p w:rsidR="00AF6729" w:rsidRPr="00C95FF1" w:rsidRDefault="00AF6729" w:rsidP="00AF6729">
      <w:pPr>
        <w:jc w:val="center"/>
        <w:rPr>
          <w:rFonts w:eastAsiaTheme="minorHAnsi" w:cstheme="minorBidi"/>
          <w:b/>
          <w:szCs w:val="24"/>
          <w:lang w:val="fr-CA" w:eastAsia="en-US"/>
        </w:rPr>
      </w:pPr>
      <w:r w:rsidRPr="00C95FF1">
        <w:rPr>
          <w:rFonts w:eastAsiaTheme="minorHAnsi" w:cstheme="minorBidi"/>
          <w:b/>
          <w:szCs w:val="24"/>
          <w:lang w:val="fr-CA" w:eastAsia="en-US"/>
        </w:rPr>
        <w:t xml:space="preserve">Sonja </w:t>
      </w:r>
      <w:proofErr w:type="spellStart"/>
      <w:r w:rsidRPr="00C95FF1">
        <w:rPr>
          <w:rFonts w:eastAsiaTheme="minorHAnsi" w:cstheme="minorBidi"/>
          <w:b/>
          <w:szCs w:val="24"/>
          <w:lang w:val="fr-CA" w:eastAsia="en-US"/>
        </w:rPr>
        <w:t>Laurendeau</w:t>
      </w:r>
      <w:proofErr w:type="spellEnd"/>
      <w:r w:rsidRPr="00C95FF1">
        <w:rPr>
          <w:rFonts w:eastAsiaTheme="minorHAnsi" w:cstheme="minorBidi"/>
          <w:b/>
          <w:szCs w:val="24"/>
          <w:lang w:val="fr-CA" w:eastAsia="en-US"/>
        </w:rPr>
        <w:t xml:space="preserve">, Guy </w:t>
      </w:r>
      <w:proofErr w:type="spellStart"/>
      <w:r w:rsidRPr="00C95FF1">
        <w:rPr>
          <w:rFonts w:eastAsiaTheme="minorHAnsi" w:cstheme="minorBidi"/>
          <w:b/>
          <w:szCs w:val="24"/>
          <w:lang w:val="fr-CA" w:eastAsia="en-US"/>
        </w:rPr>
        <w:t>Boulard</w:t>
      </w:r>
      <w:proofErr w:type="spellEnd"/>
      <w:r w:rsidRPr="00C95FF1">
        <w:rPr>
          <w:rFonts w:eastAsiaTheme="minorHAnsi" w:cstheme="minorBidi"/>
          <w:b/>
          <w:szCs w:val="24"/>
          <w:lang w:val="fr-CA" w:eastAsia="en-US"/>
        </w:rPr>
        <w:t xml:space="preserve">, </w:t>
      </w:r>
      <w:proofErr w:type="spellStart"/>
      <w:r w:rsidRPr="00C95FF1">
        <w:rPr>
          <w:rFonts w:eastAsiaTheme="minorHAnsi" w:cstheme="minorBidi"/>
          <w:b/>
          <w:szCs w:val="24"/>
          <w:lang w:val="fr-CA" w:eastAsia="en-US"/>
        </w:rPr>
        <w:t>Stéphano</w:t>
      </w:r>
      <w:proofErr w:type="spellEnd"/>
      <w:r w:rsidRPr="00C95FF1">
        <w:rPr>
          <w:rFonts w:eastAsiaTheme="minorHAnsi" w:cstheme="minorBidi"/>
          <w:b/>
          <w:szCs w:val="24"/>
          <w:lang w:val="fr-CA" w:eastAsia="en-US"/>
        </w:rPr>
        <w:t xml:space="preserve"> Cagna,</w:t>
      </w:r>
    </w:p>
    <w:p w:rsidR="00AF6729" w:rsidRPr="00C95FF1" w:rsidRDefault="00AF6729" w:rsidP="00AF6729">
      <w:pPr>
        <w:jc w:val="center"/>
        <w:rPr>
          <w:rFonts w:eastAsiaTheme="minorHAnsi" w:cstheme="minorBidi"/>
          <w:b/>
          <w:szCs w:val="24"/>
          <w:lang w:val="fr-CA" w:eastAsia="en-US"/>
        </w:rPr>
      </w:pPr>
      <w:r w:rsidRPr="00C95FF1">
        <w:rPr>
          <w:rFonts w:eastAsiaTheme="minorHAnsi" w:cstheme="minorBidi"/>
          <w:b/>
          <w:szCs w:val="24"/>
          <w:lang w:val="fr-CA" w:eastAsia="en-US"/>
        </w:rPr>
        <w:t>Mona Gauthier, Michel Marcoux, Patrick Poulin,</w:t>
      </w:r>
    </w:p>
    <w:p w:rsidR="00AF6729" w:rsidRPr="00C95FF1" w:rsidRDefault="00AF6729" w:rsidP="00AF6729">
      <w:pPr>
        <w:jc w:val="center"/>
        <w:rPr>
          <w:rFonts w:eastAsiaTheme="minorHAnsi" w:cstheme="minorBidi"/>
          <w:b/>
          <w:szCs w:val="24"/>
          <w:lang w:val="fr-CA" w:eastAsia="en-US"/>
        </w:rPr>
      </w:pPr>
      <w:r w:rsidRPr="00C95FF1">
        <w:rPr>
          <w:rFonts w:eastAsiaTheme="minorHAnsi" w:cstheme="minorBidi"/>
          <w:b/>
          <w:szCs w:val="24"/>
          <w:lang w:val="fr-CA" w:eastAsia="en-US"/>
        </w:rPr>
        <w:t xml:space="preserve">François Saulnier, </w:t>
      </w:r>
      <w:proofErr w:type="spellStart"/>
      <w:r w:rsidRPr="00C95FF1">
        <w:rPr>
          <w:rFonts w:eastAsiaTheme="minorHAnsi" w:cstheme="minorBidi"/>
          <w:b/>
          <w:szCs w:val="24"/>
          <w:lang w:val="fr-CA" w:eastAsia="en-US"/>
        </w:rPr>
        <w:t>Madjib</w:t>
      </w:r>
      <w:proofErr w:type="spellEnd"/>
      <w:r w:rsidRPr="00C95FF1">
        <w:rPr>
          <w:rFonts w:eastAsiaTheme="minorHAnsi" w:cstheme="minorBidi"/>
          <w:b/>
          <w:szCs w:val="24"/>
          <w:lang w:val="fr-CA" w:eastAsia="en-US"/>
        </w:rPr>
        <w:t xml:space="preserve"> </w:t>
      </w:r>
      <w:proofErr w:type="spellStart"/>
      <w:r w:rsidRPr="00C95FF1">
        <w:rPr>
          <w:rFonts w:eastAsiaTheme="minorHAnsi" w:cstheme="minorBidi"/>
          <w:b/>
          <w:szCs w:val="24"/>
          <w:lang w:val="fr-CA" w:eastAsia="en-US"/>
        </w:rPr>
        <w:t>Boussouira</w:t>
      </w:r>
      <w:proofErr w:type="spellEnd"/>
      <w:r w:rsidRPr="00C95FF1">
        <w:rPr>
          <w:rFonts w:eastAsiaTheme="minorHAnsi" w:cstheme="minorBidi"/>
          <w:b/>
          <w:szCs w:val="24"/>
          <w:lang w:val="fr-CA" w:eastAsia="en-US"/>
        </w:rPr>
        <w:t xml:space="preserve">, Nicole </w:t>
      </w:r>
      <w:proofErr w:type="spellStart"/>
      <w:r w:rsidRPr="00C95FF1">
        <w:rPr>
          <w:rFonts w:eastAsiaTheme="minorHAnsi" w:cstheme="minorBidi"/>
          <w:b/>
          <w:szCs w:val="24"/>
          <w:lang w:val="fr-CA" w:eastAsia="en-US"/>
        </w:rPr>
        <w:t>Loranger</w:t>
      </w:r>
      <w:proofErr w:type="spellEnd"/>
      <w:r w:rsidRPr="00C95FF1">
        <w:rPr>
          <w:rFonts w:eastAsiaTheme="minorHAnsi" w:cstheme="minorBidi"/>
          <w:b/>
          <w:szCs w:val="24"/>
          <w:lang w:val="fr-CA" w:eastAsia="en-US"/>
        </w:rPr>
        <w:t>,</w:t>
      </w:r>
    </w:p>
    <w:p w:rsidR="00AF6729" w:rsidRPr="00C95FF1" w:rsidRDefault="00AF6729" w:rsidP="00AF6729">
      <w:pPr>
        <w:jc w:val="center"/>
        <w:rPr>
          <w:rFonts w:eastAsiaTheme="minorHAnsi" w:cstheme="minorBidi"/>
          <w:b/>
          <w:szCs w:val="24"/>
          <w:lang w:val="fr-CA" w:eastAsia="en-US"/>
        </w:rPr>
      </w:pPr>
      <w:r w:rsidRPr="00C95FF1">
        <w:rPr>
          <w:rFonts w:eastAsiaTheme="minorHAnsi" w:cstheme="minorBidi"/>
          <w:b/>
          <w:szCs w:val="24"/>
          <w:lang w:val="fr-CA" w:eastAsia="en-US"/>
        </w:rPr>
        <w:t xml:space="preserve">France Sylvestre, Peter </w:t>
      </w:r>
      <w:proofErr w:type="spellStart"/>
      <w:r w:rsidRPr="00C95FF1">
        <w:rPr>
          <w:rFonts w:eastAsiaTheme="minorHAnsi" w:cstheme="minorBidi"/>
          <w:b/>
          <w:szCs w:val="24"/>
          <w:lang w:val="fr-CA" w:eastAsia="en-US"/>
        </w:rPr>
        <w:t>O’Donnell</w:t>
      </w:r>
      <w:proofErr w:type="spellEnd"/>
      <w:r w:rsidRPr="00C95FF1">
        <w:rPr>
          <w:rFonts w:eastAsiaTheme="minorHAnsi" w:cstheme="minorBidi"/>
          <w:b/>
          <w:szCs w:val="24"/>
          <w:lang w:val="fr-CA" w:eastAsia="en-US"/>
        </w:rPr>
        <w:t>, Johanne Marcotte,</w:t>
      </w:r>
    </w:p>
    <w:p w:rsidR="00AF6729" w:rsidRPr="00C95FF1" w:rsidRDefault="00AF6729" w:rsidP="00AF6729">
      <w:pPr>
        <w:jc w:val="center"/>
        <w:rPr>
          <w:rFonts w:eastAsiaTheme="minorHAnsi" w:cstheme="minorBidi"/>
          <w:b/>
          <w:szCs w:val="24"/>
          <w:lang w:val="fr-CA" w:eastAsia="en-US"/>
        </w:rPr>
      </w:pPr>
      <w:r w:rsidRPr="00C95FF1">
        <w:rPr>
          <w:rFonts w:eastAsiaTheme="minorHAnsi" w:cstheme="minorBidi"/>
          <w:b/>
          <w:szCs w:val="24"/>
          <w:lang w:val="fr-CA" w:eastAsia="en-US"/>
        </w:rPr>
        <w:t xml:space="preserve">Pierre Rousselle, Ginette </w:t>
      </w:r>
      <w:proofErr w:type="spellStart"/>
      <w:r w:rsidRPr="00C95FF1">
        <w:rPr>
          <w:rFonts w:eastAsiaTheme="minorHAnsi" w:cstheme="minorBidi"/>
          <w:b/>
          <w:szCs w:val="24"/>
          <w:lang w:val="fr-CA" w:eastAsia="en-US"/>
        </w:rPr>
        <w:t>Caissie</w:t>
      </w:r>
      <w:proofErr w:type="spellEnd"/>
      <w:r w:rsidRPr="00C95FF1">
        <w:rPr>
          <w:rFonts w:eastAsiaTheme="minorHAnsi" w:cstheme="minorBidi"/>
          <w:b/>
          <w:szCs w:val="24"/>
          <w:lang w:val="fr-CA" w:eastAsia="en-US"/>
        </w:rPr>
        <w:t xml:space="preserve">, Corine </w:t>
      </w:r>
      <w:proofErr w:type="spellStart"/>
      <w:r w:rsidRPr="00C95FF1">
        <w:rPr>
          <w:rFonts w:eastAsiaTheme="minorHAnsi" w:cstheme="minorBidi"/>
          <w:b/>
          <w:szCs w:val="24"/>
          <w:lang w:val="fr-CA" w:eastAsia="en-US"/>
        </w:rPr>
        <w:t>Petitclerc</w:t>
      </w:r>
      <w:proofErr w:type="spellEnd"/>
      <w:r w:rsidRPr="00C95FF1">
        <w:rPr>
          <w:rFonts w:eastAsiaTheme="minorHAnsi" w:cstheme="minorBidi"/>
          <w:b/>
          <w:szCs w:val="24"/>
          <w:lang w:val="fr-CA" w:eastAsia="en-US"/>
        </w:rPr>
        <w:t>,</w:t>
      </w:r>
    </w:p>
    <w:p w:rsidR="00AF6729" w:rsidRPr="00C95FF1" w:rsidRDefault="00AF6729" w:rsidP="00AF6729">
      <w:pPr>
        <w:jc w:val="center"/>
        <w:rPr>
          <w:rFonts w:eastAsiaTheme="minorHAnsi" w:cstheme="minorBidi"/>
          <w:b/>
          <w:szCs w:val="24"/>
          <w:lang w:val="fr-CA" w:eastAsia="en-US"/>
        </w:rPr>
      </w:pPr>
      <w:r w:rsidRPr="00C95FF1">
        <w:rPr>
          <w:rFonts w:eastAsiaTheme="minorHAnsi" w:cstheme="minorBidi"/>
          <w:b/>
          <w:szCs w:val="24"/>
          <w:lang w:val="fr-CA" w:eastAsia="en-US"/>
        </w:rPr>
        <w:t xml:space="preserve">Patrice Cossette, Brigitte </w:t>
      </w:r>
      <w:proofErr w:type="spellStart"/>
      <w:r w:rsidRPr="00C95FF1">
        <w:rPr>
          <w:rFonts w:eastAsiaTheme="minorHAnsi" w:cstheme="minorBidi"/>
          <w:b/>
          <w:szCs w:val="24"/>
          <w:lang w:val="fr-CA" w:eastAsia="en-US"/>
        </w:rPr>
        <w:t>Flibotte</w:t>
      </w:r>
      <w:proofErr w:type="spellEnd"/>
      <w:r w:rsidRPr="00C95FF1">
        <w:rPr>
          <w:rFonts w:eastAsiaTheme="minorHAnsi" w:cstheme="minorBidi"/>
          <w:b/>
          <w:szCs w:val="24"/>
          <w:lang w:val="fr-CA" w:eastAsia="en-US"/>
        </w:rPr>
        <w:t xml:space="preserve">, </w:t>
      </w:r>
      <w:proofErr w:type="spellStart"/>
      <w:r w:rsidRPr="00C95FF1">
        <w:rPr>
          <w:rFonts w:eastAsiaTheme="minorHAnsi" w:cstheme="minorBidi"/>
          <w:b/>
          <w:szCs w:val="24"/>
          <w:lang w:val="fr-CA" w:eastAsia="en-US"/>
        </w:rPr>
        <w:t>Réjean</w:t>
      </w:r>
      <w:proofErr w:type="spellEnd"/>
      <w:r w:rsidRPr="00C95FF1">
        <w:rPr>
          <w:rFonts w:eastAsiaTheme="minorHAnsi" w:cstheme="minorBidi"/>
          <w:b/>
          <w:szCs w:val="24"/>
          <w:lang w:val="fr-CA" w:eastAsia="en-US"/>
        </w:rPr>
        <w:t xml:space="preserve"> Germain,</w:t>
      </w:r>
    </w:p>
    <w:p w:rsidR="00AF6729" w:rsidRPr="00C95FF1" w:rsidRDefault="00AF6729" w:rsidP="00AF6729">
      <w:pPr>
        <w:jc w:val="center"/>
        <w:rPr>
          <w:rFonts w:eastAsiaTheme="minorHAnsi" w:cstheme="minorBidi"/>
          <w:b/>
          <w:szCs w:val="24"/>
          <w:lang w:val="fr-CA" w:eastAsia="en-US"/>
        </w:rPr>
      </w:pPr>
      <w:r w:rsidRPr="00C95FF1">
        <w:rPr>
          <w:rFonts w:eastAsiaTheme="minorHAnsi" w:cstheme="minorBidi"/>
          <w:b/>
          <w:szCs w:val="24"/>
          <w:lang w:val="fr-CA" w:eastAsia="en-US"/>
        </w:rPr>
        <w:t>Sonia Poisson, Pierre Parrot, Daniel Colas, Martin Rodrigue,</w:t>
      </w:r>
    </w:p>
    <w:p w:rsidR="00AF6729" w:rsidRPr="00C95FF1" w:rsidRDefault="00AF6729" w:rsidP="00AF6729">
      <w:pPr>
        <w:jc w:val="center"/>
        <w:rPr>
          <w:rFonts w:eastAsiaTheme="minorHAnsi" w:cstheme="minorBidi"/>
          <w:b/>
          <w:szCs w:val="24"/>
          <w:lang w:val="fr-CA" w:eastAsia="en-US"/>
        </w:rPr>
      </w:pPr>
      <w:r w:rsidRPr="00C95FF1">
        <w:rPr>
          <w:rFonts w:eastAsiaTheme="minorHAnsi" w:cstheme="minorBidi"/>
          <w:b/>
          <w:szCs w:val="24"/>
          <w:lang w:val="fr-CA" w:eastAsia="en-US"/>
        </w:rPr>
        <w:t xml:space="preserve">Jeanne Dufour, Louis Fortin, Marcel Gourde, </w:t>
      </w:r>
      <w:proofErr w:type="spellStart"/>
      <w:r w:rsidRPr="00C95FF1">
        <w:rPr>
          <w:rFonts w:eastAsiaTheme="minorHAnsi" w:cstheme="minorBidi"/>
          <w:b/>
          <w:szCs w:val="24"/>
          <w:lang w:val="fr-CA" w:eastAsia="en-US"/>
        </w:rPr>
        <w:t>Olymel</w:t>
      </w:r>
      <w:proofErr w:type="spellEnd"/>
      <w:r w:rsidRPr="00C95FF1">
        <w:rPr>
          <w:rFonts w:eastAsiaTheme="minorHAnsi" w:cstheme="minorBidi"/>
          <w:b/>
          <w:szCs w:val="24"/>
          <w:lang w:val="fr-CA" w:eastAsia="en-US"/>
        </w:rPr>
        <w:t xml:space="preserve"> S.E.C.,</w:t>
      </w:r>
    </w:p>
    <w:p w:rsidR="00AF6729" w:rsidRPr="00C95FF1" w:rsidRDefault="00AF6729" w:rsidP="00AF6729">
      <w:pPr>
        <w:jc w:val="center"/>
        <w:rPr>
          <w:rFonts w:eastAsiaTheme="minorHAnsi" w:cstheme="minorBidi"/>
          <w:b/>
          <w:szCs w:val="24"/>
          <w:lang w:val="fr-CA" w:eastAsia="en-US"/>
        </w:rPr>
      </w:pPr>
      <w:proofErr w:type="spellStart"/>
      <w:r w:rsidRPr="00C95FF1">
        <w:rPr>
          <w:rFonts w:eastAsiaTheme="minorHAnsi" w:cstheme="minorBidi"/>
          <w:b/>
          <w:szCs w:val="24"/>
          <w:lang w:val="en-US" w:eastAsia="en-US"/>
        </w:rPr>
        <w:t>Exceldor</w:t>
      </w:r>
      <w:proofErr w:type="spellEnd"/>
      <w:r w:rsidRPr="00C95FF1">
        <w:rPr>
          <w:rFonts w:eastAsiaTheme="minorHAnsi" w:cstheme="minorBidi"/>
          <w:b/>
          <w:szCs w:val="24"/>
          <w:lang w:val="en-US" w:eastAsia="en-US"/>
        </w:rPr>
        <w:t xml:space="preserve"> </w:t>
      </w:r>
      <w:proofErr w:type="spellStart"/>
      <w:r w:rsidRPr="00C95FF1">
        <w:rPr>
          <w:rFonts w:eastAsiaTheme="minorHAnsi" w:cstheme="minorBidi"/>
          <w:b/>
          <w:szCs w:val="24"/>
          <w:lang w:val="en-US" w:eastAsia="en-US"/>
        </w:rPr>
        <w:t>coopérative</w:t>
      </w:r>
      <w:proofErr w:type="spellEnd"/>
      <w:r w:rsidRPr="00C95FF1">
        <w:rPr>
          <w:rFonts w:eastAsiaTheme="minorHAnsi" w:cstheme="minorBidi"/>
          <w:b/>
          <w:szCs w:val="24"/>
          <w:lang w:val="en-US" w:eastAsia="en-US"/>
        </w:rPr>
        <w:t xml:space="preserve"> </w:t>
      </w:r>
      <w:proofErr w:type="spellStart"/>
      <w:r w:rsidRPr="00C95FF1">
        <w:rPr>
          <w:rFonts w:eastAsiaTheme="minorHAnsi" w:cstheme="minorBidi"/>
          <w:b/>
          <w:szCs w:val="24"/>
          <w:lang w:val="en-US" w:eastAsia="en-US"/>
        </w:rPr>
        <w:t>avicole</w:t>
      </w:r>
      <w:proofErr w:type="spellEnd"/>
      <w:r w:rsidRPr="00C95FF1">
        <w:rPr>
          <w:rFonts w:eastAsiaTheme="minorHAnsi" w:cstheme="minorBidi"/>
          <w:b/>
          <w:szCs w:val="24"/>
          <w:lang w:val="en-US" w:eastAsia="en-US"/>
        </w:rPr>
        <w:t xml:space="preserve"> and </w:t>
      </w:r>
      <w:proofErr w:type="spellStart"/>
      <w:r w:rsidRPr="00C95FF1">
        <w:rPr>
          <w:rFonts w:eastAsiaTheme="minorHAnsi" w:cstheme="minorBidi"/>
          <w:b/>
          <w:szCs w:val="24"/>
          <w:lang w:val="en-US" w:eastAsia="en-US"/>
        </w:rPr>
        <w:t>Supraliment</w:t>
      </w:r>
      <w:proofErr w:type="spellEnd"/>
      <w:r w:rsidRPr="00C95FF1">
        <w:rPr>
          <w:rFonts w:eastAsiaTheme="minorHAnsi" w:cstheme="minorBidi"/>
          <w:b/>
          <w:szCs w:val="24"/>
          <w:lang w:val="en-US" w:eastAsia="en-US"/>
        </w:rPr>
        <w:t xml:space="preserve"> S.E.C.</w:t>
      </w:r>
    </w:p>
    <w:p w:rsidR="00AF6729" w:rsidRPr="00C95FF1" w:rsidRDefault="00AF6729" w:rsidP="00AF6729">
      <w:pPr>
        <w:jc w:val="center"/>
        <w:rPr>
          <w:rFonts w:eastAsiaTheme="minorHAnsi" w:cstheme="minorBidi"/>
          <w:szCs w:val="24"/>
          <w:lang w:eastAsia="en-US"/>
        </w:rPr>
      </w:pPr>
      <w:r w:rsidRPr="00C95FF1">
        <w:rPr>
          <w:rFonts w:eastAsiaTheme="minorHAnsi" w:cstheme="minorBidi"/>
          <w:szCs w:val="24"/>
          <w:lang w:eastAsia="en-US"/>
        </w:rPr>
        <w:t>Respondents</w:t>
      </w:r>
      <w:r w:rsidRPr="00C95FF1">
        <w:rPr>
          <w:rFonts w:eastAsiaTheme="minorHAnsi" w:cstheme="minorBidi"/>
          <w:szCs w:val="24"/>
          <w:lang w:eastAsia="en-US"/>
        </w:rPr>
        <w:br/>
      </w:r>
    </w:p>
    <w:p w:rsidR="00AF6729" w:rsidRPr="00C95FF1" w:rsidRDefault="00AF6729" w:rsidP="00AF6729">
      <w:pPr>
        <w:rPr>
          <w:rFonts w:eastAsiaTheme="minorHAnsi" w:cstheme="minorBidi"/>
          <w:szCs w:val="24"/>
          <w:lang w:eastAsia="en-US"/>
        </w:rPr>
      </w:pPr>
    </w:p>
    <w:p w:rsidR="00AF6729" w:rsidRPr="00C95FF1" w:rsidRDefault="00AF6729" w:rsidP="00AF6729">
      <w:pPr>
        <w:rPr>
          <w:rFonts w:eastAsiaTheme="minorHAnsi" w:cstheme="minorBidi"/>
          <w:szCs w:val="24"/>
          <w:lang w:eastAsia="en-US"/>
        </w:rPr>
      </w:pPr>
      <w:r w:rsidRPr="00C95FF1">
        <w:rPr>
          <w:rFonts w:eastAsiaTheme="minorHAnsi" w:cstheme="minorBidi"/>
          <w:b/>
          <w:smallCaps/>
          <w:szCs w:val="24"/>
          <w:lang w:eastAsia="en-US"/>
        </w:rPr>
        <w:t>Coram:</w:t>
      </w:r>
      <w:r w:rsidRPr="00C95FF1">
        <w:rPr>
          <w:rFonts w:eastAsiaTheme="minorHAnsi" w:cstheme="minorBidi"/>
          <w:szCs w:val="24"/>
          <w:lang w:eastAsia="en-US"/>
        </w:rPr>
        <w:t xml:space="preserve"> </w:t>
      </w:r>
      <w:proofErr w:type="spellStart"/>
      <w:r w:rsidRPr="00C95FF1">
        <w:rPr>
          <w:rFonts w:eastAsiaTheme="minorHAnsi" w:cstheme="minorBidi"/>
          <w:szCs w:val="24"/>
          <w:lang w:eastAsia="en-US"/>
        </w:rPr>
        <w:t>Binnie</w:t>
      </w:r>
      <w:proofErr w:type="spellEnd"/>
      <w:r w:rsidRPr="00C95FF1">
        <w:rPr>
          <w:rFonts w:eastAsiaTheme="minorHAnsi" w:cstheme="minorBidi"/>
          <w:szCs w:val="24"/>
          <w:lang w:eastAsia="en-US"/>
        </w:rPr>
        <w:t xml:space="preserve">, </w:t>
      </w:r>
      <w:proofErr w:type="spellStart"/>
      <w:r w:rsidRPr="00C95FF1">
        <w:rPr>
          <w:rFonts w:eastAsiaTheme="minorHAnsi" w:cstheme="minorBidi"/>
          <w:szCs w:val="24"/>
          <w:lang w:eastAsia="en-US"/>
        </w:rPr>
        <w:t>LeBel</w:t>
      </w:r>
      <w:proofErr w:type="spellEnd"/>
      <w:r w:rsidRPr="00C95FF1">
        <w:rPr>
          <w:rFonts w:eastAsiaTheme="minorHAnsi" w:cstheme="minorBidi"/>
          <w:szCs w:val="24"/>
          <w:lang w:eastAsia="en-US"/>
        </w:rPr>
        <w:t xml:space="preserve">, </w:t>
      </w:r>
      <w:proofErr w:type="spellStart"/>
      <w:r w:rsidRPr="00C95FF1">
        <w:rPr>
          <w:rFonts w:eastAsiaTheme="minorHAnsi" w:cstheme="minorBidi"/>
          <w:szCs w:val="24"/>
          <w:lang w:eastAsia="en-US"/>
        </w:rPr>
        <w:t>Deschamps</w:t>
      </w:r>
      <w:proofErr w:type="spellEnd"/>
      <w:r w:rsidRPr="00C95FF1">
        <w:rPr>
          <w:rFonts w:eastAsiaTheme="minorHAnsi" w:cstheme="minorBidi"/>
          <w:szCs w:val="24"/>
          <w:lang w:eastAsia="en-US"/>
        </w:rPr>
        <w:t xml:space="preserve">, </w:t>
      </w:r>
      <w:proofErr w:type="spellStart"/>
      <w:r w:rsidRPr="00C95FF1">
        <w:rPr>
          <w:rFonts w:eastAsiaTheme="minorHAnsi" w:cstheme="minorBidi"/>
          <w:szCs w:val="24"/>
          <w:lang w:eastAsia="en-US"/>
        </w:rPr>
        <w:t>Abella</w:t>
      </w:r>
      <w:proofErr w:type="spellEnd"/>
      <w:r w:rsidRPr="00C95FF1">
        <w:rPr>
          <w:rFonts w:eastAsiaTheme="minorHAnsi" w:cstheme="minorBidi"/>
          <w:szCs w:val="24"/>
          <w:lang w:eastAsia="en-US"/>
        </w:rPr>
        <w:t xml:space="preserve">, </w:t>
      </w:r>
      <w:proofErr w:type="spellStart"/>
      <w:r w:rsidRPr="00C95FF1">
        <w:rPr>
          <w:rFonts w:eastAsiaTheme="minorHAnsi" w:cstheme="minorBidi"/>
          <w:szCs w:val="24"/>
          <w:lang w:eastAsia="en-US"/>
        </w:rPr>
        <w:t>Charron</w:t>
      </w:r>
      <w:proofErr w:type="spellEnd"/>
      <w:r w:rsidRPr="00C95FF1">
        <w:rPr>
          <w:rFonts w:eastAsiaTheme="minorHAnsi" w:cstheme="minorBidi"/>
          <w:szCs w:val="24"/>
          <w:lang w:eastAsia="en-US"/>
        </w:rPr>
        <w:t>, Rothstein and Cromwell JJ.</w:t>
      </w:r>
    </w:p>
    <w:p w:rsidR="00AF6729" w:rsidRPr="00C95FF1" w:rsidRDefault="00AF6729" w:rsidP="00AF6729">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F6729" w:rsidRPr="00C95FF1" w:rsidTr="00BA475A">
        <w:trPr>
          <w:cantSplit/>
        </w:trPr>
        <w:tc>
          <w:tcPr>
            <w:tcW w:w="3618" w:type="dxa"/>
          </w:tcPr>
          <w:p w:rsidR="00AF6729" w:rsidRPr="00C95FF1" w:rsidRDefault="00AF6729" w:rsidP="00BA475A">
            <w:pPr>
              <w:rPr>
                <w:b/>
                <w:smallCaps/>
              </w:rPr>
            </w:pPr>
            <w:r w:rsidRPr="00C95FF1">
              <w:rPr>
                <w:b/>
                <w:smallCaps/>
              </w:rPr>
              <w:t>Reasons for Judgment:</w:t>
            </w:r>
          </w:p>
          <w:p w:rsidR="00AF6729" w:rsidRPr="00C95FF1" w:rsidRDefault="00AF6729" w:rsidP="00BA475A">
            <w:r w:rsidRPr="00C95FF1">
              <w:t>(</w:t>
            </w:r>
            <w:proofErr w:type="spellStart"/>
            <w:r w:rsidRPr="00C95FF1">
              <w:t>paras</w:t>
            </w:r>
            <w:proofErr w:type="spellEnd"/>
            <w:r w:rsidRPr="00C95FF1">
              <w:t>. 1 to 29)</w:t>
            </w:r>
          </w:p>
        </w:tc>
        <w:tc>
          <w:tcPr>
            <w:tcW w:w="5958" w:type="dxa"/>
          </w:tcPr>
          <w:p w:rsidR="00AF6729" w:rsidRPr="00C95FF1" w:rsidRDefault="00AF6729" w:rsidP="00BA475A">
            <w:proofErr w:type="spellStart"/>
            <w:r w:rsidRPr="00C95FF1">
              <w:t>LeBel</w:t>
            </w:r>
            <w:proofErr w:type="spellEnd"/>
            <w:r w:rsidRPr="00C95FF1">
              <w:t xml:space="preserve"> J. (</w:t>
            </w:r>
            <w:proofErr w:type="spellStart"/>
            <w:r w:rsidRPr="00C95FF1">
              <w:t>Binnie</w:t>
            </w:r>
            <w:proofErr w:type="spellEnd"/>
            <w:r w:rsidRPr="00C95FF1">
              <w:t xml:space="preserve">, </w:t>
            </w:r>
            <w:proofErr w:type="spellStart"/>
            <w:r w:rsidRPr="00C95FF1">
              <w:t>Deschamps</w:t>
            </w:r>
            <w:proofErr w:type="spellEnd"/>
            <w:r w:rsidRPr="00C95FF1">
              <w:t xml:space="preserve">, </w:t>
            </w:r>
            <w:proofErr w:type="spellStart"/>
            <w:r w:rsidRPr="00C95FF1">
              <w:t>Abella</w:t>
            </w:r>
            <w:proofErr w:type="spellEnd"/>
            <w:r w:rsidRPr="00C95FF1">
              <w:t xml:space="preserve">, </w:t>
            </w:r>
            <w:proofErr w:type="spellStart"/>
            <w:r w:rsidRPr="00C95FF1">
              <w:t>Charron</w:t>
            </w:r>
            <w:proofErr w:type="spellEnd"/>
            <w:r w:rsidRPr="00C95FF1">
              <w:t>, Rothstein and Cromwell JJ. concurring)</w:t>
            </w:r>
          </w:p>
        </w:tc>
      </w:tr>
    </w:tbl>
    <w:p w:rsidR="00AF6729" w:rsidRPr="00C95FF1" w:rsidRDefault="00AF6729" w:rsidP="00AF6729">
      <w:pPr>
        <w:rPr>
          <w:rFonts w:eastAsiaTheme="minorHAnsi" w:cstheme="minorBidi"/>
          <w:szCs w:val="24"/>
          <w:lang w:eastAsia="en-US"/>
        </w:rPr>
      </w:pPr>
    </w:p>
    <w:p w:rsidR="00AF6729" w:rsidRPr="00C95FF1" w:rsidRDefault="00AF6729" w:rsidP="00AF6729">
      <w:pPr>
        <w:rPr>
          <w:rFonts w:eastAsiaTheme="minorHAnsi" w:cstheme="minorBidi"/>
          <w:szCs w:val="24"/>
          <w:lang w:eastAsia="en-US"/>
        </w:rPr>
      </w:pPr>
      <w:r w:rsidRPr="00F25C84">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AF6729" w:rsidRDefault="00AF6729" w:rsidP="00AF6729">
      <w:pPr>
        <w:rPr>
          <w:rStyle w:val="SCCAppellantForRunningHeadChar"/>
        </w:rPr>
      </w:pPr>
      <w:r>
        <w:rPr>
          <w:rStyle w:val="SCCAppellantForRunningHeadChar"/>
        </w:rPr>
        <w:br w:type="page"/>
      </w:r>
    </w:p>
    <w:p w:rsidR="00AF6729" w:rsidRDefault="00AF6729">
      <w:pPr>
        <w:rPr>
          <w:rStyle w:val="SCCAppellantForIndexChar"/>
          <w:b w:val="0"/>
          <w:lang w:val="en-US"/>
        </w:rPr>
      </w:pPr>
    </w:p>
    <w:p w:rsidR="00766D14" w:rsidRPr="00090BF6" w:rsidRDefault="001F25EB" w:rsidP="00C43A76">
      <w:pPr>
        <w:spacing w:line="480" w:lineRule="auto"/>
        <w:jc w:val="both"/>
      </w:pPr>
      <w:r w:rsidRPr="001F25EB">
        <w:rPr>
          <w:rStyle w:val="SCCAppellantForIndexChar"/>
          <w:b w:val="0"/>
          <w:lang w:val="en-US"/>
        </w:rPr>
        <w:t>Canadian Food Inspection Agency</w:t>
      </w:r>
      <w:r w:rsidRPr="001F25EB">
        <w:rPr>
          <w:lang w:val="en-US"/>
        </w:rPr>
        <w:t xml:space="preserve"> </w:t>
      </w:r>
      <w:r w:rsidRPr="001F25EB">
        <w:rPr>
          <w:i/>
          <w:lang w:val="en-US"/>
        </w:rPr>
        <w:t>v.</w:t>
      </w:r>
      <w:r w:rsidRPr="001F25EB">
        <w:rPr>
          <w:lang w:val="en-US"/>
        </w:rPr>
        <w:t xml:space="preserve"> </w:t>
      </w:r>
      <w:r w:rsidRPr="001F25EB">
        <w:rPr>
          <w:rStyle w:val="SCCRespondentForIndexChar"/>
          <w:b w:val="0"/>
          <w:lang w:val="en-US"/>
        </w:rPr>
        <w:t>Professional Institute of the Public Service of Canada</w:t>
      </w:r>
      <w:r>
        <w:rPr>
          <w:rStyle w:val="SCCRespondentForRunningHeadChar"/>
        </w:rPr>
        <w:t xml:space="preserve">, </w:t>
      </w:r>
      <w:r>
        <w:rPr>
          <w:rStyle w:val="SCCRespondentForIndexChar"/>
          <w:b w:val="0"/>
        </w:rPr>
        <w:t>2010 SCC 66, [2010] 3 S.C.R. 657</w:t>
      </w:r>
    </w:p>
    <w:p w:rsidR="00A149DF" w:rsidRPr="00090BF6" w:rsidRDefault="00A149DF" w:rsidP="00C43A76">
      <w:pPr>
        <w:spacing w:line="480" w:lineRule="auto"/>
        <w:jc w:val="both"/>
      </w:pPr>
    </w:p>
    <w:p w:rsidR="006025C9" w:rsidRPr="00090BF6" w:rsidRDefault="00E86886" w:rsidP="008E5EFB">
      <w:pPr>
        <w:pStyle w:val="SCCLsocParty"/>
        <w:tabs>
          <w:tab w:val="right" w:pos="8280"/>
        </w:tabs>
        <w:spacing w:after="0" w:line="480" w:lineRule="auto"/>
        <w:rPr>
          <w:b/>
          <w:i/>
        </w:rPr>
      </w:pPr>
      <w:r w:rsidRPr="00827894">
        <w:rPr>
          <w:b/>
        </w:rPr>
        <w:t>Canadian Food Inspection Agency</w:t>
      </w:r>
      <w:r w:rsidRPr="00090BF6">
        <w:tab/>
      </w:r>
      <w:r w:rsidRPr="00090BF6">
        <w:rPr>
          <w:i/>
        </w:rPr>
        <w:t>Appellant</w:t>
      </w:r>
    </w:p>
    <w:p w:rsidR="00506337" w:rsidRPr="00B049C1" w:rsidRDefault="00506337" w:rsidP="008E5EFB">
      <w:pPr>
        <w:pStyle w:val="SCCLsocParty"/>
        <w:tabs>
          <w:tab w:val="right" w:pos="8280"/>
        </w:tabs>
        <w:spacing w:after="0" w:line="480" w:lineRule="auto"/>
        <w:rPr>
          <w:b/>
        </w:rPr>
      </w:pPr>
    </w:p>
    <w:p w:rsidR="00E86886" w:rsidRPr="00C25D20" w:rsidRDefault="00E86886" w:rsidP="008E5EFB">
      <w:pPr>
        <w:pStyle w:val="SCCLsocVersus"/>
        <w:spacing w:after="0" w:line="480" w:lineRule="auto"/>
        <w:rPr>
          <w:i/>
        </w:rPr>
      </w:pPr>
      <w:proofErr w:type="gramStart"/>
      <w:r w:rsidRPr="00C25D20">
        <w:rPr>
          <w:i/>
        </w:rPr>
        <w:t>v</w:t>
      </w:r>
      <w:proofErr w:type="gramEnd"/>
      <w:r w:rsidRPr="00C25D20">
        <w:rPr>
          <w:i/>
        </w:rPr>
        <w:t>.</w:t>
      </w:r>
    </w:p>
    <w:p w:rsidR="00506337" w:rsidRPr="00090BF6" w:rsidRDefault="00506337" w:rsidP="008E5EFB">
      <w:pPr>
        <w:pStyle w:val="SCCLsocVersus"/>
        <w:spacing w:after="0" w:line="480" w:lineRule="auto"/>
      </w:pPr>
    </w:p>
    <w:p w:rsidR="00506337" w:rsidRPr="00827894" w:rsidRDefault="00E86886" w:rsidP="008E5EFB">
      <w:pPr>
        <w:pStyle w:val="SCCLsocParty"/>
        <w:spacing w:after="0"/>
        <w:rPr>
          <w:b/>
        </w:rPr>
      </w:pPr>
      <w:r w:rsidRPr="00827894">
        <w:rPr>
          <w:b/>
        </w:rPr>
        <w:t xml:space="preserve">Professional Institute of the Public Service of Canada, </w:t>
      </w:r>
    </w:p>
    <w:p w:rsidR="00E86886" w:rsidRPr="00AF6729" w:rsidRDefault="00E86886" w:rsidP="008E5EFB">
      <w:pPr>
        <w:pStyle w:val="SCCLsocParty"/>
        <w:spacing w:after="0"/>
        <w:rPr>
          <w:b/>
          <w:lang w:val="fr-CA"/>
        </w:rPr>
      </w:pPr>
      <w:r w:rsidRPr="00AF6729">
        <w:rPr>
          <w:b/>
          <w:lang w:val="fr-CA"/>
        </w:rPr>
        <w:t xml:space="preserve">Dany Beauregard, Gaston </w:t>
      </w:r>
      <w:proofErr w:type="spellStart"/>
      <w:r w:rsidRPr="00AF6729">
        <w:rPr>
          <w:b/>
          <w:lang w:val="fr-CA"/>
        </w:rPr>
        <w:t>Duchemin</w:t>
      </w:r>
      <w:proofErr w:type="spellEnd"/>
      <w:r w:rsidRPr="00AF6729">
        <w:rPr>
          <w:b/>
          <w:lang w:val="fr-CA"/>
        </w:rPr>
        <w:t xml:space="preserve">, Jacques </w:t>
      </w:r>
      <w:proofErr w:type="spellStart"/>
      <w:r w:rsidRPr="00AF6729">
        <w:rPr>
          <w:b/>
          <w:lang w:val="fr-CA"/>
        </w:rPr>
        <w:t>Vézina</w:t>
      </w:r>
      <w:proofErr w:type="spellEnd"/>
      <w:r w:rsidRPr="00AF6729">
        <w:rPr>
          <w:b/>
          <w:lang w:val="fr-CA"/>
        </w:rPr>
        <w:t xml:space="preserve">, </w:t>
      </w:r>
    </w:p>
    <w:p w:rsidR="00E86886" w:rsidRPr="00827894" w:rsidRDefault="00E86886" w:rsidP="008E5EFB">
      <w:pPr>
        <w:pStyle w:val="SCCLsocParty"/>
        <w:spacing w:after="0"/>
        <w:rPr>
          <w:b/>
          <w:lang w:val="fr-CA"/>
        </w:rPr>
      </w:pPr>
      <w:r w:rsidRPr="001F25EB">
        <w:rPr>
          <w:b/>
          <w:lang w:val="fr-CA"/>
        </w:rPr>
        <w:t xml:space="preserve">Normand </w:t>
      </w:r>
      <w:proofErr w:type="spellStart"/>
      <w:r w:rsidRPr="001F25EB">
        <w:rPr>
          <w:b/>
          <w:lang w:val="fr-CA"/>
        </w:rPr>
        <w:t>Bélai</w:t>
      </w:r>
      <w:r w:rsidRPr="00827894">
        <w:rPr>
          <w:b/>
          <w:lang w:val="fr-CA"/>
        </w:rPr>
        <w:t>r</w:t>
      </w:r>
      <w:proofErr w:type="spellEnd"/>
      <w:r w:rsidRPr="00827894">
        <w:rPr>
          <w:b/>
          <w:lang w:val="fr-CA"/>
        </w:rPr>
        <w:t xml:space="preserve">, </w:t>
      </w:r>
      <w:proofErr w:type="spellStart"/>
      <w:r w:rsidRPr="00827894">
        <w:rPr>
          <w:b/>
          <w:lang w:val="fr-CA"/>
        </w:rPr>
        <w:t>Lyn</w:t>
      </w:r>
      <w:proofErr w:type="spellEnd"/>
      <w:r w:rsidRPr="00827894">
        <w:rPr>
          <w:b/>
          <w:lang w:val="fr-CA"/>
        </w:rPr>
        <w:t xml:space="preserve"> Couture, Jacques Guy, </w:t>
      </w:r>
    </w:p>
    <w:p w:rsidR="00E86886" w:rsidRPr="00827894" w:rsidRDefault="00E86886" w:rsidP="008E5EFB">
      <w:pPr>
        <w:pStyle w:val="SCCLsocParty"/>
        <w:spacing w:after="0"/>
        <w:rPr>
          <w:b/>
          <w:lang w:val="fr-CA"/>
        </w:rPr>
      </w:pPr>
      <w:r w:rsidRPr="00827894">
        <w:rPr>
          <w:b/>
          <w:lang w:val="fr-CA"/>
        </w:rPr>
        <w:t xml:space="preserve">Sonja </w:t>
      </w:r>
      <w:proofErr w:type="spellStart"/>
      <w:r w:rsidRPr="00827894">
        <w:rPr>
          <w:b/>
          <w:lang w:val="fr-CA"/>
        </w:rPr>
        <w:t>Laurendeau</w:t>
      </w:r>
      <w:proofErr w:type="spellEnd"/>
      <w:r w:rsidRPr="00827894">
        <w:rPr>
          <w:b/>
          <w:lang w:val="fr-CA"/>
        </w:rPr>
        <w:t xml:space="preserve">, Guy </w:t>
      </w:r>
      <w:proofErr w:type="spellStart"/>
      <w:r w:rsidRPr="00827894">
        <w:rPr>
          <w:b/>
          <w:lang w:val="fr-CA"/>
        </w:rPr>
        <w:t>Boulard</w:t>
      </w:r>
      <w:proofErr w:type="spellEnd"/>
      <w:r w:rsidRPr="00827894">
        <w:rPr>
          <w:b/>
          <w:lang w:val="fr-CA"/>
        </w:rPr>
        <w:t xml:space="preserve">, </w:t>
      </w:r>
      <w:proofErr w:type="spellStart"/>
      <w:r w:rsidRPr="00827894">
        <w:rPr>
          <w:b/>
          <w:lang w:val="fr-CA"/>
        </w:rPr>
        <w:t>Stéphano</w:t>
      </w:r>
      <w:proofErr w:type="spellEnd"/>
      <w:r w:rsidRPr="00827894">
        <w:rPr>
          <w:b/>
          <w:lang w:val="fr-CA"/>
        </w:rPr>
        <w:t xml:space="preserve"> Cagna, </w:t>
      </w:r>
    </w:p>
    <w:p w:rsidR="00E86886" w:rsidRPr="00827894" w:rsidRDefault="00E86886" w:rsidP="008E5EFB">
      <w:pPr>
        <w:pStyle w:val="SCCLsocParty"/>
        <w:spacing w:after="0"/>
        <w:rPr>
          <w:b/>
          <w:lang w:val="fr-CA"/>
        </w:rPr>
      </w:pPr>
      <w:r w:rsidRPr="00827894">
        <w:rPr>
          <w:b/>
          <w:lang w:val="fr-CA"/>
        </w:rPr>
        <w:t xml:space="preserve">Mona Gauthier, Michel Marcoux, Patrick Poulin, </w:t>
      </w:r>
    </w:p>
    <w:p w:rsidR="00E86886" w:rsidRPr="00827894" w:rsidRDefault="00E86886" w:rsidP="008E5EFB">
      <w:pPr>
        <w:pStyle w:val="SCCLsocParty"/>
        <w:spacing w:after="0"/>
        <w:rPr>
          <w:b/>
          <w:lang w:val="fr-CA"/>
        </w:rPr>
      </w:pPr>
      <w:r w:rsidRPr="00827894">
        <w:rPr>
          <w:b/>
          <w:lang w:val="fr-CA"/>
        </w:rPr>
        <w:t>François Saulnier, Madji</w:t>
      </w:r>
      <w:r w:rsidR="00C6443D">
        <w:rPr>
          <w:b/>
          <w:lang w:val="fr-CA"/>
        </w:rPr>
        <w:t>d</w:t>
      </w:r>
      <w:r w:rsidRPr="00827894">
        <w:rPr>
          <w:b/>
          <w:lang w:val="fr-CA"/>
        </w:rPr>
        <w:t xml:space="preserve"> </w:t>
      </w:r>
      <w:proofErr w:type="spellStart"/>
      <w:r w:rsidRPr="00827894">
        <w:rPr>
          <w:b/>
          <w:lang w:val="fr-CA"/>
        </w:rPr>
        <w:t>Boussouira</w:t>
      </w:r>
      <w:proofErr w:type="spellEnd"/>
      <w:r w:rsidRPr="00827894">
        <w:rPr>
          <w:b/>
          <w:lang w:val="fr-CA"/>
        </w:rPr>
        <w:t xml:space="preserve">, Nicole </w:t>
      </w:r>
      <w:proofErr w:type="spellStart"/>
      <w:r w:rsidRPr="00827894">
        <w:rPr>
          <w:b/>
          <w:lang w:val="fr-CA"/>
        </w:rPr>
        <w:t>Loranger</w:t>
      </w:r>
      <w:proofErr w:type="spellEnd"/>
      <w:r w:rsidRPr="00827894">
        <w:rPr>
          <w:b/>
          <w:lang w:val="fr-CA"/>
        </w:rPr>
        <w:t xml:space="preserve">, </w:t>
      </w:r>
    </w:p>
    <w:p w:rsidR="00E86886" w:rsidRPr="00827894" w:rsidRDefault="00E86886" w:rsidP="008E5EFB">
      <w:pPr>
        <w:pStyle w:val="SCCLsocParty"/>
        <w:spacing w:after="0"/>
        <w:rPr>
          <w:b/>
          <w:lang w:val="fr-CA"/>
        </w:rPr>
      </w:pPr>
      <w:r w:rsidRPr="00827894">
        <w:rPr>
          <w:b/>
          <w:lang w:val="fr-CA"/>
        </w:rPr>
        <w:t xml:space="preserve">France Sylvestre, Peter </w:t>
      </w:r>
      <w:proofErr w:type="spellStart"/>
      <w:r w:rsidRPr="00827894">
        <w:rPr>
          <w:b/>
          <w:lang w:val="fr-CA"/>
        </w:rPr>
        <w:t>O</w:t>
      </w:r>
      <w:r w:rsidR="00DD4F4C" w:rsidRPr="00827894">
        <w:rPr>
          <w:b/>
          <w:lang w:val="fr-CA"/>
        </w:rPr>
        <w:t>’</w:t>
      </w:r>
      <w:r w:rsidRPr="00827894">
        <w:rPr>
          <w:b/>
          <w:lang w:val="fr-CA"/>
        </w:rPr>
        <w:t>Donnell</w:t>
      </w:r>
      <w:proofErr w:type="spellEnd"/>
      <w:r w:rsidRPr="00827894">
        <w:rPr>
          <w:b/>
          <w:lang w:val="fr-CA"/>
        </w:rPr>
        <w:t xml:space="preserve">, Johanne Marcotte, </w:t>
      </w:r>
    </w:p>
    <w:p w:rsidR="00E86886" w:rsidRPr="00827894" w:rsidRDefault="00E86886" w:rsidP="008E5EFB">
      <w:pPr>
        <w:pStyle w:val="SCCLsocParty"/>
        <w:spacing w:after="0"/>
        <w:rPr>
          <w:b/>
          <w:lang w:val="fr-CA"/>
        </w:rPr>
      </w:pPr>
      <w:r w:rsidRPr="00827894">
        <w:rPr>
          <w:b/>
          <w:lang w:val="fr-CA"/>
        </w:rPr>
        <w:t xml:space="preserve">Pierre Rousselle, Ginette </w:t>
      </w:r>
      <w:proofErr w:type="spellStart"/>
      <w:r w:rsidRPr="00827894">
        <w:rPr>
          <w:b/>
          <w:lang w:val="fr-CA"/>
        </w:rPr>
        <w:t>Caissie</w:t>
      </w:r>
      <w:proofErr w:type="spellEnd"/>
      <w:r w:rsidRPr="00827894">
        <w:rPr>
          <w:b/>
          <w:lang w:val="fr-CA"/>
        </w:rPr>
        <w:t xml:space="preserve">, Corine </w:t>
      </w:r>
      <w:proofErr w:type="spellStart"/>
      <w:r w:rsidRPr="00827894">
        <w:rPr>
          <w:b/>
          <w:lang w:val="fr-CA"/>
        </w:rPr>
        <w:t>Petitclerc</w:t>
      </w:r>
      <w:proofErr w:type="spellEnd"/>
      <w:r w:rsidRPr="00827894">
        <w:rPr>
          <w:b/>
          <w:lang w:val="fr-CA"/>
        </w:rPr>
        <w:t xml:space="preserve">, </w:t>
      </w:r>
    </w:p>
    <w:p w:rsidR="00E86886" w:rsidRPr="00827894" w:rsidRDefault="00E86886" w:rsidP="008E5EFB">
      <w:pPr>
        <w:pStyle w:val="SCCLsocParty"/>
        <w:spacing w:after="0"/>
        <w:rPr>
          <w:b/>
          <w:lang w:val="fr-CA"/>
        </w:rPr>
      </w:pPr>
      <w:r w:rsidRPr="00827894">
        <w:rPr>
          <w:b/>
          <w:lang w:val="fr-CA"/>
        </w:rPr>
        <w:t xml:space="preserve">Patrice Cossette, Brigitte </w:t>
      </w:r>
      <w:proofErr w:type="spellStart"/>
      <w:r w:rsidRPr="00827894">
        <w:rPr>
          <w:b/>
          <w:lang w:val="fr-CA"/>
        </w:rPr>
        <w:t>Flibotte</w:t>
      </w:r>
      <w:proofErr w:type="spellEnd"/>
      <w:r w:rsidRPr="00827894">
        <w:rPr>
          <w:b/>
          <w:lang w:val="fr-CA"/>
        </w:rPr>
        <w:t xml:space="preserve">, </w:t>
      </w:r>
      <w:proofErr w:type="spellStart"/>
      <w:r w:rsidRPr="00827894">
        <w:rPr>
          <w:b/>
          <w:lang w:val="fr-CA"/>
        </w:rPr>
        <w:t>Réjean</w:t>
      </w:r>
      <w:proofErr w:type="spellEnd"/>
      <w:r w:rsidRPr="00827894">
        <w:rPr>
          <w:b/>
          <w:lang w:val="fr-CA"/>
        </w:rPr>
        <w:t xml:space="preserve"> Germain, </w:t>
      </w:r>
    </w:p>
    <w:p w:rsidR="00E86886" w:rsidRPr="00827894" w:rsidRDefault="00E86886" w:rsidP="008E5EFB">
      <w:pPr>
        <w:pStyle w:val="SCCLsocParty"/>
        <w:spacing w:after="0"/>
        <w:rPr>
          <w:b/>
          <w:lang w:val="fr-CA"/>
        </w:rPr>
      </w:pPr>
      <w:r w:rsidRPr="00827894">
        <w:rPr>
          <w:b/>
          <w:lang w:val="fr-CA"/>
        </w:rPr>
        <w:t xml:space="preserve">Sonia Poisson, Pierre Parrot, Daniel Colas, Martin Rodrigue, </w:t>
      </w:r>
    </w:p>
    <w:p w:rsidR="00E86886" w:rsidRPr="00827894" w:rsidRDefault="00E86886" w:rsidP="008E5EFB">
      <w:pPr>
        <w:pStyle w:val="SCCLsocParty"/>
        <w:spacing w:after="0"/>
        <w:rPr>
          <w:b/>
          <w:lang w:val="fr-CA"/>
        </w:rPr>
      </w:pPr>
      <w:r w:rsidRPr="00827894">
        <w:rPr>
          <w:b/>
          <w:lang w:val="fr-CA"/>
        </w:rPr>
        <w:t xml:space="preserve">Jeanne Dufour, Louis Fortin, Marcel Gourde, </w:t>
      </w:r>
      <w:proofErr w:type="spellStart"/>
      <w:r w:rsidRPr="00827894">
        <w:rPr>
          <w:b/>
          <w:lang w:val="fr-CA"/>
        </w:rPr>
        <w:t>Olymel</w:t>
      </w:r>
      <w:proofErr w:type="spellEnd"/>
      <w:r w:rsidRPr="00827894">
        <w:rPr>
          <w:b/>
          <w:lang w:val="fr-CA"/>
        </w:rPr>
        <w:t xml:space="preserve"> S.E.C., </w:t>
      </w:r>
    </w:p>
    <w:p w:rsidR="00506337" w:rsidRPr="00090BF6" w:rsidRDefault="00E86886" w:rsidP="008E5EFB">
      <w:pPr>
        <w:pStyle w:val="SCCLsocParty"/>
        <w:tabs>
          <w:tab w:val="right" w:pos="8280"/>
        </w:tabs>
        <w:spacing w:after="720"/>
        <w:rPr>
          <w:b/>
          <w:i/>
          <w:lang w:val="en-US"/>
        </w:rPr>
      </w:pPr>
      <w:proofErr w:type="spellStart"/>
      <w:r w:rsidRPr="00827894">
        <w:rPr>
          <w:b/>
          <w:lang w:val="en-US"/>
        </w:rPr>
        <w:t>Exceldor</w:t>
      </w:r>
      <w:proofErr w:type="spellEnd"/>
      <w:r w:rsidRPr="00827894">
        <w:rPr>
          <w:b/>
          <w:lang w:val="en-US"/>
        </w:rPr>
        <w:t xml:space="preserve"> </w:t>
      </w:r>
      <w:proofErr w:type="spellStart"/>
      <w:r w:rsidRPr="00827894">
        <w:rPr>
          <w:b/>
          <w:lang w:val="en-US"/>
        </w:rPr>
        <w:t>coopérative</w:t>
      </w:r>
      <w:proofErr w:type="spellEnd"/>
      <w:r w:rsidRPr="00827894">
        <w:rPr>
          <w:b/>
          <w:lang w:val="en-US"/>
        </w:rPr>
        <w:t xml:space="preserve"> </w:t>
      </w:r>
      <w:proofErr w:type="spellStart"/>
      <w:r w:rsidRPr="00827894">
        <w:rPr>
          <w:b/>
          <w:lang w:val="en-US"/>
        </w:rPr>
        <w:t>avicole</w:t>
      </w:r>
      <w:proofErr w:type="spellEnd"/>
      <w:r w:rsidRPr="00827894">
        <w:rPr>
          <w:b/>
          <w:lang w:val="en-US"/>
        </w:rPr>
        <w:t xml:space="preserve"> and </w:t>
      </w:r>
      <w:proofErr w:type="spellStart"/>
      <w:r w:rsidRPr="00827894">
        <w:rPr>
          <w:b/>
          <w:lang w:val="en-US"/>
        </w:rPr>
        <w:t>Supraliment</w:t>
      </w:r>
      <w:proofErr w:type="spellEnd"/>
      <w:r w:rsidRPr="00827894">
        <w:rPr>
          <w:b/>
          <w:lang w:val="en-US"/>
        </w:rPr>
        <w:t xml:space="preserve"> S.E.C.</w:t>
      </w:r>
      <w:r w:rsidRPr="00090BF6">
        <w:rPr>
          <w:lang w:val="en-US"/>
        </w:rPr>
        <w:tab/>
      </w:r>
      <w:r w:rsidRPr="00090BF6">
        <w:rPr>
          <w:i/>
          <w:lang w:val="en-US"/>
        </w:rPr>
        <w:t>Respondents</w:t>
      </w:r>
    </w:p>
    <w:p w:rsidR="00426659" w:rsidRPr="00090BF6" w:rsidRDefault="00426659" w:rsidP="00B049C1">
      <w:pPr>
        <w:spacing w:after="720"/>
        <w:jc w:val="both"/>
        <w:rPr>
          <w:rStyle w:val="SCCRespondentForIndexChar"/>
          <w:lang w:val="en-US"/>
        </w:rPr>
      </w:pPr>
      <w:r w:rsidRPr="00090BF6">
        <w:rPr>
          <w:b/>
          <w:lang w:val="en-US"/>
        </w:rPr>
        <w:t>Indexed as:</w:t>
      </w:r>
      <w:r w:rsidR="00B049C1">
        <w:rPr>
          <w:b/>
          <w:lang w:val="en-US"/>
        </w:rPr>
        <w:t>  </w:t>
      </w:r>
      <w:r w:rsidRPr="00090BF6">
        <w:rPr>
          <w:rStyle w:val="SCCAppellantForIndexChar"/>
          <w:lang w:val="en-US"/>
        </w:rPr>
        <w:t xml:space="preserve">Canadian Food Inspection </w:t>
      </w:r>
      <w:r w:rsidR="00E86886" w:rsidRPr="00090BF6">
        <w:rPr>
          <w:rStyle w:val="SCCAppellantForIndexChar"/>
          <w:lang w:val="en-US"/>
        </w:rPr>
        <w:t>Agency</w:t>
      </w:r>
      <w:r w:rsidRPr="00090BF6">
        <w:rPr>
          <w:b/>
          <w:lang w:val="en-US"/>
        </w:rPr>
        <w:t xml:space="preserve"> </w:t>
      </w:r>
      <w:r w:rsidRPr="00090BF6">
        <w:rPr>
          <w:b/>
          <w:i/>
          <w:lang w:val="en-US"/>
        </w:rPr>
        <w:t>v.</w:t>
      </w:r>
      <w:r w:rsidRPr="00090BF6">
        <w:rPr>
          <w:b/>
          <w:lang w:val="en-US"/>
        </w:rPr>
        <w:t xml:space="preserve"> </w:t>
      </w:r>
      <w:r w:rsidRPr="00090BF6">
        <w:rPr>
          <w:rStyle w:val="SCCRespondentForIndexChar"/>
          <w:lang w:val="en-US"/>
        </w:rPr>
        <w:t>Professional Instit</w:t>
      </w:r>
      <w:r w:rsidR="00E86886" w:rsidRPr="00090BF6">
        <w:rPr>
          <w:rStyle w:val="SCCRespondentForIndexChar"/>
          <w:lang w:val="en-US"/>
        </w:rPr>
        <w:t>ute of the Public Service of Canada</w:t>
      </w:r>
    </w:p>
    <w:p w:rsidR="00426659" w:rsidRPr="00090BF6" w:rsidRDefault="007F3F08" w:rsidP="00C43A76">
      <w:pPr>
        <w:pStyle w:val="SCCSystemYear"/>
        <w:spacing w:line="480" w:lineRule="auto"/>
        <w:jc w:val="both"/>
        <w:rPr>
          <w:lang w:val="en-US"/>
        </w:rPr>
      </w:pPr>
      <w:r w:rsidRPr="00090BF6">
        <w:rPr>
          <w:lang w:val="en-US"/>
        </w:rPr>
        <w:t>2010</w:t>
      </w:r>
      <w:r w:rsidR="00B049C1">
        <w:rPr>
          <w:lang w:val="en-US"/>
        </w:rPr>
        <w:t> </w:t>
      </w:r>
      <w:r w:rsidR="00426659" w:rsidRPr="00090BF6">
        <w:rPr>
          <w:lang w:val="en-US"/>
        </w:rPr>
        <w:t>SCC </w:t>
      </w:r>
      <w:r w:rsidR="00713042" w:rsidRPr="00090BF6">
        <w:rPr>
          <w:lang w:val="en-US"/>
        </w:rPr>
        <w:t>66</w:t>
      </w:r>
    </w:p>
    <w:p w:rsidR="00A149DF" w:rsidRPr="00090BF6" w:rsidRDefault="00A149DF" w:rsidP="00C43A76">
      <w:pPr>
        <w:spacing w:line="480" w:lineRule="auto"/>
        <w:jc w:val="both"/>
        <w:rPr>
          <w:lang w:val="en-US"/>
        </w:rPr>
      </w:pPr>
    </w:p>
    <w:p w:rsidR="008322BD" w:rsidRPr="00090BF6" w:rsidRDefault="009B57B3" w:rsidP="00C43A76">
      <w:pPr>
        <w:spacing w:line="480" w:lineRule="auto"/>
        <w:jc w:val="both"/>
      </w:pPr>
      <w:r w:rsidRPr="00090BF6">
        <w:t>File No.:  32880.</w:t>
      </w:r>
    </w:p>
    <w:p w:rsidR="00E97830" w:rsidRPr="00090BF6" w:rsidRDefault="00E97830" w:rsidP="00C43A76">
      <w:pPr>
        <w:spacing w:line="480" w:lineRule="auto"/>
        <w:jc w:val="both"/>
      </w:pPr>
    </w:p>
    <w:p w:rsidR="008322BD" w:rsidRPr="00090BF6" w:rsidRDefault="00C43A76" w:rsidP="00C43A76">
      <w:pPr>
        <w:spacing w:line="480" w:lineRule="auto"/>
        <w:jc w:val="both"/>
      </w:pPr>
      <w:r w:rsidRPr="00090BF6">
        <w:t>2010:  January </w:t>
      </w:r>
      <w:r w:rsidR="007F3F08" w:rsidRPr="00090BF6">
        <w:t>20</w:t>
      </w:r>
      <w:r w:rsidR="00FB297E">
        <w:t>, 21</w:t>
      </w:r>
      <w:r w:rsidRPr="00090BF6">
        <w:t>; 2010:  December </w:t>
      </w:r>
      <w:r w:rsidR="00321BF3" w:rsidRPr="00090BF6">
        <w:t>23</w:t>
      </w:r>
      <w:r w:rsidR="009B57B3" w:rsidRPr="00090BF6">
        <w:t>.</w:t>
      </w:r>
    </w:p>
    <w:p w:rsidR="00E97830" w:rsidRPr="00090BF6" w:rsidRDefault="00E97830" w:rsidP="00C43A76">
      <w:pPr>
        <w:spacing w:line="480" w:lineRule="auto"/>
        <w:jc w:val="both"/>
      </w:pPr>
    </w:p>
    <w:p w:rsidR="008322BD" w:rsidRPr="00090BF6" w:rsidRDefault="009B57B3" w:rsidP="00C43A76">
      <w:pPr>
        <w:spacing w:line="480" w:lineRule="auto"/>
        <w:jc w:val="both"/>
      </w:pPr>
      <w:r w:rsidRPr="00090BF6">
        <w:lastRenderedPageBreak/>
        <w:t xml:space="preserve">Present:  </w:t>
      </w:r>
      <w:proofErr w:type="spellStart"/>
      <w:r w:rsidRPr="00090BF6">
        <w:t>Binnie</w:t>
      </w:r>
      <w:proofErr w:type="spellEnd"/>
      <w:r w:rsidRPr="00090BF6">
        <w:t xml:space="preserve">, </w:t>
      </w:r>
      <w:proofErr w:type="spellStart"/>
      <w:r w:rsidRPr="00090BF6">
        <w:t>LeBel</w:t>
      </w:r>
      <w:proofErr w:type="spellEnd"/>
      <w:r w:rsidRPr="00090BF6">
        <w:t xml:space="preserve">, </w:t>
      </w:r>
      <w:proofErr w:type="spellStart"/>
      <w:r w:rsidRPr="00090BF6">
        <w:t>Deschamps</w:t>
      </w:r>
      <w:proofErr w:type="spellEnd"/>
      <w:r w:rsidRPr="00090BF6">
        <w:t xml:space="preserve">, </w:t>
      </w:r>
      <w:proofErr w:type="spellStart"/>
      <w:r w:rsidRPr="00090BF6">
        <w:t>Abella</w:t>
      </w:r>
      <w:proofErr w:type="spellEnd"/>
      <w:r w:rsidRPr="00090BF6">
        <w:t xml:space="preserve">, </w:t>
      </w:r>
      <w:proofErr w:type="spellStart"/>
      <w:r w:rsidRPr="00090BF6">
        <w:t>Charron</w:t>
      </w:r>
      <w:proofErr w:type="spellEnd"/>
      <w:r w:rsidRPr="00090BF6">
        <w:t>, Rothstein and Cromwell</w:t>
      </w:r>
      <w:r w:rsidR="001C779F" w:rsidRPr="00090BF6">
        <w:t> </w:t>
      </w:r>
      <w:r w:rsidRPr="00090BF6">
        <w:t>JJ.</w:t>
      </w:r>
    </w:p>
    <w:p w:rsidR="00E97830" w:rsidRPr="00090BF6" w:rsidRDefault="00E97830" w:rsidP="00C43A76">
      <w:pPr>
        <w:spacing w:line="480" w:lineRule="auto"/>
        <w:jc w:val="both"/>
      </w:pPr>
    </w:p>
    <w:p w:rsidR="008322BD" w:rsidRPr="00090BF6" w:rsidRDefault="00656313" w:rsidP="00C43A76">
      <w:pPr>
        <w:pStyle w:val="SCCLowerCourtNameLowercase"/>
      </w:pPr>
      <w:r w:rsidRPr="00090BF6">
        <w:t>o</w:t>
      </w:r>
      <w:r w:rsidR="00170592" w:rsidRPr="00090BF6">
        <w:t>n</w:t>
      </w:r>
      <w:r w:rsidR="00224FC0" w:rsidRPr="00090BF6">
        <w:t xml:space="preserve"> </w:t>
      </w:r>
      <w:r w:rsidRPr="00090BF6">
        <w:t>a</w:t>
      </w:r>
      <w:r w:rsidR="00170592" w:rsidRPr="00090BF6">
        <w:t>ppeal</w:t>
      </w:r>
      <w:r w:rsidR="00224FC0" w:rsidRPr="00090BF6">
        <w:t xml:space="preserve"> </w:t>
      </w:r>
      <w:r w:rsidR="00170592" w:rsidRPr="00090BF6">
        <w:t>from</w:t>
      </w:r>
      <w:r w:rsidR="009567AA" w:rsidRPr="00090BF6">
        <w:t xml:space="preserve"> the</w:t>
      </w:r>
      <w:r w:rsidR="00224FC0" w:rsidRPr="00090BF6">
        <w:t xml:space="preserve"> </w:t>
      </w:r>
      <w:r w:rsidR="00713042" w:rsidRPr="00090BF6">
        <w:t xml:space="preserve">court of appeal </w:t>
      </w:r>
      <w:r w:rsidR="009B57B3" w:rsidRPr="00090BF6">
        <w:t>f</w:t>
      </w:r>
      <w:r w:rsidR="00713042" w:rsidRPr="00090BF6">
        <w:t>or</w:t>
      </w:r>
      <w:r w:rsidR="009B57B3" w:rsidRPr="00090BF6">
        <w:t xml:space="preserve"> </w:t>
      </w:r>
      <w:proofErr w:type="spellStart"/>
      <w:r w:rsidR="009B57B3" w:rsidRPr="00090BF6">
        <w:t>quebec</w:t>
      </w:r>
      <w:proofErr w:type="spellEnd"/>
      <w:r w:rsidR="009B57B3" w:rsidRPr="00090BF6">
        <w:t xml:space="preserve"> </w:t>
      </w:r>
    </w:p>
    <w:p w:rsidR="00F3324E" w:rsidRPr="00090BF6" w:rsidRDefault="00F3324E" w:rsidP="00F3324E">
      <w:pPr>
        <w:pStyle w:val="SCCNormalDoubleSpacing"/>
      </w:pPr>
    </w:p>
    <w:p w:rsidR="00F3324E" w:rsidRPr="00090BF6" w:rsidRDefault="00F3324E" w:rsidP="00C43A76">
      <w:pPr>
        <w:pStyle w:val="SCCNormalDoubleSpacing"/>
        <w:tabs>
          <w:tab w:val="left" w:pos="1170"/>
        </w:tabs>
        <w:rPr>
          <w:i/>
        </w:rPr>
      </w:pPr>
      <w:r w:rsidRPr="00090BF6">
        <w:rPr>
          <w:i/>
        </w:rPr>
        <w:tab/>
        <w:t>Courts — Jurisdiction — Provincial superior courts — Action brought against Crown servants and union in Superior Court of Quebec alleging civil liability — Defendants bringing recourse</w:t>
      </w:r>
      <w:r w:rsidR="00411519" w:rsidRPr="00090BF6">
        <w:rPr>
          <w:i/>
        </w:rPr>
        <w:t>s</w:t>
      </w:r>
      <w:r w:rsidRPr="00090BF6">
        <w:rPr>
          <w:i/>
        </w:rPr>
        <w:t xml:space="preserve"> in warranty against federal agency — Whether defendants entitled to bring recourse</w:t>
      </w:r>
      <w:r w:rsidR="00411519" w:rsidRPr="00090BF6">
        <w:rPr>
          <w:i/>
        </w:rPr>
        <w:t>s</w:t>
      </w:r>
      <w:r w:rsidRPr="00090BF6">
        <w:rPr>
          <w:i/>
        </w:rPr>
        <w:t xml:space="preserve"> in warranty in Superior Court of Quebec without first proceeding by way of judicial review before Federal Court.</w:t>
      </w:r>
    </w:p>
    <w:p w:rsidR="00F3324E" w:rsidRPr="00090BF6" w:rsidRDefault="00F3324E" w:rsidP="00C43A76">
      <w:pPr>
        <w:pStyle w:val="SCCNormalDoubleSpacing"/>
        <w:tabs>
          <w:tab w:val="left" w:pos="1170"/>
        </w:tabs>
        <w:rPr>
          <w:i/>
        </w:rPr>
      </w:pPr>
    </w:p>
    <w:p w:rsidR="00F3324E" w:rsidRPr="00090BF6" w:rsidRDefault="00F3324E" w:rsidP="00C43A76">
      <w:pPr>
        <w:pStyle w:val="SCCNormalDoubleSpacing"/>
        <w:tabs>
          <w:tab w:val="left" w:pos="1170"/>
        </w:tabs>
        <w:rPr>
          <w:i/>
        </w:rPr>
      </w:pPr>
      <w:r w:rsidRPr="00090BF6">
        <w:rPr>
          <w:i/>
        </w:rPr>
        <w:tab/>
        <w:t>Crown law — Crown liability — Civil liability — Action brought against Crown servants and union in Superior Court of Quebec alleging civil liability — Defendants bringing recourse</w:t>
      </w:r>
      <w:r w:rsidR="00411519" w:rsidRPr="00090BF6">
        <w:rPr>
          <w:i/>
        </w:rPr>
        <w:t>s</w:t>
      </w:r>
      <w:r w:rsidRPr="00090BF6">
        <w:rPr>
          <w:i/>
        </w:rPr>
        <w:t xml:space="preserve"> in warranty against federal agency alleging that cause of damage was agency’s decision — Whether decision of federal agency can constitute fault in Quebec </w:t>
      </w:r>
      <w:r w:rsidR="00AE541F">
        <w:rPr>
          <w:i/>
        </w:rPr>
        <w:t xml:space="preserve">even </w:t>
      </w:r>
      <w:r w:rsidRPr="00090BF6">
        <w:rPr>
          <w:i/>
        </w:rPr>
        <w:t>if it is lawful and valid — Crown Liability and Proceedings</w:t>
      </w:r>
      <w:r w:rsidR="00C43A76" w:rsidRPr="00090BF6">
        <w:rPr>
          <w:i/>
        </w:rPr>
        <w:t xml:space="preserve"> Act, R.S.C. 1985, c. C</w:t>
      </w:r>
      <w:r w:rsidR="008B7300" w:rsidRPr="00090BF6">
        <w:rPr>
          <w:i/>
        </w:rPr>
        <w:noBreakHyphen/>
      </w:r>
      <w:r w:rsidR="00C43A76" w:rsidRPr="00090BF6">
        <w:rPr>
          <w:i/>
        </w:rPr>
        <w:t>50, ss. </w:t>
      </w:r>
      <w:r w:rsidRPr="00090BF6">
        <w:rPr>
          <w:i/>
        </w:rPr>
        <w:t>2, 3; C</w:t>
      </w:r>
      <w:r w:rsidR="00C43A76" w:rsidRPr="00090BF6">
        <w:rPr>
          <w:i/>
        </w:rPr>
        <w:t>ivil Code of Québec, R.S.Q., c. C</w:t>
      </w:r>
      <w:r w:rsidR="008B7300" w:rsidRPr="00090BF6">
        <w:rPr>
          <w:i/>
        </w:rPr>
        <w:noBreakHyphen/>
      </w:r>
      <w:r w:rsidR="00C43A76" w:rsidRPr="00090BF6">
        <w:rPr>
          <w:i/>
        </w:rPr>
        <w:t>1991, art. </w:t>
      </w:r>
      <w:proofErr w:type="gramStart"/>
      <w:r w:rsidRPr="00090BF6">
        <w:rPr>
          <w:i/>
        </w:rPr>
        <w:t>1376, 1457.</w:t>
      </w:r>
      <w:proofErr w:type="gramEnd"/>
    </w:p>
    <w:p w:rsidR="00F3324E" w:rsidRPr="00090BF6" w:rsidRDefault="00F3324E" w:rsidP="00C43A76">
      <w:pPr>
        <w:pStyle w:val="SCCNormalDoubleSpacing"/>
        <w:tabs>
          <w:tab w:val="left" w:pos="1170"/>
        </w:tabs>
      </w:pPr>
    </w:p>
    <w:p w:rsidR="00F3324E" w:rsidRPr="00090BF6" w:rsidRDefault="00F3324E" w:rsidP="00C43A76">
      <w:pPr>
        <w:pStyle w:val="SCCNormalDoubleSpacing"/>
        <w:tabs>
          <w:tab w:val="left" w:pos="1170"/>
        </w:tabs>
      </w:pPr>
      <w:r w:rsidRPr="00090BF6">
        <w:tab/>
        <w:t>In 2001, veterinarians assigned to insp</w:t>
      </w:r>
      <w:r w:rsidR="00713042" w:rsidRPr="00090BF6">
        <w:t>ect slaughterhouses in Quebec</w:t>
      </w:r>
      <w:r w:rsidRPr="00090BF6">
        <w:t xml:space="preserve"> were involved in a labour dispute with the Canadian Food Inspection Agency (“CFIA”).  They did not report fo</w:t>
      </w:r>
      <w:r w:rsidR="00713042" w:rsidRPr="00090BF6">
        <w:t xml:space="preserve">r work during December 2001. </w:t>
      </w:r>
      <w:r w:rsidRPr="00090BF6">
        <w:t xml:space="preserve"> The CFIA subsequently issued a direction providing that, since the veterinarians were not available to carry out inspections during the relevant period, the meat and meat </w:t>
      </w:r>
      <w:r w:rsidRPr="00090BF6">
        <w:lastRenderedPageBreak/>
        <w:t xml:space="preserve">products did not meet the requirements of the </w:t>
      </w:r>
      <w:r w:rsidRPr="00090BF6">
        <w:rPr>
          <w:i/>
        </w:rPr>
        <w:t>Meat Inspection Regulations</w:t>
      </w:r>
      <w:r w:rsidR="00411519" w:rsidRPr="00090BF6">
        <w:rPr>
          <w:i/>
        </w:rPr>
        <w:t>, 1990</w:t>
      </w:r>
      <w:r w:rsidR="00411519" w:rsidRPr="00090BF6">
        <w:t xml:space="preserve">, </w:t>
      </w:r>
      <w:r w:rsidRPr="00090BF6">
        <w:t>and therefore had to be destroyed or disposed of as inedible material.  The slaughterhouse operators did not apply for judicial review, but commenced an action in the Quebec Superior Court, seeking nearly $1.8 million in damages from the veterinarians and their representative, the Professional Institute of the Public Service of Canada (“Institute”).</w:t>
      </w:r>
      <w:r w:rsidR="00713042" w:rsidRPr="00090BF6">
        <w:t xml:space="preserve"> </w:t>
      </w:r>
      <w:r w:rsidRPr="00090BF6">
        <w:t xml:space="preserve"> In their defence, the Institute and the veterinarians argued that any damage resulted from the decision and measures of the CFIA.  They each called the CFIA in warranty, but the CFIA brought motions to dismi</w:t>
      </w:r>
      <w:r w:rsidR="00713042" w:rsidRPr="00090BF6">
        <w:t xml:space="preserve">ss the recourses in warranty </w:t>
      </w:r>
      <w:r w:rsidRPr="00090BF6">
        <w:t>on the ground that the direction issued by it was a decision of a federal board in respect of which the Superior Court could have no jurisdiction unless the decision was first quashed on judicial review by the Federal Court.  The Superior Court dismissed the motions and the Court of Appeal upheld the decision.  It held that the recourses in warranty, viewed as a whole, and the nature of the particular conclusions being sought showed that the Institute and the veterinarians were seeking a remedy in the form of damages and were not, at least at this stage, contesting the validity of the CFIA’s decision.  The lower courts also held that a decision of the CFIA could constitute a fault in Quebec civil law even if it were valid.</w:t>
      </w:r>
    </w:p>
    <w:p w:rsidR="00F3324E" w:rsidRPr="00090BF6" w:rsidRDefault="00F3324E" w:rsidP="00C43A76">
      <w:pPr>
        <w:pStyle w:val="SCCNormalDoubleSpacing"/>
        <w:tabs>
          <w:tab w:val="left" w:pos="1170"/>
        </w:tabs>
      </w:pPr>
    </w:p>
    <w:p w:rsidR="00F3324E" w:rsidRPr="00090BF6" w:rsidRDefault="00F3324E" w:rsidP="00C43A76">
      <w:pPr>
        <w:pStyle w:val="SCCNormalDoubleSpacing"/>
        <w:tabs>
          <w:tab w:val="left" w:pos="1170"/>
        </w:tabs>
      </w:pPr>
      <w:r w:rsidRPr="00090BF6">
        <w:tab/>
      </w:r>
      <w:r w:rsidRPr="00090BF6">
        <w:rPr>
          <w:rStyle w:val="QuoteChar"/>
          <w:color w:val="auto"/>
          <w:lang w:val="en-CA"/>
        </w:rPr>
        <w:t>Held</w:t>
      </w:r>
      <w:r w:rsidRPr="00090BF6">
        <w:rPr>
          <w:rStyle w:val="QuoteChar"/>
          <w:i w:val="0"/>
          <w:color w:val="auto"/>
          <w:lang w:val="en-CA"/>
        </w:rPr>
        <w:t>:</w:t>
      </w:r>
      <w:r w:rsidRPr="00090BF6">
        <w:t xml:space="preserve">  The appeal should be dismissed.</w:t>
      </w:r>
    </w:p>
    <w:p w:rsidR="00F3324E" w:rsidRPr="00090BF6" w:rsidRDefault="00F3324E" w:rsidP="00C43A76">
      <w:pPr>
        <w:pStyle w:val="SCCNormalDoubleSpacing"/>
        <w:tabs>
          <w:tab w:val="left" w:pos="1170"/>
        </w:tabs>
      </w:pPr>
    </w:p>
    <w:p w:rsidR="00F3324E" w:rsidRPr="00090BF6" w:rsidRDefault="00713042" w:rsidP="00C43A76">
      <w:pPr>
        <w:pStyle w:val="SCCNormalDoubleSpacing"/>
        <w:tabs>
          <w:tab w:val="left" w:pos="1170"/>
        </w:tabs>
      </w:pPr>
      <w:r w:rsidRPr="00090BF6">
        <w:tab/>
      </w:r>
      <w:r w:rsidR="00F3324E" w:rsidRPr="00090BF6">
        <w:t xml:space="preserve">For the reasons set out in </w:t>
      </w:r>
      <w:r w:rsidR="00F3324E" w:rsidRPr="00090BF6">
        <w:rPr>
          <w:i/>
        </w:rPr>
        <w:t xml:space="preserve">Canada (Attorney General) v. </w:t>
      </w:r>
      <w:proofErr w:type="spellStart"/>
      <w:r w:rsidR="00F3324E" w:rsidRPr="00090BF6">
        <w:rPr>
          <w:i/>
        </w:rPr>
        <w:t>TeleZone</w:t>
      </w:r>
      <w:proofErr w:type="spellEnd"/>
      <w:r w:rsidR="00F3324E" w:rsidRPr="00090BF6">
        <w:rPr>
          <w:i/>
        </w:rPr>
        <w:t xml:space="preserve"> Inc.</w:t>
      </w:r>
      <w:r w:rsidR="00F3324E" w:rsidRPr="00090BF6">
        <w:t xml:space="preserve">, 2010 SCC </w:t>
      </w:r>
      <w:r w:rsidRPr="00090BF6">
        <w:t>62</w:t>
      </w:r>
      <w:r w:rsidR="00F3324E" w:rsidRPr="00090BF6">
        <w:t>,</w:t>
      </w:r>
      <w:r w:rsidR="00FB297E">
        <w:t xml:space="preserve"> [2010] 3 S.C.R. </w:t>
      </w:r>
      <w:r w:rsidR="00F673F1">
        <w:t>585</w:t>
      </w:r>
      <w:r w:rsidR="00FB297E">
        <w:t>,</w:t>
      </w:r>
      <w:r w:rsidR="00F3324E" w:rsidRPr="00090BF6">
        <w:t xml:space="preserve"> successfully challenging an administrative decision of a federal board on judicial review before the Federal Court is not a </w:t>
      </w:r>
      <w:r w:rsidR="00F3324E" w:rsidRPr="00090BF6">
        <w:lastRenderedPageBreak/>
        <w:t xml:space="preserve">requirement for bringing an action for damages with respect to that decision.  The principle formulated in </w:t>
      </w:r>
      <w:r w:rsidR="00F3324E" w:rsidRPr="00090BF6">
        <w:rPr>
          <w:i/>
        </w:rPr>
        <w:t xml:space="preserve">Canada v. </w:t>
      </w:r>
      <w:proofErr w:type="spellStart"/>
      <w:r w:rsidR="00F3324E" w:rsidRPr="00090BF6">
        <w:rPr>
          <w:i/>
        </w:rPr>
        <w:t>Grenier</w:t>
      </w:r>
      <w:proofErr w:type="spellEnd"/>
      <w:r w:rsidR="00F3324E" w:rsidRPr="00090BF6">
        <w:t xml:space="preserve">, 2005 FCA 348, [2006] 2 F.C.R. 287, namely that the only remedy for damage resulting from an action of a federal administrative agency lies in an application to the Federal Court for judicial review, should no longer be seen as shielding the federal Crown from civil liability in respect of all damage caused by its agents.  In Quebec, the combined effect of the </w:t>
      </w:r>
      <w:r w:rsidR="00F3324E" w:rsidRPr="00090BF6">
        <w:rPr>
          <w:i/>
          <w:lang w:val="en-US"/>
        </w:rPr>
        <w:t>Crown Liability and Proceedings Act</w:t>
      </w:r>
      <w:r w:rsidR="00F3324E" w:rsidRPr="00090BF6">
        <w:rPr>
          <w:lang w:val="en-US"/>
        </w:rPr>
        <w:t xml:space="preserve"> and </w:t>
      </w:r>
      <w:r w:rsidR="00F3324E" w:rsidRPr="00090BF6">
        <w:t xml:space="preserve">the </w:t>
      </w:r>
      <w:r w:rsidR="00F3324E" w:rsidRPr="00090BF6">
        <w:rPr>
          <w:i/>
        </w:rPr>
        <w:t xml:space="preserve">Civil Code of Québec </w:t>
      </w:r>
      <w:r w:rsidR="00F3324E" w:rsidRPr="00090BF6">
        <w:t>is that the federal Crown is subject to the rules respecting civil liability set out in art.</w:t>
      </w:r>
      <w:r w:rsidR="00FB297E">
        <w:t xml:space="preserve"> </w:t>
      </w:r>
      <w:proofErr w:type="gramStart"/>
      <w:r w:rsidR="00F3324E" w:rsidRPr="00090BF6">
        <w:t xml:space="preserve">1457 </w:t>
      </w:r>
      <w:r w:rsidR="00F3324E" w:rsidRPr="00090BF6">
        <w:rPr>
          <w:i/>
          <w:iCs/>
        </w:rPr>
        <w:t>C.C.Q</w:t>
      </w:r>
      <w:r w:rsidR="00F3324E" w:rsidRPr="00090BF6">
        <w:t>.</w:t>
      </w:r>
      <w:proofErr w:type="gramEnd"/>
      <w:r w:rsidR="00F3324E" w:rsidRPr="00090BF6">
        <w:t xml:space="preserve">  The fact that the federal Crown is subject to Quebec’s rules of </w:t>
      </w:r>
      <w:proofErr w:type="spellStart"/>
      <w:r w:rsidR="00F3324E" w:rsidRPr="00090BF6">
        <w:rPr>
          <w:color w:val="000000"/>
          <w:szCs w:val="24"/>
          <w:lang w:eastAsia="en-US"/>
        </w:rPr>
        <w:t>extracontractual</w:t>
      </w:r>
      <w:proofErr w:type="spellEnd"/>
      <w:r w:rsidR="00F3324E" w:rsidRPr="00090BF6">
        <w:rPr>
          <w:color w:val="000000"/>
          <w:szCs w:val="24"/>
          <w:lang w:eastAsia="en-US"/>
        </w:rPr>
        <w:t xml:space="preserve"> civil liability where</w:t>
      </w:r>
      <w:r w:rsidR="00F3324E" w:rsidRPr="00090BF6">
        <w:t xml:space="preserve"> damage allegedly caused by the fault of its agents is concerned does not preclude it from invoking its immunity, but such arguments are more appropriately dealt with at the hearing on the merits.  Here, the Superior Court has jurisdiction over the parties and over the subject matter of the dispute.  The recourse</w:t>
      </w:r>
      <w:r w:rsidR="00411519" w:rsidRPr="00090BF6">
        <w:t>s</w:t>
      </w:r>
      <w:r w:rsidR="00F3324E" w:rsidRPr="00090BF6">
        <w:t xml:space="preserve"> in warranty could not be characterized as an attack on the legality or the validity of the CFIA’s decision in the guise of an action for damages.</w:t>
      </w:r>
    </w:p>
    <w:p w:rsidR="00F3324E" w:rsidRPr="00090BF6" w:rsidRDefault="00F3324E" w:rsidP="00C43A76">
      <w:pPr>
        <w:pStyle w:val="SCCNormalDoubleSpacing"/>
        <w:tabs>
          <w:tab w:val="left" w:pos="1170"/>
        </w:tabs>
      </w:pPr>
    </w:p>
    <w:p w:rsidR="00A149DF" w:rsidRPr="00090BF6" w:rsidRDefault="002E6705" w:rsidP="00C43A76">
      <w:pPr>
        <w:pStyle w:val="SCCNormalDoubleSpacing"/>
        <w:keepNext/>
        <w:keepLines/>
        <w:tabs>
          <w:tab w:val="left" w:pos="1170"/>
        </w:tabs>
        <w:rPr>
          <w:b/>
        </w:rPr>
      </w:pPr>
      <w:r w:rsidRPr="00090BF6">
        <w:rPr>
          <w:b/>
        </w:rPr>
        <w:lastRenderedPageBreak/>
        <w:t>Cases Cited</w:t>
      </w:r>
    </w:p>
    <w:p w:rsidR="00A52144" w:rsidRPr="00090BF6" w:rsidRDefault="00A52144" w:rsidP="00C43A76">
      <w:pPr>
        <w:pStyle w:val="SCCNormalDoubleSpacing"/>
        <w:keepNext/>
        <w:keepLines/>
        <w:tabs>
          <w:tab w:val="left" w:pos="1170"/>
        </w:tabs>
      </w:pPr>
    </w:p>
    <w:p w:rsidR="006025C9" w:rsidRPr="00090BF6" w:rsidRDefault="002E6705" w:rsidP="00C43A76">
      <w:pPr>
        <w:pStyle w:val="SCCNormalDoubleSpacing"/>
        <w:keepNext/>
        <w:keepLines/>
        <w:tabs>
          <w:tab w:val="left" w:pos="1170"/>
        </w:tabs>
        <w:rPr>
          <w:lang w:val="en-US"/>
        </w:rPr>
      </w:pPr>
      <w:r w:rsidRPr="00090BF6">
        <w:tab/>
      </w:r>
      <w:r w:rsidR="00713042" w:rsidRPr="00090BF6">
        <w:rPr>
          <w:b/>
        </w:rPr>
        <w:t>Applied:</w:t>
      </w:r>
      <w:r w:rsidR="00CC74F6" w:rsidRPr="00090BF6">
        <w:t xml:space="preserve"> </w:t>
      </w:r>
      <w:r w:rsidR="00713042" w:rsidRPr="00090BF6">
        <w:rPr>
          <w:i/>
        </w:rPr>
        <w:t>Canada (Attorney General) v.</w:t>
      </w:r>
      <w:r w:rsidR="00713042" w:rsidRPr="00090BF6">
        <w:t xml:space="preserve"> </w:t>
      </w:r>
      <w:r w:rsidR="00B72BD7" w:rsidRPr="00090BF6">
        <w:rPr>
          <w:szCs w:val="24"/>
        </w:rPr>
        <w:fldChar w:fldCharType="begin"/>
      </w:r>
      <w:r w:rsidR="00713042" w:rsidRPr="00090BF6">
        <w:rPr>
          <w:szCs w:val="24"/>
        </w:rPr>
        <w:instrText xml:space="preserve"> SEQ CHAPTER \h \r 1</w:instrText>
      </w:r>
      <w:r w:rsidR="00B72BD7" w:rsidRPr="00090BF6">
        <w:rPr>
          <w:szCs w:val="24"/>
        </w:rPr>
        <w:fldChar w:fldCharType="end"/>
      </w:r>
      <w:proofErr w:type="spellStart"/>
      <w:r w:rsidR="00713042" w:rsidRPr="00090BF6">
        <w:rPr>
          <w:i/>
          <w:iCs/>
          <w:szCs w:val="24"/>
        </w:rPr>
        <w:t>TeleZone</w:t>
      </w:r>
      <w:proofErr w:type="spellEnd"/>
      <w:r w:rsidR="00F673F1">
        <w:rPr>
          <w:i/>
          <w:iCs/>
          <w:szCs w:val="24"/>
        </w:rPr>
        <w:t xml:space="preserve"> Inc.</w:t>
      </w:r>
      <w:r w:rsidR="00713042" w:rsidRPr="00090BF6">
        <w:rPr>
          <w:iCs/>
          <w:szCs w:val="24"/>
        </w:rPr>
        <w:t>, 2010 SCC 62</w:t>
      </w:r>
      <w:r w:rsidR="00C402BE">
        <w:rPr>
          <w:iCs/>
          <w:szCs w:val="24"/>
        </w:rPr>
        <w:t xml:space="preserve">, [2010] 3 S.C.R. </w:t>
      </w:r>
      <w:r w:rsidR="00F673F1">
        <w:rPr>
          <w:iCs/>
          <w:szCs w:val="24"/>
        </w:rPr>
        <w:t>585</w:t>
      </w:r>
      <w:r w:rsidR="00713042" w:rsidRPr="00090BF6">
        <w:rPr>
          <w:iCs/>
          <w:szCs w:val="24"/>
        </w:rPr>
        <w:t xml:space="preserve">; </w:t>
      </w:r>
      <w:r w:rsidR="003A0A4E" w:rsidRPr="00ED028E">
        <w:rPr>
          <w:b/>
        </w:rPr>
        <w:t>overruled:</w:t>
      </w:r>
      <w:r w:rsidR="003A0A4E">
        <w:t xml:space="preserve">  </w:t>
      </w:r>
      <w:r w:rsidR="003A0A4E">
        <w:rPr>
          <w:i/>
        </w:rPr>
        <w:t xml:space="preserve">Canada v. </w:t>
      </w:r>
      <w:proofErr w:type="spellStart"/>
      <w:r w:rsidR="003A0A4E">
        <w:rPr>
          <w:i/>
        </w:rPr>
        <w:t>Grenier</w:t>
      </w:r>
      <w:proofErr w:type="spellEnd"/>
      <w:r w:rsidR="003A0A4E">
        <w:t xml:space="preserve">, 2005 FCA 348, [2006] 2 F.C.R. 287; </w:t>
      </w:r>
      <w:r w:rsidR="00713042" w:rsidRPr="00090BF6">
        <w:rPr>
          <w:b/>
          <w:szCs w:val="24"/>
        </w:rPr>
        <w:t>approved</w:t>
      </w:r>
      <w:r w:rsidR="00713042" w:rsidRPr="00090BF6">
        <w:rPr>
          <w:b/>
        </w:rPr>
        <w:t>:</w:t>
      </w:r>
      <w:r w:rsidR="00E637EC" w:rsidRPr="00090BF6">
        <w:t xml:space="preserve"> </w:t>
      </w:r>
      <w:proofErr w:type="spellStart"/>
      <w:r w:rsidR="00713042" w:rsidRPr="00090BF6">
        <w:rPr>
          <w:i/>
        </w:rPr>
        <w:t>Montambault</w:t>
      </w:r>
      <w:proofErr w:type="spellEnd"/>
      <w:r w:rsidR="00713042" w:rsidRPr="00090BF6">
        <w:rPr>
          <w:i/>
        </w:rPr>
        <w:t xml:space="preserve"> v. </w:t>
      </w:r>
      <w:proofErr w:type="spellStart"/>
      <w:r w:rsidR="00713042" w:rsidRPr="00090BF6">
        <w:rPr>
          <w:i/>
          <w:lang w:val="en-US"/>
        </w:rPr>
        <w:t>Hôpital</w:t>
      </w:r>
      <w:proofErr w:type="spellEnd"/>
      <w:r w:rsidR="00713042" w:rsidRPr="00090BF6">
        <w:rPr>
          <w:i/>
          <w:lang w:val="en-US"/>
        </w:rPr>
        <w:t xml:space="preserve"> </w:t>
      </w:r>
      <w:proofErr w:type="spellStart"/>
      <w:r w:rsidR="00713042" w:rsidRPr="00090BF6">
        <w:rPr>
          <w:i/>
          <w:lang w:val="en-US"/>
        </w:rPr>
        <w:t>Maisonneuve</w:t>
      </w:r>
      <w:r w:rsidR="008B7300" w:rsidRPr="00090BF6">
        <w:rPr>
          <w:i/>
          <w:lang w:val="en-US"/>
        </w:rPr>
        <w:noBreakHyphen/>
      </w:r>
      <w:r w:rsidR="00713042" w:rsidRPr="00090BF6">
        <w:rPr>
          <w:i/>
          <w:lang w:val="en-US"/>
        </w:rPr>
        <w:t>Rosemont</w:t>
      </w:r>
      <w:proofErr w:type="spellEnd"/>
      <w:r w:rsidR="00713042" w:rsidRPr="00090BF6">
        <w:rPr>
          <w:lang w:val="en-US"/>
        </w:rPr>
        <w:t xml:space="preserve">, [2001] R.J.Q. 893; </w:t>
      </w:r>
      <w:r w:rsidR="00713042" w:rsidRPr="00090BF6">
        <w:rPr>
          <w:b/>
        </w:rPr>
        <w:t>r</w:t>
      </w:r>
      <w:r w:rsidRPr="00090BF6">
        <w:rPr>
          <w:b/>
        </w:rPr>
        <w:t>eferred to:</w:t>
      </w:r>
      <w:r w:rsidR="00E637EC" w:rsidRPr="00090BF6">
        <w:t> </w:t>
      </w:r>
      <w:proofErr w:type="spellStart"/>
      <w:r w:rsidR="00F434C6" w:rsidRPr="00090BF6">
        <w:rPr>
          <w:i/>
          <w:iCs/>
          <w:szCs w:val="24"/>
          <w:lang w:val="en-US"/>
        </w:rPr>
        <w:t>Welbridge</w:t>
      </w:r>
      <w:proofErr w:type="spellEnd"/>
      <w:r w:rsidR="00F434C6" w:rsidRPr="00090BF6">
        <w:rPr>
          <w:i/>
          <w:iCs/>
          <w:szCs w:val="24"/>
          <w:lang w:val="en-US"/>
        </w:rPr>
        <w:t xml:space="preserve"> Holdings Ltd. v. Greater Winnipeg</w:t>
      </w:r>
      <w:r w:rsidR="00F434C6" w:rsidRPr="00090BF6">
        <w:rPr>
          <w:szCs w:val="24"/>
          <w:lang w:val="en-US"/>
        </w:rPr>
        <w:t xml:space="preserve">, [1971] S.C.R. 957; </w:t>
      </w:r>
      <w:proofErr w:type="spellStart"/>
      <w:r w:rsidR="00A52144" w:rsidRPr="00090BF6">
        <w:rPr>
          <w:bCs/>
          <w:i/>
          <w:color w:val="000000"/>
          <w:szCs w:val="24"/>
        </w:rPr>
        <w:t>Prud’homme</w:t>
      </w:r>
      <w:proofErr w:type="spellEnd"/>
      <w:r w:rsidR="00A52144" w:rsidRPr="00090BF6">
        <w:rPr>
          <w:bCs/>
          <w:i/>
          <w:color w:val="000000"/>
          <w:szCs w:val="24"/>
        </w:rPr>
        <w:t xml:space="preserve"> v. </w:t>
      </w:r>
      <w:proofErr w:type="spellStart"/>
      <w:r w:rsidR="00A52144" w:rsidRPr="00090BF6">
        <w:rPr>
          <w:bCs/>
          <w:i/>
          <w:color w:val="000000"/>
          <w:szCs w:val="24"/>
        </w:rPr>
        <w:t>Prud’</w:t>
      </w:r>
      <w:r w:rsidR="00231A77" w:rsidRPr="00090BF6">
        <w:rPr>
          <w:bCs/>
          <w:i/>
          <w:color w:val="000000"/>
          <w:szCs w:val="24"/>
        </w:rPr>
        <w:t>homme</w:t>
      </w:r>
      <w:proofErr w:type="spellEnd"/>
      <w:r w:rsidR="00231A77" w:rsidRPr="00090BF6">
        <w:rPr>
          <w:bCs/>
          <w:color w:val="000000"/>
          <w:szCs w:val="24"/>
        </w:rPr>
        <w:t>, 2002 SCC 85, [2002] 4 S.C.R. 663</w:t>
      </w:r>
      <w:r w:rsidR="00713042" w:rsidRPr="00090BF6">
        <w:rPr>
          <w:lang w:val="en-US"/>
        </w:rPr>
        <w:t>.</w:t>
      </w:r>
    </w:p>
    <w:p w:rsidR="00A149DF" w:rsidRPr="00090BF6" w:rsidRDefault="00A149DF" w:rsidP="004E2C26">
      <w:pPr>
        <w:pStyle w:val="SCCNormalDoubleSpacing"/>
      </w:pPr>
    </w:p>
    <w:p w:rsidR="003B215F" w:rsidRPr="00090BF6" w:rsidRDefault="002E6705" w:rsidP="00E637EC">
      <w:pPr>
        <w:pStyle w:val="SCCNormalDoubleSpacing"/>
        <w:keepNext/>
      </w:pPr>
      <w:r w:rsidRPr="00090BF6">
        <w:rPr>
          <w:b/>
        </w:rPr>
        <w:t>Statutes and Regulations Cite</w:t>
      </w:r>
      <w:r w:rsidR="00A41805" w:rsidRPr="00090BF6">
        <w:rPr>
          <w:b/>
        </w:rPr>
        <w:t>d</w:t>
      </w:r>
    </w:p>
    <w:p w:rsidR="00A41805" w:rsidRPr="00090BF6" w:rsidRDefault="00A41805" w:rsidP="00E637EC">
      <w:pPr>
        <w:pStyle w:val="SCCNormalDoubleSpacing"/>
        <w:keepNext/>
        <w:ind w:left="540" w:hanging="540"/>
      </w:pPr>
    </w:p>
    <w:p w:rsidR="008316B5" w:rsidRPr="00090BF6" w:rsidRDefault="008316B5" w:rsidP="00E637EC">
      <w:pPr>
        <w:pStyle w:val="SCCNormalDoubleSpacing"/>
        <w:spacing w:line="240" w:lineRule="auto"/>
        <w:ind w:left="540" w:hanging="540"/>
      </w:pPr>
      <w:proofErr w:type="gramStart"/>
      <w:r w:rsidRPr="00090BF6">
        <w:rPr>
          <w:i/>
          <w:lang w:val="en-US"/>
        </w:rPr>
        <w:t>Canadian Food Inspection Agency Act</w:t>
      </w:r>
      <w:r w:rsidRPr="00090BF6">
        <w:rPr>
          <w:lang w:val="en-US"/>
        </w:rPr>
        <w:t xml:space="preserve">, </w:t>
      </w:r>
      <w:r w:rsidRPr="00090BF6">
        <w:t>S.</w:t>
      </w:r>
      <w:r w:rsidR="00284D07" w:rsidRPr="00090BF6">
        <w:t>C</w:t>
      </w:r>
      <w:r w:rsidR="005E1D77" w:rsidRPr="00090BF6">
        <w:t>.</w:t>
      </w:r>
      <w:r w:rsidRPr="00090BF6">
        <w:t xml:space="preserve"> 1997, c.</w:t>
      </w:r>
      <w:r w:rsidR="00E637EC" w:rsidRPr="00090BF6">
        <w:t> </w:t>
      </w:r>
      <w:r w:rsidRPr="00090BF6">
        <w:t>6</w:t>
      </w:r>
      <w:r w:rsidR="00E637EC" w:rsidRPr="00090BF6">
        <w:t>, ss. </w:t>
      </w:r>
      <w:r w:rsidR="005E1D77" w:rsidRPr="00090BF6">
        <w:t>12, 13, 15.</w:t>
      </w:r>
      <w:proofErr w:type="gramEnd"/>
    </w:p>
    <w:p w:rsidR="008316B5" w:rsidRPr="00090BF6" w:rsidRDefault="008316B5" w:rsidP="00E637EC">
      <w:pPr>
        <w:pStyle w:val="SCCNormalDoubleSpacing"/>
        <w:spacing w:line="240" w:lineRule="auto"/>
        <w:ind w:left="540" w:hanging="540"/>
      </w:pPr>
    </w:p>
    <w:p w:rsidR="005E1D77" w:rsidRPr="00090BF6" w:rsidRDefault="005E1D77" w:rsidP="00FC4EFB">
      <w:pPr>
        <w:pStyle w:val="SCCNormalDoubleSpacing"/>
        <w:spacing w:line="240" w:lineRule="auto"/>
        <w:ind w:left="540" w:hanging="540"/>
      </w:pPr>
      <w:proofErr w:type="gramStart"/>
      <w:r w:rsidRPr="00090BF6">
        <w:rPr>
          <w:i/>
          <w:lang w:val="en-US"/>
        </w:rPr>
        <w:t>Civil Code of Québec</w:t>
      </w:r>
      <w:r w:rsidRPr="00090BF6">
        <w:rPr>
          <w:lang w:val="en-US"/>
        </w:rPr>
        <w:t xml:space="preserve">, </w:t>
      </w:r>
      <w:r w:rsidR="00F04B29" w:rsidRPr="00090BF6">
        <w:rPr>
          <w:lang w:val="en-US"/>
        </w:rPr>
        <w:t>R.</w:t>
      </w:r>
      <w:r w:rsidRPr="00090BF6">
        <w:rPr>
          <w:lang w:val="en-US"/>
        </w:rPr>
        <w:t>S.Q.</w:t>
      </w:r>
      <w:r w:rsidR="00E637EC" w:rsidRPr="00090BF6">
        <w:rPr>
          <w:lang w:val="en-US"/>
        </w:rPr>
        <w:t>, c. </w:t>
      </w:r>
      <w:r w:rsidR="00F04B29" w:rsidRPr="00090BF6">
        <w:rPr>
          <w:lang w:val="en-US"/>
        </w:rPr>
        <w:t>C</w:t>
      </w:r>
      <w:r w:rsidR="008B7300" w:rsidRPr="00090BF6">
        <w:rPr>
          <w:lang w:val="en-US"/>
        </w:rPr>
        <w:noBreakHyphen/>
      </w:r>
      <w:r w:rsidR="00284D07" w:rsidRPr="00090BF6">
        <w:rPr>
          <w:lang w:val="en-US"/>
        </w:rPr>
        <w:t>1991</w:t>
      </w:r>
      <w:r w:rsidR="00F04B29" w:rsidRPr="00090BF6">
        <w:rPr>
          <w:lang w:val="en-US"/>
        </w:rPr>
        <w:t>,</w:t>
      </w:r>
      <w:r w:rsidR="00E637EC" w:rsidRPr="00090BF6">
        <w:rPr>
          <w:lang w:val="en-US"/>
        </w:rPr>
        <w:t xml:space="preserve"> art.</w:t>
      </w:r>
      <w:proofErr w:type="gramEnd"/>
      <w:r w:rsidR="00E637EC" w:rsidRPr="00090BF6">
        <w:rPr>
          <w:lang w:val="en-US"/>
        </w:rPr>
        <w:t> </w:t>
      </w:r>
      <w:proofErr w:type="gramStart"/>
      <w:r w:rsidRPr="00090BF6">
        <w:rPr>
          <w:lang w:val="en-US"/>
        </w:rPr>
        <w:t>1376, 1457</w:t>
      </w:r>
      <w:r w:rsidR="00231A77" w:rsidRPr="00090BF6">
        <w:rPr>
          <w:lang w:val="en-US"/>
        </w:rPr>
        <w:t>.</w:t>
      </w:r>
      <w:proofErr w:type="gramEnd"/>
    </w:p>
    <w:p w:rsidR="005E1D77" w:rsidRPr="00090BF6" w:rsidRDefault="005E1D77" w:rsidP="00FC4EFB">
      <w:pPr>
        <w:pStyle w:val="SCCNormalDoubleSpacing"/>
        <w:spacing w:line="240" w:lineRule="auto"/>
        <w:ind w:left="540" w:hanging="540"/>
      </w:pPr>
    </w:p>
    <w:p w:rsidR="008316B5" w:rsidRPr="00090BF6" w:rsidRDefault="008316B5" w:rsidP="00FC4EFB">
      <w:pPr>
        <w:pStyle w:val="SCCNormalDoubleSpacing"/>
        <w:spacing w:line="240" w:lineRule="auto"/>
        <w:ind w:left="540" w:hanging="540"/>
      </w:pPr>
      <w:proofErr w:type="gramStart"/>
      <w:r w:rsidRPr="00090BF6">
        <w:rPr>
          <w:i/>
        </w:rPr>
        <w:t>Code of Civil Procedure</w:t>
      </w:r>
      <w:r w:rsidR="00E637EC" w:rsidRPr="00090BF6">
        <w:t>, R.S.Q., c. C</w:t>
      </w:r>
      <w:r w:rsidR="008B7300" w:rsidRPr="00090BF6">
        <w:noBreakHyphen/>
      </w:r>
      <w:r w:rsidR="00E637EC" w:rsidRPr="00090BF6">
        <w:t xml:space="preserve">25, </w:t>
      </w:r>
      <w:r w:rsidR="00F673F1">
        <w:t>art</w:t>
      </w:r>
      <w:r w:rsidR="00E637EC" w:rsidRPr="00090BF6">
        <w:t>.</w:t>
      </w:r>
      <w:proofErr w:type="gramEnd"/>
      <w:r w:rsidR="00E637EC" w:rsidRPr="00090BF6">
        <w:t> </w:t>
      </w:r>
      <w:r w:rsidRPr="00090BF6">
        <w:t>216.</w:t>
      </w:r>
      <w:r w:rsidR="00E06250" w:rsidRPr="00090BF6">
        <w:t xml:space="preserve"> </w:t>
      </w:r>
    </w:p>
    <w:p w:rsidR="008316B5" w:rsidRPr="00090BF6" w:rsidRDefault="008316B5" w:rsidP="00FC4EFB">
      <w:pPr>
        <w:pStyle w:val="SCCNormalDoubleSpacing"/>
        <w:spacing w:line="240" w:lineRule="auto"/>
        <w:ind w:left="540" w:hanging="540"/>
      </w:pPr>
    </w:p>
    <w:p w:rsidR="005E1D77" w:rsidRPr="00090BF6" w:rsidRDefault="005E1D77" w:rsidP="00FC4EFB">
      <w:pPr>
        <w:pStyle w:val="SCCNormalDoubleSpacing"/>
        <w:spacing w:line="240" w:lineRule="auto"/>
        <w:ind w:left="540" w:hanging="540"/>
      </w:pPr>
      <w:r w:rsidRPr="00090BF6">
        <w:rPr>
          <w:i/>
          <w:lang w:val="en-US"/>
        </w:rPr>
        <w:t>Crown Liability and Proceedings Act</w:t>
      </w:r>
      <w:r w:rsidRPr="00090BF6">
        <w:rPr>
          <w:lang w:val="en-US"/>
        </w:rPr>
        <w:t>, R.S.C</w:t>
      </w:r>
      <w:r w:rsidR="00E637EC" w:rsidRPr="00090BF6">
        <w:rPr>
          <w:lang w:val="en-US"/>
        </w:rPr>
        <w:t>. 1985, c. C</w:t>
      </w:r>
      <w:r w:rsidR="008B7300" w:rsidRPr="00090BF6">
        <w:rPr>
          <w:lang w:val="en-US"/>
        </w:rPr>
        <w:noBreakHyphen/>
      </w:r>
      <w:r w:rsidR="00E637EC" w:rsidRPr="00090BF6">
        <w:rPr>
          <w:lang w:val="en-US"/>
        </w:rPr>
        <w:t>50, ss. </w:t>
      </w:r>
      <w:r w:rsidR="00F434C6" w:rsidRPr="00090BF6">
        <w:rPr>
          <w:lang w:val="en-US"/>
        </w:rPr>
        <w:t>2</w:t>
      </w:r>
      <w:r w:rsidR="00F673F1">
        <w:rPr>
          <w:lang w:val="en-US"/>
        </w:rPr>
        <w:t xml:space="preserve"> “liability”</w:t>
      </w:r>
      <w:r w:rsidR="00F434C6" w:rsidRPr="00090BF6">
        <w:rPr>
          <w:lang w:val="en-US"/>
        </w:rPr>
        <w:t>, 3, 10.</w:t>
      </w:r>
      <w:r w:rsidRPr="00090BF6">
        <w:rPr>
          <w:lang w:val="en-US"/>
        </w:rPr>
        <w:t xml:space="preserve"> </w:t>
      </w:r>
    </w:p>
    <w:p w:rsidR="005E1D77" w:rsidRPr="00090BF6" w:rsidRDefault="005E1D77" w:rsidP="00FC4EFB">
      <w:pPr>
        <w:pStyle w:val="SCCNormalDoubleSpacing"/>
        <w:spacing w:line="240" w:lineRule="auto"/>
        <w:ind w:left="540" w:hanging="540"/>
      </w:pPr>
    </w:p>
    <w:p w:rsidR="00F434C6" w:rsidRPr="00090BF6" w:rsidRDefault="00F434C6" w:rsidP="00FC4EFB">
      <w:pPr>
        <w:pStyle w:val="SCCNormalDoubleSpacing"/>
        <w:spacing w:line="240" w:lineRule="auto"/>
        <w:ind w:left="540" w:hanging="540"/>
      </w:pPr>
      <w:r w:rsidRPr="00090BF6">
        <w:rPr>
          <w:i/>
        </w:rPr>
        <w:t>Federal Courts Act</w:t>
      </w:r>
      <w:r w:rsidR="00E637EC" w:rsidRPr="00090BF6">
        <w:t>, R.S.C. 1985, c. F</w:t>
      </w:r>
      <w:r w:rsidR="008B7300" w:rsidRPr="00090BF6">
        <w:noBreakHyphen/>
      </w:r>
      <w:r w:rsidR="00E637EC" w:rsidRPr="00090BF6">
        <w:t>7, s. </w:t>
      </w:r>
      <w:r w:rsidRPr="00090BF6">
        <w:t>18.</w:t>
      </w:r>
      <w:r w:rsidR="00231A77" w:rsidRPr="00090BF6">
        <w:t xml:space="preserve"> </w:t>
      </w:r>
    </w:p>
    <w:p w:rsidR="00F434C6" w:rsidRPr="00090BF6" w:rsidRDefault="00F434C6" w:rsidP="00FC4EFB">
      <w:pPr>
        <w:pStyle w:val="SCCNormalDoubleSpacing"/>
        <w:spacing w:line="240" w:lineRule="auto"/>
        <w:ind w:left="540" w:hanging="540"/>
      </w:pPr>
    </w:p>
    <w:p w:rsidR="008316B5" w:rsidRPr="00090BF6" w:rsidRDefault="008316B5" w:rsidP="00A96577">
      <w:pPr>
        <w:pStyle w:val="SCCNormalDoubleSpacing"/>
        <w:spacing w:after="720" w:line="240" w:lineRule="auto"/>
        <w:ind w:left="547" w:hanging="547"/>
      </w:pPr>
      <w:proofErr w:type="gramStart"/>
      <w:r w:rsidRPr="00090BF6">
        <w:rPr>
          <w:i/>
        </w:rPr>
        <w:t>Meat Inspection Regulations, 1990</w:t>
      </w:r>
      <w:r w:rsidRPr="00090BF6">
        <w:t>, SOR/90</w:t>
      </w:r>
      <w:r w:rsidR="008B7300" w:rsidRPr="00090BF6">
        <w:noBreakHyphen/>
      </w:r>
      <w:r w:rsidRPr="00090BF6">
        <w:t>288.</w:t>
      </w:r>
      <w:proofErr w:type="gramEnd"/>
      <w:r w:rsidR="00E06250" w:rsidRPr="00090BF6">
        <w:t xml:space="preserve"> </w:t>
      </w:r>
    </w:p>
    <w:p w:rsidR="00656313" w:rsidRPr="00090BF6" w:rsidRDefault="003873FD" w:rsidP="00E637EC">
      <w:pPr>
        <w:pStyle w:val="SCCNormalDoubleSpacing"/>
        <w:tabs>
          <w:tab w:val="left" w:pos="1170"/>
        </w:tabs>
      </w:pPr>
      <w:r w:rsidRPr="00090BF6">
        <w:tab/>
      </w:r>
      <w:r w:rsidR="009B57B3" w:rsidRPr="00090BF6">
        <w:t xml:space="preserve">APPEAL from a judgment of the </w:t>
      </w:r>
      <w:r w:rsidR="00E86886" w:rsidRPr="00090BF6">
        <w:t xml:space="preserve">Quebec </w:t>
      </w:r>
      <w:r w:rsidR="009B57B3" w:rsidRPr="00090BF6">
        <w:t>Court of Appeal</w:t>
      </w:r>
      <w:r w:rsidR="004A226F" w:rsidRPr="00090BF6">
        <w:t xml:space="preserve"> </w:t>
      </w:r>
      <w:r w:rsidR="00E637EC" w:rsidRPr="00090BF6">
        <w:t>(</w:t>
      </w:r>
      <w:proofErr w:type="spellStart"/>
      <w:r w:rsidR="00E637EC" w:rsidRPr="00090BF6">
        <w:t>Rochette</w:t>
      </w:r>
      <w:proofErr w:type="spellEnd"/>
      <w:r w:rsidR="00E637EC" w:rsidRPr="00090BF6">
        <w:t xml:space="preserve">, Pelletier and </w:t>
      </w:r>
      <w:proofErr w:type="spellStart"/>
      <w:r w:rsidR="00E637EC" w:rsidRPr="00090BF6">
        <w:t>Vézina</w:t>
      </w:r>
      <w:proofErr w:type="spellEnd"/>
      <w:r w:rsidR="00E637EC" w:rsidRPr="00090BF6">
        <w:t> </w:t>
      </w:r>
      <w:r w:rsidR="004A226F" w:rsidRPr="00090BF6">
        <w:t>JJ.A.), 2008 QCC</w:t>
      </w:r>
      <w:r w:rsidR="00D16471" w:rsidRPr="00090BF6">
        <w:t>A 1726,</w:t>
      </w:r>
      <w:r w:rsidR="004A226F" w:rsidRPr="00090BF6">
        <w:t xml:space="preserve"> [2008] R.J.Q. 2093, </w:t>
      </w:r>
      <w:r w:rsidR="00D16471" w:rsidRPr="00090BF6">
        <w:t>80 Admin.</w:t>
      </w:r>
      <w:r w:rsidR="00E637EC" w:rsidRPr="00090BF6">
        <w:t xml:space="preserve"> L.R. (4th) 43, [2008] Q.J. No. </w:t>
      </w:r>
      <w:r w:rsidR="00D16471" w:rsidRPr="00090BF6">
        <w:t xml:space="preserve">8906 (QL), 2008 </w:t>
      </w:r>
      <w:proofErr w:type="spellStart"/>
      <w:r w:rsidR="00D16471" w:rsidRPr="00090BF6">
        <w:t>CarswellQue</w:t>
      </w:r>
      <w:proofErr w:type="spellEnd"/>
      <w:r w:rsidR="00D16471" w:rsidRPr="00090BF6">
        <w:t xml:space="preserve"> 14621, </w:t>
      </w:r>
      <w:r w:rsidR="00E55FB1" w:rsidRPr="00090BF6">
        <w:t>affirming</w:t>
      </w:r>
      <w:r w:rsidR="00D16471" w:rsidRPr="00090BF6">
        <w:t xml:space="preserve"> a decision of </w:t>
      </w:r>
      <w:proofErr w:type="spellStart"/>
      <w:r w:rsidR="00D16471" w:rsidRPr="00090BF6">
        <w:t>Barakett</w:t>
      </w:r>
      <w:proofErr w:type="spellEnd"/>
      <w:r w:rsidR="00D16471" w:rsidRPr="00090BF6">
        <w:t xml:space="preserve"> J., 2007 QCCS 1791, [2007] J.Q. n</w:t>
      </w:r>
      <w:r w:rsidR="00D16471" w:rsidRPr="00090BF6">
        <w:rPr>
          <w:vertAlign w:val="superscript"/>
        </w:rPr>
        <w:t>o</w:t>
      </w:r>
      <w:r w:rsidR="00E637EC" w:rsidRPr="00090BF6">
        <w:t> </w:t>
      </w:r>
      <w:r w:rsidR="00E8747E" w:rsidRPr="00090BF6">
        <w:t>3353 (QL)</w:t>
      </w:r>
      <w:r w:rsidRPr="00090BF6">
        <w:t xml:space="preserve">, 2007 </w:t>
      </w:r>
      <w:proofErr w:type="spellStart"/>
      <w:r w:rsidRPr="00090BF6">
        <w:t>CarswellQue</w:t>
      </w:r>
      <w:proofErr w:type="spellEnd"/>
      <w:r w:rsidRPr="00090BF6">
        <w:t xml:space="preserve"> 3131.  </w:t>
      </w:r>
      <w:r w:rsidR="00D2086D" w:rsidRPr="00090BF6">
        <w:t>Appeal dismissed</w:t>
      </w:r>
      <w:r w:rsidR="00E13CB9" w:rsidRPr="00090BF6">
        <w:t>.</w:t>
      </w:r>
      <w:r w:rsidR="002A533D" w:rsidRPr="00090BF6">
        <w:t xml:space="preserve"> </w:t>
      </w:r>
    </w:p>
    <w:p w:rsidR="00E86886" w:rsidRPr="00090BF6" w:rsidRDefault="00E86886" w:rsidP="00E637EC">
      <w:pPr>
        <w:pStyle w:val="SCCNormalDoubleSpacing"/>
        <w:tabs>
          <w:tab w:val="left" w:pos="1170"/>
        </w:tabs>
      </w:pPr>
    </w:p>
    <w:p w:rsidR="00506337" w:rsidRPr="00090BF6" w:rsidRDefault="00E86886" w:rsidP="00E637EC">
      <w:pPr>
        <w:pStyle w:val="SCCNormalDoubleSpacing"/>
        <w:tabs>
          <w:tab w:val="left" w:pos="1170"/>
        </w:tabs>
      </w:pPr>
      <w:r w:rsidRPr="00090BF6">
        <w:rPr>
          <w:rStyle w:val="SCCCounselNameChar"/>
        </w:rPr>
        <w:lastRenderedPageBreak/>
        <w:tab/>
      </w:r>
      <w:proofErr w:type="gramStart"/>
      <w:r w:rsidR="00E637EC" w:rsidRPr="00090BF6">
        <w:rPr>
          <w:rStyle w:val="SCCCounselNameChar"/>
        </w:rPr>
        <w:t>Christopher </w:t>
      </w:r>
      <w:r w:rsidR="006219D3" w:rsidRPr="00090BF6">
        <w:rPr>
          <w:rStyle w:val="SCCCounselNameChar"/>
        </w:rPr>
        <w:t xml:space="preserve">M. </w:t>
      </w:r>
      <w:proofErr w:type="spellStart"/>
      <w:r w:rsidR="006219D3" w:rsidRPr="00090BF6">
        <w:rPr>
          <w:rStyle w:val="SCCCounselNameChar"/>
        </w:rPr>
        <w:t>Rupar</w:t>
      </w:r>
      <w:proofErr w:type="spellEnd"/>
      <w:r w:rsidR="006219D3" w:rsidRPr="00090BF6">
        <w:rPr>
          <w:rStyle w:val="SCCCounselNameChar"/>
          <w:i w:val="0"/>
        </w:rPr>
        <w:t>,</w:t>
      </w:r>
      <w:r w:rsidR="006219D3" w:rsidRPr="00090BF6">
        <w:rPr>
          <w:rStyle w:val="SCCCounselNameChar"/>
        </w:rPr>
        <w:t xml:space="preserve"> </w:t>
      </w:r>
      <w:r w:rsidRPr="00090BF6">
        <w:rPr>
          <w:rStyle w:val="SCCCounselNameChar"/>
        </w:rPr>
        <w:t xml:space="preserve">Alain </w:t>
      </w:r>
      <w:proofErr w:type="spellStart"/>
      <w:r w:rsidRPr="00090BF6">
        <w:rPr>
          <w:rStyle w:val="SCCCounselNameChar"/>
        </w:rPr>
        <w:t>Préfontaine</w:t>
      </w:r>
      <w:proofErr w:type="spellEnd"/>
      <w:r w:rsidRPr="00090BF6">
        <w:rPr>
          <w:rStyle w:val="SCCCounselSeparatorChar"/>
        </w:rPr>
        <w:t xml:space="preserve"> and </w:t>
      </w:r>
      <w:r w:rsidRPr="00090BF6">
        <w:rPr>
          <w:rStyle w:val="SCCCounselNameChar"/>
        </w:rPr>
        <w:t xml:space="preserve">Bernard </w:t>
      </w:r>
      <w:proofErr w:type="spellStart"/>
      <w:r w:rsidRPr="00090BF6">
        <w:rPr>
          <w:rStyle w:val="SCCCounselNameChar"/>
        </w:rPr>
        <w:t>Letarte</w:t>
      </w:r>
      <w:proofErr w:type="spellEnd"/>
      <w:r w:rsidRPr="00090BF6">
        <w:rPr>
          <w:rStyle w:val="SCCCounselPartyRoleChar"/>
        </w:rPr>
        <w:t>, for the appellant.</w:t>
      </w:r>
      <w:proofErr w:type="gramEnd"/>
    </w:p>
    <w:p w:rsidR="00506337" w:rsidRPr="00090BF6" w:rsidRDefault="00506337" w:rsidP="00E637EC">
      <w:pPr>
        <w:pStyle w:val="SCCNormalDoubleSpacing"/>
        <w:tabs>
          <w:tab w:val="left" w:pos="1170"/>
        </w:tabs>
      </w:pPr>
    </w:p>
    <w:p w:rsidR="006219D3" w:rsidRPr="00090BF6" w:rsidRDefault="00151E89" w:rsidP="00E637EC">
      <w:pPr>
        <w:pStyle w:val="SCCNormalDoubleSpacing"/>
        <w:tabs>
          <w:tab w:val="left" w:pos="1170"/>
        </w:tabs>
      </w:pPr>
      <w:r w:rsidRPr="00090BF6">
        <w:tab/>
      </w:r>
      <w:proofErr w:type="gramStart"/>
      <w:r w:rsidRPr="00090BF6">
        <w:rPr>
          <w:i/>
        </w:rPr>
        <w:t>Pierre Labelle</w:t>
      </w:r>
      <w:r w:rsidRPr="00090BF6">
        <w:t>, for the respondent the Professional Institute of the Public Service of Canada.</w:t>
      </w:r>
      <w:proofErr w:type="gramEnd"/>
      <w:r w:rsidRPr="00090BF6">
        <w:t xml:space="preserve"> </w:t>
      </w:r>
    </w:p>
    <w:p w:rsidR="00E871C8" w:rsidRPr="00090BF6" w:rsidRDefault="00E871C8" w:rsidP="00E637EC">
      <w:pPr>
        <w:pStyle w:val="SCCNormalDoubleSpacing"/>
        <w:tabs>
          <w:tab w:val="left" w:pos="1170"/>
        </w:tabs>
      </w:pPr>
    </w:p>
    <w:p w:rsidR="00E871C8" w:rsidRPr="00090BF6" w:rsidRDefault="00E871C8" w:rsidP="00E637EC">
      <w:pPr>
        <w:pStyle w:val="SCCNormalDoubleSpacing"/>
        <w:tabs>
          <w:tab w:val="left" w:pos="1170"/>
        </w:tabs>
        <w:rPr>
          <w:lang w:val="en-US"/>
        </w:rPr>
      </w:pPr>
      <w:r w:rsidRPr="00090BF6">
        <w:tab/>
      </w:r>
      <w:proofErr w:type="gramStart"/>
      <w:r w:rsidRPr="00090BF6">
        <w:rPr>
          <w:i/>
          <w:lang w:val="en-US"/>
        </w:rPr>
        <w:t xml:space="preserve">Philippe </w:t>
      </w:r>
      <w:proofErr w:type="spellStart"/>
      <w:r w:rsidRPr="00090BF6">
        <w:rPr>
          <w:i/>
          <w:lang w:val="en-US"/>
        </w:rPr>
        <w:t>Ferland</w:t>
      </w:r>
      <w:proofErr w:type="spellEnd"/>
      <w:r w:rsidRPr="00090BF6">
        <w:rPr>
          <w:lang w:val="en-US"/>
        </w:rPr>
        <w:t xml:space="preserve"> </w:t>
      </w:r>
      <w:r w:rsidR="00DD4F4C" w:rsidRPr="00090BF6">
        <w:rPr>
          <w:lang w:val="en-US"/>
        </w:rPr>
        <w:t>and</w:t>
      </w:r>
      <w:r w:rsidRPr="00090BF6">
        <w:rPr>
          <w:lang w:val="en-US"/>
        </w:rPr>
        <w:t xml:space="preserve"> </w:t>
      </w:r>
      <w:r w:rsidRPr="00090BF6">
        <w:rPr>
          <w:i/>
          <w:lang w:val="en-US"/>
        </w:rPr>
        <w:t xml:space="preserve">France </w:t>
      </w:r>
      <w:proofErr w:type="spellStart"/>
      <w:r w:rsidRPr="00090BF6">
        <w:rPr>
          <w:i/>
          <w:lang w:val="en-US"/>
        </w:rPr>
        <w:t>Brosseau</w:t>
      </w:r>
      <w:proofErr w:type="spellEnd"/>
      <w:r w:rsidRPr="00090BF6">
        <w:rPr>
          <w:lang w:val="en-US"/>
        </w:rPr>
        <w:t xml:space="preserve">, for the respondents </w:t>
      </w:r>
      <w:proofErr w:type="spellStart"/>
      <w:r w:rsidRPr="00090BF6">
        <w:rPr>
          <w:lang w:val="en-US"/>
        </w:rPr>
        <w:t>Dany</w:t>
      </w:r>
      <w:proofErr w:type="spellEnd"/>
      <w:r w:rsidRPr="00090BF6">
        <w:rPr>
          <w:lang w:val="en-US"/>
        </w:rPr>
        <w:t xml:space="preserve"> Beauregard et al.</w:t>
      </w:r>
      <w:proofErr w:type="gramEnd"/>
    </w:p>
    <w:p w:rsidR="00151E89" w:rsidRPr="00090BF6" w:rsidRDefault="00151E89" w:rsidP="00E637EC">
      <w:pPr>
        <w:pStyle w:val="SCCNormalDoubleSpacing"/>
        <w:tabs>
          <w:tab w:val="left" w:pos="1170"/>
        </w:tabs>
        <w:rPr>
          <w:lang w:val="en-US"/>
        </w:rPr>
      </w:pPr>
    </w:p>
    <w:p w:rsidR="00506337" w:rsidRPr="00090BF6" w:rsidRDefault="00E86886" w:rsidP="00E637EC">
      <w:pPr>
        <w:pStyle w:val="SCCNormalDoubleSpacing"/>
        <w:tabs>
          <w:tab w:val="left" w:pos="1170"/>
        </w:tabs>
      </w:pPr>
      <w:r w:rsidRPr="00090BF6">
        <w:rPr>
          <w:rStyle w:val="SCCCounselNameChar"/>
          <w:lang w:val="en-US"/>
        </w:rPr>
        <w:tab/>
      </w:r>
      <w:proofErr w:type="gramStart"/>
      <w:r w:rsidR="006219D3" w:rsidRPr="00090BF6">
        <w:rPr>
          <w:rStyle w:val="SCCCounselNameChar"/>
        </w:rPr>
        <w:t xml:space="preserve">Louis </w:t>
      </w:r>
      <w:proofErr w:type="spellStart"/>
      <w:r w:rsidR="006219D3" w:rsidRPr="00090BF6">
        <w:rPr>
          <w:rStyle w:val="SCCCounselNameChar"/>
        </w:rPr>
        <w:t>Huot</w:t>
      </w:r>
      <w:proofErr w:type="spellEnd"/>
      <w:r w:rsidRPr="00090BF6">
        <w:rPr>
          <w:rStyle w:val="SCCCounselPartyRoleChar"/>
        </w:rPr>
        <w:t>, for the respondent</w:t>
      </w:r>
      <w:r w:rsidR="008310DD" w:rsidRPr="00090BF6">
        <w:rPr>
          <w:rStyle w:val="SCCCounselPartyRoleChar"/>
        </w:rPr>
        <w:t>s</w:t>
      </w:r>
      <w:r w:rsidR="00E55FB1" w:rsidRPr="00090BF6">
        <w:rPr>
          <w:rStyle w:val="SCCCounselPartyRoleChar"/>
        </w:rPr>
        <w:t xml:space="preserve"> </w:t>
      </w:r>
      <w:proofErr w:type="spellStart"/>
      <w:r w:rsidR="00E55FB1" w:rsidRPr="00090BF6">
        <w:rPr>
          <w:rStyle w:val="SCCCounselPartyRoleChar"/>
        </w:rPr>
        <w:t>Olymel</w:t>
      </w:r>
      <w:proofErr w:type="spellEnd"/>
      <w:r w:rsidR="00E55FB1" w:rsidRPr="00090BF6">
        <w:rPr>
          <w:rStyle w:val="SCCCounselPartyRoleChar"/>
        </w:rPr>
        <w:t xml:space="preserve"> S.E.C., </w:t>
      </w:r>
      <w:proofErr w:type="spellStart"/>
      <w:r w:rsidR="00E55FB1" w:rsidRPr="00090BF6">
        <w:rPr>
          <w:rStyle w:val="SCCCounselPartyRoleChar"/>
        </w:rPr>
        <w:t>Exceldor</w:t>
      </w:r>
      <w:proofErr w:type="spellEnd"/>
      <w:r w:rsidR="00E55FB1" w:rsidRPr="00090BF6">
        <w:rPr>
          <w:rStyle w:val="SCCCounselPartyRoleChar"/>
        </w:rPr>
        <w:t xml:space="preserve"> </w:t>
      </w:r>
      <w:proofErr w:type="spellStart"/>
      <w:r w:rsidR="00313224" w:rsidRPr="00090BF6">
        <w:rPr>
          <w:rStyle w:val="SCCCounselPartyRoleChar"/>
        </w:rPr>
        <w:t>coopé</w:t>
      </w:r>
      <w:r w:rsidR="00E55FB1" w:rsidRPr="00090BF6">
        <w:rPr>
          <w:rStyle w:val="SCCCounselPartyRoleChar"/>
        </w:rPr>
        <w:t>rative</w:t>
      </w:r>
      <w:proofErr w:type="spellEnd"/>
      <w:r w:rsidR="00313224" w:rsidRPr="00090BF6">
        <w:rPr>
          <w:rStyle w:val="SCCCounselPartyRoleChar"/>
        </w:rPr>
        <w:t xml:space="preserve"> </w:t>
      </w:r>
      <w:proofErr w:type="spellStart"/>
      <w:r w:rsidR="00313224" w:rsidRPr="00090BF6">
        <w:rPr>
          <w:rStyle w:val="SCCCounselPartyRoleChar"/>
        </w:rPr>
        <w:t>avicole</w:t>
      </w:r>
      <w:proofErr w:type="spellEnd"/>
      <w:r w:rsidR="008310DD" w:rsidRPr="00090BF6">
        <w:rPr>
          <w:rStyle w:val="SCCCounselPartyRoleChar"/>
        </w:rPr>
        <w:t xml:space="preserve"> and </w:t>
      </w:r>
      <w:proofErr w:type="spellStart"/>
      <w:r w:rsidR="008310DD" w:rsidRPr="00090BF6">
        <w:rPr>
          <w:rStyle w:val="SCCCounselPartyRoleChar"/>
        </w:rPr>
        <w:t>Supraliment</w:t>
      </w:r>
      <w:proofErr w:type="spellEnd"/>
      <w:r w:rsidR="008310DD" w:rsidRPr="00090BF6">
        <w:rPr>
          <w:rStyle w:val="SCCCounselPartyRoleChar"/>
        </w:rPr>
        <w:t xml:space="preserve"> S.E.C</w:t>
      </w:r>
      <w:r w:rsidRPr="00090BF6">
        <w:rPr>
          <w:rStyle w:val="SCCCounselPartyRoleChar"/>
          <w:i/>
        </w:rPr>
        <w:t>.</w:t>
      </w:r>
      <w:proofErr w:type="gramEnd"/>
    </w:p>
    <w:p w:rsidR="00226F82" w:rsidRDefault="00226F82" w:rsidP="00226F82"/>
    <w:p w:rsidR="00FB297E" w:rsidRDefault="00FB297E" w:rsidP="00226F82">
      <w:r>
        <w:tab/>
        <w:t>The judgment of the Court was delivered by</w:t>
      </w:r>
    </w:p>
    <w:p w:rsidR="00FB297E" w:rsidRPr="002C5A21" w:rsidRDefault="00FB297E" w:rsidP="00FB297E">
      <w:pPr>
        <w:spacing w:line="480" w:lineRule="auto"/>
      </w:pPr>
    </w:p>
    <w:p w:rsidR="00226F82" w:rsidRPr="002C5A21" w:rsidRDefault="00FB297E" w:rsidP="00827894">
      <w:pPr>
        <w:pStyle w:val="ReasonsNumbering-AltN"/>
      </w:pPr>
      <w:proofErr w:type="spellStart"/>
      <w:r w:rsidRPr="00572B1D">
        <w:rPr>
          <w:smallCaps/>
        </w:rPr>
        <w:t>LeBel</w:t>
      </w:r>
      <w:proofErr w:type="spellEnd"/>
      <w:r w:rsidRPr="00572B1D">
        <w:rPr>
          <w:smallCaps/>
        </w:rPr>
        <w:t xml:space="preserve"> J.</w:t>
      </w:r>
      <w:r w:rsidRPr="002C5A21">
        <w:t xml:space="preserve"> — </w:t>
      </w:r>
      <w:r w:rsidR="00226F82" w:rsidRPr="002C5A21">
        <w:t>The main issue in this appeal is whether th</w:t>
      </w:r>
      <w:r w:rsidR="00226F82">
        <w:t>ree meat producers that wish to sue</w:t>
      </w:r>
      <w:r w:rsidR="00226F82" w:rsidRPr="002C5A21">
        <w:t xml:space="preserve"> the Professional Institute of th</w:t>
      </w:r>
      <w:r>
        <w:t>e Public Service of Canada (</w:t>
      </w:r>
      <w:r w:rsidR="00226F82" w:rsidRPr="002C5A21">
        <w:t xml:space="preserve">“Institute”) and </w:t>
      </w:r>
      <w:r w:rsidR="00226F82">
        <w:t>certain</w:t>
      </w:r>
      <w:r w:rsidR="00226F82" w:rsidRPr="002C5A21">
        <w:t xml:space="preserve"> veterinarians employed by </w:t>
      </w:r>
      <w:r w:rsidR="00226F82">
        <w:t xml:space="preserve">the appellant, </w:t>
      </w:r>
      <w:r w:rsidR="00226F82" w:rsidRPr="002C5A21">
        <w:t>the Canadian Food Inspection Agency (“Agency”)</w:t>
      </w:r>
      <w:r w:rsidR="00226F82">
        <w:t>, for having</w:t>
      </w:r>
      <w:r w:rsidR="00226F82" w:rsidRPr="002C5A21">
        <w:t xml:space="preserve"> disrupt</w:t>
      </w:r>
      <w:r w:rsidR="00226F82">
        <w:t>ed</w:t>
      </w:r>
      <w:r w:rsidR="00226F82" w:rsidRPr="002C5A21">
        <w:t xml:space="preserve"> the marketing of their meat must first appl</w:t>
      </w:r>
      <w:r w:rsidR="00226F82">
        <w:t>y</w:t>
      </w:r>
      <w:r w:rsidR="00226F82" w:rsidRPr="002C5A21">
        <w:t xml:space="preserve"> </w:t>
      </w:r>
      <w:r w:rsidR="00226F82">
        <w:t>to</w:t>
      </w:r>
      <w:r w:rsidR="00226F82" w:rsidRPr="002C5A21">
        <w:t xml:space="preserve"> the Federal Court of Canada for judicial review of the Agency’s decision</w:t>
      </w:r>
      <w:r w:rsidR="00226F82">
        <w:t xml:space="preserve"> to prohibit the distribution of the meat in question</w:t>
      </w:r>
      <w:r w:rsidR="00226F82" w:rsidRPr="002C5A21">
        <w:t>. Th</w:t>
      </w:r>
      <w:r w:rsidR="00226F82">
        <w:t>e</w:t>
      </w:r>
      <w:r w:rsidR="00226F82" w:rsidRPr="002C5A21">
        <w:t xml:space="preserve"> appeal also raises </w:t>
      </w:r>
      <w:r w:rsidR="00226F82">
        <w:t>the</w:t>
      </w:r>
      <w:r w:rsidR="00226F82" w:rsidRPr="002C5A21">
        <w:t xml:space="preserve"> important question whether </w:t>
      </w:r>
      <w:r w:rsidR="00226F82">
        <w:t xml:space="preserve">a decision of </w:t>
      </w:r>
      <w:r w:rsidR="00226F82" w:rsidRPr="002C5A21">
        <w:t xml:space="preserve">a federal administrative </w:t>
      </w:r>
      <w:r w:rsidR="00226F82">
        <w:t>agency that</w:t>
      </w:r>
      <w:r w:rsidR="00226F82" w:rsidRPr="002C5A21">
        <w:t xml:space="preserve"> has not been determined on judicial review</w:t>
      </w:r>
      <w:r w:rsidR="00226F82">
        <w:t xml:space="preserve"> to be unlawful or invalid</w:t>
      </w:r>
      <w:r w:rsidR="00226F82" w:rsidRPr="002C5A21">
        <w:t xml:space="preserve"> can </w:t>
      </w:r>
      <w:r w:rsidR="00226F82">
        <w:t>ground a finding</w:t>
      </w:r>
      <w:r w:rsidR="00226F82" w:rsidRPr="002C5A21">
        <w:t xml:space="preserve"> of civil liability in Quebec civil law.</w:t>
      </w:r>
    </w:p>
    <w:p w:rsidR="00226F82" w:rsidRPr="002C5A21" w:rsidRDefault="00226F82" w:rsidP="00827894">
      <w:pPr>
        <w:pStyle w:val="ReasonsNumbering-AltN"/>
      </w:pPr>
      <w:r w:rsidRPr="002C5A21">
        <w:lastRenderedPageBreak/>
        <w:t xml:space="preserve">As in the </w:t>
      </w:r>
      <w:r w:rsidRPr="00827894">
        <w:t>companion</w:t>
      </w:r>
      <w:r w:rsidRPr="002C5A21">
        <w:t xml:space="preserve"> case of </w:t>
      </w:r>
      <w:r w:rsidRPr="009C35BF">
        <w:rPr>
          <w:i/>
        </w:rPr>
        <w:t>Canada (</w:t>
      </w:r>
      <w:r w:rsidRPr="002C5A21">
        <w:rPr>
          <w:i/>
        </w:rPr>
        <w:t>Attorney General</w:t>
      </w:r>
      <w:r>
        <w:rPr>
          <w:i/>
        </w:rPr>
        <w:t>)</w:t>
      </w:r>
      <w:r w:rsidRPr="002C5A21">
        <w:rPr>
          <w:i/>
        </w:rPr>
        <w:t xml:space="preserve"> v. </w:t>
      </w:r>
      <w:proofErr w:type="spellStart"/>
      <w:r w:rsidRPr="002C5A21">
        <w:rPr>
          <w:i/>
        </w:rPr>
        <w:t>Tele</w:t>
      </w:r>
      <w:r>
        <w:rPr>
          <w:i/>
        </w:rPr>
        <w:t>Z</w:t>
      </w:r>
      <w:r w:rsidRPr="002C5A21">
        <w:rPr>
          <w:i/>
        </w:rPr>
        <w:t>one</w:t>
      </w:r>
      <w:proofErr w:type="spellEnd"/>
      <w:r w:rsidRPr="002C5A21">
        <w:rPr>
          <w:i/>
        </w:rPr>
        <w:t xml:space="preserve"> </w:t>
      </w:r>
      <w:r>
        <w:rPr>
          <w:i/>
        </w:rPr>
        <w:t>Inc.</w:t>
      </w:r>
      <w:r w:rsidRPr="002C5A21">
        <w:t xml:space="preserve">, </w:t>
      </w:r>
      <w:r>
        <w:t>2010 SCC 62,</w:t>
      </w:r>
      <w:r w:rsidR="00FB297E">
        <w:t xml:space="preserve"> [2010] 3 S.C.R. </w:t>
      </w:r>
      <w:r w:rsidR="00F673F1">
        <w:t>585</w:t>
      </w:r>
      <w:r w:rsidR="00FB297E">
        <w:t>,</w:t>
      </w:r>
      <w:r>
        <w:t xml:space="preserve"> </w:t>
      </w:r>
      <w:r w:rsidRPr="002C5A21">
        <w:t xml:space="preserve">the </w:t>
      </w:r>
      <w:r>
        <w:t>a</w:t>
      </w:r>
      <w:r w:rsidRPr="002C5A21">
        <w:t xml:space="preserve">ppellant characterizes the action for damages as a collateral attack on the administrative decision of </w:t>
      </w:r>
      <w:r>
        <w:t>a</w:t>
      </w:r>
      <w:r w:rsidRPr="002C5A21">
        <w:t xml:space="preserve"> federal </w:t>
      </w:r>
      <w:r>
        <w:t>a</w:t>
      </w:r>
      <w:r w:rsidRPr="002C5A21">
        <w:t xml:space="preserve">gency. For the reasons </w:t>
      </w:r>
      <w:r>
        <w:t>given by</w:t>
      </w:r>
      <w:r w:rsidRPr="002C5A21">
        <w:t xml:space="preserve"> </w:t>
      </w:r>
      <w:proofErr w:type="spellStart"/>
      <w:r w:rsidRPr="002C5A21">
        <w:t>Binnie</w:t>
      </w:r>
      <w:proofErr w:type="spellEnd"/>
      <w:r w:rsidRPr="002C5A21">
        <w:t xml:space="preserve"> J. in </w:t>
      </w:r>
      <w:proofErr w:type="spellStart"/>
      <w:r w:rsidRPr="002C5A21">
        <w:rPr>
          <w:i/>
        </w:rPr>
        <w:t>Tele</w:t>
      </w:r>
      <w:r>
        <w:rPr>
          <w:i/>
        </w:rPr>
        <w:t>Z</w:t>
      </w:r>
      <w:r w:rsidRPr="002C5A21">
        <w:rPr>
          <w:i/>
        </w:rPr>
        <w:t>one</w:t>
      </w:r>
      <w:proofErr w:type="spellEnd"/>
      <w:r w:rsidRPr="002C5A21">
        <w:t xml:space="preserve">, and </w:t>
      </w:r>
      <w:r>
        <w:t xml:space="preserve">for </w:t>
      </w:r>
      <w:r w:rsidRPr="002C5A21">
        <w:t xml:space="preserve">additional reasons set out below </w:t>
      </w:r>
      <w:r>
        <w:t xml:space="preserve">that relate to </w:t>
      </w:r>
      <w:proofErr w:type="spellStart"/>
      <w:r w:rsidRPr="002C5A21">
        <w:t>extracontractual</w:t>
      </w:r>
      <w:proofErr w:type="spellEnd"/>
      <w:r w:rsidRPr="002C5A21">
        <w:t xml:space="preserve"> civil liability of the federal Crown </w:t>
      </w:r>
      <w:r>
        <w:t>in the p</w:t>
      </w:r>
      <w:r w:rsidRPr="002C5A21">
        <w:t>rovince of Quebec, the objection to the jurisdiction of the Quebec Superior Court must fail. I would therefore dismiss this appeal.</w:t>
      </w:r>
    </w:p>
    <w:p w:rsidR="00226F82" w:rsidRPr="00FB297E" w:rsidRDefault="00FB297E" w:rsidP="00FB297E">
      <w:pPr>
        <w:tabs>
          <w:tab w:val="left" w:pos="720"/>
        </w:tabs>
        <w:spacing w:after="480"/>
        <w:ind w:left="720" w:hanging="720"/>
        <w:rPr>
          <w:u w:val="single"/>
        </w:rPr>
      </w:pPr>
      <w:r w:rsidRPr="00FB297E">
        <w:t>I.</w:t>
      </w:r>
      <w:r w:rsidRPr="00FB297E">
        <w:tab/>
      </w:r>
      <w:r w:rsidR="00226F82" w:rsidRPr="00FB297E">
        <w:rPr>
          <w:u w:val="single"/>
        </w:rPr>
        <w:t>Facts</w:t>
      </w:r>
    </w:p>
    <w:p w:rsidR="00226F82" w:rsidRPr="002C5A21" w:rsidRDefault="00226F82" w:rsidP="00827894">
      <w:pPr>
        <w:pStyle w:val="ReasonsNumbering-AltN"/>
        <w:rPr>
          <w:caps/>
          <w:u w:val="single"/>
        </w:rPr>
      </w:pPr>
      <w:r>
        <w:t>The r</w:t>
      </w:r>
      <w:r w:rsidRPr="002C5A21">
        <w:t xml:space="preserve">espondents </w:t>
      </w:r>
      <w:proofErr w:type="spellStart"/>
      <w:r>
        <w:t>Olymel</w:t>
      </w:r>
      <w:proofErr w:type="spellEnd"/>
      <w:r>
        <w:t xml:space="preserve"> S.E.C. and</w:t>
      </w:r>
      <w:r w:rsidRPr="002C5A21">
        <w:t xml:space="preserve"> </w:t>
      </w:r>
      <w:proofErr w:type="spellStart"/>
      <w:r w:rsidRPr="002C5A21">
        <w:t>Exceldor</w:t>
      </w:r>
      <w:proofErr w:type="spellEnd"/>
      <w:r w:rsidRPr="002C5A21">
        <w:t xml:space="preserve"> </w:t>
      </w:r>
      <w:proofErr w:type="spellStart"/>
      <w:r w:rsidR="00FB297E">
        <w:t>c</w:t>
      </w:r>
      <w:r w:rsidRPr="002C5A21">
        <w:t>oopérative</w:t>
      </w:r>
      <w:proofErr w:type="spellEnd"/>
      <w:r w:rsidRPr="002C5A21">
        <w:t xml:space="preserve"> </w:t>
      </w:r>
      <w:proofErr w:type="spellStart"/>
      <w:r w:rsidR="00FB297E">
        <w:t>a</w:t>
      </w:r>
      <w:r w:rsidRPr="002C5A21">
        <w:t>vicole</w:t>
      </w:r>
      <w:proofErr w:type="spellEnd"/>
      <w:r w:rsidRPr="002C5A21">
        <w:t xml:space="preserve"> and </w:t>
      </w:r>
      <w:r>
        <w:t xml:space="preserve">the predecessor to the respondent </w:t>
      </w:r>
      <w:proofErr w:type="spellStart"/>
      <w:r w:rsidRPr="002C5A21">
        <w:t>Su</w:t>
      </w:r>
      <w:r>
        <w:t>p</w:t>
      </w:r>
      <w:r w:rsidRPr="002C5A21">
        <w:t>raliment</w:t>
      </w:r>
      <w:proofErr w:type="spellEnd"/>
      <w:r w:rsidRPr="002C5A21">
        <w:t xml:space="preserve"> S.E.C. operated pig and poultry slaughterhouses in Quebec</w:t>
      </w:r>
      <w:r>
        <w:t xml:space="preserve"> (these three respondents will be referred to collectively as the “slaughterhouse operators”)</w:t>
      </w:r>
      <w:r w:rsidRPr="002C5A21">
        <w:t>. In each slaughterhouse, veterinarians employed by the Agency were assigned to approve the slaughter of animals and carry out ante-</w:t>
      </w:r>
      <w:r>
        <w:t xml:space="preserve"> and post-</w:t>
      </w:r>
      <w:r w:rsidRPr="002C5A21">
        <w:t>mortem inspections. The veterinarians were represented by the Institute as their bargaining agent</w:t>
      </w:r>
      <w:r>
        <w:t>, and both are respondents in this appeal</w:t>
      </w:r>
      <w:r w:rsidRPr="002C5A21">
        <w:t>.</w:t>
      </w:r>
    </w:p>
    <w:p w:rsidR="00226F82" w:rsidRPr="002C5A21" w:rsidRDefault="00226F82" w:rsidP="00827894">
      <w:pPr>
        <w:pStyle w:val="ReasonsNumbering-AltN"/>
        <w:rPr>
          <w:caps/>
          <w:u w:val="single"/>
        </w:rPr>
      </w:pPr>
      <w:r w:rsidRPr="002C5A21">
        <w:t xml:space="preserve">In December 2001, the veterinarians were involved in an ongoing labour dispute with the Agency and had been without a collective agreement for over a year. On December 17, 2001, the veterinarians did not </w:t>
      </w:r>
      <w:r>
        <w:t>report for</w:t>
      </w:r>
      <w:r w:rsidRPr="002C5A21">
        <w:t xml:space="preserve"> work. </w:t>
      </w:r>
    </w:p>
    <w:p w:rsidR="00226F82" w:rsidRPr="002C5A21" w:rsidRDefault="00226F82" w:rsidP="00827894">
      <w:pPr>
        <w:pStyle w:val="ReasonsNumbering-AltN"/>
        <w:rPr>
          <w:caps/>
          <w:u w:val="single"/>
        </w:rPr>
      </w:pPr>
      <w:r w:rsidRPr="002C5A21">
        <w:t xml:space="preserve">Four days later, the Federal Court issued an interlocutory injunction, ordering the Institute to stop causing the use of pressure tactics that prevented </w:t>
      </w:r>
      <w:r>
        <w:t xml:space="preserve">or </w:t>
      </w:r>
      <w:r>
        <w:lastRenderedPageBreak/>
        <w:t xml:space="preserve">impeded </w:t>
      </w:r>
      <w:r w:rsidRPr="002C5A21">
        <w:t xml:space="preserve">the inspections the veterinarians were required to perform in the slaughterhouses to which they were assigned under the </w:t>
      </w:r>
      <w:r w:rsidRPr="002C5A21">
        <w:rPr>
          <w:i/>
        </w:rPr>
        <w:t>Meat Inspection Regulations</w:t>
      </w:r>
      <w:r>
        <w:rPr>
          <w:i/>
        </w:rPr>
        <w:t>, 1990</w:t>
      </w:r>
      <w:r w:rsidR="00FB297E">
        <w:t>, SOR/90-288 (</w:t>
      </w:r>
      <w:r w:rsidRPr="002C5A21">
        <w:t xml:space="preserve">“Regulations”). This interlocutory injunction was not appealed. On January 30, 2002, the Public Service Labour Relations Board of Canada found that the veterinarians’ refusal to </w:t>
      </w:r>
      <w:r>
        <w:t>report for</w:t>
      </w:r>
      <w:r w:rsidRPr="002C5A21">
        <w:t xml:space="preserve"> work was tantamount to an illegal strike.</w:t>
      </w:r>
    </w:p>
    <w:p w:rsidR="00226F82" w:rsidRPr="002C5A21" w:rsidRDefault="00226F82" w:rsidP="00827894">
      <w:pPr>
        <w:pStyle w:val="ReasonsNumbering-AltN"/>
        <w:rPr>
          <w:caps/>
          <w:u w:val="single"/>
        </w:rPr>
      </w:pPr>
      <w:r w:rsidRPr="002C5A21">
        <w:t xml:space="preserve">On February 7, 2002, the </w:t>
      </w:r>
      <w:r>
        <w:t xml:space="preserve">Agency’s </w:t>
      </w:r>
      <w:r w:rsidRPr="002C5A21">
        <w:t>Executive Director for Quebec issued a d</w:t>
      </w:r>
      <w:r>
        <w:t>irection concerning</w:t>
      </w:r>
      <w:r w:rsidRPr="002C5A21">
        <w:t xml:space="preserve"> the </w:t>
      </w:r>
      <w:r>
        <w:t xml:space="preserve">release </w:t>
      </w:r>
      <w:r w:rsidRPr="002C5A21">
        <w:t xml:space="preserve">for human consumption </w:t>
      </w:r>
      <w:r>
        <w:t>to</w:t>
      </w:r>
      <w:r w:rsidRPr="002C5A21">
        <w:t xml:space="preserve"> national or international markets of meat and meat products </w:t>
      </w:r>
      <w:r>
        <w:t xml:space="preserve">derived </w:t>
      </w:r>
      <w:r w:rsidRPr="002C5A21">
        <w:t xml:space="preserve">from animals slaughtered during the work stoppage. In his opinion, since the veterinarians were not available </w:t>
      </w:r>
      <w:r>
        <w:t>to carry out</w:t>
      </w:r>
      <w:r w:rsidRPr="002C5A21">
        <w:t xml:space="preserve"> inspection</w:t>
      </w:r>
      <w:r>
        <w:t>s</w:t>
      </w:r>
      <w:r w:rsidRPr="002C5A21">
        <w:t xml:space="preserve"> </w:t>
      </w:r>
      <w:r>
        <w:t>in</w:t>
      </w:r>
      <w:r w:rsidRPr="002C5A21">
        <w:t xml:space="preserve"> the slaughterhouses during the relevant </w:t>
      </w:r>
      <w:r>
        <w:t>period</w:t>
      </w:r>
      <w:r w:rsidRPr="002C5A21">
        <w:t xml:space="preserve">, the meat and meat products did not meet the requirements of the Regulations and therefore </w:t>
      </w:r>
      <w:r>
        <w:t>had to be destroyed or disposed of as inedible material</w:t>
      </w:r>
      <w:r w:rsidRPr="002C5A21">
        <w:t xml:space="preserve">.  </w:t>
      </w:r>
    </w:p>
    <w:p w:rsidR="00226F82" w:rsidRPr="002C5A21" w:rsidRDefault="00226F82" w:rsidP="00827894">
      <w:pPr>
        <w:pStyle w:val="ReasonsNumbering-AltN"/>
      </w:pPr>
      <w:r w:rsidRPr="002C5A21">
        <w:t xml:space="preserve">The </w:t>
      </w:r>
      <w:r>
        <w:t>slaughterhouse operators</w:t>
      </w:r>
      <w:r w:rsidRPr="002C5A21">
        <w:t xml:space="preserve"> did not </w:t>
      </w:r>
      <w:r>
        <w:t>apply for</w:t>
      </w:r>
      <w:r w:rsidRPr="002C5A21">
        <w:t xml:space="preserve"> judicial review of the Agency’s d</w:t>
      </w:r>
      <w:r>
        <w:t>irection</w:t>
      </w:r>
      <w:r w:rsidRPr="002C5A21">
        <w:t>. Instead, on December 10, 2004, they commenced an action in the Quebec Superior Court</w:t>
      </w:r>
      <w:r>
        <w:t>,</w:t>
      </w:r>
      <w:r w:rsidRPr="002C5A21">
        <w:t xml:space="preserve"> seeking nearly $1.8 million </w:t>
      </w:r>
      <w:r>
        <w:t xml:space="preserve">in damages from </w:t>
      </w:r>
      <w:r w:rsidRPr="002C5A21">
        <w:t xml:space="preserve">the Institute and the veterinarians. In their </w:t>
      </w:r>
      <w:r>
        <w:t>motion to institute proceedings</w:t>
      </w:r>
      <w:r w:rsidRPr="002C5A21">
        <w:t xml:space="preserve">, the </w:t>
      </w:r>
      <w:r>
        <w:t>slaughterhouse operators</w:t>
      </w:r>
      <w:r w:rsidRPr="002C5A21">
        <w:t xml:space="preserve"> alleged that the veterinarians [</w:t>
      </w:r>
      <w:r w:rsidRPr="00B01D87">
        <w:rPr>
          <w:smallCaps/>
        </w:rPr>
        <w:t>translation</w:t>
      </w:r>
      <w:r w:rsidRPr="002C5A21">
        <w:t xml:space="preserve">] </w:t>
      </w:r>
      <w:r>
        <w:t xml:space="preserve">“knew or ought to have known that the immediate effect” of their unlawful actions </w:t>
      </w:r>
      <w:r w:rsidRPr="002C5A21">
        <w:t xml:space="preserve">on December 17, 2001, </w:t>
      </w:r>
      <w:r>
        <w:t>which</w:t>
      </w:r>
      <w:r w:rsidRPr="002C5A21">
        <w:t xml:space="preserve"> the Institute </w:t>
      </w:r>
      <w:r>
        <w:t>had</w:t>
      </w:r>
      <w:r w:rsidRPr="002C5A21">
        <w:t xml:space="preserve"> encourag</w:t>
      </w:r>
      <w:r>
        <w:t>ed, “would be to</w:t>
      </w:r>
      <w:r w:rsidRPr="002C5A21">
        <w:t xml:space="preserve"> halt slaughtering</w:t>
      </w:r>
      <w:r>
        <w:t xml:space="preserve"> and that, as a</w:t>
      </w:r>
      <w:r w:rsidRPr="002C5A21">
        <w:t xml:space="preserve"> result, after many hours, the animals w</w:t>
      </w:r>
      <w:r>
        <w:t>ould die</w:t>
      </w:r>
      <w:r w:rsidRPr="002C5A21">
        <w:t xml:space="preserve"> of thirst, hunger, or asphyxia in the pens of the supply trucks </w:t>
      </w:r>
      <w:r>
        <w:t>in which</w:t>
      </w:r>
      <w:r w:rsidRPr="002C5A21">
        <w:t xml:space="preserve"> they were </w:t>
      </w:r>
      <w:r>
        <w:t>being kept”.</w:t>
      </w:r>
      <w:r w:rsidRPr="002C5A21">
        <w:t xml:space="preserve"> The </w:t>
      </w:r>
      <w:r>
        <w:t xml:space="preserve">slaughterhouse </w:t>
      </w:r>
      <w:r>
        <w:lastRenderedPageBreak/>
        <w:t>operators</w:t>
      </w:r>
      <w:r w:rsidRPr="002C5A21">
        <w:t xml:space="preserve"> alleged that the meat </w:t>
      </w:r>
      <w:r>
        <w:t xml:space="preserve">that </w:t>
      </w:r>
      <w:r w:rsidRPr="002C5A21">
        <w:t>had not been inspected on December 17, 2001</w:t>
      </w:r>
      <w:r>
        <w:t>,</w:t>
      </w:r>
      <w:r w:rsidRPr="002C5A21">
        <w:t xml:space="preserve"> could not be distributed </w:t>
      </w:r>
      <w:r>
        <w:t>for</w:t>
      </w:r>
      <w:r w:rsidRPr="002C5A21">
        <w:t xml:space="preserve"> consumption, that their delivery and slaughter schedules were disrupted for several weeks, and that there was therefore an impact on the marketing of their meat. </w:t>
      </w:r>
    </w:p>
    <w:p w:rsidR="00226F82" w:rsidRPr="002C5A21" w:rsidRDefault="00226F82" w:rsidP="00827894">
      <w:pPr>
        <w:pStyle w:val="ReasonsNumbering-AltN"/>
      </w:pPr>
      <w:r w:rsidRPr="002C5A21">
        <w:t xml:space="preserve">In their </w:t>
      </w:r>
      <w:r>
        <w:t>d</w:t>
      </w:r>
      <w:r w:rsidRPr="002C5A21">
        <w:t>efence</w:t>
      </w:r>
      <w:r>
        <w:t>s</w:t>
      </w:r>
      <w:r w:rsidRPr="002C5A21">
        <w:t xml:space="preserve">, the Institute and the veterinarians argued that there was no causal link between the </w:t>
      </w:r>
      <w:r>
        <w:t>veterinarians’</w:t>
      </w:r>
      <w:r w:rsidRPr="002C5A21">
        <w:t xml:space="preserve"> work stoppage</w:t>
      </w:r>
      <w:r>
        <w:t xml:space="preserve"> and the alleged damage</w:t>
      </w:r>
      <w:r w:rsidRPr="002C5A21">
        <w:t xml:space="preserve">. Any such damage resulted </w:t>
      </w:r>
      <w:r>
        <w:t xml:space="preserve">not from the work stoppage, but </w:t>
      </w:r>
      <w:r w:rsidRPr="002C5A21">
        <w:t xml:space="preserve">from the decisions of the Agency not to proceed with, or </w:t>
      </w:r>
      <w:r>
        <w:t xml:space="preserve">to </w:t>
      </w:r>
      <w:r w:rsidRPr="002C5A21">
        <w:t>interrupt</w:t>
      </w:r>
      <w:r>
        <w:t>,</w:t>
      </w:r>
      <w:r w:rsidRPr="002C5A21">
        <w:t xml:space="preserve"> the slaughtering </w:t>
      </w:r>
      <w:r>
        <w:t xml:space="preserve">of the animals </w:t>
      </w:r>
      <w:r w:rsidRPr="002C5A21">
        <w:t xml:space="preserve">on December 17, 2001, and to subsequently order the destruction of the slaughtered animals. Before filing their </w:t>
      </w:r>
      <w:r>
        <w:t>d</w:t>
      </w:r>
      <w:r w:rsidRPr="002C5A21">
        <w:t>efence</w:t>
      </w:r>
      <w:r>
        <w:t>s</w:t>
      </w:r>
      <w:r w:rsidRPr="002C5A21">
        <w:t xml:space="preserve">, the Institute and the veterinarians </w:t>
      </w:r>
      <w:r>
        <w:t xml:space="preserve">had </w:t>
      </w:r>
      <w:r w:rsidRPr="002C5A21">
        <w:t xml:space="preserve">each </w:t>
      </w:r>
      <w:r>
        <w:t>called the Agency</w:t>
      </w:r>
      <w:r w:rsidRPr="002C5A21">
        <w:t xml:space="preserve"> in warranty</w:t>
      </w:r>
      <w:r>
        <w:t>,</w:t>
      </w:r>
      <w:r w:rsidRPr="002C5A21">
        <w:t xml:space="preserve"> on the same grounds, under </w:t>
      </w:r>
      <w:r>
        <w:t>art</w:t>
      </w:r>
      <w:r w:rsidRPr="002C5A21">
        <w:t>. 216 of the</w:t>
      </w:r>
      <w:r>
        <w:t xml:space="preserve"> Quebec</w:t>
      </w:r>
      <w:r w:rsidRPr="002C5A21">
        <w:t xml:space="preserve"> </w:t>
      </w:r>
      <w:r w:rsidRPr="002C5A21">
        <w:rPr>
          <w:i/>
        </w:rPr>
        <w:t>Code of Civil Procedure</w:t>
      </w:r>
      <w:r>
        <w:t>, R.S.Q., c. C-25</w:t>
      </w:r>
      <w:r w:rsidRPr="002C5A21">
        <w:t>.</w:t>
      </w:r>
    </w:p>
    <w:p w:rsidR="00226F82" w:rsidRPr="002C5A21" w:rsidRDefault="00226F82" w:rsidP="00827894">
      <w:pPr>
        <w:pStyle w:val="ReasonsNumbering-AltN"/>
      </w:pPr>
      <w:r w:rsidRPr="002C5A21">
        <w:t>In response, the Agency brought motion</w:t>
      </w:r>
      <w:r>
        <w:t>s</w:t>
      </w:r>
      <w:r w:rsidRPr="002C5A21">
        <w:t xml:space="preserve"> to dismiss the </w:t>
      </w:r>
      <w:r>
        <w:t>recourses</w:t>
      </w:r>
      <w:r w:rsidRPr="002C5A21">
        <w:t xml:space="preserve"> in warranty. </w:t>
      </w:r>
      <w:r>
        <w:t>It</w:t>
      </w:r>
      <w:r w:rsidRPr="002C5A21">
        <w:t xml:space="preserve"> argued that the d</w:t>
      </w:r>
      <w:r>
        <w:t>irection</w:t>
      </w:r>
      <w:r w:rsidRPr="002C5A21">
        <w:t xml:space="preserve"> of February 7, 2002 was a decision of a federal board </w:t>
      </w:r>
      <w:r>
        <w:t>in respect of</w:t>
      </w:r>
      <w:r w:rsidRPr="002C5A21">
        <w:t xml:space="preserve"> which the Superior Court </w:t>
      </w:r>
      <w:r>
        <w:t>could have</w:t>
      </w:r>
      <w:r w:rsidRPr="002C5A21">
        <w:t xml:space="preserve"> no jurisdiction </w:t>
      </w:r>
      <w:r>
        <w:t>unless</w:t>
      </w:r>
      <w:r w:rsidRPr="002C5A21">
        <w:t xml:space="preserve"> the decision </w:t>
      </w:r>
      <w:r>
        <w:t xml:space="preserve">was </w:t>
      </w:r>
      <w:r w:rsidRPr="002C5A21">
        <w:t xml:space="preserve">first quashed on judicial review </w:t>
      </w:r>
      <w:r>
        <w:t>by</w:t>
      </w:r>
      <w:r w:rsidRPr="002C5A21">
        <w:t xml:space="preserve"> the Federal Court. The Agency added that the </w:t>
      </w:r>
      <w:r>
        <w:t>recourses in warranty</w:t>
      </w:r>
      <w:r w:rsidRPr="002C5A21">
        <w:t xml:space="preserve"> amounted to a disguised appeal of the interlocutory injunction </w:t>
      </w:r>
      <w:r>
        <w:t>ordered by</w:t>
      </w:r>
      <w:r w:rsidRPr="002C5A21">
        <w:t xml:space="preserve"> the Federal Court of December 21, 2001, which was </w:t>
      </w:r>
      <w:r w:rsidRPr="002C5A21">
        <w:rPr>
          <w:i/>
        </w:rPr>
        <w:t xml:space="preserve">res </w:t>
      </w:r>
      <w:proofErr w:type="spellStart"/>
      <w:r w:rsidRPr="002C5A21">
        <w:rPr>
          <w:i/>
        </w:rPr>
        <w:t>judicata</w:t>
      </w:r>
      <w:proofErr w:type="spellEnd"/>
      <w:r w:rsidRPr="002C5A21">
        <w:t xml:space="preserve">, and </w:t>
      </w:r>
      <w:r>
        <w:t xml:space="preserve">that they therefore </w:t>
      </w:r>
      <w:r w:rsidRPr="002C5A21">
        <w:t xml:space="preserve">constituted an abuse of process. The Agency further </w:t>
      </w:r>
      <w:r>
        <w:t>argued</w:t>
      </w:r>
      <w:r w:rsidRPr="002C5A21">
        <w:t xml:space="preserve"> that it was not the principal of the veterinarians, but an agent of the federal Crown, and </w:t>
      </w:r>
      <w:r>
        <w:t xml:space="preserve">that it was </w:t>
      </w:r>
      <w:r w:rsidRPr="002C5A21">
        <w:t xml:space="preserve">therefore not liable for their actions. Finally, </w:t>
      </w:r>
      <w:r>
        <w:t>it</w:t>
      </w:r>
      <w:r w:rsidRPr="002C5A21">
        <w:t xml:space="preserve"> argued </w:t>
      </w:r>
      <w:r w:rsidRPr="002C5A21">
        <w:lastRenderedPageBreak/>
        <w:t xml:space="preserve">that the facts alleged by the Institute and the veterinarians in support of their </w:t>
      </w:r>
      <w:r>
        <w:t>recourses</w:t>
      </w:r>
      <w:r w:rsidRPr="002C5A21">
        <w:t xml:space="preserve"> in warranty would not support </w:t>
      </w:r>
      <w:r>
        <w:t>a</w:t>
      </w:r>
      <w:r w:rsidRPr="002C5A21">
        <w:t xml:space="preserve"> finding of </w:t>
      </w:r>
      <w:proofErr w:type="spellStart"/>
      <w:r w:rsidRPr="002C5A21">
        <w:t>extracontractual</w:t>
      </w:r>
      <w:proofErr w:type="spellEnd"/>
      <w:r w:rsidRPr="002C5A21">
        <w:t xml:space="preserve"> liability</w:t>
      </w:r>
      <w:r>
        <w:t>, since no</w:t>
      </w:r>
      <w:r w:rsidRPr="002C5A21">
        <w:t xml:space="preserve"> legal relationship </w:t>
      </w:r>
      <w:r>
        <w:t xml:space="preserve">existed </w:t>
      </w:r>
      <w:r w:rsidRPr="002C5A21">
        <w:t xml:space="preserve">between them and the </w:t>
      </w:r>
      <w:r>
        <w:t>Agency</w:t>
      </w:r>
      <w:r w:rsidRPr="002C5A21">
        <w:t>.</w:t>
      </w:r>
    </w:p>
    <w:p w:rsidR="00226F82" w:rsidRPr="002C5A21" w:rsidRDefault="00226F82" w:rsidP="00827894">
      <w:pPr>
        <w:pStyle w:val="ReasonsNumbering-AltN"/>
      </w:pPr>
      <w:r w:rsidRPr="002C5A21">
        <w:t xml:space="preserve">The </w:t>
      </w:r>
      <w:r>
        <w:t>slaughterhouse operators</w:t>
      </w:r>
      <w:r w:rsidRPr="002C5A21">
        <w:t xml:space="preserve"> made </w:t>
      </w:r>
      <w:r>
        <w:t xml:space="preserve">only </w:t>
      </w:r>
      <w:r w:rsidRPr="002C5A21">
        <w:t xml:space="preserve">brief submissions </w:t>
      </w:r>
      <w:r>
        <w:t xml:space="preserve">— </w:t>
      </w:r>
      <w:r w:rsidRPr="002C5A21">
        <w:t xml:space="preserve">at trial, on appeal and </w:t>
      </w:r>
      <w:r>
        <w:t xml:space="preserve">in </w:t>
      </w:r>
      <w:r w:rsidRPr="002C5A21">
        <w:t xml:space="preserve">this Court </w:t>
      </w:r>
      <w:r>
        <w:t>—</w:t>
      </w:r>
      <w:r w:rsidRPr="002C5A21">
        <w:t xml:space="preserve"> </w:t>
      </w:r>
      <w:r>
        <w:t>in order</w:t>
      </w:r>
      <w:r w:rsidRPr="002C5A21">
        <w:t xml:space="preserve"> to clarify certain facts. They submit</w:t>
      </w:r>
      <w:r>
        <w:t>ted</w:t>
      </w:r>
      <w:r w:rsidRPr="002C5A21">
        <w:t xml:space="preserve"> that the impugned decision of the Agency was lawful and </w:t>
      </w:r>
      <w:r>
        <w:t xml:space="preserve">was </w:t>
      </w:r>
      <w:r w:rsidRPr="002C5A21">
        <w:t xml:space="preserve">made in accordance with the existing legislation in order to protect public health and to preserve public confidence in food safety and the </w:t>
      </w:r>
      <w:r>
        <w:t xml:space="preserve">system for </w:t>
      </w:r>
      <w:r w:rsidRPr="002C5A21">
        <w:t xml:space="preserve">slaughtering </w:t>
      </w:r>
      <w:r>
        <w:t>animals</w:t>
      </w:r>
      <w:r w:rsidRPr="002C5A21">
        <w:t xml:space="preserve"> in Canada. If the Institute or the veterinarians considered the </w:t>
      </w:r>
      <w:r>
        <w:t xml:space="preserve">Agency’s </w:t>
      </w:r>
      <w:r w:rsidRPr="002C5A21">
        <w:t>decision to be wrong, they should have a</w:t>
      </w:r>
      <w:r>
        <w:t>pplied for</w:t>
      </w:r>
      <w:r w:rsidRPr="002C5A21">
        <w:t xml:space="preserve"> judicial review, which they did not do.</w:t>
      </w:r>
    </w:p>
    <w:p w:rsidR="00226F82" w:rsidRPr="002B58EC" w:rsidRDefault="00226F82" w:rsidP="00FB297E">
      <w:pPr>
        <w:tabs>
          <w:tab w:val="left" w:pos="720"/>
        </w:tabs>
        <w:spacing w:after="480"/>
        <w:ind w:left="720" w:hanging="720"/>
        <w:rPr>
          <w:caps/>
        </w:rPr>
      </w:pPr>
      <w:r w:rsidRPr="002B58EC">
        <w:rPr>
          <w:caps/>
        </w:rPr>
        <w:t>II.</w:t>
      </w:r>
      <w:r w:rsidR="00FB297E">
        <w:rPr>
          <w:caps/>
        </w:rPr>
        <w:tab/>
      </w:r>
      <w:r w:rsidRPr="002B58EC">
        <w:rPr>
          <w:u w:val="single"/>
        </w:rPr>
        <w:t>Judicial History</w:t>
      </w:r>
    </w:p>
    <w:p w:rsidR="00226F82" w:rsidRPr="00FB297E" w:rsidRDefault="00FB297E" w:rsidP="00FB297E">
      <w:pPr>
        <w:tabs>
          <w:tab w:val="left" w:pos="720"/>
        </w:tabs>
        <w:spacing w:after="480"/>
        <w:ind w:left="720" w:hanging="720"/>
        <w:rPr>
          <w:i/>
        </w:rPr>
      </w:pPr>
      <w:r w:rsidRPr="00FB297E">
        <w:t>A.</w:t>
      </w:r>
      <w:r>
        <w:rPr>
          <w:i/>
        </w:rPr>
        <w:tab/>
      </w:r>
      <w:r w:rsidR="00226F82" w:rsidRPr="00FB297E">
        <w:rPr>
          <w:i/>
        </w:rPr>
        <w:t>Quebec Superior Court (</w:t>
      </w:r>
      <w:proofErr w:type="spellStart"/>
      <w:r w:rsidR="00226F82" w:rsidRPr="00FB297E">
        <w:rPr>
          <w:i/>
        </w:rPr>
        <w:t>Barakett</w:t>
      </w:r>
      <w:proofErr w:type="spellEnd"/>
      <w:r w:rsidR="00226F82" w:rsidRPr="00FB297E">
        <w:rPr>
          <w:i/>
        </w:rPr>
        <w:t xml:space="preserve"> J.), 2007 QCCS 1791 (</w:t>
      </w:r>
      <w:proofErr w:type="spellStart"/>
      <w:r w:rsidR="00226F82" w:rsidRPr="00FB297E">
        <w:rPr>
          <w:i/>
        </w:rPr>
        <w:t>CanLII</w:t>
      </w:r>
      <w:proofErr w:type="spellEnd"/>
      <w:r w:rsidR="00226F82" w:rsidRPr="00FB297E">
        <w:rPr>
          <w:i/>
        </w:rPr>
        <w:t xml:space="preserve">) </w:t>
      </w:r>
    </w:p>
    <w:p w:rsidR="00226F82" w:rsidRPr="002C5A21" w:rsidRDefault="00226F82" w:rsidP="00827894">
      <w:pPr>
        <w:pStyle w:val="ReasonsNumbering-AltN"/>
        <w:rPr>
          <w:lang w:val="en-US"/>
        </w:rPr>
      </w:pPr>
      <w:proofErr w:type="spellStart"/>
      <w:r w:rsidRPr="002C5A21">
        <w:rPr>
          <w:lang w:val="en-US"/>
        </w:rPr>
        <w:t>Barakett</w:t>
      </w:r>
      <w:proofErr w:type="spellEnd"/>
      <w:r w:rsidRPr="002C5A21">
        <w:rPr>
          <w:lang w:val="en-US"/>
        </w:rPr>
        <w:t xml:space="preserve"> J. </w:t>
      </w:r>
      <w:r>
        <w:rPr>
          <w:lang w:val="en-US"/>
        </w:rPr>
        <w:t>dismissed</w:t>
      </w:r>
      <w:r w:rsidRPr="002C5A21">
        <w:rPr>
          <w:lang w:val="en-US"/>
        </w:rPr>
        <w:t xml:space="preserve"> the </w:t>
      </w:r>
      <w:r w:rsidRPr="00827894">
        <w:t>Agency’s</w:t>
      </w:r>
      <w:r w:rsidRPr="002C5A21">
        <w:rPr>
          <w:lang w:val="en-US"/>
        </w:rPr>
        <w:t xml:space="preserve"> motion</w:t>
      </w:r>
      <w:r>
        <w:rPr>
          <w:lang w:val="en-US"/>
        </w:rPr>
        <w:t>s</w:t>
      </w:r>
      <w:r w:rsidRPr="002C5A21">
        <w:rPr>
          <w:lang w:val="en-US"/>
        </w:rPr>
        <w:t xml:space="preserve"> to dismiss the </w:t>
      </w:r>
      <w:r>
        <w:rPr>
          <w:lang w:val="en-US"/>
        </w:rPr>
        <w:t>recourses</w:t>
      </w:r>
      <w:r w:rsidRPr="002C5A21">
        <w:rPr>
          <w:lang w:val="en-US"/>
        </w:rPr>
        <w:t xml:space="preserve"> in warranty. In his opinion, for the purposes of art</w:t>
      </w:r>
      <w:r>
        <w:rPr>
          <w:lang w:val="en-US"/>
        </w:rPr>
        <w:t>.</w:t>
      </w:r>
      <w:r w:rsidRPr="002C5A21">
        <w:rPr>
          <w:lang w:val="en-US"/>
        </w:rPr>
        <w:t xml:space="preserve"> 216 of the Quebec </w:t>
      </w:r>
      <w:r w:rsidRPr="002C5A21">
        <w:rPr>
          <w:i/>
          <w:lang w:val="en-US"/>
        </w:rPr>
        <w:t>Code of Civil Procedure</w:t>
      </w:r>
      <w:r w:rsidRPr="002C5A21">
        <w:rPr>
          <w:lang w:val="en-US"/>
        </w:rPr>
        <w:t xml:space="preserve">, </w:t>
      </w:r>
      <w:proofErr w:type="gramStart"/>
      <w:r w:rsidRPr="002C5A21">
        <w:rPr>
          <w:lang w:val="en-US"/>
        </w:rPr>
        <w:t>a recourse</w:t>
      </w:r>
      <w:proofErr w:type="gramEnd"/>
      <w:r w:rsidRPr="002C5A21">
        <w:rPr>
          <w:lang w:val="en-US"/>
        </w:rPr>
        <w:t xml:space="preserve"> in warranty requires the existence of a legal relationship between the plaintiff and </w:t>
      </w:r>
      <w:r>
        <w:rPr>
          <w:lang w:val="en-US"/>
        </w:rPr>
        <w:t xml:space="preserve">the </w:t>
      </w:r>
      <w:r w:rsidRPr="002C5A21">
        <w:rPr>
          <w:lang w:val="en-US"/>
        </w:rPr>
        <w:t>third part</w:t>
      </w:r>
      <w:r>
        <w:rPr>
          <w:lang w:val="en-US"/>
        </w:rPr>
        <w:t>y</w:t>
      </w:r>
      <w:r w:rsidRPr="002C5A21">
        <w:rPr>
          <w:lang w:val="en-US"/>
        </w:rPr>
        <w:t xml:space="preserve"> and a nexus between the recourse in warranty and the </w:t>
      </w:r>
      <w:r>
        <w:rPr>
          <w:lang w:val="en-US"/>
        </w:rPr>
        <w:t>principal action</w:t>
      </w:r>
      <w:r w:rsidRPr="002C5A21">
        <w:rPr>
          <w:lang w:val="en-US"/>
        </w:rPr>
        <w:t xml:space="preserve"> such that they c</w:t>
      </w:r>
      <w:r>
        <w:rPr>
          <w:lang w:val="en-US"/>
        </w:rPr>
        <w:t>annot</w:t>
      </w:r>
      <w:r w:rsidRPr="002C5A21">
        <w:rPr>
          <w:lang w:val="en-US"/>
        </w:rPr>
        <w:t xml:space="preserve"> proceed in different courts without </w:t>
      </w:r>
      <w:r>
        <w:rPr>
          <w:lang w:val="en-US"/>
        </w:rPr>
        <w:t xml:space="preserve">a </w:t>
      </w:r>
      <w:r w:rsidRPr="002C5A21">
        <w:rPr>
          <w:lang w:val="en-US"/>
        </w:rPr>
        <w:t xml:space="preserve">risk of contradictory judgments. The </w:t>
      </w:r>
      <w:r>
        <w:rPr>
          <w:lang w:val="en-US"/>
        </w:rPr>
        <w:t>motion</w:t>
      </w:r>
      <w:r w:rsidRPr="002C5A21">
        <w:rPr>
          <w:lang w:val="en-US"/>
        </w:rPr>
        <w:t xml:space="preserve"> judge concluded that </w:t>
      </w:r>
      <w:r>
        <w:rPr>
          <w:lang w:val="en-US"/>
        </w:rPr>
        <w:t xml:space="preserve">the existence of </w:t>
      </w:r>
      <w:r w:rsidRPr="002C5A21">
        <w:rPr>
          <w:lang w:val="en-US"/>
        </w:rPr>
        <w:t xml:space="preserve">such </w:t>
      </w:r>
      <w:r>
        <w:rPr>
          <w:lang w:val="en-US"/>
        </w:rPr>
        <w:t xml:space="preserve">a </w:t>
      </w:r>
      <w:r w:rsidRPr="002C5A21">
        <w:rPr>
          <w:lang w:val="en-US"/>
        </w:rPr>
        <w:t xml:space="preserve">legal relationship between the Institute, the veterinarians and the Agency had been established. The Agency </w:t>
      </w:r>
      <w:r>
        <w:rPr>
          <w:lang w:val="en-US"/>
        </w:rPr>
        <w:t>had, by</w:t>
      </w:r>
      <w:r w:rsidRPr="002C5A21">
        <w:rPr>
          <w:lang w:val="en-US"/>
        </w:rPr>
        <w:t xml:space="preserve"> its fault, </w:t>
      </w:r>
      <w:r>
        <w:rPr>
          <w:lang w:val="en-US"/>
        </w:rPr>
        <w:t>contributed to</w:t>
      </w:r>
      <w:r w:rsidRPr="002C5A21">
        <w:rPr>
          <w:lang w:val="en-US"/>
        </w:rPr>
        <w:t xml:space="preserve"> the damage alleged by the </w:t>
      </w:r>
      <w:r>
        <w:rPr>
          <w:lang w:val="en-US"/>
        </w:rPr>
        <w:t>slaughterhouse operators</w:t>
      </w:r>
      <w:r w:rsidRPr="002C5A21">
        <w:rPr>
          <w:lang w:val="en-US"/>
        </w:rPr>
        <w:t xml:space="preserve"> and was therefore</w:t>
      </w:r>
      <w:r>
        <w:rPr>
          <w:lang w:val="en-US"/>
        </w:rPr>
        <w:t>,</w:t>
      </w:r>
      <w:r w:rsidRPr="002C5A21">
        <w:rPr>
          <w:lang w:val="en-US"/>
        </w:rPr>
        <w:t xml:space="preserve"> </w:t>
      </w:r>
      <w:r w:rsidRPr="002C5A21">
        <w:rPr>
          <w:i/>
          <w:lang w:val="en-US"/>
        </w:rPr>
        <w:t>prima facie</w:t>
      </w:r>
      <w:r>
        <w:rPr>
          <w:lang w:val="en-US"/>
        </w:rPr>
        <w:t>,</w:t>
      </w:r>
      <w:r w:rsidRPr="002C5A21">
        <w:rPr>
          <w:lang w:val="en-US"/>
        </w:rPr>
        <w:t xml:space="preserve"> </w:t>
      </w:r>
      <w:proofErr w:type="spellStart"/>
      <w:r>
        <w:rPr>
          <w:lang w:val="en-US"/>
        </w:rPr>
        <w:t>solidarily</w:t>
      </w:r>
      <w:proofErr w:type="spellEnd"/>
      <w:r>
        <w:rPr>
          <w:lang w:val="en-US"/>
        </w:rPr>
        <w:t xml:space="preserve"> </w:t>
      </w:r>
      <w:r w:rsidRPr="002C5A21">
        <w:rPr>
          <w:lang w:val="en-US"/>
        </w:rPr>
        <w:t xml:space="preserve">liable with the </w:t>
      </w:r>
      <w:r w:rsidRPr="002C5A21">
        <w:rPr>
          <w:lang w:val="en-US"/>
        </w:rPr>
        <w:lastRenderedPageBreak/>
        <w:t>Institute and veterinarians for th</w:t>
      </w:r>
      <w:r>
        <w:rPr>
          <w:lang w:val="en-US"/>
        </w:rPr>
        <w:t>at</w:t>
      </w:r>
      <w:r w:rsidRPr="002C5A21">
        <w:rPr>
          <w:lang w:val="en-US"/>
        </w:rPr>
        <w:t xml:space="preserve"> damage. In addition, the </w:t>
      </w:r>
      <w:r>
        <w:rPr>
          <w:lang w:val="en-US"/>
        </w:rPr>
        <w:t>recourses</w:t>
      </w:r>
      <w:r w:rsidRPr="002C5A21">
        <w:rPr>
          <w:lang w:val="en-US"/>
        </w:rPr>
        <w:t xml:space="preserve"> in warranty and the </w:t>
      </w:r>
      <w:r>
        <w:rPr>
          <w:lang w:val="en-US"/>
        </w:rPr>
        <w:t>principal</w:t>
      </w:r>
      <w:r w:rsidRPr="002C5A21">
        <w:rPr>
          <w:lang w:val="en-US"/>
        </w:rPr>
        <w:t xml:space="preserve"> action were </w:t>
      </w:r>
      <w:proofErr w:type="gramStart"/>
      <w:r>
        <w:rPr>
          <w:lang w:val="en-US"/>
        </w:rPr>
        <w:t>related,</w:t>
      </w:r>
      <w:proofErr w:type="gramEnd"/>
      <w:r w:rsidRPr="002C5A21">
        <w:rPr>
          <w:lang w:val="en-US"/>
        </w:rPr>
        <w:t xml:space="preserve"> as they both </w:t>
      </w:r>
      <w:r>
        <w:rPr>
          <w:lang w:val="en-US"/>
        </w:rPr>
        <w:t>concerned</w:t>
      </w:r>
      <w:r w:rsidRPr="002C5A21">
        <w:rPr>
          <w:lang w:val="en-US"/>
        </w:rPr>
        <w:t xml:space="preserve"> the same facts</w:t>
      </w:r>
      <w:r>
        <w:rPr>
          <w:lang w:val="en-US"/>
        </w:rPr>
        <w:t xml:space="preserve">, and there would be a </w:t>
      </w:r>
      <w:r w:rsidRPr="002C5A21">
        <w:rPr>
          <w:lang w:val="en-US"/>
        </w:rPr>
        <w:t xml:space="preserve">risk of contradictory judgments </w:t>
      </w:r>
      <w:r>
        <w:rPr>
          <w:lang w:val="en-US"/>
        </w:rPr>
        <w:t>should</w:t>
      </w:r>
      <w:r w:rsidRPr="002C5A21">
        <w:rPr>
          <w:lang w:val="en-US"/>
        </w:rPr>
        <w:t xml:space="preserve"> the claims proceed separately. The </w:t>
      </w:r>
      <w:r>
        <w:rPr>
          <w:lang w:val="en-US"/>
        </w:rPr>
        <w:t>motion</w:t>
      </w:r>
      <w:r w:rsidRPr="002C5A21">
        <w:rPr>
          <w:lang w:val="en-US"/>
        </w:rPr>
        <w:t xml:space="preserve"> judge found that, in any event, the presence of the Agency was necessary to </w:t>
      </w:r>
      <w:r>
        <w:rPr>
          <w:lang w:val="en-US"/>
        </w:rPr>
        <w:t xml:space="preserve">permit </w:t>
      </w:r>
      <w:r w:rsidRPr="002C5A21">
        <w:rPr>
          <w:lang w:val="en-US"/>
        </w:rPr>
        <w:t>a complete solution of the question involved in the action within the meaning of art</w:t>
      </w:r>
      <w:r>
        <w:rPr>
          <w:lang w:val="en-US"/>
        </w:rPr>
        <w:t>.</w:t>
      </w:r>
      <w:r w:rsidRPr="002C5A21">
        <w:rPr>
          <w:lang w:val="en-US"/>
        </w:rPr>
        <w:t xml:space="preserve"> 216.  </w:t>
      </w:r>
    </w:p>
    <w:p w:rsidR="00226F82" w:rsidRPr="002C5A21" w:rsidRDefault="00226F82" w:rsidP="00827894">
      <w:pPr>
        <w:pStyle w:val="ReasonsNumbering-AltN"/>
        <w:rPr>
          <w:lang w:val="en-US"/>
        </w:rPr>
      </w:pPr>
      <w:proofErr w:type="spellStart"/>
      <w:r>
        <w:rPr>
          <w:lang w:val="en-US"/>
        </w:rPr>
        <w:t>Barakett</w:t>
      </w:r>
      <w:proofErr w:type="spellEnd"/>
      <w:r>
        <w:rPr>
          <w:lang w:val="en-US"/>
        </w:rPr>
        <w:t xml:space="preserve"> J.</w:t>
      </w:r>
      <w:r w:rsidRPr="002C5A21">
        <w:rPr>
          <w:lang w:val="en-US"/>
        </w:rPr>
        <w:t xml:space="preserve"> rejected the Agency’s argument </w:t>
      </w:r>
      <w:r>
        <w:rPr>
          <w:lang w:val="en-US"/>
        </w:rPr>
        <w:t xml:space="preserve">— based on the fact </w:t>
      </w:r>
      <w:r w:rsidRPr="002C5A21">
        <w:rPr>
          <w:lang w:val="en-US"/>
        </w:rPr>
        <w:t xml:space="preserve">that administrative decisions of a federal board are </w:t>
      </w:r>
      <w:r w:rsidRPr="00827894">
        <w:t>presumed</w:t>
      </w:r>
      <w:r w:rsidRPr="002C5A21">
        <w:rPr>
          <w:lang w:val="en-US"/>
        </w:rPr>
        <w:t xml:space="preserve"> to be legal and valid unless quashed on judicial review by the Federal Court </w:t>
      </w:r>
      <w:r>
        <w:rPr>
          <w:lang w:val="en-US"/>
        </w:rPr>
        <w:t xml:space="preserve">— that such a decision </w:t>
      </w:r>
      <w:r w:rsidRPr="002C5A21">
        <w:rPr>
          <w:lang w:val="en-US"/>
        </w:rPr>
        <w:t xml:space="preserve">cannot be the basis </w:t>
      </w:r>
      <w:r>
        <w:rPr>
          <w:lang w:val="en-US"/>
        </w:rPr>
        <w:t xml:space="preserve">for a finding </w:t>
      </w:r>
      <w:r w:rsidRPr="002C5A21">
        <w:rPr>
          <w:lang w:val="en-US"/>
        </w:rPr>
        <w:t xml:space="preserve">of civil liability </w:t>
      </w:r>
      <w:r>
        <w:rPr>
          <w:lang w:val="en-US"/>
        </w:rPr>
        <w:t>against</w:t>
      </w:r>
      <w:r w:rsidRPr="002C5A21">
        <w:rPr>
          <w:lang w:val="en-US"/>
        </w:rPr>
        <w:t xml:space="preserve"> the federal Crown. </w:t>
      </w:r>
      <w:r>
        <w:rPr>
          <w:lang w:val="en-US"/>
        </w:rPr>
        <w:t>He</w:t>
      </w:r>
      <w:r w:rsidRPr="002C5A21">
        <w:rPr>
          <w:lang w:val="en-US"/>
        </w:rPr>
        <w:t xml:space="preserve"> noted that </w:t>
      </w:r>
      <w:r>
        <w:rPr>
          <w:lang w:val="en-US"/>
        </w:rPr>
        <w:t xml:space="preserve">a </w:t>
      </w:r>
      <w:r w:rsidRPr="002C5A21">
        <w:rPr>
          <w:lang w:val="en-US"/>
        </w:rPr>
        <w:t xml:space="preserve">decision of </w:t>
      </w:r>
      <w:r>
        <w:rPr>
          <w:lang w:val="en-US"/>
        </w:rPr>
        <w:t>a</w:t>
      </w:r>
      <w:r w:rsidRPr="002C5A21">
        <w:rPr>
          <w:lang w:val="en-US"/>
        </w:rPr>
        <w:t xml:space="preserve"> federal board c</w:t>
      </w:r>
      <w:r>
        <w:rPr>
          <w:lang w:val="en-US"/>
        </w:rPr>
        <w:t>an</w:t>
      </w:r>
      <w:r w:rsidRPr="002C5A21">
        <w:rPr>
          <w:lang w:val="en-US"/>
        </w:rPr>
        <w:t xml:space="preserve"> constitute a civil fault and form the basis </w:t>
      </w:r>
      <w:r>
        <w:rPr>
          <w:lang w:val="en-US"/>
        </w:rPr>
        <w:t>for</w:t>
      </w:r>
      <w:r w:rsidRPr="002C5A21">
        <w:rPr>
          <w:lang w:val="en-US"/>
        </w:rPr>
        <w:t xml:space="preserve"> an action </w:t>
      </w:r>
      <w:r>
        <w:rPr>
          <w:lang w:val="en-US"/>
        </w:rPr>
        <w:t>in</w:t>
      </w:r>
      <w:r w:rsidRPr="002C5A21">
        <w:rPr>
          <w:lang w:val="en-US"/>
        </w:rPr>
        <w:t xml:space="preserve"> damages in the Superior Court</w:t>
      </w:r>
      <w:r>
        <w:rPr>
          <w:lang w:val="en-US"/>
        </w:rPr>
        <w:t xml:space="preserve"> even if it is lawful and valid</w:t>
      </w:r>
      <w:r w:rsidRPr="002C5A21">
        <w:rPr>
          <w:lang w:val="en-US"/>
        </w:rPr>
        <w:t xml:space="preserve">. </w:t>
      </w:r>
    </w:p>
    <w:p w:rsidR="00226F82" w:rsidRPr="002C5A21" w:rsidRDefault="00226F82" w:rsidP="00827894">
      <w:pPr>
        <w:pStyle w:val="ReasonsNumbering-AltN"/>
        <w:rPr>
          <w:lang w:val="en-US"/>
        </w:rPr>
      </w:pPr>
      <w:r w:rsidRPr="002C5A21">
        <w:rPr>
          <w:lang w:val="en-US"/>
        </w:rPr>
        <w:t xml:space="preserve">Finally, </w:t>
      </w:r>
      <w:proofErr w:type="spellStart"/>
      <w:r>
        <w:rPr>
          <w:lang w:val="en-US"/>
        </w:rPr>
        <w:t>Barakett</w:t>
      </w:r>
      <w:proofErr w:type="spellEnd"/>
      <w:r>
        <w:rPr>
          <w:lang w:val="en-US"/>
        </w:rPr>
        <w:t xml:space="preserve"> J.</w:t>
      </w:r>
      <w:r w:rsidRPr="002C5A21">
        <w:rPr>
          <w:lang w:val="en-US"/>
        </w:rPr>
        <w:t xml:space="preserve"> held that the Agency acted as principal of its veterinarians and</w:t>
      </w:r>
      <w:r>
        <w:rPr>
          <w:lang w:val="en-US"/>
        </w:rPr>
        <w:t xml:space="preserve"> that</w:t>
      </w:r>
      <w:r w:rsidRPr="002C5A21">
        <w:rPr>
          <w:lang w:val="en-US"/>
        </w:rPr>
        <w:t xml:space="preserve">, in any event, </w:t>
      </w:r>
      <w:r>
        <w:rPr>
          <w:lang w:val="en-US"/>
        </w:rPr>
        <w:t xml:space="preserve">a finding </w:t>
      </w:r>
      <w:r w:rsidRPr="00827894">
        <w:t>that</w:t>
      </w:r>
      <w:r w:rsidRPr="002C5A21">
        <w:rPr>
          <w:lang w:val="en-US"/>
        </w:rPr>
        <w:t xml:space="preserve"> </w:t>
      </w:r>
      <w:r>
        <w:rPr>
          <w:lang w:val="en-US"/>
        </w:rPr>
        <w:t>it did not so act</w:t>
      </w:r>
      <w:r w:rsidRPr="002C5A21">
        <w:rPr>
          <w:lang w:val="en-US"/>
        </w:rPr>
        <w:t xml:space="preserve"> would not </w:t>
      </w:r>
      <w:r>
        <w:rPr>
          <w:lang w:val="en-US"/>
        </w:rPr>
        <w:t xml:space="preserve">on its own </w:t>
      </w:r>
      <w:r w:rsidRPr="002C5A21">
        <w:rPr>
          <w:lang w:val="en-US"/>
        </w:rPr>
        <w:t xml:space="preserve">justify dismissing the </w:t>
      </w:r>
      <w:r>
        <w:rPr>
          <w:lang w:val="en-US"/>
        </w:rPr>
        <w:t>recourses</w:t>
      </w:r>
      <w:r w:rsidRPr="002C5A21">
        <w:rPr>
          <w:lang w:val="en-US"/>
        </w:rPr>
        <w:t xml:space="preserve"> in warranty at this preliminary stage. Relying on ss</w:t>
      </w:r>
      <w:r>
        <w:rPr>
          <w:lang w:val="en-US"/>
        </w:rPr>
        <w:t>.</w:t>
      </w:r>
      <w:r w:rsidRPr="002C5A21">
        <w:rPr>
          <w:lang w:val="en-US"/>
        </w:rPr>
        <w:t xml:space="preserve"> 12 and 13 of the </w:t>
      </w:r>
      <w:r w:rsidRPr="002C5A21">
        <w:rPr>
          <w:i/>
          <w:lang w:val="en-US"/>
        </w:rPr>
        <w:t>Canadian Food Inspection Agency Act</w:t>
      </w:r>
      <w:r w:rsidRPr="002C5A21">
        <w:rPr>
          <w:lang w:val="en-US"/>
        </w:rPr>
        <w:t xml:space="preserve">, </w:t>
      </w:r>
      <w:r w:rsidRPr="002C5A21">
        <w:t>S.</w:t>
      </w:r>
      <w:r>
        <w:t>C.</w:t>
      </w:r>
      <w:r w:rsidRPr="002C5A21">
        <w:t xml:space="preserve"> 1997, c. 6, </w:t>
      </w:r>
      <w:r>
        <w:t>he</w:t>
      </w:r>
      <w:r w:rsidRPr="002C5A21">
        <w:rPr>
          <w:lang w:val="en-US"/>
        </w:rPr>
        <w:t xml:space="preserve"> held that the Agency </w:t>
      </w:r>
      <w:r>
        <w:rPr>
          <w:lang w:val="en-US"/>
        </w:rPr>
        <w:t>acted as</w:t>
      </w:r>
      <w:r w:rsidRPr="002C5A21">
        <w:rPr>
          <w:lang w:val="en-US"/>
        </w:rPr>
        <w:t xml:space="preserve"> </w:t>
      </w:r>
      <w:r w:rsidRPr="002C5A21">
        <w:rPr>
          <w:i/>
          <w:lang w:val="en-US"/>
        </w:rPr>
        <w:t>de facto</w:t>
      </w:r>
      <w:r w:rsidRPr="002C5A21">
        <w:rPr>
          <w:lang w:val="en-US"/>
        </w:rPr>
        <w:t xml:space="preserve"> principal with respect to its employees. </w:t>
      </w:r>
      <w:r>
        <w:rPr>
          <w:lang w:val="en-US"/>
        </w:rPr>
        <w:t xml:space="preserve">He </w:t>
      </w:r>
      <w:r w:rsidRPr="002C5A21">
        <w:rPr>
          <w:lang w:val="en-US"/>
        </w:rPr>
        <w:t xml:space="preserve">also </w:t>
      </w:r>
      <w:r>
        <w:rPr>
          <w:lang w:val="en-US"/>
        </w:rPr>
        <w:t xml:space="preserve">found </w:t>
      </w:r>
      <w:r w:rsidRPr="002C5A21">
        <w:rPr>
          <w:lang w:val="en-US"/>
        </w:rPr>
        <w:t>support</w:t>
      </w:r>
      <w:r>
        <w:rPr>
          <w:lang w:val="en-US"/>
        </w:rPr>
        <w:t xml:space="preserve"> for</w:t>
      </w:r>
      <w:r w:rsidRPr="002C5A21">
        <w:rPr>
          <w:lang w:val="en-US"/>
        </w:rPr>
        <w:t xml:space="preserve"> the view that the Agency could be sued in its own name</w:t>
      </w:r>
      <w:r>
        <w:rPr>
          <w:lang w:val="en-US"/>
        </w:rPr>
        <w:t xml:space="preserve"> in</w:t>
      </w:r>
      <w:r w:rsidRPr="002C5A21">
        <w:rPr>
          <w:lang w:val="en-US"/>
        </w:rPr>
        <w:t xml:space="preserve"> </w:t>
      </w:r>
      <w:r>
        <w:rPr>
          <w:lang w:val="en-US"/>
        </w:rPr>
        <w:t>t</w:t>
      </w:r>
      <w:r w:rsidRPr="002C5A21">
        <w:rPr>
          <w:lang w:val="en-US"/>
        </w:rPr>
        <w:t xml:space="preserve">he </w:t>
      </w:r>
      <w:r w:rsidRPr="002C5A21">
        <w:rPr>
          <w:i/>
          <w:lang w:val="en-US"/>
        </w:rPr>
        <w:t>Crown Liability and Proceedings Act</w:t>
      </w:r>
      <w:r w:rsidRPr="002C5A21">
        <w:rPr>
          <w:lang w:val="en-US"/>
        </w:rPr>
        <w:t>, R.S.C. 1985, c. C-50</w:t>
      </w:r>
      <w:r>
        <w:rPr>
          <w:lang w:val="en-US"/>
        </w:rPr>
        <w:t>,</w:t>
      </w:r>
      <w:r w:rsidRPr="002C5A21">
        <w:rPr>
          <w:lang w:val="en-US"/>
        </w:rPr>
        <w:t xml:space="preserve"> and </w:t>
      </w:r>
      <w:r>
        <w:rPr>
          <w:lang w:val="en-US"/>
        </w:rPr>
        <w:t xml:space="preserve">in </w:t>
      </w:r>
      <w:r w:rsidRPr="002C5A21">
        <w:rPr>
          <w:lang w:val="en-US"/>
        </w:rPr>
        <w:t>s</w:t>
      </w:r>
      <w:r>
        <w:rPr>
          <w:lang w:val="en-US"/>
        </w:rPr>
        <w:t>.</w:t>
      </w:r>
      <w:r w:rsidRPr="002C5A21">
        <w:rPr>
          <w:lang w:val="en-US"/>
        </w:rPr>
        <w:t xml:space="preserve"> 15 of the </w:t>
      </w:r>
      <w:r w:rsidRPr="002C5A21">
        <w:rPr>
          <w:i/>
          <w:lang w:val="en-US"/>
        </w:rPr>
        <w:t>Canadian Food Inspection Agency Act</w:t>
      </w:r>
      <w:r w:rsidRPr="002C5A21">
        <w:rPr>
          <w:lang w:val="en-US"/>
        </w:rPr>
        <w:t xml:space="preserve">.     </w:t>
      </w:r>
    </w:p>
    <w:p w:rsidR="00226F82" w:rsidRDefault="00226F82" w:rsidP="00FB297E">
      <w:pPr>
        <w:tabs>
          <w:tab w:val="left" w:pos="720"/>
        </w:tabs>
        <w:spacing w:after="480"/>
        <w:ind w:left="720" w:hanging="720"/>
        <w:rPr>
          <w:i/>
        </w:rPr>
      </w:pPr>
      <w:r w:rsidRPr="007209D3">
        <w:lastRenderedPageBreak/>
        <w:t>B.</w:t>
      </w:r>
      <w:r w:rsidR="00FB297E">
        <w:rPr>
          <w:i/>
        </w:rPr>
        <w:tab/>
      </w:r>
      <w:r>
        <w:rPr>
          <w:i/>
        </w:rPr>
        <w:t xml:space="preserve">Quebec </w:t>
      </w:r>
      <w:r w:rsidRPr="007209D3">
        <w:rPr>
          <w:i/>
        </w:rPr>
        <w:t>Court of Appeal (</w:t>
      </w:r>
      <w:proofErr w:type="spellStart"/>
      <w:r w:rsidRPr="007209D3">
        <w:rPr>
          <w:i/>
        </w:rPr>
        <w:t>Rochette</w:t>
      </w:r>
      <w:proofErr w:type="spellEnd"/>
      <w:r w:rsidRPr="007209D3">
        <w:rPr>
          <w:i/>
        </w:rPr>
        <w:t>, Pelletier</w:t>
      </w:r>
      <w:r w:rsidR="00F673F1">
        <w:rPr>
          <w:i/>
        </w:rPr>
        <w:t xml:space="preserve"> and</w:t>
      </w:r>
      <w:r w:rsidRPr="007209D3">
        <w:rPr>
          <w:i/>
        </w:rPr>
        <w:t xml:space="preserve"> V</w:t>
      </w:r>
      <w:proofErr w:type="spellStart"/>
      <w:r w:rsidRPr="007209D3">
        <w:rPr>
          <w:i/>
          <w:lang w:val="en-US"/>
        </w:rPr>
        <w:t>ézina</w:t>
      </w:r>
      <w:proofErr w:type="spellEnd"/>
      <w:r w:rsidRPr="007209D3">
        <w:rPr>
          <w:i/>
          <w:lang w:val="en-US"/>
        </w:rPr>
        <w:t xml:space="preserve"> </w:t>
      </w:r>
      <w:r w:rsidRPr="007209D3">
        <w:rPr>
          <w:i/>
        </w:rPr>
        <w:t>JJ.A.)</w:t>
      </w:r>
      <w:r>
        <w:rPr>
          <w:i/>
        </w:rPr>
        <w:t>, 2008 QCCA 1726 (</w:t>
      </w:r>
      <w:proofErr w:type="spellStart"/>
      <w:r>
        <w:rPr>
          <w:i/>
        </w:rPr>
        <w:t>CanLII</w:t>
      </w:r>
      <w:proofErr w:type="spellEnd"/>
      <w:r>
        <w:rPr>
          <w:i/>
        </w:rPr>
        <w:t>)</w:t>
      </w:r>
    </w:p>
    <w:p w:rsidR="00226F82" w:rsidRPr="002C5A21" w:rsidRDefault="00226F82" w:rsidP="00827894">
      <w:pPr>
        <w:pStyle w:val="ReasonsNumbering-AltN"/>
      </w:pPr>
      <w:proofErr w:type="spellStart"/>
      <w:r w:rsidRPr="002C5A21">
        <w:t>Rochette</w:t>
      </w:r>
      <w:proofErr w:type="spellEnd"/>
      <w:r w:rsidRPr="002C5A21">
        <w:t xml:space="preserve"> J.A., writing for </w:t>
      </w:r>
      <w:r>
        <w:t>a</w:t>
      </w:r>
      <w:r w:rsidRPr="002C5A21">
        <w:t xml:space="preserve"> unanimous Court of Appeal, upheld the </w:t>
      </w:r>
      <w:r>
        <w:t>judgment on the motions</w:t>
      </w:r>
      <w:r w:rsidRPr="002C5A21">
        <w:t xml:space="preserve">.  </w:t>
      </w:r>
      <w:proofErr w:type="spellStart"/>
      <w:r w:rsidRPr="002C5A21">
        <w:t>Rochette</w:t>
      </w:r>
      <w:proofErr w:type="spellEnd"/>
      <w:r w:rsidRPr="002C5A21">
        <w:t xml:space="preserve"> J.A. rejected the Agency’s argument that the </w:t>
      </w:r>
      <w:r>
        <w:t>motion</w:t>
      </w:r>
      <w:r w:rsidRPr="002C5A21">
        <w:t xml:space="preserve"> judge </w:t>
      </w:r>
      <w:r>
        <w:t>had erred in leaving</w:t>
      </w:r>
      <w:r w:rsidRPr="002C5A21">
        <w:t xml:space="preserve"> the issue of </w:t>
      </w:r>
      <w:r>
        <w:t xml:space="preserve">the Superior Court’s </w:t>
      </w:r>
      <w:r w:rsidRPr="002C5A21">
        <w:t xml:space="preserve">jurisdiction to the judge </w:t>
      </w:r>
      <w:r>
        <w:t xml:space="preserve">who would </w:t>
      </w:r>
      <w:r w:rsidRPr="002C5A21">
        <w:t xml:space="preserve">hear the case on the merits. </w:t>
      </w:r>
      <w:r>
        <w:t xml:space="preserve">He concluded that </w:t>
      </w:r>
      <w:proofErr w:type="spellStart"/>
      <w:r>
        <w:t>Barakett</w:t>
      </w:r>
      <w:proofErr w:type="spellEnd"/>
      <w:r>
        <w:t xml:space="preserve"> J. had in fact held </w:t>
      </w:r>
      <w:r w:rsidRPr="002C5A21">
        <w:t xml:space="preserve">that the Superior Court had jurisdiction at this preliminary stage. </w:t>
      </w:r>
    </w:p>
    <w:p w:rsidR="00226F82" w:rsidRPr="002C5A21" w:rsidRDefault="00226F82" w:rsidP="00827894">
      <w:pPr>
        <w:pStyle w:val="ReasonsNumbering-AltN"/>
      </w:pPr>
      <w:proofErr w:type="spellStart"/>
      <w:r w:rsidRPr="002C5A21">
        <w:t>Rochette</w:t>
      </w:r>
      <w:proofErr w:type="spellEnd"/>
      <w:r w:rsidRPr="002C5A21">
        <w:t xml:space="preserve"> J.A. commented that the </w:t>
      </w:r>
      <w:r>
        <w:t>motion</w:t>
      </w:r>
      <w:r w:rsidRPr="002C5A21">
        <w:t xml:space="preserve"> judge had rightly pointed out that the Institute </w:t>
      </w:r>
      <w:r>
        <w:t>and the</w:t>
      </w:r>
      <w:r w:rsidRPr="002C5A21">
        <w:t xml:space="preserve"> veterinarians </w:t>
      </w:r>
      <w:r>
        <w:t xml:space="preserve">were </w:t>
      </w:r>
      <w:r w:rsidRPr="002C5A21">
        <w:t>challeng</w:t>
      </w:r>
      <w:r>
        <w:t>ing</w:t>
      </w:r>
      <w:r w:rsidRPr="002C5A21">
        <w:t xml:space="preserve"> the Agency’s decision and measures </w:t>
      </w:r>
      <w:r>
        <w:t xml:space="preserve">on the basis </w:t>
      </w:r>
      <w:r w:rsidRPr="002C5A21">
        <w:t xml:space="preserve">not </w:t>
      </w:r>
      <w:r>
        <w:t>that</w:t>
      </w:r>
      <w:r w:rsidRPr="002C5A21">
        <w:t xml:space="preserve"> they were unlawful or </w:t>
      </w:r>
      <w:r>
        <w:t xml:space="preserve">that they </w:t>
      </w:r>
      <w:r w:rsidRPr="002C5A21">
        <w:t>exceeded the Agency’s jurisdiction</w:t>
      </w:r>
      <w:r>
        <w:t>,</w:t>
      </w:r>
      <w:r w:rsidRPr="002C5A21">
        <w:t xml:space="preserve"> but </w:t>
      </w:r>
      <w:r>
        <w:t>that they</w:t>
      </w:r>
      <w:r w:rsidRPr="002C5A21">
        <w:t xml:space="preserve"> were [</w:t>
      </w:r>
      <w:r w:rsidRPr="00B01D87">
        <w:rPr>
          <w:smallCaps/>
        </w:rPr>
        <w:t>translation</w:t>
      </w:r>
      <w:r w:rsidRPr="002C5A21">
        <w:t xml:space="preserve">] “unjustified, excessive </w:t>
      </w:r>
      <w:r>
        <w:t>and</w:t>
      </w:r>
      <w:r w:rsidRPr="002C5A21">
        <w:t xml:space="preserve"> </w:t>
      </w:r>
      <w:r>
        <w:t>wrongful</w:t>
      </w:r>
      <w:r w:rsidRPr="002C5A21">
        <w:t>”</w:t>
      </w:r>
      <w:r>
        <w:t xml:space="preserve"> (</w:t>
      </w:r>
      <w:proofErr w:type="spellStart"/>
      <w:r>
        <w:t>para</w:t>
      </w:r>
      <w:proofErr w:type="spellEnd"/>
      <w:r>
        <w:t>. 29)</w:t>
      </w:r>
      <w:r w:rsidRPr="002C5A21">
        <w:t xml:space="preserve">. The </w:t>
      </w:r>
      <w:r>
        <w:t>recourses</w:t>
      </w:r>
      <w:r w:rsidRPr="002C5A21">
        <w:t xml:space="preserve"> in warranty</w:t>
      </w:r>
      <w:r>
        <w:t>,</w:t>
      </w:r>
      <w:r w:rsidRPr="002C5A21">
        <w:t xml:space="preserve"> viewed as a whole, and the nature of the particular conclusions </w:t>
      </w:r>
      <w:r>
        <w:t xml:space="preserve">being </w:t>
      </w:r>
      <w:r w:rsidRPr="002C5A21">
        <w:t xml:space="preserve">sought showed that the Institute and the veterinarians were seeking a remedy in the form of damages and </w:t>
      </w:r>
      <w:r>
        <w:t>were</w:t>
      </w:r>
      <w:r w:rsidRPr="002C5A21">
        <w:t xml:space="preserve"> not, at least at this stage, </w:t>
      </w:r>
      <w:r>
        <w:t xml:space="preserve">contesting </w:t>
      </w:r>
      <w:r w:rsidRPr="002C5A21">
        <w:t xml:space="preserve">the validity of the Agency’s decision.  </w:t>
      </w:r>
    </w:p>
    <w:p w:rsidR="00226F82" w:rsidRPr="002C5A21" w:rsidRDefault="00226F82" w:rsidP="00827894">
      <w:pPr>
        <w:pStyle w:val="ReasonsNumbering-AltN"/>
      </w:pPr>
      <w:proofErr w:type="spellStart"/>
      <w:r w:rsidRPr="002C5A21">
        <w:t>Rochette</w:t>
      </w:r>
      <w:proofErr w:type="spellEnd"/>
      <w:r w:rsidRPr="002C5A21">
        <w:t xml:space="preserve"> J.A. also agreed with the </w:t>
      </w:r>
      <w:r>
        <w:t>motion</w:t>
      </w:r>
      <w:r w:rsidRPr="002C5A21">
        <w:t xml:space="preserve"> judge that </w:t>
      </w:r>
      <w:r>
        <w:t>a decis</w:t>
      </w:r>
      <w:r w:rsidRPr="002C5A21">
        <w:t xml:space="preserve">ion of the Agency could </w:t>
      </w:r>
      <w:r>
        <w:t>constitute a f</w:t>
      </w:r>
      <w:r w:rsidRPr="002C5A21">
        <w:t>ault in Quebec civil law</w:t>
      </w:r>
      <w:r>
        <w:t xml:space="preserve"> even if it were valid</w:t>
      </w:r>
      <w:r w:rsidRPr="002C5A21">
        <w:t>. A federal agency c</w:t>
      </w:r>
      <w:r>
        <w:t>an</w:t>
      </w:r>
      <w:r w:rsidRPr="002C5A21">
        <w:t xml:space="preserve"> incur civil liability even </w:t>
      </w:r>
      <w:r>
        <w:t>if</w:t>
      </w:r>
      <w:r w:rsidRPr="002C5A21">
        <w:t xml:space="preserve"> its action </w:t>
      </w:r>
      <w:r>
        <w:t>is lawful</w:t>
      </w:r>
      <w:r w:rsidRPr="002C5A21">
        <w:t xml:space="preserve">. What the Agency </w:t>
      </w:r>
      <w:r>
        <w:t>was really</w:t>
      </w:r>
      <w:r w:rsidRPr="002C5A21">
        <w:t xml:space="preserve"> claim</w:t>
      </w:r>
      <w:r>
        <w:t>ing</w:t>
      </w:r>
      <w:r w:rsidRPr="002C5A21">
        <w:t xml:space="preserve"> was a </w:t>
      </w:r>
      <w:r>
        <w:t xml:space="preserve">virtually </w:t>
      </w:r>
      <w:r w:rsidRPr="002C5A21">
        <w:t xml:space="preserve">absolute immunity from prosecution </w:t>
      </w:r>
      <w:r>
        <w:t>— one that would apply even at the stage of a motion to dismiss —</w:t>
      </w:r>
      <w:r w:rsidRPr="002C5A21">
        <w:t xml:space="preserve"> </w:t>
      </w:r>
      <w:r>
        <w:t xml:space="preserve">with respect to an </w:t>
      </w:r>
      <w:r w:rsidRPr="002C5A21">
        <w:t xml:space="preserve">allegedly </w:t>
      </w:r>
      <w:r>
        <w:t>wrongful</w:t>
      </w:r>
      <w:r w:rsidRPr="002C5A21">
        <w:t xml:space="preserve"> decision </w:t>
      </w:r>
      <w:r>
        <w:t xml:space="preserve">it has made unless </w:t>
      </w:r>
      <w:r w:rsidRPr="002C5A21">
        <w:t>a court of competent jurisdiction</w:t>
      </w:r>
      <w:r>
        <w:t xml:space="preserve"> has declared that decision invalid</w:t>
      </w:r>
      <w:r w:rsidRPr="002C5A21">
        <w:t xml:space="preserve">. </w:t>
      </w:r>
      <w:proofErr w:type="spellStart"/>
      <w:r w:rsidRPr="002C5A21">
        <w:t>Rochette</w:t>
      </w:r>
      <w:proofErr w:type="spellEnd"/>
      <w:r w:rsidRPr="002C5A21">
        <w:t xml:space="preserve"> J.A. </w:t>
      </w:r>
      <w:r>
        <w:t>went on to</w:t>
      </w:r>
      <w:r w:rsidRPr="002C5A21">
        <w:t xml:space="preserve"> reject the Agency’s argument that the </w:t>
      </w:r>
      <w:r w:rsidRPr="002C5A21">
        <w:lastRenderedPageBreak/>
        <w:t>recourse</w:t>
      </w:r>
      <w:r>
        <w:t>s</w:t>
      </w:r>
      <w:r w:rsidRPr="002C5A21">
        <w:t xml:space="preserve"> in warranty </w:t>
      </w:r>
      <w:r>
        <w:t>constituted</w:t>
      </w:r>
      <w:r w:rsidRPr="002C5A21">
        <w:t xml:space="preserve"> a collateral attack on </w:t>
      </w:r>
      <w:r>
        <w:t>its</w:t>
      </w:r>
      <w:r w:rsidRPr="002C5A21">
        <w:t xml:space="preserve"> decision. The legality of the </w:t>
      </w:r>
      <w:r>
        <w:t xml:space="preserve">Agency’s </w:t>
      </w:r>
      <w:r w:rsidRPr="002C5A21">
        <w:t xml:space="preserve">decision and measures was not </w:t>
      </w:r>
      <w:r>
        <w:t xml:space="preserve">being </w:t>
      </w:r>
      <w:r w:rsidRPr="002C5A21">
        <w:t xml:space="preserve">challenged in the Superior Court. The Agency </w:t>
      </w:r>
      <w:r>
        <w:t>was</w:t>
      </w:r>
      <w:r w:rsidRPr="002C5A21">
        <w:t xml:space="preserve"> not </w:t>
      </w:r>
      <w:r>
        <w:t>arguing</w:t>
      </w:r>
      <w:r w:rsidRPr="002C5A21">
        <w:t xml:space="preserve"> that there was a statutory appeal process of which the Institute and the veterinarians </w:t>
      </w:r>
      <w:r>
        <w:t xml:space="preserve">had </w:t>
      </w:r>
      <w:r w:rsidRPr="002C5A21">
        <w:t xml:space="preserve">failed to avail themselves. Moreover, the approach proposed by the Agency would result in the dismissal of countless proceedings for damages </w:t>
      </w:r>
      <w:r>
        <w:t>based on wrongful</w:t>
      </w:r>
      <w:r w:rsidRPr="002C5A21">
        <w:t xml:space="preserve"> administrative decision</w:t>
      </w:r>
      <w:r>
        <w:t>s</w:t>
      </w:r>
      <w:r w:rsidRPr="002C5A21">
        <w:t xml:space="preserve"> </w:t>
      </w:r>
      <w:r>
        <w:t>that</w:t>
      </w:r>
      <w:r w:rsidRPr="002C5A21">
        <w:t xml:space="preserve"> could </w:t>
      </w:r>
      <w:r>
        <w:t xml:space="preserve">not </w:t>
      </w:r>
      <w:r w:rsidRPr="002C5A21">
        <w:t xml:space="preserve">be characterized as unreasonable. It would also erode the concurrent jurisdiction the Superior Court </w:t>
      </w:r>
      <w:r>
        <w:t>has</w:t>
      </w:r>
      <w:r w:rsidRPr="002C5A21">
        <w:t xml:space="preserve"> with the Federal Court</w:t>
      </w:r>
      <w:r>
        <w:t xml:space="preserve"> in such matters</w:t>
      </w:r>
      <w:r w:rsidRPr="002C5A21">
        <w:t>.  Similarly, the recourse</w:t>
      </w:r>
      <w:r>
        <w:t>s</w:t>
      </w:r>
      <w:r w:rsidRPr="002C5A21">
        <w:t xml:space="preserve"> of the Institute and the veterinarians could not be characterized as a collateral attack on the interlocutory injunction </w:t>
      </w:r>
      <w:r>
        <w:t xml:space="preserve">by which </w:t>
      </w:r>
      <w:r w:rsidRPr="002C5A21">
        <w:t xml:space="preserve">the Federal Court </w:t>
      </w:r>
      <w:r>
        <w:t>had ordered</w:t>
      </w:r>
      <w:r w:rsidRPr="002C5A21">
        <w:t xml:space="preserve"> the veterinarians to return to work. </w:t>
      </w:r>
    </w:p>
    <w:p w:rsidR="00226F82" w:rsidRPr="002C5A21" w:rsidRDefault="00226F82" w:rsidP="00827894">
      <w:pPr>
        <w:pStyle w:val="ReasonsNumbering-AltN"/>
      </w:pPr>
      <w:r>
        <w:t xml:space="preserve">Finally, regarding the motion judge’s remarks to the effect that the Agency’s presence was necessary to permit a complete solution of the question, </w:t>
      </w:r>
      <w:proofErr w:type="spellStart"/>
      <w:r w:rsidRPr="002C5A21">
        <w:t>Rochette</w:t>
      </w:r>
      <w:proofErr w:type="spellEnd"/>
      <w:r w:rsidRPr="002C5A21">
        <w:t xml:space="preserve"> J.A. noted that</w:t>
      </w:r>
      <w:r>
        <w:t>,</w:t>
      </w:r>
      <w:r w:rsidRPr="002C5A21">
        <w:t xml:space="preserve"> while </w:t>
      </w:r>
      <w:r>
        <w:t xml:space="preserve">it is true that </w:t>
      </w:r>
      <w:r w:rsidRPr="002C5A21">
        <w:t>the “necessary presence” criterion applie</w:t>
      </w:r>
      <w:r>
        <w:t>s</w:t>
      </w:r>
      <w:r w:rsidRPr="002C5A21">
        <w:t xml:space="preserve"> to the forced </w:t>
      </w:r>
      <w:proofErr w:type="spellStart"/>
      <w:r w:rsidRPr="002C5A21">
        <w:t>impleading</w:t>
      </w:r>
      <w:proofErr w:type="spellEnd"/>
      <w:r w:rsidRPr="002C5A21">
        <w:t xml:space="preserve"> of a new defendant rather than </w:t>
      </w:r>
      <w:r>
        <w:t xml:space="preserve">to </w:t>
      </w:r>
      <w:r w:rsidRPr="002C5A21">
        <w:t>a recourse in warranty, t</w:t>
      </w:r>
      <w:r>
        <w:t>hose</w:t>
      </w:r>
      <w:r w:rsidRPr="002C5A21">
        <w:t xml:space="preserve"> remarks were made in </w:t>
      </w:r>
      <w:r w:rsidRPr="002C5A21">
        <w:rPr>
          <w:i/>
        </w:rPr>
        <w:t>obiter</w:t>
      </w:r>
      <w:r w:rsidRPr="002C5A21">
        <w:t xml:space="preserve"> and did not vitiate the </w:t>
      </w:r>
      <w:r>
        <w:t>judge’s other findings</w:t>
      </w:r>
      <w:r w:rsidRPr="002C5A21">
        <w:t>.</w:t>
      </w:r>
    </w:p>
    <w:p w:rsidR="00226F82" w:rsidRPr="00BE75B4" w:rsidRDefault="00226F82" w:rsidP="00FB297E">
      <w:pPr>
        <w:tabs>
          <w:tab w:val="left" w:pos="720"/>
        </w:tabs>
        <w:spacing w:after="480"/>
        <w:ind w:left="720" w:hanging="720"/>
      </w:pPr>
      <w:r w:rsidRPr="00BE75B4">
        <w:t>III.</w:t>
      </w:r>
      <w:r w:rsidR="00FB297E">
        <w:tab/>
      </w:r>
      <w:r w:rsidRPr="00BE75B4">
        <w:rPr>
          <w:u w:val="single"/>
        </w:rPr>
        <w:t>Relevant Statutory Provisions</w:t>
      </w:r>
    </w:p>
    <w:p w:rsidR="00226F82" w:rsidRDefault="00226F82" w:rsidP="00827894">
      <w:pPr>
        <w:pStyle w:val="ReasonsNumbering-AltN"/>
      </w:pPr>
      <w:r w:rsidRPr="002C5A21">
        <w:rPr>
          <w:i/>
        </w:rPr>
        <w:t xml:space="preserve">Canadian Food Inspection </w:t>
      </w:r>
      <w:r w:rsidRPr="006D6DA7">
        <w:rPr>
          <w:i/>
        </w:rPr>
        <w:t>Agency</w:t>
      </w:r>
      <w:r w:rsidRPr="002C5A21">
        <w:rPr>
          <w:i/>
        </w:rPr>
        <w:t xml:space="preserve"> Act</w:t>
      </w:r>
      <w:r w:rsidRPr="00BE75B4">
        <w:t>,</w:t>
      </w:r>
      <w:r w:rsidRPr="002C5A21">
        <w:rPr>
          <w:i/>
        </w:rPr>
        <w:t xml:space="preserve"> </w:t>
      </w:r>
      <w:r w:rsidRPr="002C5A21">
        <w:t>S.</w:t>
      </w:r>
      <w:r>
        <w:t>C.</w:t>
      </w:r>
      <w:r w:rsidRPr="002C5A21">
        <w:t xml:space="preserve"> 1997, c. 6</w:t>
      </w:r>
    </w:p>
    <w:p w:rsidR="00111A50" w:rsidRDefault="00111A50" w:rsidP="007A0556">
      <w:pPr>
        <w:pStyle w:val="Citation"/>
        <w:tabs>
          <w:tab w:val="left" w:pos="1620"/>
          <w:tab w:val="left" w:pos="2160"/>
        </w:tabs>
        <w:spacing w:after="0"/>
        <w:contextualSpacing w:val="0"/>
        <w:rPr>
          <w:i/>
          <w:color w:val="000000"/>
          <w:szCs w:val="24"/>
          <w:lang w:eastAsia="en-US"/>
        </w:rPr>
      </w:pPr>
      <w:bookmarkStart w:id="0" w:name="codese:12"/>
      <w:r>
        <w:rPr>
          <w:b/>
          <w:color w:val="000000"/>
          <w:szCs w:val="24"/>
          <w:lang w:eastAsia="en-US"/>
        </w:rPr>
        <w:tab/>
      </w:r>
      <w:r w:rsidRPr="00383C3A">
        <w:rPr>
          <w:b/>
          <w:color w:val="000000"/>
          <w:szCs w:val="24"/>
          <w:lang w:eastAsia="en-US"/>
        </w:rPr>
        <w:t>12.</w:t>
      </w:r>
      <w:bookmarkEnd w:id="0"/>
      <w:r>
        <w:rPr>
          <w:b/>
          <w:color w:val="000000"/>
          <w:szCs w:val="24"/>
          <w:lang w:eastAsia="en-US"/>
        </w:rPr>
        <w:tab/>
      </w:r>
      <w:r w:rsidRPr="002C5A21">
        <w:rPr>
          <w:color w:val="000000"/>
          <w:szCs w:val="24"/>
          <w:lang w:eastAsia="en-US"/>
        </w:rPr>
        <w:t xml:space="preserve">The Agency is a separate agency under the </w:t>
      </w:r>
      <w:r w:rsidRPr="00383C3A">
        <w:rPr>
          <w:i/>
          <w:color w:val="000000"/>
          <w:szCs w:val="24"/>
          <w:lang w:eastAsia="en-US"/>
        </w:rPr>
        <w:t>Public Service Labour Relations Act</w:t>
      </w:r>
      <w:r w:rsidRPr="00F673F1">
        <w:rPr>
          <w:color w:val="000000"/>
          <w:szCs w:val="24"/>
          <w:lang w:eastAsia="en-US"/>
        </w:rPr>
        <w:t>.</w:t>
      </w:r>
    </w:p>
    <w:p w:rsidR="00111A50" w:rsidRPr="00EB3FDB" w:rsidRDefault="00111A50" w:rsidP="00111A50">
      <w:pPr>
        <w:tabs>
          <w:tab w:val="left" w:pos="342"/>
        </w:tabs>
        <w:ind w:firstLine="346"/>
        <w:jc w:val="both"/>
        <w:rPr>
          <w:lang w:val="en-US"/>
        </w:rPr>
      </w:pPr>
    </w:p>
    <w:p w:rsidR="00111A50" w:rsidRDefault="00111A50" w:rsidP="007A0556">
      <w:pPr>
        <w:pStyle w:val="Citation"/>
        <w:tabs>
          <w:tab w:val="left" w:pos="1620"/>
          <w:tab w:val="left" w:pos="2520"/>
        </w:tabs>
        <w:spacing w:after="0"/>
        <w:contextualSpacing w:val="0"/>
        <w:rPr>
          <w:color w:val="000000"/>
          <w:szCs w:val="24"/>
          <w:lang w:eastAsia="en-US"/>
        </w:rPr>
      </w:pPr>
      <w:bookmarkStart w:id="1" w:name="codese:13"/>
      <w:r>
        <w:rPr>
          <w:b/>
          <w:color w:val="000000"/>
          <w:szCs w:val="24"/>
          <w:lang w:eastAsia="en-US"/>
        </w:rPr>
        <w:tab/>
      </w:r>
      <w:r w:rsidRPr="00383C3A">
        <w:rPr>
          <w:b/>
          <w:color w:val="000000"/>
          <w:szCs w:val="24"/>
          <w:lang w:eastAsia="en-US"/>
        </w:rPr>
        <w:t>13.</w:t>
      </w:r>
      <w:bookmarkEnd w:id="1"/>
      <w:r>
        <w:rPr>
          <w:color w:val="000000"/>
          <w:szCs w:val="24"/>
          <w:lang w:eastAsia="en-US"/>
        </w:rPr>
        <w:t xml:space="preserve"> (1)</w:t>
      </w:r>
      <w:r>
        <w:rPr>
          <w:color w:val="000000"/>
          <w:szCs w:val="24"/>
          <w:lang w:eastAsia="en-US"/>
        </w:rPr>
        <w:tab/>
      </w:r>
      <w:r w:rsidRPr="002C5A21">
        <w:rPr>
          <w:color w:val="000000"/>
          <w:szCs w:val="24"/>
          <w:lang w:eastAsia="en-US"/>
        </w:rPr>
        <w:t>The President has the authority to appoint the employees of the Agency.</w:t>
      </w:r>
    </w:p>
    <w:p w:rsidR="00111A50" w:rsidRPr="002C5A21" w:rsidRDefault="00111A50" w:rsidP="00111A50">
      <w:pPr>
        <w:ind w:firstLine="346"/>
        <w:jc w:val="both"/>
        <w:rPr>
          <w:color w:val="000000"/>
          <w:szCs w:val="24"/>
          <w:lang w:eastAsia="en-US"/>
        </w:rPr>
      </w:pPr>
    </w:p>
    <w:p w:rsidR="00111A50" w:rsidRDefault="00111A50" w:rsidP="00C402BE">
      <w:pPr>
        <w:pStyle w:val="Citation"/>
        <w:tabs>
          <w:tab w:val="left" w:pos="1620"/>
          <w:tab w:val="left" w:pos="2160"/>
        </w:tabs>
        <w:spacing w:after="0"/>
        <w:contextualSpacing w:val="0"/>
        <w:rPr>
          <w:color w:val="000000"/>
          <w:szCs w:val="24"/>
          <w:lang w:eastAsia="en-US"/>
        </w:rPr>
      </w:pPr>
      <w:r>
        <w:rPr>
          <w:color w:val="000000"/>
          <w:szCs w:val="24"/>
          <w:lang w:eastAsia="en-US"/>
        </w:rPr>
        <w:tab/>
        <w:t>(2)</w:t>
      </w:r>
      <w:r>
        <w:rPr>
          <w:color w:val="000000"/>
          <w:szCs w:val="24"/>
          <w:lang w:eastAsia="en-US"/>
        </w:rPr>
        <w:tab/>
      </w:r>
      <w:r w:rsidRPr="002C5A21">
        <w:rPr>
          <w:color w:val="000000"/>
          <w:szCs w:val="24"/>
          <w:lang w:eastAsia="en-US"/>
        </w:rPr>
        <w:t>The President may set the terms and conditions of employment for employees of the Agency and assign duties to them.</w:t>
      </w:r>
    </w:p>
    <w:p w:rsidR="00111A50" w:rsidRPr="002C5A21" w:rsidRDefault="00111A50" w:rsidP="00827894">
      <w:pPr>
        <w:ind w:firstLine="346"/>
        <w:jc w:val="both"/>
        <w:rPr>
          <w:color w:val="000000"/>
          <w:szCs w:val="24"/>
          <w:lang w:eastAsia="en-US"/>
        </w:rPr>
      </w:pPr>
    </w:p>
    <w:p w:rsidR="00111A50" w:rsidRDefault="00111A50" w:rsidP="007A0556">
      <w:pPr>
        <w:pStyle w:val="Citation"/>
        <w:tabs>
          <w:tab w:val="left" w:pos="1620"/>
          <w:tab w:val="left" w:pos="2160"/>
        </w:tabs>
        <w:spacing w:after="0"/>
        <w:contextualSpacing w:val="0"/>
        <w:rPr>
          <w:color w:val="000000"/>
          <w:szCs w:val="24"/>
          <w:lang w:eastAsia="en-US"/>
        </w:rPr>
      </w:pPr>
      <w:r>
        <w:rPr>
          <w:color w:val="000000"/>
          <w:szCs w:val="24"/>
          <w:lang w:eastAsia="en-US"/>
        </w:rPr>
        <w:tab/>
        <w:t>(3)</w:t>
      </w:r>
      <w:r>
        <w:rPr>
          <w:color w:val="000000"/>
          <w:szCs w:val="24"/>
          <w:lang w:eastAsia="en-US"/>
        </w:rPr>
        <w:tab/>
      </w:r>
      <w:r w:rsidRPr="002C5A21">
        <w:rPr>
          <w:color w:val="000000"/>
          <w:szCs w:val="24"/>
          <w:lang w:eastAsia="en-US"/>
        </w:rPr>
        <w:t>The President may designate any person or class of persons as inspectors, analysts, graders, veterinary inspectors or other officers for the enforcement or administration of any Act or provision that the Agency enforces or administers by virtue of section 11, in respect of any matter referred to in the designation.</w:t>
      </w:r>
    </w:p>
    <w:p w:rsidR="00111A50" w:rsidRPr="00EB3FDB" w:rsidRDefault="00111A50" w:rsidP="00827894">
      <w:pPr>
        <w:ind w:firstLine="346"/>
        <w:jc w:val="both"/>
        <w:rPr>
          <w:color w:val="000000"/>
          <w:szCs w:val="24"/>
          <w:lang w:val="en-US" w:eastAsia="en-US"/>
        </w:rPr>
      </w:pPr>
    </w:p>
    <w:p w:rsidR="00111A50" w:rsidRPr="002C5A21" w:rsidRDefault="00111A50" w:rsidP="007A0556">
      <w:pPr>
        <w:pStyle w:val="Citation"/>
        <w:tabs>
          <w:tab w:val="left" w:pos="1620"/>
          <w:tab w:val="left" w:pos="2160"/>
        </w:tabs>
        <w:spacing w:after="360"/>
        <w:ind w:firstLine="4"/>
        <w:contextualSpacing w:val="0"/>
        <w:rPr>
          <w:color w:val="000000"/>
          <w:szCs w:val="24"/>
          <w:lang w:eastAsia="en-US"/>
        </w:rPr>
      </w:pPr>
      <w:r>
        <w:rPr>
          <w:b/>
          <w:color w:val="000000"/>
          <w:szCs w:val="24"/>
          <w:lang w:eastAsia="en-US"/>
        </w:rPr>
        <w:tab/>
      </w:r>
      <w:r w:rsidRPr="007A2700">
        <w:rPr>
          <w:b/>
          <w:color w:val="000000"/>
          <w:szCs w:val="24"/>
          <w:lang w:eastAsia="en-US"/>
        </w:rPr>
        <w:t>15.</w:t>
      </w:r>
      <w:r>
        <w:rPr>
          <w:color w:val="000000"/>
          <w:szCs w:val="24"/>
          <w:lang w:eastAsia="en-US"/>
        </w:rPr>
        <w:tab/>
      </w:r>
      <w:r w:rsidRPr="002C5A21">
        <w:rPr>
          <w:color w:val="000000"/>
          <w:szCs w:val="24"/>
          <w:lang w:eastAsia="en-US"/>
        </w:rPr>
        <w:t>Actions, suits or other legal proceedings in respect of any right or obligation acquired or incurred by the Agency, whether in its own name or in the name of Her Majesty in right of Canada, may be brought or taken by or against the Agency in the name of the Agency in any court that would have jurisdiction if the Agency were not an agent of Her Majesty.</w:t>
      </w:r>
    </w:p>
    <w:p w:rsidR="00111A50" w:rsidRPr="00EB3FDB" w:rsidRDefault="00111A50" w:rsidP="00827894">
      <w:pPr>
        <w:ind w:firstLine="346"/>
        <w:jc w:val="both"/>
        <w:rPr>
          <w:color w:val="000000"/>
          <w:szCs w:val="24"/>
          <w:lang w:val="en-US" w:eastAsia="en-US"/>
        </w:rPr>
      </w:pPr>
    </w:p>
    <w:p w:rsidR="00226F82" w:rsidRPr="002C5A21" w:rsidRDefault="00226F82" w:rsidP="00827894">
      <w:pPr>
        <w:spacing w:after="480"/>
        <w:rPr>
          <w:lang w:val="en-US"/>
        </w:rPr>
      </w:pPr>
      <w:r w:rsidRPr="00827894">
        <w:rPr>
          <w:i/>
          <w:lang w:val="en-US"/>
        </w:rPr>
        <w:t>Crown Liability and Proceedings Act</w:t>
      </w:r>
      <w:r w:rsidRPr="002C5A21">
        <w:rPr>
          <w:lang w:val="en-US"/>
        </w:rPr>
        <w:t>, R.S.C. 1985, c. C-50</w:t>
      </w:r>
    </w:p>
    <w:p w:rsidR="00111A50" w:rsidRDefault="00111A50" w:rsidP="007A0556">
      <w:pPr>
        <w:pStyle w:val="Citation"/>
        <w:tabs>
          <w:tab w:val="left" w:pos="1620"/>
          <w:tab w:val="left" w:pos="2160"/>
        </w:tabs>
        <w:spacing w:after="0"/>
        <w:contextualSpacing w:val="0"/>
        <w:rPr>
          <w:color w:val="000000"/>
          <w:szCs w:val="24"/>
          <w:lang w:eastAsia="en-US"/>
        </w:rPr>
      </w:pPr>
      <w:r>
        <w:rPr>
          <w:b/>
          <w:color w:val="000000"/>
          <w:szCs w:val="24"/>
          <w:lang w:eastAsia="en-US"/>
        </w:rPr>
        <w:tab/>
      </w:r>
      <w:r w:rsidRPr="007A2700">
        <w:rPr>
          <w:b/>
          <w:color w:val="000000"/>
          <w:szCs w:val="24"/>
          <w:lang w:eastAsia="en-US"/>
        </w:rPr>
        <w:t>2.</w:t>
      </w:r>
      <w:r>
        <w:rPr>
          <w:b/>
          <w:color w:val="000000"/>
          <w:szCs w:val="24"/>
          <w:lang w:eastAsia="en-US"/>
        </w:rPr>
        <w:tab/>
      </w:r>
      <w:proofErr w:type="gramStart"/>
      <w:r w:rsidRPr="002C5A21">
        <w:rPr>
          <w:color w:val="000000"/>
          <w:szCs w:val="24"/>
          <w:lang w:eastAsia="en-US"/>
        </w:rPr>
        <w:t>In</w:t>
      </w:r>
      <w:proofErr w:type="gramEnd"/>
      <w:r w:rsidRPr="002C5A21">
        <w:rPr>
          <w:color w:val="000000"/>
          <w:szCs w:val="24"/>
          <w:lang w:eastAsia="en-US"/>
        </w:rPr>
        <w:t xml:space="preserve"> this Act</w:t>
      </w:r>
      <w:r w:rsidR="00112033">
        <w:rPr>
          <w:color w:val="000000"/>
          <w:szCs w:val="24"/>
          <w:lang w:eastAsia="en-US"/>
        </w:rPr>
        <w:t>,</w:t>
      </w:r>
    </w:p>
    <w:p w:rsidR="00111A50" w:rsidRDefault="00111A50" w:rsidP="00827894">
      <w:pPr>
        <w:ind w:left="-115" w:firstLine="274"/>
        <w:jc w:val="both"/>
        <w:rPr>
          <w:color w:val="000000"/>
          <w:szCs w:val="24"/>
          <w:lang w:eastAsia="en-US"/>
        </w:rPr>
      </w:pPr>
    </w:p>
    <w:p w:rsidR="00112033" w:rsidRDefault="00112033" w:rsidP="00112033">
      <w:pPr>
        <w:ind w:left="-115" w:firstLine="274"/>
        <w:jc w:val="center"/>
        <w:rPr>
          <w:color w:val="000000"/>
          <w:szCs w:val="24"/>
          <w:lang w:eastAsia="en-US"/>
        </w:rPr>
      </w:pPr>
      <w:r>
        <w:rPr>
          <w:color w:val="000000"/>
          <w:szCs w:val="24"/>
          <w:lang w:eastAsia="en-US"/>
        </w:rPr>
        <w:t>. . .</w:t>
      </w:r>
    </w:p>
    <w:p w:rsidR="00112033" w:rsidRDefault="00112033" w:rsidP="00827894">
      <w:pPr>
        <w:ind w:left="-115" w:firstLine="274"/>
        <w:jc w:val="both"/>
        <w:rPr>
          <w:color w:val="000000"/>
          <w:szCs w:val="24"/>
          <w:lang w:eastAsia="en-US"/>
        </w:rPr>
      </w:pPr>
    </w:p>
    <w:p w:rsidR="00111A50" w:rsidRPr="002C5A21" w:rsidRDefault="00111A50" w:rsidP="005D20FA">
      <w:pPr>
        <w:pStyle w:val="Citation"/>
        <w:tabs>
          <w:tab w:val="left" w:pos="1620"/>
        </w:tabs>
        <w:spacing w:after="0"/>
        <w:contextualSpacing w:val="0"/>
        <w:rPr>
          <w:color w:val="000000"/>
          <w:szCs w:val="24"/>
          <w:lang w:eastAsia="en-US"/>
        </w:rPr>
      </w:pPr>
      <w:r w:rsidRPr="002C5A21">
        <w:rPr>
          <w:color w:val="000000"/>
          <w:szCs w:val="24"/>
          <w:lang w:eastAsia="en-US"/>
        </w:rPr>
        <w:t>“</w:t>
      </w:r>
      <w:proofErr w:type="gramStart"/>
      <w:r w:rsidRPr="002C5A21">
        <w:rPr>
          <w:color w:val="000000"/>
          <w:szCs w:val="24"/>
          <w:lang w:eastAsia="en-US"/>
        </w:rPr>
        <w:t>liability</w:t>
      </w:r>
      <w:proofErr w:type="gramEnd"/>
      <w:r w:rsidRPr="002C5A21">
        <w:rPr>
          <w:color w:val="000000"/>
          <w:szCs w:val="24"/>
          <w:lang w:eastAsia="en-US"/>
        </w:rPr>
        <w:t>”, for the purposes of Part 1, means</w:t>
      </w:r>
    </w:p>
    <w:p w:rsidR="00111A50" w:rsidRDefault="00111A50" w:rsidP="00827894">
      <w:pPr>
        <w:pStyle w:val="subparagraph"/>
        <w:spacing w:before="0"/>
        <w:ind w:left="331"/>
        <w:jc w:val="both"/>
        <w:rPr>
          <w:rFonts w:ascii="Times New Roman" w:hAnsi="Times New Roman"/>
          <w:color w:val="000000"/>
          <w:lang w:val="en-CA"/>
        </w:rPr>
      </w:pPr>
    </w:p>
    <w:p w:rsidR="00111A50" w:rsidRDefault="00111A50" w:rsidP="007A0556">
      <w:pPr>
        <w:pStyle w:val="Citation"/>
        <w:tabs>
          <w:tab w:val="left" w:pos="1620"/>
          <w:tab w:val="left" w:pos="2160"/>
        </w:tabs>
        <w:spacing w:after="0"/>
        <w:ind w:left="2160" w:hanging="994"/>
        <w:contextualSpacing w:val="0"/>
        <w:rPr>
          <w:color w:val="000000"/>
        </w:rPr>
      </w:pPr>
      <w:r>
        <w:rPr>
          <w:color w:val="000000"/>
        </w:rPr>
        <w:tab/>
      </w:r>
      <w:r w:rsidRPr="002C5A21">
        <w:rPr>
          <w:color w:val="000000"/>
        </w:rPr>
        <w:t>(</w:t>
      </w:r>
      <w:r w:rsidRPr="006C5CE0">
        <w:rPr>
          <w:i/>
          <w:color w:val="000000"/>
        </w:rPr>
        <w:t>a</w:t>
      </w:r>
      <w:r>
        <w:rPr>
          <w:color w:val="000000"/>
        </w:rPr>
        <w:t>)</w:t>
      </w:r>
      <w:r>
        <w:rPr>
          <w:color w:val="000000"/>
        </w:rPr>
        <w:tab/>
      </w:r>
      <w:proofErr w:type="gramStart"/>
      <w:r w:rsidRPr="002C5A21">
        <w:rPr>
          <w:color w:val="000000"/>
        </w:rPr>
        <w:t>in</w:t>
      </w:r>
      <w:proofErr w:type="gramEnd"/>
      <w:r w:rsidRPr="002C5A21">
        <w:rPr>
          <w:color w:val="000000"/>
        </w:rPr>
        <w:t xml:space="preserve"> the Province of Quebec, </w:t>
      </w:r>
      <w:proofErr w:type="spellStart"/>
      <w:r w:rsidRPr="002C5A21">
        <w:rPr>
          <w:color w:val="000000"/>
        </w:rPr>
        <w:t>extracontractual</w:t>
      </w:r>
      <w:proofErr w:type="spellEnd"/>
      <w:r w:rsidRPr="002C5A21">
        <w:rPr>
          <w:color w:val="000000"/>
        </w:rPr>
        <w:t xml:space="preserve"> civil liability, and</w:t>
      </w:r>
    </w:p>
    <w:p w:rsidR="00111A50" w:rsidRPr="002C5A21" w:rsidRDefault="00111A50" w:rsidP="00827894">
      <w:pPr>
        <w:pStyle w:val="subparagraph"/>
        <w:spacing w:before="0"/>
        <w:ind w:left="331"/>
        <w:jc w:val="both"/>
        <w:rPr>
          <w:rFonts w:ascii="Times New Roman" w:hAnsi="Times New Roman"/>
          <w:color w:val="000000"/>
        </w:rPr>
      </w:pPr>
    </w:p>
    <w:p w:rsidR="00111A50" w:rsidRPr="002C5A21" w:rsidRDefault="00111A50" w:rsidP="007A0556">
      <w:pPr>
        <w:pStyle w:val="Citation"/>
        <w:tabs>
          <w:tab w:val="left" w:pos="1620"/>
          <w:tab w:val="left" w:pos="2160"/>
        </w:tabs>
        <w:spacing w:after="0"/>
        <w:ind w:left="2160" w:hanging="994"/>
        <w:contextualSpacing w:val="0"/>
        <w:rPr>
          <w:color w:val="000000"/>
        </w:rPr>
      </w:pPr>
      <w:r>
        <w:rPr>
          <w:color w:val="000000"/>
        </w:rPr>
        <w:tab/>
      </w:r>
      <w:r w:rsidRPr="002C5A21">
        <w:rPr>
          <w:color w:val="000000"/>
        </w:rPr>
        <w:t>(</w:t>
      </w:r>
      <w:r w:rsidRPr="006C5CE0">
        <w:rPr>
          <w:i/>
          <w:color w:val="000000"/>
        </w:rPr>
        <w:t>b</w:t>
      </w:r>
      <w:r>
        <w:rPr>
          <w:color w:val="000000"/>
        </w:rPr>
        <w:t>)</w:t>
      </w:r>
      <w:r>
        <w:rPr>
          <w:color w:val="000000"/>
        </w:rPr>
        <w:tab/>
      </w:r>
      <w:proofErr w:type="gramStart"/>
      <w:r w:rsidRPr="002C5A21">
        <w:rPr>
          <w:color w:val="000000"/>
        </w:rPr>
        <w:t>in</w:t>
      </w:r>
      <w:proofErr w:type="gramEnd"/>
      <w:r w:rsidRPr="002C5A21">
        <w:rPr>
          <w:color w:val="000000"/>
        </w:rPr>
        <w:t xml:space="preserve"> any other province, liability in tort;</w:t>
      </w:r>
    </w:p>
    <w:p w:rsidR="00111A50" w:rsidRPr="00111A50" w:rsidRDefault="00111A50" w:rsidP="00827894">
      <w:pPr>
        <w:pStyle w:val="subparagraph"/>
        <w:spacing w:before="0"/>
        <w:ind w:left="331"/>
        <w:jc w:val="both"/>
        <w:rPr>
          <w:color w:val="000000"/>
        </w:rPr>
      </w:pPr>
    </w:p>
    <w:p w:rsidR="00111A50" w:rsidRDefault="00111A50" w:rsidP="007A0556">
      <w:pPr>
        <w:pStyle w:val="Citation"/>
        <w:tabs>
          <w:tab w:val="left" w:pos="1620"/>
          <w:tab w:val="left" w:pos="2160"/>
        </w:tabs>
        <w:spacing w:after="0"/>
        <w:contextualSpacing w:val="0"/>
        <w:rPr>
          <w:color w:val="000000"/>
          <w:szCs w:val="24"/>
          <w:lang w:eastAsia="en-US"/>
        </w:rPr>
      </w:pPr>
      <w:bookmarkStart w:id="2" w:name="codese:3"/>
      <w:r>
        <w:rPr>
          <w:b/>
          <w:color w:val="000000"/>
          <w:szCs w:val="24"/>
          <w:lang w:eastAsia="en-US"/>
        </w:rPr>
        <w:tab/>
      </w:r>
      <w:r w:rsidRPr="006C5CE0">
        <w:rPr>
          <w:b/>
          <w:color w:val="000000"/>
          <w:szCs w:val="24"/>
          <w:lang w:eastAsia="en-US"/>
        </w:rPr>
        <w:t>3.</w:t>
      </w:r>
      <w:bookmarkEnd w:id="2"/>
      <w:r w:rsidR="007A0556">
        <w:rPr>
          <w:b/>
          <w:bCs/>
          <w:szCs w:val="24"/>
          <w:lang w:eastAsia="en-US"/>
        </w:rPr>
        <w:tab/>
      </w:r>
      <w:r w:rsidRPr="002C5A21">
        <w:rPr>
          <w:color w:val="000000"/>
          <w:szCs w:val="24"/>
          <w:lang w:eastAsia="en-US"/>
        </w:rPr>
        <w:t>The Crown is liable for the damages for which, if it were a person, it would be liable</w:t>
      </w:r>
    </w:p>
    <w:p w:rsidR="00111A50" w:rsidRPr="002C5A21" w:rsidRDefault="00111A50" w:rsidP="00111A50">
      <w:pPr>
        <w:ind w:firstLine="346"/>
        <w:jc w:val="both"/>
        <w:rPr>
          <w:color w:val="000000"/>
          <w:szCs w:val="24"/>
          <w:lang w:eastAsia="en-US"/>
        </w:rPr>
      </w:pPr>
    </w:p>
    <w:p w:rsidR="00111A50" w:rsidRDefault="007A0556" w:rsidP="007A0556">
      <w:pPr>
        <w:pStyle w:val="Citation"/>
        <w:tabs>
          <w:tab w:val="left" w:pos="1620"/>
          <w:tab w:val="left" w:pos="2160"/>
        </w:tabs>
        <w:spacing w:after="0"/>
        <w:contextualSpacing w:val="0"/>
        <w:rPr>
          <w:color w:val="000000"/>
        </w:rPr>
      </w:pPr>
      <w:r>
        <w:rPr>
          <w:color w:val="000000"/>
        </w:rPr>
        <w:tab/>
      </w:r>
      <w:r w:rsidR="00111A50" w:rsidRPr="002C5A21">
        <w:rPr>
          <w:color w:val="000000"/>
        </w:rPr>
        <w:t>(</w:t>
      </w:r>
      <w:r w:rsidR="00111A50" w:rsidRPr="006C5CE0">
        <w:rPr>
          <w:i/>
          <w:color w:val="000000"/>
        </w:rPr>
        <w:t>a</w:t>
      </w:r>
      <w:r>
        <w:rPr>
          <w:color w:val="000000"/>
        </w:rPr>
        <w:t>)</w:t>
      </w:r>
      <w:r>
        <w:rPr>
          <w:color w:val="000000"/>
        </w:rPr>
        <w:tab/>
      </w:r>
      <w:proofErr w:type="gramStart"/>
      <w:r w:rsidR="00111A50" w:rsidRPr="002C5A21">
        <w:rPr>
          <w:color w:val="000000"/>
        </w:rPr>
        <w:t>in</w:t>
      </w:r>
      <w:proofErr w:type="gramEnd"/>
      <w:r w:rsidR="00111A50" w:rsidRPr="002C5A21">
        <w:rPr>
          <w:color w:val="000000"/>
        </w:rPr>
        <w:t xml:space="preserve"> the Province of Quebec, in respect of</w:t>
      </w:r>
    </w:p>
    <w:p w:rsidR="00111A50" w:rsidRPr="002C5A21" w:rsidRDefault="00111A50" w:rsidP="00827894">
      <w:pPr>
        <w:pStyle w:val="subparagraph"/>
        <w:spacing w:before="0"/>
        <w:ind w:left="346"/>
        <w:jc w:val="both"/>
        <w:rPr>
          <w:rFonts w:ascii="Times New Roman" w:hAnsi="Times New Roman"/>
          <w:color w:val="000000"/>
        </w:rPr>
      </w:pPr>
    </w:p>
    <w:p w:rsidR="00111A50" w:rsidRDefault="007A0556" w:rsidP="005359C6">
      <w:pPr>
        <w:pStyle w:val="Citation"/>
        <w:tabs>
          <w:tab w:val="left" w:pos="1620"/>
          <w:tab w:val="left" w:pos="2160"/>
          <w:tab w:val="left" w:pos="2700"/>
        </w:tabs>
        <w:spacing w:after="0"/>
        <w:ind w:left="2160" w:hanging="994"/>
        <w:contextualSpacing w:val="0"/>
        <w:rPr>
          <w:color w:val="000000"/>
        </w:rPr>
      </w:pPr>
      <w:r>
        <w:rPr>
          <w:color w:val="000000"/>
        </w:rPr>
        <w:tab/>
      </w:r>
      <w:r w:rsidR="003E5303">
        <w:rPr>
          <w:color w:val="000000"/>
        </w:rPr>
        <w:tab/>
      </w:r>
      <w:r w:rsidR="00111A50" w:rsidRPr="002C5A21">
        <w:rPr>
          <w:color w:val="000000"/>
        </w:rPr>
        <w:t>(</w:t>
      </w:r>
      <w:proofErr w:type="spellStart"/>
      <w:r w:rsidR="00111A50" w:rsidRPr="002C5A21">
        <w:rPr>
          <w:color w:val="000000"/>
        </w:rPr>
        <w:t>i</w:t>
      </w:r>
      <w:proofErr w:type="spellEnd"/>
      <w:r w:rsidR="00111A50" w:rsidRPr="002C5A21">
        <w:rPr>
          <w:color w:val="000000"/>
        </w:rPr>
        <w:t>)</w:t>
      </w:r>
      <w:r>
        <w:rPr>
          <w:color w:val="000000"/>
        </w:rPr>
        <w:tab/>
      </w:r>
      <w:proofErr w:type="gramStart"/>
      <w:r w:rsidR="00111A50" w:rsidRPr="002C5A21">
        <w:rPr>
          <w:color w:val="000000"/>
        </w:rPr>
        <w:t>the</w:t>
      </w:r>
      <w:proofErr w:type="gramEnd"/>
      <w:r w:rsidR="00111A50" w:rsidRPr="002C5A21">
        <w:rPr>
          <w:color w:val="000000"/>
        </w:rPr>
        <w:t xml:space="preserve"> damage caused by the fault of a servant of the Crown, or</w:t>
      </w:r>
    </w:p>
    <w:p w:rsidR="00111A50" w:rsidRPr="002C5A21" w:rsidRDefault="00111A50" w:rsidP="00827894">
      <w:pPr>
        <w:pStyle w:val="subparagraph"/>
        <w:spacing w:before="0"/>
        <w:ind w:left="518"/>
        <w:jc w:val="both"/>
        <w:rPr>
          <w:rFonts w:ascii="Times New Roman" w:hAnsi="Times New Roman"/>
          <w:color w:val="000000"/>
          <w:lang w:val="en-CA"/>
        </w:rPr>
      </w:pPr>
    </w:p>
    <w:p w:rsidR="00111A50" w:rsidRDefault="007A0556" w:rsidP="005359C6">
      <w:pPr>
        <w:pStyle w:val="Citation"/>
        <w:tabs>
          <w:tab w:val="left" w:pos="1620"/>
          <w:tab w:val="left" w:pos="2160"/>
          <w:tab w:val="left" w:pos="2700"/>
        </w:tabs>
        <w:spacing w:after="0"/>
        <w:ind w:left="2160" w:hanging="994"/>
        <w:contextualSpacing w:val="0"/>
        <w:rPr>
          <w:color w:val="000000"/>
        </w:rPr>
      </w:pPr>
      <w:r>
        <w:rPr>
          <w:color w:val="000000"/>
        </w:rPr>
        <w:tab/>
      </w:r>
      <w:r w:rsidR="003E5303">
        <w:rPr>
          <w:color w:val="000000"/>
        </w:rPr>
        <w:tab/>
      </w:r>
      <w:r>
        <w:rPr>
          <w:color w:val="000000"/>
        </w:rPr>
        <w:t>(ii)</w:t>
      </w:r>
      <w:r>
        <w:rPr>
          <w:color w:val="000000"/>
        </w:rPr>
        <w:tab/>
      </w:r>
      <w:proofErr w:type="gramStart"/>
      <w:r w:rsidR="00111A50" w:rsidRPr="002C5A21">
        <w:rPr>
          <w:color w:val="000000"/>
        </w:rPr>
        <w:t>the</w:t>
      </w:r>
      <w:proofErr w:type="gramEnd"/>
      <w:r w:rsidR="00111A50" w:rsidRPr="002C5A21">
        <w:rPr>
          <w:color w:val="000000"/>
        </w:rPr>
        <w:t xml:space="preserve"> damage resulting from the act of a thing in the custody of or owned by the Crown or by the fault of the Crown as custodian or owner; and</w:t>
      </w:r>
    </w:p>
    <w:p w:rsidR="00111A50" w:rsidRPr="002C5A21" w:rsidRDefault="00111A50" w:rsidP="00827894">
      <w:pPr>
        <w:pStyle w:val="subparagraph"/>
        <w:spacing w:before="0"/>
        <w:ind w:left="518"/>
        <w:jc w:val="both"/>
        <w:rPr>
          <w:rFonts w:ascii="Times New Roman" w:hAnsi="Times New Roman"/>
          <w:color w:val="000000"/>
          <w:lang w:val="en-CA"/>
        </w:rPr>
      </w:pPr>
    </w:p>
    <w:p w:rsidR="00111A50" w:rsidRDefault="007A0556" w:rsidP="007A0556">
      <w:pPr>
        <w:pStyle w:val="Citation"/>
        <w:tabs>
          <w:tab w:val="left" w:pos="1620"/>
          <w:tab w:val="left" w:pos="2160"/>
        </w:tabs>
        <w:spacing w:after="0"/>
        <w:contextualSpacing w:val="0"/>
        <w:rPr>
          <w:color w:val="000000"/>
          <w:szCs w:val="24"/>
          <w:lang w:eastAsia="en-US"/>
        </w:rPr>
      </w:pPr>
      <w:r>
        <w:rPr>
          <w:color w:val="000000"/>
          <w:szCs w:val="24"/>
          <w:lang w:eastAsia="en-US"/>
        </w:rPr>
        <w:lastRenderedPageBreak/>
        <w:tab/>
      </w:r>
      <w:r w:rsidR="00111A50" w:rsidRPr="002C5A21">
        <w:rPr>
          <w:color w:val="000000"/>
          <w:szCs w:val="24"/>
          <w:lang w:eastAsia="en-US"/>
        </w:rPr>
        <w:t>(</w:t>
      </w:r>
      <w:r w:rsidR="00111A50" w:rsidRPr="002C5A21">
        <w:rPr>
          <w:i/>
          <w:iCs/>
          <w:szCs w:val="24"/>
          <w:lang w:eastAsia="en-US"/>
        </w:rPr>
        <w:t>b</w:t>
      </w:r>
      <w:r>
        <w:rPr>
          <w:color w:val="000000"/>
          <w:szCs w:val="24"/>
          <w:lang w:eastAsia="en-US"/>
        </w:rPr>
        <w:t>)</w:t>
      </w:r>
      <w:r>
        <w:rPr>
          <w:color w:val="000000"/>
          <w:szCs w:val="24"/>
          <w:lang w:eastAsia="en-US"/>
        </w:rPr>
        <w:tab/>
      </w:r>
      <w:proofErr w:type="gramStart"/>
      <w:r w:rsidR="00111A50" w:rsidRPr="002C5A21">
        <w:rPr>
          <w:color w:val="000000"/>
          <w:szCs w:val="24"/>
          <w:lang w:eastAsia="en-US"/>
        </w:rPr>
        <w:t>in</w:t>
      </w:r>
      <w:proofErr w:type="gramEnd"/>
      <w:r w:rsidR="00111A50" w:rsidRPr="002C5A21">
        <w:rPr>
          <w:color w:val="000000"/>
          <w:szCs w:val="24"/>
          <w:lang w:eastAsia="en-US"/>
        </w:rPr>
        <w:t xml:space="preserve"> any other province, in respect of</w:t>
      </w:r>
    </w:p>
    <w:p w:rsidR="00111A50" w:rsidRPr="002C5A21" w:rsidRDefault="00111A50" w:rsidP="00827894">
      <w:pPr>
        <w:ind w:left="346"/>
        <w:jc w:val="both"/>
        <w:rPr>
          <w:color w:val="000000"/>
          <w:szCs w:val="24"/>
          <w:lang w:eastAsia="en-US"/>
        </w:rPr>
      </w:pPr>
    </w:p>
    <w:p w:rsidR="00111A50" w:rsidRDefault="007A0556" w:rsidP="006860A6">
      <w:pPr>
        <w:pStyle w:val="Citation"/>
        <w:tabs>
          <w:tab w:val="left" w:pos="1620"/>
          <w:tab w:val="left" w:pos="2160"/>
          <w:tab w:val="left" w:pos="2700"/>
        </w:tabs>
        <w:spacing w:after="0"/>
        <w:ind w:left="2160" w:hanging="990"/>
        <w:contextualSpacing w:val="0"/>
        <w:rPr>
          <w:color w:val="000000"/>
        </w:rPr>
      </w:pPr>
      <w:r>
        <w:rPr>
          <w:color w:val="000000"/>
        </w:rPr>
        <w:tab/>
      </w:r>
      <w:r w:rsidR="005359C6">
        <w:rPr>
          <w:color w:val="000000"/>
        </w:rPr>
        <w:tab/>
      </w:r>
      <w:r>
        <w:rPr>
          <w:color w:val="000000"/>
        </w:rPr>
        <w:t>(</w:t>
      </w:r>
      <w:proofErr w:type="spellStart"/>
      <w:r>
        <w:rPr>
          <w:color w:val="000000"/>
        </w:rPr>
        <w:t>i</w:t>
      </w:r>
      <w:proofErr w:type="spellEnd"/>
      <w:r>
        <w:rPr>
          <w:color w:val="000000"/>
        </w:rPr>
        <w:t>)</w:t>
      </w:r>
      <w:r>
        <w:rPr>
          <w:color w:val="000000"/>
        </w:rPr>
        <w:tab/>
      </w:r>
      <w:proofErr w:type="gramStart"/>
      <w:r w:rsidR="00111A50" w:rsidRPr="002C5A21">
        <w:rPr>
          <w:color w:val="000000"/>
        </w:rPr>
        <w:t>a</w:t>
      </w:r>
      <w:proofErr w:type="gramEnd"/>
      <w:r w:rsidR="00111A50" w:rsidRPr="002C5A21">
        <w:rPr>
          <w:color w:val="000000"/>
        </w:rPr>
        <w:t xml:space="preserve"> tort committed by a servant of the Crown, or</w:t>
      </w:r>
    </w:p>
    <w:p w:rsidR="00111A50" w:rsidRPr="002C5A21" w:rsidRDefault="00111A50" w:rsidP="00827894">
      <w:pPr>
        <w:pStyle w:val="subparagraph"/>
        <w:spacing w:before="0"/>
        <w:ind w:left="518"/>
        <w:jc w:val="both"/>
        <w:rPr>
          <w:rFonts w:ascii="Times New Roman" w:hAnsi="Times New Roman"/>
          <w:color w:val="000000"/>
          <w:lang w:val="en-CA"/>
        </w:rPr>
      </w:pPr>
    </w:p>
    <w:p w:rsidR="00111A50" w:rsidRPr="002C5A21" w:rsidRDefault="007A0556" w:rsidP="006860A6">
      <w:pPr>
        <w:pStyle w:val="Citation"/>
        <w:tabs>
          <w:tab w:val="left" w:pos="1620"/>
          <w:tab w:val="left" w:pos="2160"/>
          <w:tab w:val="left" w:pos="2700"/>
        </w:tabs>
        <w:spacing w:after="0"/>
        <w:ind w:left="2160" w:hanging="994"/>
        <w:contextualSpacing w:val="0"/>
        <w:rPr>
          <w:color w:val="000000"/>
        </w:rPr>
      </w:pPr>
      <w:r>
        <w:rPr>
          <w:color w:val="000000"/>
        </w:rPr>
        <w:tab/>
      </w:r>
      <w:r w:rsidR="005359C6">
        <w:rPr>
          <w:color w:val="000000"/>
        </w:rPr>
        <w:tab/>
      </w:r>
      <w:r>
        <w:rPr>
          <w:color w:val="000000"/>
        </w:rPr>
        <w:t>(ii)</w:t>
      </w:r>
      <w:r>
        <w:rPr>
          <w:color w:val="000000"/>
        </w:rPr>
        <w:tab/>
      </w:r>
      <w:proofErr w:type="gramStart"/>
      <w:r w:rsidR="00111A50" w:rsidRPr="002C5A21">
        <w:rPr>
          <w:color w:val="000000"/>
        </w:rPr>
        <w:t>a</w:t>
      </w:r>
      <w:proofErr w:type="gramEnd"/>
      <w:r w:rsidR="00111A50" w:rsidRPr="002C5A21">
        <w:rPr>
          <w:color w:val="000000"/>
        </w:rPr>
        <w:t xml:space="preserve"> breach of duty attaching to the ownership, occupation, possession or control of property.</w:t>
      </w:r>
    </w:p>
    <w:p w:rsidR="00111A50" w:rsidRPr="007A0556" w:rsidRDefault="00111A50" w:rsidP="00827894">
      <w:pPr>
        <w:pStyle w:val="subparagraph"/>
        <w:spacing w:before="0"/>
        <w:ind w:left="634"/>
        <w:jc w:val="both"/>
        <w:rPr>
          <w:rFonts w:ascii="Times New Roman" w:hAnsi="Times New Roman"/>
          <w:color w:val="000000"/>
        </w:rPr>
      </w:pPr>
    </w:p>
    <w:p w:rsidR="00111A50" w:rsidRDefault="007A0556" w:rsidP="007A0556">
      <w:pPr>
        <w:pStyle w:val="Citation"/>
        <w:tabs>
          <w:tab w:val="left" w:pos="1620"/>
          <w:tab w:val="left" w:pos="2160"/>
        </w:tabs>
        <w:spacing w:after="0"/>
        <w:contextualSpacing w:val="0"/>
        <w:rPr>
          <w:color w:val="000000"/>
          <w:szCs w:val="24"/>
          <w:lang w:eastAsia="en-US"/>
        </w:rPr>
      </w:pPr>
      <w:bookmarkStart w:id="3" w:name="codese:10"/>
      <w:r>
        <w:rPr>
          <w:color w:val="000000"/>
        </w:rPr>
        <w:tab/>
      </w:r>
      <w:hyperlink r:id="rId10" w:anchor="codese:10" w:history="1">
        <w:r w:rsidR="00111A50" w:rsidRPr="007A0556">
          <w:rPr>
            <w:b/>
            <w:color w:val="000000"/>
          </w:rPr>
          <w:t>10.</w:t>
        </w:r>
      </w:hyperlink>
      <w:bookmarkEnd w:id="3"/>
      <w:r>
        <w:rPr>
          <w:color w:val="000000"/>
        </w:rPr>
        <w:tab/>
      </w:r>
      <w:r w:rsidR="00111A50" w:rsidRPr="007A0556">
        <w:rPr>
          <w:color w:val="000000"/>
        </w:rPr>
        <w:t>No proceedings lie against the Crown by virtue of subparagraph 3(</w:t>
      </w:r>
      <w:r w:rsidR="00111A50" w:rsidRPr="00785431">
        <w:rPr>
          <w:i/>
          <w:color w:val="000000"/>
        </w:rPr>
        <w:t>a</w:t>
      </w:r>
      <w:proofErr w:type="gramStart"/>
      <w:r w:rsidR="00111A50" w:rsidRPr="007A0556">
        <w:rPr>
          <w:color w:val="000000"/>
        </w:rPr>
        <w:t>)(</w:t>
      </w:r>
      <w:proofErr w:type="spellStart"/>
      <w:proofErr w:type="gramEnd"/>
      <w:r w:rsidR="00111A50" w:rsidRPr="007A0556">
        <w:rPr>
          <w:color w:val="000000"/>
        </w:rPr>
        <w:t>i</w:t>
      </w:r>
      <w:proofErr w:type="spellEnd"/>
      <w:r w:rsidR="00111A50" w:rsidRPr="007A0556">
        <w:rPr>
          <w:color w:val="000000"/>
        </w:rPr>
        <w:t>) or</w:t>
      </w:r>
      <w:r w:rsidR="00111A50" w:rsidRPr="002C5A21">
        <w:rPr>
          <w:color w:val="000000"/>
          <w:szCs w:val="24"/>
          <w:lang w:eastAsia="en-US"/>
        </w:rPr>
        <w:t xml:space="preserve"> (</w:t>
      </w:r>
      <w:r w:rsidR="00111A50" w:rsidRPr="002C5A21">
        <w:rPr>
          <w:i/>
          <w:iCs/>
          <w:szCs w:val="24"/>
          <w:lang w:eastAsia="en-US"/>
        </w:rPr>
        <w:t>b</w:t>
      </w:r>
      <w:r w:rsidR="00111A50" w:rsidRPr="002C5A21">
        <w:rPr>
          <w:color w:val="000000"/>
          <w:szCs w:val="24"/>
          <w:lang w:eastAsia="en-US"/>
        </w:rPr>
        <w:t>)(</w:t>
      </w:r>
      <w:proofErr w:type="spellStart"/>
      <w:r w:rsidR="00111A50" w:rsidRPr="002C5A21">
        <w:rPr>
          <w:color w:val="000000"/>
          <w:szCs w:val="24"/>
          <w:lang w:eastAsia="en-US"/>
        </w:rPr>
        <w:t>i</w:t>
      </w:r>
      <w:proofErr w:type="spellEnd"/>
      <w:r w:rsidR="00111A50" w:rsidRPr="002C5A21">
        <w:rPr>
          <w:color w:val="000000"/>
          <w:szCs w:val="24"/>
          <w:lang w:eastAsia="en-US"/>
        </w:rPr>
        <w:t>) in respect of any act or omission of a servant of the Crown unless the act or omission would, apart from the provisions of this Act, have given rise to a cause of action for liability against that servant or the servant’s personal representative or succession.</w:t>
      </w:r>
    </w:p>
    <w:p w:rsidR="007A0556" w:rsidRPr="002C5A21" w:rsidRDefault="007A0556" w:rsidP="007A0556">
      <w:pPr>
        <w:pStyle w:val="Citation"/>
        <w:tabs>
          <w:tab w:val="left" w:pos="1620"/>
          <w:tab w:val="left" w:pos="2160"/>
        </w:tabs>
        <w:spacing w:after="0" w:line="480" w:lineRule="auto"/>
        <w:contextualSpacing w:val="0"/>
        <w:rPr>
          <w:color w:val="000000"/>
          <w:szCs w:val="24"/>
          <w:lang w:eastAsia="en-US"/>
        </w:rPr>
      </w:pPr>
    </w:p>
    <w:p w:rsidR="00226F82" w:rsidRDefault="00226F82" w:rsidP="007A0556">
      <w:pPr>
        <w:rPr>
          <w:lang w:val="en-US"/>
        </w:rPr>
      </w:pPr>
      <w:r w:rsidRPr="00827894">
        <w:rPr>
          <w:i/>
          <w:lang w:val="en-US"/>
        </w:rPr>
        <w:t>Civil Code of Québec</w:t>
      </w:r>
      <w:r w:rsidRPr="00456D30">
        <w:rPr>
          <w:lang w:val="en-US"/>
        </w:rPr>
        <w:t>,</w:t>
      </w:r>
      <w:r w:rsidRPr="002C5A21">
        <w:rPr>
          <w:lang w:val="en-US"/>
        </w:rPr>
        <w:t xml:space="preserve"> R.S.Q., c. C-1991</w:t>
      </w:r>
    </w:p>
    <w:p w:rsidR="007A0556" w:rsidRPr="002C5A21" w:rsidRDefault="007A0556" w:rsidP="007A0556">
      <w:pPr>
        <w:spacing w:line="480" w:lineRule="auto"/>
        <w:rPr>
          <w:lang w:val="en-US"/>
        </w:rPr>
      </w:pPr>
    </w:p>
    <w:p w:rsidR="00111A50" w:rsidRPr="002C5A21" w:rsidRDefault="00111A50" w:rsidP="003E5303">
      <w:pPr>
        <w:pStyle w:val="Citation"/>
        <w:tabs>
          <w:tab w:val="left" w:pos="1620"/>
          <w:tab w:val="left" w:pos="1980"/>
        </w:tabs>
        <w:spacing w:after="0"/>
        <w:contextualSpacing w:val="0"/>
        <w:rPr>
          <w:color w:val="000000"/>
          <w:szCs w:val="24"/>
          <w:lang w:eastAsia="en-US"/>
        </w:rPr>
      </w:pPr>
      <w:bookmarkStart w:id="4" w:name="sec1376para1"/>
      <w:bookmarkStart w:id="5" w:name="sec1376"/>
      <w:bookmarkStart w:id="6" w:name="s1376"/>
      <w:bookmarkEnd w:id="4"/>
      <w:bookmarkEnd w:id="5"/>
      <w:bookmarkEnd w:id="6"/>
      <w:r w:rsidRPr="00456D30">
        <w:rPr>
          <w:b/>
          <w:bCs/>
          <w:szCs w:val="24"/>
          <w:lang w:eastAsia="en-US"/>
        </w:rPr>
        <w:t>1376.</w:t>
      </w:r>
      <w:r w:rsidR="003E5303">
        <w:rPr>
          <w:color w:val="000000"/>
          <w:szCs w:val="24"/>
          <w:lang w:eastAsia="en-US"/>
        </w:rPr>
        <w:tab/>
      </w:r>
      <w:r w:rsidRPr="002C5A21">
        <w:rPr>
          <w:color w:val="000000"/>
          <w:szCs w:val="24"/>
          <w:lang w:eastAsia="en-US"/>
        </w:rPr>
        <w:t>The rules set forth in this Book apply to the State and its bodies, and to all other legal persons established in the public interest, subject to any other rules of law which may be applicable to them.</w:t>
      </w:r>
    </w:p>
    <w:p w:rsidR="00111A50" w:rsidRPr="003E5303" w:rsidRDefault="00111A50" w:rsidP="00827894">
      <w:pPr>
        <w:ind w:hanging="18"/>
        <w:jc w:val="both"/>
        <w:rPr>
          <w:color w:val="000000"/>
          <w:szCs w:val="24"/>
          <w:lang w:val="en-US" w:eastAsia="en-US"/>
        </w:rPr>
      </w:pPr>
      <w:bookmarkStart w:id="7" w:name="art1376al1"/>
      <w:bookmarkStart w:id="8" w:name="art1376"/>
      <w:bookmarkEnd w:id="7"/>
      <w:bookmarkEnd w:id="8"/>
    </w:p>
    <w:p w:rsidR="00111A50" w:rsidRDefault="00111A50" w:rsidP="003E5303">
      <w:pPr>
        <w:pStyle w:val="Citation"/>
        <w:tabs>
          <w:tab w:val="left" w:pos="1620"/>
          <w:tab w:val="left" w:pos="1980"/>
        </w:tabs>
        <w:spacing w:after="0"/>
        <w:contextualSpacing w:val="0"/>
        <w:rPr>
          <w:color w:val="000000"/>
          <w:szCs w:val="24"/>
          <w:lang w:eastAsia="en-US"/>
        </w:rPr>
      </w:pPr>
      <w:r w:rsidRPr="00456D30">
        <w:rPr>
          <w:b/>
          <w:color w:val="000000"/>
          <w:szCs w:val="24"/>
          <w:lang w:eastAsia="en-US"/>
        </w:rPr>
        <w:t>1457.</w:t>
      </w:r>
      <w:r w:rsidR="003E5303">
        <w:rPr>
          <w:color w:val="000000"/>
          <w:szCs w:val="24"/>
          <w:lang w:eastAsia="en-US"/>
        </w:rPr>
        <w:tab/>
      </w:r>
      <w:r w:rsidRPr="002C5A21">
        <w:rPr>
          <w:color w:val="000000"/>
          <w:szCs w:val="24"/>
          <w:lang w:eastAsia="en-US"/>
        </w:rPr>
        <w:t>Every person has a duty to abide by the rules of conduct which lie upon him, according to the circumstances, usage or law, so as not to cause injury to another.</w:t>
      </w:r>
    </w:p>
    <w:p w:rsidR="00111A50" w:rsidRPr="002C5A21" w:rsidRDefault="00111A50" w:rsidP="00827894">
      <w:pPr>
        <w:ind w:hanging="14"/>
        <w:jc w:val="both"/>
        <w:rPr>
          <w:color w:val="000000"/>
          <w:szCs w:val="24"/>
          <w:lang w:eastAsia="en-US"/>
        </w:rPr>
      </w:pPr>
    </w:p>
    <w:p w:rsidR="00111A50" w:rsidRDefault="00111A50" w:rsidP="003E5303">
      <w:pPr>
        <w:pStyle w:val="Citation"/>
        <w:tabs>
          <w:tab w:val="left" w:pos="1620"/>
          <w:tab w:val="left" w:pos="1980"/>
        </w:tabs>
        <w:spacing w:after="0"/>
        <w:contextualSpacing w:val="0"/>
        <w:rPr>
          <w:color w:val="000000"/>
          <w:szCs w:val="24"/>
          <w:lang w:eastAsia="en-US"/>
        </w:rPr>
      </w:pPr>
      <w:r w:rsidRPr="002C5A21">
        <w:rPr>
          <w:color w:val="000000"/>
          <w:szCs w:val="24"/>
          <w:lang w:eastAsia="en-US"/>
        </w:rPr>
        <w:t xml:space="preserve">Where he is endowed with reason and fails in this duty, he is responsible for any injury he causes to another person </w:t>
      </w:r>
      <w:r>
        <w:rPr>
          <w:color w:val="000000"/>
          <w:szCs w:val="24"/>
          <w:lang w:eastAsia="en-US"/>
        </w:rPr>
        <w:t xml:space="preserve">by such fault </w:t>
      </w:r>
      <w:r w:rsidRPr="002C5A21">
        <w:rPr>
          <w:color w:val="000000"/>
          <w:szCs w:val="24"/>
          <w:lang w:eastAsia="en-US"/>
        </w:rPr>
        <w:t>and is liable to reparation for the injury, whether it be bodily, moral or material in nature.</w:t>
      </w:r>
    </w:p>
    <w:p w:rsidR="00111A50" w:rsidRPr="002C5A21" w:rsidRDefault="00111A50" w:rsidP="00827894">
      <w:pPr>
        <w:jc w:val="both"/>
        <w:rPr>
          <w:color w:val="000000"/>
          <w:szCs w:val="24"/>
          <w:lang w:eastAsia="en-US"/>
        </w:rPr>
      </w:pPr>
    </w:p>
    <w:p w:rsidR="00111A50" w:rsidRDefault="00111A50" w:rsidP="003E5303">
      <w:pPr>
        <w:pStyle w:val="Citation"/>
        <w:tabs>
          <w:tab w:val="left" w:pos="1620"/>
          <w:tab w:val="left" w:pos="1980"/>
        </w:tabs>
        <w:spacing w:after="0"/>
        <w:contextualSpacing w:val="0"/>
        <w:rPr>
          <w:color w:val="000000"/>
          <w:szCs w:val="24"/>
          <w:lang w:eastAsia="en-US"/>
        </w:rPr>
      </w:pPr>
      <w:r w:rsidRPr="002C5A21">
        <w:rPr>
          <w:color w:val="000000"/>
          <w:szCs w:val="24"/>
          <w:lang w:eastAsia="en-US"/>
        </w:rPr>
        <w:t>He is also liable, in certain cases, to reparation for injury caused to another by the act or fault of another person or by the act of things in his custody.</w:t>
      </w:r>
      <w:bookmarkStart w:id="9" w:name="D1457_Y"/>
      <w:bookmarkStart w:id="10" w:name="art1457al1"/>
      <w:bookmarkStart w:id="11" w:name="art1457"/>
      <w:bookmarkStart w:id="12" w:name="s1457"/>
      <w:bookmarkEnd w:id="9"/>
      <w:bookmarkEnd w:id="10"/>
      <w:bookmarkEnd w:id="11"/>
      <w:bookmarkEnd w:id="12"/>
    </w:p>
    <w:p w:rsidR="003E5303" w:rsidRPr="005359C6" w:rsidRDefault="003E5303" w:rsidP="003E5303">
      <w:pPr>
        <w:pStyle w:val="Citation"/>
        <w:tabs>
          <w:tab w:val="left" w:pos="1620"/>
          <w:tab w:val="left" w:pos="1980"/>
        </w:tabs>
        <w:spacing w:after="0" w:line="480" w:lineRule="auto"/>
        <w:contextualSpacing w:val="0"/>
        <w:rPr>
          <w:bCs/>
          <w:szCs w:val="24"/>
          <w:lang w:val="en-US" w:eastAsia="en-US"/>
        </w:rPr>
      </w:pPr>
    </w:p>
    <w:p w:rsidR="00226F82" w:rsidRDefault="00226F82" w:rsidP="003E5303">
      <w:pPr>
        <w:rPr>
          <w:rStyle w:val="reference1"/>
          <w:color w:val="000000"/>
          <w:szCs w:val="24"/>
        </w:rPr>
      </w:pPr>
      <w:r w:rsidRPr="00827894">
        <w:rPr>
          <w:i/>
        </w:rPr>
        <w:t>Code of Civil Procedure</w:t>
      </w:r>
      <w:r w:rsidRPr="00830E0F">
        <w:rPr>
          <w:szCs w:val="24"/>
        </w:rPr>
        <w:t>,</w:t>
      </w:r>
      <w:r w:rsidRPr="002C5A21">
        <w:rPr>
          <w:szCs w:val="24"/>
        </w:rPr>
        <w:t xml:space="preserve"> </w:t>
      </w:r>
      <w:r w:rsidRPr="002C5A21">
        <w:rPr>
          <w:rStyle w:val="reference1"/>
          <w:color w:val="000000"/>
          <w:szCs w:val="24"/>
        </w:rPr>
        <w:t>R.S.Q., c. C-25</w:t>
      </w:r>
    </w:p>
    <w:p w:rsidR="003E5303" w:rsidRPr="002C5A21" w:rsidRDefault="003E5303" w:rsidP="003E5303">
      <w:pPr>
        <w:spacing w:line="480" w:lineRule="auto"/>
        <w:rPr>
          <w:lang w:val="en-US"/>
        </w:rPr>
      </w:pPr>
    </w:p>
    <w:p w:rsidR="00111A50" w:rsidRPr="002C5A21" w:rsidRDefault="00111A50" w:rsidP="00C402BE">
      <w:pPr>
        <w:pStyle w:val="Citation"/>
        <w:tabs>
          <w:tab w:val="left" w:pos="1980"/>
        </w:tabs>
        <w:spacing w:after="0"/>
        <w:contextualSpacing w:val="0"/>
        <w:rPr>
          <w:color w:val="000000"/>
          <w:szCs w:val="24"/>
          <w:lang w:eastAsia="en-US"/>
        </w:rPr>
      </w:pPr>
      <w:bookmarkStart w:id="13" w:name="D%216_Y"/>
      <w:bookmarkStart w:id="14" w:name="s216"/>
      <w:bookmarkEnd w:id="13"/>
      <w:bookmarkEnd w:id="14"/>
      <w:r w:rsidRPr="00C402BE">
        <w:rPr>
          <w:b/>
          <w:color w:val="000000"/>
          <w:szCs w:val="24"/>
          <w:lang w:eastAsia="en-US"/>
        </w:rPr>
        <w:t>216</w:t>
      </w:r>
      <w:r w:rsidRPr="00C402BE">
        <w:rPr>
          <w:b/>
          <w:bCs/>
          <w:color w:val="000000"/>
          <w:szCs w:val="24"/>
          <w:lang w:eastAsia="en-US"/>
        </w:rPr>
        <w:t>.</w:t>
      </w:r>
      <w:r w:rsidR="00C402BE">
        <w:rPr>
          <w:color w:val="000000"/>
          <w:szCs w:val="24"/>
          <w:lang w:eastAsia="en-US"/>
        </w:rPr>
        <w:tab/>
      </w:r>
      <w:r w:rsidRPr="002C5A21">
        <w:rPr>
          <w:color w:val="000000"/>
          <w:szCs w:val="24"/>
          <w:lang w:eastAsia="en-US"/>
        </w:rPr>
        <w:t xml:space="preserve">Any party to a case may </w:t>
      </w:r>
      <w:proofErr w:type="spellStart"/>
      <w:r w:rsidRPr="002C5A21">
        <w:rPr>
          <w:color w:val="000000"/>
          <w:szCs w:val="24"/>
          <w:lang w:eastAsia="en-US"/>
        </w:rPr>
        <w:t>implead</w:t>
      </w:r>
      <w:proofErr w:type="spellEnd"/>
      <w:r w:rsidRPr="002C5A21">
        <w:rPr>
          <w:color w:val="000000"/>
          <w:szCs w:val="24"/>
          <w:lang w:eastAsia="en-US"/>
        </w:rPr>
        <w:t xml:space="preserve"> a third party whose presence is necessary to permit a complete solution of the question involved in the action, or against whom he claims to exercise a recourse in warranty.</w:t>
      </w:r>
    </w:p>
    <w:p w:rsidR="00111A50" w:rsidRPr="00111A50" w:rsidRDefault="00111A50" w:rsidP="003E5303">
      <w:pPr>
        <w:spacing w:line="480" w:lineRule="auto"/>
        <w:jc w:val="both"/>
        <w:rPr>
          <w:szCs w:val="24"/>
          <w:lang w:val="en-US"/>
        </w:rPr>
      </w:pPr>
    </w:p>
    <w:p w:rsidR="00226F82" w:rsidRPr="003855D4" w:rsidRDefault="00226F82" w:rsidP="00FB297E">
      <w:pPr>
        <w:tabs>
          <w:tab w:val="left" w:pos="720"/>
        </w:tabs>
        <w:spacing w:after="480"/>
        <w:ind w:left="720" w:hanging="720"/>
        <w:rPr>
          <w:u w:val="single"/>
        </w:rPr>
      </w:pPr>
      <w:r w:rsidRPr="003855D4">
        <w:t>IV.</w:t>
      </w:r>
      <w:r w:rsidR="00FB297E">
        <w:tab/>
      </w:r>
      <w:r w:rsidRPr="003855D4">
        <w:rPr>
          <w:u w:val="single"/>
        </w:rPr>
        <w:t>Analysis</w:t>
      </w:r>
    </w:p>
    <w:p w:rsidR="00226F82" w:rsidRPr="00FB297E" w:rsidRDefault="00FB297E" w:rsidP="00FB297E">
      <w:pPr>
        <w:tabs>
          <w:tab w:val="left" w:pos="720"/>
        </w:tabs>
        <w:spacing w:after="480"/>
        <w:ind w:left="720" w:hanging="720"/>
        <w:rPr>
          <w:i/>
        </w:rPr>
      </w:pPr>
      <w:r w:rsidRPr="00FB297E">
        <w:t>A.</w:t>
      </w:r>
      <w:r>
        <w:rPr>
          <w:i/>
        </w:rPr>
        <w:tab/>
      </w:r>
      <w:r w:rsidR="00226F82" w:rsidRPr="00FB297E">
        <w:rPr>
          <w:i/>
        </w:rPr>
        <w:t xml:space="preserve">Jurisdiction of the Quebec Superior Court </w:t>
      </w:r>
    </w:p>
    <w:p w:rsidR="00226F82" w:rsidRPr="002C5A21" w:rsidRDefault="00226F82" w:rsidP="00827894">
      <w:pPr>
        <w:pStyle w:val="ReasonsNumbering-AltN"/>
        <w:rPr>
          <w:u w:val="single"/>
        </w:rPr>
      </w:pPr>
      <w:r w:rsidRPr="002C5A21">
        <w:rPr>
          <w:lang w:val="en-US"/>
        </w:rPr>
        <w:lastRenderedPageBreak/>
        <w:t>T</w:t>
      </w:r>
      <w:r w:rsidRPr="002C5A21">
        <w:t xml:space="preserve">he Agency contends that the Court of Appeal failed to consider the substance of the case before it </w:t>
      </w:r>
      <w:r>
        <w:t>in that, rather than</w:t>
      </w:r>
      <w:r w:rsidRPr="002C5A21">
        <w:t xml:space="preserve"> examining the facts </w:t>
      </w:r>
      <w:r>
        <w:t>that gave</w:t>
      </w:r>
      <w:r w:rsidRPr="002C5A21">
        <w:t xml:space="preserve"> rise to </w:t>
      </w:r>
      <w:r>
        <w:t xml:space="preserve">the case, it merely </w:t>
      </w:r>
      <w:r w:rsidRPr="002C5A21">
        <w:t>accept</w:t>
      </w:r>
      <w:r>
        <w:t>ed</w:t>
      </w:r>
      <w:r w:rsidRPr="002C5A21">
        <w:t xml:space="preserve"> the submissions of the Institute and the veterinarians that their </w:t>
      </w:r>
      <w:r>
        <w:t>recourses</w:t>
      </w:r>
      <w:r w:rsidRPr="002C5A21">
        <w:t xml:space="preserve"> in warranty w</w:t>
      </w:r>
      <w:r>
        <w:t>ere concerned</w:t>
      </w:r>
      <w:r w:rsidRPr="002C5A21">
        <w:t xml:space="preserve"> not </w:t>
      </w:r>
      <w:r>
        <w:t>with</w:t>
      </w:r>
      <w:r w:rsidRPr="002C5A21">
        <w:t xml:space="preserve"> the legality </w:t>
      </w:r>
      <w:r>
        <w:t>or the</w:t>
      </w:r>
      <w:r w:rsidRPr="002C5A21">
        <w:t xml:space="preserve"> validity of the Agency’s decision, but </w:t>
      </w:r>
      <w:r>
        <w:t>with their view that the decision was</w:t>
      </w:r>
      <w:r w:rsidRPr="002C5A21">
        <w:t xml:space="preserve"> “unjustified, excessive </w:t>
      </w:r>
      <w:r>
        <w:t>and wrongful”</w:t>
      </w:r>
      <w:r w:rsidRPr="002C5A21">
        <w:t xml:space="preserve">. In </w:t>
      </w:r>
      <w:r>
        <w:t>the Agency’s opinion</w:t>
      </w:r>
      <w:r w:rsidRPr="002C5A21">
        <w:t xml:space="preserve">, the Institute and the veterinarians </w:t>
      </w:r>
      <w:r>
        <w:t>were essentially seeking</w:t>
      </w:r>
      <w:r w:rsidRPr="002C5A21">
        <w:t xml:space="preserve"> to attack the legality and validity of the Agency’s decision by way of judicial review in the Superior Court</w:t>
      </w:r>
      <w:r>
        <w:t>, but</w:t>
      </w:r>
      <w:r w:rsidRPr="002C5A21">
        <w:t xml:space="preserve"> in </w:t>
      </w:r>
      <w:r>
        <w:t xml:space="preserve">the </w:t>
      </w:r>
      <w:r w:rsidRPr="002C5A21">
        <w:t>gu</w:t>
      </w:r>
      <w:r w:rsidR="00C402BE">
        <w:t>ise of an action for damages.</w:t>
      </w:r>
    </w:p>
    <w:p w:rsidR="00226F82" w:rsidRPr="002C5A21" w:rsidRDefault="00226F82" w:rsidP="00827894">
      <w:pPr>
        <w:pStyle w:val="ReasonsNumbering-AltN"/>
        <w:rPr>
          <w:u w:val="single"/>
          <w:lang w:val="en-US"/>
        </w:rPr>
      </w:pPr>
      <w:r w:rsidRPr="002C5A21">
        <w:t xml:space="preserve">The Agency submits that the Court of Appeal also failed to consider the fact that in federal administrative law, </w:t>
      </w:r>
      <w:r>
        <w:t xml:space="preserve">a </w:t>
      </w:r>
      <w:r w:rsidRPr="002C5A21">
        <w:t xml:space="preserve">review of the legality or validity of a decision </w:t>
      </w:r>
      <w:r>
        <w:t xml:space="preserve">of a federal board, commission or other tribunal </w:t>
      </w:r>
      <w:r w:rsidRPr="002C5A21">
        <w:t xml:space="preserve">is within the exclusive jurisdiction of the Federal Court </w:t>
      </w:r>
      <w:r>
        <w:t>pursuant to</w:t>
      </w:r>
      <w:r w:rsidRPr="002C5A21">
        <w:t xml:space="preserve"> s</w:t>
      </w:r>
      <w:r>
        <w:t>.</w:t>
      </w:r>
      <w:r w:rsidRPr="002C5A21">
        <w:t xml:space="preserve"> 18 of the </w:t>
      </w:r>
      <w:r w:rsidRPr="002C5A21">
        <w:rPr>
          <w:i/>
        </w:rPr>
        <w:t>Federal Courts Act</w:t>
      </w:r>
      <w:r w:rsidRPr="002C5A21">
        <w:t>, R.S.C. 1985</w:t>
      </w:r>
      <w:r>
        <w:t>,</w:t>
      </w:r>
      <w:r w:rsidRPr="002C5A21">
        <w:t xml:space="preserve"> </w:t>
      </w:r>
      <w:proofErr w:type="gramStart"/>
      <w:r w:rsidRPr="002C5A21">
        <w:t>c</w:t>
      </w:r>
      <w:proofErr w:type="gramEnd"/>
      <w:r w:rsidRPr="002C5A21">
        <w:t xml:space="preserve">. F-7. </w:t>
      </w:r>
      <w:r w:rsidRPr="002C5A21">
        <w:rPr>
          <w:color w:val="000000"/>
        </w:rPr>
        <w:t xml:space="preserve">It </w:t>
      </w:r>
      <w:r>
        <w:rPr>
          <w:color w:val="000000"/>
        </w:rPr>
        <w:t>argues</w:t>
      </w:r>
      <w:r w:rsidRPr="002C5A21">
        <w:rPr>
          <w:color w:val="000000"/>
        </w:rPr>
        <w:t xml:space="preserve"> that t</w:t>
      </w:r>
      <w:r w:rsidRPr="002C5A21">
        <w:rPr>
          <w:lang w:val="en-US"/>
        </w:rPr>
        <w:t>he decision in</w:t>
      </w:r>
      <w:r w:rsidR="00B72BD7" w:rsidRPr="002C5A21">
        <w:rPr>
          <w:szCs w:val="24"/>
        </w:rPr>
        <w:fldChar w:fldCharType="begin"/>
      </w:r>
      <w:r w:rsidRPr="002C5A21">
        <w:rPr>
          <w:szCs w:val="24"/>
          <w:lang w:val="en-US"/>
        </w:rPr>
        <w:instrText xml:space="preserve"> SEQ CHAPTER \h \r 1</w:instrText>
      </w:r>
      <w:r w:rsidR="00B72BD7" w:rsidRPr="002C5A21">
        <w:rPr>
          <w:szCs w:val="24"/>
        </w:rPr>
        <w:fldChar w:fldCharType="end"/>
      </w:r>
      <w:r w:rsidRPr="002C5A21">
        <w:rPr>
          <w:i/>
          <w:iCs/>
          <w:szCs w:val="24"/>
          <w:lang w:val="en-US"/>
        </w:rPr>
        <w:t xml:space="preserve"> </w:t>
      </w:r>
      <w:proofErr w:type="spellStart"/>
      <w:r w:rsidRPr="002C5A21">
        <w:rPr>
          <w:i/>
          <w:iCs/>
          <w:szCs w:val="24"/>
          <w:lang w:val="en-US"/>
        </w:rPr>
        <w:t>Welbridge</w:t>
      </w:r>
      <w:proofErr w:type="spellEnd"/>
      <w:r w:rsidRPr="002C5A21">
        <w:rPr>
          <w:i/>
          <w:iCs/>
          <w:szCs w:val="24"/>
          <w:lang w:val="en-US"/>
        </w:rPr>
        <w:t xml:space="preserve"> Holdings Ltd. v. Greater Winnipeg</w:t>
      </w:r>
      <w:r w:rsidRPr="002C5A21">
        <w:rPr>
          <w:szCs w:val="24"/>
          <w:lang w:val="en-US"/>
        </w:rPr>
        <w:t xml:space="preserve">, [1971] S.C.R. 957, </w:t>
      </w:r>
      <w:r>
        <w:rPr>
          <w:szCs w:val="24"/>
          <w:lang w:val="en-US"/>
        </w:rPr>
        <w:t xml:space="preserve">if </w:t>
      </w:r>
      <w:r w:rsidRPr="002C5A21">
        <w:rPr>
          <w:szCs w:val="24"/>
          <w:lang w:val="en-US"/>
        </w:rPr>
        <w:t xml:space="preserve">properly interpreted, stands for the </w:t>
      </w:r>
      <w:r w:rsidRPr="002C5A21">
        <w:rPr>
          <w:szCs w:val="24"/>
        </w:rPr>
        <w:t xml:space="preserve">proposition that a government decision, even </w:t>
      </w:r>
      <w:r>
        <w:rPr>
          <w:szCs w:val="24"/>
        </w:rPr>
        <w:t>one that is</w:t>
      </w:r>
      <w:r w:rsidRPr="002C5A21">
        <w:rPr>
          <w:szCs w:val="24"/>
        </w:rPr>
        <w:t xml:space="preserve"> unlawful </w:t>
      </w:r>
      <w:r>
        <w:rPr>
          <w:szCs w:val="24"/>
        </w:rPr>
        <w:t>for</w:t>
      </w:r>
      <w:r w:rsidRPr="002C5A21">
        <w:rPr>
          <w:szCs w:val="24"/>
        </w:rPr>
        <w:t xml:space="preserve"> administrative law </w:t>
      </w:r>
      <w:r>
        <w:rPr>
          <w:szCs w:val="24"/>
        </w:rPr>
        <w:t>purposes, does</w:t>
      </w:r>
      <w:r w:rsidRPr="002C5A21">
        <w:rPr>
          <w:szCs w:val="24"/>
        </w:rPr>
        <w:t xml:space="preserve"> not necessarily </w:t>
      </w:r>
      <w:r>
        <w:rPr>
          <w:szCs w:val="24"/>
        </w:rPr>
        <w:t xml:space="preserve">constitute </w:t>
      </w:r>
      <w:r w:rsidRPr="002C5A21">
        <w:rPr>
          <w:color w:val="000000"/>
          <w:szCs w:val="24"/>
        </w:rPr>
        <w:t>a fault giving rise to a civil claim</w:t>
      </w:r>
      <w:r w:rsidRPr="002C5A21">
        <w:rPr>
          <w:szCs w:val="24"/>
        </w:rPr>
        <w:t xml:space="preserve">. </w:t>
      </w:r>
      <w:r w:rsidRPr="002C5A21">
        <w:rPr>
          <w:color w:val="000000"/>
          <w:szCs w:val="24"/>
        </w:rPr>
        <w:t>Th</w:t>
      </w:r>
      <w:r>
        <w:rPr>
          <w:color w:val="000000"/>
          <w:szCs w:val="24"/>
        </w:rPr>
        <w:t>e Agency</w:t>
      </w:r>
      <w:r w:rsidRPr="002C5A21">
        <w:rPr>
          <w:color w:val="000000"/>
          <w:szCs w:val="24"/>
        </w:rPr>
        <w:t xml:space="preserve"> adds that </w:t>
      </w:r>
      <w:proofErr w:type="spellStart"/>
      <w:r w:rsidRPr="002C5A21">
        <w:rPr>
          <w:i/>
          <w:szCs w:val="24"/>
        </w:rPr>
        <w:t>Welbridge</w:t>
      </w:r>
      <w:proofErr w:type="spellEnd"/>
      <w:r w:rsidRPr="002C5A21">
        <w:rPr>
          <w:szCs w:val="24"/>
        </w:rPr>
        <w:t xml:space="preserve"> confirms that a party alleging the illegality of an administrative decision must first </w:t>
      </w:r>
      <w:r>
        <w:rPr>
          <w:szCs w:val="24"/>
        </w:rPr>
        <w:t>contest the decision</w:t>
      </w:r>
      <w:r w:rsidRPr="002C5A21">
        <w:rPr>
          <w:szCs w:val="24"/>
        </w:rPr>
        <w:t xml:space="preserve"> by way of judicial review</w:t>
      </w:r>
      <w:r w:rsidRPr="002C5A21">
        <w:rPr>
          <w:color w:val="000000"/>
          <w:szCs w:val="24"/>
        </w:rPr>
        <w:t xml:space="preserve"> and</w:t>
      </w:r>
      <w:r w:rsidRPr="002C5A21">
        <w:rPr>
          <w:szCs w:val="24"/>
        </w:rPr>
        <w:t xml:space="preserve"> </w:t>
      </w:r>
      <w:r w:rsidRPr="002C5A21">
        <w:t>cannot</w:t>
      </w:r>
      <w:r>
        <w:t>,</w:t>
      </w:r>
      <w:r w:rsidRPr="002C5A21">
        <w:t xml:space="preserve"> as a collateral attack on </w:t>
      </w:r>
      <w:r>
        <w:t>the decision, bring</w:t>
      </w:r>
      <w:r w:rsidRPr="002C5A21">
        <w:t xml:space="preserve"> an action for damages </w:t>
      </w:r>
      <w:r>
        <w:t>with respect to its</w:t>
      </w:r>
      <w:r w:rsidRPr="002C5A21">
        <w:t xml:space="preserve"> consequences.</w:t>
      </w:r>
      <w:r w:rsidRPr="002C5A21">
        <w:rPr>
          <w:u w:val="single"/>
        </w:rPr>
        <w:t xml:space="preserve"> </w:t>
      </w:r>
    </w:p>
    <w:p w:rsidR="00226F82" w:rsidRPr="002C5A21" w:rsidRDefault="00226F82" w:rsidP="00827894">
      <w:pPr>
        <w:pStyle w:val="ReasonsNumbering-AltN"/>
        <w:rPr>
          <w:u w:val="single"/>
        </w:rPr>
      </w:pPr>
      <w:r w:rsidRPr="002C5A21">
        <w:t xml:space="preserve">For the reasons set out in the companion case of </w:t>
      </w:r>
      <w:proofErr w:type="spellStart"/>
      <w:r w:rsidRPr="002C5A21">
        <w:rPr>
          <w:i/>
        </w:rPr>
        <w:t>Tele</w:t>
      </w:r>
      <w:r>
        <w:rPr>
          <w:i/>
        </w:rPr>
        <w:t>Z</w:t>
      </w:r>
      <w:r w:rsidRPr="002C5A21">
        <w:rPr>
          <w:i/>
        </w:rPr>
        <w:t>one</w:t>
      </w:r>
      <w:proofErr w:type="spellEnd"/>
      <w:r w:rsidRPr="002C5A21">
        <w:t xml:space="preserve">, these arguments must fail. In </w:t>
      </w:r>
      <w:proofErr w:type="spellStart"/>
      <w:r w:rsidRPr="002C5A21">
        <w:rPr>
          <w:i/>
        </w:rPr>
        <w:t>Tele</w:t>
      </w:r>
      <w:r>
        <w:rPr>
          <w:i/>
        </w:rPr>
        <w:t>Z</w:t>
      </w:r>
      <w:r w:rsidRPr="002C5A21">
        <w:rPr>
          <w:i/>
        </w:rPr>
        <w:t>one</w:t>
      </w:r>
      <w:proofErr w:type="spellEnd"/>
      <w:r w:rsidRPr="002C5A21">
        <w:t xml:space="preserve">, </w:t>
      </w:r>
      <w:proofErr w:type="spellStart"/>
      <w:r w:rsidRPr="002C5A21">
        <w:t>Binnie</w:t>
      </w:r>
      <w:proofErr w:type="spellEnd"/>
      <w:r w:rsidRPr="002C5A21">
        <w:t xml:space="preserve"> J. conclude</w:t>
      </w:r>
      <w:r>
        <w:t>s</w:t>
      </w:r>
      <w:r w:rsidRPr="002C5A21">
        <w:t xml:space="preserve"> that s</w:t>
      </w:r>
      <w:r>
        <w:t>.</w:t>
      </w:r>
      <w:r w:rsidRPr="002C5A21">
        <w:t xml:space="preserve"> 18 of the </w:t>
      </w:r>
      <w:r w:rsidRPr="002C5A21">
        <w:rPr>
          <w:i/>
        </w:rPr>
        <w:t xml:space="preserve">Federal Courts </w:t>
      </w:r>
      <w:r w:rsidRPr="002C5A21">
        <w:rPr>
          <w:i/>
        </w:rPr>
        <w:lastRenderedPageBreak/>
        <w:t>Act</w:t>
      </w:r>
      <w:r w:rsidRPr="002C5A21">
        <w:t xml:space="preserve">, which grants exclusive jurisdiction </w:t>
      </w:r>
      <w:r>
        <w:t>to the Federal Court to hear and determine applications for judicial review of decisions of</w:t>
      </w:r>
      <w:r w:rsidRPr="002C5A21">
        <w:t xml:space="preserve"> the federal Crown and its agents</w:t>
      </w:r>
      <w:r>
        <w:t>,</w:t>
      </w:r>
      <w:r w:rsidRPr="002C5A21">
        <w:t xml:space="preserve"> does not have the legal effect of ousting the jurisdiction o</w:t>
      </w:r>
      <w:r>
        <w:t>f</w:t>
      </w:r>
      <w:r w:rsidRPr="002C5A21">
        <w:t xml:space="preserve"> the provincial superior courts to deal with </w:t>
      </w:r>
      <w:r>
        <w:t>private</w:t>
      </w:r>
      <w:r w:rsidRPr="002C5A21">
        <w:t xml:space="preserve"> law claims against the federal Crown. </w:t>
      </w:r>
      <w:r>
        <w:t>S</w:t>
      </w:r>
      <w:r w:rsidRPr="002C5A21">
        <w:t>uccessful</w:t>
      </w:r>
      <w:r>
        <w:t>ly</w:t>
      </w:r>
      <w:r w:rsidRPr="002C5A21">
        <w:t xml:space="preserve"> challeng</w:t>
      </w:r>
      <w:r>
        <w:t>ing</w:t>
      </w:r>
      <w:r w:rsidRPr="002C5A21">
        <w:t xml:space="preserve"> an administrative decision of a federal board on judicial review is not a requirement for bringing an action for damages </w:t>
      </w:r>
      <w:r>
        <w:t>with respect to that</w:t>
      </w:r>
      <w:r w:rsidRPr="002C5A21">
        <w:t xml:space="preserve"> decision. The principle </w:t>
      </w:r>
      <w:r>
        <w:t>formulated</w:t>
      </w:r>
      <w:r w:rsidRPr="002C5A21">
        <w:t xml:space="preserve"> by the Federal Court of Appeal in </w:t>
      </w:r>
      <w:r w:rsidRPr="002C5A21">
        <w:rPr>
          <w:i/>
        </w:rPr>
        <w:t xml:space="preserve">Canada v. </w:t>
      </w:r>
      <w:proofErr w:type="spellStart"/>
      <w:r w:rsidRPr="002C5A21">
        <w:rPr>
          <w:i/>
        </w:rPr>
        <w:t>Grenier</w:t>
      </w:r>
      <w:proofErr w:type="spellEnd"/>
      <w:r w:rsidRPr="002C5A21">
        <w:t>, 2005 FCA 348</w:t>
      </w:r>
      <w:r>
        <w:t>,</w:t>
      </w:r>
      <w:r w:rsidRPr="002C5A21">
        <w:t xml:space="preserve"> [200</w:t>
      </w:r>
      <w:r>
        <w:t>6</w:t>
      </w:r>
      <w:r w:rsidRPr="002C5A21">
        <w:t>] 2 F.C.</w:t>
      </w:r>
      <w:r>
        <w:t>R.</w:t>
      </w:r>
      <w:r w:rsidRPr="002C5A21">
        <w:t xml:space="preserve"> 287, </w:t>
      </w:r>
      <w:r>
        <w:t xml:space="preserve">namely </w:t>
      </w:r>
      <w:r w:rsidRPr="002C5A21">
        <w:t xml:space="preserve">that the </w:t>
      </w:r>
      <w:r>
        <w:t xml:space="preserve">only </w:t>
      </w:r>
      <w:r w:rsidRPr="002C5A21">
        <w:t xml:space="preserve">remedy for </w:t>
      </w:r>
      <w:r>
        <w:t xml:space="preserve">damage resulting from an action of a </w:t>
      </w:r>
      <w:r w:rsidRPr="002C5A21">
        <w:t xml:space="preserve">federal administrative </w:t>
      </w:r>
      <w:r>
        <w:t>agency lies in</w:t>
      </w:r>
      <w:r w:rsidRPr="002C5A21">
        <w:t xml:space="preserve"> an application </w:t>
      </w:r>
      <w:r>
        <w:t xml:space="preserve">to the Federal Court </w:t>
      </w:r>
      <w:r w:rsidRPr="002C5A21">
        <w:t>for judicial review</w:t>
      </w:r>
      <w:r>
        <w:t>,</w:t>
      </w:r>
      <w:r w:rsidRPr="002C5A21">
        <w:t xml:space="preserve"> should no longer be </w:t>
      </w:r>
      <w:r>
        <w:t>seen</w:t>
      </w:r>
      <w:r w:rsidRPr="002C5A21">
        <w:t xml:space="preserve"> as shielding the federal Crown from civil liability </w:t>
      </w:r>
      <w:r>
        <w:t xml:space="preserve">in respect of all damage caused by </w:t>
      </w:r>
      <w:r w:rsidRPr="002C5A21">
        <w:t>its agents.</w:t>
      </w:r>
    </w:p>
    <w:p w:rsidR="00226F82" w:rsidRPr="002C5A21" w:rsidRDefault="00226F82" w:rsidP="00827894">
      <w:pPr>
        <w:pStyle w:val="ReasonsNumbering-AltN"/>
      </w:pPr>
      <w:r w:rsidRPr="002C5A21">
        <w:t xml:space="preserve">This is not a case </w:t>
      </w:r>
      <w:r>
        <w:t>in which</w:t>
      </w:r>
      <w:r w:rsidRPr="002C5A21">
        <w:t xml:space="preserve"> the courts below relied on the legal characterization of the dispute by the parties rather than on </w:t>
      </w:r>
      <w:r>
        <w:t>the</w:t>
      </w:r>
      <w:r w:rsidRPr="002C5A21">
        <w:t xml:space="preserve"> substance</w:t>
      </w:r>
      <w:r>
        <w:t xml:space="preserve"> of the dispute</w:t>
      </w:r>
      <w:r w:rsidRPr="002C5A21">
        <w:t xml:space="preserve">.  As the </w:t>
      </w:r>
      <w:r>
        <w:t>motion</w:t>
      </w:r>
      <w:r w:rsidRPr="002C5A21">
        <w:t xml:space="preserve"> judge found, the Agency </w:t>
      </w:r>
      <w:r>
        <w:t>and</w:t>
      </w:r>
      <w:r w:rsidRPr="002C5A21">
        <w:t xml:space="preserve"> the Institute and the veterinarians </w:t>
      </w:r>
      <w:r>
        <w:t xml:space="preserve">were, </w:t>
      </w:r>
      <w:r w:rsidRPr="005F118B">
        <w:rPr>
          <w:i/>
        </w:rPr>
        <w:t>prima facie</w:t>
      </w:r>
      <w:r>
        <w:t xml:space="preserve">, civilly liable </w:t>
      </w:r>
      <w:r w:rsidRPr="002C5A21">
        <w:t xml:space="preserve">for the damage the </w:t>
      </w:r>
      <w:r>
        <w:t>slaughterhouse operators</w:t>
      </w:r>
      <w:r w:rsidRPr="002C5A21">
        <w:t xml:space="preserve"> claimed</w:t>
      </w:r>
      <w:r>
        <w:t xml:space="preserve"> to have sustained</w:t>
      </w:r>
      <w:r w:rsidRPr="002C5A21">
        <w:t xml:space="preserve">. The </w:t>
      </w:r>
      <w:r>
        <w:t>motion</w:t>
      </w:r>
      <w:r w:rsidRPr="002C5A21">
        <w:t xml:space="preserve"> judge also found, and the Court of Appeal agreed, that in c</w:t>
      </w:r>
      <w:r>
        <w:t>alling</w:t>
      </w:r>
      <w:r w:rsidRPr="002C5A21">
        <w:t xml:space="preserve"> the </w:t>
      </w:r>
      <w:r>
        <w:t>Agency</w:t>
      </w:r>
      <w:r w:rsidRPr="002C5A21">
        <w:t xml:space="preserve"> in warranty, the Institute and the veterinarians </w:t>
      </w:r>
      <w:r>
        <w:t xml:space="preserve">were contesting </w:t>
      </w:r>
      <w:r w:rsidRPr="002C5A21">
        <w:t xml:space="preserve">the </w:t>
      </w:r>
      <w:r>
        <w:t xml:space="preserve">Agency’s </w:t>
      </w:r>
      <w:r w:rsidRPr="002C5A21">
        <w:t xml:space="preserve">decision on the basis </w:t>
      </w:r>
      <w:r>
        <w:t>not that it was unlawful or invalid</w:t>
      </w:r>
      <w:r w:rsidRPr="002C5A21">
        <w:t xml:space="preserve">, but </w:t>
      </w:r>
      <w:r>
        <w:t>that</w:t>
      </w:r>
      <w:r w:rsidRPr="002C5A21">
        <w:t xml:space="preserve"> it was “unjustified, excessive and </w:t>
      </w:r>
      <w:r>
        <w:t>wrongful</w:t>
      </w:r>
      <w:r w:rsidRPr="002C5A21">
        <w:t xml:space="preserve">”. </w:t>
      </w:r>
      <w:r>
        <w:t xml:space="preserve">There was </w:t>
      </w:r>
      <w:r w:rsidRPr="002C5A21">
        <w:t xml:space="preserve">sufficient support </w:t>
      </w:r>
      <w:r>
        <w:t>for such a finding in</w:t>
      </w:r>
      <w:r w:rsidRPr="002C5A21">
        <w:t xml:space="preserve"> </w:t>
      </w:r>
      <w:r>
        <w:t>t</w:t>
      </w:r>
      <w:r w:rsidRPr="002C5A21">
        <w:t xml:space="preserve">he facts </w:t>
      </w:r>
      <w:r>
        <w:t>that gave</w:t>
      </w:r>
      <w:r w:rsidRPr="002C5A21">
        <w:t xml:space="preserve"> rise to these proceedings in the courts below. Thus, the recourse in warranty could not be characterized as an </w:t>
      </w:r>
      <w:r w:rsidRPr="002C5A21">
        <w:lastRenderedPageBreak/>
        <w:t xml:space="preserve">attack on the legality </w:t>
      </w:r>
      <w:r>
        <w:t>or the</w:t>
      </w:r>
      <w:r w:rsidRPr="002C5A21">
        <w:t xml:space="preserve"> validity of the </w:t>
      </w:r>
      <w:r>
        <w:t xml:space="preserve">Agency’s </w:t>
      </w:r>
      <w:r w:rsidRPr="002C5A21">
        <w:t xml:space="preserve">decision in </w:t>
      </w:r>
      <w:r>
        <w:t xml:space="preserve">the </w:t>
      </w:r>
      <w:r w:rsidRPr="002C5A21">
        <w:t>guise of an action for damages.</w:t>
      </w:r>
    </w:p>
    <w:p w:rsidR="00226F82" w:rsidRPr="00104102" w:rsidRDefault="00226F82" w:rsidP="00DF4245">
      <w:pPr>
        <w:tabs>
          <w:tab w:val="left" w:pos="720"/>
        </w:tabs>
        <w:spacing w:after="480"/>
        <w:ind w:left="720" w:hanging="720"/>
        <w:rPr>
          <w:i/>
        </w:rPr>
      </w:pPr>
      <w:r w:rsidRPr="00104102">
        <w:t>B.</w:t>
      </w:r>
      <w:r w:rsidR="00DF4245">
        <w:tab/>
      </w:r>
      <w:r w:rsidRPr="00104102">
        <w:rPr>
          <w:i/>
        </w:rPr>
        <w:t>Liability</w:t>
      </w:r>
      <w:r>
        <w:rPr>
          <w:i/>
        </w:rPr>
        <w:t xml:space="preserve"> of the F</w:t>
      </w:r>
      <w:r w:rsidRPr="00104102">
        <w:rPr>
          <w:i/>
        </w:rPr>
        <w:t>ederal Crown</w:t>
      </w:r>
      <w:r>
        <w:rPr>
          <w:i/>
        </w:rPr>
        <w:t xml:space="preserve"> in Quebec Civil L</w:t>
      </w:r>
      <w:r w:rsidRPr="00104102">
        <w:rPr>
          <w:i/>
        </w:rPr>
        <w:t>aw</w:t>
      </w:r>
    </w:p>
    <w:p w:rsidR="00226F82" w:rsidRPr="002C5A21" w:rsidRDefault="00226F82" w:rsidP="00827894">
      <w:pPr>
        <w:pStyle w:val="ReasonsNumbering-AltN"/>
      </w:pPr>
      <w:r w:rsidRPr="002C5A21">
        <w:t xml:space="preserve">The Agency also contends that the </w:t>
      </w:r>
      <w:r>
        <w:t>il</w:t>
      </w:r>
      <w:r w:rsidRPr="002C5A21">
        <w:t>legality or</w:t>
      </w:r>
      <w:r>
        <w:t xml:space="preserve"> the</w:t>
      </w:r>
      <w:r w:rsidRPr="002C5A21">
        <w:t xml:space="preserve"> </w:t>
      </w:r>
      <w:r>
        <w:t>in</w:t>
      </w:r>
      <w:r w:rsidRPr="002C5A21">
        <w:t xml:space="preserve">validity of a </w:t>
      </w:r>
      <w:r>
        <w:t xml:space="preserve">federal </w:t>
      </w:r>
      <w:r w:rsidRPr="002C5A21">
        <w:t xml:space="preserve">government action cannot be the basis </w:t>
      </w:r>
      <w:r>
        <w:t>for</w:t>
      </w:r>
      <w:r w:rsidRPr="002C5A21">
        <w:t xml:space="preserve"> an action </w:t>
      </w:r>
      <w:r>
        <w:t>in</w:t>
      </w:r>
      <w:r w:rsidRPr="002C5A21">
        <w:t xml:space="preserve"> damages in Quebec civil law. It argues that </w:t>
      </w:r>
      <w:r>
        <w:t xml:space="preserve">as long as the Federal Court has not quashed </w:t>
      </w:r>
      <w:r w:rsidRPr="002C5A21">
        <w:t xml:space="preserve">the </w:t>
      </w:r>
      <w:r>
        <w:t xml:space="preserve">Agency’s </w:t>
      </w:r>
      <w:r w:rsidRPr="002C5A21">
        <w:t xml:space="preserve">decision </w:t>
      </w:r>
      <w:r>
        <w:t>on jud</w:t>
      </w:r>
      <w:r w:rsidRPr="002C5A21">
        <w:t>icial review</w:t>
      </w:r>
      <w:r>
        <w:t>,</w:t>
      </w:r>
      <w:r w:rsidRPr="002C5A21">
        <w:t xml:space="preserve"> </w:t>
      </w:r>
      <w:r>
        <w:t>that</w:t>
      </w:r>
      <w:r w:rsidRPr="002C5A21">
        <w:t xml:space="preserve"> decision remains legal and valid. Thus, the </w:t>
      </w:r>
      <w:r>
        <w:t>recourses</w:t>
      </w:r>
      <w:r w:rsidRPr="002C5A21">
        <w:t xml:space="preserve"> in warranty of the Institute and the veterinarians amount to a collateral attack on the legality and validity of the decision.</w:t>
      </w:r>
    </w:p>
    <w:p w:rsidR="00226F82" w:rsidRPr="002C5A21" w:rsidRDefault="00226F82" w:rsidP="00827894">
      <w:pPr>
        <w:pStyle w:val="ReasonsNumbering-AltN"/>
      </w:pPr>
      <w:r>
        <w:t>A</w:t>
      </w:r>
      <w:r w:rsidRPr="002C5A21">
        <w:t>s the Court of Appeal</w:t>
      </w:r>
      <w:r>
        <w:t xml:space="preserve"> </w:t>
      </w:r>
      <w:r w:rsidRPr="002C5A21">
        <w:t xml:space="preserve">observed, </w:t>
      </w:r>
      <w:r>
        <w:t xml:space="preserve">this position </w:t>
      </w:r>
      <w:r w:rsidRPr="002C5A21">
        <w:t xml:space="preserve">would give the Agency a </w:t>
      </w:r>
      <w:r>
        <w:t xml:space="preserve">virtually </w:t>
      </w:r>
      <w:r w:rsidRPr="002C5A21">
        <w:t xml:space="preserve">absolute immunity from </w:t>
      </w:r>
      <w:r>
        <w:t xml:space="preserve">being </w:t>
      </w:r>
      <w:r w:rsidRPr="002C5A21">
        <w:t>proceed</w:t>
      </w:r>
      <w:r>
        <w:t>ed against</w:t>
      </w:r>
      <w:r w:rsidRPr="002C5A21">
        <w:t xml:space="preserve"> in damages</w:t>
      </w:r>
      <w:r>
        <w:t xml:space="preserve"> —</w:t>
      </w:r>
      <w:r w:rsidRPr="002C5A21">
        <w:t xml:space="preserve"> an immunity that </w:t>
      </w:r>
      <w:r>
        <w:t xml:space="preserve">would apply </w:t>
      </w:r>
      <w:r w:rsidRPr="002C5A21">
        <w:t>even at the preliminary stage o</w:t>
      </w:r>
      <w:r>
        <w:t>f</w:t>
      </w:r>
      <w:r w:rsidRPr="002C5A21">
        <w:t xml:space="preserve"> a motion to dismiss</w:t>
      </w:r>
      <w:r>
        <w:t xml:space="preserve"> —unless</w:t>
      </w:r>
      <w:r w:rsidRPr="002C5A21">
        <w:t xml:space="preserve"> its decision </w:t>
      </w:r>
      <w:r>
        <w:t xml:space="preserve">were to be </w:t>
      </w:r>
      <w:r w:rsidRPr="002C5A21">
        <w:t xml:space="preserve">quashed on judicial review by the </w:t>
      </w:r>
      <w:r>
        <w:t xml:space="preserve">court of </w:t>
      </w:r>
      <w:r w:rsidRPr="002C5A21">
        <w:t xml:space="preserve">competent </w:t>
      </w:r>
      <w:r>
        <w:t>jurisdiction</w:t>
      </w:r>
      <w:r w:rsidRPr="002C5A21">
        <w:t xml:space="preserve">. Apart from being </w:t>
      </w:r>
      <w:r>
        <w:t xml:space="preserve">incompatible with the decision in </w:t>
      </w:r>
      <w:proofErr w:type="spellStart"/>
      <w:r>
        <w:rPr>
          <w:i/>
        </w:rPr>
        <w:t>TeleZ</w:t>
      </w:r>
      <w:r w:rsidRPr="002C5A21">
        <w:rPr>
          <w:i/>
        </w:rPr>
        <w:t>one</w:t>
      </w:r>
      <w:proofErr w:type="spellEnd"/>
      <w:r w:rsidRPr="002C5A21">
        <w:t xml:space="preserve">, the Agency’s position is </w:t>
      </w:r>
      <w:r>
        <w:t>in</w:t>
      </w:r>
      <w:r w:rsidRPr="002C5A21">
        <w:t xml:space="preserve">consistent with the law regarding the civil liability of the federal Crown in the </w:t>
      </w:r>
      <w:r>
        <w:t>p</w:t>
      </w:r>
      <w:r w:rsidRPr="002C5A21">
        <w:t>rovince of Quebec.</w:t>
      </w:r>
    </w:p>
    <w:p w:rsidR="00226F82" w:rsidRPr="002C5A21" w:rsidRDefault="00226F82" w:rsidP="00827894">
      <w:pPr>
        <w:pStyle w:val="ReasonsNumbering-AltN"/>
      </w:pPr>
      <w:r w:rsidRPr="002C5A21">
        <w:rPr>
          <w:szCs w:val="24"/>
        </w:rPr>
        <w:t>C</w:t>
      </w:r>
      <w:r w:rsidRPr="002C5A21">
        <w:t xml:space="preserve">ivil liability of </w:t>
      </w:r>
      <w:r w:rsidRPr="002C5A21">
        <w:rPr>
          <w:szCs w:val="24"/>
        </w:rPr>
        <w:t>the federal Crown for wrongful acts of its agents is governed by the law</w:t>
      </w:r>
      <w:r w:rsidRPr="002C5A21">
        <w:t xml:space="preserve"> of </w:t>
      </w:r>
      <w:r w:rsidRPr="002C5A21">
        <w:rPr>
          <w:color w:val="000000"/>
        </w:rPr>
        <w:t xml:space="preserve">the </w:t>
      </w:r>
      <w:r w:rsidRPr="002C5A21">
        <w:t xml:space="preserve">jurisdiction where the acts were committed. In </w:t>
      </w:r>
      <w:r>
        <w:t>Quebec</w:t>
      </w:r>
      <w:r w:rsidRPr="002C5A21">
        <w:t xml:space="preserve">, the combined effect of the </w:t>
      </w:r>
      <w:r w:rsidRPr="002C5A21">
        <w:rPr>
          <w:i/>
          <w:lang w:val="en-US"/>
        </w:rPr>
        <w:t>Crown Liability and Proceedings Act</w:t>
      </w:r>
      <w:r w:rsidRPr="002C5A21">
        <w:rPr>
          <w:lang w:val="en-US"/>
        </w:rPr>
        <w:t xml:space="preserve"> and </w:t>
      </w:r>
      <w:r>
        <w:rPr>
          <w:lang w:val="en-US"/>
        </w:rPr>
        <w:t xml:space="preserve">the </w:t>
      </w:r>
      <w:r w:rsidRPr="002C5A21">
        <w:t xml:space="preserve">relevant </w:t>
      </w:r>
      <w:r w:rsidRPr="002C5A21">
        <w:lastRenderedPageBreak/>
        <w:t xml:space="preserve">provisions of the </w:t>
      </w:r>
      <w:r w:rsidRPr="002C5A21">
        <w:rPr>
          <w:i/>
        </w:rPr>
        <w:t>Civil Code of Qu</w:t>
      </w:r>
      <w:r>
        <w:rPr>
          <w:i/>
        </w:rPr>
        <w:t>é</w:t>
      </w:r>
      <w:r w:rsidRPr="002C5A21">
        <w:rPr>
          <w:i/>
        </w:rPr>
        <w:t xml:space="preserve">bec </w:t>
      </w:r>
      <w:r w:rsidRPr="002C5A21">
        <w:t xml:space="preserve">is that </w:t>
      </w:r>
      <w:r>
        <w:t>the</w:t>
      </w:r>
      <w:r w:rsidRPr="002C5A21">
        <w:t xml:space="preserve"> federal Crown is subject to the rules </w:t>
      </w:r>
      <w:r>
        <w:t xml:space="preserve">respecting </w:t>
      </w:r>
      <w:r w:rsidRPr="002C5A21">
        <w:t>civil liability set out in art</w:t>
      </w:r>
      <w:r>
        <w:t>.</w:t>
      </w:r>
      <w:r w:rsidR="00C402BE">
        <w:t xml:space="preserve"> </w:t>
      </w:r>
      <w:r w:rsidRPr="002C5A21">
        <w:t xml:space="preserve">1457 </w:t>
      </w:r>
      <w:r w:rsidRPr="002C5A21">
        <w:rPr>
          <w:i/>
          <w:iCs/>
        </w:rPr>
        <w:t>C.C.Q</w:t>
      </w:r>
      <w:r w:rsidRPr="002C5A21">
        <w:t>.</w:t>
      </w:r>
    </w:p>
    <w:p w:rsidR="00226F82" w:rsidRPr="002C5A21" w:rsidRDefault="00226F82" w:rsidP="00827894">
      <w:pPr>
        <w:pStyle w:val="ReasonsNumbering-AltN"/>
      </w:pPr>
      <w:r w:rsidRPr="002C5A21">
        <w:t xml:space="preserve"> Section 3 of the </w:t>
      </w:r>
      <w:r w:rsidRPr="002C5A21">
        <w:rPr>
          <w:i/>
          <w:lang w:val="en-US"/>
        </w:rPr>
        <w:t>Crown Liability and</w:t>
      </w:r>
      <w:r w:rsidRPr="00785431">
        <w:rPr>
          <w:i/>
          <w:lang w:val="en-US"/>
        </w:rPr>
        <w:t xml:space="preserve"> </w:t>
      </w:r>
      <w:r w:rsidRPr="00785431">
        <w:rPr>
          <w:i/>
        </w:rPr>
        <w:t>Proceedings</w:t>
      </w:r>
      <w:r w:rsidRPr="002C5A21">
        <w:rPr>
          <w:i/>
          <w:lang w:val="en-US"/>
        </w:rPr>
        <w:t xml:space="preserve"> Act</w:t>
      </w:r>
      <w:r w:rsidRPr="002C5A21">
        <w:rPr>
          <w:lang w:val="en-US"/>
        </w:rPr>
        <w:t xml:space="preserve"> provides that in Quebec,</w:t>
      </w:r>
      <w:r w:rsidRPr="002C5A21">
        <w:t xml:space="preserve"> the Crown is liable for damages </w:t>
      </w:r>
      <w:r>
        <w:t xml:space="preserve">in respect of damage </w:t>
      </w:r>
      <w:r w:rsidRPr="002C5A21">
        <w:t xml:space="preserve">caused by the fault of its servant for which it would be liable if it were a person. Section 2 of the same statute provides </w:t>
      </w:r>
      <w:r w:rsidRPr="002C5A21">
        <w:rPr>
          <w:szCs w:val="24"/>
        </w:rPr>
        <w:t xml:space="preserve">that “liability” </w:t>
      </w:r>
      <w:r w:rsidRPr="002C5A21">
        <w:rPr>
          <w:color w:val="000000"/>
          <w:szCs w:val="24"/>
        </w:rPr>
        <w:t>means “</w:t>
      </w:r>
      <w:proofErr w:type="spellStart"/>
      <w:r w:rsidRPr="002C5A21">
        <w:rPr>
          <w:color w:val="000000"/>
          <w:szCs w:val="24"/>
        </w:rPr>
        <w:t>extracontractual</w:t>
      </w:r>
      <w:proofErr w:type="spellEnd"/>
      <w:r w:rsidRPr="002C5A21">
        <w:rPr>
          <w:color w:val="000000"/>
          <w:szCs w:val="24"/>
        </w:rPr>
        <w:t xml:space="preserve"> civil liability” in Quebec and</w:t>
      </w:r>
      <w:r w:rsidRPr="002C5A21">
        <w:rPr>
          <w:szCs w:val="24"/>
        </w:rPr>
        <w:t xml:space="preserve"> “liability in tort” in </w:t>
      </w:r>
      <w:r>
        <w:rPr>
          <w:szCs w:val="24"/>
        </w:rPr>
        <w:t xml:space="preserve">the </w:t>
      </w:r>
      <w:r w:rsidRPr="002C5A21">
        <w:rPr>
          <w:szCs w:val="24"/>
        </w:rPr>
        <w:t xml:space="preserve">common law provinces. </w:t>
      </w:r>
      <w:r>
        <w:rPr>
          <w:szCs w:val="24"/>
        </w:rPr>
        <w:t>By virtue of art.</w:t>
      </w:r>
      <w:r w:rsidRPr="002C5A21">
        <w:t xml:space="preserve"> 1376 </w:t>
      </w:r>
      <w:r w:rsidRPr="002C5A21">
        <w:rPr>
          <w:i/>
        </w:rPr>
        <w:t>C.C.Q.</w:t>
      </w:r>
      <w:r>
        <w:t>,</w:t>
      </w:r>
      <w:r w:rsidRPr="002C5A21">
        <w:rPr>
          <w:i/>
        </w:rPr>
        <w:t xml:space="preserve"> </w:t>
      </w:r>
      <w:r>
        <w:t>Quebec’s rules</w:t>
      </w:r>
      <w:r w:rsidRPr="002C5A21">
        <w:t xml:space="preserve"> of civil </w:t>
      </w:r>
      <w:r>
        <w:t xml:space="preserve">liability apply </w:t>
      </w:r>
      <w:r w:rsidRPr="002C5A21">
        <w:t xml:space="preserve">to wrongful acts by </w:t>
      </w:r>
      <w:r>
        <w:t xml:space="preserve">government agencies </w:t>
      </w:r>
      <w:r w:rsidRPr="002C5A21">
        <w:t xml:space="preserve">unless a party can show that other rules of law, such as </w:t>
      </w:r>
      <w:r>
        <w:t xml:space="preserve">those of </w:t>
      </w:r>
      <w:r w:rsidRPr="002C5A21">
        <w:t xml:space="preserve">public law, prevail over </w:t>
      </w:r>
      <w:r>
        <w:t xml:space="preserve">the </w:t>
      </w:r>
      <w:r w:rsidRPr="002C5A21">
        <w:t xml:space="preserve">civil </w:t>
      </w:r>
      <w:r>
        <w:t xml:space="preserve">law </w:t>
      </w:r>
      <w:r w:rsidRPr="002C5A21">
        <w:t>rules (</w:t>
      </w:r>
      <w:proofErr w:type="spellStart"/>
      <w:r w:rsidRPr="002C5A21">
        <w:rPr>
          <w:bCs/>
          <w:i/>
          <w:color w:val="000000"/>
          <w:szCs w:val="24"/>
        </w:rPr>
        <w:t>Prud</w:t>
      </w:r>
      <w:r>
        <w:rPr>
          <w:bCs/>
          <w:i/>
          <w:color w:val="000000"/>
          <w:szCs w:val="24"/>
        </w:rPr>
        <w:t>’</w:t>
      </w:r>
      <w:r w:rsidRPr="002C5A21">
        <w:rPr>
          <w:bCs/>
          <w:i/>
          <w:color w:val="000000"/>
          <w:szCs w:val="24"/>
        </w:rPr>
        <w:t>homme</w:t>
      </w:r>
      <w:proofErr w:type="spellEnd"/>
      <w:r w:rsidRPr="002C5A21">
        <w:rPr>
          <w:bCs/>
          <w:i/>
          <w:color w:val="000000"/>
          <w:szCs w:val="24"/>
        </w:rPr>
        <w:t xml:space="preserve"> v. </w:t>
      </w:r>
      <w:proofErr w:type="spellStart"/>
      <w:r w:rsidRPr="002C5A21">
        <w:rPr>
          <w:bCs/>
          <w:i/>
          <w:color w:val="000000"/>
          <w:szCs w:val="24"/>
        </w:rPr>
        <w:t>Prud</w:t>
      </w:r>
      <w:r>
        <w:rPr>
          <w:bCs/>
          <w:i/>
          <w:color w:val="000000"/>
          <w:szCs w:val="24"/>
        </w:rPr>
        <w:t>’</w:t>
      </w:r>
      <w:r w:rsidRPr="002C5A21">
        <w:rPr>
          <w:bCs/>
          <w:i/>
          <w:color w:val="000000"/>
          <w:szCs w:val="24"/>
        </w:rPr>
        <w:t>homme</w:t>
      </w:r>
      <w:proofErr w:type="spellEnd"/>
      <w:r w:rsidRPr="002C5A21">
        <w:rPr>
          <w:bCs/>
          <w:color w:val="000000"/>
          <w:szCs w:val="24"/>
        </w:rPr>
        <w:t>, 2002 SCC 85, [2002] 4 S.C.R. 663</w:t>
      </w:r>
      <w:r>
        <w:rPr>
          <w:bCs/>
          <w:color w:val="000000"/>
          <w:szCs w:val="24"/>
        </w:rPr>
        <w:t>,</w:t>
      </w:r>
      <w:r w:rsidRPr="002C5A21">
        <w:rPr>
          <w:bCs/>
          <w:color w:val="000000"/>
          <w:szCs w:val="24"/>
        </w:rPr>
        <w:t xml:space="preserve"> </w:t>
      </w:r>
      <w:r w:rsidRPr="002C5A21">
        <w:rPr>
          <w:szCs w:val="24"/>
        </w:rPr>
        <w:t>at</w:t>
      </w:r>
      <w:r w:rsidRPr="002C5A21">
        <w:t xml:space="preserve"> </w:t>
      </w:r>
      <w:proofErr w:type="spellStart"/>
      <w:r w:rsidRPr="002C5A21">
        <w:t>para</w:t>
      </w:r>
      <w:proofErr w:type="spellEnd"/>
      <w:r w:rsidRPr="002C5A21">
        <w:t xml:space="preserve">. 31). </w:t>
      </w:r>
      <w:r>
        <w:t>Therefore, in civil liability</w:t>
      </w:r>
      <w:r w:rsidRPr="002C5A21">
        <w:t xml:space="preserve"> cases, the Superior Court of Quebec </w:t>
      </w:r>
      <w:r>
        <w:t xml:space="preserve">generally </w:t>
      </w:r>
      <w:r w:rsidRPr="002C5A21">
        <w:t xml:space="preserve">has jurisdiction over the parties and </w:t>
      </w:r>
      <w:r>
        <w:t xml:space="preserve">over the </w:t>
      </w:r>
      <w:r w:rsidRPr="002C5A21">
        <w:t xml:space="preserve">subject matter of the dispute.   </w:t>
      </w:r>
    </w:p>
    <w:p w:rsidR="00226F82" w:rsidRPr="002C5A21" w:rsidRDefault="00226F82" w:rsidP="00827894">
      <w:pPr>
        <w:pStyle w:val="ReasonsNumbering-AltN"/>
      </w:pPr>
      <w:r w:rsidRPr="002C5A21">
        <w:t xml:space="preserve">The fact that the federal Crown is subject to </w:t>
      </w:r>
      <w:r>
        <w:t>Quebec’s rules of</w:t>
      </w:r>
      <w:r w:rsidRPr="002C5A21">
        <w:t xml:space="preserve"> </w:t>
      </w:r>
      <w:proofErr w:type="spellStart"/>
      <w:r w:rsidRPr="002C5A21">
        <w:rPr>
          <w:color w:val="000000"/>
          <w:szCs w:val="24"/>
        </w:rPr>
        <w:t>extracontractual</w:t>
      </w:r>
      <w:proofErr w:type="spellEnd"/>
      <w:r w:rsidRPr="002C5A21">
        <w:rPr>
          <w:color w:val="000000"/>
          <w:szCs w:val="24"/>
        </w:rPr>
        <w:t xml:space="preserve"> civil liability </w:t>
      </w:r>
      <w:r>
        <w:rPr>
          <w:color w:val="000000"/>
          <w:szCs w:val="24"/>
        </w:rPr>
        <w:t>where</w:t>
      </w:r>
      <w:r w:rsidRPr="002C5A21">
        <w:t xml:space="preserve"> damage allegedly caused by </w:t>
      </w:r>
      <w:r>
        <w:t xml:space="preserve">the fault of </w:t>
      </w:r>
      <w:r w:rsidRPr="002C5A21">
        <w:t xml:space="preserve">its agents </w:t>
      </w:r>
      <w:r>
        <w:t xml:space="preserve">is concerned </w:t>
      </w:r>
      <w:r w:rsidRPr="002C5A21">
        <w:t xml:space="preserve">does not preclude it from invoking </w:t>
      </w:r>
      <w:r>
        <w:t xml:space="preserve">its </w:t>
      </w:r>
      <w:r w:rsidRPr="002C5A21">
        <w:t xml:space="preserve">immunity. For example, it remains open to the federal Crown to argue that a particular decision was made by its agents acting in a policy rather than </w:t>
      </w:r>
      <w:r>
        <w:t xml:space="preserve">an </w:t>
      </w:r>
      <w:r w:rsidRPr="002C5A21">
        <w:t xml:space="preserve">operational capacity, which would not normally attract liability. However, </w:t>
      </w:r>
      <w:r>
        <w:t>such</w:t>
      </w:r>
      <w:r w:rsidRPr="002C5A21">
        <w:t xml:space="preserve"> arguments are more appropriately dealt with at </w:t>
      </w:r>
      <w:r>
        <w:t>the hearing</w:t>
      </w:r>
      <w:r w:rsidRPr="002C5A21">
        <w:t xml:space="preserve"> on the merits, </w:t>
      </w:r>
      <w:r>
        <w:t>not</w:t>
      </w:r>
      <w:r w:rsidRPr="002C5A21">
        <w:t xml:space="preserve"> on a motion to dismiss at </w:t>
      </w:r>
      <w:r>
        <w:t>a</w:t>
      </w:r>
      <w:r w:rsidR="003F74B3">
        <w:t xml:space="preserve"> preliminary stage.</w:t>
      </w:r>
    </w:p>
    <w:p w:rsidR="00226F82" w:rsidRPr="002C5A21" w:rsidRDefault="00226F82" w:rsidP="00827894">
      <w:pPr>
        <w:pStyle w:val="ReasonsNumbering-AltN"/>
      </w:pPr>
      <w:r w:rsidRPr="002C5A21">
        <w:t xml:space="preserve">The Court of Appeal relied on the approach </w:t>
      </w:r>
      <w:r>
        <w:t>taken</w:t>
      </w:r>
      <w:r w:rsidRPr="002C5A21">
        <w:t xml:space="preserve"> in </w:t>
      </w:r>
      <w:proofErr w:type="spellStart"/>
      <w:r w:rsidRPr="002C5A21">
        <w:rPr>
          <w:i/>
        </w:rPr>
        <w:t>Montambault</w:t>
      </w:r>
      <w:proofErr w:type="spellEnd"/>
      <w:r w:rsidRPr="002C5A21">
        <w:rPr>
          <w:i/>
        </w:rPr>
        <w:t xml:space="preserve"> v. </w:t>
      </w:r>
      <w:proofErr w:type="spellStart"/>
      <w:r w:rsidRPr="002C5A21">
        <w:rPr>
          <w:i/>
          <w:lang w:val="en-US"/>
        </w:rPr>
        <w:t>Hôpital</w:t>
      </w:r>
      <w:proofErr w:type="spellEnd"/>
      <w:r w:rsidRPr="002C5A21">
        <w:rPr>
          <w:i/>
          <w:lang w:val="en-US"/>
        </w:rPr>
        <w:t xml:space="preserve"> </w:t>
      </w:r>
      <w:proofErr w:type="spellStart"/>
      <w:r w:rsidRPr="002C5A21">
        <w:rPr>
          <w:i/>
          <w:lang w:val="en-US"/>
        </w:rPr>
        <w:t>Maisonneuve</w:t>
      </w:r>
      <w:proofErr w:type="spellEnd"/>
      <w:r w:rsidRPr="002C5A21">
        <w:rPr>
          <w:i/>
          <w:lang w:val="en-US"/>
        </w:rPr>
        <w:t>-Rosemont</w:t>
      </w:r>
      <w:r w:rsidRPr="002C5A21">
        <w:rPr>
          <w:lang w:val="en-US"/>
        </w:rPr>
        <w:t xml:space="preserve">, [2001] R.J.Q. 893 (C.A.). In </w:t>
      </w:r>
      <w:proofErr w:type="spellStart"/>
      <w:r w:rsidRPr="002C5A21">
        <w:rPr>
          <w:i/>
        </w:rPr>
        <w:t>Montambault</w:t>
      </w:r>
      <w:proofErr w:type="spellEnd"/>
      <w:r w:rsidRPr="002C5A21">
        <w:rPr>
          <w:lang w:val="en-US"/>
        </w:rPr>
        <w:t xml:space="preserve">, </w:t>
      </w:r>
      <w:proofErr w:type="spellStart"/>
      <w:r w:rsidRPr="002C5A21">
        <w:rPr>
          <w:lang w:val="en-US"/>
        </w:rPr>
        <w:lastRenderedPageBreak/>
        <w:t>Deschamps</w:t>
      </w:r>
      <w:proofErr w:type="spellEnd"/>
      <w:r w:rsidRPr="002C5A21">
        <w:rPr>
          <w:lang w:val="en-US"/>
        </w:rPr>
        <w:t xml:space="preserve"> J.A., as she </w:t>
      </w:r>
      <w:r>
        <w:rPr>
          <w:lang w:val="en-US"/>
        </w:rPr>
        <w:t xml:space="preserve">then </w:t>
      </w:r>
      <w:r w:rsidRPr="002C5A21">
        <w:rPr>
          <w:lang w:val="en-US"/>
        </w:rPr>
        <w:t>was, held</w:t>
      </w:r>
      <w:r w:rsidRPr="002C5A21">
        <w:t xml:space="preserve"> that the issue of whether a </w:t>
      </w:r>
      <w:r>
        <w:t xml:space="preserve">government agency </w:t>
      </w:r>
      <w:r w:rsidRPr="002C5A21">
        <w:t xml:space="preserve">can invoke </w:t>
      </w:r>
      <w:r>
        <w:t xml:space="preserve">its </w:t>
      </w:r>
      <w:r w:rsidRPr="002C5A21">
        <w:t xml:space="preserve">immunity from civil liability for an administrative decision requires a thorough study of the case, including questions of fact, which can be completed, supported and </w:t>
      </w:r>
      <w:r>
        <w:t>argued</w:t>
      </w:r>
      <w:r w:rsidRPr="002C5A21">
        <w:t xml:space="preserve"> only at the stage of the hearing on the merits. The ruling in </w:t>
      </w:r>
      <w:proofErr w:type="spellStart"/>
      <w:r w:rsidRPr="002C5A21">
        <w:rPr>
          <w:i/>
        </w:rPr>
        <w:t>Montambault</w:t>
      </w:r>
      <w:proofErr w:type="spellEnd"/>
      <w:r w:rsidRPr="002C5A21">
        <w:t xml:space="preserve"> </w:t>
      </w:r>
      <w:r>
        <w:t>represents</w:t>
      </w:r>
      <w:r w:rsidRPr="002C5A21">
        <w:t xml:space="preserve"> a sound approach to </w:t>
      </w:r>
      <w:r>
        <w:t>determining whether government agencies are</w:t>
      </w:r>
      <w:r w:rsidRPr="002C5A21">
        <w:t xml:space="preserve"> immun</w:t>
      </w:r>
      <w:r>
        <w:t>e</w:t>
      </w:r>
      <w:r w:rsidRPr="002C5A21">
        <w:t xml:space="preserve"> from civil liability in Quebec, and it remains open to the Agency to make further submissions on this point at trial.  </w:t>
      </w:r>
    </w:p>
    <w:p w:rsidR="00226F82" w:rsidRPr="00104102" w:rsidRDefault="00226F82" w:rsidP="00DF4245">
      <w:pPr>
        <w:tabs>
          <w:tab w:val="left" w:pos="720"/>
        </w:tabs>
        <w:spacing w:after="480"/>
        <w:ind w:left="720" w:hanging="720"/>
        <w:rPr>
          <w:u w:val="single"/>
        </w:rPr>
      </w:pPr>
      <w:r w:rsidRPr="00104102">
        <w:t>V.</w:t>
      </w:r>
      <w:r w:rsidR="00DF4245">
        <w:tab/>
      </w:r>
      <w:r w:rsidRPr="00104102">
        <w:rPr>
          <w:u w:val="single"/>
        </w:rPr>
        <w:t>C</w:t>
      </w:r>
      <w:r>
        <w:rPr>
          <w:u w:val="single"/>
        </w:rPr>
        <w:t>onclusion</w:t>
      </w:r>
    </w:p>
    <w:p w:rsidR="00226F82" w:rsidRPr="002C5A21" w:rsidRDefault="00226F82" w:rsidP="00827894">
      <w:pPr>
        <w:pStyle w:val="ReasonsNumbering-AltN"/>
        <w:rPr>
          <w:u w:val="single"/>
        </w:rPr>
      </w:pPr>
      <w:r w:rsidRPr="002C5A21">
        <w:t xml:space="preserve">The Superior Court of Quebec has jurisdiction over the parties and </w:t>
      </w:r>
      <w:r>
        <w:t xml:space="preserve">over the subject matter of </w:t>
      </w:r>
      <w:r w:rsidRPr="002C5A21">
        <w:t xml:space="preserve">the dispute. I would therefore dismiss this appeal with costs to the Institute and the veterinarians. The </w:t>
      </w:r>
      <w:r>
        <w:t xml:space="preserve">slaughterhouse operators </w:t>
      </w:r>
      <w:r w:rsidRPr="002C5A21">
        <w:t xml:space="preserve">are not seeking costs </w:t>
      </w:r>
      <w:r>
        <w:t>in</w:t>
      </w:r>
      <w:r w:rsidRPr="002C5A21">
        <w:t xml:space="preserve"> this appeal.  </w:t>
      </w:r>
    </w:p>
    <w:p w:rsidR="009B57B3" w:rsidRDefault="00AF5AA1" w:rsidP="00E637EC">
      <w:pPr>
        <w:pStyle w:val="SCCNormalDoubleSpacing"/>
        <w:tabs>
          <w:tab w:val="left" w:pos="1170"/>
        </w:tabs>
      </w:pPr>
      <w:r w:rsidRPr="00090BF6">
        <w:tab/>
      </w:r>
      <w:r w:rsidR="00656313" w:rsidRPr="00090BF6">
        <w:rPr>
          <w:i/>
        </w:rPr>
        <w:t>Appeal</w:t>
      </w:r>
      <w:r w:rsidRPr="00090BF6">
        <w:rPr>
          <w:i/>
        </w:rPr>
        <w:t xml:space="preserve"> </w:t>
      </w:r>
      <w:r w:rsidR="00D2086D" w:rsidRPr="00090BF6">
        <w:rPr>
          <w:i/>
        </w:rPr>
        <w:t>dismissed.</w:t>
      </w:r>
      <w:r w:rsidR="00D2086D" w:rsidRPr="00090BF6">
        <w:t xml:space="preserve"> </w:t>
      </w:r>
    </w:p>
    <w:p w:rsidR="003F74B3" w:rsidRPr="00090BF6" w:rsidRDefault="003F74B3" w:rsidP="00E637EC">
      <w:pPr>
        <w:pStyle w:val="SCCNormalDoubleSpacing"/>
        <w:tabs>
          <w:tab w:val="left" w:pos="1170"/>
        </w:tabs>
      </w:pPr>
    </w:p>
    <w:p w:rsidR="00AF5AA1" w:rsidRPr="00090BF6" w:rsidRDefault="00AF5AA1" w:rsidP="00E637EC">
      <w:pPr>
        <w:pStyle w:val="SCCLawFirm"/>
        <w:tabs>
          <w:tab w:val="left" w:pos="1170"/>
        </w:tabs>
        <w:rPr>
          <w:lang w:val="en-US"/>
        </w:rPr>
      </w:pPr>
      <w:r w:rsidRPr="00090BF6">
        <w:rPr>
          <w:lang w:val="en-US"/>
        </w:rPr>
        <w:tab/>
      </w:r>
      <w:r w:rsidR="00E637EC" w:rsidRPr="00090BF6">
        <w:rPr>
          <w:lang w:val="en-US"/>
        </w:rPr>
        <w:t>Solicitor for the appellant:  </w:t>
      </w:r>
      <w:r w:rsidRPr="00090BF6">
        <w:rPr>
          <w:lang w:val="en-US"/>
        </w:rPr>
        <w:t>Department of Justice, Ottawa.</w:t>
      </w:r>
    </w:p>
    <w:p w:rsidR="00AF5AA1" w:rsidRPr="00090BF6" w:rsidRDefault="00AF5AA1" w:rsidP="00E637EC">
      <w:pPr>
        <w:pStyle w:val="SCCLawFirm"/>
        <w:tabs>
          <w:tab w:val="left" w:pos="1170"/>
        </w:tabs>
        <w:rPr>
          <w:lang w:val="en-US"/>
        </w:rPr>
      </w:pPr>
    </w:p>
    <w:p w:rsidR="00AF5AA1" w:rsidRPr="00090BF6" w:rsidRDefault="00AF5AA1" w:rsidP="00E637EC">
      <w:pPr>
        <w:pStyle w:val="SCCLawFirm"/>
        <w:tabs>
          <w:tab w:val="left" w:pos="1170"/>
        </w:tabs>
        <w:rPr>
          <w:lang w:val="en-US"/>
        </w:rPr>
      </w:pPr>
      <w:r w:rsidRPr="00090BF6">
        <w:rPr>
          <w:lang w:val="en-US"/>
        </w:rPr>
        <w:tab/>
        <w:t xml:space="preserve">Solicitors for the respondent the </w:t>
      </w:r>
      <w:r w:rsidRPr="00090BF6">
        <w:t>Professional Institute of the Public Service of Canada</w:t>
      </w:r>
      <w:r w:rsidR="00E637EC" w:rsidRPr="00090BF6">
        <w:rPr>
          <w:lang w:val="en-US"/>
        </w:rPr>
        <w:t>:  </w:t>
      </w:r>
      <w:r w:rsidRPr="00090BF6">
        <w:rPr>
          <w:lang w:val="en-US"/>
        </w:rPr>
        <w:t>De</w:t>
      </w:r>
      <w:r w:rsidR="00785431">
        <w:rPr>
          <w:lang w:val="en-US"/>
        </w:rPr>
        <w:t> </w:t>
      </w:r>
      <w:proofErr w:type="spellStart"/>
      <w:r w:rsidRPr="00090BF6">
        <w:rPr>
          <w:lang w:val="en-US"/>
        </w:rPr>
        <w:t>Grandpré</w:t>
      </w:r>
      <w:proofErr w:type="spellEnd"/>
      <w:r w:rsidRPr="00090BF6">
        <w:rPr>
          <w:lang w:val="en-US"/>
        </w:rPr>
        <w:t xml:space="preserve"> </w:t>
      </w:r>
      <w:proofErr w:type="spellStart"/>
      <w:r w:rsidRPr="00090BF6">
        <w:rPr>
          <w:lang w:val="en-US"/>
        </w:rPr>
        <w:t>Chait</w:t>
      </w:r>
      <w:proofErr w:type="spellEnd"/>
      <w:r w:rsidRPr="00090BF6">
        <w:rPr>
          <w:lang w:val="en-US"/>
        </w:rPr>
        <w:t>, Montréal.</w:t>
      </w:r>
    </w:p>
    <w:p w:rsidR="00AF5AA1" w:rsidRPr="00090BF6" w:rsidRDefault="00AF5AA1" w:rsidP="00E637EC">
      <w:pPr>
        <w:pStyle w:val="SCCLawFirm"/>
        <w:tabs>
          <w:tab w:val="left" w:pos="1170"/>
        </w:tabs>
        <w:rPr>
          <w:lang w:val="en-US"/>
        </w:rPr>
      </w:pPr>
    </w:p>
    <w:p w:rsidR="00AF5AA1" w:rsidRPr="00090BF6" w:rsidRDefault="00AF5AA1" w:rsidP="00E637EC">
      <w:pPr>
        <w:pStyle w:val="SCCLawFirm"/>
        <w:tabs>
          <w:tab w:val="left" w:pos="1170"/>
        </w:tabs>
        <w:rPr>
          <w:lang w:val="en-US"/>
        </w:rPr>
      </w:pPr>
      <w:r w:rsidRPr="00090BF6">
        <w:rPr>
          <w:lang w:val="en-US"/>
        </w:rPr>
        <w:tab/>
        <w:t>Solicitors for the respondent</w:t>
      </w:r>
      <w:r w:rsidR="008D50EB" w:rsidRPr="00090BF6">
        <w:rPr>
          <w:lang w:val="en-US"/>
        </w:rPr>
        <w:t>s</w:t>
      </w:r>
      <w:r w:rsidRPr="00090BF6">
        <w:rPr>
          <w:lang w:val="en-US"/>
        </w:rPr>
        <w:t xml:space="preserve"> </w:t>
      </w:r>
      <w:proofErr w:type="spellStart"/>
      <w:r w:rsidRPr="00090BF6">
        <w:rPr>
          <w:lang w:val="en-US"/>
        </w:rPr>
        <w:t>Dany</w:t>
      </w:r>
      <w:proofErr w:type="spellEnd"/>
      <w:r w:rsidRPr="00090BF6">
        <w:rPr>
          <w:lang w:val="en-US"/>
        </w:rPr>
        <w:t xml:space="preserve"> Beauregard et al.</w:t>
      </w:r>
      <w:r w:rsidR="00E637EC" w:rsidRPr="00090BF6">
        <w:rPr>
          <w:lang w:val="en-US"/>
        </w:rPr>
        <w:t>:  </w:t>
      </w:r>
      <w:proofErr w:type="spellStart"/>
      <w:r w:rsidRPr="00090BF6">
        <w:rPr>
          <w:lang w:val="en-US"/>
        </w:rPr>
        <w:t>Béland</w:t>
      </w:r>
      <w:proofErr w:type="spellEnd"/>
      <w:r w:rsidRPr="00090BF6">
        <w:rPr>
          <w:lang w:val="en-US"/>
        </w:rPr>
        <w:t xml:space="preserve">, </w:t>
      </w:r>
      <w:proofErr w:type="spellStart"/>
      <w:r w:rsidRPr="00090BF6">
        <w:rPr>
          <w:lang w:val="en-US"/>
        </w:rPr>
        <w:t>Ferland</w:t>
      </w:r>
      <w:proofErr w:type="spellEnd"/>
      <w:r w:rsidRPr="00090BF6">
        <w:rPr>
          <w:lang w:val="en-US"/>
        </w:rPr>
        <w:t xml:space="preserve">, </w:t>
      </w:r>
      <w:proofErr w:type="spellStart"/>
      <w:r w:rsidRPr="00090BF6">
        <w:rPr>
          <w:lang w:val="en-US"/>
        </w:rPr>
        <w:t>Brosseau</w:t>
      </w:r>
      <w:proofErr w:type="spellEnd"/>
      <w:r w:rsidRPr="00090BF6">
        <w:rPr>
          <w:lang w:val="en-US"/>
        </w:rPr>
        <w:t>, Montréal.</w:t>
      </w:r>
    </w:p>
    <w:p w:rsidR="00AF5AA1" w:rsidRPr="00090BF6" w:rsidRDefault="00AF5AA1" w:rsidP="00E637EC">
      <w:pPr>
        <w:pStyle w:val="SCCLawFirm"/>
        <w:tabs>
          <w:tab w:val="left" w:pos="1170"/>
        </w:tabs>
        <w:rPr>
          <w:lang w:val="en-US"/>
        </w:rPr>
      </w:pPr>
    </w:p>
    <w:p w:rsidR="00226F82" w:rsidRPr="00226F82" w:rsidRDefault="00AF5AA1" w:rsidP="00226F82">
      <w:pPr>
        <w:pStyle w:val="SCCLawFirm"/>
        <w:tabs>
          <w:tab w:val="left" w:pos="1170"/>
        </w:tabs>
      </w:pPr>
      <w:r w:rsidRPr="00090BF6">
        <w:rPr>
          <w:lang w:val="en-US"/>
        </w:rPr>
        <w:tab/>
      </w:r>
      <w:r w:rsidRPr="00090BF6">
        <w:t>Solicitors for the respondent</w:t>
      </w:r>
      <w:r w:rsidR="008D50EB" w:rsidRPr="00090BF6">
        <w:t>s</w:t>
      </w:r>
      <w:r w:rsidRPr="00090BF6">
        <w:t xml:space="preserve"> </w:t>
      </w:r>
      <w:proofErr w:type="spellStart"/>
      <w:r w:rsidRPr="00090BF6">
        <w:t>Olymel</w:t>
      </w:r>
      <w:proofErr w:type="spellEnd"/>
      <w:r w:rsidRPr="00090BF6">
        <w:t xml:space="preserve"> S.E.C., </w:t>
      </w:r>
      <w:proofErr w:type="spellStart"/>
      <w:r w:rsidRPr="00090BF6">
        <w:t>Exceldor</w:t>
      </w:r>
      <w:proofErr w:type="spellEnd"/>
      <w:r w:rsidRPr="00090BF6">
        <w:t xml:space="preserve"> </w:t>
      </w:r>
      <w:proofErr w:type="spellStart"/>
      <w:r w:rsidRPr="00090BF6">
        <w:t>coopérative</w:t>
      </w:r>
      <w:proofErr w:type="spellEnd"/>
      <w:r w:rsidRPr="00090BF6">
        <w:t xml:space="preserve"> </w:t>
      </w:r>
      <w:proofErr w:type="spellStart"/>
      <w:r w:rsidR="00E637EC" w:rsidRPr="00090BF6">
        <w:t>avicole</w:t>
      </w:r>
      <w:proofErr w:type="spellEnd"/>
      <w:r w:rsidR="00E637EC" w:rsidRPr="00090BF6">
        <w:t xml:space="preserve"> and </w:t>
      </w:r>
      <w:proofErr w:type="spellStart"/>
      <w:r w:rsidR="00E637EC" w:rsidRPr="00090BF6">
        <w:t>Supraliment</w:t>
      </w:r>
      <w:proofErr w:type="spellEnd"/>
      <w:r w:rsidR="00E637EC" w:rsidRPr="00090BF6">
        <w:t xml:space="preserve"> S.E.C.:  </w:t>
      </w:r>
      <w:r w:rsidRPr="00090BF6">
        <w:t xml:space="preserve">Stein </w:t>
      </w:r>
      <w:proofErr w:type="spellStart"/>
      <w:r w:rsidRPr="00090BF6">
        <w:t>Monast</w:t>
      </w:r>
      <w:proofErr w:type="spellEnd"/>
      <w:r w:rsidRPr="00090BF6">
        <w:t>, Québec.</w:t>
      </w:r>
    </w:p>
    <w:sectPr w:rsidR="00226F82" w:rsidRPr="00226F82" w:rsidSect="00B1421C">
      <w:headerReference w:type="default" r:id="rId11"/>
      <w:pgSz w:w="12240" w:h="15840"/>
      <w:pgMar w:top="1267" w:right="2160" w:bottom="720" w:left="1800" w:header="1802" w:footer="720" w:gutter="0"/>
      <w:pgNumType w:fmt="numberInDash"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21C" w:rsidRDefault="00B1421C">
      <w:r>
        <w:separator/>
      </w:r>
    </w:p>
  </w:endnote>
  <w:endnote w:type="continuationSeparator" w:id="0">
    <w:p w:rsidR="00B1421C" w:rsidRDefault="00B142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21C" w:rsidRDefault="00B1421C">
      <w:r>
        <w:separator/>
      </w:r>
    </w:p>
  </w:footnote>
  <w:footnote w:type="continuationSeparator" w:id="0">
    <w:p w:rsidR="00B1421C" w:rsidRDefault="00B14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6414"/>
      <w:docPartObj>
        <w:docPartGallery w:val="Page Numbers (Top of Page)"/>
        <w:docPartUnique/>
      </w:docPartObj>
    </w:sdtPr>
    <w:sdtContent>
      <w:p w:rsidR="00B1421C" w:rsidRDefault="00B72BD7">
        <w:pPr>
          <w:pStyle w:val="Header"/>
          <w:jc w:val="center"/>
        </w:pPr>
        <w:fldSimple w:instr=" PAGE   \* MERGEFORMAT ">
          <w:r w:rsidR="00DF75EB">
            <w:rPr>
              <w:noProof/>
            </w:rPr>
            <w:t>- 17 -</w:t>
          </w:r>
        </w:fldSimple>
      </w:p>
    </w:sdtContent>
  </w:sdt>
  <w:p w:rsidR="00B1421C" w:rsidRDefault="00B142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0"/>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4993"/>
  </w:hdrShapeDefaults>
  <w:footnotePr>
    <w:footnote w:id="-1"/>
    <w:footnote w:id="0"/>
  </w:footnotePr>
  <w:endnotePr>
    <w:endnote w:id="-1"/>
    <w:endnote w:id="0"/>
  </w:endnotePr>
  <w:compat/>
  <w:rsids>
    <w:rsidRoot w:val="0031414C"/>
    <w:rsid w:val="00000ED4"/>
    <w:rsid w:val="000049CE"/>
    <w:rsid w:val="00025198"/>
    <w:rsid w:val="000578A3"/>
    <w:rsid w:val="000648CC"/>
    <w:rsid w:val="00090BF6"/>
    <w:rsid w:val="00097894"/>
    <w:rsid w:val="000A30DF"/>
    <w:rsid w:val="000C59B8"/>
    <w:rsid w:val="000F5FDE"/>
    <w:rsid w:val="00111A50"/>
    <w:rsid w:val="00111DE2"/>
    <w:rsid w:val="00112033"/>
    <w:rsid w:val="00116B38"/>
    <w:rsid w:val="00135406"/>
    <w:rsid w:val="00135972"/>
    <w:rsid w:val="001426A9"/>
    <w:rsid w:val="00151E89"/>
    <w:rsid w:val="00154D7C"/>
    <w:rsid w:val="001570B0"/>
    <w:rsid w:val="0015752C"/>
    <w:rsid w:val="00157737"/>
    <w:rsid w:val="0016180F"/>
    <w:rsid w:val="00165277"/>
    <w:rsid w:val="00170592"/>
    <w:rsid w:val="001B33E0"/>
    <w:rsid w:val="001B4573"/>
    <w:rsid w:val="001C779F"/>
    <w:rsid w:val="001D2AC1"/>
    <w:rsid w:val="001D4E88"/>
    <w:rsid w:val="001E6E0D"/>
    <w:rsid w:val="001F25EB"/>
    <w:rsid w:val="00220FC2"/>
    <w:rsid w:val="00224FC0"/>
    <w:rsid w:val="00225EA4"/>
    <w:rsid w:val="00226EAF"/>
    <w:rsid w:val="00226F82"/>
    <w:rsid w:val="00231A77"/>
    <w:rsid w:val="00231F3A"/>
    <w:rsid w:val="002406EE"/>
    <w:rsid w:val="00243EC8"/>
    <w:rsid w:val="002632CD"/>
    <w:rsid w:val="002745CC"/>
    <w:rsid w:val="00284D07"/>
    <w:rsid w:val="002A533D"/>
    <w:rsid w:val="002B7924"/>
    <w:rsid w:val="002D39A4"/>
    <w:rsid w:val="002D7E1F"/>
    <w:rsid w:val="002E6705"/>
    <w:rsid w:val="0030329A"/>
    <w:rsid w:val="0031086F"/>
    <w:rsid w:val="00310C68"/>
    <w:rsid w:val="00313224"/>
    <w:rsid w:val="0031414C"/>
    <w:rsid w:val="00314E01"/>
    <w:rsid w:val="0032089D"/>
    <w:rsid w:val="00321BF3"/>
    <w:rsid w:val="003310DE"/>
    <w:rsid w:val="0035169A"/>
    <w:rsid w:val="0035259D"/>
    <w:rsid w:val="00364B18"/>
    <w:rsid w:val="003873FD"/>
    <w:rsid w:val="003A0A4E"/>
    <w:rsid w:val="003A2681"/>
    <w:rsid w:val="003A4C70"/>
    <w:rsid w:val="003B215F"/>
    <w:rsid w:val="003C799C"/>
    <w:rsid w:val="003D0399"/>
    <w:rsid w:val="003E1C71"/>
    <w:rsid w:val="003E5303"/>
    <w:rsid w:val="003F327B"/>
    <w:rsid w:val="003F74B3"/>
    <w:rsid w:val="00406166"/>
    <w:rsid w:val="0040704B"/>
    <w:rsid w:val="00410A55"/>
    <w:rsid w:val="00411300"/>
    <w:rsid w:val="00411519"/>
    <w:rsid w:val="00415417"/>
    <w:rsid w:val="00426659"/>
    <w:rsid w:val="00450352"/>
    <w:rsid w:val="00454BDB"/>
    <w:rsid w:val="00465132"/>
    <w:rsid w:val="00480C90"/>
    <w:rsid w:val="0048396F"/>
    <w:rsid w:val="00493C18"/>
    <w:rsid w:val="004A226F"/>
    <w:rsid w:val="004A422E"/>
    <w:rsid w:val="004A600C"/>
    <w:rsid w:val="004A6118"/>
    <w:rsid w:val="004C478D"/>
    <w:rsid w:val="004D548C"/>
    <w:rsid w:val="004E2C26"/>
    <w:rsid w:val="00506337"/>
    <w:rsid w:val="00507406"/>
    <w:rsid w:val="005125A8"/>
    <w:rsid w:val="00521AE8"/>
    <w:rsid w:val="00524165"/>
    <w:rsid w:val="00527180"/>
    <w:rsid w:val="00535833"/>
    <w:rsid w:val="005359C6"/>
    <w:rsid w:val="00541B1C"/>
    <w:rsid w:val="00555291"/>
    <w:rsid w:val="00575E22"/>
    <w:rsid w:val="00583EDE"/>
    <w:rsid w:val="005B745D"/>
    <w:rsid w:val="005D20FA"/>
    <w:rsid w:val="005D294C"/>
    <w:rsid w:val="005E1D77"/>
    <w:rsid w:val="005E4698"/>
    <w:rsid w:val="006025C9"/>
    <w:rsid w:val="00610539"/>
    <w:rsid w:val="006114D3"/>
    <w:rsid w:val="00613969"/>
    <w:rsid w:val="006219D3"/>
    <w:rsid w:val="00625C35"/>
    <w:rsid w:val="006438C0"/>
    <w:rsid w:val="00656313"/>
    <w:rsid w:val="006565F4"/>
    <w:rsid w:val="00661207"/>
    <w:rsid w:val="00684EEA"/>
    <w:rsid w:val="006860A6"/>
    <w:rsid w:val="006B5FF5"/>
    <w:rsid w:val="006D4C1B"/>
    <w:rsid w:val="006D6DA7"/>
    <w:rsid w:val="00701759"/>
    <w:rsid w:val="00713042"/>
    <w:rsid w:val="00731609"/>
    <w:rsid w:val="00747288"/>
    <w:rsid w:val="00747DD3"/>
    <w:rsid w:val="007549C8"/>
    <w:rsid w:val="00766D14"/>
    <w:rsid w:val="00767A0F"/>
    <w:rsid w:val="0078523B"/>
    <w:rsid w:val="00785431"/>
    <w:rsid w:val="007A0556"/>
    <w:rsid w:val="007A05F6"/>
    <w:rsid w:val="007B6F4A"/>
    <w:rsid w:val="007E1C47"/>
    <w:rsid w:val="007E337A"/>
    <w:rsid w:val="007E5C70"/>
    <w:rsid w:val="007F2FF5"/>
    <w:rsid w:val="007F3F08"/>
    <w:rsid w:val="00804CC6"/>
    <w:rsid w:val="008125C2"/>
    <w:rsid w:val="00817190"/>
    <w:rsid w:val="008260E2"/>
    <w:rsid w:val="00827894"/>
    <w:rsid w:val="008310DD"/>
    <w:rsid w:val="008316B5"/>
    <w:rsid w:val="008322BD"/>
    <w:rsid w:val="00834F73"/>
    <w:rsid w:val="008640F0"/>
    <w:rsid w:val="00864CF8"/>
    <w:rsid w:val="00874914"/>
    <w:rsid w:val="00880F1D"/>
    <w:rsid w:val="00891422"/>
    <w:rsid w:val="00892E1A"/>
    <w:rsid w:val="008B7300"/>
    <w:rsid w:val="008C01DA"/>
    <w:rsid w:val="008D1271"/>
    <w:rsid w:val="008D50EB"/>
    <w:rsid w:val="008D6F2C"/>
    <w:rsid w:val="008E5EFB"/>
    <w:rsid w:val="008F78E9"/>
    <w:rsid w:val="009179F9"/>
    <w:rsid w:val="00933E5E"/>
    <w:rsid w:val="00935218"/>
    <w:rsid w:val="009403F3"/>
    <w:rsid w:val="009555B7"/>
    <w:rsid w:val="009567AA"/>
    <w:rsid w:val="00967374"/>
    <w:rsid w:val="00992C1D"/>
    <w:rsid w:val="009B2F23"/>
    <w:rsid w:val="009B57B3"/>
    <w:rsid w:val="009D2920"/>
    <w:rsid w:val="009D5AEB"/>
    <w:rsid w:val="009E4BBC"/>
    <w:rsid w:val="009F0E33"/>
    <w:rsid w:val="00A10597"/>
    <w:rsid w:val="00A149DF"/>
    <w:rsid w:val="00A163C7"/>
    <w:rsid w:val="00A21B90"/>
    <w:rsid w:val="00A32105"/>
    <w:rsid w:val="00A41805"/>
    <w:rsid w:val="00A52144"/>
    <w:rsid w:val="00A548CB"/>
    <w:rsid w:val="00A5521C"/>
    <w:rsid w:val="00A614CC"/>
    <w:rsid w:val="00A643E7"/>
    <w:rsid w:val="00A73C38"/>
    <w:rsid w:val="00A96577"/>
    <w:rsid w:val="00AB3561"/>
    <w:rsid w:val="00AB6BDC"/>
    <w:rsid w:val="00AE541F"/>
    <w:rsid w:val="00AF03C5"/>
    <w:rsid w:val="00AF2666"/>
    <w:rsid w:val="00AF5AA1"/>
    <w:rsid w:val="00AF6729"/>
    <w:rsid w:val="00B000D8"/>
    <w:rsid w:val="00B00F75"/>
    <w:rsid w:val="00B049C1"/>
    <w:rsid w:val="00B1421C"/>
    <w:rsid w:val="00B145B6"/>
    <w:rsid w:val="00B50C81"/>
    <w:rsid w:val="00B557F8"/>
    <w:rsid w:val="00B624EA"/>
    <w:rsid w:val="00B66005"/>
    <w:rsid w:val="00B72BD7"/>
    <w:rsid w:val="00B769A7"/>
    <w:rsid w:val="00B815FC"/>
    <w:rsid w:val="00B93FBC"/>
    <w:rsid w:val="00BB2EE4"/>
    <w:rsid w:val="00BC2108"/>
    <w:rsid w:val="00BD0E9E"/>
    <w:rsid w:val="00BD1BEC"/>
    <w:rsid w:val="00BD32FF"/>
    <w:rsid w:val="00BF6479"/>
    <w:rsid w:val="00C02092"/>
    <w:rsid w:val="00C03732"/>
    <w:rsid w:val="00C24D91"/>
    <w:rsid w:val="00C25D20"/>
    <w:rsid w:val="00C324B4"/>
    <w:rsid w:val="00C402BE"/>
    <w:rsid w:val="00C43A76"/>
    <w:rsid w:val="00C53F14"/>
    <w:rsid w:val="00C600CF"/>
    <w:rsid w:val="00C6084F"/>
    <w:rsid w:val="00C62A66"/>
    <w:rsid w:val="00C6443D"/>
    <w:rsid w:val="00C71458"/>
    <w:rsid w:val="00C739E7"/>
    <w:rsid w:val="00C77613"/>
    <w:rsid w:val="00C828E7"/>
    <w:rsid w:val="00C86719"/>
    <w:rsid w:val="00C921DD"/>
    <w:rsid w:val="00CA6391"/>
    <w:rsid w:val="00CC0A60"/>
    <w:rsid w:val="00CC74F6"/>
    <w:rsid w:val="00CE3171"/>
    <w:rsid w:val="00CF1601"/>
    <w:rsid w:val="00CF30D9"/>
    <w:rsid w:val="00D0172F"/>
    <w:rsid w:val="00D068A7"/>
    <w:rsid w:val="00D16471"/>
    <w:rsid w:val="00D2086D"/>
    <w:rsid w:val="00D247BD"/>
    <w:rsid w:val="00D32086"/>
    <w:rsid w:val="00D34621"/>
    <w:rsid w:val="00D37A3F"/>
    <w:rsid w:val="00D4431D"/>
    <w:rsid w:val="00D4667A"/>
    <w:rsid w:val="00D7516F"/>
    <w:rsid w:val="00D95F8E"/>
    <w:rsid w:val="00DA0590"/>
    <w:rsid w:val="00DC1788"/>
    <w:rsid w:val="00DD2373"/>
    <w:rsid w:val="00DD4F4C"/>
    <w:rsid w:val="00DE319C"/>
    <w:rsid w:val="00DF0CA8"/>
    <w:rsid w:val="00DF2B48"/>
    <w:rsid w:val="00DF4245"/>
    <w:rsid w:val="00DF49A7"/>
    <w:rsid w:val="00DF75EB"/>
    <w:rsid w:val="00E06250"/>
    <w:rsid w:val="00E07EE2"/>
    <w:rsid w:val="00E07FD1"/>
    <w:rsid w:val="00E13CB9"/>
    <w:rsid w:val="00E24573"/>
    <w:rsid w:val="00E25E1E"/>
    <w:rsid w:val="00E27EE7"/>
    <w:rsid w:val="00E35404"/>
    <w:rsid w:val="00E40E65"/>
    <w:rsid w:val="00E45109"/>
    <w:rsid w:val="00E47B7A"/>
    <w:rsid w:val="00E55FB1"/>
    <w:rsid w:val="00E637EC"/>
    <w:rsid w:val="00E675E7"/>
    <w:rsid w:val="00E73322"/>
    <w:rsid w:val="00E86886"/>
    <w:rsid w:val="00E871C8"/>
    <w:rsid w:val="00E8747E"/>
    <w:rsid w:val="00E97830"/>
    <w:rsid w:val="00EB3FDB"/>
    <w:rsid w:val="00EF0683"/>
    <w:rsid w:val="00F0070C"/>
    <w:rsid w:val="00F00EB7"/>
    <w:rsid w:val="00F04B29"/>
    <w:rsid w:val="00F3324E"/>
    <w:rsid w:val="00F36AB6"/>
    <w:rsid w:val="00F37A09"/>
    <w:rsid w:val="00F409CE"/>
    <w:rsid w:val="00F434C6"/>
    <w:rsid w:val="00F4379D"/>
    <w:rsid w:val="00F673F1"/>
    <w:rsid w:val="00F84DF4"/>
    <w:rsid w:val="00F85C97"/>
    <w:rsid w:val="00FB297E"/>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A6"/>
    <w:rPr>
      <w:sz w:val="24"/>
    </w:rPr>
  </w:style>
  <w:style w:type="paragraph" w:styleId="Heading1">
    <w:name w:val="heading 1"/>
    <w:next w:val="ReasonsNumbering-AltN"/>
    <w:link w:val="Heading1Char"/>
    <w:uiPriority w:val="2"/>
    <w:qFormat/>
    <w:rsid w:val="006860A6"/>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686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860A6"/>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6860A6"/>
    <w:rPr>
      <w:color w:val="808080"/>
    </w:rPr>
  </w:style>
  <w:style w:type="paragraph" w:styleId="BalloonText">
    <w:name w:val="Balloon Text"/>
    <w:basedOn w:val="Normal"/>
    <w:link w:val="BalloonTextChar"/>
    <w:uiPriority w:val="99"/>
    <w:semiHidden/>
    <w:unhideWhenUsed/>
    <w:rsid w:val="006860A6"/>
    <w:rPr>
      <w:rFonts w:cs="Tahoma"/>
      <w:sz w:val="28"/>
      <w:szCs w:val="16"/>
    </w:rPr>
  </w:style>
  <w:style w:type="character" w:customStyle="1" w:styleId="BalloonTextChar">
    <w:name w:val="Balloon Text Char"/>
    <w:basedOn w:val="DefaultParagraphFont"/>
    <w:link w:val="BalloonText"/>
    <w:uiPriority w:val="99"/>
    <w:semiHidden/>
    <w:rsid w:val="006860A6"/>
    <w:rPr>
      <w:rFonts w:cs="Tahoma"/>
      <w:sz w:val="28"/>
      <w:szCs w:val="16"/>
    </w:rPr>
  </w:style>
  <w:style w:type="paragraph" w:styleId="Header">
    <w:name w:val="header"/>
    <w:basedOn w:val="Normal"/>
    <w:link w:val="HeaderChar"/>
    <w:uiPriority w:val="99"/>
    <w:unhideWhenUsed/>
    <w:rsid w:val="006860A6"/>
    <w:pPr>
      <w:tabs>
        <w:tab w:val="center" w:pos="4680"/>
        <w:tab w:val="right" w:pos="9360"/>
      </w:tabs>
    </w:pPr>
  </w:style>
  <w:style w:type="character" w:customStyle="1" w:styleId="HeaderChar">
    <w:name w:val="Header Char"/>
    <w:basedOn w:val="DefaultParagraphFont"/>
    <w:link w:val="Header"/>
    <w:uiPriority w:val="99"/>
    <w:rsid w:val="006860A6"/>
    <w:rPr>
      <w:sz w:val="24"/>
    </w:rPr>
  </w:style>
  <w:style w:type="paragraph" w:styleId="Footer">
    <w:name w:val="footer"/>
    <w:basedOn w:val="Normal"/>
    <w:link w:val="FooterChar"/>
    <w:uiPriority w:val="99"/>
    <w:semiHidden/>
    <w:unhideWhenUsed/>
    <w:rsid w:val="006860A6"/>
    <w:pPr>
      <w:tabs>
        <w:tab w:val="center" w:pos="4680"/>
        <w:tab w:val="right" w:pos="9360"/>
      </w:tabs>
    </w:pPr>
  </w:style>
  <w:style w:type="character" w:customStyle="1" w:styleId="FooterChar">
    <w:name w:val="Footer Char"/>
    <w:basedOn w:val="DefaultParagraphFont"/>
    <w:link w:val="Footer"/>
    <w:uiPriority w:val="99"/>
    <w:semiHidden/>
    <w:rsid w:val="006860A6"/>
    <w:rPr>
      <w:sz w:val="24"/>
    </w:rPr>
  </w:style>
  <w:style w:type="paragraph" w:customStyle="1" w:styleId="SCCLsocParty">
    <w:name w:val="SCC.Lsoc.Party"/>
    <w:basedOn w:val="Normal"/>
    <w:next w:val="Normal"/>
    <w:link w:val="SCCLsocPartyChar"/>
    <w:rsid w:val="006860A6"/>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6860A6"/>
    <w:rPr>
      <w:rFonts w:eastAsiaTheme="minorHAnsi" w:cstheme="minorBidi"/>
      <w:sz w:val="24"/>
      <w:szCs w:val="22"/>
      <w:lang w:eastAsia="en-US"/>
    </w:rPr>
  </w:style>
  <w:style w:type="paragraph" w:customStyle="1" w:styleId="SCCLsocVersus">
    <w:name w:val="SCC.Lsoc.Versus"/>
    <w:basedOn w:val="Normal"/>
    <w:next w:val="Normal"/>
    <w:link w:val="SCCLsocVersusChar"/>
    <w:rsid w:val="006860A6"/>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6860A6"/>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6860A6"/>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6860A6"/>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6860A6"/>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6860A6"/>
    <w:rPr>
      <w:rFonts w:eastAsiaTheme="minorHAnsi" w:cstheme="minorBidi"/>
      <w:sz w:val="24"/>
      <w:szCs w:val="22"/>
      <w:lang w:eastAsia="en-US"/>
    </w:rPr>
  </w:style>
  <w:style w:type="character" w:customStyle="1" w:styleId="Heading1Char">
    <w:name w:val="Heading 1 Char"/>
    <w:basedOn w:val="DefaultParagraphFont"/>
    <w:link w:val="Heading1"/>
    <w:uiPriority w:val="2"/>
    <w:rsid w:val="006860A6"/>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6860A6"/>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226F82"/>
    <w:pPr>
      <w:ind w:left="720"/>
    </w:pPr>
  </w:style>
  <w:style w:type="paragraph" w:styleId="NoSpacing">
    <w:name w:val="No Spacing"/>
    <w:uiPriority w:val="1"/>
    <w:rsid w:val="00226F82"/>
    <w:rPr>
      <w:sz w:val="24"/>
    </w:rPr>
  </w:style>
  <w:style w:type="paragraph" w:customStyle="1" w:styleId="SCCLsocOtherPartyRoleSeparator">
    <w:name w:val="SCC.Lsoc.OtherPartyRoleSeparator"/>
    <w:basedOn w:val="Normal"/>
    <w:next w:val="Normal"/>
    <w:link w:val="SCCLsocOtherPartyRoleSeparatorChar"/>
    <w:rsid w:val="006860A6"/>
    <w:pPr>
      <w:spacing w:after="480"/>
    </w:pPr>
    <w:rPr>
      <w:rFonts w:eastAsiaTheme="minorHAnsi" w:cstheme="minorBidi"/>
      <w:szCs w:val="22"/>
      <w:lang w:eastAsia="en-US"/>
    </w:rPr>
  </w:style>
  <w:style w:type="paragraph" w:customStyle="1" w:styleId="SCCCoram">
    <w:name w:val="SCC.Coram"/>
    <w:basedOn w:val="Normal"/>
    <w:next w:val="Normal"/>
    <w:link w:val="SCCCoramChar"/>
    <w:rsid w:val="006860A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860A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6860A6"/>
    <w:rPr>
      <w:rFonts w:eastAsiaTheme="minorHAnsi" w:cstheme="minorBidi"/>
      <w:sz w:val="24"/>
      <w:szCs w:val="22"/>
      <w:lang w:eastAsia="en-US"/>
    </w:rPr>
  </w:style>
  <w:style w:type="character" w:customStyle="1" w:styleId="SCCBanSummaryChar">
    <w:name w:val="SCC.BanSummary Char"/>
    <w:basedOn w:val="DefaultParagraphFont"/>
    <w:link w:val="SCCBanSummary"/>
    <w:rsid w:val="006860A6"/>
    <w:rPr>
      <w:rFonts w:eastAsiaTheme="minorEastAsia"/>
      <w:b/>
      <w:sz w:val="24"/>
      <w:szCs w:val="24"/>
    </w:rPr>
  </w:style>
  <w:style w:type="table" w:styleId="TableGrid">
    <w:name w:val="Table Grid"/>
    <w:basedOn w:val="TableNormal"/>
    <w:uiPriority w:val="59"/>
    <w:rsid w:val="006860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mo3">
    <w:name w:val="Memo[3]"/>
    <w:uiPriority w:val="99"/>
    <w:rsid w:val="00226F82"/>
    <w:pPr>
      <w:autoSpaceDE w:val="0"/>
      <w:autoSpaceDN w:val="0"/>
      <w:adjustRightInd w:val="0"/>
      <w:ind w:left="1440"/>
    </w:pPr>
    <w:rPr>
      <w:b/>
      <w:bCs/>
      <w:sz w:val="24"/>
      <w:szCs w:val="24"/>
    </w:rPr>
  </w:style>
  <w:style w:type="character" w:customStyle="1" w:styleId="nobold1">
    <w:name w:val="nobold1"/>
    <w:basedOn w:val="DefaultParagraphFont"/>
    <w:rsid w:val="00226F82"/>
    <w:rPr>
      <w:b/>
      <w:bCs/>
      <w:sz w:val="36"/>
      <w:szCs w:val="36"/>
    </w:rPr>
  </w:style>
  <w:style w:type="character" w:customStyle="1" w:styleId="reference1">
    <w:name w:val="reference1"/>
    <w:basedOn w:val="DefaultParagraphFont"/>
    <w:rsid w:val="00226F82"/>
  </w:style>
  <w:style w:type="character" w:styleId="Hyperlink">
    <w:name w:val="Hyperlink"/>
    <w:basedOn w:val="DefaultParagraphFont"/>
    <w:uiPriority w:val="99"/>
    <w:semiHidden/>
    <w:unhideWhenUsed/>
    <w:rsid w:val="00226F82"/>
    <w:rPr>
      <w:color w:val="0000FF"/>
      <w:u w:val="single"/>
    </w:rPr>
  </w:style>
  <w:style w:type="paragraph" w:styleId="NormalWeb">
    <w:name w:val="Normal (Web)"/>
    <w:basedOn w:val="Normal"/>
    <w:uiPriority w:val="99"/>
    <w:semiHidden/>
    <w:unhideWhenUsed/>
    <w:rsid w:val="00226F82"/>
    <w:pPr>
      <w:spacing w:before="100" w:beforeAutospacing="1" w:after="100" w:afterAutospacing="1"/>
    </w:pPr>
    <w:rPr>
      <w:rFonts w:ascii="Verdana" w:hAnsi="Verdana"/>
      <w:szCs w:val="24"/>
      <w:lang w:val="en-US" w:eastAsia="en-US"/>
    </w:rPr>
  </w:style>
  <w:style w:type="paragraph" w:customStyle="1" w:styleId="historicalnote">
    <w:name w:val="historicalnote"/>
    <w:basedOn w:val="Normal"/>
    <w:rsid w:val="00226F82"/>
    <w:pPr>
      <w:spacing w:before="84"/>
    </w:pPr>
    <w:rPr>
      <w:rFonts w:ascii="Verdana" w:hAnsi="Verdana"/>
      <w:sz w:val="19"/>
      <w:szCs w:val="19"/>
      <w:lang w:val="en-US" w:eastAsia="en-US"/>
    </w:rPr>
  </w:style>
  <w:style w:type="paragraph" w:customStyle="1" w:styleId="secsubsec">
    <w:name w:val="secsubsec"/>
    <w:basedOn w:val="Normal"/>
    <w:rsid w:val="00226F82"/>
    <w:pPr>
      <w:spacing w:before="168"/>
      <w:ind w:firstLine="336"/>
    </w:pPr>
    <w:rPr>
      <w:rFonts w:ascii="Verdana" w:hAnsi="Verdana"/>
      <w:szCs w:val="24"/>
      <w:lang w:val="en-US" w:eastAsia="en-US"/>
    </w:rPr>
  </w:style>
  <w:style w:type="character" w:customStyle="1" w:styleId="indentlabel1">
    <w:name w:val="indentlabel1"/>
    <w:basedOn w:val="DefaultParagraphFont"/>
    <w:rsid w:val="00226F82"/>
    <w:rPr>
      <w:rFonts w:ascii="Verdana" w:hAnsi="Verdana" w:hint="default"/>
    </w:rPr>
  </w:style>
  <w:style w:type="paragraph" w:customStyle="1" w:styleId="subparagraph">
    <w:name w:val="subparagraph"/>
    <w:basedOn w:val="Normal"/>
    <w:rsid w:val="00226F82"/>
    <w:pPr>
      <w:spacing w:before="168"/>
      <w:ind w:left="336"/>
    </w:pPr>
    <w:rPr>
      <w:rFonts w:ascii="Verdana" w:hAnsi="Verdana"/>
      <w:szCs w:val="24"/>
      <w:lang w:val="en-US" w:eastAsia="en-US"/>
    </w:rPr>
  </w:style>
  <w:style w:type="character" w:customStyle="1" w:styleId="italic1">
    <w:name w:val="italic1"/>
    <w:basedOn w:val="DefaultParagraphFont"/>
    <w:rsid w:val="00226F82"/>
    <w:rPr>
      <w:rFonts w:ascii="Verdana" w:hAnsi="Verdana" w:hint="default"/>
      <w:i/>
      <w:iCs/>
    </w:rPr>
  </w:style>
  <w:style w:type="paragraph" w:customStyle="1" w:styleId="article1">
    <w:name w:val="article1"/>
    <w:basedOn w:val="Normal"/>
    <w:rsid w:val="00226F82"/>
    <w:pPr>
      <w:spacing w:before="120" w:after="120"/>
      <w:ind w:firstLine="336"/>
    </w:pPr>
    <w:rPr>
      <w:szCs w:val="24"/>
      <w:lang w:val="en-US" w:eastAsia="en-US"/>
    </w:rPr>
  </w:style>
  <w:style w:type="paragraph" w:customStyle="1" w:styleId="noartpara1">
    <w:name w:val="no_art_para1"/>
    <w:basedOn w:val="Normal"/>
    <w:rsid w:val="00226F82"/>
    <w:pPr>
      <w:spacing w:before="120" w:after="120"/>
      <w:ind w:left="336"/>
    </w:pPr>
    <w:rPr>
      <w:szCs w:val="24"/>
      <w:lang w:val="en-US" w:eastAsia="en-US"/>
    </w:rPr>
  </w:style>
  <w:style w:type="paragraph" w:customStyle="1" w:styleId="sous-alinea1">
    <w:name w:val="sous-alinea1"/>
    <w:basedOn w:val="Normal"/>
    <w:rsid w:val="00226F82"/>
    <w:pPr>
      <w:spacing w:before="120" w:after="120"/>
      <w:ind w:left="648"/>
    </w:pPr>
    <w:rPr>
      <w:szCs w:val="24"/>
      <w:lang w:val="en-US" w:eastAsia="en-US"/>
    </w:rPr>
  </w:style>
  <w:style w:type="paragraph" w:customStyle="1" w:styleId="definition">
    <w:name w:val="definition"/>
    <w:basedOn w:val="Normal"/>
    <w:rsid w:val="00226F82"/>
    <w:pPr>
      <w:spacing w:before="180"/>
    </w:pPr>
    <w:rPr>
      <w:rFonts w:ascii="Verdana" w:hAnsi="Verdana"/>
      <w:szCs w:val="24"/>
      <w:lang w:val="en-US" w:eastAsia="en-US"/>
    </w:rPr>
  </w:style>
  <w:style w:type="character" w:styleId="Emphasis">
    <w:name w:val="Emphasis"/>
    <w:basedOn w:val="DefaultParagraphFont"/>
    <w:uiPriority w:val="20"/>
    <w:qFormat/>
    <w:rsid w:val="00226F82"/>
    <w:rPr>
      <w:i/>
      <w:iCs/>
    </w:rPr>
  </w:style>
  <w:style w:type="character" w:customStyle="1" w:styleId="hit1">
    <w:name w:val="hit1"/>
    <w:basedOn w:val="DefaultParagraphFont"/>
    <w:rsid w:val="00226F82"/>
    <w:rPr>
      <w:b/>
      <w:bCs/>
      <w:color w:val="CC0033"/>
    </w:rPr>
  </w:style>
  <w:style w:type="paragraph" w:customStyle="1" w:styleId="ReasonsNumbering-AltN">
    <w:name w:val="Reasons Numbering - Alt N"/>
    <w:qFormat/>
    <w:rsid w:val="006860A6"/>
    <w:pPr>
      <w:numPr>
        <w:numId w:val="1"/>
      </w:numPr>
      <w:tabs>
        <w:tab w:val="left" w:pos="1152"/>
      </w:tabs>
      <w:spacing w:after="480" w:line="480" w:lineRule="auto"/>
      <w:ind w:left="0" w:firstLine="0"/>
      <w:jc w:val="both"/>
    </w:pPr>
    <w:rPr>
      <w:rFonts w:eastAsiaTheme="minorHAnsi" w:cstheme="minorBidi"/>
      <w:sz w:val="24"/>
      <w:szCs w:val="22"/>
      <w:lang w:eastAsia="en-US"/>
    </w:rPr>
  </w:style>
  <w:style w:type="paragraph" w:customStyle="1" w:styleId="Citation-AltC">
    <w:name w:val="Citation - Alt C"/>
    <w:uiPriority w:val="2"/>
    <w:qFormat/>
    <w:rsid w:val="006860A6"/>
    <w:pPr>
      <w:spacing w:after="720"/>
      <w:ind w:left="1166"/>
      <w:contextualSpacing/>
      <w:jc w:val="both"/>
    </w:pPr>
    <w:rPr>
      <w:sz w:val="24"/>
    </w:rPr>
  </w:style>
  <w:style w:type="character" w:styleId="CommentReference">
    <w:name w:val="annotation reference"/>
    <w:basedOn w:val="DefaultParagraphFont"/>
    <w:uiPriority w:val="99"/>
    <w:semiHidden/>
    <w:unhideWhenUsed/>
    <w:rsid w:val="006860A6"/>
    <w:rPr>
      <w:sz w:val="16"/>
      <w:szCs w:val="16"/>
    </w:rPr>
  </w:style>
  <w:style w:type="paragraph" w:styleId="CommentText">
    <w:name w:val="annotation text"/>
    <w:basedOn w:val="Normal"/>
    <w:link w:val="CommentTextChar"/>
    <w:uiPriority w:val="99"/>
    <w:semiHidden/>
    <w:unhideWhenUsed/>
    <w:rsid w:val="006860A6"/>
    <w:rPr>
      <w:sz w:val="20"/>
    </w:rPr>
  </w:style>
  <w:style w:type="character" w:customStyle="1" w:styleId="CommentTextChar">
    <w:name w:val="Comment Text Char"/>
    <w:basedOn w:val="DefaultParagraphFont"/>
    <w:link w:val="CommentText"/>
    <w:uiPriority w:val="99"/>
    <w:semiHidden/>
    <w:rsid w:val="006860A6"/>
  </w:style>
  <w:style w:type="paragraph" w:styleId="CommentSubject">
    <w:name w:val="annotation subject"/>
    <w:basedOn w:val="CommentText"/>
    <w:next w:val="CommentText"/>
    <w:link w:val="CommentSubjectChar"/>
    <w:uiPriority w:val="99"/>
    <w:semiHidden/>
    <w:unhideWhenUsed/>
    <w:rsid w:val="006860A6"/>
    <w:rPr>
      <w:b/>
      <w:bCs/>
    </w:rPr>
  </w:style>
  <w:style w:type="character" w:customStyle="1" w:styleId="CommentSubjectChar">
    <w:name w:val="Comment Subject Char"/>
    <w:basedOn w:val="CommentTextChar"/>
    <w:link w:val="CommentSubject"/>
    <w:uiPriority w:val="99"/>
    <w:semiHidden/>
    <w:rsid w:val="006860A6"/>
    <w:rPr>
      <w:b/>
      <w:bCs/>
    </w:rPr>
  </w:style>
  <w:style w:type="paragraph" w:customStyle="1" w:styleId="ContinueReasonsNo-AltP">
    <w:name w:val="Continue Reasons No # - Alt P"/>
    <w:next w:val="ReasonsNumbering-AltN"/>
    <w:uiPriority w:val="1"/>
    <w:qFormat/>
    <w:rsid w:val="006860A6"/>
    <w:pPr>
      <w:spacing w:before="480" w:after="480" w:line="480" w:lineRule="auto"/>
      <w:jc w:val="both"/>
    </w:pPr>
    <w:rPr>
      <w:rFonts w:eastAsiaTheme="minorHAnsi" w:cstheme="minorBidi"/>
      <w:sz w:val="24"/>
      <w:szCs w:val="22"/>
      <w:lang w:eastAsia="en-US"/>
    </w:rPr>
  </w:style>
  <w:style w:type="paragraph" w:customStyle="1" w:styleId="Citation">
    <w:name w:val="Citation"/>
    <w:basedOn w:val="Normal"/>
    <w:qFormat/>
    <w:rsid w:val="00111A50"/>
    <w:pPr>
      <w:spacing w:after="720"/>
      <w:ind w:left="1166"/>
      <w:contextualSpacing/>
      <w:jc w:val="both"/>
    </w:pPr>
  </w:style>
  <w:style w:type="table" w:customStyle="1" w:styleId="TableGrid1">
    <w:name w:val="Table Grid1"/>
    <w:basedOn w:val="TableNormal"/>
    <w:next w:val="TableGrid"/>
    <w:uiPriority w:val="59"/>
    <w:rsid w:val="00AF6729"/>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aws.justice.gc.ca/fra/C-50/20100916/page-2.html?rp2=SEARCH&amp;rp3=SI&amp;rp4=all&amp;rp5=Crown%20Liability%20and%20Proceedings%20Act&amp;rp9=cs&amp;rp10=L&amp;rp13=50"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12BE-50DF-430B-9CCA-3E2DE30E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Ltr_J18_e revised Feb 21 2011.dotx</Template>
  <TotalTime>0</TotalTime>
  <Pages>22</Pages>
  <Words>4945</Words>
  <Characters>25799</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2010-12-23T15:59:00Z</dcterms:created>
  <dcterms:modified xsi:type="dcterms:W3CDTF">2011-06-07T14:18:00Z</dcterms:modified>
</cp:coreProperties>
</file>