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90" w:rsidRPr="00781DC5" w:rsidRDefault="004C3A90" w:rsidP="004C3A90">
      <w:pPr>
        <w:tabs>
          <w:tab w:val="center" w:pos="4680"/>
          <w:tab w:val="right" w:pos="9360"/>
        </w:tabs>
        <w:rPr>
          <w:rFonts w:eastAsiaTheme="minorHAnsi" w:cstheme="minorBidi"/>
          <w:szCs w:val="24"/>
          <w:lang w:eastAsia="en-US"/>
        </w:rPr>
      </w:pPr>
      <w:r w:rsidRPr="00781DC5">
        <w:rPr>
          <w:rFonts w:eastAsiaTheme="minorHAnsi" w:cstheme="minorBidi"/>
          <w:szCs w:val="24"/>
          <w:lang w:eastAsia="en-US"/>
        </w:rPr>
        <w:ptab w:relativeTo="margin" w:alignment="center" w:leader="none"/>
      </w:r>
      <w:r w:rsidRPr="00781DC5">
        <w:rPr>
          <w:rFonts w:eastAsiaTheme="minorHAnsi" w:cstheme="minorBidi"/>
          <w:szCs w:val="24"/>
          <w:lang w:eastAsia="en-US"/>
        </w:rPr>
        <w:t xml:space="preserve"> </w:t>
      </w:r>
      <w:r w:rsidRPr="00781DC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0685954" r:id="rId8"/>
        </w:object>
      </w:r>
      <w:r w:rsidRPr="00781DC5">
        <w:rPr>
          <w:rFonts w:eastAsiaTheme="minorHAnsi" w:cstheme="minorBidi"/>
          <w:szCs w:val="24"/>
          <w:lang w:eastAsia="en-US"/>
        </w:rPr>
        <w:t xml:space="preserve"> </w:t>
      </w:r>
      <w:r w:rsidRPr="00781DC5">
        <w:rPr>
          <w:rFonts w:eastAsiaTheme="minorHAnsi" w:cstheme="minorBidi"/>
          <w:szCs w:val="24"/>
          <w:lang w:eastAsia="en-US"/>
        </w:rPr>
        <w:ptab w:relativeTo="margin" w:alignment="right" w:leader="none"/>
      </w:r>
    </w:p>
    <w:p w:rsidR="004C3A90" w:rsidRPr="00781DC5" w:rsidRDefault="004C3A90" w:rsidP="004C3A90">
      <w:pPr>
        <w:tabs>
          <w:tab w:val="center" w:pos="4680"/>
          <w:tab w:val="right" w:pos="9360"/>
        </w:tabs>
        <w:rPr>
          <w:rFonts w:eastAsiaTheme="minorHAnsi" w:cstheme="minorBidi"/>
          <w:szCs w:val="24"/>
          <w:lang w:eastAsia="en-US"/>
        </w:rPr>
      </w:pP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SUPREME COURT OF CANADA</w:t>
      </w:r>
    </w:p>
    <w:p w:rsidR="004C3A90" w:rsidRPr="00781DC5" w:rsidRDefault="004C3A90" w:rsidP="004C3A9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C3A90" w:rsidRPr="00781DC5" w:rsidTr="00F943DD">
        <w:trPr>
          <w:cantSplit/>
        </w:trPr>
        <w:tc>
          <w:tcPr>
            <w:tcW w:w="6768" w:type="dxa"/>
          </w:tcPr>
          <w:p w:rsidR="004C3A90" w:rsidRPr="00781DC5" w:rsidRDefault="004C3A90" w:rsidP="00F943DD">
            <w:r w:rsidRPr="00781DC5">
              <w:rPr>
                <w:b/>
                <w:smallCaps/>
              </w:rPr>
              <w:t>Citation:</w:t>
            </w:r>
            <w:r w:rsidRPr="00781DC5">
              <w:t xml:space="preserve"> Canadian Broadcasting Corp. </w:t>
            </w:r>
            <w:r w:rsidRPr="00781DC5">
              <w:rPr>
                <w:i/>
              </w:rPr>
              <w:t>v.</w:t>
            </w:r>
            <w:r w:rsidRPr="00781DC5">
              <w:t xml:space="preserve"> </w:t>
            </w:r>
            <w:r>
              <w:t>The Queen</w:t>
            </w:r>
            <w:r w:rsidRPr="00781DC5">
              <w:t xml:space="preserve">, </w:t>
            </w:r>
            <w:r>
              <w:rPr>
                <w:rStyle w:val="SCCRespondentForIndexChar"/>
                <w:b w:val="0"/>
              </w:rPr>
              <w:t>2011 SCC 3, [2011] 1 S.C.R. 65</w:t>
            </w:r>
          </w:p>
        </w:tc>
        <w:tc>
          <w:tcPr>
            <w:tcW w:w="2808" w:type="dxa"/>
          </w:tcPr>
          <w:p w:rsidR="004C3A90" w:rsidRPr="00781DC5" w:rsidRDefault="004C3A90" w:rsidP="00F943DD">
            <w:r w:rsidRPr="00781DC5">
              <w:rPr>
                <w:b/>
                <w:smallCaps/>
              </w:rPr>
              <w:t>Date:</w:t>
            </w:r>
            <w:r w:rsidRPr="00781DC5">
              <w:t xml:space="preserve"> 20110128</w:t>
            </w:r>
          </w:p>
          <w:p w:rsidR="004C3A90" w:rsidRPr="00781DC5" w:rsidRDefault="004C3A90" w:rsidP="00F943DD">
            <w:r w:rsidRPr="00781DC5">
              <w:rPr>
                <w:b/>
                <w:smallCaps/>
              </w:rPr>
              <w:t>Docket:</w:t>
            </w:r>
            <w:r w:rsidRPr="00781DC5">
              <w:t xml:space="preserve"> 32987</w:t>
            </w:r>
          </w:p>
        </w:tc>
      </w:tr>
    </w:tbl>
    <w:p w:rsidR="004C3A90" w:rsidRPr="00781DC5" w:rsidRDefault="004C3A90" w:rsidP="004C3A90">
      <w:pPr>
        <w:rPr>
          <w:rFonts w:eastAsiaTheme="minorHAnsi" w:cstheme="minorBidi"/>
          <w:szCs w:val="24"/>
          <w:lang w:eastAsia="en-US"/>
        </w:rPr>
      </w:pPr>
    </w:p>
    <w:p w:rsidR="004C3A90" w:rsidRPr="00781DC5" w:rsidRDefault="004C3A90" w:rsidP="004C3A90">
      <w:pPr>
        <w:rPr>
          <w:rFonts w:eastAsiaTheme="minorHAnsi" w:cstheme="minorBidi"/>
          <w:b/>
          <w:smallCaps/>
          <w:szCs w:val="24"/>
          <w:lang w:eastAsia="en-US"/>
        </w:rPr>
      </w:pPr>
      <w:r w:rsidRPr="00781DC5">
        <w:rPr>
          <w:rFonts w:eastAsiaTheme="minorHAnsi" w:cstheme="minorBidi"/>
          <w:b/>
          <w:smallCaps/>
          <w:szCs w:val="24"/>
          <w:lang w:eastAsia="en-US"/>
        </w:rPr>
        <w:t>Between:</w:t>
      </w: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Canadian Broadcasting Corporation</w:t>
      </w:r>
    </w:p>
    <w:p w:rsidR="004C3A90" w:rsidRPr="00781DC5" w:rsidRDefault="004C3A90" w:rsidP="004C3A90">
      <w:pPr>
        <w:jc w:val="center"/>
        <w:rPr>
          <w:rFonts w:eastAsiaTheme="minorHAnsi" w:cstheme="minorBidi"/>
          <w:szCs w:val="24"/>
          <w:lang w:eastAsia="en-US"/>
        </w:rPr>
      </w:pPr>
      <w:r w:rsidRPr="00781DC5">
        <w:rPr>
          <w:rFonts w:eastAsiaTheme="minorHAnsi" w:cstheme="minorBidi"/>
          <w:szCs w:val="24"/>
          <w:lang w:eastAsia="en-US"/>
        </w:rPr>
        <w:t>Appellant</w:t>
      </w:r>
    </w:p>
    <w:p w:rsidR="004C3A90" w:rsidRPr="00781DC5" w:rsidRDefault="004C3A90" w:rsidP="004C3A90">
      <w:pPr>
        <w:jc w:val="center"/>
        <w:rPr>
          <w:rFonts w:eastAsiaTheme="minorHAnsi" w:cstheme="minorBidi"/>
          <w:szCs w:val="24"/>
          <w:lang w:eastAsia="en-US"/>
        </w:rPr>
      </w:pPr>
      <w:proofErr w:type="gramStart"/>
      <w:r w:rsidRPr="00781DC5">
        <w:rPr>
          <w:rFonts w:eastAsiaTheme="minorHAnsi" w:cstheme="minorBidi"/>
          <w:szCs w:val="24"/>
          <w:lang w:eastAsia="en-US"/>
        </w:rPr>
        <w:t>and</w:t>
      </w:r>
      <w:proofErr w:type="gramEnd"/>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 xml:space="preserve">Her Majesty </w:t>
      </w:r>
      <w:proofErr w:type="gramStart"/>
      <w:r w:rsidRPr="00781DC5">
        <w:rPr>
          <w:rFonts w:eastAsiaTheme="minorHAnsi" w:cstheme="minorBidi"/>
          <w:b/>
          <w:szCs w:val="24"/>
          <w:lang w:eastAsia="en-US"/>
        </w:rPr>
        <w:t>The</w:t>
      </w:r>
      <w:proofErr w:type="gramEnd"/>
      <w:r w:rsidRPr="00781DC5">
        <w:rPr>
          <w:rFonts w:eastAsiaTheme="minorHAnsi" w:cstheme="minorBidi"/>
          <w:b/>
          <w:szCs w:val="24"/>
          <w:lang w:eastAsia="en-US"/>
        </w:rPr>
        <w:t xml:space="preserve"> Queen and </w:t>
      </w:r>
      <w:proofErr w:type="spellStart"/>
      <w:r w:rsidRPr="00781DC5">
        <w:rPr>
          <w:rFonts w:eastAsiaTheme="minorHAnsi" w:cstheme="minorBidi"/>
          <w:b/>
          <w:szCs w:val="24"/>
          <w:lang w:eastAsia="en-US"/>
        </w:rPr>
        <w:t>Stéphan</w:t>
      </w:r>
      <w:proofErr w:type="spellEnd"/>
      <w:r w:rsidRPr="00781DC5">
        <w:rPr>
          <w:rFonts w:eastAsiaTheme="minorHAnsi" w:cstheme="minorBidi"/>
          <w:b/>
          <w:szCs w:val="24"/>
          <w:lang w:eastAsia="en-US"/>
        </w:rPr>
        <w:t xml:space="preserve"> </w:t>
      </w:r>
      <w:proofErr w:type="spellStart"/>
      <w:r w:rsidRPr="00781DC5">
        <w:rPr>
          <w:rFonts w:eastAsiaTheme="minorHAnsi" w:cstheme="minorBidi"/>
          <w:b/>
          <w:szCs w:val="24"/>
          <w:lang w:eastAsia="en-US"/>
        </w:rPr>
        <w:t>Dufour</w:t>
      </w:r>
      <w:proofErr w:type="spellEnd"/>
    </w:p>
    <w:p w:rsidR="004C3A90" w:rsidRPr="00781DC5" w:rsidRDefault="004C3A90" w:rsidP="004C3A90">
      <w:pPr>
        <w:jc w:val="center"/>
        <w:rPr>
          <w:rFonts w:eastAsiaTheme="minorHAnsi" w:cstheme="minorBidi"/>
          <w:szCs w:val="24"/>
          <w:lang w:eastAsia="en-US"/>
        </w:rPr>
      </w:pPr>
      <w:r w:rsidRPr="00781DC5">
        <w:rPr>
          <w:rFonts w:eastAsiaTheme="minorHAnsi" w:cstheme="minorBidi"/>
          <w:szCs w:val="24"/>
          <w:lang w:eastAsia="en-US"/>
        </w:rPr>
        <w:t>Respondents</w:t>
      </w:r>
    </w:p>
    <w:p w:rsidR="004C3A90" w:rsidRPr="00781DC5" w:rsidRDefault="004C3A90" w:rsidP="004C3A90">
      <w:pPr>
        <w:jc w:val="center"/>
        <w:rPr>
          <w:rFonts w:eastAsiaTheme="minorHAnsi" w:cstheme="minorBidi"/>
          <w:szCs w:val="24"/>
          <w:lang w:eastAsia="en-US"/>
        </w:rPr>
      </w:pPr>
      <w:r w:rsidRPr="00781DC5">
        <w:rPr>
          <w:rFonts w:eastAsiaTheme="minorHAnsi" w:cstheme="minorBidi"/>
          <w:szCs w:val="24"/>
          <w:lang w:eastAsia="en-US"/>
        </w:rPr>
        <w:t xml:space="preserve">- </w:t>
      </w:r>
      <w:proofErr w:type="gramStart"/>
      <w:r w:rsidRPr="00781DC5">
        <w:rPr>
          <w:rFonts w:eastAsiaTheme="minorHAnsi" w:cstheme="minorBidi"/>
          <w:szCs w:val="24"/>
          <w:lang w:eastAsia="en-US"/>
        </w:rPr>
        <w:t>and</w:t>
      </w:r>
      <w:proofErr w:type="gramEnd"/>
      <w:r w:rsidRPr="00781DC5">
        <w:rPr>
          <w:rFonts w:eastAsiaTheme="minorHAnsi" w:cstheme="minorBidi"/>
          <w:szCs w:val="24"/>
          <w:lang w:eastAsia="en-US"/>
        </w:rPr>
        <w:t xml:space="preserve"> -</w:t>
      </w: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Attorney General of Canada, Attorney General of Quebec,</w:t>
      </w: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Attorney General of New Brunswick, Attorney General of Alberta,</w:t>
      </w: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British Columbia Civil Liberties Association and</w:t>
      </w:r>
    </w:p>
    <w:p w:rsidR="004C3A90" w:rsidRPr="00781DC5" w:rsidRDefault="004C3A90" w:rsidP="004C3A90">
      <w:pPr>
        <w:jc w:val="center"/>
        <w:rPr>
          <w:rFonts w:eastAsiaTheme="minorHAnsi" w:cstheme="minorBidi"/>
          <w:b/>
          <w:szCs w:val="24"/>
          <w:lang w:eastAsia="en-US"/>
        </w:rPr>
      </w:pPr>
      <w:r w:rsidRPr="00781DC5">
        <w:rPr>
          <w:rFonts w:eastAsiaTheme="minorHAnsi" w:cstheme="minorBidi"/>
          <w:b/>
          <w:szCs w:val="24"/>
          <w:lang w:eastAsia="en-US"/>
        </w:rPr>
        <w:t>Canadian Civil Liberties Association</w:t>
      </w:r>
    </w:p>
    <w:p w:rsidR="004C3A90" w:rsidRPr="00781DC5" w:rsidRDefault="004C3A90" w:rsidP="004C3A90">
      <w:pPr>
        <w:jc w:val="center"/>
        <w:rPr>
          <w:rFonts w:eastAsiaTheme="minorHAnsi" w:cstheme="minorBidi"/>
          <w:szCs w:val="24"/>
          <w:lang w:eastAsia="en-US"/>
        </w:rPr>
      </w:pPr>
      <w:r w:rsidRPr="00781DC5">
        <w:rPr>
          <w:rFonts w:eastAsiaTheme="minorHAnsi" w:cstheme="minorBidi"/>
          <w:szCs w:val="24"/>
          <w:lang w:eastAsia="en-US"/>
        </w:rPr>
        <w:t>Interveners</w:t>
      </w:r>
    </w:p>
    <w:p w:rsidR="004C3A90" w:rsidRPr="00781DC5" w:rsidRDefault="004C3A90" w:rsidP="004C3A90">
      <w:pPr>
        <w:rPr>
          <w:rFonts w:eastAsiaTheme="minorHAnsi" w:cstheme="minorBidi"/>
          <w:szCs w:val="24"/>
          <w:lang w:eastAsia="en-US"/>
        </w:rPr>
      </w:pPr>
    </w:p>
    <w:p w:rsidR="004C3A90" w:rsidRPr="00781DC5" w:rsidRDefault="004C3A90" w:rsidP="004C3A90">
      <w:pPr>
        <w:jc w:val="center"/>
        <w:rPr>
          <w:rFonts w:eastAsiaTheme="minorHAnsi" w:cstheme="minorBidi"/>
          <w:b/>
          <w:smallCaps/>
          <w:szCs w:val="24"/>
          <w:lang w:eastAsia="en-US"/>
        </w:rPr>
      </w:pPr>
      <w:r w:rsidRPr="00781DC5">
        <w:rPr>
          <w:rFonts w:eastAsiaTheme="minorHAnsi" w:cstheme="minorBidi"/>
          <w:b/>
          <w:smallCaps/>
          <w:szCs w:val="24"/>
          <w:lang w:eastAsia="en-US"/>
        </w:rPr>
        <w:t>Official English Translation</w:t>
      </w:r>
    </w:p>
    <w:p w:rsidR="004C3A90" w:rsidRPr="00781DC5" w:rsidRDefault="004C3A90" w:rsidP="004C3A90">
      <w:pPr>
        <w:rPr>
          <w:rFonts w:eastAsiaTheme="minorHAnsi" w:cstheme="minorBidi"/>
          <w:szCs w:val="24"/>
          <w:lang w:eastAsia="en-US"/>
        </w:rPr>
      </w:pPr>
    </w:p>
    <w:p w:rsidR="004C3A90" w:rsidRPr="00781DC5" w:rsidRDefault="004C3A90" w:rsidP="004C3A90">
      <w:pPr>
        <w:rPr>
          <w:rFonts w:eastAsiaTheme="minorHAnsi" w:cstheme="minorBidi"/>
          <w:szCs w:val="24"/>
          <w:lang w:eastAsia="en-US"/>
        </w:rPr>
      </w:pPr>
      <w:r w:rsidRPr="00781DC5">
        <w:rPr>
          <w:rFonts w:eastAsiaTheme="minorHAnsi" w:cstheme="minorBidi"/>
          <w:b/>
          <w:smallCaps/>
          <w:szCs w:val="24"/>
          <w:lang w:eastAsia="en-US"/>
        </w:rPr>
        <w:t>Coram:</w:t>
      </w:r>
      <w:r w:rsidRPr="00781DC5">
        <w:rPr>
          <w:rFonts w:eastAsiaTheme="minorHAnsi" w:cstheme="minorBidi"/>
          <w:szCs w:val="24"/>
          <w:lang w:eastAsia="en-US"/>
        </w:rPr>
        <w:t xml:space="preserve"> </w:t>
      </w:r>
      <w:proofErr w:type="spellStart"/>
      <w:r w:rsidRPr="00781DC5">
        <w:rPr>
          <w:rFonts w:eastAsiaTheme="minorHAnsi" w:cstheme="minorBidi"/>
          <w:szCs w:val="24"/>
          <w:lang w:eastAsia="en-US"/>
        </w:rPr>
        <w:t>McLachlin</w:t>
      </w:r>
      <w:proofErr w:type="spellEnd"/>
      <w:r w:rsidRPr="00781DC5">
        <w:rPr>
          <w:rFonts w:eastAsiaTheme="minorHAnsi" w:cstheme="minorBidi"/>
          <w:szCs w:val="24"/>
          <w:lang w:eastAsia="en-US"/>
        </w:rPr>
        <w:t xml:space="preserve"> C.J. and </w:t>
      </w:r>
      <w:proofErr w:type="spellStart"/>
      <w:r w:rsidRPr="00781DC5">
        <w:rPr>
          <w:rFonts w:eastAsiaTheme="minorHAnsi" w:cstheme="minorBidi"/>
          <w:szCs w:val="24"/>
          <w:lang w:eastAsia="en-US"/>
        </w:rPr>
        <w:t>Binnie</w:t>
      </w:r>
      <w:proofErr w:type="spellEnd"/>
      <w:r w:rsidRPr="00781DC5">
        <w:rPr>
          <w:rFonts w:eastAsiaTheme="minorHAnsi" w:cstheme="minorBidi"/>
          <w:szCs w:val="24"/>
          <w:lang w:eastAsia="en-US"/>
        </w:rPr>
        <w:t xml:space="preserve">, </w:t>
      </w:r>
      <w:proofErr w:type="spellStart"/>
      <w:r w:rsidRPr="00781DC5">
        <w:rPr>
          <w:rFonts w:eastAsiaTheme="minorHAnsi" w:cstheme="minorBidi"/>
          <w:szCs w:val="24"/>
          <w:lang w:eastAsia="en-US"/>
        </w:rPr>
        <w:t>LeBel</w:t>
      </w:r>
      <w:proofErr w:type="spellEnd"/>
      <w:r w:rsidRPr="00781DC5">
        <w:rPr>
          <w:rFonts w:eastAsiaTheme="minorHAnsi" w:cstheme="minorBidi"/>
          <w:szCs w:val="24"/>
          <w:lang w:eastAsia="en-US"/>
        </w:rPr>
        <w:t xml:space="preserve">, </w:t>
      </w:r>
      <w:proofErr w:type="spellStart"/>
      <w:r w:rsidRPr="00781DC5">
        <w:rPr>
          <w:rFonts w:eastAsiaTheme="minorHAnsi" w:cstheme="minorBidi"/>
          <w:szCs w:val="24"/>
          <w:lang w:eastAsia="en-US"/>
        </w:rPr>
        <w:t>Deschamps</w:t>
      </w:r>
      <w:proofErr w:type="spellEnd"/>
      <w:r w:rsidRPr="00781DC5">
        <w:rPr>
          <w:rFonts w:eastAsiaTheme="minorHAnsi" w:cstheme="minorBidi"/>
          <w:szCs w:val="24"/>
          <w:lang w:eastAsia="en-US"/>
        </w:rPr>
        <w:t xml:space="preserve">, Fish, </w:t>
      </w:r>
      <w:proofErr w:type="spellStart"/>
      <w:r w:rsidRPr="00781DC5">
        <w:rPr>
          <w:rFonts w:eastAsiaTheme="minorHAnsi" w:cstheme="minorBidi"/>
          <w:szCs w:val="24"/>
          <w:lang w:eastAsia="en-US"/>
        </w:rPr>
        <w:t>Abella</w:t>
      </w:r>
      <w:proofErr w:type="spellEnd"/>
      <w:r w:rsidRPr="00781DC5">
        <w:rPr>
          <w:rFonts w:eastAsiaTheme="minorHAnsi" w:cstheme="minorBidi"/>
          <w:szCs w:val="24"/>
          <w:lang w:eastAsia="en-US"/>
        </w:rPr>
        <w:t xml:space="preserve">, </w:t>
      </w:r>
      <w:proofErr w:type="spellStart"/>
      <w:r w:rsidRPr="00781DC5">
        <w:rPr>
          <w:rFonts w:eastAsiaTheme="minorHAnsi" w:cstheme="minorBidi"/>
          <w:szCs w:val="24"/>
          <w:lang w:eastAsia="en-US"/>
        </w:rPr>
        <w:t>Charron</w:t>
      </w:r>
      <w:proofErr w:type="spellEnd"/>
      <w:r w:rsidRPr="00781DC5">
        <w:rPr>
          <w:rFonts w:eastAsiaTheme="minorHAnsi" w:cstheme="minorBidi"/>
          <w:szCs w:val="24"/>
          <w:lang w:eastAsia="en-US"/>
        </w:rPr>
        <w:t>, Rothstein and Cromwell JJ.</w:t>
      </w:r>
    </w:p>
    <w:p w:rsidR="004C3A90" w:rsidRPr="00781DC5" w:rsidRDefault="004C3A90" w:rsidP="004C3A9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C3A90" w:rsidRPr="00781DC5" w:rsidTr="00F943DD">
        <w:trPr>
          <w:cantSplit/>
        </w:trPr>
        <w:tc>
          <w:tcPr>
            <w:tcW w:w="3618" w:type="dxa"/>
          </w:tcPr>
          <w:p w:rsidR="004C3A90" w:rsidRPr="00781DC5" w:rsidRDefault="004C3A90" w:rsidP="00F943DD">
            <w:pPr>
              <w:rPr>
                <w:b/>
                <w:smallCaps/>
              </w:rPr>
            </w:pPr>
            <w:r w:rsidRPr="00781DC5">
              <w:rPr>
                <w:b/>
                <w:smallCaps/>
              </w:rPr>
              <w:t>Reasons for Judgment:</w:t>
            </w:r>
          </w:p>
          <w:p w:rsidR="004C3A90" w:rsidRPr="00781DC5" w:rsidRDefault="004C3A90" w:rsidP="00F943DD">
            <w:r w:rsidRPr="00781DC5">
              <w:t>(</w:t>
            </w:r>
            <w:proofErr w:type="spellStart"/>
            <w:r w:rsidRPr="00781DC5">
              <w:t>paras</w:t>
            </w:r>
            <w:proofErr w:type="spellEnd"/>
            <w:r w:rsidRPr="00781DC5">
              <w:t>. 1 to 20)</w:t>
            </w:r>
          </w:p>
        </w:tc>
        <w:tc>
          <w:tcPr>
            <w:tcW w:w="5958" w:type="dxa"/>
          </w:tcPr>
          <w:p w:rsidR="004C3A90" w:rsidRPr="00781DC5" w:rsidRDefault="004C3A90" w:rsidP="00F943DD">
            <w:proofErr w:type="spellStart"/>
            <w:r w:rsidRPr="00781DC5">
              <w:t>Deschamps</w:t>
            </w:r>
            <w:proofErr w:type="spellEnd"/>
            <w:r w:rsidRPr="00781DC5">
              <w:t xml:space="preserve"> J. (</w:t>
            </w:r>
            <w:proofErr w:type="spellStart"/>
            <w:r w:rsidRPr="00781DC5">
              <w:t>McLachlin</w:t>
            </w:r>
            <w:proofErr w:type="spellEnd"/>
            <w:r w:rsidRPr="00781DC5">
              <w:t xml:space="preserve"> C.J. and </w:t>
            </w:r>
            <w:proofErr w:type="spellStart"/>
            <w:r w:rsidRPr="00781DC5">
              <w:t>Binnie</w:t>
            </w:r>
            <w:proofErr w:type="spellEnd"/>
            <w:r w:rsidRPr="00781DC5">
              <w:t xml:space="preserve">, </w:t>
            </w:r>
            <w:proofErr w:type="spellStart"/>
            <w:r w:rsidRPr="00781DC5">
              <w:t>LeBel</w:t>
            </w:r>
            <w:proofErr w:type="spellEnd"/>
            <w:r w:rsidRPr="00781DC5">
              <w:t xml:space="preserve">, Fish, </w:t>
            </w:r>
            <w:proofErr w:type="spellStart"/>
            <w:r w:rsidRPr="00781DC5">
              <w:t>Abella</w:t>
            </w:r>
            <w:proofErr w:type="spellEnd"/>
            <w:r w:rsidRPr="00781DC5">
              <w:t xml:space="preserve">, </w:t>
            </w:r>
            <w:proofErr w:type="spellStart"/>
            <w:r w:rsidRPr="00781DC5">
              <w:t>Charron</w:t>
            </w:r>
            <w:proofErr w:type="spellEnd"/>
            <w:r w:rsidRPr="00781DC5">
              <w:t>, Rothstein and Cromwell JJ. concurring)</w:t>
            </w:r>
          </w:p>
        </w:tc>
      </w:tr>
    </w:tbl>
    <w:p w:rsidR="004C3A90" w:rsidRPr="00781DC5" w:rsidRDefault="004C3A90" w:rsidP="004C3A90">
      <w:pPr>
        <w:rPr>
          <w:rFonts w:eastAsiaTheme="minorHAnsi" w:cstheme="minorBidi"/>
          <w:szCs w:val="24"/>
          <w:lang w:eastAsia="en-US"/>
        </w:rPr>
      </w:pPr>
    </w:p>
    <w:p w:rsidR="004C3A90" w:rsidRPr="00781DC5" w:rsidRDefault="004C3A90" w:rsidP="004C3A90">
      <w:pPr>
        <w:rPr>
          <w:rFonts w:eastAsiaTheme="minorHAnsi" w:cstheme="minorBidi"/>
          <w:szCs w:val="24"/>
          <w:lang w:eastAsia="en-US"/>
        </w:rPr>
      </w:pPr>
      <w:r w:rsidRPr="00C52CB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C3A90" w:rsidRPr="00781DC5" w:rsidRDefault="004C3A90" w:rsidP="004C3A90">
      <w:pPr>
        <w:rPr>
          <w:rStyle w:val="SCCAppellantForRunningHeadChar"/>
        </w:rPr>
      </w:pPr>
      <w:r w:rsidRPr="00781DC5">
        <w:rPr>
          <w:rStyle w:val="SCCAppellantForRunningHeadChar"/>
        </w:rPr>
        <w:br w:type="page"/>
      </w:r>
    </w:p>
    <w:p w:rsidR="008322BD" w:rsidRPr="001E39C7" w:rsidRDefault="00CE15FB" w:rsidP="0035169A">
      <w:pPr>
        <w:spacing w:line="480" w:lineRule="auto"/>
        <w:jc w:val="both"/>
      </w:pPr>
      <w:proofErr w:type="gramStart"/>
      <w:r w:rsidRPr="00CE15FB">
        <w:rPr>
          <w:rStyle w:val="SCCAppellantForIndexChar"/>
          <w:b w:val="0"/>
        </w:rPr>
        <w:lastRenderedPageBreak/>
        <w:t>Canadian Broadcasting Corp.</w:t>
      </w:r>
      <w:r w:rsidRPr="00CE15FB">
        <w:t xml:space="preserve"> </w:t>
      </w:r>
      <w:r w:rsidRPr="00CE15FB">
        <w:rPr>
          <w:i/>
        </w:rPr>
        <w:t>v.</w:t>
      </w:r>
      <w:proofErr w:type="gramEnd"/>
      <w:r w:rsidRPr="00CE15FB">
        <w:t xml:space="preserve"> The Queen</w:t>
      </w:r>
      <w:r>
        <w:rPr>
          <w:smallCaps/>
        </w:rPr>
        <w:t xml:space="preserve">, </w:t>
      </w:r>
      <w:r>
        <w:rPr>
          <w:rStyle w:val="SCCRespondentForIndexChar"/>
          <w:b w:val="0"/>
        </w:rPr>
        <w:t>2011 SCC 3, [2011] 1 S.C.R. 65</w:t>
      </w:r>
    </w:p>
    <w:p w:rsidR="00A149DF" w:rsidRPr="001E39C7" w:rsidRDefault="00A149DF" w:rsidP="00FC4EFB">
      <w:pPr>
        <w:jc w:val="both"/>
      </w:pPr>
    </w:p>
    <w:p w:rsidR="001123A3" w:rsidRDefault="00D424E7" w:rsidP="00B30508">
      <w:pPr>
        <w:pStyle w:val="SCCLsocParty"/>
        <w:tabs>
          <w:tab w:val="right" w:pos="8280"/>
        </w:tabs>
        <w:spacing w:after="0" w:line="480" w:lineRule="auto"/>
        <w:rPr>
          <w:b/>
          <w:i/>
        </w:rPr>
      </w:pPr>
      <w:r w:rsidRPr="00B30508">
        <w:rPr>
          <w:b/>
        </w:rPr>
        <w:t>Canadian Broadcasting Corporation</w:t>
      </w:r>
      <w:r w:rsidR="001123A3">
        <w:tab/>
      </w:r>
      <w:r w:rsidRPr="001123A3">
        <w:rPr>
          <w:i/>
        </w:rPr>
        <w:t>Appellant</w:t>
      </w:r>
    </w:p>
    <w:p w:rsidR="001123A3" w:rsidRDefault="001123A3" w:rsidP="00B30508">
      <w:pPr>
        <w:pStyle w:val="SCCLsocParty"/>
        <w:tabs>
          <w:tab w:val="right" w:pos="8280"/>
        </w:tabs>
        <w:spacing w:after="0" w:line="480" w:lineRule="auto"/>
      </w:pPr>
    </w:p>
    <w:p w:rsidR="000B3372" w:rsidRPr="001123A3" w:rsidRDefault="00D424E7" w:rsidP="00B30508">
      <w:pPr>
        <w:pStyle w:val="SCCLsocParty"/>
        <w:tabs>
          <w:tab w:val="right" w:pos="8280"/>
        </w:tabs>
        <w:spacing w:after="0" w:line="480" w:lineRule="auto"/>
        <w:rPr>
          <w:b/>
          <w:i/>
        </w:rPr>
      </w:pPr>
      <w:proofErr w:type="gramStart"/>
      <w:r w:rsidRPr="001123A3">
        <w:rPr>
          <w:i/>
        </w:rPr>
        <w:t>v</w:t>
      </w:r>
      <w:proofErr w:type="gramEnd"/>
      <w:r w:rsidRPr="001123A3">
        <w:rPr>
          <w:i/>
        </w:rPr>
        <w:t>.</w:t>
      </w:r>
    </w:p>
    <w:p w:rsidR="001123A3" w:rsidRPr="001123A3" w:rsidRDefault="001123A3" w:rsidP="00B30508">
      <w:pPr>
        <w:spacing w:line="480" w:lineRule="auto"/>
      </w:pPr>
    </w:p>
    <w:p w:rsidR="000B3372" w:rsidRPr="00B30508" w:rsidRDefault="0057071B" w:rsidP="00B30508">
      <w:pPr>
        <w:pStyle w:val="SCCLsocParty"/>
        <w:spacing w:after="0"/>
        <w:rPr>
          <w:b/>
        </w:rPr>
      </w:pPr>
      <w:r w:rsidRPr="00B30508">
        <w:rPr>
          <w:b/>
        </w:rPr>
        <w:t xml:space="preserve">Her Majesty </w:t>
      </w:r>
      <w:proofErr w:type="gramStart"/>
      <w:r w:rsidRPr="00B30508">
        <w:rPr>
          <w:b/>
        </w:rPr>
        <w:t>The</w:t>
      </w:r>
      <w:proofErr w:type="gramEnd"/>
      <w:r w:rsidRPr="00B30508">
        <w:rPr>
          <w:b/>
        </w:rPr>
        <w:t xml:space="preserve"> Queen and</w:t>
      </w:r>
      <w:r w:rsidR="00B30508" w:rsidRPr="00B30508">
        <w:rPr>
          <w:b/>
        </w:rPr>
        <w:t xml:space="preserve"> </w:t>
      </w:r>
    </w:p>
    <w:p w:rsidR="001123A3" w:rsidRDefault="00D424E7" w:rsidP="00B30508">
      <w:pPr>
        <w:pStyle w:val="SCCLsocParty"/>
        <w:tabs>
          <w:tab w:val="right" w:pos="8280"/>
        </w:tabs>
        <w:spacing w:after="0"/>
        <w:rPr>
          <w:b/>
          <w:i/>
        </w:rPr>
      </w:pPr>
      <w:proofErr w:type="spellStart"/>
      <w:r w:rsidRPr="00B30508">
        <w:rPr>
          <w:b/>
        </w:rPr>
        <w:t>Stéphan</w:t>
      </w:r>
      <w:proofErr w:type="spellEnd"/>
      <w:r w:rsidRPr="00B30508">
        <w:rPr>
          <w:b/>
        </w:rPr>
        <w:t xml:space="preserve"> </w:t>
      </w:r>
      <w:proofErr w:type="spellStart"/>
      <w:r w:rsidRPr="00B30508">
        <w:rPr>
          <w:b/>
        </w:rPr>
        <w:t>Dufour</w:t>
      </w:r>
      <w:proofErr w:type="spellEnd"/>
      <w:r w:rsidR="001123A3">
        <w:tab/>
      </w:r>
      <w:r w:rsidRPr="001123A3">
        <w:rPr>
          <w:i/>
        </w:rPr>
        <w:t>Respondents</w:t>
      </w:r>
    </w:p>
    <w:p w:rsidR="001123A3" w:rsidRPr="001123A3" w:rsidRDefault="001123A3" w:rsidP="00B30508">
      <w:pPr>
        <w:spacing w:line="480" w:lineRule="auto"/>
      </w:pPr>
    </w:p>
    <w:p w:rsidR="001123A3" w:rsidRDefault="00D424E7" w:rsidP="00B30508">
      <w:pPr>
        <w:pStyle w:val="SCCLsocOtherPartySeparator"/>
        <w:spacing w:after="0" w:line="480" w:lineRule="auto"/>
      </w:pPr>
      <w:proofErr w:type="gramStart"/>
      <w:r w:rsidRPr="001E39C7">
        <w:t>and</w:t>
      </w:r>
      <w:proofErr w:type="gramEnd"/>
    </w:p>
    <w:p w:rsidR="001123A3" w:rsidRPr="001123A3" w:rsidRDefault="001123A3" w:rsidP="00B30508">
      <w:pPr>
        <w:spacing w:line="480" w:lineRule="auto"/>
      </w:pPr>
    </w:p>
    <w:p w:rsidR="000B3372" w:rsidRPr="004B177D" w:rsidRDefault="00D424E7" w:rsidP="00B30508">
      <w:pPr>
        <w:pStyle w:val="SCCLsocParty"/>
        <w:spacing w:after="0"/>
        <w:rPr>
          <w:b/>
        </w:rPr>
      </w:pPr>
      <w:r w:rsidRPr="004B177D">
        <w:rPr>
          <w:b/>
        </w:rPr>
        <w:t xml:space="preserve">Attorney General of Canada, </w:t>
      </w:r>
    </w:p>
    <w:p w:rsidR="000B3372" w:rsidRPr="004B177D" w:rsidRDefault="00D424E7" w:rsidP="00B30508">
      <w:pPr>
        <w:pStyle w:val="SCCLsocParty"/>
        <w:spacing w:after="0"/>
        <w:rPr>
          <w:b/>
        </w:rPr>
      </w:pPr>
      <w:r w:rsidRPr="004B177D">
        <w:rPr>
          <w:b/>
        </w:rPr>
        <w:t xml:space="preserve">Attorney General of Quebec, </w:t>
      </w:r>
    </w:p>
    <w:p w:rsidR="000B3372" w:rsidRPr="00B30508" w:rsidRDefault="00D424E7" w:rsidP="00B30508">
      <w:pPr>
        <w:pStyle w:val="SCCLsocParty"/>
        <w:spacing w:after="0"/>
        <w:rPr>
          <w:b/>
        </w:rPr>
      </w:pPr>
      <w:r w:rsidRPr="00B30508">
        <w:rPr>
          <w:b/>
        </w:rPr>
        <w:t xml:space="preserve">Attorney General of New Brunswick, </w:t>
      </w:r>
    </w:p>
    <w:p w:rsidR="000B3372" w:rsidRPr="00B30508" w:rsidRDefault="00D424E7" w:rsidP="00B30508">
      <w:pPr>
        <w:pStyle w:val="SCCLsocParty"/>
        <w:spacing w:after="0"/>
        <w:rPr>
          <w:b/>
        </w:rPr>
      </w:pPr>
      <w:r w:rsidRPr="00B30508">
        <w:rPr>
          <w:b/>
        </w:rPr>
        <w:t xml:space="preserve">Attorney General of Alberta, </w:t>
      </w:r>
    </w:p>
    <w:p w:rsidR="00481267" w:rsidRPr="00B30508" w:rsidRDefault="00481267" w:rsidP="00B30508">
      <w:pPr>
        <w:pStyle w:val="SCCLsocParty"/>
        <w:spacing w:after="0"/>
        <w:rPr>
          <w:b/>
        </w:rPr>
      </w:pPr>
      <w:r w:rsidRPr="00B30508">
        <w:rPr>
          <w:b/>
        </w:rPr>
        <w:t xml:space="preserve">British Columbia Civil Liberties Association and </w:t>
      </w:r>
    </w:p>
    <w:p w:rsidR="000B3372" w:rsidRDefault="0057071B" w:rsidP="00B30508">
      <w:pPr>
        <w:pStyle w:val="SCCLsocParty"/>
        <w:tabs>
          <w:tab w:val="right" w:pos="8280"/>
        </w:tabs>
        <w:spacing w:after="0"/>
        <w:rPr>
          <w:b/>
          <w:i/>
        </w:rPr>
      </w:pPr>
      <w:r w:rsidRPr="00B30508">
        <w:rPr>
          <w:b/>
        </w:rPr>
        <w:t>Canadian Civil Liberties Association</w:t>
      </w:r>
      <w:r w:rsidR="001123A3">
        <w:tab/>
      </w:r>
      <w:r w:rsidR="00D424E7" w:rsidRPr="001123A3">
        <w:rPr>
          <w:i/>
        </w:rPr>
        <w:t>Interveners</w:t>
      </w:r>
    </w:p>
    <w:p w:rsidR="001123A3" w:rsidRPr="001123A3" w:rsidRDefault="001123A3" w:rsidP="001123A3"/>
    <w:p w:rsidR="00426659" w:rsidRPr="001E39C7" w:rsidRDefault="00426659" w:rsidP="001123A3">
      <w:pPr>
        <w:spacing w:before="240" w:after="240"/>
        <w:jc w:val="both"/>
        <w:rPr>
          <w:b/>
        </w:rPr>
      </w:pPr>
      <w:r w:rsidRPr="001E39C7">
        <w:rPr>
          <w:b/>
        </w:rPr>
        <w:t xml:space="preserve">Indexed as:  </w:t>
      </w:r>
      <w:r w:rsidRPr="001E39C7">
        <w:rPr>
          <w:rStyle w:val="SCCAppellantForIndexChar"/>
        </w:rPr>
        <w:t>Canadian Broadcasting Corp</w:t>
      </w:r>
      <w:r w:rsidR="00A72BC9">
        <w:rPr>
          <w:rStyle w:val="SCCAppellantForIndexChar"/>
        </w:rPr>
        <w:t>.</w:t>
      </w:r>
      <w:r w:rsidRPr="001E39C7">
        <w:rPr>
          <w:b/>
        </w:rPr>
        <w:t xml:space="preserve"> </w:t>
      </w:r>
      <w:r w:rsidRPr="001E39C7">
        <w:rPr>
          <w:b/>
          <w:i/>
        </w:rPr>
        <w:t>v.</w:t>
      </w:r>
      <w:r w:rsidRPr="001E39C7">
        <w:rPr>
          <w:b/>
        </w:rPr>
        <w:t xml:space="preserve"> </w:t>
      </w:r>
      <w:r w:rsidR="00F91AE9">
        <w:rPr>
          <w:b/>
        </w:rPr>
        <w:t>The Queen</w:t>
      </w:r>
    </w:p>
    <w:p w:rsidR="00A149DF" w:rsidRPr="001E39C7" w:rsidRDefault="00A149DF" w:rsidP="00FC4EFB">
      <w:pPr>
        <w:jc w:val="both"/>
      </w:pPr>
    </w:p>
    <w:p w:rsidR="00426659" w:rsidRPr="001E39C7" w:rsidRDefault="007F3F08" w:rsidP="001123A3">
      <w:pPr>
        <w:pStyle w:val="SCCSystemYear"/>
        <w:spacing w:before="240" w:after="240"/>
        <w:jc w:val="both"/>
      </w:pPr>
      <w:r w:rsidRPr="001E39C7">
        <w:t>201</w:t>
      </w:r>
      <w:r w:rsidR="00C87A12">
        <w:t>1</w:t>
      </w:r>
      <w:r w:rsidR="003D0399" w:rsidRPr="001E39C7">
        <w:t xml:space="preserve"> </w:t>
      </w:r>
      <w:r w:rsidR="0090460A">
        <w:t>SCC 3</w:t>
      </w:r>
    </w:p>
    <w:p w:rsidR="00A149DF" w:rsidRPr="001E39C7" w:rsidRDefault="00A149DF" w:rsidP="00FC4EFB">
      <w:pPr>
        <w:jc w:val="both"/>
      </w:pPr>
    </w:p>
    <w:p w:rsidR="008322BD" w:rsidRPr="001E39C7" w:rsidRDefault="009B57B3" w:rsidP="001123A3">
      <w:pPr>
        <w:spacing w:before="240" w:after="240"/>
        <w:jc w:val="both"/>
      </w:pPr>
      <w:r w:rsidRPr="001E39C7">
        <w:t>File No.:  32987.</w:t>
      </w:r>
    </w:p>
    <w:p w:rsidR="00A149DF" w:rsidRPr="001E39C7" w:rsidRDefault="00A149DF" w:rsidP="00FC4EFB">
      <w:pPr>
        <w:jc w:val="both"/>
      </w:pPr>
    </w:p>
    <w:p w:rsidR="008322BD" w:rsidRDefault="001123A3" w:rsidP="001123A3">
      <w:pPr>
        <w:spacing w:before="240" w:after="240"/>
        <w:jc w:val="both"/>
      </w:pPr>
      <w:r>
        <w:t>2010:  March </w:t>
      </w:r>
      <w:r w:rsidR="007F3F08" w:rsidRPr="001E39C7">
        <w:t>16</w:t>
      </w:r>
      <w:r w:rsidR="009B57B3" w:rsidRPr="001E39C7">
        <w:t xml:space="preserve">; </w:t>
      </w:r>
      <w:r w:rsidR="00B077A9">
        <w:t>201</w:t>
      </w:r>
      <w:r w:rsidR="00E23044">
        <w:t>1</w:t>
      </w:r>
      <w:r>
        <w:t>:  January </w:t>
      </w:r>
      <w:r w:rsidR="00B077A9">
        <w:t>28</w:t>
      </w:r>
      <w:r w:rsidR="009B57B3" w:rsidRPr="001E39C7">
        <w:t>.</w:t>
      </w:r>
    </w:p>
    <w:p w:rsidR="001123A3" w:rsidRPr="001E39C7" w:rsidRDefault="001123A3" w:rsidP="001123A3">
      <w:pPr>
        <w:spacing w:before="240" w:after="240"/>
        <w:jc w:val="both"/>
      </w:pPr>
    </w:p>
    <w:p w:rsidR="008322BD" w:rsidRDefault="001123A3" w:rsidP="001123A3">
      <w:pPr>
        <w:spacing w:before="240" w:after="240"/>
        <w:jc w:val="both"/>
      </w:pPr>
      <w:r>
        <w:t xml:space="preserve">Present:  </w:t>
      </w:r>
      <w:proofErr w:type="spellStart"/>
      <w:r>
        <w:t>McLachlin</w:t>
      </w:r>
      <w:proofErr w:type="spellEnd"/>
      <w:r>
        <w:t> </w:t>
      </w:r>
      <w:r w:rsidR="009B57B3" w:rsidRPr="001E39C7">
        <w:t xml:space="preserve">C.J. and </w:t>
      </w:r>
      <w:proofErr w:type="spellStart"/>
      <w:r w:rsidR="009B57B3" w:rsidRPr="001E39C7">
        <w:t>Binnie</w:t>
      </w:r>
      <w:proofErr w:type="spellEnd"/>
      <w:r w:rsidR="009B57B3" w:rsidRPr="001E39C7">
        <w:t xml:space="preserve">, </w:t>
      </w:r>
      <w:proofErr w:type="spellStart"/>
      <w:r w:rsidR="009B57B3" w:rsidRPr="001E39C7">
        <w:t>LeBel</w:t>
      </w:r>
      <w:proofErr w:type="spellEnd"/>
      <w:r w:rsidR="009B57B3" w:rsidRPr="001E39C7">
        <w:t>, Deschamps, Fish, Abella, Charron, Rothstein and Cromwell</w:t>
      </w:r>
      <w:r w:rsidR="001C779F" w:rsidRPr="001E39C7">
        <w:t> </w:t>
      </w:r>
      <w:r w:rsidR="009B57B3" w:rsidRPr="001E39C7">
        <w:t>JJ.</w:t>
      </w:r>
    </w:p>
    <w:p w:rsidR="00E173B8" w:rsidRPr="001E39C7" w:rsidRDefault="00E173B8" w:rsidP="001123A3">
      <w:pPr>
        <w:spacing w:before="240" w:after="240"/>
        <w:jc w:val="both"/>
      </w:pPr>
    </w:p>
    <w:p w:rsidR="008322BD" w:rsidRPr="001E39C7" w:rsidRDefault="00656313" w:rsidP="00A26255">
      <w:pPr>
        <w:pStyle w:val="SCCLowerCourtNameLowercase"/>
        <w:spacing w:before="240" w:after="480"/>
      </w:pPr>
      <w:r w:rsidRPr="001E39C7">
        <w:t>o</w:t>
      </w:r>
      <w:r w:rsidR="00170592" w:rsidRPr="001E39C7">
        <w:t>n</w:t>
      </w:r>
      <w:r w:rsidR="00224FC0" w:rsidRPr="001E39C7">
        <w:t xml:space="preserve"> </w:t>
      </w:r>
      <w:r w:rsidRPr="001E39C7">
        <w:t>a</w:t>
      </w:r>
      <w:r w:rsidR="00170592" w:rsidRPr="001E39C7">
        <w:t>ppeal</w:t>
      </w:r>
      <w:r w:rsidR="00224FC0" w:rsidRPr="001E39C7">
        <w:t xml:space="preserve"> </w:t>
      </w:r>
      <w:r w:rsidR="00170592" w:rsidRPr="001E39C7">
        <w:t>from</w:t>
      </w:r>
      <w:r w:rsidR="009567AA" w:rsidRPr="001E39C7">
        <w:t xml:space="preserve"> the</w:t>
      </w:r>
      <w:r w:rsidR="00224FC0" w:rsidRPr="001E39C7">
        <w:t xml:space="preserve"> </w:t>
      </w:r>
      <w:r w:rsidR="00B77C2C" w:rsidRPr="001E39C7">
        <w:t xml:space="preserve">superior court of </w:t>
      </w:r>
      <w:proofErr w:type="spellStart"/>
      <w:r w:rsidR="00B77C2C" w:rsidRPr="001E39C7">
        <w:t>qu</w:t>
      </w:r>
      <w:r w:rsidR="00B829A4">
        <w:t>e</w:t>
      </w:r>
      <w:r w:rsidR="009B57B3" w:rsidRPr="001E39C7">
        <w:t>bec</w:t>
      </w:r>
      <w:proofErr w:type="spellEnd"/>
    </w:p>
    <w:p w:rsidR="0020788E" w:rsidRPr="004419C6" w:rsidRDefault="0020788E" w:rsidP="00174D6C">
      <w:pPr>
        <w:pStyle w:val="SCCNormalDoubleSpacing"/>
        <w:tabs>
          <w:tab w:val="left" w:pos="1170"/>
        </w:tabs>
        <w:spacing w:after="480"/>
        <w:rPr>
          <w:i/>
        </w:rPr>
      </w:pPr>
      <w:r w:rsidRPr="004419C6">
        <w:tab/>
      </w:r>
      <w:r w:rsidRPr="004419C6">
        <w:rPr>
          <w:i/>
        </w:rPr>
        <w:t xml:space="preserve">Criminal law </w:t>
      </w:r>
      <w:r w:rsidR="00CE419B">
        <w:rPr>
          <w:i/>
        </w:rPr>
        <w:t>—</w:t>
      </w:r>
      <w:r w:rsidRPr="004419C6">
        <w:rPr>
          <w:i/>
        </w:rPr>
        <w:t xml:space="preserve"> Procedure </w:t>
      </w:r>
      <w:r w:rsidR="00CE419B">
        <w:rPr>
          <w:i/>
        </w:rPr>
        <w:t>—</w:t>
      </w:r>
      <w:r w:rsidRPr="004419C6">
        <w:rPr>
          <w:i/>
        </w:rPr>
        <w:t xml:space="preserve"> Broadcasting ban </w:t>
      </w:r>
      <w:r w:rsidR="00CE419B">
        <w:rPr>
          <w:i/>
        </w:rPr>
        <w:t>—</w:t>
      </w:r>
      <w:r w:rsidRPr="004419C6">
        <w:rPr>
          <w:i/>
        </w:rPr>
        <w:t xml:space="preserve"> Open court principle </w:t>
      </w:r>
      <w:r w:rsidR="00CE419B">
        <w:rPr>
          <w:i/>
        </w:rPr>
        <w:t>—</w:t>
      </w:r>
      <w:r w:rsidRPr="004419C6">
        <w:rPr>
          <w:i/>
        </w:rPr>
        <w:t xml:space="preserve"> Video recording of statement made to police by accused tendered in evidence at trial </w:t>
      </w:r>
      <w:r w:rsidR="00CE419B">
        <w:rPr>
          <w:i/>
        </w:rPr>
        <w:t>—</w:t>
      </w:r>
      <w:r w:rsidRPr="004419C6">
        <w:rPr>
          <w:i/>
        </w:rPr>
        <w:t xml:space="preserve"> Media organizations applying for permission to broadcast recording of statement </w:t>
      </w:r>
      <w:r w:rsidR="00CE419B">
        <w:rPr>
          <w:i/>
        </w:rPr>
        <w:t>—</w:t>
      </w:r>
      <w:r w:rsidRPr="004419C6">
        <w:rPr>
          <w:i/>
        </w:rPr>
        <w:t xml:space="preserve"> Expressive activity protected by freedom of expression </w:t>
      </w:r>
      <w:r w:rsidR="00CE419B">
        <w:rPr>
          <w:i/>
        </w:rPr>
        <w:t>—</w:t>
      </w:r>
      <w:r w:rsidRPr="004419C6">
        <w:rPr>
          <w:i/>
        </w:rPr>
        <w:t xml:space="preserve"> Order within discretion of trial judge </w:t>
      </w:r>
      <w:r w:rsidR="00CE419B">
        <w:rPr>
          <w:i/>
        </w:rPr>
        <w:t>—</w:t>
      </w:r>
      <w:r w:rsidRPr="004419C6">
        <w:rPr>
          <w:i/>
        </w:rPr>
        <w:t xml:space="preserve"> Whether motion </w:t>
      </w:r>
      <w:r>
        <w:rPr>
          <w:i/>
        </w:rPr>
        <w:t xml:space="preserve">must </w:t>
      </w:r>
      <w:r w:rsidRPr="004419C6">
        <w:rPr>
          <w:i/>
        </w:rPr>
        <w:t>be decided by applying Dagenais/Mentuck test.</w:t>
      </w:r>
    </w:p>
    <w:p w:rsidR="0020788E" w:rsidRDefault="00174D6C" w:rsidP="00174D6C">
      <w:pPr>
        <w:pStyle w:val="SCCNormalDoubleSpacing"/>
        <w:tabs>
          <w:tab w:val="left" w:pos="1170"/>
        </w:tabs>
        <w:spacing w:after="480"/>
        <w:rPr>
          <w:i/>
        </w:rPr>
      </w:pPr>
      <w:r>
        <w:rPr>
          <w:i/>
        </w:rPr>
        <w:tab/>
      </w:r>
      <w:r w:rsidR="0020788E" w:rsidRPr="004419C6">
        <w:rPr>
          <w:i/>
        </w:rPr>
        <w:t xml:space="preserve">Courts </w:t>
      </w:r>
      <w:r w:rsidR="00CE419B">
        <w:rPr>
          <w:i/>
        </w:rPr>
        <w:t>—</w:t>
      </w:r>
      <w:r w:rsidR="0020788E" w:rsidRPr="004419C6">
        <w:rPr>
          <w:i/>
        </w:rPr>
        <w:t xml:space="preserve"> Superior Court </w:t>
      </w:r>
      <w:r w:rsidR="00CE419B">
        <w:rPr>
          <w:i/>
        </w:rPr>
        <w:t>—</w:t>
      </w:r>
      <w:r w:rsidR="0020788E" w:rsidRPr="004419C6">
        <w:rPr>
          <w:i/>
        </w:rPr>
        <w:t xml:space="preserve"> Broadcasting ban </w:t>
      </w:r>
      <w:r w:rsidR="00CE419B">
        <w:rPr>
          <w:i/>
        </w:rPr>
        <w:t>—</w:t>
      </w:r>
      <w:r w:rsidR="0020788E" w:rsidRPr="004419C6">
        <w:rPr>
          <w:i/>
        </w:rPr>
        <w:t xml:space="preserve"> Rules of practice prohibiting any broadcasting of recording of hearing </w:t>
      </w:r>
      <w:r w:rsidR="00CE419B">
        <w:rPr>
          <w:i/>
        </w:rPr>
        <w:t>—</w:t>
      </w:r>
      <w:r w:rsidR="0020788E" w:rsidRPr="004419C6">
        <w:rPr>
          <w:i/>
        </w:rPr>
        <w:t xml:space="preserve"> Whether prohibition applies to broadcasting of exhibit tendered in evidence </w:t>
      </w:r>
      <w:r w:rsidR="00CE419B">
        <w:rPr>
          <w:i/>
        </w:rPr>
        <w:t>—</w:t>
      </w:r>
      <w:r w:rsidR="0020788E" w:rsidRPr="004419C6">
        <w:rPr>
          <w:i/>
        </w:rPr>
        <w:t xml:space="preserve"> Rules of Practice of the Superior Court of the Province of Quebec, Criminal Division, 2002, SI/200</w:t>
      </w:r>
      <w:r w:rsidR="004E3BCD">
        <w:rPr>
          <w:i/>
        </w:rPr>
        <w:t>2</w:t>
      </w:r>
      <w:r w:rsidR="004E3BCD">
        <w:rPr>
          <w:i/>
        </w:rPr>
        <w:noBreakHyphen/>
        <w:t xml:space="preserve">46 (am. </w:t>
      </w:r>
      <w:proofErr w:type="gramStart"/>
      <w:r w:rsidR="004E3BCD">
        <w:rPr>
          <w:i/>
        </w:rPr>
        <w:t>SI/2005</w:t>
      </w:r>
      <w:r w:rsidR="00CE419B">
        <w:rPr>
          <w:i/>
        </w:rPr>
        <w:noBreakHyphen/>
        <w:t>19), ss. </w:t>
      </w:r>
      <w:r w:rsidR="004E3BCD">
        <w:rPr>
          <w:i/>
        </w:rPr>
        <w:t>8, 8</w:t>
      </w:r>
      <w:r w:rsidR="00915D8D">
        <w:rPr>
          <w:i/>
        </w:rPr>
        <w:t>.</w:t>
      </w:r>
      <w:r w:rsidR="0020788E" w:rsidRPr="004419C6">
        <w:rPr>
          <w:i/>
        </w:rPr>
        <w:t>A.</w:t>
      </w:r>
      <w:proofErr w:type="gramEnd"/>
    </w:p>
    <w:p w:rsidR="0020788E" w:rsidRPr="004419C6" w:rsidRDefault="00512CB7" w:rsidP="00174D6C">
      <w:pPr>
        <w:pStyle w:val="SCCNormalDoubleSpacing"/>
        <w:tabs>
          <w:tab w:val="left" w:pos="1170"/>
        </w:tabs>
        <w:spacing w:after="480"/>
        <w:rPr>
          <w:color w:val="3A3A3A"/>
        </w:rPr>
      </w:pPr>
      <w:r>
        <w:tab/>
      </w:r>
      <w:r w:rsidR="0020788E" w:rsidRPr="004419C6">
        <w:t>At S’s trial, the Crown produced as an exhibit a video recording of a statement he had made to the police before being charged.  The Superior Court authorized journalists to view the statement in another courtroom and to film the screen on which the statement was being played back, but prohibited them from broadcasting the recording of the statement.  The CBC and Groupe TVA applied to the Superior Court for permission to broadcast the video recording of the statement, but the</w:t>
      </w:r>
      <w:r w:rsidR="0020788E">
        <w:t>ir</w:t>
      </w:r>
      <w:r w:rsidR="0020788E" w:rsidRPr="004419C6">
        <w:t xml:space="preserve"> motion was dismissed.  The CBC appealed that decision</w:t>
      </w:r>
      <w:r w:rsidR="0020788E" w:rsidRPr="004419C6">
        <w:rPr>
          <w:color w:val="3A3A3A"/>
        </w:rPr>
        <w:t>.</w:t>
      </w:r>
    </w:p>
    <w:p w:rsidR="0020788E" w:rsidRPr="004419C6" w:rsidRDefault="0020788E" w:rsidP="00174D6C">
      <w:pPr>
        <w:pStyle w:val="SCCNormalDoubleSpacing"/>
        <w:tabs>
          <w:tab w:val="left" w:pos="1170"/>
        </w:tabs>
        <w:spacing w:after="480"/>
      </w:pPr>
      <w:r w:rsidRPr="004419C6">
        <w:lastRenderedPageBreak/>
        <w:tab/>
      </w:r>
      <w:r w:rsidRPr="004419C6">
        <w:rPr>
          <w:i/>
        </w:rPr>
        <w:t>Held</w:t>
      </w:r>
      <w:r w:rsidRPr="004419C6">
        <w:rPr>
          <w:rStyle w:val="QuoteChar"/>
          <w:i w:val="0"/>
          <w:lang w:val="en-CA"/>
        </w:rPr>
        <w:t>:</w:t>
      </w:r>
      <w:r w:rsidRPr="004419C6">
        <w:t xml:space="preserve">  The appeal should be dismissed.</w:t>
      </w:r>
    </w:p>
    <w:p w:rsidR="0020788E" w:rsidRPr="004419C6" w:rsidRDefault="00512CB7" w:rsidP="00174D6C">
      <w:pPr>
        <w:pStyle w:val="SCCNormalDoubleSpacing"/>
        <w:tabs>
          <w:tab w:val="left" w:pos="1170"/>
        </w:tabs>
        <w:spacing w:after="480"/>
      </w:pPr>
      <w:r>
        <w:tab/>
      </w:r>
      <w:r w:rsidR="0020788E" w:rsidRPr="004419C6">
        <w:t xml:space="preserve">The </w:t>
      </w:r>
      <w:r w:rsidR="0020788E">
        <w:t>prohibition on broadcasting</w:t>
      </w:r>
      <w:r w:rsidR="0020788E" w:rsidRPr="004419C6">
        <w:t xml:space="preserve"> provided for in s</w:t>
      </w:r>
      <w:r w:rsidR="002E369D">
        <w:t>s. </w:t>
      </w:r>
      <w:r w:rsidR="0020788E" w:rsidRPr="004419C6">
        <w:t xml:space="preserve">8 and 8.A of the </w:t>
      </w:r>
      <w:r w:rsidR="0020788E" w:rsidRPr="004419C6">
        <w:rPr>
          <w:i/>
        </w:rPr>
        <w:t>Rules of Practice of the Superior Court of the Province of Quebec, Criminal Division, 2002</w:t>
      </w:r>
      <w:r w:rsidR="0020788E" w:rsidRPr="004419C6">
        <w:t xml:space="preserve"> does not apply to a video recording tendered in evidence.  It applies only to recordings of proceedings.  </w:t>
      </w:r>
      <w:proofErr w:type="gramStart"/>
      <w:r w:rsidR="0020788E" w:rsidRPr="004419C6">
        <w:t>Because exhibits are created independently of and prior to the proceedings at the hearing, they cannot be equated with those proceedings.</w:t>
      </w:r>
      <w:proofErr w:type="gramEnd"/>
      <w:r w:rsidR="0020788E" w:rsidRPr="004419C6">
        <w:t xml:space="preserve">  Access to exhibits is a corollary to the open court principle</w:t>
      </w:r>
      <w:r w:rsidR="0020788E">
        <w:t>, and i</w:t>
      </w:r>
      <w:r w:rsidR="0020788E" w:rsidRPr="004419C6">
        <w:t>n the absence of an applicable statutory provision, it is up to the trial judge to decide</w:t>
      </w:r>
      <w:r w:rsidR="0020788E">
        <w:t xml:space="preserve">, in accordance with </w:t>
      </w:r>
      <w:r w:rsidR="0020788E" w:rsidRPr="004419C6">
        <w:t xml:space="preserve">the analytical approach developed in </w:t>
      </w:r>
      <w:r w:rsidR="0020788E" w:rsidRPr="004419C6">
        <w:rPr>
          <w:i/>
        </w:rPr>
        <w:t>Dagenais</w:t>
      </w:r>
      <w:r w:rsidR="0020788E" w:rsidRPr="004419C6">
        <w:t xml:space="preserve"> and</w:t>
      </w:r>
      <w:r w:rsidR="0020788E" w:rsidRPr="004419C6">
        <w:rPr>
          <w:i/>
        </w:rPr>
        <w:t xml:space="preserve"> Mentuck</w:t>
      </w:r>
      <w:r w:rsidR="0020788E">
        <w:t xml:space="preserve">, </w:t>
      </w:r>
      <w:r w:rsidR="0020788E" w:rsidRPr="004419C6">
        <w:t>how exhibits can be used.  Before making an order on an application to broadcast a statement, the trial judge must weigh the factors at stake and ensure that the serenity of the hearing, trial fairness and the fair administration of justice are preserved.</w:t>
      </w:r>
    </w:p>
    <w:p w:rsidR="0020788E" w:rsidRPr="001123A3" w:rsidRDefault="009A7D7A" w:rsidP="00174D6C">
      <w:pPr>
        <w:pStyle w:val="SCCNormalDoubleSpacing"/>
        <w:tabs>
          <w:tab w:val="left" w:pos="1170"/>
        </w:tabs>
        <w:spacing w:after="480"/>
        <w:rPr>
          <w:lang w:val="en-US"/>
        </w:rPr>
      </w:pPr>
      <w:r w:rsidRPr="001123A3">
        <w:rPr>
          <w:lang w:val="en-US"/>
        </w:rPr>
        <w:tab/>
      </w:r>
      <w:r w:rsidR="0020788E" w:rsidRPr="004419C6">
        <w:t>In this case, S’s trial is now over and he has been acquitted.  The appeal as framed has become moot.  However, should a motion to broadcast the statement be made even though the judicial proceedings are over, the judge would have to assess the impact that broadcasting the statement might have on the trial of a co</w:t>
      </w:r>
      <w:r w:rsidR="0020788E" w:rsidRPr="004419C6">
        <w:noBreakHyphen/>
        <w:t>accused or on the accused personally.  S argues that the impact on him of broadcasting the statement would be particularly dire because of his intellectual disability.  There are cases in which the protection of social values must prevail over openness.  A situation requiring the protection of vulnerable individuals, especially after they have been acquitted, is one such case</w:t>
      </w:r>
      <w:r w:rsidR="0020788E" w:rsidRPr="004419C6">
        <w:rPr>
          <w:rStyle w:val="reportcite"/>
          <w:szCs w:val="24"/>
        </w:rPr>
        <w:t>.</w:t>
      </w:r>
    </w:p>
    <w:p w:rsidR="004E2C26" w:rsidRPr="001E39C7" w:rsidRDefault="002E6705" w:rsidP="00A26255">
      <w:pPr>
        <w:pStyle w:val="SCCNormalDoubleSpacing"/>
        <w:keepNext/>
        <w:spacing w:after="480"/>
        <w:rPr>
          <w:b/>
        </w:rPr>
      </w:pPr>
      <w:r w:rsidRPr="001E39C7">
        <w:rPr>
          <w:b/>
        </w:rPr>
        <w:lastRenderedPageBreak/>
        <w:t>Cases Cited</w:t>
      </w:r>
    </w:p>
    <w:p w:rsidR="00A149DF" w:rsidRPr="001E39C7" w:rsidRDefault="00495B24" w:rsidP="00174D6C">
      <w:pPr>
        <w:pStyle w:val="SCCNormalDoubleSpacing"/>
        <w:tabs>
          <w:tab w:val="left" w:pos="1170"/>
        </w:tabs>
        <w:spacing w:after="480"/>
      </w:pPr>
      <w:r w:rsidRPr="001E39C7">
        <w:tab/>
      </w:r>
      <w:r w:rsidR="00780EAC" w:rsidRPr="00780EAC">
        <w:rPr>
          <w:b/>
        </w:rPr>
        <w:t>Applied:</w:t>
      </w:r>
      <w:r w:rsidR="00780EAC">
        <w:t xml:space="preserve">  </w:t>
      </w:r>
      <w:r w:rsidR="00780EAC" w:rsidRPr="00A72BC9">
        <w:rPr>
          <w:i/>
        </w:rPr>
        <w:t>Dagenais v. Canadian Broadcasting Corp.</w:t>
      </w:r>
      <w:r w:rsidR="00780EAC" w:rsidRPr="001E39C7">
        <w:t xml:space="preserve">, [1994] 3 </w:t>
      </w:r>
      <w:r w:rsidR="00780EAC">
        <w:t>S.C.</w:t>
      </w:r>
      <w:r w:rsidR="00780EAC" w:rsidRPr="001E39C7">
        <w:t xml:space="preserve">R. 835; </w:t>
      </w:r>
      <w:r w:rsidR="00780EAC" w:rsidRPr="00A72BC9">
        <w:rPr>
          <w:i/>
        </w:rPr>
        <w:t>R. v. Mentuck</w:t>
      </w:r>
      <w:r w:rsidR="00780EAC" w:rsidRPr="001E39C7">
        <w:t>, 2001 S</w:t>
      </w:r>
      <w:r w:rsidR="00780EAC">
        <w:t>C</w:t>
      </w:r>
      <w:r w:rsidR="00780EAC" w:rsidRPr="001E39C7">
        <w:t xml:space="preserve">C 76, [2001] </w:t>
      </w:r>
      <w:r w:rsidR="00780EAC">
        <w:t>3 S.C.</w:t>
      </w:r>
      <w:r w:rsidR="00780EAC" w:rsidRPr="001E39C7">
        <w:t>R. 442;</w:t>
      </w:r>
      <w:r w:rsidR="00780EAC">
        <w:t xml:space="preserve"> </w:t>
      </w:r>
      <w:r w:rsidR="00780EAC">
        <w:rPr>
          <w:b/>
        </w:rPr>
        <w:t>r</w:t>
      </w:r>
      <w:r w:rsidRPr="001E39C7">
        <w:rPr>
          <w:b/>
        </w:rPr>
        <w:t>eferred to:</w:t>
      </w:r>
      <w:r w:rsidR="00A26255">
        <w:t>  </w:t>
      </w:r>
      <w:r w:rsidR="00C87A12" w:rsidRPr="00203849">
        <w:rPr>
          <w:rStyle w:val="SCCAppellantForCitationChar"/>
        </w:rPr>
        <w:t>Canadian Broadcasti</w:t>
      </w:r>
      <w:r w:rsidR="00C87A12">
        <w:rPr>
          <w:rStyle w:val="SCCAppellantForCitationChar"/>
        </w:rPr>
        <w:t>ng Corp.</w:t>
      </w:r>
      <w:r w:rsidR="00C87A12" w:rsidRPr="00A24E15">
        <w:rPr>
          <w:rStyle w:val="QuoteChar"/>
          <w:color w:val="auto"/>
          <w:lang w:val="en-CA"/>
        </w:rPr>
        <w:t xml:space="preserve"> v. </w:t>
      </w:r>
      <w:r w:rsidR="00C87A12">
        <w:rPr>
          <w:rStyle w:val="QuoteChar"/>
          <w:color w:val="auto"/>
          <w:lang w:val="en-CA"/>
        </w:rPr>
        <w:t>Canada (</w:t>
      </w:r>
      <w:r w:rsidR="00C87A12" w:rsidRPr="00203849">
        <w:rPr>
          <w:rStyle w:val="SCCRespondentForCitationChar"/>
        </w:rPr>
        <w:t>Attorney General</w:t>
      </w:r>
      <w:r w:rsidR="00C87A12">
        <w:rPr>
          <w:rStyle w:val="SCCRespondentForCitationChar"/>
        </w:rPr>
        <w:t>)</w:t>
      </w:r>
      <w:r w:rsidR="00C87A12" w:rsidRPr="00A24E15">
        <w:rPr>
          <w:rStyle w:val="QuoteChar"/>
          <w:i w:val="0"/>
          <w:color w:val="auto"/>
          <w:lang w:val="en-CA"/>
        </w:rPr>
        <w:t>,</w:t>
      </w:r>
      <w:r w:rsidR="00C87A12" w:rsidRPr="00A24E15">
        <w:t xml:space="preserve"> </w:t>
      </w:r>
      <w:r w:rsidR="00C87A12" w:rsidRPr="00203849">
        <w:t>201</w:t>
      </w:r>
      <w:r w:rsidR="00C87A12">
        <w:t>1</w:t>
      </w:r>
      <w:r w:rsidR="00C87A12" w:rsidRPr="00A24E15">
        <w:t xml:space="preserve"> SCC </w:t>
      </w:r>
      <w:r w:rsidR="0090460A">
        <w:t>2</w:t>
      </w:r>
      <w:r w:rsidR="00F91AE9">
        <w:t>, [2011] 1 S.C.R. 19</w:t>
      </w:r>
      <w:r w:rsidR="00C87A12">
        <w:t xml:space="preserve">; </w:t>
      </w:r>
      <w:proofErr w:type="spellStart"/>
      <w:r w:rsidRPr="00840C5B">
        <w:rPr>
          <w:i/>
        </w:rPr>
        <w:t>Société</w:t>
      </w:r>
      <w:proofErr w:type="spellEnd"/>
      <w:r w:rsidRPr="00840C5B">
        <w:rPr>
          <w:i/>
        </w:rPr>
        <w:t xml:space="preserve"> </w:t>
      </w:r>
      <w:proofErr w:type="spellStart"/>
      <w:r w:rsidRPr="00840C5B">
        <w:rPr>
          <w:i/>
        </w:rPr>
        <w:t>Radio</w:t>
      </w:r>
      <w:r w:rsidR="00CE419B">
        <w:rPr>
          <w:i/>
        </w:rPr>
        <w:noBreakHyphen/>
      </w:r>
      <w:r w:rsidRPr="00840C5B">
        <w:rPr>
          <w:i/>
        </w:rPr>
        <w:t>Canada</w:t>
      </w:r>
      <w:proofErr w:type="spellEnd"/>
      <w:r w:rsidRPr="00840C5B">
        <w:rPr>
          <w:i/>
        </w:rPr>
        <w:t xml:space="preserve"> </w:t>
      </w:r>
      <w:r w:rsidR="006639A4" w:rsidRPr="00840C5B">
        <w:rPr>
          <w:i/>
        </w:rPr>
        <w:t>v</w:t>
      </w:r>
      <w:r w:rsidRPr="00840C5B">
        <w:rPr>
          <w:i/>
        </w:rPr>
        <w:t>. Québec (</w:t>
      </w:r>
      <w:proofErr w:type="spellStart"/>
      <w:r w:rsidRPr="00840C5B">
        <w:rPr>
          <w:i/>
        </w:rPr>
        <w:t>Procureur</w:t>
      </w:r>
      <w:proofErr w:type="spellEnd"/>
      <w:r w:rsidRPr="00840C5B">
        <w:rPr>
          <w:i/>
        </w:rPr>
        <w:t xml:space="preserve"> </w:t>
      </w:r>
      <w:proofErr w:type="spellStart"/>
      <w:r w:rsidRPr="00840C5B">
        <w:rPr>
          <w:i/>
        </w:rPr>
        <w:t>général</w:t>
      </w:r>
      <w:proofErr w:type="spellEnd"/>
      <w:r w:rsidRPr="00840C5B">
        <w:rPr>
          <w:i/>
        </w:rPr>
        <w:t>)</w:t>
      </w:r>
      <w:r w:rsidRPr="00840C5B">
        <w:t>, 2008 QCCA 1910</w:t>
      </w:r>
      <w:r w:rsidR="00840C5B">
        <w:t xml:space="preserve">, </w:t>
      </w:r>
      <w:r w:rsidR="00B829A4">
        <w:t>[2008] R.J.Q. 2303</w:t>
      </w:r>
      <w:r w:rsidRPr="001E39C7">
        <w:t xml:space="preserve">; </w:t>
      </w:r>
      <w:r w:rsidR="00C87A12" w:rsidRPr="002C0551">
        <w:rPr>
          <w:i/>
        </w:rPr>
        <w:t xml:space="preserve">Irwin Toy Ltd. </w:t>
      </w:r>
      <w:r w:rsidR="00C87A12">
        <w:rPr>
          <w:i/>
        </w:rPr>
        <w:t>v</w:t>
      </w:r>
      <w:r w:rsidR="00C87A12" w:rsidRPr="002C0551">
        <w:rPr>
          <w:i/>
        </w:rPr>
        <w:t>. Qu</w:t>
      </w:r>
      <w:r w:rsidR="00C87A12">
        <w:rPr>
          <w:i/>
        </w:rPr>
        <w:t>e</w:t>
      </w:r>
      <w:r w:rsidR="00C87A12" w:rsidRPr="002C0551">
        <w:rPr>
          <w:i/>
        </w:rPr>
        <w:t>bec (</w:t>
      </w:r>
      <w:r w:rsidR="00C87A12">
        <w:rPr>
          <w:i/>
        </w:rPr>
        <w:t>Attorney General</w:t>
      </w:r>
      <w:r w:rsidR="00C87A12" w:rsidRPr="002C0551">
        <w:rPr>
          <w:i/>
        </w:rPr>
        <w:t>)</w:t>
      </w:r>
      <w:r w:rsidR="00C87A12" w:rsidRPr="00F14CF9">
        <w:t xml:space="preserve">, [1989] 1 </w:t>
      </w:r>
      <w:r w:rsidR="00C87A12">
        <w:t>S.C.</w:t>
      </w:r>
      <w:r w:rsidR="00C87A12" w:rsidRPr="00F14CF9">
        <w:t xml:space="preserve">R. 927; </w:t>
      </w:r>
      <w:r w:rsidR="00C87A12" w:rsidRPr="00A72BC9">
        <w:rPr>
          <w:i/>
        </w:rPr>
        <w:t>Vickery v. Nova Scotia Supreme Court (</w:t>
      </w:r>
      <w:proofErr w:type="spellStart"/>
      <w:r w:rsidR="00C87A12" w:rsidRPr="00A72BC9">
        <w:rPr>
          <w:i/>
        </w:rPr>
        <w:t>Prothonotary</w:t>
      </w:r>
      <w:proofErr w:type="spellEnd"/>
      <w:r w:rsidR="00C87A12" w:rsidRPr="00A72BC9">
        <w:rPr>
          <w:i/>
        </w:rPr>
        <w:t>)</w:t>
      </w:r>
      <w:r w:rsidR="00C87A12" w:rsidRPr="001E39C7">
        <w:t xml:space="preserve">, [1991] 1 </w:t>
      </w:r>
      <w:r w:rsidR="00C87A12">
        <w:t>S.C.</w:t>
      </w:r>
      <w:r w:rsidR="00C87A12" w:rsidRPr="001E39C7">
        <w:t>R.</w:t>
      </w:r>
      <w:r w:rsidR="00C87A12">
        <w:t xml:space="preserve"> 671; </w:t>
      </w:r>
      <w:r w:rsidR="00C87A12" w:rsidRPr="00C3034D">
        <w:rPr>
          <w:i/>
        </w:rPr>
        <w:t>Attorney General of Nova Scotia v. MacIntyre</w:t>
      </w:r>
      <w:r w:rsidR="00C87A12" w:rsidRPr="00F14CF9">
        <w:t xml:space="preserve">, [1982] 1 </w:t>
      </w:r>
      <w:r w:rsidR="00C87A12">
        <w:t>S.C.</w:t>
      </w:r>
      <w:r w:rsidR="00C87A12" w:rsidRPr="00F14CF9">
        <w:t>R. 175</w:t>
      </w:r>
      <w:r w:rsidR="00C87A12">
        <w:t xml:space="preserve">; </w:t>
      </w:r>
      <w:r w:rsidR="00C87A12" w:rsidRPr="00922A44">
        <w:rPr>
          <w:i/>
        </w:rPr>
        <w:t xml:space="preserve">R. </w:t>
      </w:r>
      <w:r w:rsidR="00C87A12">
        <w:rPr>
          <w:i/>
        </w:rPr>
        <w:t>v</w:t>
      </w:r>
      <w:r w:rsidR="00C87A12" w:rsidRPr="00922A44">
        <w:rPr>
          <w:i/>
        </w:rPr>
        <w:t>. Canadian Broadcasting Corporation</w:t>
      </w:r>
      <w:r w:rsidR="00C87A12" w:rsidRPr="00922A44">
        <w:t>, 2010 ONCA 726</w:t>
      </w:r>
      <w:r w:rsidR="00C87A12">
        <w:t xml:space="preserve"> (</w:t>
      </w:r>
      <w:proofErr w:type="spellStart"/>
      <w:r w:rsidR="00C87A12">
        <w:t>CanLII</w:t>
      </w:r>
      <w:proofErr w:type="spellEnd"/>
      <w:r w:rsidR="00C87A12">
        <w:t>);</w:t>
      </w:r>
      <w:r w:rsidR="00C87A12" w:rsidRPr="001E39C7">
        <w:t xml:space="preserve"> </w:t>
      </w:r>
      <w:proofErr w:type="spellStart"/>
      <w:r w:rsidR="00D43FC5" w:rsidRPr="00D43FC5">
        <w:rPr>
          <w:i/>
        </w:rPr>
        <w:t>Société</w:t>
      </w:r>
      <w:proofErr w:type="spellEnd"/>
      <w:r w:rsidR="00D43FC5" w:rsidRPr="00D43FC5">
        <w:rPr>
          <w:i/>
        </w:rPr>
        <w:t xml:space="preserve"> </w:t>
      </w:r>
      <w:proofErr w:type="spellStart"/>
      <w:r w:rsidR="00AA1F23" w:rsidRPr="00D43FC5">
        <w:rPr>
          <w:i/>
        </w:rPr>
        <w:t>Radio</w:t>
      </w:r>
      <w:r w:rsidR="00CE419B">
        <w:rPr>
          <w:i/>
        </w:rPr>
        <w:noBreakHyphen/>
      </w:r>
      <w:r w:rsidR="00AA1F23" w:rsidRPr="00D43FC5">
        <w:rPr>
          <w:i/>
        </w:rPr>
        <w:t>Canada</w:t>
      </w:r>
      <w:proofErr w:type="spellEnd"/>
      <w:r w:rsidR="00AA1F23" w:rsidRPr="00D43FC5">
        <w:rPr>
          <w:i/>
        </w:rPr>
        <w:t xml:space="preserve"> </w:t>
      </w:r>
      <w:r w:rsidR="00D43FC5">
        <w:rPr>
          <w:i/>
        </w:rPr>
        <w:t>v</w:t>
      </w:r>
      <w:r w:rsidR="00AA1F23" w:rsidRPr="00D43FC5">
        <w:rPr>
          <w:i/>
        </w:rPr>
        <w:t>. Bérubé</w:t>
      </w:r>
      <w:r w:rsidR="00AA1F23" w:rsidRPr="001E39C7">
        <w:t xml:space="preserve">, </w:t>
      </w:r>
      <w:r w:rsidR="00D43FC5">
        <w:t>[2005] R.J.Q. 1183</w:t>
      </w:r>
      <w:r w:rsidR="00AA1F23" w:rsidRPr="001E39C7">
        <w:t xml:space="preserve">; </w:t>
      </w:r>
      <w:r w:rsidR="00AA1F23" w:rsidRPr="00D43FC5">
        <w:rPr>
          <w:i/>
        </w:rPr>
        <w:t xml:space="preserve">R. </w:t>
      </w:r>
      <w:r w:rsidR="00D43FC5" w:rsidRPr="00D43FC5">
        <w:rPr>
          <w:i/>
        </w:rPr>
        <w:t>v</w:t>
      </w:r>
      <w:r w:rsidR="00AA1F23" w:rsidRPr="00D43FC5">
        <w:rPr>
          <w:i/>
        </w:rPr>
        <w:t>. Giroux</w:t>
      </w:r>
      <w:r w:rsidR="00AA1F23" w:rsidRPr="001E39C7">
        <w:t xml:space="preserve">, 2005 CanLII 12396; </w:t>
      </w:r>
      <w:r w:rsidR="00C87A12" w:rsidRPr="0015119A">
        <w:rPr>
          <w:i/>
        </w:rPr>
        <w:t>Vancouver Sun (Re)</w:t>
      </w:r>
      <w:r w:rsidR="00C87A12" w:rsidRPr="001E39C7">
        <w:t xml:space="preserve">, 2004 </w:t>
      </w:r>
      <w:r w:rsidR="00C87A12">
        <w:t>SC</w:t>
      </w:r>
      <w:r w:rsidR="00C87A12" w:rsidRPr="001E39C7">
        <w:t xml:space="preserve">C 43, [2004] 2 </w:t>
      </w:r>
      <w:r w:rsidR="00C87A12">
        <w:t>S.C.</w:t>
      </w:r>
      <w:r w:rsidR="00C87A12" w:rsidRPr="001E39C7">
        <w:t xml:space="preserve">R. 332; </w:t>
      </w:r>
      <w:r w:rsidR="00C87A12" w:rsidRPr="0015119A">
        <w:rPr>
          <w:i/>
        </w:rPr>
        <w:t>Toronto Star Newspapers Ltd. v. Ontario</w:t>
      </w:r>
      <w:r w:rsidR="00C87A12" w:rsidRPr="001E39C7">
        <w:t>, 2005 S</w:t>
      </w:r>
      <w:r w:rsidR="00C87A12">
        <w:t>C</w:t>
      </w:r>
      <w:r w:rsidR="00C87A12" w:rsidRPr="001E39C7">
        <w:t xml:space="preserve">C 41, [2005] 2 </w:t>
      </w:r>
      <w:r w:rsidR="00C87A12">
        <w:t>S.C.</w:t>
      </w:r>
      <w:r w:rsidR="00C87A12" w:rsidRPr="001E39C7">
        <w:t xml:space="preserve">R. 188; </w:t>
      </w:r>
      <w:r w:rsidR="00A72BC9" w:rsidRPr="00A72BC9">
        <w:rPr>
          <w:i/>
        </w:rPr>
        <w:t>Named Person</w:t>
      </w:r>
      <w:r w:rsidR="00AA1F23" w:rsidRPr="00A72BC9">
        <w:rPr>
          <w:i/>
        </w:rPr>
        <w:t xml:space="preserve"> </w:t>
      </w:r>
      <w:r w:rsidR="00A72BC9" w:rsidRPr="00A72BC9">
        <w:rPr>
          <w:i/>
        </w:rPr>
        <w:t>v</w:t>
      </w:r>
      <w:r w:rsidR="00AA1F23" w:rsidRPr="00A72BC9">
        <w:rPr>
          <w:i/>
        </w:rPr>
        <w:t>. Vancouver Sun</w:t>
      </w:r>
      <w:r w:rsidR="00AA1F23" w:rsidRPr="001E39C7">
        <w:t>, 2007 S</w:t>
      </w:r>
      <w:r w:rsidR="00A72BC9">
        <w:t>C</w:t>
      </w:r>
      <w:r w:rsidR="00AA1F23" w:rsidRPr="001E39C7">
        <w:t xml:space="preserve">C 43, [2007] 3 </w:t>
      </w:r>
      <w:r w:rsidR="00A72BC9">
        <w:t>S.C.</w:t>
      </w:r>
      <w:r w:rsidR="0015119A">
        <w:t xml:space="preserve">R. 253; </w:t>
      </w:r>
      <w:r w:rsidR="00AA1F23" w:rsidRPr="0015119A">
        <w:rPr>
          <w:i/>
        </w:rPr>
        <w:t xml:space="preserve">Toronto Star Newspapers Ltd. </w:t>
      </w:r>
      <w:r w:rsidR="0015119A" w:rsidRPr="0015119A">
        <w:rPr>
          <w:i/>
        </w:rPr>
        <w:t>v. Canada</w:t>
      </w:r>
      <w:r w:rsidR="0015119A">
        <w:t>, 2010 SC</w:t>
      </w:r>
      <w:r w:rsidR="00AA1F23" w:rsidRPr="001E39C7">
        <w:t>C 21</w:t>
      </w:r>
      <w:r w:rsidR="00FE4B24" w:rsidRPr="001E39C7">
        <w:t>, [2010] 1 S.C.R. 721</w:t>
      </w:r>
      <w:r w:rsidR="00AA1F23" w:rsidRPr="001E39C7">
        <w:t>.</w:t>
      </w:r>
    </w:p>
    <w:p w:rsidR="003B215F" w:rsidRPr="001E39C7" w:rsidRDefault="002E6705" w:rsidP="00A26255">
      <w:pPr>
        <w:pStyle w:val="SCCNormalDoubleSpacing"/>
        <w:keepNext/>
        <w:spacing w:after="720" w:line="240" w:lineRule="auto"/>
      </w:pPr>
      <w:r w:rsidRPr="001E39C7">
        <w:rPr>
          <w:b/>
        </w:rPr>
        <w:t>Statutes and Regulations Cite</w:t>
      </w:r>
      <w:r w:rsidR="00A41805" w:rsidRPr="001E39C7">
        <w:rPr>
          <w:b/>
        </w:rPr>
        <w:t>d</w:t>
      </w:r>
    </w:p>
    <w:p w:rsidR="002C1E5E" w:rsidRPr="001E39C7" w:rsidRDefault="001E39C7" w:rsidP="00A26255">
      <w:pPr>
        <w:pStyle w:val="SCCNormalDoubleSpacing"/>
        <w:spacing w:after="240" w:line="240" w:lineRule="auto"/>
        <w:ind w:left="547" w:hanging="547"/>
      </w:pPr>
      <w:r w:rsidRPr="001E39C7">
        <w:rPr>
          <w:i/>
        </w:rPr>
        <w:t>Canadian Charter of Rights and Freedoms</w:t>
      </w:r>
      <w:r w:rsidRPr="001E39C7">
        <w:t xml:space="preserve">, </w:t>
      </w:r>
      <w:r w:rsidR="002E369D">
        <w:t>s. </w:t>
      </w:r>
      <w:r w:rsidR="002C1E5E" w:rsidRPr="001E39C7">
        <w:t>2</w:t>
      </w:r>
      <w:r w:rsidRPr="001E39C7">
        <w:t>(</w:t>
      </w:r>
      <w:r w:rsidR="002C1E5E" w:rsidRPr="001E39C7">
        <w:rPr>
          <w:i/>
        </w:rPr>
        <w:t>b</w:t>
      </w:r>
      <w:r w:rsidR="002C1E5E" w:rsidRPr="001E39C7">
        <w:t>)</w:t>
      </w:r>
      <w:r w:rsidRPr="001E39C7">
        <w:t>.</w:t>
      </w:r>
    </w:p>
    <w:p w:rsidR="00A149DF" w:rsidRPr="00840C5B" w:rsidRDefault="001E39C7" w:rsidP="00A26255">
      <w:pPr>
        <w:pStyle w:val="SCCNormalDoubleSpacing"/>
        <w:spacing w:after="240" w:line="240" w:lineRule="auto"/>
        <w:ind w:left="547" w:hanging="547"/>
        <w:rPr>
          <w:lang w:val="fr-CA"/>
        </w:rPr>
      </w:pPr>
      <w:proofErr w:type="spellStart"/>
      <w:r w:rsidRPr="00840C5B">
        <w:rPr>
          <w:i/>
          <w:lang w:val="fr-CA"/>
        </w:rPr>
        <w:t>Criminal</w:t>
      </w:r>
      <w:proofErr w:type="spellEnd"/>
      <w:r w:rsidRPr="00840C5B">
        <w:rPr>
          <w:i/>
          <w:lang w:val="fr-CA"/>
        </w:rPr>
        <w:t xml:space="preserve"> Code</w:t>
      </w:r>
      <w:r w:rsidRPr="00840C5B">
        <w:rPr>
          <w:lang w:val="fr-CA"/>
        </w:rPr>
        <w:t xml:space="preserve">, R.S.C. 1985, </w:t>
      </w:r>
      <w:r w:rsidR="00CE419B">
        <w:rPr>
          <w:lang w:val="fr-CA"/>
        </w:rPr>
        <w:t>c. </w:t>
      </w:r>
      <w:r w:rsidRPr="00840C5B">
        <w:rPr>
          <w:lang w:val="fr-CA"/>
        </w:rPr>
        <w:t>C</w:t>
      </w:r>
      <w:r w:rsidR="00CE419B">
        <w:rPr>
          <w:lang w:val="fr-CA"/>
        </w:rPr>
        <w:noBreakHyphen/>
      </w:r>
      <w:r w:rsidR="001552E0" w:rsidRPr="00840C5B">
        <w:rPr>
          <w:lang w:val="fr-CA"/>
        </w:rPr>
        <w:t>46</w:t>
      </w:r>
      <w:r w:rsidRPr="00840C5B">
        <w:rPr>
          <w:lang w:val="fr-CA"/>
        </w:rPr>
        <w:t xml:space="preserve">, </w:t>
      </w:r>
      <w:r w:rsidR="002E369D">
        <w:rPr>
          <w:lang w:val="fr-CA"/>
        </w:rPr>
        <w:t>s. </w:t>
      </w:r>
      <w:r w:rsidR="002C1E5E" w:rsidRPr="00840C5B">
        <w:rPr>
          <w:lang w:val="fr-CA"/>
        </w:rPr>
        <w:t>241</w:t>
      </w:r>
      <w:r w:rsidRPr="00840C5B">
        <w:rPr>
          <w:lang w:val="fr-CA"/>
        </w:rPr>
        <w:t>(</w:t>
      </w:r>
      <w:r w:rsidR="002C1E5E" w:rsidRPr="00840C5B">
        <w:rPr>
          <w:i/>
          <w:lang w:val="fr-CA"/>
        </w:rPr>
        <w:t>b</w:t>
      </w:r>
      <w:r w:rsidR="002C1E5E" w:rsidRPr="00840C5B">
        <w:rPr>
          <w:lang w:val="fr-CA"/>
        </w:rPr>
        <w:t>).</w:t>
      </w:r>
    </w:p>
    <w:p w:rsidR="00A31B1B" w:rsidRPr="00A31B1B" w:rsidRDefault="00A31B1B" w:rsidP="00A26255">
      <w:pPr>
        <w:pStyle w:val="SCCNormalDoubleSpacing"/>
        <w:spacing w:after="240" w:line="240" w:lineRule="auto"/>
        <w:ind w:left="547" w:hanging="547"/>
      </w:pPr>
      <w:r w:rsidRPr="00A31B1B">
        <w:rPr>
          <w:i/>
        </w:rPr>
        <w:t>Rules of Practice of the Superior Court of the Province of Quebec, Criminal Division, 2002</w:t>
      </w:r>
      <w:r>
        <w:t>, SI/2002</w:t>
      </w:r>
      <w:r w:rsidR="00CE419B">
        <w:noBreakHyphen/>
      </w:r>
      <w:r>
        <w:t xml:space="preserve">46, </w:t>
      </w:r>
      <w:r w:rsidR="00B077A9">
        <w:t>s</w:t>
      </w:r>
      <w:r w:rsidR="002E369D">
        <w:t>s. </w:t>
      </w:r>
      <w:r>
        <w:t>8, 8</w:t>
      </w:r>
      <w:r w:rsidR="00915D8D">
        <w:t>.</w:t>
      </w:r>
      <w:r>
        <w:t>A</w:t>
      </w:r>
      <w:r w:rsidR="000067A6">
        <w:t xml:space="preserve"> </w:t>
      </w:r>
      <w:r w:rsidR="000067A6" w:rsidRPr="00C14639">
        <w:t>[a</w:t>
      </w:r>
      <w:r w:rsidR="007B7B16">
        <w:t>d</w:t>
      </w:r>
      <w:r w:rsidR="000067A6" w:rsidRPr="00C14639">
        <w:t>. SI/2005</w:t>
      </w:r>
      <w:r w:rsidR="00CE419B">
        <w:noBreakHyphen/>
      </w:r>
      <w:r w:rsidR="000067A6" w:rsidRPr="00C14639">
        <w:t xml:space="preserve">19, </w:t>
      </w:r>
      <w:r w:rsidR="001409D7">
        <w:t xml:space="preserve">(2005) 139 Can. Gaz. II, 417, </w:t>
      </w:r>
      <w:r w:rsidR="002E369D">
        <w:t>s. </w:t>
      </w:r>
      <w:r w:rsidR="000067A6" w:rsidRPr="00C14639">
        <w:t>1]</w:t>
      </w:r>
      <w:r w:rsidR="00880556">
        <w:t>, 8</w:t>
      </w:r>
      <w:r w:rsidR="00915D8D">
        <w:t>.</w:t>
      </w:r>
      <w:r w:rsidR="00880556">
        <w:t>B</w:t>
      </w:r>
      <w:r w:rsidR="000067A6">
        <w:t xml:space="preserve"> [</w:t>
      </w:r>
      <w:r w:rsidR="000067A6" w:rsidRPr="000067A6">
        <w:rPr>
          <w:i/>
        </w:rPr>
        <w:t>idem</w:t>
      </w:r>
      <w:r w:rsidR="000067A6">
        <w:t>].</w:t>
      </w:r>
      <w:r w:rsidR="00B077A9">
        <w:t xml:space="preserve"> </w:t>
      </w:r>
    </w:p>
    <w:p w:rsidR="002C1E5E" w:rsidRPr="001E39C7" w:rsidRDefault="001E39C7" w:rsidP="00A26255">
      <w:pPr>
        <w:pStyle w:val="SCCNormalDoubleSpacing"/>
        <w:spacing w:after="720" w:line="240" w:lineRule="auto"/>
        <w:ind w:left="547" w:hanging="547"/>
      </w:pPr>
      <w:r w:rsidRPr="001E39C7">
        <w:rPr>
          <w:i/>
        </w:rPr>
        <w:t>Supreme Court Act</w:t>
      </w:r>
      <w:r>
        <w:t>,</w:t>
      </w:r>
      <w:r w:rsidR="002C1E5E" w:rsidRPr="001E39C7">
        <w:t xml:space="preserve"> R.</w:t>
      </w:r>
      <w:r>
        <w:t>S.</w:t>
      </w:r>
      <w:r w:rsidR="002C1E5E" w:rsidRPr="001E39C7">
        <w:t xml:space="preserve">C. 1985, </w:t>
      </w:r>
      <w:r w:rsidR="00CE419B">
        <w:t>c. </w:t>
      </w:r>
      <w:r w:rsidR="002C1E5E" w:rsidRPr="001E39C7">
        <w:t>S</w:t>
      </w:r>
      <w:r w:rsidR="00CE419B">
        <w:noBreakHyphen/>
      </w:r>
      <w:r w:rsidR="002C1E5E" w:rsidRPr="001E39C7">
        <w:t>26</w:t>
      </w:r>
      <w:r>
        <w:t xml:space="preserve">, </w:t>
      </w:r>
      <w:r w:rsidR="002E369D">
        <w:t>s. </w:t>
      </w:r>
      <w:r>
        <w:t>40.</w:t>
      </w:r>
    </w:p>
    <w:p w:rsidR="002E6705" w:rsidRPr="00A26255" w:rsidRDefault="002E6705" w:rsidP="00A26255">
      <w:pPr>
        <w:pStyle w:val="SCCNormalDoubleSpacing"/>
        <w:keepNext/>
        <w:spacing w:after="720" w:line="240" w:lineRule="auto"/>
        <w:rPr>
          <w:b/>
          <w:lang w:val="fr-CA"/>
        </w:rPr>
      </w:pPr>
      <w:proofErr w:type="spellStart"/>
      <w:r w:rsidRPr="00A26255">
        <w:rPr>
          <w:b/>
          <w:lang w:val="fr-CA"/>
        </w:rPr>
        <w:lastRenderedPageBreak/>
        <w:t>Authors</w:t>
      </w:r>
      <w:proofErr w:type="spellEnd"/>
      <w:r w:rsidRPr="00A26255">
        <w:rPr>
          <w:b/>
          <w:lang w:val="fr-CA"/>
        </w:rPr>
        <w:t xml:space="preserve"> </w:t>
      </w:r>
      <w:proofErr w:type="spellStart"/>
      <w:r w:rsidRPr="00A26255">
        <w:rPr>
          <w:b/>
          <w:lang w:val="fr-CA"/>
        </w:rPr>
        <w:t>Cited</w:t>
      </w:r>
      <w:proofErr w:type="spellEnd"/>
    </w:p>
    <w:p w:rsidR="00A149DF" w:rsidRPr="00B26AC7" w:rsidRDefault="002C1E5E" w:rsidP="00A26255">
      <w:pPr>
        <w:pStyle w:val="SCCNormalDoubleSpacing"/>
        <w:spacing w:after="720" w:line="240" w:lineRule="auto"/>
        <w:ind w:left="547" w:hanging="547"/>
      </w:pPr>
      <w:proofErr w:type="spellStart"/>
      <w:r w:rsidRPr="001E39C7">
        <w:rPr>
          <w:lang w:val="fr-CA"/>
        </w:rPr>
        <w:t>Béliveau</w:t>
      </w:r>
      <w:proofErr w:type="spellEnd"/>
      <w:r w:rsidR="001E39C7" w:rsidRPr="001E39C7">
        <w:rPr>
          <w:lang w:val="fr-CA"/>
        </w:rPr>
        <w:t>, Pierre,</w:t>
      </w:r>
      <w:r w:rsidRPr="001E39C7">
        <w:rPr>
          <w:lang w:val="fr-CA"/>
        </w:rPr>
        <w:t xml:space="preserve"> et Martin </w:t>
      </w:r>
      <w:proofErr w:type="spellStart"/>
      <w:r w:rsidRPr="001E39C7">
        <w:rPr>
          <w:lang w:val="fr-CA"/>
        </w:rPr>
        <w:t>Vauclair</w:t>
      </w:r>
      <w:proofErr w:type="spellEnd"/>
      <w:r w:rsidR="001E39C7" w:rsidRPr="001E39C7">
        <w:rPr>
          <w:lang w:val="fr-CA"/>
        </w:rPr>
        <w:t>.</w:t>
      </w:r>
      <w:r w:rsidR="00A26255">
        <w:rPr>
          <w:lang w:val="fr-CA"/>
        </w:rPr>
        <w:t xml:space="preserve"> </w:t>
      </w:r>
      <w:r w:rsidRPr="001E39C7">
        <w:rPr>
          <w:lang w:val="fr-CA"/>
        </w:rPr>
        <w:t xml:space="preserve"> </w:t>
      </w:r>
      <w:r w:rsidRPr="001E39C7">
        <w:rPr>
          <w:i/>
          <w:lang w:val="fr-CA"/>
        </w:rPr>
        <w:t>Traité général de preuve et de procédure pénales</w:t>
      </w:r>
      <w:r w:rsidRPr="001E39C7">
        <w:rPr>
          <w:lang w:val="fr-CA"/>
        </w:rPr>
        <w:t>, 1</w:t>
      </w:r>
      <w:r w:rsidR="001552E0">
        <w:rPr>
          <w:lang w:val="fr-CA"/>
        </w:rPr>
        <w:t>5</w:t>
      </w:r>
      <w:r w:rsidRPr="001E39C7">
        <w:rPr>
          <w:vertAlign w:val="superscript"/>
          <w:lang w:val="fr-CA"/>
        </w:rPr>
        <w:t>e</w:t>
      </w:r>
      <w:r w:rsidRPr="001E39C7">
        <w:rPr>
          <w:lang w:val="fr-CA"/>
        </w:rPr>
        <w:t xml:space="preserve"> éd. </w:t>
      </w:r>
      <w:r w:rsidRPr="00B26AC7">
        <w:t>Montréal</w:t>
      </w:r>
      <w:proofErr w:type="gramStart"/>
      <w:r w:rsidR="0044010D" w:rsidRPr="00B26AC7">
        <w:t xml:space="preserve">: </w:t>
      </w:r>
      <w:r w:rsidR="0077668C">
        <w:t xml:space="preserve"> </w:t>
      </w:r>
      <w:proofErr w:type="spellStart"/>
      <w:r w:rsidR="0044010D" w:rsidRPr="00B26AC7">
        <w:t>Thémis</w:t>
      </w:r>
      <w:proofErr w:type="spellEnd"/>
      <w:proofErr w:type="gramEnd"/>
      <w:r w:rsidRPr="00B26AC7">
        <w:t>, 2008</w:t>
      </w:r>
      <w:r w:rsidR="001E39C7" w:rsidRPr="00B26AC7">
        <w:t>.</w:t>
      </w:r>
    </w:p>
    <w:p w:rsidR="00656313" w:rsidRPr="001E39C7" w:rsidRDefault="00D424E7" w:rsidP="00174D6C">
      <w:pPr>
        <w:pStyle w:val="SCCNormalDoubleSpacing"/>
        <w:tabs>
          <w:tab w:val="left" w:pos="1170"/>
        </w:tabs>
        <w:spacing w:after="480"/>
      </w:pPr>
      <w:r w:rsidRPr="00B26AC7">
        <w:tab/>
      </w:r>
      <w:r w:rsidR="009B57B3" w:rsidRPr="001E39C7">
        <w:t xml:space="preserve">APPEAL from </w:t>
      </w:r>
      <w:r w:rsidR="009B57B3" w:rsidRPr="00780EAC">
        <w:t xml:space="preserve">a </w:t>
      </w:r>
      <w:r w:rsidR="00780EAC">
        <w:t>decision</w:t>
      </w:r>
      <w:r w:rsidR="00B26AC7">
        <w:t xml:space="preserve"> </w:t>
      </w:r>
      <w:r w:rsidR="009B57B3" w:rsidRPr="001E39C7">
        <w:t xml:space="preserve">of the </w:t>
      </w:r>
      <w:r w:rsidRPr="001E39C7">
        <w:t xml:space="preserve">Quebec </w:t>
      </w:r>
      <w:r w:rsidR="009B57B3" w:rsidRPr="001E39C7">
        <w:t>Superior Court</w:t>
      </w:r>
      <w:r w:rsidR="00B77C2C" w:rsidRPr="001E39C7">
        <w:t xml:space="preserve">, </w:t>
      </w:r>
      <w:r w:rsidR="007041EC">
        <w:t xml:space="preserve">2008 QCCS 6931, </w:t>
      </w:r>
      <w:r w:rsidR="00D248A7">
        <w:t>[2008] J.Q. n</w:t>
      </w:r>
      <w:r w:rsidR="00D248A7" w:rsidRPr="00D248A7">
        <w:rPr>
          <w:vertAlign w:val="superscript"/>
        </w:rPr>
        <w:t>o</w:t>
      </w:r>
      <w:r w:rsidR="00A26255">
        <w:t> </w:t>
      </w:r>
      <w:r w:rsidR="00D248A7">
        <w:t xml:space="preserve">24110 (QL), </w:t>
      </w:r>
      <w:r w:rsidR="00B77C2C" w:rsidRPr="001E39C7">
        <w:t xml:space="preserve">2008 </w:t>
      </w:r>
      <w:proofErr w:type="spellStart"/>
      <w:r w:rsidR="00B77C2C" w:rsidRPr="001E39C7">
        <w:t>CarswellQue</w:t>
      </w:r>
      <w:proofErr w:type="spellEnd"/>
      <w:r w:rsidR="00B77C2C" w:rsidRPr="001E39C7">
        <w:t xml:space="preserve"> 14365, dismissing a motion</w:t>
      </w:r>
      <w:r w:rsidR="009D6F94">
        <w:t xml:space="preserve"> for permission to broadcast a statement of the accused</w:t>
      </w:r>
      <w:r w:rsidR="003A363A" w:rsidRPr="001E39C7">
        <w:t>.</w:t>
      </w:r>
      <w:r w:rsidR="00A26255">
        <w:t xml:space="preserve"> </w:t>
      </w:r>
      <w:r w:rsidR="003A363A" w:rsidRPr="001E39C7">
        <w:t xml:space="preserve"> Appeal </w:t>
      </w:r>
      <w:r w:rsidR="00B077A9">
        <w:t>dismissed</w:t>
      </w:r>
      <w:r w:rsidR="003A363A" w:rsidRPr="001E39C7">
        <w:t>.</w:t>
      </w:r>
    </w:p>
    <w:p w:rsidR="000B3372" w:rsidRPr="001E39C7" w:rsidRDefault="00D424E7" w:rsidP="00174D6C">
      <w:pPr>
        <w:pStyle w:val="SCCNormalDoubleSpacing"/>
        <w:tabs>
          <w:tab w:val="left" w:pos="1170"/>
        </w:tabs>
        <w:spacing w:after="480"/>
      </w:pPr>
      <w:r w:rsidRPr="001E39C7">
        <w:rPr>
          <w:rStyle w:val="SCCCounselNameChar"/>
        </w:rPr>
        <w:tab/>
      </w:r>
      <w:proofErr w:type="gramStart"/>
      <w:r w:rsidR="00FE4B24" w:rsidRPr="001E39C7">
        <w:rPr>
          <w:rStyle w:val="SCCCounselNameChar"/>
        </w:rPr>
        <w:t xml:space="preserve">Sylvie </w:t>
      </w:r>
      <w:proofErr w:type="spellStart"/>
      <w:r w:rsidR="00FE4B24" w:rsidRPr="001E39C7">
        <w:rPr>
          <w:rStyle w:val="SCCCounselNameChar"/>
        </w:rPr>
        <w:t>Gadoury</w:t>
      </w:r>
      <w:proofErr w:type="spellEnd"/>
      <w:r w:rsidR="00FE4B24" w:rsidRPr="001E39C7">
        <w:rPr>
          <w:rStyle w:val="SCCCounselNameChar"/>
          <w:i w:val="0"/>
        </w:rPr>
        <w:t xml:space="preserve">, </w:t>
      </w:r>
      <w:proofErr w:type="spellStart"/>
      <w:r w:rsidRPr="001E39C7">
        <w:rPr>
          <w:rStyle w:val="SCCCounselNameChar"/>
        </w:rPr>
        <w:t>Geneviève</w:t>
      </w:r>
      <w:proofErr w:type="spellEnd"/>
      <w:r w:rsidRPr="001E39C7">
        <w:rPr>
          <w:rStyle w:val="SCCCounselNameChar"/>
        </w:rPr>
        <w:t xml:space="preserve"> </w:t>
      </w:r>
      <w:proofErr w:type="spellStart"/>
      <w:r w:rsidRPr="001E39C7">
        <w:rPr>
          <w:rStyle w:val="SCCCounselNameChar"/>
        </w:rPr>
        <w:t>McSween</w:t>
      </w:r>
      <w:proofErr w:type="spellEnd"/>
      <w:r w:rsidR="00FE4B24" w:rsidRPr="001E39C7">
        <w:rPr>
          <w:rStyle w:val="SCCCounselSeparatorChar"/>
        </w:rPr>
        <w:t xml:space="preserve"> and</w:t>
      </w:r>
      <w:r w:rsidRPr="001E39C7">
        <w:rPr>
          <w:rStyle w:val="SCCCounselSeparatorChar"/>
        </w:rPr>
        <w:t xml:space="preserve"> </w:t>
      </w:r>
      <w:r w:rsidRPr="001E39C7">
        <w:rPr>
          <w:rStyle w:val="SCCCounselNameChar"/>
        </w:rPr>
        <w:t>Anne</w:t>
      </w:r>
      <w:r w:rsidR="00CE419B">
        <w:rPr>
          <w:rStyle w:val="SCCCounselNameChar"/>
        </w:rPr>
        <w:noBreakHyphen/>
      </w:r>
      <w:r w:rsidRPr="001E39C7">
        <w:rPr>
          <w:rStyle w:val="SCCCounselNameChar"/>
        </w:rPr>
        <w:t>Julie Perrault</w:t>
      </w:r>
      <w:r w:rsidRPr="001E39C7">
        <w:rPr>
          <w:rStyle w:val="SCCCounselPartyRoleChar"/>
        </w:rPr>
        <w:t>, for the appellant.</w:t>
      </w:r>
      <w:proofErr w:type="gramEnd"/>
    </w:p>
    <w:p w:rsidR="000B3372" w:rsidRPr="001E39C7" w:rsidRDefault="00A26255" w:rsidP="00174D6C">
      <w:pPr>
        <w:pStyle w:val="SCCNormalDoubleSpacing"/>
        <w:tabs>
          <w:tab w:val="left" w:pos="1170"/>
        </w:tabs>
        <w:spacing w:after="480"/>
      </w:pPr>
      <w:r>
        <w:rPr>
          <w:rStyle w:val="SCCCounselNameChar"/>
        </w:rPr>
        <w:tab/>
      </w:r>
      <w:proofErr w:type="gramStart"/>
      <w:r>
        <w:rPr>
          <w:rStyle w:val="SCCCounselNameChar"/>
        </w:rPr>
        <w:t>Dominique </w:t>
      </w:r>
      <w:r w:rsidR="00D424E7" w:rsidRPr="001E39C7">
        <w:rPr>
          <w:rStyle w:val="SCCCounselNameChar"/>
        </w:rPr>
        <w:t>A. Jobin</w:t>
      </w:r>
      <w:r w:rsidR="00D424E7" w:rsidRPr="001E39C7">
        <w:rPr>
          <w:rStyle w:val="SCCCounselSeparatorChar"/>
        </w:rPr>
        <w:t xml:space="preserve"> and </w:t>
      </w:r>
      <w:r w:rsidR="00D424E7" w:rsidRPr="001E39C7">
        <w:rPr>
          <w:rStyle w:val="SCCCounselNameChar"/>
        </w:rPr>
        <w:t>Denis Dionne</w:t>
      </w:r>
      <w:r w:rsidR="00D424E7" w:rsidRPr="001E39C7">
        <w:rPr>
          <w:rStyle w:val="SCCCounselPartyRoleChar"/>
        </w:rPr>
        <w:t>, for the respondent Her Majesty the Queen</w:t>
      </w:r>
      <w:r w:rsidR="00FE4B24" w:rsidRPr="001E39C7">
        <w:rPr>
          <w:rStyle w:val="SCCCounselPartyRoleChar"/>
        </w:rPr>
        <w:t xml:space="preserve"> and the intervener the Attorney General of Quebec</w:t>
      </w:r>
      <w:r w:rsidR="00D424E7" w:rsidRPr="001E39C7">
        <w:rPr>
          <w:rStyle w:val="SCCCounselPartyRoleChar"/>
        </w:rPr>
        <w:t>.</w:t>
      </w:r>
      <w:proofErr w:type="gramEnd"/>
    </w:p>
    <w:p w:rsidR="000B3372" w:rsidRPr="001E39C7" w:rsidRDefault="00D424E7" w:rsidP="00174D6C">
      <w:pPr>
        <w:pStyle w:val="SCCNormalDoubleSpacing"/>
        <w:tabs>
          <w:tab w:val="left" w:pos="1170"/>
        </w:tabs>
        <w:spacing w:after="480"/>
      </w:pPr>
      <w:r w:rsidRPr="001E39C7">
        <w:rPr>
          <w:rStyle w:val="SCCCounselNameChar"/>
        </w:rPr>
        <w:tab/>
      </w:r>
      <w:proofErr w:type="spellStart"/>
      <w:proofErr w:type="gramStart"/>
      <w:r w:rsidR="00A26255">
        <w:rPr>
          <w:rStyle w:val="SCCCounselNameChar"/>
        </w:rPr>
        <w:t>Pascale</w:t>
      </w:r>
      <w:proofErr w:type="spellEnd"/>
      <w:r w:rsidR="00A26255">
        <w:rPr>
          <w:rStyle w:val="SCCCounselNameChar"/>
        </w:rPr>
        <w:t> </w:t>
      </w:r>
      <w:r w:rsidR="00FE4B24" w:rsidRPr="001E39C7">
        <w:rPr>
          <w:rStyle w:val="SCCCounselNameChar"/>
        </w:rPr>
        <w:t>F. Tremblay</w:t>
      </w:r>
      <w:r w:rsidR="00FE4B24" w:rsidRPr="001E39C7">
        <w:rPr>
          <w:rStyle w:val="SCCCounselNameChar"/>
          <w:i w:val="0"/>
        </w:rPr>
        <w:t xml:space="preserve"> </w:t>
      </w:r>
      <w:r w:rsidR="00FE4B24" w:rsidRPr="001E39C7">
        <w:rPr>
          <w:rStyle w:val="SCCCounselSeparatorChar"/>
        </w:rPr>
        <w:t>and</w:t>
      </w:r>
      <w:r w:rsidR="00FE4B24" w:rsidRPr="001E39C7">
        <w:rPr>
          <w:rStyle w:val="SCCCounselPartyRoleChar"/>
        </w:rPr>
        <w:t xml:space="preserve"> </w:t>
      </w:r>
      <w:r w:rsidRPr="001E39C7">
        <w:rPr>
          <w:rStyle w:val="SCCCounselNameChar"/>
        </w:rPr>
        <w:t xml:space="preserve">Michel </w:t>
      </w:r>
      <w:proofErr w:type="spellStart"/>
      <w:r w:rsidRPr="001E39C7">
        <w:rPr>
          <w:rStyle w:val="SCCCounselNameChar"/>
        </w:rPr>
        <w:t>Boudreault</w:t>
      </w:r>
      <w:proofErr w:type="spellEnd"/>
      <w:r w:rsidR="00FE4B24" w:rsidRPr="001E39C7">
        <w:rPr>
          <w:rStyle w:val="SCCCounselNameChar"/>
          <w:i w:val="0"/>
        </w:rPr>
        <w:t>,</w:t>
      </w:r>
      <w:r w:rsidRPr="001E39C7">
        <w:rPr>
          <w:rStyle w:val="SCCCounselSeparatorChar"/>
        </w:rPr>
        <w:t xml:space="preserve"> </w:t>
      </w:r>
      <w:r w:rsidRPr="001E39C7">
        <w:rPr>
          <w:rStyle w:val="SCCCounselPartyRoleChar"/>
        </w:rPr>
        <w:t>for the respondent Stéphan Dufour.</w:t>
      </w:r>
      <w:proofErr w:type="gramEnd"/>
    </w:p>
    <w:p w:rsidR="000B3372" w:rsidRPr="001E39C7" w:rsidRDefault="00D424E7" w:rsidP="00174D6C">
      <w:pPr>
        <w:pStyle w:val="SCCNormalDoubleSpacing"/>
        <w:tabs>
          <w:tab w:val="left" w:pos="1170"/>
        </w:tabs>
        <w:spacing w:after="480"/>
      </w:pPr>
      <w:r w:rsidRPr="001E39C7">
        <w:rPr>
          <w:rStyle w:val="SCCCounselNameChar"/>
        </w:rPr>
        <w:tab/>
      </w:r>
      <w:proofErr w:type="gramStart"/>
      <w:r w:rsidR="00FE4B24" w:rsidRPr="001E39C7">
        <w:rPr>
          <w:rStyle w:val="SCCCounselNameChar"/>
        </w:rPr>
        <w:t xml:space="preserve">Pierre </w:t>
      </w:r>
      <w:proofErr w:type="spellStart"/>
      <w:r w:rsidR="00FE4B24" w:rsidRPr="001E39C7">
        <w:rPr>
          <w:rStyle w:val="SCCCounselNameChar"/>
        </w:rPr>
        <w:t>Salois</w:t>
      </w:r>
      <w:proofErr w:type="spellEnd"/>
      <w:r w:rsidR="00FE4B24" w:rsidRPr="001E39C7">
        <w:rPr>
          <w:rStyle w:val="SCCCounselSeparatorChar"/>
        </w:rPr>
        <w:t xml:space="preserve"> and</w:t>
      </w:r>
      <w:r w:rsidR="00FE4B24" w:rsidRPr="001E39C7">
        <w:rPr>
          <w:rStyle w:val="SCCCounselNameChar"/>
          <w:i w:val="0"/>
        </w:rPr>
        <w:t xml:space="preserve"> </w:t>
      </w:r>
      <w:r w:rsidRPr="001E39C7">
        <w:rPr>
          <w:rStyle w:val="SCCCounselNameChar"/>
        </w:rPr>
        <w:t xml:space="preserve">Claude </w:t>
      </w:r>
      <w:proofErr w:type="spellStart"/>
      <w:r w:rsidRPr="001E39C7">
        <w:rPr>
          <w:rStyle w:val="SCCCounselNameChar"/>
        </w:rPr>
        <w:t>Joyal</w:t>
      </w:r>
      <w:proofErr w:type="spellEnd"/>
      <w:r w:rsidRPr="001E39C7">
        <w:rPr>
          <w:rStyle w:val="SCCCounselPartyRoleChar"/>
        </w:rPr>
        <w:t>, for the intervener the Attorney General of Canada.</w:t>
      </w:r>
      <w:proofErr w:type="gramEnd"/>
    </w:p>
    <w:p w:rsidR="000B3372" w:rsidRPr="001E39C7" w:rsidRDefault="00D424E7" w:rsidP="00174D6C">
      <w:pPr>
        <w:pStyle w:val="SCCNormalDoubleSpacing"/>
        <w:tabs>
          <w:tab w:val="left" w:pos="1170"/>
        </w:tabs>
        <w:spacing w:after="480"/>
      </w:pPr>
      <w:r w:rsidRPr="001E39C7">
        <w:rPr>
          <w:rStyle w:val="SCCCounselNameChar"/>
        </w:rPr>
        <w:tab/>
      </w:r>
      <w:proofErr w:type="spellStart"/>
      <w:proofErr w:type="gramStart"/>
      <w:r w:rsidRPr="001E39C7">
        <w:rPr>
          <w:rStyle w:val="SCCCounselNameChar"/>
        </w:rPr>
        <w:t>Gaétan</w:t>
      </w:r>
      <w:proofErr w:type="spellEnd"/>
      <w:r w:rsidRPr="001E39C7">
        <w:rPr>
          <w:rStyle w:val="SCCCounselNameChar"/>
        </w:rPr>
        <w:t xml:space="preserve"> </w:t>
      </w:r>
      <w:proofErr w:type="spellStart"/>
      <w:r w:rsidRPr="001E39C7">
        <w:rPr>
          <w:rStyle w:val="SCCCounselNameChar"/>
        </w:rPr>
        <w:t>Migneault</w:t>
      </w:r>
      <w:proofErr w:type="spellEnd"/>
      <w:r w:rsidRPr="001E39C7">
        <w:rPr>
          <w:rStyle w:val="SCCCounselPartyRoleChar"/>
        </w:rPr>
        <w:t>, for the intervener the Attorney General of New Brunswick.</w:t>
      </w:r>
      <w:proofErr w:type="gramEnd"/>
    </w:p>
    <w:p w:rsidR="000B3372" w:rsidRDefault="00A26255" w:rsidP="00174D6C">
      <w:pPr>
        <w:pStyle w:val="SCCNormalDoubleSpacing"/>
        <w:tabs>
          <w:tab w:val="left" w:pos="1170"/>
        </w:tabs>
        <w:spacing w:after="480"/>
        <w:rPr>
          <w:rStyle w:val="SCCCounselPartyRoleChar"/>
        </w:rPr>
      </w:pPr>
      <w:r>
        <w:rPr>
          <w:rStyle w:val="SCCCounselNameChar"/>
        </w:rPr>
        <w:lastRenderedPageBreak/>
        <w:tab/>
      </w:r>
      <w:proofErr w:type="gramStart"/>
      <w:r>
        <w:rPr>
          <w:rStyle w:val="SCCCounselNameChar"/>
        </w:rPr>
        <w:t>Donald </w:t>
      </w:r>
      <w:r w:rsidR="00D424E7" w:rsidRPr="001E39C7">
        <w:rPr>
          <w:rStyle w:val="SCCCounselNameChar"/>
        </w:rPr>
        <w:t xml:space="preserve">B. </w:t>
      </w:r>
      <w:proofErr w:type="spellStart"/>
      <w:r w:rsidR="00D424E7" w:rsidRPr="001E39C7">
        <w:rPr>
          <w:rStyle w:val="SCCCounselNameChar"/>
        </w:rPr>
        <w:t>Padget</w:t>
      </w:r>
      <w:proofErr w:type="spellEnd"/>
      <w:r w:rsidR="00D424E7" w:rsidRPr="001E39C7">
        <w:rPr>
          <w:rStyle w:val="SCCCounselPartyRoleChar"/>
        </w:rPr>
        <w:t>, for the intervener the Attorney General of Alberta.</w:t>
      </w:r>
      <w:proofErr w:type="gramEnd"/>
    </w:p>
    <w:p w:rsidR="00B10358" w:rsidRPr="001E39C7" w:rsidRDefault="00B10358" w:rsidP="00174D6C">
      <w:pPr>
        <w:pStyle w:val="SCCNormalDoubleSpacing"/>
        <w:tabs>
          <w:tab w:val="left" w:pos="1170"/>
        </w:tabs>
        <w:spacing w:after="480"/>
      </w:pPr>
      <w:r w:rsidRPr="001E39C7">
        <w:rPr>
          <w:rStyle w:val="SCCCounselNameChar"/>
        </w:rPr>
        <w:tab/>
      </w:r>
      <w:proofErr w:type="gramStart"/>
      <w:r w:rsidRPr="001E39C7">
        <w:rPr>
          <w:rStyle w:val="SCCCounselNameChar"/>
        </w:rPr>
        <w:t>Simon</w:t>
      </w:r>
      <w:r w:rsidR="00A26255">
        <w:rPr>
          <w:rStyle w:val="SCCCounselNameChar"/>
        </w:rPr>
        <w:t> </w:t>
      </w:r>
      <w:r w:rsidRPr="001E39C7">
        <w:rPr>
          <w:rStyle w:val="SCCCounselNameChar"/>
        </w:rPr>
        <w:t>V. Potter</w:t>
      </w:r>
      <w:r w:rsidRPr="001E39C7">
        <w:rPr>
          <w:rStyle w:val="SCCCounselSeparatorChar"/>
        </w:rPr>
        <w:t xml:space="preserve"> and </w:t>
      </w:r>
      <w:r w:rsidRPr="001E39C7">
        <w:rPr>
          <w:rStyle w:val="SCCCounselNameChar"/>
        </w:rPr>
        <w:t>Michael</w:t>
      </w:r>
      <w:r w:rsidR="00A26255">
        <w:rPr>
          <w:rStyle w:val="SCCCounselNameChar"/>
        </w:rPr>
        <w:t> </w:t>
      </w:r>
      <w:r w:rsidRPr="001E39C7">
        <w:rPr>
          <w:rStyle w:val="SCCCounselNameChar"/>
        </w:rPr>
        <w:t xml:space="preserve">A. </w:t>
      </w:r>
      <w:proofErr w:type="spellStart"/>
      <w:r w:rsidRPr="001E39C7">
        <w:rPr>
          <w:rStyle w:val="SCCCounselNameChar"/>
        </w:rPr>
        <w:t>Feder</w:t>
      </w:r>
      <w:proofErr w:type="spellEnd"/>
      <w:r w:rsidRPr="001E39C7">
        <w:rPr>
          <w:rStyle w:val="SCCCounselPartyRoleChar"/>
        </w:rPr>
        <w:t>, for the intervener the British Columbia Civil Liberties Association.</w:t>
      </w:r>
      <w:proofErr w:type="gramEnd"/>
    </w:p>
    <w:p w:rsidR="0057071B" w:rsidRPr="001E39C7" w:rsidRDefault="0057071B" w:rsidP="00174D6C">
      <w:pPr>
        <w:pStyle w:val="SCCNormalDoubleSpacing"/>
        <w:tabs>
          <w:tab w:val="left" w:pos="1170"/>
        </w:tabs>
        <w:spacing w:after="480"/>
      </w:pPr>
      <w:r w:rsidRPr="001E39C7">
        <w:rPr>
          <w:rStyle w:val="SCCCounselNameChar"/>
        </w:rPr>
        <w:tab/>
      </w:r>
      <w:proofErr w:type="gramStart"/>
      <w:r w:rsidRPr="001E39C7">
        <w:rPr>
          <w:rStyle w:val="SCCCounselNameChar"/>
        </w:rPr>
        <w:t>Mahmud Jamal</w:t>
      </w:r>
      <w:r w:rsidRPr="001E39C7">
        <w:rPr>
          <w:rStyle w:val="SCCCounselSeparatorChar"/>
        </w:rPr>
        <w:t xml:space="preserve"> and </w:t>
      </w:r>
      <w:r w:rsidRPr="001E39C7">
        <w:rPr>
          <w:rStyle w:val="SCCCounselNameChar"/>
        </w:rPr>
        <w:t>Jason MacLean</w:t>
      </w:r>
      <w:r w:rsidRPr="001E39C7">
        <w:rPr>
          <w:rStyle w:val="SCCCounselPartyRoleChar"/>
        </w:rPr>
        <w:t>, for the intervener the Canadian Civil Liberties Association.</w:t>
      </w:r>
      <w:proofErr w:type="gramEnd"/>
    </w:p>
    <w:p w:rsidR="00F91AE9" w:rsidRDefault="00F91AE9" w:rsidP="000D30AC">
      <w:pPr>
        <w:tabs>
          <w:tab w:val="left" w:pos="-1440"/>
          <w:tab w:val="left" w:pos="-720"/>
          <w:tab w:val="left" w:pos="1170"/>
        </w:tabs>
        <w:spacing w:after="480" w:line="480" w:lineRule="auto"/>
        <w:jc w:val="both"/>
        <w:rPr>
          <w:lang w:val="en-US"/>
        </w:rPr>
      </w:pPr>
      <w:r>
        <w:rPr>
          <w:lang w:val="en-US"/>
        </w:rPr>
        <w:tab/>
        <w:t>English version of the judgment of the Court delivered by</w:t>
      </w:r>
    </w:p>
    <w:p w:rsidR="000D30AC" w:rsidRPr="000D30AC" w:rsidRDefault="00F91AE9" w:rsidP="00B30508">
      <w:pPr>
        <w:pStyle w:val="ReasonsNumbering-AltN"/>
        <w:rPr>
          <w:lang w:val="en-US"/>
        </w:rPr>
      </w:pPr>
      <w:proofErr w:type="spellStart"/>
      <w:r w:rsidRPr="00522058">
        <w:rPr>
          <w:smallCaps/>
        </w:rPr>
        <w:t>Deschamps</w:t>
      </w:r>
      <w:proofErr w:type="spellEnd"/>
      <w:r w:rsidRPr="00522058">
        <w:rPr>
          <w:smallCaps/>
        </w:rPr>
        <w:t> J.</w:t>
      </w:r>
      <w:r w:rsidRPr="00522058">
        <w:t xml:space="preserve"> </w:t>
      </w:r>
      <w:r>
        <w:t>—</w:t>
      </w:r>
      <w:r w:rsidRPr="00522058">
        <w:t xml:space="preserve"> </w:t>
      </w:r>
      <w:r w:rsidR="000D30AC" w:rsidRPr="000D30AC">
        <w:rPr>
          <w:lang w:val="en-US"/>
        </w:rPr>
        <w:t xml:space="preserve">In this case, as in the companion appeal </w:t>
      </w:r>
      <w:r w:rsidR="000D30AC" w:rsidRPr="000D30AC">
        <w:rPr>
          <w:i/>
          <w:lang w:val="en-US"/>
        </w:rPr>
        <w:t>Canadian Broadcasting Corp</w:t>
      </w:r>
      <w:r w:rsidR="00E30C75">
        <w:rPr>
          <w:i/>
          <w:lang w:val="en-US"/>
        </w:rPr>
        <w:t>.</w:t>
      </w:r>
      <w:r w:rsidR="000D30AC" w:rsidRPr="000D30AC">
        <w:rPr>
          <w:i/>
          <w:lang w:val="en-US"/>
        </w:rPr>
        <w:t xml:space="preserve"> v. Canada (Attorney General)</w:t>
      </w:r>
      <w:r w:rsidR="000D30AC" w:rsidRPr="000D30AC">
        <w:rPr>
          <w:lang w:val="en-US"/>
        </w:rPr>
        <w:t xml:space="preserve">, 2011 SCC 2, </w:t>
      </w:r>
      <w:r>
        <w:rPr>
          <w:lang w:val="en-US"/>
        </w:rPr>
        <w:t xml:space="preserve">[2011] 1 S.C.R. 19, </w:t>
      </w:r>
      <w:r w:rsidR="000D30AC" w:rsidRPr="000D30AC">
        <w:rPr>
          <w:lang w:val="en-US"/>
        </w:rPr>
        <w:t>the judgment in which is being released concurrently, the Court must consider the interrelationship of freedom of the press, the open court principle and the fair administration of justice.  The challenge in the companion appeal concerns rules on broadcasting recordings of hearings and on conducting interviews, filming and taking photographs.  In the case at bar, the challenge relates instead to the broadcasting of a video recording tendered in evidence at trial.</w:t>
      </w:r>
    </w:p>
    <w:p w:rsidR="000D30AC" w:rsidRPr="00522058" w:rsidRDefault="000D30AC" w:rsidP="00F91AE9">
      <w:pPr>
        <w:pStyle w:val="Heading1"/>
        <w:tabs>
          <w:tab w:val="clear" w:pos="360"/>
          <w:tab w:val="left" w:pos="540"/>
        </w:tabs>
        <w:spacing w:after="720"/>
        <w:ind w:left="540" w:hanging="540"/>
      </w:pPr>
      <w:r w:rsidRPr="00522058">
        <w:t>1.</w:t>
      </w:r>
      <w:r w:rsidR="00F91AE9">
        <w:tab/>
      </w:r>
      <w:r w:rsidRPr="00AA3BA1">
        <w:rPr>
          <w:u w:val="single"/>
        </w:rPr>
        <w:t>Facts</w:t>
      </w:r>
    </w:p>
    <w:p w:rsidR="000D30AC" w:rsidRPr="000D30AC" w:rsidRDefault="000D30AC" w:rsidP="00B30508">
      <w:pPr>
        <w:pStyle w:val="ReasonsNumbering-AltN"/>
        <w:rPr>
          <w:lang w:val="en-US"/>
        </w:rPr>
      </w:pPr>
      <w:r w:rsidRPr="000D30AC">
        <w:rPr>
          <w:lang w:val="en-US"/>
        </w:rPr>
        <w:t xml:space="preserve">The respondent </w:t>
      </w:r>
      <w:proofErr w:type="spellStart"/>
      <w:r w:rsidRPr="000D30AC">
        <w:rPr>
          <w:lang w:val="en-US"/>
        </w:rPr>
        <w:t>Stéphan</w:t>
      </w:r>
      <w:proofErr w:type="spellEnd"/>
      <w:r w:rsidRPr="000D30AC">
        <w:rPr>
          <w:lang w:val="en-US"/>
        </w:rPr>
        <w:t xml:space="preserve"> </w:t>
      </w:r>
      <w:proofErr w:type="spellStart"/>
      <w:r w:rsidRPr="000D30AC">
        <w:rPr>
          <w:lang w:val="en-US"/>
        </w:rPr>
        <w:t>Dufour</w:t>
      </w:r>
      <w:proofErr w:type="spellEnd"/>
      <w:r w:rsidRPr="000D30AC">
        <w:rPr>
          <w:lang w:val="en-US"/>
        </w:rPr>
        <w:t>, who was charged with aiding suicide under s. 241(</w:t>
      </w:r>
      <w:r w:rsidRPr="000D30AC">
        <w:rPr>
          <w:i/>
          <w:lang w:val="en-US"/>
        </w:rPr>
        <w:t>b</w:t>
      </w:r>
      <w:r w:rsidRPr="000D30AC">
        <w:rPr>
          <w:lang w:val="en-US"/>
        </w:rPr>
        <w:t xml:space="preserve">) of the </w:t>
      </w:r>
      <w:r w:rsidRPr="000D30AC">
        <w:rPr>
          <w:i/>
          <w:lang w:val="en-US"/>
        </w:rPr>
        <w:t>Criminal Code</w:t>
      </w:r>
      <w:r w:rsidRPr="000D30AC">
        <w:rPr>
          <w:lang w:val="en-US"/>
        </w:rPr>
        <w:t>, R.S.C. 1985, c.</w:t>
      </w:r>
      <w:r w:rsidRPr="000D30AC">
        <w:rPr>
          <w:i/>
          <w:lang w:val="en-US"/>
        </w:rPr>
        <w:t> </w:t>
      </w:r>
      <w:r w:rsidRPr="000D30AC">
        <w:rPr>
          <w:lang w:val="en-US"/>
        </w:rPr>
        <w:t>C</w:t>
      </w:r>
      <w:r w:rsidRPr="000D30AC">
        <w:rPr>
          <w:lang w:val="en-US"/>
        </w:rPr>
        <w:noBreakHyphen/>
        <w:t>46 (</w:t>
      </w:r>
      <w:r>
        <w:rPr>
          <w:lang w:val="en-US"/>
        </w:rPr>
        <w:t>“</w:t>
      </w:r>
      <w:r w:rsidRPr="00522058">
        <w:rPr>
          <w:i/>
          <w:lang w:val="en-US"/>
        </w:rPr>
        <w:t>Cr. C.</w:t>
      </w:r>
      <w:r>
        <w:rPr>
          <w:lang w:val="en-US"/>
        </w:rPr>
        <w:t>”</w:t>
      </w:r>
      <w:r w:rsidRPr="00522058">
        <w:rPr>
          <w:lang w:val="en-US"/>
        </w:rPr>
        <w:t>),</w:t>
      </w:r>
      <w:r w:rsidRPr="000D30AC">
        <w:rPr>
          <w:lang w:val="en-US"/>
        </w:rPr>
        <w:t xml:space="preserve"> elected to be </w:t>
      </w:r>
      <w:r w:rsidRPr="000D30AC">
        <w:rPr>
          <w:lang w:val="en-US"/>
        </w:rPr>
        <w:lastRenderedPageBreak/>
        <w:t>tried by judge and jury.  The trial began on November 25, 2008</w:t>
      </w:r>
      <w:r w:rsidR="00F9413A">
        <w:rPr>
          <w:lang w:val="en-US"/>
        </w:rPr>
        <w:t>,</w:t>
      </w:r>
      <w:r w:rsidRPr="000D30AC">
        <w:rPr>
          <w:lang w:val="en-US"/>
        </w:rPr>
        <w:t xml:space="preserve"> before Lévesque J. of the Quebec Superior Court.  On November 27, 2008, the Crown produced as an exhibit a video recording of a statement Mr. </w:t>
      </w:r>
      <w:proofErr w:type="spellStart"/>
      <w:r w:rsidRPr="000D30AC">
        <w:rPr>
          <w:lang w:val="en-US"/>
        </w:rPr>
        <w:t>Dufour</w:t>
      </w:r>
      <w:proofErr w:type="spellEnd"/>
      <w:r w:rsidRPr="000D30AC">
        <w:rPr>
          <w:lang w:val="en-US"/>
        </w:rPr>
        <w:t xml:space="preserve"> had made to the police before being charged.  The parties, the jury and members of the media were present in the courtroom.  No general or specific restrictions were placed on the openness of the hearing.  Lévesque J. authorized the journalists to view the statement.  For this purpose, portions of the recorded statement selected by the journalists were shown on a screen in another courtroom, and the journalists were allowed to film the screen as these portions were being played back.  However, the court clerk and Lévesque J. told the journalists that they were prohibited from broadcasting the recording of the statement.  This limit on the use of the recording gave rise to this litigation.</w:t>
      </w:r>
    </w:p>
    <w:p w:rsidR="000D30AC" w:rsidRPr="00522058" w:rsidRDefault="00F91AE9" w:rsidP="00F91AE9">
      <w:pPr>
        <w:pStyle w:val="Heading1"/>
        <w:tabs>
          <w:tab w:val="clear" w:pos="360"/>
          <w:tab w:val="left" w:pos="540"/>
        </w:tabs>
        <w:spacing w:after="720"/>
        <w:ind w:left="540" w:hanging="540"/>
        <w:rPr>
          <w:u w:val="single"/>
        </w:rPr>
      </w:pPr>
      <w:r>
        <w:t>2.</w:t>
      </w:r>
      <w:r>
        <w:tab/>
      </w:r>
      <w:r w:rsidR="000D30AC" w:rsidRPr="00AA3BA1">
        <w:rPr>
          <w:u w:val="single"/>
        </w:rPr>
        <w:t>Judicial History</w:t>
      </w:r>
    </w:p>
    <w:p w:rsidR="000D30AC" w:rsidRPr="000D30AC" w:rsidRDefault="000D30AC" w:rsidP="00B30508">
      <w:pPr>
        <w:pStyle w:val="ReasonsNumbering-AltN"/>
        <w:rPr>
          <w:lang w:val="en-US"/>
        </w:rPr>
      </w:pPr>
      <w:r w:rsidRPr="000D30AC">
        <w:rPr>
          <w:lang w:val="en-US"/>
        </w:rPr>
        <w:t xml:space="preserve">On December 1, 2008, the appellant, the Canadian Broadcasting Corporation (“CBC”), and </w:t>
      </w:r>
      <w:proofErr w:type="spellStart"/>
      <w:r w:rsidRPr="000D30AC">
        <w:rPr>
          <w:lang w:val="en-US"/>
        </w:rPr>
        <w:t>Groupe</w:t>
      </w:r>
      <w:proofErr w:type="spellEnd"/>
      <w:r w:rsidRPr="000D30AC">
        <w:rPr>
          <w:lang w:val="en-US"/>
        </w:rPr>
        <w:t xml:space="preserve"> TVA applied jointly to Lévesque J. for permission to broadcast the video recording of the statement.  The motion was dismissed:  </w:t>
      </w:r>
      <w:r w:rsidR="00F9413A">
        <w:rPr>
          <w:lang w:val="en-US"/>
        </w:rPr>
        <w:t>2008 QCCS 6931 (</w:t>
      </w:r>
      <w:proofErr w:type="spellStart"/>
      <w:r w:rsidR="00F9413A">
        <w:rPr>
          <w:lang w:val="en-US"/>
        </w:rPr>
        <w:t>CanLII</w:t>
      </w:r>
      <w:proofErr w:type="spellEnd"/>
      <w:r w:rsidR="00F9413A">
        <w:rPr>
          <w:lang w:val="en-US"/>
        </w:rPr>
        <w:t>)</w:t>
      </w:r>
      <w:r w:rsidRPr="000D30AC">
        <w:rPr>
          <w:lang w:val="en-US"/>
        </w:rPr>
        <w:t xml:space="preserve">.  The judge considered that since ss. 8 and 8.A of the </w:t>
      </w:r>
      <w:r w:rsidRPr="000D30AC">
        <w:rPr>
          <w:i/>
          <w:lang w:val="en-US"/>
        </w:rPr>
        <w:t>Rules of Practice of the Superior Court of the Province of Quebec, Criminal Division</w:t>
      </w:r>
      <w:r w:rsidRPr="000D30AC">
        <w:rPr>
          <w:lang w:val="en-US"/>
        </w:rPr>
        <w:t xml:space="preserve">, </w:t>
      </w:r>
      <w:r w:rsidRPr="000D30AC">
        <w:rPr>
          <w:i/>
          <w:lang w:val="en-US"/>
        </w:rPr>
        <w:t>2002</w:t>
      </w:r>
      <w:r w:rsidRPr="000D30AC">
        <w:rPr>
          <w:lang w:val="en-US"/>
        </w:rPr>
        <w:t>, SI/2002</w:t>
      </w:r>
      <w:r w:rsidRPr="000D30AC">
        <w:rPr>
          <w:lang w:val="en-US"/>
        </w:rPr>
        <w:noBreakHyphen/>
        <w:t xml:space="preserve">46, </w:t>
      </w:r>
      <w:proofErr w:type="gramStart"/>
      <w:r w:rsidRPr="000D30AC">
        <w:rPr>
          <w:lang w:val="en-US"/>
        </w:rPr>
        <w:t>am</w:t>
      </w:r>
      <w:proofErr w:type="gramEnd"/>
      <w:r w:rsidRPr="000D30AC">
        <w:rPr>
          <w:lang w:val="en-US"/>
        </w:rPr>
        <w:t>. SI/2005</w:t>
      </w:r>
      <w:r w:rsidRPr="000D30AC">
        <w:rPr>
          <w:lang w:val="en-US"/>
        </w:rPr>
        <w:noBreakHyphen/>
        <w:t>19, s. 1 (“</w:t>
      </w:r>
      <w:proofErr w:type="spellStart"/>
      <w:r w:rsidRPr="000D30AC">
        <w:rPr>
          <w:lang w:val="en-US"/>
        </w:rPr>
        <w:t>RPCr</w:t>
      </w:r>
      <w:proofErr w:type="spellEnd"/>
      <w:r w:rsidRPr="000D30AC">
        <w:rPr>
          <w:lang w:val="en-US"/>
        </w:rPr>
        <w:t>” or “Rules of Criminal Practice”), prohibit any broadcasting of a recording of a hearing, the broadcasting of a video recording introduced in evidence should also be prohibited (</w:t>
      </w:r>
      <w:proofErr w:type="spellStart"/>
      <w:r w:rsidRPr="000D30AC">
        <w:rPr>
          <w:lang w:val="en-US"/>
        </w:rPr>
        <w:t>para</w:t>
      </w:r>
      <w:proofErr w:type="spellEnd"/>
      <w:r w:rsidRPr="000D30AC">
        <w:rPr>
          <w:lang w:val="en-US"/>
        </w:rPr>
        <w:t>. 21).  In his opinion, [</w:t>
      </w:r>
      <w:r w:rsidRPr="000D30AC">
        <w:rPr>
          <w:smallCaps/>
          <w:lang w:val="en-US"/>
        </w:rPr>
        <w:t xml:space="preserve">translation] </w:t>
      </w:r>
      <w:r w:rsidRPr="000D30AC">
        <w:rPr>
          <w:lang w:val="en-US"/>
        </w:rPr>
        <w:t xml:space="preserve">“the effect of [concluding otherwise] would be to indirectly </w:t>
      </w:r>
      <w:r w:rsidRPr="00522058">
        <w:rPr>
          <w:lang w:val="en-US"/>
        </w:rPr>
        <w:t xml:space="preserve">authorize </w:t>
      </w:r>
      <w:r w:rsidRPr="00522058">
        <w:rPr>
          <w:lang w:val="en-US"/>
        </w:rPr>
        <w:lastRenderedPageBreak/>
        <w:t xml:space="preserve">the applicants to do something that is </w:t>
      </w:r>
      <w:r w:rsidRPr="000D30AC">
        <w:rPr>
          <w:lang w:val="en-US"/>
        </w:rPr>
        <w:t>directly prohibited” (</w:t>
      </w:r>
      <w:proofErr w:type="spellStart"/>
      <w:r w:rsidRPr="000D30AC">
        <w:rPr>
          <w:lang w:val="en-US"/>
        </w:rPr>
        <w:t>para</w:t>
      </w:r>
      <w:proofErr w:type="spellEnd"/>
      <w:r w:rsidRPr="000D30AC">
        <w:rPr>
          <w:lang w:val="en-US"/>
        </w:rPr>
        <w:t xml:space="preserve">. 22).  Relying on the Quebec Court of Appeal’s judgment in </w:t>
      </w:r>
      <w:proofErr w:type="spellStart"/>
      <w:r w:rsidRPr="000D30AC">
        <w:rPr>
          <w:i/>
          <w:lang w:val="en-US"/>
        </w:rPr>
        <w:t>Société</w:t>
      </w:r>
      <w:proofErr w:type="spellEnd"/>
      <w:r w:rsidRPr="000D30AC">
        <w:rPr>
          <w:i/>
          <w:lang w:val="en-US"/>
        </w:rPr>
        <w:t xml:space="preserve"> </w:t>
      </w:r>
      <w:proofErr w:type="spellStart"/>
      <w:r w:rsidRPr="000D30AC">
        <w:rPr>
          <w:i/>
          <w:lang w:val="en-US"/>
        </w:rPr>
        <w:t>Radio</w:t>
      </w:r>
      <w:r w:rsidRPr="000D30AC">
        <w:rPr>
          <w:i/>
          <w:lang w:val="en-US"/>
        </w:rPr>
        <w:noBreakHyphen/>
        <w:t>Canada</w:t>
      </w:r>
      <w:proofErr w:type="spellEnd"/>
      <w:r w:rsidRPr="000D30AC">
        <w:rPr>
          <w:i/>
          <w:lang w:val="en-US"/>
        </w:rPr>
        <w:t xml:space="preserve"> c. Québec (</w:t>
      </w:r>
      <w:proofErr w:type="spellStart"/>
      <w:r w:rsidRPr="000D30AC">
        <w:rPr>
          <w:i/>
          <w:lang w:val="en-US"/>
        </w:rPr>
        <w:t>Procureur</w:t>
      </w:r>
      <w:proofErr w:type="spellEnd"/>
      <w:r w:rsidRPr="000D30AC">
        <w:rPr>
          <w:i/>
          <w:lang w:val="en-US"/>
        </w:rPr>
        <w:t xml:space="preserve"> </w:t>
      </w:r>
      <w:proofErr w:type="spellStart"/>
      <w:r w:rsidRPr="000D30AC">
        <w:rPr>
          <w:i/>
          <w:lang w:val="en-US"/>
        </w:rPr>
        <w:t>général</w:t>
      </w:r>
      <w:proofErr w:type="spellEnd"/>
      <w:r w:rsidRPr="000D30AC">
        <w:rPr>
          <w:i/>
          <w:lang w:val="en-US"/>
        </w:rPr>
        <w:t>)</w:t>
      </w:r>
      <w:r w:rsidRPr="000D30AC">
        <w:rPr>
          <w:lang w:val="en-US"/>
        </w:rPr>
        <w:t>, 2008 QCCA 1910, [2008] R.J.Q. 2303, Lévesque J. held that ss. 8, 8.A and 8.B of the Rules of Criminal Practice were constitutionally valid.</w:t>
      </w:r>
    </w:p>
    <w:p w:rsidR="000D30AC" w:rsidRPr="000D30AC" w:rsidRDefault="000D30AC" w:rsidP="00B30508">
      <w:pPr>
        <w:pStyle w:val="ReasonsNumbering-AltN"/>
        <w:rPr>
          <w:lang w:val="en-US"/>
        </w:rPr>
      </w:pPr>
      <w:r w:rsidRPr="000D30AC">
        <w:rPr>
          <w:lang w:val="en-US"/>
        </w:rPr>
        <w:t xml:space="preserve">The CBC appealed that order to this Court under s. 40 of the </w:t>
      </w:r>
      <w:r w:rsidRPr="000D30AC">
        <w:rPr>
          <w:i/>
          <w:lang w:val="en-US"/>
        </w:rPr>
        <w:t>Supreme Court Act</w:t>
      </w:r>
      <w:r w:rsidRPr="000D30AC">
        <w:rPr>
          <w:lang w:val="en-US"/>
        </w:rPr>
        <w:t>, R.S.C. 1985, c. S</w:t>
      </w:r>
      <w:r w:rsidRPr="000D30AC">
        <w:rPr>
          <w:lang w:val="en-US"/>
        </w:rPr>
        <w:noBreakHyphen/>
        <w:t>26.</w:t>
      </w:r>
    </w:p>
    <w:p w:rsidR="000D30AC" w:rsidRPr="00522058" w:rsidRDefault="00F91AE9" w:rsidP="00F91AE9">
      <w:pPr>
        <w:pStyle w:val="Heading1"/>
        <w:tabs>
          <w:tab w:val="clear" w:pos="360"/>
          <w:tab w:val="left" w:pos="540"/>
        </w:tabs>
        <w:spacing w:after="720"/>
        <w:ind w:left="540" w:hanging="540"/>
      </w:pPr>
      <w:r>
        <w:t>3.</w:t>
      </w:r>
      <w:r>
        <w:tab/>
      </w:r>
      <w:r w:rsidR="000D30AC" w:rsidRPr="00AA3BA1">
        <w:rPr>
          <w:u w:val="single"/>
        </w:rPr>
        <w:t>Issues</w:t>
      </w:r>
    </w:p>
    <w:p w:rsidR="000D30AC" w:rsidRPr="00522058" w:rsidRDefault="000D30AC" w:rsidP="00B30508">
      <w:pPr>
        <w:pStyle w:val="ReasonsNumbering-AltN"/>
      </w:pPr>
      <w:r w:rsidRPr="000D30AC">
        <w:rPr>
          <w:lang w:val="en-US"/>
        </w:rPr>
        <w:t xml:space="preserve">On June 29, 2009, the Chief Justice stated two questions concerning the constitutionality of ss. 8 and 8.A </w:t>
      </w:r>
      <w:proofErr w:type="spellStart"/>
      <w:r w:rsidRPr="000D30AC">
        <w:rPr>
          <w:lang w:val="en-US"/>
        </w:rPr>
        <w:t>RPCr</w:t>
      </w:r>
      <w:proofErr w:type="spellEnd"/>
      <w:r w:rsidRPr="000D30AC">
        <w:rPr>
          <w:lang w:val="en-US"/>
        </w:rPr>
        <w:t xml:space="preserve"> under s. 2(</w:t>
      </w:r>
      <w:r w:rsidRPr="000D30AC">
        <w:rPr>
          <w:i/>
          <w:lang w:val="en-US"/>
        </w:rPr>
        <w:t>b</w:t>
      </w:r>
      <w:r w:rsidRPr="000D30AC">
        <w:rPr>
          <w:lang w:val="en-US"/>
        </w:rPr>
        <w:t xml:space="preserve">) of the </w:t>
      </w:r>
      <w:r w:rsidRPr="000D30AC">
        <w:rPr>
          <w:i/>
          <w:lang w:val="en-US"/>
        </w:rPr>
        <w:t xml:space="preserve">Canadian Charter of Rights and Freedoms </w:t>
      </w:r>
      <w:r w:rsidRPr="000D30AC">
        <w:rPr>
          <w:lang w:val="en-US"/>
        </w:rPr>
        <w:t>(“</w:t>
      </w:r>
      <w:r w:rsidRPr="000D30AC">
        <w:rPr>
          <w:i/>
          <w:lang w:val="en-US"/>
        </w:rPr>
        <w:t>Charter</w:t>
      </w:r>
      <w:r w:rsidRPr="000D30AC">
        <w:rPr>
          <w:lang w:val="en-US"/>
        </w:rPr>
        <w:t xml:space="preserve">”).  The CBC, the Crown and the Attorney General of Quebec (“AGQ”), together with </w:t>
      </w:r>
      <w:proofErr w:type="spellStart"/>
      <w:r w:rsidRPr="000D30AC">
        <w:rPr>
          <w:lang w:val="en-US"/>
        </w:rPr>
        <w:t>Stéphan</w:t>
      </w:r>
      <w:proofErr w:type="spellEnd"/>
      <w:r w:rsidRPr="000D30AC">
        <w:rPr>
          <w:lang w:val="en-US"/>
        </w:rPr>
        <w:t xml:space="preserve"> </w:t>
      </w:r>
      <w:proofErr w:type="spellStart"/>
      <w:r w:rsidRPr="000D30AC">
        <w:rPr>
          <w:lang w:val="en-US"/>
        </w:rPr>
        <w:t>Dufour</w:t>
      </w:r>
      <w:proofErr w:type="spellEnd"/>
      <w:r w:rsidRPr="000D30AC">
        <w:rPr>
          <w:lang w:val="en-US"/>
        </w:rPr>
        <w:t xml:space="preserve"> and the Attorney General of Canada (“AGC”), submit that these questions should not be answered, because in their view ss. 8 and 8.A </w:t>
      </w:r>
      <w:proofErr w:type="spellStart"/>
      <w:r w:rsidRPr="000D30AC">
        <w:rPr>
          <w:lang w:val="en-US"/>
        </w:rPr>
        <w:t>RPCr</w:t>
      </w:r>
      <w:proofErr w:type="spellEnd"/>
      <w:r w:rsidRPr="000D30AC">
        <w:rPr>
          <w:lang w:val="en-US"/>
        </w:rPr>
        <w:t xml:space="preserve"> are not applicable in this case.  As will be shown in the reasons that follow, this submission is well founded.  </w:t>
      </w:r>
      <w:r w:rsidRPr="00522058">
        <w:t>I would therefore restate the issues as follows:</w:t>
      </w:r>
    </w:p>
    <w:p w:rsidR="000D30AC" w:rsidRPr="009B70D6" w:rsidRDefault="000D30AC" w:rsidP="00F91AE9">
      <w:pPr>
        <w:pStyle w:val="Citation"/>
        <w:tabs>
          <w:tab w:val="left" w:pos="1170"/>
        </w:tabs>
        <w:spacing w:after="240" w:line="480" w:lineRule="auto"/>
        <w:ind w:left="1170" w:hanging="1170"/>
        <w:contextualSpacing w:val="0"/>
        <w:rPr>
          <w:lang w:val="en-US"/>
        </w:rPr>
      </w:pPr>
      <w:r w:rsidRPr="009B70D6">
        <w:rPr>
          <w:lang w:val="en-US"/>
        </w:rPr>
        <w:t>1.</w:t>
      </w:r>
      <w:r w:rsidR="00F91AE9">
        <w:rPr>
          <w:lang w:val="en-US"/>
        </w:rPr>
        <w:tab/>
      </w:r>
      <w:r w:rsidRPr="009B70D6">
        <w:rPr>
          <w:lang w:val="en-US"/>
        </w:rPr>
        <w:t xml:space="preserve">Do ss. 8 and 8.A </w:t>
      </w:r>
      <w:proofErr w:type="spellStart"/>
      <w:r w:rsidRPr="009B70D6">
        <w:rPr>
          <w:lang w:val="en-US"/>
        </w:rPr>
        <w:t>RPCr</w:t>
      </w:r>
      <w:proofErr w:type="spellEnd"/>
      <w:r w:rsidRPr="009B70D6">
        <w:rPr>
          <w:lang w:val="en-US"/>
        </w:rPr>
        <w:t xml:space="preserve"> prohibit the broadcasting of the statement?</w:t>
      </w:r>
    </w:p>
    <w:p w:rsidR="000D30AC" w:rsidRPr="009B70D6" w:rsidRDefault="000D30AC" w:rsidP="00F91AE9">
      <w:pPr>
        <w:pStyle w:val="Citation"/>
        <w:tabs>
          <w:tab w:val="left" w:pos="1170"/>
        </w:tabs>
        <w:spacing w:line="480" w:lineRule="auto"/>
        <w:ind w:left="1170" w:hanging="1170"/>
        <w:contextualSpacing w:val="0"/>
        <w:rPr>
          <w:lang w:val="en-US"/>
        </w:rPr>
      </w:pPr>
      <w:r w:rsidRPr="009B70D6">
        <w:rPr>
          <w:lang w:val="en-US"/>
        </w:rPr>
        <w:t>2.</w:t>
      </w:r>
      <w:r w:rsidR="00F91AE9">
        <w:rPr>
          <w:lang w:val="en-US"/>
        </w:rPr>
        <w:tab/>
      </w:r>
      <w:proofErr w:type="gramStart"/>
      <w:r w:rsidRPr="009B70D6">
        <w:rPr>
          <w:lang w:val="en-US"/>
        </w:rPr>
        <w:t>If</w:t>
      </w:r>
      <w:proofErr w:type="gramEnd"/>
      <w:r w:rsidRPr="009B70D6">
        <w:rPr>
          <w:lang w:val="en-US"/>
        </w:rPr>
        <w:t xml:space="preserve"> not, what are the rules applicable to the broadcasting of an exhibit tendered in evidence at trial?</w:t>
      </w:r>
    </w:p>
    <w:p w:rsidR="000D30AC" w:rsidRPr="00522058" w:rsidRDefault="00F91AE9" w:rsidP="00F91AE9">
      <w:pPr>
        <w:pStyle w:val="Heading1"/>
        <w:tabs>
          <w:tab w:val="clear" w:pos="360"/>
          <w:tab w:val="left" w:pos="540"/>
        </w:tabs>
        <w:spacing w:after="720"/>
        <w:ind w:left="540" w:hanging="540"/>
        <w:rPr>
          <w:u w:val="single"/>
        </w:rPr>
      </w:pPr>
      <w:r>
        <w:lastRenderedPageBreak/>
        <w:t>4.</w:t>
      </w:r>
      <w:r>
        <w:tab/>
      </w:r>
      <w:r w:rsidR="000D30AC" w:rsidRPr="00522058">
        <w:rPr>
          <w:u w:val="single"/>
        </w:rPr>
        <w:t>Analysis</w:t>
      </w:r>
    </w:p>
    <w:p w:rsidR="000D30AC" w:rsidRPr="000D30AC" w:rsidRDefault="000D30AC" w:rsidP="00B30508">
      <w:pPr>
        <w:pStyle w:val="ReasonsNumbering-AltN"/>
        <w:rPr>
          <w:lang w:val="en-US"/>
        </w:rPr>
      </w:pPr>
      <w:r w:rsidRPr="000D30AC">
        <w:rPr>
          <w:lang w:val="en-US"/>
        </w:rPr>
        <w:t>I will begin by considering the impact of the Rules of Criminal Practice on the broadcasting of exhibits tendered in evidence before discussing the test for determining whether a discretionary publication ban is valid.</w:t>
      </w:r>
    </w:p>
    <w:p w:rsidR="000D30AC" w:rsidRPr="000D30AC" w:rsidRDefault="00F91AE9" w:rsidP="00F91AE9">
      <w:pPr>
        <w:pStyle w:val="Heading1"/>
        <w:tabs>
          <w:tab w:val="clear" w:pos="360"/>
          <w:tab w:val="left" w:pos="540"/>
        </w:tabs>
        <w:spacing w:after="720"/>
        <w:ind w:left="540" w:hanging="540"/>
        <w:rPr>
          <w:lang w:val="en-US"/>
        </w:rPr>
      </w:pPr>
      <w:r>
        <w:rPr>
          <w:lang w:val="en-US"/>
        </w:rPr>
        <w:t>4.1</w:t>
      </w:r>
      <w:r>
        <w:rPr>
          <w:lang w:val="en-US"/>
        </w:rPr>
        <w:tab/>
      </w:r>
      <w:r w:rsidR="000D30AC" w:rsidRPr="00AA3BA1">
        <w:rPr>
          <w:i/>
          <w:lang w:val="en-US"/>
        </w:rPr>
        <w:t>Scope of Sections 8 and 8.A of the Rules of Criminal Practice</w:t>
      </w:r>
    </w:p>
    <w:p w:rsidR="000D30AC" w:rsidRPr="000D30AC" w:rsidRDefault="000D30AC" w:rsidP="00B30508">
      <w:pPr>
        <w:pStyle w:val="ReasonsNumbering-AltN"/>
        <w:rPr>
          <w:lang w:val="en-US"/>
        </w:rPr>
      </w:pPr>
      <w:r w:rsidRPr="000D30AC">
        <w:rPr>
          <w:lang w:val="en-US"/>
        </w:rPr>
        <w:t>The relevant excerpts from ss. 8 and 8.A of the Rules of Criminal Practice read as follows:</w:t>
      </w:r>
    </w:p>
    <w:p w:rsidR="000D30AC" w:rsidRPr="009B70D6" w:rsidRDefault="00F91AE9" w:rsidP="00F91AE9">
      <w:pPr>
        <w:pStyle w:val="Citation"/>
        <w:tabs>
          <w:tab w:val="left" w:pos="1170"/>
          <w:tab w:val="left" w:pos="1440"/>
        </w:tabs>
        <w:spacing w:after="240"/>
        <w:ind w:left="1440" w:hanging="1440"/>
        <w:contextualSpacing w:val="0"/>
        <w:rPr>
          <w:lang w:val="en-US"/>
        </w:rPr>
      </w:pPr>
      <w:r>
        <w:rPr>
          <w:b/>
          <w:lang w:val="en-US"/>
        </w:rPr>
        <w:tab/>
      </w:r>
      <w:r>
        <w:rPr>
          <w:b/>
          <w:lang w:val="en-US"/>
        </w:rPr>
        <w:tab/>
      </w:r>
      <w:r w:rsidR="000D30AC" w:rsidRPr="009B70D6">
        <w:rPr>
          <w:b/>
          <w:lang w:val="en-US"/>
        </w:rPr>
        <w:t>8.</w:t>
      </w:r>
      <w:r w:rsidR="000D30AC" w:rsidRPr="009B70D6">
        <w:rPr>
          <w:lang w:val="en-US"/>
        </w:rPr>
        <w:t xml:space="preserve"> . . . </w:t>
      </w:r>
    </w:p>
    <w:p w:rsidR="000D30AC" w:rsidRPr="009B70D6" w:rsidRDefault="000D30AC" w:rsidP="00F91AE9">
      <w:pPr>
        <w:pStyle w:val="Citation"/>
        <w:spacing w:after="240"/>
        <w:ind w:left="0"/>
        <w:contextualSpacing w:val="0"/>
        <w:jc w:val="center"/>
        <w:rPr>
          <w:lang w:val="en-US"/>
        </w:rPr>
      </w:pPr>
      <w:r w:rsidRPr="009B70D6">
        <w:rPr>
          <w:lang w:val="en-US"/>
        </w:rPr>
        <w:t>. . .</w:t>
      </w:r>
    </w:p>
    <w:p w:rsidR="000D30AC" w:rsidRPr="000D30AC" w:rsidRDefault="00F91AE9" w:rsidP="00F91AE9">
      <w:pPr>
        <w:pStyle w:val="Citation"/>
        <w:tabs>
          <w:tab w:val="left" w:pos="1170"/>
        </w:tabs>
        <w:spacing w:after="240"/>
        <w:ind w:left="1170" w:hanging="1170"/>
        <w:contextualSpacing w:val="0"/>
        <w:rPr>
          <w:lang w:val="en-US"/>
        </w:rPr>
      </w:pPr>
      <w:r>
        <w:rPr>
          <w:lang w:val="en-US"/>
        </w:rPr>
        <w:tab/>
      </w:r>
      <w:r>
        <w:rPr>
          <w:lang w:val="en-US"/>
        </w:rPr>
        <w:tab/>
      </w:r>
      <w:r w:rsidR="000D30AC" w:rsidRPr="009B70D6">
        <w:rPr>
          <w:lang w:val="en-US"/>
        </w:rPr>
        <w:t xml:space="preserve">The media may nevertheless record </w:t>
      </w:r>
      <w:r w:rsidR="000D30AC" w:rsidRPr="009B70D6">
        <w:rPr>
          <w:u w:val="single"/>
          <w:lang w:val="en-US"/>
        </w:rPr>
        <w:t>proceedings</w:t>
      </w:r>
      <w:r w:rsidR="000D30AC" w:rsidRPr="009B70D6">
        <w:rPr>
          <w:lang w:val="en-US"/>
        </w:rPr>
        <w:t xml:space="preserve"> before the court on audiotape, </w:t>
      </w:r>
      <w:r w:rsidR="000D30AC" w:rsidRPr="009B70D6">
        <w:rPr>
          <w:u w:val="single"/>
          <w:lang w:val="en-US"/>
        </w:rPr>
        <w:t>including any decision rendered</w:t>
      </w:r>
      <w:r w:rsidR="000D30AC" w:rsidRPr="009B70D6">
        <w:rPr>
          <w:lang w:val="en-US"/>
        </w:rPr>
        <w:t xml:space="preserve">, unless the judge orders otherwise.  </w:t>
      </w:r>
      <w:r w:rsidR="000D30AC" w:rsidRPr="000D30AC">
        <w:rPr>
          <w:lang w:val="en-US"/>
        </w:rPr>
        <w:t>The broadcasting of any such recording is prohibited.</w:t>
      </w:r>
    </w:p>
    <w:p w:rsidR="000D30AC" w:rsidRPr="009B70D6" w:rsidRDefault="00F91AE9" w:rsidP="00F91AE9">
      <w:pPr>
        <w:pStyle w:val="Citation"/>
        <w:tabs>
          <w:tab w:val="left" w:pos="1170"/>
          <w:tab w:val="left" w:pos="1440"/>
        </w:tabs>
        <w:ind w:left="1170" w:hanging="1170"/>
        <w:rPr>
          <w:lang w:val="en-US"/>
        </w:rPr>
      </w:pPr>
      <w:r>
        <w:rPr>
          <w:b/>
          <w:lang w:val="en-US"/>
        </w:rPr>
        <w:tab/>
      </w:r>
      <w:r>
        <w:rPr>
          <w:b/>
          <w:lang w:val="en-US"/>
        </w:rPr>
        <w:tab/>
      </w:r>
      <w:proofErr w:type="gramStart"/>
      <w:r w:rsidR="000D30AC" w:rsidRPr="009B70D6">
        <w:rPr>
          <w:b/>
          <w:lang w:val="en-US"/>
        </w:rPr>
        <w:t>8.A</w:t>
      </w:r>
      <w:proofErr w:type="gramEnd"/>
      <w:r w:rsidR="000D30AC" w:rsidRPr="009B70D6">
        <w:rPr>
          <w:lang w:val="en-US"/>
        </w:rPr>
        <w:t xml:space="preserve">  Any broadcasting of a recording </w:t>
      </w:r>
      <w:r w:rsidR="000D30AC" w:rsidRPr="009B70D6">
        <w:rPr>
          <w:u w:val="single"/>
          <w:lang w:val="en-US"/>
        </w:rPr>
        <w:t>of a hearing</w:t>
      </w:r>
      <w:r w:rsidR="000D30AC" w:rsidRPr="009B70D6">
        <w:rPr>
          <w:lang w:val="en-US"/>
        </w:rPr>
        <w:t xml:space="preserve"> is prohibited.</w:t>
      </w:r>
    </w:p>
    <w:p w:rsidR="000D30AC" w:rsidRPr="000D30AC" w:rsidRDefault="000D30AC" w:rsidP="00B30508">
      <w:pPr>
        <w:pStyle w:val="ReasonsNumbering-AltN"/>
        <w:rPr>
          <w:lang w:val="en-US"/>
        </w:rPr>
      </w:pPr>
      <w:r w:rsidRPr="000D30AC">
        <w:rPr>
          <w:lang w:val="en-US"/>
        </w:rPr>
        <w:t xml:space="preserve">The prohibition established in ss. 8 and 8.A </w:t>
      </w:r>
      <w:proofErr w:type="spellStart"/>
      <w:r w:rsidRPr="000D30AC">
        <w:rPr>
          <w:lang w:val="en-US"/>
        </w:rPr>
        <w:t>RPCr</w:t>
      </w:r>
      <w:proofErr w:type="spellEnd"/>
      <w:r w:rsidRPr="000D30AC">
        <w:rPr>
          <w:lang w:val="en-US"/>
        </w:rPr>
        <w:t xml:space="preserve"> applies only to the broadcasting of recordings of proceedings, that is, of sounds (including voices) heard during hearings.  Exhibits are distinct from the hearings.  From the moment they are tendered at trial, exhibits become part of the record of the proceedings.  Because they are created independently of and prior to the proceedings at the hearing, however, they cannot be equated with those proceedings.  Although the factors that proved to be applicable in the analysis of the constitutional validity of the Rules of Criminal </w:t>
      </w:r>
      <w:r w:rsidRPr="000D30AC">
        <w:rPr>
          <w:lang w:val="en-US"/>
        </w:rPr>
        <w:lastRenderedPageBreak/>
        <w:t>Practice in the companion case may also be relevant to the determination of whether the appellant is entitled to broadcast the exhibits, it does not follow that those rules can serve as a basis for resolving the issue in the case at bar.</w:t>
      </w:r>
    </w:p>
    <w:p w:rsidR="000D30AC" w:rsidRPr="000D30AC" w:rsidRDefault="000D30AC" w:rsidP="00F91AE9">
      <w:pPr>
        <w:pStyle w:val="Heading1"/>
        <w:tabs>
          <w:tab w:val="clear" w:pos="360"/>
          <w:tab w:val="left" w:pos="540"/>
        </w:tabs>
        <w:spacing w:after="720"/>
        <w:ind w:left="540" w:hanging="540"/>
        <w:rPr>
          <w:lang w:val="en-US"/>
        </w:rPr>
      </w:pPr>
      <w:r w:rsidRPr="000D30AC">
        <w:rPr>
          <w:lang w:val="en-US"/>
        </w:rPr>
        <w:t>4.2.</w:t>
      </w:r>
      <w:r w:rsidR="00F91AE9">
        <w:rPr>
          <w:lang w:val="en-US"/>
        </w:rPr>
        <w:tab/>
      </w:r>
      <w:r w:rsidRPr="000D30AC">
        <w:rPr>
          <w:i/>
          <w:lang w:val="en-US"/>
        </w:rPr>
        <w:t>Rules Applicable to the Broadcasting of an Exhibit</w:t>
      </w:r>
    </w:p>
    <w:p w:rsidR="000D30AC" w:rsidRPr="000D30AC" w:rsidRDefault="000D30AC" w:rsidP="00B30508">
      <w:pPr>
        <w:pStyle w:val="ReasonsNumbering-AltN"/>
        <w:rPr>
          <w:lang w:val="en-US"/>
        </w:rPr>
      </w:pPr>
      <w:r w:rsidRPr="000D30AC">
        <w:rPr>
          <w:lang w:val="en-US"/>
        </w:rPr>
        <w:t xml:space="preserve">The Crown and the AGQ argue that Lévesque J.’s order cannot be equated with a publication ban.  They submit, as does </w:t>
      </w:r>
      <w:proofErr w:type="spellStart"/>
      <w:r w:rsidRPr="000D30AC">
        <w:rPr>
          <w:lang w:val="en-US"/>
        </w:rPr>
        <w:t>Stéphan</w:t>
      </w:r>
      <w:proofErr w:type="spellEnd"/>
      <w:r w:rsidRPr="000D30AC">
        <w:rPr>
          <w:lang w:val="en-US"/>
        </w:rPr>
        <w:t xml:space="preserve"> </w:t>
      </w:r>
      <w:proofErr w:type="spellStart"/>
      <w:r w:rsidRPr="000D30AC">
        <w:rPr>
          <w:lang w:val="en-US"/>
        </w:rPr>
        <w:t>Dufour</w:t>
      </w:r>
      <w:proofErr w:type="spellEnd"/>
      <w:r w:rsidRPr="000D30AC">
        <w:rPr>
          <w:lang w:val="en-US"/>
        </w:rPr>
        <w:t>, that the protection of s. 2(</w:t>
      </w:r>
      <w:r w:rsidRPr="000D30AC">
        <w:rPr>
          <w:i/>
          <w:lang w:val="en-US"/>
        </w:rPr>
        <w:t>b</w:t>
      </w:r>
      <w:r w:rsidRPr="000D30AC">
        <w:rPr>
          <w:lang w:val="en-US"/>
        </w:rPr>
        <w:t xml:space="preserve">) of the </w:t>
      </w:r>
      <w:r w:rsidRPr="000D30AC">
        <w:rPr>
          <w:i/>
          <w:lang w:val="en-US"/>
        </w:rPr>
        <w:t xml:space="preserve">Charter </w:t>
      </w:r>
      <w:r w:rsidRPr="000D30AC">
        <w:rPr>
          <w:lang w:val="en-US"/>
        </w:rPr>
        <w:t xml:space="preserve">does not extend to </w:t>
      </w:r>
      <w:r w:rsidRPr="00522058">
        <w:rPr>
          <w:lang w:val="en-US"/>
        </w:rPr>
        <w:t xml:space="preserve">the </w:t>
      </w:r>
      <w:r w:rsidRPr="000D30AC">
        <w:rPr>
          <w:lang w:val="en-US"/>
        </w:rPr>
        <w:t>broadcasting of an exhibit such as a statement tendered in evidence.  The CBC disagrees, contending that that constitutional guarantee does in fact apply to the broadcasting of the statement.</w:t>
      </w:r>
    </w:p>
    <w:p w:rsidR="000D30AC" w:rsidRPr="000D30AC" w:rsidRDefault="000D30AC" w:rsidP="00B30508">
      <w:pPr>
        <w:pStyle w:val="ReasonsNumbering-AltN"/>
        <w:rPr>
          <w:lang w:val="en-US"/>
        </w:rPr>
      </w:pPr>
      <w:r w:rsidRPr="000D30AC">
        <w:rPr>
          <w:lang w:val="en-US"/>
        </w:rPr>
        <w:t>Because the CBC wishes to inform its viewers of the message contained in the video recording, broadcasting that recording is clearly an expressive activity to which the protection of s. 2(</w:t>
      </w:r>
      <w:r w:rsidRPr="00522058">
        <w:rPr>
          <w:i/>
          <w:lang w:val="en-US"/>
        </w:rPr>
        <w:t>b</w:t>
      </w:r>
      <w:r w:rsidRPr="00522058">
        <w:rPr>
          <w:lang w:val="en-US"/>
        </w:rPr>
        <w:t>)</w:t>
      </w:r>
      <w:r w:rsidRPr="000D30AC">
        <w:rPr>
          <w:lang w:val="en-US"/>
        </w:rPr>
        <w:t xml:space="preserve"> of the </w:t>
      </w:r>
      <w:r w:rsidRPr="000D30AC">
        <w:rPr>
          <w:i/>
          <w:lang w:val="en-US"/>
        </w:rPr>
        <w:t>Charter</w:t>
      </w:r>
      <w:r w:rsidRPr="000D30AC">
        <w:rPr>
          <w:lang w:val="en-US"/>
        </w:rPr>
        <w:t xml:space="preserve"> might apply (</w:t>
      </w:r>
      <w:r w:rsidRPr="000D30AC">
        <w:rPr>
          <w:i/>
          <w:lang w:val="en-US"/>
        </w:rPr>
        <w:t>Irwin Toy Ltd. v. Quebec (Attorney General)</w:t>
      </w:r>
      <w:r w:rsidRPr="000D30AC">
        <w:rPr>
          <w:lang w:val="en-US"/>
        </w:rPr>
        <w:t>, [1989] 1 S.C.R. 927).</w:t>
      </w:r>
    </w:p>
    <w:p w:rsidR="000D30AC" w:rsidRPr="000D30AC" w:rsidRDefault="000D30AC" w:rsidP="00B30508">
      <w:pPr>
        <w:pStyle w:val="ReasonsNumbering-AltN"/>
        <w:rPr>
          <w:lang w:val="en-US"/>
        </w:rPr>
      </w:pPr>
      <w:proofErr w:type="spellStart"/>
      <w:r w:rsidRPr="000D30AC">
        <w:rPr>
          <w:lang w:val="en-US"/>
        </w:rPr>
        <w:t>Stéphan</w:t>
      </w:r>
      <w:proofErr w:type="spellEnd"/>
      <w:r w:rsidRPr="000D30AC">
        <w:rPr>
          <w:lang w:val="en-US"/>
        </w:rPr>
        <w:t xml:space="preserve"> </w:t>
      </w:r>
      <w:proofErr w:type="spellStart"/>
      <w:r w:rsidRPr="000D30AC">
        <w:rPr>
          <w:lang w:val="en-US"/>
        </w:rPr>
        <w:t>Dufour</w:t>
      </w:r>
      <w:proofErr w:type="spellEnd"/>
      <w:r w:rsidRPr="000D30AC">
        <w:rPr>
          <w:lang w:val="en-US"/>
        </w:rPr>
        <w:t xml:space="preserve">, the Crown, the AGQ and the AGC also submit that the rule applicable to the conditions for broadcasting was established in </w:t>
      </w:r>
      <w:r w:rsidRPr="000D30AC">
        <w:rPr>
          <w:i/>
          <w:lang w:val="en-US"/>
        </w:rPr>
        <w:t>Vickery v. Nova Scotia Supreme Court (</w:t>
      </w:r>
      <w:proofErr w:type="spellStart"/>
      <w:r w:rsidRPr="000D30AC">
        <w:rPr>
          <w:i/>
          <w:lang w:val="en-US"/>
        </w:rPr>
        <w:t>Prothonotary</w:t>
      </w:r>
      <w:proofErr w:type="spellEnd"/>
      <w:r w:rsidRPr="000D30AC">
        <w:rPr>
          <w:i/>
          <w:lang w:val="en-US"/>
        </w:rPr>
        <w:t>)</w:t>
      </w:r>
      <w:r w:rsidRPr="000D30AC">
        <w:rPr>
          <w:lang w:val="en-US"/>
        </w:rPr>
        <w:t xml:space="preserve">, [1991] 1 S.C.R. 671, and not in </w:t>
      </w:r>
      <w:proofErr w:type="spellStart"/>
      <w:r w:rsidRPr="000D30AC">
        <w:rPr>
          <w:i/>
          <w:lang w:val="en-US"/>
        </w:rPr>
        <w:t>Dagenais</w:t>
      </w:r>
      <w:proofErr w:type="spellEnd"/>
      <w:r w:rsidRPr="000D30AC">
        <w:rPr>
          <w:i/>
          <w:lang w:val="en-US"/>
        </w:rPr>
        <w:t xml:space="preserve"> v. Canadian Broadcasting Corp</w:t>
      </w:r>
      <w:r w:rsidR="00A9055B">
        <w:rPr>
          <w:i/>
          <w:lang w:val="en-US"/>
        </w:rPr>
        <w:t>.</w:t>
      </w:r>
      <w:r w:rsidRPr="000D30AC">
        <w:rPr>
          <w:lang w:val="en-US"/>
        </w:rPr>
        <w:t xml:space="preserve">, [1994] 3 S.C.R. 835, and </w:t>
      </w:r>
      <w:r w:rsidRPr="000D30AC">
        <w:rPr>
          <w:i/>
          <w:lang w:val="en-US"/>
        </w:rPr>
        <w:t xml:space="preserve">R. v. </w:t>
      </w:r>
      <w:proofErr w:type="spellStart"/>
      <w:r w:rsidRPr="000D30AC">
        <w:rPr>
          <w:i/>
          <w:lang w:val="en-US"/>
        </w:rPr>
        <w:t>Mentuck</w:t>
      </w:r>
      <w:proofErr w:type="spellEnd"/>
      <w:r w:rsidRPr="000D30AC">
        <w:rPr>
          <w:lang w:val="en-US"/>
        </w:rPr>
        <w:t xml:space="preserve">, 2001 SCC 76, [2001] 3 S.C.R. 442.  I cannot agree with this position.  Although some aspects of </w:t>
      </w:r>
      <w:r w:rsidRPr="000D30AC">
        <w:rPr>
          <w:i/>
          <w:lang w:val="en-US"/>
        </w:rPr>
        <w:t>Vickery</w:t>
      </w:r>
      <w:r w:rsidRPr="000D30AC">
        <w:rPr>
          <w:lang w:val="en-US"/>
        </w:rPr>
        <w:t xml:space="preserve"> remain relevant, that case is not determinative, as the Court declined at that </w:t>
      </w:r>
      <w:r w:rsidRPr="000D30AC">
        <w:rPr>
          <w:lang w:val="en-US"/>
        </w:rPr>
        <w:lastRenderedPageBreak/>
        <w:t>time to rule on whether access to exhibits was protected by the Constitution — that argument had not been raised in the courts below.  In the instant case, however, the constitutional guarantee argument has been expressly raised.</w:t>
      </w:r>
    </w:p>
    <w:p w:rsidR="000D30AC" w:rsidRPr="000D30AC" w:rsidRDefault="000D30AC" w:rsidP="00B30508">
      <w:pPr>
        <w:pStyle w:val="ReasonsNumbering-AltN"/>
        <w:rPr>
          <w:lang w:val="en-US"/>
        </w:rPr>
      </w:pPr>
      <w:r w:rsidRPr="000D30AC">
        <w:rPr>
          <w:lang w:val="en-US"/>
        </w:rPr>
        <w:t xml:space="preserve">Access to exhibits is a corollary to the open court principle.  In the absence of an applicable statutory provision, it is up to the trial judge to decide how exhibits can be used so as to ensure that the trial is orderly.  This rule has been well established in our law for a very long time.  As long ago as in </w:t>
      </w:r>
      <w:r w:rsidRPr="000D30AC">
        <w:rPr>
          <w:i/>
          <w:lang w:val="en-US"/>
        </w:rPr>
        <w:t xml:space="preserve">Attorney General of Nova Scotia v. </w:t>
      </w:r>
      <w:proofErr w:type="spellStart"/>
      <w:r w:rsidRPr="000D30AC">
        <w:rPr>
          <w:i/>
          <w:lang w:val="en-US"/>
        </w:rPr>
        <w:t>MacIntyre</w:t>
      </w:r>
      <w:proofErr w:type="spellEnd"/>
      <w:r w:rsidRPr="000D30AC">
        <w:rPr>
          <w:lang w:val="en-US"/>
        </w:rPr>
        <w:t>, [1982] 1 S.C.R. 175, at p. 189, Dickson J. (as he then was) wrote:</w:t>
      </w:r>
    </w:p>
    <w:p w:rsidR="000D30AC" w:rsidRPr="00522058" w:rsidRDefault="00F91AE9" w:rsidP="00F91AE9">
      <w:pPr>
        <w:pStyle w:val="Citation1"/>
        <w:tabs>
          <w:tab w:val="left" w:pos="1440"/>
        </w:tabs>
        <w:ind w:hanging="1166"/>
        <w:contextualSpacing w:val="0"/>
        <w:rPr>
          <w:lang w:val="en-US"/>
        </w:rPr>
      </w:pPr>
      <w:r>
        <w:tab/>
      </w:r>
      <w:r>
        <w:tab/>
      </w:r>
      <w:r w:rsidR="000D30AC" w:rsidRPr="00522058">
        <w:t>Undoubtedly every court has a supervisory and protecting power over its own records.  Access can be denied when the ends of justice would be subverted by disclosure or the judicial documents might be used for an improper purpose</w:t>
      </w:r>
      <w:r w:rsidR="000D30AC" w:rsidRPr="00522058">
        <w:rPr>
          <w:lang w:val="en-US"/>
        </w:rPr>
        <w:t>.</w:t>
      </w:r>
    </w:p>
    <w:p w:rsidR="000D30AC" w:rsidRPr="00522058" w:rsidRDefault="000D30AC" w:rsidP="000D30AC">
      <w:pPr>
        <w:pStyle w:val="SCCNormalDoubleSpacing"/>
        <w:spacing w:after="480"/>
        <w:rPr>
          <w:lang w:val="en-US"/>
        </w:rPr>
      </w:pPr>
      <w:r w:rsidRPr="00522058">
        <w:rPr>
          <w:lang w:val="en-US"/>
        </w:rPr>
        <w:t>(See also P. </w:t>
      </w:r>
      <w:proofErr w:type="spellStart"/>
      <w:r w:rsidRPr="00522058">
        <w:rPr>
          <w:lang w:val="en-US"/>
        </w:rPr>
        <w:t>Béliveau</w:t>
      </w:r>
      <w:proofErr w:type="spellEnd"/>
      <w:r w:rsidRPr="00522058">
        <w:rPr>
          <w:lang w:val="en-US"/>
        </w:rPr>
        <w:t xml:space="preserve"> and M. </w:t>
      </w:r>
      <w:proofErr w:type="spellStart"/>
      <w:r w:rsidRPr="00522058">
        <w:rPr>
          <w:lang w:val="en-US"/>
        </w:rPr>
        <w:t>Vauclair</w:t>
      </w:r>
      <w:proofErr w:type="spellEnd"/>
      <w:r w:rsidRPr="00522058">
        <w:rPr>
          <w:lang w:val="en-US"/>
        </w:rPr>
        <w:t xml:space="preserve">, </w:t>
      </w:r>
      <w:proofErr w:type="spellStart"/>
      <w:r w:rsidRPr="00522058">
        <w:rPr>
          <w:i/>
          <w:lang w:val="en-US"/>
        </w:rPr>
        <w:t>Traité</w:t>
      </w:r>
      <w:proofErr w:type="spellEnd"/>
      <w:r w:rsidRPr="00522058">
        <w:rPr>
          <w:i/>
          <w:lang w:val="en-US"/>
        </w:rPr>
        <w:t xml:space="preserve"> </w:t>
      </w:r>
      <w:proofErr w:type="spellStart"/>
      <w:r w:rsidRPr="00522058">
        <w:rPr>
          <w:i/>
          <w:lang w:val="en-US"/>
        </w:rPr>
        <w:t>général</w:t>
      </w:r>
      <w:proofErr w:type="spellEnd"/>
      <w:r w:rsidRPr="00522058">
        <w:rPr>
          <w:i/>
          <w:lang w:val="en-US"/>
        </w:rPr>
        <w:t xml:space="preserve"> de </w:t>
      </w:r>
      <w:proofErr w:type="spellStart"/>
      <w:r w:rsidRPr="00522058">
        <w:rPr>
          <w:i/>
          <w:lang w:val="en-US"/>
        </w:rPr>
        <w:t>preuve</w:t>
      </w:r>
      <w:proofErr w:type="spellEnd"/>
      <w:r w:rsidRPr="00522058">
        <w:rPr>
          <w:i/>
          <w:lang w:val="en-US"/>
        </w:rPr>
        <w:t xml:space="preserve"> </w:t>
      </w:r>
      <w:proofErr w:type="gramStart"/>
      <w:r w:rsidRPr="00522058">
        <w:rPr>
          <w:i/>
          <w:lang w:val="en-US"/>
        </w:rPr>
        <w:t>et</w:t>
      </w:r>
      <w:proofErr w:type="gramEnd"/>
      <w:r w:rsidRPr="00522058">
        <w:rPr>
          <w:i/>
          <w:lang w:val="en-US"/>
        </w:rPr>
        <w:t xml:space="preserve"> de </w:t>
      </w:r>
      <w:proofErr w:type="spellStart"/>
      <w:r w:rsidRPr="00522058">
        <w:rPr>
          <w:i/>
          <w:lang w:val="en-US"/>
        </w:rPr>
        <w:t>procédure</w:t>
      </w:r>
      <w:proofErr w:type="spellEnd"/>
      <w:r w:rsidRPr="00522058">
        <w:rPr>
          <w:i/>
          <w:lang w:val="en-US"/>
        </w:rPr>
        <w:t xml:space="preserve"> </w:t>
      </w:r>
      <w:proofErr w:type="spellStart"/>
      <w:r w:rsidRPr="00522058">
        <w:rPr>
          <w:i/>
          <w:lang w:val="en-US"/>
        </w:rPr>
        <w:t>pénales</w:t>
      </w:r>
      <w:proofErr w:type="spellEnd"/>
      <w:r w:rsidRPr="00522058">
        <w:rPr>
          <w:lang w:val="en-US"/>
        </w:rPr>
        <w:t xml:space="preserve"> (15th ed. 2008), at pp. 499</w:t>
      </w:r>
      <w:r>
        <w:rPr>
          <w:lang w:val="en-US"/>
        </w:rPr>
        <w:noBreakHyphen/>
      </w:r>
      <w:r w:rsidRPr="00522058">
        <w:rPr>
          <w:lang w:val="en-US"/>
        </w:rPr>
        <w:t xml:space="preserve">500; </w:t>
      </w:r>
      <w:r w:rsidRPr="00522058">
        <w:rPr>
          <w:i/>
          <w:lang w:val="en-US"/>
        </w:rPr>
        <w:t>R. v. Canadian Broadcasting Corporation</w:t>
      </w:r>
      <w:r w:rsidRPr="00522058">
        <w:rPr>
          <w:lang w:val="en-US"/>
        </w:rPr>
        <w:t>, 2010 ONCA 726 (</w:t>
      </w:r>
      <w:proofErr w:type="spellStart"/>
      <w:r w:rsidRPr="00522058">
        <w:rPr>
          <w:lang w:val="en-US"/>
        </w:rPr>
        <w:t>CanLII</w:t>
      </w:r>
      <w:proofErr w:type="spellEnd"/>
      <w:r w:rsidRPr="00522058">
        <w:rPr>
          <w:lang w:val="en-US"/>
        </w:rPr>
        <w:t xml:space="preserve">); </w:t>
      </w:r>
      <w:proofErr w:type="spellStart"/>
      <w:r w:rsidRPr="00522058">
        <w:rPr>
          <w:i/>
          <w:lang w:val="en-US"/>
        </w:rPr>
        <w:t>Société</w:t>
      </w:r>
      <w:proofErr w:type="spellEnd"/>
      <w:r w:rsidRPr="00522058">
        <w:rPr>
          <w:i/>
          <w:lang w:val="en-US"/>
        </w:rPr>
        <w:t xml:space="preserve"> </w:t>
      </w:r>
      <w:proofErr w:type="spellStart"/>
      <w:r w:rsidRPr="00522058">
        <w:rPr>
          <w:i/>
          <w:lang w:val="en-US"/>
        </w:rPr>
        <w:t>Radio</w:t>
      </w:r>
      <w:r w:rsidRPr="00522058">
        <w:rPr>
          <w:i/>
          <w:lang w:val="en-US"/>
        </w:rPr>
        <w:noBreakHyphen/>
        <w:t>Canada</w:t>
      </w:r>
      <w:proofErr w:type="spellEnd"/>
      <w:r w:rsidRPr="00522058">
        <w:rPr>
          <w:i/>
          <w:lang w:val="en-US"/>
        </w:rPr>
        <w:t xml:space="preserve"> v. </w:t>
      </w:r>
      <w:proofErr w:type="spellStart"/>
      <w:r w:rsidRPr="00522058">
        <w:rPr>
          <w:i/>
          <w:lang w:val="en-US"/>
        </w:rPr>
        <w:t>Bérubé</w:t>
      </w:r>
      <w:proofErr w:type="spellEnd"/>
      <w:r w:rsidRPr="00522058">
        <w:rPr>
          <w:lang w:val="en-US"/>
        </w:rPr>
        <w:t xml:space="preserve">, [2005] R.J.Q. 1183 (Sup. Ct.); </w:t>
      </w:r>
      <w:r w:rsidRPr="00522058">
        <w:rPr>
          <w:i/>
          <w:lang w:val="en-US"/>
        </w:rPr>
        <w:t>R. v. Giroux</w:t>
      </w:r>
      <w:r w:rsidRPr="00522058">
        <w:rPr>
          <w:lang w:val="en-US"/>
        </w:rPr>
        <w:t xml:space="preserve">, 2005 </w:t>
      </w:r>
      <w:proofErr w:type="spellStart"/>
      <w:r w:rsidRPr="00522058">
        <w:rPr>
          <w:lang w:val="en-US"/>
        </w:rPr>
        <w:t>CanLII</w:t>
      </w:r>
      <w:proofErr w:type="spellEnd"/>
      <w:r w:rsidRPr="00522058">
        <w:rPr>
          <w:lang w:val="en-US"/>
        </w:rPr>
        <w:t xml:space="preserve"> 12396 (Sup. Ct.)</w:t>
      </w:r>
      <w:r w:rsidR="00881E2D">
        <w:rPr>
          <w:lang w:val="en-US"/>
        </w:rPr>
        <w:t>.</w:t>
      </w:r>
      <w:r w:rsidRPr="00522058">
        <w:rPr>
          <w:lang w:val="en-US"/>
        </w:rPr>
        <w:t>)</w:t>
      </w:r>
    </w:p>
    <w:p w:rsidR="000D30AC" w:rsidRPr="000D30AC" w:rsidRDefault="000D30AC" w:rsidP="00B30508">
      <w:pPr>
        <w:pStyle w:val="ReasonsNumbering-AltN"/>
        <w:rPr>
          <w:lang w:val="en-US"/>
        </w:rPr>
      </w:pPr>
      <w:r w:rsidRPr="000D30AC">
        <w:rPr>
          <w:lang w:val="en-US"/>
        </w:rPr>
        <w:t xml:space="preserve">The analytical approach developed in </w:t>
      </w:r>
      <w:proofErr w:type="spellStart"/>
      <w:r w:rsidRPr="000D30AC">
        <w:rPr>
          <w:i/>
          <w:lang w:val="en-US"/>
        </w:rPr>
        <w:t>Dagenais</w:t>
      </w:r>
      <w:proofErr w:type="spellEnd"/>
      <w:r w:rsidRPr="000D30AC">
        <w:rPr>
          <w:lang w:val="en-US"/>
        </w:rPr>
        <w:t xml:space="preserve"> and</w:t>
      </w:r>
      <w:r w:rsidRPr="000D30AC">
        <w:rPr>
          <w:i/>
          <w:lang w:val="en-US"/>
        </w:rPr>
        <w:t xml:space="preserve"> </w:t>
      </w:r>
      <w:proofErr w:type="spellStart"/>
      <w:r w:rsidRPr="000D30AC">
        <w:rPr>
          <w:i/>
          <w:lang w:val="en-US"/>
        </w:rPr>
        <w:t>Mentuck</w:t>
      </w:r>
      <w:proofErr w:type="spellEnd"/>
      <w:r w:rsidRPr="000D30AC">
        <w:rPr>
          <w:i/>
          <w:lang w:val="en-US"/>
        </w:rPr>
        <w:t xml:space="preserve"> </w:t>
      </w:r>
      <w:r w:rsidRPr="000D30AC">
        <w:rPr>
          <w:lang w:val="en-US"/>
        </w:rPr>
        <w:t>applies to all discretionary decisions that affect the openness of proceedings.  In</w:t>
      </w:r>
      <w:r w:rsidRPr="000D30AC">
        <w:rPr>
          <w:i/>
          <w:lang w:val="en-US"/>
        </w:rPr>
        <w:t xml:space="preserve"> Vancouver Sun (Re)</w:t>
      </w:r>
      <w:r w:rsidRPr="000D30AC">
        <w:rPr>
          <w:lang w:val="en-US"/>
        </w:rPr>
        <w:t xml:space="preserve">, 2004 SCC 43, [2004] 2 S.C.R. 332, </w:t>
      </w:r>
      <w:proofErr w:type="spellStart"/>
      <w:r w:rsidRPr="000D30AC">
        <w:rPr>
          <w:lang w:val="en-US"/>
        </w:rPr>
        <w:t>Iacobucci</w:t>
      </w:r>
      <w:proofErr w:type="spellEnd"/>
      <w:r w:rsidRPr="000D30AC">
        <w:rPr>
          <w:lang w:val="en-US"/>
        </w:rPr>
        <w:t xml:space="preserve"> and </w:t>
      </w:r>
      <w:proofErr w:type="spellStart"/>
      <w:r w:rsidRPr="000D30AC">
        <w:rPr>
          <w:lang w:val="en-US"/>
        </w:rPr>
        <w:t>Arbour</w:t>
      </w:r>
      <w:proofErr w:type="spellEnd"/>
      <w:r w:rsidRPr="000D30AC">
        <w:rPr>
          <w:lang w:val="en-US"/>
        </w:rPr>
        <w:t> JJ. wrote the following:</w:t>
      </w:r>
    </w:p>
    <w:p w:rsidR="000D30AC" w:rsidRPr="00522058" w:rsidRDefault="00F91AE9" w:rsidP="00F91AE9">
      <w:pPr>
        <w:pStyle w:val="Citation"/>
        <w:tabs>
          <w:tab w:val="left" w:pos="1440"/>
        </w:tabs>
        <w:ind w:hanging="1166"/>
        <w:contextualSpacing w:val="0"/>
        <w:rPr>
          <w:lang w:val="en-CA"/>
        </w:rPr>
      </w:pPr>
      <w:r>
        <w:rPr>
          <w:lang w:val="en-CA"/>
        </w:rPr>
        <w:lastRenderedPageBreak/>
        <w:tab/>
      </w:r>
      <w:r>
        <w:rPr>
          <w:lang w:val="en-CA"/>
        </w:rPr>
        <w:tab/>
      </w:r>
      <w:r w:rsidR="000D30AC" w:rsidRPr="00522058">
        <w:rPr>
          <w:lang w:val="en-CA"/>
        </w:rPr>
        <w:t>While the [</w:t>
      </w:r>
      <w:proofErr w:type="spellStart"/>
      <w:r w:rsidR="000D30AC" w:rsidRPr="00522058">
        <w:rPr>
          <w:i/>
          <w:lang w:val="en-CA"/>
        </w:rPr>
        <w:t>Dagenais</w:t>
      </w:r>
      <w:proofErr w:type="spellEnd"/>
      <w:r w:rsidR="000D30AC" w:rsidRPr="00522058">
        <w:rPr>
          <w:lang w:val="en-CA"/>
        </w:rPr>
        <w:t>/</w:t>
      </w:r>
      <w:proofErr w:type="spellStart"/>
      <w:r w:rsidR="000D30AC" w:rsidRPr="00522058">
        <w:rPr>
          <w:i/>
          <w:lang w:val="en-CA"/>
        </w:rPr>
        <w:t>Mentuck</w:t>
      </w:r>
      <w:proofErr w:type="spellEnd"/>
      <w:r w:rsidR="000D30AC" w:rsidRPr="00522058">
        <w:rPr>
          <w:lang w:val="en-CA"/>
        </w:rPr>
        <w:t xml:space="preserve">] test was developed in the context of publication bans, it is equally applicable to all discretionary actions by a trial judge to limit freedom of expression by the press during judicial proceedings.  Discretion must be exercised in accordance with the </w:t>
      </w:r>
      <w:r w:rsidR="000D30AC" w:rsidRPr="00522058">
        <w:rPr>
          <w:i/>
          <w:iCs/>
          <w:lang w:val="en-CA"/>
        </w:rPr>
        <w:t>Charter</w:t>
      </w:r>
      <w:r w:rsidR="000D30AC" w:rsidRPr="00522058">
        <w:rPr>
          <w:lang w:val="en-CA"/>
        </w:rPr>
        <w:t>, whether it arises under the common law, as is the case with a publication ban (</w:t>
      </w:r>
      <w:proofErr w:type="spellStart"/>
      <w:r w:rsidR="000D30AC" w:rsidRPr="00522058">
        <w:rPr>
          <w:i/>
          <w:iCs/>
          <w:lang w:val="en-CA"/>
        </w:rPr>
        <w:t>Dagenais</w:t>
      </w:r>
      <w:proofErr w:type="spellEnd"/>
      <w:r w:rsidR="000D30AC" w:rsidRPr="00522058">
        <w:rPr>
          <w:lang w:val="en-CA"/>
        </w:rPr>
        <w:t xml:space="preserve">, </w:t>
      </w:r>
      <w:r w:rsidR="000D30AC" w:rsidRPr="00522058">
        <w:rPr>
          <w:i/>
          <w:iCs/>
          <w:lang w:val="en-CA"/>
        </w:rPr>
        <w:t>supra</w:t>
      </w:r>
      <w:r w:rsidR="000D30AC" w:rsidRPr="00522058">
        <w:rPr>
          <w:lang w:val="en-CA"/>
        </w:rPr>
        <w:t xml:space="preserve">; </w:t>
      </w:r>
      <w:proofErr w:type="spellStart"/>
      <w:r w:rsidR="000D30AC" w:rsidRPr="00522058">
        <w:rPr>
          <w:i/>
          <w:iCs/>
          <w:lang w:val="en-CA"/>
        </w:rPr>
        <w:t>Mentuck</w:t>
      </w:r>
      <w:proofErr w:type="spellEnd"/>
      <w:r w:rsidR="000D30AC" w:rsidRPr="00522058">
        <w:rPr>
          <w:lang w:val="en-CA"/>
        </w:rPr>
        <w:t xml:space="preserve">, </w:t>
      </w:r>
      <w:r w:rsidR="000D30AC" w:rsidRPr="00522058">
        <w:rPr>
          <w:i/>
          <w:iCs/>
          <w:lang w:val="en-CA"/>
        </w:rPr>
        <w:t>supra</w:t>
      </w:r>
      <w:r w:rsidR="000D30AC" w:rsidRPr="00522058">
        <w:rPr>
          <w:lang w:val="en-CA"/>
        </w:rPr>
        <w:t xml:space="preserve">); is authorized by statute, for example under s. 486(1) of the </w:t>
      </w:r>
      <w:r w:rsidR="000D30AC" w:rsidRPr="00522058">
        <w:rPr>
          <w:i/>
          <w:iCs/>
          <w:lang w:val="en-CA"/>
        </w:rPr>
        <w:t xml:space="preserve">Criminal Code </w:t>
      </w:r>
      <w:r w:rsidR="000D30AC" w:rsidRPr="00522058">
        <w:rPr>
          <w:lang w:val="en-CA"/>
        </w:rPr>
        <w:t>which allows the exclusion of the public from judicial proceedings in certain circumstances (</w:t>
      </w:r>
      <w:r w:rsidR="000D30AC" w:rsidRPr="00522058">
        <w:rPr>
          <w:i/>
          <w:iCs/>
          <w:lang w:val="en-CA"/>
        </w:rPr>
        <w:t>Canadian Broadcasting Corp. v. New Brunswick (Attorney General)</w:t>
      </w:r>
      <w:r w:rsidR="000D30AC" w:rsidRPr="00522058">
        <w:rPr>
          <w:lang w:val="en-CA"/>
        </w:rPr>
        <w:t xml:space="preserve">, </w:t>
      </w:r>
      <w:r w:rsidR="000D30AC" w:rsidRPr="00522058">
        <w:rPr>
          <w:i/>
          <w:iCs/>
          <w:lang w:val="en-CA"/>
        </w:rPr>
        <w:t>supra</w:t>
      </w:r>
      <w:r w:rsidR="000D30AC" w:rsidRPr="00522058">
        <w:rPr>
          <w:lang w:val="en-CA"/>
        </w:rPr>
        <w:t xml:space="preserve">, at </w:t>
      </w:r>
      <w:proofErr w:type="spellStart"/>
      <w:r w:rsidR="000D30AC" w:rsidRPr="00522058">
        <w:rPr>
          <w:lang w:val="en-CA"/>
        </w:rPr>
        <w:t>para</w:t>
      </w:r>
      <w:proofErr w:type="spellEnd"/>
      <w:r w:rsidR="000D30AC" w:rsidRPr="00522058">
        <w:rPr>
          <w:lang w:val="en-CA"/>
        </w:rPr>
        <w:t>. 69); or under rules of court, for example, a confidentiality order (</w:t>
      </w:r>
      <w:r w:rsidR="000D30AC" w:rsidRPr="00522058">
        <w:rPr>
          <w:i/>
          <w:iCs/>
          <w:lang w:val="en-CA"/>
        </w:rPr>
        <w:t>Sierra Club of Canada v. Canada (Minister of Finance)</w:t>
      </w:r>
      <w:r w:rsidR="000D30AC" w:rsidRPr="00522058">
        <w:rPr>
          <w:lang w:val="en-CA"/>
        </w:rPr>
        <w:t xml:space="preserve">, [2002] 2 S.C.R. 522, 2002 SCC 41).  The burden of displacing the general rule of openness lies on the party making the application:  </w:t>
      </w:r>
      <w:r w:rsidR="000D30AC" w:rsidRPr="00522058">
        <w:rPr>
          <w:i/>
          <w:iCs/>
          <w:lang w:val="en-CA"/>
        </w:rPr>
        <w:t>Canadian Broadcasting Corp. v. New Brunswick (Attorney General)</w:t>
      </w:r>
      <w:r w:rsidR="000D30AC" w:rsidRPr="00522058">
        <w:rPr>
          <w:lang w:val="en-CA"/>
        </w:rPr>
        <w:t xml:space="preserve">, at </w:t>
      </w:r>
      <w:proofErr w:type="spellStart"/>
      <w:r w:rsidR="000D30AC" w:rsidRPr="00522058">
        <w:rPr>
          <w:lang w:val="en-CA"/>
        </w:rPr>
        <w:t>para</w:t>
      </w:r>
      <w:proofErr w:type="spellEnd"/>
      <w:r w:rsidR="000D30AC" w:rsidRPr="00522058">
        <w:rPr>
          <w:lang w:val="en-CA"/>
        </w:rPr>
        <w:t>. 71.  [</w:t>
      </w:r>
      <w:proofErr w:type="spellStart"/>
      <w:r w:rsidR="000D30AC" w:rsidRPr="00522058">
        <w:rPr>
          <w:lang w:val="en-CA"/>
        </w:rPr>
        <w:t>para</w:t>
      </w:r>
      <w:proofErr w:type="spellEnd"/>
      <w:r w:rsidR="000D30AC" w:rsidRPr="00522058">
        <w:rPr>
          <w:lang w:val="en-CA"/>
        </w:rPr>
        <w:t>. 31]</w:t>
      </w:r>
    </w:p>
    <w:p w:rsidR="000D30AC" w:rsidRPr="00522058" w:rsidRDefault="000D30AC" w:rsidP="00AA3BA1">
      <w:pPr>
        <w:pStyle w:val="SCCNormalDoubleSpacing"/>
        <w:spacing w:after="480"/>
      </w:pPr>
      <w:r w:rsidRPr="00522058">
        <w:t xml:space="preserve">(See also </w:t>
      </w:r>
      <w:r w:rsidRPr="00522058">
        <w:rPr>
          <w:i/>
        </w:rPr>
        <w:t>Toronto Star Newspapers Ltd. v. Ontario</w:t>
      </w:r>
      <w:r w:rsidRPr="00522058">
        <w:t xml:space="preserve">, 2005 SCC 41, [2005] 2 S.C.R. 188, at </w:t>
      </w:r>
      <w:proofErr w:type="spellStart"/>
      <w:r w:rsidRPr="00522058">
        <w:t>para</w:t>
      </w:r>
      <w:proofErr w:type="spellEnd"/>
      <w:r w:rsidRPr="00522058">
        <w:t xml:space="preserve">. 7; </w:t>
      </w:r>
      <w:r w:rsidRPr="00522058">
        <w:rPr>
          <w:i/>
        </w:rPr>
        <w:t>Named Person v. Vancouver Sun</w:t>
      </w:r>
      <w:r w:rsidRPr="00522058">
        <w:t xml:space="preserve">, 2007 SCC 43, [2007] 3 S.C.R. 253, at </w:t>
      </w:r>
      <w:proofErr w:type="spellStart"/>
      <w:r w:rsidRPr="00522058">
        <w:t>para</w:t>
      </w:r>
      <w:proofErr w:type="spellEnd"/>
      <w:r w:rsidRPr="00522058">
        <w:t xml:space="preserve">. 35; </w:t>
      </w:r>
      <w:r w:rsidRPr="00522058">
        <w:rPr>
          <w:i/>
        </w:rPr>
        <w:t>Toronto Star Newspapers Ltd. v. Canada</w:t>
      </w:r>
      <w:r w:rsidRPr="00522058">
        <w:t xml:space="preserve">, 2010 SCC 21, [2010] 1 S.C.R. 721, at </w:t>
      </w:r>
      <w:proofErr w:type="spellStart"/>
      <w:r w:rsidRPr="00522058">
        <w:t>paras</w:t>
      </w:r>
      <w:proofErr w:type="spellEnd"/>
      <w:r w:rsidRPr="00522058">
        <w:t>. 15</w:t>
      </w:r>
      <w:r w:rsidRPr="00522058">
        <w:noBreakHyphen/>
        <w:t xml:space="preserve">16; </w:t>
      </w:r>
      <w:r w:rsidRPr="00522058">
        <w:rPr>
          <w:i/>
        </w:rPr>
        <w:t>R. v. Canadian Broadcasting Corporation</w:t>
      </w:r>
      <w:r w:rsidRPr="00522058">
        <w:t xml:space="preserve">, at </w:t>
      </w:r>
      <w:proofErr w:type="spellStart"/>
      <w:r w:rsidRPr="00522058">
        <w:t>para</w:t>
      </w:r>
      <w:proofErr w:type="spellEnd"/>
      <w:r w:rsidRPr="00522058">
        <w:t>. 21</w:t>
      </w:r>
      <w:r w:rsidR="00F91AE9">
        <w:t>.</w:t>
      </w:r>
      <w:r w:rsidRPr="00522058">
        <w:t>)</w:t>
      </w:r>
    </w:p>
    <w:p w:rsidR="000D30AC" w:rsidRPr="000D30AC" w:rsidRDefault="000D30AC" w:rsidP="00B30508">
      <w:pPr>
        <w:pStyle w:val="ReasonsNumbering-AltN"/>
        <w:rPr>
          <w:lang w:val="en-US"/>
        </w:rPr>
      </w:pPr>
      <w:r w:rsidRPr="000D30AC">
        <w:rPr>
          <w:lang w:val="en-US"/>
        </w:rPr>
        <w:t xml:space="preserve">Thus, there is no need to determine whether the facts in the case at bar are analogous to those in </w:t>
      </w:r>
      <w:proofErr w:type="spellStart"/>
      <w:r w:rsidRPr="000D30AC">
        <w:rPr>
          <w:i/>
          <w:lang w:val="en-US"/>
        </w:rPr>
        <w:t>Dagenais</w:t>
      </w:r>
      <w:proofErr w:type="spellEnd"/>
      <w:r w:rsidRPr="000D30AC">
        <w:rPr>
          <w:i/>
          <w:lang w:val="en-US"/>
        </w:rPr>
        <w:t xml:space="preserve"> </w:t>
      </w:r>
      <w:r w:rsidRPr="000D30AC">
        <w:rPr>
          <w:lang w:val="en-US"/>
        </w:rPr>
        <w:t xml:space="preserve">or </w:t>
      </w:r>
      <w:proofErr w:type="spellStart"/>
      <w:r w:rsidRPr="000D30AC">
        <w:rPr>
          <w:i/>
          <w:lang w:val="en-US"/>
        </w:rPr>
        <w:t>Mentuck</w:t>
      </w:r>
      <w:proofErr w:type="spellEnd"/>
      <w:r w:rsidRPr="000D30AC">
        <w:rPr>
          <w:lang w:val="en-US"/>
        </w:rPr>
        <w:t>.  The findings that the activity in issue is protected by s. 2(</w:t>
      </w:r>
      <w:r w:rsidRPr="000D30AC">
        <w:rPr>
          <w:i/>
          <w:lang w:val="en-US"/>
        </w:rPr>
        <w:t>b</w:t>
      </w:r>
      <w:r w:rsidRPr="000D30AC">
        <w:rPr>
          <w:lang w:val="en-US"/>
        </w:rPr>
        <w:t xml:space="preserve">) of the </w:t>
      </w:r>
      <w:r w:rsidRPr="000D30AC">
        <w:rPr>
          <w:i/>
          <w:lang w:val="en-US"/>
        </w:rPr>
        <w:t>Charter</w:t>
      </w:r>
      <w:r w:rsidRPr="000D30AC">
        <w:rPr>
          <w:lang w:val="en-US"/>
        </w:rPr>
        <w:t xml:space="preserve"> and that the order was within the discretion of Lévesque J. will suffice.  The issue must accordingly be resolved by applying the test from </w:t>
      </w:r>
      <w:proofErr w:type="spellStart"/>
      <w:r w:rsidRPr="000D30AC">
        <w:rPr>
          <w:i/>
          <w:lang w:val="en-US"/>
        </w:rPr>
        <w:t>Dagenais</w:t>
      </w:r>
      <w:proofErr w:type="spellEnd"/>
      <w:r w:rsidRPr="000D30AC">
        <w:rPr>
          <w:lang w:val="en-US"/>
        </w:rPr>
        <w:t xml:space="preserve"> and </w:t>
      </w:r>
      <w:proofErr w:type="spellStart"/>
      <w:r w:rsidRPr="000D30AC">
        <w:rPr>
          <w:i/>
          <w:lang w:val="en-US"/>
        </w:rPr>
        <w:t>Mentuck</w:t>
      </w:r>
      <w:proofErr w:type="spellEnd"/>
      <w:r w:rsidRPr="000D30AC">
        <w:rPr>
          <w:lang w:val="en-US"/>
        </w:rPr>
        <w:t xml:space="preserve">.  Requiring the judge to apply this test does not mean that it is necessary to conduct a lengthy or elaborate review of the evidence, although all the relevant facts must be considered.  Nor is there anything new about trial judges being responsible for establishing conditions for access to exhibits.  Judges have always been required, in exercising their discretion, to balance factors that might </w:t>
      </w:r>
      <w:r w:rsidRPr="000D30AC">
        <w:rPr>
          <w:lang w:val="en-US"/>
        </w:rPr>
        <w:lastRenderedPageBreak/>
        <w:t xml:space="preserve">seem to point in opposite directions.  With this in mind, the factors listed in </w:t>
      </w:r>
      <w:r w:rsidRPr="000D30AC">
        <w:rPr>
          <w:i/>
          <w:lang w:val="en-US"/>
        </w:rPr>
        <w:t>Vickery</w:t>
      </w:r>
      <w:r w:rsidRPr="000D30AC">
        <w:rPr>
          <w:lang w:val="en-US"/>
        </w:rPr>
        <w:t xml:space="preserve"> remain relevant, but they must be considered in light of the framework developed in </w:t>
      </w:r>
      <w:proofErr w:type="spellStart"/>
      <w:r w:rsidRPr="000D30AC">
        <w:rPr>
          <w:i/>
          <w:lang w:val="en-US"/>
        </w:rPr>
        <w:t>Dagenais</w:t>
      </w:r>
      <w:proofErr w:type="spellEnd"/>
      <w:r w:rsidRPr="000D30AC">
        <w:rPr>
          <w:lang w:val="en-US"/>
        </w:rPr>
        <w:t xml:space="preserve"> and </w:t>
      </w:r>
      <w:proofErr w:type="spellStart"/>
      <w:r w:rsidRPr="000D30AC">
        <w:rPr>
          <w:i/>
          <w:lang w:val="en-US"/>
        </w:rPr>
        <w:t>Mentuck</w:t>
      </w:r>
      <w:proofErr w:type="spellEnd"/>
      <w:r w:rsidRPr="000D30AC">
        <w:rPr>
          <w:lang w:val="en-US"/>
        </w:rPr>
        <w:t>.</w:t>
      </w:r>
    </w:p>
    <w:p w:rsidR="000D30AC" w:rsidRPr="000D30AC" w:rsidRDefault="000D30AC" w:rsidP="00B30508">
      <w:pPr>
        <w:pStyle w:val="ReasonsNumbering-AltN"/>
        <w:rPr>
          <w:lang w:val="en-US"/>
        </w:rPr>
      </w:pPr>
      <w:r w:rsidRPr="000D30AC">
        <w:rPr>
          <w:lang w:val="en-US"/>
        </w:rPr>
        <w:t xml:space="preserve">In the instant case, given that the trial judge interpreted the Rules of Criminal Practice too broadly, he failed to conduct the analysis required by </w:t>
      </w:r>
      <w:proofErr w:type="spellStart"/>
      <w:r w:rsidRPr="000D30AC">
        <w:rPr>
          <w:i/>
          <w:lang w:val="en-US"/>
        </w:rPr>
        <w:t>Dagenais</w:t>
      </w:r>
      <w:proofErr w:type="spellEnd"/>
      <w:r w:rsidRPr="000D30AC">
        <w:rPr>
          <w:lang w:val="en-US"/>
        </w:rPr>
        <w:t xml:space="preserve"> and </w:t>
      </w:r>
      <w:proofErr w:type="spellStart"/>
      <w:r w:rsidRPr="000D30AC">
        <w:rPr>
          <w:i/>
          <w:lang w:val="en-US"/>
        </w:rPr>
        <w:t>Mentuck</w:t>
      </w:r>
      <w:proofErr w:type="spellEnd"/>
      <w:r w:rsidRPr="000D30AC">
        <w:rPr>
          <w:lang w:val="en-US"/>
        </w:rPr>
        <w:t>.  If the trial were still under way, it would be appropriate to remand the case to him to decide the issue on the basis of the relevant facts.  However, not only is the trial over — Mr. </w:t>
      </w:r>
      <w:proofErr w:type="spellStart"/>
      <w:r w:rsidRPr="000D30AC">
        <w:rPr>
          <w:lang w:val="en-US"/>
        </w:rPr>
        <w:t>Dufour</w:t>
      </w:r>
      <w:proofErr w:type="spellEnd"/>
      <w:r w:rsidRPr="000D30AC">
        <w:rPr>
          <w:lang w:val="en-US"/>
        </w:rPr>
        <w:t xml:space="preserve"> was acquitted — but the Court of Appeal has dismissed the Crown’s appeal from that verdict since this Court took the instant case under advisement.  The circumstances have therefore been altered fundamentally and the appeal as framed has become moot.  Nevertheless, since this is a question of interest, I should mention a few considerations that might prove to be relevant should a motion to broadcast the statement be made even though the judicial proceedings are over.</w:t>
      </w:r>
    </w:p>
    <w:p w:rsidR="000D30AC" w:rsidRPr="000D30AC" w:rsidRDefault="000D30AC" w:rsidP="00B30508">
      <w:pPr>
        <w:pStyle w:val="ReasonsNumbering-AltN"/>
        <w:rPr>
          <w:lang w:val="en-US"/>
        </w:rPr>
      </w:pPr>
      <w:r w:rsidRPr="000D30AC">
        <w:rPr>
          <w:lang w:val="en-US"/>
        </w:rPr>
        <w:t xml:space="preserve">The weighing involved in the analysis required by </w:t>
      </w:r>
      <w:r w:rsidRPr="000D30AC">
        <w:rPr>
          <w:i/>
          <w:lang w:val="en-US"/>
        </w:rPr>
        <w:t>Vickery</w:t>
      </w:r>
      <w:r w:rsidRPr="000D30AC">
        <w:rPr>
          <w:lang w:val="en-US"/>
        </w:rPr>
        <w:t xml:space="preserve">, </w:t>
      </w:r>
      <w:proofErr w:type="spellStart"/>
      <w:r w:rsidRPr="000D30AC">
        <w:rPr>
          <w:i/>
          <w:lang w:val="en-US"/>
        </w:rPr>
        <w:t>Dagenais</w:t>
      </w:r>
      <w:proofErr w:type="spellEnd"/>
      <w:r w:rsidRPr="000D30AC">
        <w:rPr>
          <w:lang w:val="en-US"/>
        </w:rPr>
        <w:t xml:space="preserve"> and </w:t>
      </w:r>
      <w:proofErr w:type="spellStart"/>
      <w:r w:rsidRPr="000D30AC">
        <w:rPr>
          <w:i/>
          <w:lang w:val="en-US"/>
        </w:rPr>
        <w:t>Mentuck</w:t>
      </w:r>
      <w:proofErr w:type="spellEnd"/>
      <w:r w:rsidRPr="000D30AC">
        <w:rPr>
          <w:lang w:val="en-US"/>
        </w:rPr>
        <w:t xml:space="preserve"> is based on considerations that include the specific context of the case before the judge.  How crucial this context is can be seen from the facts in the case at bar.</w:t>
      </w:r>
    </w:p>
    <w:p w:rsidR="000D30AC" w:rsidRPr="000D30AC" w:rsidRDefault="000D30AC" w:rsidP="00B30508">
      <w:pPr>
        <w:pStyle w:val="ReasonsNumbering-AltN"/>
        <w:rPr>
          <w:lang w:val="en-US"/>
        </w:rPr>
      </w:pPr>
      <w:r w:rsidRPr="000D30AC">
        <w:rPr>
          <w:lang w:val="en-US"/>
        </w:rPr>
        <w:t xml:space="preserve">The context of a statement made by an accused person or a suspect in the course of a police investigation is different from that of testimony given in a courtroom.  A person who testifies at a hearing usually does so under compulsion of law, pursuant to a subpoena.  Witnesses must, to the extent possible, be protected </w:t>
      </w:r>
      <w:r w:rsidRPr="000D30AC">
        <w:rPr>
          <w:lang w:val="en-US"/>
        </w:rPr>
        <w:lastRenderedPageBreak/>
        <w:t xml:space="preserve">from any external pressure that could influence their testimony.  The controlled environment of the courtroom contributes to this objective.  The circumstances specific to compelled testimony do not exist in the case of an </w:t>
      </w:r>
      <w:proofErr w:type="spellStart"/>
      <w:r w:rsidRPr="000D30AC">
        <w:rPr>
          <w:lang w:val="en-US"/>
        </w:rPr>
        <w:t>out</w:t>
      </w:r>
      <w:r w:rsidRPr="000D30AC">
        <w:rPr>
          <w:lang w:val="en-US"/>
        </w:rPr>
        <w:noBreakHyphen/>
        <w:t>of</w:t>
      </w:r>
      <w:r w:rsidRPr="000D30AC">
        <w:rPr>
          <w:lang w:val="en-US"/>
        </w:rPr>
        <w:noBreakHyphen/>
        <w:t>court</w:t>
      </w:r>
      <w:proofErr w:type="spellEnd"/>
      <w:r w:rsidRPr="000D30AC">
        <w:rPr>
          <w:lang w:val="en-US"/>
        </w:rPr>
        <w:t xml:space="preserve"> statement.  But if the person who makes the statement knows that it could end up as the lead story on the local or national television news, this could cause him or her to think carefully before deciding whether to make it.  Thus, the possibility that the statement will be broadcast could have a negative effect on the search for the truth, but it could also have a salutary effect on the voluntariness of the statement and, consequently, on the administration of justice.</w:t>
      </w:r>
    </w:p>
    <w:p w:rsidR="000D30AC" w:rsidRPr="000D30AC" w:rsidRDefault="000D30AC" w:rsidP="00B30508">
      <w:pPr>
        <w:pStyle w:val="ReasonsNumbering-AltN"/>
        <w:rPr>
          <w:lang w:val="en-US"/>
        </w:rPr>
      </w:pPr>
      <w:r w:rsidRPr="000D30AC">
        <w:rPr>
          <w:lang w:val="en-US"/>
        </w:rPr>
        <w:t>Moreover, since an exhibit already exists when it is introduced at trial, the judge’s decision can always be made at the appropriate time.  It will therefore be possible for the trial judge, before making an order on an application to broadcast a statement, to weigh the factors at stake and ensure that the serenity of the hearing, trial fairness and the fair administration of justice are preserved.</w:t>
      </w:r>
    </w:p>
    <w:p w:rsidR="000D30AC" w:rsidRPr="000D30AC" w:rsidRDefault="000D30AC" w:rsidP="00B30508">
      <w:pPr>
        <w:pStyle w:val="ReasonsNumbering-AltN"/>
        <w:rPr>
          <w:lang w:val="en-US"/>
        </w:rPr>
      </w:pPr>
      <w:r w:rsidRPr="000D30AC">
        <w:rPr>
          <w:lang w:val="en-US"/>
        </w:rPr>
        <w:t xml:space="preserve">At the end of the trial of the person who made the statement, the judge may have to assess the impact that broadcasting the statement might have on the trial of a </w:t>
      </w:r>
      <w:proofErr w:type="spellStart"/>
      <w:r w:rsidRPr="000D30AC">
        <w:rPr>
          <w:lang w:val="en-US"/>
        </w:rPr>
        <w:t>co</w:t>
      </w:r>
      <w:r w:rsidRPr="000D30AC">
        <w:rPr>
          <w:lang w:val="en-US"/>
        </w:rPr>
        <w:noBreakHyphen/>
        <w:t>accused</w:t>
      </w:r>
      <w:proofErr w:type="spellEnd"/>
      <w:r w:rsidRPr="000D30AC">
        <w:rPr>
          <w:lang w:val="en-US"/>
        </w:rPr>
        <w:t xml:space="preserve"> or on the accused personally.  In his factum, Mr. </w:t>
      </w:r>
      <w:proofErr w:type="spellStart"/>
      <w:r w:rsidRPr="000D30AC">
        <w:rPr>
          <w:lang w:val="en-US"/>
        </w:rPr>
        <w:t>Dufour</w:t>
      </w:r>
      <w:proofErr w:type="spellEnd"/>
      <w:r w:rsidRPr="000D30AC">
        <w:rPr>
          <w:lang w:val="en-US"/>
        </w:rPr>
        <w:t xml:space="preserve"> argues that the impact on him of broadcasting the statement would be particularly dire because of his intellectual disability.  The fact that Mr. </w:t>
      </w:r>
      <w:proofErr w:type="spellStart"/>
      <w:r w:rsidRPr="000D30AC">
        <w:rPr>
          <w:lang w:val="en-US"/>
        </w:rPr>
        <w:t>Dufour</w:t>
      </w:r>
      <w:proofErr w:type="spellEnd"/>
      <w:r w:rsidRPr="000D30AC">
        <w:rPr>
          <w:lang w:val="en-US"/>
        </w:rPr>
        <w:t xml:space="preserve"> has been acquitted and his particular vulnerability are factors that give full meaning to Dickson J</w:t>
      </w:r>
      <w:r w:rsidR="00F91AE9">
        <w:rPr>
          <w:lang w:val="en-US"/>
        </w:rPr>
        <w:t>.</w:t>
      </w:r>
      <w:r w:rsidRPr="000D30AC">
        <w:rPr>
          <w:lang w:val="en-US"/>
        </w:rPr>
        <w:t xml:space="preserve">’s comment in </w:t>
      </w:r>
      <w:proofErr w:type="spellStart"/>
      <w:r w:rsidRPr="000D30AC">
        <w:rPr>
          <w:i/>
          <w:lang w:val="en-US"/>
        </w:rPr>
        <w:t>MacIntyre</w:t>
      </w:r>
      <w:proofErr w:type="spellEnd"/>
      <w:r w:rsidRPr="000D30AC">
        <w:rPr>
          <w:lang w:val="en-US"/>
        </w:rPr>
        <w:t>, at pp. 186</w:t>
      </w:r>
      <w:r w:rsidRPr="000D30AC">
        <w:rPr>
          <w:lang w:val="en-US"/>
        </w:rPr>
        <w:noBreakHyphen/>
        <w:t xml:space="preserve">87, that there are cases in which the protection of social values </w:t>
      </w:r>
      <w:r w:rsidRPr="000D30AC">
        <w:rPr>
          <w:lang w:val="en-US"/>
        </w:rPr>
        <w:lastRenderedPageBreak/>
        <w:t>must prevail over openness.  In my view, a situation requiring the protection of vulnerable individuals, especially after they have been acquitted, is one such case.</w:t>
      </w:r>
    </w:p>
    <w:p w:rsidR="000D30AC" w:rsidRPr="000D30AC" w:rsidRDefault="000D30AC" w:rsidP="00B30508">
      <w:pPr>
        <w:pStyle w:val="ReasonsNumbering-AltN"/>
        <w:rPr>
          <w:lang w:val="en-US"/>
        </w:rPr>
      </w:pPr>
      <w:r w:rsidRPr="000D30AC">
        <w:rPr>
          <w:lang w:val="en-US"/>
        </w:rPr>
        <w:t>For these reasons, I would dismiss the appeal, but without costs.</w:t>
      </w:r>
    </w:p>
    <w:p w:rsidR="009B57B3" w:rsidRPr="001E39C7" w:rsidRDefault="00B077A9" w:rsidP="00174D6C">
      <w:pPr>
        <w:pStyle w:val="SCCNormalDoubleSpacing"/>
        <w:tabs>
          <w:tab w:val="left" w:pos="1170"/>
        </w:tabs>
        <w:spacing w:after="480"/>
      </w:pPr>
      <w:r>
        <w:tab/>
      </w:r>
      <w:r w:rsidR="00656313" w:rsidRPr="001E39C7">
        <w:rPr>
          <w:i/>
        </w:rPr>
        <w:t>Appeal</w:t>
      </w:r>
      <w:r>
        <w:rPr>
          <w:i/>
        </w:rPr>
        <w:t xml:space="preserve"> dismissed.</w:t>
      </w:r>
    </w:p>
    <w:p w:rsidR="001E39C7" w:rsidRPr="001E39C7" w:rsidRDefault="001E39C7" w:rsidP="00174D6C">
      <w:pPr>
        <w:pStyle w:val="SCCLawFirm"/>
        <w:tabs>
          <w:tab w:val="left" w:pos="1170"/>
        </w:tabs>
        <w:spacing w:after="480"/>
      </w:pPr>
      <w:r w:rsidRPr="001E39C7">
        <w:tab/>
        <w:t>Solicitor for the appellant</w:t>
      </w:r>
      <w:r w:rsidR="0077668C">
        <w:t>:  </w:t>
      </w:r>
      <w:r w:rsidRPr="001E39C7">
        <w:t>Canadian Broadcasting Corporation, Montréal.</w:t>
      </w:r>
    </w:p>
    <w:p w:rsidR="001E39C7" w:rsidRPr="001E39C7" w:rsidRDefault="001E39C7" w:rsidP="00174D6C">
      <w:pPr>
        <w:pStyle w:val="SCCLawFirm"/>
        <w:tabs>
          <w:tab w:val="left" w:pos="1170"/>
        </w:tabs>
        <w:spacing w:after="480"/>
      </w:pPr>
      <w:r w:rsidRPr="001E39C7">
        <w:tab/>
        <w:t>Solicitor for the respondent Her Majesty the Queen and the intervener the Attorney General of Quebec</w:t>
      </w:r>
      <w:r w:rsidR="0077668C">
        <w:t>:  </w:t>
      </w:r>
      <w:r w:rsidRPr="001E39C7">
        <w:t>Attorney General of Quebec, Ste</w:t>
      </w:r>
      <w:r w:rsidR="00CE419B">
        <w:noBreakHyphen/>
      </w:r>
      <w:r w:rsidRPr="001E39C7">
        <w:t>Foy.</w:t>
      </w:r>
    </w:p>
    <w:p w:rsidR="001E39C7" w:rsidRPr="001E39C7" w:rsidRDefault="001E39C7" w:rsidP="00174D6C">
      <w:pPr>
        <w:pStyle w:val="SCCLawFirm"/>
        <w:tabs>
          <w:tab w:val="left" w:pos="1170"/>
        </w:tabs>
        <w:spacing w:after="480"/>
      </w:pPr>
      <w:r w:rsidRPr="001E39C7">
        <w:tab/>
        <w:t xml:space="preserve">Solicitors for the respondent </w:t>
      </w:r>
      <w:proofErr w:type="spellStart"/>
      <w:r w:rsidRPr="001E39C7">
        <w:t>Stéphan</w:t>
      </w:r>
      <w:proofErr w:type="spellEnd"/>
      <w:r w:rsidRPr="001E39C7">
        <w:t xml:space="preserve"> </w:t>
      </w:r>
      <w:proofErr w:type="spellStart"/>
      <w:r w:rsidRPr="001E39C7">
        <w:t>Dufour</w:t>
      </w:r>
      <w:proofErr w:type="spellEnd"/>
      <w:r w:rsidR="0077668C">
        <w:t>:  </w:t>
      </w:r>
      <w:proofErr w:type="spellStart"/>
      <w:r w:rsidRPr="001E39C7">
        <w:t>Boudreault</w:t>
      </w:r>
      <w:proofErr w:type="spellEnd"/>
      <w:r w:rsidRPr="001E39C7">
        <w:t xml:space="preserve"> </w:t>
      </w:r>
      <w:proofErr w:type="spellStart"/>
      <w:r w:rsidRPr="001E39C7">
        <w:t>Tourangeau</w:t>
      </w:r>
      <w:proofErr w:type="spellEnd"/>
      <w:r w:rsidRPr="001E39C7">
        <w:t xml:space="preserve"> Tremblay, Chicoutimi.</w:t>
      </w:r>
    </w:p>
    <w:p w:rsidR="001E39C7" w:rsidRPr="001E39C7" w:rsidRDefault="001E39C7" w:rsidP="00174D6C">
      <w:pPr>
        <w:pStyle w:val="SCCLawFirm"/>
        <w:tabs>
          <w:tab w:val="left" w:pos="1170"/>
        </w:tabs>
        <w:spacing w:after="480"/>
      </w:pPr>
      <w:r w:rsidRPr="001E39C7">
        <w:tab/>
        <w:t>Solicitor for the intervener the Attorney General of Canada</w:t>
      </w:r>
      <w:r w:rsidR="0077668C">
        <w:t>:  </w:t>
      </w:r>
      <w:r w:rsidRPr="001E39C7">
        <w:t>Attorney General of Canada, Montréal.</w:t>
      </w:r>
    </w:p>
    <w:p w:rsidR="001E39C7" w:rsidRPr="001E39C7" w:rsidRDefault="001E39C7" w:rsidP="00174D6C">
      <w:pPr>
        <w:pStyle w:val="SCCLawFirm"/>
        <w:tabs>
          <w:tab w:val="left" w:pos="1170"/>
        </w:tabs>
        <w:spacing w:after="480"/>
      </w:pPr>
      <w:r w:rsidRPr="001E39C7">
        <w:tab/>
        <w:t>Solicitor for the intervener the Attorney General of New Brunswick</w:t>
      </w:r>
      <w:r w:rsidR="0077668C">
        <w:t>:  </w:t>
      </w:r>
      <w:r w:rsidRPr="001E39C7">
        <w:t>Attorney General of New Brunswick, Fredericton.</w:t>
      </w:r>
    </w:p>
    <w:p w:rsidR="001E39C7" w:rsidRDefault="001E39C7" w:rsidP="00174D6C">
      <w:pPr>
        <w:pStyle w:val="SCCLawFirm"/>
        <w:tabs>
          <w:tab w:val="left" w:pos="1170"/>
        </w:tabs>
        <w:spacing w:after="480"/>
      </w:pPr>
      <w:r w:rsidRPr="001E39C7">
        <w:tab/>
        <w:t>Solicitor for the intervener the Attorney General of Alberta</w:t>
      </w:r>
      <w:r w:rsidR="0077668C">
        <w:t>:  </w:t>
      </w:r>
      <w:r w:rsidRPr="001E39C7">
        <w:t>Attorney General of Alberta, Edmonton.</w:t>
      </w:r>
    </w:p>
    <w:p w:rsidR="00B10358" w:rsidRPr="001E39C7" w:rsidRDefault="00B10358" w:rsidP="00174D6C">
      <w:pPr>
        <w:pStyle w:val="SCCLawFirm"/>
        <w:tabs>
          <w:tab w:val="left" w:pos="1170"/>
        </w:tabs>
        <w:spacing w:after="480"/>
      </w:pPr>
      <w:r w:rsidRPr="001E39C7">
        <w:lastRenderedPageBreak/>
        <w:tab/>
        <w:t>Solicitors for the intervener the British Columbia Civil Liberties Association</w:t>
      </w:r>
      <w:r w:rsidR="0077668C">
        <w:t>:  </w:t>
      </w:r>
      <w:r w:rsidRPr="001E39C7">
        <w:t xml:space="preserve">McCarthy </w:t>
      </w:r>
      <w:proofErr w:type="spellStart"/>
      <w:r w:rsidRPr="001E39C7">
        <w:t>Tetrault</w:t>
      </w:r>
      <w:proofErr w:type="spellEnd"/>
      <w:r w:rsidRPr="001E39C7">
        <w:t>, Montréal.</w:t>
      </w:r>
    </w:p>
    <w:p w:rsidR="000B3372" w:rsidRDefault="0057071B" w:rsidP="00174D6C">
      <w:pPr>
        <w:pStyle w:val="SCCLawFirm"/>
        <w:tabs>
          <w:tab w:val="left" w:pos="1170"/>
        </w:tabs>
        <w:spacing w:after="480"/>
      </w:pPr>
      <w:r w:rsidRPr="001E39C7">
        <w:tab/>
        <w:t>Solicitors for the intervener the Canadian Civil Liberties Association</w:t>
      </w:r>
      <w:r w:rsidR="0077668C">
        <w:t>:  </w:t>
      </w:r>
      <w:r w:rsidRPr="001E39C7">
        <w:t xml:space="preserve">Osler, </w:t>
      </w:r>
      <w:proofErr w:type="spellStart"/>
      <w:r w:rsidRPr="001E39C7">
        <w:t>Hoskin</w:t>
      </w:r>
      <w:proofErr w:type="spellEnd"/>
      <w:r w:rsidRPr="001E39C7">
        <w:t xml:space="preserve"> &amp; Harcourt, Toronto.</w:t>
      </w:r>
    </w:p>
    <w:sectPr w:rsidR="000B3372" w:rsidSect="00992813">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7D" w:rsidRDefault="004B177D">
      <w:r>
        <w:separator/>
      </w:r>
    </w:p>
  </w:endnote>
  <w:endnote w:type="continuationSeparator" w:id="0">
    <w:p w:rsidR="004B177D" w:rsidRDefault="004B1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D" w:rsidRDefault="004B177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D" w:rsidRDefault="004B177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7D" w:rsidRDefault="004B177D">
      <w:r>
        <w:separator/>
      </w:r>
    </w:p>
  </w:footnote>
  <w:footnote w:type="continuationSeparator" w:id="0">
    <w:p w:rsidR="004B177D" w:rsidRDefault="004B1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D" w:rsidRDefault="004B177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D" w:rsidRDefault="004B177D">
    <w:pPr>
      <w:pStyle w:val="Header"/>
      <w:jc w:val="center"/>
    </w:pPr>
    <w:r>
      <w:t xml:space="preserve">- </w:t>
    </w:r>
    <w:sdt>
      <w:sdtPr>
        <w:id w:val="4489865"/>
        <w:docPartObj>
          <w:docPartGallery w:val="Page Numbers (Top of Page)"/>
          <w:docPartUnique/>
        </w:docPartObj>
      </w:sdtPr>
      <w:sdtContent>
        <w:fldSimple w:instr=" PAGE   \* MERGEFORMAT ">
          <w:r w:rsidR="004C3A90">
            <w:rPr>
              <w:noProof/>
            </w:rPr>
            <w:t>2</w:t>
          </w:r>
        </w:fldSimple>
        <w:r>
          <w:t xml:space="preserve"> -</w:t>
        </w:r>
      </w:sdtContent>
    </w:sdt>
  </w:p>
  <w:p w:rsidR="004B177D" w:rsidRDefault="004B1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11"/>
  </w:num>
  <w:num w:numId="5">
    <w:abstractNumId w:val="10"/>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ED4"/>
    <w:rsid w:val="000067A6"/>
    <w:rsid w:val="00025198"/>
    <w:rsid w:val="00046DC2"/>
    <w:rsid w:val="000578A3"/>
    <w:rsid w:val="000648CC"/>
    <w:rsid w:val="000B3372"/>
    <w:rsid w:val="000C59B8"/>
    <w:rsid w:val="000D30AC"/>
    <w:rsid w:val="000E5DF5"/>
    <w:rsid w:val="00111DE2"/>
    <w:rsid w:val="001123A3"/>
    <w:rsid w:val="00116B38"/>
    <w:rsid w:val="00127009"/>
    <w:rsid w:val="00135406"/>
    <w:rsid w:val="00135972"/>
    <w:rsid w:val="001409D7"/>
    <w:rsid w:val="001426A9"/>
    <w:rsid w:val="0015119A"/>
    <w:rsid w:val="00154D7C"/>
    <w:rsid w:val="001552E0"/>
    <w:rsid w:val="00155BB2"/>
    <w:rsid w:val="001570B0"/>
    <w:rsid w:val="0015752C"/>
    <w:rsid w:val="00157737"/>
    <w:rsid w:val="00165277"/>
    <w:rsid w:val="00170592"/>
    <w:rsid w:val="00174D6C"/>
    <w:rsid w:val="001B33E0"/>
    <w:rsid w:val="001B4573"/>
    <w:rsid w:val="001C779F"/>
    <w:rsid w:val="001D2AC1"/>
    <w:rsid w:val="001D4E88"/>
    <w:rsid w:val="001E39C7"/>
    <w:rsid w:val="0020788E"/>
    <w:rsid w:val="00220FC2"/>
    <w:rsid w:val="00224FC0"/>
    <w:rsid w:val="00225EA4"/>
    <w:rsid w:val="00226EAF"/>
    <w:rsid w:val="00231F3A"/>
    <w:rsid w:val="002406EE"/>
    <w:rsid w:val="00243EC8"/>
    <w:rsid w:val="002745CC"/>
    <w:rsid w:val="00291621"/>
    <w:rsid w:val="002B7924"/>
    <w:rsid w:val="002C1E5E"/>
    <w:rsid w:val="002D39A4"/>
    <w:rsid w:val="002D560B"/>
    <w:rsid w:val="002E369D"/>
    <w:rsid w:val="002E6705"/>
    <w:rsid w:val="0030329A"/>
    <w:rsid w:val="0031086F"/>
    <w:rsid w:val="0031414C"/>
    <w:rsid w:val="00314E01"/>
    <w:rsid w:val="0032089D"/>
    <w:rsid w:val="003310DE"/>
    <w:rsid w:val="0035169A"/>
    <w:rsid w:val="0035259D"/>
    <w:rsid w:val="003622EC"/>
    <w:rsid w:val="00364B18"/>
    <w:rsid w:val="003A363A"/>
    <w:rsid w:val="003A4C70"/>
    <w:rsid w:val="003A5827"/>
    <w:rsid w:val="003B215F"/>
    <w:rsid w:val="003C799C"/>
    <w:rsid w:val="003D0399"/>
    <w:rsid w:val="003E1C71"/>
    <w:rsid w:val="003F327B"/>
    <w:rsid w:val="00406166"/>
    <w:rsid w:val="0040704B"/>
    <w:rsid w:val="00410A55"/>
    <w:rsid w:val="00411300"/>
    <w:rsid w:val="00415417"/>
    <w:rsid w:val="00426659"/>
    <w:rsid w:val="0044010D"/>
    <w:rsid w:val="00450352"/>
    <w:rsid w:val="00454BDB"/>
    <w:rsid w:val="00465132"/>
    <w:rsid w:val="00480C90"/>
    <w:rsid w:val="00481267"/>
    <w:rsid w:val="0048396F"/>
    <w:rsid w:val="00493C18"/>
    <w:rsid w:val="00495B24"/>
    <w:rsid w:val="004A600C"/>
    <w:rsid w:val="004A6118"/>
    <w:rsid w:val="004A69BC"/>
    <w:rsid w:val="004B177D"/>
    <w:rsid w:val="004C3A90"/>
    <w:rsid w:val="004C478D"/>
    <w:rsid w:val="004E2C26"/>
    <w:rsid w:val="004E3BCD"/>
    <w:rsid w:val="004F61C1"/>
    <w:rsid w:val="005125A8"/>
    <w:rsid w:val="00512CB7"/>
    <w:rsid w:val="00521AE8"/>
    <w:rsid w:val="005227F7"/>
    <w:rsid w:val="00525833"/>
    <w:rsid w:val="00527180"/>
    <w:rsid w:val="00555291"/>
    <w:rsid w:val="0057071B"/>
    <w:rsid w:val="00583EDE"/>
    <w:rsid w:val="005E4698"/>
    <w:rsid w:val="00610539"/>
    <w:rsid w:val="00613969"/>
    <w:rsid w:val="006250A2"/>
    <w:rsid w:val="00625C35"/>
    <w:rsid w:val="00626EC3"/>
    <w:rsid w:val="00656313"/>
    <w:rsid w:val="006565F4"/>
    <w:rsid w:val="006639A4"/>
    <w:rsid w:val="006720C4"/>
    <w:rsid w:val="00684EEA"/>
    <w:rsid w:val="006A7A74"/>
    <w:rsid w:val="006B5FF5"/>
    <w:rsid w:val="006F6F0E"/>
    <w:rsid w:val="00701759"/>
    <w:rsid w:val="007041EC"/>
    <w:rsid w:val="007150F4"/>
    <w:rsid w:val="00747288"/>
    <w:rsid w:val="00747DD3"/>
    <w:rsid w:val="00747E71"/>
    <w:rsid w:val="007549C8"/>
    <w:rsid w:val="00766D14"/>
    <w:rsid w:val="00767A0F"/>
    <w:rsid w:val="00773F6C"/>
    <w:rsid w:val="0077668C"/>
    <w:rsid w:val="00780EAC"/>
    <w:rsid w:val="007856DC"/>
    <w:rsid w:val="007A05F6"/>
    <w:rsid w:val="007B3A7C"/>
    <w:rsid w:val="007B6F4A"/>
    <w:rsid w:val="007B7B16"/>
    <w:rsid w:val="007E1C47"/>
    <w:rsid w:val="007E2C99"/>
    <w:rsid w:val="007E337A"/>
    <w:rsid w:val="007E5C70"/>
    <w:rsid w:val="007F2FF5"/>
    <w:rsid w:val="007F3F08"/>
    <w:rsid w:val="00804CC6"/>
    <w:rsid w:val="00816EA3"/>
    <w:rsid w:val="00817190"/>
    <w:rsid w:val="008260E2"/>
    <w:rsid w:val="008322BD"/>
    <w:rsid w:val="00834F73"/>
    <w:rsid w:val="00835428"/>
    <w:rsid w:val="00840C5B"/>
    <w:rsid w:val="00864CF8"/>
    <w:rsid w:val="00874914"/>
    <w:rsid w:val="00880556"/>
    <w:rsid w:val="00881E2D"/>
    <w:rsid w:val="00891422"/>
    <w:rsid w:val="00892E1A"/>
    <w:rsid w:val="008C01DA"/>
    <w:rsid w:val="008F78E9"/>
    <w:rsid w:val="0090460A"/>
    <w:rsid w:val="00915D8D"/>
    <w:rsid w:val="009179F9"/>
    <w:rsid w:val="00933E5E"/>
    <w:rsid w:val="00935218"/>
    <w:rsid w:val="009403F3"/>
    <w:rsid w:val="009555B7"/>
    <w:rsid w:val="009567AA"/>
    <w:rsid w:val="00967374"/>
    <w:rsid w:val="00992813"/>
    <w:rsid w:val="009A275A"/>
    <w:rsid w:val="009A7D7A"/>
    <w:rsid w:val="009B2F23"/>
    <w:rsid w:val="009B57B3"/>
    <w:rsid w:val="009B6FAA"/>
    <w:rsid w:val="009D2920"/>
    <w:rsid w:val="009D5AEB"/>
    <w:rsid w:val="009D6F94"/>
    <w:rsid w:val="009F0E33"/>
    <w:rsid w:val="00A1060D"/>
    <w:rsid w:val="00A149DF"/>
    <w:rsid w:val="00A21B90"/>
    <w:rsid w:val="00A26255"/>
    <w:rsid w:val="00A31B1B"/>
    <w:rsid w:val="00A41805"/>
    <w:rsid w:val="00A548CB"/>
    <w:rsid w:val="00A5521C"/>
    <w:rsid w:val="00A643E7"/>
    <w:rsid w:val="00A72BC9"/>
    <w:rsid w:val="00A73C38"/>
    <w:rsid w:val="00A77687"/>
    <w:rsid w:val="00A9055B"/>
    <w:rsid w:val="00AA1F23"/>
    <w:rsid w:val="00AA3BA1"/>
    <w:rsid w:val="00AE3C1F"/>
    <w:rsid w:val="00AF03C5"/>
    <w:rsid w:val="00B000D8"/>
    <w:rsid w:val="00B00F75"/>
    <w:rsid w:val="00B077A9"/>
    <w:rsid w:val="00B10358"/>
    <w:rsid w:val="00B145B6"/>
    <w:rsid w:val="00B2424E"/>
    <w:rsid w:val="00B26AC7"/>
    <w:rsid w:val="00B30508"/>
    <w:rsid w:val="00B50C81"/>
    <w:rsid w:val="00B557F8"/>
    <w:rsid w:val="00B77C2C"/>
    <w:rsid w:val="00B815FC"/>
    <w:rsid w:val="00B829A4"/>
    <w:rsid w:val="00B93FBC"/>
    <w:rsid w:val="00BB2EE4"/>
    <w:rsid w:val="00BC2108"/>
    <w:rsid w:val="00BD0E9E"/>
    <w:rsid w:val="00BD1BEC"/>
    <w:rsid w:val="00BD32FF"/>
    <w:rsid w:val="00BD6CD7"/>
    <w:rsid w:val="00BE6D42"/>
    <w:rsid w:val="00C02092"/>
    <w:rsid w:val="00C14639"/>
    <w:rsid w:val="00C24D91"/>
    <w:rsid w:val="00C53F14"/>
    <w:rsid w:val="00C600CF"/>
    <w:rsid w:val="00C6084F"/>
    <w:rsid w:val="00C62A66"/>
    <w:rsid w:val="00C71458"/>
    <w:rsid w:val="00C77613"/>
    <w:rsid w:val="00C828E7"/>
    <w:rsid w:val="00C86719"/>
    <w:rsid w:val="00C87A12"/>
    <w:rsid w:val="00C921DD"/>
    <w:rsid w:val="00CA6391"/>
    <w:rsid w:val="00CD1DF7"/>
    <w:rsid w:val="00CE15FB"/>
    <w:rsid w:val="00CE3171"/>
    <w:rsid w:val="00CE419B"/>
    <w:rsid w:val="00CF1601"/>
    <w:rsid w:val="00D0172F"/>
    <w:rsid w:val="00D068A7"/>
    <w:rsid w:val="00D17004"/>
    <w:rsid w:val="00D248A7"/>
    <w:rsid w:val="00D32086"/>
    <w:rsid w:val="00D37A3F"/>
    <w:rsid w:val="00D37D71"/>
    <w:rsid w:val="00D424E7"/>
    <w:rsid w:val="00D43FC5"/>
    <w:rsid w:val="00D4431D"/>
    <w:rsid w:val="00D4667A"/>
    <w:rsid w:val="00D7516F"/>
    <w:rsid w:val="00D95F8E"/>
    <w:rsid w:val="00DA0590"/>
    <w:rsid w:val="00DC1788"/>
    <w:rsid w:val="00DD5A55"/>
    <w:rsid w:val="00DE319C"/>
    <w:rsid w:val="00DF0CA8"/>
    <w:rsid w:val="00DF2B48"/>
    <w:rsid w:val="00DF49A7"/>
    <w:rsid w:val="00E07EE2"/>
    <w:rsid w:val="00E07FD1"/>
    <w:rsid w:val="00E173B8"/>
    <w:rsid w:val="00E23044"/>
    <w:rsid w:val="00E24573"/>
    <w:rsid w:val="00E25E1E"/>
    <w:rsid w:val="00E27EE7"/>
    <w:rsid w:val="00E30C75"/>
    <w:rsid w:val="00E35404"/>
    <w:rsid w:val="00E45109"/>
    <w:rsid w:val="00E47B7A"/>
    <w:rsid w:val="00E97830"/>
    <w:rsid w:val="00EF0683"/>
    <w:rsid w:val="00F0070C"/>
    <w:rsid w:val="00F00EB7"/>
    <w:rsid w:val="00F36AB6"/>
    <w:rsid w:val="00F37A09"/>
    <w:rsid w:val="00F409CE"/>
    <w:rsid w:val="00F4379D"/>
    <w:rsid w:val="00F66868"/>
    <w:rsid w:val="00F84DF4"/>
    <w:rsid w:val="00F85C97"/>
    <w:rsid w:val="00F86A73"/>
    <w:rsid w:val="00F91AE9"/>
    <w:rsid w:val="00F9413A"/>
    <w:rsid w:val="00FB37D2"/>
    <w:rsid w:val="00FC4EFB"/>
    <w:rsid w:val="00FC710A"/>
    <w:rsid w:val="00FD068D"/>
    <w:rsid w:val="00FD4F28"/>
    <w:rsid w:val="00FE4B24"/>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13"/>
    <w:rPr>
      <w:sz w:val="24"/>
    </w:rPr>
  </w:style>
  <w:style w:type="paragraph" w:styleId="Heading1">
    <w:name w:val="heading 1"/>
    <w:next w:val="ReasonsNumbering-AltN"/>
    <w:link w:val="Heading1Char"/>
    <w:uiPriority w:val="2"/>
    <w:qFormat/>
    <w:rsid w:val="00992813"/>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992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813"/>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992813"/>
    <w:rPr>
      <w:color w:val="808080"/>
    </w:rPr>
  </w:style>
  <w:style w:type="paragraph" w:styleId="BalloonText">
    <w:name w:val="Balloon Text"/>
    <w:basedOn w:val="Normal"/>
    <w:link w:val="BalloonTextChar"/>
    <w:uiPriority w:val="99"/>
    <w:semiHidden/>
    <w:unhideWhenUsed/>
    <w:rsid w:val="00992813"/>
    <w:rPr>
      <w:rFonts w:cs="Tahoma"/>
      <w:sz w:val="28"/>
      <w:szCs w:val="16"/>
    </w:rPr>
  </w:style>
  <w:style w:type="character" w:customStyle="1" w:styleId="BalloonTextChar">
    <w:name w:val="Balloon Text Char"/>
    <w:basedOn w:val="DefaultParagraphFont"/>
    <w:link w:val="BalloonText"/>
    <w:uiPriority w:val="99"/>
    <w:semiHidden/>
    <w:rsid w:val="00992813"/>
    <w:rPr>
      <w:rFonts w:cs="Tahoma"/>
      <w:sz w:val="28"/>
      <w:szCs w:val="16"/>
    </w:rPr>
  </w:style>
  <w:style w:type="paragraph" w:styleId="Header">
    <w:name w:val="header"/>
    <w:basedOn w:val="Normal"/>
    <w:link w:val="HeaderChar"/>
    <w:uiPriority w:val="99"/>
    <w:unhideWhenUsed/>
    <w:rsid w:val="00992813"/>
    <w:pPr>
      <w:tabs>
        <w:tab w:val="center" w:pos="4680"/>
        <w:tab w:val="right" w:pos="9360"/>
      </w:tabs>
    </w:pPr>
  </w:style>
  <w:style w:type="character" w:customStyle="1" w:styleId="HeaderChar">
    <w:name w:val="Header Char"/>
    <w:basedOn w:val="DefaultParagraphFont"/>
    <w:link w:val="Header"/>
    <w:uiPriority w:val="99"/>
    <w:rsid w:val="00992813"/>
    <w:rPr>
      <w:sz w:val="24"/>
    </w:rPr>
  </w:style>
  <w:style w:type="paragraph" w:styleId="Footer">
    <w:name w:val="footer"/>
    <w:basedOn w:val="Normal"/>
    <w:link w:val="FooterChar"/>
    <w:uiPriority w:val="99"/>
    <w:semiHidden/>
    <w:unhideWhenUsed/>
    <w:rsid w:val="00992813"/>
    <w:pPr>
      <w:tabs>
        <w:tab w:val="center" w:pos="4680"/>
        <w:tab w:val="right" w:pos="9360"/>
      </w:tabs>
    </w:pPr>
  </w:style>
  <w:style w:type="character" w:customStyle="1" w:styleId="FooterChar">
    <w:name w:val="Footer Char"/>
    <w:basedOn w:val="DefaultParagraphFont"/>
    <w:link w:val="Footer"/>
    <w:uiPriority w:val="99"/>
    <w:semiHidden/>
    <w:rsid w:val="00992813"/>
    <w:rPr>
      <w:sz w:val="24"/>
    </w:rPr>
  </w:style>
  <w:style w:type="paragraph" w:customStyle="1" w:styleId="SCCLsocParty">
    <w:name w:val="SCC.Lsoc.Party"/>
    <w:basedOn w:val="Normal"/>
    <w:next w:val="Normal"/>
    <w:link w:val="SCCLsocPartyChar"/>
    <w:rsid w:val="00992813"/>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992813"/>
    <w:rPr>
      <w:rFonts w:eastAsiaTheme="minorHAnsi" w:cstheme="minorBidi"/>
      <w:sz w:val="24"/>
      <w:szCs w:val="22"/>
      <w:lang w:eastAsia="en-US"/>
    </w:rPr>
  </w:style>
  <w:style w:type="paragraph" w:customStyle="1" w:styleId="SCCLsocVersus">
    <w:name w:val="SCC.Lsoc.Versus"/>
    <w:basedOn w:val="Normal"/>
    <w:next w:val="Normal"/>
    <w:link w:val="SCCLsocVersusChar"/>
    <w:rsid w:val="00992813"/>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992813"/>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992813"/>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992813"/>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992813"/>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992813"/>
    <w:rPr>
      <w:rFonts w:eastAsiaTheme="minorHAnsi" w:cstheme="minorBidi"/>
      <w:sz w:val="24"/>
      <w:szCs w:val="22"/>
      <w:lang w:eastAsia="en-US"/>
    </w:rPr>
  </w:style>
  <w:style w:type="character" w:customStyle="1" w:styleId="Heading1Char">
    <w:name w:val="Heading 1 Char"/>
    <w:basedOn w:val="DefaultParagraphFont"/>
    <w:link w:val="Heading1"/>
    <w:uiPriority w:val="2"/>
    <w:rsid w:val="00992813"/>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992813"/>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20788E"/>
    <w:pPr>
      <w:ind w:left="720"/>
    </w:pPr>
    <w:rPr>
      <w:lang w:val="fr-CA"/>
    </w:rPr>
  </w:style>
  <w:style w:type="character" w:customStyle="1" w:styleId="reportcite">
    <w:name w:val="reportcite"/>
    <w:basedOn w:val="DefaultParagraphFont"/>
    <w:rsid w:val="0020788E"/>
  </w:style>
  <w:style w:type="paragraph" w:customStyle="1" w:styleId="SCCCoram">
    <w:name w:val="SCC.Coram"/>
    <w:basedOn w:val="Normal"/>
    <w:next w:val="Normal"/>
    <w:link w:val="SCCCoramChar"/>
    <w:rsid w:val="0099281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92813"/>
    <w:rPr>
      <w:rFonts w:eastAsiaTheme="minorHAnsi" w:cstheme="minorBidi"/>
      <w:sz w:val="24"/>
      <w:szCs w:val="22"/>
      <w:lang w:eastAsia="en-US"/>
    </w:rPr>
  </w:style>
  <w:style w:type="table" w:styleId="TableGrid">
    <w:name w:val="Table Grid"/>
    <w:basedOn w:val="TableNormal"/>
    <w:uiPriority w:val="59"/>
    <w:rsid w:val="009928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0D30AC"/>
    <w:pPr>
      <w:spacing w:after="720"/>
      <w:ind w:left="1166"/>
      <w:contextualSpacing/>
      <w:jc w:val="both"/>
    </w:pPr>
    <w:rPr>
      <w:rFonts w:eastAsiaTheme="minorHAnsi"/>
      <w:lang w:val="fr-CA"/>
    </w:rPr>
  </w:style>
  <w:style w:type="paragraph" w:customStyle="1" w:styleId="Citation1">
    <w:name w:val="Citation1"/>
    <w:basedOn w:val="Normal"/>
    <w:qFormat/>
    <w:rsid w:val="000D30AC"/>
    <w:pPr>
      <w:spacing w:after="720"/>
      <w:ind w:left="1166"/>
      <w:contextualSpacing/>
      <w:jc w:val="both"/>
    </w:pPr>
    <w:rPr>
      <w:rFonts w:eastAsiaTheme="minorHAnsi"/>
    </w:rPr>
  </w:style>
  <w:style w:type="paragraph" w:customStyle="1" w:styleId="SCCLsocOtherPartyRoleSeparator">
    <w:name w:val="SCC.Lsoc.OtherPartyRoleSeparator"/>
    <w:basedOn w:val="Normal"/>
    <w:next w:val="Normal"/>
    <w:link w:val="SCCLsocOtherPartyRoleSeparatorChar"/>
    <w:rsid w:val="0099281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92813"/>
    <w:rPr>
      <w:rFonts w:eastAsiaTheme="minorHAnsi" w:cstheme="minorBidi"/>
      <w:sz w:val="24"/>
      <w:szCs w:val="22"/>
      <w:lang w:eastAsia="en-US"/>
    </w:rPr>
  </w:style>
  <w:style w:type="character" w:customStyle="1" w:styleId="SCCBanSummaryChar">
    <w:name w:val="SCC.BanSummary Char"/>
    <w:basedOn w:val="DefaultParagraphFont"/>
    <w:link w:val="SCCBanSummary"/>
    <w:rsid w:val="00992813"/>
    <w:rPr>
      <w:rFonts w:eastAsiaTheme="minorEastAsia"/>
      <w:b/>
      <w:sz w:val="24"/>
      <w:szCs w:val="24"/>
    </w:rPr>
  </w:style>
  <w:style w:type="paragraph" w:customStyle="1" w:styleId="ReasonsNumbering-AltN">
    <w:name w:val="Reasons Numbering - Alt N"/>
    <w:qFormat/>
    <w:rsid w:val="00992813"/>
    <w:pPr>
      <w:numPr>
        <w:numId w:val="7"/>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992813"/>
    <w:pPr>
      <w:spacing w:after="720"/>
      <w:ind w:left="1166"/>
      <w:contextualSpacing/>
      <w:jc w:val="both"/>
    </w:pPr>
    <w:rPr>
      <w:sz w:val="24"/>
    </w:rPr>
  </w:style>
  <w:style w:type="character" w:styleId="CommentReference">
    <w:name w:val="annotation reference"/>
    <w:basedOn w:val="DefaultParagraphFont"/>
    <w:uiPriority w:val="99"/>
    <w:semiHidden/>
    <w:unhideWhenUsed/>
    <w:rsid w:val="00992813"/>
    <w:rPr>
      <w:sz w:val="16"/>
      <w:szCs w:val="16"/>
    </w:rPr>
  </w:style>
  <w:style w:type="paragraph" w:styleId="CommentText">
    <w:name w:val="annotation text"/>
    <w:basedOn w:val="Normal"/>
    <w:link w:val="CommentTextChar"/>
    <w:uiPriority w:val="99"/>
    <w:semiHidden/>
    <w:unhideWhenUsed/>
    <w:rsid w:val="00992813"/>
    <w:rPr>
      <w:sz w:val="20"/>
    </w:rPr>
  </w:style>
  <w:style w:type="character" w:customStyle="1" w:styleId="CommentTextChar">
    <w:name w:val="Comment Text Char"/>
    <w:basedOn w:val="DefaultParagraphFont"/>
    <w:link w:val="CommentText"/>
    <w:uiPriority w:val="99"/>
    <w:semiHidden/>
    <w:rsid w:val="00992813"/>
  </w:style>
  <w:style w:type="paragraph" w:styleId="CommentSubject">
    <w:name w:val="annotation subject"/>
    <w:basedOn w:val="CommentText"/>
    <w:next w:val="CommentText"/>
    <w:link w:val="CommentSubjectChar"/>
    <w:uiPriority w:val="99"/>
    <w:semiHidden/>
    <w:unhideWhenUsed/>
    <w:rsid w:val="00992813"/>
    <w:rPr>
      <w:b/>
      <w:bCs/>
    </w:rPr>
  </w:style>
  <w:style w:type="character" w:customStyle="1" w:styleId="CommentSubjectChar">
    <w:name w:val="Comment Subject Char"/>
    <w:basedOn w:val="CommentTextChar"/>
    <w:link w:val="CommentSubject"/>
    <w:uiPriority w:val="99"/>
    <w:semiHidden/>
    <w:rsid w:val="00992813"/>
    <w:rPr>
      <w:b/>
      <w:bCs/>
    </w:rPr>
  </w:style>
  <w:style w:type="paragraph" w:customStyle="1" w:styleId="ContinueReasonsNo-AltP">
    <w:name w:val="Continue Reasons No # - Alt P"/>
    <w:next w:val="ReasonsNumbering-AltN"/>
    <w:uiPriority w:val="1"/>
    <w:qFormat/>
    <w:rsid w:val="00992813"/>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17</Pages>
  <Words>3390</Words>
  <Characters>17681</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2011-01-28T18:08:00Z</dcterms:created>
  <dcterms:modified xsi:type="dcterms:W3CDTF">2011-06-27T17:19:00Z</dcterms:modified>
</cp:coreProperties>
</file>