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098" w:rsidRDefault="00506098" w:rsidP="00506098">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1.2pt;height:64.8pt" o:ole="">
            <v:imagedata r:id="rId8" o:title=""/>
          </v:shape>
          <o:OLEObject Type="Embed" ProgID="Presentations.Drawing.13" ShapeID="_x0000_i1031" DrawAspect="Content" ObjectID="_1388390002" r:id="rId9"/>
        </w:object>
      </w:r>
      <w:r>
        <w:t xml:space="preserve"> </w:t>
      </w:r>
      <w:r>
        <w:ptab w:relativeTo="margin" w:alignment="right" w:leader="none"/>
      </w:r>
    </w:p>
    <w:p w:rsidR="00506098" w:rsidRDefault="00506098" w:rsidP="00506098">
      <w:pPr>
        <w:pStyle w:val="Header"/>
      </w:pPr>
    </w:p>
    <w:p w:rsidR="00506098" w:rsidRPr="006B210C" w:rsidRDefault="00506098" w:rsidP="00506098">
      <w:pPr>
        <w:jc w:val="center"/>
        <w:rPr>
          <w:b/>
        </w:rPr>
      </w:pPr>
      <w:r w:rsidRPr="006B210C">
        <w:rPr>
          <w:b/>
        </w:rPr>
        <w:t>SUPREME COURT OF CANADA</w:t>
      </w:r>
    </w:p>
    <w:p w:rsidR="00506098" w:rsidRDefault="00506098" w:rsidP="00506098">
      <w:pPr>
        <w:pStyle w:val="Header"/>
      </w:pPr>
    </w:p>
    <w:p w:rsidR="00506098" w:rsidRDefault="00506098"/>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506098" w:rsidRPr="006B210C" w:rsidTr="00E71472">
        <w:trPr>
          <w:cantSplit/>
        </w:trPr>
        <w:tc>
          <w:tcPr>
            <w:tcW w:w="6768" w:type="dxa"/>
          </w:tcPr>
          <w:p w:rsidR="00506098" w:rsidRPr="002B646A" w:rsidRDefault="00506098" w:rsidP="00E71472">
            <w:pPr>
              <w:rPr>
                <w:rStyle w:val="SCCRespondentForIndexChar"/>
                <w:b w:val="0"/>
                <w:lang w:val="fr-CA"/>
              </w:rPr>
            </w:pPr>
            <w:r w:rsidRPr="002B646A">
              <w:rPr>
                <w:b/>
                <w:smallCaps/>
                <w:lang w:val="fr-CA"/>
              </w:rPr>
              <w:t xml:space="preserve">Citation </w:t>
            </w:r>
            <w:r w:rsidRPr="002B646A">
              <w:rPr>
                <w:b/>
                <w:lang w:val="fr-CA"/>
              </w:rPr>
              <w:t>:</w:t>
            </w:r>
            <w:r w:rsidRPr="002B646A">
              <w:rPr>
                <w:lang w:val="fr-CA"/>
              </w:rPr>
              <w:t xml:space="preserve"> Kuwait Airways Corp. </w:t>
            </w:r>
            <w:r w:rsidRPr="002B646A">
              <w:rPr>
                <w:i/>
                <w:lang w:val="fr-CA"/>
              </w:rPr>
              <w:t>v.</w:t>
            </w:r>
            <w:r w:rsidRPr="002B646A">
              <w:rPr>
                <w:lang w:val="fr-CA"/>
              </w:rPr>
              <w:t xml:space="preserve"> Iraq</w:t>
            </w:r>
            <w:r w:rsidRPr="002B646A">
              <w:rPr>
                <w:rStyle w:val="SCCRespondentForIndexChar"/>
                <w:b w:val="0"/>
                <w:lang w:val="fr-CA"/>
              </w:rPr>
              <w:t>,</w:t>
            </w:r>
          </w:p>
          <w:p w:rsidR="00506098" w:rsidRPr="00355D7F" w:rsidRDefault="00506098" w:rsidP="00E71472">
            <w:r w:rsidRPr="00355D7F">
              <w:rPr>
                <w:rStyle w:val="SCCRespondentForIndexChar"/>
                <w:b w:val="0"/>
              </w:rPr>
              <w:t>201</w:t>
            </w:r>
            <w:r>
              <w:rPr>
                <w:rStyle w:val="SCCRespondentForIndexChar"/>
                <w:b w:val="0"/>
              </w:rPr>
              <w:t>1</w:t>
            </w:r>
            <w:r w:rsidRPr="00355D7F">
              <w:rPr>
                <w:rStyle w:val="SCCRespondentForIndexChar"/>
                <w:b w:val="0"/>
              </w:rPr>
              <w:t xml:space="preserve"> SCC </w:t>
            </w:r>
            <w:r>
              <w:rPr>
                <w:rStyle w:val="SCCRespondentForIndexChar"/>
                <w:b w:val="0"/>
              </w:rPr>
              <w:t>41</w:t>
            </w:r>
            <w:r w:rsidRPr="00355D7F">
              <w:rPr>
                <w:rStyle w:val="SCCRespondentForIndexChar"/>
                <w:b w:val="0"/>
              </w:rPr>
              <w:t>, [201</w:t>
            </w:r>
            <w:r>
              <w:rPr>
                <w:rStyle w:val="SCCRespondentForIndexChar"/>
                <w:b w:val="0"/>
              </w:rPr>
              <w:t>1</w:t>
            </w:r>
            <w:r w:rsidRPr="00355D7F">
              <w:rPr>
                <w:rStyle w:val="SCCRespondentForIndexChar"/>
                <w:b w:val="0"/>
              </w:rPr>
              <w:t xml:space="preserve">] </w:t>
            </w:r>
            <w:r>
              <w:rPr>
                <w:rStyle w:val="SCCRespondentForIndexChar"/>
                <w:b w:val="0"/>
              </w:rPr>
              <w:t>3</w:t>
            </w:r>
            <w:r w:rsidRPr="00355D7F">
              <w:rPr>
                <w:rStyle w:val="SCCRespondentForIndexChar"/>
                <w:b w:val="0"/>
              </w:rPr>
              <w:t xml:space="preserve"> S.C.R. </w:t>
            </w:r>
            <w:r>
              <w:rPr>
                <w:rStyle w:val="SCCRespondentForIndexChar"/>
                <w:b w:val="0"/>
              </w:rPr>
              <w:t>42</w:t>
            </w:r>
          </w:p>
        </w:tc>
        <w:tc>
          <w:tcPr>
            <w:tcW w:w="2808" w:type="dxa"/>
          </w:tcPr>
          <w:p w:rsidR="00506098" w:rsidRPr="006B210C" w:rsidRDefault="00506098" w:rsidP="00E71472">
            <w:r w:rsidRPr="006B210C">
              <w:rPr>
                <w:b/>
                <w:smallCaps/>
              </w:rPr>
              <w:t xml:space="preserve">Date </w:t>
            </w:r>
            <w:r w:rsidRPr="006B210C">
              <w:t xml:space="preserve">: </w:t>
            </w:r>
            <w:r>
              <w:t>20110728</w:t>
            </w:r>
          </w:p>
          <w:p w:rsidR="00506098" w:rsidRPr="006B210C" w:rsidRDefault="00506098" w:rsidP="00E71472">
            <w:r w:rsidRPr="006B210C">
              <w:rPr>
                <w:b/>
                <w:smallCaps/>
              </w:rPr>
              <w:t xml:space="preserve">Docket </w:t>
            </w:r>
            <w:r w:rsidRPr="006B210C">
              <w:t xml:space="preserve">: </w:t>
            </w:r>
            <w:r>
              <w:t>33145</w:t>
            </w:r>
          </w:p>
        </w:tc>
      </w:tr>
    </w:tbl>
    <w:p w:rsidR="00506098" w:rsidRPr="006B210C" w:rsidRDefault="00506098" w:rsidP="00506098"/>
    <w:p w:rsidR="00506098" w:rsidRDefault="00506098" w:rsidP="00506098">
      <w:pPr>
        <w:pStyle w:val="SCCLsocPrefix"/>
        <w:jc w:val="center"/>
      </w:pPr>
      <w:r>
        <w:t>Between:</w:t>
      </w:r>
    </w:p>
    <w:p w:rsidR="00506098" w:rsidRDefault="00506098" w:rsidP="00506098">
      <w:pPr>
        <w:pStyle w:val="SCCLsocParty"/>
        <w:tabs>
          <w:tab w:val="right" w:pos="8280"/>
        </w:tabs>
        <w:jc w:val="center"/>
      </w:pPr>
      <w:r w:rsidRPr="00080EC7">
        <w:rPr>
          <w:lang w:val="fr-CA"/>
        </w:rPr>
        <w:t>Kuwait Airways Corporation</w:t>
      </w:r>
    </w:p>
    <w:p w:rsidR="00506098" w:rsidRDefault="00506098" w:rsidP="00506098">
      <w:pPr>
        <w:pStyle w:val="SCCLsocPartyRole"/>
        <w:jc w:val="center"/>
      </w:pPr>
      <w:r>
        <w:t>Appellant/Respondent on motion</w:t>
      </w:r>
    </w:p>
    <w:p w:rsidR="00506098" w:rsidRDefault="00506098" w:rsidP="00506098">
      <w:pPr>
        <w:pStyle w:val="SCCLsocVersus"/>
        <w:jc w:val="center"/>
      </w:pPr>
      <w:proofErr w:type="gramStart"/>
      <w:r>
        <w:t>and</w:t>
      </w:r>
      <w:proofErr w:type="gramEnd"/>
    </w:p>
    <w:p w:rsidR="00506098" w:rsidRDefault="00506098" w:rsidP="00506098">
      <w:pPr>
        <w:pStyle w:val="SCCLsocParty"/>
        <w:jc w:val="center"/>
      </w:pPr>
      <w:proofErr w:type="spellStart"/>
      <w:r w:rsidRPr="009E4069">
        <w:rPr>
          <w:lang w:val="fr-CA"/>
        </w:rPr>
        <w:t>Republic</w:t>
      </w:r>
      <w:proofErr w:type="spellEnd"/>
      <w:r w:rsidRPr="009E4069">
        <w:rPr>
          <w:lang w:val="fr-CA"/>
        </w:rPr>
        <w:t xml:space="preserve"> of Iraq</w:t>
      </w:r>
    </w:p>
    <w:p w:rsidR="00506098" w:rsidRDefault="00506098" w:rsidP="00506098">
      <w:pPr>
        <w:pStyle w:val="SCCLsocPartyRole"/>
        <w:jc w:val="center"/>
      </w:pPr>
      <w:r>
        <w:t>Respondent/Respondent on motion</w:t>
      </w:r>
    </w:p>
    <w:p w:rsidR="00506098" w:rsidRDefault="00506098" w:rsidP="00506098">
      <w:pPr>
        <w:jc w:val="center"/>
      </w:pPr>
      <w:proofErr w:type="gramStart"/>
      <w:r>
        <w:t>and</w:t>
      </w:r>
      <w:proofErr w:type="gramEnd"/>
    </w:p>
    <w:p w:rsidR="00506098" w:rsidRPr="002B646A" w:rsidRDefault="00506098" w:rsidP="00506098">
      <w:pPr>
        <w:jc w:val="center"/>
        <w:rPr>
          <w:b/>
          <w:lang w:val="fr-CA"/>
        </w:rPr>
      </w:pPr>
      <w:r w:rsidRPr="002B646A">
        <w:rPr>
          <w:b/>
          <w:lang w:val="fr-CA"/>
        </w:rPr>
        <w:t>Bombardier Aerospace</w:t>
      </w:r>
    </w:p>
    <w:p w:rsidR="00506098" w:rsidRDefault="00506098" w:rsidP="00506098">
      <w:pPr>
        <w:pStyle w:val="SCCLsocPartyRole"/>
        <w:jc w:val="center"/>
      </w:pPr>
      <w:r>
        <w:t>Respondent/Applicant on motion</w:t>
      </w:r>
    </w:p>
    <w:p w:rsidR="00506098" w:rsidRDefault="00506098" w:rsidP="00506098"/>
    <w:p w:rsidR="00506098" w:rsidRDefault="00506098" w:rsidP="00506098"/>
    <w:p w:rsidR="00506098" w:rsidRPr="00705721" w:rsidRDefault="00506098" w:rsidP="00506098">
      <w:pPr>
        <w:jc w:val="center"/>
        <w:rPr>
          <w:b/>
          <w:smallCaps/>
        </w:rPr>
      </w:pPr>
      <w:r>
        <w:rPr>
          <w:b/>
          <w:smallCaps/>
        </w:rPr>
        <w:t>Official English T</w:t>
      </w:r>
      <w:r w:rsidRPr="00705721">
        <w:rPr>
          <w:b/>
          <w:smallCaps/>
        </w:rPr>
        <w:t>ranslation</w:t>
      </w:r>
    </w:p>
    <w:p w:rsidR="00506098" w:rsidRPr="006B210C" w:rsidRDefault="00506098" w:rsidP="00506098"/>
    <w:p w:rsidR="00506098" w:rsidRPr="006B210C" w:rsidRDefault="00506098" w:rsidP="00506098">
      <w:proofErr w:type="gramStart"/>
      <w:r w:rsidRPr="006B210C">
        <w:rPr>
          <w:b/>
          <w:smallCaps/>
        </w:rPr>
        <w:t xml:space="preserve">Coram </w:t>
      </w:r>
      <w:r w:rsidRPr="006B210C">
        <w:t>:</w:t>
      </w:r>
      <w:proofErr w:type="gramEnd"/>
      <w:r w:rsidRPr="006B210C">
        <w:t xml:space="preserve"> </w:t>
      </w:r>
      <w:proofErr w:type="spellStart"/>
      <w:r>
        <w:t>LeBel</w:t>
      </w:r>
      <w:proofErr w:type="spellEnd"/>
      <w:r>
        <w:t xml:space="preserve"> J.</w:t>
      </w:r>
    </w:p>
    <w:p w:rsidR="00506098" w:rsidRPr="006B210C" w:rsidRDefault="00506098" w:rsidP="0050609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506098" w:rsidRPr="006B210C" w:rsidTr="00E71472">
        <w:trPr>
          <w:cantSplit/>
        </w:trPr>
        <w:tc>
          <w:tcPr>
            <w:tcW w:w="3618" w:type="dxa"/>
          </w:tcPr>
          <w:p w:rsidR="00506098" w:rsidRDefault="00506098" w:rsidP="00E71472">
            <w:r w:rsidRPr="006B210C">
              <w:rPr>
                <w:b/>
                <w:smallCaps/>
              </w:rPr>
              <w:t>Reasons for Judgment</w:t>
            </w:r>
            <w:r w:rsidRPr="006B210C">
              <w:t xml:space="preserve"> :</w:t>
            </w:r>
          </w:p>
          <w:p w:rsidR="00506098" w:rsidRDefault="00506098" w:rsidP="00E71472">
            <w:r>
              <w:t>(motion for revision of costs order and for extension of time to serve and file)</w:t>
            </w:r>
          </w:p>
          <w:p w:rsidR="00506098" w:rsidRPr="006B210C" w:rsidRDefault="00506098" w:rsidP="00E71472">
            <w:r>
              <w:t>(</w:t>
            </w:r>
            <w:proofErr w:type="spellStart"/>
            <w:r>
              <w:t>paras</w:t>
            </w:r>
            <w:proofErr w:type="spellEnd"/>
            <w:r>
              <w:t>. 1 to 5)</w:t>
            </w:r>
          </w:p>
        </w:tc>
        <w:tc>
          <w:tcPr>
            <w:tcW w:w="5958" w:type="dxa"/>
          </w:tcPr>
          <w:p w:rsidR="00506098" w:rsidRPr="006B210C" w:rsidRDefault="00506098" w:rsidP="00E71472">
            <w:proofErr w:type="spellStart"/>
            <w:r>
              <w:t>LeBel</w:t>
            </w:r>
            <w:proofErr w:type="spellEnd"/>
            <w:r>
              <w:t xml:space="preserve"> J.</w:t>
            </w:r>
          </w:p>
        </w:tc>
      </w:tr>
    </w:tbl>
    <w:p w:rsidR="00506098" w:rsidRPr="006B210C" w:rsidRDefault="00506098" w:rsidP="00506098">
      <w:r w:rsidRPr="00AA782B">
        <w:rPr>
          <w:noProof/>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mso-position-horizontal-relative:text;mso-position-vertical-relative:text" o:connectortype="straight"/>
        </w:pict>
      </w:r>
    </w:p>
    <w:p w:rsidR="00506098" w:rsidRDefault="00506098">
      <w:pPr>
        <w:rPr>
          <w:lang w:val="fr-CA"/>
        </w:rPr>
      </w:pPr>
      <w:r>
        <w:rPr>
          <w:lang w:val="fr-CA"/>
        </w:rPr>
        <w:br w:type="page"/>
      </w:r>
    </w:p>
    <w:p w:rsidR="008322BD" w:rsidRPr="00601E35" w:rsidRDefault="00601E35" w:rsidP="0035169A">
      <w:pPr>
        <w:spacing w:line="480" w:lineRule="auto"/>
        <w:jc w:val="both"/>
        <w:rPr>
          <w:rStyle w:val="SCCRespondentForRunningHeadChar"/>
          <w:lang w:val="fr-CA"/>
        </w:rPr>
      </w:pPr>
      <w:r w:rsidRPr="00601E35">
        <w:rPr>
          <w:lang w:val="fr-CA"/>
        </w:rPr>
        <w:lastRenderedPageBreak/>
        <w:t xml:space="preserve">Kuwait Airways Corp. </w:t>
      </w:r>
      <w:r w:rsidRPr="00601E35">
        <w:rPr>
          <w:i/>
          <w:lang w:val="fr-CA"/>
        </w:rPr>
        <w:t>v</w:t>
      </w:r>
      <w:r w:rsidRPr="00601E35">
        <w:rPr>
          <w:lang w:val="fr-CA"/>
        </w:rPr>
        <w:t>. Iraq</w:t>
      </w:r>
      <w:r>
        <w:rPr>
          <w:rStyle w:val="SCCAppellantForRunningHeadChar"/>
          <w:lang w:val="fr-CA"/>
        </w:rPr>
        <w:t xml:space="preserve">, </w:t>
      </w:r>
      <w:r w:rsidRPr="00601E35">
        <w:rPr>
          <w:rStyle w:val="SCCRespondentForRunningHeadChar"/>
          <w:lang w:val="fr-CA"/>
        </w:rPr>
        <w:t>2011 SCC 4</w:t>
      </w:r>
      <w:r>
        <w:rPr>
          <w:rStyle w:val="SCCRespondentForRunningHeadChar"/>
          <w:lang w:val="fr-CA"/>
        </w:rPr>
        <w:t>1</w:t>
      </w:r>
      <w:r w:rsidRPr="00601E35">
        <w:rPr>
          <w:rStyle w:val="SCCRespondentForRunningHeadChar"/>
          <w:lang w:val="fr-CA"/>
        </w:rPr>
        <w:t>, [2011] 3 S.C.R. 4</w:t>
      </w:r>
      <w:r>
        <w:rPr>
          <w:rStyle w:val="SCCRespondentForRunningHeadChar"/>
          <w:lang w:val="fr-CA"/>
        </w:rPr>
        <w:t>2</w:t>
      </w:r>
    </w:p>
    <w:p w:rsidR="00BB529E" w:rsidRPr="009E4069" w:rsidRDefault="00BB529E" w:rsidP="00BB529E">
      <w:pPr>
        <w:spacing w:line="480" w:lineRule="auto"/>
        <w:jc w:val="both"/>
        <w:rPr>
          <w:rStyle w:val="SCCRespondentForRunningHeadChar"/>
          <w:lang w:val="fr-CA"/>
        </w:rPr>
      </w:pPr>
    </w:p>
    <w:p w:rsidR="00FC74DD" w:rsidRPr="00080EC7" w:rsidRDefault="001B6C8D" w:rsidP="00BB529E">
      <w:pPr>
        <w:pStyle w:val="SCCLsocParty"/>
        <w:tabs>
          <w:tab w:val="right" w:pos="8280"/>
        </w:tabs>
        <w:spacing w:line="480" w:lineRule="auto"/>
        <w:rPr>
          <w:b w:val="0"/>
          <w:i/>
          <w:lang w:val="fr-CA"/>
        </w:rPr>
      </w:pPr>
      <w:r w:rsidRPr="00080EC7">
        <w:rPr>
          <w:lang w:val="fr-CA"/>
        </w:rPr>
        <w:t>Kuwait Airways Corporation</w:t>
      </w:r>
      <w:r w:rsidR="00BB529E" w:rsidRPr="00080EC7">
        <w:rPr>
          <w:lang w:val="fr-CA"/>
        </w:rPr>
        <w:tab/>
      </w:r>
      <w:proofErr w:type="spellStart"/>
      <w:r w:rsidR="00006836" w:rsidRPr="00080EC7">
        <w:rPr>
          <w:b w:val="0"/>
          <w:i/>
          <w:lang w:val="fr-CA"/>
        </w:rPr>
        <w:t>A</w:t>
      </w:r>
      <w:r w:rsidR="00080EC7" w:rsidRPr="00080EC7">
        <w:rPr>
          <w:b w:val="0"/>
          <w:i/>
          <w:lang w:val="fr-CA"/>
        </w:rPr>
        <w:t>ppellant</w:t>
      </w:r>
      <w:proofErr w:type="spellEnd"/>
      <w:r w:rsidR="00080EC7" w:rsidRPr="00080EC7">
        <w:rPr>
          <w:b w:val="0"/>
          <w:i/>
          <w:lang w:val="fr-CA"/>
        </w:rPr>
        <w:t>/</w:t>
      </w:r>
      <w:proofErr w:type="spellStart"/>
      <w:r w:rsidR="00186A98">
        <w:rPr>
          <w:b w:val="0"/>
          <w:i/>
          <w:lang w:val="fr-CA"/>
        </w:rPr>
        <w:t>R</w:t>
      </w:r>
      <w:r w:rsidR="00080EC7">
        <w:rPr>
          <w:b w:val="0"/>
          <w:i/>
          <w:lang w:val="fr-CA"/>
        </w:rPr>
        <w:t>espondent</w:t>
      </w:r>
      <w:proofErr w:type="spellEnd"/>
      <w:r w:rsidR="00080EC7">
        <w:rPr>
          <w:b w:val="0"/>
          <w:i/>
          <w:lang w:val="fr-CA"/>
        </w:rPr>
        <w:t xml:space="preserve"> </w:t>
      </w:r>
      <w:r w:rsidR="00006836" w:rsidRPr="00080EC7">
        <w:rPr>
          <w:b w:val="0"/>
          <w:i/>
          <w:lang w:val="fr-CA"/>
        </w:rPr>
        <w:t>on motion</w:t>
      </w:r>
    </w:p>
    <w:p w:rsidR="005B5512" w:rsidRPr="00080EC7" w:rsidRDefault="005B5512" w:rsidP="00BB529E">
      <w:pPr>
        <w:pStyle w:val="SCCLsocParty"/>
        <w:tabs>
          <w:tab w:val="right" w:pos="8280"/>
        </w:tabs>
        <w:spacing w:line="480" w:lineRule="auto"/>
        <w:rPr>
          <w:lang w:val="fr-CA"/>
        </w:rPr>
      </w:pPr>
    </w:p>
    <w:p w:rsidR="00FC74DD" w:rsidRPr="009E4069" w:rsidRDefault="00B55BD8" w:rsidP="00BB529E">
      <w:pPr>
        <w:pStyle w:val="SCCLsocVersus"/>
        <w:spacing w:line="480" w:lineRule="auto"/>
        <w:rPr>
          <w:lang w:val="fr-CA"/>
        </w:rPr>
      </w:pPr>
      <w:r w:rsidRPr="009E4069">
        <w:rPr>
          <w:lang w:val="fr-CA"/>
        </w:rPr>
        <w:t>v.</w:t>
      </w:r>
    </w:p>
    <w:p w:rsidR="005B5512" w:rsidRPr="009E4069" w:rsidRDefault="005B5512" w:rsidP="00BB529E">
      <w:pPr>
        <w:pStyle w:val="SCCLsocVersus"/>
        <w:spacing w:line="480" w:lineRule="auto"/>
        <w:rPr>
          <w:lang w:val="fr-CA"/>
        </w:rPr>
      </w:pPr>
    </w:p>
    <w:p w:rsidR="008C59B2" w:rsidRPr="009E4069" w:rsidRDefault="00E16BF0" w:rsidP="00BB529E">
      <w:pPr>
        <w:pStyle w:val="SCCLsocParty"/>
        <w:tabs>
          <w:tab w:val="right" w:pos="8280"/>
        </w:tabs>
        <w:spacing w:line="480" w:lineRule="auto"/>
        <w:rPr>
          <w:b w:val="0"/>
          <w:i/>
          <w:lang w:val="fr-CA"/>
        </w:rPr>
      </w:pPr>
      <w:proofErr w:type="spellStart"/>
      <w:r w:rsidRPr="009E4069">
        <w:rPr>
          <w:lang w:val="fr-CA"/>
        </w:rPr>
        <w:t>Republic</w:t>
      </w:r>
      <w:proofErr w:type="spellEnd"/>
      <w:r w:rsidRPr="009E4069">
        <w:rPr>
          <w:lang w:val="fr-CA"/>
        </w:rPr>
        <w:t xml:space="preserve"> of Iraq </w:t>
      </w:r>
      <w:r w:rsidRPr="009E4069">
        <w:rPr>
          <w:i/>
          <w:lang w:val="fr-CA"/>
        </w:rPr>
        <w:tab/>
      </w:r>
      <w:proofErr w:type="spellStart"/>
      <w:r w:rsidRPr="009E4069">
        <w:rPr>
          <w:b w:val="0"/>
          <w:i/>
          <w:lang w:val="fr-CA"/>
        </w:rPr>
        <w:t>Respondent</w:t>
      </w:r>
      <w:proofErr w:type="spellEnd"/>
      <w:r w:rsidRPr="009E4069">
        <w:rPr>
          <w:b w:val="0"/>
          <w:i/>
          <w:lang w:val="fr-CA"/>
        </w:rPr>
        <w:t>/</w:t>
      </w:r>
      <w:proofErr w:type="spellStart"/>
      <w:r w:rsidRPr="009E4069">
        <w:rPr>
          <w:b w:val="0"/>
          <w:i/>
          <w:lang w:val="fr-CA"/>
        </w:rPr>
        <w:t>Respondent</w:t>
      </w:r>
      <w:proofErr w:type="spellEnd"/>
      <w:r w:rsidRPr="009E4069">
        <w:rPr>
          <w:b w:val="0"/>
          <w:i/>
          <w:lang w:val="fr-CA"/>
        </w:rPr>
        <w:t xml:space="preserve"> on motion</w:t>
      </w:r>
    </w:p>
    <w:p w:rsidR="00AE1041" w:rsidRPr="009E4069" w:rsidRDefault="00AE1041" w:rsidP="00527529">
      <w:pPr>
        <w:spacing w:line="480" w:lineRule="auto"/>
        <w:rPr>
          <w:lang w:val="fr-CA"/>
        </w:rPr>
      </w:pPr>
    </w:p>
    <w:p w:rsidR="00E16BF0" w:rsidRPr="009E4069" w:rsidRDefault="00E16BF0" w:rsidP="00527529">
      <w:pPr>
        <w:spacing w:line="480" w:lineRule="auto"/>
        <w:rPr>
          <w:lang w:val="fr-CA"/>
        </w:rPr>
      </w:pPr>
      <w:proofErr w:type="gramStart"/>
      <w:r w:rsidRPr="009E4069">
        <w:rPr>
          <w:lang w:val="fr-CA"/>
        </w:rPr>
        <w:t>and</w:t>
      </w:r>
      <w:proofErr w:type="gramEnd"/>
    </w:p>
    <w:p w:rsidR="00E16BF0" w:rsidRPr="009E4069" w:rsidRDefault="00E16BF0" w:rsidP="00527529">
      <w:pPr>
        <w:spacing w:line="480" w:lineRule="auto"/>
        <w:rPr>
          <w:lang w:val="fr-CA"/>
        </w:rPr>
      </w:pPr>
    </w:p>
    <w:p w:rsidR="005B5512" w:rsidRPr="008C59B2" w:rsidRDefault="008C59B2" w:rsidP="00BB529E">
      <w:pPr>
        <w:pStyle w:val="SCCLsocParty"/>
        <w:tabs>
          <w:tab w:val="right" w:pos="8280"/>
        </w:tabs>
        <w:spacing w:line="480" w:lineRule="auto"/>
        <w:rPr>
          <w:lang w:val="fr-CA"/>
        </w:rPr>
      </w:pPr>
      <w:r w:rsidRPr="008C59B2">
        <w:rPr>
          <w:lang w:val="fr-CA"/>
        </w:rPr>
        <w:t>Bombardier Aerospace</w:t>
      </w:r>
      <w:r w:rsidR="00BB529E" w:rsidRPr="008C59B2">
        <w:rPr>
          <w:i/>
          <w:lang w:val="fr-CA"/>
        </w:rPr>
        <w:tab/>
      </w:r>
      <w:proofErr w:type="spellStart"/>
      <w:r w:rsidR="00006836" w:rsidRPr="008C59B2">
        <w:rPr>
          <w:b w:val="0"/>
          <w:i/>
          <w:lang w:val="fr-CA"/>
        </w:rPr>
        <w:t>Respondent</w:t>
      </w:r>
      <w:proofErr w:type="spellEnd"/>
      <w:r w:rsidR="00E16BF0">
        <w:rPr>
          <w:b w:val="0"/>
          <w:i/>
          <w:lang w:val="fr-CA"/>
        </w:rPr>
        <w:t>/</w:t>
      </w:r>
      <w:proofErr w:type="spellStart"/>
      <w:r w:rsidR="00E16BF0">
        <w:rPr>
          <w:b w:val="0"/>
          <w:i/>
          <w:lang w:val="fr-CA"/>
        </w:rPr>
        <w:t>Applicant</w:t>
      </w:r>
      <w:proofErr w:type="spellEnd"/>
      <w:r w:rsidR="00006836" w:rsidRPr="008C59B2">
        <w:rPr>
          <w:b w:val="0"/>
          <w:i/>
          <w:lang w:val="fr-CA"/>
        </w:rPr>
        <w:t xml:space="preserve"> on motion</w:t>
      </w:r>
    </w:p>
    <w:p w:rsidR="00766D14" w:rsidRPr="008C59B2" w:rsidRDefault="00766D14" w:rsidP="00BB529E">
      <w:pPr>
        <w:spacing w:line="480" w:lineRule="auto"/>
        <w:jc w:val="both"/>
        <w:rPr>
          <w:lang w:val="fr-CA"/>
        </w:rPr>
      </w:pPr>
    </w:p>
    <w:p w:rsidR="00426659" w:rsidRPr="00506098" w:rsidRDefault="00426659" w:rsidP="00BB529E">
      <w:pPr>
        <w:spacing w:line="480" w:lineRule="auto"/>
        <w:jc w:val="both"/>
        <w:rPr>
          <w:b/>
          <w:lang w:val="fr-CA"/>
        </w:rPr>
      </w:pPr>
      <w:proofErr w:type="spellStart"/>
      <w:r w:rsidRPr="00506098">
        <w:rPr>
          <w:b/>
          <w:lang w:val="fr-CA"/>
        </w:rPr>
        <w:t>Indexed</w:t>
      </w:r>
      <w:proofErr w:type="spellEnd"/>
      <w:r w:rsidRPr="00506098">
        <w:rPr>
          <w:b/>
          <w:lang w:val="fr-CA"/>
        </w:rPr>
        <w:t xml:space="preserve"> as:</w:t>
      </w:r>
      <w:proofErr w:type="gramStart"/>
      <w:r w:rsidR="00207586" w:rsidRPr="00506098">
        <w:rPr>
          <w:b/>
          <w:lang w:val="fr-CA"/>
        </w:rPr>
        <w:t>  </w:t>
      </w:r>
      <w:r w:rsidR="008C59B2" w:rsidRPr="00506098">
        <w:rPr>
          <w:b/>
          <w:lang w:val="fr-CA"/>
        </w:rPr>
        <w:t>Kuwait</w:t>
      </w:r>
      <w:proofErr w:type="gramEnd"/>
      <w:r w:rsidR="008C59B2" w:rsidRPr="00506098">
        <w:rPr>
          <w:b/>
          <w:lang w:val="fr-CA"/>
        </w:rPr>
        <w:t xml:space="preserve"> Airways Corp. </w:t>
      </w:r>
      <w:r w:rsidR="008C59B2" w:rsidRPr="00506098">
        <w:rPr>
          <w:b/>
          <w:i/>
          <w:lang w:val="fr-CA"/>
        </w:rPr>
        <w:t>v</w:t>
      </w:r>
      <w:r w:rsidR="008C59B2" w:rsidRPr="00506098">
        <w:rPr>
          <w:b/>
          <w:lang w:val="fr-CA"/>
        </w:rPr>
        <w:t>. Iraq</w:t>
      </w:r>
    </w:p>
    <w:p w:rsidR="00426659" w:rsidRPr="00506098" w:rsidRDefault="00426659" w:rsidP="00BB529E">
      <w:pPr>
        <w:spacing w:line="480" w:lineRule="auto"/>
        <w:jc w:val="both"/>
        <w:rPr>
          <w:lang w:val="fr-CA"/>
        </w:rPr>
      </w:pPr>
    </w:p>
    <w:p w:rsidR="00426659" w:rsidRPr="00C02092" w:rsidRDefault="007F3F08" w:rsidP="00BB529E">
      <w:pPr>
        <w:pStyle w:val="SCCSystemYear"/>
        <w:spacing w:line="480" w:lineRule="auto"/>
        <w:jc w:val="both"/>
      </w:pPr>
      <w:r>
        <w:t>201</w:t>
      </w:r>
      <w:r w:rsidR="00790720">
        <w:t>1</w:t>
      </w:r>
      <w:r w:rsidR="003D0399">
        <w:t xml:space="preserve"> </w:t>
      </w:r>
      <w:r w:rsidR="00426659" w:rsidRPr="00C02092">
        <w:t>SCC </w:t>
      </w:r>
      <w:r w:rsidR="00511F25">
        <w:t>41</w:t>
      </w:r>
    </w:p>
    <w:p w:rsidR="00426659" w:rsidRDefault="00426659" w:rsidP="00BB529E">
      <w:pPr>
        <w:spacing w:line="480" w:lineRule="auto"/>
        <w:jc w:val="both"/>
      </w:pPr>
    </w:p>
    <w:p w:rsidR="008322BD" w:rsidRDefault="00245F53" w:rsidP="00BB529E">
      <w:pPr>
        <w:spacing w:line="480" w:lineRule="auto"/>
        <w:jc w:val="both"/>
      </w:pPr>
      <w:r>
        <w:t>File No.:  </w:t>
      </w:r>
      <w:r w:rsidR="005873D8">
        <w:t>3</w:t>
      </w:r>
      <w:r w:rsidR="008C59B2">
        <w:t>3145</w:t>
      </w:r>
      <w:r w:rsidR="009B57B3" w:rsidRPr="001426A9">
        <w:t>.</w:t>
      </w:r>
    </w:p>
    <w:p w:rsidR="00E97830" w:rsidRDefault="00E97830" w:rsidP="00BB529E">
      <w:pPr>
        <w:spacing w:line="480" w:lineRule="auto"/>
        <w:jc w:val="both"/>
      </w:pPr>
    </w:p>
    <w:p w:rsidR="008322BD" w:rsidRDefault="00245F53" w:rsidP="00BB529E">
      <w:pPr>
        <w:spacing w:line="480" w:lineRule="auto"/>
        <w:jc w:val="both"/>
      </w:pPr>
      <w:r>
        <w:t>201</w:t>
      </w:r>
      <w:r w:rsidR="00933D77">
        <w:t>1</w:t>
      </w:r>
      <w:r>
        <w:t>:  </w:t>
      </w:r>
      <w:r w:rsidR="008C59B2">
        <w:t xml:space="preserve">July </w:t>
      </w:r>
      <w:r w:rsidR="00511F25">
        <w:t>28</w:t>
      </w:r>
      <w:r w:rsidR="009B57B3" w:rsidRPr="001426A9">
        <w:t>.</w:t>
      </w:r>
    </w:p>
    <w:p w:rsidR="00E97830" w:rsidRDefault="00E97830" w:rsidP="00BB529E">
      <w:pPr>
        <w:spacing w:line="480" w:lineRule="auto"/>
        <w:jc w:val="both"/>
      </w:pPr>
    </w:p>
    <w:p w:rsidR="008322BD" w:rsidRDefault="00207586" w:rsidP="00BB529E">
      <w:pPr>
        <w:spacing w:line="480" w:lineRule="auto"/>
        <w:jc w:val="both"/>
      </w:pPr>
      <w:r>
        <w:t>Present:  </w:t>
      </w:r>
      <w:r w:rsidR="008C59B2">
        <w:t xml:space="preserve">LeBel </w:t>
      </w:r>
      <w:r w:rsidR="009B57B3" w:rsidRPr="001426A9">
        <w:t>J.</w:t>
      </w:r>
    </w:p>
    <w:p w:rsidR="00F97A41" w:rsidRPr="002C3C3B" w:rsidRDefault="00F97A41" w:rsidP="00BB529E">
      <w:pPr>
        <w:spacing w:line="480" w:lineRule="auto"/>
        <w:jc w:val="both"/>
        <w:rPr>
          <w:szCs w:val="24"/>
        </w:rPr>
      </w:pPr>
    </w:p>
    <w:p w:rsidR="00E97830" w:rsidRPr="002C3C3B" w:rsidRDefault="00006836" w:rsidP="00AE1041">
      <w:pPr>
        <w:jc w:val="both"/>
        <w:rPr>
          <w:smallCaps/>
          <w:szCs w:val="24"/>
        </w:rPr>
      </w:pPr>
      <w:r>
        <w:rPr>
          <w:smallCaps/>
          <w:szCs w:val="24"/>
        </w:rPr>
        <w:lastRenderedPageBreak/>
        <w:t>motion</w:t>
      </w:r>
      <w:r w:rsidR="002C3C3B" w:rsidRPr="002C3C3B">
        <w:rPr>
          <w:smallCaps/>
          <w:szCs w:val="24"/>
        </w:rPr>
        <w:t xml:space="preserve"> </w:t>
      </w:r>
      <w:r w:rsidR="00511F25">
        <w:rPr>
          <w:smallCaps/>
          <w:szCs w:val="24"/>
        </w:rPr>
        <w:t xml:space="preserve">for revision </w:t>
      </w:r>
      <w:r w:rsidR="008C59B2">
        <w:rPr>
          <w:smallCaps/>
          <w:szCs w:val="24"/>
        </w:rPr>
        <w:t xml:space="preserve">of costs </w:t>
      </w:r>
      <w:r w:rsidR="00511F25">
        <w:rPr>
          <w:smallCaps/>
          <w:szCs w:val="24"/>
        </w:rPr>
        <w:t xml:space="preserve">order </w:t>
      </w:r>
      <w:r w:rsidR="008C59B2">
        <w:rPr>
          <w:smallCaps/>
          <w:szCs w:val="24"/>
        </w:rPr>
        <w:t xml:space="preserve">and </w:t>
      </w:r>
      <w:r w:rsidR="00511F25">
        <w:rPr>
          <w:smallCaps/>
          <w:szCs w:val="24"/>
        </w:rPr>
        <w:t>for extension of</w:t>
      </w:r>
      <w:r w:rsidR="00186A98">
        <w:rPr>
          <w:smallCaps/>
          <w:szCs w:val="24"/>
        </w:rPr>
        <w:t xml:space="preserve"> time to </w:t>
      </w:r>
      <w:r w:rsidR="00E96093">
        <w:rPr>
          <w:smallCaps/>
          <w:szCs w:val="24"/>
        </w:rPr>
        <w:t>serve and file</w:t>
      </w:r>
    </w:p>
    <w:p w:rsidR="00FC74DD" w:rsidRPr="002C3C3B" w:rsidRDefault="00FC74DD" w:rsidP="00051790">
      <w:pPr>
        <w:pStyle w:val="SCCNormalDoubleSpacing"/>
        <w:rPr>
          <w:szCs w:val="24"/>
        </w:rPr>
      </w:pPr>
    </w:p>
    <w:p w:rsidR="008C59B2" w:rsidRDefault="00C05CA8" w:rsidP="00C05CA8">
      <w:pPr>
        <w:pStyle w:val="SCCNormalDoubleSpacing"/>
        <w:tabs>
          <w:tab w:val="left" w:pos="1170"/>
        </w:tabs>
        <w:spacing w:after="480"/>
      </w:pPr>
      <w:r w:rsidRPr="00583EDE">
        <w:tab/>
      </w:r>
      <w:r w:rsidR="009C3F17">
        <w:rPr>
          <w:i/>
          <w:iCs/>
        </w:rPr>
        <w:t>Courts</w:t>
      </w:r>
      <w:r w:rsidR="008C59B2" w:rsidRPr="00511F25">
        <w:rPr>
          <w:i/>
          <w:iCs/>
        </w:rPr>
        <w:t xml:space="preserve"> </w:t>
      </w:r>
      <w:r w:rsidR="007B1AC8">
        <w:rPr>
          <w:i/>
          <w:iCs/>
        </w:rPr>
        <w:t>—</w:t>
      </w:r>
      <w:r w:rsidR="008C59B2" w:rsidRPr="00511F25">
        <w:rPr>
          <w:i/>
          <w:iCs/>
        </w:rPr>
        <w:t xml:space="preserve"> Supreme Court of Canada </w:t>
      </w:r>
      <w:r w:rsidR="007B1AC8">
        <w:rPr>
          <w:i/>
          <w:iCs/>
        </w:rPr>
        <w:t>—</w:t>
      </w:r>
      <w:r w:rsidR="009C3F17">
        <w:rPr>
          <w:i/>
          <w:iCs/>
        </w:rPr>
        <w:t xml:space="preserve"> C</w:t>
      </w:r>
      <w:r w:rsidR="008C59B2" w:rsidRPr="00511F25">
        <w:rPr>
          <w:i/>
          <w:iCs/>
        </w:rPr>
        <w:t xml:space="preserve">osts </w:t>
      </w:r>
      <w:r w:rsidR="007B1AC8">
        <w:rPr>
          <w:i/>
          <w:iCs/>
        </w:rPr>
        <w:t>—</w:t>
      </w:r>
      <w:r w:rsidR="00511F25">
        <w:rPr>
          <w:i/>
          <w:iCs/>
        </w:rPr>
        <w:t xml:space="preserve"> Appeal allowed with costs throughout</w:t>
      </w:r>
      <w:r w:rsidR="00511F25" w:rsidRPr="00511F25">
        <w:rPr>
          <w:i/>
          <w:iCs/>
        </w:rPr>
        <w:t xml:space="preserve"> </w:t>
      </w:r>
      <w:r w:rsidR="007B1AC8">
        <w:rPr>
          <w:i/>
          <w:iCs/>
        </w:rPr>
        <w:t>—</w:t>
      </w:r>
      <w:r w:rsidR="00511F25">
        <w:rPr>
          <w:i/>
          <w:iCs/>
        </w:rPr>
        <w:t xml:space="preserve"> Whether costs award applied to respondent, </w:t>
      </w:r>
      <w:proofErr w:type="spellStart"/>
      <w:r w:rsidR="00511F25">
        <w:rPr>
          <w:i/>
          <w:iCs/>
        </w:rPr>
        <w:t>mis</w:t>
      </w:r>
      <w:proofErr w:type="spellEnd"/>
      <w:r w:rsidR="007B1AC8">
        <w:rPr>
          <w:i/>
          <w:iCs/>
        </w:rPr>
        <w:t xml:space="preserve"> </w:t>
      </w:r>
      <w:r w:rsidR="00511F25">
        <w:rPr>
          <w:i/>
          <w:iCs/>
        </w:rPr>
        <w:t>en</w:t>
      </w:r>
      <w:r w:rsidR="007B1AC8">
        <w:rPr>
          <w:i/>
          <w:iCs/>
        </w:rPr>
        <w:t xml:space="preserve"> </w:t>
      </w:r>
      <w:r w:rsidR="00511F25">
        <w:rPr>
          <w:i/>
          <w:iCs/>
        </w:rPr>
        <w:t xml:space="preserve">cause in lower court, which did not participate in proceedings before Court </w:t>
      </w:r>
      <w:r w:rsidR="007B1AC8">
        <w:rPr>
          <w:i/>
          <w:iCs/>
        </w:rPr>
        <w:t>—</w:t>
      </w:r>
      <w:r w:rsidR="00F24195">
        <w:rPr>
          <w:i/>
          <w:iCs/>
        </w:rPr>
        <w:t xml:space="preserve"> </w:t>
      </w:r>
      <w:r w:rsidR="00511F25" w:rsidRPr="00511F25">
        <w:rPr>
          <w:i/>
          <w:iCs/>
        </w:rPr>
        <w:t>Rules of the Supreme Court of Canada, SOR/2002-156, r. 47</w:t>
      </w:r>
      <w:r w:rsidR="00511F25">
        <w:rPr>
          <w:i/>
          <w:iCs/>
        </w:rPr>
        <w:t>.</w:t>
      </w:r>
    </w:p>
    <w:p w:rsidR="00186A98" w:rsidRDefault="00186A98" w:rsidP="00186A98">
      <w:pPr>
        <w:pStyle w:val="SCCNormalDoubleSpacing"/>
        <w:rPr>
          <w:b/>
          <w:bCs/>
          <w:szCs w:val="24"/>
          <w:lang w:val="en-US"/>
        </w:rPr>
      </w:pPr>
      <w:r w:rsidRPr="00186A98">
        <w:rPr>
          <w:b/>
          <w:bCs/>
          <w:szCs w:val="24"/>
          <w:lang w:val="en-US"/>
        </w:rPr>
        <w:t>Cases Cited</w:t>
      </w:r>
    </w:p>
    <w:p w:rsidR="00AE1041" w:rsidRPr="00186A98" w:rsidRDefault="00AE1041" w:rsidP="00186A98">
      <w:pPr>
        <w:pStyle w:val="SCCNormalDoubleSpacing"/>
        <w:rPr>
          <w:szCs w:val="24"/>
          <w:lang w:val="en-US"/>
        </w:rPr>
      </w:pPr>
    </w:p>
    <w:p w:rsidR="00186A98" w:rsidRDefault="00186A98" w:rsidP="007B1AC8">
      <w:pPr>
        <w:pStyle w:val="SCCNormalDoubleSpacing"/>
        <w:tabs>
          <w:tab w:val="left" w:pos="1170"/>
        </w:tabs>
        <w:ind w:firstLine="1170"/>
        <w:rPr>
          <w:lang w:val="en-US"/>
        </w:rPr>
      </w:pPr>
      <w:r w:rsidRPr="00186A98">
        <w:rPr>
          <w:b/>
          <w:bCs/>
          <w:szCs w:val="24"/>
          <w:lang w:val="en-US"/>
        </w:rPr>
        <w:t>Referred to:</w:t>
      </w:r>
      <w:r w:rsidRPr="00186A98">
        <w:rPr>
          <w:szCs w:val="24"/>
          <w:lang w:val="en-US"/>
        </w:rPr>
        <w:t> </w:t>
      </w:r>
      <w:r w:rsidRPr="00186A98">
        <w:rPr>
          <w:i/>
          <w:lang w:val="en-US"/>
        </w:rPr>
        <w:t>Kuwait Airways Corp.</w:t>
      </w:r>
      <w:r>
        <w:rPr>
          <w:i/>
          <w:lang w:val="en-US"/>
        </w:rPr>
        <w:t xml:space="preserve"> v</w:t>
      </w:r>
      <w:r w:rsidRPr="00186A98">
        <w:rPr>
          <w:i/>
          <w:lang w:val="en-US"/>
        </w:rPr>
        <w:t>. Ira</w:t>
      </w:r>
      <w:r w:rsidR="00511F25">
        <w:rPr>
          <w:i/>
          <w:lang w:val="en-US"/>
        </w:rPr>
        <w:t>q</w:t>
      </w:r>
      <w:r w:rsidRPr="00186A98">
        <w:rPr>
          <w:lang w:val="en-US"/>
        </w:rPr>
        <w:t xml:space="preserve">, 2010 </w:t>
      </w:r>
      <w:r>
        <w:rPr>
          <w:lang w:val="en-US"/>
        </w:rPr>
        <w:t>S</w:t>
      </w:r>
      <w:r w:rsidRPr="00186A98">
        <w:rPr>
          <w:lang w:val="en-US"/>
        </w:rPr>
        <w:t xml:space="preserve">CC 40, [2010] 2 </w:t>
      </w:r>
      <w:r>
        <w:rPr>
          <w:lang w:val="en-US"/>
        </w:rPr>
        <w:t>S.C.R</w:t>
      </w:r>
      <w:r w:rsidRPr="00186A98">
        <w:rPr>
          <w:lang w:val="en-US"/>
        </w:rPr>
        <w:t>. 571</w:t>
      </w:r>
      <w:r>
        <w:rPr>
          <w:lang w:val="en-US"/>
        </w:rPr>
        <w:t>.</w:t>
      </w:r>
    </w:p>
    <w:p w:rsidR="00AE1041" w:rsidRPr="00186A98" w:rsidRDefault="00AE1041" w:rsidP="00186A98">
      <w:pPr>
        <w:pStyle w:val="SCCNormalDoubleSpacing"/>
        <w:ind w:firstLine="720"/>
        <w:rPr>
          <w:szCs w:val="24"/>
          <w:lang w:val="en-US"/>
        </w:rPr>
      </w:pPr>
    </w:p>
    <w:p w:rsidR="00436875" w:rsidRPr="008A40CD" w:rsidRDefault="00436875" w:rsidP="00436875">
      <w:pPr>
        <w:pStyle w:val="SCCNormalDoubleSpacing"/>
        <w:spacing w:line="240" w:lineRule="auto"/>
        <w:rPr>
          <w:b/>
        </w:rPr>
      </w:pPr>
      <w:r w:rsidRPr="008A40CD">
        <w:rPr>
          <w:b/>
        </w:rPr>
        <w:t>Statutes and Regulations Cited</w:t>
      </w:r>
    </w:p>
    <w:p w:rsidR="00436875" w:rsidRDefault="00436875" w:rsidP="00436875">
      <w:pPr>
        <w:pStyle w:val="SCCNormalDoubleSpacing"/>
        <w:spacing w:line="240" w:lineRule="auto"/>
      </w:pPr>
    </w:p>
    <w:p w:rsidR="00436875" w:rsidRDefault="00F52EF1" w:rsidP="007B1AC8">
      <w:pPr>
        <w:pStyle w:val="SCCNormalDoubleSpacing"/>
        <w:spacing w:after="720" w:line="240" w:lineRule="auto"/>
        <w:ind w:left="720" w:hanging="720"/>
      </w:pPr>
      <w:proofErr w:type="gramStart"/>
      <w:r>
        <w:rPr>
          <w:i/>
        </w:rPr>
        <w:t xml:space="preserve">Rules of the </w:t>
      </w:r>
      <w:r w:rsidR="00436875" w:rsidRPr="00370678">
        <w:rPr>
          <w:i/>
        </w:rPr>
        <w:t xml:space="preserve">Supreme Court </w:t>
      </w:r>
      <w:r>
        <w:rPr>
          <w:i/>
        </w:rPr>
        <w:t>of Canada</w:t>
      </w:r>
      <w:r w:rsidR="00436875">
        <w:t xml:space="preserve">, </w:t>
      </w:r>
      <w:r w:rsidR="00186A98">
        <w:t>SOR/2002-156</w:t>
      </w:r>
      <w:r w:rsidR="007B1AC8">
        <w:t>, r. 47</w:t>
      </w:r>
      <w:r w:rsidR="00436875">
        <w:t>.</w:t>
      </w:r>
      <w:proofErr w:type="gramEnd"/>
    </w:p>
    <w:p w:rsidR="00AE5E57" w:rsidRDefault="00F97A41" w:rsidP="007B1AC8">
      <w:pPr>
        <w:pStyle w:val="SCCNormalDoubleSpacing"/>
        <w:tabs>
          <w:tab w:val="left" w:pos="1170"/>
        </w:tabs>
      </w:pPr>
      <w:r w:rsidRPr="00933D77">
        <w:tab/>
      </w:r>
      <w:proofErr w:type="gramStart"/>
      <w:r w:rsidR="00006836">
        <w:t>MOTION</w:t>
      </w:r>
      <w:r w:rsidRPr="008A40CD">
        <w:t xml:space="preserve"> </w:t>
      </w:r>
      <w:r w:rsidR="00511F25">
        <w:t>for revision</w:t>
      </w:r>
      <w:r w:rsidR="008C59B2">
        <w:t xml:space="preserve"> of costs </w:t>
      </w:r>
      <w:r w:rsidR="00511F25">
        <w:t xml:space="preserve">order </w:t>
      </w:r>
      <w:r w:rsidR="008C59B2">
        <w:t xml:space="preserve">and </w:t>
      </w:r>
      <w:r w:rsidR="00511F25">
        <w:t>for extension of</w:t>
      </w:r>
      <w:r w:rsidR="008C59B2">
        <w:t xml:space="preserve"> </w:t>
      </w:r>
      <w:r w:rsidR="00E96093">
        <w:t>time to serve and file</w:t>
      </w:r>
      <w:r w:rsidR="008C59B2">
        <w:t>.</w:t>
      </w:r>
      <w:proofErr w:type="gramEnd"/>
      <w:r w:rsidR="008C59B2">
        <w:t xml:space="preserve">  Motion granted</w:t>
      </w:r>
      <w:r w:rsidR="00120812">
        <w:t xml:space="preserve"> in part</w:t>
      </w:r>
      <w:r w:rsidR="008C59B2">
        <w:t>.</w:t>
      </w:r>
      <w:r w:rsidR="00E96093">
        <w:t xml:space="preserve"> </w:t>
      </w:r>
    </w:p>
    <w:p w:rsidR="008A40CD" w:rsidRDefault="008A40CD" w:rsidP="00051790">
      <w:pPr>
        <w:pStyle w:val="SCCNormalDoubleSpacing"/>
      </w:pPr>
    </w:p>
    <w:p w:rsidR="00186A98" w:rsidRPr="00186A98" w:rsidRDefault="00B55BD8" w:rsidP="007B1AC8">
      <w:pPr>
        <w:pStyle w:val="SCCNormalDoubleSpacing"/>
        <w:tabs>
          <w:tab w:val="left" w:pos="1170"/>
        </w:tabs>
        <w:rPr>
          <w:i/>
          <w:lang w:val="en-US"/>
        </w:rPr>
      </w:pPr>
      <w:r>
        <w:rPr>
          <w:rStyle w:val="SCCCounselNameChar"/>
        </w:rPr>
        <w:tab/>
      </w:r>
      <w:proofErr w:type="gramStart"/>
      <w:r w:rsidR="00DB759B" w:rsidRPr="00DB759B">
        <w:rPr>
          <w:rStyle w:val="SCCCounselNameChar"/>
          <w:i w:val="0"/>
        </w:rPr>
        <w:t>Written submissions by</w:t>
      </w:r>
      <w:r w:rsidR="00DB759B">
        <w:rPr>
          <w:rStyle w:val="SCCCounselNameChar"/>
        </w:rPr>
        <w:t xml:space="preserve"> </w:t>
      </w:r>
      <w:r w:rsidR="00186A98">
        <w:rPr>
          <w:rStyle w:val="SCCCounselNameChar"/>
        </w:rPr>
        <w:t xml:space="preserve">Laurent </w:t>
      </w:r>
      <w:r w:rsidR="007B1AC8">
        <w:rPr>
          <w:rStyle w:val="SCCCounselNameChar"/>
        </w:rPr>
        <w:t xml:space="preserve">G. </w:t>
      </w:r>
      <w:r w:rsidR="00186A98">
        <w:rPr>
          <w:rStyle w:val="SCCCounselNameChar"/>
        </w:rPr>
        <w:t>Fortier</w:t>
      </w:r>
      <w:r w:rsidR="00037CD2" w:rsidRPr="00857828">
        <w:rPr>
          <w:rStyle w:val="SCCCounselPartyRoleChar"/>
        </w:rPr>
        <w:t>,</w:t>
      </w:r>
      <w:r w:rsidRPr="00857828">
        <w:rPr>
          <w:rStyle w:val="SCCCounselPartyRoleChar"/>
        </w:rPr>
        <w:t xml:space="preserve"> for </w:t>
      </w:r>
      <w:r w:rsidR="00D57B72">
        <w:rPr>
          <w:rStyle w:val="SCCCounselPartyRoleChar"/>
        </w:rPr>
        <w:t>Kuwait Airways Corporation</w:t>
      </w:r>
      <w:r w:rsidR="00186A98" w:rsidRPr="00186A98">
        <w:rPr>
          <w:lang w:val="en-US"/>
        </w:rPr>
        <w:t>.</w:t>
      </w:r>
      <w:proofErr w:type="gramEnd"/>
    </w:p>
    <w:p w:rsidR="00F97A41" w:rsidRPr="00857828" w:rsidRDefault="00F97A41" w:rsidP="00051790">
      <w:pPr>
        <w:pStyle w:val="SCCNormalDoubleSpacing"/>
      </w:pPr>
    </w:p>
    <w:p w:rsidR="003E00AD" w:rsidRDefault="00245F53" w:rsidP="007B1AC8">
      <w:pPr>
        <w:pStyle w:val="SCCNormalDoubleSpacing"/>
        <w:tabs>
          <w:tab w:val="left" w:pos="1170"/>
        </w:tabs>
        <w:rPr>
          <w:rStyle w:val="SCCCounselPartyRoleChar"/>
        </w:rPr>
      </w:pPr>
      <w:r w:rsidRPr="00857828">
        <w:rPr>
          <w:rStyle w:val="SCCCounselNameChar"/>
        </w:rPr>
        <w:tab/>
      </w:r>
      <w:proofErr w:type="gramStart"/>
      <w:r w:rsidR="00DB759B" w:rsidRPr="00DB759B">
        <w:rPr>
          <w:rStyle w:val="SCCCounselNameChar"/>
          <w:i w:val="0"/>
        </w:rPr>
        <w:t>Written submissions by</w:t>
      </w:r>
      <w:r w:rsidR="00DB759B">
        <w:rPr>
          <w:rStyle w:val="SCCCounselNameChar"/>
        </w:rPr>
        <w:t xml:space="preserve"> </w:t>
      </w:r>
      <w:r w:rsidR="00186A98">
        <w:rPr>
          <w:rStyle w:val="SCCCounselNameChar"/>
        </w:rPr>
        <w:t xml:space="preserve">Michel G. </w:t>
      </w:r>
      <w:proofErr w:type="spellStart"/>
      <w:r w:rsidR="00186A98">
        <w:rPr>
          <w:rStyle w:val="SCCCounselNameChar"/>
        </w:rPr>
        <w:t>Sylvestre</w:t>
      </w:r>
      <w:proofErr w:type="spellEnd"/>
      <w:r w:rsidR="00186A98">
        <w:rPr>
          <w:rStyle w:val="SCCCounselNameChar"/>
        </w:rPr>
        <w:t xml:space="preserve"> </w:t>
      </w:r>
      <w:r w:rsidR="00186A98" w:rsidRPr="00186A98">
        <w:rPr>
          <w:rStyle w:val="SCCCounselNameChar"/>
          <w:i w:val="0"/>
        </w:rPr>
        <w:t>and</w:t>
      </w:r>
      <w:r w:rsidR="00186A98">
        <w:rPr>
          <w:rStyle w:val="SCCCounselNameChar"/>
        </w:rPr>
        <w:t xml:space="preserve"> </w:t>
      </w:r>
      <w:r w:rsidR="00186A98" w:rsidRPr="00186A98">
        <w:rPr>
          <w:rStyle w:val="SCCCounselPartyRoleChar"/>
          <w:i/>
        </w:rPr>
        <w:t xml:space="preserve">Mercedes </w:t>
      </w:r>
      <w:proofErr w:type="spellStart"/>
      <w:r w:rsidR="00186A98" w:rsidRPr="00186A98">
        <w:rPr>
          <w:rStyle w:val="SCCCounselPartyRoleChar"/>
          <w:i/>
        </w:rPr>
        <w:t>Glockseisen</w:t>
      </w:r>
      <w:proofErr w:type="spellEnd"/>
      <w:r w:rsidR="00B55BD8" w:rsidRPr="00857828">
        <w:rPr>
          <w:rStyle w:val="SCCCounselPartyRoleChar"/>
        </w:rPr>
        <w:t xml:space="preserve">, for </w:t>
      </w:r>
      <w:r w:rsidR="00D57B72">
        <w:rPr>
          <w:rStyle w:val="SCCCounselPartyRoleChar"/>
        </w:rPr>
        <w:t>Bombardier Aerospace</w:t>
      </w:r>
      <w:r w:rsidR="00B55BD8" w:rsidRPr="00857828">
        <w:rPr>
          <w:rStyle w:val="SCCCounselPartyRoleChar"/>
        </w:rPr>
        <w:t>.</w:t>
      </w:r>
      <w:proofErr w:type="gramEnd"/>
    </w:p>
    <w:p w:rsidR="00D57B72" w:rsidRDefault="00D57B72" w:rsidP="00F97A41">
      <w:pPr>
        <w:pStyle w:val="SCCNormalDoubleSpacing"/>
        <w:rPr>
          <w:rStyle w:val="SCCCounselPartyRoleChar"/>
        </w:rPr>
      </w:pPr>
    </w:p>
    <w:p w:rsidR="00D57B72" w:rsidRDefault="00D57B72" w:rsidP="007B1AC8">
      <w:pPr>
        <w:pStyle w:val="SCCNormalDoubleSpacing"/>
        <w:tabs>
          <w:tab w:val="left" w:pos="1170"/>
        </w:tabs>
        <w:rPr>
          <w:rStyle w:val="SCCCounselPartyRoleChar"/>
        </w:rPr>
      </w:pPr>
      <w:r>
        <w:rPr>
          <w:rStyle w:val="SCCCounselPartyRoleChar"/>
        </w:rPr>
        <w:tab/>
        <w:t xml:space="preserve">No submissions made by </w:t>
      </w:r>
      <w:r w:rsidR="007B1AC8">
        <w:rPr>
          <w:rStyle w:val="SCCCounselPartyRoleChar"/>
        </w:rPr>
        <w:t xml:space="preserve">the </w:t>
      </w:r>
      <w:r>
        <w:rPr>
          <w:rStyle w:val="SCCCounselPartyRoleChar"/>
        </w:rPr>
        <w:t>Republic of Iraq.</w:t>
      </w:r>
    </w:p>
    <w:p w:rsidR="007B1AC8" w:rsidRDefault="007B1AC8" w:rsidP="00F97A41">
      <w:pPr>
        <w:pStyle w:val="SCCNormalDoubleSpacing"/>
        <w:rPr>
          <w:rStyle w:val="SCCCounselPartyRoleChar"/>
        </w:rPr>
      </w:pPr>
    </w:p>
    <w:p w:rsidR="0027485D" w:rsidRDefault="007B1AC8" w:rsidP="007B1AC8">
      <w:pPr>
        <w:widowControl w:val="0"/>
        <w:tabs>
          <w:tab w:val="left" w:pos="1170"/>
        </w:tabs>
      </w:pPr>
      <w:r>
        <w:tab/>
        <w:t>English version of the order delivered by</w:t>
      </w:r>
    </w:p>
    <w:p w:rsidR="007B1AC8" w:rsidRPr="006E6C05" w:rsidRDefault="007B1AC8" w:rsidP="0027485D">
      <w:pPr>
        <w:widowControl w:val="0"/>
      </w:pPr>
    </w:p>
    <w:p w:rsidR="0027485D" w:rsidRPr="0027485D" w:rsidRDefault="007B1AC8" w:rsidP="0027485D">
      <w:pPr>
        <w:pStyle w:val="ParaNoNdepar-AltN"/>
        <w:rPr>
          <w:lang w:val="en-US"/>
        </w:rPr>
      </w:pPr>
      <w:proofErr w:type="spellStart"/>
      <w:r w:rsidRPr="007B1AC8">
        <w:rPr>
          <w:smallCaps/>
          <w:lang w:val="en-US"/>
        </w:rPr>
        <w:t>LeBel</w:t>
      </w:r>
      <w:proofErr w:type="spellEnd"/>
      <w:r w:rsidRPr="007B1AC8">
        <w:rPr>
          <w:smallCaps/>
          <w:lang w:val="en-US"/>
        </w:rPr>
        <w:t xml:space="preserve"> J. </w:t>
      </w:r>
      <w:r>
        <w:rPr>
          <w:rFonts w:cs="Times New Roman"/>
          <w:smallCaps/>
          <w:lang w:val="en-US"/>
        </w:rPr>
        <w:t>—</w:t>
      </w:r>
      <w:r>
        <w:rPr>
          <w:smallCaps/>
          <w:lang w:val="en-US"/>
        </w:rPr>
        <w:t xml:space="preserve"> </w:t>
      </w:r>
      <w:r w:rsidR="0027485D" w:rsidRPr="00B7057A">
        <w:rPr>
          <w:lang w:val="en-CA"/>
        </w:rPr>
        <w:t xml:space="preserve">The respondent, </w:t>
      </w:r>
      <w:proofErr w:type="spellStart"/>
      <w:r w:rsidR="0027485D" w:rsidRPr="00CD64A7">
        <w:rPr>
          <w:i/>
          <w:lang w:val="en-CA"/>
        </w:rPr>
        <w:t>mis</w:t>
      </w:r>
      <w:proofErr w:type="spellEnd"/>
      <w:r w:rsidRPr="00CD64A7">
        <w:rPr>
          <w:i/>
          <w:lang w:val="en-CA"/>
        </w:rPr>
        <w:t xml:space="preserve"> </w:t>
      </w:r>
      <w:r w:rsidR="0027485D" w:rsidRPr="00CD64A7">
        <w:rPr>
          <w:i/>
          <w:lang w:val="en-CA"/>
        </w:rPr>
        <w:t>en</w:t>
      </w:r>
      <w:r w:rsidRPr="00CD64A7">
        <w:rPr>
          <w:i/>
          <w:lang w:val="en-CA"/>
        </w:rPr>
        <w:t xml:space="preserve"> </w:t>
      </w:r>
      <w:r w:rsidR="0027485D" w:rsidRPr="00CD64A7">
        <w:rPr>
          <w:i/>
          <w:lang w:val="en-CA"/>
        </w:rPr>
        <w:t>cause</w:t>
      </w:r>
      <w:r w:rsidR="0027485D" w:rsidRPr="00B7057A">
        <w:rPr>
          <w:lang w:val="en-CA"/>
        </w:rPr>
        <w:t xml:space="preserve">, Bombardier Aerospace </w:t>
      </w:r>
      <w:r w:rsidR="0027485D">
        <w:rPr>
          <w:lang w:val="en-CA"/>
        </w:rPr>
        <w:t>has made a motion under r</w:t>
      </w:r>
      <w:r w:rsidR="0027485D" w:rsidRPr="00B7057A">
        <w:rPr>
          <w:lang w:val="en-CA"/>
        </w:rPr>
        <w:t xml:space="preserve">. 47 of the </w:t>
      </w:r>
      <w:r w:rsidR="0027485D" w:rsidRPr="00B7057A">
        <w:rPr>
          <w:i/>
          <w:lang w:val="en-CA"/>
        </w:rPr>
        <w:t>Rules of the Supreme Court of Canada</w:t>
      </w:r>
      <w:r w:rsidR="0027485D" w:rsidRPr="00B7057A">
        <w:rPr>
          <w:lang w:val="en-CA"/>
        </w:rPr>
        <w:t xml:space="preserve">, SOR/2002-156, </w:t>
      </w:r>
      <w:r w:rsidR="0027485D">
        <w:rPr>
          <w:lang w:val="en-CA"/>
        </w:rPr>
        <w:t xml:space="preserve">to resolve an issue relating to the </w:t>
      </w:r>
      <w:r w:rsidR="0027485D" w:rsidRPr="00B7057A">
        <w:rPr>
          <w:lang w:val="en-CA"/>
        </w:rPr>
        <w:t xml:space="preserve">taxation </w:t>
      </w:r>
      <w:r w:rsidR="0027485D">
        <w:rPr>
          <w:lang w:val="en-CA"/>
        </w:rPr>
        <w:t>of costs in the appeal</w:t>
      </w:r>
      <w:r w:rsidR="0027485D" w:rsidRPr="00B7057A">
        <w:rPr>
          <w:lang w:val="en-CA"/>
        </w:rPr>
        <w:t xml:space="preserve">. </w:t>
      </w:r>
      <w:r w:rsidR="0027485D">
        <w:rPr>
          <w:lang w:val="en-CA"/>
        </w:rPr>
        <w:t xml:space="preserve"> It also asks for an extension of time to serve and make this motion</w:t>
      </w:r>
      <w:r w:rsidR="0027485D" w:rsidRPr="00B7057A">
        <w:rPr>
          <w:lang w:val="en-CA"/>
        </w:rPr>
        <w:t xml:space="preserve">. </w:t>
      </w:r>
      <w:r w:rsidR="0027485D">
        <w:rPr>
          <w:lang w:val="en-CA"/>
        </w:rPr>
        <w:t xml:space="preserve"> The appellant</w:t>
      </w:r>
      <w:r w:rsidR="0027485D" w:rsidRPr="00B7057A">
        <w:rPr>
          <w:lang w:val="en-CA"/>
        </w:rPr>
        <w:t xml:space="preserve">, Kuwait Airways Corporation, </w:t>
      </w:r>
      <w:r w:rsidR="0027485D">
        <w:rPr>
          <w:lang w:val="en-CA"/>
        </w:rPr>
        <w:t xml:space="preserve">which succeeded in this appeal </w:t>
      </w:r>
      <w:r w:rsidR="0027485D" w:rsidRPr="00B7057A">
        <w:rPr>
          <w:lang w:val="en-CA"/>
        </w:rPr>
        <w:t>(</w:t>
      </w:r>
      <w:r w:rsidR="0027485D">
        <w:rPr>
          <w:lang w:val="en-CA"/>
        </w:rPr>
        <w:t>see</w:t>
      </w:r>
      <w:r w:rsidR="0027485D" w:rsidRPr="00B7057A">
        <w:rPr>
          <w:lang w:val="en-CA"/>
        </w:rPr>
        <w:t xml:space="preserve"> </w:t>
      </w:r>
      <w:r w:rsidR="0027485D" w:rsidRPr="00B7057A">
        <w:rPr>
          <w:i/>
          <w:lang w:val="en-CA"/>
        </w:rPr>
        <w:t xml:space="preserve">Kuwait Airways Corp. </w:t>
      </w:r>
      <w:r w:rsidR="0027485D">
        <w:rPr>
          <w:i/>
          <w:lang w:val="en-CA"/>
        </w:rPr>
        <w:t>v</w:t>
      </w:r>
      <w:r w:rsidR="0027485D" w:rsidRPr="00B7057A">
        <w:rPr>
          <w:i/>
          <w:lang w:val="en-CA"/>
        </w:rPr>
        <w:t>. Ira</w:t>
      </w:r>
      <w:r w:rsidR="0027485D">
        <w:rPr>
          <w:i/>
          <w:lang w:val="en-CA"/>
        </w:rPr>
        <w:t>q</w:t>
      </w:r>
      <w:r w:rsidR="0027485D" w:rsidRPr="00B7057A">
        <w:rPr>
          <w:lang w:val="en-CA"/>
        </w:rPr>
        <w:t>, 2010 S</w:t>
      </w:r>
      <w:r w:rsidR="0027485D">
        <w:rPr>
          <w:lang w:val="en-CA"/>
        </w:rPr>
        <w:t>CC 40, [2010] 2 S</w:t>
      </w:r>
      <w:r w:rsidR="0027485D" w:rsidRPr="00B7057A">
        <w:rPr>
          <w:lang w:val="en-CA"/>
        </w:rPr>
        <w:t>.C.</w:t>
      </w:r>
      <w:r w:rsidR="0027485D">
        <w:rPr>
          <w:lang w:val="en-CA"/>
        </w:rPr>
        <w:t>R</w:t>
      </w:r>
      <w:r w:rsidR="0027485D" w:rsidRPr="00B7057A">
        <w:rPr>
          <w:lang w:val="en-CA"/>
        </w:rPr>
        <w:t>. 571)</w:t>
      </w:r>
      <w:r w:rsidR="0027485D">
        <w:rPr>
          <w:lang w:val="en-CA"/>
        </w:rPr>
        <w:t>, takes no</w:t>
      </w:r>
      <w:r w:rsidR="0027485D" w:rsidRPr="00B7057A">
        <w:rPr>
          <w:lang w:val="en-CA"/>
        </w:rPr>
        <w:t xml:space="preserve"> position </w:t>
      </w:r>
      <w:r w:rsidR="0027485D">
        <w:rPr>
          <w:lang w:val="en-CA"/>
        </w:rPr>
        <w:t>on this motion and defers to this Court’s decision</w:t>
      </w:r>
      <w:r w:rsidR="0027485D" w:rsidRPr="0027485D">
        <w:rPr>
          <w:lang w:val="en-US"/>
        </w:rPr>
        <w:t>.</w:t>
      </w:r>
    </w:p>
    <w:p w:rsidR="0027485D" w:rsidRPr="0027485D" w:rsidRDefault="0027485D" w:rsidP="0027485D">
      <w:pPr>
        <w:pStyle w:val="ParaNoNdepar-AltN"/>
        <w:tabs>
          <w:tab w:val="clear" w:pos="1152"/>
          <w:tab w:val="left" w:pos="1166"/>
        </w:tabs>
        <w:rPr>
          <w:lang w:val="en-US"/>
        </w:rPr>
      </w:pPr>
      <w:r>
        <w:rPr>
          <w:lang w:val="en-CA"/>
        </w:rPr>
        <w:t xml:space="preserve">In its judgment, this Court allowed the appeal of </w:t>
      </w:r>
      <w:r w:rsidRPr="00B7057A">
        <w:rPr>
          <w:lang w:val="en-CA"/>
        </w:rPr>
        <w:t xml:space="preserve">Kuwait Airways Corporation </w:t>
      </w:r>
      <w:r>
        <w:rPr>
          <w:lang w:val="en-CA"/>
        </w:rPr>
        <w:t>with costs throughout</w:t>
      </w:r>
      <w:r w:rsidRPr="00B7057A">
        <w:rPr>
          <w:lang w:val="en-CA"/>
        </w:rPr>
        <w:t xml:space="preserve">. </w:t>
      </w:r>
      <w:r>
        <w:rPr>
          <w:lang w:val="en-CA"/>
        </w:rPr>
        <w:t xml:space="preserve"> The appellant’s bill of costs was filed for </w:t>
      </w:r>
      <w:r w:rsidRPr="00B7057A">
        <w:rPr>
          <w:lang w:val="en-CA"/>
        </w:rPr>
        <w:t xml:space="preserve">taxation </w:t>
      </w:r>
      <w:r>
        <w:rPr>
          <w:lang w:val="en-CA"/>
        </w:rPr>
        <w:t xml:space="preserve">against the </w:t>
      </w:r>
      <w:r w:rsidRPr="00B7057A">
        <w:rPr>
          <w:lang w:val="en-CA"/>
        </w:rPr>
        <w:t>R</w:t>
      </w:r>
      <w:r>
        <w:rPr>
          <w:lang w:val="en-CA"/>
        </w:rPr>
        <w:t>e</w:t>
      </w:r>
      <w:r w:rsidRPr="00B7057A">
        <w:rPr>
          <w:lang w:val="en-CA"/>
        </w:rPr>
        <w:t>publi</w:t>
      </w:r>
      <w:r>
        <w:rPr>
          <w:lang w:val="en-CA"/>
        </w:rPr>
        <w:t>c</w:t>
      </w:r>
      <w:r w:rsidRPr="00B7057A">
        <w:rPr>
          <w:lang w:val="en-CA"/>
        </w:rPr>
        <w:t xml:space="preserve"> </w:t>
      </w:r>
      <w:r>
        <w:rPr>
          <w:lang w:val="en-CA"/>
        </w:rPr>
        <w:t xml:space="preserve">of </w:t>
      </w:r>
      <w:r w:rsidRPr="00B7057A">
        <w:rPr>
          <w:lang w:val="en-CA"/>
        </w:rPr>
        <w:t>Ira</w:t>
      </w:r>
      <w:r>
        <w:rPr>
          <w:lang w:val="en-CA"/>
        </w:rPr>
        <w:t>q</w:t>
      </w:r>
      <w:r w:rsidRPr="00B7057A">
        <w:rPr>
          <w:lang w:val="en-CA"/>
        </w:rPr>
        <w:t xml:space="preserve"> </w:t>
      </w:r>
      <w:r>
        <w:rPr>
          <w:lang w:val="en-CA"/>
        </w:rPr>
        <w:t xml:space="preserve">and </w:t>
      </w:r>
      <w:r w:rsidRPr="00B7057A">
        <w:rPr>
          <w:lang w:val="en-CA"/>
        </w:rPr>
        <w:t>Bombardier A</w:t>
      </w:r>
      <w:r>
        <w:rPr>
          <w:lang w:val="en-CA"/>
        </w:rPr>
        <w:t>e</w:t>
      </w:r>
      <w:r w:rsidRPr="00B7057A">
        <w:rPr>
          <w:lang w:val="en-CA"/>
        </w:rPr>
        <w:t>ro</w:t>
      </w:r>
      <w:r>
        <w:rPr>
          <w:lang w:val="en-CA"/>
        </w:rPr>
        <w:t>space</w:t>
      </w:r>
      <w:r w:rsidRPr="00B7057A">
        <w:rPr>
          <w:lang w:val="en-CA"/>
        </w:rPr>
        <w:t xml:space="preserve">, </w:t>
      </w:r>
      <w:r>
        <w:rPr>
          <w:lang w:val="en-CA"/>
        </w:rPr>
        <w:t xml:space="preserve">both of which were respondents in this </w:t>
      </w:r>
      <w:r w:rsidRPr="00B7057A">
        <w:rPr>
          <w:lang w:val="en-CA"/>
        </w:rPr>
        <w:t>Cour</w:t>
      </w:r>
      <w:r>
        <w:rPr>
          <w:lang w:val="en-CA"/>
        </w:rPr>
        <w:t>t</w:t>
      </w:r>
      <w:r w:rsidRPr="00B7057A">
        <w:rPr>
          <w:lang w:val="en-CA"/>
        </w:rPr>
        <w:t>.</w:t>
      </w:r>
      <w:r>
        <w:rPr>
          <w:lang w:val="en-CA"/>
        </w:rPr>
        <w:t xml:space="preserve">  Prior to the Court’s judgment, Bombardier Aerospace had made no representations with respect either to its status in this Court or to the </w:t>
      </w:r>
      <w:r w:rsidRPr="00B7057A">
        <w:rPr>
          <w:lang w:val="en-CA"/>
        </w:rPr>
        <w:t xml:space="preserve">conclusions </w:t>
      </w:r>
      <w:r>
        <w:rPr>
          <w:lang w:val="en-CA"/>
        </w:rPr>
        <w:t xml:space="preserve">that might be granted in a judgment of the </w:t>
      </w:r>
      <w:r w:rsidRPr="00B7057A">
        <w:rPr>
          <w:lang w:val="en-CA"/>
        </w:rPr>
        <w:t>Cour</w:t>
      </w:r>
      <w:r>
        <w:rPr>
          <w:lang w:val="en-CA"/>
        </w:rPr>
        <w:t>t</w:t>
      </w:r>
      <w:r w:rsidRPr="00B7057A">
        <w:rPr>
          <w:lang w:val="en-CA"/>
        </w:rPr>
        <w:t xml:space="preserve">, </w:t>
      </w:r>
      <w:r>
        <w:rPr>
          <w:lang w:val="en-CA"/>
        </w:rPr>
        <w:t xml:space="preserve">which would have been an appropriate </w:t>
      </w:r>
      <w:r w:rsidRPr="00B7057A">
        <w:rPr>
          <w:lang w:val="en-CA"/>
        </w:rPr>
        <w:t>pr</w:t>
      </w:r>
      <w:r>
        <w:rPr>
          <w:lang w:val="en-CA"/>
        </w:rPr>
        <w:t>e</w:t>
      </w:r>
      <w:r w:rsidRPr="00B7057A">
        <w:rPr>
          <w:lang w:val="en-CA"/>
        </w:rPr>
        <w:t>caution</w:t>
      </w:r>
      <w:r>
        <w:rPr>
          <w:lang w:val="en-CA"/>
        </w:rPr>
        <w:t xml:space="preserve"> to take</w:t>
      </w:r>
      <w:r w:rsidRPr="0027485D">
        <w:rPr>
          <w:lang w:val="en-US"/>
        </w:rPr>
        <w:t>.</w:t>
      </w:r>
    </w:p>
    <w:p w:rsidR="0027485D" w:rsidRPr="0027485D" w:rsidRDefault="0027485D" w:rsidP="0027485D">
      <w:pPr>
        <w:pStyle w:val="ParaNoNdepar-AltN"/>
        <w:tabs>
          <w:tab w:val="clear" w:pos="1152"/>
          <w:tab w:val="left" w:pos="1166"/>
        </w:tabs>
        <w:rPr>
          <w:lang w:val="en-US"/>
        </w:rPr>
      </w:pPr>
      <w:r>
        <w:rPr>
          <w:lang w:val="en-CA"/>
        </w:rPr>
        <w:t xml:space="preserve">Nevertheless, although </w:t>
      </w:r>
      <w:r w:rsidRPr="00B7057A">
        <w:rPr>
          <w:lang w:val="en-CA"/>
        </w:rPr>
        <w:t>Bombardier A</w:t>
      </w:r>
      <w:r>
        <w:rPr>
          <w:lang w:val="en-CA"/>
        </w:rPr>
        <w:t>erospace was designated a respondent under this Court’s rules of procedure</w:t>
      </w:r>
      <w:r w:rsidRPr="00B7057A">
        <w:rPr>
          <w:lang w:val="en-CA"/>
        </w:rPr>
        <w:t xml:space="preserve">, </w:t>
      </w:r>
      <w:r>
        <w:rPr>
          <w:lang w:val="en-CA"/>
        </w:rPr>
        <w:t xml:space="preserve">it did not participate in the </w:t>
      </w:r>
      <w:r>
        <w:rPr>
          <w:lang w:val="en-CA"/>
        </w:rPr>
        <w:lastRenderedPageBreak/>
        <w:t>proceedings before the Court</w:t>
      </w:r>
      <w:r w:rsidRPr="00B7057A">
        <w:rPr>
          <w:lang w:val="en-CA"/>
        </w:rPr>
        <w:t xml:space="preserve">. </w:t>
      </w:r>
      <w:r>
        <w:rPr>
          <w:lang w:val="en-CA"/>
        </w:rPr>
        <w:t xml:space="preserve"> In these circumstances, to infer that the Court intended to also award costs against </w:t>
      </w:r>
      <w:r w:rsidRPr="00B7057A">
        <w:rPr>
          <w:lang w:val="en-CA"/>
        </w:rPr>
        <w:t xml:space="preserve">Bombardier </w:t>
      </w:r>
      <w:r>
        <w:rPr>
          <w:lang w:val="en-CA"/>
        </w:rPr>
        <w:t>Aerospace would be to unduly expand the scope of its conclusion</w:t>
      </w:r>
      <w:r w:rsidRPr="00B7057A">
        <w:rPr>
          <w:lang w:val="en-CA"/>
        </w:rPr>
        <w:t xml:space="preserve">. </w:t>
      </w:r>
      <w:r>
        <w:rPr>
          <w:lang w:val="en-CA"/>
        </w:rPr>
        <w:t xml:space="preserve"> The Court awarded costs to the appellant without specifying that the award was against all the respondents</w:t>
      </w:r>
      <w:r w:rsidRPr="00B7057A">
        <w:rPr>
          <w:lang w:val="en-CA"/>
        </w:rPr>
        <w:t xml:space="preserve">. </w:t>
      </w:r>
      <w:r>
        <w:rPr>
          <w:lang w:val="en-CA"/>
        </w:rPr>
        <w:t xml:space="preserve"> Its judgment necessarily concerned the Republic of Iraq alone, and not </w:t>
      </w:r>
      <w:r w:rsidRPr="00B7057A">
        <w:rPr>
          <w:lang w:val="en-CA"/>
        </w:rPr>
        <w:t xml:space="preserve">Bombardier </w:t>
      </w:r>
      <w:r>
        <w:rPr>
          <w:lang w:val="en-CA"/>
        </w:rPr>
        <w:t>Aerospace</w:t>
      </w:r>
      <w:r w:rsidRPr="00B7057A">
        <w:rPr>
          <w:lang w:val="en-CA"/>
        </w:rPr>
        <w:t xml:space="preserve">, </w:t>
      </w:r>
      <w:r>
        <w:rPr>
          <w:lang w:val="en-CA"/>
        </w:rPr>
        <w:t xml:space="preserve">which did not participate in the proceedings before it, and the Court had no reason to award costs against </w:t>
      </w:r>
      <w:r w:rsidRPr="00B7057A">
        <w:rPr>
          <w:lang w:val="en-CA"/>
        </w:rPr>
        <w:t xml:space="preserve">Bombardier </w:t>
      </w:r>
      <w:r>
        <w:rPr>
          <w:lang w:val="en-CA"/>
        </w:rPr>
        <w:t xml:space="preserve">Aerospace in the </w:t>
      </w:r>
      <w:r w:rsidRPr="00B7057A">
        <w:rPr>
          <w:lang w:val="en-CA"/>
        </w:rPr>
        <w:t>circ</w:t>
      </w:r>
      <w:r>
        <w:rPr>
          <w:lang w:val="en-CA"/>
        </w:rPr>
        <w:t>um</w:t>
      </w:r>
      <w:r w:rsidRPr="00B7057A">
        <w:rPr>
          <w:lang w:val="en-CA"/>
        </w:rPr>
        <w:t>stances</w:t>
      </w:r>
      <w:r w:rsidRPr="0027485D">
        <w:rPr>
          <w:lang w:val="en-US"/>
        </w:rPr>
        <w:t>.</w:t>
      </w:r>
    </w:p>
    <w:p w:rsidR="0027485D" w:rsidRPr="0027485D" w:rsidRDefault="0027485D" w:rsidP="0027485D">
      <w:pPr>
        <w:pStyle w:val="ParaNoNdepar-AltN"/>
        <w:tabs>
          <w:tab w:val="clear" w:pos="1152"/>
          <w:tab w:val="left" w:pos="1166"/>
        </w:tabs>
        <w:rPr>
          <w:lang w:val="en-US"/>
        </w:rPr>
      </w:pPr>
      <w:r w:rsidRPr="00B7057A">
        <w:rPr>
          <w:lang w:val="en-CA"/>
        </w:rPr>
        <w:t xml:space="preserve">Bombardier </w:t>
      </w:r>
      <w:r>
        <w:rPr>
          <w:lang w:val="en-CA"/>
        </w:rPr>
        <w:t xml:space="preserve">Aerospace could of course have exercised greater </w:t>
      </w:r>
      <w:r w:rsidRPr="00B7057A">
        <w:rPr>
          <w:lang w:val="en-CA"/>
        </w:rPr>
        <w:t xml:space="preserve">diligence </w:t>
      </w:r>
      <w:r>
        <w:rPr>
          <w:lang w:val="en-CA"/>
        </w:rPr>
        <w:t>regarding this issue of costs</w:t>
      </w:r>
      <w:r w:rsidRPr="00B7057A">
        <w:rPr>
          <w:lang w:val="en-CA"/>
        </w:rPr>
        <w:t xml:space="preserve">. </w:t>
      </w:r>
      <w:r>
        <w:rPr>
          <w:lang w:val="en-CA"/>
        </w:rPr>
        <w:t xml:space="preserve"> However, discussions about it have been under way for several months in various forms and with various people at the Court</w:t>
      </w:r>
      <w:r w:rsidRPr="00B7057A">
        <w:rPr>
          <w:lang w:val="en-CA"/>
        </w:rPr>
        <w:t xml:space="preserve">. </w:t>
      </w:r>
      <w:r>
        <w:rPr>
          <w:lang w:val="en-CA"/>
        </w:rPr>
        <w:t xml:space="preserve"> What is more, the appellant has not raised the lateness of this proceeding</w:t>
      </w:r>
      <w:r w:rsidRPr="00B7057A">
        <w:rPr>
          <w:lang w:val="en-CA"/>
        </w:rPr>
        <w:t xml:space="preserve">. </w:t>
      </w:r>
      <w:r>
        <w:rPr>
          <w:lang w:val="en-CA"/>
        </w:rPr>
        <w:t xml:space="preserve"> </w:t>
      </w:r>
      <w:r w:rsidRPr="00B7057A">
        <w:rPr>
          <w:lang w:val="en-CA"/>
        </w:rPr>
        <w:t>I</w:t>
      </w:r>
      <w:r>
        <w:rPr>
          <w:lang w:val="en-CA"/>
        </w:rPr>
        <w:t xml:space="preserve">t would accordingly be inappropriate to deny the extension of time sought by </w:t>
      </w:r>
      <w:r w:rsidRPr="00B7057A">
        <w:rPr>
          <w:lang w:val="en-CA"/>
        </w:rPr>
        <w:t xml:space="preserve">Bombardier </w:t>
      </w:r>
      <w:r>
        <w:rPr>
          <w:lang w:val="en-CA"/>
        </w:rPr>
        <w:t>Aerospace</w:t>
      </w:r>
      <w:r w:rsidRPr="0027485D">
        <w:rPr>
          <w:lang w:val="en-US"/>
        </w:rPr>
        <w:t>.</w:t>
      </w:r>
    </w:p>
    <w:p w:rsidR="0027485D" w:rsidRPr="007B1AC8" w:rsidRDefault="0027485D" w:rsidP="0027485D">
      <w:pPr>
        <w:pStyle w:val="ParaNoNdepar-AltN"/>
        <w:tabs>
          <w:tab w:val="clear" w:pos="1152"/>
          <w:tab w:val="left" w:pos="1166"/>
        </w:tabs>
        <w:rPr>
          <w:lang w:val="en-US"/>
        </w:rPr>
      </w:pPr>
      <w:r>
        <w:rPr>
          <w:lang w:val="en-CA"/>
        </w:rPr>
        <w:t xml:space="preserve">For these reasons, the motion of the respondent, </w:t>
      </w:r>
      <w:proofErr w:type="spellStart"/>
      <w:r w:rsidRPr="0075258E">
        <w:rPr>
          <w:i/>
          <w:lang w:val="en-CA"/>
        </w:rPr>
        <w:t>mis</w:t>
      </w:r>
      <w:proofErr w:type="spellEnd"/>
      <w:r w:rsidR="007B1AC8" w:rsidRPr="0075258E">
        <w:rPr>
          <w:i/>
          <w:lang w:val="en-CA"/>
        </w:rPr>
        <w:t xml:space="preserve"> </w:t>
      </w:r>
      <w:r w:rsidRPr="0075258E">
        <w:rPr>
          <w:i/>
          <w:lang w:val="en-CA"/>
        </w:rPr>
        <w:t>en</w:t>
      </w:r>
      <w:r w:rsidR="007B1AC8" w:rsidRPr="0075258E">
        <w:rPr>
          <w:i/>
          <w:lang w:val="en-CA"/>
        </w:rPr>
        <w:t xml:space="preserve"> </w:t>
      </w:r>
      <w:r w:rsidRPr="0075258E">
        <w:rPr>
          <w:i/>
          <w:lang w:val="en-CA"/>
        </w:rPr>
        <w:t>cause</w:t>
      </w:r>
      <w:r>
        <w:rPr>
          <w:lang w:val="en-CA"/>
        </w:rPr>
        <w:t>, Bombardier Aerospace is granted in part in order to extend the time to serve and file the motion and to declare that the award of costs does not apply to the respondent</w:t>
      </w:r>
      <w:r w:rsidRPr="00B7057A">
        <w:rPr>
          <w:lang w:val="en-CA"/>
        </w:rPr>
        <w:t xml:space="preserve">, </w:t>
      </w:r>
      <w:proofErr w:type="spellStart"/>
      <w:r w:rsidRPr="0075258E">
        <w:rPr>
          <w:i/>
          <w:lang w:val="en-CA"/>
        </w:rPr>
        <w:t>mis</w:t>
      </w:r>
      <w:proofErr w:type="spellEnd"/>
      <w:r w:rsidR="007B1AC8" w:rsidRPr="0075258E">
        <w:rPr>
          <w:i/>
          <w:lang w:val="en-CA"/>
        </w:rPr>
        <w:t xml:space="preserve"> </w:t>
      </w:r>
      <w:r w:rsidRPr="0075258E">
        <w:rPr>
          <w:i/>
          <w:lang w:val="en-CA"/>
        </w:rPr>
        <w:t>en</w:t>
      </w:r>
      <w:r w:rsidR="007B1AC8" w:rsidRPr="0075258E">
        <w:rPr>
          <w:i/>
          <w:lang w:val="en-CA"/>
        </w:rPr>
        <w:t xml:space="preserve"> </w:t>
      </w:r>
      <w:r w:rsidRPr="0075258E">
        <w:rPr>
          <w:i/>
          <w:lang w:val="en-CA"/>
        </w:rPr>
        <w:t>cause</w:t>
      </w:r>
      <w:r w:rsidRPr="00B7057A">
        <w:rPr>
          <w:lang w:val="en-CA"/>
        </w:rPr>
        <w:t xml:space="preserve">, Bombardier </w:t>
      </w:r>
      <w:r>
        <w:rPr>
          <w:lang w:val="en-CA"/>
        </w:rPr>
        <w:t>Aerospace and that the bill of costs may not be taxed against it.</w:t>
      </w:r>
      <w:r w:rsidRPr="00B7057A">
        <w:rPr>
          <w:lang w:val="en-CA"/>
        </w:rPr>
        <w:t xml:space="preserve"> </w:t>
      </w:r>
      <w:r>
        <w:rPr>
          <w:lang w:val="en-CA"/>
        </w:rPr>
        <w:t xml:space="preserve"> Costs will not be awarded on this motion</w:t>
      </w:r>
      <w:r w:rsidRPr="007B1AC8">
        <w:rPr>
          <w:lang w:val="en-US"/>
        </w:rPr>
        <w:t>.</w:t>
      </w:r>
    </w:p>
    <w:p w:rsidR="006F2601" w:rsidRDefault="006F2601" w:rsidP="007B1AC8">
      <w:pPr>
        <w:pStyle w:val="SCCNormalDoubleSpacing"/>
        <w:tabs>
          <w:tab w:val="left" w:pos="1170"/>
        </w:tabs>
        <w:rPr>
          <w:i/>
        </w:rPr>
      </w:pPr>
      <w:r w:rsidRPr="001426A9">
        <w:tab/>
      </w:r>
      <w:r w:rsidR="001A6FB1">
        <w:rPr>
          <w:i/>
        </w:rPr>
        <w:t>Order accordingly.</w:t>
      </w:r>
    </w:p>
    <w:p w:rsidR="006F2601" w:rsidRDefault="006F2601" w:rsidP="006F2601">
      <w:pPr>
        <w:pStyle w:val="SCCNormalDoubleSpacing"/>
        <w:rPr>
          <w:rStyle w:val="SCCCounselPartyRoleChar"/>
        </w:rPr>
      </w:pPr>
    </w:p>
    <w:p w:rsidR="006F2601" w:rsidRPr="00857828" w:rsidRDefault="007B1AC8" w:rsidP="007B1AC8">
      <w:pPr>
        <w:pStyle w:val="SCCLawFirm"/>
        <w:tabs>
          <w:tab w:val="left" w:pos="1170"/>
        </w:tabs>
        <w:ind w:firstLine="720"/>
      </w:pPr>
      <w:r>
        <w:tab/>
      </w:r>
      <w:r w:rsidR="006F2601" w:rsidRPr="00857828">
        <w:t xml:space="preserve">Solicitors for </w:t>
      </w:r>
      <w:r w:rsidR="00D57B72">
        <w:rPr>
          <w:rStyle w:val="SCCCounselPartyRoleChar"/>
        </w:rPr>
        <w:t>Kuwait Airways Corporation</w:t>
      </w:r>
      <w:r w:rsidR="006F2601" w:rsidRPr="00857828">
        <w:t>:  </w:t>
      </w:r>
      <w:proofErr w:type="spellStart"/>
      <w:r w:rsidR="006F2601">
        <w:t>Stikeman</w:t>
      </w:r>
      <w:proofErr w:type="spellEnd"/>
      <w:r w:rsidR="006F2601">
        <w:t xml:space="preserve"> Elliott, Montreal.</w:t>
      </w:r>
    </w:p>
    <w:p w:rsidR="006F2601" w:rsidRPr="00857828" w:rsidRDefault="006F2601" w:rsidP="006F2601">
      <w:pPr>
        <w:pStyle w:val="SCCLawFirm"/>
      </w:pPr>
    </w:p>
    <w:p w:rsidR="006F2601" w:rsidRDefault="007B1AC8" w:rsidP="007B1AC8">
      <w:pPr>
        <w:pStyle w:val="SCCLawFirm"/>
        <w:tabs>
          <w:tab w:val="left" w:pos="1170"/>
        </w:tabs>
      </w:pPr>
      <w:r>
        <w:tab/>
      </w:r>
      <w:r w:rsidR="006F2601" w:rsidRPr="00857828">
        <w:t>Solicitor</w:t>
      </w:r>
      <w:r w:rsidR="006F2601">
        <w:t>s</w:t>
      </w:r>
      <w:r w:rsidR="006F2601" w:rsidRPr="00857828">
        <w:t xml:space="preserve"> for </w:t>
      </w:r>
      <w:r w:rsidR="00D57B72">
        <w:rPr>
          <w:rStyle w:val="SCCCounselPartyRoleChar"/>
        </w:rPr>
        <w:t>Bombardier Aerospace</w:t>
      </w:r>
      <w:r w:rsidR="006F2601" w:rsidRPr="00857828">
        <w:t>:  </w:t>
      </w:r>
      <w:r w:rsidR="009E4069">
        <w:t>Norton Rose OR</w:t>
      </w:r>
      <w:r w:rsidR="006F2601">
        <w:t>, Montreal.</w:t>
      </w:r>
    </w:p>
    <w:sectPr w:rsidR="006F2601" w:rsidSect="00A86904">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601" w:rsidRDefault="006F2601">
      <w:r>
        <w:separator/>
      </w:r>
    </w:p>
  </w:endnote>
  <w:endnote w:type="continuationSeparator" w:id="0">
    <w:p w:rsidR="006F2601" w:rsidRDefault="006F26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601" w:rsidRDefault="006F2601">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601" w:rsidRDefault="006F2601">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601" w:rsidRDefault="006F2601">
      <w:r>
        <w:separator/>
      </w:r>
    </w:p>
  </w:footnote>
  <w:footnote w:type="continuationSeparator" w:id="0">
    <w:p w:rsidR="006F2601" w:rsidRDefault="006F26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601" w:rsidRDefault="006F2601">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601" w:rsidRDefault="006F2601">
    <w:pPr>
      <w:pStyle w:val="Header"/>
      <w:jc w:val="center"/>
    </w:pPr>
    <w:r>
      <w:t xml:space="preserve">- </w:t>
    </w:r>
    <w:sdt>
      <w:sdtPr>
        <w:id w:val="4489865"/>
        <w:docPartObj>
          <w:docPartGallery w:val="Page Numbers (Top of Page)"/>
          <w:docPartUnique/>
        </w:docPartObj>
      </w:sdtPr>
      <w:sdtContent>
        <w:fldSimple w:instr=" PAGE   \* MERGEFORMAT ">
          <w:r w:rsidR="00506098">
            <w:rPr>
              <w:noProof/>
            </w:rPr>
            <w:t>3</w:t>
          </w:r>
        </w:fldSimple>
        <w:r>
          <w:t xml:space="preserve"> -</w:t>
        </w:r>
      </w:sdtContent>
    </w:sdt>
  </w:p>
  <w:p w:rsidR="006F2601" w:rsidRDefault="006F26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5B869662"/>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4929"/>
  </w:hdrShapeDefaults>
  <w:footnotePr>
    <w:footnote w:id="-1"/>
    <w:footnote w:id="0"/>
  </w:footnotePr>
  <w:endnotePr>
    <w:endnote w:id="-1"/>
    <w:endnote w:id="0"/>
  </w:endnotePr>
  <w:compat/>
  <w:rsids>
    <w:rsidRoot w:val="0031414C"/>
    <w:rsid w:val="00000ED4"/>
    <w:rsid w:val="00006836"/>
    <w:rsid w:val="000146D9"/>
    <w:rsid w:val="00025198"/>
    <w:rsid w:val="00031EDA"/>
    <w:rsid w:val="00037CD2"/>
    <w:rsid w:val="00051790"/>
    <w:rsid w:val="000578A3"/>
    <w:rsid w:val="000648CC"/>
    <w:rsid w:val="00080EC7"/>
    <w:rsid w:val="00081C42"/>
    <w:rsid w:val="000841BD"/>
    <w:rsid w:val="000A1EF1"/>
    <w:rsid w:val="000B4D26"/>
    <w:rsid w:val="000C1B6F"/>
    <w:rsid w:val="000C59B8"/>
    <w:rsid w:val="000E79D2"/>
    <w:rsid w:val="000F1492"/>
    <w:rsid w:val="0010343F"/>
    <w:rsid w:val="00111DE2"/>
    <w:rsid w:val="00116B38"/>
    <w:rsid w:val="00120812"/>
    <w:rsid w:val="001351E1"/>
    <w:rsid w:val="00135406"/>
    <w:rsid w:val="00135972"/>
    <w:rsid w:val="001426A9"/>
    <w:rsid w:val="00143D31"/>
    <w:rsid w:val="00154D7C"/>
    <w:rsid w:val="001570B0"/>
    <w:rsid w:val="0015752C"/>
    <w:rsid w:val="00157737"/>
    <w:rsid w:val="00165277"/>
    <w:rsid w:val="00167270"/>
    <w:rsid w:val="00170592"/>
    <w:rsid w:val="00175D83"/>
    <w:rsid w:val="00186A98"/>
    <w:rsid w:val="00197B5D"/>
    <w:rsid w:val="001A6FB1"/>
    <w:rsid w:val="001B33E0"/>
    <w:rsid w:val="001B4573"/>
    <w:rsid w:val="001B6C8D"/>
    <w:rsid w:val="001C0766"/>
    <w:rsid w:val="001C779F"/>
    <w:rsid w:val="001D2AC1"/>
    <w:rsid w:val="001D4E88"/>
    <w:rsid w:val="001D7669"/>
    <w:rsid w:val="001F3E92"/>
    <w:rsid w:val="00207586"/>
    <w:rsid w:val="0021589D"/>
    <w:rsid w:val="00220FC2"/>
    <w:rsid w:val="00224FC0"/>
    <w:rsid w:val="00225EA4"/>
    <w:rsid w:val="00226EAF"/>
    <w:rsid w:val="00231F3A"/>
    <w:rsid w:val="002406EE"/>
    <w:rsid w:val="00243EC8"/>
    <w:rsid w:val="00245F53"/>
    <w:rsid w:val="00247151"/>
    <w:rsid w:val="002739DD"/>
    <w:rsid w:val="002745CC"/>
    <w:rsid w:val="0027485D"/>
    <w:rsid w:val="00277A85"/>
    <w:rsid w:val="002851D3"/>
    <w:rsid w:val="002913AF"/>
    <w:rsid w:val="00293251"/>
    <w:rsid w:val="002A12DD"/>
    <w:rsid w:val="002A46C3"/>
    <w:rsid w:val="002B7924"/>
    <w:rsid w:val="002C3C3B"/>
    <w:rsid w:val="002D39A4"/>
    <w:rsid w:val="002D47F5"/>
    <w:rsid w:val="002D7C6B"/>
    <w:rsid w:val="002E6705"/>
    <w:rsid w:val="002F0CD9"/>
    <w:rsid w:val="002F2DA3"/>
    <w:rsid w:val="00300A8C"/>
    <w:rsid w:val="0030329A"/>
    <w:rsid w:val="00303BA3"/>
    <w:rsid w:val="0031086F"/>
    <w:rsid w:val="00311B93"/>
    <w:rsid w:val="0031414C"/>
    <w:rsid w:val="00314E01"/>
    <w:rsid w:val="0032089D"/>
    <w:rsid w:val="003310DE"/>
    <w:rsid w:val="0035169A"/>
    <w:rsid w:val="0035259D"/>
    <w:rsid w:val="00364B18"/>
    <w:rsid w:val="00370678"/>
    <w:rsid w:val="003A4C70"/>
    <w:rsid w:val="003B215F"/>
    <w:rsid w:val="003C5A5D"/>
    <w:rsid w:val="003C799C"/>
    <w:rsid w:val="003D0399"/>
    <w:rsid w:val="003E00AD"/>
    <w:rsid w:val="003E1C71"/>
    <w:rsid w:val="003F327B"/>
    <w:rsid w:val="003F6FAB"/>
    <w:rsid w:val="00405CBA"/>
    <w:rsid w:val="00406166"/>
    <w:rsid w:val="0040704B"/>
    <w:rsid w:val="00410A55"/>
    <w:rsid w:val="00411300"/>
    <w:rsid w:val="00415417"/>
    <w:rsid w:val="00415CDC"/>
    <w:rsid w:val="00426659"/>
    <w:rsid w:val="00436875"/>
    <w:rsid w:val="0044655E"/>
    <w:rsid w:val="00450352"/>
    <w:rsid w:val="004505CA"/>
    <w:rsid w:val="00454BDB"/>
    <w:rsid w:val="00465132"/>
    <w:rsid w:val="00475463"/>
    <w:rsid w:val="00475AF2"/>
    <w:rsid w:val="00480C90"/>
    <w:rsid w:val="0048396F"/>
    <w:rsid w:val="00493C18"/>
    <w:rsid w:val="004A600C"/>
    <w:rsid w:val="004A6118"/>
    <w:rsid w:val="004C478D"/>
    <w:rsid w:val="004E2C26"/>
    <w:rsid w:val="004E5718"/>
    <w:rsid w:val="00500CF0"/>
    <w:rsid w:val="0050136A"/>
    <w:rsid w:val="005043C1"/>
    <w:rsid w:val="00506098"/>
    <w:rsid w:val="00511F25"/>
    <w:rsid w:val="005121C4"/>
    <w:rsid w:val="005125A8"/>
    <w:rsid w:val="0052176C"/>
    <w:rsid w:val="00521AE8"/>
    <w:rsid w:val="00527180"/>
    <w:rsid w:val="00527529"/>
    <w:rsid w:val="00532865"/>
    <w:rsid w:val="00536DAB"/>
    <w:rsid w:val="00542128"/>
    <w:rsid w:val="00543DC1"/>
    <w:rsid w:val="00555291"/>
    <w:rsid w:val="00575C8A"/>
    <w:rsid w:val="00583EDE"/>
    <w:rsid w:val="00585D3E"/>
    <w:rsid w:val="005873D8"/>
    <w:rsid w:val="005B5512"/>
    <w:rsid w:val="005C7601"/>
    <w:rsid w:val="005D175B"/>
    <w:rsid w:val="005E4698"/>
    <w:rsid w:val="00601E35"/>
    <w:rsid w:val="0060459D"/>
    <w:rsid w:val="00610539"/>
    <w:rsid w:val="00613969"/>
    <w:rsid w:val="00625C35"/>
    <w:rsid w:val="00656313"/>
    <w:rsid w:val="006565F4"/>
    <w:rsid w:val="00684EEA"/>
    <w:rsid w:val="006B3B0D"/>
    <w:rsid w:val="006B5FF5"/>
    <w:rsid w:val="006C3948"/>
    <w:rsid w:val="006C3DBE"/>
    <w:rsid w:val="006F2601"/>
    <w:rsid w:val="00701759"/>
    <w:rsid w:val="00721918"/>
    <w:rsid w:val="00730E69"/>
    <w:rsid w:val="007379B4"/>
    <w:rsid w:val="00747288"/>
    <w:rsid w:val="00747DD3"/>
    <w:rsid w:val="0075258E"/>
    <w:rsid w:val="00753F39"/>
    <w:rsid w:val="007549C8"/>
    <w:rsid w:val="00765ABE"/>
    <w:rsid w:val="00766D14"/>
    <w:rsid w:val="00767A0F"/>
    <w:rsid w:val="00790720"/>
    <w:rsid w:val="00795216"/>
    <w:rsid w:val="0079604D"/>
    <w:rsid w:val="007968A5"/>
    <w:rsid w:val="007A05F6"/>
    <w:rsid w:val="007A07D4"/>
    <w:rsid w:val="007B1AC8"/>
    <w:rsid w:val="007B6F4A"/>
    <w:rsid w:val="007C3410"/>
    <w:rsid w:val="007E1C47"/>
    <w:rsid w:val="007E337A"/>
    <w:rsid w:val="007E5C70"/>
    <w:rsid w:val="007F2FF5"/>
    <w:rsid w:val="007F3F08"/>
    <w:rsid w:val="007F5F13"/>
    <w:rsid w:val="008012D3"/>
    <w:rsid w:val="00804CC6"/>
    <w:rsid w:val="00817190"/>
    <w:rsid w:val="008260E2"/>
    <w:rsid w:val="00826284"/>
    <w:rsid w:val="008322BD"/>
    <w:rsid w:val="00834F73"/>
    <w:rsid w:val="00857828"/>
    <w:rsid w:val="00864CF8"/>
    <w:rsid w:val="00874914"/>
    <w:rsid w:val="008818B6"/>
    <w:rsid w:val="00887B0C"/>
    <w:rsid w:val="00891422"/>
    <w:rsid w:val="00892E1A"/>
    <w:rsid w:val="00895C29"/>
    <w:rsid w:val="008A40CD"/>
    <w:rsid w:val="008C01DA"/>
    <w:rsid w:val="008C0536"/>
    <w:rsid w:val="008C59B2"/>
    <w:rsid w:val="008F6C25"/>
    <w:rsid w:val="008F78E9"/>
    <w:rsid w:val="009139FC"/>
    <w:rsid w:val="009179F9"/>
    <w:rsid w:val="00923A02"/>
    <w:rsid w:val="00931F17"/>
    <w:rsid w:val="00933D77"/>
    <w:rsid w:val="00933E5E"/>
    <w:rsid w:val="009346F9"/>
    <w:rsid w:val="00935218"/>
    <w:rsid w:val="009377A9"/>
    <w:rsid w:val="009403F3"/>
    <w:rsid w:val="009555B7"/>
    <w:rsid w:val="009567AA"/>
    <w:rsid w:val="00967374"/>
    <w:rsid w:val="009A3A76"/>
    <w:rsid w:val="009B2F23"/>
    <w:rsid w:val="009B3700"/>
    <w:rsid w:val="009B57B3"/>
    <w:rsid w:val="009B5C8E"/>
    <w:rsid w:val="009C3F17"/>
    <w:rsid w:val="009C77D1"/>
    <w:rsid w:val="009D2920"/>
    <w:rsid w:val="009D5AEB"/>
    <w:rsid w:val="009E4069"/>
    <w:rsid w:val="009F0E33"/>
    <w:rsid w:val="00A022A3"/>
    <w:rsid w:val="00A10A93"/>
    <w:rsid w:val="00A1294F"/>
    <w:rsid w:val="00A149DF"/>
    <w:rsid w:val="00A21B90"/>
    <w:rsid w:val="00A41805"/>
    <w:rsid w:val="00A42639"/>
    <w:rsid w:val="00A548CB"/>
    <w:rsid w:val="00A5521C"/>
    <w:rsid w:val="00A643E7"/>
    <w:rsid w:val="00A73C38"/>
    <w:rsid w:val="00A82310"/>
    <w:rsid w:val="00A82841"/>
    <w:rsid w:val="00A86904"/>
    <w:rsid w:val="00AA23DB"/>
    <w:rsid w:val="00AD1AA7"/>
    <w:rsid w:val="00AE0787"/>
    <w:rsid w:val="00AE1041"/>
    <w:rsid w:val="00AE1FF6"/>
    <w:rsid w:val="00AE49CB"/>
    <w:rsid w:val="00AE5E57"/>
    <w:rsid w:val="00AF03C5"/>
    <w:rsid w:val="00B000D8"/>
    <w:rsid w:val="00B00F75"/>
    <w:rsid w:val="00B04459"/>
    <w:rsid w:val="00B145B6"/>
    <w:rsid w:val="00B429DF"/>
    <w:rsid w:val="00B50C81"/>
    <w:rsid w:val="00B557F8"/>
    <w:rsid w:val="00B55BD8"/>
    <w:rsid w:val="00B815FC"/>
    <w:rsid w:val="00B93FBC"/>
    <w:rsid w:val="00BA4E40"/>
    <w:rsid w:val="00BB2EE4"/>
    <w:rsid w:val="00BB529E"/>
    <w:rsid w:val="00BC1C4A"/>
    <w:rsid w:val="00BC2108"/>
    <w:rsid w:val="00BD00CE"/>
    <w:rsid w:val="00BD0E9E"/>
    <w:rsid w:val="00BD1BEC"/>
    <w:rsid w:val="00BD32FF"/>
    <w:rsid w:val="00BF336E"/>
    <w:rsid w:val="00C00942"/>
    <w:rsid w:val="00C02092"/>
    <w:rsid w:val="00C05CA8"/>
    <w:rsid w:val="00C07ED0"/>
    <w:rsid w:val="00C21CDF"/>
    <w:rsid w:val="00C24D91"/>
    <w:rsid w:val="00C462A5"/>
    <w:rsid w:val="00C4689F"/>
    <w:rsid w:val="00C53F14"/>
    <w:rsid w:val="00C600CF"/>
    <w:rsid w:val="00C6084F"/>
    <w:rsid w:val="00C62A66"/>
    <w:rsid w:val="00C71458"/>
    <w:rsid w:val="00C77613"/>
    <w:rsid w:val="00C828E7"/>
    <w:rsid w:val="00C85571"/>
    <w:rsid w:val="00C86719"/>
    <w:rsid w:val="00C921DD"/>
    <w:rsid w:val="00C92EB0"/>
    <w:rsid w:val="00CA3E63"/>
    <w:rsid w:val="00CA4136"/>
    <w:rsid w:val="00CA6391"/>
    <w:rsid w:val="00CD01C7"/>
    <w:rsid w:val="00CD64A7"/>
    <w:rsid w:val="00CD68B5"/>
    <w:rsid w:val="00CE3171"/>
    <w:rsid w:val="00CF1601"/>
    <w:rsid w:val="00D0172F"/>
    <w:rsid w:val="00D068A7"/>
    <w:rsid w:val="00D32086"/>
    <w:rsid w:val="00D37A3F"/>
    <w:rsid w:val="00D4431D"/>
    <w:rsid w:val="00D4667A"/>
    <w:rsid w:val="00D538E3"/>
    <w:rsid w:val="00D57B72"/>
    <w:rsid w:val="00D73955"/>
    <w:rsid w:val="00D7516F"/>
    <w:rsid w:val="00D95F8E"/>
    <w:rsid w:val="00DA0590"/>
    <w:rsid w:val="00DB759B"/>
    <w:rsid w:val="00DC1788"/>
    <w:rsid w:val="00DC79B5"/>
    <w:rsid w:val="00DD3FB0"/>
    <w:rsid w:val="00DD4B11"/>
    <w:rsid w:val="00DE319C"/>
    <w:rsid w:val="00DF0CA8"/>
    <w:rsid w:val="00DF2B48"/>
    <w:rsid w:val="00DF49A7"/>
    <w:rsid w:val="00DF5A6B"/>
    <w:rsid w:val="00E07EE2"/>
    <w:rsid w:val="00E07FD1"/>
    <w:rsid w:val="00E12734"/>
    <w:rsid w:val="00E16BF0"/>
    <w:rsid w:val="00E24573"/>
    <w:rsid w:val="00E25E1E"/>
    <w:rsid w:val="00E27EE7"/>
    <w:rsid w:val="00E35404"/>
    <w:rsid w:val="00E45109"/>
    <w:rsid w:val="00E47B7A"/>
    <w:rsid w:val="00E545D0"/>
    <w:rsid w:val="00E54AFF"/>
    <w:rsid w:val="00E56727"/>
    <w:rsid w:val="00E749E0"/>
    <w:rsid w:val="00E86E18"/>
    <w:rsid w:val="00E96093"/>
    <w:rsid w:val="00E97830"/>
    <w:rsid w:val="00ED4449"/>
    <w:rsid w:val="00EF0683"/>
    <w:rsid w:val="00F0070C"/>
    <w:rsid w:val="00F00EB7"/>
    <w:rsid w:val="00F025D8"/>
    <w:rsid w:val="00F137E5"/>
    <w:rsid w:val="00F24195"/>
    <w:rsid w:val="00F330AE"/>
    <w:rsid w:val="00F36AB6"/>
    <w:rsid w:val="00F37A09"/>
    <w:rsid w:val="00F409CE"/>
    <w:rsid w:val="00F4379D"/>
    <w:rsid w:val="00F52EF1"/>
    <w:rsid w:val="00F71B0E"/>
    <w:rsid w:val="00F84DF4"/>
    <w:rsid w:val="00F85C97"/>
    <w:rsid w:val="00F872FE"/>
    <w:rsid w:val="00F97A41"/>
    <w:rsid w:val="00FB2512"/>
    <w:rsid w:val="00FB37D2"/>
    <w:rsid w:val="00FB443C"/>
    <w:rsid w:val="00FC3038"/>
    <w:rsid w:val="00FC4EFB"/>
    <w:rsid w:val="00FC74DD"/>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D95F8E"/>
    <w:pPr>
      <w:spacing w:line="480" w:lineRule="auto"/>
      <w:jc w:val="both"/>
    </w:pPr>
  </w:style>
  <w:style w:type="character" w:customStyle="1" w:styleId="SCCNormalDoubleSpacingChar">
    <w:name w:val="SCC.Normal.DoubleSpacing Char"/>
    <w:basedOn w:val="DefaultParagraphFont"/>
    <w:link w:val="SCCNormalDoubleSpacing"/>
    <w:rsid w:val="00D95F8E"/>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character" w:styleId="Hyperlink">
    <w:name w:val="Hyperlink"/>
    <w:basedOn w:val="DefaultParagraphFont"/>
    <w:uiPriority w:val="99"/>
    <w:unhideWhenUsed/>
    <w:rsid w:val="00A82841"/>
    <w:rPr>
      <w:color w:val="0000FF" w:themeColor="hyperlink"/>
      <w:u w:val="single"/>
    </w:rPr>
  </w:style>
  <w:style w:type="paragraph" w:customStyle="1" w:styleId="ParaNoNdepar-AltN">
    <w:name w:val="Para. No. / Nº de par. - Alt N"/>
    <w:qFormat/>
    <w:rsid w:val="0027485D"/>
    <w:pPr>
      <w:numPr>
        <w:numId w:val="1"/>
      </w:numPr>
      <w:spacing w:before="480" w:after="480" w:line="480" w:lineRule="auto"/>
      <w:jc w:val="both"/>
    </w:pPr>
    <w:rPr>
      <w:rFonts w:eastAsiaTheme="minorEastAsia" w:cstheme="minorBidi"/>
      <w:sz w:val="24"/>
      <w:szCs w:val="22"/>
      <w:lang w:val="fr-CA" w:eastAsia="en-US"/>
    </w:rPr>
  </w:style>
  <w:style w:type="table" w:styleId="TableGrid">
    <w:name w:val="Table Grid"/>
    <w:basedOn w:val="TableNormal"/>
    <w:uiPriority w:val="59"/>
    <w:rsid w:val="00506098"/>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CLsocPrefix">
    <w:name w:val="SCC.Lsoc.Prefix"/>
    <w:basedOn w:val="Normal"/>
    <w:next w:val="Normal"/>
    <w:link w:val="SCCLsocPrefixChar"/>
    <w:rsid w:val="00506098"/>
    <w:rPr>
      <w:rFonts w:eastAsiaTheme="minorHAnsi" w:cstheme="minorBidi"/>
      <w:b/>
      <w:smallCaps/>
      <w:szCs w:val="24"/>
      <w:lang w:eastAsia="en-US"/>
    </w:rPr>
  </w:style>
  <w:style w:type="character" w:customStyle="1" w:styleId="SCCLsocPrefixChar">
    <w:name w:val="SCC.Lsoc.Prefix Char"/>
    <w:basedOn w:val="DefaultParagraphFont"/>
    <w:link w:val="SCCLsocPrefix"/>
    <w:rsid w:val="00506098"/>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divs>
    <w:div w:id="363948641">
      <w:bodyDiv w:val="1"/>
      <w:marLeft w:val="125"/>
      <w:marRight w:val="125"/>
      <w:marTop w:val="125"/>
      <w:marBottom w:val="125"/>
      <w:divBdr>
        <w:top w:val="none" w:sz="0" w:space="0" w:color="auto"/>
        <w:left w:val="none" w:sz="0" w:space="0" w:color="auto"/>
        <w:bottom w:val="none" w:sz="0" w:space="0" w:color="auto"/>
        <w:right w:val="none" w:sz="0" w:space="0" w:color="auto"/>
      </w:divBdr>
      <w:divsChild>
        <w:div w:id="711922163">
          <w:marLeft w:val="0"/>
          <w:marRight w:val="0"/>
          <w:marTop w:val="0"/>
          <w:marBottom w:val="0"/>
          <w:divBdr>
            <w:top w:val="none" w:sz="0" w:space="0" w:color="auto"/>
            <w:left w:val="none" w:sz="0" w:space="0" w:color="auto"/>
            <w:bottom w:val="none" w:sz="0" w:space="0" w:color="auto"/>
            <w:right w:val="none" w:sz="0" w:space="0" w:color="auto"/>
          </w:divBdr>
          <w:divsChild>
            <w:div w:id="370426679">
              <w:marLeft w:val="0"/>
              <w:marRight w:val="0"/>
              <w:marTop w:val="0"/>
              <w:marBottom w:val="0"/>
              <w:divBdr>
                <w:top w:val="none" w:sz="0" w:space="0" w:color="auto"/>
                <w:left w:val="none" w:sz="0" w:space="0" w:color="auto"/>
                <w:bottom w:val="none" w:sz="0" w:space="0" w:color="auto"/>
                <w:right w:val="none" w:sz="0" w:space="0" w:color="auto"/>
              </w:divBdr>
              <w:divsChild>
                <w:div w:id="1466776013">
                  <w:marLeft w:val="0"/>
                  <w:marRight w:val="0"/>
                  <w:marTop w:val="0"/>
                  <w:marBottom w:val="0"/>
                  <w:divBdr>
                    <w:top w:val="none" w:sz="0" w:space="0" w:color="auto"/>
                    <w:left w:val="none" w:sz="0" w:space="0" w:color="auto"/>
                    <w:bottom w:val="none" w:sz="0" w:space="0" w:color="auto"/>
                    <w:right w:val="none" w:sz="0" w:space="0" w:color="auto"/>
                  </w:divBdr>
                  <w:divsChild>
                    <w:div w:id="831599271">
                      <w:marLeft w:val="0"/>
                      <w:marRight w:val="0"/>
                      <w:marTop w:val="0"/>
                      <w:marBottom w:val="240"/>
                      <w:divBdr>
                        <w:top w:val="single" w:sz="4" w:space="12" w:color="3A3A3A"/>
                        <w:left w:val="none" w:sz="0" w:space="0" w:color="auto"/>
                        <w:bottom w:val="single" w:sz="4" w:space="12" w:color="3A3A3A"/>
                        <w:right w:val="none" w:sz="0" w:space="0" w:color="auto"/>
                      </w:divBdr>
                    </w:div>
                  </w:divsChild>
                </w:div>
              </w:divsChild>
            </w:div>
          </w:divsChild>
        </w:div>
      </w:divsChild>
    </w:div>
    <w:div w:id="879778564">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668904439">
          <w:marLeft w:val="0"/>
          <w:marRight w:val="0"/>
          <w:marTop w:val="0"/>
          <w:marBottom w:val="0"/>
          <w:divBdr>
            <w:top w:val="none" w:sz="0" w:space="0" w:color="auto"/>
            <w:left w:val="none" w:sz="0" w:space="0" w:color="auto"/>
            <w:bottom w:val="none" w:sz="0" w:space="0" w:color="auto"/>
            <w:right w:val="none" w:sz="0" w:space="0" w:color="auto"/>
          </w:divBdr>
          <w:divsChild>
            <w:div w:id="1294217449">
              <w:marLeft w:val="0"/>
              <w:marRight w:val="0"/>
              <w:marTop w:val="0"/>
              <w:marBottom w:val="0"/>
              <w:divBdr>
                <w:top w:val="none" w:sz="0" w:space="0" w:color="auto"/>
                <w:left w:val="none" w:sz="0" w:space="0" w:color="auto"/>
                <w:bottom w:val="none" w:sz="0" w:space="0" w:color="auto"/>
                <w:right w:val="none" w:sz="0" w:space="0" w:color="auto"/>
              </w:divBdr>
              <w:divsChild>
                <w:div w:id="287932133">
                  <w:marLeft w:val="0"/>
                  <w:marRight w:val="0"/>
                  <w:marTop w:val="0"/>
                  <w:marBottom w:val="0"/>
                  <w:divBdr>
                    <w:top w:val="none" w:sz="0" w:space="0" w:color="auto"/>
                    <w:left w:val="none" w:sz="0" w:space="0" w:color="auto"/>
                    <w:bottom w:val="none" w:sz="0" w:space="0" w:color="auto"/>
                    <w:right w:val="none" w:sz="0" w:space="0" w:color="auto"/>
                  </w:divBdr>
                  <w:divsChild>
                    <w:div w:id="1766264183">
                      <w:marLeft w:val="0"/>
                      <w:marRight w:val="0"/>
                      <w:marTop w:val="0"/>
                      <w:marBottom w:val="240"/>
                      <w:divBdr>
                        <w:top w:val="single" w:sz="4" w:space="12" w:color="3A3A3A"/>
                        <w:left w:val="none" w:sz="0" w:space="0" w:color="auto"/>
                        <w:bottom w:val="single" w:sz="4" w:space="12" w:color="3A3A3A"/>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2A881-4E63-47C3-BB5A-389976D2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698</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2011-08-08T15:24:00Z</dcterms:created>
  <dcterms:modified xsi:type="dcterms:W3CDTF">2012-01-18T16:07:00Z</dcterms:modified>
</cp:coreProperties>
</file>