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9" w:rsidRDefault="00AA0CC9" w:rsidP="00AA0CC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392545012" r:id="rId8"/>
        </w:object>
      </w:r>
      <w:r>
        <w:t xml:space="preserve"> </w:t>
      </w:r>
      <w:r>
        <w:ptab w:relativeTo="margin" w:alignment="right" w:leader="none"/>
      </w:r>
    </w:p>
    <w:p w:rsidR="00AA0CC9" w:rsidRDefault="00AA0CC9" w:rsidP="00AA0CC9">
      <w:pPr>
        <w:pStyle w:val="Header"/>
      </w:pPr>
    </w:p>
    <w:p w:rsidR="00AA0CC9" w:rsidRPr="006B210C" w:rsidRDefault="00AA0CC9" w:rsidP="00AA0CC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AA0CC9" w:rsidRDefault="00AA0CC9" w:rsidP="00AA0CC9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AA0CC9" w:rsidRPr="006B210C" w:rsidTr="009F785C">
        <w:trPr>
          <w:cantSplit/>
        </w:trPr>
        <w:tc>
          <w:tcPr>
            <w:tcW w:w="6768" w:type="dxa"/>
          </w:tcPr>
          <w:p w:rsidR="00AA0CC9" w:rsidRPr="00391779" w:rsidRDefault="00AA0CC9" w:rsidP="009F785C">
            <w:pPr>
              <w:rPr>
                <w:lang w:val="fr-CA"/>
              </w:rPr>
            </w:pPr>
            <w:r w:rsidRPr="00391779">
              <w:rPr>
                <w:b/>
                <w:smallCaps/>
                <w:lang w:val="fr-CA"/>
              </w:rPr>
              <w:t xml:space="preserve">Citation </w:t>
            </w:r>
            <w:r w:rsidRPr="00391779">
              <w:rPr>
                <w:lang w:val="fr-CA"/>
              </w:rPr>
              <w:t xml:space="preserve">: R. </w:t>
            </w:r>
            <w:r w:rsidRPr="00391779">
              <w:rPr>
                <w:i/>
                <w:lang w:val="fr-CA"/>
              </w:rPr>
              <w:t>v.</w:t>
            </w:r>
            <w:r w:rsidRPr="00391779">
              <w:rPr>
                <w:lang w:val="fr-CA"/>
              </w:rPr>
              <w:t xml:space="preserve"> </w:t>
            </w:r>
            <w:r>
              <w:rPr>
                <w:lang w:val="fr-CA"/>
              </w:rPr>
              <w:t>Banwait</w:t>
            </w:r>
            <w:r w:rsidRPr="00391779">
              <w:rPr>
                <w:rStyle w:val="SCCRespondentForIndexChar"/>
                <w:rFonts w:eastAsiaTheme="minorHAnsi"/>
                <w:lang w:val="fr-CA"/>
              </w:rPr>
              <w:t xml:space="preserve">, </w:t>
            </w:r>
            <w:r w:rsidRPr="00AA0CC9">
              <w:rPr>
                <w:rStyle w:val="SCCRespondentForIndexChar"/>
                <w:rFonts w:eastAsiaTheme="minorHAnsi"/>
                <w:b w:val="0"/>
                <w:lang w:val="fr-CA"/>
              </w:rPr>
              <w:t>2011 SCC 55, [2011] 3 S.C.R. 533</w:t>
            </w:r>
          </w:p>
        </w:tc>
        <w:tc>
          <w:tcPr>
            <w:tcW w:w="2808" w:type="dxa"/>
          </w:tcPr>
          <w:p w:rsidR="00AA0CC9" w:rsidRPr="006B210C" w:rsidRDefault="00AA0CC9" w:rsidP="009F785C">
            <w:r w:rsidRPr="006B210C">
              <w:rPr>
                <w:b/>
                <w:smallCaps/>
              </w:rPr>
              <w:t xml:space="preserve">Date </w:t>
            </w:r>
            <w:r w:rsidRPr="006B210C">
              <w:t xml:space="preserve">: </w:t>
            </w:r>
            <w:r>
              <w:t>20111108</w:t>
            </w:r>
          </w:p>
          <w:p w:rsidR="00AA0CC9" w:rsidRPr="006B210C" w:rsidRDefault="00AA0CC9" w:rsidP="009F785C">
            <w:r w:rsidRPr="006B210C">
              <w:rPr>
                <w:b/>
                <w:smallCaps/>
              </w:rPr>
              <w:t xml:space="preserve">Docket </w:t>
            </w:r>
            <w:r w:rsidRPr="006B210C">
              <w:t xml:space="preserve">: </w:t>
            </w:r>
            <w:r>
              <w:t>34044</w:t>
            </w:r>
          </w:p>
        </w:tc>
      </w:tr>
    </w:tbl>
    <w:p w:rsidR="00AA0CC9" w:rsidRPr="006B210C" w:rsidRDefault="00AA0CC9" w:rsidP="00AA0CC9"/>
    <w:p w:rsidR="00AA0CC9" w:rsidRDefault="00AA0CC9" w:rsidP="00AA0CC9">
      <w:pPr>
        <w:pStyle w:val="SCCLsocPrefix"/>
        <w:jc w:val="center"/>
      </w:pPr>
      <w:r>
        <w:t>Between:</w:t>
      </w:r>
    </w:p>
    <w:p w:rsidR="00AA0CC9" w:rsidRDefault="00AA0CC9" w:rsidP="00AA0CC9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AA0CC9" w:rsidRDefault="00AA0CC9" w:rsidP="00AA0CC9">
      <w:pPr>
        <w:pStyle w:val="SCCLsocPartyRole"/>
      </w:pPr>
      <w:r>
        <w:t>Appellant</w:t>
      </w:r>
    </w:p>
    <w:p w:rsidR="00AA0CC9" w:rsidRDefault="00AA0CC9" w:rsidP="00AA0CC9">
      <w:pPr>
        <w:pStyle w:val="SCCLsocVersus"/>
        <w:jc w:val="center"/>
      </w:pPr>
      <w:proofErr w:type="gramStart"/>
      <w:r>
        <w:t>and</w:t>
      </w:r>
      <w:proofErr w:type="gramEnd"/>
    </w:p>
    <w:p w:rsidR="00AA0CC9" w:rsidRDefault="00AA0CC9" w:rsidP="00AA0CC9">
      <w:pPr>
        <w:pStyle w:val="SCCLsocParty"/>
        <w:jc w:val="center"/>
      </w:pPr>
      <w:proofErr w:type="spellStart"/>
      <w:r>
        <w:t>Amandeep</w:t>
      </w:r>
      <w:proofErr w:type="spellEnd"/>
      <w:r>
        <w:t xml:space="preserve"> </w:t>
      </w:r>
      <w:proofErr w:type="spellStart"/>
      <w:r>
        <w:t>Banwait</w:t>
      </w:r>
      <w:proofErr w:type="spellEnd"/>
    </w:p>
    <w:p w:rsidR="00AA0CC9" w:rsidRDefault="00AA0CC9" w:rsidP="00AA0CC9">
      <w:pPr>
        <w:pStyle w:val="SCCLsocPartyRole"/>
      </w:pPr>
      <w:r>
        <w:t>Respondent</w:t>
      </w:r>
    </w:p>
    <w:p w:rsidR="00AA0CC9" w:rsidRDefault="00AA0CC9" w:rsidP="00AA0CC9"/>
    <w:p w:rsidR="00AA0CC9" w:rsidRPr="006B210C" w:rsidRDefault="00AA0CC9" w:rsidP="00AA0CC9"/>
    <w:p w:rsidR="00AA0CC9" w:rsidRPr="006B210C" w:rsidRDefault="00AA0CC9" w:rsidP="00AA0CC9">
      <w:proofErr w:type="gramStart"/>
      <w:r w:rsidRPr="006B210C">
        <w:rPr>
          <w:b/>
          <w:smallCaps/>
        </w:rPr>
        <w:t xml:space="preserve">Coram </w:t>
      </w:r>
      <w:r w:rsidRPr="0030615B">
        <w:rPr>
          <w:b/>
        </w:rPr>
        <w:t>:</w:t>
      </w:r>
      <w:proofErr w:type="gramEnd"/>
      <w:r>
        <w:t xml:space="preserve"> </w:t>
      </w:r>
      <w:proofErr w:type="spellStart"/>
      <w:r>
        <w:t>McLachlin</w:t>
      </w:r>
      <w:proofErr w:type="spellEnd"/>
      <w:r>
        <w:t xml:space="preserve"> C.J. and </w:t>
      </w:r>
      <w:proofErr w:type="spellStart"/>
      <w:r>
        <w:t>LeBel</w:t>
      </w:r>
      <w:proofErr w:type="spellEnd"/>
      <w:r>
        <w:t xml:space="preserve">, </w:t>
      </w:r>
      <w:proofErr w:type="spellStart"/>
      <w:r>
        <w:t>Deschamps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> JJ.</w:t>
      </w:r>
    </w:p>
    <w:p w:rsidR="00AA0CC9" w:rsidRPr="006B210C" w:rsidRDefault="00AA0CC9" w:rsidP="00AA0C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AA0CC9" w:rsidRPr="006B210C" w:rsidTr="009F785C">
        <w:trPr>
          <w:cantSplit/>
        </w:trPr>
        <w:tc>
          <w:tcPr>
            <w:tcW w:w="3618" w:type="dxa"/>
          </w:tcPr>
          <w:p w:rsidR="00AA0CC9" w:rsidRDefault="00AA0CC9" w:rsidP="009F785C">
            <w:r w:rsidRPr="006B210C">
              <w:rPr>
                <w:b/>
                <w:smallCaps/>
              </w:rPr>
              <w:t>Reasons for Judgment</w:t>
            </w:r>
            <w:r w:rsidRPr="006B210C">
              <w:t xml:space="preserve"> :</w:t>
            </w:r>
          </w:p>
          <w:p w:rsidR="00AA0CC9" w:rsidRDefault="00AA0CC9" w:rsidP="009F785C">
            <w:r>
              <w:t>(</w:t>
            </w:r>
            <w:proofErr w:type="spellStart"/>
            <w:r>
              <w:t>paras</w:t>
            </w:r>
            <w:proofErr w:type="spellEnd"/>
            <w:r>
              <w:t>. 1 to 2)</w:t>
            </w:r>
          </w:p>
          <w:p w:rsidR="00AA0CC9" w:rsidRPr="00391779" w:rsidRDefault="00AA0CC9" w:rsidP="009F785C"/>
        </w:tc>
        <w:tc>
          <w:tcPr>
            <w:tcW w:w="5958" w:type="dxa"/>
          </w:tcPr>
          <w:p w:rsidR="00AA0CC9" w:rsidRDefault="00AA0CC9" w:rsidP="009F785C"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LeBel</w:t>
            </w:r>
            <w:proofErr w:type="spellEnd"/>
            <w:r>
              <w:t xml:space="preserve">, </w:t>
            </w:r>
            <w:proofErr w:type="spellStart"/>
            <w:r>
              <w:t>Deschamps</w:t>
            </w:r>
            <w:proofErr w:type="spellEnd"/>
            <w:r>
              <w:t xml:space="preserve">, Fish, </w:t>
            </w:r>
            <w:proofErr w:type="spellStart"/>
            <w:r>
              <w:t>Abella</w:t>
            </w:r>
            <w:proofErr w:type="spellEnd"/>
            <w:r>
              <w:t xml:space="preserve">, Rothstein, Cromwell,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> JJ. concurring)</w:t>
            </w:r>
          </w:p>
          <w:p w:rsidR="00AA0CC9" w:rsidRPr="006B210C" w:rsidRDefault="00AA0CC9" w:rsidP="009F785C"/>
        </w:tc>
      </w:tr>
    </w:tbl>
    <w:p w:rsidR="00AA0CC9" w:rsidRPr="006B210C" w:rsidRDefault="00AA0CC9" w:rsidP="00AA0CC9">
      <w:r w:rsidRPr="002424E5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AA0CC9" w:rsidRPr="00AA0CC9" w:rsidRDefault="00AA0CC9">
      <w:r w:rsidRPr="00AA0CC9">
        <w:br w:type="page"/>
      </w:r>
    </w:p>
    <w:p w:rsidR="00966A4F" w:rsidRPr="0061733C" w:rsidRDefault="0061733C" w:rsidP="00966A4F">
      <w:pPr>
        <w:spacing w:line="480" w:lineRule="auto"/>
        <w:jc w:val="both"/>
        <w:rPr>
          <w:lang w:val="fr-CA"/>
        </w:rPr>
      </w:pPr>
      <w:r w:rsidRPr="0061733C">
        <w:rPr>
          <w:lang w:val="fr-CA"/>
        </w:rPr>
        <w:lastRenderedPageBreak/>
        <w:t xml:space="preserve">R. </w:t>
      </w:r>
      <w:r w:rsidRPr="0061733C">
        <w:rPr>
          <w:i/>
          <w:lang w:val="fr-CA"/>
        </w:rPr>
        <w:t>v</w:t>
      </w:r>
      <w:r w:rsidRPr="0061733C">
        <w:rPr>
          <w:lang w:val="fr-CA"/>
        </w:rPr>
        <w:t>. Banwait</w:t>
      </w:r>
      <w:r w:rsidRPr="0061733C">
        <w:rPr>
          <w:smallCaps/>
          <w:lang w:val="fr-CA"/>
        </w:rPr>
        <w:t xml:space="preserve">, </w:t>
      </w:r>
      <w:r>
        <w:rPr>
          <w:lang w:val="fr-CA"/>
        </w:rPr>
        <w:t>2011 SCC 55</w:t>
      </w:r>
      <w:r w:rsidRPr="0061733C">
        <w:rPr>
          <w:lang w:val="fr-CA"/>
        </w:rPr>
        <w:t xml:space="preserve">, [2011] 3 S.C.R. </w:t>
      </w:r>
      <w:r>
        <w:rPr>
          <w:lang w:val="fr-CA"/>
        </w:rPr>
        <w:t>533</w:t>
      </w:r>
    </w:p>
    <w:p w:rsidR="00966A4F" w:rsidRPr="0061733C" w:rsidRDefault="00966A4F" w:rsidP="00966A4F">
      <w:pPr>
        <w:spacing w:line="480" w:lineRule="auto"/>
        <w:jc w:val="both"/>
        <w:rPr>
          <w:smallCaps/>
          <w:lang w:val="fr-CA"/>
        </w:rPr>
      </w:pPr>
    </w:p>
    <w:p w:rsidR="00966A4F" w:rsidRPr="00100332" w:rsidRDefault="0061515E" w:rsidP="00966A4F">
      <w:pPr>
        <w:pStyle w:val="SCCLsocParty"/>
        <w:tabs>
          <w:tab w:val="right" w:pos="8280"/>
        </w:tabs>
        <w:spacing w:line="480" w:lineRule="auto"/>
        <w:rPr>
          <w:lang w:val="en-US"/>
        </w:rPr>
      </w:pPr>
      <w:r w:rsidRPr="00100332">
        <w:t xml:space="preserve">Her Majesty </w:t>
      </w:r>
      <w:proofErr w:type="gramStart"/>
      <w:r w:rsidRPr="00100332">
        <w:t>The</w:t>
      </w:r>
      <w:proofErr w:type="gramEnd"/>
      <w:r w:rsidRPr="00100332">
        <w:t xml:space="preserve"> Queen</w:t>
      </w:r>
      <w:r w:rsidR="00966A4F" w:rsidRPr="00100332">
        <w:rPr>
          <w:lang w:val="en-US"/>
        </w:rPr>
        <w:tab/>
      </w:r>
      <w:r w:rsidR="00966A4F" w:rsidRPr="00100332">
        <w:rPr>
          <w:b w:val="0"/>
          <w:i/>
          <w:lang w:val="en-US"/>
        </w:rPr>
        <w:t>Appellant</w:t>
      </w:r>
    </w:p>
    <w:p w:rsidR="00966A4F" w:rsidRPr="00100332" w:rsidRDefault="00966A4F" w:rsidP="00966A4F">
      <w:pPr>
        <w:pStyle w:val="SCCLsocParty"/>
        <w:tabs>
          <w:tab w:val="right" w:pos="8280"/>
        </w:tabs>
        <w:spacing w:line="480" w:lineRule="auto"/>
        <w:rPr>
          <w:lang w:val="en-US"/>
        </w:rPr>
      </w:pPr>
    </w:p>
    <w:p w:rsidR="00966A4F" w:rsidRPr="00100332" w:rsidRDefault="00966A4F" w:rsidP="00966A4F">
      <w:pPr>
        <w:pStyle w:val="SCCLsocVersus"/>
        <w:spacing w:line="480" w:lineRule="auto"/>
      </w:pPr>
      <w:proofErr w:type="gramStart"/>
      <w:r w:rsidRPr="00100332">
        <w:t>v</w:t>
      </w:r>
      <w:proofErr w:type="gramEnd"/>
      <w:r w:rsidRPr="00100332">
        <w:t>.</w:t>
      </w:r>
      <w:r w:rsidR="00066FA7" w:rsidRPr="00100332">
        <w:rPr>
          <w:i w:val="0"/>
        </w:rPr>
        <w:t xml:space="preserve"> </w:t>
      </w:r>
    </w:p>
    <w:p w:rsidR="00966A4F" w:rsidRPr="00100332" w:rsidRDefault="00966A4F" w:rsidP="00966A4F">
      <w:pPr>
        <w:pStyle w:val="SCCLsocVersus"/>
        <w:spacing w:line="480" w:lineRule="auto"/>
      </w:pPr>
    </w:p>
    <w:p w:rsidR="00966A4F" w:rsidRPr="00100332" w:rsidRDefault="0061515E" w:rsidP="00966A4F">
      <w:pPr>
        <w:pStyle w:val="SCCLsocParty"/>
        <w:tabs>
          <w:tab w:val="right" w:pos="8280"/>
        </w:tabs>
        <w:spacing w:line="480" w:lineRule="auto"/>
      </w:pPr>
      <w:proofErr w:type="spellStart"/>
      <w:r w:rsidRPr="00100332">
        <w:t>Amandeep</w:t>
      </w:r>
      <w:proofErr w:type="spellEnd"/>
      <w:r w:rsidRPr="00100332">
        <w:t xml:space="preserve"> </w:t>
      </w:r>
      <w:proofErr w:type="spellStart"/>
      <w:r w:rsidRPr="00100332">
        <w:t>Banwait</w:t>
      </w:r>
      <w:proofErr w:type="spellEnd"/>
      <w:r w:rsidR="00966A4F" w:rsidRPr="00100332">
        <w:rPr>
          <w:i/>
        </w:rPr>
        <w:tab/>
      </w:r>
      <w:r w:rsidR="00966A4F" w:rsidRPr="00100332">
        <w:rPr>
          <w:b w:val="0"/>
          <w:i/>
        </w:rPr>
        <w:t>Respondent</w:t>
      </w:r>
    </w:p>
    <w:p w:rsidR="00966A4F" w:rsidRPr="00100332" w:rsidRDefault="00966A4F" w:rsidP="00966A4F">
      <w:pPr>
        <w:spacing w:line="480" w:lineRule="auto"/>
        <w:jc w:val="both"/>
      </w:pPr>
    </w:p>
    <w:p w:rsidR="00966A4F" w:rsidRPr="00100332" w:rsidRDefault="00966A4F" w:rsidP="00966A4F">
      <w:pPr>
        <w:spacing w:line="480" w:lineRule="auto"/>
        <w:jc w:val="both"/>
        <w:rPr>
          <w:b/>
        </w:rPr>
      </w:pPr>
      <w:r w:rsidRPr="00100332">
        <w:rPr>
          <w:b/>
        </w:rPr>
        <w:t xml:space="preserve">Indexed as:  R. </w:t>
      </w:r>
      <w:r w:rsidRPr="00100332">
        <w:rPr>
          <w:b/>
          <w:i/>
        </w:rPr>
        <w:t>v</w:t>
      </w:r>
      <w:r w:rsidRPr="00100332">
        <w:rPr>
          <w:b/>
        </w:rPr>
        <w:t xml:space="preserve">. </w:t>
      </w:r>
      <w:proofErr w:type="spellStart"/>
      <w:r w:rsidR="00EB0575" w:rsidRPr="00100332">
        <w:rPr>
          <w:b/>
        </w:rPr>
        <w:t>Banwait</w:t>
      </w:r>
      <w:proofErr w:type="spellEnd"/>
    </w:p>
    <w:p w:rsidR="00966A4F" w:rsidRPr="00100332" w:rsidRDefault="00966A4F" w:rsidP="00966A4F">
      <w:pPr>
        <w:spacing w:line="480" w:lineRule="auto"/>
        <w:jc w:val="both"/>
      </w:pPr>
    </w:p>
    <w:p w:rsidR="00966A4F" w:rsidRPr="00100332" w:rsidRDefault="00966A4F" w:rsidP="00966A4F">
      <w:pPr>
        <w:pStyle w:val="SCCSystemYear"/>
        <w:spacing w:line="480" w:lineRule="auto"/>
        <w:jc w:val="both"/>
      </w:pPr>
      <w:r w:rsidRPr="00100332">
        <w:t>2011 SCC </w:t>
      </w:r>
      <w:r w:rsidR="0061515E" w:rsidRPr="00100332">
        <w:t>55</w:t>
      </w:r>
    </w:p>
    <w:p w:rsidR="00966A4F" w:rsidRPr="00100332" w:rsidRDefault="00966A4F" w:rsidP="00966A4F">
      <w:pPr>
        <w:spacing w:line="480" w:lineRule="auto"/>
        <w:jc w:val="both"/>
      </w:pPr>
    </w:p>
    <w:p w:rsidR="00966A4F" w:rsidRPr="00100332" w:rsidRDefault="00966A4F" w:rsidP="00966A4F">
      <w:pPr>
        <w:spacing w:line="480" w:lineRule="auto"/>
        <w:jc w:val="both"/>
      </w:pPr>
      <w:r w:rsidRPr="00100332">
        <w:t>File No.:  3</w:t>
      </w:r>
      <w:r w:rsidR="0061515E" w:rsidRPr="00100332">
        <w:t>4044</w:t>
      </w:r>
      <w:r w:rsidRPr="00100332">
        <w:t>.</w:t>
      </w:r>
    </w:p>
    <w:p w:rsidR="00966A4F" w:rsidRPr="00100332" w:rsidRDefault="00966A4F" w:rsidP="00966A4F">
      <w:pPr>
        <w:spacing w:line="480" w:lineRule="auto"/>
        <w:jc w:val="both"/>
      </w:pPr>
    </w:p>
    <w:p w:rsidR="00966A4F" w:rsidRPr="00100332" w:rsidRDefault="00966A4F" w:rsidP="00966A4F">
      <w:pPr>
        <w:spacing w:line="480" w:lineRule="auto"/>
        <w:jc w:val="both"/>
      </w:pPr>
      <w:r w:rsidRPr="00100332">
        <w:t>2011:  </w:t>
      </w:r>
      <w:r w:rsidR="0061515E" w:rsidRPr="00100332">
        <w:t>November 8</w:t>
      </w:r>
      <w:r w:rsidRPr="00100332">
        <w:t>.</w:t>
      </w:r>
    </w:p>
    <w:p w:rsidR="00966A4F" w:rsidRPr="00100332" w:rsidRDefault="00966A4F" w:rsidP="00966A4F">
      <w:pPr>
        <w:spacing w:line="480" w:lineRule="auto"/>
        <w:jc w:val="both"/>
      </w:pPr>
    </w:p>
    <w:p w:rsidR="00966A4F" w:rsidRPr="00100332" w:rsidRDefault="00966A4F" w:rsidP="00645DC4">
      <w:pPr>
        <w:jc w:val="both"/>
      </w:pPr>
      <w:r w:rsidRPr="00100332">
        <w:t>Present:  </w:t>
      </w:r>
      <w:proofErr w:type="spellStart"/>
      <w:r w:rsidRPr="00100332">
        <w:t>McLachlin</w:t>
      </w:r>
      <w:proofErr w:type="spellEnd"/>
      <w:r w:rsidRPr="00100332">
        <w:t xml:space="preserve"> C.J. and</w:t>
      </w:r>
      <w:r w:rsidR="0061515E" w:rsidRPr="00100332">
        <w:t xml:space="preserve"> </w:t>
      </w:r>
      <w:proofErr w:type="spellStart"/>
      <w:r w:rsidRPr="00100332">
        <w:t>LeBel</w:t>
      </w:r>
      <w:proofErr w:type="spellEnd"/>
      <w:r w:rsidRPr="00100332">
        <w:t>,</w:t>
      </w:r>
      <w:r w:rsidR="0061515E" w:rsidRPr="00100332">
        <w:t xml:space="preserve"> </w:t>
      </w:r>
      <w:proofErr w:type="spellStart"/>
      <w:r w:rsidR="0061515E" w:rsidRPr="00100332">
        <w:t>Deschamps</w:t>
      </w:r>
      <w:proofErr w:type="spellEnd"/>
      <w:r w:rsidR="0061515E" w:rsidRPr="00100332">
        <w:t>,</w:t>
      </w:r>
      <w:r w:rsidRPr="00100332">
        <w:t xml:space="preserve"> Fish,</w:t>
      </w:r>
      <w:r w:rsidR="0061515E" w:rsidRPr="00100332">
        <w:t xml:space="preserve"> </w:t>
      </w:r>
      <w:proofErr w:type="spellStart"/>
      <w:r w:rsidR="0061515E" w:rsidRPr="00100332">
        <w:t>Abella</w:t>
      </w:r>
      <w:proofErr w:type="spellEnd"/>
      <w:r w:rsidR="0061515E" w:rsidRPr="00100332">
        <w:t xml:space="preserve">, Rothstein, </w:t>
      </w:r>
      <w:r w:rsidRPr="00100332">
        <w:t>Cromwell</w:t>
      </w:r>
      <w:r w:rsidR="0061515E" w:rsidRPr="00100332">
        <w:t xml:space="preserve">, </w:t>
      </w:r>
      <w:proofErr w:type="spellStart"/>
      <w:r w:rsidR="0061515E" w:rsidRPr="00100332">
        <w:t>Moldaver</w:t>
      </w:r>
      <w:proofErr w:type="spellEnd"/>
      <w:r w:rsidR="0061515E" w:rsidRPr="00100332">
        <w:t xml:space="preserve"> and </w:t>
      </w:r>
      <w:proofErr w:type="spellStart"/>
      <w:r w:rsidR="0061515E" w:rsidRPr="00100332">
        <w:t>Karakatsanis</w:t>
      </w:r>
      <w:proofErr w:type="spellEnd"/>
      <w:r w:rsidRPr="00100332">
        <w:t xml:space="preserve"> JJ.</w:t>
      </w:r>
    </w:p>
    <w:p w:rsidR="00966A4F" w:rsidRPr="00100332" w:rsidRDefault="00966A4F" w:rsidP="00966A4F">
      <w:pPr>
        <w:spacing w:line="480" w:lineRule="auto"/>
        <w:jc w:val="both"/>
        <w:rPr>
          <w:szCs w:val="24"/>
        </w:rPr>
      </w:pPr>
    </w:p>
    <w:p w:rsidR="00966A4F" w:rsidRPr="00100332" w:rsidRDefault="00966A4F" w:rsidP="00966A4F">
      <w:pPr>
        <w:spacing w:line="480" w:lineRule="auto"/>
        <w:jc w:val="both"/>
        <w:rPr>
          <w:smallCaps/>
          <w:szCs w:val="24"/>
        </w:rPr>
      </w:pPr>
      <w:r w:rsidRPr="00100332">
        <w:rPr>
          <w:smallCaps/>
          <w:szCs w:val="24"/>
        </w:rPr>
        <w:t xml:space="preserve">on appeal from the court of appeal for </w:t>
      </w:r>
      <w:proofErr w:type="spellStart"/>
      <w:r w:rsidR="0061515E" w:rsidRPr="00100332">
        <w:rPr>
          <w:smallCaps/>
          <w:szCs w:val="24"/>
        </w:rPr>
        <w:t>ontario</w:t>
      </w:r>
      <w:proofErr w:type="spellEnd"/>
    </w:p>
    <w:p w:rsidR="00966A4F" w:rsidRPr="00100332" w:rsidRDefault="00966A4F" w:rsidP="00966A4F">
      <w:pPr>
        <w:pStyle w:val="SCCNormalDoubleSpacing"/>
        <w:rPr>
          <w:szCs w:val="24"/>
        </w:rPr>
      </w:pPr>
    </w:p>
    <w:p w:rsidR="00966A4F" w:rsidRPr="00100332" w:rsidRDefault="00966A4F" w:rsidP="00966A4F">
      <w:pPr>
        <w:pStyle w:val="SCCNormalDoubleSpacing"/>
        <w:tabs>
          <w:tab w:val="left" w:pos="1170"/>
        </w:tabs>
        <w:spacing w:after="480"/>
        <w:rPr>
          <w:i/>
        </w:rPr>
      </w:pPr>
      <w:r w:rsidRPr="00100332">
        <w:tab/>
      </w:r>
      <w:r w:rsidR="001768CE" w:rsidRPr="00100332">
        <w:rPr>
          <w:i/>
        </w:rPr>
        <w:t xml:space="preserve">Criminal </w:t>
      </w:r>
      <w:r w:rsidR="006F5B41" w:rsidRPr="00100332">
        <w:rPr>
          <w:i/>
        </w:rPr>
        <w:t>l</w:t>
      </w:r>
      <w:r w:rsidR="001768CE" w:rsidRPr="00100332">
        <w:rPr>
          <w:i/>
        </w:rPr>
        <w:t xml:space="preserve">aw </w:t>
      </w:r>
      <w:r w:rsidR="007067CC" w:rsidRPr="00100332">
        <w:rPr>
          <w:i/>
          <w:iCs/>
          <w:szCs w:val="24"/>
        </w:rPr>
        <w:t xml:space="preserve">— </w:t>
      </w:r>
      <w:r w:rsidR="001768CE" w:rsidRPr="00100332">
        <w:rPr>
          <w:i/>
        </w:rPr>
        <w:t xml:space="preserve">Trial </w:t>
      </w:r>
      <w:r w:rsidR="007067CC" w:rsidRPr="00100332">
        <w:rPr>
          <w:i/>
          <w:iCs/>
          <w:szCs w:val="24"/>
        </w:rPr>
        <w:t xml:space="preserve">— </w:t>
      </w:r>
      <w:r w:rsidR="001768CE" w:rsidRPr="00100332">
        <w:rPr>
          <w:i/>
        </w:rPr>
        <w:t xml:space="preserve">Charge to </w:t>
      </w:r>
      <w:r w:rsidR="006F5B41" w:rsidRPr="00100332">
        <w:rPr>
          <w:i/>
        </w:rPr>
        <w:t>j</w:t>
      </w:r>
      <w:r w:rsidR="001768CE" w:rsidRPr="00100332">
        <w:rPr>
          <w:i/>
        </w:rPr>
        <w:t xml:space="preserve">ury </w:t>
      </w:r>
      <w:r w:rsidR="007067CC" w:rsidRPr="00100332">
        <w:rPr>
          <w:i/>
          <w:iCs/>
          <w:szCs w:val="24"/>
        </w:rPr>
        <w:t xml:space="preserve">— </w:t>
      </w:r>
      <w:r w:rsidR="001768CE" w:rsidRPr="00100332">
        <w:rPr>
          <w:i/>
        </w:rPr>
        <w:t xml:space="preserve">First </w:t>
      </w:r>
      <w:r w:rsidR="00257B13" w:rsidRPr="00100332">
        <w:rPr>
          <w:i/>
        </w:rPr>
        <w:t>d</w:t>
      </w:r>
      <w:r w:rsidR="001768CE" w:rsidRPr="00100332">
        <w:rPr>
          <w:i/>
        </w:rPr>
        <w:t xml:space="preserve">egree </w:t>
      </w:r>
      <w:r w:rsidR="00257B13" w:rsidRPr="00100332">
        <w:rPr>
          <w:i/>
        </w:rPr>
        <w:t>m</w:t>
      </w:r>
      <w:r w:rsidR="001768CE" w:rsidRPr="00100332">
        <w:rPr>
          <w:i/>
        </w:rPr>
        <w:t xml:space="preserve">urder </w:t>
      </w:r>
      <w:r w:rsidR="007067CC" w:rsidRPr="00100332">
        <w:rPr>
          <w:i/>
          <w:iCs/>
          <w:szCs w:val="24"/>
        </w:rPr>
        <w:t xml:space="preserve">— </w:t>
      </w:r>
      <w:r w:rsidR="001768CE" w:rsidRPr="00100332">
        <w:rPr>
          <w:i/>
        </w:rPr>
        <w:t>Trial judge properly instructed jury on relationship between planning and deliberation and murder.</w:t>
      </w:r>
    </w:p>
    <w:p w:rsidR="00966A4F" w:rsidRPr="00100332" w:rsidRDefault="00966A4F" w:rsidP="001768CE">
      <w:pPr>
        <w:pStyle w:val="SCCNormalDoubleSpacing"/>
        <w:tabs>
          <w:tab w:val="left" w:pos="1170"/>
        </w:tabs>
        <w:spacing w:after="480"/>
      </w:pPr>
      <w:r w:rsidRPr="00100332">
        <w:lastRenderedPageBreak/>
        <w:tab/>
        <w:t xml:space="preserve">APPEAL from a judgment of the </w:t>
      </w:r>
      <w:r w:rsidR="0022424E" w:rsidRPr="00100332">
        <w:t>Ontario</w:t>
      </w:r>
      <w:r w:rsidRPr="00100332">
        <w:t xml:space="preserve"> Court of Appeal (</w:t>
      </w:r>
      <w:proofErr w:type="spellStart"/>
      <w:r w:rsidR="0022424E" w:rsidRPr="00100332">
        <w:t>Laskin</w:t>
      </w:r>
      <w:proofErr w:type="spellEnd"/>
      <w:r w:rsidRPr="00100332">
        <w:t xml:space="preserve">, </w:t>
      </w:r>
      <w:proofErr w:type="spellStart"/>
      <w:r w:rsidR="0022424E" w:rsidRPr="00100332">
        <w:t>MacPherson</w:t>
      </w:r>
      <w:proofErr w:type="spellEnd"/>
      <w:r w:rsidRPr="00100332">
        <w:t xml:space="preserve"> and </w:t>
      </w:r>
      <w:r w:rsidR="0022424E" w:rsidRPr="00100332">
        <w:t>Simmons</w:t>
      </w:r>
      <w:r w:rsidRPr="00100332">
        <w:t xml:space="preserve"> JJ.A.), 2010 </w:t>
      </w:r>
      <w:r w:rsidR="0022424E" w:rsidRPr="00100332">
        <w:t>ONCA</w:t>
      </w:r>
      <w:r w:rsidRPr="00100332">
        <w:t xml:space="preserve"> </w:t>
      </w:r>
      <w:r w:rsidR="0022424E" w:rsidRPr="00100332">
        <w:t>869</w:t>
      </w:r>
      <w:r w:rsidRPr="00100332">
        <w:t xml:space="preserve">, </w:t>
      </w:r>
      <w:r w:rsidR="0022424E" w:rsidRPr="00100332">
        <w:t>272 O.A.C. 130</w:t>
      </w:r>
      <w:r w:rsidRPr="00100332">
        <w:t>, 26</w:t>
      </w:r>
      <w:r w:rsidR="0022424E" w:rsidRPr="00100332">
        <w:t>5</w:t>
      </w:r>
      <w:r w:rsidRPr="00100332">
        <w:t xml:space="preserve"> C.C.C. (3d) </w:t>
      </w:r>
      <w:r w:rsidR="007067CC" w:rsidRPr="00100332">
        <w:t>201</w:t>
      </w:r>
      <w:r w:rsidRPr="00100332">
        <w:t xml:space="preserve">, </w:t>
      </w:r>
      <w:r w:rsidR="0022424E" w:rsidRPr="00100332">
        <w:t>82</w:t>
      </w:r>
      <w:r w:rsidRPr="00100332">
        <w:t xml:space="preserve"> C.R. (6th) </w:t>
      </w:r>
      <w:r w:rsidR="0022424E" w:rsidRPr="00100332">
        <w:t>8</w:t>
      </w:r>
      <w:r w:rsidR="007067CC" w:rsidRPr="00100332">
        <w:t>7</w:t>
      </w:r>
      <w:r w:rsidR="0022424E" w:rsidRPr="00100332">
        <w:t>, [2010] O</w:t>
      </w:r>
      <w:r w:rsidRPr="00100332">
        <w:t xml:space="preserve">.J. No. </w:t>
      </w:r>
      <w:r w:rsidR="0022424E" w:rsidRPr="00100332">
        <w:t>5472</w:t>
      </w:r>
      <w:r w:rsidRPr="00100332">
        <w:t xml:space="preserve"> (QL), 2010 </w:t>
      </w:r>
      <w:proofErr w:type="spellStart"/>
      <w:r w:rsidRPr="00100332">
        <w:t>Carswell</w:t>
      </w:r>
      <w:r w:rsidR="0022424E" w:rsidRPr="00100332">
        <w:t>Ont</w:t>
      </w:r>
      <w:proofErr w:type="spellEnd"/>
      <w:r w:rsidRPr="00100332">
        <w:t xml:space="preserve"> </w:t>
      </w:r>
      <w:r w:rsidR="0022424E" w:rsidRPr="00100332">
        <w:t>9673</w:t>
      </w:r>
      <w:r w:rsidR="001768CE" w:rsidRPr="00100332">
        <w:t xml:space="preserve">, setting aside the </w:t>
      </w:r>
      <w:proofErr w:type="spellStart"/>
      <w:r w:rsidR="001768CE" w:rsidRPr="00100332">
        <w:t>accused’s</w:t>
      </w:r>
      <w:proofErr w:type="spellEnd"/>
      <w:r w:rsidR="001768CE" w:rsidRPr="00100332">
        <w:t xml:space="preserve"> conviction for first degree murder and substituting a conviction for second degree murder</w:t>
      </w:r>
      <w:r w:rsidRPr="00100332">
        <w:t xml:space="preserve">. Appeal </w:t>
      </w:r>
      <w:r w:rsidR="0022424E" w:rsidRPr="00100332">
        <w:t>allowed</w:t>
      </w:r>
      <w:r w:rsidRPr="00100332">
        <w:t>.</w:t>
      </w:r>
    </w:p>
    <w:p w:rsidR="00966A4F" w:rsidRPr="00100332" w:rsidRDefault="00966A4F" w:rsidP="00A3055F">
      <w:pPr>
        <w:pStyle w:val="SCCNormalDoubleSpacing"/>
        <w:tabs>
          <w:tab w:val="left" w:pos="1170"/>
        </w:tabs>
        <w:spacing w:after="480"/>
      </w:pPr>
      <w:r w:rsidRPr="00100332">
        <w:rPr>
          <w:i/>
        </w:rPr>
        <w:tab/>
      </w:r>
      <w:proofErr w:type="gramStart"/>
      <w:r w:rsidR="0022424E" w:rsidRPr="00100332">
        <w:rPr>
          <w:i/>
        </w:rPr>
        <w:t>Gillian E. Roberts</w:t>
      </w:r>
      <w:r w:rsidR="007067CC" w:rsidRPr="00100332">
        <w:t xml:space="preserve"> and </w:t>
      </w:r>
      <w:r w:rsidR="007067CC" w:rsidRPr="00100332">
        <w:rPr>
          <w:i/>
        </w:rPr>
        <w:t>Stacey D. Young</w:t>
      </w:r>
      <w:r w:rsidR="007067CC" w:rsidRPr="00100332">
        <w:t>,</w:t>
      </w:r>
      <w:r w:rsidRPr="00100332">
        <w:t xml:space="preserve"> for the appellant.</w:t>
      </w:r>
      <w:proofErr w:type="gramEnd"/>
    </w:p>
    <w:p w:rsidR="00966A4F" w:rsidRPr="00100332" w:rsidRDefault="00966A4F" w:rsidP="00A3055F">
      <w:pPr>
        <w:pStyle w:val="SCCNormalDoubleSpacing"/>
        <w:tabs>
          <w:tab w:val="left" w:pos="1170"/>
        </w:tabs>
        <w:spacing w:after="480"/>
      </w:pPr>
      <w:r w:rsidRPr="00100332">
        <w:rPr>
          <w:i/>
        </w:rPr>
        <w:tab/>
      </w:r>
      <w:proofErr w:type="gramStart"/>
      <w:r w:rsidR="0022424E" w:rsidRPr="00100332">
        <w:rPr>
          <w:i/>
        </w:rPr>
        <w:t>Philip Campbell</w:t>
      </w:r>
      <w:r w:rsidRPr="00100332">
        <w:t>, for the respondent.</w:t>
      </w:r>
      <w:proofErr w:type="gramEnd"/>
    </w:p>
    <w:p w:rsidR="00966A4F" w:rsidRPr="00100332" w:rsidRDefault="00966A4F" w:rsidP="00966A4F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100332">
        <w:rPr>
          <w:szCs w:val="24"/>
        </w:rPr>
        <w:tab/>
        <w:t xml:space="preserve">The judgment of </w:t>
      </w:r>
      <w:r w:rsidR="0022424E" w:rsidRPr="00100332">
        <w:rPr>
          <w:szCs w:val="24"/>
        </w:rPr>
        <w:t>the Court</w:t>
      </w:r>
      <w:r w:rsidRPr="00100332">
        <w:rPr>
          <w:szCs w:val="24"/>
        </w:rPr>
        <w:t xml:space="preserve"> was delivered orally by</w:t>
      </w:r>
    </w:p>
    <w:p w:rsidR="0022424E" w:rsidRPr="00100332" w:rsidRDefault="00966A4F" w:rsidP="00E87769">
      <w:pPr>
        <w:pStyle w:val="ParaNoNdepar-AltN"/>
      </w:pPr>
      <w:r w:rsidRPr="00100332">
        <w:rPr>
          <w:smallCaps/>
        </w:rPr>
        <w:t>The Chief Justice</w:t>
      </w:r>
      <w:r w:rsidRPr="00100332">
        <w:t xml:space="preserve"> — </w:t>
      </w:r>
      <w:proofErr w:type="gramStart"/>
      <w:r w:rsidR="0022424E" w:rsidRPr="00100332">
        <w:t>We</w:t>
      </w:r>
      <w:proofErr w:type="gramEnd"/>
      <w:r w:rsidR="0022424E" w:rsidRPr="00100332">
        <w:t xml:space="preserve"> are all of the view that the appeal should be allowed for the reasons set out by </w:t>
      </w:r>
      <w:proofErr w:type="spellStart"/>
      <w:r w:rsidR="0022424E" w:rsidRPr="00100332">
        <w:t>MacPherson</w:t>
      </w:r>
      <w:proofErr w:type="spellEnd"/>
      <w:r w:rsidR="0022424E" w:rsidRPr="00100332">
        <w:t xml:space="preserve"> J.A. at </w:t>
      </w:r>
      <w:proofErr w:type="spellStart"/>
      <w:r w:rsidR="0022424E" w:rsidRPr="00100332">
        <w:t>paras</w:t>
      </w:r>
      <w:proofErr w:type="spellEnd"/>
      <w:r w:rsidR="0022424E" w:rsidRPr="00100332">
        <w:t xml:space="preserve">. 178-89 of his </w:t>
      </w:r>
      <w:r w:rsidR="007067CC" w:rsidRPr="00100332">
        <w:t xml:space="preserve">dissenting </w:t>
      </w:r>
      <w:r w:rsidR="0022424E" w:rsidRPr="00100332">
        <w:t>judgment</w:t>
      </w:r>
      <w:r w:rsidR="006F5B41" w:rsidRPr="00100332">
        <w:t xml:space="preserve"> (2010 ONCA 869, 272 O.A.C. 130)</w:t>
      </w:r>
      <w:r w:rsidR="0022424E" w:rsidRPr="00100332">
        <w:t>.</w:t>
      </w:r>
    </w:p>
    <w:p w:rsidR="00966A4F" w:rsidRPr="00100332" w:rsidRDefault="0022424E" w:rsidP="00E87769">
      <w:pPr>
        <w:pStyle w:val="ParaNoNdepar-AltN"/>
      </w:pPr>
      <w:r w:rsidRPr="00100332">
        <w:t>The appeal is allowed and the conviction for first degree murder restored.</w:t>
      </w:r>
    </w:p>
    <w:p w:rsidR="00966A4F" w:rsidRPr="00100332" w:rsidRDefault="00966A4F" w:rsidP="007067CC">
      <w:pPr>
        <w:pStyle w:val="SCCNormalDoubleSpacing"/>
        <w:ind w:firstLine="1170"/>
        <w:rPr>
          <w:i/>
        </w:rPr>
      </w:pPr>
      <w:proofErr w:type="gramStart"/>
      <w:r w:rsidRPr="00100332">
        <w:rPr>
          <w:i/>
        </w:rPr>
        <w:t>Judgment accordingly.</w:t>
      </w:r>
      <w:proofErr w:type="gramEnd"/>
    </w:p>
    <w:p w:rsidR="00966A4F" w:rsidRPr="00100332" w:rsidRDefault="00966A4F" w:rsidP="00966A4F">
      <w:pPr>
        <w:pStyle w:val="SCCNormalDoubleSpacing"/>
      </w:pPr>
    </w:p>
    <w:p w:rsidR="00966A4F" w:rsidRPr="00100332" w:rsidRDefault="0022424E" w:rsidP="007067CC">
      <w:pPr>
        <w:pStyle w:val="SCCLawFirm"/>
        <w:ind w:firstLine="1170"/>
      </w:pPr>
      <w:r w:rsidRPr="00100332">
        <w:t>Solicitor</w:t>
      </w:r>
      <w:r w:rsidR="00966A4F" w:rsidRPr="00100332">
        <w:t xml:space="preserve"> for the appellant:  </w:t>
      </w:r>
      <w:r w:rsidRPr="00100332">
        <w:t>Attorney General of Ontario</w:t>
      </w:r>
      <w:r w:rsidR="00966A4F" w:rsidRPr="00100332">
        <w:t xml:space="preserve">, </w:t>
      </w:r>
      <w:r w:rsidRPr="00100332">
        <w:t>Toronto</w:t>
      </w:r>
      <w:r w:rsidR="00966A4F" w:rsidRPr="00100332">
        <w:t>.</w:t>
      </w:r>
    </w:p>
    <w:p w:rsidR="00966A4F" w:rsidRPr="00100332" w:rsidRDefault="00966A4F" w:rsidP="00966A4F">
      <w:pPr>
        <w:pStyle w:val="SCCLawFirm"/>
      </w:pPr>
    </w:p>
    <w:p w:rsidR="00966A4F" w:rsidRPr="00100332" w:rsidRDefault="00966A4F" w:rsidP="007067CC">
      <w:pPr>
        <w:pStyle w:val="SCCLawFirm"/>
        <w:ind w:firstLine="1170"/>
        <w:rPr>
          <w:lang w:val="en-US"/>
        </w:rPr>
      </w:pPr>
      <w:r w:rsidRPr="00100332">
        <w:t>Solicitor</w:t>
      </w:r>
      <w:r w:rsidR="0022424E" w:rsidRPr="00100332">
        <w:t>s</w:t>
      </w:r>
      <w:r w:rsidRPr="00100332">
        <w:t xml:space="preserve"> for the respondent:  </w:t>
      </w:r>
      <w:proofErr w:type="spellStart"/>
      <w:r w:rsidR="0022424E" w:rsidRPr="00100332">
        <w:t>Lockyer</w:t>
      </w:r>
      <w:proofErr w:type="spellEnd"/>
      <w:r w:rsidR="0022424E" w:rsidRPr="00100332">
        <w:t xml:space="preserve"> Campbell Posner</w:t>
      </w:r>
      <w:r w:rsidRPr="00100332">
        <w:t xml:space="preserve">, </w:t>
      </w:r>
      <w:r w:rsidR="0022424E" w:rsidRPr="00100332">
        <w:t>Toronto</w:t>
      </w:r>
      <w:r w:rsidRPr="00100332">
        <w:t>.</w:t>
      </w:r>
      <w:r w:rsidRPr="00100332">
        <w:rPr>
          <w:lang w:val="en-US"/>
        </w:rPr>
        <w:t xml:space="preserve"> </w:t>
      </w:r>
    </w:p>
    <w:p w:rsidR="00966A4F" w:rsidRPr="00100332" w:rsidRDefault="00966A4F" w:rsidP="00966A4F">
      <w:pPr>
        <w:rPr>
          <w:lang w:val="en-US"/>
        </w:rPr>
      </w:pPr>
    </w:p>
    <w:sectPr w:rsidR="00966A4F" w:rsidRPr="00100332" w:rsidSect="0059138C">
      <w:headerReference w:type="default" r:id="rId9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A7" w:rsidRDefault="00066FA7" w:rsidP="00EB073B">
      <w:r>
        <w:separator/>
      </w:r>
    </w:p>
  </w:endnote>
  <w:endnote w:type="continuationSeparator" w:id="0">
    <w:p w:rsidR="00066FA7" w:rsidRDefault="00066FA7" w:rsidP="00EB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A7" w:rsidRDefault="00066FA7" w:rsidP="00EB073B">
      <w:r>
        <w:separator/>
      </w:r>
    </w:p>
  </w:footnote>
  <w:footnote w:type="continuationSeparator" w:id="0">
    <w:p w:rsidR="00066FA7" w:rsidRDefault="00066FA7" w:rsidP="00EB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9286"/>
      <w:docPartObj>
        <w:docPartGallery w:val="Page Numbers (Top of Page)"/>
        <w:docPartUnique/>
      </w:docPartObj>
    </w:sdtPr>
    <w:sdtContent>
      <w:p w:rsidR="0059138C" w:rsidRDefault="0059138C">
        <w:pPr>
          <w:pStyle w:val="Header"/>
          <w:jc w:val="center"/>
        </w:pPr>
        <w:r>
          <w:t xml:space="preserve">- </w:t>
        </w:r>
        <w:fldSimple w:instr=" PAGE   \* MERGEFORMAT ">
          <w:r w:rsidR="00AA0CC9">
            <w:rPr>
              <w:noProof/>
            </w:rPr>
            <w:t>2</w:t>
          </w:r>
        </w:fldSimple>
        <w:r>
          <w:t xml:space="preserve"> -</w:t>
        </w:r>
      </w:p>
    </w:sdtContent>
  </w:sdt>
  <w:p w:rsidR="00066FA7" w:rsidRPr="00450352" w:rsidRDefault="00066FA7" w:rsidP="00066F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1"/>
  <w:stylePaneSortMethod w:val="0004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6A4F"/>
    <w:rsid w:val="0000040D"/>
    <w:rsid w:val="00066FA7"/>
    <w:rsid w:val="00075DF8"/>
    <w:rsid w:val="000B73EB"/>
    <w:rsid w:val="00100332"/>
    <w:rsid w:val="00100F78"/>
    <w:rsid w:val="0016209D"/>
    <w:rsid w:val="001768CE"/>
    <w:rsid w:val="0022424E"/>
    <w:rsid w:val="002563CA"/>
    <w:rsid w:val="00257B13"/>
    <w:rsid w:val="002A1C62"/>
    <w:rsid w:val="002F3BF6"/>
    <w:rsid w:val="00397EAE"/>
    <w:rsid w:val="003E5505"/>
    <w:rsid w:val="00424DBB"/>
    <w:rsid w:val="004A1D95"/>
    <w:rsid w:val="0059138C"/>
    <w:rsid w:val="0061515E"/>
    <w:rsid w:val="0061733C"/>
    <w:rsid w:val="00645DC4"/>
    <w:rsid w:val="0065172E"/>
    <w:rsid w:val="006F5B41"/>
    <w:rsid w:val="007067CC"/>
    <w:rsid w:val="00862015"/>
    <w:rsid w:val="00966A4F"/>
    <w:rsid w:val="009A2184"/>
    <w:rsid w:val="009E6D45"/>
    <w:rsid w:val="00A3055F"/>
    <w:rsid w:val="00AA0CC9"/>
    <w:rsid w:val="00B02EE2"/>
    <w:rsid w:val="00B25DA6"/>
    <w:rsid w:val="00BC2A54"/>
    <w:rsid w:val="00BF216A"/>
    <w:rsid w:val="00D25A9B"/>
    <w:rsid w:val="00E87769"/>
    <w:rsid w:val="00EB0575"/>
    <w:rsid w:val="00EB073B"/>
    <w:rsid w:val="00ED2479"/>
    <w:rsid w:val="00EF5CD1"/>
    <w:rsid w:val="00F67364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32"/>
    <w:rPr>
      <w:rFonts w:eastAsia="Times New Roman" w:cs="Times New Roman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966A4F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966A4F"/>
    <w:rPr>
      <w:rFonts w:eastAsia="Times New Roman" w:cs="Times New Roman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66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4F"/>
    <w:rPr>
      <w:rFonts w:eastAsia="Times New Roman" w:cs="Times New Roman"/>
      <w:szCs w:val="20"/>
      <w:lang w:val="en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966A4F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966A4F"/>
    <w:rPr>
      <w:rFonts w:eastAsia="Times New Roman" w:cs="Times New Roman"/>
      <w:b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966A4F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966A4F"/>
    <w:rPr>
      <w:rFonts w:eastAsia="Times New Roman" w:cs="Times New Roman"/>
      <w:i/>
      <w:szCs w:val="20"/>
      <w:lang w:val="en-CA" w:eastAsia="en-CA"/>
    </w:rPr>
  </w:style>
  <w:style w:type="character" w:styleId="BookTitle">
    <w:name w:val="Book Title"/>
    <w:basedOn w:val="DefaultParagraphFont"/>
    <w:uiPriority w:val="33"/>
    <w:qFormat/>
    <w:rsid w:val="0010033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59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38C"/>
    <w:rPr>
      <w:rFonts w:eastAsia="Times New Roman" w:cs="Times New Roman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966A4F"/>
    <w:rPr>
      <w:b/>
    </w:rPr>
  </w:style>
  <w:style w:type="character" w:customStyle="1" w:styleId="SCCSystemYearChar">
    <w:name w:val="SCC.SystemYear Char"/>
    <w:basedOn w:val="DefaultParagraphFont"/>
    <w:link w:val="SCCSystemYear"/>
    <w:rsid w:val="00966A4F"/>
    <w:rPr>
      <w:rFonts w:eastAsia="Times New Roman" w:cs="Times New Roman"/>
      <w:b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966A4F"/>
    <w:rPr>
      <w:i/>
    </w:rPr>
  </w:style>
  <w:style w:type="character" w:customStyle="1" w:styleId="SCCLawFirmChar">
    <w:name w:val="SCC.LawFirm Char"/>
    <w:basedOn w:val="SCCNormalDoubleSpacingChar"/>
    <w:link w:val="SCCLawFirm"/>
    <w:rsid w:val="00966A4F"/>
    <w:rPr>
      <w:i/>
    </w:rPr>
  </w:style>
  <w:style w:type="paragraph" w:customStyle="1" w:styleId="JudgeJuge">
    <w:name w:val="Judge / Juge"/>
    <w:uiPriority w:val="3"/>
    <w:rsid w:val="00E87769"/>
    <w:pPr>
      <w:tabs>
        <w:tab w:val="left" w:pos="1166"/>
      </w:tabs>
      <w:spacing w:after="480" w:line="480" w:lineRule="auto"/>
    </w:pPr>
    <w:rPr>
      <w:rFonts w:eastAsia="Times New Roman" w:cs="Times New Roman"/>
      <w:smallCaps/>
      <w:szCs w:val="20"/>
      <w:lang w:val="en-CA" w:eastAsia="en-CA"/>
    </w:rPr>
  </w:style>
  <w:style w:type="paragraph" w:customStyle="1" w:styleId="ParaNoNdepar-AltN">
    <w:name w:val="Para. No. / Nº de par. - Alt N"/>
    <w:qFormat/>
    <w:rsid w:val="00E87769"/>
    <w:pPr>
      <w:numPr>
        <w:numId w:val="1"/>
      </w:numPr>
      <w:tabs>
        <w:tab w:val="clear" w:pos="1152"/>
        <w:tab w:val="left" w:pos="1166"/>
      </w:tabs>
      <w:spacing w:before="480" w:after="480" w:line="480" w:lineRule="auto"/>
      <w:jc w:val="both"/>
    </w:pPr>
    <w:rPr>
      <w:rFonts w:eastAsiaTheme="minorEastAsia"/>
      <w:lang w:val="en-CA"/>
    </w:rPr>
  </w:style>
  <w:style w:type="table" w:styleId="TableGrid">
    <w:name w:val="Table Grid"/>
    <w:basedOn w:val="TableNormal"/>
    <w:uiPriority w:val="59"/>
    <w:rsid w:val="00AA0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AA0CC9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AA0CC9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AA0CC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AA0CC9"/>
    <w:rPr>
      <w:b/>
      <w:smallCaps/>
      <w:lang w:val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AA0CC9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AA0CC9"/>
    <w:rPr>
      <w:rFonts w:eastAsia="Times New Roman" w:cs="Times New Roman"/>
      <w:b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2011-12-13T18:00:00Z</dcterms:created>
  <dcterms:modified xsi:type="dcterms:W3CDTF">2012-03-06T18:17:00Z</dcterms:modified>
</cp:coreProperties>
</file>