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0DB" w:rsidRPr="003A2A80" w:rsidRDefault="000520DB" w:rsidP="000520DB">
      <w:pPr>
        <w:tabs>
          <w:tab w:val="center" w:pos="4680"/>
          <w:tab w:val="right" w:pos="9360"/>
        </w:tabs>
        <w:jc w:val="center"/>
        <w:rPr>
          <w:rFonts w:eastAsiaTheme="minorHAnsi" w:cstheme="minorBidi"/>
          <w:szCs w:val="24"/>
          <w:lang w:eastAsia="en-US"/>
        </w:rPr>
      </w:pPr>
      <w:r w:rsidRPr="003A2A80">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423296083" r:id="rId8"/>
        </w:object>
      </w:r>
    </w:p>
    <w:p w:rsidR="000520DB" w:rsidRPr="003A2A80" w:rsidRDefault="000520DB" w:rsidP="000520DB">
      <w:pPr>
        <w:tabs>
          <w:tab w:val="center" w:pos="4680"/>
          <w:tab w:val="right" w:pos="9360"/>
        </w:tabs>
        <w:rPr>
          <w:rFonts w:eastAsiaTheme="minorHAnsi" w:cstheme="minorBidi"/>
          <w:szCs w:val="24"/>
          <w:lang w:eastAsia="en-US"/>
        </w:rPr>
      </w:pPr>
    </w:p>
    <w:p w:rsidR="000520DB" w:rsidRPr="003A2A80" w:rsidRDefault="000520DB" w:rsidP="000520DB">
      <w:pPr>
        <w:jc w:val="center"/>
        <w:rPr>
          <w:rFonts w:eastAsiaTheme="minorHAnsi" w:cstheme="minorBidi"/>
          <w:b/>
          <w:szCs w:val="24"/>
          <w:lang w:eastAsia="en-US"/>
        </w:rPr>
      </w:pPr>
      <w:r w:rsidRPr="003A2A80">
        <w:rPr>
          <w:rFonts w:eastAsiaTheme="minorHAnsi" w:cstheme="minorBidi"/>
          <w:b/>
          <w:szCs w:val="24"/>
          <w:lang w:eastAsia="en-US"/>
        </w:rPr>
        <w:t>COUR SUPRÊME DU CANADA</w:t>
      </w:r>
    </w:p>
    <w:p w:rsidR="000520DB" w:rsidRPr="003A2A80" w:rsidRDefault="000520DB" w:rsidP="000520DB">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0520DB" w:rsidRPr="003A2A80" w:rsidTr="00D01C12">
        <w:trPr>
          <w:cantSplit/>
        </w:trPr>
        <w:tc>
          <w:tcPr>
            <w:tcW w:w="6768" w:type="dxa"/>
          </w:tcPr>
          <w:p w:rsidR="000520DB" w:rsidRPr="003A2A80" w:rsidRDefault="000520DB" w:rsidP="00D01C12">
            <w:r w:rsidRPr="003A2A80">
              <w:rPr>
                <w:b/>
                <w:smallCaps/>
              </w:rPr>
              <w:t>Référence :</w:t>
            </w:r>
            <w:r w:rsidRPr="003A2A80">
              <w:t xml:space="preserve"> R. </w:t>
            </w:r>
            <w:r w:rsidRPr="003A2A80">
              <w:rPr>
                <w:i/>
              </w:rPr>
              <w:t>c.</w:t>
            </w:r>
            <w:r w:rsidRPr="003A2A80">
              <w:t xml:space="preserve"> </w:t>
            </w:r>
            <w:proofErr w:type="spellStart"/>
            <w:r w:rsidRPr="003A2A80">
              <w:t>Punko</w:t>
            </w:r>
            <w:proofErr w:type="spellEnd"/>
            <w:r w:rsidRPr="003A2A80">
              <w:t xml:space="preserve">, </w:t>
            </w:r>
            <w:r w:rsidRPr="00A732FF">
              <w:t>2012 CSC 39</w:t>
            </w:r>
            <w:r>
              <w:t>, [2012] 2 R.C.S. 396</w:t>
            </w:r>
          </w:p>
        </w:tc>
        <w:tc>
          <w:tcPr>
            <w:tcW w:w="2808" w:type="dxa"/>
          </w:tcPr>
          <w:p w:rsidR="000520DB" w:rsidRPr="003A2A80" w:rsidRDefault="000520DB" w:rsidP="00D01C12">
            <w:r w:rsidRPr="003A2A80">
              <w:rPr>
                <w:b/>
                <w:smallCaps/>
              </w:rPr>
              <w:t>Date :</w:t>
            </w:r>
            <w:r w:rsidRPr="003A2A80">
              <w:t xml:space="preserve"> 20120720</w:t>
            </w:r>
          </w:p>
          <w:p w:rsidR="000520DB" w:rsidRPr="003A2A80" w:rsidRDefault="000520DB" w:rsidP="00D01C12">
            <w:r w:rsidRPr="003A2A80">
              <w:rPr>
                <w:b/>
                <w:smallCaps/>
              </w:rPr>
              <w:t>Dossier :</w:t>
            </w:r>
            <w:r w:rsidRPr="003A2A80">
              <w:t xml:space="preserve"> 34135, 34193</w:t>
            </w:r>
          </w:p>
        </w:tc>
      </w:tr>
    </w:tbl>
    <w:p w:rsidR="000520DB" w:rsidRPr="003A2A80" w:rsidRDefault="000520DB" w:rsidP="000520DB">
      <w:pPr>
        <w:rPr>
          <w:rFonts w:eastAsiaTheme="minorHAnsi" w:cstheme="minorBidi"/>
          <w:szCs w:val="24"/>
          <w:lang w:eastAsia="en-US"/>
        </w:rPr>
      </w:pPr>
    </w:p>
    <w:p w:rsidR="000520DB" w:rsidRPr="003A2A80" w:rsidRDefault="000520DB" w:rsidP="000520DB">
      <w:pPr>
        <w:rPr>
          <w:rFonts w:eastAsiaTheme="minorHAnsi" w:cstheme="minorBidi"/>
          <w:b/>
          <w:smallCaps/>
          <w:szCs w:val="24"/>
          <w:lang w:eastAsia="en-US"/>
        </w:rPr>
      </w:pPr>
      <w:r w:rsidRPr="003A2A80">
        <w:rPr>
          <w:rFonts w:eastAsiaTheme="minorHAnsi" w:cstheme="minorBidi"/>
          <w:b/>
          <w:smallCaps/>
          <w:szCs w:val="24"/>
          <w:lang w:eastAsia="en-US"/>
        </w:rPr>
        <w:t>Entre :</w:t>
      </w:r>
    </w:p>
    <w:p w:rsidR="000520DB" w:rsidRPr="003A2A80" w:rsidRDefault="000520DB" w:rsidP="000520DB">
      <w:pPr>
        <w:jc w:val="center"/>
        <w:rPr>
          <w:rFonts w:eastAsiaTheme="minorHAnsi" w:cstheme="minorBidi"/>
          <w:b/>
          <w:szCs w:val="24"/>
          <w:lang w:eastAsia="en-US"/>
        </w:rPr>
      </w:pPr>
      <w:r w:rsidRPr="003A2A80">
        <w:rPr>
          <w:rFonts w:eastAsiaTheme="minorHAnsi" w:cstheme="minorBidi"/>
          <w:b/>
          <w:szCs w:val="24"/>
          <w:lang w:eastAsia="en-US"/>
        </w:rPr>
        <w:t xml:space="preserve">John Virgil </w:t>
      </w:r>
      <w:proofErr w:type="spellStart"/>
      <w:r w:rsidRPr="003A2A80">
        <w:rPr>
          <w:rFonts w:eastAsiaTheme="minorHAnsi" w:cstheme="minorBidi"/>
          <w:b/>
          <w:szCs w:val="24"/>
          <w:lang w:eastAsia="en-US"/>
        </w:rPr>
        <w:t>Punko</w:t>
      </w:r>
      <w:proofErr w:type="spellEnd"/>
    </w:p>
    <w:p w:rsidR="000520DB" w:rsidRPr="003A2A80" w:rsidRDefault="000520DB" w:rsidP="000520DB">
      <w:pPr>
        <w:jc w:val="center"/>
        <w:rPr>
          <w:rFonts w:eastAsiaTheme="minorHAnsi" w:cstheme="minorBidi"/>
          <w:szCs w:val="24"/>
          <w:lang w:eastAsia="en-US"/>
        </w:rPr>
      </w:pPr>
      <w:r w:rsidRPr="003A2A80">
        <w:rPr>
          <w:rFonts w:eastAsiaTheme="minorHAnsi" w:cstheme="minorBidi"/>
          <w:szCs w:val="24"/>
          <w:lang w:eastAsia="en-US"/>
        </w:rPr>
        <w:t>Appelant</w:t>
      </w:r>
    </w:p>
    <w:p w:rsidR="000520DB" w:rsidRPr="003A2A80" w:rsidRDefault="000520DB" w:rsidP="000520DB">
      <w:pPr>
        <w:jc w:val="center"/>
        <w:rPr>
          <w:rFonts w:eastAsiaTheme="minorHAnsi" w:cstheme="minorBidi"/>
          <w:szCs w:val="24"/>
          <w:lang w:eastAsia="en-US"/>
        </w:rPr>
      </w:pPr>
      <w:proofErr w:type="gramStart"/>
      <w:r w:rsidRPr="003A2A80">
        <w:rPr>
          <w:rFonts w:eastAsiaTheme="minorHAnsi" w:cstheme="minorBidi"/>
          <w:szCs w:val="24"/>
          <w:lang w:eastAsia="en-US"/>
        </w:rPr>
        <w:t>et</w:t>
      </w:r>
      <w:proofErr w:type="gramEnd"/>
    </w:p>
    <w:p w:rsidR="000520DB" w:rsidRPr="003A2A80" w:rsidRDefault="000520DB" w:rsidP="000520DB">
      <w:pPr>
        <w:jc w:val="center"/>
        <w:rPr>
          <w:rFonts w:eastAsiaTheme="minorHAnsi" w:cstheme="minorBidi"/>
          <w:b/>
          <w:szCs w:val="24"/>
          <w:lang w:eastAsia="en-US"/>
        </w:rPr>
      </w:pPr>
      <w:r w:rsidRPr="003A2A80">
        <w:rPr>
          <w:rFonts w:eastAsiaTheme="minorHAnsi" w:cstheme="minorBidi"/>
          <w:b/>
          <w:szCs w:val="24"/>
          <w:lang w:eastAsia="en-US"/>
        </w:rPr>
        <w:t>Sa Majesté la Reine</w:t>
      </w:r>
    </w:p>
    <w:p w:rsidR="000520DB" w:rsidRPr="003A2A80" w:rsidRDefault="000520DB" w:rsidP="000520DB">
      <w:pPr>
        <w:jc w:val="center"/>
        <w:rPr>
          <w:rFonts w:eastAsiaTheme="minorHAnsi" w:cstheme="minorBidi"/>
          <w:szCs w:val="24"/>
          <w:lang w:eastAsia="en-US"/>
        </w:rPr>
      </w:pPr>
      <w:r w:rsidRPr="003A2A80">
        <w:rPr>
          <w:rFonts w:eastAsiaTheme="minorHAnsi" w:cstheme="minorBidi"/>
          <w:szCs w:val="24"/>
          <w:lang w:eastAsia="en-US"/>
        </w:rPr>
        <w:t>Intimée</w:t>
      </w:r>
      <w:r w:rsidRPr="003A2A80">
        <w:rPr>
          <w:rFonts w:eastAsiaTheme="minorHAnsi" w:cstheme="minorBidi"/>
          <w:szCs w:val="24"/>
          <w:lang w:eastAsia="en-US"/>
        </w:rPr>
        <w:br/>
      </w:r>
    </w:p>
    <w:p w:rsidR="000520DB" w:rsidRPr="003A2A80" w:rsidRDefault="000520DB" w:rsidP="000520DB">
      <w:pPr>
        <w:rPr>
          <w:rFonts w:eastAsiaTheme="minorHAnsi" w:cstheme="minorBidi"/>
          <w:b/>
          <w:smallCaps/>
          <w:szCs w:val="24"/>
          <w:lang w:eastAsia="en-US"/>
        </w:rPr>
      </w:pPr>
      <w:r w:rsidRPr="003A2A80">
        <w:rPr>
          <w:rFonts w:eastAsiaTheme="minorHAnsi" w:cstheme="minorBidi"/>
          <w:b/>
          <w:smallCaps/>
          <w:szCs w:val="24"/>
          <w:lang w:eastAsia="en-US"/>
        </w:rPr>
        <w:t>Et entre :</w:t>
      </w:r>
    </w:p>
    <w:p w:rsidR="000520DB" w:rsidRPr="003A2A80" w:rsidRDefault="000520DB" w:rsidP="000520DB">
      <w:pPr>
        <w:jc w:val="center"/>
        <w:rPr>
          <w:rFonts w:eastAsiaTheme="minorHAnsi" w:cstheme="minorBidi"/>
          <w:b/>
          <w:szCs w:val="24"/>
          <w:lang w:eastAsia="en-US"/>
        </w:rPr>
      </w:pPr>
      <w:r w:rsidRPr="003A2A80">
        <w:rPr>
          <w:rFonts w:eastAsiaTheme="minorHAnsi" w:cstheme="minorBidi"/>
          <w:b/>
          <w:szCs w:val="24"/>
          <w:lang w:eastAsia="en-US"/>
        </w:rPr>
        <w:t xml:space="preserve">Randall Richard </w:t>
      </w:r>
      <w:proofErr w:type="spellStart"/>
      <w:r w:rsidRPr="003A2A80">
        <w:rPr>
          <w:rFonts w:eastAsiaTheme="minorHAnsi" w:cstheme="minorBidi"/>
          <w:b/>
          <w:szCs w:val="24"/>
          <w:lang w:eastAsia="en-US"/>
        </w:rPr>
        <w:t>Potts</w:t>
      </w:r>
      <w:proofErr w:type="spellEnd"/>
    </w:p>
    <w:p w:rsidR="000520DB" w:rsidRPr="003A2A80" w:rsidRDefault="000520DB" w:rsidP="000520DB">
      <w:pPr>
        <w:jc w:val="center"/>
        <w:rPr>
          <w:rFonts w:eastAsiaTheme="minorHAnsi" w:cstheme="minorBidi"/>
          <w:szCs w:val="24"/>
          <w:lang w:eastAsia="en-US"/>
        </w:rPr>
      </w:pPr>
      <w:r w:rsidRPr="003A2A80">
        <w:rPr>
          <w:rFonts w:eastAsiaTheme="minorHAnsi" w:cstheme="minorBidi"/>
          <w:szCs w:val="24"/>
          <w:lang w:eastAsia="en-US"/>
        </w:rPr>
        <w:t>Appelant</w:t>
      </w:r>
    </w:p>
    <w:p w:rsidR="000520DB" w:rsidRPr="003A2A80" w:rsidRDefault="000520DB" w:rsidP="000520DB">
      <w:pPr>
        <w:jc w:val="center"/>
        <w:rPr>
          <w:rFonts w:eastAsiaTheme="minorHAnsi" w:cstheme="minorBidi"/>
          <w:szCs w:val="24"/>
          <w:lang w:eastAsia="en-US"/>
        </w:rPr>
      </w:pPr>
      <w:proofErr w:type="gramStart"/>
      <w:r w:rsidRPr="003A2A80">
        <w:rPr>
          <w:rFonts w:eastAsiaTheme="minorHAnsi" w:cstheme="minorBidi"/>
          <w:szCs w:val="24"/>
          <w:lang w:eastAsia="en-US"/>
        </w:rPr>
        <w:t>et</w:t>
      </w:r>
      <w:proofErr w:type="gramEnd"/>
    </w:p>
    <w:p w:rsidR="000520DB" w:rsidRPr="003A2A80" w:rsidRDefault="000520DB" w:rsidP="000520DB">
      <w:pPr>
        <w:jc w:val="center"/>
        <w:rPr>
          <w:rFonts w:eastAsiaTheme="minorHAnsi" w:cstheme="minorBidi"/>
          <w:b/>
          <w:szCs w:val="24"/>
          <w:lang w:eastAsia="en-US"/>
        </w:rPr>
      </w:pPr>
      <w:r w:rsidRPr="003A2A80">
        <w:rPr>
          <w:rFonts w:eastAsiaTheme="minorHAnsi" w:cstheme="minorBidi"/>
          <w:b/>
          <w:szCs w:val="24"/>
          <w:lang w:eastAsia="en-US"/>
        </w:rPr>
        <w:t>Sa Majesté la Reine</w:t>
      </w:r>
    </w:p>
    <w:p w:rsidR="000520DB" w:rsidRPr="003A2A80" w:rsidRDefault="000520DB" w:rsidP="000520DB">
      <w:pPr>
        <w:jc w:val="center"/>
        <w:rPr>
          <w:rFonts w:eastAsiaTheme="minorHAnsi" w:cstheme="minorBidi"/>
          <w:szCs w:val="24"/>
          <w:lang w:eastAsia="en-US"/>
        </w:rPr>
      </w:pPr>
      <w:r w:rsidRPr="003A2A80">
        <w:rPr>
          <w:rFonts w:eastAsiaTheme="minorHAnsi" w:cstheme="minorBidi"/>
          <w:szCs w:val="24"/>
          <w:lang w:eastAsia="en-US"/>
        </w:rPr>
        <w:t>Intimée</w:t>
      </w:r>
    </w:p>
    <w:p w:rsidR="000520DB" w:rsidRPr="003A2A80" w:rsidRDefault="000520DB" w:rsidP="000520DB">
      <w:pPr>
        <w:rPr>
          <w:rFonts w:eastAsiaTheme="minorHAnsi" w:cstheme="minorBidi"/>
          <w:szCs w:val="24"/>
          <w:lang w:eastAsia="en-US"/>
        </w:rPr>
      </w:pPr>
    </w:p>
    <w:p w:rsidR="000520DB" w:rsidRPr="003A2A80" w:rsidRDefault="000520DB" w:rsidP="000520DB">
      <w:pPr>
        <w:rPr>
          <w:rFonts w:eastAsiaTheme="minorHAnsi" w:cstheme="minorBidi"/>
          <w:szCs w:val="24"/>
          <w:lang w:eastAsia="en-US"/>
        </w:rPr>
      </w:pPr>
    </w:p>
    <w:p w:rsidR="000520DB" w:rsidRPr="003A2A80" w:rsidRDefault="000520DB" w:rsidP="000520DB">
      <w:pPr>
        <w:jc w:val="center"/>
        <w:rPr>
          <w:rFonts w:eastAsiaTheme="minorHAnsi" w:cstheme="minorBidi"/>
          <w:b/>
          <w:smallCaps/>
          <w:szCs w:val="24"/>
          <w:lang w:eastAsia="en-US"/>
        </w:rPr>
      </w:pPr>
      <w:r w:rsidRPr="003A2A80">
        <w:rPr>
          <w:rFonts w:eastAsiaTheme="minorHAnsi" w:cstheme="minorBidi"/>
          <w:b/>
          <w:smallCaps/>
          <w:szCs w:val="24"/>
          <w:lang w:eastAsia="en-US"/>
        </w:rPr>
        <w:t>Traduction française officielle</w:t>
      </w:r>
    </w:p>
    <w:p w:rsidR="000520DB" w:rsidRPr="003A2A80" w:rsidRDefault="000520DB" w:rsidP="000520DB">
      <w:pPr>
        <w:rPr>
          <w:rFonts w:eastAsiaTheme="minorHAnsi" w:cstheme="minorBidi"/>
          <w:szCs w:val="24"/>
          <w:lang w:eastAsia="en-US"/>
        </w:rPr>
      </w:pPr>
    </w:p>
    <w:p w:rsidR="000520DB" w:rsidRPr="003A2A80" w:rsidRDefault="000520DB" w:rsidP="000520DB">
      <w:pPr>
        <w:rPr>
          <w:rFonts w:eastAsiaTheme="minorHAnsi" w:cstheme="minorBidi"/>
          <w:szCs w:val="24"/>
          <w:lang w:eastAsia="en-US"/>
        </w:rPr>
      </w:pPr>
      <w:r w:rsidRPr="003A2A80">
        <w:rPr>
          <w:rFonts w:eastAsiaTheme="minorHAnsi" w:cstheme="minorBidi"/>
          <w:b/>
          <w:smallCaps/>
          <w:szCs w:val="24"/>
          <w:lang w:eastAsia="en-US"/>
        </w:rPr>
        <w:t>Coram :</w:t>
      </w:r>
      <w:r w:rsidRPr="003A2A80">
        <w:rPr>
          <w:rFonts w:eastAsiaTheme="minorHAnsi" w:cstheme="minorBidi"/>
          <w:szCs w:val="24"/>
          <w:lang w:eastAsia="en-US"/>
        </w:rPr>
        <w:t xml:space="preserve"> La juge en chef </w:t>
      </w:r>
      <w:proofErr w:type="spellStart"/>
      <w:r w:rsidRPr="003A2A80">
        <w:rPr>
          <w:rFonts w:eastAsiaTheme="minorHAnsi" w:cstheme="minorBidi"/>
          <w:szCs w:val="24"/>
          <w:lang w:eastAsia="en-US"/>
        </w:rPr>
        <w:t>McLachlin</w:t>
      </w:r>
      <w:proofErr w:type="spellEnd"/>
      <w:r w:rsidRPr="003A2A80">
        <w:rPr>
          <w:rFonts w:eastAsiaTheme="minorHAnsi" w:cstheme="minorBidi"/>
          <w:szCs w:val="24"/>
          <w:lang w:eastAsia="en-US"/>
        </w:rPr>
        <w:t xml:space="preserve"> et les juges Deschamps, Fish, </w:t>
      </w:r>
      <w:proofErr w:type="spellStart"/>
      <w:r w:rsidRPr="003A2A80">
        <w:rPr>
          <w:rFonts w:eastAsiaTheme="minorHAnsi" w:cstheme="minorBidi"/>
          <w:szCs w:val="24"/>
          <w:lang w:eastAsia="en-US"/>
        </w:rPr>
        <w:t>Rothstein</w:t>
      </w:r>
      <w:proofErr w:type="spellEnd"/>
      <w:r w:rsidRPr="003A2A80">
        <w:rPr>
          <w:rFonts w:eastAsiaTheme="minorHAnsi" w:cstheme="minorBidi"/>
          <w:szCs w:val="24"/>
          <w:lang w:eastAsia="en-US"/>
        </w:rPr>
        <w:t xml:space="preserve">, Cromwell, </w:t>
      </w:r>
      <w:proofErr w:type="spellStart"/>
      <w:r w:rsidRPr="003A2A80">
        <w:rPr>
          <w:rFonts w:eastAsiaTheme="minorHAnsi" w:cstheme="minorBidi"/>
          <w:szCs w:val="24"/>
          <w:lang w:eastAsia="en-US"/>
        </w:rPr>
        <w:t>Moldaver</w:t>
      </w:r>
      <w:proofErr w:type="spellEnd"/>
      <w:r w:rsidRPr="003A2A80">
        <w:rPr>
          <w:rFonts w:eastAsiaTheme="minorHAnsi" w:cstheme="minorBidi"/>
          <w:szCs w:val="24"/>
          <w:lang w:eastAsia="en-US"/>
        </w:rPr>
        <w:t xml:space="preserve"> et </w:t>
      </w:r>
      <w:proofErr w:type="spellStart"/>
      <w:r w:rsidRPr="003A2A80">
        <w:rPr>
          <w:rFonts w:eastAsiaTheme="minorHAnsi" w:cstheme="minorBidi"/>
          <w:szCs w:val="24"/>
          <w:lang w:eastAsia="en-US"/>
        </w:rPr>
        <w:t>Karakatsanis</w:t>
      </w:r>
      <w:proofErr w:type="spellEnd"/>
    </w:p>
    <w:p w:rsidR="000520DB" w:rsidRPr="003A2A80" w:rsidRDefault="000520DB" w:rsidP="000520DB">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0520DB" w:rsidRPr="003A2A80" w:rsidTr="00D01C12">
        <w:trPr>
          <w:cantSplit/>
        </w:trPr>
        <w:tc>
          <w:tcPr>
            <w:tcW w:w="3618" w:type="dxa"/>
          </w:tcPr>
          <w:p w:rsidR="000520DB" w:rsidRPr="003A2A80" w:rsidRDefault="000520DB" w:rsidP="00D01C12">
            <w:pPr>
              <w:rPr>
                <w:b/>
                <w:smallCaps/>
              </w:rPr>
            </w:pPr>
            <w:r w:rsidRPr="003A2A80">
              <w:rPr>
                <w:b/>
                <w:smallCaps/>
              </w:rPr>
              <w:t>Motifs de jugement :</w:t>
            </w:r>
          </w:p>
          <w:p w:rsidR="000520DB" w:rsidRPr="003A2A80" w:rsidRDefault="000520DB" w:rsidP="00D01C12">
            <w:r w:rsidRPr="003A2A80">
              <w:t>(par. 1 à 23)</w:t>
            </w:r>
          </w:p>
          <w:p w:rsidR="000520DB" w:rsidRPr="003A2A80" w:rsidRDefault="000520DB" w:rsidP="00D01C12"/>
          <w:p w:rsidR="000520DB" w:rsidRPr="003A2A80" w:rsidRDefault="000520DB" w:rsidP="00D01C12"/>
          <w:p w:rsidR="000520DB" w:rsidRPr="003A2A80" w:rsidRDefault="000520DB" w:rsidP="00D01C12">
            <w:pPr>
              <w:rPr>
                <w:b/>
                <w:smallCaps/>
              </w:rPr>
            </w:pPr>
            <w:r w:rsidRPr="003A2A80">
              <w:rPr>
                <w:b/>
                <w:smallCaps/>
              </w:rPr>
              <w:t>Motifs concordants :</w:t>
            </w:r>
          </w:p>
          <w:p w:rsidR="000520DB" w:rsidRPr="003A2A80" w:rsidRDefault="000520DB" w:rsidP="00D01C12">
            <w:r w:rsidRPr="003A2A80">
              <w:t>(par. 24 à 31)</w:t>
            </w:r>
          </w:p>
        </w:tc>
        <w:tc>
          <w:tcPr>
            <w:tcW w:w="5958" w:type="dxa"/>
          </w:tcPr>
          <w:p w:rsidR="000520DB" w:rsidRPr="003A2A80" w:rsidRDefault="000520DB" w:rsidP="00D01C12">
            <w:r w:rsidRPr="003A2A80">
              <w:t xml:space="preserve">La juge Deschamps (avec l’accord de la juge en chef </w:t>
            </w:r>
            <w:proofErr w:type="spellStart"/>
            <w:r w:rsidRPr="003A2A80">
              <w:t>McLachlin</w:t>
            </w:r>
            <w:proofErr w:type="spellEnd"/>
            <w:r w:rsidRPr="003A2A80">
              <w:t xml:space="preserve"> et des juges </w:t>
            </w:r>
            <w:proofErr w:type="spellStart"/>
            <w:r w:rsidRPr="003A2A80">
              <w:t>Rothstein</w:t>
            </w:r>
            <w:proofErr w:type="spellEnd"/>
            <w:r w:rsidRPr="003A2A80">
              <w:t xml:space="preserve">, Cromwell, </w:t>
            </w:r>
            <w:proofErr w:type="spellStart"/>
            <w:r w:rsidRPr="003A2A80">
              <w:t>Moldaver</w:t>
            </w:r>
            <w:proofErr w:type="spellEnd"/>
            <w:r w:rsidRPr="003A2A80">
              <w:t xml:space="preserve"> et </w:t>
            </w:r>
            <w:proofErr w:type="spellStart"/>
            <w:r w:rsidRPr="003A2A80">
              <w:t>Karakatsanis</w:t>
            </w:r>
            <w:proofErr w:type="spellEnd"/>
            <w:r w:rsidRPr="003A2A80">
              <w:t>)</w:t>
            </w:r>
          </w:p>
          <w:p w:rsidR="000520DB" w:rsidRPr="003A2A80" w:rsidRDefault="000520DB" w:rsidP="00D01C12"/>
          <w:p w:rsidR="000520DB" w:rsidRPr="003A2A80" w:rsidRDefault="000520DB" w:rsidP="00D01C12">
            <w:r w:rsidRPr="003A2A80">
              <w:t>Le juge Fish</w:t>
            </w:r>
          </w:p>
        </w:tc>
      </w:tr>
    </w:tbl>
    <w:p w:rsidR="000520DB" w:rsidRPr="003A2A80" w:rsidRDefault="000520DB" w:rsidP="000520DB">
      <w:pPr>
        <w:rPr>
          <w:rFonts w:eastAsiaTheme="minorHAnsi" w:cstheme="minorBidi"/>
          <w:szCs w:val="24"/>
          <w:lang w:eastAsia="en-US"/>
        </w:rPr>
      </w:pPr>
    </w:p>
    <w:p w:rsidR="000520DB" w:rsidRPr="003A2A80" w:rsidRDefault="000520DB" w:rsidP="000520DB">
      <w:pPr>
        <w:rPr>
          <w:rFonts w:eastAsiaTheme="minorHAnsi" w:cstheme="minorBidi"/>
          <w:szCs w:val="24"/>
          <w:lang w:eastAsia="en-US"/>
        </w:rPr>
      </w:pPr>
    </w:p>
    <w:p w:rsidR="000520DB" w:rsidRPr="003A2A80" w:rsidRDefault="000520DB" w:rsidP="000520DB">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0520DB" w:rsidRPr="00D74706" w:rsidRDefault="000520DB" w:rsidP="000520DB">
      <w:pPr>
        <w:rPr>
          <w:smallCaps/>
        </w:rPr>
      </w:pPr>
      <w:r w:rsidRPr="00D74706">
        <w:rPr>
          <w:smallCaps/>
        </w:rPr>
        <w:br w:type="page"/>
      </w:r>
    </w:p>
    <w:p w:rsidR="008322BD" w:rsidRPr="00A732FF" w:rsidRDefault="00040D38" w:rsidP="00AD06B6">
      <w:pPr>
        <w:spacing w:after="720"/>
        <w:jc w:val="both"/>
      </w:pPr>
      <w:r w:rsidRPr="00CF7E06">
        <w:lastRenderedPageBreak/>
        <w:t xml:space="preserve">R. </w:t>
      </w:r>
      <w:r w:rsidRPr="00CF7E06">
        <w:rPr>
          <w:i/>
        </w:rPr>
        <w:t>c.</w:t>
      </w:r>
      <w:r w:rsidRPr="00CF7E06">
        <w:t xml:space="preserve"> </w:t>
      </w:r>
      <w:proofErr w:type="spellStart"/>
      <w:r w:rsidRPr="00CF7E06">
        <w:t>Punko</w:t>
      </w:r>
      <w:proofErr w:type="spellEnd"/>
      <w:r w:rsidRPr="00CF7E06">
        <w:t>,</w:t>
      </w:r>
      <w:r>
        <w:rPr>
          <w:b/>
        </w:rPr>
        <w:t xml:space="preserve"> </w:t>
      </w:r>
      <w:r w:rsidRPr="00A732FF">
        <w:t>2012 CSC 39</w:t>
      </w:r>
      <w:r>
        <w:t>, [2012] 2 R.C.S. 396</w:t>
      </w:r>
    </w:p>
    <w:p w:rsidR="008E08ED" w:rsidRPr="00A732FF" w:rsidRDefault="00AC3322" w:rsidP="00AD06B6">
      <w:pPr>
        <w:pStyle w:val="SCCLsocParty"/>
        <w:tabs>
          <w:tab w:val="right" w:pos="8280"/>
        </w:tabs>
        <w:spacing w:after="720"/>
      </w:pPr>
      <w:r w:rsidRPr="00A732FF">
        <w:t>John Virgil Punko</w:t>
      </w:r>
      <w:r w:rsidR="0065162C" w:rsidRPr="00A732FF">
        <w:tab/>
      </w:r>
      <w:r w:rsidRPr="00A732FF">
        <w:rPr>
          <w:b w:val="0"/>
          <w:i/>
        </w:rPr>
        <w:t>Appelant</w:t>
      </w:r>
    </w:p>
    <w:p w:rsidR="008E08ED" w:rsidRPr="00A732FF" w:rsidRDefault="00AC3322" w:rsidP="00AD06B6">
      <w:pPr>
        <w:pStyle w:val="SCCLsocVersus"/>
        <w:spacing w:after="720"/>
      </w:pPr>
      <w:proofErr w:type="gramStart"/>
      <w:r w:rsidRPr="00A732FF">
        <w:t>c</w:t>
      </w:r>
      <w:proofErr w:type="gramEnd"/>
      <w:r w:rsidRPr="00A732FF">
        <w:t>.</w:t>
      </w:r>
    </w:p>
    <w:p w:rsidR="008E08ED" w:rsidRPr="00A732FF" w:rsidRDefault="00AC3322" w:rsidP="00AD06B6">
      <w:pPr>
        <w:pStyle w:val="SCCLsocParty"/>
        <w:tabs>
          <w:tab w:val="right" w:pos="8280"/>
        </w:tabs>
        <w:spacing w:after="720"/>
      </w:pPr>
      <w:r w:rsidRPr="00A732FF">
        <w:t>Sa Majesté la Reine</w:t>
      </w:r>
      <w:r w:rsidR="0065162C" w:rsidRPr="00A732FF">
        <w:tab/>
      </w:r>
      <w:r w:rsidRPr="00A732FF">
        <w:rPr>
          <w:b w:val="0"/>
          <w:i/>
        </w:rPr>
        <w:t>Intimé</w:t>
      </w:r>
      <w:r w:rsidR="0065162C" w:rsidRPr="00A732FF">
        <w:rPr>
          <w:b w:val="0"/>
          <w:i/>
        </w:rPr>
        <w:t>e</w:t>
      </w:r>
    </w:p>
    <w:p w:rsidR="003E6A22" w:rsidRPr="00A732FF" w:rsidRDefault="003E6A22" w:rsidP="003E6A22">
      <w:pPr>
        <w:spacing w:after="720"/>
        <w:jc w:val="both"/>
      </w:pPr>
      <w:r w:rsidRPr="00A732FF">
        <w:noBreakHyphen/>
        <w:t xml:space="preserve"> </w:t>
      </w:r>
      <w:proofErr w:type="gramStart"/>
      <w:r w:rsidRPr="00A732FF">
        <w:t>et</w:t>
      </w:r>
      <w:proofErr w:type="gramEnd"/>
      <w:r w:rsidRPr="00A732FF">
        <w:t xml:space="preserve"> </w:t>
      </w:r>
      <w:r w:rsidRPr="00A732FF">
        <w:noBreakHyphen/>
      </w:r>
    </w:p>
    <w:p w:rsidR="0065162C" w:rsidRPr="00A732FF" w:rsidRDefault="0065162C" w:rsidP="00AD06B6">
      <w:pPr>
        <w:pStyle w:val="SCCLsocParty"/>
        <w:tabs>
          <w:tab w:val="right" w:pos="8280"/>
        </w:tabs>
        <w:spacing w:after="720"/>
      </w:pPr>
      <w:r w:rsidRPr="00A732FF">
        <w:t xml:space="preserve">Randall Richard </w:t>
      </w:r>
      <w:proofErr w:type="spellStart"/>
      <w:r w:rsidRPr="00A732FF">
        <w:t>Potts</w:t>
      </w:r>
      <w:proofErr w:type="spellEnd"/>
      <w:r w:rsidRPr="00A732FF">
        <w:tab/>
      </w:r>
      <w:r w:rsidRPr="00A732FF">
        <w:rPr>
          <w:b w:val="0"/>
          <w:i/>
        </w:rPr>
        <w:t>Appelant</w:t>
      </w:r>
    </w:p>
    <w:p w:rsidR="0065162C" w:rsidRPr="00A732FF" w:rsidRDefault="0065162C" w:rsidP="00AD06B6">
      <w:pPr>
        <w:pStyle w:val="SCCLsocVersus"/>
        <w:spacing w:after="720"/>
      </w:pPr>
      <w:proofErr w:type="gramStart"/>
      <w:r w:rsidRPr="00A732FF">
        <w:t>c</w:t>
      </w:r>
      <w:proofErr w:type="gramEnd"/>
      <w:r w:rsidRPr="00A732FF">
        <w:t>.</w:t>
      </w:r>
    </w:p>
    <w:p w:rsidR="0065162C" w:rsidRPr="00A732FF" w:rsidRDefault="0065162C" w:rsidP="00AD06B6">
      <w:pPr>
        <w:pStyle w:val="SCCLsocParty"/>
        <w:tabs>
          <w:tab w:val="right" w:pos="8280"/>
        </w:tabs>
        <w:spacing w:after="720"/>
      </w:pPr>
      <w:r w:rsidRPr="00A732FF">
        <w:t>Sa Majesté la Reine</w:t>
      </w:r>
      <w:r w:rsidRPr="00A732FF">
        <w:tab/>
      </w:r>
      <w:r w:rsidRPr="00A732FF">
        <w:rPr>
          <w:b w:val="0"/>
          <w:i/>
        </w:rPr>
        <w:t>Intimée</w:t>
      </w:r>
    </w:p>
    <w:p w:rsidR="00426659" w:rsidRPr="00A732FF" w:rsidRDefault="0043088E" w:rsidP="00AD06B6">
      <w:pPr>
        <w:spacing w:after="720"/>
        <w:jc w:val="both"/>
        <w:rPr>
          <w:b/>
        </w:rPr>
      </w:pPr>
      <w:r w:rsidRPr="00A732FF">
        <w:rPr>
          <w:b/>
        </w:rPr>
        <w:t>Répertorié</w:t>
      </w:r>
      <w:r w:rsidR="00AD06B6" w:rsidRPr="00A732FF">
        <w:rPr>
          <w:b/>
        </w:rPr>
        <w:t> :</w:t>
      </w:r>
      <w:r w:rsidR="00C67CA5" w:rsidRPr="00A732FF">
        <w:rPr>
          <w:b/>
        </w:rPr>
        <w:t> </w:t>
      </w:r>
      <w:r w:rsidR="0065162C" w:rsidRPr="00A732FF">
        <w:rPr>
          <w:b/>
        </w:rPr>
        <w:t>R.</w:t>
      </w:r>
      <w:r w:rsidR="00426659" w:rsidRPr="00A732FF">
        <w:rPr>
          <w:b/>
        </w:rPr>
        <w:t xml:space="preserve"> </w:t>
      </w:r>
      <w:r w:rsidR="00645057" w:rsidRPr="00A732FF">
        <w:rPr>
          <w:b/>
          <w:i/>
        </w:rPr>
        <w:t>c</w:t>
      </w:r>
      <w:r w:rsidR="00426659" w:rsidRPr="00A732FF">
        <w:rPr>
          <w:b/>
          <w:i/>
        </w:rPr>
        <w:t>.</w:t>
      </w:r>
      <w:r w:rsidR="00426659" w:rsidRPr="00A732FF">
        <w:rPr>
          <w:b/>
        </w:rPr>
        <w:t xml:space="preserve"> </w:t>
      </w:r>
      <w:r w:rsidR="0065162C" w:rsidRPr="00A732FF">
        <w:rPr>
          <w:b/>
        </w:rPr>
        <w:t>Punko</w:t>
      </w:r>
    </w:p>
    <w:p w:rsidR="00426659" w:rsidRPr="00A732FF" w:rsidRDefault="00C0663B" w:rsidP="00AD06B6">
      <w:pPr>
        <w:pStyle w:val="SCCSystemYear"/>
        <w:spacing w:after="720"/>
        <w:jc w:val="both"/>
      </w:pPr>
      <w:r w:rsidRPr="00A732FF">
        <w:t>2012</w:t>
      </w:r>
      <w:r w:rsidR="00EE0FAF" w:rsidRPr="00A732FF">
        <w:t xml:space="preserve"> </w:t>
      </w:r>
      <w:r w:rsidR="00C71F58" w:rsidRPr="00A732FF">
        <w:t>C</w:t>
      </w:r>
      <w:r w:rsidR="00426659" w:rsidRPr="00A732FF">
        <w:t>SC </w:t>
      </w:r>
      <w:r w:rsidR="002B6D69" w:rsidRPr="00A732FF">
        <w:t>39</w:t>
      </w:r>
    </w:p>
    <w:p w:rsidR="008322BD" w:rsidRPr="00A732FF" w:rsidRDefault="009B57B3" w:rsidP="00AD06B6">
      <w:pPr>
        <w:spacing w:after="720"/>
        <w:jc w:val="both"/>
      </w:pPr>
      <w:r w:rsidRPr="00A732FF">
        <w:t>N</w:t>
      </w:r>
      <w:r w:rsidRPr="00A732FF">
        <w:rPr>
          <w:vertAlign w:val="superscript"/>
        </w:rPr>
        <w:t>o</w:t>
      </w:r>
      <w:r w:rsidR="0065162C" w:rsidRPr="00A732FF">
        <w:rPr>
          <w:vertAlign w:val="superscript"/>
        </w:rPr>
        <w:t>s</w:t>
      </w:r>
      <w:r w:rsidR="0043088E" w:rsidRPr="00A732FF">
        <w:t xml:space="preserve"> du greffe</w:t>
      </w:r>
      <w:r w:rsidR="00AD06B6" w:rsidRPr="00A732FF">
        <w:t> :</w:t>
      </w:r>
      <w:r w:rsidR="00C67CA5" w:rsidRPr="00A732FF">
        <w:t> </w:t>
      </w:r>
      <w:r w:rsidRPr="00A732FF">
        <w:t>34135</w:t>
      </w:r>
      <w:r w:rsidR="0065162C" w:rsidRPr="00A732FF">
        <w:t>, 34193</w:t>
      </w:r>
      <w:r w:rsidRPr="00A732FF">
        <w:t>.</w:t>
      </w:r>
    </w:p>
    <w:p w:rsidR="008322BD" w:rsidRPr="00A732FF" w:rsidRDefault="00C0663B" w:rsidP="00AD06B6">
      <w:pPr>
        <w:spacing w:after="720"/>
        <w:jc w:val="both"/>
      </w:pPr>
      <w:r w:rsidRPr="00A732FF">
        <w:t>2012</w:t>
      </w:r>
      <w:r w:rsidR="00AD06B6" w:rsidRPr="00A732FF">
        <w:t> :</w:t>
      </w:r>
      <w:r w:rsidR="002B6D69" w:rsidRPr="00A732FF">
        <w:t> </w:t>
      </w:r>
      <w:r w:rsidR="00701D98" w:rsidRPr="00A732FF">
        <w:t>21 </w:t>
      </w:r>
      <w:r w:rsidRPr="00A732FF">
        <w:t>mars</w:t>
      </w:r>
      <w:r w:rsidR="009B57B3" w:rsidRPr="00A732FF">
        <w:t xml:space="preserve">; </w:t>
      </w:r>
      <w:r w:rsidR="0065162C" w:rsidRPr="00A732FF">
        <w:t>2012</w:t>
      </w:r>
      <w:r w:rsidR="00AD06B6" w:rsidRPr="00A732FF">
        <w:t> : 20 </w:t>
      </w:r>
      <w:r w:rsidR="002B6D69" w:rsidRPr="00A732FF">
        <w:t>juillet</w:t>
      </w:r>
      <w:r w:rsidR="009B57B3" w:rsidRPr="00A732FF">
        <w:t>.</w:t>
      </w:r>
    </w:p>
    <w:p w:rsidR="00E97830" w:rsidRPr="00A732FF" w:rsidRDefault="009B57B3" w:rsidP="00AD06B6">
      <w:pPr>
        <w:spacing w:after="720"/>
        <w:jc w:val="both"/>
      </w:pPr>
      <w:r w:rsidRPr="00A732FF">
        <w:lastRenderedPageBreak/>
        <w:t>Pr</w:t>
      </w:r>
      <w:r w:rsidR="0043088E" w:rsidRPr="00A732FF">
        <w:t>é</w:t>
      </w:r>
      <w:r w:rsidRPr="00A732FF">
        <w:t>sent</w:t>
      </w:r>
      <w:r w:rsidR="008A6558" w:rsidRPr="00A732FF">
        <w:t>s</w:t>
      </w:r>
      <w:r w:rsidR="00AD06B6" w:rsidRPr="00A732FF">
        <w:t> :</w:t>
      </w:r>
      <w:r w:rsidR="00C67CA5" w:rsidRPr="00A732FF">
        <w:t> </w:t>
      </w:r>
      <w:r w:rsidRPr="00A732FF">
        <w:t xml:space="preserve">La juge en chef </w:t>
      </w:r>
      <w:proofErr w:type="spellStart"/>
      <w:r w:rsidRPr="00A732FF">
        <w:t>McLachlin</w:t>
      </w:r>
      <w:proofErr w:type="spellEnd"/>
      <w:r w:rsidRPr="00A732FF">
        <w:t xml:space="preserve"> et les juges Deschamps, Fish, </w:t>
      </w:r>
      <w:proofErr w:type="spellStart"/>
      <w:r w:rsidRPr="00A732FF">
        <w:t>Rothstein</w:t>
      </w:r>
      <w:proofErr w:type="spellEnd"/>
      <w:r w:rsidRPr="00A732FF">
        <w:t xml:space="preserve">, Cromwell, </w:t>
      </w:r>
      <w:proofErr w:type="spellStart"/>
      <w:r w:rsidRPr="00A732FF">
        <w:t>Moldaver</w:t>
      </w:r>
      <w:proofErr w:type="spellEnd"/>
      <w:r w:rsidRPr="00A732FF">
        <w:t xml:space="preserve"> et </w:t>
      </w:r>
      <w:proofErr w:type="spellStart"/>
      <w:r w:rsidRPr="00A732FF">
        <w:t>Karakatsanis</w:t>
      </w:r>
      <w:proofErr w:type="spellEnd"/>
      <w:r w:rsidRPr="00A732FF">
        <w:t>.</w:t>
      </w:r>
    </w:p>
    <w:p w:rsidR="008322BD" w:rsidRPr="00A732FF" w:rsidRDefault="00AC7437" w:rsidP="0065162C">
      <w:pPr>
        <w:pStyle w:val="SCCLowerCourtNameLowercase"/>
      </w:pPr>
      <w:r w:rsidRPr="00A732FF">
        <w:t>e</w:t>
      </w:r>
      <w:r w:rsidR="00855307" w:rsidRPr="00A732FF">
        <w:t>n</w:t>
      </w:r>
      <w:r w:rsidR="00224FC0" w:rsidRPr="00A732FF">
        <w:t xml:space="preserve"> </w:t>
      </w:r>
      <w:r w:rsidR="00855307" w:rsidRPr="00A732FF">
        <w:t>appel</w:t>
      </w:r>
      <w:r w:rsidR="00224FC0" w:rsidRPr="00A732FF">
        <w:t xml:space="preserve"> </w:t>
      </w:r>
      <w:r w:rsidR="00855307" w:rsidRPr="00A732FF">
        <w:t>de</w:t>
      </w:r>
      <w:r w:rsidR="0043088E" w:rsidRPr="00A732FF">
        <w:t xml:space="preserve"> </w:t>
      </w:r>
      <w:r w:rsidR="00855307" w:rsidRPr="00A732FF">
        <w:t>la</w:t>
      </w:r>
      <w:r w:rsidR="00224FC0" w:rsidRPr="00A732FF">
        <w:t xml:space="preserve"> </w:t>
      </w:r>
      <w:r w:rsidR="009B57B3" w:rsidRPr="00A732FF">
        <w:t xml:space="preserve">cour d’appel de la </w:t>
      </w:r>
      <w:proofErr w:type="spellStart"/>
      <w:r w:rsidR="0065162C" w:rsidRPr="00A732FF">
        <w:t>colombie</w:t>
      </w:r>
      <w:r w:rsidR="00AD06B6" w:rsidRPr="00A732FF">
        <w:noBreakHyphen/>
      </w:r>
      <w:r w:rsidR="0065162C" w:rsidRPr="00A732FF">
        <w:t>britannique</w:t>
      </w:r>
      <w:proofErr w:type="spellEnd"/>
    </w:p>
    <w:p w:rsidR="00CC479E" w:rsidRPr="00A732FF" w:rsidRDefault="009B57B3" w:rsidP="009C652D">
      <w:pPr>
        <w:pStyle w:val="SCCNormalDoubleSpacing"/>
        <w:spacing w:after="480"/>
        <w:rPr>
          <w:i/>
          <w:lang w:val="fr-FR"/>
        </w:rPr>
      </w:pPr>
      <w:r w:rsidRPr="00A732FF">
        <w:tab/>
      </w:r>
      <w:r w:rsidR="00CC479E" w:rsidRPr="00A732FF">
        <w:rPr>
          <w:i/>
          <w:lang w:val="fr-FR"/>
        </w:rPr>
        <w:t xml:space="preserve">Droit criminel — </w:t>
      </w:r>
      <w:proofErr w:type="spellStart"/>
      <w:r w:rsidR="00CC479E" w:rsidRPr="00A732FF">
        <w:rPr>
          <w:i/>
          <w:lang w:val="fr-FR"/>
        </w:rPr>
        <w:t>Préclusion</w:t>
      </w:r>
      <w:proofErr w:type="spellEnd"/>
      <w:r w:rsidR="00CC479E" w:rsidRPr="00A732FF">
        <w:rPr>
          <w:i/>
          <w:lang w:val="fr-FR"/>
        </w:rPr>
        <w:t xml:space="preserve"> découlant d’une question déjà tranchée — Application — Tentative par le ministère public de prouver que les </w:t>
      </w:r>
      <w:proofErr w:type="spellStart"/>
      <w:r w:rsidR="00CC479E" w:rsidRPr="00A732FF">
        <w:rPr>
          <w:i/>
          <w:lang w:val="fr-FR"/>
        </w:rPr>
        <w:t>Hells</w:t>
      </w:r>
      <w:proofErr w:type="spellEnd"/>
      <w:r w:rsidR="00D26082" w:rsidRPr="00A732FF">
        <w:rPr>
          <w:i/>
          <w:lang w:val="fr-FR"/>
        </w:rPr>
        <w:t> </w:t>
      </w:r>
      <w:proofErr w:type="spellStart"/>
      <w:r w:rsidR="00CC479E" w:rsidRPr="00A732FF">
        <w:rPr>
          <w:i/>
          <w:lang w:val="fr-FR"/>
        </w:rPr>
        <w:t>Angels</w:t>
      </w:r>
      <w:proofErr w:type="spellEnd"/>
      <w:r w:rsidR="00CC479E" w:rsidRPr="00A732FF">
        <w:rPr>
          <w:i/>
          <w:lang w:val="fr-FR"/>
        </w:rPr>
        <w:t xml:space="preserve"> sont une organisation</w:t>
      </w:r>
      <w:r w:rsidR="00E01250" w:rsidRPr="00A732FF">
        <w:rPr>
          <w:i/>
          <w:lang w:val="fr-FR"/>
        </w:rPr>
        <w:t xml:space="preserve"> criminelle </w:t>
      </w:r>
      <w:r w:rsidR="00CC479E" w:rsidRPr="00A732FF">
        <w:rPr>
          <w:i/>
          <w:lang w:val="fr-FR"/>
        </w:rPr>
        <w:t xml:space="preserve">— La doctrine de la </w:t>
      </w:r>
      <w:proofErr w:type="spellStart"/>
      <w:r w:rsidR="00CC479E" w:rsidRPr="00A732FF">
        <w:rPr>
          <w:i/>
          <w:lang w:val="fr-FR"/>
        </w:rPr>
        <w:t>préclusion</w:t>
      </w:r>
      <w:proofErr w:type="spellEnd"/>
      <w:r w:rsidR="00CC479E" w:rsidRPr="00A732FF">
        <w:rPr>
          <w:i/>
          <w:lang w:val="fr-FR"/>
        </w:rPr>
        <w:t xml:space="preserve"> découlant d’une question déjà tranchée s’applique-t-elle en raison d’une conclusion défavorable au ministère public sur cette question dans un procès antérieur tenu devant jury et soulevant plus d’une question?</w:t>
      </w:r>
    </w:p>
    <w:p w:rsidR="00CC479E" w:rsidRPr="00A732FF" w:rsidRDefault="00CC479E" w:rsidP="009C652D">
      <w:pPr>
        <w:pStyle w:val="SCCNormalDoubleSpacing"/>
        <w:spacing w:after="480"/>
        <w:rPr>
          <w:lang w:val="fr-FR"/>
        </w:rPr>
      </w:pPr>
      <w:r w:rsidRPr="00A732FF">
        <w:rPr>
          <w:lang w:val="fr-FR"/>
        </w:rPr>
        <w:tab/>
        <w:t>J.P. et R.P. ont été accusés de diverses infractions dont certaines</w:t>
      </w:r>
      <w:r w:rsidRPr="00A732FF">
        <w:t xml:space="preserve"> relevaient du pouvoir de poursuite du ministère public provincial et d’autres</w:t>
      </w:r>
      <w:r w:rsidR="00E01250" w:rsidRPr="00A732FF">
        <w:t xml:space="preserve"> relevaient de celui</w:t>
      </w:r>
      <w:r w:rsidRPr="00A732FF">
        <w:t xml:space="preserve"> du ministère public fédéral.</w:t>
      </w:r>
      <w:r w:rsidRPr="00A732FF">
        <w:rPr>
          <w:lang w:val="fr-FR"/>
        </w:rPr>
        <w:t xml:space="preserve"> </w:t>
      </w:r>
      <w:r w:rsidR="009C652D" w:rsidRPr="00A732FF">
        <w:rPr>
          <w:lang w:val="fr-FR"/>
        </w:rPr>
        <w:t xml:space="preserve"> </w:t>
      </w:r>
      <w:r w:rsidRPr="00A732FF">
        <w:t xml:space="preserve">Le procès relatif aux poursuites provinciales a eu lieu en premier.  </w:t>
      </w:r>
      <w:r w:rsidRPr="00A732FF">
        <w:rPr>
          <w:lang w:val="fr-FR"/>
        </w:rPr>
        <w:t xml:space="preserve">On reprochait aux accusés </w:t>
      </w:r>
      <w:r w:rsidRPr="00A732FF">
        <w:t xml:space="preserve">d’avoir commis certaines des infractions au profit ou sous la direction d’une organisation criminelle, soit les </w:t>
      </w:r>
      <w:proofErr w:type="spellStart"/>
      <w:r w:rsidRPr="00A732FF">
        <w:t>Hells</w:t>
      </w:r>
      <w:proofErr w:type="spellEnd"/>
      <w:r w:rsidRPr="00A732FF">
        <w:t> </w:t>
      </w:r>
      <w:proofErr w:type="spellStart"/>
      <w:r w:rsidRPr="00A732FF">
        <w:t>Angels</w:t>
      </w:r>
      <w:proofErr w:type="spellEnd"/>
      <w:r w:rsidRPr="00A732FF">
        <w:t xml:space="preserve">, ou en association avec elle.  </w:t>
      </w:r>
      <w:r w:rsidRPr="00A732FF">
        <w:rPr>
          <w:lang w:val="fr-FR"/>
        </w:rPr>
        <w:t xml:space="preserve">Un jury a déclaré J.P. et R.P. coupables de plusieurs infractions, mais les a acquittés de tous les chefs d’accusation d’infraction d’organisation criminelle. </w:t>
      </w:r>
      <w:r w:rsidR="009C652D" w:rsidRPr="00A732FF">
        <w:rPr>
          <w:lang w:val="fr-FR"/>
        </w:rPr>
        <w:t xml:space="preserve"> </w:t>
      </w:r>
      <w:r w:rsidRPr="00A732FF">
        <w:rPr>
          <w:lang w:val="fr-FR"/>
        </w:rPr>
        <w:t xml:space="preserve">Dans l’intervalle, J.P. et R.P. </w:t>
      </w:r>
      <w:r w:rsidRPr="00A732FF">
        <w:t>ont été inculpés de diverses infractions fédérales liées aux drogues</w:t>
      </w:r>
      <w:r w:rsidRPr="00A732FF">
        <w:rPr>
          <w:lang w:val="fr-FR"/>
        </w:rPr>
        <w:t>.</w:t>
      </w:r>
      <w:r w:rsidR="009C652D" w:rsidRPr="00A732FF">
        <w:rPr>
          <w:lang w:val="fr-FR"/>
        </w:rPr>
        <w:t xml:space="preserve"> </w:t>
      </w:r>
      <w:r w:rsidRPr="00A732FF">
        <w:rPr>
          <w:lang w:val="fr-FR"/>
        </w:rPr>
        <w:t xml:space="preserve"> On leur reprochait de nouveau d’avoir agi au profit</w:t>
      </w:r>
      <w:r w:rsidR="00D26082" w:rsidRPr="00A732FF">
        <w:rPr>
          <w:lang w:val="fr-FR"/>
        </w:rPr>
        <w:t xml:space="preserve"> ou sous la direction des </w:t>
      </w:r>
      <w:proofErr w:type="spellStart"/>
      <w:r w:rsidR="00D26082" w:rsidRPr="00A732FF">
        <w:rPr>
          <w:lang w:val="fr-FR"/>
        </w:rPr>
        <w:t>Hells</w:t>
      </w:r>
      <w:proofErr w:type="spellEnd"/>
      <w:r w:rsidR="00D26082" w:rsidRPr="00A732FF">
        <w:rPr>
          <w:lang w:val="fr-FR"/>
        </w:rPr>
        <w:t> </w:t>
      </w:r>
      <w:proofErr w:type="spellStart"/>
      <w:r w:rsidRPr="00A732FF">
        <w:rPr>
          <w:lang w:val="fr-FR"/>
        </w:rPr>
        <w:t>Angels</w:t>
      </w:r>
      <w:proofErr w:type="spellEnd"/>
      <w:r w:rsidRPr="00A732FF">
        <w:rPr>
          <w:lang w:val="fr-FR"/>
        </w:rPr>
        <w:t xml:space="preserve">, ou en association avec eux.  Dans des requêtes présentées avant le procès, J.P. et R.P. soutenaient que le ministère public était </w:t>
      </w:r>
      <w:proofErr w:type="spellStart"/>
      <w:r w:rsidRPr="00A732FF">
        <w:rPr>
          <w:lang w:val="fr-FR"/>
        </w:rPr>
        <w:t>préclus</w:t>
      </w:r>
      <w:proofErr w:type="spellEnd"/>
      <w:r w:rsidRPr="00A732FF">
        <w:rPr>
          <w:lang w:val="fr-FR"/>
        </w:rPr>
        <w:t xml:space="preserve"> de présenter une preuve </w:t>
      </w:r>
      <w:r w:rsidR="00E01250" w:rsidRPr="00A732FF">
        <w:rPr>
          <w:lang w:val="fr-FR"/>
        </w:rPr>
        <w:t xml:space="preserve">pour </w:t>
      </w:r>
      <w:r w:rsidRPr="00A732FF">
        <w:rPr>
          <w:lang w:val="fr-FR"/>
        </w:rPr>
        <w:t xml:space="preserve">démontrer que les </w:t>
      </w:r>
      <w:proofErr w:type="spellStart"/>
      <w:r w:rsidR="009C652D" w:rsidRPr="00A732FF">
        <w:rPr>
          <w:lang w:val="fr-FR"/>
        </w:rPr>
        <w:lastRenderedPageBreak/>
        <w:t>Hells</w:t>
      </w:r>
      <w:proofErr w:type="spellEnd"/>
      <w:r w:rsidR="009C652D" w:rsidRPr="00A732FF">
        <w:rPr>
          <w:lang w:val="fr-FR"/>
        </w:rPr>
        <w:t> </w:t>
      </w:r>
      <w:proofErr w:type="spellStart"/>
      <w:r w:rsidRPr="00A732FF">
        <w:rPr>
          <w:lang w:val="fr-FR"/>
        </w:rPr>
        <w:t>Angels</w:t>
      </w:r>
      <w:proofErr w:type="spellEnd"/>
      <w:r w:rsidRPr="00A732FF">
        <w:rPr>
          <w:lang w:val="fr-FR"/>
        </w:rPr>
        <w:t xml:space="preserve"> étaient une organisation criminelle, parce que cette question avait déjà été tranchée par le jury dans le cadre de la poursuite provinciale.</w:t>
      </w:r>
      <w:r w:rsidR="009C652D" w:rsidRPr="00A732FF">
        <w:rPr>
          <w:lang w:val="fr-FR"/>
        </w:rPr>
        <w:t xml:space="preserve"> </w:t>
      </w:r>
      <w:r w:rsidRPr="00A732FF">
        <w:rPr>
          <w:lang w:val="fr-FR"/>
        </w:rPr>
        <w:t xml:space="preserve"> Le juge a accueilli les requêtes après avoir appliqué la norme de preuve selon la prépondérance des probabilités et examiné les circonstances générales de l’affaire.  La Cour d’appel a </w:t>
      </w:r>
      <w:r w:rsidR="00E01250" w:rsidRPr="00A732FF">
        <w:rPr>
          <w:lang w:val="fr-FR"/>
        </w:rPr>
        <w:t>accueilli</w:t>
      </w:r>
      <w:r w:rsidRPr="00A732FF">
        <w:rPr>
          <w:lang w:val="fr-FR"/>
        </w:rPr>
        <w:t xml:space="preserve"> les appels au motif qu’on </w:t>
      </w:r>
      <w:r w:rsidRPr="00A732FF">
        <w:t xml:space="preserve">ne pouvait affirmer que la seule explication rationnelle du verdict d’acquittement était que le jury avait conclu que les </w:t>
      </w:r>
      <w:proofErr w:type="spellStart"/>
      <w:r w:rsidRPr="00A732FF">
        <w:t>Hells</w:t>
      </w:r>
      <w:proofErr w:type="spellEnd"/>
      <w:r w:rsidRPr="00A732FF">
        <w:t xml:space="preserve"> </w:t>
      </w:r>
      <w:proofErr w:type="spellStart"/>
      <w:r w:rsidRPr="00A732FF">
        <w:t>Angels</w:t>
      </w:r>
      <w:proofErr w:type="spellEnd"/>
      <w:r w:rsidRPr="00A732FF">
        <w:t xml:space="preserve"> n’étaient pas une organisation criminelle</w:t>
      </w:r>
      <w:r w:rsidRPr="00A732FF">
        <w:rPr>
          <w:lang w:val="fr-FR"/>
        </w:rPr>
        <w:t xml:space="preserve">. </w:t>
      </w:r>
      <w:r w:rsidR="009C652D" w:rsidRPr="00A732FF">
        <w:rPr>
          <w:lang w:val="fr-FR"/>
        </w:rPr>
        <w:t xml:space="preserve"> </w:t>
      </w:r>
      <w:r w:rsidRPr="00A732FF">
        <w:rPr>
          <w:lang w:val="fr-FR"/>
        </w:rPr>
        <w:t>Elle a ordonné la tenue d’un nouveau procès.</w:t>
      </w:r>
    </w:p>
    <w:p w:rsidR="00CC479E" w:rsidRPr="00A732FF" w:rsidRDefault="00CC479E" w:rsidP="009C652D">
      <w:pPr>
        <w:pStyle w:val="SCCNormalDoubleSpacing"/>
        <w:spacing w:after="480"/>
        <w:rPr>
          <w:lang w:val="fr-FR"/>
        </w:rPr>
      </w:pPr>
      <w:r w:rsidRPr="00A732FF">
        <w:rPr>
          <w:lang w:val="fr-FR"/>
        </w:rPr>
        <w:tab/>
      </w:r>
      <w:r w:rsidRPr="00A732FF">
        <w:rPr>
          <w:i/>
          <w:lang w:val="fr-FR"/>
        </w:rPr>
        <w:t>Arrêt </w:t>
      </w:r>
      <w:r w:rsidRPr="00FD4E92">
        <w:rPr>
          <w:lang w:val="fr-FR"/>
        </w:rPr>
        <w:t>:</w:t>
      </w:r>
      <w:r w:rsidR="00F80691" w:rsidRPr="00A732FF">
        <w:rPr>
          <w:lang w:val="fr-FR"/>
        </w:rPr>
        <w:t xml:space="preserve"> </w:t>
      </w:r>
      <w:r w:rsidRPr="00A732FF">
        <w:rPr>
          <w:lang w:val="fr-FR"/>
        </w:rPr>
        <w:t>Les pourvois sont rejetés.</w:t>
      </w:r>
    </w:p>
    <w:p w:rsidR="00CC479E" w:rsidRPr="00A732FF" w:rsidRDefault="00CC479E" w:rsidP="009C652D">
      <w:pPr>
        <w:pStyle w:val="SCCNormalDoubleSpacing"/>
        <w:spacing w:after="480"/>
        <w:rPr>
          <w:lang w:val="fr-FR"/>
        </w:rPr>
      </w:pPr>
      <w:r w:rsidRPr="00A732FF">
        <w:rPr>
          <w:lang w:val="fr-FR"/>
        </w:rPr>
        <w:tab/>
      </w:r>
      <w:r w:rsidRPr="00A732FF">
        <w:rPr>
          <w:i/>
          <w:lang w:val="fr-FR"/>
        </w:rPr>
        <w:t xml:space="preserve">La </w:t>
      </w:r>
      <w:r w:rsidRPr="00A732FF">
        <w:rPr>
          <w:lang w:val="fr-FR"/>
        </w:rPr>
        <w:t xml:space="preserve">juge en chef </w:t>
      </w:r>
      <w:proofErr w:type="spellStart"/>
      <w:r w:rsidRPr="00A732FF">
        <w:rPr>
          <w:lang w:val="fr-FR"/>
        </w:rPr>
        <w:t>McLachlin</w:t>
      </w:r>
      <w:proofErr w:type="spellEnd"/>
      <w:r w:rsidRPr="00A732FF">
        <w:rPr>
          <w:lang w:val="fr-FR"/>
        </w:rPr>
        <w:t xml:space="preserve"> et les juges </w:t>
      </w:r>
      <w:r w:rsidRPr="00FD4E92">
        <w:rPr>
          <w:lang w:val="fr-FR"/>
        </w:rPr>
        <w:t>Deschamps</w:t>
      </w:r>
      <w:r w:rsidRPr="00A732FF">
        <w:rPr>
          <w:lang w:val="fr-FR"/>
        </w:rPr>
        <w:t xml:space="preserve">, </w:t>
      </w:r>
      <w:proofErr w:type="spellStart"/>
      <w:r w:rsidRPr="00A732FF">
        <w:rPr>
          <w:lang w:val="fr-FR"/>
        </w:rPr>
        <w:t>Rothstein</w:t>
      </w:r>
      <w:proofErr w:type="spellEnd"/>
      <w:r w:rsidRPr="00A732FF">
        <w:rPr>
          <w:lang w:val="fr-FR"/>
        </w:rPr>
        <w:t xml:space="preserve">, Cromwell, </w:t>
      </w:r>
      <w:proofErr w:type="spellStart"/>
      <w:r w:rsidRPr="00A732FF">
        <w:rPr>
          <w:lang w:val="fr-FR"/>
        </w:rPr>
        <w:t>Moldaver</w:t>
      </w:r>
      <w:proofErr w:type="spellEnd"/>
      <w:r w:rsidRPr="00A732FF">
        <w:rPr>
          <w:lang w:val="fr-FR"/>
        </w:rPr>
        <w:t xml:space="preserve"> et </w:t>
      </w:r>
      <w:proofErr w:type="spellStart"/>
      <w:r w:rsidRPr="00A732FF">
        <w:rPr>
          <w:lang w:val="fr-FR"/>
        </w:rPr>
        <w:t>Karakatsanis</w:t>
      </w:r>
      <w:proofErr w:type="spellEnd"/>
      <w:r w:rsidRPr="00A732FF">
        <w:rPr>
          <w:lang w:val="fr-FR"/>
        </w:rPr>
        <w:t xml:space="preserve"> : </w:t>
      </w:r>
      <w:r w:rsidRPr="00A732FF">
        <w:t xml:space="preserve">Pour appliquer la doctrine de la </w:t>
      </w:r>
      <w:proofErr w:type="spellStart"/>
      <w:r w:rsidRPr="00A732FF">
        <w:t>préclusion</w:t>
      </w:r>
      <w:proofErr w:type="spellEnd"/>
      <w:r w:rsidRPr="00A732FF">
        <w:t xml:space="preserve"> découlant d’une question déjà tranchée lorsque le procès antérieur s’est tenu devant un jury, il faut se demander si le verdict d’acquittement suppose logiquement l’existence d’une conclusion favorable à l’accusé</w:t>
      </w:r>
      <w:r w:rsidRPr="00A732FF">
        <w:rPr>
          <w:lang w:val="fr-FR"/>
        </w:rPr>
        <w:t xml:space="preserve">. </w:t>
      </w:r>
      <w:r w:rsidR="009C652D" w:rsidRPr="00A732FF">
        <w:rPr>
          <w:lang w:val="fr-FR"/>
        </w:rPr>
        <w:t xml:space="preserve"> </w:t>
      </w:r>
      <w:r w:rsidRPr="00A732FF">
        <w:rPr>
          <w:lang w:val="fr-FR"/>
        </w:rPr>
        <w:t xml:space="preserve">Des facteurs tels que les questions posées par le jury, le moment où </w:t>
      </w:r>
      <w:proofErr w:type="spellStart"/>
      <w:r w:rsidRPr="00A732FF">
        <w:rPr>
          <w:lang w:val="fr-FR"/>
        </w:rPr>
        <w:t>celui</w:t>
      </w:r>
      <w:r w:rsidRPr="00A732FF">
        <w:rPr>
          <w:lang w:val="fr-FR"/>
        </w:rPr>
        <w:noBreakHyphen/>
        <w:t>ci</w:t>
      </w:r>
      <w:proofErr w:type="spellEnd"/>
      <w:r w:rsidRPr="00A732FF">
        <w:rPr>
          <w:lang w:val="fr-FR"/>
        </w:rPr>
        <w:t xml:space="preserve"> a rendu son verdict ou les constatations faites par le juge chargé de déterminer la peine en vertu de l’al. 724(2)</w:t>
      </w:r>
      <w:r w:rsidRPr="00A732FF">
        <w:rPr>
          <w:i/>
          <w:lang w:val="fr-FR"/>
        </w:rPr>
        <w:t>b</w:t>
      </w:r>
      <w:r w:rsidRPr="00A732FF">
        <w:rPr>
          <w:lang w:val="fr-FR"/>
        </w:rPr>
        <w:t xml:space="preserve">) du </w:t>
      </w:r>
      <w:r w:rsidRPr="00A732FF">
        <w:rPr>
          <w:i/>
          <w:lang w:val="fr-FR"/>
        </w:rPr>
        <w:t xml:space="preserve">Code criminel </w:t>
      </w:r>
      <w:r w:rsidRPr="00A732FF">
        <w:t>ne peuvent être utilisés que pour renforcer la conclusion d’un raisonnement consistant à déterminer si la résolution de la question était logiquement nécessaire</w:t>
      </w:r>
      <w:r w:rsidRPr="00A732FF">
        <w:rPr>
          <w:lang w:val="fr-FR"/>
        </w:rPr>
        <w:t xml:space="preserve">. </w:t>
      </w:r>
      <w:r w:rsidR="009C652D" w:rsidRPr="00A732FF">
        <w:rPr>
          <w:lang w:val="fr-FR"/>
        </w:rPr>
        <w:t xml:space="preserve"> </w:t>
      </w:r>
      <w:r w:rsidRPr="00A732FF">
        <w:t xml:space="preserve">Dans les cas où il ressort du dossier et des allégations des parties qu’il existe plus d’une explication logique au verdict du jury et où l’une de ces explications n’exige pas que </w:t>
      </w:r>
      <w:r w:rsidRPr="00A732FF">
        <w:lastRenderedPageBreak/>
        <w:t xml:space="preserve">le jury ait résolu la question pertinente en faveur de l’accusé, le verdict ne pourra servir de fondement valable à la </w:t>
      </w:r>
      <w:proofErr w:type="spellStart"/>
      <w:r w:rsidRPr="00A732FF">
        <w:t>préclusion</w:t>
      </w:r>
      <w:proofErr w:type="spellEnd"/>
      <w:r w:rsidRPr="00A732FF">
        <w:t xml:space="preserve"> découlant d’une question déjà tranchée</w:t>
      </w:r>
      <w:r w:rsidRPr="00A732FF">
        <w:rPr>
          <w:lang w:val="fr-FR"/>
        </w:rPr>
        <w:t>.</w:t>
      </w:r>
    </w:p>
    <w:p w:rsidR="00CC479E" w:rsidRPr="00A732FF" w:rsidRDefault="00CC479E" w:rsidP="009C652D">
      <w:pPr>
        <w:pStyle w:val="SCCNormalDoubleSpacing"/>
        <w:spacing w:after="480"/>
        <w:rPr>
          <w:lang w:val="fr-FR"/>
        </w:rPr>
      </w:pPr>
      <w:r w:rsidRPr="00A732FF">
        <w:rPr>
          <w:lang w:val="fr-FR"/>
        </w:rPr>
        <w:tab/>
        <w:t xml:space="preserve">En l’espèce, la transcription du procès devant jury révèle qu’il y a au moins deux explications logiques au verdict de </w:t>
      </w:r>
      <w:proofErr w:type="spellStart"/>
      <w:r w:rsidRPr="00A732FF">
        <w:rPr>
          <w:lang w:val="fr-FR"/>
        </w:rPr>
        <w:t>non</w:t>
      </w:r>
      <w:r w:rsidRPr="00A732FF">
        <w:rPr>
          <w:lang w:val="fr-FR"/>
        </w:rPr>
        <w:noBreakHyphen/>
        <w:t>culpabilité</w:t>
      </w:r>
      <w:proofErr w:type="spellEnd"/>
      <w:r w:rsidRPr="00A732FF">
        <w:rPr>
          <w:lang w:val="fr-FR"/>
        </w:rPr>
        <w:t xml:space="preserve"> pour chacun des chefs d’accusation d’infraction d’organisation criminelle : </w:t>
      </w:r>
      <w:r w:rsidR="00E01250" w:rsidRPr="00A732FF">
        <w:rPr>
          <w:lang w:val="fr-FR"/>
        </w:rPr>
        <w:t xml:space="preserve">soit </w:t>
      </w:r>
      <w:r w:rsidRPr="00A732FF">
        <w:rPr>
          <w:lang w:val="fr-FR"/>
        </w:rPr>
        <w:t>le ministère public n’a pas établi que</w:t>
      </w:r>
      <w:r w:rsidRPr="00A732FF">
        <w:t xml:space="preserve"> les </w:t>
      </w:r>
      <w:proofErr w:type="spellStart"/>
      <w:r w:rsidR="009C652D" w:rsidRPr="00A732FF">
        <w:t>Hells</w:t>
      </w:r>
      <w:proofErr w:type="spellEnd"/>
      <w:r w:rsidR="009C652D" w:rsidRPr="00A732FF">
        <w:t> </w:t>
      </w:r>
      <w:proofErr w:type="spellStart"/>
      <w:r w:rsidRPr="00A732FF">
        <w:t>Angels</w:t>
      </w:r>
      <w:proofErr w:type="spellEnd"/>
      <w:r w:rsidRPr="00A732FF">
        <w:t xml:space="preserve"> étaient une organisation criminelle</w:t>
      </w:r>
      <w:r w:rsidR="00E01250" w:rsidRPr="00A732FF">
        <w:t>, soit</w:t>
      </w:r>
      <w:r w:rsidRPr="00A732FF">
        <w:t xml:space="preserve"> il n’a pas établi que les infractions sous-jacentes avaient été commises au profit ou sous la direction des </w:t>
      </w:r>
      <w:proofErr w:type="spellStart"/>
      <w:r w:rsidRPr="00A732FF">
        <w:t>Hells</w:t>
      </w:r>
      <w:proofErr w:type="spellEnd"/>
      <w:r w:rsidR="009C652D" w:rsidRPr="00A732FF">
        <w:t> </w:t>
      </w:r>
      <w:proofErr w:type="spellStart"/>
      <w:r w:rsidRPr="00A732FF">
        <w:t>Angels</w:t>
      </w:r>
      <w:proofErr w:type="spellEnd"/>
      <w:r w:rsidRPr="00A732FF">
        <w:t xml:space="preserve">, ou en association avec eux. </w:t>
      </w:r>
      <w:r w:rsidRPr="00A732FF">
        <w:rPr>
          <w:lang w:val="fr-FR"/>
        </w:rPr>
        <w:t xml:space="preserve"> L</w:t>
      </w:r>
      <w:r w:rsidRPr="00A732FF">
        <w:t>e verdict d’acquittement ne supposait pas logiquement une conclusion selon laquelle</w:t>
      </w:r>
      <w:r w:rsidR="009C652D" w:rsidRPr="00A732FF">
        <w:t xml:space="preserve"> les </w:t>
      </w:r>
      <w:proofErr w:type="spellStart"/>
      <w:r w:rsidR="009C652D" w:rsidRPr="00A732FF">
        <w:t>Hells</w:t>
      </w:r>
      <w:proofErr w:type="spellEnd"/>
      <w:r w:rsidR="009C652D" w:rsidRPr="00A732FF">
        <w:t> </w:t>
      </w:r>
      <w:proofErr w:type="spellStart"/>
      <w:r w:rsidRPr="00A732FF">
        <w:t>Angels</w:t>
      </w:r>
      <w:proofErr w:type="spellEnd"/>
      <w:r w:rsidRPr="00A732FF">
        <w:t xml:space="preserve"> n’étaient pas une organisation criminelle</w:t>
      </w:r>
      <w:r w:rsidRPr="00A732FF">
        <w:rPr>
          <w:lang w:val="fr-FR"/>
        </w:rPr>
        <w:t>.</w:t>
      </w:r>
    </w:p>
    <w:p w:rsidR="00D25256" w:rsidRPr="00A732FF" w:rsidRDefault="00D25256" w:rsidP="009C652D">
      <w:pPr>
        <w:pStyle w:val="SCCNormalDoubleSpacing"/>
        <w:spacing w:after="480"/>
        <w:rPr>
          <w:lang w:val="fr-FR"/>
        </w:rPr>
      </w:pPr>
      <w:r w:rsidRPr="00A732FF">
        <w:tab/>
      </w:r>
      <w:r w:rsidRPr="00A732FF">
        <w:rPr>
          <w:i/>
          <w:lang w:val="fr-FR"/>
        </w:rPr>
        <w:t xml:space="preserve">Le </w:t>
      </w:r>
      <w:r w:rsidRPr="00A732FF">
        <w:rPr>
          <w:lang w:val="fr-FR"/>
        </w:rPr>
        <w:t xml:space="preserve">juge </w:t>
      </w:r>
      <w:r w:rsidRPr="00FD4E92">
        <w:rPr>
          <w:lang w:val="fr-FR"/>
        </w:rPr>
        <w:t>Fish</w:t>
      </w:r>
      <w:r w:rsidR="00F80691" w:rsidRPr="00A732FF">
        <w:rPr>
          <w:lang w:val="fr-FR"/>
        </w:rPr>
        <w:t xml:space="preserve"> : </w:t>
      </w:r>
      <w:r w:rsidRPr="00A732FF">
        <w:rPr>
          <w:lang w:val="fr-FR"/>
        </w:rPr>
        <w:t xml:space="preserve">Il est souscrit aux motifs de la majorité, </w:t>
      </w:r>
      <w:r w:rsidR="00E01250" w:rsidRPr="00A732FF">
        <w:rPr>
          <w:lang w:val="fr-FR"/>
        </w:rPr>
        <w:t>sous</w:t>
      </w:r>
      <w:r w:rsidRPr="00A732FF">
        <w:rPr>
          <w:lang w:val="fr-FR"/>
        </w:rPr>
        <w:t xml:space="preserve"> </w:t>
      </w:r>
      <w:r w:rsidR="00E01250" w:rsidRPr="00A732FF">
        <w:rPr>
          <w:lang w:val="fr-FR"/>
        </w:rPr>
        <w:t>cette</w:t>
      </w:r>
      <w:r w:rsidRPr="00A732FF">
        <w:rPr>
          <w:lang w:val="fr-FR"/>
        </w:rPr>
        <w:t xml:space="preserve"> réserve </w:t>
      </w:r>
      <w:r w:rsidR="00ED0DDC" w:rsidRPr="00A732FF">
        <w:rPr>
          <w:lang w:val="fr-FR"/>
        </w:rPr>
        <w:t>que la Cour ne devrait pas se prononcer sur la question</w:t>
      </w:r>
      <w:r w:rsidRPr="00A732FF">
        <w:t xml:space="preserve"> de savoir si la constatation d’un fait par le tribunal qui détermine la peine</w:t>
      </w:r>
      <w:r w:rsidR="00AD000C">
        <w:t xml:space="preserve"> en application de l’al. 724(2)</w:t>
      </w:r>
      <w:r w:rsidRPr="00A732FF">
        <w:rPr>
          <w:i/>
        </w:rPr>
        <w:t>b</w:t>
      </w:r>
      <w:r w:rsidRPr="00A732FF">
        <w:t xml:space="preserve">) du </w:t>
      </w:r>
      <w:r w:rsidRPr="00A732FF">
        <w:rPr>
          <w:i/>
        </w:rPr>
        <w:t>Code</w:t>
      </w:r>
      <w:r w:rsidRPr="00A732FF">
        <w:t xml:space="preserve"> </w:t>
      </w:r>
      <w:r w:rsidRPr="00A732FF">
        <w:rPr>
          <w:i/>
        </w:rPr>
        <w:t>criminel</w:t>
      </w:r>
      <w:r w:rsidRPr="00A732FF">
        <w:t xml:space="preserve"> </w:t>
      </w:r>
      <w:r w:rsidRPr="00A732FF">
        <w:rPr>
          <w:lang w:val="fr-FR"/>
        </w:rPr>
        <w:t>peut</w:t>
      </w:r>
      <w:r w:rsidR="00C81622" w:rsidRPr="00A732FF">
        <w:rPr>
          <w:lang w:val="fr-FR"/>
        </w:rPr>
        <w:t>,</w:t>
      </w:r>
      <w:r w:rsidRPr="00A732FF">
        <w:rPr>
          <w:lang w:val="fr-FR"/>
        </w:rPr>
        <w:t xml:space="preserve"> </w:t>
      </w:r>
      <w:r w:rsidRPr="001C134F">
        <w:rPr>
          <w:lang w:val="fr-FR"/>
        </w:rPr>
        <w:t>en principe</w:t>
      </w:r>
      <w:r w:rsidR="00C81622" w:rsidRPr="001C134F">
        <w:rPr>
          <w:lang w:val="fr-FR"/>
        </w:rPr>
        <w:t>,</w:t>
      </w:r>
      <w:r w:rsidRPr="00A732FF">
        <w:rPr>
          <w:lang w:val="fr-FR"/>
        </w:rPr>
        <w:t xml:space="preserve"> donner ouverture à la </w:t>
      </w:r>
      <w:proofErr w:type="spellStart"/>
      <w:r w:rsidRPr="00A732FF">
        <w:rPr>
          <w:lang w:val="fr-FR"/>
        </w:rPr>
        <w:t>préclusion</w:t>
      </w:r>
      <w:proofErr w:type="spellEnd"/>
      <w:r w:rsidRPr="00A732FF">
        <w:rPr>
          <w:lang w:val="fr-FR"/>
        </w:rPr>
        <w:t xml:space="preserve"> découlant d’une question déjà tranchée. </w:t>
      </w:r>
      <w:r w:rsidR="00ED0DDC" w:rsidRPr="00A732FF">
        <w:rPr>
          <w:lang w:val="fr-FR"/>
        </w:rPr>
        <w:t xml:space="preserve"> </w:t>
      </w:r>
      <w:r w:rsidR="00C81622" w:rsidRPr="00A732FF">
        <w:rPr>
          <w:lang w:val="fr-FR"/>
        </w:rPr>
        <w:t xml:space="preserve">Aucune raison de principe ne permet d’affirmer que pareille constatation de fait </w:t>
      </w:r>
      <w:r w:rsidR="00C81622" w:rsidRPr="00A732FF">
        <w:t xml:space="preserve">ne pourrait jamais donner ouverture à la </w:t>
      </w:r>
      <w:proofErr w:type="spellStart"/>
      <w:r w:rsidR="00C81622" w:rsidRPr="00A732FF">
        <w:t>préclusion</w:t>
      </w:r>
      <w:proofErr w:type="spellEnd"/>
      <w:r w:rsidR="00C81622" w:rsidRPr="00A732FF">
        <w:t xml:space="preserve"> et empêcher le ministère public de remettre en cause la question visée dans une procédure ultérieure.</w:t>
      </w:r>
      <w:r w:rsidR="00ED0DDC" w:rsidRPr="00A732FF">
        <w:rPr>
          <w:lang w:val="fr-FR"/>
        </w:rPr>
        <w:t xml:space="preserve"> </w:t>
      </w:r>
      <w:r w:rsidR="009C652D" w:rsidRPr="00A732FF">
        <w:rPr>
          <w:lang w:val="fr-FR"/>
        </w:rPr>
        <w:t xml:space="preserve"> </w:t>
      </w:r>
      <w:r w:rsidR="00ED0DDC" w:rsidRPr="00A732FF">
        <w:rPr>
          <w:lang w:val="fr-FR"/>
        </w:rPr>
        <w:t>L</w:t>
      </w:r>
      <w:r w:rsidR="00C81622" w:rsidRPr="00A732FF">
        <w:rPr>
          <w:lang w:val="fr-FR"/>
        </w:rPr>
        <w:t xml:space="preserve">es accusés </w:t>
      </w:r>
      <w:r w:rsidR="00ED0DDC" w:rsidRPr="00A732FF">
        <w:rPr>
          <w:lang w:val="fr-FR"/>
        </w:rPr>
        <w:t>en l’espèce n’ont</w:t>
      </w:r>
      <w:r w:rsidR="00C81622" w:rsidRPr="00A732FF">
        <w:rPr>
          <w:lang w:val="fr-FR"/>
        </w:rPr>
        <w:t xml:space="preserve"> pas </w:t>
      </w:r>
      <w:r w:rsidR="00ED0DDC" w:rsidRPr="00A732FF">
        <w:rPr>
          <w:lang w:val="fr-FR"/>
        </w:rPr>
        <w:t xml:space="preserve">satisfait </w:t>
      </w:r>
      <w:r w:rsidR="00C81622" w:rsidRPr="00A732FF">
        <w:rPr>
          <w:lang w:val="fr-FR"/>
        </w:rPr>
        <w:t xml:space="preserve">aux conditions d’application de la </w:t>
      </w:r>
      <w:proofErr w:type="spellStart"/>
      <w:r w:rsidR="00C81622" w:rsidRPr="00A732FF">
        <w:rPr>
          <w:lang w:val="fr-FR"/>
        </w:rPr>
        <w:t>préclusion</w:t>
      </w:r>
      <w:proofErr w:type="spellEnd"/>
      <w:r w:rsidR="00C81622" w:rsidRPr="00A732FF">
        <w:rPr>
          <w:lang w:val="fr-FR"/>
        </w:rPr>
        <w:t xml:space="preserve"> découlant d’une question déjà tranchée.</w:t>
      </w:r>
    </w:p>
    <w:p w:rsidR="007E1C47" w:rsidRPr="00A732FF" w:rsidRDefault="0043088E" w:rsidP="00AD06B6">
      <w:pPr>
        <w:pStyle w:val="SCCNormalDoubleSpacing"/>
        <w:keepNext/>
        <w:spacing w:after="720" w:line="240" w:lineRule="auto"/>
        <w:rPr>
          <w:b/>
        </w:rPr>
      </w:pPr>
      <w:r w:rsidRPr="00A732FF">
        <w:rPr>
          <w:b/>
        </w:rPr>
        <w:lastRenderedPageBreak/>
        <w:t>Jurisprudence</w:t>
      </w:r>
    </w:p>
    <w:p w:rsidR="00C546DB" w:rsidRPr="00A732FF" w:rsidRDefault="00C546DB" w:rsidP="00AD06B6">
      <w:pPr>
        <w:pStyle w:val="SCCNormalDoubleSpacing"/>
        <w:keepNext/>
        <w:spacing w:after="720" w:line="240" w:lineRule="auto"/>
      </w:pPr>
      <w:r w:rsidRPr="00A732FF">
        <w:t>Citée par la juge Deschamps</w:t>
      </w:r>
    </w:p>
    <w:p w:rsidR="002E6705" w:rsidRPr="00A732FF" w:rsidRDefault="002E6705" w:rsidP="009C652D">
      <w:pPr>
        <w:pStyle w:val="SCCNormalDoubleSpacing"/>
        <w:spacing w:after="480"/>
      </w:pPr>
      <w:r w:rsidRPr="00A732FF">
        <w:tab/>
      </w:r>
      <w:r w:rsidR="009A31E8" w:rsidRPr="00A732FF">
        <w:rPr>
          <w:b/>
          <w:szCs w:val="24"/>
        </w:rPr>
        <w:t>Arrêt appliqué :</w:t>
      </w:r>
      <w:r w:rsidR="009A31E8" w:rsidRPr="00A732FF">
        <w:rPr>
          <w:szCs w:val="24"/>
        </w:rPr>
        <w:t xml:space="preserve"> </w:t>
      </w:r>
      <w:r w:rsidR="009A31E8" w:rsidRPr="00A732FF">
        <w:rPr>
          <w:i/>
        </w:rPr>
        <w:t xml:space="preserve">R. c. </w:t>
      </w:r>
      <w:proofErr w:type="spellStart"/>
      <w:r w:rsidR="009A31E8" w:rsidRPr="00A732FF">
        <w:rPr>
          <w:i/>
        </w:rPr>
        <w:t>Mahalingan</w:t>
      </w:r>
      <w:proofErr w:type="spellEnd"/>
      <w:r w:rsidR="009A31E8" w:rsidRPr="00A732FF">
        <w:t xml:space="preserve">, 2008 CSC 63, [2008] 3 R.C.S. 316; </w:t>
      </w:r>
      <w:r w:rsidR="009A31E8" w:rsidRPr="00A732FF">
        <w:rPr>
          <w:b/>
        </w:rPr>
        <w:t>a</w:t>
      </w:r>
      <w:r w:rsidR="0043088E" w:rsidRPr="00A732FF">
        <w:rPr>
          <w:b/>
        </w:rPr>
        <w:t>rrêts mentionnés</w:t>
      </w:r>
      <w:r w:rsidR="00AD06B6" w:rsidRPr="00A732FF">
        <w:rPr>
          <w:b/>
        </w:rPr>
        <w:t> :</w:t>
      </w:r>
      <w:r w:rsidR="00172A04" w:rsidRPr="00A732FF">
        <w:t xml:space="preserve"> </w:t>
      </w:r>
      <w:r w:rsidR="000A606B" w:rsidRPr="00A732FF">
        <w:rPr>
          <w:i/>
        </w:rPr>
        <w:t>R. c. Violette</w:t>
      </w:r>
      <w:r w:rsidR="000A606B" w:rsidRPr="00A732FF">
        <w:t xml:space="preserve">, 2009 BCSC 1025, [2009] B.C.J. </w:t>
      </w:r>
      <w:r w:rsidR="00AD06B6" w:rsidRPr="00A732FF">
        <w:t>No. </w:t>
      </w:r>
      <w:r w:rsidR="000A606B" w:rsidRPr="00A732FF">
        <w:t xml:space="preserve">1940 (QL); </w:t>
      </w:r>
      <w:r w:rsidR="000A606B" w:rsidRPr="00A732FF">
        <w:rPr>
          <w:i/>
        </w:rPr>
        <w:t>R. c. Violette</w:t>
      </w:r>
      <w:r w:rsidR="000A606B" w:rsidRPr="00A732FF">
        <w:t>, 2009 BCSC 1557 (</w:t>
      </w:r>
      <w:proofErr w:type="spellStart"/>
      <w:r w:rsidR="000A606B" w:rsidRPr="00A732FF">
        <w:t>CanLII</w:t>
      </w:r>
      <w:proofErr w:type="spellEnd"/>
      <w:r w:rsidR="000A606B" w:rsidRPr="00A732FF">
        <w:t>)</w:t>
      </w:r>
      <w:r w:rsidR="00515A99" w:rsidRPr="00A732FF">
        <w:t xml:space="preserve">; </w:t>
      </w:r>
      <w:r w:rsidR="00515A99" w:rsidRPr="00A732FF">
        <w:rPr>
          <w:i/>
        </w:rPr>
        <w:t xml:space="preserve">R. c. </w:t>
      </w:r>
      <w:proofErr w:type="spellStart"/>
      <w:r w:rsidR="00515A99" w:rsidRPr="00A732FF">
        <w:rPr>
          <w:i/>
        </w:rPr>
        <w:t>Cinous</w:t>
      </w:r>
      <w:proofErr w:type="spellEnd"/>
      <w:r w:rsidR="00515A99" w:rsidRPr="00A732FF">
        <w:t>, 2002 CSC 29, [2002] 2 R.C.S. 3</w:t>
      </w:r>
      <w:r w:rsidR="00E92E78" w:rsidRPr="00A732FF">
        <w:t>.</w:t>
      </w:r>
    </w:p>
    <w:p w:rsidR="00C546DB" w:rsidRPr="00A732FF" w:rsidRDefault="00C546DB" w:rsidP="00AD06B6">
      <w:pPr>
        <w:pStyle w:val="SCCNormalDoubleSpacing"/>
        <w:keepNext/>
        <w:spacing w:after="720" w:line="240" w:lineRule="auto"/>
      </w:pPr>
      <w:r w:rsidRPr="00A732FF">
        <w:t>Citée par le juge Fish</w:t>
      </w:r>
    </w:p>
    <w:p w:rsidR="007834A8" w:rsidRPr="00A732FF" w:rsidRDefault="00C546DB" w:rsidP="00AD06B6">
      <w:pPr>
        <w:pStyle w:val="SCCNormalDoubleSpacing"/>
        <w:spacing w:after="720" w:line="240" w:lineRule="auto"/>
      </w:pPr>
      <w:r w:rsidRPr="00A732FF">
        <w:tab/>
      </w:r>
      <w:r w:rsidRPr="00A732FF">
        <w:rPr>
          <w:b/>
        </w:rPr>
        <w:t>Arrêt mentionné</w:t>
      </w:r>
      <w:r w:rsidR="00AD06B6" w:rsidRPr="00A732FF">
        <w:rPr>
          <w:b/>
        </w:rPr>
        <w:t> :</w:t>
      </w:r>
      <w:r w:rsidRPr="00A732FF">
        <w:t xml:space="preserve"> </w:t>
      </w:r>
      <w:r w:rsidRPr="00A732FF">
        <w:rPr>
          <w:i/>
        </w:rPr>
        <w:t xml:space="preserve">R. c. </w:t>
      </w:r>
      <w:proofErr w:type="spellStart"/>
      <w:r w:rsidRPr="00A732FF">
        <w:rPr>
          <w:i/>
        </w:rPr>
        <w:t>Mahalingan</w:t>
      </w:r>
      <w:proofErr w:type="spellEnd"/>
      <w:r w:rsidRPr="00A732FF">
        <w:t>, 2008 CSC 63, [2008] 3 R.C.S. 316.</w:t>
      </w:r>
    </w:p>
    <w:p w:rsidR="00231F3A" w:rsidRPr="00A732FF" w:rsidRDefault="0043088E" w:rsidP="00AD06B6">
      <w:pPr>
        <w:pStyle w:val="SCCNormalDoubleSpacing"/>
        <w:keepNext/>
        <w:spacing w:after="720" w:line="240" w:lineRule="auto"/>
        <w:rPr>
          <w:b/>
        </w:rPr>
      </w:pPr>
      <w:r w:rsidRPr="00A732FF">
        <w:rPr>
          <w:b/>
        </w:rPr>
        <w:t>Lois</w:t>
      </w:r>
      <w:r w:rsidR="002E6705" w:rsidRPr="00A732FF">
        <w:rPr>
          <w:b/>
        </w:rPr>
        <w:t xml:space="preserve"> </w:t>
      </w:r>
      <w:r w:rsidR="008A6558" w:rsidRPr="00A732FF">
        <w:rPr>
          <w:b/>
        </w:rPr>
        <w:t>et</w:t>
      </w:r>
      <w:r w:rsidR="002E6705" w:rsidRPr="00A732FF">
        <w:rPr>
          <w:b/>
        </w:rPr>
        <w:t xml:space="preserve"> </w:t>
      </w:r>
      <w:r w:rsidRPr="00A732FF">
        <w:rPr>
          <w:b/>
        </w:rPr>
        <w:t>rè</w:t>
      </w:r>
      <w:r w:rsidR="002E6705" w:rsidRPr="00A732FF">
        <w:rPr>
          <w:b/>
        </w:rPr>
        <w:t>gl</w:t>
      </w:r>
      <w:r w:rsidRPr="00A732FF">
        <w:rPr>
          <w:b/>
        </w:rPr>
        <w:t>ements</w:t>
      </w:r>
      <w:r w:rsidR="002E6705" w:rsidRPr="00A732FF">
        <w:rPr>
          <w:b/>
        </w:rPr>
        <w:t xml:space="preserve"> </w:t>
      </w:r>
      <w:r w:rsidRPr="00A732FF">
        <w:rPr>
          <w:b/>
        </w:rPr>
        <w:t>c</w:t>
      </w:r>
      <w:r w:rsidR="002E6705" w:rsidRPr="00A732FF">
        <w:rPr>
          <w:b/>
        </w:rPr>
        <w:t>it</w:t>
      </w:r>
      <w:r w:rsidRPr="00A732FF">
        <w:rPr>
          <w:b/>
        </w:rPr>
        <w:t>és</w:t>
      </w:r>
    </w:p>
    <w:p w:rsidR="006D1DA2" w:rsidRPr="00A732FF" w:rsidRDefault="006D1DA2" w:rsidP="00AD06B6">
      <w:pPr>
        <w:pStyle w:val="SCCNormalDoubleSpacing"/>
        <w:spacing w:after="720" w:line="240" w:lineRule="auto"/>
        <w:ind w:left="547" w:hanging="547"/>
      </w:pPr>
      <w:r w:rsidRPr="00A732FF">
        <w:rPr>
          <w:i/>
        </w:rPr>
        <w:t>Code criminel</w:t>
      </w:r>
      <w:r w:rsidRPr="00A732FF">
        <w:t xml:space="preserve">, L.R.C. 1985, </w:t>
      </w:r>
      <w:r w:rsidR="00AD06B6" w:rsidRPr="00A732FF">
        <w:t>ch. </w:t>
      </w:r>
      <w:r w:rsidRPr="00A732FF">
        <w:t>C</w:t>
      </w:r>
      <w:r w:rsidR="00AD06B6" w:rsidRPr="00A732FF">
        <w:noBreakHyphen/>
      </w:r>
      <w:r w:rsidRPr="00A732FF">
        <w:t xml:space="preserve">46, </w:t>
      </w:r>
      <w:r w:rsidR="00AD06B6" w:rsidRPr="00A732FF">
        <w:t>art. </w:t>
      </w:r>
      <w:r w:rsidRPr="00A732FF">
        <w:t>724</w:t>
      </w:r>
      <w:r w:rsidR="009A31E8" w:rsidRPr="00A732FF">
        <w:t>(1), (2)</w:t>
      </w:r>
      <w:r w:rsidR="002F1239" w:rsidRPr="00A732FF">
        <w:t>, 725(1)</w:t>
      </w:r>
      <w:r w:rsidR="002F1239" w:rsidRPr="00A732FF">
        <w:rPr>
          <w:i/>
        </w:rPr>
        <w:t>c</w:t>
      </w:r>
      <w:r w:rsidR="002F1239" w:rsidRPr="00A732FF">
        <w:t>)</w:t>
      </w:r>
      <w:r w:rsidRPr="00A732FF">
        <w:t>.</w:t>
      </w:r>
    </w:p>
    <w:p w:rsidR="00AC3322" w:rsidRPr="00A732FF" w:rsidRDefault="00AC3322" w:rsidP="00AD06B6">
      <w:pPr>
        <w:pStyle w:val="SCCNormalDoubleSpacing"/>
        <w:spacing w:after="480"/>
      </w:pPr>
      <w:r w:rsidRPr="00A732FF">
        <w:tab/>
      </w:r>
      <w:r w:rsidR="009B57B3" w:rsidRPr="00A732FF">
        <w:t>P</w:t>
      </w:r>
      <w:r w:rsidR="009A31E8" w:rsidRPr="00A732FF">
        <w:t xml:space="preserve">OURVOIS </w:t>
      </w:r>
      <w:r w:rsidR="0043088E" w:rsidRPr="00A732FF">
        <w:t>contre un arrêt de la</w:t>
      </w:r>
      <w:r w:rsidR="009B57B3" w:rsidRPr="00A732FF">
        <w:t xml:space="preserve"> Cour d’appel de la </w:t>
      </w:r>
      <w:proofErr w:type="spellStart"/>
      <w:r w:rsidR="009B57B3" w:rsidRPr="00A732FF">
        <w:t>Colombie</w:t>
      </w:r>
      <w:r w:rsidR="00AD06B6" w:rsidRPr="00A732FF">
        <w:noBreakHyphen/>
      </w:r>
      <w:r w:rsidR="009B57B3" w:rsidRPr="00A732FF">
        <w:t>Britannique</w:t>
      </w:r>
      <w:proofErr w:type="spellEnd"/>
      <w:r w:rsidR="009B57B3" w:rsidRPr="00A732FF">
        <w:t xml:space="preserve"> (</w:t>
      </w:r>
      <w:r w:rsidRPr="00A732FF">
        <w:t xml:space="preserve">le juge en chef </w:t>
      </w:r>
      <w:proofErr w:type="spellStart"/>
      <w:r w:rsidRPr="00A732FF">
        <w:t>Finch</w:t>
      </w:r>
      <w:proofErr w:type="spellEnd"/>
      <w:r w:rsidRPr="00A732FF">
        <w:t xml:space="preserve"> et les juges </w:t>
      </w:r>
      <w:proofErr w:type="spellStart"/>
      <w:r w:rsidRPr="00A732FF">
        <w:t>Kirkpatrick</w:t>
      </w:r>
      <w:proofErr w:type="spellEnd"/>
      <w:r w:rsidRPr="00A732FF">
        <w:t xml:space="preserve"> et </w:t>
      </w:r>
      <w:proofErr w:type="spellStart"/>
      <w:r w:rsidRPr="00A732FF">
        <w:t>Groberman</w:t>
      </w:r>
      <w:proofErr w:type="spellEnd"/>
      <w:r w:rsidRPr="00A732FF">
        <w:t xml:space="preserve">), </w:t>
      </w:r>
      <w:r w:rsidR="00D62706" w:rsidRPr="00A732FF">
        <w:rPr>
          <w:szCs w:val="24"/>
          <w:lang w:val="en-CA"/>
        </w:rPr>
        <w:fldChar w:fldCharType="begin"/>
      </w:r>
      <w:r w:rsidRPr="00A732FF">
        <w:rPr>
          <w:szCs w:val="24"/>
        </w:rPr>
        <w:instrText xml:space="preserve"> SEQ CHAPTER \h \r 1</w:instrText>
      </w:r>
      <w:r w:rsidR="00D62706" w:rsidRPr="00A732FF">
        <w:rPr>
          <w:szCs w:val="24"/>
          <w:lang w:val="en-CA"/>
        </w:rPr>
        <w:fldChar w:fldCharType="end"/>
      </w:r>
      <w:r w:rsidRPr="00A732FF">
        <w:rPr>
          <w:szCs w:val="24"/>
        </w:rPr>
        <w:t xml:space="preserve">2011 BCCA 55, 299 B.C.A.C. 235, 508 W.A.C. 235, 266 C.C.C. (3d) 316, 330 D.L.R. (4th) 399, [2011] B.C.J. </w:t>
      </w:r>
      <w:r w:rsidR="00AD06B6" w:rsidRPr="00A732FF">
        <w:rPr>
          <w:szCs w:val="24"/>
        </w:rPr>
        <w:t>No. </w:t>
      </w:r>
      <w:r w:rsidRPr="00A732FF">
        <w:rPr>
          <w:szCs w:val="24"/>
        </w:rPr>
        <w:t xml:space="preserve">199 (QL), 2011 </w:t>
      </w:r>
      <w:proofErr w:type="spellStart"/>
      <w:r w:rsidRPr="00A732FF">
        <w:rPr>
          <w:szCs w:val="24"/>
        </w:rPr>
        <w:t>CarswellBC</w:t>
      </w:r>
      <w:proofErr w:type="spellEnd"/>
      <w:r w:rsidRPr="00A732FF">
        <w:rPr>
          <w:szCs w:val="24"/>
        </w:rPr>
        <w:t xml:space="preserve"> 195, qui a infirmé une décision du juge </w:t>
      </w:r>
      <w:proofErr w:type="spellStart"/>
      <w:r w:rsidRPr="00A732FF">
        <w:rPr>
          <w:szCs w:val="24"/>
        </w:rPr>
        <w:t>Leask</w:t>
      </w:r>
      <w:proofErr w:type="spellEnd"/>
      <w:r w:rsidRPr="00A732FF">
        <w:rPr>
          <w:szCs w:val="24"/>
        </w:rPr>
        <w:t xml:space="preserve">, </w:t>
      </w:r>
      <w:r w:rsidR="00AA090A" w:rsidRPr="00A732FF">
        <w:rPr>
          <w:szCs w:val="24"/>
        </w:rPr>
        <w:t xml:space="preserve">2010 BCSC 70, 251 C.C.C. (3d) 232, [2010] B.C.J. </w:t>
      </w:r>
      <w:r w:rsidR="00AD06B6" w:rsidRPr="00A732FF">
        <w:rPr>
          <w:szCs w:val="24"/>
        </w:rPr>
        <w:t>No. </w:t>
      </w:r>
      <w:r w:rsidR="00AA090A" w:rsidRPr="00A732FF">
        <w:rPr>
          <w:szCs w:val="24"/>
        </w:rPr>
        <w:t xml:space="preserve">82 (QL), 2010 </w:t>
      </w:r>
      <w:proofErr w:type="spellStart"/>
      <w:r w:rsidR="00AA090A" w:rsidRPr="00A732FF">
        <w:rPr>
          <w:szCs w:val="24"/>
        </w:rPr>
        <w:t>CarswellBC</w:t>
      </w:r>
      <w:proofErr w:type="spellEnd"/>
      <w:r w:rsidR="00AA090A" w:rsidRPr="00A732FF">
        <w:rPr>
          <w:szCs w:val="24"/>
        </w:rPr>
        <w:t xml:space="preserve"> 105</w:t>
      </w:r>
      <w:r w:rsidRPr="00A732FF">
        <w:rPr>
          <w:szCs w:val="24"/>
        </w:rPr>
        <w:t>.  Pourvoi</w:t>
      </w:r>
      <w:r w:rsidR="009A31E8" w:rsidRPr="00A732FF">
        <w:rPr>
          <w:szCs w:val="24"/>
        </w:rPr>
        <w:t>s</w:t>
      </w:r>
      <w:r w:rsidRPr="00A732FF">
        <w:rPr>
          <w:szCs w:val="24"/>
        </w:rPr>
        <w:t xml:space="preserve"> rejeté</w:t>
      </w:r>
      <w:r w:rsidR="009A31E8" w:rsidRPr="00A732FF">
        <w:rPr>
          <w:szCs w:val="24"/>
        </w:rPr>
        <w:t>s</w:t>
      </w:r>
      <w:r w:rsidRPr="00A732FF">
        <w:rPr>
          <w:szCs w:val="24"/>
        </w:rPr>
        <w:t>.</w:t>
      </w:r>
    </w:p>
    <w:p w:rsidR="008E08ED" w:rsidRPr="00A732FF" w:rsidRDefault="0059137B" w:rsidP="00AD06B6">
      <w:pPr>
        <w:pStyle w:val="SCCNormalDoubleSpacing"/>
        <w:spacing w:after="480"/>
      </w:pPr>
      <w:r w:rsidRPr="00A732FF">
        <w:rPr>
          <w:i/>
        </w:rPr>
        <w:lastRenderedPageBreak/>
        <w:tab/>
        <w:t>Gil </w:t>
      </w:r>
      <w:r w:rsidR="00AD06B6" w:rsidRPr="00A732FF">
        <w:rPr>
          <w:i/>
        </w:rPr>
        <w:t>D.</w:t>
      </w:r>
      <w:r w:rsidRPr="00A732FF">
        <w:rPr>
          <w:i/>
        </w:rPr>
        <w:t xml:space="preserve"> </w:t>
      </w:r>
      <w:r w:rsidR="00AC3322" w:rsidRPr="00A732FF">
        <w:rPr>
          <w:i/>
        </w:rPr>
        <w:t>McKinnon</w:t>
      </w:r>
      <w:r w:rsidR="00AC3322" w:rsidRPr="00FD4E92">
        <w:t>,</w:t>
      </w:r>
      <w:r w:rsidR="00AC3322" w:rsidRPr="00A732FF">
        <w:rPr>
          <w:i/>
        </w:rPr>
        <w:t xml:space="preserve"> </w:t>
      </w:r>
      <w:proofErr w:type="gramStart"/>
      <w:r w:rsidR="001F0546" w:rsidRPr="00A732FF">
        <w:rPr>
          <w:i/>
        </w:rPr>
        <w:t>c</w:t>
      </w:r>
      <w:r w:rsidR="00AC3322" w:rsidRPr="00A732FF">
        <w:rPr>
          <w:i/>
        </w:rPr>
        <w:t>.</w:t>
      </w:r>
      <w:r w:rsidR="001F0546" w:rsidRPr="00A732FF">
        <w:rPr>
          <w:i/>
        </w:rPr>
        <w:t>r</w:t>
      </w:r>
      <w:r w:rsidR="00AC3322" w:rsidRPr="00A732FF">
        <w:rPr>
          <w:i/>
        </w:rPr>
        <w:t>.</w:t>
      </w:r>
      <w:r w:rsidR="00AC3322" w:rsidRPr="00A732FF">
        <w:t>,</w:t>
      </w:r>
      <w:proofErr w:type="gramEnd"/>
      <w:r w:rsidR="001F0546" w:rsidRPr="00A732FF">
        <w:t xml:space="preserve"> et </w:t>
      </w:r>
      <w:r w:rsidR="001F0546" w:rsidRPr="00A732FF">
        <w:rPr>
          <w:i/>
        </w:rPr>
        <w:t>Larry Fleming</w:t>
      </w:r>
      <w:r w:rsidR="001F0546" w:rsidRPr="00A732FF">
        <w:t>, pour l’</w:t>
      </w:r>
      <w:r w:rsidR="00AC3322" w:rsidRPr="00A732FF">
        <w:t>appelant</w:t>
      </w:r>
      <w:r w:rsidR="001F0546" w:rsidRPr="00A732FF">
        <w:t xml:space="preserve"> John Virgil Punko</w:t>
      </w:r>
      <w:r w:rsidR="00AC3322" w:rsidRPr="00A732FF">
        <w:t>.</w:t>
      </w:r>
    </w:p>
    <w:p w:rsidR="001F0546" w:rsidRPr="00A732FF" w:rsidRDefault="001F0546" w:rsidP="00AD06B6">
      <w:pPr>
        <w:pStyle w:val="SCCNormalDoubleSpacing"/>
        <w:spacing w:after="480"/>
      </w:pPr>
      <w:r w:rsidRPr="00A732FF">
        <w:rPr>
          <w:i/>
        </w:rPr>
        <w:tab/>
        <w:t>Bonnie Craig</w:t>
      </w:r>
      <w:r w:rsidRPr="00A732FF">
        <w:t xml:space="preserve"> et </w:t>
      </w:r>
      <w:r w:rsidRPr="00A732FF">
        <w:rPr>
          <w:i/>
        </w:rPr>
        <w:t>Jeffrey Ray</w:t>
      </w:r>
      <w:r w:rsidRPr="00A732FF">
        <w:t xml:space="preserve">, pour l’appelant Randall Richard </w:t>
      </w:r>
      <w:proofErr w:type="spellStart"/>
      <w:r w:rsidRPr="00A732FF">
        <w:t>Potts</w:t>
      </w:r>
      <w:proofErr w:type="spellEnd"/>
      <w:r w:rsidRPr="00A732FF">
        <w:t>.</w:t>
      </w:r>
    </w:p>
    <w:p w:rsidR="008E08ED" w:rsidRPr="00A732FF" w:rsidRDefault="00AC3322" w:rsidP="00AD06B6">
      <w:pPr>
        <w:pStyle w:val="SCCNormalDoubleSpacing"/>
        <w:spacing w:after="480"/>
      </w:pPr>
      <w:r w:rsidRPr="00A732FF">
        <w:rPr>
          <w:i/>
        </w:rPr>
        <w:tab/>
      </w:r>
      <w:r w:rsidR="00AD06B6" w:rsidRPr="00A732FF">
        <w:rPr>
          <w:i/>
        </w:rPr>
        <w:t>W. </w:t>
      </w:r>
      <w:r w:rsidRPr="00A732FF">
        <w:rPr>
          <w:i/>
        </w:rPr>
        <w:t>Paul Riley</w:t>
      </w:r>
      <w:r w:rsidRPr="00A732FF">
        <w:t xml:space="preserve"> et </w:t>
      </w:r>
      <w:r w:rsidR="00AD06B6" w:rsidRPr="00A732FF">
        <w:rPr>
          <w:i/>
        </w:rPr>
        <w:t>Martha M. </w:t>
      </w:r>
      <w:proofErr w:type="spellStart"/>
      <w:r w:rsidRPr="00A732FF">
        <w:rPr>
          <w:i/>
        </w:rPr>
        <w:t>Devlin</w:t>
      </w:r>
      <w:proofErr w:type="spellEnd"/>
      <w:r w:rsidRPr="00FD4E92">
        <w:t>,</w:t>
      </w:r>
      <w:r w:rsidRPr="00A732FF">
        <w:rPr>
          <w:i/>
        </w:rPr>
        <w:t xml:space="preserve"> </w:t>
      </w:r>
      <w:proofErr w:type="gramStart"/>
      <w:r w:rsidR="001F0546" w:rsidRPr="00A732FF">
        <w:rPr>
          <w:i/>
        </w:rPr>
        <w:t>c</w:t>
      </w:r>
      <w:r w:rsidRPr="00A732FF">
        <w:rPr>
          <w:i/>
        </w:rPr>
        <w:t>.</w:t>
      </w:r>
      <w:r w:rsidR="001F0546" w:rsidRPr="00A732FF">
        <w:rPr>
          <w:i/>
        </w:rPr>
        <w:t>r</w:t>
      </w:r>
      <w:r w:rsidRPr="00A732FF">
        <w:rPr>
          <w:i/>
        </w:rPr>
        <w:t>.</w:t>
      </w:r>
      <w:r w:rsidRPr="00A732FF">
        <w:t>,</w:t>
      </w:r>
      <w:proofErr w:type="gramEnd"/>
      <w:r w:rsidRPr="00A732FF">
        <w:t xml:space="preserve"> pour l</w:t>
      </w:r>
      <w:r w:rsidR="001F0546" w:rsidRPr="00A732FF">
        <w:t>’</w:t>
      </w:r>
      <w:r w:rsidRPr="00A732FF">
        <w:t>intimée.</w:t>
      </w:r>
    </w:p>
    <w:p w:rsidR="00BB461A" w:rsidRPr="00CF4D5E" w:rsidRDefault="005C7EA6" w:rsidP="005C7EA6">
      <w:pPr>
        <w:pStyle w:val="ParaNoNdepar-AltN"/>
        <w:numPr>
          <w:ilvl w:val="0"/>
          <w:numId w:val="0"/>
        </w:numPr>
        <w:tabs>
          <w:tab w:val="left" w:pos="1166"/>
        </w:tabs>
        <w:rPr>
          <w:lang w:val="fr-CA"/>
        </w:rPr>
      </w:pPr>
      <w:r>
        <w:rPr>
          <w:lang w:val="fr-CA"/>
        </w:rPr>
        <w:tab/>
      </w:r>
      <w:r w:rsidR="00CF4D5E" w:rsidRPr="00CF4D5E">
        <w:rPr>
          <w:lang w:val="fr-CA"/>
        </w:rPr>
        <w:t xml:space="preserve">Version française du jugement de la juge en chef </w:t>
      </w:r>
      <w:proofErr w:type="spellStart"/>
      <w:r w:rsidR="00CF4D5E" w:rsidRPr="00CF4D5E">
        <w:rPr>
          <w:lang w:val="fr-CA"/>
        </w:rPr>
        <w:t>McLachlin</w:t>
      </w:r>
      <w:proofErr w:type="spellEnd"/>
      <w:r w:rsidR="00CF4D5E" w:rsidRPr="00CF4D5E">
        <w:rPr>
          <w:lang w:val="fr-CA"/>
        </w:rPr>
        <w:t xml:space="preserve"> et des juges Deschamps, </w:t>
      </w:r>
      <w:proofErr w:type="spellStart"/>
      <w:r w:rsidR="00CF4D5E" w:rsidRPr="00CF4D5E">
        <w:rPr>
          <w:lang w:val="fr-CA"/>
        </w:rPr>
        <w:t>Rothstein</w:t>
      </w:r>
      <w:proofErr w:type="spellEnd"/>
      <w:r w:rsidR="00CF4D5E" w:rsidRPr="00CF4D5E">
        <w:rPr>
          <w:lang w:val="fr-CA"/>
        </w:rPr>
        <w:t xml:space="preserve">, Cromwell, </w:t>
      </w:r>
      <w:proofErr w:type="spellStart"/>
      <w:r w:rsidR="00CF4D5E" w:rsidRPr="00CF4D5E">
        <w:rPr>
          <w:lang w:val="fr-CA"/>
        </w:rPr>
        <w:t>Moldaver</w:t>
      </w:r>
      <w:proofErr w:type="spellEnd"/>
      <w:r w:rsidR="00CF4D5E" w:rsidRPr="00CF4D5E">
        <w:rPr>
          <w:lang w:val="fr-CA"/>
        </w:rPr>
        <w:t xml:space="preserve"> et </w:t>
      </w:r>
      <w:proofErr w:type="spellStart"/>
      <w:r w:rsidR="00CF4D5E" w:rsidRPr="00CF4D5E">
        <w:rPr>
          <w:lang w:val="fr-CA"/>
        </w:rPr>
        <w:t>Karakatsanis</w:t>
      </w:r>
      <w:proofErr w:type="spellEnd"/>
      <w:r w:rsidR="00BB461A" w:rsidRPr="00CF4D5E">
        <w:rPr>
          <w:lang w:val="fr-CA"/>
        </w:rPr>
        <w:t xml:space="preserve"> </w:t>
      </w:r>
      <w:r w:rsidR="00CF4D5E" w:rsidRPr="00CF4D5E">
        <w:rPr>
          <w:lang w:val="fr-CA"/>
        </w:rPr>
        <w:t>rendu par</w:t>
      </w:r>
    </w:p>
    <w:p w:rsidR="00BB461A" w:rsidRPr="00F22D02" w:rsidRDefault="00CF4D5E" w:rsidP="00BB461A">
      <w:pPr>
        <w:pStyle w:val="ParaNoNdepar-AltN"/>
        <w:tabs>
          <w:tab w:val="clear" w:pos="1152"/>
          <w:tab w:val="left" w:pos="1166"/>
        </w:tabs>
        <w:rPr>
          <w:lang w:val="fr-CA"/>
        </w:rPr>
      </w:pPr>
      <w:r w:rsidRPr="00CF4D5E">
        <w:rPr>
          <w:smallCaps/>
          <w:lang w:val="fr-CA"/>
        </w:rPr>
        <w:t>La juge Deschamps</w:t>
      </w:r>
      <w:r w:rsidRPr="00F22D02">
        <w:rPr>
          <w:lang w:val="fr-CA"/>
        </w:rPr>
        <w:t xml:space="preserve"> — </w:t>
      </w:r>
      <w:r w:rsidR="00BB461A" w:rsidRPr="00F22D02">
        <w:rPr>
          <w:lang w:val="fr-CA"/>
        </w:rPr>
        <w:t xml:space="preserve">Les présents pourvois portent sur l’application de la doctrine de la </w:t>
      </w:r>
      <w:proofErr w:type="spellStart"/>
      <w:r w:rsidR="00BB461A" w:rsidRPr="00F22D02">
        <w:rPr>
          <w:lang w:val="fr-CA"/>
        </w:rPr>
        <w:t>préclusion</w:t>
      </w:r>
      <w:proofErr w:type="spellEnd"/>
      <w:r w:rsidR="00BB461A" w:rsidRPr="00F22D02">
        <w:rPr>
          <w:lang w:val="fr-CA"/>
        </w:rPr>
        <w:t xml:space="preserve"> découlant d’une question déjà tranchée, telle que l’a clarifiée la Cour dans </w:t>
      </w:r>
      <w:r w:rsidR="00BB461A" w:rsidRPr="00F22D02">
        <w:rPr>
          <w:i/>
          <w:lang w:val="fr-CA"/>
        </w:rPr>
        <w:t xml:space="preserve">R. c. </w:t>
      </w:r>
      <w:proofErr w:type="spellStart"/>
      <w:r w:rsidR="00BB461A" w:rsidRPr="00F22D02">
        <w:rPr>
          <w:i/>
          <w:lang w:val="fr-CA"/>
        </w:rPr>
        <w:t>Mahalingan</w:t>
      </w:r>
      <w:proofErr w:type="spellEnd"/>
      <w:r w:rsidR="00BB461A" w:rsidRPr="00F22D02">
        <w:rPr>
          <w:lang w:val="fr-CA"/>
        </w:rPr>
        <w:t xml:space="preserve">, 2008 CSC 63, [2008] 3 R.C.S. 316, et ce, dans le contexte d’un procès devant jury qui soulève plus d’une question.  La question précise en litige dans le pourvoi peut être formulée comme suit : le ministère public </w:t>
      </w:r>
      <w:proofErr w:type="spellStart"/>
      <w:r w:rsidR="00BB461A" w:rsidRPr="00F22D02">
        <w:rPr>
          <w:lang w:val="fr-CA"/>
        </w:rPr>
        <w:t>est</w:t>
      </w:r>
      <w:r w:rsidR="00BB461A" w:rsidRPr="00F22D02">
        <w:rPr>
          <w:lang w:val="fr-CA"/>
        </w:rPr>
        <w:noBreakHyphen/>
        <w:t>il</w:t>
      </w:r>
      <w:proofErr w:type="spellEnd"/>
      <w:r w:rsidR="00BB461A" w:rsidRPr="00F22D02">
        <w:rPr>
          <w:lang w:val="fr-CA"/>
        </w:rPr>
        <w:t xml:space="preserve"> </w:t>
      </w:r>
      <w:proofErr w:type="spellStart"/>
      <w:r w:rsidR="00BB461A" w:rsidRPr="00F22D02">
        <w:rPr>
          <w:lang w:val="fr-CA"/>
        </w:rPr>
        <w:t>préclus</w:t>
      </w:r>
      <w:proofErr w:type="spellEnd"/>
      <w:r w:rsidR="00BB461A" w:rsidRPr="00F22D02">
        <w:rPr>
          <w:lang w:val="fr-CA"/>
        </w:rPr>
        <w:t xml:space="preserve"> de présenter des éléments de preuve visant à établir que l’East End </w:t>
      </w:r>
      <w:proofErr w:type="spellStart"/>
      <w:r w:rsidR="00BB461A" w:rsidRPr="00F22D02">
        <w:rPr>
          <w:lang w:val="fr-CA"/>
        </w:rPr>
        <w:t>Chapter</w:t>
      </w:r>
      <w:proofErr w:type="spellEnd"/>
      <w:r w:rsidR="00BB461A" w:rsidRPr="00F22D02">
        <w:rPr>
          <w:lang w:val="fr-CA"/>
        </w:rPr>
        <w:t xml:space="preserve"> des </w:t>
      </w:r>
      <w:proofErr w:type="spellStart"/>
      <w:r w:rsidR="00BB461A" w:rsidRPr="00F22D02">
        <w:rPr>
          <w:lang w:val="fr-CA"/>
        </w:rPr>
        <w:t>Hells</w:t>
      </w:r>
      <w:proofErr w:type="spellEnd"/>
      <w:r w:rsidR="00BB461A" w:rsidRPr="00F22D02">
        <w:rPr>
          <w:lang w:val="fr-CA"/>
        </w:rPr>
        <w:t xml:space="preserve"> </w:t>
      </w:r>
      <w:proofErr w:type="spellStart"/>
      <w:r w:rsidR="00BB461A" w:rsidRPr="00F22D02">
        <w:rPr>
          <w:lang w:val="fr-CA"/>
        </w:rPr>
        <w:t>Angels</w:t>
      </w:r>
      <w:proofErr w:type="spellEnd"/>
      <w:r w:rsidR="00BB461A" w:rsidRPr="00F22D02">
        <w:rPr>
          <w:lang w:val="fr-CA"/>
        </w:rPr>
        <w:t xml:space="preserve"> (« </w:t>
      </w:r>
      <w:proofErr w:type="spellStart"/>
      <w:r w:rsidR="00BB461A" w:rsidRPr="00F22D02">
        <w:rPr>
          <w:lang w:val="fr-CA"/>
        </w:rPr>
        <w:t>Hells</w:t>
      </w:r>
      <w:proofErr w:type="spellEnd"/>
      <w:r w:rsidR="00BB461A" w:rsidRPr="00F22D02">
        <w:rPr>
          <w:lang w:val="fr-CA"/>
        </w:rPr>
        <w:t xml:space="preserve"> </w:t>
      </w:r>
      <w:proofErr w:type="spellStart"/>
      <w:r w:rsidR="00BB461A" w:rsidRPr="00F22D02">
        <w:rPr>
          <w:lang w:val="fr-CA"/>
        </w:rPr>
        <w:t>Angels</w:t>
      </w:r>
      <w:proofErr w:type="spellEnd"/>
      <w:r w:rsidR="00BB461A" w:rsidRPr="00F22D02">
        <w:rPr>
          <w:lang w:val="fr-CA"/>
        </w:rPr>
        <w:t> ») est une organisation criminelle, parce que cette question a déjà reçu une réponse défavorable au ministère public dans un procès antérieur tenu devant un jury? Pour les motifs qui suivent, je suis d’avis d’y répondre par la négative et de rejeter les pourvois.</w:t>
      </w:r>
    </w:p>
    <w:p w:rsidR="00BB461A" w:rsidRPr="00F22D02" w:rsidRDefault="00BB461A" w:rsidP="00BB461A">
      <w:pPr>
        <w:pStyle w:val="TitleTitre-AltT"/>
        <w:rPr>
          <w:lang w:val="fr-CA"/>
        </w:rPr>
      </w:pPr>
      <w:r w:rsidRPr="00F22D02">
        <w:rPr>
          <w:lang w:val="fr-CA"/>
        </w:rPr>
        <w:lastRenderedPageBreak/>
        <w:t>I.</w:t>
      </w:r>
      <w:r w:rsidRPr="00F22D02">
        <w:rPr>
          <w:lang w:val="fr-CA"/>
        </w:rPr>
        <w:tab/>
      </w:r>
      <w:r w:rsidRPr="00F22D02">
        <w:rPr>
          <w:u w:val="single"/>
          <w:lang w:val="fr-CA"/>
        </w:rPr>
        <w:t>Faits et historique judiciaire</w:t>
      </w:r>
      <w:r w:rsidRPr="00F22D02">
        <w:rPr>
          <w:lang w:val="fr-CA"/>
        </w:rPr>
        <w:t xml:space="preserve"> </w:t>
      </w:r>
    </w:p>
    <w:p w:rsidR="00BB461A" w:rsidRPr="00F22D02" w:rsidRDefault="00BB461A" w:rsidP="00BB461A">
      <w:pPr>
        <w:pStyle w:val="ParaNoNdepar-AltN"/>
        <w:tabs>
          <w:tab w:val="clear" w:pos="1152"/>
          <w:tab w:val="left" w:pos="1166"/>
        </w:tabs>
        <w:rPr>
          <w:lang w:val="fr-CA"/>
        </w:rPr>
      </w:pPr>
      <w:r w:rsidRPr="00F22D02">
        <w:rPr>
          <w:lang w:val="fr-CA"/>
        </w:rPr>
        <w:t xml:space="preserve">Une enquête à multiples volets, échelonnée sur plusieurs années, que la Gendarmerie royale du Canada a menée sur les activités des </w:t>
      </w:r>
      <w:proofErr w:type="spellStart"/>
      <w:r w:rsidRPr="00F22D02">
        <w:rPr>
          <w:lang w:val="fr-CA"/>
        </w:rPr>
        <w:t>Hells</w:t>
      </w:r>
      <w:proofErr w:type="spellEnd"/>
      <w:r w:rsidRPr="00F22D02">
        <w:rPr>
          <w:lang w:val="fr-CA"/>
        </w:rPr>
        <w:t xml:space="preserve"> </w:t>
      </w:r>
      <w:proofErr w:type="spellStart"/>
      <w:r w:rsidRPr="00F22D02">
        <w:rPr>
          <w:lang w:val="fr-CA"/>
        </w:rPr>
        <w:t>Angels</w:t>
      </w:r>
      <w:proofErr w:type="spellEnd"/>
      <w:r w:rsidRPr="00F22D02">
        <w:rPr>
          <w:lang w:val="fr-CA"/>
        </w:rPr>
        <w:t xml:space="preserve"> a permis de mettre au jour un vaste éventail d’actes susceptibles de constituer des infractions criminelles.  Les poursuites relatives à certaines des infractions relevaient du ministère public provincial, alors que d’autres relevaient du ministère public fédéral.</w:t>
      </w:r>
    </w:p>
    <w:p w:rsidR="00BB461A" w:rsidRPr="00F22D02" w:rsidRDefault="00BB461A" w:rsidP="00BB461A">
      <w:pPr>
        <w:pStyle w:val="ParaNoNdepar-AltN"/>
        <w:tabs>
          <w:tab w:val="clear" w:pos="1152"/>
          <w:tab w:val="left" w:pos="1166"/>
        </w:tabs>
        <w:rPr>
          <w:lang w:val="fr-CA"/>
        </w:rPr>
      </w:pPr>
      <w:r w:rsidRPr="00F22D02">
        <w:rPr>
          <w:lang w:val="fr-CA"/>
        </w:rPr>
        <w:t xml:space="preserve">Le procès relatif aux poursuites provinciales a eu lieu en 2008, en Cour suprême de la </w:t>
      </w:r>
      <w:proofErr w:type="spellStart"/>
      <w:r w:rsidRPr="00F22D02">
        <w:rPr>
          <w:lang w:val="fr-CA"/>
        </w:rPr>
        <w:t>Colombie</w:t>
      </w:r>
      <w:r w:rsidRPr="00F22D02">
        <w:rPr>
          <w:lang w:val="fr-CA"/>
        </w:rPr>
        <w:noBreakHyphen/>
        <w:t>Britannique</w:t>
      </w:r>
      <w:proofErr w:type="spellEnd"/>
      <w:r w:rsidRPr="00F22D02">
        <w:rPr>
          <w:lang w:val="fr-CA"/>
        </w:rPr>
        <w:t xml:space="preserve">, devant le juge Romilly et un jury.  Les appelants, John Virgil Punko et Randall Richard </w:t>
      </w:r>
      <w:proofErr w:type="spellStart"/>
      <w:r w:rsidRPr="00F22D02">
        <w:rPr>
          <w:lang w:val="fr-CA"/>
        </w:rPr>
        <w:t>Potts</w:t>
      </w:r>
      <w:proofErr w:type="spellEnd"/>
      <w:r w:rsidRPr="00F22D02">
        <w:rPr>
          <w:lang w:val="fr-CA"/>
        </w:rPr>
        <w:t xml:space="preserve">, et deux autres personnes, Jean Joseph Violette et Ronaldo </w:t>
      </w:r>
      <w:proofErr w:type="spellStart"/>
      <w:r w:rsidRPr="00F22D02">
        <w:rPr>
          <w:lang w:val="fr-CA"/>
        </w:rPr>
        <w:t>Lising</w:t>
      </w:r>
      <w:proofErr w:type="spellEnd"/>
      <w:r w:rsidRPr="00F22D02">
        <w:rPr>
          <w:lang w:val="fr-CA"/>
        </w:rPr>
        <w:t xml:space="preserve">, ont été jugés ensemble pour diverses accusations d’extorsion, de profération de menaces, d’incitation à commettre un méfait et de possession illégale de substances explosives et d’armes à feu.  On leur reprochait d’avoir commis certaines de ces infractions au profit ou sous la direction d’une organisation criminelle, en l’occurrence les </w:t>
      </w:r>
      <w:proofErr w:type="spellStart"/>
      <w:r w:rsidRPr="00F22D02">
        <w:rPr>
          <w:lang w:val="fr-CA"/>
        </w:rPr>
        <w:t>Hells</w:t>
      </w:r>
      <w:proofErr w:type="spellEnd"/>
      <w:r w:rsidRPr="00F22D02">
        <w:rPr>
          <w:lang w:val="fr-CA"/>
        </w:rPr>
        <w:t> </w:t>
      </w:r>
      <w:proofErr w:type="spellStart"/>
      <w:r w:rsidRPr="00F22D02">
        <w:rPr>
          <w:lang w:val="fr-CA"/>
        </w:rPr>
        <w:t>Angels</w:t>
      </w:r>
      <w:proofErr w:type="spellEnd"/>
      <w:r w:rsidRPr="00F22D02">
        <w:rPr>
          <w:lang w:val="fr-CA"/>
        </w:rPr>
        <w:t xml:space="preserve">, ou en association avec elle.  En juillet 2009, à l’issue d’un procès de dix mois, un jury a déclaré chacun des quatre accusés </w:t>
      </w:r>
      <w:proofErr w:type="gramStart"/>
      <w:r w:rsidRPr="00F22D02">
        <w:rPr>
          <w:lang w:val="fr-CA"/>
        </w:rPr>
        <w:t>coupable</w:t>
      </w:r>
      <w:proofErr w:type="gramEnd"/>
      <w:r w:rsidRPr="00F22D02">
        <w:rPr>
          <w:lang w:val="fr-CA"/>
        </w:rPr>
        <w:t xml:space="preserve"> de plusieurs infractions; il les a cependant tous acquittés des chefs d’accusation d’infractions d’organisation criminelle.  Le juge Romilly a exposé ses motifs de détermination des peines en deux temps, d’abord à l’égard de MM. </w:t>
      </w:r>
      <w:proofErr w:type="spellStart"/>
      <w:r w:rsidRPr="00F22D02">
        <w:rPr>
          <w:lang w:val="fr-CA"/>
        </w:rPr>
        <w:t>Punko</w:t>
      </w:r>
      <w:proofErr w:type="spellEnd"/>
      <w:r w:rsidRPr="00F22D02">
        <w:rPr>
          <w:lang w:val="fr-CA"/>
        </w:rPr>
        <w:t xml:space="preserve">, </w:t>
      </w:r>
      <w:proofErr w:type="spellStart"/>
      <w:r w:rsidRPr="00F22D02">
        <w:rPr>
          <w:lang w:val="fr-CA"/>
        </w:rPr>
        <w:t>Potts</w:t>
      </w:r>
      <w:proofErr w:type="spellEnd"/>
      <w:r w:rsidRPr="00F22D02">
        <w:rPr>
          <w:lang w:val="fr-CA"/>
        </w:rPr>
        <w:t xml:space="preserve"> et </w:t>
      </w:r>
      <w:proofErr w:type="spellStart"/>
      <w:r w:rsidRPr="00F22D02">
        <w:rPr>
          <w:lang w:val="fr-CA"/>
        </w:rPr>
        <w:t>Lising</w:t>
      </w:r>
      <w:proofErr w:type="spellEnd"/>
      <w:r w:rsidRPr="00F22D02">
        <w:rPr>
          <w:lang w:val="fr-CA"/>
        </w:rPr>
        <w:t xml:space="preserve"> (</w:t>
      </w:r>
      <w:r w:rsidRPr="00F22D02">
        <w:rPr>
          <w:i/>
          <w:lang w:val="fr-CA"/>
        </w:rPr>
        <w:t>R. c. Violette</w:t>
      </w:r>
      <w:r w:rsidRPr="00F22D02">
        <w:rPr>
          <w:lang w:val="fr-CA"/>
        </w:rPr>
        <w:t xml:space="preserve">, 2009 BCSC 1025, </w:t>
      </w:r>
      <w:r w:rsidRPr="00F22D02">
        <w:rPr>
          <w:lang w:val="fr-FR"/>
        </w:rPr>
        <w:t>[2009] B.C.J. No. 1940 (QL)), puis à l’égard de M. Violette (</w:t>
      </w:r>
      <w:r w:rsidRPr="00F22D02">
        <w:rPr>
          <w:i/>
          <w:lang w:val="fr-CA"/>
        </w:rPr>
        <w:t>R. c. Violette</w:t>
      </w:r>
      <w:r w:rsidRPr="00F22D02">
        <w:rPr>
          <w:lang w:val="fr-CA"/>
        </w:rPr>
        <w:t>, 2009 BCSC 1557 (</w:t>
      </w:r>
      <w:proofErr w:type="spellStart"/>
      <w:r w:rsidRPr="00F22D02">
        <w:rPr>
          <w:lang w:val="fr-CA"/>
        </w:rPr>
        <w:t>CanLII</w:t>
      </w:r>
      <w:proofErr w:type="spellEnd"/>
      <w:r w:rsidRPr="00F22D02">
        <w:rPr>
          <w:lang w:val="fr-CA"/>
        </w:rPr>
        <w:t>)</w:t>
      </w:r>
      <w:r w:rsidR="00922F7A">
        <w:rPr>
          <w:lang w:val="fr-CA"/>
        </w:rPr>
        <w:t>).</w:t>
      </w:r>
    </w:p>
    <w:p w:rsidR="00BB461A" w:rsidRPr="00F22D02" w:rsidRDefault="00BB461A" w:rsidP="00BB461A">
      <w:pPr>
        <w:pStyle w:val="ParaNoNdepar-AltN"/>
        <w:tabs>
          <w:tab w:val="clear" w:pos="1152"/>
          <w:tab w:val="left" w:pos="1166"/>
        </w:tabs>
        <w:rPr>
          <w:lang w:val="fr-CA"/>
        </w:rPr>
      </w:pPr>
      <w:r w:rsidRPr="00F22D02">
        <w:rPr>
          <w:lang w:val="fr-CA"/>
        </w:rPr>
        <w:lastRenderedPageBreak/>
        <w:t>Une poursuite fédérale avait été autorisée dans l’intervalle.  Les appelants ont été inculpés individuellement de diverses infractions liées aux drogues et on leur reprochait de nouveau d’avoir commis les infractions décrites dans certains des chefs d’accusation — production et trafic d’une substance désignée (</w:t>
      </w:r>
      <w:proofErr w:type="spellStart"/>
      <w:r w:rsidRPr="00F22D02">
        <w:rPr>
          <w:lang w:val="fr-CA"/>
        </w:rPr>
        <w:t>méthamphétamine</w:t>
      </w:r>
      <w:proofErr w:type="spellEnd"/>
      <w:r w:rsidRPr="00F22D02">
        <w:rPr>
          <w:lang w:val="fr-CA"/>
        </w:rPr>
        <w:t xml:space="preserve">) </w:t>
      </w:r>
      <w:r w:rsidRPr="00F22D02">
        <w:rPr>
          <w:rFonts w:cs="Times New Roman"/>
          <w:lang w:val="fr-CA"/>
        </w:rPr>
        <w:t xml:space="preserve">— </w:t>
      </w:r>
      <w:r w:rsidRPr="00F22D02">
        <w:rPr>
          <w:lang w:val="fr-CA"/>
        </w:rPr>
        <w:t xml:space="preserve">au profit ou sous la direction d’une organisation criminelle (les </w:t>
      </w:r>
      <w:proofErr w:type="spellStart"/>
      <w:r w:rsidRPr="00F22D02">
        <w:rPr>
          <w:lang w:val="fr-CA"/>
        </w:rPr>
        <w:t>Hells</w:t>
      </w:r>
      <w:proofErr w:type="spellEnd"/>
      <w:r w:rsidRPr="00F22D02">
        <w:rPr>
          <w:lang w:val="fr-CA"/>
        </w:rPr>
        <w:t> </w:t>
      </w:r>
      <w:proofErr w:type="spellStart"/>
      <w:r w:rsidRPr="00F22D02">
        <w:rPr>
          <w:lang w:val="fr-CA"/>
        </w:rPr>
        <w:t>Angels</w:t>
      </w:r>
      <w:proofErr w:type="spellEnd"/>
      <w:r w:rsidRPr="00F22D02">
        <w:rPr>
          <w:lang w:val="fr-CA"/>
        </w:rPr>
        <w:t xml:space="preserve">), ou en association avec elle.  L’affaire avait été inscrite au rôle et le procès concernant les infractions liées aux drogues devait se dérouler devant le juge </w:t>
      </w:r>
      <w:proofErr w:type="spellStart"/>
      <w:r w:rsidRPr="00F22D02">
        <w:rPr>
          <w:lang w:val="fr-CA"/>
        </w:rPr>
        <w:t>Leask</w:t>
      </w:r>
      <w:proofErr w:type="spellEnd"/>
      <w:r w:rsidRPr="00F22D02">
        <w:rPr>
          <w:lang w:val="fr-CA"/>
        </w:rPr>
        <w:t xml:space="preserve">, de la Cour suprême de la </w:t>
      </w:r>
      <w:proofErr w:type="spellStart"/>
      <w:r w:rsidRPr="00F22D02">
        <w:rPr>
          <w:lang w:val="fr-CA"/>
        </w:rPr>
        <w:t>Colombie</w:t>
      </w:r>
      <w:r w:rsidRPr="00F22D02">
        <w:rPr>
          <w:lang w:val="fr-CA"/>
        </w:rPr>
        <w:noBreakHyphen/>
        <w:t>Britannique</w:t>
      </w:r>
      <w:proofErr w:type="spellEnd"/>
      <w:r w:rsidRPr="00F22D02">
        <w:rPr>
          <w:lang w:val="fr-CA"/>
        </w:rPr>
        <w:t xml:space="preserve">, sans jury.  Le 26 novembre 2009, les appelants ont présenté au juge </w:t>
      </w:r>
      <w:proofErr w:type="spellStart"/>
      <w:r w:rsidRPr="00F22D02">
        <w:rPr>
          <w:lang w:val="fr-CA"/>
        </w:rPr>
        <w:t>Leask</w:t>
      </w:r>
      <w:proofErr w:type="spellEnd"/>
      <w:r w:rsidRPr="00F22D02">
        <w:rPr>
          <w:lang w:val="fr-CA"/>
        </w:rPr>
        <w:t xml:space="preserve">, avant le procès, des requêtes dans lesquelles ils soutenaient que le ministère public était </w:t>
      </w:r>
      <w:proofErr w:type="spellStart"/>
      <w:r w:rsidRPr="00F22D02">
        <w:rPr>
          <w:lang w:val="fr-CA"/>
        </w:rPr>
        <w:t>préclus</w:t>
      </w:r>
      <w:proofErr w:type="spellEnd"/>
      <w:r w:rsidRPr="00F22D02">
        <w:rPr>
          <w:lang w:val="fr-CA"/>
        </w:rPr>
        <w:t xml:space="preserve"> de présenter des éléments de preuve pour démontrer que les </w:t>
      </w:r>
      <w:proofErr w:type="spellStart"/>
      <w:r w:rsidRPr="00F22D02">
        <w:rPr>
          <w:lang w:val="fr-CA"/>
        </w:rPr>
        <w:t>Hells</w:t>
      </w:r>
      <w:proofErr w:type="spellEnd"/>
      <w:r w:rsidRPr="00F22D02">
        <w:rPr>
          <w:lang w:val="fr-CA"/>
        </w:rPr>
        <w:t xml:space="preserve"> </w:t>
      </w:r>
      <w:proofErr w:type="spellStart"/>
      <w:r w:rsidRPr="00F22D02">
        <w:rPr>
          <w:lang w:val="fr-CA"/>
        </w:rPr>
        <w:t>Angels</w:t>
      </w:r>
      <w:proofErr w:type="spellEnd"/>
      <w:r w:rsidRPr="00F22D02">
        <w:rPr>
          <w:lang w:val="fr-CA"/>
        </w:rPr>
        <w:t xml:space="preserve"> étaient une organisation criminelle, parce que cette question avait déjà été tranchée par le jury dans le cadre de la poursuite intentée par le ministère public provincial.</w:t>
      </w:r>
    </w:p>
    <w:p w:rsidR="00BB461A" w:rsidRPr="00F22D02" w:rsidRDefault="00BB461A" w:rsidP="00BB461A">
      <w:pPr>
        <w:pStyle w:val="ParaNoNdepar-AltN"/>
        <w:tabs>
          <w:tab w:val="clear" w:pos="1152"/>
          <w:tab w:val="left" w:pos="1166"/>
        </w:tabs>
        <w:rPr>
          <w:lang w:val="fr-CA"/>
        </w:rPr>
      </w:pPr>
      <w:r w:rsidRPr="00F22D02">
        <w:rPr>
          <w:lang w:val="fr-CA"/>
        </w:rPr>
        <w:t xml:space="preserve">Le juge </w:t>
      </w:r>
      <w:proofErr w:type="spellStart"/>
      <w:r w:rsidRPr="00F22D02">
        <w:rPr>
          <w:lang w:val="fr-CA"/>
        </w:rPr>
        <w:t>Leask</w:t>
      </w:r>
      <w:proofErr w:type="spellEnd"/>
      <w:r w:rsidRPr="00F22D02">
        <w:rPr>
          <w:lang w:val="fr-CA"/>
        </w:rPr>
        <w:t xml:space="preserve"> a fait droit aux requêtes des appelants (2010 BCSC 70, 251 C.C.C. (3d) 232).  Il a conclu que la norme devant servir à déterminer si une question a déjà été tranchée dans une instance antérieure pour l’application de la </w:t>
      </w:r>
      <w:proofErr w:type="spellStart"/>
      <w:r w:rsidRPr="00F22D02">
        <w:rPr>
          <w:lang w:val="fr-CA"/>
        </w:rPr>
        <w:t>préclusion</w:t>
      </w:r>
      <w:proofErr w:type="spellEnd"/>
      <w:r w:rsidRPr="00F22D02">
        <w:rPr>
          <w:lang w:val="fr-CA"/>
        </w:rPr>
        <w:t xml:space="preserve"> est celle de la </w:t>
      </w:r>
      <w:r w:rsidRPr="00F22D02">
        <w:rPr>
          <w:rFonts w:cs="Times New Roman"/>
          <w:lang w:val="fr-CA"/>
        </w:rPr>
        <w:t>[</w:t>
      </w:r>
      <w:r w:rsidRPr="00F22D02">
        <w:rPr>
          <w:rFonts w:cs="Times New Roman"/>
          <w:smallCaps/>
          <w:lang w:val="fr-CA"/>
        </w:rPr>
        <w:t>traduction</w:t>
      </w:r>
      <w:r w:rsidRPr="00F22D02">
        <w:rPr>
          <w:rFonts w:cs="Times New Roman"/>
          <w:lang w:val="fr-CA"/>
        </w:rPr>
        <w:t>]</w:t>
      </w:r>
      <w:r w:rsidRPr="00F22D02">
        <w:rPr>
          <w:lang w:val="fr-CA"/>
        </w:rPr>
        <w:t xml:space="preserve"> « prépondérance des probabilités </w:t>
      </w:r>
      <w:r w:rsidRPr="00F22D02">
        <w:rPr>
          <w:rFonts w:cs="Times New Roman"/>
          <w:lang w:val="fr-CA"/>
        </w:rPr>
        <w:t>» (</w:t>
      </w:r>
      <w:r w:rsidRPr="00F22D02">
        <w:rPr>
          <w:lang w:val="fr-CA"/>
        </w:rPr>
        <w:t xml:space="preserve">par. 28).  Pour décider s’il y avait </w:t>
      </w:r>
      <w:proofErr w:type="spellStart"/>
      <w:r w:rsidRPr="00F22D02">
        <w:rPr>
          <w:lang w:val="fr-CA"/>
        </w:rPr>
        <w:t>préclusion</w:t>
      </w:r>
      <w:proofErr w:type="spellEnd"/>
      <w:r w:rsidRPr="00F22D02">
        <w:rPr>
          <w:lang w:val="fr-CA"/>
        </w:rPr>
        <w:t xml:space="preserve"> découlant d’une question déjà tranchée en l’espèce, le juge </w:t>
      </w:r>
      <w:proofErr w:type="spellStart"/>
      <w:r w:rsidRPr="00F22D02">
        <w:rPr>
          <w:lang w:val="fr-CA"/>
        </w:rPr>
        <w:t>Leask</w:t>
      </w:r>
      <w:proofErr w:type="spellEnd"/>
      <w:r w:rsidRPr="00F22D02">
        <w:rPr>
          <w:lang w:val="fr-CA"/>
        </w:rPr>
        <w:t xml:space="preserve"> a examiné les circonstances générales de l’affaire.  Premièrement, il a tenu compte du fait que le jury avait terminé ses délibérations peu de temps après avoir posé une question au juge Romilly au sujet de la définition d’une organisation criminelle (par. 43).  Deuxièmement, le juge </w:t>
      </w:r>
      <w:proofErr w:type="spellStart"/>
      <w:r w:rsidRPr="00F22D02">
        <w:rPr>
          <w:lang w:val="fr-CA"/>
        </w:rPr>
        <w:t>Leask</w:t>
      </w:r>
      <w:proofErr w:type="spellEnd"/>
      <w:r w:rsidRPr="00F22D02">
        <w:rPr>
          <w:lang w:val="fr-CA"/>
        </w:rPr>
        <w:t xml:space="preserve"> a souligné que, dans ses motifs de </w:t>
      </w:r>
      <w:r w:rsidRPr="00F22D02">
        <w:rPr>
          <w:lang w:val="fr-CA"/>
        </w:rPr>
        <w:lastRenderedPageBreak/>
        <w:t>détermination des peines, le juge Romilly avait conclu que M. </w:t>
      </w:r>
      <w:proofErr w:type="spellStart"/>
      <w:r w:rsidRPr="00F22D02">
        <w:rPr>
          <w:lang w:val="fr-CA"/>
        </w:rPr>
        <w:t>Potts</w:t>
      </w:r>
      <w:proofErr w:type="spellEnd"/>
      <w:r w:rsidRPr="00F22D02">
        <w:rPr>
          <w:lang w:val="fr-CA"/>
        </w:rPr>
        <w:t xml:space="preserve"> avait détenu des armes pour le compte des </w:t>
      </w:r>
      <w:proofErr w:type="spellStart"/>
      <w:r w:rsidRPr="00F22D02">
        <w:rPr>
          <w:lang w:val="fr-CA"/>
        </w:rPr>
        <w:t>Hells</w:t>
      </w:r>
      <w:proofErr w:type="spellEnd"/>
      <w:r w:rsidRPr="00F22D02">
        <w:rPr>
          <w:lang w:val="fr-CA"/>
        </w:rPr>
        <w:t xml:space="preserve"> </w:t>
      </w:r>
      <w:proofErr w:type="spellStart"/>
      <w:r w:rsidRPr="00F22D02">
        <w:rPr>
          <w:lang w:val="fr-CA"/>
        </w:rPr>
        <w:t>Angels</w:t>
      </w:r>
      <w:proofErr w:type="spellEnd"/>
      <w:r w:rsidRPr="00F22D02">
        <w:rPr>
          <w:lang w:val="fr-CA"/>
        </w:rPr>
        <w:t xml:space="preserve"> (par. 57) et que M. Violette avait agi en leur nom (par. 69).  En ce qui concerne cette deuxième considération, le juge </w:t>
      </w:r>
      <w:proofErr w:type="spellStart"/>
      <w:r w:rsidRPr="00F22D02">
        <w:rPr>
          <w:lang w:val="fr-CA"/>
        </w:rPr>
        <w:t>Leask</w:t>
      </w:r>
      <w:proofErr w:type="spellEnd"/>
      <w:r w:rsidRPr="00F22D02">
        <w:rPr>
          <w:lang w:val="fr-CA"/>
        </w:rPr>
        <w:t xml:space="preserve"> estimait que le juge Romilly avait conclu que le jury avait acquitté MM. </w:t>
      </w:r>
      <w:proofErr w:type="spellStart"/>
      <w:r w:rsidRPr="00F22D02">
        <w:rPr>
          <w:lang w:val="fr-CA"/>
        </w:rPr>
        <w:t>Punko</w:t>
      </w:r>
      <w:proofErr w:type="spellEnd"/>
      <w:r w:rsidRPr="00F22D02">
        <w:rPr>
          <w:lang w:val="fr-CA"/>
        </w:rPr>
        <w:t xml:space="preserve"> et </w:t>
      </w:r>
      <w:proofErr w:type="spellStart"/>
      <w:r w:rsidRPr="00F22D02">
        <w:rPr>
          <w:lang w:val="fr-CA"/>
        </w:rPr>
        <w:t>Potts</w:t>
      </w:r>
      <w:proofErr w:type="spellEnd"/>
      <w:r w:rsidRPr="00F22D02">
        <w:rPr>
          <w:lang w:val="fr-CA"/>
        </w:rPr>
        <w:t xml:space="preserve"> des chefs d’accusation d’infractions d’organisation criminelle parce qu’il n’était pas convaincu que les </w:t>
      </w:r>
      <w:proofErr w:type="spellStart"/>
      <w:r w:rsidRPr="00F22D02">
        <w:rPr>
          <w:lang w:val="fr-CA"/>
        </w:rPr>
        <w:t>Hells</w:t>
      </w:r>
      <w:proofErr w:type="spellEnd"/>
      <w:r w:rsidRPr="00F22D02">
        <w:rPr>
          <w:lang w:val="fr-CA"/>
        </w:rPr>
        <w:t xml:space="preserve"> </w:t>
      </w:r>
      <w:proofErr w:type="spellStart"/>
      <w:r w:rsidRPr="00F22D02">
        <w:rPr>
          <w:lang w:val="fr-CA"/>
        </w:rPr>
        <w:t>Angels</w:t>
      </w:r>
      <w:proofErr w:type="spellEnd"/>
      <w:r w:rsidRPr="00F22D02">
        <w:rPr>
          <w:lang w:val="fr-CA"/>
        </w:rPr>
        <w:t xml:space="preserve"> étaient une organisation criminelle (par. 75).  Le juge </w:t>
      </w:r>
      <w:proofErr w:type="spellStart"/>
      <w:r w:rsidRPr="00F22D02">
        <w:rPr>
          <w:lang w:val="fr-CA"/>
        </w:rPr>
        <w:t>Leask</w:t>
      </w:r>
      <w:proofErr w:type="spellEnd"/>
      <w:r w:rsidRPr="00F22D02">
        <w:rPr>
          <w:lang w:val="fr-CA"/>
        </w:rPr>
        <w:t xml:space="preserve"> a conclu que le ministère public était </w:t>
      </w:r>
      <w:proofErr w:type="spellStart"/>
      <w:r w:rsidRPr="00F22D02">
        <w:rPr>
          <w:lang w:val="fr-CA"/>
        </w:rPr>
        <w:t>préclus</w:t>
      </w:r>
      <w:proofErr w:type="spellEnd"/>
      <w:r w:rsidRPr="00F22D02">
        <w:rPr>
          <w:lang w:val="fr-CA"/>
        </w:rPr>
        <w:t xml:space="preserve"> de présenter, au procès tenu devant lui, des éléments de preuve visant à établir que les </w:t>
      </w:r>
      <w:proofErr w:type="spellStart"/>
      <w:r w:rsidRPr="00F22D02">
        <w:rPr>
          <w:lang w:val="fr-CA"/>
        </w:rPr>
        <w:t>Hells</w:t>
      </w:r>
      <w:proofErr w:type="spellEnd"/>
      <w:r w:rsidRPr="00F22D02">
        <w:rPr>
          <w:lang w:val="fr-CA"/>
        </w:rPr>
        <w:t xml:space="preserve"> </w:t>
      </w:r>
      <w:proofErr w:type="spellStart"/>
      <w:r w:rsidRPr="00F22D02">
        <w:rPr>
          <w:lang w:val="fr-CA"/>
        </w:rPr>
        <w:t>Angels</w:t>
      </w:r>
      <w:proofErr w:type="spellEnd"/>
      <w:r w:rsidRPr="00F22D02">
        <w:rPr>
          <w:lang w:val="fr-CA"/>
        </w:rPr>
        <w:t xml:space="preserve"> étaient une organisation criminelle.  Le ministère public a interjeté appel de cette décision.  </w:t>
      </w:r>
    </w:p>
    <w:p w:rsidR="00BB461A" w:rsidRPr="00F22D02" w:rsidRDefault="00BB461A" w:rsidP="00BB461A">
      <w:pPr>
        <w:pStyle w:val="ParaNoNdepar-AltN"/>
        <w:tabs>
          <w:tab w:val="clear" w:pos="1152"/>
          <w:tab w:val="left" w:pos="1166"/>
        </w:tabs>
        <w:rPr>
          <w:lang w:val="fr-CA"/>
        </w:rPr>
      </w:pPr>
      <w:r w:rsidRPr="00F22D02">
        <w:rPr>
          <w:lang w:val="fr-CA"/>
        </w:rPr>
        <w:t xml:space="preserve">La Cour d’appel a accueilli les appels et ordonné la tenue d’un nouveau procès (2011 BCCA 55, 299 B.C.A.C. 235).  S’exprimant au nom de la cour, la juge </w:t>
      </w:r>
      <w:proofErr w:type="spellStart"/>
      <w:r w:rsidRPr="00F22D02">
        <w:rPr>
          <w:lang w:val="fr-CA"/>
        </w:rPr>
        <w:t>Kirkpatrick</w:t>
      </w:r>
      <w:proofErr w:type="spellEnd"/>
      <w:r w:rsidRPr="00F22D02">
        <w:rPr>
          <w:lang w:val="fr-CA"/>
        </w:rPr>
        <w:t xml:space="preserve"> a conclu que le juge </w:t>
      </w:r>
      <w:proofErr w:type="spellStart"/>
      <w:r w:rsidRPr="00F22D02">
        <w:rPr>
          <w:lang w:val="fr-CA"/>
        </w:rPr>
        <w:t>Leask</w:t>
      </w:r>
      <w:proofErr w:type="spellEnd"/>
      <w:r w:rsidRPr="00F22D02">
        <w:rPr>
          <w:lang w:val="fr-CA"/>
        </w:rPr>
        <w:t xml:space="preserve"> avait eu tort de considérer la question de savoir si une question avait été tranchée dans une instance antérieure sous l’angle du fardeau de la preuve, vu qu’il s’agit en fait </w:t>
      </w:r>
      <w:r w:rsidRPr="00F22D02">
        <w:rPr>
          <w:rFonts w:cs="Times New Roman"/>
          <w:lang w:val="fr-CA"/>
        </w:rPr>
        <w:t>[</w:t>
      </w:r>
      <w:r w:rsidRPr="00F22D02">
        <w:rPr>
          <w:rFonts w:cs="Times New Roman"/>
          <w:smallCaps/>
          <w:lang w:val="fr-CA"/>
        </w:rPr>
        <w:t>traduction</w:t>
      </w:r>
      <w:r w:rsidRPr="00F22D02">
        <w:rPr>
          <w:rFonts w:cs="Times New Roman"/>
          <w:lang w:val="fr-CA"/>
        </w:rPr>
        <w:t>]</w:t>
      </w:r>
      <w:r w:rsidRPr="00F22D02">
        <w:rPr>
          <w:lang w:val="fr-CA"/>
        </w:rPr>
        <w:t xml:space="preserve"> « d’une question de logique et de droit » (par. 82).  Selon la juge </w:t>
      </w:r>
      <w:proofErr w:type="spellStart"/>
      <w:r w:rsidRPr="00F22D02">
        <w:rPr>
          <w:lang w:val="fr-CA"/>
        </w:rPr>
        <w:t>Kirkpatrick</w:t>
      </w:r>
      <w:proofErr w:type="spellEnd"/>
      <w:r w:rsidRPr="00F22D02">
        <w:rPr>
          <w:lang w:val="fr-CA"/>
        </w:rPr>
        <w:t xml:space="preserve">, puisque les jurés étaient </w:t>
      </w:r>
      <w:proofErr w:type="spellStart"/>
      <w:r w:rsidRPr="00F22D02">
        <w:rPr>
          <w:lang w:val="fr-CA"/>
        </w:rPr>
        <w:t>peut</w:t>
      </w:r>
      <w:r w:rsidRPr="00F22D02">
        <w:rPr>
          <w:lang w:val="fr-CA"/>
        </w:rPr>
        <w:noBreakHyphen/>
        <w:t>être</w:t>
      </w:r>
      <w:proofErr w:type="spellEnd"/>
      <w:r w:rsidRPr="00F22D02">
        <w:rPr>
          <w:lang w:val="fr-CA"/>
        </w:rPr>
        <w:t xml:space="preserve"> arrivés individuellement à leur verdict par des chemins différents, on ne pouvait affirmer que la seule explication rationnelle du verdict d’acquittement était que le jury avait conclu que les </w:t>
      </w:r>
      <w:proofErr w:type="spellStart"/>
      <w:r w:rsidRPr="00F22D02">
        <w:rPr>
          <w:lang w:val="fr-CA"/>
        </w:rPr>
        <w:t>Hells</w:t>
      </w:r>
      <w:proofErr w:type="spellEnd"/>
      <w:r w:rsidRPr="00F22D02">
        <w:rPr>
          <w:lang w:val="fr-CA"/>
        </w:rPr>
        <w:t xml:space="preserve"> </w:t>
      </w:r>
      <w:proofErr w:type="spellStart"/>
      <w:r w:rsidRPr="00F22D02">
        <w:rPr>
          <w:lang w:val="fr-CA"/>
        </w:rPr>
        <w:t>Angels</w:t>
      </w:r>
      <w:proofErr w:type="spellEnd"/>
      <w:r w:rsidRPr="00F22D02">
        <w:rPr>
          <w:lang w:val="fr-CA"/>
        </w:rPr>
        <w:t xml:space="preserve"> n’étaient pas une organisation criminelle (par. 85).  De plus, ni la nature de la question du jury et le moment où il l’a posée, ni les motifs du juge chargé d’infliger les peines ne permettaient à un tribunal de conclure dans une instance ultérieure que le jury avait forcément tranché la question de savoir si les </w:t>
      </w:r>
      <w:proofErr w:type="spellStart"/>
      <w:r w:rsidRPr="00F22D02">
        <w:rPr>
          <w:lang w:val="fr-CA"/>
        </w:rPr>
        <w:t>Hells</w:t>
      </w:r>
      <w:proofErr w:type="spellEnd"/>
      <w:r w:rsidRPr="00F22D02">
        <w:rPr>
          <w:lang w:val="fr-CA"/>
        </w:rPr>
        <w:t xml:space="preserve"> </w:t>
      </w:r>
      <w:proofErr w:type="spellStart"/>
      <w:r w:rsidRPr="00F22D02">
        <w:rPr>
          <w:lang w:val="fr-CA"/>
        </w:rPr>
        <w:t>Angels</w:t>
      </w:r>
      <w:proofErr w:type="spellEnd"/>
      <w:r w:rsidRPr="00F22D02">
        <w:rPr>
          <w:lang w:val="fr-CA"/>
        </w:rPr>
        <w:t xml:space="preserve"> étaient une organisation criminelle.  De l’avis de la juge </w:t>
      </w:r>
      <w:proofErr w:type="spellStart"/>
      <w:r w:rsidRPr="00F22D02">
        <w:rPr>
          <w:lang w:val="fr-CA"/>
        </w:rPr>
        <w:t>Kirkpatrick</w:t>
      </w:r>
      <w:proofErr w:type="spellEnd"/>
      <w:r w:rsidRPr="00F22D02">
        <w:rPr>
          <w:lang w:val="fr-CA"/>
        </w:rPr>
        <w:t xml:space="preserve">, les </w:t>
      </w:r>
      <w:r w:rsidRPr="00F22D02">
        <w:rPr>
          <w:lang w:val="fr-CA"/>
        </w:rPr>
        <w:lastRenderedPageBreak/>
        <w:t xml:space="preserve">motifs de détermination de la peine ne </w:t>
      </w:r>
      <w:r w:rsidRPr="00F22D02">
        <w:rPr>
          <w:rFonts w:cs="Times New Roman"/>
          <w:lang w:val="fr-CA"/>
        </w:rPr>
        <w:t>[</w:t>
      </w:r>
      <w:r w:rsidRPr="00F22D02">
        <w:rPr>
          <w:smallCaps/>
          <w:lang w:val="fr-CA"/>
        </w:rPr>
        <w:t>traduction</w:t>
      </w:r>
      <w:r w:rsidRPr="00F22D02">
        <w:rPr>
          <w:rFonts w:cs="Times New Roman"/>
          <w:lang w:val="fr-CA"/>
        </w:rPr>
        <w:t>]</w:t>
      </w:r>
      <w:r w:rsidRPr="00F22D02">
        <w:rPr>
          <w:lang w:val="fr-CA"/>
        </w:rPr>
        <w:t xml:space="preserve"> « mentionnent pas sans équivoque la conclusion pertinente servant de fondement à la </w:t>
      </w:r>
      <w:proofErr w:type="spellStart"/>
      <w:r w:rsidRPr="00F22D02">
        <w:rPr>
          <w:lang w:val="fr-CA"/>
        </w:rPr>
        <w:t>préclusion</w:t>
      </w:r>
      <w:proofErr w:type="spellEnd"/>
      <w:r w:rsidRPr="00F22D02">
        <w:rPr>
          <w:lang w:val="fr-CA"/>
        </w:rPr>
        <w:t xml:space="preserve"> découlant d’une question déjà tranchée » (par. 93).</w:t>
      </w:r>
    </w:p>
    <w:p w:rsidR="00BB461A" w:rsidRPr="00F22D02" w:rsidRDefault="00BB461A" w:rsidP="00BB461A">
      <w:pPr>
        <w:pStyle w:val="TitleTitre-AltT"/>
        <w:rPr>
          <w:lang w:val="fr-CA"/>
        </w:rPr>
      </w:pPr>
      <w:r w:rsidRPr="00F22D02">
        <w:rPr>
          <w:lang w:val="fr-CA"/>
        </w:rPr>
        <w:t>II.</w:t>
      </w:r>
      <w:r w:rsidRPr="00F22D02">
        <w:rPr>
          <w:lang w:val="fr-CA"/>
        </w:rPr>
        <w:tab/>
      </w:r>
      <w:r w:rsidRPr="00F22D02">
        <w:rPr>
          <w:u w:val="single"/>
          <w:lang w:val="fr-CA"/>
        </w:rPr>
        <w:t xml:space="preserve">La portée de la doctrine de la </w:t>
      </w:r>
      <w:proofErr w:type="spellStart"/>
      <w:r w:rsidRPr="00F22D02">
        <w:rPr>
          <w:u w:val="single"/>
          <w:lang w:val="fr-CA"/>
        </w:rPr>
        <w:t>préclusion</w:t>
      </w:r>
      <w:proofErr w:type="spellEnd"/>
      <w:r w:rsidRPr="00F22D02">
        <w:rPr>
          <w:u w:val="single"/>
          <w:lang w:val="fr-CA"/>
        </w:rPr>
        <w:t xml:space="preserve"> découlant d’une question déjà tranchée en contexte criminel</w:t>
      </w:r>
      <w:r w:rsidRPr="00F22D02">
        <w:rPr>
          <w:lang w:val="fr-CA"/>
        </w:rPr>
        <w:t xml:space="preserve"> </w:t>
      </w:r>
    </w:p>
    <w:p w:rsidR="00BB461A" w:rsidRPr="00F22D02" w:rsidRDefault="00BB461A" w:rsidP="00BB461A">
      <w:pPr>
        <w:pStyle w:val="ParaNoNdepar-AltN"/>
        <w:tabs>
          <w:tab w:val="clear" w:pos="1152"/>
          <w:tab w:val="left" w:pos="1166"/>
        </w:tabs>
        <w:rPr>
          <w:lang w:val="fr-CA"/>
        </w:rPr>
      </w:pPr>
      <w:r w:rsidRPr="00F22D02">
        <w:rPr>
          <w:lang w:val="fr-CA"/>
        </w:rPr>
        <w:t xml:space="preserve">Dans l’affaire </w:t>
      </w:r>
      <w:proofErr w:type="spellStart"/>
      <w:r w:rsidRPr="00F22D02">
        <w:rPr>
          <w:i/>
          <w:lang w:val="fr-CA"/>
        </w:rPr>
        <w:t>Mahalingan</w:t>
      </w:r>
      <w:proofErr w:type="spellEnd"/>
      <w:r w:rsidRPr="00F22D02">
        <w:rPr>
          <w:lang w:val="fr-CA"/>
        </w:rPr>
        <w:t xml:space="preserve">, notre Cour devait décider s’il fallait conserver, en droit criminel canadien, la doctrine de la </w:t>
      </w:r>
      <w:proofErr w:type="spellStart"/>
      <w:r w:rsidRPr="00F22D02">
        <w:rPr>
          <w:lang w:val="fr-CA"/>
        </w:rPr>
        <w:t>préclusion</w:t>
      </w:r>
      <w:proofErr w:type="spellEnd"/>
      <w:r w:rsidRPr="00F22D02">
        <w:rPr>
          <w:lang w:val="fr-CA"/>
        </w:rPr>
        <w:t xml:space="preserve"> découlant d’une question déjà tranchée.  Notre Cour a décidé à la majorité qu’il fallait la conserver, mais sous une forme restreinte.  Ce ne sont pas toutes les questions soulevées dans un procès antérieur qui peuvent donner lieu à l’application de la </w:t>
      </w:r>
      <w:proofErr w:type="spellStart"/>
      <w:r w:rsidRPr="00F22D02">
        <w:rPr>
          <w:lang w:val="fr-CA"/>
        </w:rPr>
        <w:t>préclusion</w:t>
      </w:r>
      <w:proofErr w:type="spellEnd"/>
      <w:r w:rsidRPr="00F22D02">
        <w:rPr>
          <w:lang w:val="fr-CA"/>
        </w:rPr>
        <w:t xml:space="preserve"> découlant d’une question déjà tranchée.  Le ministère public est plutôt seulement </w:t>
      </w:r>
      <w:proofErr w:type="spellStart"/>
      <w:r w:rsidRPr="00F22D02">
        <w:rPr>
          <w:lang w:val="fr-CA"/>
        </w:rPr>
        <w:t>préclus</w:t>
      </w:r>
      <w:proofErr w:type="spellEnd"/>
      <w:r w:rsidRPr="00F22D02">
        <w:rPr>
          <w:lang w:val="fr-CA"/>
        </w:rPr>
        <w:t xml:space="preserve"> de remettre en cause les questions </w:t>
      </w:r>
      <w:r w:rsidRPr="00F22D02">
        <w:rPr>
          <w:i/>
          <w:lang w:val="fr-CA"/>
        </w:rPr>
        <w:t xml:space="preserve">tranchées en faveur de l’accusé </w:t>
      </w:r>
      <w:r w:rsidRPr="00F22D02">
        <w:rPr>
          <w:lang w:val="fr-CA"/>
        </w:rPr>
        <w:t xml:space="preserve">dans le procès antérieur (par. 22, 31 et 33).  Par ailleurs, </w:t>
      </w:r>
      <w:r w:rsidRPr="00F22D02">
        <w:rPr>
          <w:rFonts w:cs="Times New Roman"/>
          <w:lang w:val="fr-CA"/>
        </w:rPr>
        <w:t>« [l]</w:t>
      </w:r>
      <w:r w:rsidRPr="00F22D02">
        <w:rPr>
          <w:lang w:val="fr-CA"/>
        </w:rPr>
        <w:t>es conclusions du juge du procès ou l’acquittement doivent nécessairement impliquer </w:t>
      </w:r>
      <w:r w:rsidRPr="00F22D02">
        <w:rPr>
          <w:rFonts w:cs="Times New Roman"/>
          <w:lang w:val="fr-CA"/>
        </w:rPr>
        <w:t>» qu’une question a été tranchée en faveur de l’accusé</w:t>
      </w:r>
      <w:r w:rsidRPr="00F22D02">
        <w:rPr>
          <w:lang w:val="fr-CA"/>
        </w:rPr>
        <w:t xml:space="preserve"> (par. 52).</w:t>
      </w:r>
    </w:p>
    <w:p w:rsidR="00BB461A" w:rsidRPr="00F22D02" w:rsidRDefault="00BB461A" w:rsidP="00BB461A">
      <w:pPr>
        <w:pStyle w:val="ParaNoNdepar-AltN"/>
        <w:tabs>
          <w:tab w:val="clear" w:pos="1152"/>
          <w:tab w:val="left" w:pos="1166"/>
        </w:tabs>
        <w:rPr>
          <w:lang w:val="fr-CA"/>
        </w:rPr>
      </w:pPr>
      <w:r w:rsidRPr="00F22D02">
        <w:rPr>
          <w:lang w:val="fr-CA"/>
        </w:rPr>
        <w:t xml:space="preserve">Pour appliquer la doctrine de la </w:t>
      </w:r>
      <w:proofErr w:type="spellStart"/>
      <w:r w:rsidRPr="00F22D02">
        <w:rPr>
          <w:lang w:val="fr-CA"/>
        </w:rPr>
        <w:t>préclusion</w:t>
      </w:r>
      <w:proofErr w:type="spellEnd"/>
      <w:r w:rsidRPr="00F22D02">
        <w:rPr>
          <w:lang w:val="fr-CA"/>
        </w:rPr>
        <w:t xml:space="preserve"> découlant d’une question déjà tranchée lorsque le procès antérieur s’est tenu devant un jury, </w:t>
      </w:r>
      <w:r w:rsidRPr="00F22D02">
        <w:rPr>
          <w:rFonts w:cs="Times New Roman"/>
          <w:lang w:val="fr-CA"/>
        </w:rPr>
        <w:t>« </w:t>
      </w:r>
      <w:r w:rsidRPr="00F22D02">
        <w:rPr>
          <w:lang w:val="fr-FR"/>
        </w:rPr>
        <w:t>[</w:t>
      </w:r>
      <w:r w:rsidRPr="00F22D02">
        <w:rPr>
          <w:lang w:val="fr-CA"/>
        </w:rPr>
        <w:t xml:space="preserve">i]l faut </w:t>
      </w:r>
      <w:r w:rsidRPr="00F22D02">
        <w:rPr>
          <w:lang w:val="fr-FR"/>
        </w:rPr>
        <w:t>[. . .]</w:t>
      </w:r>
      <w:r w:rsidRPr="00F22D02">
        <w:rPr>
          <w:lang w:val="fr-CA"/>
        </w:rPr>
        <w:t xml:space="preserve"> se demander si le verdict d’acquittement </w:t>
      </w:r>
      <w:r w:rsidRPr="00F22D02">
        <w:rPr>
          <w:u w:val="single"/>
          <w:lang w:val="fr-CA"/>
        </w:rPr>
        <w:t>suppose logiquement</w:t>
      </w:r>
      <w:r w:rsidRPr="00F22D02">
        <w:rPr>
          <w:lang w:val="fr-CA"/>
        </w:rPr>
        <w:t xml:space="preserve"> l’existence d’une conclusion favorable à l’accusé </w:t>
      </w:r>
      <w:r w:rsidRPr="00F22D02">
        <w:rPr>
          <w:rFonts w:cs="Times New Roman"/>
          <w:lang w:val="fr-CA"/>
        </w:rPr>
        <w:t xml:space="preserve">» </w:t>
      </w:r>
      <w:r w:rsidRPr="00F22D02">
        <w:rPr>
          <w:lang w:val="fr-CA"/>
        </w:rPr>
        <w:t>(</w:t>
      </w:r>
      <w:proofErr w:type="spellStart"/>
      <w:r w:rsidRPr="00F22D02">
        <w:rPr>
          <w:i/>
          <w:lang w:val="fr-CA"/>
        </w:rPr>
        <w:t>Mahalingan</w:t>
      </w:r>
      <w:proofErr w:type="spellEnd"/>
      <w:r w:rsidRPr="00F22D02">
        <w:rPr>
          <w:lang w:val="fr-CA"/>
        </w:rPr>
        <w:t xml:space="preserve">, par. 53 (je souligne)), et non si les circonstances générales de l’affaire portent à croire que le jury a tranché la question en faveur de l’accusé.  Par conséquent, des facteurs tels que les questions posées par </w:t>
      </w:r>
      <w:r w:rsidRPr="00F22D02">
        <w:rPr>
          <w:lang w:val="fr-CA"/>
        </w:rPr>
        <w:lastRenderedPageBreak/>
        <w:t xml:space="preserve">le jury, le moment où </w:t>
      </w:r>
      <w:proofErr w:type="spellStart"/>
      <w:r w:rsidRPr="00F22D02">
        <w:rPr>
          <w:lang w:val="fr-CA"/>
        </w:rPr>
        <w:t>celui</w:t>
      </w:r>
      <w:r w:rsidRPr="00F22D02">
        <w:rPr>
          <w:lang w:val="fr-CA"/>
        </w:rPr>
        <w:noBreakHyphen/>
        <w:t>ci</w:t>
      </w:r>
      <w:proofErr w:type="spellEnd"/>
      <w:r w:rsidRPr="00F22D02">
        <w:rPr>
          <w:lang w:val="fr-CA"/>
        </w:rPr>
        <w:t xml:space="preserve"> a rendu son verdict ou les conclusions tirées par le juge chargé d’infliger la peine ne sont pas directement pertinents lorsqu’il s’agit de déterminer si le jury a tranché une question en faveur de l’accusé.  Ces facteurs ne peuvent être utilisés que pour renforcer la conclusion d’un raisonnement consistant à déterminer si la résolution de la question était logiquement nécessaire.  Dans les cas où il ressort du dossier et des allégations des parties qu’il existe plus d’une explication logique au verdict du jury et où l’une de ces explications n’exige pas que le jury ait résolu la question pertinente en faveur de l’accusé, le verdict ne pourra servir de fondement valable à la </w:t>
      </w:r>
      <w:proofErr w:type="spellStart"/>
      <w:r w:rsidRPr="00F22D02">
        <w:rPr>
          <w:lang w:val="fr-CA"/>
        </w:rPr>
        <w:t>préclusion</w:t>
      </w:r>
      <w:proofErr w:type="spellEnd"/>
      <w:r w:rsidRPr="00F22D02">
        <w:rPr>
          <w:lang w:val="fr-CA"/>
        </w:rPr>
        <w:t xml:space="preserve"> découlant d’une question déjà tranchée.  Une approche qui incite les juges à s’interroger sur les délibérations intérieures et le raisonnement des jurés doit être rejetée.</w:t>
      </w:r>
    </w:p>
    <w:p w:rsidR="00BB461A" w:rsidRPr="00F22D02" w:rsidRDefault="00BB461A" w:rsidP="00BB461A">
      <w:pPr>
        <w:pStyle w:val="ParaNoNdepar-AltN"/>
        <w:tabs>
          <w:tab w:val="clear" w:pos="1152"/>
          <w:tab w:val="left" w:pos="1166"/>
        </w:tabs>
        <w:rPr>
          <w:lang w:val="fr-CA"/>
        </w:rPr>
      </w:pPr>
      <w:r w:rsidRPr="00F22D02">
        <w:rPr>
          <w:lang w:val="fr-CA"/>
        </w:rPr>
        <w:t xml:space="preserve">Je suis donc d’avis, tout comme la Cour d’appel, que le juge </w:t>
      </w:r>
      <w:proofErr w:type="spellStart"/>
      <w:r w:rsidRPr="00F22D02">
        <w:rPr>
          <w:lang w:val="fr-CA"/>
        </w:rPr>
        <w:t>Leask</w:t>
      </w:r>
      <w:proofErr w:type="spellEnd"/>
      <w:r w:rsidRPr="00F22D02">
        <w:rPr>
          <w:lang w:val="fr-CA"/>
        </w:rPr>
        <w:t xml:space="preserve"> a commis une erreur de droit en tirant des inférences selon la prépondérance des probabilités </w:t>
      </w:r>
      <w:r w:rsidRPr="00F22D02">
        <w:rPr>
          <w:rFonts w:cs="Times New Roman"/>
          <w:lang w:val="fr-CA"/>
        </w:rPr>
        <w:t>—</w:t>
      </w:r>
      <w:r w:rsidRPr="00F22D02">
        <w:rPr>
          <w:lang w:val="fr-CA"/>
        </w:rPr>
        <w:t xml:space="preserve"> une norme de preuve </w:t>
      </w:r>
      <w:r w:rsidRPr="00F22D02">
        <w:rPr>
          <w:rFonts w:cs="Times New Roman"/>
          <w:lang w:val="fr-CA"/>
        </w:rPr>
        <w:t>—</w:t>
      </w:r>
      <w:r w:rsidRPr="00F22D02">
        <w:rPr>
          <w:lang w:val="fr-CA"/>
        </w:rPr>
        <w:t xml:space="preserve">, plutôt que de se demander si l’acquittement supposait logiquement une conclusion concernant la nature criminelle de l’organisation </w:t>
      </w:r>
      <w:r w:rsidRPr="00F22D02">
        <w:rPr>
          <w:rFonts w:cs="Times New Roman"/>
          <w:lang w:val="fr-CA"/>
        </w:rPr>
        <w:t>—</w:t>
      </w:r>
      <w:r w:rsidRPr="00F22D02">
        <w:rPr>
          <w:lang w:val="fr-CA"/>
        </w:rPr>
        <w:t xml:space="preserve"> une norme fondée sur la logique et le droit.</w:t>
      </w:r>
    </w:p>
    <w:p w:rsidR="00BB461A" w:rsidRPr="00F22D02" w:rsidRDefault="00BB461A" w:rsidP="00BB461A">
      <w:pPr>
        <w:pStyle w:val="ParaNoNdepar-AltN"/>
        <w:tabs>
          <w:tab w:val="clear" w:pos="1152"/>
          <w:tab w:val="left" w:pos="1166"/>
        </w:tabs>
        <w:rPr>
          <w:lang w:val="fr-CA"/>
        </w:rPr>
      </w:pPr>
      <w:r w:rsidRPr="00F22D02">
        <w:rPr>
          <w:lang w:val="fr-CA"/>
        </w:rPr>
        <w:t>M. </w:t>
      </w:r>
      <w:proofErr w:type="spellStart"/>
      <w:r w:rsidRPr="00F22D02">
        <w:rPr>
          <w:lang w:val="fr-CA"/>
        </w:rPr>
        <w:t>Potts</w:t>
      </w:r>
      <w:proofErr w:type="spellEnd"/>
      <w:r w:rsidRPr="00F22D02">
        <w:rPr>
          <w:lang w:val="fr-CA"/>
        </w:rPr>
        <w:t xml:space="preserve"> soutient que l’application de la doctrine de la </w:t>
      </w:r>
      <w:proofErr w:type="spellStart"/>
      <w:r w:rsidRPr="00F22D02">
        <w:rPr>
          <w:lang w:val="fr-CA"/>
        </w:rPr>
        <w:t>préclusion</w:t>
      </w:r>
      <w:proofErr w:type="spellEnd"/>
      <w:r w:rsidRPr="00F22D02">
        <w:rPr>
          <w:lang w:val="fr-CA"/>
        </w:rPr>
        <w:t xml:space="preserve"> découlant d’une question déjà tranchée peut s’appuyer sur l’acceptation d’un fait par le juge chargé de la détermination de la peine en application de l’art. 724 du </w:t>
      </w:r>
      <w:r w:rsidRPr="00F22D02">
        <w:rPr>
          <w:i/>
          <w:lang w:val="fr-CA"/>
        </w:rPr>
        <w:t>Code criminel</w:t>
      </w:r>
      <w:r w:rsidRPr="00F22D02">
        <w:rPr>
          <w:lang w:val="fr-CA"/>
        </w:rPr>
        <w:t>, L.R.C. 1985, ch. C</w:t>
      </w:r>
      <w:r w:rsidRPr="00F22D02">
        <w:rPr>
          <w:lang w:val="fr-CA"/>
        </w:rPr>
        <w:noBreakHyphen/>
        <w:t>46 (« </w:t>
      </w:r>
      <w:r w:rsidRPr="00F22D02">
        <w:rPr>
          <w:i/>
          <w:lang w:val="fr-CA"/>
        </w:rPr>
        <w:t>C. </w:t>
      </w:r>
      <w:proofErr w:type="spellStart"/>
      <w:r w:rsidRPr="00F22D02">
        <w:rPr>
          <w:i/>
          <w:lang w:val="fr-CA"/>
        </w:rPr>
        <w:t>cr</w:t>
      </w:r>
      <w:proofErr w:type="spellEnd"/>
      <w:r w:rsidRPr="00F22D02">
        <w:rPr>
          <w:lang w:val="fr-CA"/>
        </w:rPr>
        <w:t xml:space="preserve">. »).  Cette disposition est rédigée ainsi : </w:t>
      </w:r>
    </w:p>
    <w:p w:rsidR="00BB461A" w:rsidRPr="00F22D02" w:rsidRDefault="00BB461A" w:rsidP="00CB7B94">
      <w:pPr>
        <w:pStyle w:val="Citation-AltC"/>
        <w:tabs>
          <w:tab w:val="left" w:pos="0"/>
          <w:tab w:val="left" w:pos="1170"/>
          <w:tab w:val="left" w:pos="1620"/>
        </w:tabs>
        <w:spacing w:after="240"/>
        <w:ind w:hanging="1166"/>
        <w:contextualSpacing w:val="0"/>
        <w:rPr>
          <w:lang w:val="fr-CA"/>
        </w:rPr>
      </w:pPr>
      <w:r>
        <w:rPr>
          <w:b/>
          <w:lang w:val="fr-CA"/>
        </w:rPr>
        <w:lastRenderedPageBreak/>
        <w:tab/>
      </w:r>
      <w:r w:rsidR="00824AE0">
        <w:rPr>
          <w:b/>
          <w:lang w:val="fr-CA"/>
        </w:rPr>
        <w:tab/>
      </w:r>
      <w:r w:rsidR="00CB7B94">
        <w:rPr>
          <w:b/>
          <w:lang w:val="fr-CA"/>
        </w:rPr>
        <w:tab/>
      </w:r>
      <w:r w:rsidRPr="00F22D02">
        <w:rPr>
          <w:b/>
          <w:lang w:val="fr-CA"/>
        </w:rPr>
        <w:t>724.</w:t>
      </w:r>
      <w:r w:rsidRPr="00F22D02">
        <w:rPr>
          <w:lang w:val="fr-CA"/>
        </w:rPr>
        <w:t xml:space="preserve"> (1)  Le </w:t>
      </w:r>
      <w:r w:rsidRPr="00067804">
        <w:rPr>
          <w:lang w:val="fr-CA"/>
        </w:rPr>
        <w:t>tribunal</w:t>
      </w:r>
      <w:r w:rsidRPr="00F22D02">
        <w:rPr>
          <w:lang w:val="fr-CA"/>
        </w:rPr>
        <w:t xml:space="preserve"> peut, pour déterminer la peine, considérer comme prouvés les renseignements qui sont portés à sa connaissance lors du procès ou dans le cadre des procédures de détermination de la peine et les faits sur lesquels le poursuivant et le délinquant s’entendent.</w:t>
      </w:r>
    </w:p>
    <w:p w:rsidR="00BB461A" w:rsidRPr="00F22D02" w:rsidRDefault="00BB461A" w:rsidP="00CB7B94">
      <w:pPr>
        <w:pStyle w:val="Citation-AltC"/>
        <w:tabs>
          <w:tab w:val="left" w:pos="0"/>
          <w:tab w:val="left" w:pos="1170"/>
          <w:tab w:val="left" w:pos="1620"/>
        </w:tabs>
        <w:spacing w:after="240"/>
        <w:ind w:hanging="1166"/>
        <w:contextualSpacing w:val="0"/>
        <w:rPr>
          <w:lang w:val="fr-CA"/>
        </w:rPr>
      </w:pPr>
      <w:r>
        <w:rPr>
          <w:lang w:val="fr-CA"/>
        </w:rPr>
        <w:tab/>
      </w:r>
      <w:r w:rsidR="00CB7B94">
        <w:rPr>
          <w:lang w:val="fr-CA"/>
        </w:rPr>
        <w:tab/>
      </w:r>
      <w:r w:rsidR="00CB7B94">
        <w:rPr>
          <w:lang w:val="fr-CA"/>
        </w:rPr>
        <w:tab/>
      </w:r>
      <w:r w:rsidRPr="00F22D02">
        <w:rPr>
          <w:lang w:val="fr-CA"/>
        </w:rPr>
        <w:t xml:space="preserve">(2)  Le tribunal </w:t>
      </w:r>
      <w:r w:rsidRPr="00067804">
        <w:rPr>
          <w:lang w:val="fr-CA"/>
        </w:rPr>
        <w:t>composé</w:t>
      </w:r>
      <w:r w:rsidRPr="00F22D02">
        <w:rPr>
          <w:lang w:val="fr-CA"/>
        </w:rPr>
        <w:t xml:space="preserve"> d’un juge et d’un jury :</w:t>
      </w:r>
    </w:p>
    <w:p w:rsidR="00BB461A" w:rsidRPr="00F22D02" w:rsidRDefault="00BB461A" w:rsidP="00CB7B94">
      <w:pPr>
        <w:pStyle w:val="Citation-AltC"/>
        <w:tabs>
          <w:tab w:val="left" w:pos="0"/>
          <w:tab w:val="left" w:pos="1620"/>
        </w:tabs>
        <w:spacing w:after="240"/>
        <w:ind w:left="1620" w:hanging="1620"/>
        <w:contextualSpacing w:val="0"/>
        <w:rPr>
          <w:lang w:val="fr-CA"/>
        </w:rPr>
      </w:pPr>
      <w:r w:rsidRPr="00F22D02">
        <w:rPr>
          <w:i/>
          <w:lang w:val="fr-CA"/>
        </w:rPr>
        <w:tab/>
        <w:t>a</w:t>
      </w:r>
      <w:r w:rsidRPr="00F22D02">
        <w:rPr>
          <w:lang w:val="fr-CA"/>
        </w:rPr>
        <w:t>)  </w:t>
      </w:r>
      <w:r w:rsidRPr="00CB7B94">
        <w:rPr>
          <w:lang w:val="fr-CA"/>
        </w:rPr>
        <w:t>considère</w:t>
      </w:r>
      <w:r w:rsidRPr="00F22D02">
        <w:rPr>
          <w:lang w:val="fr-CA"/>
        </w:rPr>
        <w:t xml:space="preserve"> comme prouvés tous les faits, exprès ou implicites, essentiels au verdict de culpabilité qu’a rendu le jury;</w:t>
      </w:r>
    </w:p>
    <w:p w:rsidR="00BB461A" w:rsidRPr="00F22D02" w:rsidRDefault="00BB461A" w:rsidP="00CB7B94">
      <w:pPr>
        <w:pStyle w:val="Citation-AltC"/>
        <w:tabs>
          <w:tab w:val="left" w:pos="0"/>
          <w:tab w:val="left" w:pos="1620"/>
        </w:tabs>
        <w:spacing w:after="240"/>
        <w:ind w:left="1620" w:hanging="1620"/>
        <w:contextualSpacing w:val="0"/>
        <w:rPr>
          <w:lang w:val="fr-CA"/>
        </w:rPr>
      </w:pPr>
      <w:r w:rsidRPr="00F22D02">
        <w:rPr>
          <w:i/>
          <w:lang w:val="fr-CA"/>
        </w:rPr>
        <w:tab/>
        <w:t>b</w:t>
      </w:r>
      <w:r w:rsidRPr="00F22D02">
        <w:rPr>
          <w:lang w:val="fr-CA"/>
        </w:rPr>
        <w:t>)  à l’égard des autres faits pertinents qui ont été révélés lors du procès, peut les accepter comme prouvés ou permettre aux parties d’en faire la preuve.</w:t>
      </w:r>
    </w:p>
    <w:p w:rsidR="00BB461A" w:rsidRPr="00F22D02" w:rsidRDefault="00BB461A" w:rsidP="00BB461A">
      <w:pPr>
        <w:pStyle w:val="Citation-AltC"/>
        <w:ind w:left="0"/>
        <w:jc w:val="center"/>
        <w:rPr>
          <w:lang w:val="fr-CA"/>
        </w:rPr>
      </w:pPr>
      <w:r w:rsidRPr="00F22D02">
        <w:rPr>
          <w:lang w:val="fr-CA"/>
        </w:rPr>
        <w:t>. . .</w:t>
      </w:r>
    </w:p>
    <w:p w:rsidR="00BB461A" w:rsidRPr="00F22D02" w:rsidRDefault="00BB461A" w:rsidP="00BB461A">
      <w:pPr>
        <w:pStyle w:val="ContinueParaSuitedupar-AltP"/>
        <w:rPr>
          <w:lang w:val="fr-CA"/>
        </w:rPr>
      </w:pPr>
      <w:r w:rsidRPr="00F22D02">
        <w:rPr>
          <w:lang w:val="fr-CA"/>
        </w:rPr>
        <w:t>À l’appui de sa prétention, M. </w:t>
      </w:r>
      <w:proofErr w:type="spellStart"/>
      <w:r w:rsidRPr="00F22D02">
        <w:rPr>
          <w:lang w:val="fr-CA"/>
        </w:rPr>
        <w:t>Potts</w:t>
      </w:r>
      <w:proofErr w:type="spellEnd"/>
      <w:r w:rsidRPr="00F22D02">
        <w:rPr>
          <w:lang w:val="fr-CA"/>
        </w:rPr>
        <w:t xml:space="preserve"> cite un passage de l’arrêt </w:t>
      </w:r>
      <w:proofErr w:type="spellStart"/>
      <w:r w:rsidRPr="00F22D02">
        <w:rPr>
          <w:i/>
          <w:lang w:val="fr-CA"/>
        </w:rPr>
        <w:t>Mahalingan</w:t>
      </w:r>
      <w:proofErr w:type="spellEnd"/>
      <w:r w:rsidRPr="00F22D02">
        <w:rPr>
          <w:lang w:val="fr-CA"/>
        </w:rPr>
        <w:t>, où la Cour affirme que « </w:t>
      </w:r>
      <w:r w:rsidRPr="00F22D02">
        <w:rPr>
          <w:rFonts w:cs="Times New Roman"/>
          <w:lang w:val="fr-CA"/>
        </w:rPr>
        <w:t xml:space="preserve">[l’accusé] </w:t>
      </w:r>
      <w:proofErr w:type="gramStart"/>
      <w:r w:rsidRPr="00F22D02">
        <w:rPr>
          <w:lang w:val="fr-CA"/>
        </w:rPr>
        <w:t>n’</w:t>
      </w:r>
      <w:r w:rsidRPr="00F22D02">
        <w:rPr>
          <w:rFonts w:cs="Times New Roman"/>
          <w:lang w:val="fr-CA"/>
        </w:rPr>
        <w:t>[</w:t>
      </w:r>
      <w:proofErr w:type="gramEnd"/>
      <w:r w:rsidRPr="00F22D02">
        <w:rPr>
          <w:rFonts w:cs="Times New Roman"/>
          <w:lang w:val="fr-CA"/>
        </w:rPr>
        <w:t>a]</w:t>
      </w:r>
      <w:r w:rsidRPr="00F22D02">
        <w:rPr>
          <w:lang w:val="fr-CA"/>
        </w:rPr>
        <w:t xml:space="preserve"> pas à répondre à des allégations de droit ou de fait déjà résolues en sa faveur dans une décision judiciaire au fond </w:t>
      </w:r>
      <w:r w:rsidRPr="00F22D02">
        <w:rPr>
          <w:rFonts w:cs="Times New Roman"/>
          <w:lang w:val="fr-CA"/>
        </w:rPr>
        <w:t>»</w:t>
      </w:r>
      <w:r w:rsidRPr="00F22D02">
        <w:rPr>
          <w:lang w:val="fr-CA"/>
        </w:rPr>
        <w:t xml:space="preserve"> (par. 39).  Dans le contexte d’un procès devant jury soulevant plus d’une question, je ne peux accepter la thèse voulant que les constatations de fait du juge de détermination de la peine soient déterminantes pour l’application de la </w:t>
      </w:r>
      <w:proofErr w:type="spellStart"/>
      <w:r w:rsidRPr="00F22D02">
        <w:rPr>
          <w:lang w:val="fr-CA"/>
        </w:rPr>
        <w:t>préclusion</w:t>
      </w:r>
      <w:proofErr w:type="spellEnd"/>
      <w:r w:rsidRPr="00F22D02">
        <w:rPr>
          <w:lang w:val="fr-CA"/>
        </w:rPr>
        <w:t xml:space="preserve"> découlant d’une question déjà tranchée.</w:t>
      </w:r>
    </w:p>
    <w:p w:rsidR="00BB461A" w:rsidRPr="00F22D02" w:rsidRDefault="00BB461A" w:rsidP="00BB461A">
      <w:pPr>
        <w:pStyle w:val="ParaNoNdepar-AltN"/>
        <w:tabs>
          <w:tab w:val="clear" w:pos="1152"/>
          <w:tab w:val="left" w:pos="1166"/>
        </w:tabs>
        <w:rPr>
          <w:lang w:val="fr-CA"/>
        </w:rPr>
      </w:pPr>
      <w:r w:rsidRPr="00F22D02">
        <w:rPr>
          <w:lang w:val="fr-CA"/>
        </w:rPr>
        <w:t>Lorsqu’une constatation de fait est nécessaire à la détermination de la peine, mais n’est incluse ni expressément ni implicitement dans le verdict du jury, le juge chargé d’infliger la peine doit faire lui-même cette constatation (al. 724(2</w:t>
      </w:r>
      <w:proofErr w:type="gramStart"/>
      <w:r w:rsidRPr="00F22D02">
        <w:rPr>
          <w:lang w:val="fr-CA"/>
        </w:rPr>
        <w:t>)</w:t>
      </w:r>
      <w:r w:rsidRPr="00F22D02">
        <w:rPr>
          <w:i/>
          <w:lang w:val="fr-CA"/>
        </w:rPr>
        <w:t>b</w:t>
      </w:r>
      <w:proofErr w:type="gramEnd"/>
      <w:r w:rsidRPr="00F22D02">
        <w:rPr>
          <w:lang w:val="fr-CA"/>
        </w:rPr>
        <w:t xml:space="preserve">) </w:t>
      </w:r>
      <w:r w:rsidRPr="00F22D02">
        <w:rPr>
          <w:i/>
          <w:lang w:val="fr-CA"/>
        </w:rPr>
        <w:t>C. </w:t>
      </w:r>
      <w:proofErr w:type="spellStart"/>
      <w:r w:rsidRPr="00F22D02">
        <w:rPr>
          <w:i/>
          <w:lang w:val="fr-CA"/>
        </w:rPr>
        <w:t>cr</w:t>
      </w:r>
      <w:proofErr w:type="spellEnd"/>
      <w:r w:rsidRPr="00F22D02">
        <w:rPr>
          <w:i/>
          <w:lang w:val="fr-CA"/>
        </w:rPr>
        <w:t>.</w:t>
      </w:r>
      <w:r w:rsidRPr="00F22D02">
        <w:rPr>
          <w:lang w:val="fr-CA"/>
        </w:rPr>
        <w:t xml:space="preserve">).  </w:t>
      </w:r>
      <w:proofErr w:type="spellStart"/>
      <w:r w:rsidRPr="00F22D02">
        <w:rPr>
          <w:lang w:val="fr-CA"/>
        </w:rPr>
        <w:t>Celle</w:t>
      </w:r>
      <w:r w:rsidRPr="00F22D02">
        <w:rPr>
          <w:lang w:val="fr-CA"/>
        </w:rPr>
        <w:noBreakHyphen/>
        <w:t>ci</w:t>
      </w:r>
      <w:proofErr w:type="spellEnd"/>
      <w:r w:rsidRPr="00F22D02">
        <w:rPr>
          <w:lang w:val="fr-CA"/>
        </w:rPr>
        <w:t xml:space="preserve"> ne constitue cependant pas une décision judiciaire </w:t>
      </w:r>
      <w:r w:rsidRPr="00F22D02">
        <w:rPr>
          <w:i/>
          <w:lang w:val="fr-CA"/>
        </w:rPr>
        <w:t>au fond</w:t>
      </w:r>
      <w:r w:rsidRPr="00F22D02">
        <w:rPr>
          <w:lang w:val="fr-CA"/>
        </w:rPr>
        <w:t xml:space="preserve">; elle ne constitue une décision judiciaire qu’aux fins de la détermination de la peine.  Le fond d’une affaire jugée par un jury tient aux questions que les jurés peuvent examiner </w:t>
      </w:r>
      <w:r w:rsidRPr="00F22D02">
        <w:rPr>
          <w:lang w:val="fr-CA"/>
        </w:rPr>
        <w:lastRenderedPageBreak/>
        <w:t xml:space="preserve">pour rendre leur verdict.  Ce n’est pas au juge chargé de la détermination de la peine, mais au jury de rendre des décisions judiciaires au fond.  Les jurés doivent arriver à un résultat unanime en se fondant sur la preuve.  Pour ce faire, ils doivent tirer leurs propres conclusions sur le fond. La doctrine de la </w:t>
      </w:r>
      <w:proofErr w:type="spellStart"/>
      <w:r w:rsidRPr="00F22D02">
        <w:rPr>
          <w:lang w:val="fr-CA"/>
        </w:rPr>
        <w:t>préclusion</w:t>
      </w:r>
      <w:proofErr w:type="spellEnd"/>
      <w:r w:rsidRPr="00F22D02">
        <w:rPr>
          <w:lang w:val="fr-CA"/>
        </w:rPr>
        <w:t xml:space="preserve"> découlant d’une question déjà tranchée s’applique uniquement lorsque l’unanimité du jury sur une question ressort du raisonnement consistant à déterminer si sa résolution était logiquement nécessaire.  </w:t>
      </w:r>
    </w:p>
    <w:p w:rsidR="00BB461A" w:rsidRPr="00F22D02" w:rsidRDefault="00BB461A" w:rsidP="00BB461A">
      <w:pPr>
        <w:pStyle w:val="ParaNoNdepar-AltN"/>
        <w:tabs>
          <w:tab w:val="clear" w:pos="1152"/>
          <w:tab w:val="left" w:pos="1166"/>
        </w:tabs>
        <w:rPr>
          <w:lang w:val="fr-CA"/>
        </w:rPr>
      </w:pPr>
      <w:r w:rsidRPr="00F22D02">
        <w:rPr>
          <w:lang w:val="fr-CA"/>
        </w:rPr>
        <w:t>Le juge chargé d’infliger la peine doit également considérer comme prouvés les faits qui se dégagent implicitement du verdict de culpabilité rendu par le jury (al. 724(2</w:t>
      </w:r>
      <w:proofErr w:type="gramStart"/>
      <w:r w:rsidRPr="00F22D02">
        <w:rPr>
          <w:lang w:val="fr-CA"/>
        </w:rPr>
        <w:t>)</w:t>
      </w:r>
      <w:r w:rsidRPr="00F22D02">
        <w:rPr>
          <w:i/>
          <w:lang w:val="fr-CA"/>
        </w:rPr>
        <w:t>a</w:t>
      </w:r>
      <w:proofErr w:type="gramEnd"/>
      <w:r w:rsidRPr="00F22D02">
        <w:rPr>
          <w:lang w:val="fr-CA"/>
        </w:rPr>
        <w:t xml:space="preserve">) </w:t>
      </w:r>
      <w:r w:rsidRPr="00F22D02">
        <w:rPr>
          <w:i/>
          <w:lang w:val="fr-CA"/>
        </w:rPr>
        <w:t xml:space="preserve">C. </w:t>
      </w:r>
      <w:proofErr w:type="spellStart"/>
      <w:r w:rsidRPr="00F22D02">
        <w:rPr>
          <w:i/>
          <w:lang w:val="fr-CA"/>
        </w:rPr>
        <w:t>cr</w:t>
      </w:r>
      <w:proofErr w:type="spellEnd"/>
      <w:r w:rsidRPr="00F22D02">
        <w:rPr>
          <w:i/>
          <w:lang w:val="fr-CA"/>
        </w:rPr>
        <w:t>.</w:t>
      </w:r>
      <w:r w:rsidRPr="00F22D02">
        <w:rPr>
          <w:lang w:val="fr-CA"/>
        </w:rPr>
        <w:t xml:space="preserve">).  Il ne s’agit alors pas de constatations de fait du juge chargé de la détermination de la peine, mais simplement de son explication des faits sur lesquels le jury s’est nécessairement fondé pour déclarer l’accusé coupable.  Le juge chargé de la détermination de la peine n’est pas tenu de trouver une explication à un verdict d’acquittement rendu par le jury ou de tirer des conclusions à son égard.  Toute observation qu’il fait à ce sujet peut révéler son point de vue personnel, mais il ne s’agit pas d’une décision qui lie le juge saisi d’une requête ultérieure fondée sur la </w:t>
      </w:r>
      <w:proofErr w:type="spellStart"/>
      <w:r w:rsidRPr="00F22D02">
        <w:rPr>
          <w:lang w:val="fr-CA"/>
        </w:rPr>
        <w:t>préclusion</w:t>
      </w:r>
      <w:proofErr w:type="spellEnd"/>
      <w:r w:rsidRPr="00F22D02">
        <w:rPr>
          <w:lang w:val="fr-CA"/>
        </w:rPr>
        <w:t xml:space="preserve"> découlant d’une question déjà tranchée.  Dans tous les cas, le juge présidant l’instance ultérieure doit décider si l’explication que le juge chargé d’infliger la peine a donnée du verdict du jury satisfait à la norme de la nécessité logique.  Les conclusions du juge de détermination de la peine concernant les constatations du jury dans un procès soulevant plus d’une question ne peuvent être utilisées pour contourner la norme de la nécessité logique, établie dans l’arrêt </w:t>
      </w:r>
      <w:proofErr w:type="spellStart"/>
      <w:r w:rsidRPr="00F22D02">
        <w:rPr>
          <w:i/>
          <w:lang w:val="fr-CA"/>
        </w:rPr>
        <w:lastRenderedPageBreak/>
        <w:t>Mahalingan</w:t>
      </w:r>
      <w:proofErr w:type="spellEnd"/>
      <w:r w:rsidRPr="00F22D02">
        <w:rPr>
          <w:lang w:val="fr-CA"/>
        </w:rPr>
        <w:t xml:space="preserve">; elles ne peuvent servir qu’à confirmer une conclusion découlant de l’application de cette norme.  </w:t>
      </w:r>
    </w:p>
    <w:p w:rsidR="00BB461A" w:rsidRPr="00F22D02" w:rsidRDefault="00BB461A" w:rsidP="00BB461A">
      <w:pPr>
        <w:pStyle w:val="TitleTitre-AltT"/>
        <w:rPr>
          <w:lang w:val="fr-CA"/>
        </w:rPr>
      </w:pPr>
      <w:r w:rsidRPr="00F22D02">
        <w:rPr>
          <w:lang w:val="fr-CA"/>
        </w:rPr>
        <w:t>III.</w:t>
      </w:r>
      <w:r w:rsidRPr="00F22D02">
        <w:rPr>
          <w:lang w:val="fr-CA"/>
        </w:rPr>
        <w:tab/>
      </w:r>
      <w:r w:rsidRPr="00F22D02">
        <w:rPr>
          <w:u w:val="single"/>
          <w:lang w:val="fr-CA"/>
        </w:rPr>
        <w:t>Application aux faits</w:t>
      </w:r>
    </w:p>
    <w:p w:rsidR="00BB461A" w:rsidRPr="00F22D02" w:rsidRDefault="00BB461A" w:rsidP="00BB461A">
      <w:pPr>
        <w:pStyle w:val="ParaNoNdepar-AltN"/>
        <w:tabs>
          <w:tab w:val="clear" w:pos="1152"/>
          <w:tab w:val="left" w:pos="1166"/>
        </w:tabs>
        <w:rPr>
          <w:lang w:val="fr-CA"/>
        </w:rPr>
      </w:pPr>
      <w:r w:rsidRPr="00F22D02">
        <w:rPr>
          <w:lang w:val="fr-CA"/>
        </w:rPr>
        <w:t xml:space="preserve">À l’issue du premier procès, présidé par le juge Romilly, le jury a acquitté les quatre accusés de tous les chefs d’accusation d’infractions d’organisation criminelle.  Le juge </w:t>
      </w:r>
      <w:proofErr w:type="spellStart"/>
      <w:r w:rsidRPr="00F22D02">
        <w:rPr>
          <w:lang w:val="fr-CA"/>
        </w:rPr>
        <w:t>Leask</w:t>
      </w:r>
      <w:proofErr w:type="spellEnd"/>
      <w:r w:rsidRPr="00F22D02">
        <w:rPr>
          <w:lang w:val="fr-CA"/>
        </w:rPr>
        <w:t xml:space="preserve"> s’est dit convaincu selon la prépondérance des probabilités, étant donné les motifs de détermination de la peine du juge Romilly, la question posée par le jury et le moment où </w:t>
      </w:r>
      <w:proofErr w:type="spellStart"/>
      <w:r w:rsidRPr="00F22D02">
        <w:rPr>
          <w:lang w:val="fr-CA"/>
        </w:rPr>
        <w:t>celui</w:t>
      </w:r>
      <w:r w:rsidRPr="00F22D02">
        <w:rPr>
          <w:lang w:val="fr-CA"/>
        </w:rPr>
        <w:noBreakHyphen/>
        <w:t>ci</w:t>
      </w:r>
      <w:proofErr w:type="spellEnd"/>
      <w:r w:rsidRPr="00F22D02">
        <w:rPr>
          <w:lang w:val="fr-CA"/>
        </w:rPr>
        <w:t xml:space="preserve"> a rendu son verdict, que le jury devait avoir acquitté les accusés pour le motif que les </w:t>
      </w:r>
      <w:proofErr w:type="spellStart"/>
      <w:r w:rsidRPr="00F22D02">
        <w:rPr>
          <w:lang w:val="fr-CA"/>
        </w:rPr>
        <w:t>Hells</w:t>
      </w:r>
      <w:proofErr w:type="spellEnd"/>
      <w:r w:rsidRPr="00F22D02">
        <w:rPr>
          <w:lang w:val="fr-CA"/>
        </w:rPr>
        <w:t xml:space="preserve"> </w:t>
      </w:r>
      <w:proofErr w:type="spellStart"/>
      <w:r w:rsidRPr="00F22D02">
        <w:rPr>
          <w:lang w:val="fr-CA"/>
        </w:rPr>
        <w:t>Angels</w:t>
      </w:r>
      <w:proofErr w:type="spellEnd"/>
      <w:r w:rsidRPr="00F22D02">
        <w:rPr>
          <w:lang w:val="fr-CA"/>
        </w:rPr>
        <w:t xml:space="preserve"> n’étaient pas une organisation criminelle.  Cependant, au vu de l’arrêt </w:t>
      </w:r>
      <w:proofErr w:type="spellStart"/>
      <w:r w:rsidRPr="00F22D02">
        <w:rPr>
          <w:i/>
          <w:lang w:val="fr-CA"/>
        </w:rPr>
        <w:t>Mahalingan</w:t>
      </w:r>
      <w:proofErr w:type="spellEnd"/>
      <w:r w:rsidRPr="00F22D02">
        <w:rPr>
          <w:lang w:val="fr-CA"/>
        </w:rPr>
        <w:t xml:space="preserve">, il faut plutôt se demander si la conclusion que les </w:t>
      </w:r>
      <w:proofErr w:type="spellStart"/>
      <w:r w:rsidRPr="00F22D02">
        <w:rPr>
          <w:lang w:val="fr-CA"/>
        </w:rPr>
        <w:t>Hells</w:t>
      </w:r>
      <w:proofErr w:type="spellEnd"/>
      <w:r w:rsidRPr="00F22D02">
        <w:rPr>
          <w:lang w:val="fr-CA"/>
        </w:rPr>
        <w:t xml:space="preserve"> </w:t>
      </w:r>
      <w:proofErr w:type="spellStart"/>
      <w:r w:rsidRPr="00F22D02">
        <w:rPr>
          <w:lang w:val="fr-CA"/>
        </w:rPr>
        <w:t>Angels</w:t>
      </w:r>
      <w:proofErr w:type="spellEnd"/>
      <w:r w:rsidRPr="00F22D02">
        <w:rPr>
          <w:lang w:val="fr-CA"/>
        </w:rPr>
        <w:t xml:space="preserve"> ne sont pas une organisation criminelle constitue la seule inférence logique qu’un juge peut tirer du verdict du jury.  Un examen des parties pertinentes de la transcription du procès devant jury révèle que tel n’est pas le cas.  </w:t>
      </w:r>
    </w:p>
    <w:p w:rsidR="00BB461A" w:rsidRPr="00F22D02" w:rsidRDefault="00BB461A" w:rsidP="00BB461A">
      <w:pPr>
        <w:pStyle w:val="ParaNoNdepar-AltN"/>
        <w:tabs>
          <w:tab w:val="clear" w:pos="1152"/>
          <w:tab w:val="left" w:pos="1166"/>
        </w:tabs>
        <w:rPr>
          <w:lang w:val="fr-CA"/>
        </w:rPr>
      </w:pPr>
      <w:r w:rsidRPr="00F22D02">
        <w:rPr>
          <w:lang w:val="fr-CA"/>
        </w:rPr>
        <w:t>Dans leur exposé final au jury sur les chefs d’accusation d’infractions d’organisation criminelle, les avocats de MM. </w:t>
      </w:r>
      <w:proofErr w:type="spellStart"/>
      <w:r w:rsidRPr="00F22D02">
        <w:rPr>
          <w:lang w:val="fr-CA"/>
        </w:rPr>
        <w:t>Punko</w:t>
      </w:r>
      <w:proofErr w:type="spellEnd"/>
      <w:r w:rsidRPr="00F22D02">
        <w:rPr>
          <w:lang w:val="fr-CA"/>
        </w:rPr>
        <w:t xml:space="preserve">, </w:t>
      </w:r>
      <w:proofErr w:type="spellStart"/>
      <w:r w:rsidRPr="00F22D02">
        <w:rPr>
          <w:lang w:val="fr-CA"/>
        </w:rPr>
        <w:t>Potts</w:t>
      </w:r>
      <w:proofErr w:type="spellEnd"/>
      <w:r w:rsidRPr="00F22D02">
        <w:rPr>
          <w:lang w:val="fr-CA"/>
        </w:rPr>
        <w:t xml:space="preserve"> et </w:t>
      </w:r>
      <w:proofErr w:type="spellStart"/>
      <w:r w:rsidRPr="00F22D02">
        <w:rPr>
          <w:lang w:val="fr-CA"/>
        </w:rPr>
        <w:t>Lising</w:t>
      </w:r>
      <w:proofErr w:type="spellEnd"/>
      <w:r w:rsidRPr="00F22D02">
        <w:rPr>
          <w:lang w:val="fr-CA"/>
        </w:rPr>
        <w:t xml:space="preserve"> ont chacun présenté deux moyens de défense distincts.  Premièrement, ils ont affirmé que le ministère public n’avait pas réussi à prouver que les </w:t>
      </w:r>
      <w:proofErr w:type="spellStart"/>
      <w:r w:rsidRPr="00F22D02">
        <w:rPr>
          <w:lang w:val="fr-CA"/>
        </w:rPr>
        <w:t>Hells</w:t>
      </w:r>
      <w:proofErr w:type="spellEnd"/>
      <w:r w:rsidRPr="00F22D02">
        <w:rPr>
          <w:lang w:val="fr-CA"/>
        </w:rPr>
        <w:t xml:space="preserve"> </w:t>
      </w:r>
      <w:proofErr w:type="spellStart"/>
      <w:r w:rsidRPr="00F22D02">
        <w:rPr>
          <w:lang w:val="fr-CA"/>
        </w:rPr>
        <w:t>Angels</w:t>
      </w:r>
      <w:proofErr w:type="spellEnd"/>
      <w:r w:rsidRPr="00F22D02">
        <w:rPr>
          <w:lang w:val="fr-CA"/>
        </w:rPr>
        <w:t xml:space="preserve"> étaient une organisation criminelle.  Deuxièmement, ils ont soutenu qu’aucune des infractions </w:t>
      </w:r>
      <w:r w:rsidRPr="00F22D02">
        <w:rPr>
          <w:lang w:val="fr-CA"/>
        </w:rPr>
        <w:lastRenderedPageBreak/>
        <w:t xml:space="preserve">matérielles n’avait été commise au profit ou sous la direction des </w:t>
      </w:r>
      <w:proofErr w:type="spellStart"/>
      <w:r w:rsidRPr="00F22D02">
        <w:rPr>
          <w:lang w:val="fr-CA"/>
        </w:rPr>
        <w:t>Hells</w:t>
      </w:r>
      <w:proofErr w:type="spellEnd"/>
      <w:r w:rsidRPr="00F22D02">
        <w:rPr>
          <w:lang w:val="fr-CA"/>
        </w:rPr>
        <w:t> </w:t>
      </w:r>
      <w:proofErr w:type="spellStart"/>
      <w:r w:rsidRPr="00F22D02">
        <w:rPr>
          <w:lang w:val="fr-CA"/>
        </w:rPr>
        <w:t>Angels</w:t>
      </w:r>
      <w:proofErr w:type="spellEnd"/>
      <w:r w:rsidRPr="00F22D02">
        <w:rPr>
          <w:lang w:val="fr-CA"/>
        </w:rPr>
        <w:t xml:space="preserve">, ou en association avec eux. </w:t>
      </w:r>
    </w:p>
    <w:p w:rsidR="00BB461A" w:rsidRPr="00F22D02" w:rsidRDefault="00BB461A" w:rsidP="00BB461A">
      <w:pPr>
        <w:pStyle w:val="ParaNoNdepar-AltN"/>
        <w:tabs>
          <w:tab w:val="clear" w:pos="1152"/>
          <w:tab w:val="left" w:pos="1166"/>
        </w:tabs>
        <w:rPr>
          <w:lang w:val="fr-CA"/>
        </w:rPr>
      </w:pPr>
      <w:r w:rsidRPr="00F22D02">
        <w:rPr>
          <w:lang w:val="fr-CA"/>
        </w:rPr>
        <w:t xml:space="preserve">Dans son exposé au jury, le juge Romilly a indiqué que le ministère public devait prouver hors de tout doute raisonnable les cinq éléments énumérés </w:t>
      </w:r>
      <w:proofErr w:type="spellStart"/>
      <w:r w:rsidRPr="00F22D02">
        <w:rPr>
          <w:lang w:val="fr-CA"/>
        </w:rPr>
        <w:t>ci</w:t>
      </w:r>
      <w:r w:rsidRPr="00F22D02">
        <w:rPr>
          <w:lang w:val="fr-CA"/>
        </w:rPr>
        <w:noBreakHyphen/>
        <w:t>après</w:t>
      </w:r>
      <w:proofErr w:type="spellEnd"/>
      <w:r w:rsidRPr="00F22D02">
        <w:rPr>
          <w:lang w:val="fr-CA"/>
        </w:rPr>
        <w:t xml:space="preserve"> à l’égard de tous les chefs d’accusation d’infractions d’organisation criminelle :</w:t>
      </w:r>
    </w:p>
    <w:p w:rsidR="00BB461A" w:rsidRPr="00F22D02" w:rsidRDefault="00BB461A" w:rsidP="009F2A97">
      <w:pPr>
        <w:pStyle w:val="Citation-AltC"/>
        <w:spacing w:after="240" w:line="480" w:lineRule="auto"/>
        <w:ind w:left="720" w:hanging="720"/>
        <w:contextualSpacing w:val="0"/>
        <w:rPr>
          <w:lang w:val="fr-CA"/>
        </w:rPr>
      </w:pPr>
      <w:r w:rsidRPr="00F22D02">
        <w:rPr>
          <w:lang w:val="fr-CA"/>
        </w:rPr>
        <w:t>(i)</w:t>
      </w:r>
      <w:r w:rsidRPr="00F22D02">
        <w:rPr>
          <w:lang w:val="fr-CA"/>
        </w:rPr>
        <w:tab/>
        <w:t xml:space="preserve">l’accusé a commis l’infraction matérielle; </w:t>
      </w:r>
    </w:p>
    <w:p w:rsidR="00BB461A" w:rsidRPr="00F22D02" w:rsidRDefault="00BB461A" w:rsidP="009F2A97">
      <w:pPr>
        <w:pStyle w:val="Citation-AltC"/>
        <w:spacing w:after="240" w:line="480" w:lineRule="auto"/>
        <w:ind w:left="720" w:hanging="720"/>
        <w:contextualSpacing w:val="0"/>
        <w:rPr>
          <w:szCs w:val="24"/>
          <w:lang w:val="fr-CA"/>
        </w:rPr>
      </w:pPr>
      <w:r w:rsidRPr="00F22D02">
        <w:rPr>
          <w:szCs w:val="24"/>
          <w:lang w:val="fr-CA"/>
        </w:rPr>
        <w:t>(ii)</w:t>
      </w:r>
      <w:r w:rsidRPr="00F22D02">
        <w:rPr>
          <w:szCs w:val="24"/>
          <w:lang w:val="fr-CA"/>
        </w:rPr>
        <w:tab/>
        <w:t xml:space="preserve">les </w:t>
      </w:r>
      <w:proofErr w:type="spellStart"/>
      <w:r w:rsidRPr="00F22D02">
        <w:rPr>
          <w:szCs w:val="24"/>
          <w:lang w:val="fr-CA"/>
        </w:rPr>
        <w:t>Hells</w:t>
      </w:r>
      <w:proofErr w:type="spellEnd"/>
      <w:r w:rsidRPr="00F22D02">
        <w:rPr>
          <w:szCs w:val="24"/>
          <w:lang w:val="fr-CA"/>
        </w:rPr>
        <w:t xml:space="preserve"> </w:t>
      </w:r>
      <w:proofErr w:type="spellStart"/>
      <w:r w:rsidRPr="00F22D02">
        <w:rPr>
          <w:szCs w:val="24"/>
          <w:lang w:val="fr-CA"/>
        </w:rPr>
        <w:t>Angels</w:t>
      </w:r>
      <w:proofErr w:type="spellEnd"/>
      <w:r w:rsidRPr="00F22D02">
        <w:rPr>
          <w:szCs w:val="24"/>
          <w:lang w:val="fr-CA"/>
        </w:rPr>
        <w:t xml:space="preserve"> étaient une organisation criminelle au cours de la période indiquée dans le chef d’accusation;</w:t>
      </w:r>
    </w:p>
    <w:p w:rsidR="00BB461A" w:rsidRPr="00F22D02" w:rsidRDefault="00BB461A" w:rsidP="009F2A97">
      <w:pPr>
        <w:pStyle w:val="Citation-AltC"/>
        <w:spacing w:after="240" w:line="480" w:lineRule="auto"/>
        <w:ind w:left="720" w:hanging="720"/>
        <w:contextualSpacing w:val="0"/>
        <w:rPr>
          <w:szCs w:val="24"/>
          <w:lang w:val="fr-CA"/>
        </w:rPr>
      </w:pPr>
      <w:r w:rsidRPr="00F22D02">
        <w:rPr>
          <w:szCs w:val="24"/>
          <w:lang w:val="fr-CA"/>
        </w:rPr>
        <w:t>(iii)</w:t>
      </w:r>
      <w:r w:rsidRPr="00F22D02">
        <w:rPr>
          <w:szCs w:val="24"/>
          <w:lang w:val="fr-CA"/>
        </w:rPr>
        <w:tab/>
      </w:r>
      <w:bookmarkStart w:id="0" w:name="OLE_LINK1"/>
      <w:bookmarkStart w:id="1" w:name="OLE_LINK2"/>
      <w:r w:rsidRPr="00F22D02">
        <w:rPr>
          <w:szCs w:val="24"/>
          <w:lang w:val="fr-CA"/>
        </w:rPr>
        <w:t>l’accusé</w:t>
      </w:r>
      <w:bookmarkEnd w:id="0"/>
      <w:bookmarkEnd w:id="1"/>
      <w:r w:rsidRPr="00F22D02">
        <w:rPr>
          <w:szCs w:val="24"/>
          <w:lang w:val="fr-CA"/>
        </w:rPr>
        <w:t xml:space="preserve"> savait que les caractéristiques des </w:t>
      </w:r>
      <w:proofErr w:type="spellStart"/>
      <w:r w:rsidRPr="00F22D02">
        <w:rPr>
          <w:szCs w:val="24"/>
          <w:lang w:val="fr-CA"/>
        </w:rPr>
        <w:t>Hells</w:t>
      </w:r>
      <w:proofErr w:type="spellEnd"/>
      <w:r w:rsidRPr="00F22D02">
        <w:rPr>
          <w:szCs w:val="24"/>
          <w:lang w:val="fr-CA"/>
        </w:rPr>
        <w:t xml:space="preserve"> </w:t>
      </w:r>
      <w:proofErr w:type="spellStart"/>
      <w:r w:rsidRPr="00F22D02">
        <w:rPr>
          <w:szCs w:val="24"/>
          <w:lang w:val="fr-CA"/>
        </w:rPr>
        <w:t>Angels</w:t>
      </w:r>
      <w:proofErr w:type="spellEnd"/>
      <w:r w:rsidRPr="00F22D02">
        <w:rPr>
          <w:szCs w:val="24"/>
          <w:lang w:val="fr-CA"/>
        </w:rPr>
        <w:t xml:space="preserve"> étaient celles d’une organisation criminelle au cours de la période indiquée dans le chef d’accusation;</w:t>
      </w:r>
    </w:p>
    <w:p w:rsidR="00BB461A" w:rsidRPr="00F22D02" w:rsidRDefault="00BB461A" w:rsidP="009F2A97">
      <w:pPr>
        <w:pStyle w:val="Citation-AltC"/>
        <w:spacing w:after="240" w:line="480" w:lineRule="auto"/>
        <w:ind w:left="720" w:hanging="720"/>
        <w:contextualSpacing w:val="0"/>
        <w:rPr>
          <w:szCs w:val="24"/>
          <w:lang w:val="fr-CA"/>
        </w:rPr>
      </w:pPr>
      <w:r w:rsidRPr="00F22D02">
        <w:rPr>
          <w:szCs w:val="24"/>
          <w:lang w:val="fr-CA"/>
        </w:rPr>
        <w:t>(iv)</w:t>
      </w:r>
      <w:r w:rsidRPr="00F22D02">
        <w:rPr>
          <w:szCs w:val="24"/>
          <w:lang w:val="fr-CA"/>
        </w:rPr>
        <w:tab/>
        <w:t xml:space="preserve">l’accusé a commis l’infraction au profit ou sous la direction des </w:t>
      </w:r>
      <w:proofErr w:type="spellStart"/>
      <w:r w:rsidRPr="00F22D02">
        <w:rPr>
          <w:szCs w:val="24"/>
          <w:lang w:val="fr-CA"/>
        </w:rPr>
        <w:t>Hells</w:t>
      </w:r>
      <w:proofErr w:type="spellEnd"/>
      <w:r w:rsidRPr="00F22D02">
        <w:rPr>
          <w:szCs w:val="24"/>
          <w:lang w:val="fr-CA"/>
        </w:rPr>
        <w:t xml:space="preserve"> </w:t>
      </w:r>
      <w:proofErr w:type="spellStart"/>
      <w:r w:rsidRPr="00F22D02">
        <w:rPr>
          <w:szCs w:val="24"/>
          <w:lang w:val="fr-CA"/>
        </w:rPr>
        <w:t>Angels</w:t>
      </w:r>
      <w:proofErr w:type="spellEnd"/>
      <w:r w:rsidRPr="00F22D02">
        <w:rPr>
          <w:szCs w:val="24"/>
          <w:lang w:val="fr-CA"/>
        </w:rPr>
        <w:t xml:space="preserve">, ou en association avec eux; </w:t>
      </w:r>
    </w:p>
    <w:p w:rsidR="00BB461A" w:rsidRPr="00F22D02" w:rsidRDefault="00BB461A" w:rsidP="009F2A97">
      <w:pPr>
        <w:pStyle w:val="Citation-AltC"/>
        <w:spacing w:line="480" w:lineRule="auto"/>
        <w:ind w:left="720" w:hanging="720"/>
        <w:rPr>
          <w:szCs w:val="24"/>
          <w:lang w:val="fr-CA"/>
        </w:rPr>
      </w:pPr>
      <w:r w:rsidRPr="00F22D02">
        <w:rPr>
          <w:szCs w:val="24"/>
          <w:lang w:val="fr-CA"/>
        </w:rPr>
        <w:t>(v)</w:t>
      </w:r>
      <w:r w:rsidRPr="00F22D02">
        <w:rPr>
          <w:szCs w:val="24"/>
          <w:lang w:val="fr-CA"/>
        </w:rPr>
        <w:tab/>
        <w:t>l’accusé</w:t>
      </w:r>
      <w:r w:rsidRPr="00F22D02">
        <w:rPr>
          <w:szCs w:val="24"/>
          <w:lang w:val="fr-FR"/>
        </w:rPr>
        <w:t xml:space="preserve"> a</w:t>
      </w:r>
      <w:r w:rsidRPr="00F22D02">
        <w:rPr>
          <w:szCs w:val="24"/>
          <w:lang w:val="fr-CA"/>
        </w:rPr>
        <w:t xml:space="preserve"> commis l’infraction dans l’intention de la commettre au profit ou sous la direction des </w:t>
      </w:r>
      <w:proofErr w:type="spellStart"/>
      <w:r w:rsidRPr="00F22D02">
        <w:rPr>
          <w:szCs w:val="24"/>
          <w:lang w:val="fr-CA"/>
        </w:rPr>
        <w:t>Hells</w:t>
      </w:r>
      <w:proofErr w:type="spellEnd"/>
      <w:r w:rsidRPr="00F22D02">
        <w:rPr>
          <w:szCs w:val="24"/>
          <w:lang w:val="fr-CA"/>
        </w:rPr>
        <w:t xml:space="preserve"> </w:t>
      </w:r>
      <w:proofErr w:type="spellStart"/>
      <w:r w:rsidRPr="00F22D02">
        <w:rPr>
          <w:szCs w:val="24"/>
          <w:lang w:val="fr-CA"/>
        </w:rPr>
        <w:t>Angels</w:t>
      </w:r>
      <w:proofErr w:type="spellEnd"/>
      <w:r w:rsidRPr="00F22D02">
        <w:rPr>
          <w:szCs w:val="24"/>
          <w:lang w:val="fr-CA"/>
        </w:rPr>
        <w:t xml:space="preserve">, ou en association avec eux. </w:t>
      </w:r>
    </w:p>
    <w:p w:rsidR="00BB461A" w:rsidRPr="00F22D02" w:rsidRDefault="00BB461A" w:rsidP="00BB461A">
      <w:pPr>
        <w:pStyle w:val="ContinueParaSuitedupar-AltP"/>
        <w:rPr>
          <w:lang w:val="fr-CA"/>
        </w:rPr>
      </w:pPr>
      <w:r w:rsidRPr="00F22D02">
        <w:rPr>
          <w:lang w:val="fr-CA"/>
        </w:rPr>
        <w:t xml:space="preserve">Le juge Romilly a dit au jury qu’il devait rendre un verdict de </w:t>
      </w:r>
      <w:proofErr w:type="spellStart"/>
      <w:r w:rsidRPr="00F22D02">
        <w:rPr>
          <w:lang w:val="fr-CA"/>
        </w:rPr>
        <w:t>non</w:t>
      </w:r>
      <w:r w:rsidRPr="00F22D02">
        <w:rPr>
          <w:lang w:val="fr-CA"/>
        </w:rPr>
        <w:noBreakHyphen/>
        <w:t>culpabilité</w:t>
      </w:r>
      <w:proofErr w:type="spellEnd"/>
      <w:r w:rsidRPr="00F22D02">
        <w:rPr>
          <w:lang w:val="fr-CA"/>
        </w:rPr>
        <w:t xml:space="preserve"> s’il n’était pas convaincu hors de tout doute raisonnable de chacun de ces éléments.  Il a </w:t>
      </w:r>
      <w:r w:rsidRPr="00F22D02">
        <w:rPr>
          <w:lang w:val="fr-CA"/>
        </w:rPr>
        <w:lastRenderedPageBreak/>
        <w:t xml:space="preserve">également indiqué aux jurés que, s’ils acquittaient l’accusé de l’infraction matérielle </w:t>
      </w:r>
      <w:proofErr w:type="spellStart"/>
      <w:r w:rsidRPr="00F22D02">
        <w:rPr>
          <w:lang w:val="fr-CA"/>
        </w:rPr>
        <w:t>sous</w:t>
      </w:r>
      <w:r w:rsidRPr="00F22D02">
        <w:rPr>
          <w:lang w:val="fr-CA"/>
        </w:rPr>
        <w:noBreakHyphen/>
        <w:t>jacente</w:t>
      </w:r>
      <w:proofErr w:type="spellEnd"/>
      <w:r w:rsidRPr="00F22D02">
        <w:rPr>
          <w:lang w:val="fr-CA"/>
        </w:rPr>
        <w:t xml:space="preserve">, ils étaient tenus de le reconnaître non coupable du chef d’accusation connexe d’infraction d’organisation criminelle.  L’obligation du ministère public de prouver cinq éléments signifiait que, si le jury déclarait l’accusé coupable de l’infraction matérielle, quatre autres motifs étaient encore susceptibles de justifier un verdict de </w:t>
      </w:r>
      <w:proofErr w:type="spellStart"/>
      <w:r w:rsidRPr="00F22D02">
        <w:rPr>
          <w:lang w:val="fr-CA"/>
        </w:rPr>
        <w:t>non</w:t>
      </w:r>
      <w:r w:rsidRPr="00F22D02">
        <w:rPr>
          <w:lang w:val="fr-CA"/>
        </w:rPr>
        <w:noBreakHyphen/>
        <w:t>culpabilité</w:t>
      </w:r>
      <w:proofErr w:type="spellEnd"/>
      <w:r w:rsidRPr="00F22D02">
        <w:rPr>
          <w:lang w:val="fr-CA"/>
        </w:rPr>
        <w:t xml:space="preserve"> à l’égard du chef d’accusation connexe d’infraction d’organisation criminelle.</w:t>
      </w:r>
    </w:p>
    <w:p w:rsidR="00BB461A" w:rsidRPr="00F22D02" w:rsidRDefault="00BB461A" w:rsidP="00BB461A">
      <w:pPr>
        <w:pStyle w:val="ParaNoNdepar-AltN"/>
        <w:tabs>
          <w:tab w:val="clear" w:pos="1152"/>
          <w:tab w:val="left" w:pos="1166"/>
        </w:tabs>
        <w:rPr>
          <w:lang w:val="fr-CA"/>
        </w:rPr>
      </w:pPr>
      <w:r w:rsidRPr="00F22D02">
        <w:rPr>
          <w:lang w:val="fr-CA"/>
        </w:rPr>
        <w:t xml:space="preserve">D’après les arguments soulevés par la défense, que le juge Romilly a résumés pour le jury, ce dernier devait trancher deux questions principales relativement à chaque chef d’accusation d’infraction d’organisation criminelle s’il déclarait l’accusé coupable de l’infraction </w:t>
      </w:r>
      <w:proofErr w:type="spellStart"/>
      <w:r w:rsidRPr="00F22D02">
        <w:rPr>
          <w:lang w:val="fr-CA"/>
        </w:rPr>
        <w:t>sous</w:t>
      </w:r>
      <w:r w:rsidRPr="00F22D02">
        <w:rPr>
          <w:lang w:val="fr-CA"/>
        </w:rPr>
        <w:noBreakHyphen/>
        <w:t>jacente</w:t>
      </w:r>
      <w:proofErr w:type="spellEnd"/>
      <w:r w:rsidRPr="00F22D02">
        <w:rPr>
          <w:lang w:val="fr-CA"/>
        </w:rPr>
        <w:t xml:space="preserve"> : il devait décider (1) si les </w:t>
      </w:r>
      <w:proofErr w:type="spellStart"/>
      <w:r w:rsidRPr="00F22D02">
        <w:rPr>
          <w:lang w:val="fr-CA"/>
        </w:rPr>
        <w:t>Hells</w:t>
      </w:r>
      <w:proofErr w:type="spellEnd"/>
      <w:r w:rsidRPr="00F22D02">
        <w:rPr>
          <w:lang w:val="fr-CA"/>
        </w:rPr>
        <w:t xml:space="preserve"> </w:t>
      </w:r>
      <w:proofErr w:type="spellStart"/>
      <w:r w:rsidRPr="00F22D02">
        <w:rPr>
          <w:lang w:val="fr-CA"/>
        </w:rPr>
        <w:t>Angels</w:t>
      </w:r>
      <w:proofErr w:type="spellEnd"/>
      <w:r w:rsidRPr="00F22D02">
        <w:rPr>
          <w:lang w:val="fr-CA"/>
        </w:rPr>
        <w:t xml:space="preserve"> étaient une organisation criminelle, et (2) si l’infraction </w:t>
      </w:r>
      <w:proofErr w:type="spellStart"/>
      <w:r w:rsidRPr="00F22D02">
        <w:rPr>
          <w:lang w:val="fr-CA"/>
        </w:rPr>
        <w:t>sous</w:t>
      </w:r>
      <w:r w:rsidRPr="00F22D02">
        <w:rPr>
          <w:lang w:val="fr-CA"/>
        </w:rPr>
        <w:noBreakHyphen/>
        <w:t>jacente</w:t>
      </w:r>
      <w:proofErr w:type="spellEnd"/>
      <w:r w:rsidRPr="00F22D02">
        <w:rPr>
          <w:lang w:val="fr-CA"/>
        </w:rPr>
        <w:t xml:space="preserve"> </w:t>
      </w:r>
      <w:proofErr w:type="gramStart"/>
      <w:r w:rsidRPr="00F22D02">
        <w:rPr>
          <w:lang w:val="fr-CA"/>
        </w:rPr>
        <w:t>avait</w:t>
      </w:r>
      <w:proofErr w:type="gramEnd"/>
      <w:r w:rsidRPr="00F22D02">
        <w:rPr>
          <w:lang w:val="fr-CA"/>
        </w:rPr>
        <w:t xml:space="preserve"> été commise au profit ou sous la direction des </w:t>
      </w:r>
      <w:proofErr w:type="spellStart"/>
      <w:r w:rsidRPr="00F22D02">
        <w:rPr>
          <w:lang w:val="fr-CA"/>
        </w:rPr>
        <w:t>Hells</w:t>
      </w:r>
      <w:proofErr w:type="spellEnd"/>
      <w:r w:rsidRPr="00F22D02">
        <w:rPr>
          <w:lang w:val="fr-CA"/>
        </w:rPr>
        <w:t xml:space="preserve"> </w:t>
      </w:r>
      <w:proofErr w:type="spellStart"/>
      <w:r w:rsidRPr="00F22D02">
        <w:rPr>
          <w:lang w:val="fr-CA"/>
        </w:rPr>
        <w:t>Angels</w:t>
      </w:r>
      <w:proofErr w:type="spellEnd"/>
      <w:r w:rsidRPr="00F22D02">
        <w:rPr>
          <w:lang w:val="fr-CA"/>
        </w:rPr>
        <w:t xml:space="preserve">, ou en association avec eux. </w:t>
      </w:r>
    </w:p>
    <w:p w:rsidR="00BB461A" w:rsidRPr="00F22D02" w:rsidRDefault="00BB461A" w:rsidP="00BB461A">
      <w:pPr>
        <w:pStyle w:val="ParaNoNdepar-AltN"/>
        <w:tabs>
          <w:tab w:val="clear" w:pos="1152"/>
          <w:tab w:val="left" w:pos="1166"/>
        </w:tabs>
        <w:rPr>
          <w:lang w:val="fr-CA"/>
        </w:rPr>
      </w:pPr>
      <w:r w:rsidRPr="00F22D02">
        <w:rPr>
          <w:lang w:val="fr-CA"/>
        </w:rPr>
        <w:t>Les parties n’ont pas soutenu que le juge Romilly avait présenté au jury des moyens de défense dépourvus de fondement probant ou non</w:t>
      </w:r>
      <w:r>
        <w:rPr>
          <w:lang w:val="fr-CA"/>
        </w:rPr>
        <w:t xml:space="preserve"> </w:t>
      </w:r>
      <w:r w:rsidRPr="00F22D02">
        <w:rPr>
          <w:lang w:val="fr-CA"/>
        </w:rPr>
        <w:t>« vraisemblable</w:t>
      </w:r>
      <w:r w:rsidRPr="00F22D02">
        <w:rPr>
          <w:rFonts w:cs="Times New Roman"/>
          <w:lang w:val="fr-CA"/>
        </w:rPr>
        <w:t>s »</w:t>
      </w:r>
      <w:r w:rsidRPr="00F22D02">
        <w:rPr>
          <w:lang w:val="fr-CA"/>
        </w:rPr>
        <w:t xml:space="preserve"> (voir l’arrêt </w:t>
      </w:r>
      <w:r w:rsidRPr="00F22D02">
        <w:rPr>
          <w:i/>
          <w:lang w:val="fr-CA"/>
        </w:rPr>
        <w:t xml:space="preserve">R. c. </w:t>
      </w:r>
      <w:proofErr w:type="spellStart"/>
      <w:r w:rsidRPr="00F22D02">
        <w:rPr>
          <w:i/>
          <w:lang w:val="fr-CA"/>
        </w:rPr>
        <w:t>Cinous</w:t>
      </w:r>
      <w:proofErr w:type="spellEnd"/>
      <w:r w:rsidRPr="00F22D02">
        <w:rPr>
          <w:lang w:val="fr-CA"/>
        </w:rPr>
        <w:t xml:space="preserve">, 2002 CSC 29, [2002] 2 R.C.S. 3).  M. Punko a affirmé devant notre Cour que son </w:t>
      </w:r>
      <w:r w:rsidRPr="00F22D02">
        <w:rPr>
          <w:rFonts w:cs="Times New Roman"/>
          <w:lang w:val="fr-CA"/>
        </w:rPr>
        <w:t>[</w:t>
      </w:r>
      <w:r w:rsidRPr="00F22D02">
        <w:rPr>
          <w:rFonts w:cs="Times New Roman"/>
          <w:smallCaps/>
          <w:lang w:val="fr-CA"/>
        </w:rPr>
        <w:t>traduction</w:t>
      </w:r>
      <w:r w:rsidRPr="00F22D02">
        <w:rPr>
          <w:rFonts w:cs="Times New Roman"/>
          <w:lang w:val="fr-CA"/>
        </w:rPr>
        <w:t xml:space="preserve">] « moyen de défense principal » contre les accusations d’infractions d’organisation criminelle était que le ministère public n’avait pas réussi à prouver que les </w:t>
      </w:r>
      <w:proofErr w:type="spellStart"/>
      <w:r w:rsidRPr="00F22D02">
        <w:rPr>
          <w:rFonts w:cs="Times New Roman"/>
          <w:lang w:val="fr-CA"/>
        </w:rPr>
        <w:t>Hells</w:t>
      </w:r>
      <w:proofErr w:type="spellEnd"/>
      <w:r w:rsidRPr="00F22D02">
        <w:rPr>
          <w:rFonts w:cs="Times New Roman"/>
          <w:lang w:val="fr-CA"/>
        </w:rPr>
        <w:t xml:space="preserve"> </w:t>
      </w:r>
      <w:proofErr w:type="spellStart"/>
      <w:r w:rsidRPr="00F22D02">
        <w:rPr>
          <w:rFonts w:cs="Times New Roman"/>
          <w:lang w:val="fr-CA"/>
        </w:rPr>
        <w:t>Angels</w:t>
      </w:r>
      <w:proofErr w:type="spellEnd"/>
      <w:r w:rsidRPr="00F22D02">
        <w:rPr>
          <w:rFonts w:cs="Times New Roman"/>
          <w:lang w:val="fr-CA"/>
        </w:rPr>
        <w:t xml:space="preserve"> étaient une or</w:t>
      </w:r>
      <w:r w:rsidR="00E04C4D">
        <w:rPr>
          <w:rFonts w:cs="Times New Roman"/>
          <w:lang w:val="fr-CA"/>
        </w:rPr>
        <w:t>ganisation criminelle (</w:t>
      </w:r>
      <w:proofErr w:type="gramStart"/>
      <w:r w:rsidR="00E04C4D">
        <w:rPr>
          <w:rFonts w:cs="Times New Roman"/>
          <w:lang w:val="fr-CA"/>
        </w:rPr>
        <w:t>m.a.,</w:t>
      </w:r>
      <w:proofErr w:type="gramEnd"/>
      <w:r w:rsidR="00E04C4D">
        <w:rPr>
          <w:rFonts w:cs="Times New Roman"/>
          <w:lang w:val="fr-CA"/>
        </w:rPr>
        <w:t xml:space="preserve"> </w:t>
      </w:r>
      <w:r w:rsidRPr="00F22D02">
        <w:rPr>
          <w:rFonts w:cs="Times New Roman"/>
          <w:lang w:val="fr-CA"/>
        </w:rPr>
        <w:t xml:space="preserve">par. 21), mais que  </w:t>
      </w:r>
    </w:p>
    <w:p w:rsidR="00BB461A" w:rsidRPr="00F22D02" w:rsidRDefault="00BB461A" w:rsidP="00BB461A">
      <w:pPr>
        <w:pStyle w:val="Citation-AltC"/>
        <w:ind w:hanging="1166"/>
        <w:rPr>
          <w:lang w:val="fr-CA"/>
        </w:rPr>
      </w:pPr>
      <w:r w:rsidRPr="00F22D02">
        <w:rPr>
          <w:lang w:val="fr-CA"/>
        </w:rPr>
        <w:lastRenderedPageBreak/>
        <w:tab/>
        <w:t>[</w:t>
      </w:r>
      <w:r w:rsidRPr="00F22D02">
        <w:rPr>
          <w:smallCaps/>
          <w:lang w:val="fr-CA"/>
        </w:rPr>
        <w:t>traduction</w:t>
      </w:r>
      <w:r w:rsidRPr="00F22D02">
        <w:rPr>
          <w:lang w:val="fr-CA"/>
        </w:rPr>
        <w:t>]  [</w:t>
      </w:r>
      <w:proofErr w:type="gramStart"/>
      <w:r w:rsidRPr="00F22D02">
        <w:rPr>
          <w:lang w:val="fr-CA"/>
        </w:rPr>
        <w:t>l]</w:t>
      </w:r>
      <w:proofErr w:type="gramEnd"/>
      <w:r w:rsidRPr="00F22D02">
        <w:rPr>
          <w:lang w:val="fr-CA"/>
        </w:rPr>
        <w:t xml:space="preserve">es appelants et </w:t>
      </w:r>
      <w:proofErr w:type="spellStart"/>
      <w:r w:rsidRPr="00F22D02">
        <w:rPr>
          <w:lang w:val="fr-CA"/>
        </w:rPr>
        <w:t>Lising</w:t>
      </w:r>
      <w:proofErr w:type="spellEnd"/>
      <w:r w:rsidRPr="00F22D02">
        <w:rPr>
          <w:lang w:val="fr-CA"/>
        </w:rPr>
        <w:t xml:space="preserve"> avaient proposé au jury un autre motif de les acquitter des chefs d’accusation d’infractions d’organisation criminelle en soutenant que, s’ils avaient commis les infractions matérielles, ils ne les avaient pas commises « au profit ou sous la direction [des </w:t>
      </w:r>
      <w:proofErr w:type="spellStart"/>
      <w:r w:rsidRPr="00F22D02">
        <w:rPr>
          <w:lang w:val="fr-CA"/>
        </w:rPr>
        <w:t>Hells</w:t>
      </w:r>
      <w:proofErr w:type="spellEnd"/>
      <w:r w:rsidRPr="00F22D02">
        <w:rPr>
          <w:lang w:val="fr-CA"/>
        </w:rPr>
        <w:t xml:space="preserve"> </w:t>
      </w:r>
      <w:proofErr w:type="spellStart"/>
      <w:r w:rsidRPr="00F22D02">
        <w:rPr>
          <w:lang w:val="fr-CA"/>
        </w:rPr>
        <w:t>Angels</w:t>
      </w:r>
      <w:proofErr w:type="spellEnd"/>
      <w:r w:rsidRPr="00F22D02">
        <w:rPr>
          <w:lang w:val="fr-CA"/>
        </w:rPr>
        <w:t>], ou en assoc</w:t>
      </w:r>
      <w:r w:rsidR="00F5781A">
        <w:rPr>
          <w:lang w:val="fr-CA"/>
        </w:rPr>
        <w:t>iation avec [eux] ».  [</w:t>
      </w:r>
      <w:proofErr w:type="gramStart"/>
      <w:r w:rsidR="00F5781A">
        <w:rPr>
          <w:lang w:val="fr-CA"/>
        </w:rPr>
        <w:t>m.a.,</w:t>
      </w:r>
      <w:proofErr w:type="gramEnd"/>
      <w:r w:rsidR="00F5781A">
        <w:rPr>
          <w:lang w:val="fr-CA"/>
        </w:rPr>
        <w:t xml:space="preserve"> </w:t>
      </w:r>
      <w:r w:rsidRPr="00F22D02">
        <w:rPr>
          <w:lang w:val="fr-CA"/>
        </w:rPr>
        <w:t xml:space="preserve">par. 23] </w:t>
      </w:r>
    </w:p>
    <w:p w:rsidR="00BB461A" w:rsidRPr="00F22D02" w:rsidRDefault="00BB461A" w:rsidP="00BB461A">
      <w:pPr>
        <w:pStyle w:val="ParaNoNdepar-AltN"/>
        <w:tabs>
          <w:tab w:val="clear" w:pos="1152"/>
          <w:tab w:val="left" w:pos="1166"/>
        </w:tabs>
        <w:rPr>
          <w:lang w:val="fr-CA"/>
        </w:rPr>
      </w:pPr>
      <w:r w:rsidRPr="00F22D02">
        <w:rPr>
          <w:lang w:val="fr-CA"/>
        </w:rPr>
        <w:t xml:space="preserve">En résumé, il y a au moins deux explications logiques au verdict de </w:t>
      </w:r>
      <w:proofErr w:type="spellStart"/>
      <w:r w:rsidRPr="00F22D02">
        <w:rPr>
          <w:lang w:val="fr-CA"/>
        </w:rPr>
        <w:t>non</w:t>
      </w:r>
      <w:r w:rsidRPr="00F22D02">
        <w:rPr>
          <w:lang w:val="fr-CA"/>
        </w:rPr>
        <w:noBreakHyphen/>
        <w:t>culpabilité</w:t>
      </w:r>
      <w:proofErr w:type="spellEnd"/>
      <w:r w:rsidRPr="00F22D02">
        <w:rPr>
          <w:lang w:val="fr-CA"/>
        </w:rPr>
        <w:t xml:space="preserve"> pour chacun des chefs d’accusation d’infraction d’organisation criminelle.  Cela signifie qu’un juge ne peut inférer du verdict du jury, comme l’exige l’arrêt </w:t>
      </w:r>
      <w:proofErr w:type="spellStart"/>
      <w:r w:rsidRPr="00F22D02">
        <w:rPr>
          <w:i/>
          <w:lang w:val="fr-CA"/>
        </w:rPr>
        <w:t>Mahalingan</w:t>
      </w:r>
      <w:proofErr w:type="spellEnd"/>
      <w:r w:rsidRPr="00F22D02">
        <w:rPr>
          <w:lang w:val="fr-CA"/>
        </w:rPr>
        <w:t xml:space="preserve">, que les jurés ont nécessairement conclu que les </w:t>
      </w:r>
      <w:proofErr w:type="spellStart"/>
      <w:r w:rsidRPr="00F22D02">
        <w:rPr>
          <w:lang w:val="fr-CA"/>
        </w:rPr>
        <w:t>Hells</w:t>
      </w:r>
      <w:proofErr w:type="spellEnd"/>
      <w:r w:rsidRPr="00F22D02">
        <w:rPr>
          <w:lang w:val="fr-CA"/>
        </w:rPr>
        <w:t xml:space="preserve"> </w:t>
      </w:r>
      <w:proofErr w:type="spellStart"/>
      <w:r w:rsidRPr="00F22D02">
        <w:rPr>
          <w:lang w:val="fr-CA"/>
        </w:rPr>
        <w:t>Angels</w:t>
      </w:r>
      <w:proofErr w:type="spellEnd"/>
      <w:r w:rsidRPr="00F22D02">
        <w:rPr>
          <w:lang w:val="fr-CA"/>
        </w:rPr>
        <w:t xml:space="preserve"> n’étaient pas une organisation criminelle.  Comme l’a souligné l’avocat de M. Punko, un verdict d’acquittement pouvait être prononcé en empruntant deux voies distinctes.  </w:t>
      </w:r>
    </w:p>
    <w:p w:rsidR="00BB461A" w:rsidRPr="00F22D02" w:rsidRDefault="00BB461A" w:rsidP="00BB461A">
      <w:pPr>
        <w:pStyle w:val="ParaNoNdepar-AltN"/>
        <w:tabs>
          <w:tab w:val="clear" w:pos="1152"/>
          <w:tab w:val="left" w:pos="1166"/>
        </w:tabs>
        <w:rPr>
          <w:lang w:val="fr-CA"/>
        </w:rPr>
      </w:pPr>
      <w:r w:rsidRPr="00F22D02">
        <w:rPr>
          <w:lang w:val="fr-CA"/>
        </w:rPr>
        <w:t xml:space="preserve">Le juge </w:t>
      </w:r>
      <w:proofErr w:type="spellStart"/>
      <w:r w:rsidRPr="00F22D02">
        <w:rPr>
          <w:lang w:val="fr-CA"/>
        </w:rPr>
        <w:t>Leask</w:t>
      </w:r>
      <w:proofErr w:type="spellEnd"/>
      <w:r w:rsidRPr="00F22D02">
        <w:rPr>
          <w:lang w:val="fr-CA"/>
        </w:rPr>
        <w:t xml:space="preserve"> a accordé un poids considérable à la conclusion du juge Romilly que M. </w:t>
      </w:r>
      <w:proofErr w:type="spellStart"/>
      <w:r w:rsidRPr="00F22D02">
        <w:rPr>
          <w:lang w:val="fr-CA"/>
        </w:rPr>
        <w:t>Potts</w:t>
      </w:r>
      <w:proofErr w:type="spellEnd"/>
      <w:r w:rsidRPr="00F22D02">
        <w:rPr>
          <w:lang w:val="fr-CA"/>
        </w:rPr>
        <w:t xml:space="preserve"> avait détenu des armes pour les </w:t>
      </w:r>
      <w:proofErr w:type="spellStart"/>
      <w:r w:rsidRPr="00F22D02">
        <w:rPr>
          <w:lang w:val="fr-CA"/>
        </w:rPr>
        <w:t>Hells</w:t>
      </w:r>
      <w:proofErr w:type="spellEnd"/>
      <w:r w:rsidRPr="00F22D02">
        <w:rPr>
          <w:lang w:val="fr-CA"/>
        </w:rPr>
        <w:t xml:space="preserve"> </w:t>
      </w:r>
      <w:proofErr w:type="spellStart"/>
      <w:r w:rsidRPr="00F22D02">
        <w:rPr>
          <w:lang w:val="fr-CA"/>
        </w:rPr>
        <w:t>Angels</w:t>
      </w:r>
      <w:proofErr w:type="spellEnd"/>
      <w:r w:rsidRPr="00F22D02">
        <w:rPr>
          <w:lang w:val="fr-CA"/>
        </w:rPr>
        <w:t xml:space="preserve"> et que M. Violette avait agi en leur nom.  Cependant, peu importe que le juge Romilly ait alors constaté lui-même des faits en vertu de l’al. 724(2)</w:t>
      </w:r>
      <w:r w:rsidRPr="00F22D02">
        <w:rPr>
          <w:i/>
          <w:lang w:val="fr-CA"/>
        </w:rPr>
        <w:t>b</w:t>
      </w:r>
      <w:r w:rsidRPr="00F22D02">
        <w:rPr>
          <w:lang w:val="fr-CA"/>
        </w:rPr>
        <w:t xml:space="preserve">) </w:t>
      </w:r>
      <w:r w:rsidRPr="00F22D02">
        <w:rPr>
          <w:i/>
          <w:lang w:val="fr-CA"/>
        </w:rPr>
        <w:t xml:space="preserve">C. </w:t>
      </w:r>
      <w:proofErr w:type="spellStart"/>
      <w:r w:rsidRPr="00F22D02">
        <w:rPr>
          <w:i/>
          <w:lang w:val="fr-CA"/>
        </w:rPr>
        <w:t>cr</w:t>
      </w:r>
      <w:proofErr w:type="spellEnd"/>
      <w:r w:rsidRPr="00F22D02">
        <w:rPr>
          <w:i/>
          <w:lang w:val="fr-CA"/>
        </w:rPr>
        <w:t xml:space="preserve">. </w:t>
      </w:r>
      <w:r w:rsidRPr="00F22D02">
        <w:rPr>
          <w:lang w:val="fr-CA"/>
        </w:rPr>
        <w:t>ou qu’il ait</w:t>
      </w:r>
      <w:r w:rsidRPr="00F22D02">
        <w:rPr>
          <w:i/>
          <w:lang w:val="fr-CA"/>
        </w:rPr>
        <w:t xml:space="preserve"> </w:t>
      </w:r>
      <w:r w:rsidRPr="00F22D02">
        <w:rPr>
          <w:lang w:val="fr-CA"/>
        </w:rPr>
        <w:t xml:space="preserve">interprété le verdict du jury, cette conclusion n’aide pas les appelants à établir qu’il y a </w:t>
      </w:r>
      <w:proofErr w:type="spellStart"/>
      <w:r w:rsidRPr="00F22D02">
        <w:rPr>
          <w:lang w:val="fr-CA"/>
        </w:rPr>
        <w:t>préclusion</w:t>
      </w:r>
      <w:proofErr w:type="spellEnd"/>
      <w:r w:rsidRPr="00F22D02">
        <w:rPr>
          <w:lang w:val="fr-CA"/>
        </w:rPr>
        <w:t xml:space="preserve"> découlant d’une question déjà tranchée.  Premièrement, comme je l’ai mentionné plus tôt, les faits que le juge chargé de déterminer la peine </w:t>
      </w:r>
      <w:proofErr w:type="gramStart"/>
      <w:r w:rsidRPr="00F22D02">
        <w:rPr>
          <w:lang w:val="fr-CA"/>
        </w:rPr>
        <w:t>constate</w:t>
      </w:r>
      <w:proofErr w:type="gramEnd"/>
      <w:r w:rsidRPr="00F22D02">
        <w:rPr>
          <w:lang w:val="fr-CA"/>
        </w:rPr>
        <w:t xml:space="preserve"> à cette fin en vertu de l’al. 724(2)</w:t>
      </w:r>
      <w:r w:rsidRPr="00F22D02">
        <w:rPr>
          <w:i/>
          <w:lang w:val="fr-CA"/>
        </w:rPr>
        <w:t>b</w:t>
      </w:r>
      <w:r w:rsidRPr="00F22D02">
        <w:rPr>
          <w:lang w:val="fr-CA"/>
        </w:rPr>
        <w:t xml:space="preserve">) ne peuvent servir de fondement valable à la </w:t>
      </w:r>
      <w:proofErr w:type="spellStart"/>
      <w:r w:rsidRPr="00F22D02">
        <w:rPr>
          <w:lang w:val="fr-CA"/>
        </w:rPr>
        <w:t>préclusion</w:t>
      </w:r>
      <w:proofErr w:type="spellEnd"/>
      <w:r w:rsidRPr="00F22D02">
        <w:rPr>
          <w:lang w:val="fr-CA"/>
        </w:rPr>
        <w:t xml:space="preserve"> découlant d’une question déjà tranchée.  Deuxièmement, aucune constatation de fait qui se dégagerait implicitement du verdict du jury, selon l’explication qu’en donne le juge de détermination de la peine, ne peut remplacer la conclusion tirée par un juge sur </w:t>
      </w:r>
      <w:r w:rsidRPr="00F22D02">
        <w:rPr>
          <w:lang w:val="fr-CA"/>
        </w:rPr>
        <w:lastRenderedPageBreak/>
        <w:t xml:space="preserve">présentation d’une requête en </w:t>
      </w:r>
      <w:proofErr w:type="spellStart"/>
      <w:r w:rsidRPr="00F22D02">
        <w:rPr>
          <w:lang w:val="fr-CA"/>
        </w:rPr>
        <w:t>préclusion</w:t>
      </w:r>
      <w:proofErr w:type="spellEnd"/>
      <w:r w:rsidRPr="00F22D02">
        <w:rPr>
          <w:lang w:val="fr-CA"/>
        </w:rPr>
        <w:t xml:space="preserve"> que la question a déjà été tranchée en faveur de l’accusé, suivant la norme de la nécessité logique.  Il importe de souligner ici que, comme les constatations du juge Romilly ne peuvent découler que de la décision du jury d’</w:t>
      </w:r>
      <w:r w:rsidRPr="00F22D02">
        <w:rPr>
          <w:i/>
          <w:lang w:val="fr-CA"/>
        </w:rPr>
        <w:t>acquitter</w:t>
      </w:r>
      <w:r w:rsidRPr="00F22D02">
        <w:rPr>
          <w:lang w:val="fr-CA"/>
        </w:rPr>
        <w:t xml:space="preserve"> les accusés des chefs d’accusation d’infractions d’organisation criminelle, elles ne peuvent avoir été faites en application de l’al. 724(2)</w:t>
      </w:r>
      <w:r w:rsidRPr="00F22D02">
        <w:rPr>
          <w:i/>
          <w:lang w:val="fr-CA"/>
        </w:rPr>
        <w:t>a</w:t>
      </w:r>
      <w:r w:rsidRPr="00F22D02">
        <w:rPr>
          <w:lang w:val="fr-CA"/>
        </w:rPr>
        <w:t xml:space="preserve">).  Quoi qu’il en soit, il est impossible d’affirmer que les constatations du juge Romilly découlent nécessairement de l’acquittement, puisqu’il existait au moins deux explications logiques aux acquittements prononcés par le jury relativement aux chefs d’accusation d’infractions d’organisation criminelle.  Lorsqu’il a examiné les requêtes fondées sur la </w:t>
      </w:r>
      <w:proofErr w:type="spellStart"/>
      <w:r w:rsidRPr="00F22D02">
        <w:rPr>
          <w:lang w:val="fr-CA"/>
        </w:rPr>
        <w:t>préclusion</w:t>
      </w:r>
      <w:proofErr w:type="spellEnd"/>
      <w:r w:rsidRPr="00F22D02">
        <w:rPr>
          <w:lang w:val="fr-CA"/>
        </w:rPr>
        <w:t xml:space="preserve"> découlant d’une question déjà tranchée, le juge </w:t>
      </w:r>
      <w:proofErr w:type="spellStart"/>
      <w:r w:rsidRPr="00F22D02">
        <w:rPr>
          <w:lang w:val="fr-CA"/>
        </w:rPr>
        <w:t>Leask</w:t>
      </w:r>
      <w:proofErr w:type="spellEnd"/>
      <w:r w:rsidRPr="00F22D02">
        <w:rPr>
          <w:lang w:val="fr-CA"/>
        </w:rPr>
        <w:t xml:space="preserve"> ne pouvait conclure que le verdict d’acquittement prononcé par le jury supposait logiquement la constatation que les </w:t>
      </w:r>
      <w:proofErr w:type="spellStart"/>
      <w:r w:rsidRPr="00F22D02">
        <w:rPr>
          <w:lang w:val="fr-CA"/>
        </w:rPr>
        <w:t>Hells</w:t>
      </w:r>
      <w:proofErr w:type="spellEnd"/>
      <w:r w:rsidRPr="00F22D02">
        <w:rPr>
          <w:lang w:val="fr-CA"/>
        </w:rPr>
        <w:t xml:space="preserve"> </w:t>
      </w:r>
      <w:proofErr w:type="spellStart"/>
      <w:r w:rsidRPr="00F22D02">
        <w:rPr>
          <w:lang w:val="fr-CA"/>
        </w:rPr>
        <w:t>Angels</w:t>
      </w:r>
      <w:proofErr w:type="spellEnd"/>
      <w:r w:rsidRPr="00F22D02">
        <w:rPr>
          <w:lang w:val="fr-CA"/>
        </w:rPr>
        <w:t xml:space="preserve"> n’étaient pas une organisation criminelle.  Les constatations de fait du juge Romilly nous éclairent seulement sur son propre raisonnement, et non sur celui des jurés, et elles n’offrent pas l’appui que le juge </w:t>
      </w:r>
      <w:proofErr w:type="spellStart"/>
      <w:r w:rsidRPr="00F22D02">
        <w:rPr>
          <w:lang w:val="fr-CA"/>
        </w:rPr>
        <w:t>Leask</w:t>
      </w:r>
      <w:proofErr w:type="spellEnd"/>
      <w:r w:rsidRPr="00F22D02">
        <w:rPr>
          <w:lang w:val="fr-CA"/>
        </w:rPr>
        <w:t xml:space="preserve"> a trouvé en elles.  </w:t>
      </w:r>
    </w:p>
    <w:p w:rsidR="00BB461A" w:rsidRPr="00F22D02" w:rsidRDefault="00BB461A" w:rsidP="00BB461A">
      <w:pPr>
        <w:pStyle w:val="ParaNoNdepar-AltN"/>
        <w:tabs>
          <w:tab w:val="clear" w:pos="1152"/>
          <w:tab w:val="left" w:pos="1166"/>
        </w:tabs>
        <w:rPr>
          <w:lang w:val="fr-CA"/>
        </w:rPr>
      </w:pPr>
      <w:r w:rsidRPr="00F22D02">
        <w:rPr>
          <w:lang w:val="fr-CA"/>
        </w:rPr>
        <w:t xml:space="preserve">M. Punko invoque une raison de principe pour justifier en l’espèce l’application de la doctrine de la </w:t>
      </w:r>
      <w:proofErr w:type="spellStart"/>
      <w:r w:rsidRPr="00F22D02">
        <w:rPr>
          <w:lang w:val="fr-CA"/>
        </w:rPr>
        <w:t>préclusion</w:t>
      </w:r>
      <w:proofErr w:type="spellEnd"/>
      <w:r w:rsidRPr="00F22D02">
        <w:rPr>
          <w:lang w:val="fr-CA"/>
        </w:rPr>
        <w:t xml:space="preserve"> découlant d’une question déjà tranchée.  Il affirme que, comme le ministère public provincial a soutenu avec succès devant le juge Romilly à l’audience de détermination de la peine que les accusés avaient agi pour le compte des </w:t>
      </w:r>
      <w:proofErr w:type="spellStart"/>
      <w:r w:rsidRPr="00F22D02">
        <w:rPr>
          <w:lang w:val="fr-CA"/>
        </w:rPr>
        <w:t>Hells</w:t>
      </w:r>
      <w:proofErr w:type="spellEnd"/>
      <w:r w:rsidRPr="00F22D02">
        <w:rPr>
          <w:lang w:val="fr-CA"/>
        </w:rPr>
        <w:t xml:space="preserve"> </w:t>
      </w:r>
      <w:proofErr w:type="spellStart"/>
      <w:r w:rsidRPr="00F22D02">
        <w:rPr>
          <w:lang w:val="fr-CA"/>
        </w:rPr>
        <w:t>Angels</w:t>
      </w:r>
      <w:proofErr w:type="spellEnd"/>
      <w:r w:rsidRPr="00F22D02">
        <w:rPr>
          <w:lang w:val="fr-CA"/>
        </w:rPr>
        <w:t xml:space="preserve">, le ministère public fédéral devrait, en principe, être tenu de reconnaître que le jury les a acquittés parce qu’il avait un doute raisonnable pour ce qui est de savoir si les </w:t>
      </w:r>
      <w:proofErr w:type="spellStart"/>
      <w:r w:rsidRPr="00F22D02">
        <w:rPr>
          <w:lang w:val="fr-CA"/>
        </w:rPr>
        <w:t>Hells</w:t>
      </w:r>
      <w:proofErr w:type="spellEnd"/>
      <w:r w:rsidRPr="00F22D02">
        <w:rPr>
          <w:lang w:val="fr-CA"/>
        </w:rPr>
        <w:t xml:space="preserve"> </w:t>
      </w:r>
      <w:proofErr w:type="spellStart"/>
      <w:r w:rsidRPr="00F22D02">
        <w:rPr>
          <w:lang w:val="fr-CA"/>
        </w:rPr>
        <w:t>Angels</w:t>
      </w:r>
      <w:proofErr w:type="spellEnd"/>
      <w:r w:rsidRPr="00F22D02">
        <w:rPr>
          <w:lang w:val="fr-CA"/>
        </w:rPr>
        <w:t xml:space="preserve"> étaient une organisation criminelle.  De </w:t>
      </w:r>
      <w:r w:rsidRPr="00F22D02">
        <w:rPr>
          <w:lang w:val="fr-CA"/>
        </w:rPr>
        <w:lastRenderedPageBreak/>
        <w:t xml:space="preserve">l’avis de M. Punko, il est inéquitable envers les accusés que le ministère public fédéral soutienne maintenant que les </w:t>
      </w:r>
      <w:proofErr w:type="spellStart"/>
      <w:r w:rsidRPr="00F22D02">
        <w:rPr>
          <w:lang w:val="fr-CA"/>
        </w:rPr>
        <w:t>Hells</w:t>
      </w:r>
      <w:proofErr w:type="spellEnd"/>
      <w:r w:rsidRPr="00F22D02">
        <w:rPr>
          <w:lang w:val="fr-CA"/>
        </w:rPr>
        <w:t xml:space="preserve"> </w:t>
      </w:r>
      <w:proofErr w:type="spellStart"/>
      <w:r w:rsidRPr="00F22D02">
        <w:rPr>
          <w:lang w:val="fr-CA"/>
        </w:rPr>
        <w:t>Angels</w:t>
      </w:r>
      <w:proofErr w:type="spellEnd"/>
      <w:r w:rsidRPr="00F22D02">
        <w:rPr>
          <w:lang w:val="fr-CA"/>
        </w:rPr>
        <w:t xml:space="preserve"> sont une org</w:t>
      </w:r>
      <w:r w:rsidR="001722B5">
        <w:rPr>
          <w:lang w:val="fr-CA"/>
        </w:rPr>
        <w:t>anisation criminelle (</w:t>
      </w:r>
      <w:proofErr w:type="gramStart"/>
      <w:r w:rsidR="001722B5">
        <w:rPr>
          <w:lang w:val="fr-CA"/>
        </w:rPr>
        <w:t>d.a.,</w:t>
      </w:r>
      <w:proofErr w:type="gramEnd"/>
      <w:r w:rsidR="001722B5">
        <w:rPr>
          <w:lang w:val="fr-CA"/>
        </w:rPr>
        <w:t xml:space="preserve"> </w:t>
      </w:r>
      <w:r w:rsidR="008D0561">
        <w:rPr>
          <w:lang w:val="fr-CA"/>
        </w:rPr>
        <w:t>par. 122-</w:t>
      </w:r>
      <w:r w:rsidRPr="00F22D02">
        <w:rPr>
          <w:lang w:val="fr-CA"/>
        </w:rPr>
        <w:t>124)</w:t>
      </w:r>
      <w:r w:rsidRPr="00F22D02">
        <w:rPr>
          <w:rFonts w:cs="Times New Roman"/>
          <w:szCs w:val="24"/>
          <w:lang w:val="fr-CA"/>
        </w:rPr>
        <w:t>.</w:t>
      </w:r>
      <w:r w:rsidRPr="00F22D02">
        <w:rPr>
          <w:lang w:val="fr-CA"/>
        </w:rPr>
        <w:t xml:space="preserve"> </w:t>
      </w:r>
    </w:p>
    <w:p w:rsidR="00BB461A" w:rsidRPr="00F22D02" w:rsidRDefault="00BB461A" w:rsidP="00BB461A">
      <w:pPr>
        <w:pStyle w:val="ParaNoNdepar-AltN"/>
        <w:tabs>
          <w:tab w:val="clear" w:pos="1152"/>
          <w:tab w:val="left" w:pos="1166"/>
        </w:tabs>
        <w:rPr>
          <w:lang w:val="fr-CA"/>
        </w:rPr>
      </w:pPr>
      <w:r w:rsidRPr="00F22D02">
        <w:rPr>
          <w:lang w:val="fr-CA"/>
        </w:rPr>
        <w:t xml:space="preserve">À mon avis, si les positions des ministères publics fédéral et provincial soulèvent une question d’équité, </w:t>
      </w:r>
      <w:proofErr w:type="spellStart"/>
      <w:r w:rsidRPr="00F22D02">
        <w:rPr>
          <w:lang w:val="fr-CA"/>
        </w:rPr>
        <w:t>celle</w:t>
      </w:r>
      <w:r w:rsidRPr="00F22D02">
        <w:rPr>
          <w:lang w:val="fr-CA"/>
        </w:rPr>
        <w:noBreakHyphen/>
        <w:t>ci</w:t>
      </w:r>
      <w:proofErr w:type="spellEnd"/>
      <w:r w:rsidRPr="00F22D02">
        <w:rPr>
          <w:lang w:val="fr-CA"/>
        </w:rPr>
        <w:t xml:space="preserve"> ne peut être résolue par l’application de la doctrine restreinte de la </w:t>
      </w:r>
      <w:proofErr w:type="spellStart"/>
      <w:r w:rsidRPr="00F22D02">
        <w:rPr>
          <w:lang w:val="fr-CA"/>
        </w:rPr>
        <w:t>préclusion</w:t>
      </w:r>
      <w:proofErr w:type="spellEnd"/>
      <w:r w:rsidRPr="00F22D02">
        <w:rPr>
          <w:lang w:val="fr-CA"/>
        </w:rPr>
        <w:t xml:space="preserve"> découlant d’une question déjà tranchée.  En droit criminel canadien, cette </w:t>
      </w:r>
      <w:proofErr w:type="spellStart"/>
      <w:r w:rsidRPr="00F22D02">
        <w:rPr>
          <w:lang w:val="fr-CA"/>
        </w:rPr>
        <w:t>préclusion</w:t>
      </w:r>
      <w:proofErr w:type="spellEnd"/>
      <w:r w:rsidRPr="00F22D02">
        <w:rPr>
          <w:lang w:val="fr-CA"/>
        </w:rPr>
        <w:t xml:space="preserve"> garantit seulement à l’accusé qu’il n’aura pas à répondre à des questions </w:t>
      </w:r>
      <w:r w:rsidRPr="00F22D02">
        <w:rPr>
          <w:i/>
          <w:lang w:val="fr-CA"/>
        </w:rPr>
        <w:t>déjà tranchées</w:t>
      </w:r>
      <w:r w:rsidRPr="00F22D02">
        <w:rPr>
          <w:lang w:val="fr-CA"/>
        </w:rPr>
        <w:t xml:space="preserve"> en sa faveur.  Si la conduite du ministère public en l’espèce était jugée suffisamment répréhensible, la doctrine de l’abus de procédure pourrait offrir une protection contre la remise en cause d’une question.  De plus, si la poursuite fédérale se solde par un verdict de culpabilité quelconque, le juge chargé de déterminer la peine pourra tenir compte de toutes les circonstances de la déclaration de culpabilité, y compris de la peine infligée par le juge Romilly, s’il est d’avis que les accusations sont </w:t>
      </w:r>
      <w:proofErr w:type="spellStart"/>
      <w:r w:rsidRPr="00F22D02">
        <w:rPr>
          <w:lang w:val="fr-CA"/>
        </w:rPr>
        <w:t>interreliées</w:t>
      </w:r>
      <w:proofErr w:type="spellEnd"/>
      <w:r w:rsidRPr="00F22D02">
        <w:rPr>
          <w:lang w:val="fr-CA"/>
        </w:rPr>
        <w:t xml:space="preserve"> </w:t>
      </w:r>
      <w:r w:rsidRPr="00F22D02">
        <w:rPr>
          <w:rFonts w:cs="Times New Roman"/>
          <w:szCs w:val="24"/>
          <w:lang w:val="fr-CA"/>
        </w:rPr>
        <w:t>(al. 725(1</w:t>
      </w:r>
      <w:proofErr w:type="gramStart"/>
      <w:r w:rsidRPr="00F22D02">
        <w:rPr>
          <w:rFonts w:cs="Times New Roman"/>
          <w:szCs w:val="24"/>
          <w:lang w:val="fr-CA"/>
        </w:rPr>
        <w:t>)</w:t>
      </w:r>
      <w:r w:rsidRPr="00F22D02">
        <w:rPr>
          <w:rFonts w:cs="Times New Roman"/>
          <w:i/>
          <w:szCs w:val="24"/>
          <w:lang w:val="fr-CA"/>
        </w:rPr>
        <w:t>c</w:t>
      </w:r>
      <w:proofErr w:type="gramEnd"/>
      <w:r w:rsidRPr="00F22D02">
        <w:rPr>
          <w:rFonts w:cs="Times New Roman"/>
          <w:szCs w:val="24"/>
          <w:lang w:val="fr-CA"/>
        </w:rPr>
        <w:t xml:space="preserve">) </w:t>
      </w:r>
      <w:r w:rsidRPr="00F22D02">
        <w:rPr>
          <w:rFonts w:cs="Times New Roman"/>
          <w:i/>
          <w:szCs w:val="24"/>
          <w:lang w:val="fr-CA"/>
        </w:rPr>
        <w:t xml:space="preserve">C. </w:t>
      </w:r>
      <w:proofErr w:type="spellStart"/>
      <w:r w:rsidRPr="00F22D02">
        <w:rPr>
          <w:rFonts w:cs="Times New Roman"/>
          <w:i/>
          <w:szCs w:val="24"/>
          <w:lang w:val="fr-CA"/>
        </w:rPr>
        <w:t>cr</w:t>
      </w:r>
      <w:proofErr w:type="spellEnd"/>
      <w:r w:rsidRPr="00F22D02">
        <w:rPr>
          <w:rFonts w:cs="Times New Roman"/>
          <w:i/>
          <w:szCs w:val="24"/>
          <w:lang w:val="fr-CA"/>
        </w:rPr>
        <w:t>.</w:t>
      </w:r>
      <w:r w:rsidRPr="00F22D02">
        <w:rPr>
          <w:rFonts w:cs="Times New Roman"/>
          <w:szCs w:val="24"/>
          <w:lang w:val="fr-CA"/>
        </w:rPr>
        <w:t>).</w:t>
      </w:r>
      <w:r w:rsidRPr="00F22D02">
        <w:rPr>
          <w:lang w:val="fr-CA"/>
        </w:rPr>
        <w:t xml:space="preserve"> </w:t>
      </w:r>
    </w:p>
    <w:p w:rsidR="00BB461A" w:rsidRPr="00F22D02" w:rsidRDefault="00BB461A" w:rsidP="00BB461A">
      <w:pPr>
        <w:pStyle w:val="ParaNoNdepar-AltN"/>
        <w:tabs>
          <w:tab w:val="clear" w:pos="1152"/>
          <w:tab w:val="left" w:pos="1166"/>
        </w:tabs>
        <w:rPr>
          <w:lang w:val="fr-CA"/>
        </w:rPr>
      </w:pPr>
      <w:r w:rsidRPr="00F22D02">
        <w:rPr>
          <w:lang w:val="fr-CA"/>
        </w:rPr>
        <w:t xml:space="preserve">En conclusion, il semble utile de rappeler la mention, dans l’arrêt </w:t>
      </w:r>
      <w:proofErr w:type="spellStart"/>
      <w:r w:rsidRPr="00F22D02">
        <w:rPr>
          <w:i/>
          <w:lang w:val="fr-CA"/>
        </w:rPr>
        <w:t>Mahalingan</w:t>
      </w:r>
      <w:proofErr w:type="spellEnd"/>
      <w:r w:rsidRPr="00F22D02">
        <w:rPr>
          <w:i/>
          <w:lang w:val="fr-CA"/>
        </w:rPr>
        <w:t xml:space="preserve"> </w:t>
      </w:r>
      <w:r w:rsidRPr="00F22D02">
        <w:rPr>
          <w:lang w:val="fr-CA"/>
        </w:rPr>
        <w:t xml:space="preserve">(par. 24 et 54), du fait qu’il est rare, dans le cas d’un procès devant jury soulevant plus d’une question, qu’un acquittement serve de fondement à la </w:t>
      </w:r>
      <w:proofErr w:type="spellStart"/>
      <w:r w:rsidRPr="00F22D02">
        <w:rPr>
          <w:lang w:val="fr-CA"/>
        </w:rPr>
        <w:t>préclusion</w:t>
      </w:r>
      <w:proofErr w:type="spellEnd"/>
      <w:r w:rsidRPr="00F22D02">
        <w:rPr>
          <w:lang w:val="fr-CA"/>
        </w:rPr>
        <w:t xml:space="preserve"> découlant d’une question déjà tranchée parce qu’un tel verdict pourra souvent être expliqué de plus d’une façon et que les jurés pourront avoir emprunté individuellement des chemins différents pour parvenir à un verdict unanime.  Les présents pourvois illustrent bien cette situation.</w:t>
      </w:r>
    </w:p>
    <w:p w:rsidR="00BB461A" w:rsidRDefault="00BB461A" w:rsidP="00BB461A">
      <w:pPr>
        <w:pStyle w:val="ParaNoNdepar-AltN"/>
        <w:tabs>
          <w:tab w:val="clear" w:pos="1152"/>
          <w:tab w:val="left" w:pos="1166"/>
        </w:tabs>
        <w:rPr>
          <w:lang w:val="fr-CA"/>
        </w:rPr>
      </w:pPr>
      <w:r w:rsidRPr="00F22D02">
        <w:rPr>
          <w:lang w:val="fr-CA"/>
        </w:rPr>
        <w:lastRenderedPageBreak/>
        <w:t xml:space="preserve">Je suis d’avis de rejeter les pourvois.  </w:t>
      </w:r>
    </w:p>
    <w:p w:rsidR="00BB461A" w:rsidRPr="00EF389F" w:rsidRDefault="00BB461A" w:rsidP="00BB461A">
      <w:pPr>
        <w:pStyle w:val="JudgeJuge"/>
        <w:spacing w:before="240" w:after="720" w:line="240" w:lineRule="auto"/>
        <w:rPr>
          <w:smallCaps w:val="0"/>
          <w:lang w:val="fr-CA"/>
        </w:rPr>
      </w:pPr>
      <w:r w:rsidRPr="005D0220">
        <w:rPr>
          <w:lang w:val="fr-CA"/>
        </w:rPr>
        <w:tab/>
      </w:r>
      <w:r w:rsidR="00EF389F">
        <w:rPr>
          <w:smallCaps w:val="0"/>
          <w:lang w:val="fr-CA"/>
        </w:rPr>
        <w:t>Version française des motifs rendus par</w:t>
      </w:r>
    </w:p>
    <w:p w:rsidR="00BB461A" w:rsidRPr="005D0220" w:rsidRDefault="00EF389F" w:rsidP="00BB461A">
      <w:pPr>
        <w:pStyle w:val="ParaNoNdepar-AltN"/>
        <w:rPr>
          <w:lang w:val="fr-CA"/>
        </w:rPr>
      </w:pPr>
      <w:r w:rsidRPr="00EF389F">
        <w:rPr>
          <w:smallCaps/>
          <w:lang w:val="fr-CA"/>
        </w:rPr>
        <w:t>Le juge Fish</w:t>
      </w:r>
      <w:r w:rsidRPr="005D0220">
        <w:rPr>
          <w:lang w:val="fr-CA"/>
        </w:rPr>
        <w:t xml:space="preserve"> — </w:t>
      </w:r>
      <w:r w:rsidR="00BB461A" w:rsidRPr="005D0220">
        <w:rPr>
          <w:lang w:val="fr-CA"/>
        </w:rPr>
        <w:t>Sauf en ce qui concerne la réserve suivante, je souscris aux motifs et à la conclusion de la juge Deschamps.</w:t>
      </w:r>
    </w:p>
    <w:p w:rsidR="00BB461A" w:rsidRPr="005D0220" w:rsidRDefault="00BB461A" w:rsidP="00BB461A">
      <w:pPr>
        <w:pStyle w:val="ParaNoNdepar-AltN"/>
        <w:tabs>
          <w:tab w:val="clear" w:pos="1152"/>
          <w:tab w:val="left" w:pos="1166"/>
        </w:tabs>
        <w:rPr>
          <w:lang w:val="fr-CA"/>
        </w:rPr>
      </w:pPr>
      <w:r w:rsidRPr="005D0220">
        <w:rPr>
          <w:lang w:val="fr-CA"/>
        </w:rPr>
        <w:t xml:space="preserve">Contrairement à ma collègue, et soit dit avec égards, je ne trancherais pas en l’espèce la question de savoir si, </w:t>
      </w:r>
      <w:r w:rsidRPr="005D0220">
        <w:rPr>
          <w:i/>
          <w:lang w:val="fr-CA"/>
        </w:rPr>
        <w:t>en principe</w:t>
      </w:r>
      <w:r w:rsidRPr="005D0220">
        <w:rPr>
          <w:lang w:val="fr-CA"/>
        </w:rPr>
        <w:t>, la constatation d’un fait par le tribunal qui détermine la peine en application de l’al. 724(2)</w:t>
      </w:r>
      <w:r w:rsidRPr="005D0220">
        <w:rPr>
          <w:i/>
          <w:lang w:val="fr-CA"/>
        </w:rPr>
        <w:t>b</w:t>
      </w:r>
      <w:r w:rsidRPr="005D0220">
        <w:rPr>
          <w:lang w:val="fr-CA"/>
        </w:rPr>
        <w:t xml:space="preserve">) du </w:t>
      </w:r>
      <w:r w:rsidRPr="005D0220">
        <w:rPr>
          <w:i/>
          <w:lang w:val="fr-CA"/>
        </w:rPr>
        <w:t>Code</w:t>
      </w:r>
      <w:r w:rsidRPr="005D0220">
        <w:rPr>
          <w:lang w:val="fr-CA"/>
        </w:rPr>
        <w:t xml:space="preserve"> </w:t>
      </w:r>
      <w:r w:rsidRPr="005D0220">
        <w:rPr>
          <w:i/>
          <w:lang w:val="fr-CA"/>
        </w:rPr>
        <w:t>criminel</w:t>
      </w:r>
      <w:r w:rsidRPr="005D0220">
        <w:rPr>
          <w:lang w:val="fr-CA"/>
        </w:rPr>
        <w:t>, L.R.C. 1985, ch. C</w:t>
      </w:r>
      <w:r w:rsidRPr="005D0220">
        <w:rPr>
          <w:lang w:val="fr-CA"/>
        </w:rPr>
        <w:noBreakHyphen/>
        <w:t xml:space="preserve">46, peut donner ouverture à la </w:t>
      </w:r>
      <w:proofErr w:type="spellStart"/>
      <w:r w:rsidRPr="005D0220">
        <w:rPr>
          <w:lang w:val="fr-CA"/>
        </w:rPr>
        <w:t>préclusion</w:t>
      </w:r>
      <w:proofErr w:type="spellEnd"/>
      <w:r w:rsidRPr="005D0220">
        <w:rPr>
          <w:lang w:val="fr-CA"/>
        </w:rPr>
        <w:t xml:space="preserve"> découlant d’une question déjà tranchée.</w:t>
      </w:r>
    </w:p>
    <w:p w:rsidR="00BB461A" w:rsidRPr="005D0220" w:rsidRDefault="00BB461A" w:rsidP="00BB461A">
      <w:pPr>
        <w:pStyle w:val="ParaNoNdepar-AltN"/>
        <w:tabs>
          <w:tab w:val="clear" w:pos="1152"/>
          <w:tab w:val="left" w:pos="1166"/>
        </w:tabs>
        <w:rPr>
          <w:lang w:val="fr-CA"/>
        </w:rPr>
      </w:pPr>
      <w:r w:rsidRPr="005D0220">
        <w:rPr>
          <w:lang w:val="fr-CA"/>
        </w:rPr>
        <w:t xml:space="preserve">Dans le cadre d’un procès devant juge et jury, comme celui tenu dans la présente affaire, il appartient au jury de faire les constatations de fait pertinentes pour rendre son verdict.  Par contre, en ce qui concerne les « autres faits pertinents qui ont été révélés lors du procès », le </w:t>
      </w:r>
      <w:r w:rsidRPr="005D0220">
        <w:rPr>
          <w:i/>
          <w:lang w:val="fr-CA"/>
        </w:rPr>
        <w:t xml:space="preserve">Code criminel </w:t>
      </w:r>
      <w:r w:rsidRPr="005D0220">
        <w:rPr>
          <w:lang w:val="fr-CA"/>
        </w:rPr>
        <w:t>permet expressément au tribunal qui détermine la peine, de « les accepter comme prouvés ou [de] permettre aux parties d’en faire la preuve » (al. 724(2</w:t>
      </w:r>
      <w:proofErr w:type="gramStart"/>
      <w:r w:rsidRPr="005D0220">
        <w:rPr>
          <w:lang w:val="fr-CA"/>
        </w:rPr>
        <w:t>)</w:t>
      </w:r>
      <w:r w:rsidRPr="005D0220">
        <w:rPr>
          <w:i/>
          <w:lang w:val="fr-CA"/>
        </w:rPr>
        <w:t>b</w:t>
      </w:r>
      <w:proofErr w:type="gramEnd"/>
      <w:r w:rsidRPr="005D0220">
        <w:rPr>
          <w:lang w:val="fr-CA"/>
        </w:rPr>
        <w:t xml:space="preserve">)).  </w:t>
      </w:r>
    </w:p>
    <w:p w:rsidR="00BB461A" w:rsidRPr="005D0220" w:rsidRDefault="00BB461A" w:rsidP="00BB461A">
      <w:pPr>
        <w:pStyle w:val="ParaNoNdepar-AltN"/>
        <w:tabs>
          <w:tab w:val="clear" w:pos="1152"/>
          <w:tab w:val="left" w:pos="1166"/>
        </w:tabs>
        <w:rPr>
          <w:lang w:val="fr-CA"/>
        </w:rPr>
      </w:pPr>
      <w:r w:rsidRPr="005D0220">
        <w:rPr>
          <w:lang w:val="fr-CA"/>
        </w:rPr>
        <w:t xml:space="preserve">Aucune raison de principe ne permet selon moi d’affirmer, comme le fait la juge Deschamps, que pareille constatation de fait — expressément prévue par le </w:t>
      </w:r>
      <w:r w:rsidRPr="005D0220">
        <w:rPr>
          <w:i/>
          <w:lang w:val="fr-CA"/>
        </w:rPr>
        <w:t>Code</w:t>
      </w:r>
      <w:r w:rsidRPr="005D0220">
        <w:rPr>
          <w:lang w:val="fr-CA"/>
        </w:rPr>
        <w:t xml:space="preserve"> et faite de façon indépendante par le tribunal compétent — ne pourrait jamais </w:t>
      </w:r>
      <w:r w:rsidRPr="005D0220">
        <w:rPr>
          <w:lang w:val="fr-CA"/>
        </w:rPr>
        <w:lastRenderedPageBreak/>
        <w:t xml:space="preserve">donner ouverture à la </w:t>
      </w:r>
      <w:proofErr w:type="spellStart"/>
      <w:r w:rsidRPr="005D0220">
        <w:rPr>
          <w:lang w:val="fr-CA"/>
        </w:rPr>
        <w:t>préclusion</w:t>
      </w:r>
      <w:proofErr w:type="spellEnd"/>
      <w:r w:rsidRPr="005D0220">
        <w:rPr>
          <w:lang w:val="fr-CA"/>
        </w:rPr>
        <w:t xml:space="preserve"> et empêcher le ministère public de remettre en cause la question visée dans une procédure ultérieure.  </w:t>
      </w:r>
    </w:p>
    <w:p w:rsidR="00BB461A" w:rsidRPr="005D0220" w:rsidRDefault="00BB461A" w:rsidP="00BB461A">
      <w:pPr>
        <w:pStyle w:val="ParaNoNdepar-AltN"/>
        <w:tabs>
          <w:tab w:val="clear" w:pos="1152"/>
          <w:tab w:val="left" w:pos="1166"/>
        </w:tabs>
        <w:rPr>
          <w:lang w:val="fr-CA"/>
        </w:rPr>
      </w:pPr>
      <w:r w:rsidRPr="005D0220">
        <w:rPr>
          <w:lang w:val="fr-CA"/>
        </w:rPr>
        <w:t xml:space="preserve">Restreindre cette doctrine, comme le fait ma collègue, ouvre la voie à des décisions judiciaires contradictoires, toutes censément définitives et rendues dans une instance entre les mêmes parties.  Lorsque la première constatation est favorable à l’accusé, c’est précisément ce genre d’incompatibilité qui compromet l’intégrité et la cohérence du système de justice criminelle </w:t>
      </w:r>
      <w:r w:rsidRPr="005D0220">
        <w:rPr>
          <w:lang w:val="fr-FR"/>
        </w:rPr>
        <w:t>(</w:t>
      </w:r>
      <w:r w:rsidRPr="005D0220">
        <w:rPr>
          <w:i/>
          <w:lang w:val="fr-FR"/>
        </w:rPr>
        <w:t xml:space="preserve">R. c. </w:t>
      </w:r>
      <w:proofErr w:type="spellStart"/>
      <w:r w:rsidRPr="005D0220">
        <w:rPr>
          <w:i/>
          <w:lang w:val="fr-FR"/>
        </w:rPr>
        <w:t>Mahalingan</w:t>
      </w:r>
      <w:proofErr w:type="spellEnd"/>
      <w:r w:rsidRPr="005D0220">
        <w:rPr>
          <w:lang w:val="fr-FR"/>
        </w:rPr>
        <w:t>, 2008 CSC 63, [2008] 3 R.C.S. 316, par. </w:t>
      </w:r>
      <w:r w:rsidRPr="005D0220">
        <w:rPr>
          <w:lang w:val="fr-CA"/>
        </w:rPr>
        <w:t>45).</w:t>
      </w:r>
    </w:p>
    <w:p w:rsidR="00BB461A" w:rsidRPr="005D0220" w:rsidRDefault="00BB461A" w:rsidP="00BB461A">
      <w:pPr>
        <w:pStyle w:val="ParaNoNdepar-AltN"/>
        <w:tabs>
          <w:tab w:val="clear" w:pos="1152"/>
          <w:tab w:val="left" w:pos="1166"/>
        </w:tabs>
        <w:rPr>
          <w:lang w:val="fr-FR"/>
        </w:rPr>
      </w:pPr>
      <w:r w:rsidRPr="005D0220">
        <w:rPr>
          <w:lang w:val="fr-FR"/>
        </w:rPr>
        <w:t xml:space="preserve">Cela dit, les accusés en l’espèce ne répondent pas aux conditions d’application de la </w:t>
      </w:r>
      <w:proofErr w:type="spellStart"/>
      <w:r w:rsidRPr="005D0220">
        <w:rPr>
          <w:lang w:val="fr-FR"/>
        </w:rPr>
        <w:t>préclusion</w:t>
      </w:r>
      <w:proofErr w:type="spellEnd"/>
      <w:r w:rsidRPr="005D0220">
        <w:rPr>
          <w:lang w:val="fr-FR"/>
        </w:rPr>
        <w:t xml:space="preserve"> découlant d’une question déjà tranchée.  Bien que le juge Romilly ait constaté hors de tout doute raisonnable, en application de l’al. 724(2)</w:t>
      </w:r>
      <w:r w:rsidRPr="005D0220">
        <w:rPr>
          <w:i/>
          <w:lang w:val="fr-FR"/>
        </w:rPr>
        <w:t>b</w:t>
      </w:r>
      <w:r w:rsidRPr="005D0220">
        <w:rPr>
          <w:lang w:val="fr-FR"/>
        </w:rPr>
        <w:t xml:space="preserve">) du </w:t>
      </w:r>
      <w:r w:rsidRPr="005D0220">
        <w:rPr>
          <w:i/>
          <w:lang w:val="fr-FR"/>
        </w:rPr>
        <w:t>Code</w:t>
      </w:r>
      <w:r w:rsidRPr="005D0220">
        <w:rPr>
          <w:lang w:val="fr-FR"/>
        </w:rPr>
        <w:t>, que M. </w:t>
      </w:r>
      <w:proofErr w:type="spellStart"/>
      <w:r w:rsidRPr="005D0220">
        <w:rPr>
          <w:lang w:val="fr-FR"/>
        </w:rPr>
        <w:t>Potts</w:t>
      </w:r>
      <w:proofErr w:type="spellEnd"/>
      <w:r w:rsidRPr="005D0220">
        <w:rPr>
          <w:lang w:val="fr-FR"/>
        </w:rPr>
        <w:t xml:space="preserve"> détenait des armes « pour » </w:t>
      </w:r>
      <w:r w:rsidRPr="005D0220">
        <w:rPr>
          <w:lang w:val="fr-CA"/>
        </w:rPr>
        <w:t xml:space="preserve">l’East End </w:t>
      </w:r>
      <w:proofErr w:type="spellStart"/>
      <w:r w:rsidRPr="005D0220">
        <w:rPr>
          <w:lang w:val="fr-CA"/>
        </w:rPr>
        <w:t>Chapter</w:t>
      </w:r>
      <w:proofErr w:type="spellEnd"/>
      <w:r w:rsidRPr="005D0220">
        <w:rPr>
          <w:lang w:val="fr-CA"/>
        </w:rPr>
        <w:t xml:space="preserve"> des </w:t>
      </w:r>
      <w:proofErr w:type="spellStart"/>
      <w:r w:rsidRPr="005D0220">
        <w:rPr>
          <w:lang w:val="fr-CA"/>
        </w:rPr>
        <w:t>Hells</w:t>
      </w:r>
      <w:proofErr w:type="spellEnd"/>
      <w:r w:rsidRPr="005D0220">
        <w:rPr>
          <w:lang w:val="fr-CA"/>
        </w:rPr>
        <w:t xml:space="preserve"> </w:t>
      </w:r>
      <w:proofErr w:type="spellStart"/>
      <w:r w:rsidRPr="005D0220">
        <w:rPr>
          <w:lang w:val="fr-CA"/>
        </w:rPr>
        <w:t>Angels</w:t>
      </w:r>
      <w:proofErr w:type="spellEnd"/>
      <w:r w:rsidRPr="005D0220">
        <w:rPr>
          <w:lang w:val="fr-CA"/>
        </w:rPr>
        <w:t xml:space="preserve">, il n’a tiré aucune conclusion quant à savoir si les </w:t>
      </w:r>
      <w:proofErr w:type="spellStart"/>
      <w:r w:rsidRPr="005D0220">
        <w:rPr>
          <w:lang w:val="fr-CA"/>
        </w:rPr>
        <w:t>Hells</w:t>
      </w:r>
      <w:proofErr w:type="spellEnd"/>
      <w:r w:rsidRPr="005D0220">
        <w:rPr>
          <w:lang w:val="fr-CA"/>
        </w:rPr>
        <w:t xml:space="preserve"> </w:t>
      </w:r>
      <w:proofErr w:type="spellStart"/>
      <w:r w:rsidRPr="005D0220">
        <w:rPr>
          <w:lang w:val="fr-CA"/>
        </w:rPr>
        <w:t>Angels</w:t>
      </w:r>
      <w:proofErr w:type="spellEnd"/>
      <w:r w:rsidRPr="005D0220">
        <w:rPr>
          <w:lang w:val="fr-CA"/>
        </w:rPr>
        <w:t xml:space="preserve"> étaient une organisation criminelle.</w:t>
      </w:r>
      <w:r w:rsidRPr="005D0220">
        <w:rPr>
          <w:lang w:val="fr-FR"/>
        </w:rPr>
        <w:t xml:space="preserve">  </w:t>
      </w:r>
    </w:p>
    <w:p w:rsidR="00BB461A" w:rsidRPr="005D0220" w:rsidRDefault="00BB461A" w:rsidP="00BB461A">
      <w:pPr>
        <w:pStyle w:val="ParaNoNdepar-AltN"/>
        <w:tabs>
          <w:tab w:val="clear" w:pos="1152"/>
          <w:tab w:val="left" w:pos="1166"/>
        </w:tabs>
        <w:rPr>
          <w:lang w:val="fr-FR"/>
        </w:rPr>
      </w:pPr>
      <w:r w:rsidRPr="005D0220">
        <w:rPr>
          <w:lang w:val="fr-FR"/>
        </w:rPr>
        <w:t xml:space="preserve">Une conclusion judiciaire </w:t>
      </w:r>
      <w:r w:rsidRPr="005D0220">
        <w:rPr>
          <w:i/>
          <w:lang w:val="fr-FR"/>
        </w:rPr>
        <w:t xml:space="preserve">qui n’a pas été tirée </w:t>
      </w:r>
      <w:r w:rsidRPr="005D0220">
        <w:rPr>
          <w:lang w:val="fr-FR"/>
        </w:rPr>
        <w:t xml:space="preserve">ne peut assurément pas donner ouverture à la </w:t>
      </w:r>
      <w:proofErr w:type="spellStart"/>
      <w:r w:rsidRPr="005D0220">
        <w:rPr>
          <w:lang w:val="fr-FR"/>
        </w:rPr>
        <w:t>préclusion</w:t>
      </w:r>
      <w:proofErr w:type="spellEnd"/>
      <w:r w:rsidRPr="005D0220">
        <w:rPr>
          <w:lang w:val="fr-FR"/>
        </w:rPr>
        <w:t xml:space="preserve"> découlant d’une question déjà tranchée. </w:t>
      </w:r>
    </w:p>
    <w:p w:rsidR="00BB461A" w:rsidRPr="005D0220" w:rsidRDefault="00BB461A" w:rsidP="00BB461A">
      <w:pPr>
        <w:pStyle w:val="ParaNoNdepar-AltN"/>
        <w:tabs>
          <w:tab w:val="clear" w:pos="1152"/>
          <w:tab w:val="left" w:pos="1166"/>
        </w:tabs>
        <w:rPr>
          <w:lang w:val="fr-FR"/>
        </w:rPr>
      </w:pPr>
      <w:r w:rsidRPr="005D0220">
        <w:rPr>
          <w:lang w:val="fr-FR"/>
        </w:rPr>
        <w:t>Comme je l’ai mentionné au début de mes motifs, je souscris pour le reste aux motifs de la juge Deschamps et je suis d’avis de trancher le pourvoi comme elle le propose.</w:t>
      </w:r>
    </w:p>
    <w:p w:rsidR="0033393C" w:rsidRPr="00A732FF" w:rsidRDefault="0033393C" w:rsidP="00AD06B6">
      <w:pPr>
        <w:pStyle w:val="SCCNormalDoubleSpacing"/>
        <w:spacing w:after="480"/>
      </w:pPr>
      <w:r w:rsidRPr="00A732FF">
        <w:lastRenderedPageBreak/>
        <w:tab/>
      </w:r>
      <w:r w:rsidR="001F0546" w:rsidRPr="00A732FF">
        <w:rPr>
          <w:i/>
        </w:rPr>
        <w:t>Pourvoi</w:t>
      </w:r>
      <w:r w:rsidR="009A31E8" w:rsidRPr="00A732FF">
        <w:rPr>
          <w:i/>
        </w:rPr>
        <w:t>s</w:t>
      </w:r>
      <w:r w:rsidR="001F0546" w:rsidRPr="00A732FF">
        <w:rPr>
          <w:i/>
        </w:rPr>
        <w:t xml:space="preserve"> rejeté</w:t>
      </w:r>
      <w:r w:rsidR="009A31E8" w:rsidRPr="00A732FF">
        <w:rPr>
          <w:i/>
        </w:rPr>
        <w:t>s</w:t>
      </w:r>
      <w:r w:rsidR="001F0546" w:rsidRPr="00A732FF">
        <w:rPr>
          <w:i/>
        </w:rPr>
        <w:t>.</w:t>
      </w:r>
    </w:p>
    <w:p w:rsidR="001F0546" w:rsidRPr="00A732FF" w:rsidRDefault="001F0546" w:rsidP="00AD06B6">
      <w:pPr>
        <w:pStyle w:val="SCCLawFirm"/>
        <w:spacing w:after="480"/>
      </w:pPr>
      <w:r w:rsidRPr="00A732FF">
        <w:tab/>
        <w:t>Procureur</w:t>
      </w:r>
      <w:r w:rsidR="00EB5DE6" w:rsidRPr="00A732FF">
        <w:t>s</w:t>
      </w:r>
      <w:r w:rsidRPr="00A732FF">
        <w:t xml:space="preserve"> de l’appelant John Virgil Punko</w:t>
      </w:r>
      <w:r w:rsidR="00AD06B6" w:rsidRPr="00A732FF">
        <w:t> : Gil </w:t>
      </w:r>
      <w:r w:rsidRPr="00A732FF">
        <w:t>D. McKinnon, Vancouver</w:t>
      </w:r>
      <w:r w:rsidR="00EA1658" w:rsidRPr="00A732FF">
        <w:t>; Larry Fleming, Edmonton</w:t>
      </w:r>
      <w:r w:rsidRPr="00A732FF">
        <w:t>.</w:t>
      </w:r>
    </w:p>
    <w:p w:rsidR="001F0546" w:rsidRPr="00A732FF" w:rsidRDefault="001F0546" w:rsidP="00AD06B6">
      <w:pPr>
        <w:pStyle w:val="SCCLawFirm"/>
        <w:spacing w:after="480"/>
      </w:pPr>
      <w:r w:rsidRPr="00A732FF">
        <w:tab/>
        <w:t xml:space="preserve">Procureur de l’appelant Randall Richard </w:t>
      </w:r>
      <w:proofErr w:type="spellStart"/>
      <w:r w:rsidRPr="00A732FF">
        <w:t>Potts</w:t>
      </w:r>
      <w:proofErr w:type="spellEnd"/>
      <w:r w:rsidR="00AD06B6" w:rsidRPr="00A732FF">
        <w:t> : </w:t>
      </w:r>
      <w:r w:rsidRPr="00A732FF">
        <w:t>Bonnie Craig, Vancouver.</w:t>
      </w:r>
    </w:p>
    <w:p w:rsidR="0043088E" w:rsidRDefault="001F0546" w:rsidP="00BB461A">
      <w:pPr>
        <w:pStyle w:val="SCCLawFirm"/>
        <w:rPr>
          <w:b/>
          <w:i w:val="0"/>
        </w:rPr>
      </w:pPr>
      <w:r w:rsidRPr="00A732FF">
        <w:tab/>
        <w:t>Procureur de l’intimée</w:t>
      </w:r>
      <w:r w:rsidR="00AD06B6" w:rsidRPr="00A732FF">
        <w:t> : </w:t>
      </w:r>
      <w:r w:rsidRPr="00A732FF">
        <w:t>Service des poursuites pénales du Canada, Vancouver.</w:t>
      </w:r>
    </w:p>
    <w:p w:rsidR="00BB461A" w:rsidRPr="00BB461A" w:rsidRDefault="00BB461A" w:rsidP="00BB461A">
      <w:pPr>
        <w:pStyle w:val="SCCNormalDoubleSpacing"/>
      </w:pPr>
    </w:p>
    <w:sectPr w:rsidR="00BB461A" w:rsidRPr="00BB461A" w:rsidSect="0061515B">
      <w:headerReference w:type="even" r:id="rId9"/>
      <w:headerReference w:type="default" r:id="rId10"/>
      <w:footerReference w:type="even" r:id="rId11"/>
      <w:footerReference w:type="default" r:id="rId12"/>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691" w:rsidRDefault="00F80691">
      <w:r>
        <w:separator/>
      </w:r>
    </w:p>
  </w:endnote>
  <w:endnote w:type="continuationSeparator" w:id="0">
    <w:p w:rsidR="00F80691" w:rsidRDefault="00F806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691" w:rsidRDefault="00F80691">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691" w:rsidRDefault="00F80691">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691" w:rsidRDefault="00F80691">
      <w:r>
        <w:separator/>
      </w:r>
    </w:p>
  </w:footnote>
  <w:footnote w:type="continuationSeparator" w:id="0">
    <w:p w:rsidR="00F80691" w:rsidRDefault="00F806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691" w:rsidRDefault="00F80691">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5814"/>
      <w:docPartObj>
        <w:docPartGallery w:val="Page Numbers (Top of Page)"/>
        <w:docPartUnique/>
      </w:docPartObj>
    </w:sdtPr>
    <w:sdtContent>
      <w:p w:rsidR="0061515B" w:rsidRDefault="0061515B">
        <w:pPr>
          <w:pStyle w:val="Header"/>
          <w:jc w:val="center"/>
        </w:pPr>
        <w:r>
          <w:t>-</w:t>
        </w:r>
        <w:fldSimple w:instr=" PAGE   \* MERGEFORMAT ">
          <w:r w:rsidR="000520DB">
            <w:rPr>
              <w:noProof/>
            </w:rPr>
            <w:t>2</w:t>
          </w:r>
        </w:fldSimple>
        <w:r>
          <w:t>-</w:t>
        </w:r>
      </w:p>
    </w:sdtContent>
  </w:sdt>
  <w:p w:rsidR="00F80691" w:rsidRDefault="00F80691" w:rsidP="000C59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583AB5"/>
    <w:multiLevelType w:val="multilevel"/>
    <w:tmpl w:val="D4E62FAC"/>
    <w:lvl w:ilvl="0">
      <w:start w:val="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117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3160079"/>
    <w:multiLevelType w:val="hybridMultilevel"/>
    <w:tmpl w:val="F6CA471C"/>
    <w:lvl w:ilvl="0" w:tplc="AA7266E0">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3"/>
  </w:num>
  <w:num w:numId="5">
    <w:abstractNumId w:val="4"/>
  </w:num>
  <w:num w:numId="6">
    <w:abstractNumId w:val="5"/>
  </w:num>
  <w:num w:numId="7">
    <w:abstractNumId w:val="6"/>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1137"/>
  </w:hdrShapeDefaults>
  <w:footnotePr>
    <w:footnote w:id="-1"/>
    <w:footnote w:id="0"/>
  </w:footnotePr>
  <w:endnotePr>
    <w:endnote w:id="-1"/>
    <w:endnote w:id="0"/>
  </w:endnotePr>
  <w:compat/>
  <w:rsids>
    <w:rsidRoot w:val="0031414C"/>
    <w:rsid w:val="0000608A"/>
    <w:rsid w:val="0002123E"/>
    <w:rsid w:val="00025198"/>
    <w:rsid w:val="00040D38"/>
    <w:rsid w:val="00043333"/>
    <w:rsid w:val="00050FC6"/>
    <w:rsid w:val="000520DB"/>
    <w:rsid w:val="00055A36"/>
    <w:rsid w:val="000578A3"/>
    <w:rsid w:val="00064563"/>
    <w:rsid w:val="000648CC"/>
    <w:rsid w:val="00067804"/>
    <w:rsid w:val="00094DE0"/>
    <w:rsid w:val="000A5321"/>
    <w:rsid w:val="000A606B"/>
    <w:rsid w:val="000C59B8"/>
    <w:rsid w:val="00111DE2"/>
    <w:rsid w:val="00116B38"/>
    <w:rsid w:val="0013109F"/>
    <w:rsid w:val="00135406"/>
    <w:rsid w:val="00135972"/>
    <w:rsid w:val="00140667"/>
    <w:rsid w:val="001426A9"/>
    <w:rsid w:val="00154D7C"/>
    <w:rsid w:val="001570B0"/>
    <w:rsid w:val="00170148"/>
    <w:rsid w:val="001722B5"/>
    <w:rsid w:val="00172A04"/>
    <w:rsid w:val="00175A97"/>
    <w:rsid w:val="00185394"/>
    <w:rsid w:val="00190896"/>
    <w:rsid w:val="001A451D"/>
    <w:rsid w:val="001B33E0"/>
    <w:rsid w:val="001B4573"/>
    <w:rsid w:val="001C134F"/>
    <w:rsid w:val="001C779F"/>
    <w:rsid w:val="001D2AC1"/>
    <w:rsid w:val="001E2CDD"/>
    <w:rsid w:val="001F0546"/>
    <w:rsid w:val="001F7673"/>
    <w:rsid w:val="00220FC2"/>
    <w:rsid w:val="0022388B"/>
    <w:rsid w:val="00224FC0"/>
    <w:rsid w:val="00225EA4"/>
    <w:rsid w:val="00226EAF"/>
    <w:rsid w:val="00231F3A"/>
    <w:rsid w:val="002406EE"/>
    <w:rsid w:val="002745CC"/>
    <w:rsid w:val="002B6D69"/>
    <w:rsid w:val="002D0F6B"/>
    <w:rsid w:val="002D28BD"/>
    <w:rsid w:val="002D39A4"/>
    <w:rsid w:val="002E6705"/>
    <w:rsid w:val="002F1239"/>
    <w:rsid w:val="002F696C"/>
    <w:rsid w:val="0030329A"/>
    <w:rsid w:val="00307AFD"/>
    <w:rsid w:val="0031086F"/>
    <w:rsid w:val="00310E05"/>
    <w:rsid w:val="0031414C"/>
    <w:rsid w:val="00314E01"/>
    <w:rsid w:val="0032089D"/>
    <w:rsid w:val="0033393C"/>
    <w:rsid w:val="0034770C"/>
    <w:rsid w:val="0035259D"/>
    <w:rsid w:val="003866EC"/>
    <w:rsid w:val="00394476"/>
    <w:rsid w:val="003A4C70"/>
    <w:rsid w:val="003A4E15"/>
    <w:rsid w:val="003C799C"/>
    <w:rsid w:val="003E1C71"/>
    <w:rsid w:val="003E6A22"/>
    <w:rsid w:val="003F327B"/>
    <w:rsid w:val="004059A7"/>
    <w:rsid w:val="00406166"/>
    <w:rsid w:val="00411300"/>
    <w:rsid w:val="00426659"/>
    <w:rsid w:val="0043088E"/>
    <w:rsid w:val="004439D8"/>
    <w:rsid w:val="0044472A"/>
    <w:rsid w:val="00465132"/>
    <w:rsid w:val="00470C5A"/>
    <w:rsid w:val="00480C90"/>
    <w:rsid w:val="0048396F"/>
    <w:rsid w:val="00493C18"/>
    <w:rsid w:val="00494CDC"/>
    <w:rsid w:val="004A600C"/>
    <w:rsid w:val="004C478D"/>
    <w:rsid w:val="004E6A2C"/>
    <w:rsid w:val="00515A99"/>
    <w:rsid w:val="00521AE8"/>
    <w:rsid w:val="00527180"/>
    <w:rsid w:val="00536719"/>
    <w:rsid w:val="005564A7"/>
    <w:rsid w:val="0059137B"/>
    <w:rsid w:val="00592393"/>
    <w:rsid w:val="005C7EA6"/>
    <w:rsid w:val="005E061B"/>
    <w:rsid w:val="005E4698"/>
    <w:rsid w:val="0061515B"/>
    <w:rsid w:val="00625C35"/>
    <w:rsid w:val="00634E1B"/>
    <w:rsid w:val="00645057"/>
    <w:rsid w:val="0065162C"/>
    <w:rsid w:val="00654858"/>
    <w:rsid w:val="006565F4"/>
    <w:rsid w:val="00656FA7"/>
    <w:rsid w:val="00681AD1"/>
    <w:rsid w:val="00683E6E"/>
    <w:rsid w:val="006A56F1"/>
    <w:rsid w:val="006B4E7E"/>
    <w:rsid w:val="006B5FF5"/>
    <w:rsid w:val="006C5661"/>
    <w:rsid w:val="006D1DA2"/>
    <w:rsid w:val="006D2F31"/>
    <w:rsid w:val="006D4790"/>
    <w:rsid w:val="006E627A"/>
    <w:rsid w:val="00701759"/>
    <w:rsid w:val="00701D98"/>
    <w:rsid w:val="00702C6F"/>
    <w:rsid w:val="007123CC"/>
    <w:rsid w:val="00720461"/>
    <w:rsid w:val="007410AF"/>
    <w:rsid w:val="00747288"/>
    <w:rsid w:val="00747DD3"/>
    <w:rsid w:val="00752F4E"/>
    <w:rsid w:val="007549C8"/>
    <w:rsid w:val="00762D30"/>
    <w:rsid w:val="00763377"/>
    <w:rsid w:val="00766D14"/>
    <w:rsid w:val="00767A0F"/>
    <w:rsid w:val="007834A8"/>
    <w:rsid w:val="007A05F6"/>
    <w:rsid w:val="007B6F4A"/>
    <w:rsid w:val="007E1C47"/>
    <w:rsid w:val="007E337A"/>
    <w:rsid w:val="007E5C70"/>
    <w:rsid w:val="007F2FF5"/>
    <w:rsid w:val="0081641C"/>
    <w:rsid w:val="00817190"/>
    <w:rsid w:val="00824AE0"/>
    <w:rsid w:val="008322BD"/>
    <w:rsid w:val="00855307"/>
    <w:rsid w:val="00862CF3"/>
    <w:rsid w:val="00864CF8"/>
    <w:rsid w:val="00874914"/>
    <w:rsid w:val="00892E1A"/>
    <w:rsid w:val="008958F5"/>
    <w:rsid w:val="008A0089"/>
    <w:rsid w:val="008A6558"/>
    <w:rsid w:val="008A727C"/>
    <w:rsid w:val="008C01DA"/>
    <w:rsid w:val="008C1C23"/>
    <w:rsid w:val="008D0561"/>
    <w:rsid w:val="008E08ED"/>
    <w:rsid w:val="008F16D9"/>
    <w:rsid w:val="008F78E9"/>
    <w:rsid w:val="00902462"/>
    <w:rsid w:val="00912B31"/>
    <w:rsid w:val="00922F7A"/>
    <w:rsid w:val="00923434"/>
    <w:rsid w:val="009403F3"/>
    <w:rsid w:val="00957FA2"/>
    <w:rsid w:val="00966913"/>
    <w:rsid w:val="00967374"/>
    <w:rsid w:val="0097543E"/>
    <w:rsid w:val="00983F3F"/>
    <w:rsid w:val="00985C69"/>
    <w:rsid w:val="0099079B"/>
    <w:rsid w:val="009A31E8"/>
    <w:rsid w:val="009B2F23"/>
    <w:rsid w:val="009B53E2"/>
    <w:rsid w:val="009B57B3"/>
    <w:rsid w:val="009C652D"/>
    <w:rsid w:val="009D5AEB"/>
    <w:rsid w:val="009F2A97"/>
    <w:rsid w:val="009F383F"/>
    <w:rsid w:val="00A05F0E"/>
    <w:rsid w:val="00A21107"/>
    <w:rsid w:val="00A21B90"/>
    <w:rsid w:val="00A24E15"/>
    <w:rsid w:val="00A548CB"/>
    <w:rsid w:val="00A6242E"/>
    <w:rsid w:val="00A643E7"/>
    <w:rsid w:val="00A732FF"/>
    <w:rsid w:val="00A73C38"/>
    <w:rsid w:val="00AA090A"/>
    <w:rsid w:val="00AC3322"/>
    <w:rsid w:val="00AC6322"/>
    <w:rsid w:val="00AC7437"/>
    <w:rsid w:val="00AC7A44"/>
    <w:rsid w:val="00AD000C"/>
    <w:rsid w:val="00AD06B6"/>
    <w:rsid w:val="00AF03C5"/>
    <w:rsid w:val="00B000D8"/>
    <w:rsid w:val="00B00F75"/>
    <w:rsid w:val="00B145B6"/>
    <w:rsid w:val="00B22AF8"/>
    <w:rsid w:val="00B50C81"/>
    <w:rsid w:val="00B557F8"/>
    <w:rsid w:val="00B64972"/>
    <w:rsid w:val="00B66DD8"/>
    <w:rsid w:val="00B8145D"/>
    <w:rsid w:val="00B815FC"/>
    <w:rsid w:val="00B93FBC"/>
    <w:rsid w:val="00BB461A"/>
    <w:rsid w:val="00C02092"/>
    <w:rsid w:val="00C057F7"/>
    <w:rsid w:val="00C0663B"/>
    <w:rsid w:val="00C24C8C"/>
    <w:rsid w:val="00C24D91"/>
    <w:rsid w:val="00C33579"/>
    <w:rsid w:val="00C41603"/>
    <w:rsid w:val="00C52532"/>
    <w:rsid w:val="00C53F14"/>
    <w:rsid w:val="00C546DB"/>
    <w:rsid w:val="00C55C2E"/>
    <w:rsid w:val="00C600CF"/>
    <w:rsid w:val="00C6084F"/>
    <w:rsid w:val="00C62A66"/>
    <w:rsid w:val="00C62A6F"/>
    <w:rsid w:val="00C67CA5"/>
    <w:rsid w:val="00C71458"/>
    <w:rsid w:val="00C71F58"/>
    <w:rsid w:val="00C77613"/>
    <w:rsid w:val="00C81622"/>
    <w:rsid w:val="00C828E7"/>
    <w:rsid w:val="00C921DD"/>
    <w:rsid w:val="00CA4D82"/>
    <w:rsid w:val="00CA6391"/>
    <w:rsid w:val="00CB7B94"/>
    <w:rsid w:val="00CC479E"/>
    <w:rsid w:val="00CE3171"/>
    <w:rsid w:val="00CF1601"/>
    <w:rsid w:val="00CF4D5E"/>
    <w:rsid w:val="00D25256"/>
    <w:rsid w:val="00D26082"/>
    <w:rsid w:val="00D32086"/>
    <w:rsid w:val="00D37A3F"/>
    <w:rsid w:val="00D45FCF"/>
    <w:rsid w:val="00D4667A"/>
    <w:rsid w:val="00D510BB"/>
    <w:rsid w:val="00D5435D"/>
    <w:rsid w:val="00D62706"/>
    <w:rsid w:val="00D74F2E"/>
    <w:rsid w:val="00D95A3B"/>
    <w:rsid w:val="00DA0590"/>
    <w:rsid w:val="00DC1788"/>
    <w:rsid w:val="00DF0CA8"/>
    <w:rsid w:val="00DF49A7"/>
    <w:rsid w:val="00E01106"/>
    <w:rsid w:val="00E01250"/>
    <w:rsid w:val="00E04C4D"/>
    <w:rsid w:val="00E07EE2"/>
    <w:rsid w:val="00E24573"/>
    <w:rsid w:val="00E377A1"/>
    <w:rsid w:val="00E45109"/>
    <w:rsid w:val="00E54B02"/>
    <w:rsid w:val="00E92E78"/>
    <w:rsid w:val="00E97830"/>
    <w:rsid w:val="00EA03E5"/>
    <w:rsid w:val="00EA1658"/>
    <w:rsid w:val="00EB5DE6"/>
    <w:rsid w:val="00ED0DDC"/>
    <w:rsid w:val="00EE0FAF"/>
    <w:rsid w:val="00EF20F7"/>
    <w:rsid w:val="00EF389F"/>
    <w:rsid w:val="00F00EB7"/>
    <w:rsid w:val="00F2258E"/>
    <w:rsid w:val="00F33658"/>
    <w:rsid w:val="00F36AB6"/>
    <w:rsid w:val="00F409CE"/>
    <w:rsid w:val="00F5781A"/>
    <w:rsid w:val="00F80691"/>
    <w:rsid w:val="00F84DF4"/>
    <w:rsid w:val="00F853FB"/>
    <w:rsid w:val="00F85C97"/>
    <w:rsid w:val="00FA2FE1"/>
    <w:rsid w:val="00FC606D"/>
    <w:rsid w:val="00FD068D"/>
    <w:rsid w:val="00FD4E92"/>
    <w:rsid w:val="00FD4F28"/>
    <w:rsid w:val="00FE4B4D"/>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LsocOtherPartyRoleSeparator">
    <w:name w:val="SCC.Lsoc.OtherPartyRoleSeparator"/>
    <w:basedOn w:val="Normal"/>
    <w:next w:val="Normal"/>
    <w:link w:val="SCCLsocOtherPartyRoleSeparatorChar"/>
    <w:rsid w:val="00BB461A"/>
    <w:pPr>
      <w:spacing w:after="480"/>
    </w:pPr>
    <w:rPr>
      <w:rFonts w:eastAsiaTheme="minorHAnsi" w:cstheme="minorBidi"/>
      <w:szCs w:val="22"/>
      <w:lang w:val="en-CA" w:eastAsia="en-US"/>
    </w:rPr>
  </w:style>
  <w:style w:type="character" w:customStyle="1" w:styleId="SCCLsocOtherPartyRoleSeparatorChar">
    <w:name w:val="SCC.Lsoc.OtherPartyRoleSeparator Char"/>
    <w:basedOn w:val="DefaultParagraphFont"/>
    <w:link w:val="SCCLsocOtherPartyRoleSeparator"/>
    <w:rsid w:val="00BB461A"/>
    <w:rPr>
      <w:rFonts w:eastAsiaTheme="minorHAnsi" w:cstheme="minorBidi"/>
      <w:sz w:val="24"/>
      <w:szCs w:val="22"/>
      <w:lang w:eastAsia="en-US"/>
    </w:rPr>
  </w:style>
  <w:style w:type="character" w:customStyle="1" w:styleId="SCCBanSummaryChar">
    <w:name w:val="SCC.BanSummary Char"/>
    <w:basedOn w:val="DefaultParagraphFont"/>
    <w:link w:val="SCCBanSummary"/>
    <w:rsid w:val="00BB461A"/>
    <w:rPr>
      <w:b/>
      <w:sz w:val="24"/>
      <w:lang w:val="fr-CA"/>
    </w:rPr>
  </w:style>
  <w:style w:type="table" w:styleId="TableGrid">
    <w:name w:val="Table Grid"/>
    <w:basedOn w:val="TableNormal"/>
    <w:uiPriority w:val="59"/>
    <w:rsid w:val="00BB46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BB461A"/>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BB461A"/>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BB461A"/>
    <w:pPr>
      <w:tabs>
        <w:tab w:val="left" w:pos="1166"/>
      </w:tabs>
      <w:spacing w:after="480" w:line="480" w:lineRule="auto"/>
    </w:pPr>
    <w:rPr>
      <w:smallCaps/>
      <w:sz w:val="24"/>
    </w:rPr>
  </w:style>
  <w:style w:type="paragraph" w:customStyle="1" w:styleId="ParaNoNdepar-AltN">
    <w:name w:val="Para. No. / Nº de par. - Alt N"/>
    <w:uiPriority w:val="99"/>
    <w:qFormat/>
    <w:rsid w:val="00BB461A"/>
    <w:pPr>
      <w:numPr>
        <w:numId w:val="6"/>
      </w:numPr>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BB461A"/>
    <w:pPr>
      <w:keepNext/>
      <w:tabs>
        <w:tab w:val="left" w:pos="360"/>
      </w:tabs>
      <w:spacing w:after="720"/>
      <w:ind w:left="357" w:hanging="357"/>
      <w:jc w:val="both"/>
    </w:pPr>
    <w:rPr>
      <w:rFonts w:eastAsiaTheme="minorHAnsi" w:cstheme="minorBidi"/>
      <w:sz w:val="24"/>
      <w:szCs w:val="22"/>
      <w:lang w:eastAsia="en-US"/>
    </w:rPr>
  </w:style>
  <w:style w:type="paragraph" w:styleId="ListParagraph">
    <w:name w:val="List Paragraph"/>
    <w:basedOn w:val="Normal"/>
    <w:uiPriority w:val="34"/>
    <w:rsid w:val="00BB461A"/>
    <w:pPr>
      <w:ind w:left="720"/>
      <w:contextualSpacing/>
    </w:pPr>
    <w:rPr>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5007</Words>
  <Characters>26521</Characters>
  <Application>Microsoft Office Word</Application>
  <DocSecurity>0</DocSecurity>
  <Lines>221</Lines>
  <Paragraphs>62</Paragraphs>
  <ScaleCrop>false</ScaleCrop>
  <Company/>
  <LinksUpToDate>false</LinksUpToDate>
  <CharactersWithSpaces>31466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2012-08-01T18:53:00Z</dcterms:created>
  <dcterms:modified xsi:type="dcterms:W3CDTF">2013-02-25T16:14:00Z</dcterms:modified>
</cp:coreProperties>
</file>