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68" w:rsidRPr="00F01C30" w:rsidRDefault="001D6D68" w:rsidP="001D6D68">
      <w:pPr>
        <w:tabs>
          <w:tab w:val="center" w:pos="4680"/>
          <w:tab w:val="right" w:pos="9360"/>
        </w:tabs>
        <w:jc w:val="center"/>
        <w:rPr>
          <w:rFonts w:eastAsiaTheme="minorHAnsi" w:cstheme="minorBidi"/>
          <w:szCs w:val="24"/>
          <w:lang w:eastAsia="en-US"/>
        </w:rPr>
      </w:pPr>
      <w:r w:rsidRPr="00F01C3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5177" r:id="rId9"/>
        </w:object>
      </w:r>
    </w:p>
    <w:p w:rsidR="001D6D68" w:rsidRPr="00F01C30" w:rsidRDefault="001D6D68" w:rsidP="001D6D68">
      <w:pPr>
        <w:tabs>
          <w:tab w:val="center" w:pos="4680"/>
          <w:tab w:val="right" w:pos="9360"/>
        </w:tabs>
        <w:rPr>
          <w:rFonts w:eastAsiaTheme="minorHAnsi" w:cstheme="minorBidi"/>
          <w:szCs w:val="24"/>
          <w:lang w:eastAsia="en-US"/>
        </w:rPr>
      </w:pPr>
    </w:p>
    <w:p w:rsidR="001D6D68" w:rsidRPr="00F01C30" w:rsidRDefault="001D6D68" w:rsidP="001D6D68">
      <w:pPr>
        <w:jc w:val="center"/>
        <w:rPr>
          <w:rFonts w:eastAsiaTheme="minorHAnsi" w:cstheme="minorBidi"/>
          <w:b/>
          <w:szCs w:val="24"/>
          <w:lang w:eastAsia="en-US"/>
        </w:rPr>
      </w:pPr>
      <w:r w:rsidRPr="00F01C30">
        <w:rPr>
          <w:rFonts w:eastAsiaTheme="minorHAnsi" w:cstheme="minorBidi"/>
          <w:b/>
          <w:szCs w:val="24"/>
          <w:lang w:eastAsia="en-US"/>
        </w:rPr>
        <w:t>COUR SUPRÊME DU CANADA</w:t>
      </w:r>
    </w:p>
    <w:p w:rsidR="001D6D68" w:rsidRPr="00F01C30" w:rsidRDefault="001D6D68" w:rsidP="001D6D6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D6D68" w:rsidRPr="00F01C30" w:rsidTr="002F6440">
        <w:trPr>
          <w:cantSplit/>
        </w:trPr>
        <w:tc>
          <w:tcPr>
            <w:tcW w:w="6768" w:type="dxa"/>
          </w:tcPr>
          <w:p w:rsidR="001D6D68" w:rsidRPr="00F01C30" w:rsidRDefault="001D6D68" w:rsidP="002F6440">
            <w:r w:rsidRPr="00F01C30">
              <w:rPr>
                <w:b/>
                <w:smallCaps/>
              </w:rPr>
              <w:t>Référence :</w:t>
            </w:r>
            <w:r w:rsidRPr="00F01C30">
              <w:t xml:space="preserve"> R. </w:t>
            </w:r>
            <w:r w:rsidRPr="00F01C30">
              <w:rPr>
                <w:i/>
              </w:rPr>
              <w:t>c.</w:t>
            </w:r>
            <w:r w:rsidRPr="00F01C30">
              <w:t xml:space="preserve"> </w:t>
            </w:r>
            <w:proofErr w:type="spellStart"/>
            <w:r w:rsidRPr="00F01C30">
              <w:t>Bellusci</w:t>
            </w:r>
            <w:proofErr w:type="spellEnd"/>
            <w:r w:rsidRPr="00F01C30">
              <w:t xml:space="preserve">, </w:t>
            </w:r>
            <w:r>
              <w:t>2012 CSC 44, [2012] 2 R.C.S. 509</w:t>
            </w:r>
          </w:p>
        </w:tc>
        <w:tc>
          <w:tcPr>
            <w:tcW w:w="2808" w:type="dxa"/>
          </w:tcPr>
          <w:p w:rsidR="001D6D68" w:rsidRPr="00F01C30" w:rsidRDefault="001D6D68" w:rsidP="002F6440">
            <w:r w:rsidRPr="00F01C30">
              <w:rPr>
                <w:b/>
                <w:smallCaps/>
              </w:rPr>
              <w:t>Date :</w:t>
            </w:r>
            <w:r w:rsidRPr="00F01C30">
              <w:t xml:space="preserve"> 20120803</w:t>
            </w:r>
          </w:p>
          <w:p w:rsidR="001D6D68" w:rsidRPr="00F01C30" w:rsidRDefault="001D6D68" w:rsidP="002F6440">
            <w:r w:rsidRPr="00F01C30">
              <w:rPr>
                <w:b/>
                <w:smallCaps/>
              </w:rPr>
              <w:t>Dossier :</w:t>
            </w:r>
            <w:r w:rsidRPr="00F01C30">
              <w:t xml:space="preserve"> 34054</w:t>
            </w:r>
          </w:p>
        </w:tc>
      </w:tr>
    </w:tbl>
    <w:p w:rsidR="001D6D68" w:rsidRPr="00F01C30" w:rsidRDefault="001D6D68" w:rsidP="001D6D68">
      <w:pPr>
        <w:rPr>
          <w:rFonts w:eastAsiaTheme="minorHAnsi" w:cstheme="minorBidi"/>
          <w:szCs w:val="24"/>
          <w:lang w:eastAsia="en-US"/>
        </w:rPr>
      </w:pPr>
    </w:p>
    <w:p w:rsidR="001D6D68" w:rsidRPr="00F01C30" w:rsidRDefault="001D6D68" w:rsidP="001D6D68">
      <w:pPr>
        <w:rPr>
          <w:rFonts w:eastAsiaTheme="minorHAnsi" w:cstheme="minorBidi"/>
          <w:b/>
          <w:smallCaps/>
          <w:szCs w:val="24"/>
          <w:lang w:eastAsia="en-US"/>
        </w:rPr>
      </w:pPr>
      <w:r w:rsidRPr="00F01C30">
        <w:rPr>
          <w:rFonts w:eastAsiaTheme="minorHAnsi" w:cstheme="minorBidi"/>
          <w:b/>
          <w:smallCaps/>
          <w:szCs w:val="24"/>
          <w:lang w:eastAsia="en-US"/>
        </w:rPr>
        <w:t>Entre :</w:t>
      </w:r>
    </w:p>
    <w:p w:rsidR="001D6D68" w:rsidRPr="00F01C30" w:rsidRDefault="001D6D68" w:rsidP="001D6D68">
      <w:pPr>
        <w:jc w:val="center"/>
        <w:rPr>
          <w:rFonts w:eastAsiaTheme="minorHAnsi" w:cstheme="minorBidi"/>
          <w:b/>
          <w:szCs w:val="24"/>
          <w:lang w:eastAsia="en-US"/>
        </w:rPr>
      </w:pPr>
      <w:r w:rsidRPr="00F01C30">
        <w:rPr>
          <w:rFonts w:eastAsiaTheme="minorHAnsi" w:cstheme="minorBidi"/>
          <w:b/>
          <w:szCs w:val="24"/>
          <w:lang w:eastAsia="en-US"/>
        </w:rPr>
        <w:t xml:space="preserve">Riccardo </w:t>
      </w:r>
      <w:proofErr w:type="spellStart"/>
      <w:r w:rsidRPr="00F01C30">
        <w:rPr>
          <w:rFonts w:eastAsiaTheme="minorHAnsi" w:cstheme="minorBidi"/>
          <w:b/>
          <w:szCs w:val="24"/>
          <w:lang w:eastAsia="en-US"/>
        </w:rPr>
        <w:t>Bellusci</w:t>
      </w:r>
      <w:proofErr w:type="spellEnd"/>
    </w:p>
    <w:p w:rsidR="001D6D68" w:rsidRPr="00F01C30" w:rsidRDefault="001D6D68" w:rsidP="001D6D68">
      <w:pPr>
        <w:jc w:val="center"/>
        <w:rPr>
          <w:rFonts w:eastAsiaTheme="minorHAnsi" w:cstheme="minorBidi"/>
          <w:szCs w:val="24"/>
          <w:lang w:eastAsia="en-US"/>
        </w:rPr>
      </w:pPr>
      <w:r w:rsidRPr="00F01C30">
        <w:rPr>
          <w:rFonts w:eastAsiaTheme="minorHAnsi" w:cstheme="minorBidi"/>
          <w:szCs w:val="24"/>
          <w:lang w:eastAsia="en-US"/>
        </w:rPr>
        <w:t>Appelant</w:t>
      </w:r>
    </w:p>
    <w:p w:rsidR="001D6D68" w:rsidRPr="00F01C30" w:rsidRDefault="001D6D68" w:rsidP="001D6D68">
      <w:pPr>
        <w:jc w:val="center"/>
        <w:rPr>
          <w:rFonts w:eastAsiaTheme="minorHAnsi" w:cstheme="minorBidi"/>
          <w:szCs w:val="24"/>
          <w:lang w:eastAsia="en-US"/>
        </w:rPr>
      </w:pPr>
      <w:proofErr w:type="gramStart"/>
      <w:r w:rsidRPr="00F01C30">
        <w:rPr>
          <w:rFonts w:eastAsiaTheme="minorHAnsi" w:cstheme="minorBidi"/>
          <w:szCs w:val="24"/>
          <w:lang w:eastAsia="en-US"/>
        </w:rPr>
        <w:t>et</w:t>
      </w:r>
      <w:proofErr w:type="gramEnd"/>
    </w:p>
    <w:p w:rsidR="001D6D68" w:rsidRPr="00F01C30" w:rsidRDefault="001D6D68" w:rsidP="001D6D68">
      <w:pPr>
        <w:jc w:val="center"/>
        <w:rPr>
          <w:rFonts w:eastAsiaTheme="minorHAnsi" w:cstheme="minorBidi"/>
          <w:b/>
          <w:szCs w:val="24"/>
          <w:lang w:eastAsia="en-US"/>
        </w:rPr>
      </w:pPr>
      <w:r w:rsidRPr="00F01C30">
        <w:rPr>
          <w:rFonts w:eastAsiaTheme="minorHAnsi" w:cstheme="minorBidi"/>
          <w:b/>
          <w:szCs w:val="24"/>
          <w:lang w:eastAsia="en-US"/>
        </w:rPr>
        <w:t>Sa Majesté la Reine</w:t>
      </w:r>
    </w:p>
    <w:p w:rsidR="001D6D68" w:rsidRPr="00F01C30" w:rsidRDefault="001D6D68" w:rsidP="001D6D68">
      <w:pPr>
        <w:jc w:val="center"/>
        <w:rPr>
          <w:rFonts w:eastAsiaTheme="minorHAnsi" w:cstheme="minorBidi"/>
          <w:szCs w:val="24"/>
          <w:lang w:eastAsia="en-US"/>
        </w:rPr>
      </w:pPr>
      <w:r w:rsidRPr="00F01C30">
        <w:rPr>
          <w:rFonts w:eastAsiaTheme="minorHAnsi" w:cstheme="minorBidi"/>
          <w:szCs w:val="24"/>
          <w:lang w:eastAsia="en-US"/>
        </w:rPr>
        <w:t>Intimée</w:t>
      </w:r>
    </w:p>
    <w:p w:rsidR="001D6D68" w:rsidRPr="00F01C30" w:rsidRDefault="001D6D68" w:rsidP="001D6D68">
      <w:pPr>
        <w:jc w:val="center"/>
        <w:rPr>
          <w:rFonts w:eastAsiaTheme="minorHAnsi" w:cstheme="minorBidi"/>
          <w:szCs w:val="24"/>
          <w:lang w:eastAsia="en-US"/>
        </w:rPr>
      </w:pPr>
      <w:r w:rsidRPr="00F01C30">
        <w:rPr>
          <w:rFonts w:eastAsiaTheme="minorHAnsi" w:cstheme="minorBidi"/>
          <w:szCs w:val="24"/>
          <w:lang w:eastAsia="en-US"/>
        </w:rPr>
        <w:t>- et -</w:t>
      </w:r>
    </w:p>
    <w:p w:rsidR="001D6D68" w:rsidRPr="00F01C30" w:rsidRDefault="001D6D68" w:rsidP="001D6D68">
      <w:pPr>
        <w:jc w:val="center"/>
        <w:rPr>
          <w:rFonts w:eastAsiaTheme="minorHAnsi" w:cstheme="minorBidi"/>
          <w:b/>
          <w:szCs w:val="24"/>
          <w:lang w:eastAsia="en-US"/>
        </w:rPr>
      </w:pPr>
      <w:r w:rsidRPr="00F01C30">
        <w:rPr>
          <w:rFonts w:eastAsiaTheme="minorHAnsi" w:cstheme="minorBidi"/>
          <w:b/>
          <w:szCs w:val="24"/>
          <w:lang w:eastAsia="en-US"/>
        </w:rPr>
        <w:t>Procureur général de l’Ontario</w:t>
      </w:r>
    </w:p>
    <w:p w:rsidR="001D6D68" w:rsidRPr="00F01C30" w:rsidRDefault="001D6D68" w:rsidP="001D6D68">
      <w:pPr>
        <w:jc w:val="center"/>
        <w:rPr>
          <w:rFonts w:eastAsiaTheme="minorHAnsi" w:cstheme="minorBidi"/>
          <w:szCs w:val="24"/>
          <w:lang w:eastAsia="en-US"/>
        </w:rPr>
      </w:pPr>
      <w:r w:rsidRPr="00F01C30">
        <w:rPr>
          <w:rFonts w:eastAsiaTheme="minorHAnsi" w:cstheme="minorBidi"/>
          <w:szCs w:val="24"/>
          <w:lang w:eastAsia="en-US"/>
        </w:rPr>
        <w:t>Intervenant</w:t>
      </w:r>
    </w:p>
    <w:p w:rsidR="001D6D68" w:rsidRPr="00F01C30" w:rsidRDefault="001D6D68" w:rsidP="001D6D68">
      <w:pPr>
        <w:rPr>
          <w:rFonts w:eastAsiaTheme="minorHAnsi" w:cstheme="minorBidi"/>
          <w:szCs w:val="24"/>
          <w:lang w:eastAsia="en-US"/>
        </w:rPr>
      </w:pPr>
    </w:p>
    <w:p w:rsidR="001D6D68" w:rsidRPr="00F01C30" w:rsidRDefault="001D6D68" w:rsidP="001D6D68">
      <w:pPr>
        <w:rPr>
          <w:rFonts w:eastAsiaTheme="minorHAnsi" w:cstheme="minorBidi"/>
          <w:szCs w:val="24"/>
          <w:lang w:eastAsia="en-US"/>
        </w:rPr>
      </w:pPr>
    </w:p>
    <w:p w:rsidR="001D6D68" w:rsidRPr="00F01C30" w:rsidRDefault="001D6D68" w:rsidP="001D6D68">
      <w:pPr>
        <w:jc w:val="center"/>
        <w:rPr>
          <w:rFonts w:eastAsiaTheme="minorHAnsi" w:cstheme="minorBidi"/>
          <w:b/>
          <w:smallCaps/>
          <w:szCs w:val="24"/>
          <w:lang w:eastAsia="en-US"/>
        </w:rPr>
      </w:pPr>
      <w:r w:rsidRPr="00F01C30">
        <w:rPr>
          <w:rFonts w:eastAsiaTheme="minorHAnsi" w:cstheme="minorBidi"/>
          <w:b/>
          <w:smallCaps/>
          <w:szCs w:val="24"/>
          <w:lang w:eastAsia="en-US"/>
        </w:rPr>
        <w:t>Traduction française officielle</w:t>
      </w:r>
    </w:p>
    <w:p w:rsidR="001D6D68" w:rsidRPr="00F01C30" w:rsidRDefault="001D6D68" w:rsidP="001D6D68">
      <w:pPr>
        <w:rPr>
          <w:rFonts w:eastAsiaTheme="minorHAnsi" w:cstheme="minorBidi"/>
          <w:szCs w:val="24"/>
          <w:lang w:eastAsia="en-US"/>
        </w:rPr>
      </w:pPr>
    </w:p>
    <w:p w:rsidR="001D6D68" w:rsidRPr="00F01C30" w:rsidRDefault="001D6D68" w:rsidP="001D6D68">
      <w:pPr>
        <w:rPr>
          <w:rFonts w:eastAsiaTheme="minorHAnsi" w:cstheme="minorBidi"/>
          <w:szCs w:val="24"/>
          <w:lang w:eastAsia="en-US"/>
        </w:rPr>
      </w:pPr>
      <w:r w:rsidRPr="00F01C30">
        <w:rPr>
          <w:rFonts w:eastAsiaTheme="minorHAnsi" w:cstheme="minorBidi"/>
          <w:b/>
          <w:smallCaps/>
          <w:szCs w:val="24"/>
          <w:lang w:eastAsia="en-US"/>
        </w:rPr>
        <w:t>Coram :</w:t>
      </w:r>
      <w:r w:rsidRPr="00F01C30">
        <w:rPr>
          <w:rFonts w:eastAsiaTheme="minorHAnsi" w:cstheme="minorBidi"/>
          <w:szCs w:val="24"/>
          <w:lang w:eastAsia="en-US"/>
        </w:rPr>
        <w:t xml:space="preserve"> La juge en chef </w:t>
      </w:r>
      <w:proofErr w:type="spellStart"/>
      <w:r w:rsidRPr="00F01C30">
        <w:rPr>
          <w:rFonts w:eastAsiaTheme="minorHAnsi" w:cstheme="minorBidi"/>
          <w:szCs w:val="24"/>
          <w:lang w:eastAsia="en-US"/>
        </w:rPr>
        <w:t>McLachlin</w:t>
      </w:r>
      <w:proofErr w:type="spellEnd"/>
      <w:r w:rsidRPr="00F01C30">
        <w:rPr>
          <w:rFonts w:eastAsiaTheme="minorHAnsi" w:cstheme="minorBidi"/>
          <w:szCs w:val="24"/>
          <w:lang w:eastAsia="en-US"/>
        </w:rPr>
        <w:t xml:space="preserve"> et les juges </w:t>
      </w:r>
      <w:proofErr w:type="spellStart"/>
      <w:r w:rsidRPr="00F01C30">
        <w:rPr>
          <w:rFonts w:eastAsiaTheme="minorHAnsi" w:cstheme="minorBidi"/>
          <w:szCs w:val="24"/>
          <w:lang w:eastAsia="en-US"/>
        </w:rPr>
        <w:t>LeBel</w:t>
      </w:r>
      <w:proofErr w:type="spellEnd"/>
      <w:r w:rsidRPr="00F01C30">
        <w:rPr>
          <w:rFonts w:eastAsiaTheme="minorHAnsi" w:cstheme="minorBidi"/>
          <w:szCs w:val="24"/>
          <w:lang w:eastAsia="en-US"/>
        </w:rPr>
        <w:t xml:space="preserve">, Deschamps, Fish, Abella, </w:t>
      </w:r>
      <w:proofErr w:type="spellStart"/>
      <w:r w:rsidRPr="00F01C30">
        <w:rPr>
          <w:rFonts w:eastAsiaTheme="minorHAnsi" w:cstheme="minorBidi"/>
          <w:szCs w:val="24"/>
          <w:lang w:eastAsia="en-US"/>
        </w:rPr>
        <w:t>Moldaver</w:t>
      </w:r>
      <w:proofErr w:type="spellEnd"/>
      <w:r w:rsidRPr="00F01C30">
        <w:rPr>
          <w:rFonts w:eastAsiaTheme="minorHAnsi" w:cstheme="minorBidi"/>
          <w:szCs w:val="24"/>
          <w:lang w:eastAsia="en-US"/>
        </w:rPr>
        <w:t xml:space="preserve"> et </w:t>
      </w:r>
      <w:proofErr w:type="spellStart"/>
      <w:r w:rsidRPr="00F01C30">
        <w:rPr>
          <w:rFonts w:eastAsiaTheme="minorHAnsi" w:cstheme="minorBidi"/>
          <w:szCs w:val="24"/>
          <w:lang w:eastAsia="en-US"/>
        </w:rPr>
        <w:t>Karakatsanis</w:t>
      </w:r>
      <w:proofErr w:type="spellEnd"/>
    </w:p>
    <w:p w:rsidR="001D6D68" w:rsidRPr="00F01C30" w:rsidRDefault="001D6D68" w:rsidP="001D6D6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D6D68" w:rsidRPr="00F01C30" w:rsidTr="002F6440">
        <w:trPr>
          <w:cantSplit/>
        </w:trPr>
        <w:tc>
          <w:tcPr>
            <w:tcW w:w="3618" w:type="dxa"/>
          </w:tcPr>
          <w:p w:rsidR="001D6D68" w:rsidRPr="00F01C30" w:rsidRDefault="001D6D68" w:rsidP="002F6440">
            <w:pPr>
              <w:rPr>
                <w:b/>
                <w:smallCaps/>
              </w:rPr>
            </w:pPr>
            <w:r w:rsidRPr="00F01C30">
              <w:rPr>
                <w:b/>
                <w:smallCaps/>
              </w:rPr>
              <w:t>Motifs de jugement :</w:t>
            </w:r>
          </w:p>
          <w:p w:rsidR="001D6D68" w:rsidRPr="00F01C30" w:rsidRDefault="001D6D68" w:rsidP="002F6440">
            <w:r w:rsidRPr="00F01C30">
              <w:t>(par. 1 à 47)</w:t>
            </w:r>
          </w:p>
        </w:tc>
        <w:tc>
          <w:tcPr>
            <w:tcW w:w="5958" w:type="dxa"/>
          </w:tcPr>
          <w:p w:rsidR="001D6D68" w:rsidRPr="00F01C30" w:rsidRDefault="001D6D68" w:rsidP="002F6440">
            <w:r w:rsidRPr="00F01C30">
              <w:t xml:space="preserve">Le juge Fish (avec l’accord de la juge en chef </w:t>
            </w:r>
            <w:proofErr w:type="spellStart"/>
            <w:r w:rsidRPr="00F01C30">
              <w:t>McLachlin</w:t>
            </w:r>
            <w:proofErr w:type="spellEnd"/>
            <w:r w:rsidRPr="00F01C30">
              <w:t xml:space="preserve"> et des juges </w:t>
            </w:r>
            <w:proofErr w:type="spellStart"/>
            <w:r w:rsidRPr="00F01C30">
              <w:t>LeBel</w:t>
            </w:r>
            <w:proofErr w:type="spellEnd"/>
            <w:r w:rsidRPr="00F01C30">
              <w:t xml:space="preserve">, Deschamps, Abella, </w:t>
            </w:r>
            <w:proofErr w:type="spellStart"/>
            <w:r w:rsidRPr="00F01C30">
              <w:t>Moldaver</w:t>
            </w:r>
            <w:proofErr w:type="spellEnd"/>
            <w:r w:rsidRPr="00F01C30">
              <w:t xml:space="preserve"> et </w:t>
            </w:r>
            <w:proofErr w:type="spellStart"/>
            <w:r w:rsidRPr="00F01C30">
              <w:t>Karakatsanis</w:t>
            </w:r>
            <w:proofErr w:type="spellEnd"/>
            <w:r w:rsidRPr="00F01C30">
              <w:t>)</w:t>
            </w:r>
          </w:p>
        </w:tc>
      </w:tr>
    </w:tbl>
    <w:p w:rsidR="001D6D68" w:rsidRPr="00F01C30" w:rsidRDefault="001D6D68" w:rsidP="001D6D68">
      <w:pPr>
        <w:rPr>
          <w:rFonts w:eastAsiaTheme="minorHAnsi" w:cstheme="minorBidi"/>
          <w:szCs w:val="24"/>
          <w:lang w:eastAsia="en-US"/>
        </w:rPr>
      </w:pPr>
    </w:p>
    <w:p w:rsidR="001D6D68" w:rsidRPr="00F01C30" w:rsidRDefault="001D6D68" w:rsidP="001D6D68">
      <w:pPr>
        <w:rPr>
          <w:rFonts w:eastAsiaTheme="minorHAnsi" w:cstheme="minorBidi"/>
          <w:szCs w:val="24"/>
          <w:lang w:eastAsia="en-US"/>
        </w:rPr>
      </w:pPr>
    </w:p>
    <w:p w:rsidR="001D6D68" w:rsidRPr="00F01C30" w:rsidRDefault="001D6D68" w:rsidP="001D6D68">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D6D68" w:rsidRPr="00F01C30" w:rsidRDefault="001D6D68" w:rsidP="001D6D68">
      <w:pPr>
        <w:rPr>
          <w:smallCaps/>
        </w:rPr>
      </w:pPr>
      <w:r w:rsidRPr="00F01C30">
        <w:rPr>
          <w:smallCaps/>
        </w:rPr>
        <w:br w:type="page"/>
      </w:r>
    </w:p>
    <w:p w:rsidR="00EE417E" w:rsidRPr="00EE417E" w:rsidRDefault="00EE417E" w:rsidP="00A31779">
      <w:pPr>
        <w:spacing w:after="720"/>
        <w:jc w:val="both"/>
      </w:pPr>
      <w:r w:rsidRPr="00EE417E">
        <w:lastRenderedPageBreak/>
        <w:t xml:space="preserve">R. </w:t>
      </w:r>
      <w:r w:rsidRPr="00EE417E">
        <w:rPr>
          <w:i/>
        </w:rPr>
        <w:t>c.</w:t>
      </w:r>
      <w:r w:rsidRPr="00EE417E">
        <w:t xml:space="preserve"> </w:t>
      </w:r>
      <w:proofErr w:type="spellStart"/>
      <w:r w:rsidRPr="00EE417E">
        <w:t>Bellusci</w:t>
      </w:r>
      <w:proofErr w:type="spellEnd"/>
      <w:r>
        <w:t>, 2012 CSC 44, [2012] 2 R.C.S. 509</w:t>
      </w:r>
    </w:p>
    <w:p w:rsidR="00EE417E" w:rsidRPr="00AB3320" w:rsidRDefault="00EE417E" w:rsidP="00A31779">
      <w:pPr>
        <w:spacing w:after="720"/>
        <w:jc w:val="both"/>
      </w:pPr>
    </w:p>
    <w:p w:rsidR="00A46CCE" w:rsidRPr="00AB3320" w:rsidRDefault="007E2AD3" w:rsidP="00A31779">
      <w:pPr>
        <w:pStyle w:val="SCCLsocParty"/>
        <w:tabs>
          <w:tab w:val="right" w:pos="8222"/>
        </w:tabs>
        <w:spacing w:after="720"/>
      </w:pPr>
      <w:r w:rsidRPr="00AB3320">
        <w:t>Riccardo Bellusci</w:t>
      </w:r>
      <w:r w:rsidR="006B6228">
        <w:tab/>
      </w:r>
      <w:r w:rsidR="00424D24" w:rsidRPr="00AB3320">
        <w:rPr>
          <w:b w:val="0"/>
          <w:i/>
        </w:rPr>
        <w:t>Appelant</w:t>
      </w:r>
    </w:p>
    <w:p w:rsidR="00A31779" w:rsidRPr="00AB3320" w:rsidRDefault="007E2AD3" w:rsidP="00A31779">
      <w:pPr>
        <w:pStyle w:val="SCCLsocVersus"/>
        <w:spacing w:after="720"/>
      </w:pPr>
      <w:proofErr w:type="gramStart"/>
      <w:r w:rsidRPr="00AB3320">
        <w:t>c</w:t>
      </w:r>
      <w:proofErr w:type="gramEnd"/>
      <w:r w:rsidRPr="00AB3320">
        <w:t>.</w:t>
      </w:r>
    </w:p>
    <w:p w:rsidR="00A46CCE" w:rsidRPr="00AB3320" w:rsidRDefault="007E2AD3" w:rsidP="00A31779">
      <w:pPr>
        <w:pStyle w:val="SCCLsocParty"/>
        <w:tabs>
          <w:tab w:val="right" w:pos="8222"/>
        </w:tabs>
        <w:spacing w:after="720"/>
      </w:pPr>
      <w:r w:rsidRPr="00AB3320">
        <w:t>Sa Majesté la Reine</w:t>
      </w:r>
      <w:r w:rsidR="006B6228">
        <w:rPr>
          <w:b w:val="0"/>
        </w:rPr>
        <w:tab/>
      </w:r>
      <w:r w:rsidR="00424D24" w:rsidRPr="00AB3320">
        <w:rPr>
          <w:b w:val="0"/>
          <w:i/>
        </w:rPr>
        <w:t>Intimée</w:t>
      </w:r>
    </w:p>
    <w:p w:rsidR="00A31779" w:rsidRPr="00AB3320" w:rsidRDefault="00A31779" w:rsidP="00A31779">
      <w:pPr>
        <w:pStyle w:val="SCCLsocOtherPartySeparator"/>
        <w:spacing w:after="720"/>
      </w:pPr>
      <w:proofErr w:type="gramStart"/>
      <w:r w:rsidRPr="00AB3320">
        <w:t>e</w:t>
      </w:r>
      <w:r w:rsidR="007E2AD3" w:rsidRPr="00AB3320">
        <w:t>t</w:t>
      </w:r>
      <w:proofErr w:type="gramEnd"/>
    </w:p>
    <w:p w:rsidR="00A46CCE" w:rsidRPr="00AB3320" w:rsidRDefault="007179A2" w:rsidP="00A31779">
      <w:pPr>
        <w:pStyle w:val="SCCLsocParty"/>
        <w:tabs>
          <w:tab w:val="right" w:pos="8222"/>
        </w:tabs>
        <w:spacing w:after="720"/>
      </w:pPr>
      <w:r w:rsidRPr="00AB3320">
        <w:t>Procureur général de l</w:t>
      </w:r>
      <w:r w:rsidR="00424D24">
        <w:t>’</w:t>
      </w:r>
      <w:r w:rsidR="007E2AD3" w:rsidRPr="00AB3320">
        <w:t>Ontario</w:t>
      </w:r>
      <w:r w:rsidR="006B6228">
        <w:rPr>
          <w:b w:val="0"/>
        </w:rPr>
        <w:tab/>
      </w:r>
      <w:r w:rsidR="00424D24" w:rsidRPr="00AB3320">
        <w:rPr>
          <w:b w:val="0"/>
          <w:i/>
        </w:rPr>
        <w:t>Intervenant</w:t>
      </w:r>
    </w:p>
    <w:p w:rsidR="00426659" w:rsidRPr="00AB3320" w:rsidRDefault="0043088E" w:rsidP="00A31779">
      <w:pPr>
        <w:spacing w:after="720"/>
        <w:jc w:val="both"/>
        <w:rPr>
          <w:b/>
        </w:rPr>
      </w:pPr>
      <w:r w:rsidRPr="00AB3320">
        <w:rPr>
          <w:b/>
        </w:rPr>
        <w:t>Répertorié</w:t>
      </w:r>
      <w:r w:rsidR="00AB3320">
        <w:rPr>
          <w:b/>
        </w:rPr>
        <w:t xml:space="preserve"> </w:t>
      </w:r>
      <w:r w:rsidR="00A31779" w:rsidRPr="00AB3320">
        <w:rPr>
          <w:b/>
        </w:rPr>
        <w:t>:</w:t>
      </w:r>
      <w:r w:rsidR="00AB3320">
        <w:rPr>
          <w:b/>
        </w:rPr>
        <w:t xml:space="preserve"> </w:t>
      </w:r>
      <w:r w:rsidR="007179A2" w:rsidRPr="00AB3320">
        <w:rPr>
          <w:b/>
        </w:rPr>
        <w:t xml:space="preserve">R. </w:t>
      </w:r>
      <w:r w:rsidR="007179A2" w:rsidRPr="00AB3320">
        <w:rPr>
          <w:b/>
          <w:i/>
        </w:rPr>
        <w:t>c.</w:t>
      </w:r>
      <w:r w:rsidR="007179A2" w:rsidRPr="00AB3320">
        <w:rPr>
          <w:b/>
        </w:rPr>
        <w:t xml:space="preserve"> </w:t>
      </w:r>
      <w:r w:rsidRPr="00AB3320">
        <w:rPr>
          <w:b/>
        </w:rPr>
        <w:t>Bellusci</w:t>
      </w:r>
    </w:p>
    <w:p w:rsidR="00426659" w:rsidRPr="00AB3320" w:rsidRDefault="00C0663B" w:rsidP="00A31779">
      <w:pPr>
        <w:pStyle w:val="SCCSystemYear"/>
        <w:spacing w:after="720"/>
        <w:jc w:val="both"/>
      </w:pPr>
      <w:r w:rsidRPr="00AB3320">
        <w:t>2012</w:t>
      </w:r>
      <w:r w:rsidR="00EE0FAF" w:rsidRPr="00AB3320">
        <w:t xml:space="preserve"> </w:t>
      </w:r>
      <w:r w:rsidR="00C71F58" w:rsidRPr="00AB3320">
        <w:t>C</w:t>
      </w:r>
      <w:r w:rsidR="001A7F8F" w:rsidRPr="00AB3320">
        <w:t>SC</w:t>
      </w:r>
      <w:r w:rsidR="00AB3320">
        <w:t xml:space="preserve"> </w:t>
      </w:r>
      <w:r w:rsidR="001A7F8F" w:rsidRPr="00AB3320">
        <w:t>44</w:t>
      </w:r>
    </w:p>
    <w:p w:rsidR="008322BD" w:rsidRPr="00AB3320" w:rsidRDefault="009B57B3" w:rsidP="00A31779">
      <w:pPr>
        <w:spacing w:after="720"/>
        <w:jc w:val="both"/>
      </w:pPr>
      <w:r w:rsidRPr="00AB3320">
        <w:t>N</w:t>
      </w:r>
      <w:r w:rsidRPr="00AB3320">
        <w:rPr>
          <w:vertAlign w:val="superscript"/>
        </w:rPr>
        <w:t>o</w:t>
      </w:r>
      <w:r w:rsidR="0043088E" w:rsidRPr="00AB3320">
        <w:t xml:space="preserve"> du greffe</w:t>
      </w:r>
      <w:r w:rsidR="00AB3320">
        <w:t xml:space="preserve"> </w:t>
      </w:r>
      <w:r w:rsidR="00A31779" w:rsidRPr="00AB3320">
        <w:t>:</w:t>
      </w:r>
      <w:r w:rsidR="00AB3320">
        <w:t xml:space="preserve"> </w:t>
      </w:r>
      <w:r w:rsidRPr="00AB3320">
        <w:t>34054.</w:t>
      </w:r>
    </w:p>
    <w:p w:rsidR="008322BD" w:rsidRPr="00AB3320" w:rsidRDefault="00C0663B" w:rsidP="00A31779">
      <w:pPr>
        <w:spacing w:after="720"/>
        <w:jc w:val="both"/>
      </w:pPr>
      <w:r w:rsidRPr="00AB3320">
        <w:t>2012</w:t>
      </w:r>
      <w:r w:rsidR="00AB3320">
        <w:t xml:space="preserve"> </w:t>
      </w:r>
      <w:r w:rsidR="00A31779" w:rsidRPr="00AB3320">
        <w:t>:</w:t>
      </w:r>
      <w:r w:rsidR="00AB3320">
        <w:t xml:space="preserve"> </w:t>
      </w:r>
      <w:r w:rsidRPr="00AB3320">
        <w:t>16</w:t>
      </w:r>
      <w:r w:rsidR="00AB3320">
        <w:t xml:space="preserve"> </w:t>
      </w:r>
      <w:r w:rsidRPr="00AB3320">
        <w:t>février</w:t>
      </w:r>
      <w:r w:rsidR="009B57B3" w:rsidRPr="00AB3320">
        <w:t xml:space="preserve">; </w:t>
      </w:r>
      <w:r w:rsidR="001A7F8F" w:rsidRPr="00AB3320">
        <w:t>2012</w:t>
      </w:r>
      <w:r w:rsidR="00AB3320">
        <w:t xml:space="preserve"> </w:t>
      </w:r>
      <w:r w:rsidR="00A31779" w:rsidRPr="00AB3320">
        <w:t>:</w:t>
      </w:r>
      <w:r w:rsidR="00AB3320">
        <w:t xml:space="preserve"> </w:t>
      </w:r>
      <w:r w:rsidR="001A7F8F" w:rsidRPr="00AB3320">
        <w:t>3</w:t>
      </w:r>
      <w:r w:rsidR="00AB3320">
        <w:t xml:space="preserve"> </w:t>
      </w:r>
      <w:r w:rsidR="001A7F8F" w:rsidRPr="00AB3320">
        <w:t>août.</w:t>
      </w:r>
    </w:p>
    <w:p w:rsidR="008322BD" w:rsidRPr="00AB3320" w:rsidRDefault="009B57B3" w:rsidP="00A31779">
      <w:pPr>
        <w:spacing w:after="720"/>
        <w:jc w:val="both"/>
      </w:pPr>
      <w:r w:rsidRPr="00AB3320">
        <w:t>Pr</w:t>
      </w:r>
      <w:r w:rsidR="0043088E" w:rsidRPr="00AB3320">
        <w:t>é</w:t>
      </w:r>
      <w:r w:rsidRPr="00AB3320">
        <w:t>sent</w:t>
      </w:r>
      <w:r w:rsidR="008A6558" w:rsidRPr="00AB3320">
        <w:t>s</w:t>
      </w:r>
      <w:r w:rsidR="00AB3320">
        <w:t xml:space="preserve"> </w:t>
      </w:r>
      <w:r w:rsidR="00A31779" w:rsidRPr="00AB3320">
        <w:t>:</w:t>
      </w:r>
      <w:r w:rsidR="00AB3320">
        <w:t xml:space="preserve"> </w:t>
      </w:r>
      <w:r w:rsidRPr="00AB3320">
        <w:t xml:space="preserve">La juge en chef </w:t>
      </w:r>
      <w:proofErr w:type="spellStart"/>
      <w:r w:rsidRPr="00AB3320">
        <w:t>McLachlin</w:t>
      </w:r>
      <w:proofErr w:type="spellEnd"/>
      <w:r w:rsidRPr="00AB3320">
        <w:t xml:space="preserve"> et les juges LeBel, Deschamps, Fish, Abella, </w:t>
      </w:r>
      <w:proofErr w:type="spellStart"/>
      <w:r w:rsidRPr="00AB3320">
        <w:t>Moldaver</w:t>
      </w:r>
      <w:proofErr w:type="spellEnd"/>
      <w:r w:rsidRPr="00AB3320">
        <w:t xml:space="preserve"> et </w:t>
      </w:r>
      <w:proofErr w:type="spellStart"/>
      <w:r w:rsidRPr="00AB3320">
        <w:t>Karakatsanis</w:t>
      </w:r>
      <w:proofErr w:type="spellEnd"/>
      <w:r w:rsidRPr="00AB3320">
        <w:t>.</w:t>
      </w:r>
    </w:p>
    <w:p w:rsidR="008322BD" w:rsidRPr="00AB3320" w:rsidRDefault="00AC7437" w:rsidP="00A31779">
      <w:pPr>
        <w:pStyle w:val="SCCLowerCourtNameLowercase"/>
        <w:spacing w:after="720" w:line="240" w:lineRule="auto"/>
      </w:pPr>
      <w:r w:rsidRPr="00AB3320">
        <w:lastRenderedPageBreak/>
        <w:t>e</w:t>
      </w:r>
      <w:r w:rsidR="00855307" w:rsidRPr="00AB3320">
        <w:t>n</w:t>
      </w:r>
      <w:r w:rsidR="00224FC0" w:rsidRPr="00AB3320">
        <w:t xml:space="preserve"> </w:t>
      </w:r>
      <w:r w:rsidR="00855307" w:rsidRPr="00AB3320">
        <w:t>appel</w:t>
      </w:r>
      <w:r w:rsidR="00224FC0" w:rsidRPr="00AB3320">
        <w:t xml:space="preserve"> </w:t>
      </w:r>
      <w:r w:rsidR="00855307" w:rsidRPr="00AB3320">
        <w:t>de</w:t>
      </w:r>
      <w:r w:rsidR="0043088E" w:rsidRPr="00AB3320">
        <w:t xml:space="preserve"> </w:t>
      </w:r>
      <w:r w:rsidR="00855307" w:rsidRPr="00AB3320">
        <w:t>la</w:t>
      </w:r>
      <w:r w:rsidR="00224FC0" w:rsidRPr="00AB3320">
        <w:t xml:space="preserve"> </w:t>
      </w:r>
      <w:r w:rsidR="009B57B3" w:rsidRPr="00AB3320">
        <w:t>c</w:t>
      </w:r>
      <w:r w:rsidR="007179A2" w:rsidRPr="00AB3320">
        <w:t>our d</w:t>
      </w:r>
      <w:r w:rsidR="00424D24">
        <w:t>’</w:t>
      </w:r>
      <w:r w:rsidR="007179A2" w:rsidRPr="00AB3320">
        <w:t xml:space="preserve">appel du </w:t>
      </w:r>
      <w:proofErr w:type="spellStart"/>
      <w:r w:rsidR="007179A2" w:rsidRPr="00AB3320">
        <w:t>québec</w:t>
      </w:r>
      <w:proofErr w:type="spellEnd"/>
    </w:p>
    <w:p w:rsidR="005B7576" w:rsidRPr="00AB3320" w:rsidRDefault="009B57B3" w:rsidP="00A31779">
      <w:pPr>
        <w:pStyle w:val="SCCNormalDoubleSpacing"/>
        <w:spacing w:after="480"/>
        <w:rPr>
          <w:i/>
        </w:rPr>
      </w:pPr>
      <w:r w:rsidRPr="00AB3320">
        <w:tab/>
      </w:r>
      <w:r w:rsidR="005B7576" w:rsidRPr="00AB3320">
        <w:rPr>
          <w:i/>
        </w:rPr>
        <w:t xml:space="preserve">Droit constitutionnel </w:t>
      </w:r>
      <w:r w:rsidR="00563941" w:rsidRPr="00AB3320">
        <w:rPr>
          <w:i/>
        </w:rPr>
        <w:t>—</w:t>
      </w:r>
      <w:r w:rsidR="005B7576" w:rsidRPr="00AB3320">
        <w:rPr>
          <w:i/>
        </w:rPr>
        <w:t xml:space="preserve"> Charte des droits</w:t>
      </w:r>
      <w:r w:rsidR="00563941" w:rsidRPr="00AB3320">
        <w:rPr>
          <w:i/>
        </w:rPr>
        <w:t xml:space="preserve"> — </w:t>
      </w:r>
      <w:r w:rsidR="005B7576" w:rsidRPr="00AB3320">
        <w:rPr>
          <w:i/>
        </w:rPr>
        <w:t xml:space="preserve">Réparation </w:t>
      </w:r>
      <w:r w:rsidR="00563941" w:rsidRPr="00AB3320">
        <w:rPr>
          <w:i/>
        </w:rPr>
        <w:t xml:space="preserve">— </w:t>
      </w:r>
      <w:r w:rsidR="005B7576" w:rsidRPr="00AB3320">
        <w:rPr>
          <w:i/>
        </w:rPr>
        <w:t xml:space="preserve">Arrêt des procédures </w:t>
      </w:r>
      <w:r w:rsidR="00563941" w:rsidRPr="00AB3320">
        <w:rPr>
          <w:i/>
        </w:rPr>
        <w:t xml:space="preserve">— </w:t>
      </w:r>
      <w:r w:rsidR="005B7576" w:rsidRPr="00AB3320">
        <w:rPr>
          <w:i/>
        </w:rPr>
        <w:t>Blessures subies par un détenu accusé et par un agent de détention lors d</w:t>
      </w:r>
      <w:r w:rsidR="00424D24">
        <w:rPr>
          <w:i/>
        </w:rPr>
        <w:t>’</w:t>
      </w:r>
      <w:r w:rsidR="005B7576" w:rsidRPr="00AB3320">
        <w:rPr>
          <w:i/>
        </w:rPr>
        <w:t>une altercation</w:t>
      </w:r>
      <w:r w:rsidR="003B307A" w:rsidRPr="00AB3320">
        <w:rPr>
          <w:i/>
        </w:rPr>
        <w:t xml:space="preserve"> </w:t>
      </w:r>
      <w:r w:rsidR="00563941" w:rsidRPr="00AB3320">
        <w:rPr>
          <w:i/>
        </w:rPr>
        <w:t xml:space="preserve">— </w:t>
      </w:r>
      <w:r w:rsidR="005B7576" w:rsidRPr="00AB3320">
        <w:rPr>
          <w:i/>
        </w:rPr>
        <w:t>Accusations de voies de fait et d</w:t>
      </w:r>
      <w:r w:rsidR="00424D24">
        <w:rPr>
          <w:i/>
        </w:rPr>
        <w:t>’</w:t>
      </w:r>
      <w:r w:rsidR="005B7576" w:rsidRPr="00AB3320">
        <w:rPr>
          <w:i/>
        </w:rPr>
        <w:t>intimidation d</w:t>
      </w:r>
      <w:r w:rsidR="00424D24">
        <w:rPr>
          <w:i/>
        </w:rPr>
        <w:t>’</w:t>
      </w:r>
      <w:r w:rsidR="005B7576" w:rsidRPr="00AB3320">
        <w:rPr>
          <w:i/>
        </w:rPr>
        <w:t xml:space="preserve">une personne associée au système judiciaire </w:t>
      </w:r>
      <w:r w:rsidR="00563941" w:rsidRPr="00AB3320">
        <w:rPr>
          <w:i/>
        </w:rPr>
        <w:t xml:space="preserve">— </w:t>
      </w:r>
      <w:r w:rsidR="005B7576" w:rsidRPr="00AB3320">
        <w:rPr>
          <w:i/>
        </w:rPr>
        <w:t>Acquittement de l</w:t>
      </w:r>
      <w:r w:rsidR="00424D24">
        <w:rPr>
          <w:i/>
        </w:rPr>
        <w:t>’</w:t>
      </w:r>
      <w:r w:rsidR="005B7576" w:rsidRPr="00AB3320">
        <w:rPr>
          <w:i/>
        </w:rPr>
        <w:t xml:space="preserve">accusé en première instance </w:t>
      </w:r>
      <w:r w:rsidR="003B307A" w:rsidRPr="00AB3320">
        <w:rPr>
          <w:i/>
        </w:rPr>
        <w:t>à l</w:t>
      </w:r>
      <w:r w:rsidR="00424D24">
        <w:rPr>
          <w:i/>
        </w:rPr>
        <w:t>’</w:t>
      </w:r>
      <w:r w:rsidR="003B307A" w:rsidRPr="00AB3320">
        <w:rPr>
          <w:i/>
        </w:rPr>
        <w:t xml:space="preserve">égard </w:t>
      </w:r>
      <w:r w:rsidR="005B7576" w:rsidRPr="00AB3320">
        <w:rPr>
          <w:i/>
        </w:rPr>
        <w:t xml:space="preserve">des accusations de voies de fait et arrêt des procédures </w:t>
      </w:r>
      <w:r w:rsidR="003B307A" w:rsidRPr="00AB3320">
        <w:rPr>
          <w:i/>
        </w:rPr>
        <w:t>ordonn</w:t>
      </w:r>
      <w:r w:rsidR="005B7576" w:rsidRPr="00AB3320">
        <w:rPr>
          <w:i/>
        </w:rPr>
        <w:t xml:space="preserve">é par le juge du procès </w:t>
      </w:r>
      <w:r w:rsidR="003B307A" w:rsidRPr="00AB3320">
        <w:rPr>
          <w:i/>
        </w:rPr>
        <w:t xml:space="preserve">relativement </w:t>
      </w:r>
      <w:r w:rsidR="004276A0" w:rsidRPr="00AB3320">
        <w:rPr>
          <w:i/>
        </w:rPr>
        <w:t>au chef</w:t>
      </w:r>
      <w:r w:rsidR="005B7576" w:rsidRPr="00AB3320">
        <w:rPr>
          <w:i/>
        </w:rPr>
        <w:t xml:space="preserve"> d</w:t>
      </w:r>
      <w:r w:rsidR="00424D24">
        <w:rPr>
          <w:i/>
        </w:rPr>
        <w:t>’</w:t>
      </w:r>
      <w:r w:rsidR="005B7576" w:rsidRPr="00AB3320">
        <w:rPr>
          <w:i/>
        </w:rPr>
        <w:t xml:space="preserve">intimidation </w:t>
      </w:r>
      <w:r w:rsidR="008E6E05" w:rsidRPr="00AB3320">
        <w:rPr>
          <w:i/>
        </w:rPr>
        <w:t>en raison de l</w:t>
      </w:r>
      <w:r w:rsidR="00424D24">
        <w:rPr>
          <w:i/>
        </w:rPr>
        <w:t>’</w:t>
      </w:r>
      <w:r w:rsidR="005B7576" w:rsidRPr="00AB3320">
        <w:rPr>
          <w:i/>
        </w:rPr>
        <w:t xml:space="preserve">atteinte aux droits garantis à </w:t>
      </w:r>
      <w:r w:rsidR="008E6E05" w:rsidRPr="00AB3320">
        <w:rPr>
          <w:i/>
        </w:rPr>
        <w:t>l</w:t>
      </w:r>
      <w:r w:rsidR="00424D24">
        <w:rPr>
          <w:i/>
        </w:rPr>
        <w:t>’</w:t>
      </w:r>
      <w:r w:rsidR="008E6E05" w:rsidRPr="00AB3320">
        <w:rPr>
          <w:i/>
        </w:rPr>
        <w:t xml:space="preserve">accusé par </w:t>
      </w:r>
      <w:r w:rsidR="005B7576" w:rsidRPr="00AB3320">
        <w:rPr>
          <w:i/>
        </w:rPr>
        <w:t>l</w:t>
      </w:r>
      <w:r w:rsidR="00424D24">
        <w:rPr>
          <w:i/>
        </w:rPr>
        <w:t>’</w:t>
      </w:r>
      <w:r w:rsidR="00A31779" w:rsidRPr="00AB3320">
        <w:rPr>
          <w:i/>
        </w:rPr>
        <w:t>art.</w:t>
      </w:r>
      <w:r w:rsidR="00AB3320">
        <w:rPr>
          <w:i/>
        </w:rPr>
        <w:t xml:space="preserve"> </w:t>
      </w:r>
      <w:r w:rsidR="005B7576" w:rsidRPr="00AB3320">
        <w:rPr>
          <w:i/>
        </w:rPr>
        <w:t xml:space="preserve">7 de la Charte </w:t>
      </w:r>
      <w:r w:rsidR="00563941" w:rsidRPr="00AB3320">
        <w:rPr>
          <w:i/>
        </w:rPr>
        <w:t xml:space="preserve">— </w:t>
      </w:r>
      <w:r w:rsidR="007114E3" w:rsidRPr="00AB3320">
        <w:rPr>
          <w:i/>
        </w:rPr>
        <w:t>L</w:t>
      </w:r>
      <w:r w:rsidR="00424D24">
        <w:rPr>
          <w:i/>
        </w:rPr>
        <w:t>’</w:t>
      </w:r>
      <w:r w:rsidR="005B7576" w:rsidRPr="00AB3320">
        <w:rPr>
          <w:i/>
        </w:rPr>
        <w:t>arrêt des procédures</w:t>
      </w:r>
      <w:r w:rsidR="007114E3" w:rsidRPr="00AB3320">
        <w:rPr>
          <w:i/>
        </w:rPr>
        <w:t xml:space="preserve"> constituait</w:t>
      </w:r>
      <w:r w:rsidR="00AB3320">
        <w:rPr>
          <w:i/>
        </w:rPr>
        <w:t>-</w:t>
      </w:r>
      <w:r w:rsidR="007114E3" w:rsidRPr="00AB3320">
        <w:rPr>
          <w:i/>
        </w:rPr>
        <w:t>il une réparation convenable</w:t>
      </w:r>
      <w:r w:rsidR="005B7576" w:rsidRPr="00AB3320">
        <w:rPr>
          <w:i/>
        </w:rPr>
        <w:t xml:space="preserve">? </w:t>
      </w:r>
      <w:r w:rsidR="00563941" w:rsidRPr="00AB3320">
        <w:rPr>
          <w:i/>
        </w:rPr>
        <w:t xml:space="preserve">— </w:t>
      </w:r>
      <w:r w:rsidR="005B7576" w:rsidRPr="00AB3320">
        <w:rPr>
          <w:i/>
        </w:rPr>
        <w:t xml:space="preserve">Charte canadienne des droits et libertés, </w:t>
      </w:r>
      <w:r w:rsidR="00A31779" w:rsidRPr="00AB3320">
        <w:rPr>
          <w:i/>
        </w:rPr>
        <w:t>art.</w:t>
      </w:r>
      <w:r w:rsidR="00424D24">
        <w:rPr>
          <w:i/>
        </w:rPr>
        <w:t> </w:t>
      </w:r>
      <w:r w:rsidR="005B7576" w:rsidRPr="00AB3320">
        <w:rPr>
          <w:i/>
        </w:rPr>
        <w:t>24(1).</w:t>
      </w:r>
    </w:p>
    <w:p w:rsidR="008322BD" w:rsidRPr="00AB3320" w:rsidRDefault="00563941" w:rsidP="00A31779">
      <w:pPr>
        <w:pStyle w:val="SCCNormalDoubleSpacing"/>
        <w:spacing w:after="480"/>
      </w:pPr>
      <w:r w:rsidRPr="00AB3320">
        <w:rPr>
          <w:i/>
        </w:rPr>
        <w:tab/>
      </w:r>
      <w:r w:rsidR="005B7576" w:rsidRPr="00AB3320">
        <w:rPr>
          <w:i/>
        </w:rPr>
        <w:t xml:space="preserve">Droit criminel </w:t>
      </w:r>
      <w:r w:rsidRPr="00AB3320">
        <w:rPr>
          <w:i/>
        </w:rPr>
        <w:t xml:space="preserve">— </w:t>
      </w:r>
      <w:r w:rsidR="005B7576" w:rsidRPr="00AB3320">
        <w:rPr>
          <w:i/>
        </w:rPr>
        <w:t xml:space="preserve">Appels </w:t>
      </w:r>
      <w:r w:rsidRPr="00AB3320">
        <w:rPr>
          <w:i/>
        </w:rPr>
        <w:t xml:space="preserve">— </w:t>
      </w:r>
      <w:r w:rsidR="005B7576" w:rsidRPr="00AB3320">
        <w:rPr>
          <w:i/>
        </w:rPr>
        <w:t>Pouvoirs de la Cour d</w:t>
      </w:r>
      <w:r w:rsidR="00424D24">
        <w:rPr>
          <w:i/>
        </w:rPr>
        <w:t>’</w:t>
      </w:r>
      <w:r w:rsidR="005B7576" w:rsidRPr="00AB3320">
        <w:rPr>
          <w:i/>
        </w:rPr>
        <w:t xml:space="preserve">appel </w:t>
      </w:r>
      <w:r w:rsidRPr="00AB3320">
        <w:rPr>
          <w:i/>
        </w:rPr>
        <w:t xml:space="preserve">— </w:t>
      </w:r>
      <w:r w:rsidR="005B7576" w:rsidRPr="00AB3320">
        <w:rPr>
          <w:i/>
        </w:rPr>
        <w:t>Annulation par la Cour d</w:t>
      </w:r>
      <w:r w:rsidR="00424D24">
        <w:rPr>
          <w:i/>
        </w:rPr>
        <w:t>’</w:t>
      </w:r>
      <w:r w:rsidR="005B7576" w:rsidRPr="00AB3320">
        <w:rPr>
          <w:i/>
        </w:rPr>
        <w:t>appel de l</w:t>
      </w:r>
      <w:r w:rsidR="00424D24">
        <w:rPr>
          <w:i/>
        </w:rPr>
        <w:t>’</w:t>
      </w:r>
      <w:r w:rsidR="005B7576" w:rsidRPr="00AB3320">
        <w:rPr>
          <w:i/>
        </w:rPr>
        <w:t>arrêt des procédures ordonné par le juge du procès et renvoi de l</w:t>
      </w:r>
      <w:r w:rsidR="00424D24">
        <w:rPr>
          <w:i/>
        </w:rPr>
        <w:t>’</w:t>
      </w:r>
      <w:r w:rsidR="005B7576" w:rsidRPr="00AB3320">
        <w:rPr>
          <w:i/>
        </w:rPr>
        <w:t xml:space="preserve">affaire au tribunal de première instance pour la continuation du procès </w:t>
      </w:r>
      <w:r w:rsidRPr="00AB3320">
        <w:rPr>
          <w:i/>
        </w:rPr>
        <w:t xml:space="preserve">— </w:t>
      </w:r>
      <w:r w:rsidR="007114E3" w:rsidRPr="00AB3320">
        <w:rPr>
          <w:i/>
        </w:rPr>
        <w:t>La Cour d</w:t>
      </w:r>
      <w:r w:rsidR="00424D24">
        <w:rPr>
          <w:i/>
        </w:rPr>
        <w:t>’</w:t>
      </w:r>
      <w:r w:rsidR="007114E3" w:rsidRPr="00AB3320">
        <w:rPr>
          <w:i/>
        </w:rPr>
        <w:t>appel a</w:t>
      </w:r>
      <w:r w:rsidR="00AB3320">
        <w:rPr>
          <w:i/>
        </w:rPr>
        <w:t>-</w:t>
      </w:r>
      <w:r w:rsidR="007114E3" w:rsidRPr="00AB3320">
        <w:rPr>
          <w:i/>
        </w:rPr>
        <w:t>t</w:t>
      </w:r>
      <w:r w:rsidR="006B6228">
        <w:rPr>
          <w:i/>
        </w:rPr>
        <w:t>-</w:t>
      </w:r>
      <w:r w:rsidR="007114E3" w:rsidRPr="00AB3320">
        <w:rPr>
          <w:i/>
        </w:rPr>
        <w:t xml:space="preserve">elle </w:t>
      </w:r>
      <w:r w:rsidR="004276A0" w:rsidRPr="00AB3320">
        <w:rPr>
          <w:i/>
        </w:rPr>
        <w:t>eu tort de modifier</w:t>
      </w:r>
      <w:r w:rsidR="003B307A" w:rsidRPr="00AB3320">
        <w:rPr>
          <w:i/>
        </w:rPr>
        <w:t xml:space="preserve"> </w:t>
      </w:r>
      <w:r w:rsidR="004276A0" w:rsidRPr="00AB3320">
        <w:rPr>
          <w:i/>
        </w:rPr>
        <w:t>la décision du juge du procès d</w:t>
      </w:r>
      <w:r w:rsidR="00424D24">
        <w:rPr>
          <w:i/>
        </w:rPr>
        <w:t>’</w:t>
      </w:r>
      <w:r w:rsidR="004276A0" w:rsidRPr="00AB3320">
        <w:rPr>
          <w:i/>
        </w:rPr>
        <w:t>ordonner</w:t>
      </w:r>
      <w:r w:rsidR="007114E3" w:rsidRPr="00AB3320">
        <w:rPr>
          <w:i/>
        </w:rPr>
        <w:t xml:space="preserve"> </w:t>
      </w:r>
      <w:r w:rsidR="004276A0" w:rsidRPr="00AB3320">
        <w:rPr>
          <w:i/>
        </w:rPr>
        <w:t>l</w:t>
      </w:r>
      <w:r w:rsidR="00424D24">
        <w:rPr>
          <w:i/>
        </w:rPr>
        <w:t>’</w:t>
      </w:r>
      <w:r w:rsidR="004276A0" w:rsidRPr="00AB3320">
        <w:rPr>
          <w:i/>
        </w:rPr>
        <w:t>arrêt des procédures</w:t>
      </w:r>
      <w:r w:rsidR="007114E3" w:rsidRPr="00AB3320">
        <w:rPr>
          <w:i/>
        </w:rPr>
        <w:t xml:space="preserve">? </w:t>
      </w:r>
      <w:r w:rsidRPr="00AB3320">
        <w:rPr>
          <w:i/>
        </w:rPr>
        <w:t xml:space="preserve">— </w:t>
      </w:r>
      <w:r w:rsidR="004276A0" w:rsidRPr="00AB3320">
        <w:rPr>
          <w:i/>
        </w:rPr>
        <w:t>A</w:t>
      </w:r>
      <w:r w:rsidR="005B7576" w:rsidRPr="00AB3320">
        <w:rPr>
          <w:i/>
        </w:rPr>
        <w:t>vait</w:t>
      </w:r>
      <w:r w:rsidR="00AB3320">
        <w:rPr>
          <w:i/>
        </w:rPr>
        <w:t>-</w:t>
      </w:r>
      <w:r w:rsidR="005B7576" w:rsidRPr="00AB3320">
        <w:rPr>
          <w:i/>
        </w:rPr>
        <w:t>elle le pouvoir d</w:t>
      </w:r>
      <w:r w:rsidR="00424D24">
        <w:rPr>
          <w:i/>
        </w:rPr>
        <w:t>’</w:t>
      </w:r>
      <w:r w:rsidR="005B7576" w:rsidRPr="00AB3320">
        <w:rPr>
          <w:i/>
        </w:rPr>
        <w:t xml:space="preserve">ordonner la continuation du procès? </w:t>
      </w:r>
      <w:r w:rsidRPr="00AB3320">
        <w:rPr>
          <w:i/>
        </w:rPr>
        <w:t xml:space="preserve">— </w:t>
      </w:r>
      <w:r w:rsidR="005B7576" w:rsidRPr="00AB3320">
        <w:rPr>
          <w:i/>
        </w:rPr>
        <w:t xml:space="preserve">Code criminel, L.R.C. 1985, </w:t>
      </w:r>
      <w:r w:rsidR="00A31779" w:rsidRPr="00AB3320">
        <w:rPr>
          <w:i/>
        </w:rPr>
        <w:t>ch.</w:t>
      </w:r>
      <w:r w:rsidR="00AB3320">
        <w:rPr>
          <w:i/>
        </w:rPr>
        <w:t xml:space="preserve"> </w:t>
      </w:r>
      <w:r w:rsidR="005B7576" w:rsidRPr="00AB3320">
        <w:rPr>
          <w:i/>
        </w:rPr>
        <w:t>C</w:t>
      </w:r>
      <w:r w:rsidR="006B6228">
        <w:rPr>
          <w:i/>
        </w:rPr>
        <w:t>-</w:t>
      </w:r>
      <w:r w:rsidR="005B7576" w:rsidRPr="00AB3320">
        <w:rPr>
          <w:i/>
        </w:rPr>
        <w:t>4</w:t>
      </w:r>
      <w:r w:rsidRPr="00AB3320">
        <w:rPr>
          <w:i/>
        </w:rPr>
        <w:t>6</w:t>
      </w:r>
      <w:r w:rsidR="005B7576" w:rsidRPr="00AB3320">
        <w:rPr>
          <w:i/>
        </w:rPr>
        <w:t xml:space="preserve">, </w:t>
      </w:r>
      <w:r w:rsidR="00A31779" w:rsidRPr="00AB3320">
        <w:rPr>
          <w:i/>
        </w:rPr>
        <w:t>art.</w:t>
      </w:r>
      <w:r w:rsidR="00AB3320">
        <w:rPr>
          <w:i/>
        </w:rPr>
        <w:t xml:space="preserve"> </w:t>
      </w:r>
      <w:r w:rsidR="005B7576" w:rsidRPr="00AB3320">
        <w:rPr>
          <w:i/>
        </w:rPr>
        <w:t>686(4)</w:t>
      </w:r>
      <w:r w:rsidR="00CC5801">
        <w:rPr>
          <w:i/>
        </w:rPr>
        <w:t>,</w:t>
      </w:r>
      <w:r w:rsidR="005B7576" w:rsidRPr="00AB3320">
        <w:rPr>
          <w:i/>
        </w:rPr>
        <w:t xml:space="preserve"> (8).</w:t>
      </w:r>
    </w:p>
    <w:p w:rsidR="008322BD" w:rsidRPr="00AB3320" w:rsidRDefault="009B57B3" w:rsidP="00A31779">
      <w:pPr>
        <w:pStyle w:val="SCCNormalDoubleSpacing"/>
        <w:spacing w:after="480"/>
        <w:rPr>
          <w:szCs w:val="24"/>
        </w:rPr>
      </w:pPr>
      <w:r w:rsidRPr="00AB3320">
        <w:tab/>
      </w:r>
      <w:r w:rsidR="0066012C" w:rsidRPr="00AB3320">
        <w:t>Des a</w:t>
      </w:r>
      <w:r w:rsidR="004E5B45" w:rsidRPr="00AB3320">
        <w:t xml:space="preserve">ccusations </w:t>
      </w:r>
      <w:r w:rsidR="0066012C" w:rsidRPr="00AB3320">
        <w:t xml:space="preserve">ont été </w:t>
      </w:r>
      <w:r w:rsidR="0038584C" w:rsidRPr="00AB3320">
        <w:rPr>
          <w:szCs w:val="24"/>
        </w:rPr>
        <w:t>portées contre B, un détenu, pour</w:t>
      </w:r>
      <w:r w:rsidR="004E5B45" w:rsidRPr="00AB3320">
        <w:t xml:space="preserve"> </w:t>
      </w:r>
      <w:r w:rsidR="004E5B45" w:rsidRPr="00AB3320">
        <w:rPr>
          <w:szCs w:val="24"/>
        </w:rPr>
        <w:t>voies de fait causant des lésions corporelles, voies de fait contre un agent de la paix et acte d</w:t>
      </w:r>
      <w:r w:rsidR="00424D24">
        <w:rPr>
          <w:szCs w:val="24"/>
        </w:rPr>
        <w:t>’</w:t>
      </w:r>
      <w:r w:rsidR="004E5B45" w:rsidRPr="00AB3320">
        <w:rPr>
          <w:szCs w:val="24"/>
        </w:rPr>
        <w:t>intimidation contre une personne associée au système judiciaire</w:t>
      </w:r>
      <w:r w:rsidR="0038584C" w:rsidRPr="00AB3320">
        <w:rPr>
          <w:szCs w:val="24"/>
        </w:rPr>
        <w:t>, A, un agent de détention, par suite d</w:t>
      </w:r>
      <w:r w:rsidR="00424D24">
        <w:rPr>
          <w:szCs w:val="24"/>
        </w:rPr>
        <w:t>’</w:t>
      </w:r>
      <w:r w:rsidR="004E5B45" w:rsidRPr="00AB3320">
        <w:rPr>
          <w:szCs w:val="24"/>
        </w:rPr>
        <w:t xml:space="preserve">une altercation au cours de laquelle les deux hommes </w:t>
      </w:r>
      <w:r w:rsidR="0038584C" w:rsidRPr="00AB3320">
        <w:rPr>
          <w:szCs w:val="24"/>
        </w:rPr>
        <w:t>o</w:t>
      </w:r>
      <w:r w:rsidR="004E5B45" w:rsidRPr="00AB3320">
        <w:rPr>
          <w:szCs w:val="24"/>
        </w:rPr>
        <w:t xml:space="preserve">nt été </w:t>
      </w:r>
      <w:r w:rsidR="004E5B45" w:rsidRPr="00AB3320">
        <w:rPr>
          <w:szCs w:val="24"/>
        </w:rPr>
        <w:lastRenderedPageBreak/>
        <w:t>blessés.</w:t>
      </w:r>
      <w:r w:rsidR="00AB3320">
        <w:rPr>
          <w:szCs w:val="24"/>
        </w:rPr>
        <w:t xml:space="preserve"> </w:t>
      </w:r>
      <w:r w:rsidR="004E5B45" w:rsidRPr="00AB3320">
        <w:rPr>
          <w:szCs w:val="24"/>
        </w:rPr>
        <w:t>Le juge du procès a acquitté B des deux accusations</w:t>
      </w:r>
      <w:r w:rsidR="00661F8F" w:rsidRPr="00AB3320">
        <w:rPr>
          <w:szCs w:val="24"/>
        </w:rPr>
        <w:t xml:space="preserve"> de voies de fait et ordonné l</w:t>
      </w:r>
      <w:r w:rsidR="00424D24">
        <w:rPr>
          <w:szCs w:val="24"/>
        </w:rPr>
        <w:t>’</w:t>
      </w:r>
      <w:r w:rsidR="00661F8F" w:rsidRPr="00AB3320">
        <w:rPr>
          <w:szCs w:val="24"/>
        </w:rPr>
        <w:t xml:space="preserve">arrêt des procédures quant à </w:t>
      </w:r>
      <w:r w:rsidR="003B307A" w:rsidRPr="00AB3320">
        <w:rPr>
          <w:szCs w:val="24"/>
        </w:rPr>
        <w:t>celle</w:t>
      </w:r>
      <w:r w:rsidR="00661F8F" w:rsidRPr="00AB3320">
        <w:rPr>
          <w:szCs w:val="24"/>
        </w:rPr>
        <w:t xml:space="preserve"> d</w:t>
      </w:r>
      <w:r w:rsidR="00424D24">
        <w:rPr>
          <w:szCs w:val="24"/>
        </w:rPr>
        <w:t>’</w:t>
      </w:r>
      <w:r w:rsidR="00661F8F" w:rsidRPr="00AB3320">
        <w:rPr>
          <w:szCs w:val="24"/>
        </w:rPr>
        <w:t>intimidation d</w:t>
      </w:r>
      <w:r w:rsidR="00424D24">
        <w:rPr>
          <w:szCs w:val="24"/>
        </w:rPr>
        <w:t>’</w:t>
      </w:r>
      <w:r w:rsidR="00661F8F" w:rsidRPr="00AB3320">
        <w:rPr>
          <w:szCs w:val="24"/>
        </w:rPr>
        <w:t xml:space="preserve">une personne associée au système judiciaire </w:t>
      </w:r>
      <w:r w:rsidR="003B307A" w:rsidRPr="00AB3320">
        <w:rPr>
          <w:szCs w:val="24"/>
        </w:rPr>
        <w:t xml:space="preserve">parce </w:t>
      </w:r>
      <w:r w:rsidR="00661F8F" w:rsidRPr="00AB3320">
        <w:rPr>
          <w:szCs w:val="24"/>
        </w:rPr>
        <w:t>qu</w:t>
      </w:r>
      <w:r w:rsidR="00424D24">
        <w:rPr>
          <w:szCs w:val="24"/>
        </w:rPr>
        <w:t>’</w:t>
      </w:r>
      <w:r w:rsidR="00661F8F" w:rsidRPr="00AB3320">
        <w:rPr>
          <w:szCs w:val="24"/>
        </w:rPr>
        <w:t xml:space="preserve">il y avait eu atteinte aux droits garantis </w:t>
      </w:r>
      <w:r w:rsidR="00DE4E2C" w:rsidRPr="00AB3320">
        <w:rPr>
          <w:szCs w:val="24"/>
        </w:rPr>
        <w:t>à B par</w:t>
      </w:r>
      <w:r w:rsidR="00661F8F" w:rsidRPr="00AB3320">
        <w:rPr>
          <w:szCs w:val="24"/>
        </w:rPr>
        <w:t xml:space="preserve"> l</w:t>
      </w:r>
      <w:r w:rsidR="00424D24">
        <w:rPr>
          <w:szCs w:val="24"/>
        </w:rPr>
        <w:t>’</w:t>
      </w:r>
      <w:r w:rsidR="00A31779" w:rsidRPr="00AB3320">
        <w:rPr>
          <w:szCs w:val="24"/>
        </w:rPr>
        <w:t>art.</w:t>
      </w:r>
      <w:r w:rsidR="00AB3320">
        <w:rPr>
          <w:szCs w:val="24"/>
        </w:rPr>
        <w:t xml:space="preserve"> </w:t>
      </w:r>
      <w:r w:rsidR="00661F8F" w:rsidRPr="00AB3320">
        <w:rPr>
          <w:szCs w:val="24"/>
        </w:rPr>
        <w:t xml:space="preserve">7 de la </w:t>
      </w:r>
      <w:r w:rsidR="00661F8F" w:rsidRPr="00AB3320">
        <w:rPr>
          <w:i/>
          <w:szCs w:val="24"/>
        </w:rPr>
        <w:t>Charte</w:t>
      </w:r>
      <w:r w:rsidR="003E0FC0" w:rsidRPr="00AB3320">
        <w:rPr>
          <w:szCs w:val="24"/>
        </w:rPr>
        <w:t>.</w:t>
      </w:r>
      <w:r w:rsidR="00AB3320">
        <w:rPr>
          <w:szCs w:val="24"/>
        </w:rPr>
        <w:t xml:space="preserve"> </w:t>
      </w:r>
      <w:r w:rsidR="006B70AC" w:rsidRPr="00AB3320">
        <w:rPr>
          <w:szCs w:val="24"/>
        </w:rPr>
        <w:t>La Cour d</w:t>
      </w:r>
      <w:r w:rsidR="00424D24">
        <w:rPr>
          <w:szCs w:val="24"/>
        </w:rPr>
        <w:t>’</w:t>
      </w:r>
      <w:r w:rsidR="006B70AC" w:rsidRPr="00AB3320">
        <w:rPr>
          <w:szCs w:val="24"/>
        </w:rPr>
        <w:t>appel du Québec a annulé l</w:t>
      </w:r>
      <w:r w:rsidR="00424D24">
        <w:rPr>
          <w:szCs w:val="24"/>
        </w:rPr>
        <w:t>’</w:t>
      </w:r>
      <w:r w:rsidR="006B70AC" w:rsidRPr="00AB3320">
        <w:rPr>
          <w:szCs w:val="24"/>
        </w:rPr>
        <w:t>arrêt des procédures et renvoyé l</w:t>
      </w:r>
      <w:r w:rsidR="00424D24">
        <w:rPr>
          <w:szCs w:val="24"/>
        </w:rPr>
        <w:t>’</w:t>
      </w:r>
      <w:r w:rsidR="006B70AC" w:rsidRPr="00AB3320">
        <w:rPr>
          <w:szCs w:val="24"/>
        </w:rPr>
        <w:t xml:space="preserve">affaire </w:t>
      </w:r>
      <w:r w:rsidR="003B307A" w:rsidRPr="00AB3320">
        <w:rPr>
          <w:szCs w:val="24"/>
        </w:rPr>
        <w:t xml:space="preserve">au tribunal </w:t>
      </w:r>
      <w:r w:rsidR="006B70AC" w:rsidRPr="00AB3320">
        <w:rPr>
          <w:szCs w:val="24"/>
        </w:rPr>
        <w:t xml:space="preserve">de première instance pour </w:t>
      </w:r>
      <w:r w:rsidR="003B307A" w:rsidRPr="00AB3320">
        <w:rPr>
          <w:szCs w:val="24"/>
        </w:rPr>
        <w:t xml:space="preserve">la </w:t>
      </w:r>
      <w:r w:rsidR="006B70AC" w:rsidRPr="00AB3320">
        <w:rPr>
          <w:szCs w:val="24"/>
        </w:rPr>
        <w:t>continua</w:t>
      </w:r>
      <w:r w:rsidR="00424D24">
        <w:rPr>
          <w:szCs w:val="24"/>
        </w:rPr>
        <w:t>tion du procès de </w:t>
      </w:r>
      <w:r w:rsidR="006B70AC" w:rsidRPr="00AB3320">
        <w:rPr>
          <w:szCs w:val="24"/>
        </w:rPr>
        <w:t>B.</w:t>
      </w:r>
    </w:p>
    <w:p w:rsidR="008322BD" w:rsidRPr="00AB3320" w:rsidRDefault="006B70AC" w:rsidP="00A31779">
      <w:pPr>
        <w:pStyle w:val="SCCNormalDoubleSpacing"/>
        <w:spacing w:after="480"/>
      </w:pPr>
      <w:r w:rsidRPr="00AB3320">
        <w:rPr>
          <w:szCs w:val="24"/>
        </w:rPr>
        <w:tab/>
      </w:r>
      <w:r w:rsidR="0043088E" w:rsidRPr="00AB3320">
        <w:rPr>
          <w:i/>
        </w:rPr>
        <w:t>Arrêt</w:t>
      </w:r>
      <w:r w:rsidR="00AB3320">
        <w:t xml:space="preserve"> </w:t>
      </w:r>
      <w:r w:rsidR="00A31779" w:rsidRPr="00AB3320">
        <w:t>:</w:t>
      </w:r>
      <w:r w:rsidR="009B57B3" w:rsidRPr="00AB3320">
        <w:t xml:space="preserve"> </w:t>
      </w:r>
      <w:r w:rsidR="0043088E" w:rsidRPr="00AB3320">
        <w:t>Le pourvoi est</w:t>
      </w:r>
      <w:r w:rsidRPr="00AB3320">
        <w:t xml:space="preserve"> accueilli et l</w:t>
      </w:r>
      <w:r w:rsidR="00424D24">
        <w:t>’</w:t>
      </w:r>
      <w:r w:rsidRPr="00AB3320">
        <w:t>arrêt des procédures ordonné par le juge du procès est rétabli.</w:t>
      </w:r>
    </w:p>
    <w:p w:rsidR="000B625D" w:rsidRPr="00AB3320" w:rsidRDefault="003B307A" w:rsidP="00A31779">
      <w:pPr>
        <w:pStyle w:val="SCCNormalDoubleSpacing"/>
        <w:spacing w:after="480"/>
        <w:rPr>
          <w:szCs w:val="24"/>
        </w:rPr>
      </w:pPr>
      <w:r w:rsidRPr="00AB3320">
        <w:tab/>
      </w:r>
      <w:r w:rsidR="006B70AC" w:rsidRPr="00AB3320">
        <w:t xml:space="preserve">Le </w:t>
      </w:r>
      <w:r w:rsidR="009E67F2" w:rsidRPr="00AB3320">
        <w:t>paragraphe</w:t>
      </w:r>
      <w:r w:rsidR="00AB3320">
        <w:t xml:space="preserve"> </w:t>
      </w:r>
      <w:r w:rsidR="006B70AC" w:rsidRPr="00AB3320">
        <w:t xml:space="preserve">24(1) de la </w:t>
      </w:r>
      <w:r w:rsidR="006B70AC" w:rsidRPr="00AB3320">
        <w:rPr>
          <w:i/>
        </w:rPr>
        <w:t xml:space="preserve">Charte </w:t>
      </w:r>
      <w:r w:rsidR="006B70AC" w:rsidRPr="00AB3320">
        <w:t>confère au juge du procès un pouvoir discrétionnaire étendu en ce qui a trait à l</w:t>
      </w:r>
      <w:r w:rsidR="00424D24">
        <w:t>’</w:t>
      </w:r>
      <w:r w:rsidR="006B70AC" w:rsidRPr="00AB3320">
        <w:t>octroi de «</w:t>
      </w:r>
      <w:r w:rsidR="00AB3320">
        <w:t xml:space="preserve"> </w:t>
      </w:r>
      <w:r w:rsidR="006B70AC" w:rsidRPr="00AB3320">
        <w:t>la réparation que le tribunal estime convenable et juste eu égard aux circonstances</w:t>
      </w:r>
      <w:r w:rsidR="00AB3320">
        <w:t xml:space="preserve"> </w:t>
      </w:r>
      <w:r w:rsidR="006B70AC" w:rsidRPr="00AB3320">
        <w:t>».</w:t>
      </w:r>
      <w:r w:rsidR="00AB3320">
        <w:t xml:space="preserve"> </w:t>
      </w:r>
      <w:r w:rsidR="006B70AC" w:rsidRPr="00AB3320">
        <w:rPr>
          <w:szCs w:val="24"/>
        </w:rPr>
        <w:t>Il est bien établi que l</w:t>
      </w:r>
      <w:r w:rsidR="001530A3" w:rsidRPr="00AB3320">
        <w:rPr>
          <w:szCs w:val="24"/>
        </w:rPr>
        <w:t>a réparation accordée</w:t>
      </w:r>
      <w:r w:rsidR="006B70AC" w:rsidRPr="00AB3320">
        <w:rPr>
          <w:szCs w:val="24"/>
        </w:rPr>
        <w:t xml:space="preserve"> en première instance sur le fondement du </w:t>
      </w:r>
      <w:r w:rsidR="00A31779" w:rsidRPr="00AB3320">
        <w:rPr>
          <w:szCs w:val="24"/>
        </w:rPr>
        <w:t>par.</w:t>
      </w:r>
      <w:r w:rsidR="00AB3320">
        <w:rPr>
          <w:szCs w:val="24"/>
        </w:rPr>
        <w:t xml:space="preserve"> </w:t>
      </w:r>
      <w:r w:rsidR="006B70AC" w:rsidRPr="00AB3320">
        <w:rPr>
          <w:szCs w:val="24"/>
        </w:rPr>
        <w:t xml:space="preserve">24(1) ne </w:t>
      </w:r>
      <w:r w:rsidR="000B625D" w:rsidRPr="00AB3320">
        <w:rPr>
          <w:szCs w:val="24"/>
        </w:rPr>
        <w:t>doi</w:t>
      </w:r>
      <w:r w:rsidR="006B70AC" w:rsidRPr="00AB3320">
        <w:rPr>
          <w:szCs w:val="24"/>
        </w:rPr>
        <w:t xml:space="preserve">t être réformée </w:t>
      </w:r>
      <w:r w:rsidR="000B625D" w:rsidRPr="00AB3320">
        <w:rPr>
          <w:szCs w:val="24"/>
        </w:rPr>
        <w:t xml:space="preserve">en </w:t>
      </w:r>
      <w:r w:rsidR="006B70AC" w:rsidRPr="00AB3320">
        <w:rPr>
          <w:szCs w:val="24"/>
        </w:rPr>
        <w:t>appel que si le juge du procès s</w:t>
      </w:r>
      <w:r w:rsidR="00424D24">
        <w:rPr>
          <w:szCs w:val="24"/>
        </w:rPr>
        <w:t>’</w:t>
      </w:r>
      <w:r w:rsidR="006B70AC" w:rsidRPr="00AB3320">
        <w:rPr>
          <w:szCs w:val="24"/>
        </w:rPr>
        <w:t xml:space="preserve">est fondé sur des considérations erronées </w:t>
      </w:r>
      <w:r w:rsidR="00B92C21" w:rsidRPr="00AB3320">
        <w:rPr>
          <w:szCs w:val="24"/>
        </w:rPr>
        <w:t xml:space="preserve">en droit </w:t>
      </w:r>
      <w:r w:rsidR="006B70AC" w:rsidRPr="00AB3320">
        <w:rPr>
          <w:szCs w:val="24"/>
        </w:rPr>
        <w:t>ou si sa décision est erronée au point de créer une injustice</w:t>
      </w:r>
      <w:r w:rsidR="003E0FC0" w:rsidRPr="00AB3320">
        <w:rPr>
          <w:szCs w:val="24"/>
        </w:rPr>
        <w:t>.</w:t>
      </w:r>
      <w:r w:rsidR="00AB3320">
        <w:rPr>
          <w:szCs w:val="24"/>
        </w:rPr>
        <w:t xml:space="preserve"> </w:t>
      </w:r>
      <w:r w:rsidR="000B625D" w:rsidRPr="00AB3320">
        <w:rPr>
          <w:szCs w:val="24"/>
        </w:rPr>
        <w:t xml:space="preserve">Sauf erreur de droit ou conclusion de fait susceptible de contrôle, </w:t>
      </w:r>
      <w:r w:rsidRPr="00AB3320">
        <w:rPr>
          <w:szCs w:val="24"/>
        </w:rPr>
        <w:t xml:space="preserve">la </w:t>
      </w:r>
      <w:r w:rsidR="000B625D" w:rsidRPr="00AB3320">
        <w:rPr>
          <w:szCs w:val="24"/>
        </w:rPr>
        <w:t>cour d</w:t>
      </w:r>
      <w:r w:rsidR="00424D24">
        <w:rPr>
          <w:szCs w:val="24"/>
        </w:rPr>
        <w:t>’</w:t>
      </w:r>
      <w:r w:rsidR="000B625D" w:rsidRPr="00AB3320">
        <w:rPr>
          <w:szCs w:val="24"/>
        </w:rPr>
        <w:t>appel doit déférer à l</w:t>
      </w:r>
      <w:r w:rsidR="00424D24">
        <w:rPr>
          <w:szCs w:val="24"/>
        </w:rPr>
        <w:t>’</w:t>
      </w:r>
      <w:r w:rsidR="000B625D" w:rsidRPr="00AB3320">
        <w:rPr>
          <w:szCs w:val="24"/>
        </w:rPr>
        <w:t xml:space="preserve">exercice du vaste pouvoir discrétionnaire que confère au juge de première instance le </w:t>
      </w:r>
      <w:r w:rsidR="00A31779" w:rsidRPr="00AB3320">
        <w:rPr>
          <w:szCs w:val="24"/>
        </w:rPr>
        <w:t>par.</w:t>
      </w:r>
      <w:r w:rsidR="00AB3320">
        <w:rPr>
          <w:szCs w:val="24"/>
        </w:rPr>
        <w:t xml:space="preserve"> </w:t>
      </w:r>
      <w:r w:rsidR="000B625D" w:rsidRPr="00AB3320">
        <w:rPr>
          <w:szCs w:val="24"/>
        </w:rPr>
        <w:t xml:space="preserve">24(1) de la </w:t>
      </w:r>
      <w:r w:rsidR="000B625D" w:rsidRPr="00AB3320">
        <w:rPr>
          <w:i/>
          <w:szCs w:val="24"/>
        </w:rPr>
        <w:t>Charte</w:t>
      </w:r>
      <w:r w:rsidR="000B625D" w:rsidRPr="00AB3320">
        <w:rPr>
          <w:szCs w:val="24"/>
        </w:rPr>
        <w:t>.</w:t>
      </w:r>
    </w:p>
    <w:p w:rsidR="000B625D" w:rsidRPr="00AB3320" w:rsidRDefault="000B625D" w:rsidP="00A31779">
      <w:pPr>
        <w:pStyle w:val="SCCNormalDoubleSpacing"/>
        <w:spacing w:after="480"/>
        <w:rPr>
          <w:szCs w:val="24"/>
        </w:rPr>
      </w:pPr>
      <w:r w:rsidRPr="00AB3320">
        <w:rPr>
          <w:szCs w:val="24"/>
        </w:rPr>
        <w:tab/>
        <w:t>Dans la présente affaire, le juge du procès a examiné soigneusement et correctement tous les principes appli</w:t>
      </w:r>
      <w:r w:rsidR="00F332DA" w:rsidRPr="00AB3320">
        <w:rPr>
          <w:szCs w:val="24"/>
        </w:rPr>
        <w:t>cables</w:t>
      </w:r>
      <w:r w:rsidRPr="00AB3320">
        <w:rPr>
          <w:szCs w:val="24"/>
        </w:rPr>
        <w:t>.</w:t>
      </w:r>
      <w:r w:rsidR="00AB3320">
        <w:rPr>
          <w:szCs w:val="24"/>
        </w:rPr>
        <w:t xml:space="preserve"> </w:t>
      </w:r>
      <w:r w:rsidRPr="00AB3320">
        <w:rPr>
          <w:szCs w:val="24"/>
        </w:rPr>
        <w:t xml:space="preserve">Il a évalué la gravité du préjudice et </w:t>
      </w:r>
      <w:r w:rsidR="00F332DA" w:rsidRPr="00AB3320">
        <w:rPr>
          <w:szCs w:val="24"/>
        </w:rPr>
        <w:t>précis</w:t>
      </w:r>
      <w:r w:rsidRPr="00AB3320">
        <w:rPr>
          <w:szCs w:val="24"/>
        </w:rPr>
        <w:t>é en quoi les autres réparations possibles lui paraiss</w:t>
      </w:r>
      <w:r w:rsidR="003B307A" w:rsidRPr="00AB3320">
        <w:rPr>
          <w:szCs w:val="24"/>
        </w:rPr>
        <w:t>ai</w:t>
      </w:r>
      <w:r w:rsidRPr="00AB3320">
        <w:rPr>
          <w:szCs w:val="24"/>
        </w:rPr>
        <w:t>ent inadéquates.</w:t>
      </w:r>
      <w:r w:rsidR="00AB3320">
        <w:rPr>
          <w:szCs w:val="24"/>
        </w:rPr>
        <w:t xml:space="preserve"> </w:t>
      </w:r>
      <w:r w:rsidRPr="00AB3320">
        <w:rPr>
          <w:szCs w:val="24"/>
        </w:rPr>
        <w:t>Il n</w:t>
      </w:r>
      <w:r w:rsidR="00424D24">
        <w:rPr>
          <w:szCs w:val="24"/>
        </w:rPr>
        <w:t>’</w:t>
      </w:r>
      <w:r w:rsidRPr="00AB3320">
        <w:rPr>
          <w:szCs w:val="24"/>
        </w:rPr>
        <w:t xml:space="preserve">a pas pris appui sur des considérations erronées quant au droit applicable ni commis </w:t>
      </w:r>
      <w:r w:rsidRPr="00AB3320">
        <w:rPr>
          <w:szCs w:val="24"/>
        </w:rPr>
        <w:lastRenderedPageBreak/>
        <w:t>d</w:t>
      </w:r>
      <w:r w:rsidR="00424D24">
        <w:rPr>
          <w:szCs w:val="24"/>
        </w:rPr>
        <w:t>’</w:t>
      </w:r>
      <w:r w:rsidRPr="00AB3320">
        <w:rPr>
          <w:szCs w:val="24"/>
        </w:rPr>
        <w:t>erreur de fait susceptible de contrôle.</w:t>
      </w:r>
      <w:r w:rsidR="00AB3320">
        <w:rPr>
          <w:szCs w:val="24"/>
        </w:rPr>
        <w:t xml:space="preserve"> </w:t>
      </w:r>
      <w:r w:rsidRPr="00AB3320">
        <w:rPr>
          <w:szCs w:val="24"/>
        </w:rPr>
        <w:t>L</w:t>
      </w:r>
      <w:r w:rsidR="00424D24">
        <w:rPr>
          <w:szCs w:val="24"/>
        </w:rPr>
        <w:t>’</w:t>
      </w:r>
      <w:r w:rsidRPr="00AB3320">
        <w:rPr>
          <w:szCs w:val="24"/>
        </w:rPr>
        <w:t>exercice de son pouvoir discrétionnaire d</w:t>
      </w:r>
      <w:r w:rsidR="00424D24">
        <w:rPr>
          <w:szCs w:val="24"/>
        </w:rPr>
        <w:t>’</w:t>
      </w:r>
      <w:r w:rsidRPr="00AB3320">
        <w:rPr>
          <w:szCs w:val="24"/>
        </w:rPr>
        <w:t>ordonner l</w:t>
      </w:r>
      <w:r w:rsidR="00424D24">
        <w:rPr>
          <w:szCs w:val="24"/>
        </w:rPr>
        <w:t>’</w:t>
      </w:r>
      <w:r w:rsidRPr="00AB3320">
        <w:rPr>
          <w:szCs w:val="24"/>
        </w:rPr>
        <w:t>arrêt des procédures n</w:t>
      </w:r>
      <w:r w:rsidR="00424D24">
        <w:rPr>
          <w:szCs w:val="24"/>
        </w:rPr>
        <w:t>’</w:t>
      </w:r>
      <w:r w:rsidR="003B307A" w:rsidRPr="00AB3320">
        <w:rPr>
          <w:szCs w:val="24"/>
        </w:rPr>
        <w:t>étai</w:t>
      </w:r>
      <w:r w:rsidRPr="00AB3320">
        <w:rPr>
          <w:szCs w:val="24"/>
        </w:rPr>
        <w:t>t pas non plus erroné au point de créer une injustice.</w:t>
      </w:r>
      <w:r w:rsidR="00AB3320">
        <w:rPr>
          <w:szCs w:val="24"/>
        </w:rPr>
        <w:t xml:space="preserve"> </w:t>
      </w:r>
      <w:r w:rsidRPr="00AB3320">
        <w:rPr>
          <w:szCs w:val="24"/>
        </w:rPr>
        <w:t>Il appert de la teneur de son analyse que</w:t>
      </w:r>
      <w:r w:rsidR="00B15BE7" w:rsidRPr="00AB3320">
        <w:rPr>
          <w:szCs w:val="24"/>
        </w:rPr>
        <w:t>, pour lui,</w:t>
      </w:r>
      <w:r w:rsidRPr="00AB3320">
        <w:rPr>
          <w:szCs w:val="24"/>
        </w:rPr>
        <w:t xml:space="preserve"> l</w:t>
      </w:r>
      <w:r w:rsidR="00424D24">
        <w:rPr>
          <w:szCs w:val="24"/>
        </w:rPr>
        <w:t>’</w:t>
      </w:r>
      <w:r w:rsidRPr="00AB3320">
        <w:rPr>
          <w:szCs w:val="24"/>
        </w:rPr>
        <w:t>atteinte aux droits constitutionnels considérée en l</w:t>
      </w:r>
      <w:r w:rsidR="00424D24">
        <w:rPr>
          <w:szCs w:val="24"/>
        </w:rPr>
        <w:t>’</w:t>
      </w:r>
      <w:r w:rsidRPr="00AB3320">
        <w:rPr>
          <w:szCs w:val="24"/>
        </w:rPr>
        <w:t>espèce fait partie des cas «</w:t>
      </w:r>
      <w:r w:rsidR="00AB3320">
        <w:rPr>
          <w:szCs w:val="24"/>
        </w:rPr>
        <w:t xml:space="preserve"> </w:t>
      </w:r>
      <w:r w:rsidRPr="00AB3320">
        <w:rPr>
          <w:szCs w:val="24"/>
        </w:rPr>
        <w:t>résiduels</w:t>
      </w:r>
      <w:r w:rsidR="00AB3320">
        <w:rPr>
          <w:szCs w:val="24"/>
        </w:rPr>
        <w:t xml:space="preserve"> </w:t>
      </w:r>
      <w:r w:rsidRPr="00AB3320">
        <w:rPr>
          <w:szCs w:val="24"/>
        </w:rPr>
        <w:t xml:space="preserve">» </w:t>
      </w:r>
      <w:r w:rsidR="0010083B" w:rsidRPr="00AB3320">
        <w:rPr>
          <w:szCs w:val="24"/>
        </w:rPr>
        <w:t>et</w:t>
      </w:r>
      <w:r w:rsidRPr="00AB3320">
        <w:rPr>
          <w:szCs w:val="24"/>
        </w:rPr>
        <w:t xml:space="preserve"> «</w:t>
      </w:r>
      <w:r w:rsidR="00AB3320">
        <w:rPr>
          <w:szCs w:val="24"/>
        </w:rPr>
        <w:t xml:space="preserve"> </w:t>
      </w:r>
      <w:r w:rsidRPr="00AB3320">
        <w:rPr>
          <w:szCs w:val="24"/>
        </w:rPr>
        <w:t>exceptionnels</w:t>
      </w:r>
      <w:r w:rsidR="00AB3320">
        <w:rPr>
          <w:szCs w:val="24"/>
        </w:rPr>
        <w:t xml:space="preserve"> </w:t>
      </w:r>
      <w:r w:rsidRPr="00AB3320">
        <w:rPr>
          <w:szCs w:val="24"/>
        </w:rPr>
        <w:t>» où la conduite reprochée est si grave que le simple fait de poursuivre le procès serait choquant.</w:t>
      </w:r>
      <w:r w:rsidR="00AB3320">
        <w:rPr>
          <w:szCs w:val="24"/>
        </w:rPr>
        <w:t xml:space="preserve"> </w:t>
      </w:r>
      <w:r w:rsidRPr="00AB3320">
        <w:rPr>
          <w:szCs w:val="24"/>
        </w:rPr>
        <w:t xml:space="preserve">Une fois </w:t>
      </w:r>
      <w:proofErr w:type="gramStart"/>
      <w:r w:rsidRPr="00AB3320">
        <w:rPr>
          <w:szCs w:val="24"/>
        </w:rPr>
        <w:t>arrivé</w:t>
      </w:r>
      <w:proofErr w:type="gramEnd"/>
      <w:r w:rsidRPr="00AB3320">
        <w:rPr>
          <w:szCs w:val="24"/>
        </w:rPr>
        <w:t xml:space="preserve"> à la conclusion que B avait été provoqué par un représentant de l</w:t>
      </w:r>
      <w:r w:rsidR="00424D24">
        <w:rPr>
          <w:szCs w:val="24"/>
        </w:rPr>
        <w:t>’</w:t>
      </w:r>
      <w:r w:rsidRPr="00AB3320">
        <w:rPr>
          <w:szCs w:val="24"/>
        </w:rPr>
        <w:t xml:space="preserve">État puis soumis par </w:t>
      </w:r>
      <w:r w:rsidR="00B754D9" w:rsidRPr="00AB3320">
        <w:rPr>
          <w:szCs w:val="24"/>
        </w:rPr>
        <w:t>ce dernier</w:t>
      </w:r>
      <w:r w:rsidRPr="00AB3320">
        <w:rPr>
          <w:szCs w:val="24"/>
        </w:rPr>
        <w:t xml:space="preserve"> à un abus physique et psychologique intolérable, le juge du procès pouvait ordonner l</w:t>
      </w:r>
      <w:r w:rsidR="00424D24">
        <w:rPr>
          <w:szCs w:val="24"/>
        </w:rPr>
        <w:t>’</w:t>
      </w:r>
      <w:r w:rsidRPr="00AB3320">
        <w:rPr>
          <w:szCs w:val="24"/>
        </w:rPr>
        <w:t>arrêt des procédures engagées contre</w:t>
      </w:r>
      <w:r w:rsidR="003B307A" w:rsidRPr="00AB3320">
        <w:rPr>
          <w:szCs w:val="24"/>
        </w:rPr>
        <w:t xml:space="preserve"> B</w:t>
      </w:r>
      <w:r w:rsidRPr="00AB3320">
        <w:rPr>
          <w:szCs w:val="24"/>
        </w:rPr>
        <w:t>.</w:t>
      </w:r>
      <w:r w:rsidR="00AB3320">
        <w:rPr>
          <w:szCs w:val="24"/>
        </w:rPr>
        <w:t xml:space="preserve"> </w:t>
      </w:r>
      <w:r w:rsidRPr="00AB3320">
        <w:rPr>
          <w:szCs w:val="24"/>
        </w:rPr>
        <w:t>L</w:t>
      </w:r>
      <w:r w:rsidR="00424D24">
        <w:rPr>
          <w:szCs w:val="24"/>
        </w:rPr>
        <w:t>’</w:t>
      </w:r>
      <w:r w:rsidRPr="00AB3320">
        <w:rPr>
          <w:szCs w:val="24"/>
        </w:rPr>
        <w:t>intervention en appel était donc injustifiée dans les circonstances.</w:t>
      </w:r>
    </w:p>
    <w:p w:rsidR="00425853" w:rsidRPr="00AB3320" w:rsidRDefault="000B625D" w:rsidP="00A31779">
      <w:pPr>
        <w:pStyle w:val="SCCNormalDoubleSpacing"/>
        <w:spacing w:after="480"/>
        <w:rPr>
          <w:szCs w:val="24"/>
        </w:rPr>
      </w:pPr>
      <w:r w:rsidRPr="00AB3320">
        <w:rPr>
          <w:szCs w:val="24"/>
        </w:rPr>
        <w:tab/>
        <w:t>La cour d</w:t>
      </w:r>
      <w:r w:rsidR="00424D24">
        <w:rPr>
          <w:szCs w:val="24"/>
        </w:rPr>
        <w:t>’</w:t>
      </w:r>
      <w:r w:rsidRPr="00AB3320">
        <w:rPr>
          <w:szCs w:val="24"/>
        </w:rPr>
        <w:t>appel qui annule un arrêt des procédures peut, lorsque les circonstances s</w:t>
      </w:r>
      <w:r w:rsidR="00424D24">
        <w:rPr>
          <w:szCs w:val="24"/>
        </w:rPr>
        <w:t>’</w:t>
      </w:r>
      <w:r w:rsidRPr="00AB3320">
        <w:rPr>
          <w:szCs w:val="24"/>
        </w:rPr>
        <w:t>y prêtent</w:t>
      </w:r>
      <w:r w:rsidR="003B307A" w:rsidRPr="00AB3320">
        <w:rPr>
          <w:szCs w:val="24"/>
        </w:rPr>
        <w:t>,</w:t>
      </w:r>
      <w:r w:rsidR="00425853" w:rsidRPr="00AB3320">
        <w:rPr>
          <w:szCs w:val="24"/>
        </w:rPr>
        <w:t xml:space="preserve"> </w:t>
      </w:r>
      <w:r w:rsidRPr="00AB3320">
        <w:rPr>
          <w:szCs w:val="24"/>
        </w:rPr>
        <w:t>renvoyer l</w:t>
      </w:r>
      <w:r w:rsidR="00424D24">
        <w:rPr>
          <w:szCs w:val="24"/>
        </w:rPr>
        <w:t>’</w:t>
      </w:r>
      <w:r w:rsidRPr="00AB3320">
        <w:rPr>
          <w:szCs w:val="24"/>
        </w:rPr>
        <w:t xml:space="preserve">affaire au tribunal de première instance </w:t>
      </w:r>
      <w:r w:rsidR="00425853" w:rsidRPr="00AB3320">
        <w:rPr>
          <w:szCs w:val="24"/>
        </w:rPr>
        <w:t>en vue de</w:t>
      </w:r>
      <w:r w:rsidRPr="00AB3320">
        <w:rPr>
          <w:szCs w:val="24"/>
        </w:rPr>
        <w:t xml:space="preserve"> </w:t>
      </w:r>
      <w:r w:rsidR="00425853" w:rsidRPr="00AB3320">
        <w:rPr>
          <w:szCs w:val="24"/>
        </w:rPr>
        <w:t xml:space="preserve">la continuation </w:t>
      </w:r>
      <w:r w:rsidR="00425853" w:rsidRPr="00AB3320">
        <w:t>du</w:t>
      </w:r>
      <w:r w:rsidR="00425853" w:rsidRPr="00AB3320">
        <w:rPr>
          <w:szCs w:val="24"/>
        </w:rPr>
        <w:t xml:space="preserve"> procès</w:t>
      </w:r>
      <w:r w:rsidR="003B307A" w:rsidRPr="00AB3320">
        <w:rPr>
          <w:szCs w:val="24"/>
        </w:rPr>
        <w:t xml:space="preserve">, et ce, en application des </w:t>
      </w:r>
      <w:r w:rsidR="00A31779" w:rsidRPr="00AB3320">
        <w:rPr>
          <w:szCs w:val="24"/>
        </w:rPr>
        <w:t>par.</w:t>
      </w:r>
      <w:r w:rsidR="00AB3320">
        <w:rPr>
          <w:szCs w:val="24"/>
        </w:rPr>
        <w:t xml:space="preserve"> </w:t>
      </w:r>
      <w:r w:rsidR="003B307A" w:rsidRPr="00AB3320">
        <w:rPr>
          <w:szCs w:val="24"/>
        </w:rPr>
        <w:t xml:space="preserve">686(4) et (8) du </w:t>
      </w:r>
      <w:r w:rsidR="003B307A" w:rsidRPr="00AB3320">
        <w:rPr>
          <w:i/>
          <w:szCs w:val="24"/>
        </w:rPr>
        <w:t>Code criminel</w:t>
      </w:r>
      <w:r w:rsidR="00425853" w:rsidRPr="00AB3320">
        <w:rPr>
          <w:szCs w:val="24"/>
        </w:rPr>
        <w:t>.</w:t>
      </w:r>
      <w:r w:rsidR="00AB3320">
        <w:rPr>
          <w:szCs w:val="24"/>
        </w:rPr>
        <w:t xml:space="preserve"> </w:t>
      </w:r>
      <w:r w:rsidR="00425853" w:rsidRPr="00AB3320">
        <w:rPr>
          <w:szCs w:val="24"/>
        </w:rPr>
        <w:t>En accueillant l</w:t>
      </w:r>
      <w:r w:rsidR="00424D24">
        <w:rPr>
          <w:szCs w:val="24"/>
        </w:rPr>
        <w:t>’</w:t>
      </w:r>
      <w:r w:rsidR="00425853" w:rsidRPr="00AB3320">
        <w:rPr>
          <w:szCs w:val="24"/>
        </w:rPr>
        <w:t>appel et en annulant l</w:t>
      </w:r>
      <w:r w:rsidR="00424D24">
        <w:rPr>
          <w:szCs w:val="24"/>
        </w:rPr>
        <w:t>’</w:t>
      </w:r>
      <w:r w:rsidR="00425853" w:rsidRPr="00AB3320">
        <w:rPr>
          <w:szCs w:val="24"/>
        </w:rPr>
        <w:t xml:space="preserve">acquittement ou </w:t>
      </w:r>
      <w:r w:rsidR="003B307A" w:rsidRPr="00AB3320">
        <w:rPr>
          <w:szCs w:val="24"/>
        </w:rPr>
        <w:t>l</w:t>
      </w:r>
      <w:r w:rsidR="00424D24">
        <w:rPr>
          <w:szCs w:val="24"/>
        </w:rPr>
        <w:t>’</w:t>
      </w:r>
      <w:r w:rsidR="00425853" w:rsidRPr="00AB3320">
        <w:rPr>
          <w:szCs w:val="24"/>
        </w:rPr>
        <w:t xml:space="preserve">arrêt </w:t>
      </w:r>
      <w:r w:rsidR="003B307A" w:rsidRPr="00AB3320">
        <w:rPr>
          <w:szCs w:val="24"/>
        </w:rPr>
        <w:t>d</w:t>
      </w:r>
      <w:r w:rsidR="00425853" w:rsidRPr="00AB3320">
        <w:rPr>
          <w:szCs w:val="24"/>
        </w:rPr>
        <w:t xml:space="preserve">es procédures, la cour exerce un pouvoir conféré au </w:t>
      </w:r>
      <w:r w:rsidR="00A31779" w:rsidRPr="00AB3320">
        <w:rPr>
          <w:szCs w:val="24"/>
        </w:rPr>
        <w:t>par.</w:t>
      </w:r>
      <w:r w:rsidR="00AB3320">
        <w:rPr>
          <w:szCs w:val="24"/>
        </w:rPr>
        <w:t xml:space="preserve"> </w:t>
      </w:r>
      <w:r w:rsidR="00425853" w:rsidRPr="00AB3320">
        <w:rPr>
          <w:szCs w:val="24"/>
        </w:rPr>
        <w:t>686(4).</w:t>
      </w:r>
      <w:r w:rsidR="00AB3320">
        <w:rPr>
          <w:szCs w:val="24"/>
        </w:rPr>
        <w:t xml:space="preserve"> </w:t>
      </w:r>
      <w:r w:rsidR="00425853" w:rsidRPr="00AB3320">
        <w:rPr>
          <w:szCs w:val="24"/>
        </w:rPr>
        <w:t>La cour d</w:t>
      </w:r>
      <w:r w:rsidR="00424D24">
        <w:rPr>
          <w:szCs w:val="24"/>
        </w:rPr>
        <w:t>’</w:t>
      </w:r>
      <w:r w:rsidR="00425853" w:rsidRPr="00AB3320">
        <w:rPr>
          <w:szCs w:val="24"/>
        </w:rPr>
        <w:t>appel n</w:t>
      </w:r>
      <w:r w:rsidR="00424D24">
        <w:rPr>
          <w:szCs w:val="24"/>
        </w:rPr>
        <w:t>’</w:t>
      </w:r>
      <w:r w:rsidR="00425853" w:rsidRPr="00AB3320">
        <w:rPr>
          <w:szCs w:val="24"/>
        </w:rPr>
        <w:t>a pas à ordonner un nouveau procès ni à consigner un verdict de culpabilité pour que s</w:t>
      </w:r>
      <w:r w:rsidR="00424D24">
        <w:rPr>
          <w:szCs w:val="24"/>
        </w:rPr>
        <w:t>’</w:t>
      </w:r>
      <w:r w:rsidR="00425853" w:rsidRPr="00AB3320">
        <w:rPr>
          <w:szCs w:val="24"/>
        </w:rPr>
        <w:t xml:space="preserve">applique le </w:t>
      </w:r>
      <w:r w:rsidR="00A31779" w:rsidRPr="00AB3320">
        <w:rPr>
          <w:szCs w:val="24"/>
        </w:rPr>
        <w:t>par.</w:t>
      </w:r>
      <w:r w:rsidR="00AB3320">
        <w:rPr>
          <w:szCs w:val="24"/>
        </w:rPr>
        <w:t xml:space="preserve"> </w:t>
      </w:r>
      <w:r w:rsidR="00425853" w:rsidRPr="00AB3320">
        <w:rPr>
          <w:szCs w:val="24"/>
        </w:rPr>
        <w:t>686(8), ce qui ne dépend que de l</w:t>
      </w:r>
      <w:r w:rsidR="00424D24">
        <w:rPr>
          <w:szCs w:val="24"/>
        </w:rPr>
        <w:t>’</w:t>
      </w:r>
      <w:r w:rsidR="00425853" w:rsidRPr="00AB3320">
        <w:rPr>
          <w:szCs w:val="24"/>
        </w:rPr>
        <w:t>exercice de l</w:t>
      </w:r>
      <w:r w:rsidR="00424D24">
        <w:rPr>
          <w:szCs w:val="24"/>
        </w:rPr>
        <w:t>’</w:t>
      </w:r>
      <w:r w:rsidR="00425853" w:rsidRPr="00AB3320">
        <w:rPr>
          <w:szCs w:val="24"/>
        </w:rPr>
        <w:t>un ou l</w:t>
      </w:r>
      <w:r w:rsidR="00424D24">
        <w:rPr>
          <w:szCs w:val="24"/>
        </w:rPr>
        <w:t>’</w:t>
      </w:r>
      <w:r w:rsidR="00425853" w:rsidRPr="00AB3320">
        <w:rPr>
          <w:szCs w:val="24"/>
        </w:rPr>
        <w:t xml:space="preserve">autre des pouvoirs conférés au </w:t>
      </w:r>
      <w:r w:rsidR="00A31779" w:rsidRPr="00AB3320">
        <w:rPr>
          <w:szCs w:val="24"/>
        </w:rPr>
        <w:t>par.</w:t>
      </w:r>
      <w:r w:rsidR="00424D24">
        <w:rPr>
          <w:szCs w:val="24"/>
        </w:rPr>
        <w:t> </w:t>
      </w:r>
      <w:r w:rsidR="00425853" w:rsidRPr="00AB3320">
        <w:rPr>
          <w:szCs w:val="24"/>
        </w:rPr>
        <w:t>686(4).</w:t>
      </w:r>
    </w:p>
    <w:p w:rsidR="007E1C47" w:rsidRPr="00AB3320" w:rsidRDefault="0043088E" w:rsidP="00A31779">
      <w:pPr>
        <w:pStyle w:val="SCCNormalDoubleSpacing"/>
        <w:keepNext/>
        <w:spacing w:after="480"/>
        <w:rPr>
          <w:b/>
        </w:rPr>
      </w:pPr>
      <w:r w:rsidRPr="00AB3320">
        <w:rPr>
          <w:b/>
        </w:rPr>
        <w:lastRenderedPageBreak/>
        <w:t>Jurisprudence</w:t>
      </w:r>
    </w:p>
    <w:p w:rsidR="002E6705" w:rsidRPr="00AB3320" w:rsidRDefault="002E6705" w:rsidP="00A31779">
      <w:pPr>
        <w:pStyle w:val="SCCNormalDoubleSpacing"/>
        <w:spacing w:after="480"/>
        <w:rPr>
          <w:b/>
        </w:rPr>
      </w:pPr>
      <w:r w:rsidRPr="00AB3320">
        <w:tab/>
      </w:r>
      <w:r w:rsidR="0043088E" w:rsidRPr="00AB3320">
        <w:rPr>
          <w:b/>
        </w:rPr>
        <w:t>Arrêts mentionnés</w:t>
      </w:r>
      <w:r w:rsidR="00AB3320">
        <w:rPr>
          <w:b/>
        </w:rPr>
        <w:t xml:space="preserve"> </w:t>
      </w:r>
      <w:r w:rsidR="00A31779" w:rsidRPr="00AB3320">
        <w:rPr>
          <w:b/>
        </w:rPr>
        <w:t>:</w:t>
      </w:r>
      <w:r w:rsidR="00172A04" w:rsidRPr="00AB3320">
        <w:t xml:space="preserve"> </w:t>
      </w:r>
      <w:r w:rsidR="00476F2E" w:rsidRPr="00AB3320">
        <w:rPr>
          <w:i/>
        </w:rPr>
        <w:t xml:space="preserve">R. </w:t>
      </w:r>
      <w:r w:rsidR="00607B44" w:rsidRPr="00AB3320">
        <w:rPr>
          <w:i/>
        </w:rPr>
        <w:t>c</w:t>
      </w:r>
      <w:r w:rsidR="00476F2E" w:rsidRPr="00AB3320">
        <w:rPr>
          <w:i/>
        </w:rPr>
        <w:t xml:space="preserve">. </w:t>
      </w:r>
      <w:proofErr w:type="spellStart"/>
      <w:r w:rsidR="00476F2E" w:rsidRPr="00AB3320">
        <w:rPr>
          <w:i/>
        </w:rPr>
        <w:t>Regan</w:t>
      </w:r>
      <w:proofErr w:type="spellEnd"/>
      <w:r w:rsidR="00476F2E" w:rsidRPr="00AB3320">
        <w:t xml:space="preserve">, 2002 </w:t>
      </w:r>
      <w:r w:rsidR="00607B44" w:rsidRPr="00AB3320">
        <w:t>C</w:t>
      </w:r>
      <w:r w:rsidR="00476F2E" w:rsidRPr="00AB3320">
        <w:t xml:space="preserve">SC 12, [2002] 1 </w:t>
      </w:r>
      <w:r w:rsidR="00607B44" w:rsidRPr="00AB3320">
        <w:t>R.C.</w:t>
      </w:r>
      <w:r w:rsidR="00476F2E" w:rsidRPr="00AB3320">
        <w:t xml:space="preserve">S. 297; </w:t>
      </w:r>
      <w:r w:rsidR="00476F2E" w:rsidRPr="00AB3320">
        <w:rPr>
          <w:i/>
        </w:rPr>
        <w:t xml:space="preserve">Canada </w:t>
      </w:r>
      <w:r w:rsidR="00607B44" w:rsidRPr="00AB3320">
        <w:rPr>
          <w:i/>
        </w:rPr>
        <w:t>(Ministre de la Citoyenneté et de l</w:t>
      </w:r>
      <w:r w:rsidR="00424D24">
        <w:rPr>
          <w:i/>
        </w:rPr>
        <w:t>’</w:t>
      </w:r>
      <w:r w:rsidR="00607B44" w:rsidRPr="00AB3320">
        <w:rPr>
          <w:i/>
        </w:rPr>
        <w:t>Immigration)</w:t>
      </w:r>
      <w:r w:rsidR="00476F2E" w:rsidRPr="00AB3320">
        <w:rPr>
          <w:i/>
        </w:rPr>
        <w:t xml:space="preserve"> </w:t>
      </w:r>
      <w:r w:rsidR="00607B44" w:rsidRPr="00AB3320">
        <w:rPr>
          <w:i/>
        </w:rPr>
        <w:t>c</w:t>
      </w:r>
      <w:r w:rsidR="00476F2E" w:rsidRPr="00AB3320">
        <w:rPr>
          <w:i/>
        </w:rPr>
        <w:t xml:space="preserve">. </w:t>
      </w:r>
      <w:proofErr w:type="spellStart"/>
      <w:r w:rsidR="00476F2E" w:rsidRPr="00AB3320">
        <w:rPr>
          <w:i/>
        </w:rPr>
        <w:t>Tobiass</w:t>
      </w:r>
      <w:proofErr w:type="spellEnd"/>
      <w:r w:rsidR="00476F2E" w:rsidRPr="00AB3320">
        <w:t xml:space="preserve">, [1997] 3 </w:t>
      </w:r>
      <w:r w:rsidR="00607B44" w:rsidRPr="00AB3320">
        <w:t>R.C.</w:t>
      </w:r>
      <w:r w:rsidR="00476F2E" w:rsidRPr="00AB3320">
        <w:t xml:space="preserve">S. 391; </w:t>
      </w:r>
      <w:r w:rsidR="00476F2E" w:rsidRPr="00AB3320">
        <w:rPr>
          <w:i/>
        </w:rPr>
        <w:t xml:space="preserve">R. </w:t>
      </w:r>
      <w:r w:rsidR="00607B44" w:rsidRPr="00AB3320">
        <w:rPr>
          <w:i/>
        </w:rPr>
        <w:t>c</w:t>
      </w:r>
      <w:r w:rsidR="00476F2E" w:rsidRPr="00AB3320">
        <w:rPr>
          <w:i/>
        </w:rPr>
        <w:t xml:space="preserve">. </w:t>
      </w:r>
      <w:proofErr w:type="spellStart"/>
      <w:r w:rsidR="00476F2E" w:rsidRPr="00AB3320">
        <w:rPr>
          <w:i/>
        </w:rPr>
        <w:t>Bjelland</w:t>
      </w:r>
      <w:proofErr w:type="spellEnd"/>
      <w:r w:rsidR="00476F2E" w:rsidRPr="00AB3320">
        <w:t xml:space="preserve">, 2009 </w:t>
      </w:r>
      <w:r w:rsidR="00607B44" w:rsidRPr="00AB3320">
        <w:t>C</w:t>
      </w:r>
      <w:r w:rsidR="00476F2E" w:rsidRPr="00AB3320">
        <w:t xml:space="preserve">SC 38, [2009] 2 </w:t>
      </w:r>
      <w:r w:rsidR="00607B44" w:rsidRPr="00AB3320">
        <w:t>R.C.</w:t>
      </w:r>
      <w:r w:rsidR="00476F2E" w:rsidRPr="00AB3320">
        <w:t xml:space="preserve">S. 651; </w:t>
      </w:r>
      <w:r w:rsidR="00476F2E" w:rsidRPr="00AB3320">
        <w:rPr>
          <w:i/>
          <w:szCs w:val="24"/>
        </w:rPr>
        <w:t xml:space="preserve">R. </w:t>
      </w:r>
      <w:r w:rsidR="00607B44" w:rsidRPr="00AB3320">
        <w:rPr>
          <w:i/>
          <w:szCs w:val="24"/>
        </w:rPr>
        <w:t>c</w:t>
      </w:r>
      <w:r w:rsidR="00476F2E" w:rsidRPr="00AB3320">
        <w:rPr>
          <w:i/>
          <w:szCs w:val="24"/>
        </w:rPr>
        <w:t xml:space="preserve">. </w:t>
      </w:r>
      <w:proofErr w:type="spellStart"/>
      <w:r w:rsidR="00476F2E" w:rsidRPr="00AB3320">
        <w:rPr>
          <w:i/>
          <w:szCs w:val="24"/>
        </w:rPr>
        <w:t>Walcott</w:t>
      </w:r>
      <w:proofErr w:type="spellEnd"/>
      <w:r w:rsidR="00476F2E" w:rsidRPr="00AB3320">
        <w:rPr>
          <w:szCs w:val="24"/>
        </w:rPr>
        <w:t xml:space="preserve"> (2008), 57 C.R. (6th) 223; </w:t>
      </w:r>
      <w:r w:rsidR="00476F2E" w:rsidRPr="00AB3320">
        <w:rPr>
          <w:i/>
          <w:szCs w:val="24"/>
        </w:rPr>
        <w:t xml:space="preserve">R. </w:t>
      </w:r>
      <w:r w:rsidR="00607B44" w:rsidRPr="00AB3320">
        <w:rPr>
          <w:i/>
          <w:szCs w:val="24"/>
        </w:rPr>
        <w:t>c</w:t>
      </w:r>
      <w:r w:rsidR="00476F2E" w:rsidRPr="00AB3320">
        <w:rPr>
          <w:i/>
          <w:szCs w:val="24"/>
        </w:rPr>
        <w:t xml:space="preserve">. </w:t>
      </w:r>
      <w:proofErr w:type="spellStart"/>
      <w:r w:rsidR="00476F2E" w:rsidRPr="00AB3320">
        <w:rPr>
          <w:i/>
          <w:szCs w:val="24"/>
        </w:rPr>
        <w:t>Maskell</w:t>
      </w:r>
      <w:proofErr w:type="spellEnd"/>
      <w:r w:rsidR="00476F2E" w:rsidRPr="00AB3320">
        <w:rPr>
          <w:szCs w:val="24"/>
        </w:rPr>
        <w:t xml:space="preserve">, 2011 ABPC 176, 512 A.R. 372; </w:t>
      </w:r>
      <w:r w:rsidR="00476F2E" w:rsidRPr="00AB3320">
        <w:rPr>
          <w:i/>
          <w:szCs w:val="24"/>
        </w:rPr>
        <w:t xml:space="preserve">R. </w:t>
      </w:r>
      <w:r w:rsidR="00607B44" w:rsidRPr="00AB3320">
        <w:rPr>
          <w:i/>
          <w:szCs w:val="24"/>
        </w:rPr>
        <w:t>c</w:t>
      </w:r>
      <w:r w:rsidR="00476F2E" w:rsidRPr="00AB3320">
        <w:rPr>
          <w:i/>
          <w:szCs w:val="24"/>
        </w:rPr>
        <w:t>. Jackson</w:t>
      </w:r>
      <w:r w:rsidR="00476F2E" w:rsidRPr="00AB3320">
        <w:rPr>
          <w:szCs w:val="24"/>
        </w:rPr>
        <w:t xml:space="preserve">, 2011 ONCJ 228, 235 C.R.R. (2d) 289; </w:t>
      </w:r>
      <w:r w:rsidR="00476F2E" w:rsidRPr="00AB3320">
        <w:rPr>
          <w:i/>
          <w:szCs w:val="24"/>
        </w:rPr>
        <w:t xml:space="preserve">R. </w:t>
      </w:r>
      <w:r w:rsidR="00607B44" w:rsidRPr="00AB3320">
        <w:rPr>
          <w:i/>
          <w:szCs w:val="24"/>
        </w:rPr>
        <w:t>c</w:t>
      </w:r>
      <w:r w:rsidR="00476F2E" w:rsidRPr="00AB3320">
        <w:rPr>
          <w:i/>
          <w:szCs w:val="24"/>
        </w:rPr>
        <w:t xml:space="preserve">. </w:t>
      </w:r>
      <w:proofErr w:type="spellStart"/>
      <w:r w:rsidR="00476F2E" w:rsidRPr="00AB3320">
        <w:rPr>
          <w:i/>
          <w:szCs w:val="24"/>
        </w:rPr>
        <w:t>Mohmedi</w:t>
      </w:r>
      <w:proofErr w:type="spellEnd"/>
      <w:r w:rsidR="00476F2E" w:rsidRPr="00AB3320">
        <w:rPr>
          <w:szCs w:val="24"/>
        </w:rPr>
        <w:t xml:space="preserve">, 2009 ONCJ 533, 72 C.R. (6th) 345; </w:t>
      </w:r>
      <w:r w:rsidR="00476F2E" w:rsidRPr="00AB3320">
        <w:rPr>
          <w:i/>
          <w:szCs w:val="24"/>
        </w:rPr>
        <w:t xml:space="preserve">R. </w:t>
      </w:r>
      <w:r w:rsidR="00607B44" w:rsidRPr="00AB3320">
        <w:rPr>
          <w:i/>
          <w:szCs w:val="24"/>
        </w:rPr>
        <w:t>c</w:t>
      </w:r>
      <w:r w:rsidR="00476F2E" w:rsidRPr="00AB3320">
        <w:rPr>
          <w:i/>
          <w:szCs w:val="24"/>
        </w:rPr>
        <w:t>. J.W.</w:t>
      </w:r>
      <w:r w:rsidR="00476F2E" w:rsidRPr="00AB3320">
        <w:rPr>
          <w:szCs w:val="24"/>
        </w:rPr>
        <w:t xml:space="preserve">, 2006 ABPC 216, 398 A.R. 374; </w:t>
      </w:r>
      <w:r w:rsidR="00476F2E" w:rsidRPr="00AB3320">
        <w:rPr>
          <w:i/>
          <w:szCs w:val="24"/>
        </w:rPr>
        <w:t xml:space="preserve">R. </w:t>
      </w:r>
      <w:r w:rsidR="00607B44" w:rsidRPr="00AB3320">
        <w:rPr>
          <w:i/>
          <w:szCs w:val="24"/>
        </w:rPr>
        <w:t>c</w:t>
      </w:r>
      <w:r w:rsidR="00476F2E" w:rsidRPr="00AB3320">
        <w:rPr>
          <w:i/>
          <w:szCs w:val="24"/>
        </w:rPr>
        <w:t>. R.L.F.</w:t>
      </w:r>
      <w:r w:rsidR="00476F2E" w:rsidRPr="00AB3320">
        <w:rPr>
          <w:szCs w:val="24"/>
        </w:rPr>
        <w:t xml:space="preserve">, 2005 ABPC 28, 373 A.R. 114; </w:t>
      </w:r>
      <w:r w:rsidR="00476F2E" w:rsidRPr="00AB3320">
        <w:rPr>
          <w:i/>
          <w:szCs w:val="24"/>
        </w:rPr>
        <w:t xml:space="preserve">R. </w:t>
      </w:r>
      <w:r w:rsidR="00607B44" w:rsidRPr="00AB3320">
        <w:rPr>
          <w:i/>
          <w:szCs w:val="24"/>
        </w:rPr>
        <w:t>c</w:t>
      </w:r>
      <w:r w:rsidR="00476F2E" w:rsidRPr="00AB3320">
        <w:rPr>
          <w:i/>
          <w:szCs w:val="24"/>
        </w:rPr>
        <w:t xml:space="preserve">. </w:t>
      </w:r>
      <w:proofErr w:type="spellStart"/>
      <w:r w:rsidR="00476F2E" w:rsidRPr="00AB3320">
        <w:rPr>
          <w:i/>
          <w:szCs w:val="24"/>
        </w:rPr>
        <w:t>Wiscombe</w:t>
      </w:r>
      <w:proofErr w:type="spellEnd"/>
      <w:r w:rsidR="00476F2E" w:rsidRPr="00AB3320">
        <w:rPr>
          <w:szCs w:val="24"/>
        </w:rPr>
        <w:t>, 2003 BCPC 418 (</w:t>
      </w:r>
      <w:proofErr w:type="spellStart"/>
      <w:r w:rsidR="00476F2E" w:rsidRPr="00AB3320">
        <w:rPr>
          <w:szCs w:val="24"/>
        </w:rPr>
        <w:t>CanLII</w:t>
      </w:r>
      <w:proofErr w:type="spellEnd"/>
      <w:r w:rsidR="00476F2E" w:rsidRPr="00AB3320">
        <w:rPr>
          <w:szCs w:val="24"/>
        </w:rPr>
        <w:t xml:space="preserve">); </w:t>
      </w:r>
      <w:r w:rsidR="00476F2E" w:rsidRPr="00AB3320">
        <w:rPr>
          <w:i/>
          <w:szCs w:val="24"/>
        </w:rPr>
        <w:t xml:space="preserve">R. </w:t>
      </w:r>
      <w:r w:rsidR="00607B44" w:rsidRPr="00AB3320">
        <w:rPr>
          <w:i/>
          <w:szCs w:val="24"/>
        </w:rPr>
        <w:t>c</w:t>
      </w:r>
      <w:r w:rsidR="00476F2E" w:rsidRPr="00AB3320">
        <w:rPr>
          <w:i/>
          <w:szCs w:val="24"/>
        </w:rPr>
        <w:t>. Murphy</w:t>
      </w:r>
      <w:r w:rsidR="00476F2E" w:rsidRPr="00AB3320">
        <w:rPr>
          <w:szCs w:val="24"/>
        </w:rPr>
        <w:t xml:space="preserve"> (2001), 29 M.V.R. (4th) 50; </w:t>
      </w:r>
      <w:r w:rsidR="00CC5801" w:rsidRPr="00CC5801">
        <w:rPr>
          <w:i/>
          <w:szCs w:val="24"/>
        </w:rPr>
        <w:t xml:space="preserve">R. c. </w:t>
      </w:r>
      <w:proofErr w:type="spellStart"/>
      <w:r w:rsidR="00476F2E" w:rsidRPr="00AB3320">
        <w:rPr>
          <w:i/>
          <w:szCs w:val="24"/>
        </w:rPr>
        <w:t>Spannier</w:t>
      </w:r>
      <w:proofErr w:type="spellEnd"/>
      <w:r w:rsidR="00476F2E" w:rsidRPr="00AB3320">
        <w:rPr>
          <w:szCs w:val="24"/>
        </w:rPr>
        <w:t xml:space="preserve">, 1996 </w:t>
      </w:r>
      <w:proofErr w:type="spellStart"/>
      <w:r w:rsidR="00476F2E" w:rsidRPr="00AB3320">
        <w:rPr>
          <w:szCs w:val="24"/>
        </w:rPr>
        <w:t>CanLII</w:t>
      </w:r>
      <w:proofErr w:type="spellEnd"/>
      <w:r w:rsidR="00476F2E" w:rsidRPr="00AB3320">
        <w:rPr>
          <w:szCs w:val="24"/>
        </w:rPr>
        <w:t xml:space="preserve"> 978</w:t>
      </w:r>
      <w:r w:rsidR="00476F2E" w:rsidRPr="00AB3320">
        <w:t xml:space="preserve">; </w:t>
      </w:r>
      <w:r w:rsidR="00476F2E" w:rsidRPr="00AB3320">
        <w:rPr>
          <w:i/>
        </w:rPr>
        <w:t xml:space="preserve">R. </w:t>
      </w:r>
      <w:r w:rsidR="00607B44" w:rsidRPr="00AB3320">
        <w:rPr>
          <w:i/>
        </w:rPr>
        <w:t>c</w:t>
      </w:r>
      <w:r w:rsidR="00476F2E" w:rsidRPr="00AB3320">
        <w:rPr>
          <w:i/>
        </w:rPr>
        <w:t xml:space="preserve">. </w:t>
      </w:r>
      <w:proofErr w:type="spellStart"/>
      <w:r w:rsidR="00476F2E" w:rsidRPr="00AB3320">
        <w:rPr>
          <w:i/>
        </w:rPr>
        <w:t>Jewitt</w:t>
      </w:r>
      <w:proofErr w:type="spellEnd"/>
      <w:r w:rsidR="00476F2E" w:rsidRPr="00AB3320">
        <w:t xml:space="preserve">, [1985] 2 </w:t>
      </w:r>
      <w:r w:rsidR="00607B44" w:rsidRPr="00AB3320">
        <w:t>R.C.</w:t>
      </w:r>
      <w:r w:rsidR="00476F2E" w:rsidRPr="00AB3320">
        <w:t xml:space="preserve">S. 128; </w:t>
      </w:r>
      <w:r w:rsidR="00476F2E" w:rsidRPr="00AB3320">
        <w:rPr>
          <w:i/>
        </w:rPr>
        <w:t xml:space="preserve">R. </w:t>
      </w:r>
      <w:r w:rsidR="00607B44" w:rsidRPr="00AB3320">
        <w:rPr>
          <w:i/>
        </w:rPr>
        <w:t>c</w:t>
      </w:r>
      <w:r w:rsidR="00476F2E" w:rsidRPr="00AB3320">
        <w:rPr>
          <w:i/>
        </w:rPr>
        <w:t xml:space="preserve">. </w:t>
      </w:r>
      <w:proofErr w:type="spellStart"/>
      <w:r w:rsidR="00476F2E" w:rsidRPr="00AB3320">
        <w:rPr>
          <w:i/>
        </w:rPr>
        <w:t>Hinse</w:t>
      </w:r>
      <w:proofErr w:type="spellEnd"/>
      <w:r w:rsidR="00476F2E" w:rsidRPr="00AB3320">
        <w:t xml:space="preserve">, [1995] 4 </w:t>
      </w:r>
      <w:r w:rsidR="00607B44" w:rsidRPr="00AB3320">
        <w:t>R.C.</w:t>
      </w:r>
      <w:r w:rsidR="00476F2E" w:rsidRPr="00AB3320">
        <w:t xml:space="preserve">S. 597; </w:t>
      </w:r>
      <w:r w:rsidR="00476F2E" w:rsidRPr="00AB3320">
        <w:rPr>
          <w:i/>
        </w:rPr>
        <w:t xml:space="preserve">R. </w:t>
      </w:r>
      <w:r w:rsidR="00607B44" w:rsidRPr="00AB3320">
        <w:rPr>
          <w:i/>
        </w:rPr>
        <w:t>c</w:t>
      </w:r>
      <w:r w:rsidR="00476F2E" w:rsidRPr="00AB3320">
        <w:rPr>
          <w:i/>
        </w:rPr>
        <w:t>. Provo</w:t>
      </w:r>
      <w:r w:rsidR="00476F2E" w:rsidRPr="00AB3320">
        <w:t xml:space="preserve">, [1989] 2 </w:t>
      </w:r>
      <w:r w:rsidR="00607B44" w:rsidRPr="00AB3320">
        <w:t>R.C.</w:t>
      </w:r>
      <w:r w:rsidR="00476F2E" w:rsidRPr="00AB3320">
        <w:t xml:space="preserve">S. 3; </w:t>
      </w:r>
      <w:r w:rsidR="00476F2E" w:rsidRPr="00AB3320">
        <w:rPr>
          <w:i/>
        </w:rPr>
        <w:t xml:space="preserve">R. </w:t>
      </w:r>
      <w:r w:rsidR="00607B44" w:rsidRPr="00AB3320">
        <w:rPr>
          <w:i/>
        </w:rPr>
        <w:t>c</w:t>
      </w:r>
      <w:r w:rsidR="00476F2E" w:rsidRPr="00AB3320">
        <w:rPr>
          <w:i/>
        </w:rPr>
        <w:t xml:space="preserve">. </w:t>
      </w:r>
      <w:proofErr w:type="spellStart"/>
      <w:r w:rsidR="00476F2E" w:rsidRPr="00AB3320">
        <w:rPr>
          <w:i/>
        </w:rPr>
        <w:t>Yelle</w:t>
      </w:r>
      <w:proofErr w:type="spellEnd"/>
      <w:r w:rsidR="00476F2E" w:rsidRPr="00AB3320">
        <w:t xml:space="preserve">, 2006 ABCA 276, 397 A.R. 287; </w:t>
      </w:r>
      <w:r w:rsidR="00476F2E" w:rsidRPr="00AB3320">
        <w:rPr>
          <w:i/>
        </w:rPr>
        <w:t xml:space="preserve">R. </w:t>
      </w:r>
      <w:r w:rsidR="00607B44" w:rsidRPr="00AB3320">
        <w:rPr>
          <w:i/>
        </w:rPr>
        <w:t>c</w:t>
      </w:r>
      <w:r w:rsidR="00476F2E" w:rsidRPr="00AB3320">
        <w:rPr>
          <w:i/>
        </w:rPr>
        <w:t>. Smith</w:t>
      </w:r>
      <w:r w:rsidR="00476F2E" w:rsidRPr="00AB3320">
        <w:t xml:space="preserve">, 2004 </w:t>
      </w:r>
      <w:r w:rsidR="00607B44" w:rsidRPr="00AB3320">
        <w:t>C</w:t>
      </w:r>
      <w:r w:rsidR="00476F2E" w:rsidRPr="00AB3320">
        <w:t xml:space="preserve">SC 14, [2004] 1 </w:t>
      </w:r>
      <w:r w:rsidR="00607B44" w:rsidRPr="00AB3320">
        <w:t>R.C.</w:t>
      </w:r>
      <w:r w:rsidR="00476F2E" w:rsidRPr="00AB3320">
        <w:t xml:space="preserve">S. 385; </w:t>
      </w:r>
      <w:r w:rsidR="00476F2E" w:rsidRPr="00AB3320">
        <w:rPr>
          <w:i/>
        </w:rPr>
        <w:t xml:space="preserve">R. </w:t>
      </w:r>
      <w:r w:rsidR="00607B44" w:rsidRPr="00AB3320">
        <w:rPr>
          <w:i/>
        </w:rPr>
        <w:t>c</w:t>
      </w:r>
      <w:r w:rsidR="00476F2E" w:rsidRPr="00AB3320">
        <w:rPr>
          <w:i/>
        </w:rPr>
        <w:t>. Thomas</w:t>
      </w:r>
      <w:r w:rsidR="00476F2E" w:rsidRPr="00AB3320">
        <w:t xml:space="preserve">, [1998] 3 </w:t>
      </w:r>
      <w:r w:rsidR="00607B44" w:rsidRPr="00AB3320">
        <w:t>R.C.</w:t>
      </w:r>
      <w:r w:rsidR="00476F2E" w:rsidRPr="00AB3320">
        <w:t>S. 535.</w:t>
      </w:r>
    </w:p>
    <w:p w:rsidR="00231F3A" w:rsidRPr="00AB3320" w:rsidRDefault="0043088E" w:rsidP="00A31779">
      <w:pPr>
        <w:pStyle w:val="SCCNormalDoubleSpacing"/>
        <w:keepNext/>
        <w:spacing w:after="480"/>
        <w:rPr>
          <w:b/>
        </w:rPr>
      </w:pPr>
      <w:r w:rsidRPr="00AB3320">
        <w:rPr>
          <w:b/>
        </w:rPr>
        <w:t>Lois</w:t>
      </w:r>
      <w:r w:rsidR="002E6705" w:rsidRPr="00AB3320">
        <w:rPr>
          <w:b/>
        </w:rPr>
        <w:t xml:space="preserve"> </w:t>
      </w:r>
      <w:r w:rsidR="008A6558" w:rsidRPr="00AB3320">
        <w:rPr>
          <w:b/>
        </w:rPr>
        <w:t>et</w:t>
      </w:r>
      <w:r w:rsidR="002E6705" w:rsidRPr="00AB3320">
        <w:rPr>
          <w:b/>
        </w:rPr>
        <w:t xml:space="preserve"> </w:t>
      </w:r>
      <w:r w:rsidRPr="00AB3320">
        <w:rPr>
          <w:b/>
        </w:rPr>
        <w:t>rè</w:t>
      </w:r>
      <w:r w:rsidR="002E6705" w:rsidRPr="00AB3320">
        <w:rPr>
          <w:b/>
        </w:rPr>
        <w:t>gl</w:t>
      </w:r>
      <w:r w:rsidRPr="00AB3320">
        <w:rPr>
          <w:b/>
        </w:rPr>
        <w:t>ements</w:t>
      </w:r>
      <w:r w:rsidR="002E6705" w:rsidRPr="00AB3320">
        <w:rPr>
          <w:b/>
        </w:rPr>
        <w:t xml:space="preserve"> </w:t>
      </w:r>
      <w:r w:rsidRPr="00AB3320">
        <w:rPr>
          <w:b/>
        </w:rPr>
        <w:t>c</w:t>
      </w:r>
      <w:r w:rsidR="002E6705" w:rsidRPr="00AB3320">
        <w:rPr>
          <w:b/>
        </w:rPr>
        <w:t>it</w:t>
      </w:r>
      <w:r w:rsidRPr="00AB3320">
        <w:rPr>
          <w:b/>
        </w:rPr>
        <w:t>és</w:t>
      </w:r>
    </w:p>
    <w:p w:rsidR="0075095A" w:rsidRPr="00AB3320" w:rsidRDefault="0075095A" w:rsidP="00A31779">
      <w:pPr>
        <w:pStyle w:val="SCCNormalDoubleSpacing"/>
        <w:spacing w:after="240" w:line="240" w:lineRule="auto"/>
        <w:ind w:left="539" w:hanging="539"/>
      </w:pPr>
      <w:r w:rsidRPr="00AB3320">
        <w:rPr>
          <w:i/>
        </w:rPr>
        <w:t>Charte canadienne des droits et libertés</w:t>
      </w:r>
      <w:r w:rsidRPr="00AB3320">
        <w:t xml:space="preserve">, </w:t>
      </w:r>
      <w:r w:rsidR="00A31779" w:rsidRPr="00AB3320">
        <w:t>art.</w:t>
      </w:r>
      <w:r w:rsidR="00AB3320">
        <w:t xml:space="preserve"> </w:t>
      </w:r>
      <w:r w:rsidRPr="00AB3320">
        <w:t>7, 24(1).</w:t>
      </w:r>
    </w:p>
    <w:p w:rsidR="0075095A" w:rsidRPr="00AB3320" w:rsidRDefault="0075095A" w:rsidP="00A31779">
      <w:pPr>
        <w:pStyle w:val="SCCNormalDoubleSpacing"/>
        <w:spacing w:after="720" w:line="240" w:lineRule="auto"/>
        <w:ind w:left="540" w:hanging="540"/>
      </w:pPr>
      <w:r w:rsidRPr="00AB3320">
        <w:rPr>
          <w:i/>
        </w:rPr>
        <w:t>Code criminel</w:t>
      </w:r>
      <w:r w:rsidRPr="00AB3320">
        <w:t xml:space="preserve">, L.R.C. 1985, </w:t>
      </w:r>
      <w:r w:rsidR="00A31779" w:rsidRPr="00AB3320">
        <w:t>ch.</w:t>
      </w:r>
      <w:r w:rsidR="00424D24">
        <w:t xml:space="preserve"> </w:t>
      </w:r>
      <w:r w:rsidRPr="00AB3320">
        <w:t>C</w:t>
      </w:r>
      <w:r w:rsidR="006B6228">
        <w:t>-</w:t>
      </w:r>
      <w:r w:rsidRPr="00AB3320">
        <w:t xml:space="preserve">46, </w:t>
      </w:r>
      <w:r w:rsidR="00A31779" w:rsidRPr="00AB3320">
        <w:t>art.</w:t>
      </w:r>
      <w:r w:rsidR="00AB3320">
        <w:t xml:space="preserve"> </w:t>
      </w:r>
      <w:r w:rsidRPr="00AB3320">
        <w:t>423.1(1)</w:t>
      </w:r>
      <w:r w:rsidRPr="00AB3320">
        <w:rPr>
          <w:i/>
        </w:rPr>
        <w:t>b</w:t>
      </w:r>
      <w:r w:rsidRPr="00AB3320">
        <w:t>), (2)</w:t>
      </w:r>
      <w:r w:rsidRPr="00AB3320">
        <w:rPr>
          <w:i/>
        </w:rPr>
        <w:t>a</w:t>
      </w:r>
      <w:r w:rsidRPr="00AB3320">
        <w:t>), 686(4), (8).</w:t>
      </w:r>
    </w:p>
    <w:p w:rsidR="00D5435D" w:rsidRPr="00AB3320" w:rsidRDefault="007179A2" w:rsidP="00A31779">
      <w:pPr>
        <w:pStyle w:val="SCCNormalDoubleSpacing"/>
        <w:spacing w:after="480"/>
      </w:pPr>
      <w:r w:rsidRPr="00AB3320">
        <w:tab/>
      </w:r>
      <w:r w:rsidR="009B57B3" w:rsidRPr="00AB3320">
        <w:t>P</w:t>
      </w:r>
      <w:r w:rsidR="0043088E" w:rsidRPr="00AB3320">
        <w:t>OURVOI contre un arrêt de la</w:t>
      </w:r>
      <w:r w:rsidR="009B57B3" w:rsidRPr="00AB3320">
        <w:t xml:space="preserve"> </w:t>
      </w:r>
      <w:r w:rsidRPr="00AB3320">
        <w:t>Cour d</w:t>
      </w:r>
      <w:r w:rsidR="00424D24">
        <w:t>’</w:t>
      </w:r>
      <w:r w:rsidRPr="00AB3320">
        <w:t>appel du Québec</w:t>
      </w:r>
      <w:r w:rsidR="00317571" w:rsidRPr="00AB3320">
        <w:t xml:space="preserve"> (les juges Morissette, Giroux et Gagnon), 2010 QCCA 2118, 83 C.R. (6th) 388, [2010] J.Q. n</w:t>
      </w:r>
      <w:r w:rsidR="00317571" w:rsidRPr="00AB3320">
        <w:rPr>
          <w:vertAlign w:val="superscript"/>
        </w:rPr>
        <w:t>o</w:t>
      </w:r>
      <w:r w:rsidR="00AB3320">
        <w:t xml:space="preserve"> </w:t>
      </w:r>
      <w:r w:rsidR="00317571" w:rsidRPr="00AB3320">
        <w:t xml:space="preserve">11919 (QL), 2010 </w:t>
      </w:r>
      <w:proofErr w:type="spellStart"/>
      <w:r w:rsidR="00317571" w:rsidRPr="00AB3320">
        <w:t>CarswellQue</w:t>
      </w:r>
      <w:proofErr w:type="spellEnd"/>
      <w:r w:rsidR="00317571" w:rsidRPr="00AB3320">
        <w:t xml:space="preserve"> 12408, </w:t>
      </w:r>
      <w:r w:rsidR="00B23719" w:rsidRPr="00AB3320">
        <w:t xml:space="preserve">qui a </w:t>
      </w:r>
      <w:r w:rsidR="0066012C" w:rsidRPr="00AB3320">
        <w:t xml:space="preserve">confirmé la décision du juge </w:t>
      </w:r>
      <w:proofErr w:type="spellStart"/>
      <w:r w:rsidR="0066012C" w:rsidRPr="00AB3320">
        <w:t>Legault</w:t>
      </w:r>
      <w:proofErr w:type="spellEnd"/>
      <w:r w:rsidR="0066012C" w:rsidRPr="00AB3320">
        <w:t xml:space="preserve"> d</w:t>
      </w:r>
      <w:r w:rsidR="00424D24">
        <w:t>’</w:t>
      </w:r>
      <w:r w:rsidR="0066012C" w:rsidRPr="00AB3320">
        <w:t>acquitter l</w:t>
      </w:r>
      <w:r w:rsidR="00424D24">
        <w:t>’</w:t>
      </w:r>
      <w:r w:rsidR="0066012C" w:rsidRPr="00AB3320">
        <w:t>accusé relativement aux voies de fait</w:t>
      </w:r>
      <w:r w:rsidR="00CC71CE" w:rsidRPr="00AB3320">
        <w:t>,</w:t>
      </w:r>
      <w:r w:rsidR="0066012C" w:rsidRPr="00AB3320">
        <w:t xml:space="preserve"> </w:t>
      </w:r>
      <w:r w:rsidR="00CC71CE" w:rsidRPr="00AB3320">
        <w:t>mais</w:t>
      </w:r>
      <w:r w:rsidR="0066012C" w:rsidRPr="00AB3320">
        <w:t xml:space="preserve"> qui a </w:t>
      </w:r>
      <w:r w:rsidR="00B754D9" w:rsidRPr="00AB3320">
        <w:t>annul</w:t>
      </w:r>
      <w:r w:rsidR="00B23719" w:rsidRPr="00AB3320">
        <w:t xml:space="preserve">é </w:t>
      </w:r>
      <w:r w:rsidR="00CC71CE" w:rsidRPr="00AB3320">
        <w:t xml:space="preserve">sa décision </w:t>
      </w:r>
      <w:r w:rsidR="00CC71CE" w:rsidRPr="00AB3320">
        <w:lastRenderedPageBreak/>
        <w:t>d</w:t>
      </w:r>
      <w:r w:rsidR="00424D24">
        <w:t>’</w:t>
      </w:r>
      <w:r w:rsidR="00CC71CE" w:rsidRPr="00AB3320">
        <w:t xml:space="preserve">ordonner </w:t>
      </w:r>
      <w:r w:rsidR="0066012C" w:rsidRPr="00AB3320">
        <w:t>l</w:t>
      </w:r>
      <w:r w:rsidR="00424D24">
        <w:t>’</w:t>
      </w:r>
      <w:r w:rsidR="0066012C" w:rsidRPr="00AB3320">
        <w:t>arrêt des procédures relativement à l</w:t>
      </w:r>
      <w:r w:rsidR="00424D24">
        <w:t>’</w:t>
      </w:r>
      <w:r w:rsidR="0066012C" w:rsidRPr="00AB3320">
        <w:t>intimidation d</w:t>
      </w:r>
      <w:r w:rsidR="00424D24">
        <w:t>’</w:t>
      </w:r>
      <w:r w:rsidR="0066012C" w:rsidRPr="00AB3320">
        <w:t>une personne associée au système judiciaire</w:t>
      </w:r>
      <w:r w:rsidR="00317571" w:rsidRPr="00AB3320">
        <w:t>, 2008 QCCQ 21567, [2008] J.Q. n</w:t>
      </w:r>
      <w:r w:rsidR="00317571" w:rsidRPr="00AB3320">
        <w:rPr>
          <w:vertAlign w:val="superscript"/>
        </w:rPr>
        <w:t>o</w:t>
      </w:r>
      <w:r w:rsidR="00AB3320">
        <w:rPr>
          <w:vertAlign w:val="superscript"/>
        </w:rPr>
        <w:t xml:space="preserve"> </w:t>
      </w:r>
      <w:r w:rsidR="00317571" w:rsidRPr="00AB3320">
        <w:t xml:space="preserve">24115 (QL), 2008 </w:t>
      </w:r>
      <w:proofErr w:type="spellStart"/>
      <w:r w:rsidR="00317571" w:rsidRPr="00AB3320">
        <w:t>CarswellQue</w:t>
      </w:r>
      <w:proofErr w:type="spellEnd"/>
      <w:r w:rsidR="00317571" w:rsidRPr="00AB3320">
        <w:t xml:space="preserve"> 15028.</w:t>
      </w:r>
      <w:r w:rsidR="00AB3320">
        <w:t xml:space="preserve"> </w:t>
      </w:r>
      <w:r w:rsidR="00317571" w:rsidRPr="00AB3320">
        <w:t xml:space="preserve">Pourvoi </w:t>
      </w:r>
      <w:r w:rsidR="001A7F8F" w:rsidRPr="00AB3320">
        <w:t>accueilli et arrêt des procédures rétabli</w:t>
      </w:r>
      <w:r w:rsidR="00317571" w:rsidRPr="00AB3320">
        <w:t>.</w:t>
      </w:r>
    </w:p>
    <w:p w:rsidR="00A46CCE" w:rsidRPr="00AB3320" w:rsidRDefault="007E2AD3" w:rsidP="00A31779">
      <w:pPr>
        <w:pStyle w:val="SCCNormalDoubleSpacing"/>
        <w:spacing w:after="480"/>
      </w:pPr>
      <w:r w:rsidRPr="00AB3320">
        <w:rPr>
          <w:i/>
        </w:rPr>
        <w:tab/>
      </w:r>
      <w:r w:rsidR="007179A2" w:rsidRPr="00AB3320">
        <w:rPr>
          <w:i/>
        </w:rPr>
        <w:t xml:space="preserve">Francis </w:t>
      </w:r>
      <w:proofErr w:type="spellStart"/>
      <w:r w:rsidR="007179A2" w:rsidRPr="00AB3320">
        <w:rPr>
          <w:i/>
        </w:rPr>
        <w:t>Pilotte</w:t>
      </w:r>
      <w:proofErr w:type="spellEnd"/>
      <w:r w:rsidR="007179A2" w:rsidRPr="00AB3320">
        <w:t xml:space="preserve"> et </w:t>
      </w:r>
      <w:r w:rsidR="007179A2" w:rsidRPr="00AB3320">
        <w:rPr>
          <w:i/>
        </w:rPr>
        <w:t>Henri</w:t>
      </w:r>
      <w:r w:rsidR="00AB3320">
        <w:rPr>
          <w:i/>
        </w:rPr>
        <w:t>-</w:t>
      </w:r>
      <w:r w:rsidR="007179A2" w:rsidRPr="00AB3320">
        <w:rPr>
          <w:i/>
        </w:rPr>
        <w:t>Pierre Labrie</w:t>
      </w:r>
      <w:r w:rsidR="007179A2" w:rsidRPr="00AB3320">
        <w:t>, pour l</w:t>
      </w:r>
      <w:r w:rsidR="00424D24">
        <w:t>’</w:t>
      </w:r>
      <w:r w:rsidR="007179A2" w:rsidRPr="00AB3320">
        <w:t>appelant</w:t>
      </w:r>
      <w:r w:rsidRPr="00AB3320">
        <w:t>.</w:t>
      </w:r>
    </w:p>
    <w:p w:rsidR="007179A2" w:rsidRPr="00AB3320" w:rsidRDefault="007179A2" w:rsidP="00A31779">
      <w:pPr>
        <w:pStyle w:val="SCCNormalDoubleSpacing"/>
        <w:spacing w:after="480"/>
      </w:pPr>
      <w:r w:rsidRPr="00AB3320">
        <w:rPr>
          <w:i/>
        </w:rPr>
        <w:tab/>
        <w:t xml:space="preserve">Carole </w:t>
      </w:r>
      <w:proofErr w:type="spellStart"/>
      <w:r w:rsidRPr="00AB3320">
        <w:rPr>
          <w:i/>
        </w:rPr>
        <w:t>Lebeuf</w:t>
      </w:r>
      <w:proofErr w:type="spellEnd"/>
      <w:r w:rsidRPr="00AB3320">
        <w:t xml:space="preserve"> et </w:t>
      </w:r>
      <w:r w:rsidRPr="00AB3320">
        <w:rPr>
          <w:i/>
        </w:rPr>
        <w:t xml:space="preserve">Michel </w:t>
      </w:r>
      <w:proofErr w:type="spellStart"/>
      <w:r w:rsidRPr="00AB3320">
        <w:rPr>
          <w:i/>
        </w:rPr>
        <w:t>Pennou</w:t>
      </w:r>
      <w:proofErr w:type="spellEnd"/>
      <w:r w:rsidRPr="00AB3320">
        <w:t>, pour l</w:t>
      </w:r>
      <w:r w:rsidR="00424D24">
        <w:t>’</w:t>
      </w:r>
      <w:r w:rsidRPr="00AB3320">
        <w:t>intimée.</w:t>
      </w:r>
    </w:p>
    <w:p w:rsidR="00A46CCE" w:rsidRPr="00AB3320" w:rsidRDefault="007E2AD3" w:rsidP="00A31779">
      <w:pPr>
        <w:pStyle w:val="SCCNormalDoubleSpacing"/>
        <w:spacing w:after="480"/>
      </w:pPr>
      <w:r w:rsidRPr="00AB3320">
        <w:rPr>
          <w:i/>
        </w:rPr>
        <w:tab/>
        <w:t>Louis Belleau</w:t>
      </w:r>
      <w:r w:rsidRPr="00AB3320">
        <w:t xml:space="preserve">, </w:t>
      </w:r>
      <w:r w:rsidR="007179A2" w:rsidRPr="00AB3320">
        <w:t>en qualité d</w:t>
      </w:r>
      <w:r w:rsidR="00424D24">
        <w:t>’</w:t>
      </w:r>
      <w:r w:rsidRPr="00AB3320">
        <w:rPr>
          <w:i/>
        </w:rPr>
        <w:t>amicus curiae</w:t>
      </w:r>
      <w:r w:rsidRPr="00AB3320">
        <w:t>.</w:t>
      </w:r>
    </w:p>
    <w:p w:rsidR="00A46CCE" w:rsidRPr="00AB3320" w:rsidRDefault="00A31779" w:rsidP="00A31779">
      <w:pPr>
        <w:pStyle w:val="SCCNormalDoubleSpacing"/>
        <w:spacing w:after="480"/>
      </w:pPr>
      <w:r w:rsidRPr="00AB3320">
        <w:rPr>
          <w:i/>
        </w:rPr>
        <w:tab/>
        <w:t>James</w:t>
      </w:r>
      <w:r w:rsidR="00AB3320">
        <w:rPr>
          <w:i/>
        </w:rPr>
        <w:t xml:space="preserve"> </w:t>
      </w:r>
      <w:r w:rsidR="007E2AD3" w:rsidRPr="00AB3320">
        <w:rPr>
          <w:i/>
        </w:rPr>
        <w:t>K. Stewart</w:t>
      </w:r>
      <w:r w:rsidR="007E2AD3" w:rsidRPr="00AB3320">
        <w:t xml:space="preserve"> et </w:t>
      </w:r>
      <w:r w:rsidR="007E2AD3" w:rsidRPr="00AB3320">
        <w:rPr>
          <w:i/>
        </w:rPr>
        <w:t xml:space="preserve">Robert </w:t>
      </w:r>
      <w:proofErr w:type="spellStart"/>
      <w:r w:rsidR="007E2AD3" w:rsidRPr="00AB3320">
        <w:rPr>
          <w:i/>
        </w:rPr>
        <w:t>Gattrell</w:t>
      </w:r>
      <w:proofErr w:type="spellEnd"/>
      <w:r w:rsidR="007179A2" w:rsidRPr="00AB3320">
        <w:t>, pour l</w:t>
      </w:r>
      <w:r w:rsidR="00424D24">
        <w:t>’</w:t>
      </w:r>
      <w:r w:rsidR="007E2AD3" w:rsidRPr="00AB3320">
        <w:t>intervenant.</w:t>
      </w:r>
    </w:p>
    <w:p w:rsidR="00582665" w:rsidRDefault="00582665" w:rsidP="0071421E">
      <w:pPr>
        <w:pStyle w:val="SCCNormalDoubleSpacing"/>
        <w:spacing w:after="480"/>
        <w:rPr>
          <w:smallCaps/>
          <w:szCs w:val="24"/>
        </w:rPr>
      </w:pPr>
      <w:r w:rsidRPr="00AB3320">
        <w:rPr>
          <w:szCs w:val="24"/>
        </w:rPr>
        <w:tab/>
        <w:t>Version française du jugement de la Cour rendu par</w:t>
      </w:r>
    </w:p>
    <w:p w:rsidR="0003214E" w:rsidRPr="00AB3320" w:rsidRDefault="0003214E" w:rsidP="0071421E">
      <w:pPr>
        <w:pStyle w:val="SCCNormalDoubleSpacing"/>
        <w:spacing w:after="480"/>
        <w:rPr>
          <w:szCs w:val="24"/>
        </w:rPr>
      </w:pPr>
      <w:r w:rsidRPr="00424D24">
        <w:rPr>
          <w:szCs w:val="24"/>
        </w:rPr>
        <w:tab/>
      </w:r>
      <w:r w:rsidRPr="0071421E">
        <w:rPr>
          <w:smallCaps/>
          <w:szCs w:val="24"/>
        </w:rPr>
        <w:t>Le juge Fish</w:t>
      </w:r>
      <w:r w:rsidRPr="00424D24">
        <w:rPr>
          <w:szCs w:val="24"/>
        </w:rPr>
        <w:t xml:space="preserve"> </w:t>
      </w:r>
      <w:r w:rsidRPr="00AB3320">
        <w:rPr>
          <w:szCs w:val="24"/>
        </w:rPr>
        <w:t xml:space="preserve">— </w:t>
      </w:r>
    </w:p>
    <w:p w:rsidR="0003214E" w:rsidRPr="00AB3320" w:rsidRDefault="0003214E" w:rsidP="0003214E">
      <w:pPr>
        <w:pStyle w:val="TitleTitre-AltT"/>
        <w:jc w:val="center"/>
        <w:rPr>
          <w:rFonts w:cs="Times New Roman"/>
          <w:szCs w:val="24"/>
          <w:lang w:val="fr-CA"/>
        </w:rPr>
      </w:pPr>
      <w:r w:rsidRPr="00AB3320">
        <w:rPr>
          <w:rFonts w:cs="Times New Roman"/>
          <w:szCs w:val="24"/>
          <w:lang w:val="fr-CA"/>
        </w:rPr>
        <w:t>I</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 xml:space="preserve">Dans la présente affaire, un détenu et un agent de détention ont tous deux subi des blessures au cours du transport du premier par le second entre le palais de justice de Montréal et un établissement pénitentiaire situé en banlieue, à Laval.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détenu et appelant en l</w:t>
      </w:r>
      <w:r w:rsidR="00424D24">
        <w:rPr>
          <w:rFonts w:cs="Times New Roman"/>
          <w:szCs w:val="24"/>
          <w:lang w:val="fr-CA"/>
        </w:rPr>
        <w:t>’</w:t>
      </w:r>
      <w:r w:rsidRPr="00AB3320">
        <w:rPr>
          <w:rFonts w:cs="Times New Roman"/>
          <w:szCs w:val="24"/>
          <w:lang w:val="fr-CA"/>
        </w:rPr>
        <w:t xml:space="preserve">espèce, Riccardo Bellusci, a été accusé de voies de fait causant des lésions corporelles, de voies de fait contre un agent de la </w:t>
      </w:r>
      <w:r w:rsidRPr="00AB3320">
        <w:rPr>
          <w:rFonts w:cs="Times New Roman"/>
          <w:szCs w:val="24"/>
          <w:lang w:val="fr-CA"/>
        </w:rPr>
        <w:lastRenderedPageBreak/>
        <w:t>paix et d</w:t>
      </w:r>
      <w:r w:rsidR="00424D24">
        <w:rPr>
          <w:rFonts w:cs="Times New Roman"/>
          <w:szCs w:val="24"/>
          <w:lang w:val="fr-CA"/>
        </w:rPr>
        <w:t>’</w:t>
      </w:r>
      <w:r w:rsidRPr="00AB3320">
        <w:rPr>
          <w:rFonts w:cs="Times New Roman"/>
          <w:szCs w:val="24"/>
          <w:lang w:val="fr-CA"/>
        </w:rPr>
        <w:t>acte d</w:t>
      </w:r>
      <w:r w:rsidR="00424D24">
        <w:rPr>
          <w:rFonts w:cs="Times New Roman"/>
          <w:szCs w:val="24"/>
          <w:lang w:val="fr-CA"/>
        </w:rPr>
        <w:t>’</w:t>
      </w:r>
      <w:r w:rsidRPr="00AB3320">
        <w:rPr>
          <w:rFonts w:cs="Times New Roman"/>
          <w:szCs w:val="24"/>
          <w:lang w:val="fr-CA"/>
        </w:rPr>
        <w:t>intimidation contre une personne associée au système judiciaire.</w:t>
      </w:r>
      <w:r w:rsidR="00AB3320">
        <w:rPr>
          <w:rFonts w:cs="Times New Roman"/>
          <w:szCs w:val="24"/>
          <w:lang w:val="fr-CA"/>
        </w:rPr>
        <w:t xml:space="preserve"> </w:t>
      </w:r>
      <w:r w:rsidRPr="00AB3320">
        <w:rPr>
          <w:rFonts w:cs="Times New Roman"/>
          <w:szCs w:val="24"/>
          <w:lang w:val="fr-CA"/>
        </w:rPr>
        <w:t>Dans les trois cas, la présumée victime était l</w:t>
      </w:r>
      <w:r w:rsidR="00424D24">
        <w:rPr>
          <w:rFonts w:cs="Times New Roman"/>
          <w:szCs w:val="24"/>
          <w:lang w:val="fr-CA"/>
        </w:rPr>
        <w:t>’</w:t>
      </w:r>
      <w:r w:rsidRPr="00AB3320">
        <w:rPr>
          <w:rFonts w:cs="Times New Roman"/>
          <w:szCs w:val="24"/>
          <w:lang w:val="fr-CA"/>
        </w:rPr>
        <w:t>agent de détention, Michel Asselin.</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Au procès, M.</w:t>
      </w:r>
      <w:r w:rsidR="00AB3320">
        <w:rPr>
          <w:rFonts w:cs="Times New Roman"/>
          <w:szCs w:val="24"/>
          <w:lang w:val="fr-CA"/>
        </w:rPr>
        <w:t xml:space="preserve"> </w:t>
      </w:r>
      <w:r w:rsidRPr="00AB3320">
        <w:rPr>
          <w:rFonts w:cs="Times New Roman"/>
          <w:szCs w:val="24"/>
          <w:lang w:val="fr-CA"/>
        </w:rPr>
        <w:t>Bellusci a été acquitté des deux accusations de voies de fait, et ces acquittements ne sont plus contestés.</w:t>
      </w:r>
      <w:r w:rsid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pourvoi ne porte que sur l</w:t>
      </w:r>
      <w:r w:rsidR="00424D24">
        <w:rPr>
          <w:rFonts w:cs="Times New Roman"/>
          <w:szCs w:val="24"/>
          <w:lang w:val="fr-CA"/>
        </w:rPr>
        <w:t>’</w:t>
      </w:r>
      <w:r w:rsidRPr="00AB3320">
        <w:rPr>
          <w:rFonts w:cs="Times New Roman"/>
          <w:szCs w:val="24"/>
          <w:lang w:val="fr-CA"/>
        </w:rPr>
        <w:t>accusation d</w:t>
      </w:r>
      <w:r w:rsidR="00424D24">
        <w:rPr>
          <w:rFonts w:cs="Times New Roman"/>
          <w:szCs w:val="24"/>
          <w:lang w:val="fr-CA"/>
        </w:rPr>
        <w:t>’</w:t>
      </w:r>
      <w:r w:rsidRPr="00AB3320">
        <w:rPr>
          <w:rFonts w:cs="Times New Roman"/>
          <w:szCs w:val="24"/>
          <w:lang w:val="fr-CA"/>
        </w:rPr>
        <w:t>intimidation.</w:t>
      </w:r>
      <w:r w:rsidR="00AB3320">
        <w:rPr>
          <w:rFonts w:cs="Times New Roman"/>
          <w:szCs w:val="24"/>
          <w:lang w:val="fr-CA"/>
        </w:rPr>
        <w:t xml:space="preserve"> </w:t>
      </w:r>
      <w:r w:rsidRPr="00AB3320">
        <w:rPr>
          <w:rFonts w:cs="Times New Roman"/>
          <w:szCs w:val="24"/>
          <w:lang w:val="fr-CA"/>
        </w:rPr>
        <w:t>Le juge du procès conclut que le ministère public a établi la culpabilité de M.</w:t>
      </w:r>
      <w:r w:rsidR="00AB3320">
        <w:rPr>
          <w:rFonts w:cs="Times New Roman"/>
          <w:szCs w:val="24"/>
          <w:lang w:val="fr-CA"/>
        </w:rPr>
        <w:t xml:space="preserve"> </w:t>
      </w:r>
      <w:r w:rsidRPr="00AB3320">
        <w:rPr>
          <w:rFonts w:cs="Times New Roman"/>
          <w:szCs w:val="24"/>
          <w:lang w:val="fr-CA"/>
        </w:rPr>
        <w:t>Bellusci quant à ce chef, mais il refuse de l</w:t>
      </w:r>
      <w:r w:rsidR="00424D24">
        <w:rPr>
          <w:rFonts w:cs="Times New Roman"/>
          <w:szCs w:val="24"/>
          <w:lang w:val="fr-CA"/>
        </w:rPr>
        <w:t>’</w:t>
      </w:r>
      <w:r w:rsidRPr="00AB3320">
        <w:rPr>
          <w:rFonts w:cs="Times New Roman"/>
          <w:szCs w:val="24"/>
          <w:lang w:val="fr-CA"/>
        </w:rPr>
        <w:t>en déclarer coupable au motif que ses droits garantis à l</w:t>
      </w:r>
      <w:r w:rsidR="00424D24">
        <w:rPr>
          <w:rFonts w:cs="Times New Roman"/>
          <w:szCs w:val="24"/>
          <w:lang w:val="fr-CA"/>
        </w:rPr>
        <w:t>’</w:t>
      </w:r>
      <w:r w:rsidRPr="00AB3320">
        <w:rPr>
          <w:rFonts w:cs="Times New Roman"/>
          <w:szCs w:val="24"/>
          <w:lang w:val="fr-CA"/>
        </w:rPr>
        <w:t>art.</w:t>
      </w:r>
      <w:r w:rsidR="00AB3320">
        <w:rPr>
          <w:rFonts w:cs="Times New Roman"/>
          <w:szCs w:val="24"/>
          <w:lang w:val="fr-CA"/>
        </w:rPr>
        <w:t xml:space="preserve"> </w:t>
      </w:r>
      <w:r w:rsidRPr="00AB3320">
        <w:rPr>
          <w:rFonts w:cs="Times New Roman"/>
          <w:szCs w:val="24"/>
          <w:lang w:val="fr-CA"/>
        </w:rPr>
        <w:t xml:space="preserve">7 de la </w:t>
      </w:r>
      <w:r w:rsidRPr="00AB3320">
        <w:rPr>
          <w:rFonts w:cs="Times New Roman"/>
          <w:i/>
          <w:szCs w:val="24"/>
          <w:lang w:val="fr-CA"/>
        </w:rPr>
        <w:t>Charte</w:t>
      </w:r>
      <w:r w:rsidRPr="00AB3320">
        <w:rPr>
          <w:rFonts w:cs="Times New Roman"/>
          <w:szCs w:val="24"/>
          <w:lang w:val="fr-CA"/>
        </w:rPr>
        <w:t xml:space="preserve"> </w:t>
      </w:r>
      <w:r w:rsidRPr="00AB3320">
        <w:rPr>
          <w:rFonts w:cs="Times New Roman"/>
          <w:i/>
          <w:szCs w:val="24"/>
          <w:lang w:val="fr-CA"/>
        </w:rPr>
        <w:t>canadienne des droits et libertés</w:t>
      </w:r>
      <w:r w:rsidRPr="00AB3320">
        <w:rPr>
          <w:rFonts w:cs="Times New Roman"/>
          <w:szCs w:val="24"/>
          <w:lang w:val="fr-CA"/>
        </w:rPr>
        <w:t xml:space="preserve"> ont été violés (2008</w:t>
      </w:r>
      <w:r w:rsidR="00AB3320">
        <w:rPr>
          <w:rFonts w:cs="Times New Roman"/>
          <w:szCs w:val="24"/>
          <w:lang w:val="fr-CA"/>
        </w:rPr>
        <w:t xml:space="preserve"> </w:t>
      </w:r>
      <w:r w:rsidRPr="00AB3320">
        <w:rPr>
          <w:rFonts w:cs="Times New Roman"/>
          <w:szCs w:val="24"/>
          <w:lang w:val="fr-CA"/>
        </w:rPr>
        <w:t>QCCQ</w:t>
      </w:r>
      <w:r w:rsidR="00AB3320">
        <w:rPr>
          <w:rFonts w:cs="Times New Roman"/>
          <w:szCs w:val="24"/>
          <w:lang w:val="fr-CA"/>
        </w:rPr>
        <w:t xml:space="preserve"> </w:t>
      </w:r>
      <w:r w:rsidRPr="00AB3320">
        <w:rPr>
          <w:rFonts w:cs="Times New Roman"/>
          <w:szCs w:val="24"/>
          <w:lang w:val="fr-CA"/>
        </w:rPr>
        <w:t>21567 (</w:t>
      </w:r>
      <w:proofErr w:type="spellStart"/>
      <w:r w:rsidRPr="00AB3320">
        <w:rPr>
          <w:rFonts w:cs="Times New Roman"/>
          <w:szCs w:val="24"/>
          <w:lang w:val="fr-CA"/>
        </w:rPr>
        <w:t>CanLII</w:t>
      </w:r>
      <w:proofErr w:type="spellEnd"/>
      <w:r w:rsidRP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M.</w:t>
      </w:r>
      <w:r w:rsidR="00AB3320">
        <w:rPr>
          <w:rFonts w:cs="Times New Roman"/>
          <w:szCs w:val="24"/>
          <w:lang w:val="fr-CA"/>
        </w:rPr>
        <w:t xml:space="preserve"> </w:t>
      </w:r>
      <w:r w:rsidRPr="00AB3320">
        <w:rPr>
          <w:rFonts w:cs="Times New Roman"/>
          <w:szCs w:val="24"/>
          <w:lang w:val="fr-CA"/>
        </w:rPr>
        <w:t>Bellusci a été accusé de menaces proférées à l</w:t>
      </w:r>
      <w:r w:rsidR="00424D24">
        <w:rPr>
          <w:rFonts w:cs="Times New Roman"/>
          <w:szCs w:val="24"/>
          <w:lang w:val="fr-CA"/>
        </w:rPr>
        <w:t>’</w:t>
      </w:r>
      <w:r w:rsidRPr="00AB3320">
        <w:rPr>
          <w:rFonts w:cs="Times New Roman"/>
          <w:szCs w:val="24"/>
          <w:lang w:val="fr-CA"/>
        </w:rPr>
        <w:t>endroit d</w:t>
      </w:r>
      <w:r w:rsidR="00424D24">
        <w:rPr>
          <w:rFonts w:cs="Times New Roman"/>
          <w:szCs w:val="24"/>
          <w:lang w:val="fr-CA"/>
        </w:rPr>
        <w:t>’</w:t>
      </w:r>
      <w:r w:rsidRPr="00AB3320">
        <w:rPr>
          <w:rFonts w:cs="Times New Roman"/>
          <w:szCs w:val="24"/>
          <w:lang w:val="fr-CA"/>
        </w:rPr>
        <w:t xml:space="preserve">un agent de détention qui </w:t>
      </w:r>
      <w:r w:rsidRPr="00AB3320">
        <w:rPr>
          <w:rFonts w:cs="Times New Roman"/>
          <w:i/>
          <w:szCs w:val="24"/>
          <w:lang w:val="fr-CA"/>
        </w:rPr>
        <w:t>l</w:t>
      </w:r>
      <w:r w:rsidR="00424D24">
        <w:rPr>
          <w:rFonts w:cs="Times New Roman"/>
          <w:i/>
          <w:szCs w:val="24"/>
          <w:lang w:val="fr-CA"/>
        </w:rPr>
        <w:t>’</w:t>
      </w:r>
      <w:r w:rsidRPr="00AB3320">
        <w:rPr>
          <w:rFonts w:cs="Times New Roman"/>
          <w:i/>
          <w:szCs w:val="24"/>
          <w:lang w:val="fr-CA"/>
        </w:rPr>
        <w:t>avait</w:t>
      </w:r>
      <w:r w:rsidRPr="00AB3320">
        <w:rPr>
          <w:rFonts w:cs="Times New Roman"/>
          <w:szCs w:val="24"/>
          <w:lang w:val="fr-CA"/>
        </w:rPr>
        <w:t xml:space="preserve"> </w:t>
      </w:r>
      <w:r w:rsidRPr="00AB3320">
        <w:rPr>
          <w:rFonts w:cs="Times New Roman"/>
          <w:i/>
          <w:szCs w:val="24"/>
          <w:lang w:val="fr-CA"/>
        </w:rPr>
        <w:t>provoqué témérairement</w:t>
      </w:r>
      <w:r w:rsidRPr="00AB3320">
        <w:rPr>
          <w:rFonts w:cs="Times New Roman"/>
          <w:szCs w:val="24"/>
          <w:lang w:val="fr-CA"/>
        </w:rPr>
        <w:t xml:space="preserve"> et qui, en réponse à ces menaces, </w:t>
      </w:r>
      <w:r w:rsidRPr="00AB3320">
        <w:rPr>
          <w:rFonts w:cs="Times New Roman"/>
          <w:i/>
          <w:szCs w:val="24"/>
          <w:lang w:val="fr-CA"/>
        </w:rPr>
        <w:t>l</w:t>
      </w:r>
      <w:r w:rsidR="00424D24">
        <w:rPr>
          <w:rFonts w:cs="Times New Roman"/>
          <w:i/>
          <w:szCs w:val="24"/>
          <w:lang w:val="fr-CA"/>
        </w:rPr>
        <w:t>’</w:t>
      </w:r>
      <w:r w:rsidRPr="00AB3320">
        <w:rPr>
          <w:rFonts w:cs="Times New Roman"/>
          <w:i/>
          <w:szCs w:val="24"/>
          <w:lang w:val="fr-CA"/>
        </w:rPr>
        <w:t>avait gravement agressé</w:t>
      </w:r>
      <w:r w:rsidRPr="00AB3320">
        <w:rPr>
          <w:rFonts w:cs="Times New Roman"/>
          <w:szCs w:val="24"/>
          <w:lang w:val="fr-CA"/>
        </w:rPr>
        <w:t xml:space="preserve"> alors qu</w:t>
      </w:r>
      <w:r w:rsidR="00424D24">
        <w:rPr>
          <w:rFonts w:cs="Times New Roman"/>
          <w:szCs w:val="24"/>
          <w:lang w:val="fr-CA"/>
        </w:rPr>
        <w:t>’</w:t>
      </w:r>
      <w:r w:rsidRPr="00AB3320">
        <w:rPr>
          <w:rFonts w:cs="Times New Roman"/>
          <w:szCs w:val="24"/>
          <w:lang w:val="fr-CA"/>
        </w:rPr>
        <w:t>il était confié à sa garde, enchaîné, menotté, entravé aux pieds et sans défense.</w:t>
      </w:r>
      <w:r w:rsidR="00AB3320">
        <w:rPr>
          <w:rFonts w:cs="Times New Roman"/>
          <w:szCs w:val="24"/>
          <w:lang w:val="fr-CA"/>
        </w:rPr>
        <w:t xml:space="preserve"> </w:t>
      </w:r>
      <w:r w:rsidRPr="00AB3320">
        <w:rPr>
          <w:rFonts w:cs="Times New Roman"/>
          <w:szCs w:val="24"/>
          <w:lang w:val="fr-CA"/>
        </w:rPr>
        <w:t>Vu cette atteinte inadmissible à ses droits constitutionnels, M.</w:t>
      </w:r>
      <w:r w:rsidR="00AB3320">
        <w:rPr>
          <w:rFonts w:cs="Times New Roman"/>
          <w:szCs w:val="24"/>
          <w:lang w:val="fr-CA"/>
        </w:rPr>
        <w:t xml:space="preserve"> </w:t>
      </w:r>
      <w:r w:rsidRPr="00AB3320">
        <w:rPr>
          <w:rFonts w:cs="Times New Roman"/>
          <w:szCs w:val="24"/>
          <w:lang w:val="fr-CA"/>
        </w:rPr>
        <w:t>Bellusci avait droit à une réparation constitutionnelle en application du par.</w:t>
      </w:r>
      <w:r w:rsidR="00AB3320">
        <w:rPr>
          <w:rFonts w:cs="Times New Roman"/>
          <w:szCs w:val="24"/>
          <w:lang w:val="fr-CA"/>
        </w:rPr>
        <w:t xml:space="preserve"> </w:t>
      </w:r>
      <w:r w:rsidRPr="00AB3320">
        <w:rPr>
          <w:rFonts w:cs="Times New Roman"/>
          <w:szCs w:val="24"/>
          <w:lang w:val="fr-CA"/>
        </w:rPr>
        <w:t xml:space="preserve">24(1) de la </w:t>
      </w:r>
      <w:r w:rsidRPr="00AB3320">
        <w:rPr>
          <w:rFonts w:cs="Times New Roman"/>
          <w:i/>
          <w:szCs w:val="24"/>
          <w:lang w:val="fr-CA"/>
        </w:rPr>
        <w:t>Charte</w:t>
      </w:r>
      <w:r w:rsidRPr="00AB3320">
        <w:rPr>
          <w:rFonts w:cs="Times New Roman"/>
          <w:szCs w:val="24"/>
          <w:lang w:val="fr-CA"/>
        </w:rPr>
        <w:t>.</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Cette disposition confère au juge du procès un pouvoir discrétionnaire étendu en ce qui a trait à l</w:t>
      </w:r>
      <w:r w:rsidR="00424D24">
        <w:rPr>
          <w:rFonts w:cs="Times New Roman"/>
          <w:szCs w:val="24"/>
          <w:lang w:val="fr-CA"/>
        </w:rPr>
        <w:t>’</w:t>
      </w:r>
      <w:r w:rsidRPr="00AB3320">
        <w:rPr>
          <w:rFonts w:cs="Times New Roman"/>
          <w:szCs w:val="24"/>
          <w:lang w:val="fr-CA"/>
        </w:rPr>
        <w:t>octroi, selon son libellé, de «</w:t>
      </w:r>
      <w:r w:rsidR="00AB3320">
        <w:rPr>
          <w:rFonts w:cs="Times New Roman"/>
          <w:szCs w:val="24"/>
          <w:lang w:val="fr-CA"/>
        </w:rPr>
        <w:t xml:space="preserve"> </w:t>
      </w:r>
      <w:r w:rsidRPr="00AB3320">
        <w:rPr>
          <w:rFonts w:cs="Times New Roman"/>
          <w:szCs w:val="24"/>
          <w:lang w:val="fr-CA"/>
        </w:rPr>
        <w:t>la réparation que le tribunal estime convenable et juste eu égard aux circonstances</w:t>
      </w:r>
      <w:r w:rsidR="00AB3320">
        <w:rPr>
          <w:rFonts w:cs="Times New Roman"/>
          <w:szCs w:val="24"/>
          <w:lang w:val="fr-CA"/>
        </w:rPr>
        <w:t xml:space="preserve"> </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 xml:space="preserve">Après examen de solutions </w:t>
      </w:r>
      <w:r w:rsidRPr="00AB3320">
        <w:rPr>
          <w:rFonts w:cs="Times New Roman"/>
          <w:szCs w:val="24"/>
          <w:lang w:val="fr-CA"/>
        </w:rPr>
        <w:lastRenderedPageBreak/>
        <w:t>moins drastiques, le juge conclut que seul l</w:t>
      </w:r>
      <w:r w:rsidR="00424D24">
        <w:rPr>
          <w:rFonts w:cs="Times New Roman"/>
          <w:szCs w:val="24"/>
          <w:lang w:val="fr-CA"/>
        </w:rPr>
        <w:t>’</w:t>
      </w:r>
      <w:r w:rsidRPr="00AB3320">
        <w:rPr>
          <w:rFonts w:cs="Times New Roman"/>
          <w:szCs w:val="24"/>
          <w:lang w:val="fr-CA"/>
        </w:rPr>
        <w:t>arrêt des procédures constitue une réparation convenable et juste eu égard aux circonstances exceptionnelles de l</w:t>
      </w:r>
      <w:r w:rsidR="00424D24">
        <w:rPr>
          <w:rFonts w:cs="Times New Roman"/>
          <w:szCs w:val="24"/>
          <w:lang w:val="fr-CA"/>
        </w:rPr>
        <w:t>’</w:t>
      </w:r>
      <w:r w:rsidRPr="00AB3320">
        <w:rPr>
          <w:rFonts w:cs="Times New Roman"/>
          <w:szCs w:val="24"/>
          <w:lang w:val="fr-CA"/>
        </w:rPr>
        <w:t xml:space="preserve">espèce.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Cet exercice du pouvoir discrétionnaire conféré n</w:t>
      </w:r>
      <w:r w:rsidR="00424D24">
        <w:rPr>
          <w:rFonts w:cs="Times New Roman"/>
          <w:szCs w:val="24"/>
          <w:lang w:val="fr-CA"/>
        </w:rPr>
        <w:t>’</w:t>
      </w:r>
      <w:r w:rsidRPr="00AB3320">
        <w:rPr>
          <w:rFonts w:cs="Times New Roman"/>
          <w:szCs w:val="24"/>
          <w:lang w:val="fr-CA"/>
        </w:rPr>
        <w:t>est pas entaché d</w:t>
      </w:r>
      <w:r w:rsidR="00424D24">
        <w:rPr>
          <w:rFonts w:cs="Times New Roman"/>
          <w:szCs w:val="24"/>
          <w:lang w:val="fr-CA"/>
        </w:rPr>
        <w:t>’</w:t>
      </w:r>
      <w:r w:rsidRPr="00AB3320">
        <w:rPr>
          <w:rFonts w:cs="Times New Roman"/>
          <w:szCs w:val="24"/>
          <w:lang w:val="fr-CA"/>
        </w:rPr>
        <w:t>une erreur de droit ou d</w:t>
      </w:r>
      <w:r w:rsidR="00424D24">
        <w:rPr>
          <w:rFonts w:cs="Times New Roman"/>
          <w:szCs w:val="24"/>
          <w:lang w:val="fr-CA"/>
        </w:rPr>
        <w:t>’</w:t>
      </w:r>
      <w:r w:rsidRPr="00AB3320">
        <w:rPr>
          <w:rFonts w:cs="Times New Roman"/>
          <w:szCs w:val="24"/>
          <w:lang w:val="fr-CA"/>
        </w:rPr>
        <w:t>une erreur de fait susceptible de contrôle.</w:t>
      </w:r>
      <w:r w:rsidR="00AB3320">
        <w:rPr>
          <w:rFonts w:cs="Times New Roman"/>
          <w:szCs w:val="24"/>
          <w:lang w:val="fr-CA"/>
        </w:rPr>
        <w:t xml:space="preserve"> </w:t>
      </w:r>
      <w:r w:rsidRPr="00AB3320">
        <w:rPr>
          <w:rFonts w:cs="Times New Roman"/>
          <w:szCs w:val="24"/>
          <w:lang w:val="fr-CA"/>
        </w:rPr>
        <w:t>La conclusion du juge du procès n</w:t>
      </w:r>
      <w:r w:rsidR="00424D24">
        <w:rPr>
          <w:rFonts w:cs="Times New Roman"/>
          <w:szCs w:val="24"/>
          <w:lang w:val="fr-CA"/>
        </w:rPr>
        <w:t>’</w:t>
      </w:r>
      <w:r w:rsidRPr="00AB3320">
        <w:rPr>
          <w:rFonts w:cs="Times New Roman"/>
          <w:szCs w:val="24"/>
          <w:lang w:val="fr-CA"/>
        </w:rPr>
        <w:t>est pas manifestement injuste au sens de la jurisprudence applicable.</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Saisie d</w:t>
      </w:r>
      <w:r w:rsidR="00424D24">
        <w:rPr>
          <w:rFonts w:cs="Times New Roman"/>
          <w:szCs w:val="24"/>
          <w:lang w:val="fr-CA"/>
        </w:rPr>
        <w:t>’</w:t>
      </w:r>
      <w:r w:rsidRPr="00AB3320">
        <w:rPr>
          <w:rFonts w:cs="Times New Roman"/>
          <w:szCs w:val="24"/>
          <w:lang w:val="fr-CA"/>
        </w:rPr>
        <w:t>un appel interjeté par le ministère public, la Cour d</w:t>
      </w:r>
      <w:r w:rsidR="00424D24">
        <w:rPr>
          <w:rFonts w:cs="Times New Roman"/>
          <w:szCs w:val="24"/>
          <w:lang w:val="fr-CA"/>
        </w:rPr>
        <w:t>’</w:t>
      </w:r>
      <w:r w:rsidRPr="00AB3320">
        <w:rPr>
          <w:rFonts w:cs="Times New Roman"/>
          <w:szCs w:val="24"/>
          <w:lang w:val="fr-CA"/>
        </w:rPr>
        <w:t>appel du Québec a néanmoins annulé l</w:t>
      </w:r>
      <w:r w:rsidR="00424D24">
        <w:rPr>
          <w:rFonts w:cs="Times New Roman"/>
          <w:szCs w:val="24"/>
          <w:lang w:val="fr-CA"/>
        </w:rPr>
        <w:t>’</w:t>
      </w:r>
      <w:r w:rsidRPr="00AB3320">
        <w:rPr>
          <w:rFonts w:cs="Times New Roman"/>
          <w:szCs w:val="24"/>
          <w:lang w:val="fr-CA"/>
        </w:rPr>
        <w:t>arrêt des procédures et renvoyé l</w:t>
      </w:r>
      <w:r w:rsidR="00424D24">
        <w:rPr>
          <w:rFonts w:cs="Times New Roman"/>
          <w:szCs w:val="24"/>
          <w:lang w:val="fr-CA"/>
        </w:rPr>
        <w:t>’</w:t>
      </w:r>
      <w:r w:rsidRPr="00AB3320">
        <w:rPr>
          <w:rFonts w:cs="Times New Roman"/>
          <w:szCs w:val="24"/>
          <w:lang w:val="fr-CA"/>
        </w:rPr>
        <w:t>affaire à la cour de première instance en vue de la continuation du procès de M.</w:t>
      </w:r>
      <w:r w:rsidR="00AB3320">
        <w:rPr>
          <w:rFonts w:cs="Times New Roman"/>
          <w:szCs w:val="24"/>
          <w:lang w:val="fr-CA"/>
        </w:rPr>
        <w:t xml:space="preserve"> </w:t>
      </w:r>
      <w:proofErr w:type="spellStart"/>
      <w:r w:rsidRPr="00AB3320">
        <w:rPr>
          <w:rFonts w:cs="Times New Roman"/>
          <w:szCs w:val="24"/>
          <w:lang w:val="fr-CA"/>
        </w:rPr>
        <w:t>Bellusci</w:t>
      </w:r>
      <w:proofErr w:type="spellEnd"/>
      <w:r w:rsidRPr="00AB3320">
        <w:rPr>
          <w:rFonts w:cs="Times New Roman"/>
          <w:szCs w:val="24"/>
          <w:lang w:val="fr-CA"/>
        </w:rPr>
        <w:t xml:space="preserve"> (2010</w:t>
      </w:r>
      <w:r w:rsidR="00AB3320">
        <w:rPr>
          <w:rFonts w:cs="Times New Roman"/>
          <w:szCs w:val="24"/>
          <w:lang w:val="fr-CA"/>
        </w:rPr>
        <w:t xml:space="preserve"> </w:t>
      </w:r>
      <w:r w:rsidRPr="00AB3320">
        <w:rPr>
          <w:rFonts w:cs="Times New Roman"/>
          <w:szCs w:val="24"/>
          <w:lang w:val="fr-CA"/>
        </w:rPr>
        <w:t>QCCA</w:t>
      </w:r>
      <w:r w:rsidR="00AB3320">
        <w:rPr>
          <w:rFonts w:cs="Times New Roman"/>
          <w:szCs w:val="24"/>
          <w:lang w:val="fr-CA"/>
        </w:rPr>
        <w:t xml:space="preserve"> </w:t>
      </w:r>
      <w:r w:rsidRPr="00AB3320">
        <w:rPr>
          <w:rFonts w:cs="Times New Roman"/>
          <w:szCs w:val="24"/>
          <w:lang w:val="fr-CA"/>
        </w:rPr>
        <w:t>2118</w:t>
      </w:r>
      <w:r w:rsidR="0084397A">
        <w:rPr>
          <w:rFonts w:cs="Times New Roman"/>
          <w:szCs w:val="24"/>
          <w:lang w:val="fr-CA"/>
        </w:rPr>
        <w:t>, 83 C.R. (6th) 388</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Pour les motifs qui suivent, j</w:t>
      </w:r>
      <w:r w:rsidR="00424D24">
        <w:rPr>
          <w:rFonts w:cs="Times New Roman"/>
          <w:szCs w:val="24"/>
          <w:lang w:val="fr-CA"/>
        </w:rPr>
        <w:t>’</w:t>
      </w:r>
      <w:r w:rsidRPr="00AB3320">
        <w:rPr>
          <w:rFonts w:cs="Times New Roman"/>
          <w:szCs w:val="24"/>
          <w:lang w:val="fr-CA"/>
        </w:rPr>
        <w:t>estime que la Cour d</w:t>
      </w:r>
      <w:r w:rsidR="00424D24">
        <w:rPr>
          <w:rFonts w:cs="Times New Roman"/>
          <w:szCs w:val="24"/>
          <w:lang w:val="fr-CA"/>
        </w:rPr>
        <w:t>’</w:t>
      </w:r>
      <w:r w:rsidRPr="00AB3320">
        <w:rPr>
          <w:rFonts w:cs="Times New Roman"/>
          <w:szCs w:val="24"/>
          <w:lang w:val="fr-CA"/>
        </w:rPr>
        <w:t>appel a eu tort d</w:t>
      </w:r>
      <w:r w:rsidR="00424D24">
        <w:rPr>
          <w:rFonts w:cs="Times New Roman"/>
          <w:szCs w:val="24"/>
          <w:lang w:val="fr-CA"/>
        </w:rPr>
        <w:t>’</w:t>
      </w:r>
      <w:r w:rsidRPr="00AB3320">
        <w:rPr>
          <w:rFonts w:cs="Times New Roman"/>
          <w:szCs w:val="24"/>
          <w:lang w:val="fr-CA"/>
        </w:rPr>
        <w:t>annuler l</w:t>
      </w:r>
      <w:r w:rsidR="00424D24">
        <w:rPr>
          <w:rFonts w:cs="Times New Roman"/>
          <w:szCs w:val="24"/>
          <w:lang w:val="fr-CA"/>
        </w:rPr>
        <w:t>’</w:t>
      </w:r>
      <w:r w:rsidRPr="00AB3320">
        <w:rPr>
          <w:rFonts w:cs="Times New Roman"/>
          <w:szCs w:val="24"/>
          <w:lang w:val="fr-CA"/>
        </w:rPr>
        <w:t>arrêt des procédures.</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Ce seul motif suffit pour que notre Cour accueille le pourvoi et rétablisse l</w:t>
      </w:r>
      <w:r w:rsidR="00424D24">
        <w:rPr>
          <w:rFonts w:cs="Times New Roman"/>
          <w:szCs w:val="24"/>
          <w:lang w:val="fr-CA"/>
        </w:rPr>
        <w:t>’</w:t>
      </w:r>
      <w:r w:rsidRPr="00AB3320">
        <w:rPr>
          <w:rFonts w:cs="Times New Roman"/>
          <w:szCs w:val="24"/>
          <w:lang w:val="fr-CA"/>
        </w:rPr>
        <w:t>arrêt des procédures ordonné par le juge du procès.</w:t>
      </w:r>
      <w:r w:rsid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Il n</w:t>
      </w:r>
      <w:r w:rsidR="00424D24">
        <w:rPr>
          <w:rFonts w:cs="Times New Roman"/>
          <w:szCs w:val="24"/>
          <w:lang w:val="fr-CA"/>
        </w:rPr>
        <w:t>’</w:t>
      </w:r>
      <w:r w:rsidRPr="00AB3320">
        <w:rPr>
          <w:rFonts w:cs="Times New Roman"/>
          <w:szCs w:val="24"/>
          <w:lang w:val="fr-CA"/>
        </w:rPr>
        <w:t>est donc pas nécessaire, pour statuer sur le pourvoi, d</w:t>
      </w:r>
      <w:r w:rsidR="00424D24">
        <w:rPr>
          <w:rFonts w:cs="Times New Roman"/>
          <w:szCs w:val="24"/>
          <w:lang w:val="fr-CA"/>
        </w:rPr>
        <w:t>’</w:t>
      </w:r>
      <w:r w:rsidRPr="00AB3320">
        <w:rPr>
          <w:rFonts w:cs="Times New Roman"/>
          <w:szCs w:val="24"/>
          <w:lang w:val="fr-CA"/>
        </w:rPr>
        <w:t>examiner la deuxième question soulevée par l</w:t>
      </w:r>
      <w:r w:rsidR="00424D24">
        <w:rPr>
          <w:rFonts w:cs="Times New Roman"/>
          <w:szCs w:val="24"/>
          <w:lang w:val="fr-CA"/>
        </w:rPr>
        <w:t>’</w:t>
      </w:r>
      <w:r w:rsidRPr="00AB3320">
        <w:rPr>
          <w:rFonts w:cs="Times New Roman"/>
          <w:szCs w:val="24"/>
          <w:lang w:val="fr-CA"/>
        </w:rPr>
        <w:t>appelant avec l</w:t>
      </w:r>
      <w:r w:rsidR="00424D24">
        <w:rPr>
          <w:rFonts w:cs="Times New Roman"/>
          <w:szCs w:val="24"/>
          <w:lang w:val="fr-CA"/>
        </w:rPr>
        <w:t>’</w:t>
      </w:r>
      <w:r w:rsidRPr="00AB3320">
        <w:rPr>
          <w:rFonts w:cs="Times New Roman"/>
          <w:szCs w:val="24"/>
          <w:lang w:val="fr-CA"/>
        </w:rPr>
        <w:t>autorisation de la Cour.</w:t>
      </w:r>
      <w:r w:rsidR="00AB3320">
        <w:rPr>
          <w:rFonts w:cs="Times New Roman"/>
          <w:szCs w:val="24"/>
          <w:lang w:val="fr-CA"/>
        </w:rPr>
        <w:t xml:space="preserve"> </w:t>
      </w:r>
      <w:r w:rsidRPr="00AB3320">
        <w:rPr>
          <w:rFonts w:cs="Times New Roman"/>
          <w:szCs w:val="24"/>
          <w:lang w:val="fr-CA"/>
        </w:rPr>
        <w:t>Cette seconde question est la suivante.</w:t>
      </w:r>
      <w:r w:rsidR="00AB3320">
        <w:rPr>
          <w:rFonts w:cs="Times New Roman"/>
          <w:szCs w:val="24"/>
          <w:lang w:val="fr-CA"/>
        </w:rPr>
        <w:t xml:space="preserve"> </w:t>
      </w:r>
      <w:r w:rsidRPr="00AB3320">
        <w:rPr>
          <w:rFonts w:cs="Times New Roman"/>
          <w:szCs w:val="24"/>
          <w:lang w:val="fr-CA"/>
        </w:rPr>
        <w:t>La Cour d</w:t>
      </w:r>
      <w:r w:rsidR="00424D24">
        <w:rPr>
          <w:rFonts w:cs="Times New Roman"/>
          <w:szCs w:val="24"/>
          <w:lang w:val="fr-CA"/>
        </w:rPr>
        <w:t>’</w:t>
      </w:r>
      <w:r w:rsidRPr="00AB3320">
        <w:rPr>
          <w:rFonts w:cs="Times New Roman"/>
          <w:szCs w:val="24"/>
          <w:lang w:val="fr-CA"/>
        </w:rPr>
        <w:t>appel avait</w:t>
      </w:r>
      <w:r w:rsidR="00AB3320">
        <w:rPr>
          <w:rFonts w:cs="Times New Roman"/>
          <w:szCs w:val="24"/>
          <w:lang w:val="fr-CA"/>
        </w:rPr>
        <w:t>-</w:t>
      </w:r>
      <w:r w:rsidRPr="00AB3320">
        <w:rPr>
          <w:rFonts w:cs="Times New Roman"/>
          <w:szCs w:val="24"/>
          <w:lang w:val="fr-CA"/>
        </w:rPr>
        <w:t>elle le pouvoir, lorsqu</w:t>
      </w:r>
      <w:r w:rsidR="00424D24">
        <w:rPr>
          <w:rFonts w:cs="Times New Roman"/>
          <w:szCs w:val="24"/>
          <w:lang w:val="fr-CA"/>
        </w:rPr>
        <w:t>’</w:t>
      </w:r>
      <w:r w:rsidRPr="00AB3320">
        <w:rPr>
          <w:rFonts w:cs="Times New Roman"/>
          <w:szCs w:val="24"/>
          <w:lang w:val="fr-CA"/>
        </w:rPr>
        <w:t>elle a annulé l</w:t>
      </w:r>
      <w:r w:rsidR="00424D24">
        <w:rPr>
          <w:rFonts w:cs="Times New Roman"/>
          <w:szCs w:val="24"/>
          <w:lang w:val="fr-CA"/>
        </w:rPr>
        <w:t>’</w:t>
      </w:r>
      <w:r w:rsidRPr="00AB3320">
        <w:rPr>
          <w:rFonts w:cs="Times New Roman"/>
          <w:szCs w:val="24"/>
          <w:lang w:val="fr-CA"/>
        </w:rPr>
        <w:t>arrêt des procédures, d</w:t>
      </w:r>
      <w:r w:rsidR="00424D24">
        <w:rPr>
          <w:rFonts w:cs="Times New Roman"/>
          <w:szCs w:val="24"/>
          <w:lang w:val="fr-CA"/>
        </w:rPr>
        <w:t>’</w:t>
      </w:r>
      <w:r w:rsidRPr="00AB3320">
        <w:rPr>
          <w:rFonts w:cs="Times New Roman"/>
          <w:szCs w:val="24"/>
          <w:lang w:val="fr-CA"/>
        </w:rPr>
        <w:t xml:space="preserve">ordonner la </w:t>
      </w:r>
      <w:r w:rsidRPr="00AB3320">
        <w:rPr>
          <w:rFonts w:cs="Times New Roman"/>
          <w:i/>
          <w:szCs w:val="24"/>
          <w:lang w:val="fr-CA"/>
        </w:rPr>
        <w:t>continuation du procès devant la cour de première instance</w:t>
      </w:r>
      <w:r w:rsidR="000C1F4A" w:rsidRPr="00AB3320">
        <w:rPr>
          <w:rFonts w:cs="Times New Roman"/>
          <w:szCs w:val="24"/>
          <w:lang w:val="fr-CA"/>
        </w:rPr>
        <w:t>, ou devait-</w:t>
      </w:r>
      <w:r w:rsidRPr="00AB3320">
        <w:rPr>
          <w:rFonts w:cs="Times New Roman"/>
          <w:szCs w:val="24"/>
          <w:lang w:val="fr-CA"/>
        </w:rPr>
        <w:t xml:space="preserve">elle plutôt ordonner </w:t>
      </w:r>
      <w:r w:rsidRPr="00AB3320">
        <w:rPr>
          <w:rFonts w:cs="Times New Roman"/>
          <w:i/>
          <w:szCs w:val="24"/>
          <w:lang w:val="fr-CA"/>
        </w:rPr>
        <w:t>un nouveau procès</w:t>
      </w:r>
      <w:r w:rsidRP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lastRenderedPageBreak/>
        <w:t>Il s</w:t>
      </w:r>
      <w:r w:rsidR="00424D24">
        <w:rPr>
          <w:rFonts w:cs="Times New Roman"/>
          <w:szCs w:val="24"/>
          <w:lang w:val="fr-CA"/>
        </w:rPr>
        <w:t>’</w:t>
      </w:r>
      <w:r w:rsidRPr="00AB3320">
        <w:rPr>
          <w:rFonts w:cs="Times New Roman"/>
          <w:szCs w:val="24"/>
          <w:lang w:val="fr-CA"/>
        </w:rPr>
        <w:t>agit d</w:t>
      </w:r>
      <w:r w:rsidR="00424D24">
        <w:rPr>
          <w:rFonts w:cs="Times New Roman"/>
          <w:szCs w:val="24"/>
          <w:lang w:val="fr-CA"/>
        </w:rPr>
        <w:t>’</w:t>
      </w:r>
      <w:r w:rsidRPr="00AB3320">
        <w:rPr>
          <w:rFonts w:cs="Times New Roman"/>
          <w:szCs w:val="24"/>
          <w:lang w:val="fr-CA"/>
        </w:rPr>
        <w:t>une question importante jamais tranchée par la Cour.</w:t>
      </w:r>
      <w:r w:rsidR="00AB3320">
        <w:rPr>
          <w:rFonts w:cs="Times New Roman"/>
          <w:szCs w:val="24"/>
          <w:lang w:val="fr-CA"/>
        </w:rPr>
        <w:t xml:space="preserve"> </w:t>
      </w:r>
      <w:r w:rsidRPr="00AB3320">
        <w:rPr>
          <w:rFonts w:cs="Times New Roman"/>
          <w:szCs w:val="24"/>
          <w:lang w:val="fr-CA"/>
        </w:rPr>
        <w:t>Elle fait l</w:t>
      </w:r>
      <w:r w:rsidR="00424D24">
        <w:rPr>
          <w:rFonts w:cs="Times New Roman"/>
          <w:szCs w:val="24"/>
          <w:lang w:val="fr-CA"/>
        </w:rPr>
        <w:t>’</w:t>
      </w:r>
      <w:r w:rsidRPr="00AB3320">
        <w:rPr>
          <w:rFonts w:cs="Times New Roman"/>
          <w:szCs w:val="24"/>
          <w:lang w:val="fr-CA"/>
        </w:rPr>
        <w:t>objet d</w:t>
      </w:r>
      <w:r w:rsidR="00424D24">
        <w:rPr>
          <w:rFonts w:cs="Times New Roman"/>
          <w:szCs w:val="24"/>
          <w:lang w:val="fr-CA"/>
        </w:rPr>
        <w:t>’</w:t>
      </w:r>
      <w:r w:rsidRPr="00AB3320">
        <w:rPr>
          <w:rFonts w:cs="Times New Roman"/>
          <w:szCs w:val="24"/>
          <w:lang w:val="fr-CA"/>
        </w:rPr>
        <w:t>exposés fouillés de la part des deux parties, de l</w:t>
      </w:r>
      <w:r w:rsidR="00424D24">
        <w:rPr>
          <w:rFonts w:cs="Times New Roman"/>
          <w:szCs w:val="24"/>
          <w:lang w:val="fr-CA"/>
        </w:rPr>
        <w:t>’</w:t>
      </w:r>
      <w:r w:rsidRPr="00AB3320">
        <w:rPr>
          <w:rFonts w:cs="Times New Roman"/>
          <w:i/>
          <w:szCs w:val="24"/>
          <w:lang w:val="fr-CA"/>
        </w:rPr>
        <w:t>amicus curiae</w:t>
      </w:r>
      <w:r w:rsidRPr="00AB3320">
        <w:rPr>
          <w:rFonts w:cs="Times New Roman"/>
          <w:szCs w:val="24"/>
          <w:lang w:val="fr-CA"/>
        </w:rPr>
        <w:t xml:space="preserve"> et de l</w:t>
      </w:r>
      <w:r w:rsidR="00424D24">
        <w:rPr>
          <w:rFonts w:cs="Times New Roman"/>
          <w:szCs w:val="24"/>
          <w:lang w:val="fr-CA"/>
        </w:rPr>
        <w:t>’</w:t>
      </w:r>
      <w:r w:rsidRPr="00AB3320">
        <w:rPr>
          <w:rFonts w:cs="Times New Roman"/>
          <w:szCs w:val="24"/>
          <w:lang w:val="fr-CA"/>
        </w:rPr>
        <w:t>intervenant.</w:t>
      </w:r>
      <w:r w:rsidR="00AB3320">
        <w:rPr>
          <w:rFonts w:cs="Times New Roman"/>
          <w:szCs w:val="24"/>
          <w:lang w:val="fr-CA"/>
        </w:rPr>
        <w:t xml:space="preserve"> </w:t>
      </w:r>
      <w:r w:rsidRPr="00AB3320">
        <w:rPr>
          <w:rFonts w:cs="Times New Roman"/>
          <w:szCs w:val="24"/>
          <w:lang w:val="fr-CA"/>
        </w:rPr>
        <w:t>Il me paraît donc opportun d</w:t>
      </w:r>
      <w:r w:rsidR="00424D24">
        <w:rPr>
          <w:rFonts w:cs="Times New Roman"/>
          <w:szCs w:val="24"/>
          <w:lang w:val="fr-CA"/>
        </w:rPr>
        <w:t>’</w:t>
      </w:r>
      <w:r w:rsidRPr="00AB3320">
        <w:rPr>
          <w:rFonts w:cs="Times New Roman"/>
          <w:szCs w:val="24"/>
          <w:lang w:val="fr-CA"/>
        </w:rPr>
        <w:t>offrir aux cours d</w:t>
      </w:r>
      <w:r w:rsidR="00424D24">
        <w:rPr>
          <w:rFonts w:cs="Times New Roman"/>
          <w:szCs w:val="24"/>
          <w:lang w:val="fr-CA"/>
        </w:rPr>
        <w:t>’</w:t>
      </w:r>
      <w:r w:rsidRPr="00AB3320">
        <w:rPr>
          <w:rFonts w:cs="Times New Roman"/>
          <w:szCs w:val="24"/>
          <w:lang w:val="fr-CA"/>
        </w:rPr>
        <w:t>appel des repères qui leur permettront de statuer sur la question lorsqu</w:t>
      </w:r>
      <w:r w:rsidR="00424D24">
        <w:rPr>
          <w:rFonts w:cs="Times New Roman"/>
          <w:szCs w:val="24"/>
          <w:lang w:val="fr-CA"/>
        </w:rPr>
        <w:t>’</w:t>
      </w:r>
      <w:r w:rsidRPr="00AB3320">
        <w:rPr>
          <w:rFonts w:cs="Times New Roman"/>
          <w:szCs w:val="24"/>
          <w:lang w:val="fr-CA"/>
        </w:rPr>
        <w:t xml:space="preserve">elle se posera bel et bien, et non seulement de façon théorique. </w:t>
      </w:r>
    </w:p>
    <w:p w:rsidR="0003214E" w:rsidRPr="00AB3320" w:rsidRDefault="0003214E" w:rsidP="0003214E">
      <w:pPr>
        <w:pStyle w:val="TitleTitre-AltT"/>
        <w:jc w:val="center"/>
        <w:rPr>
          <w:rFonts w:cs="Times New Roman"/>
          <w:szCs w:val="24"/>
          <w:lang w:val="fr-CA"/>
        </w:rPr>
      </w:pPr>
      <w:r w:rsidRPr="00AB3320">
        <w:rPr>
          <w:rFonts w:cs="Times New Roman"/>
          <w:szCs w:val="24"/>
          <w:lang w:val="fr-CA"/>
        </w:rPr>
        <w:t>II</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15</w:t>
      </w:r>
      <w:r w:rsidR="00AB3320">
        <w:rPr>
          <w:rFonts w:cs="Times New Roman"/>
          <w:szCs w:val="24"/>
          <w:lang w:val="fr-CA"/>
        </w:rPr>
        <w:t xml:space="preserve"> </w:t>
      </w:r>
      <w:r w:rsidRPr="00AB3320">
        <w:rPr>
          <w:rFonts w:cs="Times New Roman"/>
          <w:szCs w:val="24"/>
          <w:lang w:val="fr-CA"/>
        </w:rPr>
        <w:t>mai 2007, au volant d</w:t>
      </w:r>
      <w:r w:rsidR="00424D24">
        <w:rPr>
          <w:rFonts w:cs="Times New Roman"/>
          <w:szCs w:val="24"/>
          <w:lang w:val="fr-CA"/>
        </w:rPr>
        <w:t>’</w:t>
      </w:r>
      <w:r w:rsidRPr="00AB3320">
        <w:rPr>
          <w:rFonts w:cs="Times New Roman"/>
          <w:szCs w:val="24"/>
          <w:lang w:val="fr-CA"/>
        </w:rPr>
        <w:t>un fourgon cellulaire, M.</w:t>
      </w:r>
      <w:r w:rsidR="00AB3320">
        <w:rPr>
          <w:rFonts w:cs="Times New Roman"/>
          <w:szCs w:val="24"/>
          <w:lang w:val="fr-CA"/>
        </w:rPr>
        <w:t xml:space="preserve"> </w:t>
      </w:r>
      <w:r w:rsidRPr="00AB3320">
        <w:rPr>
          <w:rFonts w:cs="Times New Roman"/>
          <w:szCs w:val="24"/>
          <w:lang w:val="fr-CA"/>
        </w:rPr>
        <w:t>Asselin a assuré le transport de détenus, dont M.</w:t>
      </w:r>
      <w:r w:rsidR="00AB3320">
        <w:rPr>
          <w:rFonts w:cs="Times New Roman"/>
          <w:szCs w:val="24"/>
          <w:lang w:val="fr-CA"/>
        </w:rPr>
        <w:t xml:space="preserve"> </w:t>
      </w:r>
      <w:r w:rsidRPr="00AB3320">
        <w:rPr>
          <w:rFonts w:cs="Times New Roman"/>
          <w:szCs w:val="24"/>
          <w:lang w:val="fr-CA"/>
        </w:rPr>
        <w:t xml:space="preserve">Bellusci.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ministère public a prétendu que M.</w:t>
      </w:r>
      <w:r w:rsidR="00AB3320">
        <w:rPr>
          <w:rFonts w:cs="Times New Roman"/>
          <w:szCs w:val="24"/>
          <w:lang w:val="fr-CA"/>
        </w:rPr>
        <w:t xml:space="preserve"> </w:t>
      </w:r>
      <w:r w:rsidRPr="00AB3320">
        <w:rPr>
          <w:rFonts w:cs="Times New Roman"/>
          <w:szCs w:val="24"/>
          <w:lang w:val="fr-CA"/>
        </w:rPr>
        <w:t>Bellusci avait alors agressé M.</w:t>
      </w:r>
      <w:r w:rsidR="00AB3320">
        <w:rPr>
          <w:rFonts w:cs="Times New Roman"/>
          <w:szCs w:val="24"/>
          <w:lang w:val="fr-CA"/>
        </w:rPr>
        <w:t xml:space="preserve"> </w:t>
      </w:r>
      <w:r w:rsidRPr="00AB3320">
        <w:rPr>
          <w:rFonts w:cs="Times New Roman"/>
          <w:szCs w:val="24"/>
          <w:lang w:val="fr-CA"/>
        </w:rPr>
        <w:t>Asselin sans avoir été provoqué par celui-ci, et qu</w:t>
      </w:r>
      <w:r w:rsidR="00424D24">
        <w:rPr>
          <w:rFonts w:cs="Times New Roman"/>
          <w:szCs w:val="24"/>
          <w:lang w:val="fr-CA"/>
        </w:rPr>
        <w:t>’</w:t>
      </w:r>
      <w:r w:rsidRPr="00AB3320">
        <w:rPr>
          <w:rFonts w:cs="Times New Roman"/>
          <w:szCs w:val="24"/>
          <w:lang w:val="fr-CA"/>
        </w:rPr>
        <w:t>il avait menacé de violer l</w:t>
      </w:r>
      <w:r w:rsidR="00424D24">
        <w:rPr>
          <w:rFonts w:cs="Times New Roman"/>
          <w:szCs w:val="24"/>
          <w:lang w:val="fr-CA"/>
        </w:rPr>
        <w:t>’</w:t>
      </w:r>
      <w:r w:rsidRPr="00AB3320">
        <w:rPr>
          <w:rFonts w:cs="Times New Roman"/>
          <w:szCs w:val="24"/>
          <w:lang w:val="fr-CA"/>
        </w:rPr>
        <w:t>épouse et les enfants de l</w:t>
      </w:r>
      <w:r w:rsidR="00424D24">
        <w:rPr>
          <w:rFonts w:cs="Times New Roman"/>
          <w:szCs w:val="24"/>
          <w:lang w:val="fr-CA"/>
        </w:rPr>
        <w:t>’</w:t>
      </w:r>
      <w:r w:rsidRPr="00AB3320">
        <w:rPr>
          <w:rFonts w:cs="Times New Roman"/>
          <w:szCs w:val="24"/>
          <w:lang w:val="fr-CA"/>
        </w:rPr>
        <w:t>agent de détention.</w:t>
      </w:r>
      <w:r w:rsidR="00AB3320">
        <w:rPr>
          <w:rFonts w:cs="Times New Roman"/>
          <w:szCs w:val="24"/>
          <w:lang w:val="fr-CA"/>
        </w:rPr>
        <w:t xml:space="preserve"> </w:t>
      </w:r>
      <w:r w:rsidRPr="00AB3320">
        <w:rPr>
          <w:rFonts w:cs="Times New Roman"/>
          <w:szCs w:val="24"/>
          <w:lang w:val="fr-CA"/>
        </w:rPr>
        <w:t>M.</w:t>
      </w:r>
      <w:r w:rsidR="00AB3320">
        <w:rPr>
          <w:rFonts w:cs="Times New Roman"/>
          <w:szCs w:val="24"/>
          <w:lang w:val="fr-CA"/>
        </w:rPr>
        <w:t xml:space="preserve"> </w:t>
      </w:r>
      <w:r w:rsidRPr="00AB3320">
        <w:rPr>
          <w:rFonts w:cs="Times New Roman"/>
          <w:szCs w:val="24"/>
          <w:lang w:val="fr-CA"/>
        </w:rPr>
        <w:t>Bellusci a reconnu avoir proféré les menaces, mais il a soutenu que M.</w:t>
      </w:r>
      <w:r w:rsidR="00AB3320">
        <w:rPr>
          <w:rFonts w:cs="Times New Roman"/>
          <w:szCs w:val="24"/>
          <w:lang w:val="fr-CA"/>
        </w:rPr>
        <w:t xml:space="preserve"> </w:t>
      </w:r>
      <w:r w:rsidRPr="00AB3320">
        <w:rPr>
          <w:rFonts w:cs="Times New Roman"/>
          <w:szCs w:val="24"/>
          <w:lang w:val="fr-CA"/>
        </w:rPr>
        <w:t xml:space="preserve">Asselin </w:t>
      </w:r>
      <w:r w:rsidRPr="00AB3320">
        <w:rPr>
          <w:rFonts w:cs="Times New Roman"/>
          <w:i/>
          <w:szCs w:val="24"/>
          <w:lang w:val="fr-CA"/>
        </w:rPr>
        <w:t>l</w:t>
      </w:r>
      <w:r w:rsidR="00424D24">
        <w:rPr>
          <w:rFonts w:cs="Times New Roman"/>
          <w:i/>
          <w:szCs w:val="24"/>
          <w:lang w:val="fr-CA"/>
        </w:rPr>
        <w:t>’</w:t>
      </w:r>
      <w:r w:rsidRPr="00AB3320">
        <w:rPr>
          <w:rFonts w:cs="Times New Roman"/>
          <w:i/>
          <w:szCs w:val="24"/>
          <w:lang w:val="fr-CA"/>
        </w:rPr>
        <w:t>avait en fait agressé</w:t>
      </w:r>
      <w:r w:rsidRPr="00AB3320">
        <w:rPr>
          <w:rFonts w:cs="Times New Roman"/>
          <w:szCs w:val="24"/>
          <w:lang w:val="fr-CA"/>
        </w:rPr>
        <w:t>.</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À l</w:t>
      </w:r>
      <w:r w:rsidR="00424D24">
        <w:rPr>
          <w:rFonts w:cs="Times New Roman"/>
          <w:szCs w:val="24"/>
          <w:lang w:val="fr-CA"/>
        </w:rPr>
        <w:t>’</w:t>
      </w:r>
      <w:r w:rsidRPr="00AB3320">
        <w:rPr>
          <w:rFonts w:cs="Times New Roman"/>
          <w:szCs w:val="24"/>
          <w:lang w:val="fr-CA"/>
        </w:rPr>
        <w:t>issue du procès, un doute raisonnable a subsisté dans l</w:t>
      </w:r>
      <w:r w:rsidR="00424D24">
        <w:rPr>
          <w:rFonts w:cs="Times New Roman"/>
          <w:szCs w:val="24"/>
          <w:lang w:val="fr-CA"/>
        </w:rPr>
        <w:t>’</w:t>
      </w:r>
      <w:r w:rsidRPr="00AB3320">
        <w:rPr>
          <w:rFonts w:cs="Times New Roman"/>
          <w:szCs w:val="24"/>
          <w:lang w:val="fr-CA"/>
        </w:rPr>
        <w:t>esprit du juge quant à savoir si M.</w:t>
      </w:r>
      <w:r w:rsidR="00AB3320">
        <w:rPr>
          <w:rFonts w:cs="Times New Roman"/>
          <w:szCs w:val="24"/>
          <w:lang w:val="fr-CA"/>
        </w:rPr>
        <w:t xml:space="preserve"> </w:t>
      </w:r>
      <w:r w:rsidRPr="00AB3320">
        <w:rPr>
          <w:rFonts w:cs="Times New Roman"/>
          <w:szCs w:val="24"/>
          <w:lang w:val="fr-CA"/>
        </w:rPr>
        <w:t>Bellusci avait agressé M.</w:t>
      </w:r>
      <w:r w:rsidR="00AB3320">
        <w:rPr>
          <w:rFonts w:cs="Times New Roman"/>
          <w:szCs w:val="24"/>
          <w:lang w:val="fr-CA"/>
        </w:rPr>
        <w:t xml:space="preserve"> </w:t>
      </w:r>
      <w:r w:rsidRPr="00AB3320">
        <w:rPr>
          <w:rFonts w:cs="Times New Roman"/>
          <w:szCs w:val="24"/>
          <w:lang w:val="fr-CA"/>
        </w:rPr>
        <w:t>Asselin, mais il s</w:t>
      </w:r>
      <w:r w:rsidR="00424D24">
        <w:rPr>
          <w:rFonts w:cs="Times New Roman"/>
          <w:szCs w:val="24"/>
          <w:lang w:val="fr-CA"/>
        </w:rPr>
        <w:t>’</w:t>
      </w:r>
      <w:r w:rsidRPr="00AB3320">
        <w:rPr>
          <w:rFonts w:cs="Times New Roman"/>
          <w:szCs w:val="24"/>
          <w:lang w:val="fr-CA"/>
        </w:rPr>
        <w:t>est dit convaincu que M.</w:t>
      </w:r>
      <w:r w:rsidR="00AB3320">
        <w:rPr>
          <w:rFonts w:cs="Times New Roman"/>
          <w:szCs w:val="24"/>
          <w:lang w:val="fr-CA"/>
        </w:rPr>
        <w:t xml:space="preserve"> </w:t>
      </w:r>
      <w:r w:rsidRPr="00AB3320">
        <w:rPr>
          <w:rFonts w:cs="Times New Roman"/>
          <w:szCs w:val="24"/>
          <w:lang w:val="fr-CA"/>
        </w:rPr>
        <w:t>Bellusci avait menacé d</w:t>
      </w:r>
      <w:r w:rsidR="00424D24">
        <w:rPr>
          <w:rFonts w:cs="Times New Roman"/>
          <w:szCs w:val="24"/>
          <w:lang w:val="fr-CA"/>
        </w:rPr>
        <w:t>’</w:t>
      </w:r>
      <w:r w:rsidRPr="00AB3320">
        <w:rPr>
          <w:rFonts w:cs="Times New Roman"/>
          <w:szCs w:val="24"/>
          <w:lang w:val="fr-CA"/>
        </w:rPr>
        <w:t>agresser sexuellement l</w:t>
      </w:r>
      <w:r w:rsidR="00424D24">
        <w:rPr>
          <w:rFonts w:cs="Times New Roman"/>
          <w:szCs w:val="24"/>
          <w:lang w:val="fr-CA"/>
        </w:rPr>
        <w:t>’</w:t>
      </w:r>
      <w:r w:rsidRPr="00AB3320">
        <w:rPr>
          <w:rFonts w:cs="Times New Roman"/>
          <w:szCs w:val="24"/>
          <w:lang w:val="fr-CA"/>
        </w:rPr>
        <w:t>épouse et les enfants de M.</w:t>
      </w:r>
      <w:r w:rsidR="00AB3320">
        <w:rPr>
          <w:rFonts w:cs="Times New Roman"/>
          <w:szCs w:val="24"/>
          <w:lang w:val="fr-CA"/>
        </w:rPr>
        <w:t xml:space="preserve"> </w:t>
      </w:r>
      <w:r w:rsidRPr="00AB3320">
        <w:rPr>
          <w:rFonts w:cs="Times New Roman"/>
          <w:szCs w:val="24"/>
          <w:lang w:val="fr-CA"/>
        </w:rPr>
        <w:t>Asselin.</w:t>
      </w:r>
      <w:r w:rsidR="00AB3320">
        <w:rPr>
          <w:rFonts w:cs="Times New Roman"/>
          <w:szCs w:val="24"/>
          <w:lang w:val="fr-CA"/>
        </w:rPr>
        <w:t xml:space="preserve"> </w:t>
      </w:r>
      <w:r w:rsidRPr="00AB3320">
        <w:rPr>
          <w:rFonts w:cs="Times New Roman"/>
          <w:szCs w:val="24"/>
          <w:lang w:val="fr-CA"/>
        </w:rPr>
        <w:t>Il a donc acquitté M.</w:t>
      </w:r>
      <w:r w:rsidR="00AB3320">
        <w:rPr>
          <w:rFonts w:cs="Times New Roman"/>
          <w:szCs w:val="24"/>
          <w:lang w:val="fr-CA"/>
        </w:rPr>
        <w:t xml:space="preserve"> </w:t>
      </w:r>
      <w:r w:rsidRPr="00AB3320">
        <w:rPr>
          <w:rFonts w:cs="Times New Roman"/>
          <w:szCs w:val="24"/>
          <w:lang w:val="fr-CA"/>
        </w:rPr>
        <w:t>Bellusci des accusations de voies de fait, mais il l</w:t>
      </w:r>
      <w:r w:rsidR="00424D24">
        <w:rPr>
          <w:rFonts w:cs="Times New Roman"/>
          <w:szCs w:val="24"/>
          <w:lang w:val="fr-CA"/>
        </w:rPr>
        <w:t>’</w:t>
      </w:r>
      <w:r w:rsidRPr="00AB3320">
        <w:rPr>
          <w:rFonts w:cs="Times New Roman"/>
          <w:szCs w:val="24"/>
          <w:lang w:val="fr-CA"/>
        </w:rPr>
        <w:t>a jugé coupable d</w:t>
      </w:r>
      <w:r w:rsidR="00424D24">
        <w:rPr>
          <w:rFonts w:cs="Times New Roman"/>
          <w:szCs w:val="24"/>
          <w:lang w:val="fr-CA"/>
        </w:rPr>
        <w:t>’</w:t>
      </w:r>
      <w:r w:rsidRPr="00AB3320">
        <w:rPr>
          <w:rFonts w:cs="Times New Roman"/>
          <w:szCs w:val="24"/>
          <w:lang w:val="fr-CA"/>
        </w:rPr>
        <w:t>intimidation d</w:t>
      </w:r>
      <w:r w:rsidR="00424D24">
        <w:rPr>
          <w:rFonts w:cs="Times New Roman"/>
          <w:szCs w:val="24"/>
          <w:lang w:val="fr-CA"/>
        </w:rPr>
        <w:t>’</w:t>
      </w:r>
      <w:r w:rsidRPr="00AB3320">
        <w:rPr>
          <w:rFonts w:cs="Times New Roman"/>
          <w:szCs w:val="24"/>
          <w:lang w:val="fr-CA"/>
        </w:rPr>
        <w:t xml:space="preserve">une personne associée au système judiciaire.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lastRenderedPageBreak/>
        <w:t>Toutefois, le juge du procès a acquis la conviction, suivant la prépondérance des probabilités, que les incidents survenus dans le fourgon cellulaire s</w:t>
      </w:r>
      <w:r w:rsidR="00424D24">
        <w:rPr>
          <w:rFonts w:cs="Times New Roman"/>
          <w:szCs w:val="24"/>
          <w:lang w:val="fr-CA"/>
        </w:rPr>
        <w:t>’</w:t>
      </w:r>
      <w:r w:rsidRPr="00AB3320">
        <w:rPr>
          <w:rFonts w:cs="Times New Roman"/>
          <w:szCs w:val="24"/>
          <w:lang w:val="fr-CA"/>
        </w:rPr>
        <w:t>étaient déroulés de la manière suivante</w:t>
      </w:r>
      <w:r w:rsidR="00AB3320">
        <w:rPr>
          <w:rFonts w:cs="Times New Roman"/>
          <w:szCs w:val="24"/>
          <w:lang w:val="fr-CA"/>
        </w:rPr>
        <w:t xml:space="preserve"> </w:t>
      </w:r>
      <w:r w:rsidRPr="00AB3320">
        <w:rPr>
          <w:rFonts w:cs="Times New Roman"/>
          <w:szCs w:val="24"/>
          <w:lang w:val="fr-CA"/>
        </w:rPr>
        <w:t>: a)</w:t>
      </w:r>
      <w:r w:rsidR="00AB3320">
        <w:rPr>
          <w:rFonts w:cs="Times New Roman"/>
          <w:szCs w:val="24"/>
          <w:lang w:val="fr-CA"/>
        </w:rPr>
        <w:t xml:space="preserve"> </w:t>
      </w:r>
      <w:r w:rsidRPr="00AB3320">
        <w:rPr>
          <w:rFonts w:cs="Times New Roman"/>
          <w:szCs w:val="24"/>
          <w:lang w:val="fr-CA"/>
        </w:rPr>
        <w:t>M.</w:t>
      </w:r>
      <w:r w:rsidR="00AB3320">
        <w:rPr>
          <w:rFonts w:cs="Times New Roman"/>
          <w:szCs w:val="24"/>
          <w:lang w:val="fr-CA"/>
        </w:rPr>
        <w:t xml:space="preserve"> </w:t>
      </w:r>
      <w:r w:rsidRPr="00AB3320">
        <w:rPr>
          <w:rFonts w:cs="Times New Roman"/>
          <w:szCs w:val="24"/>
          <w:lang w:val="fr-CA"/>
        </w:rPr>
        <w:t>Bellusci s</w:t>
      </w:r>
      <w:r w:rsidR="00424D24">
        <w:rPr>
          <w:rFonts w:cs="Times New Roman"/>
          <w:szCs w:val="24"/>
          <w:lang w:val="fr-CA"/>
        </w:rPr>
        <w:t>’</w:t>
      </w:r>
      <w:r w:rsidRPr="00AB3320">
        <w:rPr>
          <w:rFonts w:cs="Times New Roman"/>
          <w:szCs w:val="24"/>
          <w:lang w:val="fr-CA"/>
        </w:rPr>
        <w:t>est livré «</w:t>
      </w:r>
      <w:r w:rsidR="00AB3320">
        <w:rPr>
          <w:rFonts w:cs="Times New Roman"/>
          <w:szCs w:val="24"/>
          <w:lang w:val="fr-CA"/>
        </w:rPr>
        <w:t xml:space="preserve"> </w:t>
      </w:r>
      <w:r w:rsidRPr="00AB3320">
        <w:rPr>
          <w:rFonts w:cs="Times New Roman"/>
          <w:szCs w:val="24"/>
          <w:lang w:val="fr-CA"/>
        </w:rPr>
        <w:t>à des attaques verbales abusives, insultantes et grossières</w:t>
      </w:r>
      <w:r w:rsidR="00AB3320">
        <w:rPr>
          <w:rFonts w:cs="Times New Roman"/>
          <w:szCs w:val="24"/>
          <w:lang w:val="fr-CA"/>
        </w:rPr>
        <w:t xml:space="preserve"> </w:t>
      </w:r>
      <w:r w:rsidRPr="00AB3320">
        <w:rPr>
          <w:rFonts w:cs="Times New Roman"/>
          <w:szCs w:val="24"/>
          <w:lang w:val="fr-CA"/>
        </w:rPr>
        <w:t>» (par.</w:t>
      </w:r>
      <w:r w:rsidR="00AB3320">
        <w:rPr>
          <w:rFonts w:cs="Times New Roman"/>
          <w:szCs w:val="24"/>
          <w:lang w:val="fr-CA"/>
        </w:rPr>
        <w:t xml:space="preserve"> </w:t>
      </w:r>
      <w:r w:rsidRPr="00AB3320">
        <w:rPr>
          <w:rFonts w:cs="Times New Roman"/>
          <w:szCs w:val="24"/>
          <w:lang w:val="fr-CA"/>
        </w:rPr>
        <w:t>26) à l</w:t>
      </w:r>
      <w:r w:rsidR="00424D24">
        <w:rPr>
          <w:rFonts w:cs="Times New Roman"/>
          <w:szCs w:val="24"/>
          <w:lang w:val="fr-CA"/>
        </w:rPr>
        <w:t>’</w:t>
      </w:r>
      <w:r w:rsidRPr="00AB3320">
        <w:rPr>
          <w:rFonts w:cs="Times New Roman"/>
          <w:szCs w:val="24"/>
          <w:lang w:val="fr-CA"/>
        </w:rPr>
        <w:t>endroit de M.</w:t>
      </w:r>
      <w:r w:rsidR="00AB3320">
        <w:rPr>
          <w:rFonts w:cs="Times New Roman"/>
          <w:szCs w:val="24"/>
          <w:lang w:val="fr-CA"/>
        </w:rPr>
        <w:t xml:space="preserve"> </w:t>
      </w:r>
      <w:r w:rsidRPr="00AB3320">
        <w:rPr>
          <w:rFonts w:cs="Times New Roman"/>
          <w:szCs w:val="24"/>
          <w:lang w:val="fr-CA"/>
        </w:rPr>
        <w:t>Asselin, b)</w:t>
      </w:r>
      <w:r w:rsidR="00AB3320">
        <w:rPr>
          <w:rFonts w:cs="Times New Roman"/>
          <w:szCs w:val="24"/>
          <w:lang w:val="fr-CA"/>
        </w:rPr>
        <w:t xml:space="preserve"> </w:t>
      </w:r>
      <w:r w:rsidRPr="00AB3320">
        <w:rPr>
          <w:rFonts w:cs="Times New Roman"/>
          <w:szCs w:val="24"/>
          <w:lang w:val="fr-CA"/>
        </w:rPr>
        <w:t>ce dernier a compromis la sécurité de M.</w:t>
      </w:r>
      <w:r w:rsidR="00AB3320">
        <w:rPr>
          <w:rFonts w:cs="Times New Roman"/>
          <w:szCs w:val="24"/>
          <w:lang w:val="fr-CA"/>
        </w:rPr>
        <w:t xml:space="preserve"> </w:t>
      </w:r>
      <w:r w:rsidRPr="00AB3320">
        <w:rPr>
          <w:rFonts w:cs="Times New Roman"/>
          <w:szCs w:val="24"/>
          <w:lang w:val="fr-CA"/>
        </w:rPr>
        <w:t>Bellusci en dévoilant aux autres détenus à bord du fourgon cellulaire que M.</w:t>
      </w:r>
      <w:r w:rsidR="00AB3320">
        <w:rPr>
          <w:rFonts w:cs="Times New Roman"/>
          <w:szCs w:val="24"/>
          <w:lang w:val="fr-CA"/>
        </w:rPr>
        <w:t xml:space="preserve"> </w:t>
      </w:r>
      <w:r w:rsidRPr="00AB3320">
        <w:rPr>
          <w:rFonts w:cs="Times New Roman"/>
          <w:szCs w:val="24"/>
          <w:lang w:val="fr-CA"/>
        </w:rPr>
        <w:t>Bellusci était un violeur, c)</w:t>
      </w:r>
      <w:r w:rsidR="00AB3320">
        <w:rPr>
          <w:rFonts w:cs="Times New Roman"/>
          <w:szCs w:val="24"/>
          <w:lang w:val="fr-CA"/>
        </w:rPr>
        <w:t xml:space="preserve"> </w:t>
      </w:r>
      <w:r w:rsidRPr="00AB3320">
        <w:rPr>
          <w:rFonts w:cs="Times New Roman"/>
          <w:szCs w:val="24"/>
          <w:lang w:val="fr-CA"/>
        </w:rPr>
        <w:t>en réaction à ce dévoilement, M.</w:t>
      </w:r>
      <w:r w:rsidR="00AB3320">
        <w:rPr>
          <w:rFonts w:cs="Times New Roman"/>
          <w:szCs w:val="24"/>
          <w:lang w:val="fr-CA"/>
        </w:rPr>
        <w:t xml:space="preserve"> </w:t>
      </w:r>
      <w:r w:rsidRPr="00AB3320">
        <w:rPr>
          <w:rFonts w:cs="Times New Roman"/>
          <w:szCs w:val="24"/>
          <w:lang w:val="fr-CA"/>
        </w:rPr>
        <w:t>Bellusci a menacé de violer l</w:t>
      </w:r>
      <w:r w:rsidR="00424D24">
        <w:rPr>
          <w:rFonts w:cs="Times New Roman"/>
          <w:szCs w:val="24"/>
          <w:lang w:val="fr-CA"/>
        </w:rPr>
        <w:t>’</w:t>
      </w:r>
      <w:r w:rsidRPr="00AB3320">
        <w:rPr>
          <w:rFonts w:cs="Times New Roman"/>
          <w:szCs w:val="24"/>
          <w:lang w:val="fr-CA"/>
        </w:rPr>
        <w:t>épouse et les enfants de M.</w:t>
      </w:r>
      <w:r w:rsidR="00AB3320">
        <w:rPr>
          <w:rFonts w:cs="Times New Roman"/>
          <w:szCs w:val="24"/>
          <w:lang w:val="fr-CA"/>
        </w:rPr>
        <w:t xml:space="preserve"> </w:t>
      </w:r>
      <w:r w:rsidRPr="00AB3320">
        <w:rPr>
          <w:rFonts w:cs="Times New Roman"/>
          <w:szCs w:val="24"/>
          <w:lang w:val="fr-CA"/>
        </w:rPr>
        <w:t>Asselin, d)</w:t>
      </w:r>
      <w:r w:rsidR="00AB3320">
        <w:rPr>
          <w:rFonts w:cs="Times New Roman"/>
          <w:szCs w:val="24"/>
          <w:lang w:val="fr-CA"/>
        </w:rPr>
        <w:t xml:space="preserve"> </w:t>
      </w:r>
      <w:r w:rsidRPr="00AB3320">
        <w:rPr>
          <w:rFonts w:cs="Times New Roman"/>
          <w:szCs w:val="24"/>
          <w:lang w:val="fr-CA"/>
        </w:rPr>
        <w:t>celui</w:t>
      </w:r>
      <w:r w:rsidR="00AB3320">
        <w:rPr>
          <w:rFonts w:cs="Times New Roman"/>
          <w:szCs w:val="24"/>
          <w:lang w:val="fr-CA"/>
        </w:rPr>
        <w:t>-</w:t>
      </w:r>
      <w:r w:rsidRPr="00AB3320">
        <w:rPr>
          <w:rFonts w:cs="Times New Roman"/>
          <w:szCs w:val="24"/>
          <w:lang w:val="fr-CA"/>
        </w:rPr>
        <w:t>ci a été blessé alors qu</w:t>
      </w:r>
      <w:r w:rsidR="00424D24">
        <w:rPr>
          <w:rFonts w:cs="Times New Roman"/>
          <w:szCs w:val="24"/>
          <w:lang w:val="fr-CA"/>
        </w:rPr>
        <w:t>’</w:t>
      </w:r>
      <w:r w:rsidRPr="00AB3320">
        <w:rPr>
          <w:rFonts w:cs="Times New Roman"/>
          <w:szCs w:val="24"/>
          <w:lang w:val="fr-CA"/>
        </w:rPr>
        <w:t>il a entrepris d</w:t>
      </w:r>
      <w:r w:rsidR="00424D24">
        <w:rPr>
          <w:rFonts w:cs="Times New Roman"/>
          <w:szCs w:val="24"/>
          <w:lang w:val="fr-CA"/>
        </w:rPr>
        <w:t>’</w:t>
      </w:r>
      <w:r w:rsidRPr="00AB3320">
        <w:rPr>
          <w:rFonts w:cs="Times New Roman"/>
          <w:szCs w:val="24"/>
          <w:lang w:val="fr-CA"/>
        </w:rPr>
        <w:t>ouvrir la cellule du fourgon et que M.</w:t>
      </w:r>
      <w:r w:rsidR="00AB3320">
        <w:rPr>
          <w:rFonts w:cs="Times New Roman"/>
          <w:szCs w:val="24"/>
          <w:lang w:val="fr-CA"/>
        </w:rPr>
        <w:t xml:space="preserve"> </w:t>
      </w:r>
      <w:r w:rsidRPr="00AB3320">
        <w:rPr>
          <w:rFonts w:cs="Times New Roman"/>
          <w:szCs w:val="24"/>
          <w:lang w:val="fr-CA"/>
        </w:rPr>
        <w:t>Bellusci a violemment repoussé la porte sur lui et e)</w:t>
      </w:r>
      <w:r w:rsidR="00AB3320">
        <w:rPr>
          <w:rFonts w:cs="Times New Roman"/>
          <w:szCs w:val="24"/>
          <w:lang w:val="fr-CA"/>
        </w:rPr>
        <w:t xml:space="preserve"> </w:t>
      </w:r>
      <w:r w:rsidRPr="00AB3320">
        <w:rPr>
          <w:rFonts w:cs="Times New Roman"/>
          <w:szCs w:val="24"/>
          <w:lang w:val="fr-CA"/>
        </w:rPr>
        <w:t>M.</w:t>
      </w:r>
      <w:r w:rsidR="00AB3320">
        <w:rPr>
          <w:rFonts w:cs="Times New Roman"/>
          <w:szCs w:val="24"/>
          <w:lang w:val="fr-CA"/>
        </w:rPr>
        <w:t xml:space="preserve"> </w:t>
      </w:r>
      <w:r w:rsidRPr="00AB3320">
        <w:rPr>
          <w:rFonts w:cs="Times New Roman"/>
          <w:szCs w:val="24"/>
          <w:lang w:val="fr-CA"/>
        </w:rPr>
        <w:t>Asselin a ensuite agressé et blessé M.</w:t>
      </w:r>
      <w:r w:rsidR="00AB3320">
        <w:rPr>
          <w:rFonts w:cs="Times New Roman"/>
          <w:szCs w:val="24"/>
          <w:lang w:val="fr-CA"/>
        </w:rPr>
        <w:t xml:space="preserve"> </w:t>
      </w:r>
      <w:r w:rsidRPr="00AB3320">
        <w:rPr>
          <w:rFonts w:cs="Times New Roman"/>
          <w:szCs w:val="24"/>
          <w:lang w:val="fr-CA"/>
        </w:rPr>
        <w:t>Bellusci, qui était alors enchaîné, menotté et entravé aux pieds dans une cellule du fourgon.</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Sur le fondement de ces conclusions, qui ne sont pas contestées, le juge du procès conclut à l</w:t>
      </w:r>
      <w:r w:rsidR="00424D24">
        <w:rPr>
          <w:rFonts w:cs="Times New Roman"/>
          <w:szCs w:val="24"/>
          <w:lang w:val="fr-CA"/>
        </w:rPr>
        <w:t>’</w:t>
      </w:r>
      <w:r w:rsidRPr="00AB3320">
        <w:rPr>
          <w:rFonts w:cs="Times New Roman"/>
          <w:szCs w:val="24"/>
          <w:lang w:val="fr-CA"/>
        </w:rPr>
        <w:t>atteinte aux droits constitutionnels de M.</w:t>
      </w:r>
      <w:r w:rsidR="00AB3320">
        <w:rPr>
          <w:rFonts w:cs="Times New Roman"/>
          <w:szCs w:val="24"/>
          <w:lang w:val="fr-CA"/>
        </w:rPr>
        <w:t xml:space="preserve"> </w:t>
      </w:r>
      <w:r w:rsidRPr="00AB3320">
        <w:rPr>
          <w:rFonts w:cs="Times New Roman"/>
          <w:szCs w:val="24"/>
          <w:lang w:val="fr-CA"/>
        </w:rPr>
        <w:t>Bellusci garantis à l</w:t>
      </w:r>
      <w:r w:rsidR="00424D24">
        <w:rPr>
          <w:rFonts w:cs="Times New Roman"/>
          <w:szCs w:val="24"/>
          <w:lang w:val="fr-CA"/>
        </w:rPr>
        <w:t>’</w:t>
      </w:r>
      <w:r w:rsidRPr="00AB3320">
        <w:rPr>
          <w:rFonts w:cs="Times New Roman"/>
          <w:szCs w:val="24"/>
          <w:lang w:val="fr-CA"/>
        </w:rPr>
        <w:t>art.</w:t>
      </w:r>
      <w:r w:rsidR="00AB3320">
        <w:rPr>
          <w:rFonts w:cs="Times New Roman"/>
          <w:szCs w:val="24"/>
          <w:lang w:val="fr-CA"/>
        </w:rPr>
        <w:t xml:space="preserve"> </w:t>
      </w:r>
      <w:r w:rsidRPr="00AB3320">
        <w:rPr>
          <w:rFonts w:cs="Times New Roman"/>
          <w:szCs w:val="24"/>
          <w:lang w:val="fr-CA"/>
        </w:rPr>
        <w:t xml:space="preserve">7 de la </w:t>
      </w:r>
      <w:r w:rsidRPr="00AB3320">
        <w:rPr>
          <w:rFonts w:cs="Times New Roman"/>
          <w:i/>
          <w:szCs w:val="24"/>
          <w:lang w:val="fr-CA"/>
        </w:rPr>
        <w:t>Charte</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Déclarer M.</w:t>
      </w:r>
      <w:r w:rsidR="00AB3320">
        <w:rPr>
          <w:rFonts w:cs="Times New Roman"/>
          <w:szCs w:val="24"/>
          <w:lang w:val="fr-CA"/>
        </w:rPr>
        <w:t xml:space="preserve"> </w:t>
      </w:r>
      <w:r w:rsidRPr="00AB3320">
        <w:rPr>
          <w:rFonts w:cs="Times New Roman"/>
          <w:szCs w:val="24"/>
          <w:lang w:val="fr-CA"/>
        </w:rPr>
        <w:t>Bellusci coupable d</w:t>
      </w:r>
      <w:r w:rsidR="00424D24">
        <w:rPr>
          <w:rFonts w:cs="Times New Roman"/>
          <w:szCs w:val="24"/>
          <w:lang w:val="fr-CA"/>
        </w:rPr>
        <w:t>’</w:t>
      </w:r>
      <w:r w:rsidRPr="00AB3320">
        <w:rPr>
          <w:rFonts w:cs="Times New Roman"/>
          <w:szCs w:val="24"/>
          <w:lang w:val="fr-CA"/>
        </w:rPr>
        <w:t>avoir proféré des menaces alors qu</w:t>
      </w:r>
      <w:r w:rsidR="00424D24">
        <w:rPr>
          <w:rFonts w:cs="Times New Roman"/>
          <w:szCs w:val="24"/>
          <w:lang w:val="fr-CA"/>
        </w:rPr>
        <w:t>’</w:t>
      </w:r>
      <w:r w:rsidRPr="00AB3320">
        <w:rPr>
          <w:rFonts w:cs="Times New Roman"/>
          <w:szCs w:val="24"/>
          <w:lang w:val="fr-CA"/>
        </w:rPr>
        <w:t>il l</w:t>
      </w:r>
      <w:r w:rsidR="00424D24">
        <w:rPr>
          <w:rFonts w:cs="Times New Roman"/>
          <w:szCs w:val="24"/>
          <w:lang w:val="fr-CA"/>
        </w:rPr>
        <w:t>’</w:t>
      </w:r>
      <w:r w:rsidRPr="00AB3320">
        <w:rPr>
          <w:rFonts w:cs="Times New Roman"/>
          <w:szCs w:val="24"/>
          <w:lang w:val="fr-CA"/>
        </w:rPr>
        <w:t>a fait consécutivement à une provocation téméraire et qu</w:t>
      </w:r>
      <w:r w:rsidR="00424D24">
        <w:rPr>
          <w:rFonts w:cs="Times New Roman"/>
          <w:szCs w:val="24"/>
          <w:lang w:val="fr-CA"/>
        </w:rPr>
        <w:t>’</w:t>
      </w:r>
      <w:r w:rsidRPr="00AB3320">
        <w:rPr>
          <w:rFonts w:cs="Times New Roman"/>
          <w:szCs w:val="24"/>
          <w:lang w:val="fr-CA"/>
        </w:rPr>
        <w:t xml:space="preserve">il a ensuite été illégalement puni </w:t>
      </w:r>
      <w:r w:rsidRPr="00AB3320">
        <w:rPr>
          <w:rFonts w:cs="Times New Roman"/>
          <w:i/>
          <w:szCs w:val="24"/>
          <w:lang w:val="fr-CA"/>
        </w:rPr>
        <w:t>par l</w:t>
      </w:r>
      <w:r w:rsidR="00424D24">
        <w:rPr>
          <w:rFonts w:cs="Times New Roman"/>
          <w:i/>
          <w:szCs w:val="24"/>
          <w:lang w:val="fr-CA"/>
        </w:rPr>
        <w:t>’</w:t>
      </w:r>
      <w:r w:rsidRPr="00AB3320">
        <w:rPr>
          <w:rFonts w:cs="Times New Roman"/>
          <w:i/>
          <w:szCs w:val="24"/>
          <w:lang w:val="fr-CA"/>
        </w:rPr>
        <w:t>agent de détention visé par les menaces</w:t>
      </w:r>
      <w:r w:rsidRPr="00AB3320">
        <w:rPr>
          <w:rFonts w:cs="Times New Roman"/>
          <w:szCs w:val="24"/>
          <w:lang w:val="fr-CA"/>
        </w:rPr>
        <w:t xml:space="preserve"> choquerait la conscience de citoyens renseignés.</w:t>
      </w:r>
      <w:r w:rsidR="00AB3320">
        <w:rPr>
          <w:rFonts w:cs="Times New Roman"/>
          <w:szCs w:val="24"/>
          <w:lang w:val="fr-CA"/>
        </w:rPr>
        <w:t xml:space="preserve"> </w:t>
      </w:r>
      <w:r w:rsidRPr="00AB3320">
        <w:rPr>
          <w:rFonts w:cs="Times New Roman"/>
          <w:szCs w:val="24"/>
          <w:lang w:val="fr-CA"/>
        </w:rPr>
        <w:t>Après avoir examiné les autres réparations possibles, dont la diminution de la peine et la possibilité d</w:t>
      </w:r>
      <w:r w:rsidR="00424D24">
        <w:rPr>
          <w:rFonts w:cs="Times New Roman"/>
          <w:szCs w:val="24"/>
          <w:lang w:val="fr-CA"/>
        </w:rPr>
        <w:t>’</w:t>
      </w:r>
      <w:r w:rsidRPr="00AB3320">
        <w:rPr>
          <w:rFonts w:cs="Times New Roman"/>
          <w:szCs w:val="24"/>
          <w:lang w:val="fr-CA"/>
        </w:rPr>
        <w:t>engager une instance judiciaire ou disciplinaire contre M.</w:t>
      </w:r>
      <w:r w:rsidR="00AB3320">
        <w:rPr>
          <w:rFonts w:cs="Times New Roman"/>
          <w:szCs w:val="24"/>
          <w:lang w:val="fr-CA"/>
        </w:rPr>
        <w:t xml:space="preserve"> </w:t>
      </w:r>
      <w:r w:rsidRPr="00AB3320">
        <w:rPr>
          <w:rFonts w:cs="Times New Roman"/>
          <w:szCs w:val="24"/>
          <w:lang w:val="fr-CA"/>
        </w:rPr>
        <w:t>Asselin, le juge du procès conclut que l</w:t>
      </w:r>
      <w:r w:rsidR="00424D24">
        <w:rPr>
          <w:rFonts w:cs="Times New Roman"/>
          <w:szCs w:val="24"/>
          <w:lang w:val="fr-CA"/>
        </w:rPr>
        <w:t>’</w:t>
      </w:r>
      <w:r w:rsidRPr="00AB3320">
        <w:rPr>
          <w:rFonts w:cs="Times New Roman"/>
          <w:szCs w:val="24"/>
          <w:lang w:val="fr-CA"/>
        </w:rPr>
        <w:t>arrêt des procédures est la seule réparation convenable dans les circonstances inhabituelles et troublantes de l</w:t>
      </w:r>
      <w:r w:rsidR="00424D24">
        <w:rPr>
          <w:rFonts w:cs="Times New Roman"/>
          <w:szCs w:val="24"/>
          <w:lang w:val="fr-CA"/>
        </w:rPr>
        <w:t>’</w:t>
      </w:r>
      <w:r w:rsidRPr="00AB3320">
        <w:rPr>
          <w:rFonts w:cs="Times New Roman"/>
          <w:szCs w:val="24"/>
          <w:lang w:val="fr-CA"/>
        </w:rPr>
        <w:t>espèce.</w:t>
      </w:r>
    </w:p>
    <w:p w:rsidR="0003214E" w:rsidRPr="00AB3320" w:rsidRDefault="0003214E" w:rsidP="0003214E">
      <w:pPr>
        <w:pStyle w:val="TitleTitre-AltT"/>
        <w:jc w:val="center"/>
        <w:rPr>
          <w:rFonts w:cs="Times New Roman"/>
          <w:szCs w:val="24"/>
          <w:lang w:val="fr-CA"/>
        </w:rPr>
      </w:pPr>
      <w:r w:rsidRPr="00AB3320">
        <w:rPr>
          <w:rFonts w:cs="Times New Roman"/>
          <w:szCs w:val="24"/>
          <w:lang w:val="fr-CA"/>
        </w:rPr>
        <w:lastRenderedPageBreak/>
        <w:t>III</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Il est bien établi que l</w:t>
      </w:r>
      <w:r w:rsidR="00424D24">
        <w:rPr>
          <w:rFonts w:cs="Times New Roman"/>
          <w:szCs w:val="24"/>
          <w:lang w:val="fr-CA"/>
        </w:rPr>
        <w:t>’</w:t>
      </w:r>
      <w:r w:rsidRPr="00AB3320">
        <w:rPr>
          <w:rFonts w:cs="Times New Roman"/>
          <w:szCs w:val="24"/>
          <w:lang w:val="fr-CA"/>
        </w:rPr>
        <w:t>ordonnance rendue en première instance sur le fondement du par.</w:t>
      </w:r>
      <w:r w:rsidR="00AB3320">
        <w:rPr>
          <w:rFonts w:cs="Times New Roman"/>
          <w:szCs w:val="24"/>
          <w:lang w:val="fr-CA"/>
        </w:rPr>
        <w:t xml:space="preserve"> </w:t>
      </w:r>
      <w:r w:rsidRPr="00AB3320">
        <w:rPr>
          <w:rFonts w:cs="Times New Roman"/>
          <w:szCs w:val="24"/>
          <w:lang w:val="fr-CA"/>
        </w:rPr>
        <w:t xml:space="preserve">24(1) de la </w:t>
      </w:r>
      <w:r w:rsidRPr="00AB3320">
        <w:rPr>
          <w:rFonts w:cs="Times New Roman"/>
          <w:i/>
          <w:szCs w:val="24"/>
          <w:lang w:val="fr-CA"/>
        </w:rPr>
        <w:t>Charte</w:t>
      </w:r>
      <w:r w:rsidRPr="00AB3320">
        <w:rPr>
          <w:rFonts w:cs="Times New Roman"/>
          <w:szCs w:val="24"/>
          <w:lang w:val="fr-CA"/>
        </w:rPr>
        <w:t xml:space="preserve"> ne doit être réformée par une cour d</w:t>
      </w:r>
      <w:r w:rsidR="00424D24">
        <w:rPr>
          <w:rFonts w:cs="Times New Roman"/>
          <w:szCs w:val="24"/>
          <w:lang w:val="fr-CA"/>
        </w:rPr>
        <w:t>’</w:t>
      </w:r>
      <w:r w:rsidRPr="00AB3320">
        <w:rPr>
          <w:rFonts w:cs="Times New Roman"/>
          <w:szCs w:val="24"/>
          <w:lang w:val="fr-CA"/>
        </w:rPr>
        <w:t>appel «</w:t>
      </w:r>
      <w:r w:rsidR="00AB3320">
        <w:rPr>
          <w:rFonts w:cs="Times New Roman"/>
          <w:szCs w:val="24"/>
          <w:lang w:val="fr-CA"/>
        </w:rPr>
        <w:t xml:space="preserve"> </w:t>
      </w:r>
      <w:r w:rsidRPr="00AB3320">
        <w:rPr>
          <w:rFonts w:cs="Times New Roman"/>
          <w:szCs w:val="24"/>
          <w:lang w:val="fr-CA"/>
        </w:rPr>
        <w:t>que si [le juge du procès] s</w:t>
      </w:r>
      <w:r w:rsidR="00424D24">
        <w:rPr>
          <w:rFonts w:cs="Times New Roman"/>
          <w:szCs w:val="24"/>
          <w:lang w:val="fr-CA"/>
        </w:rPr>
        <w:t>’</w:t>
      </w:r>
      <w:r w:rsidRPr="00AB3320">
        <w:rPr>
          <w:rFonts w:cs="Times New Roman"/>
          <w:szCs w:val="24"/>
          <w:lang w:val="fr-CA"/>
        </w:rPr>
        <w:t>est fondé sur des considérations erronées en droit ou si sa décision est erronée au point de créer une injustice</w:t>
      </w:r>
      <w:r w:rsidR="00AB3320">
        <w:rPr>
          <w:rFonts w:cs="Times New Roman"/>
          <w:szCs w:val="24"/>
          <w:lang w:val="fr-CA"/>
        </w:rPr>
        <w:t xml:space="preserve"> </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 xml:space="preserve">: </w:t>
      </w:r>
      <w:r w:rsidRPr="00AB3320">
        <w:rPr>
          <w:rFonts w:cs="Times New Roman"/>
          <w:i/>
          <w:szCs w:val="24"/>
          <w:lang w:val="fr-CA"/>
        </w:rPr>
        <w:t xml:space="preserve">R. c. </w:t>
      </w:r>
      <w:proofErr w:type="spellStart"/>
      <w:r w:rsidRPr="00AB3320">
        <w:rPr>
          <w:rFonts w:cs="Times New Roman"/>
          <w:i/>
          <w:szCs w:val="24"/>
          <w:lang w:val="fr-CA"/>
        </w:rPr>
        <w:t>Regan</w:t>
      </w:r>
      <w:proofErr w:type="spellEnd"/>
      <w:r w:rsidRPr="00AB3320">
        <w:rPr>
          <w:rFonts w:cs="Times New Roman"/>
          <w:szCs w:val="24"/>
          <w:lang w:val="fr-CA"/>
        </w:rPr>
        <w:t>, 2002 CSC 12, [2002] 1 R.C.S. 297, par.</w:t>
      </w:r>
      <w:r w:rsidR="00AB3320">
        <w:rPr>
          <w:rFonts w:cs="Times New Roman"/>
          <w:szCs w:val="24"/>
          <w:lang w:val="fr-CA"/>
        </w:rPr>
        <w:t xml:space="preserve"> </w:t>
      </w:r>
      <w:r w:rsidRPr="00AB3320">
        <w:rPr>
          <w:rFonts w:cs="Times New Roman"/>
          <w:szCs w:val="24"/>
          <w:lang w:val="fr-CA"/>
        </w:rPr>
        <w:t xml:space="preserve">117; </w:t>
      </w:r>
      <w:r w:rsidRPr="00AB3320">
        <w:rPr>
          <w:rFonts w:cs="Times New Roman"/>
          <w:i/>
          <w:szCs w:val="24"/>
          <w:lang w:val="fr-CA"/>
        </w:rPr>
        <w:t>Canada (Ministre de la Citoyenneté et de l</w:t>
      </w:r>
      <w:r w:rsidR="00424D24">
        <w:rPr>
          <w:rFonts w:cs="Times New Roman"/>
          <w:i/>
          <w:szCs w:val="24"/>
          <w:lang w:val="fr-CA"/>
        </w:rPr>
        <w:t>’</w:t>
      </w:r>
      <w:r w:rsidRPr="00AB3320">
        <w:rPr>
          <w:rFonts w:cs="Times New Roman"/>
          <w:i/>
          <w:szCs w:val="24"/>
          <w:lang w:val="fr-CA"/>
        </w:rPr>
        <w:t xml:space="preserve">Immigration) c. </w:t>
      </w:r>
      <w:proofErr w:type="spellStart"/>
      <w:r w:rsidRPr="00AB3320">
        <w:rPr>
          <w:rFonts w:cs="Times New Roman"/>
          <w:i/>
          <w:szCs w:val="24"/>
          <w:lang w:val="fr-CA"/>
        </w:rPr>
        <w:t>Tobiass</w:t>
      </w:r>
      <w:proofErr w:type="spellEnd"/>
      <w:r w:rsidRPr="00AB3320">
        <w:rPr>
          <w:rFonts w:cs="Times New Roman"/>
          <w:szCs w:val="24"/>
          <w:lang w:val="fr-CA"/>
        </w:rPr>
        <w:t>,</w:t>
      </w:r>
      <w:r w:rsidRPr="00AB3320">
        <w:rPr>
          <w:rFonts w:cs="Times New Roman"/>
          <w:i/>
          <w:szCs w:val="24"/>
          <w:lang w:val="fr-CA"/>
        </w:rPr>
        <w:t xml:space="preserve"> </w:t>
      </w:r>
      <w:r w:rsidRPr="00AB3320">
        <w:rPr>
          <w:rFonts w:cs="Times New Roman"/>
          <w:szCs w:val="24"/>
          <w:lang w:val="fr-CA"/>
        </w:rPr>
        <w:t>[1997] 3 R.C.S. 391, par.</w:t>
      </w:r>
      <w:r w:rsidR="00424D24">
        <w:rPr>
          <w:rFonts w:cs="Times New Roman"/>
          <w:szCs w:val="24"/>
          <w:lang w:val="fr-CA"/>
        </w:rPr>
        <w:t> </w:t>
      </w:r>
      <w:r w:rsidRPr="00AB3320">
        <w:rPr>
          <w:rFonts w:cs="Times New Roman"/>
          <w:szCs w:val="24"/>
          <w:lang w:val="fr-CA"/>
        </w:rPr>
        <w:t xml:space="preserve">87.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Dans l</w:t>
      </w:r>
      <w:r w:rsidR="00424D24">
        <w:rPr>
          <w:rFonts w:cs="Times New Roman"/>
          <w:szCs w:val="24"/>
          <w:lang w:val="fr-CA"/>
        </w:rPr>
        <w:t>’</w:t>
      </w:r>
      <w:r w:rsidRPr="00AB3320">
        <w:rPr>
          <w:rFonts w:cs="Times New Roman"/>
          <w:szCs w:val="24"/>
          <w:lang w:val="fr-CA"/>
        </w:rPr>
        <w:t xml:space="preserve">arrêt </w:t>
      </w:r>
      <w:r w:rsidRPr="00AB3320">
        <w:rPr>
          <w:rFonts w:cs="Times New Roman"/>
          <w:i/>
          <w:szCs w:val="24"/>
          <w:lang w:val="fr-CA"/>
        </w:rPr>
        <w:t xml:space="preserve">R. c. </w:t>
      </w:r>
      <w:proofErr w:type="spellStart"/>
      <w:r w:rsidRPr="00AB3320">
        <w:rPr>
          <w:rFonts w:cs="Times New Roman"/>
          <w:i/>
          <w:szCs w:val="24"/>
          <w:lang w:val="fr-CA"/>
        </w:rPr>
        <w:t>Bjelland</w:t>
      </w:r>
      <w:proofErr w:type="spellEnd"/>
      <w:r w:rsidRPr="00AB3320">
        <w:rPr>
          <w:rFonts w:cs="Times New Roman"/>
          <w:szCs w:val="24"/>
          <w:lang w:val="fr-CA"/>
        </w:rPr>
        <w:t>, 2009 CSC 38, [2009] 2 R.C.S. 651, lorsqu</w:t>
      </w:r>
      <w:r w:rsidR="00424D24">
        <w:rPr>
          <w:rFonts w:cs="Times New Roman"/>
          <w:szCs w:val="24"/>
          <w:lang w:val="fr-CA"/>
        </w:rPr>
        <w:t>’</w:t>
      </w:r>
      <w:r w:rsidRPr="00AB3320">
        <w:rPr>
          <w:rFonts w:cs="Times New Roman"/>
          <w:szCs w:val="24"/>
          <w:lang w:val="fr-CA"/>
        </w:rPr>
        <w:t xml:space="preserve">elle renvoie à </w:t>
      </w:r>
      <w:proofErr w:type="spellStart"/>
      <w:r w:rsidRPr="00AB3320">
        <w:rPr>
          <w:rFonts w:cs="Times New Roman"/>
          <w:i/>
          <w:szCs w:val="24"/>
          <w:lang w:val="fr-CA"/>
        </w:rPr>
        <w:t>Regan</w:t>
      </w:r>
      <w:proofErr w:type="spellEnd"/>
      <w:r w:rsidRPr="00AB3320">
        <w:rPr>
          <w:rFonts w:cs="Times New Roman"/>
          <w:szCs w:val="24"/>
          <w:lang w:val="fr-CA"/>
        </w:rPr>
        <w:t>, la Cour confirme à l</w:t>
      </w:r>
      <w:r w:rsidR="00424D24">
        <w:rPr>
          <w:rFonts w:cs="Times New Roman"/>
          <w:szCs w:val="24"/>
          <w:lang w:val="fr-CA"/>
        </w:rPr>
        <w:t>’</w:t>
      </w:r>
      <w:r w:rsidRPr="00AB3320">
        <w:rPr>
          <w:rFonts w:cs="Times New Roman"/>
          <w:szCs w:val="24"/>
          <w:lang w:val="fr-CA"/>
        </w:rPr>
        <w:t>unanimité qu</w:t>
      </w:r>
      <w:r w:rsidR="00424D24">
        <w:rPr>
          <w:rFonts w:cs="Times New Roman"/>
          <w:szCs w:val="24"/>
          <w:lang w:val="fr-CA"/>
        </w:rPr>
        <w:t>’</w:t>
      </w:r>
      <w:r w:rsidRPr="00AB3320">
        <w:rPr>
          <w:rFonts w:cs="Times New Roman"/>
          <w:szCs w:val="24"/>
          <w:lang w:val="fr-CA"/>
        </w:rPr>
        <w:t>il s</w:t>
      </w:r>
      <w:r w:rsidR="00424D24">
        <w:rPr>
          <w:rFonts w:cs="Times New Roman"/>
          <w:szCs w:val="24"/>
          <w:lang w:val="fr-CA"/>
        </w:rPr>
        <w:t>’</w:t>
      </w:r>
      <w:r w:rsidRPr="00AB3320">
        <w:rPr>
          <w:rFonts w:cs="Times New Roman"/>
          <w:szCs w:val="24"/>
          <w:lang w:val="fr-CA"/>
        </w:rPr>
        <w:t xml:space="preserve">agit de la norme de contrôle </w:t>
      </w:r>
      <w:r w:rsidR="00D16B2A" w:rsidRPr="00AB3320">
        <w:rPr>
          <w:rFonts w:cs="Times New Roman"/>
          <w:szCs w:val="24"/>
          <w:lang w:val="fr-CA"/>
        </w:rPr>
        <w:t xml:space="preserve">applicable (le juge </w:t>
      </w:r>
      <w:proofErr w:type="spellStart"/>
      <w:r w:rsidR="00D16B2A" w:rsidRPr="00AB3320">
        <w:rPr>
          <w:rFonts w:cs="Times New Roman"/>
          <w:szCs w:val="24"/>
          <w:lang w:val="fr-CA"/>
        </w:rPr>
        <w:t>Rothstein</w:t>
      </w:r>
      <w:proofErr w:type="spellEnd"/>
      <w:r w:rsidR="00D16B2A" w:rsidRPr="00AB3320">
        <w:rPr>
          <w:rFonts w:cs="Times New Roman"/>
          <w:szCs w:val="24"/>
          <w:lang w:val="fr-CA"/>
        </w:rPr>
        <w:t xml:space="preserve">, </w:t>
      </w:r>
      <w:r w:rsidRPr="00AB3320">
        <w:rPr>
          <w:rFonts w:cs="Times New Roman"/>
          <w:szCs w:val="24"/>
          <w:lang w:val="fr-CA"/>
        </w:rPr>
        <w:t>par.</w:t>
      </w:r>
      <w:r w:rsidR="00AB3320">
        <w:rPr>
          <w:rFonts w:cs="Times New Roman"/>
          <w:szCs w:val="24"/>
          <w:lang w:val="fr-CA"/>
        </w:rPr>
        <w:t xml:space="preserve"> </w:t>
      </w:r>
      <w:r w:rsidRPr="00AB3320">
        <w:rPr>
          <w:rFonts w:cs="Times New Roman"/>
          <w:szCs w:val="24"/>
          <w:lang w:val="fr-CA"/>
        </w:rPr>
        <w:t>15; le juge Fish, par.</w:t>
      </w:r>
      <w:r w:rsidR="00AB3320">
        <w:rPr>
          <w:rFonts w:cs="Times New Roman"/>
          <w:szCs w:val="24"/>
          <w:lang w:val="fr-CA"/>
        </w:rPr>
        <w:t xml:space="preserve"> </w:t>
      </w:r>
      <w:r w:rsidRPr="00AB3320">
        <w:rPr>
          <w:rFonts w:cs="Times New Roman"/>
          <w:szCs w:val="24"/>
          <w:lang w:val="fr-CA"/>
        </w:rPr>
        <w:t>51).</w:t>
      </w:r>
      <w:r w:rsidR="00AB3320">
        <w:rPr>
          <w:rFonts w:cs="Times New Roman"/>
          <w:szCs w:val="24"/>
          <w:lang w:val="fr-CA"/>
        </w:rPr>
        <w:t xml:space="preserve"> </w:t>
      </w:r>
      <w:r w:rsidRPr="00AB3320">
        <w:rPr>
          <w:rFonts w:cs="Times New Roman"/>
          <w:szCs w:val="24"/>
          <w:lang w:val="fr-CA"/>
        </w:rPr>
        <w:t>Avec l</w:t>
      </w:r>
      <w:r w:rsidR="00424D24">
        <w:rPr>
          <w:rFonts w:cs="Times New Roman"/>
          <w:szCs w:val="24"/>
          <w:lang w:val="fr-CA"/>
        </w:rPr>
        <w:t>’</w:t>
      </w:r>
      <w:r w:rsidRPr="00AB3320">
        <w:rPr>
          <w:rFonts w:cs="Times New Roman"/>
          <w:szCs w:val="24"/>
          <w:lang w:val="fr-CA"/>
        </w:rPr>
        <w:t>appui des juges Binnie et Abella, également dissidents quant au résultat, j</w:t>
      </w:r>
      <w:r w:rsidR="00424D24">
        <w:rPr>
          <w:rFonts w:cs="Times New Roman"/>
          <w:szCs w:val="24"/>
          <w:lang w:val="fr-CA"/>
        </w:rPr>
        <w:t>’</w:t>
      </w:r>
      <w:r w:rsidRPr="00AB3320">
        <w:rPr>
          <w:rFonts w:cs="Times New Roman"/>
          <w:szCs w:val="24"/>
          <w:lang w:val="fr-CA"/>
        </w:rPr>
        <w:t>y affirme ce qui suit au sujet de la norme de contrôle convenue</w:t>
      </w:r>
      <w:r w:rsidR="00AB3320">
        <w:rPr>
          <w:rFonts w:cs="Times New Roman"/>
          <w:szCs w:val="24"/>
          <w:lang w:val="fr-CA"/>
        </w:rPr>
        <w:t xml:space="preserve"> </w:t>
      </w:r>
      <w:r w:rsidRPr="00AB3320">
        <w:rPr>
          <w:rFonts w:cs="Times New Roman"/>
          <w:szCs w:val="24"/>
          <w:lang w:val="fr-CA"/>
        </w:rPr>
        <w:t>:</w:t>
      </w:r>
    </w:p>
    <w:p w:rsidR="0003214E" w:rsidRPr="00AB3320" w:rsidRDefault="0003214E" w:rsidP="006B0698">
      <w:pPr>
        <w:pStyle w:val="Citation-AltC"/>
        <w:tabs>
          <w:tab w:val="left" w:pos="1170"/>
          <w:tab w:val="left" w:pos="1800"/>
        </w:tabs>
        <w:ind w:hanging="1166"/>
        <w:contextualSpacing w:val="0"/>
        <w:rPr>
          <w:szCs w:val="24"/>
          <w:lang w:val="fr-CA"/>
        </w:rPr>
      </w:pPr>
      <w:r w:rsidRPr="00AB3320">
        <w:rPr>
          <w:szCs w:val="24"/>
          <w:lang w:val="fr-CA"/>
        </w:rPr>
        <w:tab/>
        <w:t>Sur présentation d</w:t>
      </w:r>
      <w:r w:rsidR="00424D24">
        <w:rPr>
          <w:szCs w:val="24"/>
          <w:lang w:val="fr-CA"/>
        </w:rPr>
        <w:t>’</w:t>
      </w:r>
      <w:r w:rsidRPr="00AB3320">
        <w:rPr>
          <w:szCs w:val="24"/>
          <w:lang w:val="fr-CA"/>
        </w:rPr>
        <w:t>une demande fondée sur le par.</w:t>
      </w:r>
      <w:r w:rsidR="00AB3320">
        <w:rPr>
          <w:szCs w:val="24"/>
          <w:lang w:val="fr-CA"/>
        </w:rPr>
        <w:t xml:space="preserve"> </w:t>
      </w:r>
      <w:r w:rsidRPr="00AB3320">
        <w:rPr>
          <w:szCs w:val="24"/>
          <w:lang w:val="fr-CA"/>
        </w:rPr>
        <w:t xml:space="preserve">24(1) de la </w:t>
      </w:r>
      <w:r w:rsidRPr="00AB3320">
        <w:rPr>
          <w:i/>
          <w:iCs/>
          <w:szCs w:val="24"/>
          <w:lang w:val="fr-CA"/>
        </w:rPr>
        <w:t>Charte canadienne des droits et libertés</w:t>
      </w:r>
      <w:r w:rsidRPr="00AB3320">
        <w:rPr>
          <w:szCs w:val="24"/>
          <w:lang w:val="fr-CA"/>
        </w:rPr>
        <w:t>, dès lors qu</w:t>
      </w:r>
      <w:r w:rsidR="00424D24">
        <w:rPr>
          <w:szCs w:val="24"/>
          <w:lang w:val="fr-CA"/>
        </w:rPr>
        <w:t>’</w:t>
      </w:r>
      <w:r w:rsidRPr="00AB3320">
        <w:rPr>
          <w:szCs w:val="24"/>
          <w:lang w:val="fr-CA"/>
        </w:rPr>
        <w:t xml:space="preserve">une violation a été établie, le juge </w:t>
      </w:r>
      <w:r w:rsidR="001259A9">
        <w:rPr>
          <w:szCs w:val="24"/>
          <w:lang w:val="fr-CA"/>
        </w:rPr>
        <w:t xml:space="preserve">du procès </w:t>
      </w:r>
      <w:r w:rsidRPr="00AB3320">
        <w:rPr>
          <w:szCs w:val="24"/>
          <w:lang w:val="fr-CA"/>
        </w:rPr>
        <w:t>doit accorder «</w:t>
      </w:r>
      <w:r w:rsidR="00AB3320">
        <w:rPr>
          <w:szCs w:val="24"/>
          <w:lang w:val="fr-CA"/>
        </w:rPr>
        <w:t xml:space="preserve"> </w:t>
      </w:r>
      <w:r w:rsidRPr="00AB3320">
        <w:rPr>
          <w:szCs w:val="24"/>
          <w:lang w:val="fr-CA"/>
        </w:rPr>
        <w:t>la réparation que le tribunal estime convenable et juste eu égard aux circonstances</w:t>
      </w:r>
      <w:r w:rsidR="00AB3320">
        <w:rPr>
          <w:szCs w:val="24"/>
          <w:lang w:val="fr-CA"/>
        </w:rPr>
        <w:t xml:space="preserve"> </w:t>
      </w:r>
      <w:r w:rsidRPr="00AB3320">
        <w:rPr>
          <w:szCs w:val="24"/>
          <w:lang w:val="fr-CA"/>
        </w:rPr>
        <w:t>».</w:t>
      </w:r>
      <w:r w:rsidR="00AB3320">
        <w:rPr>
          <w:szCs w:val="24"/>
          <w:lang w:val="fr-CA"/>
        </w:rPr>
        <w:t xml:space="preserve"> </w:t>
      </w:r>
      <w:r w:rsidRPr="00AB3320">
        <w:rPr>
          <w:szCs w:val="24"/>
          <w:lang w:val="fr-CA"/>
        </w:rPr>
        <w:t>La réparation doit assurer la protection des droits du demandeur, être équitable pour la partie visée par l</w:t>
      </w:r>
      <w:r w:rsidR="00424D24">
        <w:rPr>
          <w:szCs w:val="24"/>
          <w:lang w:val="fr-CA"/>
        </w:rPr>
        <w:t>’</w:t>
      </w:r>
      <w:r w:rsidRPr="00AB3320">
        <w:rPr>
          <w:szCs w:val="24"/>
          <w:lang w:val="fr-CA"/>
        </w:rPr>
        <w:t>ordonnance et tenir compte de toutes les autres circonstances pertinentes.</w:t>
      </w:r>
      <w:r w:rsidR="00AB3320">
        <w:rPr>
          <w:szCs w:val="24"/>
          <w:lang w:val="fr-CA"/>
        </w:rPr>
        <w:t xml:space="preserve"> </w:t>
      </w:r>
      <w:r w:rsidRPr="00AB3320">
        <w:rPr>
          <w:szCs w:val="24"/>
          <w:lang w:val="fr-CA"/>
        </w:rPr>
        <w:t>Un tribunal d</w:t>
      </w:r>
      <w:r w:rsidR="00424D24">
        <w:rPr>
          <w:szCs w:val="24"/>
          <w:lang w:val="fr-CA"/>
        </w:rPr>
        <w:t>’</w:t>
      </w:r>
      <w:r w:rsidRPr="00AB3320">
        <w:rPr>
          <w:szCs w:val="24"/>
          <w:lang w:val="fr-CA"/>
        </w:rPr>
        <w:t>appel peut modifier la décision rendue par un juge du procès qui a exercé son pouvoir discrétionnaire uniquement si ce dernier a commis une erreur de droit ou rendu une décision injuste.</w:t>
      </w:r>
      <w:r w:rsidR="00AB3320">
        <w:rPr>
          <w:szCs w:val="24"/>
          <w:lang w:val="fr-CA"/>
        </w:rPr>
        <w:t xml:space="preserve"> </w:t>
      </w:r>
      <w:r w:rsidRPr="00AB3320">
        <w:rPr>
          <w:szCs w:val="24"/>
          <w:lang w:val="fr-CA"/>
        </w:rPr>
        <w:t>Cela est particulièrement vrai s</w:t>
      </w:r>
      <w:r w:rsidR="00424D24">
        <w:rPr>
          <w:szCs w:val="24"/>
          <w:lang w:val="fr-CA"/>
        </w:rPr>
        <w:t>’</w:t>
      </w:r>
      <w:r w:rsidRPr="00AB3320">
        <w:rPr>
          <w:szCs w:val="24"/>
          <w:lang w:val="fr-CA"/>
        </w:rPr>
        <w:t>il s</w:t>
      </w:r>
      <w:r w:rsidR="00424D24">
        <w:rPr>
          <w:szCs w:val="24"/>
          <w:lang w:val="fr-CA"/>
        </w:rPr>
        <w:t>’</w:t>
      </w:r>
      <w:r w:rsidRPr="00AB3320">
        <w:rPr>
          <w:szCs w:val="24"/>
          <w:lang w:val="fr-CA"/>
        </w:rPr>
        <w:t>agit d</w:t>
      </w:r>
      <w:r w:rsidR="00424D24">
        <w:rPr>
          <w:szCs w:val="24"/>
          <w:lang w:val="fr-CA"/>
        </w:rPr>
        <w:t>’</w:t>
      </w:r>
      <w:r w:rsidRPr="00AB3320">
        <w:rPr>
          <w:szCs w:val="24"/>
          <w:lang w:val="fr-CA"/>
        </w:rPr>
        <w:t>une réparation accordée par un juge de première instance sur le fondement du par.</w:t>
      </w:r>
      <w:r w:rsidR="00AB3320">
        <w:rPr>
          <w:szCs w:val="24"/>
          <w:lang w:val="fr-CA"/>
        </w:rPr>
        <w:t xml:space="preserve"> </w:t>
      </w:r>
      <w:r w:rsidRPr="00AB3320">
        <w:rPr>
          <w:szCs w:val="24"/>
          <w:lang w:val="fr-CA"/>
        </w:rPr>
        <w:t xml:space="preserve">24(1) de la </w:t>
      </w:r>
      <w:r w:rsidRPr="00AB3320">
        <w:rPr>
          <w:i/>
          <w:iCs/>
          <w:szCs w:val="24"/>
          <w:lang w:val="fr-CA"/>
        </w:rPr>
        <w:t>Charte</w:t>
      </w:r>
      <w:r w:rsidRPr="00AB3320">
        <w:rPr>
          <w:szCs w:val="24"/>
          <w:lang w:val="fr-CA"/>
        </w:rPr>
        <w:t xml:space="preserve"> dont le libellé même confère le </w:t>
      </w:r>
      <w:r w:rsidRPr="00AB3320">
        <w:rPr>
          <w:i/>
          <w:iCs/>
          <w:szCs w:val="24"/>
          <w:lang w:val="fr-CA"/>
        </w:rPr>
        <w:t xml:space="preserve">plus vaste pouvoir discrétionnaire possible </w:t>
      </w:r>
      <w:r w:rsidRPr="00AB3320">
        <w:rPr>
          <w:szCs w:val="24"/>
          <w:lang w:val="fr-CA"/>
        </w:rPr>
        <w:t>à ce dernier.</w:t>
      </w:r>
      <w:r w:rsidR="00AB3320">
        <w:rPr>
          <w:szCs w:val="24"/>
          <w:lang w:val="fr-CA"/>
        </w:rPr>
        <w:t xml:space="preserve"> </w:t>
      </w:r>
      <w:r w:rsidRPr="00AB3320">
        <w:rPr>
          <w:szCs w:val="24"/>
          <w:lang w:val="fr-CA"/>
        </w:rPr>
        <w:t>Enfin, les tribunaux d</w:t>
      </w:r>
      <w:r w:rsidR="00424D24">
        <w:rPr>
          <w:szCs w:val="24"/>
          <w:lang w:val="fr-CA"/>
        </w:rPr>
        <w:t>’</w:t>
      </w:r>
      <w:r w:rsidRPr="00AB3320">
        <w:rPr>
          <w:szCs w:val="24"/>
          <w:lang w:val="fr-CA"/>
        </w:rPr>
        <w:t>appel doivent tout particulièrement se garder de substituer l</w:t>
      </w:r>
      <w:r w:rsidR="00424D24">
        <w:rPr>
          <w:szCs w:val="24"/>
          <w:lang w:val="fr-CA"/>
        </w:rPr>
        <w:t>’</w:t>
      </w:r>
      <w:r w:rsidRPr="00AB3320">
        <w:rPr>
          <w:szCs w:val="24"/>
          <w:lang w:val="fr-CA"/>
        </w:rPr>
        <w:t xml:space="preserve">exercice de leur propre pouvoir discrétionnaire à celui déjà exercé par le juge du procès </w:t>
      </w:r>
      <w:r w:rsidRPr="00AB3320">
        <w:rPr>
          <w:szCs w:val="24"/>
          <w:lang w:val="fr-CA"/>
        </w:rPr>
        <w:lastRenderedPageBreak/>
        <w:t>simplement parce qu</w:t>
      </w:r>
      <w:r w:rsidR="00424D24">
        <w:rPr>
          <w:szCs w:val="24"/>
          <w:lang w:val="fr-CA"/>
        </w:rPr>
        <w:t>’</w:t>
      </w:r>
      <w:r w:rsidRPr="00AB3320">
        <w:rPr>
          <w:szCs w:val="24"/>
          <w:lang w:val="fr-CA"/>
        </w:rPr>
        <w:t>ils auraient accordé une réparation plus généreuse ou plus limitée.</w:t>
      </w:r>
      <w:r w:rsidR="00AB3320">
        <w:rPr>
          <w:szCs w:val="24"/>
          <w:lang w:val="fr-CA"/>
        </w:rPr>
        <w:t xml:space="preserve"> </w:t>
      </w:r>
      <w:r w:rsidRPr="00AB3320">
        <w:rPr>
          <w:szCs w:val="24"/>
          <w:lang w:val="fr-CA"/>
        </w:rPr>
        <w:t>[</w:t>
      </w:r>
      <w:r w:rsidR="00DD60C9">
        <w:rPr>
          <w:szCs w:val="24"/>
          <w:lang w:val="fr-CA"/>
        </w:rPr>
        <w:t>En italique</w:t>
      </w:r>
      <w:r w:rsidRPr="00AB3320">
        <w:rPr>
          <w:szCs w:val="24"/>
          <w:lang w:val="fr-CA"/>
        </w:rPr>
        <w:t xml:space="preserve"> dans l</w:t>
      </w:r>
      <w:r w:rsidR="00424D24">
        <w:rPr>
          <w:szCs w:val="24"/>
          <w:lang w:val="fr-CA"/>
        </w:rPr>
        <w:t>’</w:t>
      </w:r>
      <w:r w:rsidRPr="00AB3320">
        <w:rPr>
          <w:szCs w:val="24"/>
          <w:lang w:val="fr-CA"/>
        </w:rPr>
        <w:t>original; par.</w:t>
      </w:r>
      <w:r w:rsidR="00424D24">
        <w:rPr>
          <w:szCs w:val="24"/>
          <w:lang w:val="fr-CA"/>
        </w:rPr>
        <w:t> </w:t>
      </w:r>
      <w:r w:rsidRPr="00AB3320">
        <w:rPr>
          <w:szCs w:val="24"/>
          <w:lang w:val="fr-CA"/>
        </w:rPr>
        <w:t>42.]</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Par conséquent, l</w:t>
      </w:r>
      <w:r w:rsidR="00424D24">
        <w:rPr>
          <w:rFonts w:cs="Times New Roman"/>
          <w:szCs w:val="24"/>
          <w:lang w:val="fr-CA"/>
        </w:rPr>
        <w:t>’</w:t>
      </w:r>
      <w:r w:rsidRPr="00AB3320">
        <w:rPr>
          <w:rFonts w:cs="Times New Roman"/>
          <w:szCs w:val="24"/>
          <w:lang w:val="fr-CA"/>
        </w:rPr>
        <w:t>issue du pourvoi tient à la question de savoir si le juge du procès s</w:t>
      </w:r>
      <w:r w:rsidR="00424D24">
        <w:rPr>
          <w:rFonts w:cs="Times New Roman"/>
          <w:szCs w:val="24"/>
          <w:lang w:val="fr-CA"/>
        </w:rPr>
        <w:t>’</w:t>
      </w:r>
      <w:r w:rsidRPr="00AB3320">
        <w:rPr>
          <w:rFonts w:cs="Times New Roman"/>
          <w:szCs w:val="24"/>
          <w:lang w:val="fr-CA"/>
        </w:rPr>
        <w:t>est fondé sur des considérations erronées en droit, a commis une erreur de fait susceptible de contrôle ou a rendu une décision «</w:t>
      </w:r>
      <w:r w:rsidR="00AB3320">
        <w:rPr>
          <w:rFonts w:cs="Times New Roman"/>
          <w:szCs w:val="24"/>
          <w:lang w:val="fr-CA"/>
        </w:rPr>
        <w:t xml:space="preserve"> </w:t>
      </w:r>
      <w:r w:rsidRPr="00AB3320">
        <w:rPr>
          <w:rFonts w:cs="Times New Roman"/>
          <w:szCs w:val="24"/>
          <w:lang w:val="fr-CA"/>
        </w:rPr>
        <w:t>erronée au point de créer une injustice</w:t>
      </w:r>
      <w:r w:rsidR="00AB3320">
        <w:rPr>
          <w:rFonts w:cs="Times New Roman"/>
          <w:szCs w:val="24"/>
          <w:lang w:val="fr-CA"/>
        </w:rPr>
        <w:t xml:space="preserve"> </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Selon moi, sa décision n</w:t>
      </w:r>
      <w:r w:rsidR="00424D24">
        <w:rPr>
          <w:rFonts w:cs="Times New Roman"/>
          <w:szCs w:val="24"/>
          <w:lang w:val="fr-CA"/>
        </w:rPr>
        <w:t>’</w:t>
      </w:r>
      <w:r w:rsidRPr="00AB3320">
        <w:rPr>
          <w:rFonts w:cs="Times New Roman"/>
          <w:szCs w:val="24"/>
          <w:lang w:val="fr-CA"/>
        </w:rPr>
        <w:t>est entachée d</w:t>
      </w:r>
      <w:r w:rsidR="00424D24">
        <w:rPr>
          <w:rFonts w:cs="Times New Roman"/>
          <w:szCs w:val="24"/>
          <w:lang w:val="fr-CA"/>
        </w:rPr>
        <w:t>’</w:t>
      </w:r>
      <w:r w:rsidRPr="00AB3320">
        <w:rPr>
          <w:rFonts w:cs="Times New Roman"/>
          <w:szCs w:val="24"/>
          <w:lang w:val="fr-CA"/>
        </w:rPr>
        <w:t>aucune de ces erreurs fatales.</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juge du procès énonce d</w:t>
      </w:r>
      <w:r w:rsidR="00424D24">
        <w:rPr>
          <w:rFonts w:cs="Times New Roman"/>
          <w:szCs w:val="24"/>
          <w:lang w:val="fr-CA"/>
        </w:rPr>
        <w:t>’</w:t>
      </w:r>
      <w:r w:rsidRPr="00AB3320">
        <w:rPr>
          <w:rFonts w:cs="Times New Roman"/>
          <w:szCs w:val="24"/>
          <w:lang w:val="fr-CA"/>
        </w:rPr>
        <w:t>abord clairement et correctement les principes de droit et la jurisprudence applicables, puis il examine les éléments pertinents à la lumière de la preuve offerte.</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Il appert de la teneur de son analyse que, pour lui, l</w:t>
      </w:r>
      <w:r w:rsidR="00424D24">
        <w:rPr>
          <w:rFonts w:cs="Times New Roman"/>
          <w:szCs w:val="24"/>
          <w:lang w:val="fr-CA"/>
        </w:rPr>
        <w:t>’</w:t>
      </w:r>
      <w:r w:rsidRPr="00AB3320">
        <w:rPr>
          <w:rFonts w:cs="Times New Roman"/>
          <w:szCs w:val="24"/>
          <w:lang w:val="fr-CA"/>
        </w:rPr>
        <w:t>atteinte aux droits constitutionnels considérée en l</w:t>
      </w:r>
      <w:r w:rsidR="00424D24">
        <w:rPr>
          <w:rFonts w:cs="Times New Roman"/>
          <w:szCs w:val="24"/>
          <w:lang w:val="fr-CA"/>
        </w:rPr>
        <w:t>’</w:t>
      </w:r>
      <w:r w:rsidRPr="00AB3320">
        <w:rPr>
          <w:rFonts w:cs="Times New Roman"/>
          <w:szCs w:val="24"/>
          <w:lang w:val="fr-CA"/>
        </w:rPr>
        <w:t>espèce fait partie des cas «</w:t>
      </w:r>
      <w:r w:rsidR="00AB3320">
        <w:rPr>
          <w:rFonts w:cs="Times New Roman"/>
          <w:szCs w:val="24"/>
          <w:lang w:val="fr-CA"/>
        </w:rPr>
        <w:t xml:space="preserve"> </w:t>
      </w:r>
      <w:r w:rsidRPr="00AB3320">
        <w:rPr>
          <w:rFonts w:cs="Times New Roman"/>
          <w:szCs w:val="24"/>
          <w:lang w:val="fr-CA"/>
        </w:rPr>
        <w:t>résiduels</w:t>
      </w:r>
      <w:r w:rsidR="00AB3320">
        <w:rPr>
          <w:rFonts w:cs="Times New Roman"/>
          <w:szCs w:val="24"/>
          <w:lang w:val="fr-CA"/>
        </w:rPr>
        <w:t xml:space="preserve"> </w:t>
      </w:r>
      <w:r w:rsidRPr="00AB3320">
        <w:rPr>
          <w:rFonts w:cs="Times New Roman"/>
          <w:szCs w:val="24"/>
          <w:lang w:val="fr-CA"/>
        </w:rPr>
        <w:t>» et «</w:t>
      </w:r>
      <w:r w:rsidR="00AB3320">
        <w:rPr>
          <w:rFonts w:cs="Times New Roman"/>
          <w:szCs w:val="24"/>
          <w:lang w:val="fr-CA"/>
        </w:rPr>
        <w:t xml:space="preserve"> </w:t>
      </w:r>
      <w:r w:rsidRPr="00AB3320">
        <w:rPr>
          <w:rFonts w:cs="Times New Roman"/>
          <w:szCs w:val="24"/>
          <w:lang w:val="fr-CA"/>
        </w:rPr>
        <w:t>exceptionnels</w:t>
      </w:r>
      <w:r w:rsidR="00AB3320">
        <w:rPr>
          <w:rFonts w:cs="Times New Roman"/>
          <w:szCs w:val="24"/>
          <w:lang w:val="fr-CA"/>
        </w:rPr>
        <w:t xml:space="preserve"> </w:t>
      </w:r>
      <w:r w:rsidRPr="00AB3320">
        <w:rPr>
          <w:rFonts w:cs="Times New Roman"/>
          <w:szCs w:val="24"/>
          <w:lang w:val="fr-CA"/>
        </w:rPr>
        <w:t>» où la conduite reprochée est «</w:t>
      </w:r>
      <w:r w:rsidR="00AB3320">
        <w:rPr>
          <w:rFonts w:cs="Times New Roman"/>
          <w:szCs w:val="24"/>
          <w:lang w:val="fr-CA"/>
        </w:rPr>
        <w:t xml:space="preserve"> </w:t>
      </w:r>
      <w:r w:rsidRPr="00AB3320">
        <w:rPr>
          <w:rFonts w:cs="Times New Roman"/>
          <w:szCs w:val="24"/>
          <w:lang w:val="fr-CA"/>
        </w:rPr>
        <w:t>si grave que le simple fait de poursuivre le procès serait choquant</w:t>
      </w:r>
      <w:r w:rsidR="00AB3320">
        <w:rPr>
          <w:rFonts w:cs="Times New Roman"/>
          <w:szCs w:val="24"/>
          <w:lang w:val="fr-CA"/>
        </w:rPr>
        <w:t xml:space="preserve"> </w:t>
      </w:r>
      <w:r w:rsidRPr="00AB3320">
        <w:rPr>
          <w:rFonts w:cs="Times New Roman"/>
          <w:szCs w:val="24"/>
          <w:lang w:val="fr-CA"/>
        </w:rPr>
        <w:t>» (</w:t>
      </w:r>
      <w:proofErr w:type="spellStart"/>
      <w:r w:rsidRPr="00AB3320">
        <w:rPr>
          <w:rFonts w:cs="Times New Roman"/>
          <w:i/>
          <w:szCs w:val="24"/>
          <w:lang w:val="fr-CA"/>
        </w:rPr>
        <w:t>Tobiass</w:t>
      </w:r>
      <w:proofErr w:type="spellEnd"/>
      <w:r w:rsidRPr="00AB3320">
        <w:rPr>
          <w:rFonts w:cs="Times New Roman"/>
          <w:szCs w:val="24"/>
          <w:lang w:val="fr-CA"/>
        </w:rPr>
        <w:t>, par.</w:t>
      </w:r>
      <w:r w:rsidR="00424D24">
        <w:rPr>
          <w:rFonts w:cs="Times New Roman"/>
          <w:szCs w:val="24"/>
          <w:lang w:val="fr-CA"/>
        </w:rPr>
        <w:t> </w:t>
      </w:r>
      <w:r w:rsidRPr="00AB3320">
        <w:rPr>
          <w:rFonts w:cs="Times New Roman"/>
          <w:szCs w:val="24"/>
          <w:lang w:val="fr-CA"/>
        </w:rPr>
        <w:t>91).</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juge du procès estime que les citoyens seraient outrés par le châtiment extrajudiciaire infligé illégalement dans la présente affaire.</w:t>
      </w:r>
      <w:r w:rsidR="00AB3320">
        <w:rPr>
          <w:rFonts w:cs="Times New Roman"/>
          <w:szCs w:val="24"/>
          <w:lang w:val="fr-CA"/>
        </w:rPr>
        <w:t xml:space="preserve"> </w:t>
      </w:r>
      <w:r w:rsidRPr="00AB3320">
        <w:rPr>
          <w:rFonts w:cs="Times New Roman"/>
          <w:szCs w:val="24"/>
          <w:lang w:val="fr-CA"/>
        </w:rPr>
        <w:t>M.</w:t>
      </w:r>
      <w:r w:rsidR="00AB3320">
        <w:rPr>
          <w:rFonts w:cs="Times New Roman"/>
          <w:szCs w:val="24"/>
          <w:lang w:val="fr-CA"/>
        </w:rPr>
        <w:t xml:space="preserve"> </w:t>
      </w:r>
      <w:r w:rsidRPr="00AB3320">
        <w:rPr>
          <w:rFonts w:cs="Times New Roman"/>
          <w:szCs w:val="24"/>
          <w:lang w:val="fr-CA"/>
        </w:rPr>
        <w:t>Bellusci a été agressé par un représentant de l</w:t>
      </w:r>
      <w:r w:rsidR="00424D24">
        <w:rPr>
          <w:rFonts w:cs="Times New Roman"/>
          <w:szCs w:val="24"/>
          <w:lang w:val="fr-CA"/>
        </w:rPr>
        <w:t>’</w:t>
      </w:r>
      <w:r w:rsidRPr="00AB3320">
        <w:rPr>
          <w:rFonts w:cs="Times New Roman"/>
          <w:szCs w:val="24"/>
          <w:lang w:val="fr-CA"/>
        </w:rPr>
        <w:t>État alors qu</w:t>
      </w:r>
      <w:r w:rsidR="00424D24">
        <w:rPr>
          <w:rFonts w:cs="Times New Roman"/>
          <w:szCs w:val="24"/>
          <w:lang w:val="fr-CA"/>
        </w:rPr>
        <w:t>’</w:t>
      </w:r>
      <w:r w:rsidRPr="00AB3320">
        <w:rPr>
          <w:rFonts w:cs="Times New Roman"/>
          <w:szCs w:val="24"/>
          <w:lang w:val="fr-CA"/>
        </w:rPr>
        <w:t>il était enchaîné, menotté, entravé aux pieds et enfermé dans une cellule d</w:t>
      </w:r>
      <w:r w:rsidR="00424D24">
        <w:rPr>
          <w:rFonts w:cs="Times New Roman"/>
          <w:szCs w:val="24"/>
          <w:lang w:val="fr-CA"/>
        </w:rPr>
        <w:t>’</w:t>
      </w:r>
      <w:r w:rsidRPr="00AB3320">
        <w:rPr>
          <w:rFonts w:cs="Times New Roman"/>
          <w:szCs w:val="24"/>
          <w:lang w:val="fr-CA"/>
        </w:rPr>
        <w:t>un fourgon sécurisé.</w:t>
      </w:r>
      <w:r w:rsidR="00AB3320">
        <w:rPr>
          <w:rFonts w:cs="Times New Roman"/>
          <w:szCs w:val="24"/>
          <w:lang w:val="fr-CA"/>
        </w:rPr>
        <w:t xml:space="preserve"> </w:t>
      </w:r>
      <w:r w:rsidRPr="00AB3320">
        <w:rPr>
          <w:rFonts w:cs="Times New Roman"/>
          <w:szCs w:val="24"/>
          <w:lang w:val="fr-CA"/>
        </w:rPr>
        <w:t>Le juge conclut que l</w:t>
      </w:r>
      <w:r w:rsidR="00424D24">
        <w:rPr>
          <w:rFonts w:cs="Times New Roman"/>
          <w:szCs w:val="24"/>
          <w:lang w:val="fr-CA"/>
        </w:rPr>
        <w:t>’</w:t>
      </w:r>
      <w:r w:rsidRPr="00AB3320">
        <w:rPr>
          <w:rFonts w:cs="Times New Roman"/>
          <w:szCs w:val="24"/>
          <w:lang w:val="fr-CA"/>
        </w:rPr>
        <w:t>agent de détention a vraisemblablement décidé de se venger et de faire «</w:t>
      </w:r>
      <w:r w:rsidR="00AB3320">
        <w:rPr>
          <w:rFonts w:cs="Times New Roman"/>
          <w:szCs w:val="24"/>
          <w:lang w:val="fr-CA"/>
        </w:rPr>
        <w:t xml:space="preserve"> </w:t>
      </w:r>
      <w:r w:rsidRPr="00AB3320">
        <w:rPr>
          <w:rFonts w:cs="Times New Roman"/>
          <w:szCs w:val="24"/>
          <w:lang w:val="fr-CA"/>
        </w:rPr>
        <w:t>payer physiquement</w:t>
      </w:r>
      <w:r w:rsidR="00AB3320">
        <w:rPr>
          <w:rFonts w:cs="Times New Roman"/>
          <w:szCs w:val="24"/>
          <w:lang w:val="fr-CA"/>
        </w:rPr>
        <w:t xml:space="preserve"> </w:t>
      </w:r>
      <w:r w:rsidRPr="00AB3320">
        <w:rPr>
          <w:rFonts w:cs="Times New Roman"/>
          <w:szCs w:val="24"/>
          <w:lang w:val="fr-CA"/>
        </w:rPr>
        <w:t>» à M.</w:t>
      </w:r>
      <w:r w:rsidR="00AB3320">
        <w:rPr>
          <w:rFonts w:cs="Times New Roman"/>
          <w:szCs w:val="24"/>
          <w:lang w:val="fr-CA"/>
        </w:rPr>
        <w:t xml:space="preserve"> </w:t>
      </w:r>
      <w:r w:rsidRPr="00AB3320">
        <w:rPr>
          <w:rFonts w:cs="Times New Roman"/>
          <w:szCs w:val="24"/>
          <w:lang w:val="fr-CA"/>
        </w:rPr>
        <w:t>Bellusci son comportement outrancier (par.</w:t>
      </w:r>
      <w:r w:rsidR="00AB3320">
        <w:rPr>
          <w:rFonts w:cs="Times New Roman"/>
          <w:szCs w:val="24"/>
          <w:lang w:val="fr-CA"/>
        </w:rPr>
        <w:t xml:space="preserve"> </w:t>
      </w:r>
      <w:r w:rsidRPr="00AB3320">
        <w:rPr>
          <w:rFonts w:cs="Times New Roman"/>
          <w:szCs w:val="24"/>
          <w:lang w:val="fr-CA"/>
        </w:rPr>
        <w:t>21).</w:t>
      </w:r>
      <w:r w:rsidR="00AB3320">
        <w:rPr>
          <w:rFonts w:cs="Times New Roman"/>
          <w:szCs w:val="24"/>
          <w:lang w:val="fr-CA"/>
        </w:rPr>
        <w:t xml:space="preserve"> </w:t>
      </w:r>
      <w:r w:rsidRPr="00AB3320">
        <w:rPr>
          <w:rFonts w:cs="Times New Roman"/>
          <w:szCs w:val="24"/>
          <w:lang w:val="fr-CA"/>
        </w:rPr>
        <w:t>Les blessures infligées à ce dernier sont loin d</w:t>
      </w:r>
      <w:r w:rsidR="00424D24">
        <w:rPr>
          <w:rFonts w:cs="Times New Roman"/>
          <w:szCs w:val="24"/>
          <w:lang w:val="fr-CA"/>
        </w:rPr>
        <w:t>’</w:t>
      </w:r>
      <w:r w:rsidRPr="00AB3320">
        <w:rPr>
          <w:rFonts w:cs="Times New Roman"/>
          <w:szCs w:val="24"/>
          <w:lang w:val="fr-CA"/>
        </w:rPr>
        <w:t>être mineures.</w:t>
      </w:r>
      <w:r w:rsidR="00AB3320">
        <w:rPr>
          <w:rFonts w:cs="Times New Roman"/>
          <w:szCs w:val="24"/>
          <w:lang w:val="fr-CA"/>
        </w:rPr>
        <w:t xml:space="preserve"> </w:t>
      </w:r>
      <w:r w:rsidRPr="00AB3320">
        <w:rPr>
          <w:rFonts w:cs="Times New Roman"/>
          <w:szCs w:val="24"/>
          <w:lang w:val="fr-CA"/>
        </w:rPr>
        <w:t>On a relevé des «</w:t>
      </w:r>
      <w:r w:rsidR="00AB3320">
        <w:rPr>
          <w:rFonts w:cs="Times New Roman"/>
          <w:szCs w:val="24"/>
          <w:lang w:val="fr-CA"/>
        </w:rPr>
        <w:t xml:space="preserve"> </w:t>
      </w:r>
      <w:r w:rsidRPr="00AB3320">
        <w:rPr>
          <w:rFonts w:cs="Times New Roman"/>
          <w:szCs w:val="24"/>
          <w:lang w:val="fr-CA"/>
        </w:rPr>
        <w:t>traces d</w:t>
      </w:r>
      <w:r w:rsidR="00424D24">
        <w:rPr>
          <w:rFonts w:cs="Times New Roman"/>
          <w:szCs w:val="24"/>
          <w:lang w:val="fr-CA"/>
        </w:rPr>
        <w:t>’</w:t>
      </w:r>
      <w:r w:rsidRPr="00AB3320">
        <w:rPr>
          <w:rFonts w:cs="Times New Roman"/>
          <w:szCs w:val="24"/>
          <w:lang w:val="fr-CA"/>
        </w:rPr>
        <w:t xml:space="preserve">empreintes de grillage </w:t>
      </w:r>
      <w:r w:rsidRPr="00AB3320">
        <w:rPr>
          <w:rFonts w:cs="Times New Roman"/>
          <w:szCs w:val="24"/>
          <w:lang w:val="fr-CA"/>
        </w:rPr>
        <w:lastRenderedPageBreak/>
        <w:t>avec pétéchies sur le derrière de l</w:t>
      </w:r>
      <w:r w:rsidR="00424D24">
        <w:rPr>
          <w:rFonts w:cs="Times New Roman"/>
          <w:szCs w:val="24"/>
          <w:lang w:val="fr-CA"/>
        </w:rPr>
        <w:t>’</w:t>
      </w:r>
      <w:r w:rsidRPr="00AB3320">
        <w:rPr>
          <w:rFonts w:cs="Times New Roman"/>
          <w:szCs w:val="24"/>
          <w:lang w:val="fr-CA"/>
        </w:rPr>
        <w:t>épaule gauche au niveau de l</w:t>
      </w:r>
      <w:r w:rsidR="00424D24">
        <w:rPr>
          <w:rFonts w:cs="Times New Roman"/>
          <w:szCs w:val="24"/>
          <w:lang w:val="fr-CA"/>
        </w:rPr>
        <w:t>’</w:t>
      </w:r>
      <w:r w:rsidRPr="00AB3320">
        <w:rPr>
          <w:rFonts w:cs="Times New Roman"/>
          <w:szCs w:val="24"/>
          <w:lang w:val="fr-CA"/>
        </w:rPr>
        <w:t>omoplate, [des] blessures entraînant des déformations de l</w:t>
      </w:r>
      <w:r w:rsidR="00424D24">
        <w:rPr>
          <w:rFonts w:cs="Times New Roman"/>
          <w:szCs w:val="24"/>
          <w:lang w:val="fr-CA"/>
        </w:rPr>
        <w:t>’</w:t>
      </w:r>
      <w:r w:rsidRPr="00AB3320">
        <w:rPr>
          <w:rFonts w:cs="Times New Roman"/>
          <w:szCs w:val="24"/>
          <w:lang w:val="fr-CA"/>
        </w:rPr>
        <w:t>avant</w:t>
      </w:r>
      <w:r w:rsidR="0035610D" w:rsidRPr="00AB3320">
        <w:rPr>
          <w:rFonts w:cs="Times New Roman"/>
          <w:szCs w:val="24"/>
          <w:lang w:val="fr-CA"/>
        </w:rPr>
        <w:t>-</w:t>
      </w:r>
      <w:r w:rsidRPr="00AB3320">
        <w:rPr>
          <w:rFonts w:cs="Times New Roman"/>
          <w:szCs w:val="24"/>
          <w:lang w:val="fr-CA"/>
        </w:rPr>
        <w:t>bras gauche [et des] bosses et blessures à la tête et au cou</w:t>
      </w:r>
      <w:r w:rsidR="00AB3320">
        <w:rPr>
          <w:rFonts w:cs="Times New Roman"/>
          <w:szCs w:val="24"/>
          <w:lang w:val="fr-CA"/>
        </w:rPr>
        <w:t xml:space="preserve"> </w:t>
      </w:r>
      <w:r w:rsidRPr="00AB3320">
        <w:rPr>
          <w:rFonts w:cs="Times New Roman"/>
          <w:szCs w:val="24"/>
          <w:lang w:val="fr-CA"/>
        </w:rPr>
        <w:t>» (par.</w:t>
      </w:r>
      <w:r w:rsidR="00AB3320">
        <w:rPr>
          <w:rFonts w:cs="Times New Roman"/>
          <w:szCs w:val="24"/>
          <w:lang w:val="fr-CA"/>
        </w:rPr>
        <w:t xml:space="preserve"> </w:t>
      </w:r>
      <w:r w:rsidRPr="00AB3320">
        <w:rPr>
          <w:rFonts w:cs="Times New Roman"/>
          <w:szCs w:val="24"/>
          <w:lang w:val="fr-CA"/>
        </w:rPr>
        <w:t>34).</w:t>
      </w:r>
      <w:r w:rsidR="00AB3320">
        <w:rPr>
          <w:rFonts w:cs="Times New Roman"/>
          <w:szCs w:val="24"/>
          <w:lang w:val="fr-CA"/>
        </w:rPr>
        <w:t xml:space="preserve"> </w:t>
      </w:r>
      <w:r w:rsidRPr="00AB3320">
        <w:rPr>
          <w:rFonts w:cs="Times New Roman"/>
          <w:szCs w:val="24"/>
          <w:lang w:val="fr-CA"/>
        </w:rPr>
        <w:t>En raison de sa blessure à la tête, M.</w:t>
      </w:r>
      <w:r w:rsidR="00AB3320">
        <w:rPr>
          <w:rFonts w:cs="Times New Roman"/>
          <w:szCs w:val="24"/>
          <w:lang w:val="fr-CA"/>
        </w:rPr>
        <w:t xml:space="preserve"> </w:t>
      </w:r>
      <w:r w:rsidRPr="00AB3320">
        <w:rPr>
          <w:rFonts w:cs="Times New Roman"/>
          <w:szCs w:val="24"/>
          <w:lang w:val="fr-CA"/>
        </w:rPr>
        <w:t>Bellusci est demeuré sous observation toute une nuit à l</w:t>
      </w:r>
      <w:r w:rsidR="00424D24">
        <w:rPr>
          <w:rFonts w:cs="Times New Roman"/>
          <w:szCs w:val="24"/>
          <w:lang w:val="fr-CA"/>
        </w:rPr>
        <w:t>’</w:t>
      </w:r>
      <w:r w:rsidRPr="00AB3320">
        <w:rPr>
          <w:rFonts w:cs="Times New Roman"/>
          <w:szCs w:val="24"/>
          <w:lang w:val="fr-CA"/>
        </w:rPr>
        <w:t>infirmerie de la prison.</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juge du procès se dit convaincu que les menaces de l</w:t>
      </w:r>
      <w:r w:rsidR="00424D24">
        <w:rPr>
          <w:rFonts w:cs="Times New Roman"/>
          <w:szCs w:val="24"/>
          <w:lang w:val="fr-CA"/>
        </w:rPr>
        <w:t>’</w:t>
      </w:r>
      <w:r w:rsidRPr="00AB3320">
        <w:rPr>
          <w:rFonts w:cs="Times New Roman"/>
          <w:szCs w:val="24"/>
          <w:lang w:val="fr-CA"/>
        </w:rPr>
        <w:t>appelant, aussi répréhensibles qu</w:t>
      </w:r>
      <w:r w:rsidR="00424D24">
        <w:rPr>
          <w:rFonts w:cs="Times New Roman"/>
          <w:szCs w:val="24"/>
          <w:lang w:val="fr-CA"/>
        </w:rPr>
        <w:t>’</w:t>
      </w:r>
      <w:r w:rsidRPr="00AB3320">
        <w:rPr>
          <w:rFonts w:cs="Times New Roman"/>
          <w:szCs w:val="24"/>
          <w:lang w:val="fr-CA"/>
        </w:rPr>
        <w:t>elles aient été, n</w:t>
      </w:r>
      <w:r w:rsidR="00424D24">
        <w:rPr>
          <w:rFonts w:cs="Times New Roman"/>
          <w:szCs w:val="24"/>
          <w:lang w:val="fr-CA"/>
        </w:rPr>
        <w:t>’</w:t>
      </w:r>
      <w:r w:rsidRPr="00AB3320">
        <w:rPr>
          <w:rFonts w:cs="Times New Roman"/>
          <w:szCs w:val="24"/>
          <w:lang w:val="fr-CA"/>
        </w:rPr>
        <w:t>auraient vraisemblablement pas été proférées si M.</w:t>
      </w:r>
      <w:r w:rsidR="00AB3320">
        <w:rPr>
          <w:rFonts w:cs="Times New Roman"/>
          <w:szCs w:val="24"/>
          <w:lang w:val="fr-CA"/>
        </w:rPr>
        <w:t xml:space="preserve"> </w:t>
      </w:r>
      <w:r w:rsidRPr="00AB3320">
        <w:rPr>
          <w:rFonts w:cs="Times New Roman"/>
          <w:szCs w:val="24"/>
          <w:lang w:val="fr-CA"/>
        </w:rPr>
        <w:t>Asselin n</w:t>
      </w:r>
      <w:r w:rsidR="00424D24">
        <w:rPr>
          <w:rFonts w:cs="Times New Roman"/>
          <w:szCs w:val="24"/>
          <w:lang w:val="fr-CA"/>
        </w:rPr>
        <w:t>’</w:t>
      </w:r>
      <w:r w:rsidRPr="00AB3320">
        <w:rPr>
          <w:rFonts w:cs="Times New Roman"/>
          <w:szCs w:val="24"/>
          <w:lang w:val="fr-CA"/>
        </w:rPr>
        <w:t>avait pas inopportunément dévoilé aux autres détenus à bord du fourgon que l</w:t>
      </w:r>
      <w:r w:rsidR="00424D24">
        <w:rPr>
          <w:rFonts w:cs="Times New Roman"/>
          <w:szCs w:val="24"/>
          <w:lang w:val="fr-CA"/>
        </w:rPr>
        <w:t>’</w:t>
      </w:r>
      <w:r w:rsidRPr="00AB3320">
        <w:rPr>
          <w:rFonts w:cs="Times New Roman"/>
          <w:szCs w:val="24"/>
          <w:lang w:val="fr-CA"/>
        </w:rPr>
        <w:t>appelant était un délinquant sexuel.</w:t>
      </w:r>
      <w:r w:rsidR="00AB3320">
        <w:rPr>
          <w:rFonts w:cs="Times New Roman"/>
          <w:szCs w:val="24"/>
          <w:lang w:val="fr-CA"/>
        </w:rPr>
        <w:t xml:space="preserve"> </w:t>
      </w:r>
      <w:r w:rsidRPr="00AB3320">
        <w:rPr>
          <w:rFonts w:cs="Times New Roman"/>
          <w:szCs w:val="24"/>
          <w:lang w:val="fr-CA"/>
        </w:rPr>
        <w:t>Il est certes conscient de la difficulté inhérente au travail de gardien de prison, mais celle-ci ne pouvait justifier M.</w:t>
      </w:r>
      <w:r w:rsidR="00AB3320">
        <w:rPr>
          <w:rFonts w:cs="Times New Roman"/>
          <w:szCs w:val="24"/>
          <w:lang w:val="fr-CA"/>
        </w:rPr>
        <w:t xml:space="preserve"> </w:t>
      </w:r>
      <w:r w:rsidRPr="00AB3320">
        <w:rPr>
          <w:rFonts w:cs="Times New Roman"/>
          <w:szCs w:val="24"/>
          <w:lang w:val="fr-CA"/>
        </w:rPr>
        <w:t>Asselin de faire un dévoilement qui compromettait la sécurité de M.</w:t>
      </w:r>
      <w:r w:rsidR="00AB3320">
        <w:rPr>
          <w:rFonts w:cs="Times New Roman"/>
          <w:szCs w:val="24"/>
          <w:lang w:val="fr-CA"/>
        </w:rPr>
        <w:t xml:space="preserve"> </w:t>
      </w:r>
      <w:r w:rsidRPr="00AB3320">
        <w:rPr>
          <w:rFonts w:cs="Times New Roman"/>
          <w:szCs w:val="24"/>
          <w:lang w:val="fr-CA"/>
        </w:rPr>
        <w:t>Bellusci pendant son incarcération.</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Selon le juge, la réticence et l</w:t>
      </w:r>
      <w:r w:rsidR="00424D24">
        <w:rPr>
          <w:rFonts w:cs="Times New Roman"/>
          <w:szCs w:val="24"/>
          <w:lang w:val="fr-CA"/>
        </w:rPr>
        <w:t>’</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attitude sclérosée de solidarité</w:t>
      </w:r>
      <w:r w:rsidR="00AB3320">
        <w:rPr>
          <w:rFonts w:cs="Times New Roman"/>
          <w:szCs w:val="24"/>
          <w:lang w:val="fr-CA"/>
        </w:rPr>
        <w:t xml:space="preserve"> </w:t>
      </w:r>
      <w:r w:rsidRPr="00AB3320">
        <w:rPr>
          <w:rFonts w:cs="Times New Roman"/>
          <w:szCs w:val="24"/>
          <w:lang w:val="fr-CA"/>
        </w:rPr>
        <w:t>» qui ont caractérisé le témoignage au procès des collègues de M.</w:t>
      </w:r>
      <w:r w:rsidR="00AB3320">
        <w:rPr>
          <w:rFonts w:cs="Times New Roman"/>
          <w:szCs w:val="24"/>
          <w:lang w:val="fr-CA"/>
        </w:rPr>
        <w:t xml:space="preserve"> </w:t>
      </w:r>
      <w:r w:rsidRPr="00AB3320">
        <w:rPr>
          <w:rFonts w:cs="Times New Roman"/>
          <w:szCs w:val="24"/>
          <w:lang w:val="fr-CA"/>
        </w:rPr>
        <w:t>Asselin ont par ailleurs terni davantage l</w:t>
      </w:r>
      <w:r w:rsidR="00424D24">
        <w:rPr>
          <w:rFonts w:cs="Times New Roman"/>
          <w:szCs w:val="24"/>
          <w:lang w:val="fr-CA"/>
        </w:rPr>
        <w:t>’</w:t>
      </w:r>
      <w:r w:rsidRPr="00AB3320">
        <w:rPr>
          <w:rFonts w:cs="Times New Roman"/>
          <w:szCs w:val="24"/>
          <w:lang w:val="fr-CA"/>
        </w:rPr>
        <w:t>intégrité de notre système de justice (par.</w:t>
      </w:r>
      <w:r w:rsidR="00424D24">
        <w:rPr>
          <w:rFonts w:cs="Times New Roman"/>
          <w:szCs w:val="24"/>
          <w:lang w:val="fr-CA"/>
        </w:rPr>
        <w:t> </w:t>
      </w:r>
      <w:r w:rsidRPr="00AB3320">
        <w:rPr>
          <w:rFonts w:cs="Times New Roman"/>
          <w:szCs w:val="24"/>
          <w:lang w:val="fr-CA"/>
        </w:rPr>
        <w:t>79).</w:t>
      </w:r>
      <w:r w:rsid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 xml:space="preserve">Une fois </w:t>
      </w:r>
      <w:proofErr w:type="gramStart"/>
      <w:r w:rsidRPr="00AB3320">
        <w:rPr>
          <w:rFonts w:cs="Times New Roman"/>
          <w:szCs w:val="24"/>
          <w:lang w:val="fr-CA"/>
        </w:rPr>
        <w:t>arrivé</w:t>
      </w:r>
      <w:proofErr w:type="gramEnd"/>
      <w:r w:rsidRPr="00AB3320">
        <w:rPr>
          <w:rFonts w:cs="Times New Roman"/>
          <w:szCs w:val="24"/>
          <w:lang w:val="fr-CA"/>
        </w:rPr>
        <w:t xml:space="preserve"> à la conclusion que M.</w:t>
      </w:r>
      <w:r w:rsidR="00AB3320">
        <w:rPr>
          <w:rFonts w:cs="Times New Roman"/>
          <w:szCs w:val="24"/>
          <w:lang w:val="fr-CA"/>
        </w:rPr>
        <w:t xml:space="preserve"> </w:t>
      </w:r>
      <w:r w:rsidRPr="00AB3320">
        <w:rPr>
          <w:rFonts w:cs="Times New Roman"/>
          <w:szCs w:val="24"/>
          <w:lang w:val="fr-CA"/>
        </w:rPr>
        <w:t>Bellusci avait été provoqué par un représentant de l</w:t>
      </w:r>
      <w:r w:rsidR="00424D24">
        <w:rPr>
          <w:rFonts w:cs="Times New Roman"/>
          <w:szCs w:val="24"/>
          <w:lang w:val="fr-CA"/>
        </w:rPr>
        <w:t>’</w:t>
      </w:r>
      <w:r w:rsidRPr="00AB3320">
        <w:rPr>
          <w:rFonts w:cs="Times New Roman"/>
          <w:szCs w:val="24"/>
          <w:lang w:val="fr-CA"/>
        </w:rPr>
        <w:t>État puis soumis par ce dernier à un abus physique et psychologique intolérable, le juge du procès pouvait refuser de déclarer l</w:t>
      </w:r>
      <w:r w:rsidR="00424D24">
        <w:rPr>
          <w:rFonts w:cs="Times New Roman"/>
          <w:szCs w:val="24"/>
          <w:lang w:val="fr-CA"/>
        </w:rPr>
        <w:t>’</w:t>
      </w:r>
      <w:r w:rsidRPr="00AB3320">
        <w:rPr>
          <w:rFonts w:cs="Times New Roman"/>
          <w:szCs w:val="24"/>
          <w:lang w:val="fr-CA"/>
        </w:rPr>
        <w:t>accusé coupable de l</w:t>
      </w:r>
      <w:r w:rsidR="00424D24">
        <w:rPr>
          <w:rFonts w:cs="Times New Roman"/>
          <w:szCs w:val="24"/>
          <w:lang w:val="fr-CA"/>
        </w:rPr>
        <w:t>’</w:t>
      </w:r>
      <w:r w:rsidRPr="00AB3320">
        <w:rPr>
          <w:rFonts w:cs="Times New Roman"/>
          <w:szCs w:val="24"/>
          <w:lang w:val="fr-CA"/>
        </w:rPr>
        <w:t>infraction reprochée.</w:t>
      </w:r>
      <w:r w:rsidR="00AB3320">
        <w:rPr>
          <w:rFonts w:cs="Times New Roman"/>
          <w:szCs w:val="24"/>
          <w:lang w:val="fr-CA"/>
        </w:rPr>
        <w:t xml:space="preserve"> </w:t>
      </w:r>
      <w:r w:rsidRPr="00AB3320">
        <w:rPr>
          <w:rFonts w:cs="Times New Roman"/>
          <w:szCs w:val="24"/>
          <w:lang w:val="fr-CA"/>
        </w:rPr>
        <w:t>Dans l</w:t>
      </w:r>
      <w:r w:rsidR="00424D24">
        <w:rPr>
          <w:rFonts w:cs="Times New Roman"/>
          <w:szCs w:val="24"/>
          <w:lang w:val="fr-CA"/>
        </w:rPr>
        <w:t>’</w:t>
      </w:r>
      <w:r w:rsidRPr="00AB3320">
        <w:rPr>
          <w:rFonts w:cs="Times New Roman"/>
          <w:szCs w:val="24"/>
          <w:lang w:val="fr-CA"/>
        </w:rPr>
        <w:t xml:space="preserve">arrêt </w:t>
      </w:r>
      <w:proofErr w:type="spellStart"/>
      <w:r w:rsidRPr="00AB3320">
        <w:rPr>
          <w:rFonts w:cs="Times New Roman"/>
          <w:i/>
          <w:szCs w:val="24"/>
          <w:lang w:val="fr-CA"/>
        </w:rPr>
        <w:t>Tobiass</w:t>
      </w:r>
      <w:proofErr w:type="spellEnd"/>
      <w:r w:rsidRPr="00AB3320">
        <w:rPr>
          <w:rFonts w:cs="Times New Roman"/>
          <w:szCs w:val="24"/>
          <w:lang w:val="fr-CA"/>
        </w:rPr>
        <w:t>, la Cour dit que «</w:t>
      </w:r>
      <w:r w:rsidR="00AB3320">
        <w:rPr>
          <w:rFonts w:cs="Times New Roman"/>
          <w:szCs w:val="24"/>
          <w:lang w:val="fr-CA"/>
        </w:rPr>
        <w:t xml:space="preserve"> </w:t>
      </w:r>
      <w:r w:rsidRPr="00AB3320">
        <w:rPr>
          <w:rFonts w:cs="Times New Roman"/>
          <w:szCs w:val="24"/>
          <w:lang w:val="fr-CA"/>
        </w:rPr>
        <w:t>s</w:t>
      </w:r>
      <w:r w:rsidR="00424D24">
        <w:rPr>
          <w:rFonts w:cs="Times New Roman"/>
          <w:szCs w:val="24"/>
          <w:lang w:val="fr-CA"/>
        </w:rPr>
        <w:t>’</w:t>
      </w:r>
      <w:r w:rsidRPr="00AB3320">
        <w:rPr>
          <w:rFonts w:cs="Times New Roman"/>
          <w:szCs w:val="24"/>
          <w:lang w:val="fr-CA"/>
        </w:rPr>
        <w:t>il était suffisamment grave, un abus commis dans le passé pourrait ébranler la confiance du public dans l</w:t>
      </w:r>
      <w:r w:rsidR="00424D24">
        <w:rPr>
          <w:rFonts w:cs="Times New Roman"/>
          <w:szCs w:val="24"/>
          <w:lang w:val="fr-CA"/>
        </w:rPr>
        <w:t>’</w:t>
      </w:r>
      <w:r w:rsidRPr="00AB3320">
        <w:rPr>
          <w:rFonts w:cs="Times New Roman"/>
          <w:szCs w:val="24"/>
          <w:lang w:val="fr-CA"/>
        </w:rPr>
        <w:t>administration de la justice au point où le simple fait de poursuivre l</w:t>
      </w:r>
      <w:r w:rsidR="00424D24">
        <w:rPr>
          <w:rFonts w:cs="Times New Roman"/>
          <w:szCs w:val="24"/>
          <w:lang w:val="fr-CA"/>
        </w:rPr>
        <w:t>’</w:t>
      </w:r>
      <w:r w:rsidRPr="00AB3320">
        <w:rPr>
          <w:rFonts w:cs="Times New Roman"/>
          <w:szCs w:val="24"/>
          <w:lang w:val="fr-CA"/>
        </w:rPr>
        <w:t xml:space="preserve">instance </w:t>
      </w:r>
      <w:r w:rsidRPr="00AB3320">
        <w:rPr>
          <w:rFonts w:cs="Times New Roman"/>
          <w:szCs w:val="24"/>
          <w:lang w:val="fr-CA"/>
        </w:rPr>
        <w:lastRenderedPageBreak/>
        <w:t>constituerait un nouvel abus persistant justifiant la suspension des procédures</w:t>
      </w:r>
      <w:r w:rsidR="00AB3320">
        <w:rPr>
          <w:rFonts w:cs="Times New Roman"/>
          <w:szCs w:val="24"/>
          <w:lang w:val="fr-CA"/>
        </w:rPr>
        <w:t xml:space="preserve"> </w:t>
      </w:r>
      <w:r w:rsidRPr="00AB3320">
        <w:rPr>
          <w:rFonts w:cs="Times New Roman"/>
          <w:szCs w:val="24"/>
          <w:lang w:val="fr-CA"/>
        </w:rPr>
        <w:t>» (par.</w:t>
      </w:r>
      <w:r w:rsidR="00424D24">
        <w:rPr>
          <w:rFonts w:cs="Times New Roman"/>
          <w:szCs w:val="24"/>
          <w:lang w:val="fr-CA"/>
        </w:rPr>
        <w:t> </w:t>
      </w:r>
      <w:r w:rsidRPr="00AB3320">
        <w:rPr>
          <w:rFonts w:cs="Times New Roman"/>
          <w:szCs w:val="24"/>
          <w:lang w:val="fr-CA"/>
        </w:rPr>
        <w:t>96).</w:t>
      </w:r>
      <w:r w:rsid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Je ne puis donc souscrire à la conclusion de la Cour d</w:t>
      </w:r>
      <w:r w:rsidR="00424D24">
        <w:rPr>
          <w:rFonts w:cs="Times New Roman"/>
          <w:szCs w:val="24"/>
          <w:lang w:val="fr-CA"/>
        </w:rPr>
        <w:t>’</w:t>
      </w:r>
      <w:r w:rsidRPr="00AB3320">
        <w:rPr>
          <w:rFonts w:cs="Times New Roman"/>
          <w:szCs w:val="24"/>
          <w:lang w:val="fr-CA"/>
        </w:rPr>
        <w:t>appel selon laquelle, en ordonnant l</w:t>
      </w:r>
      <w:r w:rsidR="00424D24">
        <w:rPr>
          <w:rFonts w:cs="Times New Roman"/>
          <w:szCs w:val="24"/>
          <w:lang w:val="fr-CA"/>
        </w:rPr>
        <w:t>’</w:t>
      </w:r>
      <w:r w:rsidRPr="00AB3320">
        <w:rPr>
          <w:rFonts w:cs="Times New Roman"/>
          <w:szCs w:val="24"/>
          <w:lang w:val="fr-CA"/>
        </w:rPr>
        <w:t>arrêt des procédures, le juge du procès a commis une erreur susceptible de contrôle en ce qu</w:t>
      </w:r>
      <w:r w:rsidR="00424D24">
        <w:rPr>
          <w:rFonts w:cs="Times New Roman"/>
          <w:szCs w:val="24"/>
          <w:lang w:val="fr-CA"/>
        </w:rPr>
        <w:t>’</w:t>
      </w:r>
      <w:r w:rsidRPr="00AB3320">
        <w:rPr>
          <w:rFonts w:cs="Times New Roman"/>
          <w:szCs w:val="24"/>
          <w:lang w:val="fr-CA"/>
        </w:rPr>
        <w:t>il a fait abstraction du «</w:t>
      </w:r>
      <w:r w:rsidR="00AB3320">
        <w:rPr>
          <w:rFonts w:cs="Times New Roman"/>
          <w:szCs w:val="24"/>
          <w:lang w:val="fr-CA"/>
        </w:rPr>
        <w:t xml:space="preserve"> </w:t>
      </w:r>
      <w:r w:rsidRPr="00AB3320">
        <w:rPr>
          <w:rFonts w:cs="Times New Roman"/>
          <w:i/>
          <w:szCs w:val="24"/>
          <w:lang w:val="fr-CA"/>
        </w:rPr>
        <w:t xml:space="preserve">non </w:t>
      </w:r>
      <w:proofErr w:type="spellStart"/>
      <w:r w:rsidRPr="00AB3320">
        <w:rPr>
          <w:rFonts w:cs="Times New Roman"/>
          <w:i/>
          <w:szCs w:val="24"/>
          <w:lang w:val="fr-CA"/>
        </w:rPr>
        <w:t>sequitur</w:t>
      </w:r>
      <w:proofErr w:type="spellEnd"/>
      <w:r w:rsidR="00AB3320">
        <w:rPr>
          <w:rFonts w:cs="Times New Roman"/>
          <w:szCs w:val="24"/>
          <w:lang w:val="fr-CA"/>
        </w:rPr>
        <w:t xml:space="preserve"> </w:t>
      </w:r>
      <w:r w:rsidRPr="00AB3320">
        <w:rPr>
          <w:rFonts w:cs="Times New Roman"/>
          <w:szCs w:val="24"/>
          <w:lang w:val="fr-CA"/>
        </w:rPr>
        <w:t>» entre la conduite répréhensible de l</w:t>
      </w:r>
      <w:r w:rsidR="00424D24">
        <w:rPr>
          <w:rFonts w:cs="Times New Roman"/>
          <w:szCs w:val="24"/>
          <w:lang w:val="fr-CA"/>
        </w:rPr>
        <w:t>’</w:t>
      </w:r>
      <w:r w:rsidRPr="00AB3320">
        <w:rPr>
          <w:rFonts w:cs="Times New Roman"/>
          <w:szCs w:val="24"/>
          <w:lang w:val="fr-CA"/>
        </w:rPr>
        <w:t>État et l</w:t>
      </w:r>
      <w:r w:rsidR="00424D24">
        <w:rPr>
          <w:rFonts w:cs="Times New Roman"/>
          <w:szCs w:val="24"/>
          <w:lang w:val="fr-CA"/>
        </w:rPr>
        <w:t>’</w:t>
      </w:r>
      <w:r w:rsidRPr="00AB3320">
        <w:rPr>
          <w:rFonts w:cs="Times New Roman"/>
          <w:szCs w:val="24"/>
          <w:lang w:val="fr-CA"/>
        </w:rPr>
        <w:t>arrêt des procédures (par.</w:t>
      </w:r>
      <w:r w:rsidR="00424D24">
        <w:rPr>
          <w:rFonts w:cs="Times New Roman"/>
          <w:szCs w:val="24"/>
          <w:lang w:val="fr-CA"/>
        </w:rPr>
        <w:t> </w:t>
      </w:r>
      <w:r w:rsidRPr="00AB3320">
        <w:rPr>
          <w:rFonts w:cs="Times New Roman"/>
          <w:szCs w:val="24"/>
          <w:lang w:val="fr-CA"/>
        </w:rPr>
        <w:t>21).</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Je ne peux non plus convenir avec la Cour d</w:t>
      </w:r>
      <w:r w:rsidR="00424D24">
        <w:rPr>
          <w:rFonts w:cs="Times New Roman"/>
          <w:szCs w:val="24"/>
          <w:lang w:val="fr-CA"/>
        </w:rPr>
        <w:t>’</w:t>
      </w:r>
      <w:r w:rsidRPr="00AB3320">
        <w:rPr>
          <w:rFonts w:cs="Times New Roman"/>
          <w:szCs w:val="24"/>
          <w:lang w:val="fr-CA"/>
        </w:rPr>
        <w:t>appel que le juge du procès a eu tort de ne pas envisager une autre réparation moins drastique.</w:t>
      </w:r>
      <w:r w:rsidR="00AB3320">
        <w:rPr>
          <w:rFonts w:cs="Times New Roman"/>
          <w:szCs w:val="24"/>
          <w:lang w:val="fr-CA"/>
        </w:rPr>
        <w:t xml:space="preserve"> </w:t>
      </w:r>
      <w:r w:rsidRPr="00AB3320">
        <w:rPr>
          <w:rFonts w:cs="Times New Roman"/>
          <w:szCs w:val="24"/>
          <w:lang w:val="fr-CA"/>
        </w:rPr>
        <w:t>Au contraire, comme je le mentionne précédemment, il envisage expressément diverses solutions de rechange et conclut qu</w:t>
      </w:r>
      <w:r w:rsidR="00424D24">
        <w:rPr>
          <w:rFonts w:cs="Times New Roman"/>
          <w:szCs w:val="24"/>
          <w:lang w:val="fr-CA"/>
        </w:rPr>
        <w:t>’</w:t>
      </w:r>
      <w:r w:rsidRPr="00AB3320">
        <w:rPr>
          <w:rFonts w:cs="Times New Roman"/>
          <w:szCs w:val="24"/>
          <w:lang w:val="fr-CA"/>
        </w:rPr>
        <w:t xml:space="preserve">aucune ne convient dans les circonstances.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Compte tenu de la gravité et des conséquences des actes répréhensibles de l</w:t>
      </w:r>
      <w:r w:rsidR="00424D24">
        <w:rPr>
          <w:rFonts w:cs="Times New Roman"/>
          <w:szCs w:val="24"/>
          <w:lang w:val="fr-CA"/>
        </w:rPr>
        <w:t>’</w:t>
      </w:r>
      <w:r w:rsidRPr="00AB3320">
        <w:rPr>
          <w:rFonts w:cs="Times New Roman"/>
          <w:szCs w:val="24"/>
          <w:lang w:val="fr-CA"/>
        </w:rPr>
        <w:t>agent de détention, le juge du procès conclut que seul l</w:t>
      </w:r>
      <w:r w:rsidR="00424D24">
        <w:rPr>
          <w:rFonts w:cs="Times New Roman"/>
          <w:szCs w:val="24"/>
          <w:lang w:val="fr-CA"/>
        </w:rPr>
        <w:t>’</w:t>
      </w:r>
      <w:r w:rsidRPr="00AB3320">
        <w:rPr>
          <w:rFonts w:cs="Times New Roman"/>
          <w:szCs w:val="24"/>
          <w:lang w:val="fr-CA"/>
        </w:rPr>
        <w:t>arrêt des procédures est suffisant et approprié dans les circonstances.</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En outre, le juge du procès reconnaît la nécessité de mettre en balance les intérêts en jeu qui s</w:t>
      </w:r>
      <w:r w:rsidR="00424D24">
        <w:rPr>
          <w:rFonts w:cs="Times New Roman"/>
          <w:szCs w:val="24"/>
          <w:lang w:val="fr-CA"/>
        </w:rPr>
        <w:t>’</w:t>
      </w:r>
      <w:r w:rsidRPr="00AB3320">
        <w:rPr>
          <w:rFonts w:cs="Times New Roman"/>
          <w:szCs w:val="24"/>
          <w:lang w:val="fr-CA"/>
        </w:rPr>
        <w:t>opposent avant d</w:t>
      </w:r>
      <w:r w:rsidR="00424D24">
        <w:rPr>
          <w:rFonts w:cs="Times New Roman"/>
          <w:szCs w:val="24"/>
          <w:lang w:val="fr-CA"/>
        </w:rPr>
        <w:t>’</w:t>
      </w:r>
      <w:r w:rsidRPr="00AB3320">
        <w:rPr>
          <w:rFonts w:cs="Times New Roman"/>
          <w:szCs w:val="24"/>
          <w:lang w:val="fr-CA"/>
        </w:rPr>
        <w:t>ordonner l</w:t>
      </w:r>
      <w:r w:rsidR="00424D24">
        <w:rPr>
          <w:rFonts w:cs="Times New Roman"/>
          <w:szCs w:val="24"/>
          <w:lang w:val="fr-CA"/>
        </w:rPr>
        <w:t>’</w:t>
      </w:r>
      <w:r w:rsidRPr="00AB3320">
        <w:rPr>
          <w:rFonts w:cs="Times New Roman"/>
          <w:szCs w:val="24"/>
          <w:lang w:val="fr-CA"/>
        </w:rPr>
        <w:t>arrêt des procédures.</w:t>
      </w:r>
      <w:r w:rsidR="00AB3320">
        <w:rPr>
          <w:rFonts w:cs="Times New Roman"/>
          <w:szCs w:val="24"/>
          <w:lang w:val="fr-CA"/>
        </w:rPr>
        <w:t xml:space="preserve"> </w:t>
      </w:r>
      <w:r w:rsidRPr="00AB3320">
        <w:rPr>
          <w:rFonts w:cs="Times New Roman"/>
          <w:szCs w:val="24"/>
          <w:lang w:val="fr-CA"/>
        </w:rPr>
        <w:t>Il considère expressément la difficulté inhérente au travail d</w:t>
      </w:r>
      <w:r w:rsidR="00424D24">
        <w:rPr>
          <w:rFonts w:cs="Times New Roman"/>
          <w:szCs w:val="24"/>
          <w:lang w:val="fr-CA"/>
        </w:rPr>
        <w:t>’</w:t>
      </w:r>
      <w:r w:rsidRPr="00AB3320">
        <w:rPr>
          <w:rFonts w:cs="Times New Roman"/>
          <w:szCs w:val="24"/>
          <w:lang w:val="fr-CA"/>
        </w:rPr>
        <w:t>agent de détention, la nécessité que le système de justice assure la protection de ce dernier, la gravité des accusations portées contre l</w:t>
      </w:r>
      <w:r w:rsidR="00424D24">
        <w:rPr>
          <w:rFonts w:cs="Times New Roman"/>
          <w:szCs w:val="24"/>
          <w:lang w:val="fr-CA"/>
        </w:rPr>
        <w:t>’</w:t>
      </w:r>
      <w:r w:rsidRPr="00AB3320">
        <w:rPr>
          <w:rFonts w:cs="Times New Roman"/>
          <w:szCs w:val="24"/>
          <w:lang w:val="fr-CA"/>
        </w:rPr>
        <w:t>accusé, l</w:t>
      </w:r>
      <w:r w:rsidR="00424D24">
        <w:rPr>
          <w:rFonts w:cs="Times New Roman"/>
          <w:szCs w:val="24"/>
          <w:lang w:val="fr-CA"/>
        </w:rPr>
        <w:t>’</w:t>
      </w:r>
      <w:r w:rsidRPr="00AB3320">
        <w:rPr>
          <w:rFonts w:cs="Times New Roman"/>
          <w:szCs w:val="24"/>
          <w:lang w:val="fr-CA"/>
        </w:rPr>
        <w:t xml:space="preserve">intégrité du système de justice, ainsi que la nature et la </w:t>
      </w:r>
      <w:r w:rsidRPr="00AB3320">
        <w:rPr>
          <w:rFonts w:cs="Times New Roman"/>
          <w:szCs w:val="24"/>
          <w:lang w:val="fr-CA"/>
        </w:rPr>
        <w:lastRenderedPageBreak/>
        <w:t>gravité de l</w:t>
      </w:r>
      <w:r w:rsidR="00424D24">
        <w:rPr>
          <w:rFonts w:cs="Times New Roman"/>
          <w:szCs w:val="24"/>
          <w:lang w:val="fr-CA"/>
        </w:rPr>
        <w:t>’</w:t>
      </w:r>
      <w:r w:rsidRPr="00AB3320">
        <w:rPr>
          <w:rFonts w:cs="Times New Roman"/>
          <w:szCs w:val="24"/>
          <w:lang w:val="fr-CA"/>
        </w:rPr>
        <w:t>atteinte aux droits de M.</w:t>
      </w:r>
      <w:r w:rsidR="00AB3320">
        <w:rPr>
          <w:rFonts w:cs="Times New Roman"/>
          <w:szCs w:val="24"/>
          <w:lang w:val="fr-CA"/>
        </w:rPr>
        <w:t xml:space="preserve"> </w:t>
      </w:r>
      <w:r w:rsidRPr="00AB3320">
        <w:rPr>
          <w:rFonts w:cs="Times New Roman"/>
          <w:szCs w:val="24"/>
          <w:lang w:val="fr-CA"/>
        </w:rPr>
        <w:t>Bellusci.</w:t>
      </w:r>
      <w:r w:rsidR="00AB3320">
        <w:rPr>
          <w:rFonts w:cs="Times New Roman"/>
          <w:szCs w:val="24"/>
          <w:lang w:val="fr-CA"/>
        </w:rPr>
        <w:t xml:space="preserve"> </w:t>
      </w:r>
      <w:r w:rsidRPr="00AB3320">
        <w:rPr>
          <w:rFonts w:cs="Times New Roman"/>
          <w:szCs w:val="24"/>
          <w:lang w:val="fr-CA"/>
        </w:rPr>
        <w:t>Ce n</w:t>
      </w:r>
      <w:r w:rsidR="00424D24">
        <w:rPr>
          <w:rFonts w:cs="Times New Roman"/>
          <w:szCs w:val="24"/>
          <w:lang w:val="fr-CA"/>
        </w:rPr>
        <w:t>’</w:t>
      </w:r>
      <w:r w:rsidRPr="00AB3320">
        <w:rPr>
          <w:rFonts w:cs="Times New Roman"/>
          <w:szCs w:val="24"/>
          <w:lang w:val="fr-CA"/>
        </w:rPr>
        <w:t>est qu</w:t>
      </w:r>
      <w:r w:rsidR="00424D24">
        <w:rPr>
          <w:rFonts w:cs="Times New Roman"/>
          <w:szCs w:val="24"/>
          <w:lang w:val="fr-CA"/>
        </w:rPr>
        <w:t>’</w:t>
      </w:r>
      <w:r w:rsidRPr="00AB3320">
        <w:rPr>
          <w:rFonts w:cs="Times New Roman"/>
          <w:szCs w:val="24"/>
          <w:lang w:val="fr-CA"/>
        </w:rPr>
        <w:t>à l</w:t>
      </w:r>
      <w:r w:rsidR="00424D24">
        <w:rPr>
          <w:rFonts w:cs="Times New Roman"/>
          <w:szCs w:val="24"/>
          <w:lang w:val="fr-CA"/>
        </w:rPr>
        <w:t>’</w:t>
      </w:r>
      <w:r w:rsidRPr="00AB3320">
        <w:rPr>
          <w:rFonts w:cs="Times New Roman"/>
          <w:szCs w:val="24"/>
          <w:lang w:val="fr-CA"/>
        </w:rPr>
        <w:t>issue de cet examen qu</w:t>
      </w:r>
      <w:r w:rsidR="00424D24">
        <w:rPr>
          <w:rFonts w:cs="Times New Roman"/>
          <w:szCs w:val="24"/>
          <w:lang w:val="fr-CA"/>
        </w:rPr>
        <w:t>’</w:t>
      </w:r>
      <w:r w:rsidRPr="00AB3320">
        <w:rPr>
          <w:rFonts w:cs="Times New Roman"/>
          <w:szCs w:val="24"/>
          <w:lang w:val="fr-CA"/>
        </w:rPr>
        <w:t>il conclut que l</w:t>
      </w:r>
      <w:r w:rsidR="00424D24">
        <w:rPr>
          <w:rFonts w:cs="Times New Roman"/>
          <w:szCs w:val="24"/>
          <w:lang w:val="fr-CA"/>
        </w:rPr>
        <w:t>’</w:t>
      </w:r>
      <w:r w:rsidRPr="00AB3320">
        <w:rPr>
          <w:rFonts w:cs="Times New Roman"/>
          <w:szCs w:val="24"/>
          <w:lang w:val="fr-CA"/>
        </w:rPr>
        <w:t>arrêt des procédures est justifié.</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À l</w:t>
      </w:r>
      <w:r w:rsidR="00424D24">
        <w:rPr>
          <w:rFonts w:cs="Times New Roman"/>
          <w:szCs w:val="24"/>
          <w:lang w:val="fr-CA"/>
        </w:rPr>
        <w:t>’</w:t>
      </w:r>
      <w:r w:rsidRPr="00AB3320">
        <w:rPr>
          <w:rFonts w:cs="Times New Roman"/>
          <w:szCs w:val="24"/>
          <w:lang w:val="fr-CA"/>
        </w:rPr>
        <w:t>instar de la Cour d</w:t>
      </w:r>
      <w:r w:rsidR="00424D24">
        <w:rPr>
          <w:rFonts w:cs="Times New Roman"/>
          <w:szCs w:val="24"/>
          <w:lang w:val="fr-CA"/>
        </w:rPr>
        <w:t>’</w:t>
      </w:r>
      <w:r w:rsidRPr="00AB3320">
        <w:rPr>
          <w:rFonts w:cs="Times New Roman"/>
          <w:szCs w:val="24"/>
          <w:lang w:val="fr-CA"/>
        </w:rPr>
        <w:t>appel, j</w:t>
      </w:r>
      <w:r w:rsidR="00424D24">
        <w:rPr>
          <w:rFonts w:cs="Times New Roman"/>
          <w:szCs w:val="24"/>
          <w:lang w:val="fr-CA"/>
        </w:rPr>
        <w:t>’</w:t>
      </w:r>
      <w:r w:rsidRPr="00AB3320">
        <w:rPr>
          <w:rFonts w:cs="Times New Roman"/>
          <w:szCs w:val="24"/>
          <w:lang w:val="fr-CA"/>
        </w:rPr>
        <w:t>aurais très bien pu accorder une réparation moins drastique.</w:t>
      </w:r>
      <w:r w:rsidR="00AB3320">
        <w:rPr>
          <w:rFonts w:cs="Times New Roman"/>
          <w:szCs w:val="24"/>
          <w:lang w:val="fr-CA"/>
        </w:rPr>
        <w:t xml:space="preserve"> </w:t>
      </w:r>
      <w:r w:rsidRPr="00AB3320">
        <w:rPr>
          <w:rFonts w:cs="Times New Roman"/>
          <w:szCs w:val="24"/>
          <w:lang w:val="fr-CA"/>
        </w:rPr>
        <w:t>Mais, à défaut d</w:t>
      </w:r>
      <w:r w:rsidR="00424D24">
        <w:rPr>
          <w:rFonts w:cs="Times New Roman"/>
          <w:szCs w:val="24"/>
          <w:lang w:val="fr-CA"/>
        </w:rPr>
        <w:t>’</w:t>
      </w:r>
      <w:r w:rsidRPr="00AB3320">
        <w:rPr>
          <w:rFonts w:cs="Times New Roman"/>
          <w:szCs w:val="24"/>
          <w:lang w:val="fr-CA"/>
        </w:rPr>
        <w:t>une erreur de droit ou d</w:t>
      </w:r>
      <w:r w:rsidR="00424D24">
        <w:rPr>
          <w:rFonts w:cs="Times New Roman"/>
          <w:szCs w:val="24"/>
          <w:lang w:val="fr-CA"/>
        </w:rPr>
        <w:t>’</w:t>
      </w:r>
      <w:r w:rsidRPr="00AB3320">
        <w:rPr>
          <w:rFonts w:cs="Times New Roman"/>
          <w:szCs w:val="24"/>
          <w:lang w:val="fr-CA"/>
        </w:rPr>
        <w:t>une conclusion de fait susceptible de contrôle, une cour d</w:t>
      </w:r>
      <w:r w:rsidR="00424D24">
        <w:rPr>
          <w:rFonts w:cs="Times New Roman"/>
          <w:szCs w:val="24"/>
          <w:lang w:val="fr-CA"/>
        </w:rPr>
        <w:t>’</w:t>
      </w:r>
      <w:r w:rsidRPr="00AB3320">
        <w:rPr>
          <w:rFonts w:cs="Times New Roman"/>
          <w:szCs w:val="24"/>
          <w:lang w:val="fr-CA"/>
        </w:rPr>
        <w:t>appel doit déférer à l</w:t>
      </w:r>
      <w:r w:rsidR="00424D24">
        <w:rPr>
          <w:rFonts w:cs="Times New Roman"/>
          <w:szCs w:val="24"/>
          <w:lang w:val="fr-CA"/>
        </w:rPr>
        <w:t>’</w:t>
      </w:r>
      <w:r w:rsidRPr="00AB3320">
        <w:rPr>
          <w:rFonts w:cs="Times New Roman"/>
          <w:szCs w:val="24"/>
          <w:lang w:val="fr-CA"/>
        </w:rPr>
        <w:t>exercice du vaste pouvoir discrétionnaire que confère au juge de première instance le par.</w:t>
      </w:r>
      <w:r w:rsidR="00AB3320">
        <w:rPr>
          <w:rFonts w:cs="Times New Roman"/>
          <w:szCs w:val="24"/>
          <w:lang w:val="fr-CA"/>
        </w:rPr>
        <w:t xml:space="preserve"> </w:t>
      </w:r>
      <w:r w:rsidRPr="00AB3320">
        <w:rPr>
          <w:rFonts w:cs="Times New Roman"/>
          <w:szCs w:val="24"/>
          <w:lang w:val="fr-CA"/>
        </w:rPr>
        <w:t xml:space="preserve">24(1) de la </w:t>
      </w:r>
      <w:r w:rsidRPr="00AB3320">
        <w:rPr>
          <w:rFonts w:cs="Times New Roman"/>
          <w:i/>
          <w:szCs w:val="24"/>
          <w:lang w:val="fr-CA"/>
        </w:rPr>
        <w:t>Charte</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Comme je l</w:t>
      </w:r>
      <w:r w:rsidR="00424D24">
        <w:rPr>
          <w:rFonts w:cs="Times New Roman"/>
          <w:szCs w:val="24"/>
          <w:lang w:val="fr-CA"/>
        </w:rPr>
        <w:t>’</w:t>
      </w:r>
      <w:r w:rsidRPr="00AB3320">
        <w:rPr>
          <w:rFonts w:cs="Times New Roman"/>
          <w:szCs w:val="24"/>
          <w:lang w:val="fr-CA"/>
        </w:rPr>
        <w:t>ai déjà mentionné, j</w:t>
      </w:r>
      <w:r w:rsidR="00424D24">
        <w:rPr>
          <w:rFonts w:cs="Times New Roman"/>
          <w:szCs w:val="24"/>
          <w:lang w:val="fr-CA"/>
        </w:rPr>
        <w:t>’</w:t>
      </w:r>
      <w:r w:rsidRPr="00AB3320">
        <w:rPr>
          <w:rFonts w:cs="Times New Roman"/>
          <w:szCs w:val="24"/>
          <w:lang w:val="fr-CA"/>
        </w:rPr>
        <w:t xml:space="preserve">ai expliqué dans </w:t>
      </w:r>
      <w:proofErr w:type="spellStart"/>
      <w:r w:rsidRPr="00AB3320">
        <w:rPr>
          <w:rFonts w:cs="Times New Roman"/>
          <w:i/>
          <w:szCs w:val="24"/>
          <w:lang w:val="fr-CA"/>
        </w:rPr>
        <w:t>Bjelland</w:t>
      </w:r>
      <w:proofErr w:type="spellEnd"/>
      <w:r w:rsidRPr="00AB3320">
        <w:rPr>
          <w:rFonts w:cs="Times New Roman"/>
          <w:szCs w:val="24"/>
          <w:lang w:val="fr-CA"/>
        </w:rPr>
        <w:t xml:space="preserve"> que «</w:t>
      </w:r>
      <w:r w:rsidR="00AB3320">
        <w:rPr>
          <w:rFonts w:cs="Times New Roman"/>
          <w:szCs w:val="24"/>
          <w:lang w:val="fr-CA"/>
        </w:rPr>
        <w:t xml:space="preserve"> </w:t>
      </w:r>
      <w:r w:rsidRPr="00AB3320">
        <w:rPr>
          <w:rFonts w:cs="Times New Roman"/>
          <w:szCs w:val="24"/>
          <w:lang w:val="fr-CA"/>
        </w:rPr>
        <w:t>les tribunaux d</w:t>
      </w:r>
      <w:r w:rsidR="00424D24">
        <w:rPr>
          <w:rFonts w:cs="Times New Roman"/>
          <w:szCs w:val="24"/>
          <w:lang w:val="fr-CA"/>
        </w:rPr>
        <w:t>’</w:t>
      </w:r>
      <w:r w:rsidRPr="00AB3320">
        <w:rPr>
          <w:rFonts w:cs="Times New Roman"/>
          <w:szCs w:val="24"/>
          <w:lang w:val="fr-CA"/>
        </w:rPr>
        <w:t>appel doivent tout particulièrement se garder de substituer l</w:t>
      </w:r>
      <w:r w:rsidR="00424D24">
        <w:rPr>
          <w:rFonts w:cs="Times New Roman"/>
          <w:szCs w:val="24"/>
          <w:lang w:val="fr-CA"/>
        </w:rPr>
        <w:t>’</w:t>
      </w:r>
      <w:r w:rsidRPr="00AB3320">
        <w:rPr>
          <w:rFonts w:cs="Times New Roman"/>
          <w:szCs w:val="24"/>
          <w:lang w:val="fr-CA"/>
        </w:rPr>
        <w:t>exercice de leur propre pouvoir discrétionnaire à celui déjà exercé par le juge du procès simplement parce qu</w:t>
      </w:r>
      <w:r w:rsidR="00424D24">
        <w:rPr>
          <w:rFonts w:cs="Times New Roman"/>
          <w:szCs w:val="24"/>
          <w:lang w:val="fr-CA"/>
        </w:rPr>
        <w:t>’</w:t>
      </w:r>
      <w:r w:rsidRPr="00AB3320">
        <w:rPr>
          <w:rFonts w:cs="Times New Roman"/>
          <w:szCs w:val="24"/>
          <w:lang w:val="fr-CA"/>
        </w:rPr>
        <w:t>ils auraient accordé une réparation plus généreuse ou plus limitée</w:t>
      </w:r>
      <w:r w:rsidR="00AB3320">
        <w:rPr>
          <w:rFonts w:cs="Times New Roman"/>
          <w:szCs w:val="24"/>
          <w:lang w:val="fr-CA"/>
        </w:rPr>
        <w:t xml:space="preserve"> </w:t>
      </w:r>
      <w:r w:rsidRPr="00AB3320">
        <w:rPr>
          <w:rFonts w:cs="Times New Roman"/>
          <w:szCs w:val="24"/>
          <w:lang w:val="fr-CA"/>
        </w:rPr>
        <w:t>» (par.</w:t>
      </w:r>
      <w:r w:rsidR="00424D24">
        <w:rPr>
          <w:rFonts w:cs="Times New Roman"/>
          <w:szCs w:val="24"/>
          <w:lang w:val="fr-CA"/>
        </w:rPr>
        <w:t> </w:t>
      </w:r>
      <w:r w:rsidRPr="00AB3320">
        <w:rPr>
          <w:rFonts w:cs="Times New Roman"/>
          <w:szCs w:val="24"/>
          <w:lang w:val="fr-CA"/>
        </w:rPr>
        <w:t>42).</w:t>
      </w:r>
      <w:r w:rsid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En somme, dans la présente affaire, le juge du procès examine soigneusement et correctement tous les principes qui s</w:t>
      </w:r>
      <w:r w:rsidR="00424D24">
        <w:rPr>
          <w:rFonts w:cs="Times New Roman"/>
          <w:szCs w:val="24"/>
          <w:lang w:val="fr-CA"/>
        </w:rPr>
        <w:t>’</w:t>
      </w:r>
      <w:r w:rsidRPr="00AB3320">
        <w:rPr>
          <w:rFonts w:cs="Times New Roman"/>
          <w:szCs w:val="24"/>
          <w:lang w:val="fr-CA"/>
        </w:rPr>
        <w:t>appliquent.</w:t>
      </w:r>
      <w:r w:rsidR="00AB3320">
        <w:rPr>
          <w:rFonts w:cs="Times New Roman"/>
          <w:szCs w:val="24"/>
          <w:lang w:val="fr-CA"/>
        </w:rPr>
        <w:t xml:space="preserve"> </w:t>
      </w:r>
      <w:r w:rsidRPr="00AB3320">
        <w:rPr>
          <w:rFonts w:cs="Times New Roman"/>
          <w:szCs w:val="24"/>
          <w:lang w:val="fr-CA"/>
        </w:rPr>
        <w:t>Il évalue la gravité du préjudice et explique en quoi les autres réparations possibles lui paraissent inadéquates.</w:t>
      </w:r>
      <w:r w:rsidR="00AB3320">
        <w:rPr>
          <w:rFonts w:cs="Times New Roman"/>
          <w:szCs w:val="24"/>
          <w:lang w:val="fr-CA"/>
        </w:rPr>
        <w:t xml:space="preserve"> </w:t>
      </w:r>
      <w:r w:rsidRPr="00AB3320">
        <w:rPr>
          <w:rFonts w:cs="Times New Roman"/>
          <w:szCs w:val="24"/>
          <w:lang w:val="fr-CA"/>
        </w:rPr>
        <w:t>Il ne prend pas appui sur des considérations erronées quant au droit applicable ni ne commet d</w:t>
      </w:r>
      <w:r w:rsidR="00424D24">
        <w:rPr>
          <w:rFonts w:cs="Times New Roman"/>
          <w:szCs w:val="24"/>
          <w:lang w:val="fr-CA"/>
        </w:rPr>
        <w:t>’</w:t>
      </w:r>
      <w:r w:rsidRPr="00AB3320">
        <w:rPr>
          <w:rFonts w:cs="Times New Roman"/>
          <w:szCs w:val="24"/>
          <w:lang w:val="fr-CA"/>
        </w:rPr>
        <w:t>erreur de fait susceptible de contrôle.</w:t>
      </w:r>
      <w:r w:rsidR="00AB3320">
        <w:rPr>
          <w:rFonts w:cs="Times New Roman"/>
          <w:szCs w:val="24"/>
          <w:lang w:val="fr-CA"/>
        </w:rPr>
        <w:t xml:space="preserve"> </w:t>
      </w:r>
      <w:r w:rsidRPr="00AB3320">
        <w:rPr>
          <w:rFonts w:cs="Times New Roman"/>
          <w:szCs w:val="24"/>
          <w:lang w:val="fr-CA"/>
        </w:rPr>
        <w:t>L</w:t>
      </w:r>
      <w:r w:rsidR="00424D24">
        <w:rPr>
          <w:rFonts w:cs="Times New Roman"/>
          <w:szCs w:val="24"/>
          <w:lang w:val="fr-CA"/>
        </w:rPr>
        <w:t>’</w:t>
      </w:r>
      <w:r w:rsidRPr="00AB3320">
        <w:rPr>
          <w:rFonts w:cs="Times New Roman"/>
          <w:szCs w:val="24"/>
          <w:lang w:val="fr-CA"/>
        </w:rPr>
        <w:t>exercice de son pouvoir discrétionnaire d</w:t>
      </w:r>
      <w:r w:rsidR="00424D24">
        <w:rPr>
          <w:rFonts w:cs="Times New Roman"/>
          <w:szCs w:val="24"/>
          <w:lang w:val="fr-CA"/>
        </w:rPr>
        <w:t>’</w:t>
      </w:r>
      <w:r w:rsidRPr="00AB3320">
        <w:rPr>
          <w:rFonts w:cs="Times New Roman"/>
          <w:szCs w:val="24"/>
          <w:lang w:val="fr-CA"/>
        </w:rPr>
        <w:t>ordonner l</w:t>
      </w:r>
      <w:r w:rsidR="00424D24">
        <w:rPr>
          <w:rFonts w:cs="Times New Roman"/>
          <w:szCs w:val="24"/>
          <w:lang w:val="fr-CA"/>
        </w:rPr>
        <w:t>’</w:t>
      </w:r>
      <w:r w:rsidRPr="00AB3320">
        <w:rPr>
          <w:rFonts w:cs="Times New Roman"/>
          <w:szCs w:val="24"/>
          <w:lang w:val="fr-CA"/>
        </w:rPr>
        <w:t>arrêt des procédures n</w:t>
      </w:r>
      <w:r w:rsidR="00424D24">
        <w:rPr>
          <w:rFonts w:cs="Times New Roman"/>
          <w:szCs w:val="24"/>
          <w:lang w:val="fr-CA"/>
        </w:rPr>
        <w:t>’</w:t>
      </w:r>
      <w:r w:rsidRPr="00AB3320">
        <w:rPr>
          <w:rFonts w:cs="Times New Roman"/>
          <w:szCs w:val="24"/>
          <w:lang w:val="fr-CA"/>
        </w:rPr>
        <w:t>est pas non plus «</w:t>
      </w:r>
      <w:r w:rsidR="00AB3320">
        <w:rPr>
          <w:rFonts w:cs="Times New Roman"/>
          <w:szCs w:val="24"/>
          <w:lang w:val="fr-CA"/>
        </w:rPr>
        <w:t xml:space="preserve"> </w:t>
      </w:r>
      <w:proofErr w:type="spellStart"/>
      <w:r w:rsidRPr="00AB3320">
        <w:rPr>
          <w:rFonts w:cs="Times New Roman"/>
          <w:szCs w:val="24"/>
          <w:lang w:val="fr-CA"/>
        </w:rPr>
        <w:t>erron</w:t>
      </w:r>
      <w:proofErr w:type="spellEnd"/>
      <w:r w:rsidR="00606D54" w:rsidRPr="00AB3320">
        <w:rPr>
          <w:rFonts w:cs="Times New Roman"/>
          <w:szCs w:val="24"/>
          <w:lang w:val="fr-CA"/>
        </w:rPr>
        <w:t>[</w:t>
      </w:r>
      <w:r w:rsidRPr="00AB3320">
        <w:rPr>
          <w:rFonts w:cs="Times New Roman"/>
          <w:szCs w:val="24"/>
          <w:lang w:val="fr-CA"/>
        </w:rPr>
        <w:t>é] au point de créer une injustice</w:t>
      </w:r>
      <w:r w:rsidR="00AB3320">
        <w:rPr>
          <w:rFonts w:cs="Times New Roman"/>
          <w:szCs w:val="24"/>
          <w:lang w:val="fr-CA"/>
        </w:rPr>
        <w:t xml:space="preserve"> </w:t>
      </w:r>
      <w:r w:rsidRPr="00AB3320">
        <w:rPr>
          <w:rFonts w:cs="Times New Roman"/>
          <w:szCs w:val="24"/>
          <w:lang w:val="fr-CA"/>
        </w:rPr>
        <w:t>» (</w:t>
      </w:r>
      <w:proofErr w:type="spellStart"/>
      <w:r w:rsidRPr="00AB3320">
        <w:rPr>
          <w:rFonts w:cs="Times New Roman"/>
          <w:i/>
          <w:szCs w:val="24"/>
          <w:lang w:val="fr-CA"/>
        </w:rPr>
        <w:t>Regan</w:t>
      </w:r>
      <w:proofErr w:type="spellEnd"/>
      <w:r w:rsidRPr="00AB3320">
        <w:rPr>
          <w:rFonts w:cs="Times New Roman"/>
          <w:szCs w:val="24"/>
          <w:lang w:val="fr-CA"/>
        </w:rPr>
        <w:t>,</w:t>
      </w:r>
      <w:r w:rsidRPr="00AB3320">
        <w:rPr>
          <w:rFonts w:cs="Times New Roman"/>
          <w:i/>
          <w:szCs w:val="24"/>
          <w:lang w:val="fr-CA"/>
        </w:rPr>
        <w:t xml:space="preserve"> </w:t>
      </w:r>
      <w:r w:rsidRPr="00AB3320">
        <w:rPr>
          <w:rFonts w:cs="Times New Roman"/>
          <w:szCs w:val="24"/>
          <w:lang w:val="fr-CA"/>
        </w:rPr>
        <w:t>précité).</w:t>
      </w:r>
      <w:r w:rsidR="00AB3320">
        <w:rPr>
          <w:rFonts w:cs="Times New Roman"/>
          <w:szCs w:val="24"/>
          <w:lang w:val="fr-CA"/>
        </w:rPr>
        <w:t xml:space="preserve"> </w:t>
      </w:r>
      <w:r w:rsidRPr="00AB3320">
        <w:rPr>
          <w:rFonts w:cs="Times New Roman"/>
          <w:szCs w:val="24"/>
          <w:lang w:val="fr-CA"/>
        </w:rPr>
        <w:t>Ma conclusion sur ce point ne vaut que pour les circonstances de l</w:t>
      </w:r>
      <w:r w:rsidR="00424D24">
        <w:rPr>
          <w:rFonts w:cs="Times New Roman"/>
          <w:szCs w:val="24"/>
          <w:lang w:val="fr-CA"/>
        </w:rPr>
        <w:t>’</w:t>
      </w:r>
      <w:r w:rsidRPr="00AB3320">
        <w:rPr>
          <w:rFonts w:cs="Times New Roman"/>
          <w:szCs w:val="24"/>
          <w:lang w:val="fr-CA"/>
        </w:rPr>
        <w:t>espèce.</w:t>
      </w:r>
      <w:r w:rsidR="00AB3320">
        <w:rPr>
          <w:rFonts w:cs="Times New Roman"/>
          <w:szCs w:val="24"/>
          <w:lang w:val="fr-CA"/>
        </w:rPr>
        <w:t xml:space="preserve"> </w:t>
      </w:r>
      <w:r w:rsidRPr="00AB3320">
        <w:rPr>
          <w:rFonts w:cs="Times New Roman"/>
          <w:szCs w:val="24"/>
          <w:lang w:val="fr-CA"/>
        </w:rPr>
        <w:t>Cependant, en toute justice pour le juge du procès, je fais observer que d</w:t>
      </w:r>
      <w:r w:rsidR="00424D24">
        <w:rPr>
          <w:rFonts w:cs="Times New Roman"/>
          <w:szCs w:val="24"/>
          <w:lang w:val="fr-CA"/>
        </w:rPr>
        <w:t>’</w:t>
      </w:r>
      <w:r w:rsidRPr="00AB3320">
        <w:rPr>
          <w:rFonts w:cs="Times New Roman"/>
          <w:szCs w:val="24"/>
          <w:lang w:val="fr-CA"/>
        </w:rPr>
        <w:t>autres juges ont estimé que l</w:t>
      </w:r>
      <w:r w:rsidR="00424D24">
        <w:rPr>
          <w:rFonts w:cs="Times New Roman"/>
          <w:szCs w:val="24"/>
          <w:lang w:val="fr-CA"/>
        </w:rPr>
        <w:t>’</w:t>
      </w:r>
      <w:r w:rsidRPr="00AB3320">
        <w:rPr>
          <w:rFonts w:cs="Times New Roman"/>
          <w:szCs w:val="24"/>
          <w:lang w:val="fr-CA"/>
        </w:rPr>
        <w:t xml:space="preserve">arrêt des procédures était la réparation qui convenait en cas de mauvais traitements aux mains </w:t>
      </w:r>
      <w:r w:rsidRPr="00AB3320">
        <w:rPr>
          <w:rFonts w:cs="Times New Roman"/>
          <w:szCs w:val="24"/>
          <w:lang w:val="fr-CA"/>
        </w:rPr>
        <w:lastRenderedPageBreak/>
        <w:t>de policiers</w:t>
      </w:r>
      <w:r w:rsidR="00AB3320">
        <w:rPr>
          <w:rFonts w:cs="Times New Roman"/>
          <w:szCs w:val="24"/>
          <w:lang w:val="fr-CA"/>
        </w:rPr>
        <w:t xml:space="preserve"> </w:t>
      </w:r>
      <w:r w:rsidRPr="00AB3320">
        <w:rPr>
          <w:rFonts w:cs="Times New Roman"/>
          <w:szCs w:val="24"/>
          <w:lang w:val="fr-CA"/>
        </w:rPr>
        <w:t xml:space="preserve">: </w:t>
      </w:r>
      <w:r w:rsidRPr="00AB3320">
        <w:rPr>
          <w:rFonts w:cs="Times New Roman"/>
          <w:i/>
          <w:szCs w:val="24"/>
          <w:lang w:val="fr-CA"/>
        </w:rPr>
        <w:t xml:space="preserve">R. c. </w:t>
      </w:r>
      <w:proofErr w:type="spellStart"/>
      <w:r w:rsidRPr="00AB3320">
        <w:rPr>
          <w:rFonts w:cs="Times New Roman"/>
          <w:i/>
          <w:szCs w:val="24"/>
          <w:lang w:val="fr-CA"/>
        </w:rPr>
        <w:t>Walcott</w:t>
      </w:r>
      <w:proofErr w:type="spellEnd"/>
      <w:r w:rsidR="00606D54" w:rsidRPr="00AB3320">
        <w:rPr>
          <w:rFonts w:cs="Times New Roman"/>
          <w:i/>
          <w:szCs w:val="24"/>
          <w:lang w:val="fr-CA"/>
        </w:rPr>
        <w:t xml:space="preserve"> </w:t>
      </w:r>
      <w:r w:rsidR="00606D54" w:rsidRPr="00AB3320">
        <w:rPr>
          <w:rFonts w:cs="Times New Roman"/>
          <w:szCs w:val="24"/>
          <w:lang w:val="fr-CA"/>
        </w:rPr>
        <w:t>(2008)</w:t>
      </w:r>
      <w:r w:rsidRPr="00AB3320">
        <w:rPr>
          <w:rFonts w:cs="Times New Roman"/>
          <w:szCs w:val="24"/>
          <w:lang w:val="fr-CA"/>
        </w:rPr>
        <w:t>,</w:t>
      </w:r>
      <w:r w:rsidR="00E0127B" w:rsidRPr="00AB3320">
        <w:rPr>
          <w:rFonts w:cs="Times New Roman"/>
          <w:szCs w:val="24"/>
          <w:lang w:val="fr-CA"/>
        </w:rPr>
        <w:t xml:space="preserve"> 57 C.R. (6th) 223 (C.S.</w:t>
      </w:r>
      <w:r w:rsidR="00606D54" w:rsidRPr="00AB3320">
        <w:rPr>
          <w:rFonts w:cs="Times New Roman"/>
          <w:szCs w:val="24"/>
          <w:lang w:val="fr-CA"/>
        </w:rPr>
        <w:t>J. Ont.)</w:t>
      </w:r>
      <w:r w:rsidRPr="00AB3320">
        <w:rPr>
          <w:rStyle w:val="FootnoteReference"/>
          <w:rFonts w:cs="Times New Roman"/>
          <w:szCs w:val="24"/>
        </w:rPr>
        <w:footnoteReference w:id="1"/>
      </w:r>
      <w:r w:rsidRPr="00AB3320">
        <w:rPr>
          <w:rFonts w:cs="Times New Roman"/>
          <w:szCs w:val="24"/>
          <w:lang w:val="fr-CA"/>
        </w:rPr>
        <w:t xml:space="preserve">; </w:t>
      </w:r>
      <w:r w:rsidRPr="00AB3320">
        <w:rPr>
          <w:rFonts w:cs="Times New Roman"/>
          <w:i/>
          <w:szCs w:val="24"/>
          <w:lang w:val="fr-CA"/>
        </w:rPr>
        <w:t xml:space="preserve">R. c. </w:t>
      </w:r>
      <w:proofErr w:type="spellStart"/>
      <w:r w:rsidRPr="00AB3320">
        <w:rPr>
          <w:rFonts w:cs="Times New Roman"/>
          <w:i/>
          <w:szCs w:val="24"/>
          <w:lang w:val="fr-CA"/>
        </w:rPr>
        <w:t>Maskell</w:t>
      </w:r>
      <w:proofErr w:type="spellEnd"/>
      <w:r w:rsidRPr="00AB3320">
        <w:rPr>
          <w:rFonts w:cs="Times New Roman"/>
          <w:szCs w:val="24"/>
          <w:lang w:val="fr-CA"/>
        </w:rPr>
        <w:t>,</w:t>
      </w:r>
      <w:r w:rsidRPr="00AB3320">
        <w:rPr>
          <w:rFonts w:cs="Times New Roman"/>
          <w:i/>
          <w:szCs w:val="24"/>
          <w:lang w:val="fr-CA"/>
        </w:rPr>
        <w:t xml:space="preserve"> </w:t>
      </w:r>
      <w:r w:rsidRPr="00AB3320">
        <w:rPr>
          <w:rFonts w:cs="Times New Roman"/>
          <w:szCs w:val="24"/>
          <w:lang w:val="fr-CA"/>
        </w:rPr>
        <w:t>2011 ABPC 176</w:t>
      </w:r>
      <w:r w:rsidR="00E0127B" w:rsidRPr="00AB3320">
        <w:rPr>
          <w:rFonts w:cs="Times New Roman"/>
          <w:szCs w:val="24"/>
          <w:lang w:val="fr-CA"/>
        </w:rPr>
        <w:t>, 512 A.R. 372</w:t>
      </w:r>
      <w:r w:rsidRPr="00AB3320">
        <w:rPr>
          <w:rStyle w:val="FootnoteReference"/>
          <w:rFonts w:cs="Times New Roman"/>
          <w:szCs w:val="24"/>
        </w:rPr>
        <w:footnoteReference w:id="2"/>
      </w:r>
      <w:r w:rsidRPr="00AB3320">
        <w:rPr>
          <w:rFonts w:cs="Times New Roman"/>
          <w:szCs w:val="24"/>
          <w:lang w:val="fr-CA"/>
        </w:rPr>
        <w:t xml:space="preserve">; </w:t>
      </w:r>
      <w:r w:rsidRPr="00AB3320">
        <w:rPr>
          <w:rFonts w:cs="Times New Roman"/>
          <w:i/>
          <w:szCs w:val="24"/>
          <w:lang w:val="fr-CA"/>
        </w:rPr>
        <w:t>R. c. Jackson</w:t>
      </w:r>
      <w:r w:rsidRPr="00AB3320">
        <w:rPr>
          <w:rFonts w:cs="Times New Roman"/>
          <w:szCs w:val="24"/>
          <w:lang w:val="fr-CA"/>
        </w:rPr>
        <w:t>,</w:t>
      </w:r>
      <w:r w:rsidR="00E0127B" w:rsidRPr="00AB3320">
        <w:rPr>
          <w:rFonts w:cs="Times New Roman"/>
          <w:szCs w:val="24"/>
          <w:lang w:val="fr-CA"/>
        </w:rPr>
        <w:t xml:space="preserve"> 2011 ONCJ 228, 235 C.R.R. (2d) 289</w:t>
      </w:r>
      <w:r w:rsidRPr="00AB3320">
        <w:rPr>
          <w:rStyle w:val="FootnoteReference"/>
          <w:rFonts w:cs="Times New Roman"/>
          <w:szCs w:val="24"/>
        </w:rPr>
        <w:footnoteReference w:id="3"/>
      </w:r>
      <w:r w:rsidRPr="00AB3320">
        <w:rPr>
          <w:rFonts w:cs="Times New Roman"/>
          <w:szCs w:val="24"/>
          <w:lang w:val="fr-CA"/>
        </w:rPr>
        <w:t xml:space="preserve">; </w:t>
      </w:r>
      <w:r w:rsidRPr="00AB3320">
        <w:rPr>
          <w:rFonts w:cs="Times New Roman"/>
          <w:i/>
          <w:szCs w:val="24"/>
          <w:lang w:val="fr-CA"/>
        </w:rPr>
        <w:t xml:space="preserve">R. c. </w:t>
      </w:r>
      <w:proofErr w:type="spellStart"/>
      <w:r w:rsidRPr="00AB3320">
        <w:rPr>
          <w:rFonts w:cs="Times New Roman"/>
          <w:i/>
          <w:szCs w:val="24"/>
          <w:lang w:val="fr-CA"/>
        </w:rPr>
        <w:t>Mohmedi</w:t>
      </w:r>
      <w:proofErr w:type="spellEnd"/>
      <w:r w:rsidRPr="00AB3320">
        <w:rPr>
          <w:rFonts w:cs="Times New Roman"/>
          <w:szCs w:val="24"/>
          <w:lang w:val="fr-CA"/>
        </w:rPr>
        <w:t>,</w:t>
      </w:r>
      <w:r w:rsidR="00E0127B" w:rsidRPr="00AB3320">
        <w:rPr>
          <w:rFonts w:cs="Times New Roman"/>
          <w:szCs w:val="24"/>
          <w:lang w:val="fr-CA"/>
        </w:rPr>
        <w:t xml:space="preserve"> </w:t>
      </w:r>
      <w:r w:rsidR="00AC01EB">
        <w:rPr>
          <w:rFonts w:cs="Times New Roman"/>
          <w:szCs w:val="24"/>
          <w:lang w:val="fr-CA"/>
        </w:rPr>
        <w:t xml:space="preserve">2006 ABPC 216, </w:t>
      </w:r>
      <w:r w:rsidR="00E0127B" w:rsidRPr="00AB3320">
        <w:rPr>
          <w:rFonts w:cs="Times New Roman"/>
          <w:szCs w:val="24"/>
          <w:lang w:val="fr-CA"/>
        </w:rPr>
        <w:t>2009 ONCJ 533, 72 C.R. (6th) 345</w:t>
      </w:r>
      <w:r w:rsidRPr="00AB3320">
        <w:rPr>
          <w:rStyle w:val="FootnoteReference"/>
          <w:rFonts w:cs="Times New Roman"/>
          <w:szCs w:val="24"/>
        </w:rPr>
        <w:footnoteReference w:id="4"/>
      </w:r>
      <w:r w:rsidRPr="00AB3320">
        <w:rPr>
          <w:rFonts w:cs="Times New Roman"/>
          <w:szCs w:val="24"/>
          <w:lang w:val="fr-CA"/>
        </w:rPr>
        <w:t xml:space="preserve">; </w:t>
      </w:r>
      <w:r w:rsidRPr="00AB3320">
        <w:rPr>
          <w:rFonts w:cs="Times New Roman"/>
          <w:i/>
          <w:szCs w:val="24"/>
          <w:lang w:val="fr-CA"/>
        </w:rPr>
        <w:t>R. c. J.W.</w:t>
      </w:r>
      <w:r w:rsidRPr="00AB3320">
        <w:rPr>
          <w:rFonts w:cs="Times New Roman"/>
          <w:szCs w:val="24"/>
          <w:lang w:val="fr-CA"/>
        </w:rPr>
        <w:t>,</w:t>
      </w:r>
      <w:r w:rsidR="00E0127B" w:rsidRPr="00AB3320">
        <w:rPr>
          <w:rFonts w:cs="Times New Roman"/>
          <w:szCs w:val="24"/>
          <w:lang w:val="fr-CA"/>
        </w:rPr>
        <w:t xml:space="preserve"> 398 A.R. 374</w:t>
      </w:r>
      <w:r w:rsidRPr="00AB3320">
        <w:rPr>
          <w:rStyle w:val="FootnoteReference"/>
          <w:rFonts w:cs="Times New Roman"/>
          <w:szCs w:val="24"/>
        </w:rPr>
        <w:footnoteReference w:id="5"/>
      </w:r>
      <w:r w:rsidRPr="00AB3320">
        <w:rPr>
          <w:rFonts w:cs="Times New Roman"/>
          <w:szCs w:val="24"/>
          <w:lang w:val="fr-CA"/>
        </w:rPr>
        <w:t xml:space="preserve">; </w:t>
      </w:r>
      <w:r w:rsidRPr="00AB3320">
        <w:rPr>
          <w:rFonts w:cs="Times New Roman"/>
          <w:i/>
          <w:szCs w:val="24"/>
          <w:lang w:val="fr-CA"/>
        </w:rPr>
        <w:t xml:space="preserve">R. c. </w:t>
      </w:r>
      <w:r w:rsidR="00E0127B" w:rsidRPr="00AB3320">
        <w:rPr>
          <w:rFonts w:cs="Times New Roman"/>
          <w:i/>
          <w:szCs w:val="24"/>
          <w:lang w:val="fr-CA"/>
        </w:rPr>
        <w:t>R.L.F.</w:t>
      </w:r>
      <w:r w:rsidRPr="00AB3320">
        <w:rPr>
          <w:rFonts w:cs="Times New Roman"/>
          <w:szCs w:val="24"/>
          <w:lang w:val="fr-CA"/>
        </w:rPr>
        <w:t>, 2005 ABPC 28</w:t>
      </w:r>
      <w:r w:rsidR="00E0127B" w:rsidRPr="00AB3320">
        <w:rPr>
          <w:rFonts w:cs="Times New Roman"/>
          <w:szCs w:val="24"/>
          <w:lang w:val="fr-CA"/>
        </w:rPr>
        <w:t>, 373 A.R. 114</w:t>
      </w:r>
      <w:r w:rsidRPr="00AB3320">
        <w:rPr>
          <w:rStyle w:val="FootnoteReference"/>
          <w:rFonts w:cs="Times New Roman"/>
          <w:szCs w:val="24"/>
        </w:rPr>
        <w:footnoteReference w:id="6"/>
      </w:r>
      <w:r w:rsidRPr="00AB3320">
        <w:rPr>
          <w:rFonts w:cs="Times New Roman"/>
          <w:szCs w:val="24"/>
          <w:lang w:val="fr-CA"/>
        </w:rPr>
        <w:t xml:space="preserve">; </w:t>
      </w:r>
      <w:r w:rsidRPr="00AB3320">
        <w:rPr>
          <w:rFonts w:cs="Times New Roman"/>
          <w:i/>
          <w:szCs w:val="24"/>
          <w:lang w:val="fr-CA"/>
        </w:rPr>
        <w:t xml:space="preserve">R. c. </w:t>
      </w:r>
      <w:proofErr w:type="spellStart"/>
      <w:r w:rsidRPr="00AB3320">
        <w:rPr>
          <w:rFonts w:cs="Times New Roman"/>
          <w:i/>
          <w:szCs w:val="24"/>
          <w:lang w:val="fr-CA"/>
        </w:rPr>
        <w:t>Wiscombe</w:t>
      </w:r>
      <w:proofErr w:type="spellEnd"/>
      <w:r w:rsidRPr="00AB3320">
        <w:rPr>
          <w:rFonts w:cs="Times New Roman"/>
          <w:szCs w:val="24"/>
          <w:lang w:val="fr-CA"/>
        </w:rPr>
        <w:t>, 2003 BCPC 418</w:t>
      </w:r>
      <w:r w:rsidR="00E14822" w:rsidRPr="00AB3320">
        <w:rPr>
          <w:rFonts w:cs="Times New Roman"/>
          <w:szCs w:val="24"/>
          <w:lang w:val="fr-CA"/>
        </w:rPr>
        <w:t xml:space="preserve"> (</w:t>
      </w:r>
      <w:proofErr w:type="spellStart"/>
      <w:r w:rsidR="00E14822" w:rsidRPr="00AB3320">
        <w:rPr>
          <w:rFonts w:cs="Times New Roman"/>
          <w:szCs w:val="24"/>
          <w:lang w:val="fr-CA"/>
        </w:rPr>
        <w:t>CanLII</w:t>
      </w:r>
      <w:proofErr w:type="spellEnd"/>
      <w:r w:rsidR="00E14822" w:rsidRPr="00AB3320">
        <w:rPr>
          <w:rFonts w:cs="Times New Roman"/>
          <w:szCs w:val="24"/>
          <w:lang w:val="fr-CA"/>
        </w:rPr>
        <w:t>)</w:t>
      </w:r>
      <w:r w:rsidRPr="00AB3320">
        <w:rPr>
          <w:rStyle w:val="FootnoteReference"/>
          <w:rFonts w:cs="Times New Roman"/>
          <w:szCs w:val="24"/>
        </w:rPr>
        <w:footnoteReference w:id="7"/>
      </w:r>
      <w:r w:rsidRPr="00AB3320">
        <w:rPr>
          <w:rFonts w:cs="Times New Roman"/>
          <w:szCs w:val="24"/>
          <w:lang w:val="fr-CA"/>
        </w:rPr>
        <w:t xml:space="preserve">; </w:t>
      </w:r>
      <w:r w:rsidRPr="00AB3320">
        <w:rPr>
          <w:rFonts w:cs="Times New Roman"/>
          <w:i/>
          <w:szCs w:val="24"/>
          <w:lang w:val="fr-CA"/>
        </w:rPr>
        <w:t>R. c. Murphy</w:t>
      </w:r>
      <w:r w:rsidR="00E14822" w:rsidRPr="00AB3320">
        <w:rPr>
          <w:rFonts w:cs="Times New Roman"/>
          <w:i/>
          <w:szCs w:val="24"/>
          <w:lang w:val="fr-CA"/>
        </w:rPr>
        <w:t xml:space="preserve"> </w:t>
      </w:r>
      <w:r w:rsidR="00E14822" w:rsidRPr="00AB3320">
        <w:rPr>
          <w:rFonts w:cs="Times New Roman"/>
          <w:szCs w:val="24"/>
          <w:lang w:val="fr-CA"/>
        </w:rPr>
        <w:t xml:space="preserve">(2001), 29 M.V.R. (4th) 50 (C. </w:t>
      </w:r>
      <w:proofErr w:type="spellStart"/>
      <w:r w:rsidR="00E14822" w:rsidRPr="00AB3320">
        <w:rPr>
          <w:rFonts w:cs="Times New Roman"/>
          <w:szCs w:val="24"/>
          <w:lang w:val="fr-CA"/>
        </w:rPr>
        <w:t>prov</w:t>
      </w:r>
      <w:proofErr w:type="spellEnd"/>
      <w:r w:rsidR="00E14822" w:rsidRPr="00AB3320">
        <w:rPr>
          <w:rFonts w:cs="Times New Roman"/>
          <w:szCs w:val="24"/>
          <w:lang w:val="fr-CA"/>
        </w:rPr>
        <w:t xml:space="preserve">. </w:t>
      </w:r>
      <w:proofErr w:type="spellStart"/>
      <w:r w:rsidR="00E14822" w:rsidRPr="00AB3320">
        <w:rPr>
          <w:rFonts w:cs="Times New Roman"/>
          <w:szCs w:val="24"/>
          <w:lang w:val="fr-CA"/>
        </w:rPr>
        <w:t>Sask</w:t>
      </w:r>
      <w:proofErr w:type="spellEnd"/>
      <w:r w:rsidR="00E14822" w:rsidRPr="00AB3320">
        <w:rPr>
          <w:rFonts w:cs="Times New Roman"/>
          <w:szCs w:val="24"/>
          <w:lang w:val="fr-CA"/>
        </w:rPr>
        <w:t>.)</w:t>
      </w:r>
      <w:r w:rsidRPr="00AB3320">
        <w:rPr>
          <w:rStyle w:val="FootnoteReference"/>
          <w:rFonts w:cs="Times New Roman"/>
          <w:szCs w:val="24"/>
        </w:rPr>
        <w:footnoteReference w:id="8"/>
      </w:r>
      <w:r w:rsidRPr="00AB3320">
        <w:rPr>
          <w:rFonts w:cs="Times New Roman"/>
          <w:szCs w:val="24"/>
          <w:lang w:val="fr-CA"/>
        </w:rPr>
        <w:t xml:space="preserve">; </w:t>
      </w:r>
      <w:r w:rsidR="00AC01EB" w:rsidRPr="00AC01EB">
        <w:rPr>
          <w:rFonts w:cs="Times New Roman"/>
          <w:i/>
          <w:szCs w:val="24"/>
          <w:lang w:val="fr-CA"/>
        </w:rPr>
        <w:t>R. c</w:t>
      </w:r>
      <w:r w:rsidR="00733FF6">
        <w:rPr>
          <w:rFonts w:cs="Times New Roman"/>
          <w:i/>
          <w:szCs w:val="24"/>
          <w:lang w:val="fr-CA"/>
        </w:rPr>
        <w:t>.</w:t>
      </w:r>
      <w:r w:rsidR="00AC01EB" w:rsidRPr="00AC01EB">
        <w:rPr>
          <w:rFonts w:cs="Times New Roman"/>
          <w:i/>
          <w:szCs w:val="24"/>
          <w:lang w:val="fr-CA"/>
        </w:rPr>
        <w:t xml:space="preserve"> </w:t>
      </w:r>
      <w:proofErr w:type="spellStart"/>
      <w:r w:rsidRPr="00AB3320">
        <w:rPr>
          <w:rFonts w:cs="Times New Roman"/>
          <w:i/>
          <w:szCs w:val="24"/>
          <w:lang w:val="fr-CA"/>
        </w:rPr>
        <w:t>Spannier</w:t>
      </w:r>
      <w:proofErr w:type="spellEnd"/>
      <w:r w:rsidRPr="00AB3320">
        <w:rPr>
          <w:rFonts w:cs="Times New Roman"/>
          <w:szCs w:val="24"/>
          <w:lang w:val="fr-CA"/>
        </w:rPr>
        <w:t xml:space="preserve">, </w:t>
      </w:r>
      <w:bookmarkStart w:id="0" w:name="OLE_LINK1"/>
      <w:bookmarkStart w:id="1" w:name="OLE_LINK2"/>
      <w:r w:rsidRPr="00AB3320">
        <w:rPr>
          <w:rFonts w:cs="Times New Roman"/>
          <w:szCs w:val="24"/>
          <w:lang w:val="fr-CA"/>
        </w:rPr>
        <w:t xml:space="preserve">1996 </w:t>
      </w:r>
      <w:proofErr w:type="spellStart"/>
      <w:r w:rsidRPr="00AB3320">
        <w:rPr>
          <w:rFonts w:cs="Times New Roman"/>
          <w:szCs w:val="24"/>
          <w:lang w:val="fr-CA"/>
        </w:rPr>
        <w:t>CanLII</w:t>
      </w:r>
      <w:proofErr w:type="spellEnd"/>
      <w:r w:rsidRPr="00AB3320">
        <w:rPr>
          <w:rFonts w:cs="Times New Roman"/>
          <w:szCs w:val="24"/>
          <w:lang w:val="fr-CA"/>
        </w:rPr>
        <w:t xml:space="preserve"> 978</w:t>
      </w:r>
      <w:bookmarkEnd w:id="0"/>
      <w:bookmarkEnd w:id="1"/>
      <w:r w:rsidRPr="00AB3320">
        <w:rPr>
          <w:rFonts w:cs="Times New Roman"/>
          <w:szCs w:val="24"/>
          <w:lang w:val="fr-CA"/>
        </w:rPr>
        <w:t xml:space="preserve"> (C.S.C</w:t>
      </w:r>
      <w:r w:rsidR="00240E6D" w:rsidRPr="00AB3320">
        <w:rPr>
          <w:rFonts w:cs="Times New Roman"/>
          <w:szCs w:val="24"/>
          <w:lang w:val="fr-CA"/>
        </w:rPr>
        <w:t>.</w:t>
      </w:r>
      <w:r w:rsidR="006B6228">
        <w:rPr>
          <w:rFonts w:cs="Times New Roman"/>
          <w:szCs w:val="24"/>
          <w:lang w:val="fr-CA"/>
        </w:rPr>
        <w:t>-</w:t>
      </w:r>
      <w:r w:rsidRPr="00AB3320">
        <w:rPr>
          <w:rFonts w:cs="Times New Roman"/>
          <w:szCs w:val="24"/>
          <w:lang w:val="fr-CA"/>
        </w:rPr>
        <w:t>B</w:t>
      </w:r>
      <w:r w:rsidR="00240E6D" w:rsidRPr="00AB3320">
        <w:rPr>
          <w:rFonts w:cs="Times New Roman"/>
          <w:szCs w:val="24"/>
          <w:lang w:val="fr-CA"/>
        </w:rPr>
        <w:t>.</w:t>
      </w:r>
      <w:r w:rsidRPr="00AB3320">
        <w:rPr>
          <w:rFonts w:cs="Times New Roman"/>
          <w:szCs w:val="24"/>
          <w:lang w:val="fr-CA"/>
        </w:rPr>
        <w:t>)</w:t>
      </w:r>
      <w:r w:rsidRPr="00AB3320">
        <w:rPr>
          <w:rStyle w:val="FootnoteReference"/>
          <w:rFonts w:cs="Times New Roman"/>
          <w:szCs w:val="24"/>
        </w:rPr>
        <w:footnoteReference w:id="9"/>
      </w:r>
      <w:r w:rsidRPr="00AB3320">
        <w:rPr>
          <w:rFonts w:cs="Times New Roman"/>
          <w:szCs w:val="24"/>
          <w:lang w:val="fr-CA"/>
        </w:rPr>
        <w:t>.</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Avec égards, j</w:t>
      </w:r>
      <w:r w:rsidR="00424D24">
        <w:rPr>
          <w:rFonts w:cs="Times New Roman"/>
          <w:szCs w:val="24"/>
          <w:lang w:val="fr-CA"/>
        </w:rPr>
        <w:t>’</w:t>
      </w:r>
      <w:r w:rsidRPr="00AB3320">
        <w:rPr>
          <w:rFonts w:cs="Times New Roman"/>
          <w:szCs w:val="24"/>
          <w:lang w:val="fr-CA"/>
        </w:rPr>
        <w:t>estime donc qu</w:t>
      </w:r>
      <w:r w:rsidR="00424D24">
        <w:rPr>
          <w:rFonts w:cs="Times New Roman"/>
          <w:szCs w:val="24"/>
          <w:lang w:val="fr-CA"/>
        </w:rPr>
        <w:t>’</w:t>
      </w:r>
      <w:r w:rsidRPr="00AB3320">
        <w:rPr>
          <w:rFonts w:cs="Times New Roman"/>
          <w:szCs w:val="24"/>
          <w:lang w:val="fr-CA"/>
        </w:rPr>
        <w:t>une intervention en appel était injustifiée dans les circonstances.</w:t>
      </w:r>
    </w:p>
    <w:p w:rsidR="0003214E" w:rsidRPr="00AB3320" w:rsidRDefault="0003214E" w:rsidP="0003214E">
      <w:pPr>
        <w:pStyle w:val="TitleTitre-AltT"/>
        <w:jc w:val="center"/>
        <w:rPr>
          <w:rFonts w:cs="Times New Roman"/>
          <w:szCs w:val="24"/>
          <w:lang w:val="fr-CA"/>
        </w:rPr>
      </w:pPr>
      <w:r w:rsidRPr="00AB3320">
        <w:rPr>
          <w:rFonts w:cs="Times New Roman"/>
          <w:szCs w:val="24"/>
          <w:lang w:val="fr-CA"/>
        </w:rPr>
        <w:lastRenderedPageBreak/>
        <w:t>IV</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Je passe maintenant à la question de savoir si la cour d</w:t>
      </w:r>
      <w:r w:rsidR="00424D24">
        <w:rPr>
          <w:rFonts w:cs="Times New Roman"/>
          <w:szCs w:val="24"/>
          <w:lang w:val="fr-CA"/>
        </w:rPr>
        <w:t>’</w:t>
      </w:r>
      <w:r w:rsidRPr="00AB3320">
        <w:rPr>
          <w:rFonts w:cs="Times New Roman"/>
          <w:szCs w:val="24"/>
          <w:lang w:val="fr-CA"/>
        </w:rPr>
        <w:t>appel qui annule un arrêt des procédures peut, lorsque les circonstances s</w:t>
      </w:r>
      <w:r w:rsidR="00424D24">
        <w:rPr>
          <w:rFonts w:cs="Times New Roman"/>
          <w:szCs w:val="24"/>
          <w:lang w:val="fr-CA"/>
        </w:rPr>
        <w:t>’</w:t>
      </w:r>
      <w:r w:rsidRPr="00AB3320">
        <w:rPr>
          <w:rFonts w:cs="Times New Roman"/>
          <w:szCs w:val="24"/>
          <w:lang w:val="fr-CA"/>
        </w:rPr>
        <w:t>y prêtent, renvoyer l</w:t>
      </w:r>
      <w:r w:rsidR="00424D24">
        <w:rPr>
          <w:rFonts w:cs="Times New Roman"/>
          <w:szCs w:val="24"/>
          <w:lang w:val="fr-CA"/>
        </w:rPr>
        <w:t>’</w:t>
      </w:r>
      <w:r w:rsidRPr="00AB3320">
        <w:rPr>
          <w:rFonts w:cs="Times New Roman"/>
          <w:szCs w:val="24"/>
          <w:lang w:val="fr-CA"/>
        </w:rPr>
        <w:t>affaire au tribunal de première instance en vue de la continuation du procès.</w:t>
      </w:r>
      <w:r w:rsidR="00AB3320">
        <w:rPr>
          <w:rFonts w:cs="Times New Roman"/>
          <w:szCs w:val="24"/>
          <w:lang w:val="fr-CA"/>
        </w:rPr>
        <w:t xml:space="preserve"> </w:t>
      </w:r>
      <w:r w:rsidRPr="00AB3320">
        <w:rPr>
          <w:rFonts w:cs="Times New Roman"/>
          <w:szCs w:val="24"/>
          <w:lang w:val="fr-CA"/>
        </w:rPr>
        <w:t>Je suis d</w:t>
      </w:r>
      <w:r w:rsidR="00424D24">
        <w:rPr>
          <w:rFonts w:cs="Times New Roman"/>
          <w:szCs w:val="24"/>
          <w:lang w:val="fr-CA"/>
        </w:rPr>
        <w:t>’</w:t>
      </w:r>
      <w:r w:rsidRPr="00AB3320">
        <w:rPr>
          <w:rFonts w:cs="Times New Roman"/>
          <w:szCs w:val="24"/>
          <w:lang w:val="fr-CA"/>
        </w:rPr>
        <w:t>avis qu</w:t>
      </w:r>
      <w:r w:rsidR="00424D24">
        <w:rPr>
          <w:rFonts w:cs="Times New Roman"/>
          <w:szCs w:val="24"/>
          <w:lang w:val="fr-CA"/>
        </w:rPr>
        <w:t>’</w:t>
      </w:r>
      <w:r w:rsidRPr="00AB3320">
        <w:rPr>
          <w:rFonts w:cs="Times New Roman"/>
          <w:szCs w:val="24"/>
          <w:lang w:val="fr-CA"/>
        </w:rPr>
        <w:t>elle le p</w:t>
      </w:r>
      <w:r w:rsidR="0068024C" w:rsidRPr="00AB3320">
        <w:rPr>
          <w:rFonts w:cs="Times New Roman"/>
          <w:szCs w:val="24"/>
          <w:lang w:val="fr-CA"/>
        </w:rPr>
        <w:t>eut en application des par.</w:t>
      </w:r>
      <w:r w:rsidR="00AB3320">
        <w:rPr>
          <w:rFonts w:cs="Times New Roman"/>
          <w:szCs w:val="24"/>
          <w:lang w:val="fr-CA"/>
        </w:rPr>
        <w:t xml:space="preserve"> </w:t>
      </w:r>
      <w:r w:rsidR="0068024C" w:rsidRPr="00AB3320">
        <w:rPr>
          <w:rFonts w:cs="Times New Roman"/>
          <w:szCs w:val="24"/>
          <w:lang w:val="fr-CA"/>
        </w:rPr>
        <w:t>686</w:t>
      </w:r>
      <w:r w:rsidRPr="00AB3320">
        <w:rPr>
          <w:rFonts w:cs="Times New Roman"/>
          <w:szCs w:val="24"/>
          <w:lang w:val="fr-CA"/>
        </w:rPr>
        <w:t xml:space="preserve">(4) et (8) du </w:t>
      </w:r>
      <w:r w:rsidRPr="00AB3320">
        <w:rPr>
          <w:rFonts w:cs="Times New Roman"/>
          <w:i/>
          <w:szCs w:val="24"/>
          <w:lang w:val="fr-CA"/>
        </w:rPr>
        <w:t>Code criminel</w:t>
      </w:r>
      <w:r w:rsidRPr="00AB3320">
        <w:rPr>
          <w:rFonts w:cs="Times New Roman"/>
          <w:szCs w:val="24"/>
          <w:lang w:val="fr-CA"/>
        </w:rPr>
        <w:t>, L.R.C</w:t>
      </w:r>
      <w:r w:rsidR="0068024C" w:rsidRPr="00AB3320">
        <w:rPr>
          <w:rFonts w:cs="Times New Roman"/>
          <w:szCs w:val="24"/>
          <w:lang w:val="fr-CA"/>
        </w:rPr>
        <w:t>.</w:t>
      </w:r>
      <w:r w:rsidRPr="00AB3320">
        <w:rPr>
          <w:rFonts w:cs="Times New Roman"/>
          <w:bCs/>
          <w:szCs w:val="24"/>
          <w:lang w:val="fr-CA"/>
        </w:rPr>
        <w:t xml:space="preserve"> 1985, ch.</w:t>
      </w:r>
      <w:r w:rsidR="00424D24">
        <w:rPr>
          <w:rFonts w:cs="Times New Roman"/>
          <w:bCs/>
          <w:szCs w:val="24"/>
          <w:lang w:val="fr-CA"/>
        </w:rPr>
        <w:t> </w:t>
      </w:r>
      <w:r w:rsidRPr="00AB3320">
        <w:rPr>
          <w:rFonts w:cs="Times New Roman"/>
          <w:bCs/>
          <w:szCs w:val="24"/>
          <w:lang w:val="fr-CA"/>
        </w:rPr>
        <w:t>C</w:t>
      </w:r>
      <w:r w:rsidR="006B6228">
        <w:rPr>
          <w:rFonts w:cs="Times New Roman"/>
          <w:bCs/>
          <w:szCs w:val="24"/>
          <w:lang w:val="fr-CA"/>
        </w:rPr>
        <w:t>-</w:t>
      </w:r>
      <w:r w:rsidRPr="00AB3320">
        <w:rPr>
          <w:rFonts w:cs="Times New Roman"/>
          <w:bCs/>
          <w:szCs w:val="24"/>
          <w:lang w:val="fr-CA"/>
        </w:rPr>
        <w:t>46</w:t>
      </w:r>
      <w:r w:rsidRPr="00AB3320">
        <w:rPr>
          <w:rFonts w:cs="Times New Roman"/>
          <w:szCs w:val="24"/>
          <w:lang w:val="fr-CA"/>
        </w:rPr>
        <w:t>.</w:t>
      </w:r>
    </w:p>
    <w:p w:rsidR="0003214E" w:rsidRPr="00AB3320" w:rsidRDefault="0003214E" w:rsidP="0003214E">
      <w:pPr>
        <w:pStyle w:val="ParaNoNdepar-AltN"/>
        <w:rPr>
          <w:rFonts w:cs="Times New Roman"/>
          <w:szCs w:val="24"/>
          <w:lang w:val="fr-CA"/>
        </w:rPr>
      </w:pPr>
      <w:r w:rsidRPr="00AB3320">
        <w:rPr>
          <w:rFonts w:cs="Times New Roman"/>
          <w:szCs w:val="24"/>
          <w:lang w:val="fr-CA"/>
        </w:rPr>
        <w:t>L</w:t>
      </w:r>
      <w:r w:rsidR="00424D24">
        <w:rPr>
          <w:rFonts w:cs="Times New Roman"/>
          <w:szCs w:val="24"/>
          <w:lang w:val="fr-CA"/>
        </w:rPr>
        <w:t>’</w:t>
      </w:r>
      <w:r w:rsidRPr="00AB3320">
        <w:rPr>
          <w:rFonts w:cs="Times New Roman"/>
          <w:szCs w:val="24"/>
          <w:lang w:val="fr-CA"/>
        </w:rPr>
        <w:t>alinéa</w:t>
      </w:r>
      <w:r w:rsidR="00AB3320">
        <w:rPr>
          <w:rFonts w:cs="Times New Roman"/>
          <w:szCs w:val="24"/>
          <w:lang w:val="fr-CA"/>
        </w:rPr>
        <w:t xml:space="preserve"> </w:t>
      </w:r>
      <w:r w:rsidRPr="00AB3320">
        <w:rPr>
          <w:rFonts w:cs="Times New Roman"/>
          <w:szCs w:val="24"/>
          <w:lang w:val="fr-CA"/>
        </w:rPr>
        <w:t>686(4)</w:t>
      </w:r>
      <w:r w:rsidRPr="00AB3320">
        <w:rPr>
          <w:rFonts w:cs="Times New Roman"/>
          <w:i/>
          <w:szCs w:val="24"/>
          <w:lang w:val="fr-CA"/>
        </w:rPr>
        <w:t>b</w:t>
      </w:r>
      <w:r w:rsidRPr="00AB3320">
        <w:rPr>
          <w:rFonts w:cs="Times New Roman"/>
          <w:szCs w:val="24"/>
          <w:lang w:val="fr-CA"/>
        </w:rPr>
        <w:t>) dispose que lorsqu</w:t>
      </w:r>
      <w:r w:rsidR="00424D24">
        <w:rPr>
          <w:rFonts w:cs="Times New Roman"/>
          <w:szCs w:val="24"/>
          <w:lang w:val="fr-CA"/>
        </w:rPr>
        <w:t>’</w:t>
      </w:r>
      <w:r w:rsidRPr="00AB3320">
        <w:rPr>
          <w:rFonts w:cs="Times New Roman"/>
          <w:szCs w:val="24"/>
          <w:lang w:val="fr-CA"/>
        </w:rPr>
        <w:t>elle accueille l</w:t>
      </w:r>
      <w:r w:rsidR="00424D24">
        <w:rPr>
          <w:rFonts w:cs="Times New Roman"/>
          <w:szCs w:val="24"/>
          <w:lang w:val="fr-CA"/>
        </w:rPr>
        <w:t>’</w:t>
      </w:r>
      <w:r w:rsidRPr="00AB3320">
        <w:rPr>
          <w:rFonts w:cs="Times New Roman"/>
          <w:szCs w:val="24"/>
          <w:lang w:val="fr-CA"/>
        </w:rPr>
        <w:t>appel interjeté par le ministère public contre un acquittement, la cour d</w:t>
      </w:r>
      <w:r w:rsidR="00424D24">
        <w:rPr>
          <w:rFonts w:cs="Times New Roman"/>
          <w:szCs w:val="24"/>
          <w:lang w:val="fr-CA"/>
        </w:rPr>
        <w:t>’</w:t>
      </w:r>
      <w:r w:rsidRPr="00AB3320">
        <w:rPr>
          <w:rFonts w:cs="Times New Roman"/>
          <w:szCs w:val="24"/>
          <w:lang w:val="fr-CA"/>
        </w:rPr>
        <w:t>appel peut, selon le cas</w:t>
      </w:r>
      <w:r w:rsidR="00AB3320">
        <w:rPr>
          <w:rFonts w:cs="Times New Roman"/>
          <w:szCs w:val="24"/>
          <w:lang w:val="fr-CA"/>
        </w:rPr>
        <w:t xml:space="preserve"> </w:t>
      </w:r>
      <w:r w:rsidRPr="00AB3320">
        <w:rPr>
          <w:rFonts w:cs="Times New Roman"/>
          <w:szCs w:val="24"/>
          <w:lang w:val="fr-CA"/>
        </w:rPr>
        <w:t xml:space="preserve">: </w:t>
      </w:r>
    </w:p>
    <w:p w:rsidR="0003214E" w:rsidRPr="00AB3320" w:rsidRDefault="0003214E" w:rsidP="002974C5">
      <w:pPr>
        <w:pStyle w:val="Citation-AltC"/>
        <w:tabs>
          <w:tab w:val="left" w:pos="1620"/>
        </w:tabs>
        <w:spacing w:after="240"/>
        <w:ind w:hanging="1166"/>
        <w:contextualSpacing w:val="0"/>
        <w:rPr>
          <w:szCs w:val="24"/>
          <w:lang w:val="fr-CA"/>
        </w:rPr>
      </w:pPr>
      <w:r w:rsidRPr="00AB3320">
        <w:rPr>
          <w:szCs w:val="24"/>
          <w:lang w:val="fr-CA"/>
        </w:rPr>
        <w:tab/>
        <w:t>(i)</w:t>
      </w:r>
      <w:r w:rsidR="002974C5">
        <w:rPr>
          <w:szCs w:val="24"/>
          <w:lang w:val="fr-CA"/>
        </w:rPr>
        <w:tab/>
      </w:r>
      <w:r w:rsidRPr="00AB3320">
        <w:rPr>
          <w:szCs w:val="24"/>
          <w:lang w:val="fr-CA"/>
        </w:rPr>
        <w:t>ordonner un nouveau procès,</w:t>
      </w:r>
    </w:p>
    <w:p w:rsidR="0003214E" w:rsidRPr="00AB3320" w:rsidRDefault="0003214E" w:rsidP="002974C5">
      <w:pPr>
        <w:pStyle w:val="Citation-AltC"/>
        <w:tabs>
          <w:tab w:val="left" w:pos="1620"/>
        </w:tabs>
        <w:ind w:hanging="1166"/>
        <w:contextualSpacing w:val="0"/>
        <w:rPr>
          <w:szCs w:val="24"/>
          <w:lang w:val="fr-CA"/>
        </w:rPr>
      </w:pPr>
      <w:r w:rsidRPr="00AB3320">
        <w:rPr>
          <w:szCs w:val="24"/>
          <w:lang w:val="fr-CA"/>
        </w:rPr>
        <w:tab/>
        <w:t>(ii)</w:t>
      </w:r>
      <w:r w:rsidR="002974C5">
        <w:rPr>
          <w:szCs w:val="24"/>
          <w:lang w:val="fr-CA"/>
        </w:rPr>
        <w:tab/>
      </w:r>
      <w:r w:rsidRPr="00AB3320">
        <w:rPr>
          <w:iCs/>
          <w:szCs w:val="24"/>
          <w:lang w:val="fr-CA"/>
        </w:rPr>
        <w:t>sauf dans le cas d</w:t>
      </w:r>
      <w:r w:rsidR="00424D24">
        <w:rPr>
          <w:iCs/>
          <w:szCs w:val="24"/>
          <w:lang w:val="fr-CA"/>
        </w:rPr>
        <w:t>’</w:t>
      </w:r>
      <w:r w:rsidRPr="00AB3320">
        <w:rPr>
          <w:iCs/>
          <w:szCs w:val="24"/>
          <w:lang w:val="fr-CA"/>
        </w:rPr>
        <w:t>un verdict rendu par un tribunal composé d</w:t>
      </w:r>
      <w:r w:rsidR="00424D24">
        <w:rPr>
          <w:iCs/>
          <w:szCs w:val="24"/>
          <w:lang w:val="fr-CA"/>
        </w:rPr>
        <w:t>’</w:t>
      </w:r>
      <w:r w:rsidRPr="00AB3320">
        <w:rPr>
          <w:iCs/>
          <w:szCs w:val="24"/>
          <w:lang w:val="fr-CA"/>
        </w:rPr>
        <w:t>un juge et d</w:t>
      </w:r>
      <w:r w:rsidR="00424D24">
        <w:rPr>
          <w:iCs/>
          <w:szCs w:val="24"/>
          <w:lang w:val="fr-CA"/>
        </w:rPr>
        <w:t>’</w:t>
      </w:r>
      <w:r w:rsidRPr="00AB3320">
        <w:rPr>
          <w:iCs/>
          <w:szCs w:val="24"/>
          <w:lang w:val="fr-CA"/>
        </w:rPr>
        <w:t>un jury, consigner un verdict de culpabilité à l</w:t>
      </w:r>
      <w:r w:rsidR="00424D24">
        <w:rPr>
          <w:iCs/>
          <w:szCs w:val="24"/>
          <w:lang w:val="fr-CA"/>
        </w:rPr>
        <w:t>’</w:t>
      </w:r>
      <w:r w:rsidRPr="00AB3320">
        <w:rPr>
          <w:iCs/>
          <w:szCs w:val="24"/>
          <w:lang w:val="fr-CA"/>
        </w:rPr>
        <w:t>égard de l</w:t>
      </w:r>
      <w:r w:rsidR="00424D24">
        <w:rPr>
          <w:iCs/>
          <w:szCs w:val="24"/>
          <w:lang w:val="fr-CA"/>
        </w:rPr>
        <w:t>’</w:t>
      </w:r>
      <w:r w:rsidRPr="00AB3320">
        <w:rPr>
          <w:iCs/>
          <w:szCs w:val="24"/>
          <w:lang w:val="fr-CA"/>
        </w:rPr>
        <w:t>infraction dont, à son avis, l</w:t>
      </w:r>
      <w:r w:rsidR="00424D24">
        <w:rPr>
          <w:iCs/>
          <w:szCs w:val="24"/>
          <w:lang w:val="fr-CA"/>
        </w:rPr>
        <w:t>’</w:t>
      </w:r>
      <w:r w:rsidRPr="00AB3320">
        <w:rPr>
          <w:iCs/>
          <w:szCs w:val="24"/>
          <w:lang w:val="fr-CA"/>
        </w:rPr>
        <w:t>accusé aurait dû être déclaré coupable, et prononcer une peine justifiée en droit ou renvoyer l</w:t>
      </w:r>
      <w:r w:rsidR="00424D24">
        <w:rPr>
          <w:iCs/>
          <w:szCs w:val="24"/>
          <w:lang w:val="fr-CA"/>
        </w:rPr>
        <w:t>’</w:t>
      </w:r>
      <w:r w:rsidRPr="00AB3320">
        <w:rPr>
          <w:iCs/>
          <w:szCs w:val="24"/>
          <w:lang w:val="fr-CA"/>
        </w:rPr>
        <w:t>affaire au tribunal de première instance en lui ordonnant d</w:t>
      </w:r>
      <w:r w:rsidR="00424D24">
        <w:rPr>
          <w:iCs/>
          <w:szCs w:val="24"/>
          <w:lang w:val="fr-CA"/>
        </w:rPr>
        <w:t>’</w:t>
      </w:r>
      <w:r w:rsidRPr="00AB3320">
        <w:rPr>
          <w:iCs/>
          <w:szCs w:val="24"/>
          <w:lang w:val="fr-CA"/>
        </w:rPr>
        <w:t>infliger une peine justifiée en droit.</w:t>
      </w:r>
      <w:r w:rsidRPr="00AB3320">
        <w:rPr>
          <w:szCs w:val="24"/>
          <w:lang w:val="fr-CA"/>
        </w:rPr>
        <w:t xml:space="preserve"> </w:t>
      </w:r>
    </w:p>
    <w:p w:rsidR="0003214E" w:rsidRPr="00AB3320" w:rsidRDefault="0003214E" w:rsidP="0003214E">
      <w:pPr>
        <w:pStyle w:val="ContinueParaSuitedupar-AltP"/>
        <w:rPr>
          <w:rFonts w:cs="Times New Roman"/>
          <w:szCs w:val="24"/>
          <w:lang w:val="fr-CA"/>
        </w:rPr>
      </w:pPr>
      <w:r w:rsidRPr="00AB3320">
        <w:rPr>
          <w:rFonts w:cs="Times New Roman"/>
          <w:szCs w:val="24"/>
          <w:lang w:val="fr-CA"/>
        </w:rPr>
        <w:t>Il est bien établi que, dans ce contexte, l</w:t>
      </w:r>
      <w:r w:rsidR="00424D24">
        <w:rPr>
          <w:rFonts w:cs="Times New Roman"/>
          <w:szCs w:val="24"/>
          <w:lang w:val="fr-CA"/>
        </w:rPr>
        <w:t>’</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acquittement</w:t>
      </w:r>
      <w:r w:rsidR="00AB3320">
        <w:rPr>
          <w:rFonts w:cs="Times New Roman"/>
          <w:szCs w:val="24"/>
          <w:lang w:val="fr-CA"/>
        </w:rPr>
        <w:t xml:space="preserve"> </w:t>
      </w:r>
      <w:r w:rsidRPr="00AB3320">
        <w:rPr>
          <w:rFonts w:cs="Times New Roman"/>
          <w:szCs w:val="24"/>
          <w:lang w:val="fr-CA"/>
        </w:rPr>
        <w:t>» s</w:t>
      </w:r>
      <w:r w:rsidR="00424D24">
        <w:rPr>
          <w:rFonts w:cs="Times New Roman"/>
          <w:szCs w:val="24"/>
          <w:lang w:val="fr-CA"/>
        </w:rPr>
        <w:t>’</w:t>
      </w:r>
      <w:r w:rsidRPr="00AB3320">
        <w:rPr>
          <w:rFonts w:cs="Times New Roman"/>
          <w:szCs w:val="24"/>
          <w:lang w:val="fr-CA"/>
        </w:rPr>
        <w:t>entend aussi de l</w:t>
      </w:r>
      <w:r w:rsidR="00424D24">
        <w:rPr>
          <w:rFonts w:cs="Times New Roman"/>
          <w:szCs w:val="24"/>
          <w:lang w:val="fr-CA"/>
        </w:rPr>
        <w:t>’</w:t>
      </w:r>
      <w:r w:rsidRPr="00AB3320">
        <w:rPr>
          <w:rFonts w:cs="Times New Roman"/>
          <w:szCs w:val="24"/>
          <w:lang w:val="fr-CA"/>
        </w:rPr>
        <w:t>arrêt des procédures, car celui-ci met définitivement fin à l</w:t>
      </w:r>
      <w:r w:rsidR="00424D24">
        <w:rPr>
          <w:rFonts w:cs="Times New Roman"/>
          <w:szCs w:val="24"/>
          <w:lang w:val="fr-CA"/>
        </w:rPr>
        <w:t>’</w:t>
      </w:r>
      <w:r w:rsidRPr="00AB3320">
        <w:rPr>
          <w:rFonts w:cs="Times New Roman"/>
          <w:szCs w:val="24"/>
          <w:lang w:val="fr-CA"/>
        </w:rPr>
        <w:t>instance au bénéfice de l</w:t>
      </w:r>
      <w:r w:rsidR="00424D24">
        <w:rPr>
          <w:rFonts w:cs="Times New Roman"/>
          <w:szCs w:val="24"/>
          <w:lang w:val="fr-CA"/>
        </w:rPr>
        <w:t>’</w:t>
      </w:r>
      <w:r w:rsidRPr="00AB3320">
        <w:rPr>
          <w:rFonts w:cs="Times New Roman"/>
          <w:szCs w:val="24"/>
          <w:lang w:val="fr-CA"/>
        </w:rPr>
        <w:t>accusé</w:t>
      </w:r>
      <w:r w:rsidR="00AB3320">
        <w:rPr>
          <w:rFonts w:cs="Times New Roman"/>
          <w:szCs w:val="24"/>
          <w:lang w:val="fr-CA"/>
        </w:rPr>
        <w:t xml:space="preserve"> </w:t>
      </w:r>
      <w:r w:rsidRPr="00AB3320">
        <w:rPr>
          <w:rFonts w:cs="Times New Roman"/>
          <w:szCs w:val="24"/>
          <w:lang w:val="fr-CA"/>
        </w:rPr>
        <w:t xml:space="preserve">: </w:t>
      </w:r>
      <w:r w:rsidRPr="00AB3320">
        <w:rPr>
          <w:rFonts w:cs="Times New Roman"/>
          <w:i/>
          <w:szCs w:val="24"/>
          <w:lang w:val="fr-CA"/>
        </w:rPr>
        <w:t>R.</w:t>
      </w:r>
      <w:r w:rsidR="00AB3320">
        <w:rPr>
          <w:rFonts w:cs="Times New Roman"/>
          <w:i/>
          <w:szCs w:val="24"/>
          <w:lang w:val="fr-CA"/>
        </w:rPr>
        <w:t xml:space="preserve"> </w:t>
      </w:r>
      <w:r w:rsidRPr="00AB3320">
        <w:rPr>
          <w:rFonts w:cs="Times New Roman"/>
          <w:i/>
          <w:szCs w:val="24"/>
          <w:lang w:val="fr-CA"/>
        </w:rPr>
        <w:t xml:space="preserve">c. </w:t>
      </w:r>
      <w:proofErr w:type="spellStart"/>
      <w:r w:rsidRPr="00AB3320">
        <w:rPr>
          <w:rFonts w:cs="Times New Roman"/>
          <w:i/>
          <w:szCs w:val="24"/>
          <w:lang w:val="fr-CA"/>
        </w:rPr>
        <w:t>Jewitt</w:t>
      </w:r>
      <w:proofErr w:type="spellEnd"/>
      <w:r w:rsidRPr="00AB3320">
        <w:rPr>
          <w:rFonts w:cs="Times New Roman"/>
          <w:szCs w:val="24"/>
          <w:lang w:val="fr-CA"/>
        </w:rPr>
        <w:t>, [1985] 2 R.C.S. 128.</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paragraphe</w:t>
      </w:r>
      <w:r w:rsidR="00AB3320">
        <w:rPr>
          <w:rFonts w:cs="Times New Roman"/>
          <w:szCs w:val="24"/>
          <w:lang w:val="fr-CA"/>
        </w:rPr>
        <w:t xml:space="preserve"> </w:t>
      </w:r>
      <w:r w:rsidRPr="00AB3320">
        <w:rPr>
          <w:rFonts w:cs="Times New Roman"/>
          <w:szCs w:val="24"/>
          <w:lang w:val="fr-CA"/>
        </w:rPr>
        <w:t>686(8) prévoit pour sa part que la cour d</w:t>
      </w:r>
      <w:r w:rsidR="00424D24">
        <w:rPr>
          <w:rFonts w:cs="Times New Roman"/>
          <w:szCs w:val="24"/>
          <w:lang w:val="fr-CA"/>
        </w:rPr>
        <w:t>’</w:t>
      </w:r>
      <w:r w:rsidRPr="00AB3320">
        <w:rPr>
          <w:rFonts w:cs="Times New Roman"/>
          <w:szCs w:val="24"/>
          <w:lang w:val="fr-CA"/>
        </w:rPr>
        <w:t>appel qui exerce des pouvoirs conférés au par.</w:t>
      </w:r>
      <w:r w:rsidR="00AB3320">
        <w:rPr>
          <w:rFonts w:cs="Times New Roman"/>
          <w:szCs w:val="24"/>
          <w:lang w:val="fr-CA"/>
        </w:rPr>
        <w:t xml:space="preserve"> </w:t>
      </w:r>
      <w:r w:rsidRPr="00AB3320">
        <w:rPr>
          <w:rFonts w:cs="Times New Roman"/>
          <w:szCs w:val="24"/>
          <w:lang w:val="fr-CA"/>
        </w:rPr>
        <w:t>686(4) «</w:t>
      </w:r>
      <w:r w:rsidR="00AB3320">
        <w:rPr>
          <w:rFonts w:cs="Times New Roman"/>
          <w:szCs w:val="24"/>
          <w:lang w:val="fr-CA"/>
        </w:rPr>
        <w:t xml:space="preserve"> </w:t>
      </w:r>
      <w:r w:rsidRPr="00AB3320">
        <w:rPr>
          <w:rFonts w:cs="Times New Roman"/>
          <w:szCs w:val="24"/>
          <w:lang w:val="fr-CA"/>
        </w:rPr>
        <w:t xml:space="preserve">peut </w:t>
      </w:r>
      <w:r w:rsidRPr="00AB3320">
        <w:rPr>
          <w:rFonts w:cs="Times New Roman"/>
          <w:szCs w:val="24"/>
          <w:u w:val="single"/>
          <w:lang w:val="fr-CA"/>
        </w:rPr>
        <w:t>en outre</w:t>
      </w:r>
      <w:r w:rsidRPr="00AB3320">
        <w:rPr>
          <w:rFonts w:cs="Times New Roman"/>
          <w:szCs w:val="24"/>
          <w:lang w:val="fr-CA"/>
        </w:rPr>
        <w:t xml:space="preserve"> rendre toute ordonnance que la justice exige</w:t>
      </w:r>
      <w:r w:rsidR="00AB3320">
        <w:rPr>
          <w:rFonts w:cs="Times New Roman"/>
          <w:szCs w:val="24"/>
          <w:lang w:val="fr-CA"/>
        </w:rPr>
        <w:t xml:space="preserve"> </w:t>
      </w:r>
      <w:r w:rsidRPr="00AB3320">
        <w:rPr>
          <w:rFonts w:cs="Times New Roman"/>
          <w:szCs w:val="24"/>
          <w:lang w:val="fr-CA"/>
        </w:rPr>
        <w:t>».</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lastRenderedPageBreak/>
        <w:t>Naturellement, d</w:t>
      </w:r>
      <w:r w:rsidR="00424D24">
        <w:rPr>
          <w:rFonts w:cs="Times New Roman"/>
          <w:szCs w:val="24"/>
          <w:lang w:val="fr-CA"/>
        </w:rPr>
        <w:t>’</w:t>
      </w:r>
      <w:r w:rsidRPr="00AB3320">
        <w:rPr>
          <w:rFonts w:cs="Times New Roman"/>
          <w:szCs w:val="24"/>
          <w:lang w:val="fr-CA"/>
        </w:rPr>
        <w:t>aucuns ont conclu de l</w:t>
      </w:r>
      <w:r w:rsidR="00424D24">
        <w:rPr>
          <w:rFonts w:cs="Times New Roman"/>
          <w:szCs w:val="24"/>
          <w:lang w:val="fr-CA"/>
        </w:rPr>
        <w:t>’</w:t>
      </w:r>
      <w:r w:rsidRPr="00AB3320">
        <w:rPr>
          <w:rFonts w:cs="Times New Roman"/>
          <w:szCs w:val="24"/>
          <w:lang w:val="fr-CA"/>
        </w:rPr>
        <w:t>emploi des mots «</w:t>
      </w:r>
      <w:r w:rsidR="00AB3320">
        <w:rPr>
          <w:rFonts w:cs="Times New Roman"/>
          <w:szCs w:val="24"/>
          <w:lang w:val="fr-CA"/>
        </w:rPr>
        <w:t xml:space="preserve"> </w:t>
      </w:r>
      <w:r w:rsidRPr="00AB3320">
        <w:rPr>
          <w:rFonts w:cs="Times New Roman"/>
          <w:szCs w:val="24"/>
          <w:lang w:val="fr-CA"/>
        </w:rPr>
        <w:t>en outre</w:t>
      </w:r>
      <w:r w:rsidR="00AB3320">
        <w:rPr>
          <w:rFonts w:cs="Times New Roman"/>
          <w:szCs w:val="24"/>
          <w:lang w:val="fr-CA"/>
        </w:rPr>
        <w:t xml:space="preserve"> </w:t>
      </w:r>
      <w:r w:rsidRPr="00AB3320">
        <w:rPr>
          <w:rFonts w:cs="Times New Roman"/>
          <w:szCs w:val="24"/>
          <w:lang w:val="fr-CA"/>
        </w:rPr>
        <w:t>» que la cour d</w:t>
      </w:r>
      <w:r w:rsidR="00424D24">
        <w:rPr>
          <w:rFonts w:cs="Times New Roman"/>
          <w:szCs w:val="24"/>
          <w:lang w:val="fr-CA"/>
        </w:rPr>
        <w:t>’</w:t>
      </w:r>
      <w:r w:rsidRPr="00AB3320">
        <w:rPr>
          <w:rFonts w:cs="Times New Roman"/>
          <w:szCs w:val="24"/>
          <w:lang w:val="fr-CA"/>
        </w:rPr>
        <w:t>appel qui annulait un acquittement ou un arrêt des procédures ne pouvait rendre une ordonnance en application du par.</w:t>
      </w:r>
      <w:r w:rsidR="00AB3320">
        <w:rPr>
          <w:rFonts w:cs="Times New Roman"/>
          <w:szCs w:val="24"/>
          <w:lang w:val="fr-CA"/>
        </w:rPr>
        <w:t xml:space="preserve"> </w:t>
      </w:r>
      <w:r w:rsidRPr="00AB3320">
        <w:rPr>
          <w:rFonts w:cs="Times New Roman"/>
          <w:szCs w:val="24"/>
          <w:lang w:val="fr-CA"/>
        </w:rPr>
        <w:t>686(8) que si elle consignait un verdict de culpabilité ou ordonnait un nouveau procès, les seules mesures expressément permises au par</w:t>
      </w:r>
      <w:r w:rsidR="0068024C" w:rsidRPr="00AB3320">
        <w:rPr>
          <w:rFonts w:cs="Times New Roman"/>
          <w:szCs w:val="24"/>
          <w:lang w:val="fr-CA"/>
        </w:rPr>
        <w:t>.</w:t>
      </w:r>
      <w:r w:rsidR="006B0698">
        <w:rPr>
          <w:rFonts w:cs="Times New Roman"/>
          <w:szCs w:val="24"/>
          <w:lang w:val="fr-CA"/>
        </w:rPr>
        <w:t> </w:t>
      </w:r>
      <w:r w:rsidRPr="00AB3320">
        <w:rPr>
          <w:rFonts w:cs="Times New Roman"/>
          <w:szCs w:val="24"/>
          <w:lang w:val="fr-CA"/>
        </w:rPr>
        <w:t xml:space="preserve">686(4).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Or, dans l</w:t>
      </w:r>
      <w:r w:rsidR="00424D24">
        <w:rPr>
          <w:rFonts w:cs="Times New Roman"/>
          <w:szCs w:val="24"/>
          <w:lang w:val="fr-CA"/>
        </w:rPr>
        <w:t>’</w:t>
      </w:r>
      <w:r w:rsidRPr="00AB3320">
        <w:rPr>
          <w:rFonts w:cs="Times New Roman"/>
          <w:szCs w:val="24"/>
          <w:lang w:val="fr-CA"/>
        </w:rPr>
        <w:t xml:space="preserve">arrêt </w:t>
      </w:r>
      <w:r w:rsidRPr="00AB3320">
        <w:rPr>
          <w:rFonts w:cs="Times New Roman"/>
          <w:i/>
          <w:szCs w:val="24"/>
          <w:lang w:val="fr-CA"/>
        </w:rPr>
        <w:t xml:space="preserve">R. c. </w:t>
      </w:r>
      <w:proofErr w:type="spellStart"/>
      <w:r w:rsidRPr="00AB3320">
        <w:rPr>
          <w:rFonts w:cs="Times New Roman"/>
          <w:i/>
          <w:szCs w:val="24"/>
          <w:lang w:val="fr-CA"/>
        </w:rPr>
        <w:t>Hinse</w:t>
      </w:r>
      <w:proofErr w:type="spellEnd"/>
      <w:r w:rsidRPr="00AB3320">
        <w:rPr>
          <w:rFonts w:cs="Times New Roman"/>
          <w:szCs w:val="24"/>
          <w:lang w:val="fr-CA"/>
        </w:rPr>
        <w:t>, [1995] 4 R.C.S. 597, le juge en chef Lamer conclut que le par.</w:t>
      </w:r>
      <w:r w:rsidR="00AB3320">
        <w:rPr>
          <w:rFonts w:cs="Times New Roman"/>
          <w:szCs w:val="24"/>
          <w:lang w:val="fr-CA"/>
        </w:rPr>
        <w:t xml:space="preserve"> </w:t>
      </w:r>
      <w:r w:rsidRPr="00AB3320">
        <w:rPr>
          <w:rFonts w:cs="Times New Roman"/>
          <w:szCs w:val="24"/>
          <w:lang w:val="fr-CA"/>
        </w:rPr>
        <w:t>686(8) doit être interprété d</w:t>
      </w:r>
      <w:r w:rsidR="00424D24">
        <w:rPr>
          <w:rFonts w:cs="Times New Roman"/>
          <w:szCs w:val="24"/>
          <w:lang w:val="fr-CA"/>
        </w:rPr>
        <w:t>’</w:t>
      </w:r>
      <w:r w:rsidRPr="00AB3320">
        <w:rPr>
          <w:rFonts w:cs="Times New Roman"/>
          <w:szCs w:val="24"/>
          <w:lang w:val="fr-CA"/>
        </w:rPr>
        <w:t>une manière extensive et généreuse, en harmonie avec sa «</w:t>
      </w:r>
      <w:r w:rsidR="00AB3320">
        <w:rPr>
          <w:rFonts w:cs="Times New Roman"/>
          <w:szCs w:val="24"/>
          <w:lang w:val="fr-CA"/>
        </w:rPr>
        <w:t xml:space="preserve"> </w:t>
      </w:r>
      <w:r w:rsidRPr="00AB3320">
        <w:rPr>
          <w:rFonts w:cs="Times New Roman"/>
          <w:szCs w:val="24"/>
          <w:lang w:val="fr-CA"/>
        </w:rPr>
        <w:t>fin réparatrice générale</w:t>
      </w:r>
      <w:r w:rsidR="00AB3320">
        <w:rPr>
          <w:rFonts w:cs="Times New Roman"/>
          <w:szCs w:val="24"/>
          <w:lang w:val="fr-CA"/>
        </w:rPr>
        <w:t xml:space="preserve"> </w:t>
      </w:r>
      <w:r w:rsidRPr="00AB3320">
        <w:rPr>
          <w:rFonts w:cs="Times New Roman"/>
          <w:szCs w:val="24"/>
          <w:lang w:val="fr-CA"/>
        </w:rPr>
        <w:t>» (par.</w:t>
      </w:r>
      <w:r w:rsidR="00AB3320">
        <w:rPr>
          <w:rFonts w:cs="Times New Roman"/>
          <w:szCs w:val="24"/>
          <w:lang w:val="fr-CA"/>
        </w:rPr>
        <w:t xml:space="preserve"> </w:t>
      </w:r>
      <w:r w:rsidRPr="00AB3320">
        <w:rPr>
          <w:rFonts w:cs="Times New Roman"/>
          <w:szCs w:val="24"/>
          <w:lang w:val="fr-CA"/>
        </w:rPr>
        <w:t xml:space="preserve">30; voir également </w:t>
      </w:r>
      <w:r w:rsidRPr="00AB3320">
        <w:rPr>
          <w:rFonts w:cs="Times New Roman"/>
          <w:i/>
          <w:szCs w:val="24"/>
          <w:lang w:val="fr-CA"/>
        </w:rPr>
        <w:t>R. c. Provo</w:t>
      </w:r>
      <w:r w:rsidRPr="00AB3320">
        <w:rPr>
          <w:rFonts w:cs="Times New Roman"/>
          <w:szCs w:val="24"/>
          <w:lang w:val="fr-CA"/>
        </w:rPr>
        <w:t>, [1989] 2 R.C.S. 3, par.</w:t>
      </w:r>
      <w:r w:rsidR="00AB3320">
        <w:rPr>
          <w:rFonts w:cs="Times New Roman"/>
          <w:szCs w:val="24"/>
          <w:lang w:val="fr-CA"/>
        </w:rPr>
        <w:t xml:space="preserve"> </w:t>
      </w:r>
      <w:r w:rsidRPr="00AB3320">
        <w:rPr>
          <w:rFonts w:cs="Times New Roman"/>
          <w:szCs w:val="24"/>
          <w:lang w:val="fr-CA"/>
        </w:rPr>
        <w:t>20).</w:t>
      </w:r>
      <w:r w:rsidR="00AB3320">
        <w:rPr>
          <w:rFonts w:cs="Times New Roman"/>
          <w:szCs w:val="24"/>
          <w:lang w:val="fr-CA"/>
        </w:rPr>
        <w:t xml:space="preserve"> </w:t>
      </w:r>
      <w:r w:rsidRPr="00AB3320">
        <w:rPr>
          <w:rFonts w:cs="Times New Roman"/>
          <w:szCs w:val="24"/>
          <w:lang w:val="fr-CA"/>
        </w:rPr>
        <w:t>Et même s</w:t>
      </w:r>
      <w:r w:rsidR="00424D24">
        <w:rPr>
          <w:rFonts w:cs="Times New Roman"/>
          <w:szCs w:val="24"/>
          <w:lang w:val="fr-CA"/>
        </w:rPr>
        <w:t>’</w:t>
      </w:r>
      <w:r w:rsidRPr="00AB3320">
        <w:rPr>
          <w:rFonts w:cs="Times New Roman"/>
          <w:szCs w:val="24"/>
          <w:lang w:val="fr-CA"/>
        </w:rPr>
        <w:t>il considère que l</w:t>
      </w:r>
      <w:r w:rsidR="00424D24">
        <w:rPr>
          <w:rFonts w:cs="Times New Roman"/>
          <w:szCs w:val="24"/>
          <w:lang w:val="fr-CA"/>
        </w:rPr>
        <w:t>’</w:t>
      </w:r>
      <w:r w:rsidRPr="00AB3320">
        <w:rPr>
          <w:rFonts w:cs="Times New Roman"/>
          <w:szCs w:val="24"/>
          <w:lang w:val="fr-CA"/>
        </w:rPr>
        <w:t>ordonnance visée au par.</w:t>
      </w:r>
      <w:r w:rsidR="00AB3320">
        <w:rPr>
          <w:rFonts w:cs="Times New Roman"/>
          <w:szCs w:val="24"/>
          <w:lang w:val="fr-CA"/>
        </w:rPr>
        <w:t xml:space="preserve"> </w:t>
      </w:r>
      <w:r w:rsidRPr="00AB3320">
        <w:rPr>
          <w:rFonts w:cs="Times New Roman"/>
          <w:szCs w:val="24"/>
          <w:lang w:val="fr-CA"/>
        </w:rPr>
        <w:t xml:space="preserve">686(8) </w:t>
      </w:r>
      <w:proofErr w:type="gramStart"/>
      <w:r w:rsidRPr="00AB3320">
        <w:rPr>
          <w:rFonts w:cs="Times New Roman"/>
          <w:szCs w:val="24"/>
          <w:lang w:val="fr-CA"/>
        </w:rPr>
        <w:t>a</w:t>
      </w:r>
      <w:proofErr w:type="gramEnd"/>
      <w:r w:rsidRPr="00AB3320">
        <w:rPr>
          <w:rFonts w:cs="Times New Roman"/>
          <w:szCs w:val="24"/>
          <w:lang w:val="fr-CA"/>
        </w:rPr>
        <w:t xml:space="preserve"> un «</w:t>
      </w:r>
      <w:r w:rsidR="00AB3320">
        <w:rPr>
          <w:rFonts w:cs="Times New Roman"/>
          <w:szCs w:val="24"/>
          <w:lang w:val="fr-CA"/>
        </w:rPr>
        <w:t xml:space="preserve"> </w:t>
      </w:r>
      <w:r w:rsidRPr="00AB3320">
        <w:rPr>
          <w:rFonts w:cs="Times New Roman"/>
          <w:szCs w:val="24"/>
          <w:lang w:val="fr-CA"/>
        </w:rPr>
        <w:t>caractère fondamentalement accessoire et supplémentaire</w:t>
      </w:r>
      <w:r w:rsidR="00AB3320">
        <w:rPr>
          <w:rFonts w:cs="Times New Roman"/>
          <w:szCs w:val="24"/>
          <w:lang w:val="fr-CA"/>
        </w:rPr>
        <w:t xml:space="preserve"> </w:t>
      </w:r>
      <w:r w:rsidRPr="00AB3320">
        <w:rPr>
          <w:rFonts w:cs="Times New Roman"/>
          <w:szCs w:val="24"/>
          <w:lang w:val="fr-CA"/>
        </w:rPr>
        <w:t>» (par.</w:t>
      </w:r>
      <w:r w:rsidR="00AB3320">
        <w:rPr>
          <w:rFonts w:cs="Times New Roman"/>
          <w:szCs w:val="24"/>
          <w:lang w:val="fr-CA"/>
        </w:rPr>
        <w:t xml:space="preserve"> </w:t>
      </w:r>
      <w:r w:rsidRPr="00AB3320">
        <w:rPr>
          <w:rFonts w:cs="Times New Roman"/>
          <w:szCs w:val="24"/>
          <w:lang w:val="fr-CA"/>
        </w:rPr>
        <w:t>31), il conclut néanmoins qu</w:t>
      </w:r>
      <w:r w:rsidR="00424D24">
        <w:rPr>
          <w:rFonts w:cs="Times New Roman"/>
          <w:szCs w:val="24"/>
          <w:lang w:val="fr-CA"/>
        </w:rPr>
        <w:t>’</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une cour d</w:t>
      </w:r>
      <w:r w:rsidR="00424D24">
        <w:rPr>
          <w:rFonts w:cs="Times New Roman"/>
          <w:szCs w:val="24"/>
          <w:lang w:val="fr-CA"/>
        </w:rPr>
        <w:t>’</w:t>
      </w:r>
      <w:r w:rsidRPr="00AB3320">
        <w:rPr>
          <w:rFonts w:cs="Times New Roman"/>
          <w:szCs w:val="24"/>
          <w:lang w:val="fr-CA"/>
        </w:rPr>
        <w:t>appel peut rendre une ordonnance en vertu de son pouvoir résiduel, même si elle n</w:t>
      </w:r>
      <w:r w:rsidR="00424D24">
        <w:rPr>
          <w:rFonts w:cs="Times New Roman"/>
          <w:szCs w:val="24"/>
          <w:lang w:val="fr-CA"/>
        </w:rPr>
        <w:t>’</w:t>
      </w:r>
      <w:r w:rsidRPr="00AB3320">
        <w:rPr>
          <w:rFonts w:cs="Times New Roman"/>
          <w:szCs w:val="24"/>
          <w:lang w:val="fr-CA"/>
        </w:rPr>
        <w:t xml:space="preserve">a pas déjà et indépendamment </w:t>
      </w:r>
      <w:r w:rsidR="00AB3320">
        <w:rPr>
          <w:rFonts w:cs="Times New Roman"/>
          <w:szCs w:val="24"/>
          <w:lang w:val="fr-CA"/>
        </w:rPr>
        <w:t>“</w:t>
      </w:r>
      <w:proofErr w:type="spellStart"/>
      <w:r w:rsidRPr="00AB3320">
        <w:rPr>
          <w:rFonts w:cs="Times New Roman"/>
          <w:szCs w:val="24"/>
          <w:lang w:val="fr-CA"/>
        </w:rPr>
        <w:t>exerc</w:t>
      </w:r>
      <w:proofErr w:type="spellEnd"/>
      <w:r w:rsidRPr="00AB3320">
        <w:rPr>
          <w:rFonts w:cs="Times New Roman"/>
          <w:szCs w:val="24"/>
          <w:lang w:val="fr-CA"/>
        </w:rPr>
        <w:t>[é] des pouvoirs conférés par le paragraphe</w:t>
      </w:r>
      <w:r w:rsidR="00AB3320">
        <w:rPr>
          <w:rFonts w:cs="Times New Roman"/>
          <w:szCs w:val="24"/>
          <w:lang w:val="fr-CA"/>
        </w:rPr>
        <w:t xml:space="preserve"> </w:t>
      </w:r>
      <w:r w:rsidRPr="00AB3320">
        <w:rPr>
          <w:rFonts w:cs="Times New Roman"/>
          <w:szCs w:val="24"/>
          <w:lang w:val="fr-CA"/>
        </w:rPr>
        <w:t>(2), (4), (6) ou (7)</w:t>
      </w:r>
      <w:r w:rsidR="00AB3320">
        <w:rPr>
          <w:rFonts w:cs="Times New Roman"/>
          <w:szCs w:val="24"/>
          <w:lang w:val="fr-CA"/>
        </w:rPr>
        <w:t>”</w:t>
      </w:r>
      <w:r w:rsidRPr="00AB3320">
        <w:rPr>
          <w:rFonts w:cs="Times New Roman"/>
          <w:szCs w:val="24"/>
          <w:lang w:val="fr-CA"/>
        </w:rPr>
        <w:t xml:space="preserve"> de l</w:t>
      </w:r>
      <w:r w:rsidR="00424D24">
        <w:rPr>
          <w:rFonts w:cs="Times New Roman"/>
          <w:szCs w:val="24"/>
          <w:lang w:val="fr-CA"/>
        </w:rPr>
        <w:t>’</w:t>
      </w:r>
      <w:r w:rsidRPr="00AB3320">
        <w:rPr>
          <w:rFonts w:cs="Times New Roman"/>
          <w:szCs w:val="24"/>
          <w:lang w:val="fr-CA"/>
        </w:rPr>
        <w:t>art.</w:t>
      </w:r>
      <w:r w:rsidR="00AB3320">
        <w:rPr>
          <w:rFonts w:cs="Times New Roman"/>
          <w:szCs w:val="24"/>
          <w:lang w:val="fr-CA"/>
        </w:rPr>
        <w:t xml:space="preserve"> </w:t>
      </w:r>
      <w:r w:rsidRPr="00AB3320">
        <w:rPr>
          <w:rFonts w:cs="Times New Roman"/>
          <w:szCs w:val="24"/>
          <w:lang w:val="fr-CA"/>
        </w:rPr>
        <w:t>686</w:t>
      </w:r>
      <w:r w:rsidR="00AB3320">
        <w:rPr>
          <w:rFonts w:cs="Times New Roman"/>
          <w:szCs w:val="24"/>
          <w:lang w:val="fr-CA"/>
        </w:rPr>
        <w:t xml:space="preserve"> </w:t>
      </w:r>
      <w:r w:rsidRPr="00AB3320">
        <w:rPr>
          <w:rFonts w:cs="Times New Roman"/>
          <w:szCs w:val="24"/>
          <w:lang w:val="fr-CA"/>
        </w:rPr>
        <w:t>» (par.</w:t>
      </w:r>
      <w:r w:rsidR="00AB3320">
        <w:rPr>
          <w:rFonts w:cs="Times New Roman"/>
          <w:szCs w:val="24"/>
          <w:lang w:val="fr-CA"/>
        </w:rPr>
        <w:t xml:space="preserve"> </w:t>
      </w:r>
      <w:r w:rsidRPr="00AB3320">
        <w:rPr>
          <w:rFonts w:cs="Times New Roman"/>
          <w:szCs w:val="24"/>
          <w:lang w:val="fr-CA"/>
        </w:rPr>
        <w:t>30).</w:t>
      </w:r>
      <w:r w:rsidR="00AB3320">
        <w:rPr>
          <w:rFonts w:cs="Times New Roman"/>
          <w:szCs w:val="24"/>
          <w:lang w:val="fr-CA"/>
        </w:rPr>
        <w:t xml:space="preserve"> </w:t>
      </w:r>
      <w:r w:rsidRPr="00AB3320">
        <w:rPr>
          <w:rFonts w:cs="Times New Roman"/>
          <w:szCs w:val="24"/>
          <w:lang w:val="fr-CA"/>
        </w:rPr>
        <w:t>La Cour d</w:t>
      </w:r>
      <w:r w:rsidR="00424D24">
        <w:rPr>
          <w:rFonts w:cs="Times New Roman"/>
          <w:szCs w:val="24"/>
          <w:lang w:val="fr-CA"/>
        </w:rPr>
        <w:t>’</w:t>
      </w:r>
      <w:r w:rsidRPr="00AB3320">
        <w:rPr>
          <w:rFonts w:cs="Times New Roman"/>
          <w:szCs w:val="24"/>
          <w:lang w:val="fr-CA"/>
        </w:rPr>
        <w:t>appel de l</w:t>
      </w:r>
      <w:r w:rsidR="00424D24">
        <w:rPr>
          <w:rFonts w:cs="Times New Roman"/>
          <w:szCs w:val="24"/>
          <w:lang w:val="fr-CA"/>
        </w:rPr>
        <w:t>’</w:t>
      </w:r>
      <w:r w:rsidRPr="00AB3320">
        <w:rPr>
          <w:rFonts w:cs="Times New Roman"/>
          <w:szCs w:val="24"/>
          <w:lang w:val="fr-CA"/>
        </w:rPr>
        <w:t xml:space="preserve">Alberta adhère à ce raisonnement dans </w:t>
      </w:r>
      <w:r w:rsidRPr="00AB3320">
        <w:rPr>
          <w:rFonts w:cs="Times New Roman"/>
          <w:i/>
          <w:szCs w:val="24"/>
          <w:lang w:val="fr-CA"/>
        </w:rPr>
        <w:t xml:space="preserve">R. c. </w:t>
      </w:r>
      <w:proofErr w:type="spellStart"/>
      <w:r w:rsidRPr="00AB3320">
        <w:rPr>
          <w:rFonts w:cs="Times New Roman"/>
          <w:i/>
          <w:szCs w:val="24"/>
          <w:lang w:val="fr-CA"/>
        </w:rPr>
        <w:t>Yelle</w:t>
      </w:r>
      <w:proofErr w:type="spellEnd"/>
      <w:r w:rsidRPr="00AB3320">
        <w:rPr>
          <w:rFonts w:cs="Times New Roman"/>
          <w:szCs w:val="24"/>
          <w:lang w:val="fr-CA"/>
        </w:rPr>
        <w:t>, 2006 ABCA 276, 397</w:t>
      </w:r>
      <w:r w:rsidR="00AB3320">
        <w:rPr>
          <w:rFonts w:cs="Times New Roman"/>
          <w:szCs w:val="24"/>
          <w:lang w:val="fr-CA"/>
        </w:rPr>
        <w:t xml:space="preserve"> </w:t>
      </w:r>
      <w:r w:rsidRPr="00AB3320">
        <w:rPr>
          <w:rFonts w:cs="Times New Roman"/>
          <w:szCs w:val="24"/>
          <w:lang w:val="fr-CA"/>
        </w:rPr>
        <w:t>A.R.</w:t>
      </w:r>
      <w:r w:rsidR="00AB3320">
        <w:rPr>
          <w:rFonts w:cs="Times New Roman"/>
          <w:szCs w:val="24"/>
          <w:lang w:val="fr-CA"/>
        </w:rPr>
        <w:t xml:space="preserve"> </w:t>
      </w:r>
      <w:r w:rsidRPr="00AB3320">
        <w:rPr>
          <w:rFonts w:cs="Times New Roman"/>
          <w:szCs w:val="24"/>
          <w:lang w:val="fr-CA"/>
        </w:rPr>
        <w:t>287.</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 xml:space="preserve">Dans </w:t>
      </w:r>
      <w:r w:rsidRPr="00AB3320">
        <w:rPr>
          <w:rFonts w:cs="Times New Roman"/>
          <w:i/>
          <w:szCs w:val="24"/>
          <w:lang w:val="fr-CA"/>
        </w:rPr>
        <w:t>R. c. Smith</w:t>
      </w:r>
      <w:r w:rsidRPr="00AB3320">
        <w:rPr>
          <w:rFonts w:cs="Times New Roman"/>
          <w:szCs w:val="24"/>
          <w:lang w:val="fr-CA"/>
        </w:rPr>
        <w:t>, 2004 CSC 14, [2004] 1 R.C.S. 385, le juge Binnie arrive à la même conclusion à l</w:t>
      </w:r>
      <w:r w:rsidR="00424D24">
        <w:rPr>
          <w:rFonts w:cs="Times New Roman"/>
          <w:szCs w:val="24"/>
          <w:lang w:val="fr-CA"/>
        </w:rPr>
        <w:t>’</w:t>
      </w:r>
      <w:r w:rsidRPr="00AB3320">
        <w:rPr>
          <w:rFonts w:cs="Times New Roman"/>
          <w:szCs w:val="24"/>
          <w:lang w:val="fr-CA"/>
        </w:rPr>
        <w:t>issue d</w:t>
      </w:r>
      <w:r w:rsidR="00424D24">
        <w:rPr>
          <w:rFonts w:cs="Times New Roman"/>
          <w:szCs w:val="24"/>
          <w:lang w:val="fr-CA"/>
        </w:rPr>
        <w:t>’</w:t>
      </w:r>
      <w:r w:rsidRPr="00AB3320">
        <w:rPr>
          <w:rFonts w:cs="Times New Roman"/>
          <w:szCs w:val="24"/>
          <w:lang w:val="fr-CA"/>
        </w:rPr>
        <w:t>un raisonnement qui s</w:t>
      </w:r>
      <w:r w:rsidR="00424D24">
        <w:rPr>
          <w:rFonts w:cs="Times New Roman"/>
          <w:szCs w:val="24"/>
          <w:lang w:val="fr-CA"/>
        </w:rPr>
        <w:t>’</w:t>
      </w:r>
      <w:r w:rsidRPr="00AB3320">
        <w:rPr>
          <w:rFonts w:cs="Times New Roman"/>
          <w:szCs w:val="24"/>
          <w:lang w:val="fr-CA"/>
        </w:rPr>
        <w:t>en tient davantage au libellé du par.</w:t>
      </w:r>
      <w:r w:rsidR="00AB3320">
        <w:rPr>
          <w:rFonts w:cs="Times New Roman"/>
          <w:szCs w:val="24"/>
          <w:lang w:val="fr-CA"/>
        </w:rPr>
        <w:t xml:space="preserve"> </w:t>
      </w:r>
      <w:r w:rsidRPr="00AB3320">
        <w:rPr>
          <w:rFonts w:cs="Times New Roman"/>
          <w:szCs w:val="24"/>
          <w:lang w:val="fr-CA"/>
        </w:rPr>
        <w:t>686(8).</w:t>
      </w:r>
      <w:r w:rsidR="00AB3320">
        <w:rPr>
          <w:rFonts w:cs="Times New Roman"/>
          <w:szCs w:val="24"/>
          <w:lang w:val="fr-CA"/>
        </w:rPr>
        <w:t xml:space="preserve"> </w:t>
      </w:r>
      <w:r w:rsidRPr="00AB3320">
        <w:rPr>
          <w:rFonts w:cs="Times New Roman"/>
          <w:szCs w:val="24"/>
          <w:lang w:val="fr-CA"/>
        </w:rPr>
        <w:t>Alors aux prises avec le par.</w:t>
      </w:r>
      <w:r w:rsidR="00AB3320">
        <w:rPr>
          <w:rFonts w:cs="Times New Roman"/>
          <w:szCs w:val="24"/>
          <w:lang w:val="fr-CA"/>
        </w:rPr>
        <w:t xml:space="preserve"> </w:t>
      </w:r>
      <w:r w:rsidRPr="00AB3320">
        <w:rPr>
          <w:rFonts w:cs="Times New Roman"/>
          <w:szCs w:val="24"/>
          <w:lang w:val="fr-CA"/>
        </w:rPr>
        <w:t xml:space="preserve">686(2), qui </w:t>
      </w:r>
      <w:proofErr w:type="gramStart"/>
      <w:r w:rsidRPr="00AB3320">
        <w:rPr>
          <w:rFonts w:cs="Times New Roman"/>
          <w:szCs w:val="24"/>
          <w:lang w:val="fr-CA"/>
        </w:rPr>
        <w:t>s</w:t>
      </w:r>
      <w:r w:rsidR="00424D24">
        <w:rPr>
          <w:rFonts w:cs="Times New Roman"/>
          <w:szCs w:val="24"/>
          <w:lang w:val="fr-CA"/>
        </w:rPr>
        <w:t>’</w:t>
      </w:r>
      <w:r w:rsidRPr="00AB3320">
        <w:rPr>
          <w:rFonts w:cs="Times New Roman"/>
          <w:szCs w:val="24"/>
          <w:lang w:val="fr-CA"/>
        </w:rPr>
        <w:t>applique</w:t>
      </w:r>
      <w:proofErr w:type="gramEnd"/>
      <w:r w:rsidRPr="00AB3320">
        <w:rPr>
          <w:rFonts w:cs="Times New Roman"/>
          <w:szCs w:val="24"/>
          <w:lang w:val="fr-CA"/>
        </w:rPr>
        <w:t xml:space="preserve"> à l</w:t>
      </w:r>
      <w:r w:rsidR="00424D24">
        <w:rPr>
          <w:rFonts w:cs="Times New Roman"/>
          <w:szCs w:val="24"/>
          <w:lang w:val="fr-CA"/>
        </w:rPr>
        <w:t>’</w:t>
      </w:r>
      <w:r w:rsidRPr="00AB3320">
        <w:rPr>
          <w:rFonts w:cs="Times New Roman"/>
          <w:szCs w:val="24"/>
          <w:lang w:val="fr-CA"/>
        </w:rPr>
        <w:t>appel d</w:t>
      </w:r>
      <w:r w:rsidR="00424D24">
        <w:rPr>
          <w:rFonts w:cs="Times New Roman"/>
          <w:szCs w:val="24"/>
          <w:lang w:val="fr-CA"/>
        </w:rPr>
        <w:t>’</w:t>
      </w:r>
      <w:r w:rsidRPr="00AB3320">
        <w:rPr>
          <w:rFonts w:cs="Times New Roman"/>
          <w:szCs w:val="24"/>
          <w:lang w:val="fr-CA"/>
        </w:rPr>
        <w:t>une déclaration de culpabilité, le juge Binnie dit ce qui suit au sujet de la disposition</w:t>
      </w:r>
      <w:r w:rsidR="00AB3320">
        <w:rPr>
          <w:rFonts w:cs="Times New Roman"/>
          <w:szCs w:val="24"/>
          <w:lang w:val="fr-CA"/>
        </w:rPr>
        <w:t xml:space="preserve"> </w:t>
      </w:r>
      <w:r w:rsidRPr="00AB3320">
        <w:rPr>
          <w:rFonts w:cs="Times New Roman"/>
          <w:szCs w:val="24"/>
          <w:lang w:val="fr-CA"/>
        </w:rPr>
        <w:t>:</w:t>
      </w:r>
    </w:p>
    <w:p w:rsidR="0003214E" w:rsidRPr="00AB3320" w:rsidRDefault="0003214E" w:rsidP="0068024C">
      <w:pPr>
        <w:pStyle w:val="Citation-AltC"/>
        <w:tabs>
          <w:tab w:val="left" w:pos="1170"/>
        </w:tabs>
        <w:ind w:hanging="1166"/>
        <w:rPr>
          <w:szCs w:val="24"/>
          <w:lang w:val="fr-CA"/>
        </w:rPr>
      </w:pPr>
      <w:r w:rsidRPr="00AB3320">
        <w:rPr>
          <w:iCs/>
          <w:szCs w:val="24"/>
          <w:lang w:val="fr-CA"/>
        </w:rPr>
        <w:lastRenderedPageBreak/>
        <w:tab/>
        <w:t>Le paragraphe</w:t>
      </w:r>
      <w:r w:rsidR="00AB3320">
        <w:rPr>
          <w:iCs/>
          <w:szCs w:val="24"/>
          <w:lang w:val="fr-CA"/>
        </w:rPr>
        <w:t xml:space="preserve"> </w:t>
      </w:r>
      <w:r w:rsidRPr="00AB3320">
        <w:rPr>
          <w:iCs/>
          <w:szCs w:val="24"/>
          <w:lang w:val="fr-CA"/>
        </w:rPr>
        <w:t>686(2) prévoit que, lorsqu</w:t>
      </w:r>
      <w:r w:rsidR="00424D24">
        <w:rPr>
          <w:iCs/>
          <w:szCs w:val="24"/>
          <w:lang w:val="fr-CA"/>
        </w:rPr>
        <w:t>’</w:t>
      </w:r>
      <w:r w:rsidRPr="00AB3320">
        <w:rPr>
          <w:iCs/>
          <w:szCs w:val="24"/>
          <w:lang w:val="fr-CA"/>
        </w:rPr>
        <w:t>une cour d</w:t>
      </w:r>
      <w:r w:rsidR="00424D24">
        <w:rPr>
          <w:iCs/>
          <w:szCs w:val="24"/>
          <w:lang w:val="fr-CA"/>
        </w:rPr>
        <w:t>’</w:t>
      </w:r>
      <w:r w:rsidRPr="00AB3320">
        <w:rPr>
          <w:iCs/>
          <w:szCs w:val="24"/>
          <w:lang w:val="fr-CA"/>
        </w:rPr>
        <w:t>appel admet un appel, «</w:t>
      </w:r>
      <w:r w:rsidR="00AB3320">
        <w:rPr>
          <w:iCs/>
          <w:szCs w:val="24"/>
          <w:lang w:val="fr-CA"/>
        </w:rPr>
        <w:t xml:space="preserve"> </w:t>
      </w:r>
      <w:r w:rsidRPr="00AB3320">
        <w:rPr>
          <w:iCs/>
          <w:szCs w:val="24"/>
          <w:lang w:val="fr-CA"/>
        </w:rPr>
        <w:t>elle annule la condamnation</w:t>
      </w:r>
      <w:r w:rsidR="00AB3320">
        <w:rPr>
          <w:iCs/>
          <w:szCs w:val="24"/>
          <w:lang w:val="fr-CA"/>
        </w:rPr>
        <w:t xml:space="preserve"> </w:t>
      </w:r>
      <w:r w:rsidRPr="00AB3320">
        <w:rPr>
          <w:iCs/>
          <w:szCs w:val="24"/>
          <w:lang w:val="fr-CA"/>
        </w:rPr>
        <w:t>», et le par.</w:t>
      </w:r>
      <w:r w:rsidR="00AB3320">
        <w:rPr>
          <w:iCs/>
          <w:szCs w:val="24"/>
          <w:lang w:val="fr-CA"/>
        </w:rPr>
        <w:t xml:space="preserve"> </w:t>
      </w:r>
      <w:r w:rsidRPr="00AB3320">
        <w:rPr>
          <w:iCs/>
          <w:szCs w:val="24"/>
          <w:lang w:val="fr-CA"/>
        </w:rPr>
        <w:t>686(8) dispose que, lorsqu</w:t>
      </w:r>
      <w:r w:rsidR="00424D24">
        <w:rPr>
          <w:iCs/>
          <w:szCs w:val="24"/>
          <w:lang w:val="fr-CA"/>
        </w:rPr>
        <w:t>’</w:t>
      </w:r>
      <w:r w:rsidRPr="00AB3320">
        <w:rPr>
          <w:iCs/>
          <w:szCs w:val="24"/>
          <w:lang w:val="fr-CA"/>
        </w:rPr>
        <w:t>elle exerce «</w:t>
      </w:r>
      <w:r w:rsidR="00AB3320">
        <w:rPr>
          <w:iCs/>
          <w:szCs w:val="24"/>
          <w:lang w:val="fr-CA"/>
        </w:rPr>
        <w:t xml:space="preserve"> </w:t>
      </w:r>
      <w:r w:rsidRPr="00AB3320">
        <w:rPr>
          <w:iCs/>
          <w:szCs w:val="24"/>
          <w:lang w:val="fr-CA"/>
        </w:rPr>
        <w:t>des pouvoirs</w:t>
      </w:r>
      <w:r w:rsidR="00AB3320">
        <w:rPr>
          <w:iCs/>
          <w:szCs w:val="24"/>
          <w:lang w:val="fr-CA"/>
        </w:rPr>
        <w:t xml:space="preserve"> </w:t>
      </w:r>
      <w:r w:rsidRPr="00AB3320">
        <w:rPr>
          <w:iCs/>
          <w:szCs w:val="24"/>
          <w:lang w:val="fr-CA"/>
        </w:rPr>
        <w:t>» conférés par le par.</w:t>
      </w:r>
      <w:r w:rsidR="00AB3320">
        <w:rPr>
          <w:iCs/>
          <w:szCs w:val="24"/>
          <w:lang w:val="fr-CA"/>
        </w:rPr>
        <w:t xml:space="preserve"> </w:t>
      </w:r>
      <w:r w:rsidRPr="00AB3320">
        <w:rPr>
          <w:iCs/>
          <w:szCs w:val="24"/>
          <w:lang w:val="fr-CA"/>
        </w:rPr>
        <w:t>686(2), elle peut «</w:t>
      </w:r>
      <w:r w:rsidR="00AB3320">
        <w:rPr>
          <w:iCs/>
          <w:szCs w:val="24"/>
          <w:lang w:val="fr-CA"/>
        </w:rPr>
        <w:t xml:space="preserve"> </w:t>
      </w:r>
      <w:r w:rsidRPr="00AB3320">
        <w:rPr>
          <w:iCs/>
          <w:szCs w:val="24"/>
          <w:lang w:val="fr-CA"/>
        </w:rPr>
        <w:t>en outre rendre toute ordonnance que la justice exige</w:t>
      </w:r>
      <w:r w:rsidR="00AB3320">
        <w:rPr>
          <w:iCs/>
          <w:szCs w:val="24"/>
          <w:lang w:val="fr-CA"/>
        </w:rPr>
        <w:t xml:space="preserve"> </w:t>
      </w:r>
      <w:r w:rsidRPr="00AB3320">
        <w:rPr>
          <w:iCs/>
          <w:szCs w:val="24"/>
          <w:lang w:val="fr-CA"/>
        </w:rPr>
        <w:t>».</w:t>
      </w:r>
      <w:r w:rsidR="00AB3320">
        <w:rPr>
          <w:szCs w:val="24"/>
          <w:lang w:val="fr-CA"/>
        </w:rPr>
        <w:t xml:space="preserve"> </w:t>
      </w:r>
      <w:r w:rsidRPr="00AB3320">
        <w:rPr>
          <w:szCs w:val="24"/>
          <w:lang w:val="fr-CA"/>
        </w:rPr>
        <w:t>L</w:t>
      </w:r>
      <w:r w:rsidR="00424D24">
        <w:rPr>
          <w:szCs w:val="24"/>
          <w:lang w:val="fr-CA"/>
        </w:rPr>
        <w:t>’</w:t>
      </w:r>
      <w:r w:rsidRPr="00AB3320">
        <w:rPr>
          <w:szCs w:val="24"/>
          <w:lang w:val="fr-CA"/>
        </w:rPr>
        <w:t>annulation de la déclaration de culpabilité constitue un exercice du pouvoir que lui confère le par.</w:t>
      </w:r>
      <w:r w:rsidR="00AB3320">
        <w:rPr>
          <w:szCs w:val="24"/>
          <w:lang w:val="fr-CA"/>
        </w:rPr>
        <w:t xml:space="preserve"> </w:t>
      </w:r>
      <w:r w:rsidRPr="00AB3320">
        <w:rPr>
          <w:szCs w:val="24"/>
          <w:lang w:val="fr-CA"/>
        </w:rPr>
        <w:t>686(2).</w:t>
      </w:r>
      <w:r w:rsidR="00AB3320">
        <w:rPr>
          <w:szCs w:val="24"/>
          <w:lang w:val="fr-CA"/>
        </w:rPr>
        <w:t xml:space="preserve"> </w:t>
      </w:r>
      <w:r w:rsidRPr="00AB3320">
        <w:rPr>
          <w:szCs w:val="24"/>
          <w:lang w:val="fr-CA"/>
        </w:rPr>
        <w:t>[</w:t>
      </w:r>
      <w:proofErr w:type="gramStart"/>
      <w:r w:rsidRPr="00AB3320">
        <w:rPr>
          <w:szCs w:val="24"/>
          <w:lang w:val="fr-CA"/>
        </w:rPr>
        <w:t>par</w:t>
      </w:r>
      <w:proofErr w:type="gramEnd"/>
      <w:r w:rsidRPr="00AB3320">
        <w:rPr>
          <w:szCs w:val="24"/>
          <w:lang w:val="fr-CA"/>
        </w:rPr>
        <w:t>.</w:t>
      </w:r>
      <w:r w:rsidR="00424D24">
        <w:rPr>
          <w:szCs w:val="24"/>
          <w:lang w:val="fr-CA"/>
        </w:rPr>
        <w:t> </w:t>
      </w:r>
      <w:r w:rsidRPr="00AB3320">
        <w:rPr>
          <w:szCs w:val="24"/>
          <w:lang w:val="fr-CA"/>
        </w:rPr>
        <w:t>22]</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Le même raisonnement vaut pour le par.</w:t>
      </w:r>
      <w:r w:rsidR="00AB3320">
        <w:rPr>
          <w:rFonts w:cs="Times New Roman"/>
          <w:szCs w:val="24"/>
          <w:lang w:val="fr-CA"/>
        </w:rPr>
        <w:t xml:space="preserve"> </w:t>
      </w:r>
      <w:r w:rsidRPr="00AB3320">
        <w:rPr>
          <w:rFonts w:cs="Times New Roman"/>
          <w:szCs w:val="24"/>
          <w:lang w:val="fr-CA"/>
        </w:rPr>
        <w:t>686(4).</w:t>
      </w:r>
      <w:r w:rsidR="00AB3320">
        <w:rPr>
          <w:rFonts w:cs="Times New Roman"/>
          <w:szCs w:val="24"/>
          <w:lang w:val="fr-CA"/>
        </w:rPr>
        <w:t xml:space="preserve"> </w:t>
      </w:r>
      <w:r w:rsidRPr="00AB3320">
        <w:rPr>
          <w:rFonts w:cs="Times New Roman"/>
          <w:szCs w:val="24"/>
          <w:lang w:val="fr-CA"/>
        </w:rPr>
        <w:t>En accueillant l</w:t>
      </w:r>
      <w:r w:rsidR="00424D24">
        <w:rPr>
          <w:rFonts w:cs="Times New Roman"/>
          <w:szCs w:val="24"/>
          <w:lang w:val="fr-CA"/>
        </w:rPr>
        <w:t>’</w:t>
      </w:r>
      <w:r w:rsidRPr="00AB3320">
        <w:rPr>
          <w:rFonts w:cs="Times New Roman"/>
          <w:szCs w:val="24"/>
          <w:lang w:val="fr-CA"/>
        </w:rPr>
        <w:t>appel et en annulant l</w:t>
      </w:r>
      <w:r w:rsidR="00424D24">
        <w:rPr>
          <w:rFonts w:cs="Times New Roman"/>
          <w:szCs w:val="24"/>
          <w:lang w:val="fr-CA"/>
        </w:rPr>
        <w:t>’</w:t>
      </w:r>
      <w:r w:rsidRPr="00AB3320">
        <w:rPr>
          <w:rFonts w:cs="Times New Roman"/>
          <w:szCs w:val="24"/>
          <w:lang w:val="fr-CA"/>
        </w:rPr>
        <w:t>acquittement (ou l</w:t>
      </w:r>
      <w:r w:rsidR="00424D24">
        <w:rPr>
          <w:rFonts w:cs="Times New Roman"/>
          <w:szCs w:val="24"/>
          <w:lang w:val="fr-CA"/>
        </w:rPr>
        <w:t>’</w:t>
      </w:r>
      <w:r w:rsidRPr="00AB3320">
        <w:rPr>
          <w:rFonts w:cs="Times New Roman"/>
          <w:szCs w:val="24"/>
          <w:lang w:val="fr-CA"/>
        </w:rPr>
        <w:t xml:space="preserve">arrêt des procédures), la cour </w:t>
      </w:r>
      <w:r w:rsidRPr="00AB3320">
        <w:rPr>
          <w:rFonts w:cs="Times New Roman"/>
          <w:i/>
          <w:szCs w:val="24"/>
          <w:lang w:val="fr-CA"/>
        </w:rPr>
        <w:t>exerce un pouvoir conféré au par.</w:t>
      </w:r>
      <w:r w:rsidR="00AB3320">
        <w:rPr>
          <w:rFonts w:cs="Times New Roman"/>
          <w:i/>
          <w:szCs w:val="24"/>
          <w:lang w:val="fr-CA"/>
        </w:rPr>
        <w:t xml:space="preserve"> </w:t>
      </w:r>
      <w:r w:rsidRPr="00AB3320">
        <w:rPr>
          <w:rFonts w:cs="Times New Roman"/>
          <w:i/>
          <w:szCs w:val="24"/>
          <w:lang w:val="fr-CA"/>
        </w:rPr>
        <w:t>686(4)</w:t>
      </w:r>
      <w:r w:rsidRPr="00AB3320">
        <w:rPr>
          <w:rFonts w:cs="Times New Roman"/>
          <w:szCs w:val="24"/>
          <w:lang w:val="fr-CA"/>
        </w:rPr>
        <w:t>.</w:t>
      </w:r>
      <w:r w:rsidR="00AB3320">
        <w:rPr>
          <w:rFonts w:cs="Times New Roman"/>
          <w:szCs w:val="24"/>
          <w:lang w:val="fr-CA"/>
        </w:rPr>
        <w:t xml:space="preserve"> </w:t>
      </w:r>
      <w:r w:rsidRPr="00AB3320">
        <w:rPr>
          <w:rFonts w:cs="Times New Roman"/>
          <w:szCs w:val="24"/>
          <w:lang w:val="fr-CA"/>
        </w:rPr>
        <w:t>Dès lors, selon moi, la cour d</w:t>
      </w:r>
      <w:r w:rsidR="00424D24">
        <w:rPr>
          <w:rFonts w:cs="Times New Roman"/>
          <w:szCs w:val="24"/>
          <w:lang w:val="fr-CA"/>
        </w:rPr>
        <w:t>’</w:t>
      </w:r>
      <w:r w:rsidRPr="00AB3320">
        <w:rPr>
          <w:rFonts w:cs="Times New Roman"/>
          <w:szCs w:val="24"/>
          <w:lang w:val="fr-CA"/>
        </w:rPr>
        <w:t>appel n</w:t>
      </w:r>
      <w:r w:rsidR="00424D24">
        <w:rPr>
          <w:rFonts w:cs="Times New Roman"/>
          <w:szCs w:val="24"/>
          <w:lang w:val="fr-CA"/>
        </w:rPr>
        <w:t>’</w:t>
      </w:r>
      <w:r w:rsidRPr="00AB3320">
        <w:rPr>
          <w:rFonts w:cs="Times New Roman"/>
          <w:szCs w:val="24"/>
          <w:lang w:val="fr-CA"/>
        </w:rPr>
        <w:t>a pas à ordonner un nouveau procès ni à consigner un verdict de culpabilité pour que s</w:t>
      </w:r>
      <w:r w:rsidR="00424D24">
        <w:rPr>
          <w:rFonts w:cs="Times New Roman"/>
          <w:szCs w:val="24"/>
          <w:lang w:val="fr-CA"/>
        </w:rPr>
        <w:t>’</w:t>
      </w:r>
      <w:r w:rsidRPr="00AB3320">
        <w:rPr>
          <w:rFonts w:cs="Times New Roman"/>
          <w:szCs w:val="24"/>
          <w:lang w:val="fr-CA"/>
        </w:rPr>
        <w:t>applique le par.</w:t>
      </w:r>
      <w:r w:rsidR="00AB3320">
        <w:rPr>
          <w:rFonts w:cs="Times New Roman"/>
          <w:szCs w:val="24"/>
          <w:lang w:val="fr-CA"/>
        </w:rPr>
        <w:t xml:space="preserve"> </w:t>
      </w:r>
      <w:r w:rsidRPr="00AB3320">
        <w:rPr>
          <w:rFonts w:cs="Times New Roman"/>
          <w:szCs w:val="24"/>
          <w:lang w:val="fr-CA"/>
        </w:rPr>
        <w:t>686(8), ce qui ne dépend que de l</w:t>
      </w:r>
      <w:r w:rsidR="00424D24">
        <w:rPr>
          <w:rFonts w:cs="Times New Roman"/>
          <w:szCs w:val="24"/>
          <w:lang w:val="fr-CA"/>
        </w:rPr>
        <w:t>’</w:t>
      </w:r>
      <w:r w:rsidRPr="00AB3320">
        <w:rPr>
          <w:rFonts w:cs="Times New Roman"/>
          <w:szCs w:val="24"/>
          <w:lang w:val="fr-CA"/>
        </w:rPr>
        <w:t>exercice de «</w:t>
      </w:r>
      <w:r w:rsidR="00AB3320">
        <w:rPr>
          <w:rFonts w:cs="Times New Roman"/>
          <w:szCs w:val="24"/>
          <w:lang w:val="fr-CA"/>
        </w:rPr>
        <w:t xml:space="preserve"> </w:t>
      </w:r>
      <w:r w:rsidRPr="00AB3320">
        <w:rPr>
          <w:rFonts w:cs="Times New Roman"/>
          <w:szCs w:val="24"/>
          <w:lang w:val="fr-CA"/>
        </w:rPr>
        <w:t>[</w:t>
      </w:r>
      <w:r w:rsidRPr="00AB3320">
        <w:rPr>
          <w:rFonts w:cs="Times New Roman"/>
          <w:i/>
          <w:szCs w:val="24"/>
          <w:lang w:val="fr-CA"/>
        </w:rPr>
        <w:t>l</w:t>
      </w:r>
      <w:r w:rsidR="00424D24">
        <w:rPr>
          <w:rFonts w:cs="Times New Roman"/>
          <w:i/>
          <w:szCs w:val="24"/>
          <w:lang w:val="fr-CA"/>
        </w:rPr>
        <w:t>’</w:t>
      </w:r>
      <w:r w:rsidRPr="00AB3320">
        <w:rPr>
          <w:rFonts w:cs="Times New Roman"/>
          <w:i/>
          <w:szCs w:val="24"/>
          <w:lang w:val="fr-CA"/>
        </w:rPr>
        <w:t>un ou l</w:t>
      </w:r>
      <w:r w:rsidR="00424D24">
        <w:rPr>
          <w:rFonts w:cs="Times New Roman"/>
          <w:i/>
          <w:szCs w:val="24"/>
          <w:lang w:val="fr-CA"/>
        </w:rPr>
        <w:t>’</w:t>
      </w:r>
      <w:r w:rsidRPr="00AB3320">
        <w:rPr>
          <w:rFonts w:cs="Times New Roman"/>
          <w:i/>
          <w:szCs w:val="24"/>
          <w:lang w:val="fr-CA"/>
        </w:rPr>
        <w:t>autre</w:t>
      </w:r>
      <w:r w:rsidRPr="00AB3320">
        <w:rPr>
          <w:rFonts w:cs="Times New Roman"/>
          <w:szCs w:val="24"/>
          <w:lang w:val="fr-CA"/>
        </w:rPr>
        <w:t>] des pouvoirs conférés</w:t>
      </w:r>
      <w:r w:rsidR="00AB3320">
        <w:rPr>
          <w:rFonts w:cs="Times New Roman"/>
          <w:szCs w:val="24"/>
          <w:lang w:val="fr-CA"/>
        </w:rPr>
        <w:t xml:space="preserve"> </w:t>
      </w:r>
      <w:r w:rsidRPr="00AB3320">
        <w:rPr>
          <w:rFonts w:cs="Times New Roman"/>
          <w:szCs w:val="24"/>
          <w:lang w:val="fr-CA"/>
        </w:rPr>
        <w:t>» au par.</w:t>
      </w:r>
      <w:r w:rsidR="00424D24">
        <w:rPr>
          <w:rFonts w:cs="Times New Roman"/>
          <w:szCs w:val="24"/>
          <w:lang w:val="fr-CA"/>
        </w:rPr>
        <w:t> </w:t>
      </w:r>
      <w:r w:rsidRPr="00AB3320">
        <w:rPr>
          <w:rFonts w:cs="Times New Roman"/>
          <w:szCs w:val="24"/>
          <w:lang w:val="fr-CA"/>
        </w:rPr>
        <w:t>686(4).</w:t>
      </w:r>
    </w:p>
    <w:p w:rsidR="0003214E" w:rsidRPr="00AB3320" w:rsidRDefault="0003214E" w:rsidP="0068024C">
      <w:pPr>
        <w:pStyle w:val="ParaNoNdepar-AltN"/>
        <w:tabs>
          <w:tab w:val="clear" w:pos="1166"/>
          <w:tab w:val="clear" w:pos="1332"/>
          <w:tab w:val="num" w:pos="1152"/>
          <w:tab w:val="left" w:pos="1710"/>
        </w:tabs>
        <w:ind w:left="0"/>
        <w:rPr>
          <w:rFonts w:cs="Times New Roman"/>
          <w:szCs w:val="24"/>
          <w:lang w:val="fr-CA"/>
        </w:rPr>
      </w:pPr>
      <w:r w:rsidRPr="00AB3320">
        <w:rPr>
          <w:rFonts w:cs="Times New Roman"/>
          <w:szCs w:val="24"/>
          <w:lang w:val="fr-CA"/>
        </w:rPr>
        <w:t>Par conséquent, le par.</w:t>
      </w:r>
      <w:r w:rsidR="00AB3320">
        <w:rPr>
          <w:rFonts w:cs="Times New Roman"/>
          <w:szCs w:val="24"/>
          <w:lang w:val="fr-CA"/>
        </w:rPr>
        <w:t xml:space="preserve"> </w:t>
      </w:r>
      <w:r w:rsidRPr="00AB3320">
        <w:rPr>
          <w:rFonts w:cs="Times New Roman"/>
          <w:szCs w:val="24"/>
          <w:lang w:val="fr-CA"/>
        </w:rPr>
        <w:t>686(8), qui confère le pouvoir de rendre «</w:t>
      </w:r>
      <w:r w:rsidR="00AB3320">
        <w:rPr>
          <w:rFonts w:cs="Times New Roman"/>
          <w:szCs w:val="24"/>
          <w:lang w:val="fr-CA"/>
        </w:rPr>
        <w:t xml:space="preserve"> </w:t>
      </w:r>
      <w:r w:rsidRPr="00AB3320">
        <w:rPr>
          <w:rFonts w:cs="Times New Roman"/>
          <w:szCs w:val="24"/>
          <w:lang w:val="fr-CA"/>
        </w:rPr>
        <w:t>toute ordonnance que la justice exige</w:t>
      </w:r>
      <w:r w:rsidR="00AB3320">
        <w:rPr>
          <w:rFonts w:cs="Times New Roman"/>
          <w:szCs w:val="24"/>
          <w:lang w:val="fr-CA"/>
        </w:rPr>
        <w:t xml:space="preserve"> </w:t>
      </w:r>
      <w:r w:rsidRPr="00AB3320">
        <w:rPr>
          <w:rFonts w:cs="Times New Roman"/>
          <w:szCs w:val="24"/>
          <w:lang w:val="fr-CA"/>
        </w:rPr>
        <w:t>», autorise la cour d</w:t>
      </w:r>
      <w:r w:rsidR="00424D24">
        <w:rPr>
          <w:rFonts w:cs="Times New Roman"/>
          <w:szCs w:val="24"/>
          <w:lang w:val="fr-CA"/>
        </w:rPr>
        <w:t>’</w:t>
      </w:r>
      <w:r w:rsidRPr="00AB3320">
        <w:rPr>
          <w:rFonts w:cs="Times New Roman"/>
          <w:szCs w:val="24"/>
          <w:lang w:val="fr-CA"/>
        </w:rPr>
        <w:t>appel à ordonner la continuation du procès, mais seulement lorsque cette mesure est celle que la «</w:t>
      </w:r>
      <w:r w:rsidR="00AB3320">
        <w:rPr>
          <w:rFonts w:cs="Times New Roman"/>
          <w:szCs w:val="24"/>
          <w:lang w:val="fr-CA"/>
        </w:rPr>
        <w:t xml:space="preserve"> </w:t>
      </w:r>
      <w:r w:rsidRPr="00AB3320">
        <w:rPr>
          <w:rFonts w:cs="Times New Roman"/>
          <w:szCs w:val="24"/>
          <w:lang w:val="fr-CA"/>
        </w:rPr>
        <w:t>justice exige</w:t>
      </w:r>
      <w:r w:rsidR="00AB3320">
        <w:rPr>
          <w:rFonts w:cs="Times New Roman"/>
          <w:szCs w:val="24"/>
          <w:lang w:val="fr-CA"/>
        </w:rPr>
        <w:t xml:space="preserve"> </w:t>
      </w:r>
      <w:r w:rsidRPr="00AB3320">
        <w:rPr>
          <w:rFonts w:cs="Times New Roman"/>
          <w:szCs w:val="24"/>
          <w:lang w:val="fr-CA"/>
        </w:rPr>
        <w:t>» dans les circonstances de l</w:t>
      </w:r>
      <w:r w:rsidR="00424D24">
        <w:rPr>
          <w:rFonts w:cs="Times New Roman"/>
          <w:szCs w:val="24"/>
          <w:lang w:val="fr-CA"/>
        </w:rPr>
        <w:t>’</w:t>
      </w:r>
      <w:r w:rsidRPr="00AB3320">
        <w:rPr>
          <w:rFonts w:cs="Times New Roman"/>
          <w:szCs w:val="24"/>
          <w:lang w:val="fr-CA"/>
        </w:rPr>
        <w:t>espèce.</w:t>
      </w:r>
      <w:r w:rsidR="00AB3320">
        <w:rPr>
          <w:rFonts w:cs="Times New Roman"/>
          <w:szCs w:val="24"/>
          <w:lang w:val="fr-CA"/>
        </w:rPr>
        <w:t xml:space="preserve"> </w:t>
      </w:r>
      <w:r w:rsidRPr="00AB3320">
        <w:rPr>
          <w:rFonts w:cs="Times New Roman"/>
          <w:szCs w:val="24"/>
          <w:lang w:val="fr-CA"/>
        </w:rPr>
        <w:t>Manifestement, l</w:t>
      </w:r>
      <w:r w:rsidR="00424D24">
        <w:rPr>
          <w:rFonts w:cs="Times New Roman"/>
          <w:szCs w:val="24"/>
          <w:lang w:val="fr-CA"/>
        </w:rPr>
        <w:t>’</w:t>
      </w:r>
      <w:r w:rsidRPr="00AB3320">
        <w:rPr>
          <w:rFonts w:cs="Times New Roman"/>
          <w:szCs w:val="24"/>
          <w:lang w:val="fr-CA"/>
        </w:rPr>
        <w:t>ordonnance rendue en application du par.</w:t>
      </w:r>
      <w:r w:rsidR="00AB3320">
        <w:rPr>
          <w:rFonts w:cs="Times New Roman"/>
          <w:szCs w:val="24"/>
          <w:lang w:val="fr-CA"/>
        </w:rPr>
        <w:t xml:space="preserve"> </w:t>
      </w:r>
      <w:r w:rsidRPr="00AB3320">
        <w:rPr>
          <w:rFonts w:cs="Times New Roman"/>
          <w:szCs w:val="24"/>
          <w:lang w:val="fr-CA"/>
        </w:rPr>
        <w:t>686(8) ne doit pas être incompatible avec le jugement sous</w:t>
      </w:r>
      <w:r w:rsidR="00AB3320">
        <w:rPr>
          <w:rFonts w:cs="Times New Roman"/>
          <w:szCs w:val="24"/>
          <w:lang w:val="fr-CA"/>
        </w:rPr>
        <w:t>-</w:t>
      </w:r>
      <w:r w:rsidRPr="00AB3320">
        <w:rPr>
          <w:rFonts w:cs="Times New Roman"/>
          <w:szCs w:val="24"/>
          <w:lang w:val="fr-CA"/>
        </w:rPr>
        <w:t>jacent (</w:t>
      </w:r>
      <w:r w:rsidRPr="00AB3320">
        <w:rPr>
          <w:rFonts w:cs="Times New Roman"/>
          <w:i/>
          <w:szCs w:val="24"/>
          <w:lang w:val="fr-CA"/>
        </w:rPr>
        <w:t>R. c. Thomas</w:t>
      </w:r>
      <w:r w:rsidRPr="00AB3320">
        <w:rPr>
          <w:rFonts w:cs="Times New Roman"/>
          <w:szCs w:val="24"/>
          <w:lang w:val="fr-CA"/>
        </w:rPr>
        <w:t>, [1998] 3 R.C.S. 535, par.</w:t>
      </w:r>
      <w:r w:rsidR="00424D24">
        <w:rPr>
          <w:rFonts w:cs="Times New Roman"/>
          <w:szCs w:val="24"/>
          <w:lang w:val="fr-CA"/>
        </w:rPr>
        <w:t> </w:t>
      </w:r>
      <w:r w:rsidRPr="00AB3320">
        <w:rPr>
          <w:rFonts w:cs="Times New Roman"/>
          <w:szCs w:val="24"/>
          <w:lang w:val="fr-CA"/>
        </w:rPr>
        <w:t>17).</w:t>
      </w:r>
      <w:r w:rsidR="00AB3320">
        <w:rPr>
          <w:rFonts w:cs="Times New Roman"/>
          <w:szCs w:val="24"/>
          <w:lang w:val="fr-CA"/>
        </w:rPr>
        <w:t xml:space="preserve">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Dans l</w:t>
      </w:r>
      <w:r w:rsidR="00424D24">
        <w:rPr>
          <w:rFonts w:cs="Times New Roman"/>
          <w:szCs w:val="24"/>
          <w:lang w:val="fr-CA"/>
        </w:rPr>
        <w:t>’</w:t>
      </w:r>
      <w:r w:rsidRPr="00AB3320">
        <w:rPr>
          <w:rFonts w:cs="Times New Roman"/>
          <w:szCs w:val="24"/>
          <w:lang w:val="fr-CA"/>
        </w:rPr>
        <w:t xml:space="preserve">arrêt </w:t>
      </w:r>
      <w:proofErr w:type="spellStart"/>
      <w:r w:rsidRPr="00AB3320">
        <w:rPr>
          <w:rFonts w:cs="Times New Roman"/>
          <w:i/>
          <w:szCs w:val="24"/>
          <w:lang w:val="fr-CA"/>
        </w:rPr>
        <w:t>Yelle</w:t>
      </w:r>
      <w:proofErr w:type="spellEnd"/>
      <w:r w:rsidRPr="00AB3320">
        <w:rPr>
          <w:rFonts w:cs="Times New Roman"/>
          <w:szCs w:val="24"/>
          <w:lang w:val="fr-CA"/>
        </w:rPr>
        <w:t>,</w:t>
      </w:r>
      <w:r w:rsidRPr="00AB3320">
        <w:rPr>
          <w:rFonts w:cs="Times New Roman"/>
          <w:i/>
          <w:szCs w:val="24"/>
          <w:lang w:val="fr-CA"/>
        </w:rPr>
        <w:t xml:space="preserve"> </w:t>
      </w:r>
      <w:r w:rsidRPr="00AB3320">
        <w:rPr>
          <w:rFonts w:cs="Times New Roman"/>
          <w:szCs w:val="24"/>
          <w:lang w:val="fr-CA"/>
        </w:rPr>
        <w:t>la Cour d</w:t>
      </w:r>
      <w:r w:rsidR="00424D24">
        <w:rPr>
          <w:rFonts w:cs="Times New Roman"/>
          <w:szCs w:val="24"/>
          <w:lang w:val="fr-CA"/>
        </w:rPr>
        <w:t>’</w:t>
      </w:r>
      <w:r w:rsidRPr="00AB3320">
        <w:rPr>
          <w:rFonts w:cs="Times New Roman"/>
          <w:szCs w:val="24"/>
          <w:lang w:val="fr-CA"/>
        </w:rPr>
        <w:t>appel de l</w:t>
      </w:r>
      <w:r w:rsidR="00424D24">
        <w:rPr>
          <w:rFonts w:cs="Times New Roman"/>
          <w:szCs w:val="24"/>
          <w:lang w:val="fr-CA"/>
        </w:rPr>
        <w:t>’</w:t>
      </w:r>
      <w:r w:rsidRPr="00AB3320">
        <w:rPr>
          <w:rFonts w:cs="Times New Roman"/>
          <w:szCs w:val="24"/>
          <w:lang w:val="fr-CA"/>
        </w:rPr>
        <w:t>Alberta applique ces principes et annule l</w:t>
      </w:r>
      <w:r w:rsidR="00424D24">
        <w:rPr>
          <w:rFonts w:cs="Times New Roman"/>
          <w:szCs w:val="24"/>
          <w:lang w:val="fr-CA"/>
        </w:rPr>
        <w:t>’</w:t>
      </w:r>
      <w:r w:rsidRPr="00AB3320">
        <w:rPr>
          <w:rFonts w:cs="Times New Roman"/>
          <w:szCs w:val="24"/>
          <w:lang w:val="fr-CA"/>
        </w:rPr>
        <w:t>arrêt des procédures, mais elle refuse de substituer une déclaration de culpabilité à l</w:t>
      </w:r>
      <w:r w:rsidR="00424D24">
        <w:rPr>
          <w:rFonts w:cs="Times New Roman"/>
          <w:szCs w:val="24"/>
          <w:lang w:val="fr-CA"/>
        </w:rPr>
        <w:t>’</w:t>
      </w:r>
      <w:r w:rsidRPr="00AB3320">
        <w:rPr>
          <w:rFonts w:cs="Times New Roman"/>
          <w:szCs w:val="24"/>
          <w:lang w:val="fr-CA"/>
        </w:rPr>
        <w:t>acquittement ou d</w:t>
      </w:r>
      <w:r w:rsidR="00424D24">
        <w:rPr>
          <w:rFonts w:cs="Times New Roman"/>
          <w:szCs w:val="24"/>
          <w:lang w:val="fr-CA"/>
        </w:rPr>
        <w:t>’</w:t>
      </w:r>
      <w:r w:rsidRPr="00AB3320">
        <w:rPr>
          <w:rFonts w:cs="Times New Roman"/>
          <w:szCs w:val="24"/>
          <w:lang w:val="fr-CA"/>
        </w:rPr>
        <w:t>ordonner un nouveau procès.</w:t>
      </w:r>
      <w:r w:rsidR="00AB3320">
        <w:rPr>
          <w:rFonts w:cs="Times New Roman"/>
          <w:szCs w:val="24"/>
          <w:lang w:val="fr-CA"/>
        </w:rPr>
        <w:t xml:space="preserve"> </w:t>
      </w:r>
      <w:r w:rsidRPr="00AB3320">
        <w:rPr>
          <w:rFonts w:cs="Times New Roman"/>
          <w:szCs w:val="24"/>
          <w:lang w:val="fr-CA"/>
        </w:rPr>
        <w:t>Elle ordonne plutôt la continuation du procès parce que la justice l</w:t>
      </w:r>
      <w:r w:rsidR="00424D24">
        <w:rPr>
          <w:rFonts w:cs="Times New Roman"/>
          <w:szCs w:val="24"/>
          <w:lang w:val="fr-CA"/>
        </w:rPr>
        <w:t>’</w:t>
      </w:r>
      <w:r w:rsidRPr="00AB3320">
        <w:rPr>
          <w:rFonts w:cs="Times New Roman"/>
          <w:szCs w:val="24"/>
          <w:lang w:val="fr-CA"/>
        </w:rPr>
        <w:t>exige dans les circonstances de l</w:t>
      </w:r>
      <w:r w:rsidR="00424D24">
        <w:rPr>
          <w:rFonts w:cs="Times New Roman"/>
          <w:szCs w:val="24"/>
          <w:lang w:val="fr-CA"/>
        </w:rPr>
        <w:t>’</w:t>
      </w:r>
      <w:r w:rsidRPr="00AB3320">
        <w:rPr>
          <w:rFonts w:cs="Times New Roman"/>
          <w:szCs w:val="24"/>
          <w:lang w:val="fr-CA"/>
        </w:rPr>
        <w:t>espèce</w:t>
      </w:r>
      <w:r w:rsidR="00AB3320">
        <w:rPr>
          <w:rFonts w:cs="Times New Roman"/>
          <w:szCs w:val="24"/>
          <w:lang w:val="fr-CA"/>
        </w:rPr>
        <w:t xml:space="preserve"> </w:t>
      </w:r>
      <w:r w:rsidRPr="00AB3320">
        <w:rPr>
          <w:rFonts w:cs="Times New Roman"/>
          <w:szCs w:val="24"/>
          <w:lang w:val="fr-CA"/>
        </w:rPr>
        <w:t>:</w:t>
      </w:r>
    </w:p>
    <w:p w:rsidR="0003214E" w:rsidRPr="00AB3320" w:rsidRDefault="0003214E" w:rsidP="00574D47">
      <w:pPr>
        <w:pStyle w:val="Citation-AltC"/>
        <w:tabs>
          <w:tab w:val="left" w:pos="1710"/>
        </w:tabs>
        <w:spacing w:after="240"/>
        <w:ind w:hanging="1166"/>
        <w:contextualSpacing w:val="0"/>
        <w:rPr>
          <w:szCs w:val="24"/>
          <w:lang w:val="fr-CA"/>
        </w:rPr>
      </w:pPr>
      <w:r w:rsidRPr="00AB3320">
        <w:rPr>
          <w:smallCaps/>
          <w:szCs w:val="24"/>
          <w:lang w:val="fr-CA"/>
        </w:rPr>
        <w:lastRenderedPageBreak/>
        <w:tab/>
      </w:r>
      <w:r w:rsidR="0068024C" w:rsidRPr="00AB3320">
        <w:rPr>
          <w:smallCaps/>
          <w:szCs w:val="24"/>
          <w:lang w:val="fr-CA"/>
        </w:rPr>
        <w:tab/>
      </w:r>
      <w:r w:rsidRPr="00AB3320">
        <w:rPr>
          <w:smallCaps/>
          <w:szCs w:val="24"/>
          <w:lang w:val="fr-CA"/>
        </w:rPr>
        <w:t>[</w:t>
      </w:r>
      <w:r w:rsidR="00984640" w:rsidRPr="00984640">
        <w:rPr>
          <w:smallCaps/>
          <w:szCs w:val="24"/>
          <w:lang w:val="fr-CA"/>
        </w:rPr>
        <w:t>traduction</w:t>
      </w:r>
      <w:r w:rsidRPr="00AB3320">
        <w:rPr>
          <w:smallCaps/>
          <w:szCs w:val="24"/>
          <w:lang w:val="fr-CA"/>
        </w:rPr>
        <w:t>]</w:t>
      </w:r>
      <w:r w:rsidR="00AB3320">
        <w:rPr>
          <w:smallCaps/>
          <w:szCs w:val="24"/>
          <w:lang w:val="fr-CA"/>
        </w:rPr>
        <w:t xml:space="preserve"> </w:t>
      </w:r>
      <w:r w:rsidRPr="00AB3320">
        <w:rPr>
          <w:szCs w:val="24"/>
          <w:lang w:val="fr-CA"/>
        </w:rPr>
        <w:t>Ordonner un nouveau procès aurait des conséquences énormes en l</w:t>
      </w:r>
      <w:r w:rsidR="00424D24">
        <w:rPr>
          <w:szCs w:val="24"/>
          <w:lang w:val="fr-CA"/>
        </w:rPr>
        <w:t>’</w:t>
      </w:r>
      <w:r w:rsidRPr="00AB3320">
        <w:rPr>
          <w:szCs w:val="24"/>
          <w:lang w:val="fr-CA"/>
        </w:rPr>
        <w:t>espèce.</w:t>
      </w:r>
      <w:r w:rsidR="00AB3320">
        <w:rPr>
          <w:szCs w:val="24"/>
          <w:lang w:val="fr-CA"/>
        </w:rPr>
        <w:t xml:space="preserve"> </w:t>
      </w:r>
      <w:r w:rsidRPr="00AB3320">
        <w:rPr>
          <w:szCs w:val="24"/>
          <w:lang w:val="fr-CA"/>
        </w:rPr>
        <w:t>Il faudrait consacrer trois mois à l</w:t>
      </w:r>
      <w:r w:rsidR="00424D24">
        <w:rPr>
          <w:szCs w:val="24"/>
          <w:lang w:val="fr-CA"/>
        </w:rPr>
        <w:t>’</w:t>
      </w:r>
      <w:r w:rsidRPr="00AB3320">
        <w:rPr>
          <w:szCs w:val="24"/>
          <w:lang w:val="fr-CA"/>
        </w:rPr>
        <w:t>audition de témoignages déjà entendus, et ce, sans motif valable.</w:t>
      </w:r>
      <w:r w:rsidR="00AB3320">
        <w:rPr>
          <w:szCs w:val="24"/>
          <w:lang w:val="fr-CA"/>
        </w:rPr>
        <w:t xml:space="preserve"> </w:t>
      </w:r>
      <w:r w:rsidRPr="00AB3320">
        <w:rPr>
          <w:szCs w:val="24"/>
          <w:lang w:val="fr-CA"/>
        </w:rPr>
        <w:t>En plus d</w:t>
      </w:r>
      <w:r w:rsidR="00424D24">
        <w:rPr>
          <w:szCs w:val="24"/>
          <w:lang w:val="fr-CA"/>
        </w:rPr>
        <w:t>’</w:t>
      </w:r>
      <w:r w:rsidRPr="00AB3320">
        <w:rPr>
          <w:szCs w:val="24"/>
          <w:lang w:val="fr-CA"/>
        </w:rPr>
        <w:t>être tout à fait inutile, l</w:t>
      </w:r>
      <w:r w:rsidR="00424D24">
        <w:rPr>
          <w:szCs w:val="24"/>
          <w:lang w:val="fr-CA"/>
        </w:rPr>
        <w:t>’</w:t>
      </w:r>
      <w:r w:rsidRPr="00AB3320">
        <w:rPr>
          <w:szCs w:val="24"/>
          <w:lang w:val="fr-CA"/>
        </w:rPr>
        <w:t>entreprise équivaudrait à gaspiller considérablement les ressources de la cour, le temps des témoins et l</w:t>
      </w:r>
      <w:r w:rsidR="00424D24">
        <w:rPr>
          <w:szCs w:val="24"/>
          <w:lang w:val="fr-CA"/>
        </w:rPr>
        <w:t>’</w:t>
      </w:r>
      <w:r w:rsidRPr="00AB3320">
        <w:rPr>
          <w:szCs w:val="24"/>
          <w:lang w:val="fr-CA"/>
        </w:rPr>
        <w:t>argent des intimés (car ils devraient payer encore pour des services juridiques déjà obtenus).</w:t>
      </w:r>
    </w:p>
    <w:p w:rsidR="0003214E" w:rsidRPr="00AB3320" w:rsidRDefault="0003214E" w:rsidP="0068024C">
      <w:pPr>
        <w:pStyle w:val="Citation-AltC"/>
        <w:tabs>
          <w:tab w:val="left" w:pos="1710"/>
        </w:tabs>
        <w:ind w:hanging="1166"/>
        <w:rPr>
          <w:szCs w:val="24"/>
          <w:lang w:val="fr-CA"/>
        </w:rPr>
      </w:pPr>
      <w:r w:rsidRPr="00AB3320">
        <w:rPr>
          <w:szCs w:val="24"/>
          <w:lang w:val="fr-CA"/>
        </w:rPr>
        <w:tab/>
      </w:r>
      <w:r w:rsidR="0068024C" w:rsidRPr="00AB3320">
        <w:rPr>
          <w:szCs w:val="24"/>
          <w:lang w:val="fr-CA"/>
        </w:rPr>
        <w:tab/>
      </w:r>
      <w:r w:rsidRPr="00AB3320">
        <w:rPr>
          <w:szCs w:val="24"/>
          <w:lang w:val="fr-CA"/>
        </w:rPr>
        <w:t>De plus, il n</w:t>
      </w:r>
      <w:r w:rsidR="00424D24">
        <w:rPr>
          <w:szCs w:val="24"/>
          <w:lang w:val="fr-CA"/>
        </w:rPr>
        <w:t>’</w:t>
      </w:r>
      <w:r w:rsidRPr="00AB3320">
        <w:rPr>
          <w:szCs w:val="24"/>
          <w:lang w:val="fr-CA"/>
        </w:rPr>
        <w:t>est pas dans l</w:t>
      </w:r>
      <w:r w:rsidR="00424D24">
        <w:rPr>
          <w:szCs w:val="24"/>
          <w:lang w:val="fr-CA"/>
        </w:rPr>
        <w:t>’</w:t>
      </w:r>
      <w:r w:rsidRPr="00AB3320">
        <w:rPr>
          <w:szCs w:val="24"/>
          <w:lang w:val="fr-CA"/>
        </w:rPr>
        <w:t>intérêt des parties ou de l</w:t>
      </w:r>
      <w:r w:rsidR="00424D24">
        <w:rPr>
          <w:szCs w:val="24"/>
          <w:lang w:val="fr-CA"/>
        </w:rPr>
        <w:t>’</w:t>
      </w:r>
      <w:r w:rsidRPr="00AB3320">
        <w:rPr>
          <w:szCs w:val="24"/>
          <w:lang w:val="fr-CA"/>
        </w:rPr>
        <w:t>administration de la justice que l</w:t>
      </w:r>
      <w:r w:rsidR="00424D24">
        <w:rPr>
          <w:szCs w:val="24"/>
          <w:lang w:val="fr-CA"/>
        </w:rPr>
        <w:t>’</w:t>
      </w:r>
      <w:r w:rsidRPr="00AB3320">
        <w:rPr>
          <w:szCs w:val="24"/>
          <w:lang w:val="fr-CA"/>
        </w:rPr>
        <w:t>on reparte à zéro.</w:t>
      </w:r>
      <w:r w:rsidR="00AB3320">
        <w:rPr>
          <w:szCs w:val="24"/>
          <w:lang w:val="fr-CA"/>
        </w:rPr>
        <w:t xml:space="preserve"> </w:t>
      </w:r>
      <w:r w:rsidRPr="00AB3320">
        <w:rPr>
          <w:szCs w:val="24"/>
          <w:lang w:val="fr-CA"/>
        </w:rPr>
        <w:t>En effet, tous les intéressés — les parties, les témoins et l</w:t>
      </w:r>
      <w:r w:rsidR="00424D24">
        <w:rPr>
          <w:szCs w:val="24"/>
          <w:lang w:val="fr-CA"/>
        </w:rPr>
        <w:t>’</w:t>
      </w:r>
      <w:r w:rsidRPr="00AB3320">
        <w:rPr>
          <w:szCs w:val="24"/>
          <w:lang w:val="fr-CA"/>
        </w:rPr>
        <w:t>administration de la justice (dont la réputation serait ternie) — subiraient un préjudice.</w:t>
      </w:r>
      <w:r w:rsidR="00AB3320">
        <w:rPr>
          <w:szCs w:val="24"/>
          <w:lang w:val="fr-CA"/>
        </w:rPr>
        <w:t xml:space="preserve"> </w:t>
      </w:r>
      <w:r w:rsidRPr="00AB3320">
        <w:rPr>
          <w:szCs w:val="24"/>
          <w:lang w:val="fr-CA"/>
        </w:rPr>
        <w:t>[par.</w:t>
      </w:r>
      <w:r w:rsidR="00424D24">
        <w:rPr>
          <w:szCs w:val="24"/>
          <w:lang w:val="fr-CA"/>
        </w:rPr>
        <w:t> </w:t>
      </w:r>
      <w:r w:rsidRPr="00AB3320">
        <w:rPr>
          <w:szCs w:val="24"/>
          <w:lang w:val="fr-CA"/>
        </w:rPr>
        <w:t>17</w:t>
      </w:r>
      <w:r w:rsidR="00AB3320">
        <w:rPr>
          <w:szCs w:val="24"/>
          <w:lang w:val="fr-CA"/>
        </w:rPr>
        <w:t>-</w:t>
      </w:r>
      <w:r w:rsidRPr="00AB3320">
        <w:rPr>
          <w:szCs w:val="24"/>
          <w:lang w:val="fr-CA"/>
        </w:rPr>
        <w:t>18]</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La continuation du procès n</w:t>
      </w:r>
      <w:r w:rsidR="00424D24">
        <w:rPr>
          <w:rFonts w:cs="Times New Roman"/>
          <w:szCs w:val="24"/>
          <w:lang w:val="fr-CA"/>
        </w:rPr>
        <w:t>’</w:t>
      </w:r>
      <w:r w:rsidRPr="00AB3320">
        <w:rPr>
          <w:rFonts w:cs="Times New Roman"/>
          <w:szCs w:val="24"/>
          <w:lang w:val="fr-CA"/>
        </w:rPr>
        <w:t>est pas toujours préférable ni même possible.</w:t>
      </w:r>
      <w:r w:rsidR="00AB3320">
        <w:rPr>
          <w:rFonts w:cs="Times New Roman"/>
          <w:szCs w:val="24"/>
          <w:lang w:val="fr-CA"/>
        </w:rPr>
        <w:t xml:space="preserve"> </w:t>
      </w:r>
      <w:r w:rsidRPr="00AB3320">
        <w:rPr>
          <w:rFonts w:cs="Times New Roman"/>
          <w:szCs w:val="24"/>
          <w:lang w:val="fr-CA"/>
        </w:rPr>
        <w:t>Quoi qu</w:t>
      </w:r>
      <w:r w:rsidR="00424D24">
        <w:rPr>
          <w:rFonts w:cs="Times New Roman"/>
          <w:szCs w:val="24"/>
          <w:lang w:val="fr-CA"/>
        </w:rPr>
        <w:t>’</w:t>
      </w:r>
      <w:r w:rsidRPr="00AB3320">
        <w:rPr>
          <w:rFonts w:cs="Times New Roman"/>
          <w:szCs w:val="24"/>
          <w:lang w:val="fr-CA"/>
        </w:rPr>
        <w:t>il en soit, elle ne peut être valablement ordonnée que lorsque les intérêts de la justice l</w:t>
      </w:r>
      <w:r w:rsidR="00424D24">
        <w:rPr>
          <w:rFonts w:cs="Times New Roman"/>
          <w:szCs w:val="24"/>
          <w:lang w:val="fr-CA"/>
        </w:rPr>
        <w:t>’</w:t>
      </w:r>
      <w:r w:rsidRPr="00AB3320">
        <w:rPr>
          <w:rFonts w:cs="Times New Roman"/>
          <w:szCs w:val="24"/>
          <w:lang w:val="fr-CA"/>
        </w:rPr>
        <w:t>exigent, qu</w:t>
      </w:r>
      <w:r w:rsidR="00424D24">
        <w:rPr>
          <w:rFonts w:cs="Times New Roman"/>
          <w:szCs w:val="24"/>
          <w:lang w:val="fr-CA"/>
        </w:rPr>
        <w:t>’</w:t>
      </w:r>
      <w:r w:rsidRPr="00AB3320">
        <w:rPr>
          <w:rFonts w:cs="Times New Roman"/>
          <w:szCs w:val="24"/>
          <w:lang w:val="fr-CA"/>
        </w:rPr>
        <w:t>elle n</w:t>
      </w:r>
      <w:r w:rsidR="00424D24">
        <w:rPr>
          <w:rFonts w:cs="Times New Roman"/>
          <w:szCs w:val="24"/>
          <w:lang w:val="fr-CA"/>
        </w:rPr>
        <w:t>’</w:t>
      </w:r>
      <w:r w:rsidRPr="00AB3320">
        <w:rPr>
          <w:rFonts w:cs="Times New Roman"/>
          <w:szCs w:val="24"/>
          <w:lang w:val="fr-CA"/>
        </w:rPr>
        <w:t>inflige aucun préjudice indu aux parties et qu</w:t>
      </w:r>
      <w:r w:rsidR="00424D24">
        <w:rPr>
          <w:rFonts w:cs="Times New Roman"/>
          <w:szCs w:val="24"/>
          <w:lang w:val="fr-CA"/>
        </w:rPr>
        <w:t>’</w:t>
      </w:r>
      <w:r w:rsidRPr="00AB3320">
        <w:rPr>
          <w:rFonts w:cs="Times New Roman"/>
          <w:szCs w:val="24"/>
          <w:lang w:val="fr-CA"/>
        </w:rPr>
        <w:t>elle ne cause pas d</w:t>
      </w:r>
      <w:r w:rsidR="00424D24">
        <w:rPr>
          <w:rFonts w:cs="Times New Roman"/>
          <w:szCs w:val="24"/>
          <w:lang w:val="fr-CA"/>
        </w:rPr>
        <w:t>’</w:t>
      </w:r>
      <w:r w:rsidRPr="00AB3320">
        <w:rPr>
          <w:rFonts w:cs="Times New Roman"/>
          <w:szCs w:val="24"/>
          <w:lang w:val="fr-CA"/>
        </w:rPr>
        <w:t>injustice.</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Enfin, j</w:t>
      </w:r>
      <w:r w:rsidR="00424D24">
        <w:rPr>
          <w:rFonts w:cs="Times New Roman"/>
          <w:szCs w:val="24"/>
          <w:lang w:val="fr-CA"/>
        </w:rPr>
        <w:t>’</w:t>
      </w:r>
      <w:r w:rsidRPr="00AB3320">
        <w:rPr>
          <w:rFonts w:cs="Times New Roman"/>
          <w:szCs w:val="24"/>
          <w:lang w:val="fr-CA"/>
        </w:rPr>
        <w:t>estime que la cour de première instance à laquelle l</w:t>
      </w:r>
      <w:r w:rsidR="00424D24">
        <w:rPr>
          <w:rFonts w:cs="Times New Roman"/>
          <w:szCs w:val="24"/>
          <w:lang w:val="fr-CA"/>
        </w:rPr>
        <w:t>’</w:t>
      </w:r>
      <w:r w:rsidRPr="00AB3320">
        <w:rPr>
          <w:rFonts w:cs="Times New Roman"/>
          <w:szCs w:val="24"/>
          <w:lang w:val="fr-CA"/>
        </w:rPr>
        <w:t>affaire est renvoyée doit conserver son pouvoir discrétionnaire d</w:t>
      </w:r>
      <w:r w:rsidR="00424D24">
        <w:rPr>
          <w:rFonts w:cs="Times New Roman"/>
          <w:szCs w:val="24"/>
          <w:lang w:val="fr-CA"/>
        </w:rPr>
        <w:t>’</w:t>
      </w:r>
      <w:r w:rsidRPr="00AB3320">
        <w:rPr>
          <w:rFonts w:cs="Times New Roman"/>
          <w:szCs w:val="24"/>
          <w:lang w:val="fr-CA"/>
        </w:rPr>
        <w:t>ordonner plutôt un nouveau procès lorsque la continuation du procès se révèle irréaliste ou injuste.</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Dans la présente affaire, je le rappelle, les deux parties conviennent qu</w:t>
      </w:r>
      <w:r w:rsidR="00424D24">
        <w:rPr>
          <w:rFonts w:cs="Times New Roman"/>
          <w:szCs w:val="24"/>
          <w:lang w:val="fr-CA"/>
        </w:rPr>
        <w:t>’</w:t>
      </w:r>
      <w:r w:rsidRPr="00AB3320">
        <w:rPr>
          <w:rFonts w:cs="Times New Roman"/>
          <w:szCs w:val="24"/>
          <w:lang w:val="fr-CA"/>
        </w:rPr>
        <w:t>une cour d</w:t>
      </w:r>
      <w:r w:rsidR="00424D24">
        <w:rPr>
          <w:rFonts w:cs="Times New Roman"/>
          <w:szCs w:val="24"/>
          <w:lang w:val="fr-CA"/>
        </w:rPr>
        <w:t>’</w:t>
      </w:r>
      <w:r w:rsidRPr="00AB3320">
        <w:rPr>
          <w:rFonts w:cs="Times New Roman"/>
          <w:szCs w:val="24"/>
          <w:lang w:val="fr-CA"/>
        </w:rPr>
        <w:t>appel peut ordonner la continuation du procès lorsqu</w:t>
      </w:r>
      <w:r w:rsidR="00424D24">
        <w:rPr>
          <w:rFonts w:cs="Times New Roman"/>
          <w:szCs w:val="24"/>
          <w:lang w:val="fr-CA"/>
        </w:rPr>
        <w:t>’</w:t>
      </w:r>
      <w:r w:rsidRPr="00AB3320">
        <w:rPr>
          <w:rFonts w:cs="Times New Roman"/>
          <w:szCs w:val="24"/>
          <w:lang w:val="fr-CA"/>
        </w:rPr>
        <w:t>elle annule l</w:t>
      </w:r>
      <w:r w:rsidR="00424D24">
        <w:rPr>
          <w:rFonts w:cs="Times New Roman"/>
          <w:szCs w:val="24"/>
          <w:lang w:val="fr-CA"/>
        </w:rPr>
        <w:t>’</w:t>
      </w:r>
      <w:r w:rsidRPr="00AB3320">
        <w:rPr>
          <w:rFonts w:cs="Times New Roman"/>
          <w:szCs w:val="24"/>
          <w:lang w:val="fr-CA"/>
        </w:rPr>
        <w:t>arrêt des procédures.</w:t>
      </w:r>
      <w:r w:rsidR="00AB3320">
        <w:rPr>
          <w:rFonts w:cs="Times New Roman"/>
          <w:szCs w:val="24"/>
          <w:lang w:val="fr-CA"/>
        </w:rPr>
        <w:t xml:space="preserve"> </w:t>
      </w:r>
      <w:r w:rsidRPr="00AB3320">
        <w:rPr>
          <w:rFonts w:cs="Times New Roman"/>
          <w:szCs w:val="24"/>
          <w:lang w:val="fr-CA"/>
        </w:rPr>
        <w:t>Elles prétendent toutefois que c</w:t>
      </w:r>
      <w:r w:rsidR="00424D24">
        <w:rPr>
          <w:rFonts w:cs="Times New Roman"/>
          <w:szCs w:val="24"/>
          <w:lang w:val="fr-CA"/>
        </w:rPr>
        <w:t>’</w:t>
      </w:r>
      <w:r w:rsidRPr="00AB3320">
        <w:rPr>
          <w:rFonts w:cs="Times New Roman"/>
          <w:szCs w:val="24"/>
          <w:lang w:val="fr-CA"/>
        </w:rPr>
        <w:t>est plutôt une déclaration de culpabilité qui doit être consignée en l</w:t>
      </w:r>
      <w:r w:rsidR="00424D24">
        <w:rPr>
          <w:rFonts w:cs="Times New Roman"/>
          <w:szCs w:val="24"/>
          <w:lang w:val="fr-CA"/>
        </w:rPr>
        <w:t>’</w:t>
      </w:r>
      <w:r w:rsidRPr="00AB3320">
        <w:rPr>
          <w:rFonts w:cs="Times New Roman"/>
          <w:szCs w:val="24"/>
          <w:lang w:val="fr-CA"/>
        </w:rPr>
        <w:t>espèce si l</w:t>
      </w:r>
      <w:r w:rsidR="00424D24">
        <w:rPr>
          <w:rFonts w:cs="Times New Roman"/>
          <w:szCs w:val="24"/>
          <w:lang w:val="fr-CA"/>
        </w:rPr>
        <w:t>’</w:t>
      </w:r>
      <w:r w:rsidRPr="00AB3320">
        <w:rPr>
          <w:rFonts w:cs="Times New Roman"/>
          <w:szCs w:val="24"/>
          <w:lang w:val="fr-CA"/>
        </w:rPr>
        <w:t>arrêt des procédures est annulé, car selon elles, les conclusions de fait pertinentes ont déjà été tirées.</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lastRenderedPageBreak/>
        <w:t>Vu ma conclusion voulant que la Cour d</w:t>
      </w:r>
      <w:r w:rsidR="00424D24">
        <w:rPr>
          <w:rFonts w:cs="Times New Roman"/>
          <w:szCs w:val="24"/>
          <w:lang w:val="fr-CA"/>
        </w:rPr>
        <w:t>’</w:t>
      </w:r>
      <w:r w:rsidRPr="00AB3320">
        <w:rPr>
          <w:rFonts w:cs="Times New Roman"/>
          <w:szCs w:val="24"/>
          <w:lang w:val="fr-CA"/>
        </w:rPr>
        <w:t>appel ait annulé à tort l</w:t>
      </w:r>
      <w:r w:rsidR="00424D24">
        <w:rPr>
          <w:rFonts w:cs="Times New Roman"/>
          <w:szCs w:val="24"/>
          <w:lang w:val="fr-CA"/>
        </w:rPr>
        <w:t>’</w:t>
      </w:r>
      <w:r w:rsidRPr="00AB3320">
        <w:rPr>
          <w:rFonts w:cs="Times New Roman"/>
          <w:szCs w:val="24"/>
          <w:lang w:val="fr-CA"/>
        </w:rPr>
        <w:t>arrêt des procédures, j</w:t>
      </w:r>
      <w:r w:rsidR="00424D24">
        <w:rPr>
          <w:rFonts w:cs="Times New Roman"/>
          <w:szCs w:val="24"/>
          <w:lang w:val="fr-CA"/>
        </w:rPr>
        <w:t>’</w:t>
      </w:r>
      <w:r w:rsidRPr="00AB3320">
        <w:rPr>
          <w:rFonts w:cs="Times New Roman"/>
          <w:szCs w:val="24"/>
          <w:lang w:val="fr-CA"/>
        </w:rPr>
        <w:t>estime inutile d</w:t>
      </w:r>
      <w:r w:rsidR="00424D24">
        <w:rPr>
          <w:rFonts w:cs="Times New Roman"/>
          <w:szCs w:val="24"/>
          <w:lang w:val="fr-CA"/>
        </w:rPr>
        <w:t>’</w:t>
      </w:r>
      <w:r w:rsidRPr="00AB3320">
        <w:rPr>
          <w:rFonts w:cs="Times New Roman"/>
          <w:szCs w:val="24"/>
          <w:lang w:val="fr-CA"/>
        </w:rPr>
        <w:t>exprimer une opinion décisive sur son ordonnance de continuation du procès.</w:t>
      </w:r>
      <w:r w:rsidR="00AB3320">
        <w:rPr>
          <w:rFonts w:cs="Times New Roman"/>
          <w:szCs w:val="24"/>
          <w:lang w:val="fr-CA"/>
        </w:rPr>
        <w:t xml:space="preserve"> </w:t>
      </w:r>
      <w:r w:rsidRPr="00AB3320">
        <w:rPr>
          <w:rFonts w:cs="Times New Roman"/>
          <w:szCs w:val="24"/>
          <w:lang w:val="fr-CA"/>
        </w:rPr>
        <w:t>Je me contente d</w:t>
      </w:r>
      <w:r w:rsidR="00424D24">
        <w:rPr>
          <w:rFonts w:cs="Times New Roman"/>
          <w:szCs w:val="24"/>
          <w:lang w:val="fr-CA"/>
        </w:rPr>
        <w:t>’</w:t>
      </w:r>
      <w:r w:rsidRPr="00AB3320">
        <w:rPr>
          <w:rFonts w:cs="Times New Roman"/>
          <w:szCs w:val="24"/>
          <w:lang w:val="fr-CA"/>
        </w:rPr>
        <w:t>opiner que l</w:t>
      </w:r>
      <w:r w:rsidR="00424D24">
        <w:rPr>
          <w:rFonts w:cs="Times New Roman"/>
          <w:szCs w:val="24"/>
          <w:lang w:val="fr-CA"/>
        </w:rPr>
        <w:t>’</w:t>
      </w:r>
      <w:r w:rsidRPr="00AB3320">
        <w:rPr>
          <w:rFonts w:cs="Times New Roman"/>
          <w:szCs w:val="24"/>
          <w:lang w:val="fr-CA"/>
        </w:rPr>
        <w:t>observation de l</w:t>
      </w:r>
      <w:r w:rsidR="00424D24">
        <w:rPr>
          <w:rFonts w:cs="Times New Roman"/>
          <w:szCs w:val="24"/>
          <w:lang w:val="fr-CA"/>
        </w:rPr>
        <w:t>’</w:t>
      </w:r>
      <w:r w:rsidRPr="00AB3320">
        <w:rPr>
          <w:rFonts w:cs="Times New Roman"/>
          <w:i/>
          <w:szCs w:val="24"/>
          <w:lang w:val="fr-CA"/>
        </w:rPr>
        <w:t xml:space="preserve">amicus curiae </w:t>
      </w:r>
      <w:r w:rsidRPr="00AB3320">
        <w:rPr>
          <w:rFonts w:cs="Times New Roman"/>
          <w:szCs w:val="24"/>
          <w:lang w:val="fr-CA"/>
        </w:rPr>
        <w:t>selon laquelle une déclaration de culpabilité n</w:t>
      </w:r>
      <w:r w:rsidR="00424D24">
        <w:rPr>
          <w:rFonts w:cs="Times New Roman"/>
          <w:szCs w:val="24"/>
          <w:lang w:val="fr-CA"/>
        </w:rPr>
        <w:t>’</w:t>
      </w:r>
      <w:r w:rsidRPr="00AB3320">
        <w:rPr>
          <w:rFonts w:cs="Times New Roman"/>
          <w:szCs w:val="24"/>
          <w:lang w:val="fr-CA"/>
        </w:rPr>
        <w:t xml:space="preserve">allait pas de soi me paraît avoir un fondement. </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Comme le signale l</w:t>
      </w:r>
      <w:r w:rsidR="00424D24">
        <w:rPr>
          <w:rFonts w:cs="Times New Roman"/>
          <w:szCs w:val="24"/>
          <w:lang w:val="fr-CA"/>
        </w:rPr>
        <w:t>’</w:t>
      </w:r>
      <w:r w:rsidRPr="00AB3320">
        <w:rPr>
          <w:rFonts w:cs="Times New Roman"/>
          <w:i/>
          <w:szCs w:val="24"/>
          <w:lang w:val="fr-CA"/>
        </w:rPr>
        <w:t>amicus curiae</w:t>
      </w:r>
      <w:r w:rsidRPr="00AB3320">
        <w:rPr>
          <w:rFonts w:cs="Times New Roman"/>
          <w:szCs w:val="24"/>
          <w:lang w:val="fr-CA"/>
        </w:rPr>
        <w:t>, selon l</w:t>
      </w:r>
      <w:r w:rsidR="00424D24">
        <w:rPr>
          <w:rFonts w:cs="Times New Roman"/>
          <w:szCs w:val="24"/>
          <w:lang w:val="fr-CA"/>
        </w:rPr>
        <w:t>’</w:t>
      </w:r>
      <w:r w:rsidRPr="00AB3320">
        <w:rPr>
          <w:rFonts w:cs="Times New Roman"/>
          <w:szCs w:val="24"/>
          <w:lang w:val="fr-CA"/>
        </w:rPr>
        <w:t>acte d</w:t>
      </w:r>
      <w:r w:rsidR="00424D24">
        <w:rPr>
          <w:rFonts w:cs="Times New Roman"/>
          <w:szCs w:val="24"/>
          <w:lang w:val="fr-CA"/>
        </w:rPr>
        <w:t>’</w:t>
      </w:r>
      <w:r w:rsidRPr="00AB3320">
        <w:rPr>
          <w:rFonts w:cs="Times New Roman"/>
          <w:szCs w:val="24"/>
          <w:lang w:val="fr-CA"/>
        </w:rPr>
        <w:t>accusation, M.</w:t>
      </w:r>
      <w:r w:rsidR="00AB3320">
        <w:rPr>
          <w:rFonts w:cs="Times New Roman"/>
          <w:szCs w:val="24"/>
          <w:lang w:val="fr-CA"/>
        </w:rPr>
        <w:t xml:space="preserve"> </w:t>
      </w:r>
      <w:r w:rsidRPr="00AB3320">
        <w:rPr>
          <w:rFonts w:cs="Times New Roman"/>
          <w:szCs w:val="24"/>
          <w:lang w:val="fr-CA"/>
        </w:rPr>
        <w:t>Bellusci aurait usé de la violence physique visée aux al.</w:t>
      </w:r>
      <w:r w:rsidR="00AB3320">
        <w:rPr>
          <w:rFonts w:cs="Times New Roman"/>
          <w:szCs w:val="24"/>
          <w:lang w:val="fr-CA"/>
        </w:rPr>
        <w:t xml:space="preserve"> </w:t>
      </w:r>
      <w:r w:rsidRPr="00AB3320">
        <w:rPr>
          <w:rFonts w:cs="Times New Roman"/>
          <w:szCs w:val="24"/>
          <w:lang w:val="fr-CA"/>
        </w:rPr>
        <w:t>423.1(1)</w:t>
      </w:r>
      <w:r w:rsidRPr="00AB3320">
        <w:rPr>
          <w:rFonts w:cs="Times New Roman"/>
          <w:i/>
          <w:szCs w:val="24"/>
          <w:lang w:val="fr-CA"/>
        </w:rPr>
        <w:t>b</w:t>
      </w:r>
      <w:r w:rsidRPr="00AB3320">
        <w:rPr>
          <w:rFonts w:cs="Times New Roman"/>
          <w:szCs w:val="24"/>
          <w:lang w:val="fr-CA"/>
        </w:rPr>
        <w:t>) et (2)</w:t>
      </w:r>
      <w:r w:rsidRPr="00AB3320">
        <w:rPr>
          <w:rFonts w:cs="Times New Roman"/>
          <w:i/>
          <w:szCs w:val="24"/>
          <w:lang w:val="fr-CA"/>
        </w:rPr>
        <w:t>a</w:t>
      </w:r>
      <w:r w:rsidRPr="00AB3320">
        <w:rPr>
          <w:rFonts w:cs="Times New Roman"/>
          <w:szCs w:val="24"/>
          <w:lang w:val="fr-CA"/>
        </w:rPr>
        <w:t>), alors qu</w:t>
      </w:r>
      <w:r w:rsidR="00424D24">
        <w:rPr>
          <w:rFonts w:cs="Times New Roman"/>
          <w:szCs w:val="24"/>
          <w:lang w:val="fr-CA"/>
        </w:rPr>
        <w:t>’</w:t>
      </w:r>
      <w:r w:rsidRPr="00AB3320">
        <w:rPr>
          <w:rFonts w:cs="Times New Roman"/>
          <w:szCs w:val="24"/>
          <w:lang w:val="fr-CA"/>
        </w:rPr>
        <w:t>on a conclu qu</w:t>
      </w:r>
      <w:r w:rsidR="00424D24">
        <w:rPr>
          <w:rFonts w:cs="Times New Roman"/>
          <w:szCs w:val="24"/>
          <w:lang w:val="fr-CA"/>
        </w:rPr>
        <w:t>’</w:t>
      </w:r>
      <w:r w:rsidRPr="00AB3320">
        <w:rPr>
          <w:rFonts w:cs="Times New Roman"/>
          <w:szCs w:val="24"/>
          <w:lang w:val="fr-CA"/>
        </w:rPr>
        <w:t xml:space="preserve">il avait seulement formulé des </w:t>
      </w:r>
      <w:r w:rsidRPr="00AB3320">
        <w:rPr>
          <w:rFonts w:cs="Times New Roman"/>
          <w:i/>
          <w:szCs w:val="24"/>
          <w:lang w:val="fr-CA"/>
        </w:rPr>
        <w:t>menaces verbales</w:t>
      </w:r>
      <w:r w:rsidRPr="00AB3320">
        <w:rPr>
          <w:rFonts w:cs="Times New Roman"/>
          <w:szCs w:val="24"/>
          <w:lang w:val="fr-CA"/>
        </w:rPr>
        <w:t xml:space="preserve">, une infraction prévue par une autre disposition du </w:t>
      </w:r>
      <w:r w:rsidRPr="00AB3320">
        <w:rPr>
          <w:rFonts w:cs="Times New Roman"/>
          <w:i/>
          <w:szCs w:val="24"/>
          <w:lang w:val="fr-CA"/>
        </w:rPr>
        <w:t>Code</w:t>
      </w:r>
      <w:r w:rsidRPr="00AB3320">
        <w:rPr>
          <w:rFonts w:cs="Times New Roman"/>
          <w:szCs w:val="24"/>
          <w:lang w:val="fr-CA"/>
        </w:rPr>
        <w:t xml:space="preserve">. </w:t>
      </w:r>
    </w:p>
    <w:p w:rsidR="0003214E" w:rsidRPr="00AB3320" w:rsidRDefault="0003214E" w:rsidP="0003214E">
      <w:pPr>
        <w:pStyle w:val="TitleTitre-AltT"/>
        <w:jc w:val="center"/>
        <w:rPr>
          <w:rFonts w:cs="Times New Roman"/>
          <w:szCs w:val="24"/>
          <w:lang w:val="fr-CA"/>
        </w:rPr>
      </w:pPr>
      <w:r w:rsidRPr="00AB3320">
        <w:rPr>
          <w:rFonts w:cs="Times New Roman"/>
          <w:szCs w:val="24"/>
          <w:lang w:val="fr-CA"/>
        </w:rPr>
        <w:t>V</w:t>
      </w:r>
    </w:p>
    <w:p w:rsidR="0003214E" w:rsidRPr="00AB3320" w:rsidRDefault="0003214E" w:rsidP="0003214E">
      <w:pPr>
        <w:pStyle w:val="ParaNoNdepar-AltN"/>
        <w:tabs>
          <w:tab w:val="clear" w:pos="1166"/>
          <w:tab w:val="clear" w:pos="1332"/>
          <w:tab w:val="num" w:pos="1152"/>
        </w:tabs>
        <w:ind w:left="0"/>
        <w:rPr>
          <w:rFonts w:cs="Times New Roman"/>
          <w:szCs w:val="24"/>
          <w:lang w:val="fr-CA"/>
        </w:rPr>
      </w:pPr>
      <w:r w:rsidRPr="00AB3320">
        <w:rPr>
          <w:rFonts w:cs="Times New Roman"/>
          <w:szCs w:val="24"/>
          <w:lang w:val="fr-CA"/>
        </w:rPr>
        <w:t>Pour tous ces motifs, je suis d</w:t>
      </w:r>
      <w:r w:rsidR="00424D24">
        <w:rPr>
          <w:rFonts w:cs="Times New Roman"/>
          <w:szCs w:val="24"/>
          <w:lang w:val="fr-CA"/>
        </w:rPr>
        <w:t>’</w:t>
      </w:r>
      <w:r w:rsidRPr="00AB3320">
        <w:rPr>
          <w:rFonts w:cs="Times New Roman"/>
          <w:szCs w:val="24"/>
          <w:lang w:val="fr-CA"/>
        </w:rPr>
        <w:t>avis d</w:t>
      </w:r>
      <w:r w:rsidR="00424D24">
        <w:rPr>
          <w:rFonts w:cs="Times New Roman"/>
          <w:szCs w:val="24"/>
          <w:lang w:val="fr-CA"/>
        </w:rPr>
        <w:t>’</w:t>
      </w:r>
      <w:r w:rsidRPr="00AB3320">
        <w:rPr>
          <w:rFonts w:cs="Times New Roman"/>
          <w:szCs w:val="24"/>
          <w:lang w:val="fr-CA"/>
        </w:rPr>
        <w:t>accueillir le pourvoi et de rétablir l</w:t>
      </w:r>
      <w:r w:rsidR="00424D24">
        <w:rPr>
          <w:rFonts w:cs="Times New Roman"/>
          <w:szCs w:val="24"/>
          <w:lang w:val="fr-CA"/>
        </w:rPr>
        <w:t>’</w:t>
      </w:r>
      <w:r w:rsidRPr="00AB3320">
        <w:rPr>
          <w:rFonts w:cs="Times New Roman"/>
          <w:szCs w:val="24"/>
          <w:lang w:val="fr-CA"/>
        </w:rPr>
        <w:t>arrêt des procédures ordonné par le juge du procès.</w:t>
      </w:r>
    </w:p>
    <w:p w:rsidR="0033393C" w:rsidRPr="00AB3320" w:rsidRDefault="0033393C" w:rsidP="00A31779">
      <w:pPr>
        <w:pStyle w:val="SCCNormalDoubleSpacing"/>
        <w:spacing w:after="480"/>
      </w:pPr>
      <w:r w:rsidRPr="00AB3320">
        <w:tab/>
      </w:r>
      <w:r w:rsidR="001A7F8F" w:rsidRPr="00AB3320">
        <w:rPr>
          <w:i/>
        </w:rPr>
        <w:t>Pourvoi accueilli et arrêt des procédures rétabli</w:t>
      </w:r>
      <w:r w:rsidR="007179A2" w:rsidRPr="00AB3320">
        <w:rPr>
          <w:i/>
        </w:rPr>
        <w:t>.</w:t>
      </w:r>
    </w:p>
    <w:p w:rsidR="007179A2" w:rsidRPr="00AB3320" w:rsidRDefault="00A31779" w:rsidP="00A31779">
      <w:pPr>
        <w:pStyle w:val="SCCLawFirm"/>
        <w:spacing w:after="480"/>
      </w:pPr>
      <w:r w:rsidRPr="00AB3320">
        <w:tab/>
        <w:t>Procureurs de l</w:t>
      </w:r>
      <w:r w:rsidR="00424D24">
        <w:t>’</w:t>
      </w:r>
      <w:r w:rsidRPr="00AB3320">
        <w:t>appelant</w:t>
      </w:r>
      <w:r w:rsidR="00AB3320">
        <w:t xml:space="preserve"> </w:t>
      </w:r>
      <w:r w:rsidRPr="00AB3320">
        <w:t>:</w:t>
      </w:r>
      <w:r w:rsidR="00AB3320">
        <w:t xml:space="preserve"> </w:t>
      </w:r>
      <w:r w:rsidR="007179A2" w:rsidRPr="00AB3320">
        <w:t>Lord, Poissant &amp; Associés, Brossard.</w:t>
      </w:r>
    </w:p>
    <w:p w:rsidR="007179A2" w:rsidRPr="00AB3320" w:rsidRDefault="00A31779" w:rsidP="00A31779">
      <w:pPr>
        <w:pStyle w:val="SCCLawFirm"/>
        <w:spacing w:after="480"/>
      </w:pPr>
      <w:r w:rsidRPr="00AB3320">
        <w:tab/>
        <w:t>Procureur de l</w:t>
      </w:r>
      <w:r w:rsidR="00424D24">
        <w:t>’</w:t>
      </w:r>
      <w:r w:rsidRPr="00AB3320">
        <w:t>intimée</w:t>
      </w:r>
      <w:r w:rsidR="00AB3320">
        <w:t xml:space="preserve"> </w:t>
      </w:r>
      <w:r w:rsidRPr="00AB3320">
        <w:t>:</w:t>
      </w:r>
      <w:r w:rsidR="00AB3320">
        <w:t xml:space="preserve"> </w:t>
      </w:r>
      <w:r w:rsidR="007179A2" w:rsidRPr="00AB3320">
        <w:t>Directeur des poursuites criminelles et pénales du Québec, Montréal.</w:t>
      </w:r>
    </w:p>
    <w:p w:rsidR="007179A2" w:rsidRPr="00AB3320" w:rsidRDefault="007179A2" w:rsidP="00A31779">
      <w:pPr>
        <w:pStyle w:val="SCCLawFirm"/>
        <w:spacing w:after="480"/>
      </w:pPr>
      <w:r w:rsidRPr="00AB3320">
        <w:lastRenderedPageBreak/>
        <w:tab/>
        <w:t>Procureurs nommés par la Cour en qualité d</w:t>
      </w:r>
      <w:r w:rsidR="00424D24">
        <w:t>’</w:t>
      </w:r>
      <w:proofErr w:type="spellStart"/>
      <w:r w:rsidRPr="00AB3320">
        <w:t>amicus</w:t>
      </w:r>
      <w:proofErr w:type="spellEnd"/>
      <w:r w:rsidRPr="00AB3320">
        <w:t xml:space="preserve"> </w:t>
      </w:r>
      <w:proofErr w:type="spellStart"/>
      <w:r w:rsidRPr="00AB3320">
        <w:t>curiae</w:t>
      </w:r>
      <w:proofErr w:type="spellEnd"/>
      <w:r w:rsidR="00AB3320">
        <w:t xml:space="preserve"> </w:t>
      </w:r>
      <w:r w:rsidR="00A31779" w:rsidRPr="00AB3320">
        <w:t>:</w:t>
      </w:r>
      <w:r w:rsidR="00AB3320">
        <w:t xml:space="preserve"> </w:t>
      </w:r>
      <w:proofErr w:type="spellStart"/>
      <w:r w:rsidRPr="00AB3320">
        <w:t>Shadley</w:t>
      </w:r>
      <w:proofErr w:type="spellEnd"/>
      <w:r w:rsidRPr="00AB3320">
        <w:t xml:space="preserve"> </w:t>
      </w:r>
      <w:proofErr w:type="spellStart"/>
      <w:r w:rsidRPr="00AB3320">
        <w:t>Battista</w:t>
      </w:r>
      <w:proofErr w:type="spellEnd"/>
      <w:r w:rsidRPr="00AB3320">
        <w:t>, Montréal.</w:t>
      </w:r>
    </w:p>
    <w:p w:rsidR="0043088E" w:rsidRPr="00AB3320" w:rsidRDefault="00A31779" w:rsidP="0003214E">
      <w:pPr>
        <w:pStyle w:val="SCCLawFirm"/>
      </w:pPr>
      <w:r w:rsidRPr="00AB3320">
        <w:tab/>
        <w:t>Procureur de l</w:t>
      </w:r>
      <w:r w:rsidR="00424D24">
        <w:t>’</w:t>
      </w:r>
      <w:r w:rsidRPr="00AB3320">
        <w:t>intervenant</w:t>
      </w:r>
      <w:r w:rsidR="00AB3320">
        <w:t xml:space="preserve"> </w:t>
      </w:r>
      <w:r w:rsidRPr="00AB3320">
        <w:t>:</w:t>
      </w:r>
      <w:r w:rsidR="00AB3320">
        <w:t xml:space="preserve"> </w:t>
      </w:r>
      <w:r w:rsidR="007179A2" w:rsidRPr="00AB3320">
        <w:t>Procureur général de l</w:t>
      </w:r>
      <w:r w:rsidR="00424D24">
        <w:t>’</w:t>
      </w:r>
      <w:r w:rsidR="007179A2" w:rsidRPr="00AB3320">
        <w:t>Ontario, Toronto.</w:t>
      </w:r>
    </w:p>
    <w:sectPr w:rsidR="0043088E" w:rsidRPr="00AB3320" w:rsidSect="009E67F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F1" w:rsidRDefault="00E613F1">
      <w:r>
        <w:separator/>
      </w:r>
    </w:p>
  </w:endnote>
  <w:endnote w:type="continuationSeparator" w:id="0">
    <w:p w:rsidR="00E613F1" w:rsidRDefault="00E6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F1" w:rsidRDefault="00E613F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F1" w:rsidRDefault="00E613F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F1" w:rsidRDefault="00E613F1">
      <w:r>
        <w:separator/>
      </w:r>
    </w:p>
  </w:footnote>
  <w:footnote w:type="continuationSeparator" w:id="0">
    <w:p w:rsidR="00E613F1" w:rsidRDefault="00E613F1">
      <w:r>
        <w:continuationSeparator/>
      </w:r>
    </w:p>
  </w:footnote>
  <w:footnote w:id="1">
    <w:p w:rsidR="00E613F1" w:rsidRPr="00421A60" w:rsidRDefault="00E613F1" w:rsidP="0003214E">
      <w:pPr>
        <w:pStyle w:val="FootnoteText"/>
        <w:jc w:val="both"/>
        <w:rPr>
          <w:rFonts w:cs="Times New Roman"/>
          <w:lang w:val="fr-CA"/>
        </w:rPr>
      </w:pPr>
      <w:r w:rsidRPr="00421A60">
        <w:rPr>
          <w:rStyle w:val="FootnoteReference"/>
          <w:rFonts w:cs="Times New Roman"/>
        </w:rPr>
        <w:footnoteRef/>
      </w:r>
      <w:r w:rsidRPr="00421A60">
        <w:rPr>
          <w:rFonts w:cs="Times New Roman"/>
          <w:lang w:val="fr-CA"/>
        </w:rPr>
        <w:t xml:space="preserve"> </w:t>
      </w:r>
      <w:r>
        <w:rPr>
          <w:rFonts w:cs="Times New Roman"/>
          <w:lang w:val="fr-CA"/>
        </w:rPr>
        <w:t>Accusation de</w:t>
      </w:r>
      <w:r w:rsidRPr="00421A60">
        <w:rPr>
          <w:rFonts w:cs="Times New Roman"/>
          <w:lang w:val="fr-CA"/>
        </w:rPr>
        <w:t xml:space="preserve"> possession en vue du trafic. La police </w:t>
      </w:r>
      <w:r>
        <w:rPr>
          <w:rFonts w:cs="Times New Roman"/>
          <w:lang w:val="fr-CA"/>
        </w:rPr>
        <w:t>avait infligé</w:t>
      </w:r>
      <w:r w:rsidRPr="00421A60">
        <w:rPr>
          <w:rFonts w:cs="Times New Roman"/>
          <w:lang w:val="fr-CA"/>
        </w:rPr>
        <w:t xml:space="preserve"> une décharge de pistolet paralysant à un accusé menotté, </w:t>
      </w:r>
      <w:r>
        <w:rPr>
          <w:rFonts w:cs="Times New Roman"/>
          <w:lang w:val="fr-CA"/>
        </w:rPr>
        <w:t>totalement entravé et coopératif</w:t>
      </w:r>
      <w:r w:rsidRPr="00421A60">
        <w:rPr>
          <w:rFonts w:cs="Times New Roman"/>
          <w:lang w:val="fr-CA"/>
        </w:rPr>
        <w:t>.</w:t>
      </w:r>
    </w:p>
  </w:footnote>
  <w:footnote w:id="2">
    <w:p w:rsidR="00E613F1" w:rsidRPr="00421A60" w:rsidRDefault="00E613F1" w:rsidP="0003214E">
      <w:pPr>
        <w:pStyle w:val="FootnoteText"/>
        <w:jc w:val="both"/>
        <w:rPr>
          <w:rFonts w:cs="Times New Roman"/>
          <w:lang w:val="fr-CA"/>
        </w:rPr>
      </w:pPr>
      <w:r w:rsidRPr="00421A60">
        <w:rPr>
          <w:rStyle w:val="FootnoteReference"/>
          <w:rFonts w:cs="Times New Roman"/>
        </w:rPr>
        <w:footnoteRef/>
      </w:r>
      <w:r w:rsidRPr="00421A60">
        <w:rPr>
          <w:rFonts w:cs="Times New Roman"/>
          <w:lang w:val="fr-CA"/>
        </w:rPr>
        <w:t xml:space="preserve"> A</w:t>
      </w:r>
      <w:r>
        <w:rPr>
          <w:rFonts w:cs="Times New Roman"/>
          <w:lang w:val="fr-CA"/>
        </w:rPr>
        <w:t>ccusation de conduite sans permis de conduire</w:t>
      </w:r>
      <w:r w:rsidRPr="00421A60">
        <w:rPr>
          <w:rFonts w:cs="Times New Roman"/>
          <w:lang w:val="fr-CA"/>
        </w:rPr>
        <w:t>. L</w:t>
      </w:r>
      <w:r>
        <w:rPr>
          <w:rFonts w:cs="Times New Roman"/>
          <w:lang w:val="fr-CA"/>
        </w:rPr>
        <w:t xml:space="preserve">es </w:t>
      </w:r>
      <w:r w:rsidRPr="00421A60">
        <w:rPr>
          <w:rFonts w:cs="Times New Roman"/>
          <w:lang w:val="fr-CA"/>
        </w:rPr>
        <w:t>polic</w:t>
      </w:r>
      <w:r>
        <w:rPr>
          <w:rFonts w:cs="Times New Roman"/>
          <w:lang w:val="fr-CA"/>
        </w:rPr>
        <w:t>i</w:t>
      </w:r>
      <w:r w:rsidRPr="00421A60">
        <w:rPr>
          <w:rFonts w:cs="Times New Roman"/>
          <w:lang w:val="fr-CA"/>
        </w:rPr>
        <w:t>e</w:t>
      </w:r>
      <w:r>
        <w:rPr>
          <w:rFonts w:cs="Times New Roman"/>
          <w:lang w:val="fr-CA"/>
        </w:rPr>
        <w:t>rs</w:t>
      </w:r>
      <w:r w:rsidRPr="00421A60">
        <w:rPr>
          <w:rFonts w:cs="Times New Roman"/>
          <w:lang w:val="fr-CA"/>
        </w:rPr>
        <w:t xml:space="preserve"> a</w:t>
      </w:r>
      <w:r>
        <w:rPr>
          <w:rFonts w:cs="Times New Roman"/>
          <w:lang w:val="fr-CA"/>
        </w:rPr>
        <w:t>vaient</w:t>
      </w:r>
      <w:r w:rsidRPr="00421A60">
        <w:rPr>
          <w:rFonts w:cs="Times New Roman"/>
          <w:lang w:val="fr-CA"/>
        </w:rPr>
        <w:t xml:space="preserve"> eu recours à une force excessive pour arrêter l</w:t>
      </w:r>
      <w:r>
        <w:rPr>
          <w:rFonts w:cs="Times New Roman"/>
          <w:lang w:val="fr-CA"/>
        </w:rPr>
        <w:t>’</w:t>
      </w:r>
      <w:r w:rsidRPr="00421A60">
        <w:rPr>
          <w:rFonts w:cs="Times New Roman"/>
          <w:lang w:val="fr-CA"/>
        </w:rPr>
        <w:t xml:space="preserve">accusé, </w:t>
      </w:r>
      <w:r>
        <w:rPr>
          <w:rFonts w:cs="Times New Roman"/>
          <w:lang w:val="fr-CA"/>
        </w:rPr>
        <w:t>ils</w:t>
      </w:r>
      <w:r w:rsidRPr="00421A60">
        <w:rPr>
          <w:rFonts w:cs="Times New Roman"/>
          <w:lang w:val="fr-CA"/>
        </w:rPr>
        <w:t xml:space="preserve"> lui a</w:t>
      </w:r>
      <w:r>
        <w:rPr>
          <w:rFonts w:cs="Times New Roman"/>
          <w:lang w:val="fr-CA"/>
        </w:rPr>
        <w:t>vaient</w:t>
      </w:r>
      <w:r w:rsidRPr="00421A60">
        <w:rPr>
          <w:rFonts w:cs="Times New Roman"/>
          <w:lang w:val="fr-CA"/>
        </w:rPr>
        <w:t xml:space="preserve"> frappé la tête à plusieurs reprises contre </w:t>
      </w:r>
      <w:r>
        <w:rPr>
          <w:rFonts w:cs="Times New Roman"/>
          <w:lang w:val="fr-CA"/>
        </w:rPr>
        <w:t>son</w:t>
      </w:r>
      <w:r w:rsidRPr="00421A60">
        <w:rPr>
          <w:rFonts w:cs="Times New Roman"/>
          <w:lang w:val="fr-CA"/>
        </w:rPr>
        <w:t xml:space="preserve"> véhicule,</w:t>
      </w:r>
      <w:r>
        <w:rPr>
          <w:rFonts w:cs="Times New Roman"/>
          <w:lang w:val="fr-CA"/>
        </w:rPr>
        <w:t xml:space="preserve"> </w:t>
      </w:r>
      <w:r w:rsidRPr="00421A60">
        <w:rPr>
          <w:rFonts w:cs="Times New Roman"/>
          <w:lang w:val="fr-CA"/>
        </w:rPr>
        <w:t xml:space="preserve">lui </w:t>
      </w:r>
      <w:r>
        <w:rPr>
          <w:rFonts w:cs="Times New Roman"/>
          <w:lang w:val="fr-CA"/>
        </w:rPr>
        <w:t>causant alors</w:t>
      </w:r>
      <w:r w:rsidRPr="00421A60">
        <w:rPr>
          <w:rFonts w:cs="Times New Roman"/>
          <w:lang w:val="fr-CA"/>
        </w:rPr>
        <w:t xml:space="preserve"> des blessures nécessitant une intervention chirurgicale</w:t>
      </w:r>
      <w:r>
        <w:rPr>
          <w:rFonts w:cs="Times New Roman"/>
          <w:lang w:val="fr-CA"/>
        </w:rPr>
        <w:t xml:space="preserve"> et un préjudice permanent</w:t>
      </w:r>
      <w:r w:rsidRPr="00421A60">
        <w:rPr>
          <w:rFonts w:cs="Times New Roman"/>
          <w:lang w:val="fr-CA"/>
        </w:rPr>
        <w:t>.</w:t>
      </w:r>
      <w:r>
        <w:rPr>
          <w:rFonts w:cs="Times New Roman"/>
          <w:lang w:val="fr-CA"/>
        </w:rPr>
        <w:t xml:space="preserve"> </w:t>
      </w:r>
    </w:p>
  </w:footnote>
  <w:footnote w:id="3">
    <w:p w:rsidR="00E613F1" w:rsidRPr="00421A60" w:rsidRDefault="00E613F1" w:rsidP="0003214E">
      <w:pPr>
        <w:pStyle w:val="FootnoteText"/>
        <w:jc w:val="both"/>
        <w:rPr>
          <w:rFonts w:cs="Times New Roman"/>
          <w:lang w:val="fr-CA"/>
        </w:rPr>
      </w:pPr>
      <w:r w:rsidRPr="00421A60">
        <w:rPr>
          <w:rStyle w:val="FootnoteReference"/>
          <w:rFonts w:cs="Times New Roman"/>
        </w:rPr>
        <w:footnoteRef/>
      </w:r>
      <w:r w:rsidRPr="00421A60">
        <w:rPr>
          <w:rFonts w:cs="Times New Roman"/>
          <w:lang w:val="fr-CA"/>
        </w:rPr>
        <w:t xml:space="preserve"> A</w:t>
      </w:r>
      <w:r>
        <w:rPr>
          <w:rFonts w:cs="Times New Roman"/>
          <w:lang w:val="fr-CA"/>
        </w:rPr>
        <w:t>ccusation de</w:t>
      </w:r>
      <w:r w:rsidRPr="00421A60">
        <w:rPr>
          <w:rFonts w:cs="Times New Roman"/>
          <w:lang w:val="fr-CA"/>
        </w:rPr>
        <w:t xml:space="preserve"> voies de fait sur un </w:t>
      </w:r>
      <w:r>
        <w:rPr>
          <w:rFonts w:cs="Times New Roman"/>
          <w:lang w:val="fr-CA"/>
        </w:rPr>
        <w:t>policier</w:t>
      </w:r>
      <w:r w:rsidRPr="00421A60">
        <w:rPr>
          <w:rFonts w:cs="Times New Roman"/>
          <w:lang w:val="fr-CA"/>
        </w:rPr>
        <w:t xml:space="preserve"> et </w:t>
      </w:r>
      <w:r>
        <w:rPr>
          <w:rFonts w:cs="Times New Roman"/>
          <w:lang w:val="fr-CA"/>
        </w:rPr>
        <w:t>de résistance</w:t>
      </w:r>
      <w:r w:rsidRPr="00421A60">
        <w:rPr>
          <w:rFonts w:cs="Times New Roman"/>
          <w:lang w:val="fr-CA"/>
        </w:rPr>
        <w:t xml:space="preserve"> à </w:t>
      </w:r>
      <w:r>
        <w:rPr>
          <w:rFonts w:cs="Times New Roman"/>
          <w:lang w:val="fr-CA"/>
        </w:rPr>
        <w:t>l’</w:t>
      </w:r>
      <w:r w:rsidRPr="00421A60">
        <w:rPr>
          <w:rFonts w:cs="Times New Roman"/>
          <w:lang w:val="fr-CA"/>
        </w:rPr>
        <w:t>arrestation.</w:t>
      </w:r>
      <w:r>
        <w:rPr>
          <w:rFonts w:cs="Times New Roman"/>
          <w:lang w:val="fr-CA"/>
        </w:rPr>
        <w:t xml:space="preserve"> </w:t>
      </w:r>
      <w:r w:rsidRPr="00421A60">
        <w:rPr>
          <w:rFonts w:cs="Times New Roman"/>
          <w:lang w:val="fr-CA"/>
        </w:rPr>
        <w:t xml:space="preserve">Cinq </w:t>
      </w:r>
      <w:r>
        <w:rPr>
          <w:rFonts w:cs="Times New Roman"/>
          <w:lang w:val="fr-CA"/>
        </w:rPr>
        <w:t>policiers</w:t>
      </w:r>
      <w:r w:rsidRPr="00421A60">
        <w:rPr>
          <w:rFonts w:cs="Times New Roman"/>
          <w:lang w:val="fr-CA"/>
        </w:rPr>
        <w:t xml:space="preserve"> </w:t>
      </w:r>
      <w:r>
        <w:rPr>
          <w:rFonts w:cs="Times New Roman"/>
          <w:lang w:val="fr-CA"/>
        </w:rPr>
        <w:t>avaient</w:t>
      </w:r>
      <w:r w:rsidRPr="00421A60">
        <w:rPr>
          <w:rFonts w:cs="Times New Roman"/>
          <w:lang w:val="fr-CA"/>
        </w:rPr>
        <w:t xml:space="preserve"> aspergé </w:t>
      </w:r>
      <w:r>
        <w:rPr>
          <w:rFonts w:cs="Times New Roman"/>
          <w:lang w:val="fr-CA"/>
        </w:rPr>
        <w:t>l’accusé de gaz poivre</w:t>
      </w:r>
      <w:r w:rsidRPr="00421A60">
        <w:rPr>
          <w:rFonts w:cs="Times New Roman"/>
          <w:lang w:val="fr-CA"/>
        </w:rPr>
        <w:t xml:space="preserve"> </w:t>
      </w:r>
      <w:r>
        <w:rPr>
          <w:rFonts w:cs="Times New Roman"/>
          <w:lang w:val="fr-CA"/>
        </w:rPr>
        <w:t>et lui avaient asséné des coups de genou à plusieurs reprises</w:t>
      </w:r>
      <w:r w:rsidRPr="00421A60">
        <w:rPr>
          <w:rFonts w:cs="Times New Roman"/>
          <w:lang w:val="fr-CA"/>
        </w:rPr>
        <w:t xml:space="preserve">; </w:t>
      </w:r>
      <w:r>
        <w:rPr>
          <w:rFonts w:cs="Times New Roman"/>
          <w:lang w:val="fr-CA"/>
        </w:rPr>
        <w:t>la tête de l’accusé avait heurté le ciment et sa mâchoire avait été fracturée</w:t>
      </w:r>
      <w:r w:rsidRPr="00421A60">
        <w:rPr>
          <w:rFonts w:cs="Times New Roman"/>
          <w:lang w:val="fr-CA"/>
        </w:rPr>
        <w:t xml:space="preserve">. </w:t>
      </w:r>
      <w:r>
        <w:rPr>
          <w:rFonts w:cs="Times New Roman"/>
          <w:lang w:val="fr-CA"/>
        </w:rPr>
        <w:t>Le juge du procès soupçonnait également les policiers d’avoir menti lors de leurs témoignages</w:t>
      </w:r>
      <w:r w:rsidRPr="00421A60">
        <w:rPr>
          <w:rFonts w:cs="Times New Roman"/>
          <w:lang w:val="fr-CA"/>
        </w:rPr>
        <w:t>.</w:t>
      </w:r>
    </w:p>
  </w:footnote>
  <w:footnote w:id="4">
    <w:p w:rsidR="00E613F1" w:rsidRPr="00421A60" w:rsidRDefault="00E613F1" w:rsidP="0003214E">
      <w:pPr>
        <w:pStyle w:val="FootnoteText"/>
        <w:jc w:val="both"/>
        <w:rPr>
          <w:rFonts w:cs="Times New Roman"/>
          <w:lang w:val="fr-CA"/>
        </w:rPr>
      </w:pPr>
      <w:r w:rsidRPr="00421A60">
        <w:rPr>
          <w:rStyle w:val="FootnoteReference"/>
          <w:rFonts w:cs="Times New Roman"/>
        </w:rPr>
        <w:footnoteRef/>
      </w:r>
      <w:r w:rsidRPr="00421A60">
        <w:rPr>
          <w:rFonts w:cs="Times New Roman"/>
          <w:lang w:val="fr-CA"/>
        </w:rPr>
        <w:t xml:space="preserve"> </w:t>
      </w:r>
      <w:r>
        <w:rPr>
          <w:rFonts w:cs="Times New Roman"/>
          <w:lang w:val="fr-CA"/>
        </w:rPr>
        <w:t xml:space="preserve">Accusations de conduite en état d’ébriété et de conduite dangereuse. Même s’ils avaient été provoqués par le comportement agité, les propos grossiers et </w:t>
      </w:r>
      <w:proofErr w:type="gramStart"/>
      <w:r>
        <w:rPr>
          <w:rFonts w:cs="Times New Roman"/>
          <w:lang w:val="fr-CA"/>
        </w:rPr>
        <w:t>l’[</w:t>
      </w:r>
      <w:proofErr w:type="gramEnd"/>
      <w:r w:rsidRPr="00E0127B">
        <w:rPr>
          <w:rFonts w:cs="Times New Roman"/>
          <w:smallCaps/>
          <w:lang w:val="fr-CA"/>
        </w:rPr>
        <w:t>traduction</w:t>
      </w:r>
      <w:r>
        <w:rPr>
          <w:rFonts w:cs="Times New Roman"/>
          <w:lang w:val="fr-CA"/>
        </w:rPr>
        <w:t>] « attitude de résistance » de l’accusé (par. 38)</w:t>
      </w:r>
      <w:r w:rsidRPr="00421A60">
        <w:rPr>
          <w:rFonts w:cs="Times New Roman"/>
          <w:lang w:val="fr-CA"/>
        </w:rPr>
        <w:t xml:space="preserve">, </w:t>
      </w:r>
      <w:r>
        <w:rPr>
          <w:rFonts w:cs="Times New Roman"/>
          <w:lang w:val="fr-CA"/>
        </w:rPr>
        <w:t xml:space="preserve">les </w:t>
      </w:r>
      <w:r w:rsidRPr="00421A60">
        <w:rPr>
          <w:rFonts w:cs="Times New Roman"/>
          <w:lang w:val="fr-CA"/>
        </w:rPr>
        <w:t>polic</w:t>
      </w:r>
      <w:r>
        <w:rPr>
          <w:rFonts w:cs="Times New Roman"/>
          <w:lang w:val="fr-CA"/>
        </w:rPr>
        <w:t xml:space="preserve">iers avaient eu recours à une force </w:t>
      </w:r>
      <w:r w:rsidRPr="00421A60">
        <w:rPr>
          <w:rFonts w:cs="Times New Roman"/>
          <w:lang w:val="fr-CA"/>
        </w:rPr>
        <w:t xml:space="preserve">excessive </w:t>
      </w:r>
      <w:r>
        <w:rPr>
          <w:rFonts w:cs="Times New Roman"/>
          <w:lang w:val="fr-CA"/>
        </w:rPr>
        <w:t>en frappant l’accusé alors qu’il était menotté et ne présentait aucun danger</w:t>
      </w:r>
      <w:r w:rsidRPr="00421A60">
        <w:rPr>
          <w:rFonts w:cs="Times New Roman"/>
          <w:lang w:val="fr-CA"/>
        </w:rPr>
        <w:t>.</w:t>
      </w:r>
    </w:p>
  </w:footnote>
  <w:footnote w:id="5">
    <w:p w:rsidR="00E613F1" w:rsidRPr="00421A60" w:rsidRDefault="00E613F1" w:rsidP="0003214E">
      <w:pPr>
        <w:pStyle w:val="FootnoteText"/>
        <w:jc w:val="both"/>
        <w:rPr>
          <w:rFonts w:cs="Times New Roman"/>
          <w:lang w:val="fr-CA"/>
        </w:rPr>
      </w:pPr>
      <w:r w:rsidRPr="00421A60">
        <w:rPr>
          <w:rStyle w:val="FootnoteReference"/>
          <w:rFonts w:cs="Times New Roman"/>
        </w:rPr>
        <w:footnoteRef/>
      </w:r>
      <w:r w:rsidRPr="00421A60">
        <w:rPr>
          <w:rFonts w:cs="Times New Roman"/>
          <w:lang w:val="fr-CA"/>
        </w:rPr>
        <w:t xml:space="preserve"> </w:t>
      </w:r>
      <w:r>
        <w:rPr>
          <w:rFonts w:cs="Times New Roman"/>
          <w:lang w:val="fr-CA"/>
        </w:rPr>
        <w:t xml:space="preserve">Accusations d’introduction par effraction et de </w:t>
      </w:r>
      <w:r w:rsidRPr="00421A60">
        <w:rPr>
          <w:rFonts w:cs="Times New Roman"/>
          <w:lang w:val="fr-CA"/>
        </w:rPr>
        <w:t xml:space="preserve">possession </w:t>
      </w:r>
      <w:r>
        <w:rPr>
          <w:rFonts w:cs="Times New Roman"/>
          <w:lang w:val="fr-CA"/>
        </w:rPr>
        <w:t>d’armes dissimulées et de matériel de cambriolage</w:t>
      </w:r>
      <w:r w:rsidRPr="00421A60">
        <w:rPr>
          <w:rFonts w:cs="Times New Roman"/>
          <w:lang w:val="fr-CA"/>
        </w:rPr>
        <w:t xml:space="preserve">. </w:t>
      </w:r>
      <w:r>
        <w:rPr>
          <w:rFonts w:cs="Times New Roman"/>
          <w:lang w:val="fr-CA"/>
        </w:rPr>
        <w:t>La p</w:t>
      </w:r>
      <w:r w:rsidRPr="00421A60">
        <w:rPr>
          <w:rFonts w:cs="Times New Roman"/>
          <w:lang w:val="fr-CA"/>
        </w:rPr>
        <w:t xml:space="preserve">olice </w:t>
      </w:r>
      <w:r>
        <w:rPr>
          <w:rFonts w:cs="Times New Roman"/>
          <w:lang w:val="fr-CA"/>
        </w:rPr>
        <w:t xml:space="preserve">avait eu recours à une force </w:t>
      </w:r>
      <w:r w:rsidRPr="00421A60">
        <w:rPr>
          <w:rFonts w:cs="Times New Roman"/>
          <w:lang w:val="fr-CA"/>
        </w:rPr>
        <w:t xml:space="preserve">excessive </w:t>
      </w:r>
      <w:r>
        <w:rPr>
          <w:rFonts w:cs="Times New Roman"/>
          <w:lang w:val="fr-CA"/>
        </w:rPr>
        <w:t xml:space="preserve">en infligeant une </w:t>
      </w:r>
      <w:r w:rsidRPr="00421A60">
        <w:rPr>
          <w:rFonts w:cs="Times New Roman"/>
          <w:lang w:val="fr-CA"/>
        </w:rPr>
        <w:t>décharge de pistolet paralysant</w:t>
      </w:r>
      <w:r>
        <w:rPr>
          <w:rFonts w:cs="Times New Roman"/>
          <w:lang w:val="fr-CA"/>
        </w:rPr>
        <w:t xml:space="preserve"> à l’accusé</w:t>
      </w:r>
      <w:r w:rsidRPr="00421A60">
        <w:rPr>
          <w:rFonts w:cs="Times New Roman"/>
          <w:lang w:val="fr-CA"/>
        </w:rPr>
        <w:t xml:space="preserve">, </w:t>
      </w:r>
      <w:r>
        <w:rPr>
          <w:rFonts w:cs="Times New Roman"/>
          <w:lang w:val="fr-CA"/>
        </w:rPr>
        <w:t xml:space="preserve">âgé de </w:t>
      </w:r>
      <w:r w:rsidRPr="00421A60">
        <w:rPr>
          <w:rFonts w:cs="Times New Roman"/>
          <w:lang w:val="fr-CA"/>
        </w:rPr>
        <w:t xml:space="preserve">15 </w:t>
      </w:r>
      <w:r>
        <w:rPr>
          <w:rFonts w:cs="Times New Roman"/>
          <w:lang w:val="fr-CA"/>
        </w:rPr>
        <w:t>ans</w:t>
      </w:r>
      <w:r w:rsidRPr="00421A60">
        <w:rPr>
          <w:rFonts w:cs="Times New Roman"/>
          <w:lang w:val="fr-CA"/>
        </w:rPr>
        <w:t xml:space="preserve">, </w:t>
      </w:r>
      <w:r>
        <w:rPr>
          <w:rFonts w:cs="Times New Roman"/>
          <w:lang w:val="fr-CA"/>
        </w:rPr>
        <w:t>au cours d’une fouille à nu effectuée au poste de police</w:t>
      </w:r>
      <w:r w:rsidRPr="00421A60">
        <w:rPr>
          <w:rFonts w:cs="Times New Roman"/>
          <w:lang w:val="fr-CA"/>
        </w:rPr>
        <w:t>.</w:t>
      </w:r>
    </w:p>
  </w:footnote>
  <w:footnote w:id="6">
    <w:p w:rsidR="00E613F1" w:rsidRPr="00421A60" w:rsidRDefault="00E613F1" w:rsidP="0003214E">
      <w:pPr>
        <w:pStyle w:val="FootnoteText"/>
        <w:jc w:val="both"/>
        <w:rPr>
          <w:rFonts w:cs="Times New Roman"/>
          <w:lang w:val="fr-CA"/>
        </w:rPr>
      </w:pPr>
      <w:r w:rsidRPr="00421A60">
        <w:rPr>
          <w:rStyle w:val="FootnoteReference"/>
          <w:rFonts w:cs="Times New Roman"/>
        </w:rPr>
        <w:footnoteRef/>
      </w:r>
      <w:r w:rsidRPr="00421A60">
        <w:rPr>
          <w:rFonts w:cs="Times New Roman"/>
          <w:lang w:val="fr-CA"/>
        </w:rPr>
        <w:t xml:space="preserve"> </w:t>
      </w:r>
      <w:r>
        <w:rPr>
          <w:rFonts w:cs="Times New Roman"/>
          <w:lang w:val="fr-CA"/>
        </w:rPr>
        <w:t xml:space="preserve">Accusation d’inobservation d’une </w:t>
      </w:r>
      <w:r w:rsidRPr="00421A60">
        <w:rPr>
          <w:rFonts w:cs="Times New Roman"/>
          <w:lang w:val="fr-CA"/>
        </w:rPr>
        <w:t xml:space="preserve">condition </w:t>
      </w:r>
      <w:r>
        <w:rPr>
          <w:rFonts w:cs="Times New Roman"/>
          <w:lang w:val="fr-CA"/>
        </w:rPr>
        <w:t>de mise en liberté</w:t>
      </w:r>
      <w:r w:rsidRPr="00421A60">
        <w:rPr>
          <w:rFonts w:cs="Times New Roman"/>
          <w:lang w:val="fr-CA"/>
        </w:rPr>
        <w:t xml:space="preserve"> (</w:t>
      </w:r>
      <w:r>
        <w:rPr>
          <w:rFonts w:cs="Times New Roman"/>
          <w:lang w:val="fr-CA"/>
        </w:rPr>
        <w:t>abstention de consommer des boissons alcoolisées</w:t>
      </w:r>
      <w:r w:rsidRPr="00421A60">
        <w:rPr>
          <w:rFonts w:cs="Times New Roman"/>
          <w:lang w:val="fr-CA"/>
        </w:rPr>
        <w:t xml:space="preserve">). </w:t>
      </w:r>
      <w:r>
        <w:rPr>
          <w:rFonts w:cs="Times New Roman"/>
          <w:lang w:val="fr-CA"/>
        </w:rPr>
        <w:t xml:space="preserve">Les </w:t>
      </w:r>
      <w:r w:rsidRPr="00421A60">
        <w:rPr>
          <w:rFonts w:cs="Times New Roman"/>
          <w:lang w:val="fr-CA"/>
        </w:rPr>
        <w:t>polic</w:t>
      </w:r>
      <w:r>
        <w:rPr>
          <w:rFonts w:cs="Times New Roman"/>
          <w:lang w:val="fr-CA"/>
        </w:rPr>
        <w:t>iers</w:t>
      </w:r>
      <w:r w:rsidRPr="00421A60">
        <w:rPr>
          <w:rFonts w:cs="Times New Roman"/>
          <w:lang w:val="fr-CA"/>
        </w:rPr>
        <w:t xml:space="preserve"> </w:t>
      </w:r>
      <w:r>
        <w:rPr>
          <w:rFonts w:cs="Times New Roman"/>
          <w:lang w:val="fr-CA"/>
        </w:rPr>
        <w:t xml:space="preserve">avaient effectué une fouille à nu injustifiée et eu recours à un pistolet paralysant même si la </w:t>
      </w:r>
      <w:r w:rsidRPr="00421A60">
        <w:rPr>
          <w:rFonts w:cs="Times New Roman"/>
          <w:lang w:val="fr-CA"/>
        </w:rPr>
        <w:t xml:space="preserve">situation </w:t>
      </w:r>
      <w:r>
        <w:rPr>
          <w:rFonts w:cs="Times New Roman"/>
          <w:lang w:val="fr-CA"/>
        </w:rPr>
        <w:t>était maîtrisée, ce qui avait infligé à l’accusé des ecchymoses</w:t>
      </w:r>
      <w:r w:rsidRPr="00421A60">
        <w:rPr>
          <w:rFonts w:cs="Times New Roman"/>
          <w:lang w:val="fr-CA"/>
        </w:rPr>
        <w:t xml:space="preserve">, </w:t>
      </w:r>
      <w:r>
        <w:rPr>
          <w:rFonts w:cs="Times New Roman"/>
          <w:lang w:val="fr-CA"/>
        </w:rPr>
        <w:t>des écorchures, des marques de brûlure et des contusions au visage, et lui avait fait perdre une dent</w:t>
      </w:r>
      <w:r w:rsidRPr="00421A60">
        <w:rPr>
          <w:rFonts w:cs="Times New Roman"/>
          <w:lang w:val="fr-CA"/>
        </w:rPr>
        <w:t>.</w:t>
      </w:r>
    </w:p>
  </w:footnote>
  <w:footnote w:id="7">
    <w:p w:rsidR="00E613F1" w:rsidRPr="00421A60" w:rsidRDefault="00E613F1" w:rsidP="0003214E">
      <w:pPr>
        <w:pStyle w:val="FootnoteText"/>
        <w:jc w:val="both"/>
        <w:rPr>
          <w:lang w:val="fr-CA"/>
        </w:rPr>
      </w:pPr>
      <w:r w:rsidRPr="00421A60">
        <w:rPr>
          <w:rStyle w:val="FootnoteReference"/>
          <w:rFonts w:cs="Times New Roman"/>
        </w:rPr>
        <w:footnoteRef/>
      </w:r>
      <w:r w:rsidRPr="00421A60">
        <w:rPr>
          <w:rFonts w:cs="Times New Roman"/>
          <w:lang w:val="fr-CA"/>
        </w:rPr>
        <w:t xml:space="preserve"> </w:t>
      </w:r>
      <w:r>
        <w:rPr>
          <w:rFonts w:cs="Times New Roman"/>
          <w:lang w:val="fr-CA"/>
        </w:rPr>
        <w:t>Accusation de voies de fait contre un agent de la paix</w:t>
      </w:r>
      <w:r w:rsidRPr="00421A60">
        <w:rPr>
          <w:rFonts w:cs="Times New Roman"/>
          <w:lang w:val="fr-CA"/>
        </w:rPr>
        <w:t xml:space="preserve">. </w:t>
      </w:r>
      <w:r>
        <w:rPr>
          <w:rFonts w:cs="Times New Roman"/>
          <w:lang w:val="fr-CA"/>
        </w:rPr>
        <w:t>Même si l’accusé avait eu un comportement violent</w:t>
      </w:r>
      <w:r w:rsidRPr="00421A60">
        <w:rPr>
          <w:rFonts w:cs="Times New Roman"/>
          <w:lang w:val="fr-CA"/>
        </w:rPr>
        <w:t xml:space="preserve">, </w:t>
      </w:r>
      <w:r>
        <w:rPr>
          <w:rFonts w:cs="Times New Roman"/>
          <w:lang w:val="fr-CA"/>
        </w:rPr>
        <w:t xml:space="preserve">les </w:t>
      </w:r>
      <w:r w:rsidRPr="00421A60">
        <w:rPr>
          <w:rFonts w:cs="Times New Roman"/>
          <w:lang w:val="fr-CA"/>
        </w:rPr>
        <w:t>polic</w:t>
      </w:r>
      <w:r>
        <w:rPr>
          <w:rFonts w:cs="Times New Roman"/>
          <w:lang w:val="fr-CA"/>
        </w:rPr>
        <w:t>iers</w:t>
      </w:r>
      <w:r w:rsidRPr="00421A60">
        <w:rPr>
          <w:rFonts w:cs="Times New Roman"/>
          <w:lang w:val="fr-CA"/>
        </w:rPr>
        <w:t xml:space="preserve"> </w:t>
      </w:r>
      <w:r>
        <w:rPr>
          <w:rFonts w:cs="Times New Roman"/>
          <w:lang w:val="fr-CA"/>
        </w:rPr>
        <w:t xml:space="preserve">avaient eu recours à une force </w:t>
      </w:r>
      <w:r w:rsidRPr="00421A60">
        <w:rPr>
          <w:rFonts w:cs="Times New Roman"/>
          <w:lang w:val="fr-CA"/>
        </w:rPr>
        <w:t xml:space="preserve">excessive </w:t>
      </w:r>
      <w:r>
        <w:rPr>
          <w:rFonts w:cs="Times New Roman"/>
          <w:lang w:val="fr-CA"/>
        </w:rPr>
        <w:t>en l’aspergeant de gaz poivre tandis qu’il était menotté et allongé face contre terre, le pied d’un policier appuyé contre sa tête</w:t>
      </w:r>
      <w:r w:rsidRPr="00421A60">
        <w:rPr>
          <w:rFonts w:cs="Times New Roman"/>
          <w:lang w:val="fr-CA"/>
        </w:rPr>
        <w:t>.</w:t>
      </w:r>
    </w:p>
  </w:footnote>
  <w:footnote w:id="8">
    <w:p w:rsidR="00E613F1" w:rsidRPr="00421A60" w:rsidRDefault="00E613F1" w:rsidP="0003214E">
      <w:pPr>
        <w:pStyle w:val="FootnoteText"/>
        <w:jc w:val="both"/>
        <w:rPr>
          <w:rFonts w:cs="Times New Roman"/>
          <w:szCs w:val="20"/>
          <w:lang w:val="fr-CA"/>
        </w:rPr>
      </w:pPr>
      <w:r w:rsidRPr="00421A60">
        <w:rPr>
          <w:rStyle w:val="FootnoteReference"/>
          <w:rFonts w:cs="Times New Roman"/>
          <w:szCs w:val="20"/>
        </w:rPr>
        <w:footnoteRef/>
      </w:r>
      <w:r w:rsidRPr="00421A60">
        <w:rPr>
          <w:rFonts w:cs="Times New Roman"/>
          <w:szCs w:val="20"/>
          <w:lang w:val="fr-CA"/>
        </w:rPr>
        <w:t xml:space="preserve"> </w:t>
      </w:r>
      <w:r>
        <w:rPr>
          <w:rFonts w:cs="Times New Roman"/>
          <w:szCs w:val="20"/>
          <w:lang w:val="fr-CA"/>
        </w:rPr>
        <w:t>Accusations de conduite dangereuse et de refus de subir l’alcootest</w:t>
      </w:r>
      <w:r w:rsidRPr="00421A60">
        <w:rPr>
          <w:rFonts w:cs="Times New Roman"/>
          <w:szCs w:val="20"/>
          <w:lang w:val="fr-CA"/>
        </w:rPr>
        <w:t xml:space="preserve">. </w:t>
      </w:r>
      <w:r>
        <w:rPr>
          <w:rFonts w:cs="Times New Roman"/>
          <w:szCs w:val="20"/>
          <w:lang w:val="fr-CA"/>
        </w:rPr>
        <w:t>L’accusé avait été contraint de demeurer assis longtemps dans ses excréments</w:t>
      </w:r>
      <w:r w:rsidRPr="00421A60">
        <w:rPr>
          <w:rFonts w:cs="Times New Roman"/>
          <w:szCs w:val="20"/>
          <w:lang w:val="fr-CA"/>
        </w:rPr>
        <w:t xml:space="preserve">, </w:t>
      </w:r>
      <w:r>
        <w:rPr>
          <w:rFonts w:cs="Times New Roman"/>
          <w:szCs w:val="20"/>
          <w:lang w:val="fr-CA"/>
        </w:rPr>
        <w:t>il s’était vu refuser l’accès à des installations sanitaires adéquates</w:t>
      </w:r>
      <w:r w:rsidRPr="00421A60">
        <w:rPr>
          <w:rFonts w:cs="Times New Roman"/>
          <w:szCs w:val="20"/>
          <w:lang w:val="fr-CA"/>
        </w:rPr>
        <w:t xml:space="preserve">, </w:t>
      </w:r>
      <w:r>
        <w:rPr>
          <w:rFonts w:cs="Times New Roman"/>
          <w:szCs w:val="20"/>
          <w:lang w:val="fr-CA"/>
        </w:rPr>
        <w:t>il avait fait l’objet de commentaires grossiers et moqueurs, et il avait été soumis à une détention arbitraire et inutile</w:t>
      </w:r>
      <w:r w:rsidRPr="00421A60">
        <w:rPr>
          <w:rFonts w:cs="Times New Roman"/>
          <w:szCs w:val="20"/>
          <w:lang w:val="fr-CA"/>
        </w:rPr>
        <w:t>.</w:t>
      </w:r>
    </w:p>
  </w:footnote>
  <w:footnote w:id="9">
    <w:p w:rsidR="00E613F1" w:rsidRPr="00421A60" w:rsidRDefault="00E613F1" w:rsidP="0003214E">
      <w:pPr>
        <w:pStyle w:val="FootnoteText"/>
        <w:jc w:val="both"/>
        <w:rPr>
          <w:lang w:val="fr-CA"/>
        </w:rPr>
      </w:pPr>
      <w:r w:rsidRPr="00421A60">
        <w:rPr>
          <w:rStyle w:val="FootnoteReference"/>
          <w:rFonts w:cs="Times New Roman"/>
          <w:szCs w:val="20"/>
        </w:rPr>
        <w:footnoteRef/>
      </w:r>
      <w:r w:rsidRPr="00421A60">
        <w:rPr>
          <w:rFonts w:cs="Times New Roman"/>
          <w:szCs w:val="20"/>
          <w:lang w:val="fr-CA"/>
        </w:rPr>
        <w:t xml:space="preserve"> </w:t>
      </w:r>
      <w:r>
        <w:rPr>
          <w:rFonts w:cs="Times New Roman"/>
          <w:szCs w:val="20"/>
          <w:lang w:val="fr-CA"/>
        </w:rPr>
        <w:t>Accusation de conduite en état d’ébriété</w:t>
      </w:r>
      <w:r w:rsidRPr="00421A60">
        <w:rPr>
          <w:rFonts w:cs="Times New Roman"/>
          <w:szCs w:val="20"/>
          <w:lang w:val="fr-CA"/>
        </w:rPr>
        <w:t xml:space="preserve">. </w:t>
      </w:r>
      <w:r>
        <w:rPr>
          <w:rFonts w:cs="Times New Roman"/>
          <w:szCs w:val="20"/>
          <w:lang w:val="fr-CA"/>
        </w:rPr>
        <w:t>L’accusé avait été menotté sans raison et aspergé de gaz poivre dans les yeux après qu’il eut insulté un agent de police</w:t>
      </w:r>
      <w:r w:rsidRPr="00421A60">
        <w:rPr>
          <w:rFonts w:cs="Times New Roman"/>
          <w:szCs w:val="20"/>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3F1" w:rsidRDefault="00E613F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3215"/>
      <w:docPartObj>
        <w:docPartGallery w:val="Page Numbers (Top of Page)"/>
        <w:docPartUnique/>
      </w:docPartObj>
    </w:sdtPr>
    <w:sdtContent>
      <w:p w:rsidR="00E613F1" w:rsidRDefault="00E613F1">
        <w:pPr>
          <w:pStyle w:val="Header"/>
          <w:jc w:val="center"/>
        </w:pPr>
        <w:r>
          <w:t xml:space="preserve">- </w:t>
        </w:r>
        <w:fldSimple w:instr=" PAGE   \* MERGEFORMAT ">
          <w:r w:rsidR="001D6D68">
            <w:rPr>
              <w:noProof/>
            </w:rPr>
            <w:t>3</w:t>
          </w:r>
        </w:fldSimple>
        <w:r>
          <w:t xml:space="preserve"> -</w:t>
        </w:r>
      </w:p>
    </w:sdtContent>
  </w:sdt>
  <w:p w:rsidR="00E613F1" w:rsidRDefault="00E613F1"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8AB4B01A"/>
    <w:lvl w:ilvl="0">
      <w:start w:val="1"/>
      <w:numFmt w:val="decimal"/>
      <w:pStyle w:val="ParaNoNdepar-AltN"/>
      <w:lvlText w:val="[%1]"/>
      <w:lvlJc w:val="left"/>
      <w:pPr>
        <w:tabs>
          <w:tab w:val="num" w:pos="1332"/>
        </w:tabs>
        <w:ind w:left="18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DD74656"/>
    <w:multiLevelType w:val="hybridMultilevel"/>
    <w:tmpl w:val="431E527E"/>
    <w:lvl w:ilvl="0" w:tplc="4FA8566A">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8E01F30"/>
    <w:multiLevelType w:val="hybridMultilevel"/>
    <w:tmpl w:val="65025F4E"/>
    <w:lvl w:ilvl="0" w:tplc="05667A1A">
      <w:start w:val="1"/>
      <w:numFmt w:val="lowerRoman"/>
      <w:pStyle w:val="Heading3"/>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rsids>
    <w:rsidRoot w:val="0031414C"/>
    <w:rsid w:val="00025198"/>
    <w:rsid w:val="0003214E"/>
    <w:rsid w:val="00055A36"/>
    <w:rsid w:val="000578A3"/>
    <w:rsid w:val="00064563"/>
    <w:rsid w:val="000648CC"/>
    <w:rsid w:val="00094DE0"/>
    <w:rsid w:val="000A5321"/>
    <w:rsid w:val="000B625D"/>
    <w:rsid w:val="000C1F4A"/>
    <w:rsid w:val="000C59B8"/>
    <w:rsid w:val="0010083B"/>
    <w:rsid w:val="00111DE2"/>
    <w:rsid w:val="00116B38"/>
    <w:rsid w:val="001259A9"/>
    <w:rsid w:val="0013109F"/>
    <w:rsid w:val="00135406"/>
    <w:rsid w:val="00135972"/>
    <w:rsid w:val="00140667"/>
    <w:rsid w:val="001426A9"/>
    <w:rsid w:val="001530A3"/>
    <w:rsid w:val="00154D7C"/>
    <w:rsid w:val="001570B0"/>
    <w:rsid w:val="00172A04"/>
    <w:rsid w:val="00175A97"/>
    <w:rsid w:val="00185394"/>
    <w:rsid w:val="001A451D"/>
    <w:rsid w:val="001A7F8F"/>
    <w:rsid w:val="001B33E0"/>
    <w:rsid w:val="001B4573"/>
    <w:rsid w:val="001C779F"/>
    <w:rsid w:val="001D2AC1"/>
    <w:rsid w:val="001D6D68"/>
    <w:rsid w:val="001D721D"/>
    <w:rsid w:val="001F7673"/>
    <w:rsid w:val="00220FC2"/>
    <w:rsid w:val="00224FC0"/>
    <w:rsid w:val="00225EA4"/>
    <w:rsid w:val="00226EAF"/>
    <w:rsid w:val="00231F3A"/>
    <w:rsid w:val="002406EE"/>
    <w:rsid w:val="00240E6D"/>
    <w:rsid w:val="002505D7"/>
    <w:rsid w:val="00274568"/>
    <w:rsid w:val="002745CC"/>
    <w:rsid w:val="002974C5"/>
    <w:rsid w:val="002D39A4"/>
    <w:rsid w:val="002E6705"/>
    <w:rsid w:val="002F696C"/>
    <w:rsid w:val="0030329A"/>
    <w:rsid w:val="00307AFD"/>
    <w:rsid w:val="0031086F"/>
    <w:rsid w:val="00310E05"/>
    <w:rsid w:val="0031414C"/>
    <w:rsid w:val="00314E01"/>
    <w:rsid w:val="00317571"/>
    <w:rsid w:val="0032089D"/>
    <w:rsid w:val="0033393C"/>
    <w:rsid w:val="0034770C"/>
    <w:rsid w:val="0035259D"/>
    <w:rsid w:val="0035610D"/>
    <w:rsid w:val="0038584C"/>
    <w:rsid w:val="003866EC"/>
    <w:rsid w:val="00394476"/>
    <w:rsid w:val="003A4C70"/>
    <w:rsid w:val="003A4E15"/>
    <w:rsid w:val="003B307A"/>
    <w:rsid w:val="003C507D"/>
    <w:rsid w:val="003C799C"/>
    <w:rsid w:val="003E0FC0"/>
    <w:rsid w:val="003E1C71"/>
    <w:rsid w:val="003F327B"/>
    <w:rsid w:val="004059A7"/>
    <w:rsid w:val="00406166"/>
    <w:rsid w:val="00411300"/>
    <w:rsid w:val="00424D24"/>
    <w:rsid w:val="00425853"/>
    <w:rsid w:val="00426659"/>
    <w:rsid w:val="004276A0"/>
    <w:rsid w:val="0043088E"/>
    <w:rsid w:val="004439D8"/>
    <w:rsid w:val="00465132"/>
    <w:rsid w:val="00476F2E"/>
    <w:rsid w:val="00480C90"/>
    <w:rsid w:val="0048101B"/>
    <w:rsid w:val="0048396F"/>
    <w:rsid w:val="00486A2C"/>
    <w:rsid w:val="00493C18"/>
    <w:rsid w:val="00494CDC"/>
    <w:rsid w:val="004A600C"/>
    <w:rsid w:val="004C478D"/>
    <w:rsid w:val="004E07CB"/>
    <w:rsid w:val="004E5B45"/>
    <w:rsid w:val="004E6A2C"/>
    <w:rsid w:val="00521AE8"/>
    <w:rsid w:val="00527180"/>
    <w:rsid w:val="00536719"/>
    <w:rsid w:val="005564A7"/>
    <w:rsid w:val="00563941"/>
    <w:rsid w:val="00574D47"/>
    <w:rsid w:val="00582665"/>
    <w:rsid w:val="005923AE"/>
    <w:rsid w:val="005A68D2"/>
    <w:rsid w:val="005B7576"/>
    <w:rsid w:val="005E4698"/>
    <w:rsid w:val="005E531B"/>
    <w:rsid w:val="006031D1"/>
    <w:rsid w:val="00606D54"/>
    <w:rsid w:val="00607B44"/>
    <w:rsid w:val="00625C35"/>
    <w:rsid w:val="0063302D"/>
    <w:rsid w:val="00634E1B"/>
    <w:rsid w:val="00645057"/>
    <w:rsid w:val="00645D35"/>
    <w:rsid w:val="00654858"/>
    <w:rsid w:val="006565F4"/>
    <w:rsid w:val="0066012C"/>
    <w:rsid w:val="00661F8F"/>
    <w:rsid w:val="006768D0"/>
    <w:rsid w:val="0068024C"/>
    <w:rsid w:val="00681AD1"/>
    <w:rsid w:val="006A56F1"/>
    <w:rsid w:val="006B0698"/>
    <w:rsid w:val="006B5FF5"/>
    <w:rsid w:val="006B6228"/>
    <w:rsid w:val="006B70AC"/>
    <w:rsid w:val="006C5661"/>
    <w:rsid w:val="006C7651"/>
    <w:rsid w:val="006D4790"/>
    <w:rsid w:val="00701759"/>
    <w:rsid w:val="00702C6F"/>
    <w:rsid w:val="00710AF7"/>
    <w:rsid w:val="007114E3"/>
    <w:rsid w:val="0071421E"/>
    <w:rsid w:val="007179A2"/>
    <w:rsid w:val="00733FF6"/>
    <w:rsid w:val="00735C28"/>
    <w:rsid w:val="00743BE4"/>
    <w:rsid w:val="00747288"/>
    <w:rsid w:val="00747DD3"/>
    <w:rsid w:val="0075095A"/>
    <w:rsid w:val="00752F4E"/>
    <w:rsid w:val="007549C8"/>
    <w:rsid w:val="00762D30"/>
    <w:rsid w:val="00763377"/>
    <w:rsid w:val="00766D14"/>
    <w:rsid w:val="00767A0F"/>
    <w:rsid w:val="007834A8"/>
    <w:rsid w:val="007A05F6"/>
    <w:rsid w:val="007A65D4"/>
    <w:rsid w:val="007B6F4A"/>
    <w:rsid w:val="007E1C47"/>
    <w:rsid w:val="007E2AD3"/>
    <w:rsid w:val="007E337A"/>
    <w:rsid w:val="007E5C70"/>
    <w:rsid w:val="007F2FF5"/>
    <w:rsid w:val="00817190"/>
    <w:rsid w:val="008322BD"/>
    <w:rsid w:val="00841AB4"/>
    <w:rsid w:val="0084397A"/>
    <w:rsid w:val="00855307"/>
    <w:rsid w:val="00862CF3"/>
    <w:rsid w:val="00864CF8"/>
    <w:rsid w:val="00874914"/>
    <w:rsid w:val="008828FD"/>
    <w:rsid w:val="00892E1A"/>
    <w:rsid w:val="008958F5"/>
    <w:rsid w:val="008A6558"/>
    <w:rsid w:val="008A727C"/>
    <w:rsid w:val="008C01DA"/>
    <w:rsid w:val="008E6E05"/>
    <w:rsid w:val="008E7E0D"/>
    <w:rsid w:val="008F16D9"/>
    <w:rsid w:val="008F78E9"/>
    <w:rsid w:val="00902462"/>
    <w:rsid w:val="009403F3"/>
    <w:rsid w:val="00953B9E"/>
    <w:rsid w:val="00957FA2"/>
    <w:rsid w:val="00966913"/>
    <w:rsid w:val="00967374"/>
    <w:rsid w:val="0097543E"/>
    <w:rsid w:val="00983F3F"/>
    <w:rsid w:val="00984640"/>
    <w:rsid w:val="00985C69"/>
    <w:rsid w:val="0099079B"/>
    <w:rsid w:val="00991968"/>
    <w:rsid w:val="009B2F23"/>
    <w:rsid w:val="009B53E2"/>
    <w:rsid w:val="009B57B3"/>
    <w:rsid w:val="009C3627"/>
    <w:rsid w:val="009D5AEB"/>
    <w:rsid w:val="009E67F2"/>
    <w:rsid w:val="009F383F"/>
    <w:rsid w:val="00A05F0E"/>
    <w:rsid w:val="00A21107"/>
    <w:rsid w:val="00A21B90"/>
    <w:rsid w:val="00A24E15"/>
    <w:rsid w:val="00A31779"/>
    <w:rsid w:val="00A3231A"/>
    <w:rsid w:val="00A46CCE"/>
    <w:rsid w:val="00A548CB"/>
    <w:rsid w:val="00A6242E"/>
    <w:rsid w:val="00A643E7"/>
    <w:rsid w:val="00A73C38"/>
    <w:rsid w:val="00A753F2"/>
    <w:rsid w:val="00A97E7A"/>
    <w:rsid w:val="00AA3001"/>
    <w:rsid w:val="00AB3320"/>
    <w:rsid w:val="00AC01EB"/>
    <w:rsid w:val="00AC6322"/>
    <w:rsid w:val="00AC7437"/>
    <w:rsid w:val="00AC7A44"/>
    <w:rsid w:val="00AD51DE"/>
    <w:rsid w:val="00AF03C5"/>
    <w:rsid w:val="00B000D8"/>
    <w:rsid w:val="00B00F75"/>
    <w:rsid w:val="00B145B6"/>
    <w:rsid w:val="00B15BE7"/>
    <w:rsid w:val="00B23719"/>
    <w:rsid w:val="00B50C81"/>
    <w:rsid w:val="00B557F8"/>
    <w:rsid w:val="00B61A6D"/>
    <w:rsid w:val="00B64972"/>
    <w:rsid w:val="00B66DD8"/>
    <w:rsid w:val="00B754D9"/>
    <w:rsid w:val="00B8145D"/>
    <w:rsid w:val="00B815FC"/>
    <w:rsid w:val="00B83417"/>
    <w:rsid w:val="00B92C21"/>
    <w:rsid w:val="00B93FBC"/>
    <w:rsid w:val="00BF115F"/>
    <w:rsid w:val="00C02092"/>
    <w:rsid w:val="00C057F7"/>
    <w:rsid w:val="00C0663B"/>
    <w:rsid w:val="00C24C8C"/>
    <w:rsid w:val="00C24D91"/>
    <w:rsid w:val="00C33B61"/>
    <w:rsid w:val="00C52532"/>
    <w:rsid w:val="00C53F14"/>
    <w:rsid w:val="00C55C2E"/>
    <w:rsid w:val="00C600CF"/>
    <w:rsid w:val="00C6084F"/>
    <w:rsid w:val="00C62A66"/>
    <w:rsid w:val="00C62A6F"/>
    <w:rsid w:val="00C67CA5"/>
    <w:rsid w:val="00C71458"/>
    <w:rsid w:val="00C71F58"/>
    <w:rsid w:val="00C77613"/>
    <w:rsid w:val="00C828E7"/>
    <w:rsid w:val="00C921DD"/>
    <w:rsid w:val="00CA4D82"/>
    <w:rsid w:val="00CA6391"/>
    <w:rsid w:val="00CC5801"/>
    <w:rsid w:val="00CC71CE"/>
    <w:rsid w:val="00CE2025"/>
    <w:rsid w:val="00CE3171"/>
    <w:rsid w:val="00CF1601"/>
    <w:rsid w:val="00D16B2A"/>
    <w:rsid w:val="00D32086"/>
    <w:rsid w:val="00D37A3F"/>
    <w:rsid w:val="00D45FCF"/>
    <w:rsid w:val="00D465F4"/>
    <w:rsid w:val="00D4667A"/>
    <w:rsid w:val="00D510BB"/>
    <w:rsid w:val="00D5435D"/>
    <w:rsid w:val="00D74F2E"/>
    <w:rsid w:val="00DA0590"/>
    <w:rsid w:val="00DB42EB"/>
    <w:rsid w:val="00DC1788"/>
    <w:rsid w:val="00DD44C5"/>
    <w:rsid w:val="00DD60C9"/>
    <w:rsid w:val="00DE4E2C"/>
    <w:rsid w:val="00DF0CA8"/>
    <w:rsid w:val="00DF49A7"/>
    <w:rsid w:val="00E01106"/>
    <w:rsid w:val="00E0127B"/>
    <w:rsid w:val="00E07EE2"/>
    <w:rsid w:val="00E14822"/>
    <w:rsid w:val="00E24573"/>
    <w:rsid w:val="00E377A1"/>
    <w:rsid w:val="00E43412"/>
    <w:rsid w:val="00E45109"/>
    <w:rsid w:val="00E54B02"/>
    <w:rsid w:val="00E613F1"/>
    <w:rsid w:val="00E8237D"/>
    <w:rsid w:val="00E96D4F"/>
    <w:rsid w:val="00E97830"/>
    <w:rsid w:val="00EA03E5"/>
    <w:rsid w:val="00EE0FAF"/>
    <w:rsid w:val="00EE417E"/>
    <w:rsid w:val="00F00EB7"/>
    <w:rsid w:val="00F2258E"/>
    <w:rsid w:val="00F332DA"/>
    <w:rsid w:val="00F33658"/>
    <w:rsid w:val="00F36AB6"/>
    <w:rsid w:val="00F409CE"/>
    <w:rsid w:val="00F84DF4"/>
    <w:rsid w:val="00F853FB"/>
    <w:rsid w:val="00F85C97"/>
    <w:rsid w:val="00F9350C"/>
    <w:rsid w:val="00FA2FE1"/>
    <w:rsid w:val="00FA50E0"/>
    <w:rsid w:val="00FC606D"/>
    <w:rsid w:val="00FD068D"/>
    <w:rsid w:val="00FD4F28"/>
    <w:rsid w:val="00FE0F36"/>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20"/>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214E"/>
    <w:pPr>
      <w:numPr>
        <w:numId w:val="2"/>
      </w:numPr>
      <w:spacing w:before="200" w:line="271" w:lineRule="auto"/>
      <w:outlineLvl w:val="2"/>
    </w:pPr>
    <w:rPr>
      <w:rFonts w:asciiTheme="majorHAnsi" w:eastAsiaTheme="majorEastAsia" w:hAnsiTheme="majorHAnsi" w:cstheme="majorBidi"/>
      <w:bCs/>
      <w:szCs w:val="22"/>
      <w:u w:val="single"/>
      <w:lang w:val="en-US" w:eastAsia="en-US"/>
    </w:rPr>
  </w:style>
  <w:style w:type="paragraph" w:styleId="Heading4">
    <w:name w:val="heading 4"/>
    <w:basedOn w:val="Normal"/>
    <w:next w:val="Normal"/>
    <w:link w:val="Heading4Char"/>
    <w:uiPriority w:val="9"/>
    <w:unhideWhenUsed/>
    <w:qFormat/>
    <w:rsid w:val="0003214E"/>
    <w:pPr>
      <w:numPr>
        <w:numId w:val="3"/>
      </w:numPr>
      <w:spacing w:before="200"/>
      <w:outlineLvl w:val="3"/>
    </w:pPr>
    <w:rPr>
      <w:rFonts w:asciiTheme="majorHAnsi" w:eastAsiaTheme="majorEastAsia" w:hAnsiTheme="majorHAnsi" w:cstheme="majorBidi"/>
      <w:bCs/>
      <w:i/>
      <w:i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6B70AC"/>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03214E"/>
    <w:rPr>
      <w:rFonts w:asciiTheme="majorHAnsi" w:eastAsiaTheme="majorEastAsia" w:hAnsiTheme="majorHAnsi" w:cstheme="majorBidi"/>
      <w:bCs/>
      <w:sz w:val="24"/>
      <w:szCs w:val="22"/>
      <w:u w:val="single"/>
      <w:lang w:val="en-US" w:eastAsia="en-US"/>
    </w:rPr>
  </w:style>
  <w:style w:type="character" w:customStyle="1" w:styleId="Heading4Char">
    <w:name w:val="Heading 4 Char"/>
    <w:basedOn w:val="DefaultParagraphFont"/>
    <w:link w:val="Heading4"/>
    <w:uiPriority w:val="9"/>
    <w:rsid w:val="0003214E"/>
    <w:rPr>
      <w:rFonts w:asciiTheme="majorHAnsi" w:eastAsiaTheme="majorEastAsia" w:hAnsiTheme="majorHAnsi" w:cstheme="majorBidi"/>
      <w:bCs/>
      <w:i/>
      <w:iCs/>
      <w:sz w:val="24"/>
      <w:szCs w:val="22"/>
      <w:lang w:val="en-US" w:eastAsia="en-US"/>
    </w:rPr>
  </w:style>
  <w:style w:type="paragraph" w:customStyle="1" w:styleId="SCCLsocOtherPartyRoleSeparator">
    <w:name w:val="SCC.Lsoc.OtherPartyRoleSeparator"/>
    <w:basedOn w:val="Normal"/>
    <w:next w:val="Normal"/>
    <w:link w:val="SCCLsocOtherPartyRoleSeparatorChar"/>
    <w:rsid w:val="0003214E"/>
    <w:pPr>
      <w:spacing w:after="480"/>
    </w:pPr>
    <w:rPr>
      <w:rFonts w:eastAsiaTheme="minorHAnsi" w:cstheme="minorBidi"/>
      <w:szCs w:val="22"/>
      <w:lang w:val="en-US" w:eastAsia="en-US"/>
    </w:rPr>
  </w:style>
  <w:style w:type="character" w:customStyle="1" w:styleId="SCCLsocOtherPartyRoleSeparatorChar">
    <w:name w:val="SCC.Lsoc.OtherPartyRoleSeparator Char"/>
    <w:basedOn w:val="DefaultParagraphFont"/>
    <w:link w:val="SCCLsocOtherPartyRoleSeparator"/>
    <w:rsid w:val="0003214E"/>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03214E"/>
    <w:rPr>
      <w:b/>
      <w:sz w:val="24"/>
      <w:lang w:val="fr-CA"/>
    </w:rPr>
  </w:style>
  <w:style w:type="table" w:styleId="TableGrid">
    <w:name w:val="Table Grid"/>
    <w:basedOn w:val="TableNormal"/>
    <w:uiPriority w:val="59"/>
    <w:rsid w:val="00032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3214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3214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3214E"/>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3214E"/>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03214E"/>
    <w:rPr>
      <w:rFonts w:eastAsia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03214E"/>
    <w:rPr>
      <w:rFonts w:eastAsiaTheme="minorHAnsi" w:cstheme="minorBidi"/>
      <w:szCs w:val="22"/>
      <w:lang w:val="en-US" w:eastAsia="en-US"/>
    </w:rPr>
  </w:style>
  <w:style w:type="character" w:styleId="FootnoteReference">
    <w:name w:val="footnote reference"/>
    <w:basedOn w:val="DefaultParagraphFont"/>
    <w:uiPriority w:val="99"/>
    <w:semiHidden/>
    <w:unhideWhenUsed/>
    <w:rsid w:val="0003214E"/>
    <w:rPr>
      <w:vertAlign w:val="superscript"/>
    </w:rPr>
  </w:style>
  <w:style w:type="paragraph" w:styleId="NoSpacing">
    <w:name w:val="No Spacing"/>
    <w:basedOn w:val="Normal"/>
    <w:uiPriority w:val="1"/>
    <w:qFormat/>
    <w:rsid w:val="0003214E"/>
    <w:rPr>
      <w:rFonts w:eastAsiaTheme="minorHAnsi" w:cstheme="minorBidi"/>
      <w:szCs w:val="22"/>
      <w:lang w:val="en-US" w:eastAsia="en-US"/>
    </w:rPr>
  </w:style>
  <w:style w:type="paragraph" w:styleId="TOC2">
    <w:name w:val="toc 2"/>
    <w:basedOn w:val="Normal"/>
    <w:next w:val="Normal"/>
    <w:autoRedefine/>
    <w:uiPriority w:val="39"/>
    <w:unhideWhenUsed/>
    <w:qFormat/>
    <w:rsid w:val="0003214E"/>
    <w:pPr>
      <w:spacing w:after="100"/>
      <w:ind w:left="482"/>
    </w:pPr>
    <w:rPr>
      <w:rFonts w:eastAsiaTheme="minorHAnsi" w:cstheme="minorBidi"/>
      <w:szCs w:val="22"/>
      <w:lang w:val="en-US" w:eastAsia="en-US"/>
    </w:rPr>
  </w:style>
  <w:style w:type="table" w:customStyle="1" w:styleId="TableGrid1">
    <w:name w:val="Table Grid1"/>
    <w:basedOn w:val="TableNormal"/>
    <w:next w:val="TableGrid"/>
    <w:uiPriority w:val="59"/>
    <w:rsid w:val="001D6D6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FE8F-18EC-4998-B952-48AB3D95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4696</Words>
  <Characters>23739</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2012-10-17T19:09:00Z</dcterms:created>
  <dcterms:modified xsi:type="dcterms:W3CDTF">2013-04-08T20:51:00Z</dcterms:modified>
</cp:coreProperties>
</file>