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EDC" w:rsidRPr="002575EA" w:rsidRDefault="00413EDC" w:rsidP="00413EDC">
      <w:pPr>
        <w:tabs>
          <w:tab w:val="center" w:pos="4680"/>
          <w:tab w:val="right" w:pos="9360"/>
        </w:tabs>
        <w:jc w:val="center"/>
        <w:rPr>
          <w:rFonts w:eastAsiaTheme="minorHAnsi" w:cstheme="minorBidi"/>
          <w:szCs w:val="24"/>
          <w:lang w:eastAsia="en-US"/>
        </w:rPr>
      </w:pPr>
      <w:r w:rsidRPr="002575EA">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26945988" r:id="rId9"/>
        </w:object>
      </w:r>
    </w:p>
    <w:p w:rsidR="00413EDC" w:rsidRPr="002575EA" w:rsidRDefault="00413EDC" w:rsidP="00413EDC">
      <w:pPr>
        <w:tabs>
          <w:tab w:val="center" w:pos="4680"/>
          <w:tab w:val="right" w:pos="9360"/>
        </w:tabs>
        <w:rPr>
          <w:rFonts w:eastAsiaTheme="minorHAnsi" w:cstheme="minorBidi"/>
          <w:szCs w:val="24"/>
          <w:lang w:eastAsia="en-US"/>
        </w:rPr>
      </w:pPr>
    </w:p>
    <w:p w:rsidR="00413EDC" w:rsidRPr="002575EA" w:rsidRDefault="00413EDC" w:rsidP="00413EDC">
      <w:pPr>
        <w:jc w:val="center"/>
        <w:rPr>
          <w:rFonts w:eastAsiaTheme="minorHAnsi" w:cstheme="minorBidi"/>
          <w:b/>
          <w:szCs w:val="24"/>
          <w:lang w:eastAsia="en-US"/>
        </w:rPr>
      </w:pPr>
      <w:r w:rsidRPr="002575EA">
        <w:rPr>
          <w:rFonts w:eastAsiaTheme="minorHAnsi" w:cstheme="minorBidi"/>
          <w:b/>
          <w:szCs w:val="24"/>
          <w:lang w:eastAsia="en-US"/>
        </w:rPr>
        <w:t>COUR SUPRÊME DU CANADA</w:t>
      </w:r>
    </w:p>
    <w:p w:rsidR="00413EDC" w:rsidRPr="002575EA" w:rsidRDefault="00413EDC" w:rsidP="00413EDC">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413EDC" w:rsidRPr="002575EA" w:rsidTr="002F6440">
        <w:trPr>
          <w:cantSplit/>
        </w:trPr>
        <w:tc>
          <w:tcPr>
            <w:tcW w:w="6768" w:type="dxa"/>
          </w:tcPr>
          <w:p w:rsidR="00413EDC" w:rsidRPr="002575EA" w:rsidRDefault="00413EDC" w:rsidP="002F6440">
            <w:pPr>
              <w:rPr>
                <w:lang w:val="en-US"/>
              </w:rPr>
            </w:pPr>
            <w:r w:rsidRPr="002575EA">
              <w:rPr>
                <w:b/>
                <w:smallCaps/>
                <w:lang w:val="en-US"/>
              </w:rPr>
              <w:t>Référence :</w:t>
            </w:r>
            <w:r w:rsidRPr="002575EA">
              <w:rPr>
                <w:lang w:val="en-US"/>
              </w:rPr>
              <w:t xml:space="preserve"> Canada (</w:t>
            </w:r>
            <w:proofErr w:type="spellStart"/>
            <w:r w:rsidRPr="002575EA">
              <w:rPr>
                <w:lang w:val="en-US"/>
              </w:rPr>
              <w:t>Procureur</w:t>
            </w:r>
            <w:proofErr w:type="spellEnd"/>
            <w:r w:rsidRPr="002575EA">
              <w:rPr>
                <w:lang w:val="en-US"/>
              </w:rPr>
              <w:t xml:space="preserve"> </w:t>
            </w:r>
            <w:proofErr w:type="spellStart"/>
            <w:r w:rsidRPr="002575EA">
              <w:rPr>
                <w:lang w:val="en-US"/>
              </w:rPr>
              <w:t>général</w:t>
            </w:r>
            <w:proofErr w:type="spellEnd"/>
            <w:r w:rsidRPr="002575EA">
              <w:rPr>
                <w:lang w:val="en-US"/>
              </w:rPr>
              <w:t xml:space="preserve">) </w:t>
            </w:r>
            <w:r w:rsidRPr="002575EA">
              <w:rPr>
                <w:i/>
                <w:lang w:val="en-US"/>
              </w:rPr>
              <w:t>c.</w:t>
            </w:r>
            <w:r w:rsidRPr="002575EA">
              <w:rPr>
                <w:lang w:val="en-US"/>
              </w:rPr>
              <w:t xml:space="preserve"> Downtown Eastside Sex Workers United Against Violence Society, </w:t>
            </w:r>
            <w:r>
              <w:rPr>
                <w:lang w:val="en-US"/>
              </w:rPr>
              <w:t>2012 CSC 45, [2012] 2 R.C.S. 524</w:t>
            </w:r>
          </w:p>
        </w:tc>
        <w:tc>
          <w:tcPr>
            <w:tcW w:w="2808" w:type="dxa"/>
          </w:tcPr>
          <w:p w:rsidR="00413EDC" w:rsidRPr="002575EA" w:rsidRDefault="00413EDC" w:rsidP="002F6440">
            <w:r w:rsidRPr="002575EA">
              <w:rPr>
                <w:b/>
                <w:smallCaps/>
              </w:rPr>
              <w:t>Date :</w:t>
            </w:r>
            <w:r w:rsidRPr="002575EA">
              <w:t xml:space="preserve"> 20120921</w:t>
            </w:r>
          </w:p>
          <w:p w:rsidR="00413EDC" w:rsidRPr="002575EA" w:rsidRDefault="00413EDC" w:rsidP="002F6440">
            <w:r w:rsidRPr="002575EA">
              <w:rPr>
                <w:b/>
                <w:smallCaps/>
              </w:rPr>
              <w:t>Dossier :</w:t>
            </w:r>
            <w:r w:rsidRPr="002575EA">
              <w:t xml:space="preserve"> 33981</w:t>
            </w:r>
          </w:p>
        </w:tc>
      </w:tr>
    </w:tbl>
    <w:p w:rsidR="00413EDC" w:rsidRPr="002575EA" w:rsidRDefault="00413EDC" w:rsidP="00413EDC">
      <w:pPr>
        <w:rPr>
          <w:rFonts w:eastAsiaTheme="minorHAnsi" w:cstheme="minorBidi"/>
          <w:szCs w:val="24"/>
          <w:lang w:eastAsia="en-US"/>
        </w:rPr>
      </w:pPr>
    </w:p>
    <w:p w:rsidR="00413EDC" w:rsidRPr="002575EA" w:rsidRDefault="00413EDC" w:rsidP="00413EDC">
      <w:pPr>
        <w:rPr>
          <w:rFonts w:eastAsiaTheme="minorHAnsi" w:cstheme="minorBidi"/>
          <w:b/>
          <w:smallCaps/>
          <w:szCs w:val="24"/>
          <w:lang w:eastAsia="en-US"/>
        </w:rPr>
      </w:pPr>
      <w:r w:rsidRPr="002575EA">
        <w:rPr>
          <w:rFonts w:eastAsiaTheme="minorHAnsi" w:cstheme="minorBidi"/>
          <w:b/>
          <w:smallCaps/>
          <w:szCs w:val="24"/>
          <w:lang w:eastAsia="en-US"/>
        </w:rPr>
        <w:t>Entre :</w:t>
      </w:r>
    </w:p>
    <w:p w:rsidR="00413EDC" w:rsidRPr="002575EA" w:rsidRDefault="00413EDC" w:rsidP="00413EDC">
      <w:pPr>
        <w:jc w:val="center"/>
        <w:rPr>
          <w:rFonts w:eastAsiaTheme="minorHAnsi" w:cstheme="minorBidi"/>
          <w:b/>
          <w:szCs w:val="24"/>
          <w:lang w:eastAsia="en-US"/>
        </w:rPr>
      </w:pPr>
      <w:r w:rsidRPr="002575EA">
        <w:rPr>
          <w:rFonts w:eastAsiaTheme="minorHAnsi" w:cstheme="minorBidi"/>
          <w:b/>
          <w:szCs w:val="24"/>
          <w:lang w:eastAsia="en-US"/>
        </w:rPr>
        <w:t>Procureur général du Canada</w:t>
      </w:r>
    </w:p>
    <w:p w:rsidR="00413EDC" w:rsidRPr="002575EA" w:rsidRDefault="00413EDC" w:rsidP="00413EDC">
      <w:pPr>
        <w:jc w:val="center"/>
        <w:rPr>
          <w:rFonts w:eastAsiaTheme="minorHAnsi" w:cstheme="minorBidi"/>
          <w:szCs w:val="24"/>
          <w:lang w:eastAsia="en-US"/>
        </w:rPr>
      </w:pPr>
      <w:r w:rsidRPr="002575EA">
        <w:rPr>
          <w:rFonts w:eastAsiaTheme="minorHAnsi" w:cstheme="minorBidi"/>
          <w:szCs w:val="24"/>
          <w:lang w:eastAsia="en-US"/>
        </w:rPr>
        <w:t>Appelant</w:t>
      </w:r>
    </w:p>
    <w:p w:rsidR="00413EDC" w:rsidRPr="002575EA" w:rsidRDefault="00413EDC" w:rsidP="00413EDC">
      <w:pPr>
        <w:jc w:val="center"/>
        <w:rPr>
          <w:rFonts w:eastAsiaTheme="minorHAnsi" w:cstheme="minorBidi"/>
          <w:szCs w:val="24"/>
          <w:lang w:val="en-US" w:eastAsia="en-US"/>
        </w:rPr>
      </w:pPr>
      <w:proofErr w:type="gramStart"/>
      <w:r w:rsidRPr="002575EA">
        <w:rPr>
          <w:rFonts w:eastAsiaTheme="minorHAnsi" w:cstheme="minorBidi"/>
          <w:szCs w:val="24"/>
          <w:lang w:val="en-US" w:eastAsia="en-US"/>
        </w:rPr>
        <w:t>et</w:t>
      </w:r>
      <w:proofErr w:type="gramEnd"/>
    </w:p>
    <w:p w:rsidR="00413EDC" w:rsidRPr="002575EA" w:rsidRDefault="00413EDC" w:rsidP="00413EDC">
      <w:pPr>
        <w:jc w:val="center"/>
        <w:rPr>
          <w:rFonts w:eastAsiaTheme="minorHAnsi" w:cstheme="minorBidi"/>
          <w:b/>
          <w:szCs w:val="24"/>
          <w:lang w:val="en-US" w:eastAsia="en-US"/>
        </w:rPr>
      </w:pPr>
      <w:r w:rsidRPr="002575EA">
        <w:rPr>
          <w:rFonts w:eastAsiaTheme="minorHAnsi" w:cstheme="minorBidi"/>
          <w:b/>
          <w:szCs w:val="24"/>
          <w:lang w:val="en-US" w:eastAsia="en-US"/>
        </w:rPr>
        <w:t xml:space="preserve">Downtown Eastside Sex Workers United Against Violence Society </w:t>
      </w:r>
      <w:proofErr w:type="gramStart"/>
      <w:r w:rsidRPr="002575EA">
        <w:rPr>
          <w:rFonts w:eastAsiaTheme="minorHAnsi" w:cstheme="minorBidi"/>
          <w:b/>
          <w:szCs w:val="24"/>
          <w:lang w:val="en-US" w:eastAsia="en-US"/>
        </w:rPr>
        <w:t>et</w:t>
      </w:r>
      <w:proofErr w:type="gramEnd"/>
      <w:r w:rsidRPr="002575EA">
        <w:rPr>
          <w:rFonts w:eastAsiaTheme="minorHAnsi" w:cstheme="minorBidi"/>
          <w:b/>
          <w:szCs w:val="24"/>
          <w:lang w:val="en-US" w:eastAsia="en-US"/>
        </w:rPr>
        <w:t xml:space="preserve"> Sheryl </w:t>
      </w:r>
      <w:proofErr w:type="spellStart"/>
      <w:r w:rsidRPr="002575EA">
        <w:rPr>
          <w:rFonts w:eastAsiaTheme="minorHAnsi" w:cstheme="minorBidi"/>
          <w:b/>
          <w:szCs w:val="24"/>
          <w:lang w:val="en-US" w:eastAsia="en-US"/>
        </w:rPr>
        <w:t>Kiselbach</w:t>
      </w:r>
      <w:proofErr w:type="spellEnd"/>
    </w:p>
    <w:p w:rsidR="00413EDC" w:rsidRPr="002575EA" w:rsidRDefault="00413EDC" w:rsidP="00413EDC">
      <w:pPr>
        <w:jc w:val="center"/>
        <w:rPr>
          <w:rFonts w:eastAsiaTheme="minorHAnsi" w:cstheme="minorBidi"/>
          <w:szCs w:val="24"/>
          <w:lang w:eastAsia="en-US"/>
        </w:rPr>
      </w:pPr>
      <w:r w:rsidRPr="002575EA">
        <w:rPr>
          <w:rFonts w:eastAsiaTheme="minorHAnsi" w:cstheme="minorBidi"/>
          <w:szCs w:val="24"/>
          <w:lang w:eastAsia="en-US"/>
        </w:rPr>
        <w:t>Intimées</w:t>
      </w:r>
    </w:p>
    <w:p w:rsidR="00413EDC" w:rsidRPr="002575EA" w:rsidRDefault="00413EDC" w:rsidP="00413EDC">
      <w:pPr>
        <w:jc w:val="center"/>
        <w:rPr>
          <w:rFonts w:eastAsiaTheme="minorHAnsi" w:cstheme="minorBidi"/>
          <w:szCs w:val="24"/>
          <w:lang w:eastAsia="en-US"/>
        </w:rPr>
      </w:pPr>
      <w:r w:rsidRPr="002575EA">
        <w:rPr>
          <w:rFonts w:eastAsiaTheme="minorHAnsi" w:cstheme="minorBidi"/>
          <w:szCs w:val="24"/>
          <w:lang w:eastAsia="en-US"/>
        </w:rPr>
        <w:t>- et -</w:t>
      </w:r>
    </w:p>
    <w:p w:rsidR="00413EDC" w:rsidRPr="002575EA" w:rsidRDefault="00413EDC" w:rsidP="00413EDC">
      <w:pPr>
        <w:jc w:val="center"/>
        <w:rPr>
          <w:rFonts w:eastAsiaTheme="minorHAnsi" w:cstheme="minorBidi"/>
          <w:b/>
          <w:szCs w:val="24"/>
          <w:lang w:eastAsia="en-US"/>
        </w:rPr>
      </w:pPr>
      <w:r w:rsidRPr="002575EA">
        <w:rPr>
          <w:rFonts w:eastAsiaTheme="minorHAnsi" w:cstheme="minorBidi"/>
          <w:b/>
          <w:szCs w:val="24"/>
          <w:lang w:eastAsia="en-US"/>
        </w:rPr>
        <w:t xml:space="preserve">Procureur général de l’Ontario, </w:t>
      </w:r>
      <w:proofErr w:type="spellStart"/>
      <w:r w:rsidRPr="002575EA">
        <w:rPr>
          <w:rFonts w:eastAsiaTheme="minorHAnsi" w:cstheme="minorBidi"/>
          <w:b/>
          <w:szCs w:val="24"/>
          <w:lang w:eastAsia="en-US"/>
        </w:rPr>
        <w:t>Community</w:t>
      </w:r>
      <w:proofErr w:type="spellEnd"/>
      <w:r w:rsidRPr="002575EA">
        <w:rPr>
          <w:rFonts w:eastAsiaTheme="minorHAnsi" w:cstheme="minorBidi"/>
          <w:b/>
          <w:szCs w:val="24"/>
          <w:lang w:eastAsia="en-US"/>
        </w:rPr>
        <w:t xml:space="preserve"> </w:t>
      </w:r>
      <w:proofErr w:type="spellStart"/>
      <w:r w:rsidRPr="002575EA">
        <w:rPr>
          <w:rFonts w:eastAsiaTheme="minorHAnsi" w:cstheme="minorBidi"/>
          <w:b/>
          <w:szCs w:val="24"/>
          <w:lang w:eastAsia="en-US"/>
        </w:rPr>
        <w:t>Legal</w:t>
      </w:r>
      <w:proofErr w:type="spellEnd"/>
      <w:r w:rsidRPr="002575EA">
        <w:rPr>
          <w:rFonts w:eastAsiaTheme="minorHAnsi" w:cstheme="minorBidi"/>
          <w:b/>
          <w:szCs w:val="24"/>
          <w:lang w:eastAsia="en-US"/>
        </w:rPr>
        <w:t xml:space="preserve"> Assistance Society, Association des libertés civiles de la Colombie-Britannique, </w:t>
      </w:r>
      <w:proofErr w:type="spellStart"/>
      <w:r w:rsidRPr="002575EA">
        <w:rPr>
          <w:rFonts w:eastAsiaTheme="minorHAnsi" w:cstheme="minorBidi"/>
          <w:b/>
          <w:szCs w:val="24"/>
          <w:lang w:eastAsia="en-US"/>
        </w:rPr>
        <w:t>Ecojustice</w:t>
      </w:r>
      <w:proofErr w:type="spellEnd"/>
      <w:r w:rsidRPr="002575EA">
        <w:rPr>
          <w:rFonts w:eastAsiaTheme="minorHAnsi" w:cstheme="minorBidi"/>
          <w:b/>
          <w:szCs w:val="24"/>
          <w:lang w:eastAsia="en-US"/>
        </w:rPr>
        <w:t xml:space="preserve"> Canada, Coalition of West </w:t>
      </w:r>
      <w:proofErr w:type="spellStart"/>
      <w:r w:rsidRPr="002575EA">
        <w:rPr>
          <w:rFonts w:eastAsiaTheme="minorHAnsi" w:cstheme="minorBidi"/>
          <w:b/>
          <w:szCs w:val="24"/>
          <w:lang w:eastAsia="en-US"/>
        </w:rPr>
        <w:t>Coast</w:t>
      </w:r>
      <w:proofErr w:type="spellEnd"/>
      <w:r w:rsidRPr="002575EA">
        <w:rPr>
          <w:rFonts w:eastAsiaTheme="minorHAnsi" w:cstheme="minorBidi"/>
          <w:b/>
          <w:szCs w:val="24"/>
          <w:lang w:eastAsia="en-US"/>
        </w:rPr>
        <w:t xml:space="preserve"> </w:t>
      </w:r>
      <w:proofErr w:type="spellStart"/>
      <w:r w:rsidRPr="002575EA">
        <w:rPr>
          <w:rFonts w:eastAsiaTheme="minorHAnsi" w:cstheme="minorBidi"/>
          <w:b/>
          <w:szCs w:val="24"/>
          <w:lang w:eastAsia="en-US"/>
        </w:rPr>
        <w:t>Women’s</w:t>
      </w:r>
      <w:proofErr w:type="spellEnd"/>
      <w:r w:rsidRPr="002575EA">
        <w:rPr>
          <w:rFonts w:eastAsiaTheme="minorHAnsi" w:cstheme="minorBidi"/>
          <w:b/>
          <w:szCs w:val="24"/>
          <w:lang w:eastAsia="en-US"/>
        </w:rPr>
        <w:t xml:space="preserve"> </w:t>
      </w:r>
      <w:proofErr w:type="spellStart"/>
      <w:r w:rsidRPr="002575EA">
        <w:rPr>
          <w:rFonts w:eastAsiaTheme="minorHAnsi" w:cstheme="minorBidi"/>
          <w:b/>
          <w:szCs w:val="24"/>
          <w:lang w:eastAsia="en-US"/>
        </w:rPr>
        <w:t>Legal</w:t>
      </w:r>
      <w:proofErr w:type="spellEnd"/>
      <w:r w:rsidRPr="002575EA">
        <w:rPr>
          <w:rFonts w:eastAsiaTheme="minorHAnsi" w:cstheme="minorBidi"/>
          <w:b/>
          <w:szCs w:val="24"/>
          <w:lang w:eastAsia="en-US"/>
        </w:rPr>
        <w:t xml:space="preserve"> </w:t>
      </w:r>
      <w:proofErr w:type="spellStart"/>
      <w:r w:rsidRPr="002575EA">
        <w:rPr>
          <w:rFonts w:eastAsiaTheme="minorHAnsi" w:cstheme="minorBidi"/>
          <w:b/>
          <w:szCs w:val="24"/>
          <w:lang w:eastAsia="en-US"/>
        </w:rPr>
        <w:t>Education</w:t>
      </w:r>
      <w:proofErr w:type="spellEnd"/>
      <w:r w:rsidRPr="002575EA">
        <w:rPr>
          <w:rFonts w:eastAsiaTheme="minorHAnsi" w:cstheme="minorBidi"/>
          <w:b/>
          <w:szCs w:val="24"/>
          <w:lang w:eastAsia="en-US"/>
        </w:rPr>
        <w:t xml:space="preserve"> and Action </w:t>
      </w:r>
      <w:proofErr w:type="spellStart"/>
      <w:r w:rsidRPr="002575EA">
        <w:rPr>
          <w:rFonts w:eastAsiaTheme="minorHAnsi" w:cstheme="minorBidi"/>
          <w:b/>
          <w:szCs w:val="24"/>
          <w:lang w:eastAsia="en-US"/>
        </w:rPr>
        <w:t>Fund</w:t>
      </w:r>
      <w:proofErr w:type="spellEnd"/>
      <w:r w:rsidRPr="002575EA">
        <w:rPr>
          <w:rFonts w:eastAsiaTheme="minorHAnsi" w:cstheme="minorBidi"/>
          <w:b/>
          <w:szCs w:val="24"/>
          <w:lang w:eastAsia="en-US"/>
        </w:rPr>
        <w:t xml:space="preserve"> (West </w:t>
      </w:r>
      <w:proofErr w:type="spellStart"/>
      <w:r w:rsidRPr="002575EA">
        <w:rPr>
          <w:rFonts w:eastAsiaTheme="minorHAnsi" w:cstheme="minorBidi"/>
          <w:b/>
          <w:szCs w:val="24"/>
          <w:lang w:eastAsia="en-US"/>
        </w:rPr>
        <w:t>Coast</w:t>
      </w:r>
      <w:proofErr w:type="spellEnd"/>
      <w:r w:rsidRPr="002575EA">
        <w:rPr>
          <w:rFonts w:eastAsiaTheme="minorHAnsi" w:cstheme="minorBidi"/>
          <w:b/>
          <w:szCs w:val="24"/>
          <w:lang w:eastAsia="en-US"/>
        </w:rPr>
        <w:t xml:space="preserve"> LEAF), Justice for </w:t>
      </w:r>
      <w:proofErr w:type="spellStart"/>
      <w:r w:rsidRPr="002575EA">
        <w:rPr>
          <w:rFonts w:eastAsiaTheme="minorHAnsi" w:cstheme="minorBidi"/>
          <w:b/>
          <w:szCs w:val="24"/>
          <w:lang w:eastAsia="en-US"/>
        </w:rPr>
        <w:t>Children</w:t>
      </w:r>
      <w:proofErr w:type="spellEnd"/>
      <w:r w:rsidRPr="002575EA">
        <w:rPr>
          <w:rFonts w:eastAsiaTheme="minorHAnsi" w:cstheme="minorBidi"/>
          <w:b/>
          <w:szCs w:val="24"/>
          <w:lang w:eastAsia="en-US"/>
        </w:rPr>
        <w:t xml:space="preserve"> and </w:t>
      </w:r>
      <w:proofErr w:type="spellStart"/>
      <w:r w:rsidRPr="002575EA">
        <w:rPr>
          <w:rFonts w:eastAsiaTheme="minorHAnsi" w:cstheme="minorBidi"/>
          <w:b/>
          <w:szCs w:val="24"/>
          <w:lang w:eastAsia="en-US"/>
        </w:rPr>
        <w:t>Youth</w:t>
      </w:r>
      <w:proofErr w:type="spellEnd"/>
      <w:r w:rsidRPr="002575EA">
        <w:rPr>
          <w:rFonts w:eastAsiaTheme="minorHAnsi" w:cstheme="minorBidi"/>
          <w:b/>
          <w:szCs w:val="24"/>
          <w:lang w:eastAsia="en-US"/>
        </w:rPr>
        <w:t xml:space="preserve">, ARCH </w:t>
      </w:r>
      <w:proofErr w:type="spellStart"/>
      <w:r w:rsidRPr="002575EA">
        <w:rPr>
          <w:rFonts w:eastAsiaTheme="minorHAnsi" w:cstheme="minorBidi"/>
          <w:b/>
          <w:szCs w:val="24"/>
          <w:lang w:eastAsia="en-US"/>
        </w:rPr>
        <w:t>Disability</w:t>
      </w:r>
      <w:proofErr w:type="spellEnd"/>
      <w:r w:rsidRPr="002575EA">
        <w:rPr>
          <w:rFonts w:eastAsiaTheme="minorHAnsi" w:cstheme="minorBidi"/>
          <w:b/>
          <w:szCs w:val="24"/>
          <w:lang w:eastAsia="en-US"/>
        </w:rPr>
        <w:t xml:space="preserve"> Law Centre, Conseil scolaire francophone de la Colombie-Britannique, David </w:t>
      </w:r>
      <w:proofErr w:type="spellStart"/>
      <w:r w:rsidRPr="002575EA">
        <w:rPr>
          <w:rFonts w:eastAsiaTheme="minorHAnsi" w:cstheme="minorBidi"/>
          <w:b/>
          <w:szCs w:val="24"/>
          <w:lang w:eastAsia="en-US"/>
        </w:rPr>
        <w:t>Asper</w:t>
      </w:r>
      <w:proofErr w:type="spellEnd"/>
      <w:r w:rsidRPr="002575EA">
        <w:rPr>
          <w:rFonts w:eastAsiaTheme="minorHAnsi" w:cstheme="minorBidi"/>
          <w:b/>
          <w:szCs w:val="24"/>
          <w:lang w:eastAsia="en-US"/>
        </w:rPr>
        <w:t xml:space="preserve"> Centre for </w:t>
      </w:r>
      <w:proofErr w:type="spellStart"/>
      <w:r w:rsidRPr="002575EA">
        <w:rPr>
          <w:rFonts w:eastAsiaTheme="minorHAnsi" w:cstheme="minorBidi"/>
          <w:b/>
          <w:szCs w:val="24"/>
          <w:lang w:eastAsia="en-US"/>
        </w:rPr>
        <w:t>Constitutional</w:t>
      </w:r>
      <w:proofErr w:type="spellEnd"/>
      <w:r w:rsidRPr="002575EA">
        <w:rPr>
          <w:rFonts w:eastAsiaTheme="minorHAnsi" w:cstheme="minorBidi"/>
          <w:b/>
          <w:szCs w:val="24"/>
          <w:lang w:eastAsia="en-US"/>
        </w:rPr>
        <w:t xml:space="preserve"> </w:t>
      </w:r>
      <w:proofErr w:type="spellStart"/>
      <w:r w:rsidRPr="002575EA">
        <w:rPr>
          <w:rFonts w:eastAsiaTheme="minorHAnsi" w:cstheme="minorBidi"/>
          <w:b/>
          <w:szCs w:val="24"/>
          <w:lang w:eastAsia="en-US"/>
        </w:rPr>
        <w:t>Rights</w:t>
      </w:r>
      <w:proofErr w:type="spellEnd"/>
      <w:r w:rsidRPr="002575EA">
        <w:rPr>
          <w:rFonts w:eastAsiaTheme="minorHAnsi" w:cstheme="minorBidi"/>
          <w:b/>
          <w:szCs w:val="24"/>
          <w:lang w:eastAsia="en-US"/>
        </w:rPr>
        <w:t xml:space="preserve">, Association canadienne des libertés civiles, Association canadienne des avocats et avocates en droit des réfugiés, Conseil canadien pour les réfugiés, Réseau juridique canadien VIH/sida, HIV &amp; AIDS </w:t>
      </w:r>
      <w:proofErr w:type="spellStart"/>
      <w:r w:rsidRPr="002575EA">
        <w:rPr>
          <w:rFonts w:eastAsiaTheme="minorHAnsi" w:cstheme="minorBidi"/>
          <w:b/>
          <w:szCs w:val="24"/>
          <w:lang w:eastAsia="en-US"/>
        </w:rPr>
        <w:t>Legal</w:t>
      </w:r>
      <w:proofErr w:type="spellEnd"/>
      <w:r w:rsidRPr="002575EA">
        <w:rPr>
          <w:rFonts w:eastAsiaTheme="minorHAnsi" w:cstheme="minorBidi"/>
          <w:b/>
          <w:szCs w:val="24"/>
          <w:lang w:eastAsia="en-US"/>
        </w:rPr>
        <w:t xml:space="preserve"> </w:t>
      </w:r>
      <w:proofErr w:type="spellStart"/>
      <w:r w:rsidRPr="002575EA">
        <w:rPr>
          <w:rFonts w:eastAsiaTheme="minorHAnsi" w:cstheme="minorBidi"/>
          <w:b/>
          <w:szCs w:val="24"/>
          <w:lang w:eastAsia="en-US"/>
        </w:rPr>
        <w:t>Clinic</w:t>
      </w:r>
      <w:proofErr w:type="spellEnd"/>
      <w:r w:rsidRPr="002575EA">
        <w:rPr>
          <w:rFonts w:eastAsiaTheme="minorHAnsi" w:cstheme="minorBidi"/>
          <w:b/>
          <w:szCs w:val="24"/>
          <w:lang w:eastAsia="en-US"/>
        </w:rPr>
        <w:t xml:space="preserve"> Ontario et Positive Living Society of British Columbia</w:t>
      </w:r>
    </w:p>
    <w:p w:rsidR="00413EDC" w:rsidRPr="002575EA" w:rsidRDefault="00413EDC" w:rsidP="00413EDC">
      <w:pPr>
        <w:jc w:val="center"/>
        <w:rPr>
          <w:rFonts w:eastAsiaTheme="minorHAnsi" w:cstheme="minorBidi"/>
          <w:szCs w:val="24"/>
          <w:lang w:eastAsia="en-US"/>
        </w:rPr>
      </w:pPr>
      <w:r w:rsidRPr="002575EA">
        <w:rPr>
          <w:rFonts w:eastAsiaTheme="minorHAnsi" w:cstheme="minorBidi"/>
          <w:szCs w:val="24"/>
          <w:lang w:eastAsia="en-US"/>
        </w:rPr>
        <w:t>Intervenants</w:t>
      </w:r>
    </w:p>
    <w:p w:rsidR="00413EDC" w:rsidRPr="002575EA" w:rsidRDefault="00413EDC" w:rsidP="00413EDC">
      <w:pPr>
        <w:rPr>
          <w:rFonts w:eastAsiaTheme="minorHAnsi" w:cstheme="minorBidi"/>
          <w:szCs w:val="24"/>
          <w:lang w:eastAsia="en-US"/>
        </w:rPr>
      </w:pPr>
    </w:p>
    <w:p w:rsidR="00413EDC" w:rsidRPr="002575EA" w:rsidRDefault="00413EDC" w:rsidP="00413EDC">
      <w:pPr>
        <w:rPr>
          <w:rFonts w:eastAsiaTheme="minorHAnsi" w:cstheme="minorBidi"/>
          <w:szCs w:val="24"/>
          <w:lang w:eastAsia="en-US"/>
        </w:rPr>
      </w:pPr>
    </w:p>
    <w:p w:rsidR="00413EDC" w:rsidRPr="002575EA" w:rsidRDefault="00413EDC" w:rsidP="00413EDC">
      <w:pPr>
        <w:jc w:val="center"/>
        <w:rPr>
          <w:rFonts w:eastAsiaTheme="minorHAnsi" w:cstheme="minorBidi"/>
          <w:b/>
          <w:smallCaps/>
          <w:szCs w:val="24"/>
          <w:lang w:eastAsia="en-US"/>
        </w:rPr>
      </w:pPr>
      <w:r w:rsidRPr="002575EA">
        <w:rPr>
          <w:rFonts w:eastAsiaTheme="minorHAnsi" w:cstheme="minorBidi"/>
          <w:b/>
          <w:smallCaps/>
          <w:szCs w:val="24"/>
          <w:lang w:eastAsia="en-US"/>
        </w:rPr>
        <w:t>Traduction française officielle</w:t>
      </w:r>
    </w:p>
    <w:p w:rsidR="00413EDC" w:rsidRPr="002575EA" w:rsidRDefault="00413EDC" w:rsidP="00413EDC">
      <w:pPr>
        <w:rPr>
          <w:rFonts w:eastAsiaTheme="minorHAnsi" w:cstheme="minorBidi"/>
          <w:szCs w:val="24"/>
          <w:lang w:eastAsia="en-US"/>
        </w:rPr>
      </w:pPr>
    </w:p>
    <w:p w:rsidR="00413EDC" w:rsidRPr="002575EA" w:rsidRDefault="00413EDC" w:rsidP="00413EDC">
      <w:pPr>
        <w:rPr>
          <w:rFonts w:eastAsiaTheme="minorHAnsi" w:cstheme="minorBidi"/>
          <w:szCs w:val="24"/>
          <w:lang w:eastAsia="en-US"/>
        </w:rPr>
      </w:pPr>
      <w:r w:rsidRPr="002575EA">
        <w:rPr>
          <w:rFonts w:eastAsiaTheme="minorHAnsi" w:cstheme="minorBidi"/>
          <w:b/>
          <w:smallCaps/>
          <w:szCs w:val="24"/>
          <w:lang w:eastAsia="en-US"/>
        </w:rPr>
        <w:t>Coram :</w:t>
      </w:r>
      <w:r w:rsidRPr="002575EA">
        <w:rPr>
          <w:rFonts w:eastAsiaTheme="minorHAnsi" w:cstheme="minorBidi"/>
          <w:szCs w:val="24"/>
          <w:lang w:eastAsia="en-US"/>
        </w:rPr>
        <w:t xml:space="preserve"> La juge en chef </w:t>
      </w:r>
      <w:proofErr w:type="spellStart"/>
      <w:r w:rsidRPr="002575EA">
        <w:rPr>
          <w:rFonts w:eastAsiaTheme="minorHAnsi" w:cstheme="minorBidi"/>
          <w:szCs w:val="24"/>
          <w:lang w:eastAsia="en-US"/>
        </w:rPr>
        <w:t>McLachlin</w:t>
      </w:r>
      <w:proofErr w:type="spellEnd"/>
      <w:r w:rsidRPr="002575EA">
        <w:rPr>
          <w:rFonts w:eastAsiaTheme="minorHAnsi" w:cstheme="minorBidi"/>
          <w:szCs w:val="24"/>
          <w:lang w:eastAsia="en-US"/>
        </w:rPr>
        <w:t xml:space="preserve"> et les juges </w:t>
      </w:r>
      <w:proofErr w:type="spellStart"/>
      <w:r w:rsidRPr="002575EA">
        <w:rPr>
          <w:rFonts w:eastAsiaTheme="minorHAnsi" w:cstheme="minorBidi"/>
          <w:szCs w:val="24"/>
          <w:lang w:eastAsia="en-US"/>
        </w:rPr>
        <w:t>LeBel</w:t>
      </w:r>
      <w:proofErr w:type="spellEnd"/>
      <w:r w:rsidRPr="002575EA">
        <w:rPr>
          <w:rFonts w:eastAsiaTheme="minorHAnsi" w:cstheme="minorBidi"/>
          <w:szCs w:val="24"/>
          <w:lang w:eastAsia="en-US"/>
        </w:rPr>
        <w:t xml:space="preserve">, Deschamps, Fish, Abella, </w:t>
      </w:r>
      <w:proofErr w:type="spellStart"/>
      <w:r w:rsidRPr="002575EA">
        <w:rPr>
          <w:rFonts w:eastAsiaTheme="minorHAnsi" w:cstheme="minorBidi"/>
          <w:szCs w:val="24"/>
          <w:lang w:eastAsia="en-US"/>
        </w:rPr>
        <w:t>Rothstein</w:t>
      </w:r>
      <w:proofErr w:type="spellEnd"/>
      <w:r w:rsidRPr="002575EA">
        <w:rPr>
          <w:rFonts w:eastAsiaTheme="minorHAnsi" w:cstheme="minorBidi"/>
          <w:szCs w:val="24"/>
          <w:lang w:eastAsia="en-US"/>
        </w:rPr>
        <w:t xml:space="preserve">, Cromwell, </w:t>
      </w:r>
      <w:proofErr w:type="spellStart"/>
      <w:r w:rsidRPr="002575EA">
        <w:rPr>
          <w:rFonts w:eastAsiaTheme="minorHAnsi" w:cstheme="minorBidi"/>
          <w:szCs w:val="24"/>
          <w:lang w:eastAsia="en-US"/>
        </w:rPr>
        <w:t>Moldaver</w:t>
      </w:r>
      <w:proofErr w:type="spellEnd"/>
      <w:r w:rsidRPr="002575EA">
        <w:rPr>
          <w:rFonts w:eastAsiaTheme="minorHAnsi" w:cstheme="minorBidi"/>
          <w:szCs w:val="24"/>
          <w:lang w:eastAsia="en-US"/>
        </w:rPr>
        <w:t xml:space="preserve"> et </w:t>
      </w:r>
      <w:proofErr w:type="spellStart"/>
      <w:r w:rsidRPr="002575EA">
        <w:rPr>
          <w:rFonts w:eastAsiaTheme="minorHAnsi" w:cstheme="minorBidi"/>
          <w:szCs w:val="24"/>
          <w:lang w:eastAsia="en-US"/>
        </w:rPr>
        <w:t>Karakatsanis</w:t>
      </w:r>
      <w:proofErr w:type="spellEnd"/>
    </w:p>
    <w:p w:rsidR="00413EDC" w:rsidRPr="002575EA" w:rsidRDefault="00413EDC" w:rsidP="00413EDC">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413EDC" w:rsidRPr="002575EA" w:rsidTr="002F6440">
        <w:trPr>
          <w:cantSplit/>
        </w:trPr>
        <w:tc>
          <w:tcPr>
            <w:tcW w:w="3618" w:type="dxa"/>
          </w:tcPr>
          <w:p w:rsidR="00413EDC" w:rsidRPr="002575EA" w:rsidRDefault="00413EDC" w:rsidP="002F6440">
            <w:pPr>
              <w:rPr>
                <w:b/>
                <w:smallCaps/>
              </w:rPr>
            </w:pPr>
            <w:r w:rsidRPr="002575EA">
              <w:rPr>
                <w:b/>
                <w:smallCaps/>
              </w:rPr>
              <w:t>Motifs de jugement :</w:t>
            </w:r>
          </w:p>
          <w:p w:rsidR="00413EDC" w:rsidRPr="002575EA" w:rsidRDefault="00413EDC" w:rsidP="002F6440">
            <w:r w:rsidRPr="002575EA">
              <w:t>(par. 1 à 78)</w:t>
            </w:r>
          </w:p>
        </w:tc>
        <w:tc>
          <w:tcPr>
            <w:tcW w:w="5958" w:type="dxa"/>
          </w:tcPr>
          <w:p w:rsidR="00413EDC" w:rsidRPr="002575EA" w:rsidRDefault="00413EDC" w:rsidP="002F6440">
            <w:r w:rsidRPr="002575EA">
              <w:t xml:space="preserve">Le juge Cromwell (avec l’accord de la juge en chef </w:t>
            </w:r>
            <w:proofErr w:type="spellStart"/>
            <w:r w:rsidRPr="002575EA">
              <w:t>McLachlin</w:t>
            </w:r>
            <w:proofErr w:type="spellEnd"/>
            <w:r w:rsidRPr="002575EA">
              <w:t xml:space="preserve"> et des juges </w:t>
            </w:r>
            <w:proofErr w:type="spellStart"/>
            <w:r w:rsidRPr="002575EA">
              <w:t>LeBel</w:t>
            </w:r>
            <w:proofErr w:type="spellEnd"/>
            <w:r w:rsidRPr="002575EA">
              <w:t xml:space="preserve">, Deschamps, Fish, Abella, </w:t>
            </w:r>
            <w:proofErr w:type="spellStart"/>
            <w:r w:rsidRPr="002575EA">
              <w:t>Rothstein</w:t>
            </w:r>
            <w:proofErr w:type="spellEnd"/>
            <w:r w:rsidRPr="002575EA">
              <w:t xml:space="preserve">, </w:t>
            </w:r>
            <w:proofErr w:type="spellStart"/>
            <w:r w:rsidRPr="002575EA">
              <w:t>Moldaver</w:t>
            </w:r>
            <w:proofErr w:type="spellEnd"/>
            <w:r w:rsidRPr="002575EA">
              <w:t xml:space="preserve"> et </w:t>
            </w:r>
            <w:proofErr w:type="spellStart"/>
            <w:r w:rsidRPr="002575EA">
              <w:t>Karakatsanis</w:t>
            </w:r>
            <w:proofErr w:type="spellEnd"/>
            <w:r w:rsidRPr="002575EA">
              <w:t>)</w:t>
            </w:r>
          </w:p>
        </w:tc>
      </w:tr>
    </w:tbl>
    <w:p w:rsidR="00413EDC" w:rsidRPr="002575EA" w:rsidRDefault="00413EDC" w:rsidP="00413EDC">
      <w:pPr>
        <w:rPr>
          <w:rFonts w:eastAsiaTheme="minorHAnsi" w:cstheme="minorBidi"/>
          <w:szCs w:val="24"/>
          <w:lang w:eastAsia="en-US"/>
        </w:rPr>
      </w:pPr>
    </w:p>
    <w:p w:rsidR="00413EDC" w:rsidRPr="002575EA" w:rsidRDefault="00413EDC" w:rsidP="00413EDC">
      <w:pPr>
        <w:rPr>
          <w:rFonts w:eastAsiaTheme="minorHAnsi" w:cstheme="minorBidi"/>
          <w:szCs w:val="24"/>
          <w:lang w:eastAsia="en-US"/>
        </w:rPr>
      </w:pPr>
    </w:p>
    <w:p w:rsidR="00413EDC" w:rsidRPr="002575EA" w:rsidRDefault="00413EDC" w:rsidP="00413EDC">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413EDC" w:rsidRPr="002575EA" w:rsidRDefault="00413EDC" w:rsidP="00413EDC">
      <w:pPr>
        <w:rPr>
          <w:smallCaps/>
        </w:rPr>
      </w:pPr>
      <w:r w:rsidRPr="002575EA">
        <w:rPr>
          <w:smallCaps/>
        </w:rPr>
        <w:br w:type="page"/>
      </w:r>
    </w:p>
    <w:p w:rsidR="008322BD" w:rsidRPr="003801F5" w:rsidRDefault="003801F5" w:rsidP="00DB656D">
      <w:pPr>
        <w:spacing w:after="720"/>
        <w:jc w:val="both"/>
        <w:rPr>
          <w:lang w:val="en-US"/>
        </w:rPr>
      </w:pPr>
      <w:r w:rsidRPr="003801F5">
        <w:rPr>
          <w:lang w:val="en-US"/>
        </w:rPr>
        <w:lastRenderedPageBreak/>
        <w:t>Canada (</w:t>
      </w:r>
      <w:proofErr w:type="spellStart"/>
      <w:r w:rsidRPr="003801F5">
        <w:rPr>
          <w:lang w:val="en-US"/>
        </w:rPr>
        <w:t>Procureur</w:t>
      </w:r>
      <w:proofErr w:type="spellEnd"/>
      <w:r w:rsidRPr="003801F5">
        <w:rPr>
          <w:lang w:val="en-US"/>
        </w:rPr>
        <w:t xml:space="preserve"> </w:t>
      </w:r>
      <w:proofErr w:type="spellStart"/>
      <w:r w:rsidRPr="003801F5">
        <w:rPr>
          <w:lang w:val="en-US"/>
        </w:rPr>
        <w:t>général</w:t>
      </w:r>
      <w:proofErr w:type="spellEnd"/>
      <w:r w:rsidRPr="003801F5">
        <w:rPr>
          <w:lang w:val="en-US"/>
        </w:rPr>
        <w:t>)</w:t>
      </w:r>
      <w:r w:rsidRPr="003801F5">
        <w:rPr>
          <w:i/>
          <w:lang w:val="en-US"/>
        </w:rPr>
        <w:t xml:space="preserve"> c.</w:t>
      </w:r>
      <w:r w:rsidRPr="003801F5">
        <w:rPr>
          <w:lang w:val="en-US"/>
        </w:rPr>
        <w:t xml:space="preserve"> Downtown Eastside Sex Workers United </w:t>
      </w:r>
      <w:proofErr w:type="gramStart"/>
      <w:r w:rsidRPr="003801F5">
        <w:rPr>
          <w:lang w:val="en-US"/>
        </w:rPr>
        <w:t>Against</w:t>
      </w:r>
      <w:proofErr w:type="gramEnd"/>
      <w:r w:rsidRPr="003801F5">
        <w:rPr>
          <w:lang w:val="en-US"/>
        </w:rPr>
        <w:t xml:space="preserve"> Violence Society</w:t>
      </w:r>
      <w:r>
        <w:rPr>
          <w:lang w:val="en-US"/>
        </w:rPr>
        <w:t>, 2012 CSC 45, [2012] 2 R.C.S. 524</w:t>
      </w:r>
    </w:p>
    <w:p w:rsidR="003801F5" w:rsidRPr="00DB656D" w:rsidRDefault="003801F5" w:rsidP="00DB656D">
      <w:pPr>
        <w:spacing w:after="720"/>
        <w:jc w:val="both"/>
        <w:rPr>
          <w:lang w:val="en-US"/>
        </w:rPr>
      </w:pPr>
    </w:p>
    <w:p w:rsidR="00F73EA2" w:rsidRPr="00BF115F" w:rsidRDefault="001D1434" w:rsidP="00DB656D">
      <w:pPr>
        <w:pStyle w:val="SCCLsocParty"/>
        <w:tabs>
          <w:tab w:val="right" w:pos="8280"/>
        </w:tabs>
        <w:spacing w:after="720"/>
        <w:rPr>
          <w:lang w:val="en-US"/>
        </w:rPr>
      </w:pPr>
      <w:proofErr w:type="spellStart"/>
      <w:r w:rsidRPr="00BF115F">
        <w:rPr>
          <w:lang w:val="en-US"/>
        </w:rPr>
        <w:t>Procureur</w:t>
      </w:r>
      <w:proofErr w:type="spellEnd"/>
      <w:r w:rsidRPr="00BF115F">
        <w:rPr>
          <w:lang w:val="en-US"/>
        </w:rPr>
        <w:t xml:space="preserve"> </w:t>
      </w:r>
      <w:proofErr w:type="spellStart"/>
      <w:r w:rsidRPr="00BF115F">
        <w:rPr>
          <w:lang w:val="en-US"/>
        </w:rPr>
        <w:t>général</w:t>
      </w:r>
      <w:proofErr w:type="spellEnd"/>
      <w:r w:rsidRPr="00BF115F">
        <w:rPr>
          <w:lang w:val="en-US"/>
        </w:rPr>
        <w:t xml:space="preserve"> du Canada</w:t>
      </w:r>
      <w:r w:rsidR="00DB656D" w:rsidRPr="00BF115F">
        <w:rPr>
          <w:lang w:val="en-US"/>
        </w:rPr>
        <w:tab/>
      </w:r>
      <w:proofErr w:type="spellStart"/>
      <w:r w:rsidRPr="00BF115F">
        <w:rPr>
          <w:b w:val="0"/>
          <w:i/>
          <w:lang w:val="en-US"/>
        </w:rPr>
        <w:t>Appelant</w:t>
      </w:r>
      <w:proofErr w:type="spellEnd"/>
    </w:p>
    <w:p w:rsidR="00F73EA2" w:rsidRPr="00BF115F" w:rsidRDefault="001D1434" w:rsidP="00DB656D">
      <w:pPr>
        <w:pStyle w:val="SCCLsocVersus"/>
        <w:spacing w:after="720"/>
        <w:rPr>
          <w:lang w:val="en-US"/>
        </w:rPr>
      </w:pPr>
      <w:proofErr w:type="gramStart"/>
      <w:r w:rsidRPr="00BF115F">
        <w:rPr>
          <w:lang w:val="en-US"/>
        </w:rPr>
        <w:t>c</w:t>
      </w:r>
      <w:proofErr w:type="gramEnd"/>
      <w:r w:rsidRPr="00BF115F">
        <w:rPr>
          <w:lang w:val="en-US"/>
        </w:rPr>
        <w:t>.</w:t>
      </w:r>
    </w:p>
    <w:p w:rsidR="00DB656D" w:rsidRDefault="001D1434">
      <w:pPr>
        <w:pStyle w:val="SCCLsocParty"/>
        <w:rPr>
          <w:lang w:val="en-US"/>
        </w:rPr>
      </w:pPr>
      <w:r w:rsidRPr="00DB656D">
        <w:rPr>
          <w:lang w:val="en-US"/>
        </w:rPr>
        <w:t xml:space="preserve">Downtown Eastside Sex Workers United Against </w:t>
      </w:r>
    </w:p>
    <w:p w:rsidR="00F73EA2" w:rsidRDefault="001D1434" w:rsidP="00DB656D">
      <w:pPr>
        <w:pStyle w:val="SCCLsocParty"/>
        <w:tabs>
          <w:tab w:val="right" w:pos="8280"/>
        </w:tabs>
        <w:spacing w:after="720"/>
      </w:pPr>
      <w:r w:rsidRPr="00670743">
        <w:t>Violence Society</w:t>
      </w:r>
      <w:r w:rsidR="00BD2768" w:rsidRPr="00670743">
        <w:t xml:space="preserve"> et</w:t>
      </w:r>
      <w:r w:rsidRPr="00670743">
        <w:t xml:space="preserve"> </w:t>
      </w:r>
      <w:proofErr w:type="spellStart"/>
      <w:r>
        <w:t>Sheryl</w:t>
      </w:r>
      <w:proofErr w:type="spellEnd"/>
      <w:r>
        <w:t xml:space="preserve"> </w:t>
      </w:r>
      <w:proofErr w:type="spellStart"/>
      <w:r>
        <w:t>Kiselbach</w:t>
      </w:r>
      <w:proofErr w:type="spellEnd"/>
      <w:r w:rsidR="00DB656D">
        <w:tab/>
      </w:r>
      <w:r w:rsidRPr="00DB656D">
        <w:rPr>
          <w:b w:val="0"/>
          <w:i/>
        </w:rPr>
        <w:t>Intimées</w:t>
      </w:r>
    </w:p>
    <w:p w:rsidR="00F73EA2" w:rsidRDefault="001D1434" w:rsidP="00DB656D">
      <w:pPr>
        <w:pStyle w:val="SCCLsocOtherPartySeparator"/>
        <w:spacing w:after="720"/>
      </w:pPr>
      <w:proofErr w:type="gramStart"/>
      <w:r>
        <w:t>et</w:t>
      </w:r>
      <w:proofErr w:type="gramEnd"/>
    </w:p>
    <w:p w:rsidR="00F73EA2" w:rsidRDefault="00BD2768">
      <w:pPr>
        <w:pStyle w:val="SCCLsocParty"/>
      </w:pPr>
      <w:r>
        <w:t>Procureur général de l’</w:t>
      </w:r>
      <w:r w:rsidR="001D1434">
        <w:t xml:space="preserve">Ontario, </w:t>
      </w:r>
    </w:p>
    <w:p w:rsidR="00F73EA2" w:rsidRDefault="001D1434">
      <w:pPr>
        <w:pStyle w:val="SCCLsocParty"/>
      </w:pPr>
      <w:proofErr w:type="spellStart"/>
      <w:r>
        <w:t>Community</w:t>
      </w:r>
      <w:proofErr w:type="spellEnd"/>
      <w:r>
        <w:t xml:space="preserve"> </w:t>
      </w:r>
      <w:proofErr w:type="spellStart"/>
      <w:r>
        <w:t>Legal</w:t>
      </w:r>
      <w:proofErr w:type="spellEnd"/>
      <w:r>
        <w:t xml:space="preserve"> Assistance Society, </w:t>
      </w:r>
    </w:p>
    <w:p w:rsidR="00F73EA2" w:rsidRDefault="001D1434">
      <w:pPr>
        <w:pStyle w:val="SCCLsocParty"/>
      </w:pPr>
      <w:r>
        <w:t>Association des libertés civiles de la Colombie</w:t>
      </w:r>
      <w:r w:rsidR="007A379F">
        <w:t>-</w:t>
      </w:r>
      <w:r>
        <w:t xml:space="preserve">Britannique, </w:t>
      </w:r>
    </w:p>
    <w:p w:rsidR="00F73EA2" w:rsidRPr="00DB656D" w:rsidRDefault="001D1434">
      <w:pPr>
        <w:pStyle w:val="SCCLsocParty"/>
        <w:rPr>
          <w:lang w:val="en-US"/>
        </w:rPr>
      </w:pPr>
      <w:proofErr w:type="spellStart"/>
      <w:r w:rsidRPr="00DB656D">
        <w:rPr>
          <w:lang w:val="en-US"/>
        </w:rPr>
        <w:t>Ecojustice</w:t>
      </w:r>
      <w:proofErr w:type="spellEnd"/>
      <w:r w:rsidRPr="00DB656D">
        <w:rPr>
          <w:lang w:val="en-US"/>
        </w:rPr>
        <w:t xml:space="preserve"> Canada, </w:t>
      </w:r>
    </w:p>
    <w:p w:rsidR="00DB656D" w:rsidRDefault="0099185B">
      <w:pPr>
        <w:pStyle w:val="SCCLsocParty"/>
        <w:rPr>
          <w:lang w:val="en-US"/>
        </w:rPr>
      </w:pPr>
      <w:r w:rsidRPr="00DB656D">
        <w:rPr>
          <w:lang w:val="en-US"/>
        </w:rPr>
        <w:t xml:space="preserve">Coalition of </w:t>
      </w:r>
      <w:r w:rsidR="00BD2768" w:rsidRPr="00DB656D">
        <w:rPr>
          <w:lang w:val="en-US"/>
        </w:rPr>
        <w:t>West Coast Women’</w:t>
      </w:r>
      <w:r w:rsidR="001D1434" w:rsidRPr="00DB656D">
        <w:rPr>
          <w:lang w:val="en-US"/>
        </w:rPr>
        <w:t>s Legal Education and</w:t>
      </w:r>
    </w:p>
    <w:p w:rsidR="00DB656D" w:rsidRDefault="001D1434">
      <w:pPr>
        <w:pStyle w:val="SCCLsocParty"/>
        <w:rPr>
          <w:lang w:val="en-US"/>
        </w:rPr>
      </w:pPr>
      <w:r w:rsidRPr="00DB656D">
        <w:rPr>
          <w:lang w:val="en-US"/>
        </w:rPr>
        <w:t>Action Fund (West Coast LEAF), Justice for Children and</w:t>
      </w:r>
    </w:p>
    <w:p w:rsidR="00DB656D" w:rsidRPr="00DB656D" w:rsidRDefault="001D1434">
      <w:pPr>
        <w:pStyle w:val="SCCLsocParty"/>
        <w:rPr>
          <w:lang w:val="en-US"/>
        </w:rPr>
      </w:pPr>
      <w:r w:rsidRPr="00DB656D">
        <w:rPr>
          <w:lang w:val="en-US"/>
        </w:rPr>
        <w:t>Youth</w:t>
      </w:r>
      <w:r w:rsidR="00846251">
        <w:rPr>
          <w:lang w:val="en-US"/>
        </w:rPr>
        <w:t>,</w:t>
      </w:r>
      <w:r w:rsidRPr="00DB656D">
        <w:rPr>
          <w:lang w:val="en-US"/>
        </w:rPr>
        <w:t xml:space="preserve"> ARCH Disability Law Centre, </w:t>
      </w:r>
    </w:p>
    <w:p w:rsidR="00F73EA2" w:rsidRPr="00DB656D" w:rsidRDefault="001D1434">
      <w:pPr>
        <w:pStyle w:val="SCCLsocParty"/>
      </w:pPr>
      <w:r w:rsidRPr="00DB656D">
        <w:t>Conseil scolaire francophone de la Colombie</w:t>
      </w:r>
      <w:r w:rsidR="007A379F">
        <w:t>-</w:t>
      </w:r>
      <w:r w:rsidRPr="00DB656D">
        <w:t xml:space="preserve">Britannique, </w:t>
      </w:r>
    </w:p>
    <w:p w:rsidR="00F73EA2" w:rsidRPr="00DB656D" w:rsidRDefault="001D1434">
      <w:pPr>
        <w:pStyle w:val="SCCLsocParty"/>
        <w:rPr>
          <w:lang w:val="en-US"/>
        </w:rPr>
      </w:pPr>
      <w:r w:rsidRPr="00DB656D">
        <w:rPr>
          <w:lang w:val="en-US"/>
        </w:rPr>
        <w:t xml:space="preserve">David </w:t>
      </w:r>
      <w:proofErr w:type="spellStart"/>
      <w:r w:rsidRPr="00DB656D">
        <w:rPr>
          <w:lang w:val="en-US"/>
        </w:rPr>
        <w:t>Asper</w:t>
      </w:r>
      <w:proofErr w:type="spellEnd"/>
      <w:r w:rsidRPr="00DB656D">
        <w:rPr>
          <w:lang w:val="en-US"/>
        </w:rPr>
        <w:t xml:space="preserve"> Centre for Constitutional Rights, </w:t>
      </w:r>
    </w:p>
    <w:p w:rsidR="00F73EA2" w:rsidRDefault="001D1434">
      <w:pPr>
        <w:pStyle w:val="SCCLsocParty"/>
      </w:pPr>
      <w:r>
        <w:t xml:space="preserve">Association canadienne des libertés civiles, </w:t>
      </w:r>
    </w:p>
    <w:p w:rsidR="009012A4" w:rsidRDefault="001D1434">
      <w:pPr>
        <w:pStyle w:val="SCCLsocParty"/>
      </w:pPr>
      <w:r>
        <w:t>Association</w:t>
      </w:r>
      <w:r w:rsidR="009012A4">
        <w:t xml:space="preserve"> canadienne des avocats et avocates en droit des réfugiés</w:t>
      </w:r>
      <w:r w:rsidR="00BD2768">
        <w:t>,</w:t>
      </w:r>
      <w:r>
        <w:t xml:space="preserve"> </w:t>
      </w:r>
    </w:p>
    <w:p w:rsidR="00F73EA2" w:rsidRDefault="001D1434">
      <w:pPr>
        <w:pStyle w:val="SCCLsocParty"/>
      </w:pPr>
      <w:r>
        <w:t xml:space="preserve">Conseil canadien pour les réfugiés, </w:t>
      </w:r>
    </w:p>
    <w:p w:rsidR="00DB656D" w:rsidRPr="00670743" w:rsidRDefault="001D1434">
      <w:pPr>
        <w:pStyle w:val="SCCLsocParty"/>
      </w:pPr>
      <w:r w:rsidRPr="00670743">
        <w:t>Réseau juridique canadien VIH/sida,</w:t>
      </w:r>
    </w:p>
    <w:p w:rsidR="00DB656D" w:rsidRDefault="001D1434">
      <w:pPr>
        <w:pStyle w:val="SCCLsocParty"/>
        <w:rPr>
          <w:lang w:val="en-US"/>
        </w:rPr>
      </w:pPr>
      <w:r w:rsidRPr="00DB656D">
        <w:rPr>
          <w:lang w:val="en-US"/>
        </w:rPr>
        <w:t xml:space="preserve">HIV &amp; AIDS Legal Clinic Ontario </w:t>
      </w:r>
      <w:proofErr w:type="gramStart"/>
      <w:r w:rsidRPr="00DB656D">
        <w:rPr>
          <w:lang w:val="en-US"/>
        </w:rPr>
        <w:t>et</w:t>
      </w:r>
      <w:proofErr w:type="gramEnd"/>
    </w:p>
    <w:p w:rsidR="00F73EA2" w:rsidRPr="00DB656D" w:rsidRDefault="001D1434" w:rsidP="00DB656D">
      <w:pPr>
        <w:pStyle w:val="SCCLsocParty"/>
        <w:tabs>
          <w:tab w:val="right" w:pos="8280"/>
        </w:tabs>
        <w:spacing w:after="720"/>
        <w:rPr>
          <w:b w:val="0"/>
          <w:i/>
          <w:lang w:val="en-US"/>
        </w:rPr>
      </w:pPr>
      <w:r w:rsidRPr="00DB656D">
        <w:rPr>
          <w:lang w:val="en-US"/>
        </w:rPr>
        <w:t>Positive Living Society of British Columbia</w:t>
      </w:r>
      <w:r w:rsidR="00DB656D">
        <w:rPr>
          <w:lang w:val="en-US"/>
        </w:rPr>
        <w:tab/>
      </w:r>
      <w:proofErr w:type="spellStart"/>
      <w:r w:rsidRPr="00DB656D">
        <w:rPr>
          <w:b w:val="0"/>
          <w:i/>
          <w:lang w:val="en-US"/>
        </w:rPr>
        <w:t>Intervenants</w:t>
      </w:r>
      <w:proofErr w:type="spellEnd"/>
    </w:p>
    <w:p w:rsidR="00426659" w:rsidRPr="00DB656D" w:rsidRDefault="0043088E" w:rsidP="00DB656D">
      <w:pPr>
        <w:spacing w:after="720"/>
        <w:jc w:val="both"/>
        <w:rPr>
          <w:b/>
          <w:lang w:val="en-US"/>
        </w:rPr>
      </w:pPr>
      <w:proofErr w:type="spellStart"/>
      <w:proofErr w:type="gramStart"/>
      <w:r w:rsidRPr="00DB656D">
        <w:rPr>
          <w:b/>
          <w:lang w:val="en-US"/>
        </w:rPr>
        <w:t>Répertorié</w:t>
      </w:r>
      <w:proofErr w:type="spellEnd"/>
      <w:r w:rsidR="003F2E88">
        <w:rPr>
          <w:b/>
          <w:lang w:val="en-US"/>
        </w:rPr>
        <w:t> :</w:t>
      </w:r>
      <w:proofErr w:type="gramEnd"/>
      <w:r w:rsidR="00C67CA5" w:rsidRPr="00DB656D">
        <w:rPr>
          <w:b/>
          <w:lang w:val="en-US"/>
        </w:rPr>
        <w:t> </w:t>
      </w:r>
      <w:r w:rsidR="009A59F9" w:rsidRPr="00B1151B">
        <w:rPr>
          <w:b/>
          <w:lang w:val="en-US"/>
        </w:rPr>
        <w:t>Canada (</w:t>
      </w:r>
      <w:proofErr w:type="spellStart"/>
      <w:r w:rsidR="009A59F9" w:rsidRPr="00B1151B">
        <w:rPr>
          <w:b/>
          <w:lang w:val="en-US"/>
        </w:rPr>
        <w:t>Procureur</w:t>
      </w:r>
      <w:proofErr w:type="spellEnd"/>
      <w:r w:rsidR="009A59F9" w:rsidRPr="00B1151B">
        <w:rPr>
          <w:b/>
          <w:lang w:val="en-US"/>
        </w:rPr>
        <w:t xml:space="preserve"> </w:t>
      </w:r>
      <w:proofErr w:type="spellStart"/>
      <w:r w:rsidR="009A59F9" w:rsidRPr="00B1151B">
        <w:rPr>
          <w:b/>
          <w:lang w:val="en-US"/>
        </w:rPr>
        <w:t>général</w:t>
      </w:r>
      <w:proofErr w:type="spellEnd"/>
      <w:r w:rsidR="009A59F9" w:rsidRPr="00B1151B">
        <w:rPr>
          <w:b/>
          <w:lang w:val="en-US"/>
        </w:rPr>
        <w:t>)</w:t>
      </w:r>
      <w:r w:rsidR="009A59F9" w:rsidRPr="00DB656D">
        <w:rPr>
          <w:b/>
          <w:i/>
          <w:lang w:val="en-US"/>
        </w:rPr>
        <w:t xml:space="preserve"> c.</w:t>
      </w:r>
      <w:r w:rsidR="009A59F9" w:rsidRPr="00DB656D">
        <w:rPr>
          <w:b/>
          <w:lang w:val="en-US"/>
        </w:rPr>
        <w:t xml:space="preserve"> </w:t>
      </w:r>
      <w:r w:rsidR="009A59F9" w:rsidRPr="00B1151B">
        <w:rPr>
          <w:b/>
          <w:lang w:val="en-US"/>
        </w:rPr>
        <w:t>Downtown Eastside Sex Workers United Against Violence Society</w:t>
      </w:r>
    </w:p>
    <w:p w:rsidR="00426659" w:rsidRPr="00DB656D" w:rsidRDefault="00C0663B" w:rsidP="00DB656D">
      <w:pPr>
        <w:pStyle w:val="SCCSystemYear"/>
        <w:spacing w:after="720"/>
        <w:jc w:val="both"/>
      </w:pPr>
      <w:r w:rsidRPr="00DB656D">
        <w:lastRenderedPageBreak/>
        <w:t>2012</w:t>
      </w:r>
      <w:r w:rsidR="00EE0FAF" w:rsidRPr="00DB656D">
        <w:t xml:space="preserve"> </w:t>
      </w:r>
      <w:r w:rsidR="00C71F58" w:rsidRPr="00DB656D">
        <w:t>C</w:t>
      </w:r>
      <w:r w:rsidR="00DB656D">
        <w:t xml:space="preserve">SC </w:t>
      </w:r>
      <w:r w:rsidR="00846251">
        <w:t>45</w:t>
      </w:r>
    </w:p>
    <w:p w:rsidR="008322BD" w:rsidRPr="00A24E15" w:rsidRDefault="009B57B3" w:rsidP="00DB656D">
      <w:pPr>
        <w:spacing w:after="720"/>
        <w:jc w:val="both"/>
      </w:pPr>
      <w:r w:rsidRPr="00A24E15">
        <w:t>N</w:t>
      </w:r>
      <w:r w:rsidRPr="00A24E15">
        <w:rPr>
          <w:vertAlign w:val="superscript"/>
        </w:rPr>
        <w:t>o</w:t>
      </w:r>
      <w:r w:rsidR="0043088E" w:rsidRPr="00A24E15">
        <w:t xml:space="preserve"> du greffe</w:t>
      </w:r>
      <w:r w:rsidR="003F2E88">
        <w:t> :</w:t>
      </w:r>
      <w:r w:rsidR="00C67CA5" w:rsidRPr="00A24E15">
        <w:t> </w:t>
      </w:r>
      <w:r>
        <w:t>33981</w:t>
      </w:r>
      <w:r w:rsidRPr="00A24E15">
        <w:t>.</w:t>
      </w:r>
    </w:p>
    <w:p w:rsidR="008322BD" w:rsidRPr="00A24E15" w:rsidRDefault="00C0663B" w:rsidP="00DB656D">
      <w:pPr>
        <w:spacing w:after="720"/>
        <w:jc w:val="both"/>
      </w:pPr>
      <w:r>
        <w:t>2012</w:t>
      </w:r>
      <w:r w:rsidR="003F2E88">
        <w:t> :</w:t>
      </w:r>
      <w:r w:rsidR="00DB656D">
        <w:t> </w:t>
      </w:r>
      <w:r>
        <w:t>19</w:t>
      </w:r>
      <w:r w:rsidR="00DB656D">
        <w:t> </w:t>
      </w:r>
      <w:r>
        <w:t>janvier</w:t>
      </w:r>
      <w:r w:rsidR="003F2E88">
        <w:t>; 2012 : 21 </w:t>
      </w:r>
      <w:r w:rsidR="00846251">
        <w:t>septembre</w:t>
      </w:r>
      <w:r w:rsidR="009B57B3" w:rsidRPr="00A24E15">
        <w:t>.</w:t>
      </w:r>
    </w:p>
    <w:p w:rsidR="008322BD" w:rsidRPr="00A24E15" w:rsidRDefault="009B57B3" w:rsidP="00DB656D">
      <w:pPr>
        <w:spacing w:after="720"/>
        <w:jc w:val="both"/>
      </w:pPr>
      <w:r w:rsidRPr="00A24E15">
        <w:t>Pr</w:t>
      </w:r>
      <w:r w:rsidR="0043088E" w:rsidRPr="00A24E15">
        <w:t>é</w:t>
      </w:r>
      <w:r w:rsidRPr="00A24E15">
        <w:t>sent</w:t>
      </w:r>
      <w:r w:rsidR="008A6558" w:rsidRPr="00A24E15">
        <w:t>s</w:t>
      </w:r>
      <w:r w:rsidR="003F2E88">
        <w:t> :</w:t>
      </w:r>
      <w:r w:rsidR="00C67CA5" w:rsidRPr="00A24E15">
        <w:t> </w:t>
      </w:r>
      <w:r>
        <w:t xml:space="preserve">La juge en chef </w:t>
      </w:r>
      <w:proofErr w:type="spellStart"/>
      <w:r>
        <w:t>McLachlin</w:t>
      </w:r>
      <w:proofErr w:type="spellEnd"/>
      <w:r>
        <w:t xml:space="preserve"> et les juges LeBel, Deschamps, Fish, Abella, </w:t>
      </w:r>
      <w:proofErr w:type="spellStart"/>
      <w:r>
        <w:t>Rothstein</w:t>
      </w:r>
      <w:proofErr w:type="spellEnd"/>
      <w:r>
        <w:t xml:space="preserve">, Cromwell, </w:t>
      </w:r>
      <w:proofErr w:type="spellStart"/>
      <w:r>
        <w:t>Moldaver</w:t>
      </w:r>
      <w:proofErr w:type="spellEnd"/>
      <w:r>
        <w:t xml:space="preserve"> et </w:t>
      </w:r>
      <w:proofErr w:type="spellStart"/>
      <w:r>
        <w:t>Karakatsanis</w:t>
      </w:r>
      <w:proofErr w:type="spellEnd"/>
      <w:r w:rsidRPr="00A24E15">
        <w:t>.</w:t>
      </w:r>
    </w:p>
    <w:p w:rsidR="008322BD" w:rsidRPr="00A24E15" w:rsidRDefault="00AC7437" w:rsidP="00DB656D">
      <w:pPr>
        <w:pStyle w:val="SCCLowerCourtNameLowercase"/>
        <w:spacing w:after="720" w:line="240" w:lineRule="auto"/>
      </w:pPr>
      <w:r w:rsidRPr="00A24E15">
        <w:t>e</w:t>
      </w:r>
      <w:r w:rsidR="00855307" w:rsidRPr="00A24E15">
        <w:t>n</w:t>
      </w:r>
      <w:r w:rsidR="00224FC0" w:rsidRPr="00A24E15">
        <w:t xml:space="preserve"> </w:t>
      </w:r>
      <w:r w:rsidR="00855307" w:rsidRPr="00A24E15">
        <w:t>appel</w:t>
      </w:r>
      <w:r w:rsidR="00224FC0" w:rsidRPr="00A24E15">
        <w:t xml:space="preserve"> </w:t>
      </w:r>
      <w:r w:rsidR="00855307" w:rsidRPr="00A24E15">
        <w:t>de</w:t>
      </w:r>
      <w:r w:rsidR="0043088E" w:rsidRPr="00A24E15">
        <w:t xml:space="preserve"> </w:t>
      </w:r>
      <w:r w:rsidR="00855307" w:rsidRPr="00A24E15">
        <w:t>la</w:t>
      </w:r>
      <w:r w:rsidR="00224FC0" w:rsidRPr="00A24E15">
        <w:t xml:space="preserve"> </w:t>
      </w:r>
      <w:r w:rsidR="009B57B3">
        <w:t xml:space="preserve">cour d’appel de la </w:t>
      </w:r>
      <w:proofErr w:type="spellStart"/>
      <w:r w:rsidR="009B57B3">
        <w:t>colombie</w:t>
      </w:r>
      <w:r w:rsidR="003F2E88">
        <w:noBreakHyphen/>
      </w:r>
      <w:r w:rsidR="009B57B3">
        <w:t>britannique</w:t>
      </w:r>
      <w:proofErr w:type="spellEnd"/>
    </w:p>
    <w:p w:rsidR="001F7312" w:rsidRPr="001F7312" w:rsidRDefault="009B57B3" w:rsidP="001F7312">
      <w:pPr>
        <w:pStyle w:val="SCCNormalDoubleSpacing"/>
        <w:spacing w:after="480"/>
        <w:rPr>
          <w:i/>
          <w:lang w:val="fr-FR"/>
        </w:rPr>
      </w:pPr>
      <w:r w:rsidRPr="00A24E15">
        <w:tab/>
      </w:r>
      <w:r w:rsidR="001F7312" w:rsidRPr="001F7312">
        <w:rPr>
          <w:i/>
        </w:rPr>
        <w:t>Procédure civile</w:t>
      </w:r>
      <w:r w:rsidR="001F7312" w:rsidRPr="001F7312">
        <w:rPr>
          <w:i/>
          <w:szCs w:val="24"/>
        </w:rPr>
        <w:t xml:space="preserve"> — Parties — Qualité pour agir — Qualité pour agir dans l’intérêt public — Groupe de défense de l’intérêt public et individu </w:t>
      </w:r>
      <w:r w:rsidR="006D48DF">
        <w:rPr>
          <w:i/>
          <w:szCs w:val="24"/>
        </w:rPr>
        <w:t>œuvrant pour les</w:t>
      </w:r>
      <w:r w:rsidR="001F7312" w:rsidRPr="001F7312">
        <w:rPr>
          <w:i/>
          <w:szCs w:val="24"/>
        </w:rPr>
        <w:t xml:space="preserve"> travailleuses</w:t>
      </w:r>
      <w:r w:rsidR="001F7312">
        <w:rPr>
          <w:i/>
          <w:szCs w:val="24"/>
        </w:rPr>
        <w:t xml:space="preserve"> du sexe </w:t>
      </w:r>
      <w:r w:rsidR="009D7676">
        <w:rPr>
          <w:i/>
          <w:szCs w:val="24"/>
        </w:rPr>
        <w:t>à l’origine d’</w:t>
      </w:r>
      <w:r w:rsidR="006D48DF">
        <w:rPr>
          <w:i/>
          <w:szCs w:val="24"/>
        </w:rPr>
        <w:t xml:space="preserve">une </w:t>
      </w:r>
      <w:r w:rsidR="001F7312">
        <w:rPr>
          <w:i/>
          <w:szCs w:val="24"/>
        </w:rPr>
        <w:t xml:space="preserve">contestation constitutionnelle des dispositions du Code criminel relatives à la prostitution </w:t>
      </w:r>
      <w:r w:rsidR="001F7312" w:rsidRPr="001F7312">
        <w:rPr>
          <w:i/>
          <w:szCs w:val="24"/>
        </w:rPr>
        <w:t xml:space="preserve">— </w:t>
      </w:r>
      <w:r w:rsidR="001F7312">
        <w:rPr>
          <w:i/>
          <w:szCs w:val="24"/>
        </w:rPr>
        <w:t xml:space="preserve">La contestation constitutionnelle </w:t>
      </w:r>
      <w:proofErr w:type="spellStart"/>
      <w:r w:rsidR="001F7312">
        <w:rPr>
          <w:i/>
          <w:szCs w:val="24"/>
        </w:rPr>
        <w:t>constitue</w:t>
      </w:r>
      <w:r w:rsidR="003F2E88">
        <w:rPr>
          <w:i/>
          <w:szCs w:val="24"/>
        </w:rPr>
        <w:noBreakHyphen/>
      </w:r>
      <w:r w:rsidR="001F7312">
        <w:rPr>
          <w:i/>
          <w:szCs w:val="24"/>
        </w:rPr>
        <w:t>t</w:t>
      </w:r>
      <w:r w:rsidR="003F2E88">
        <w:rPr>
          <w:i/>
          <w:szCs w:val="24"/>
        </w:rPr>
        <w:noBreakHyphen/>
      </w:r>
      <w:r w:rsidR="001F7312">
        <w:rPr>
          <w:i/>
          <w:szCs w:val="24"/>
        </w:rPr>
        <w:t>elle</w:t>
      </w:r>
      <w:proofErr w:type="spellEnd"/>
      <w:r w:rsidR="001F7312">
        <w:rPr>
          <w:i/>
          <w:szCs w:val="24"/>
        </w:rPr>
        <w:t xml:space="preserve"> une manière raisonnable et efficace de soumettre la cause à la cour?</w:t>
      </w:r>
      <w:r w:rsidR="003F2E88">
        <w:rPr>
          <w:i/>
          <w:szCs w:val="24"/>
        </w:rPr>
        <w:t xml:space="preserve"> </w:t>
      </w:r>
      <w:r w:rsidR="001F7312" w:rsidRPr="001F7312">
        <w:rPr>
          <w:i/>
          <w:szCs w:val="24"/>
          <w:lang w:val="fr-FR"/>
        </w:rPr>
        <w:t>— Le groupe de défense de l’intérêt public et l</w:t>
      </w:r>
      <w:r w:rsidR="001F7312">
        <w:rPr>
          <w:i/>
          <w:szCs w:val="24"/>
          <w:lang w:val="fr-FR"/>
        </w:rPr>
        <w:t xml:space="preserve">’individu </w:t>
      </w:r>
      <w:proofErr w:type="spellStart"/>
      <w:r w:rsidR="001F7312">
        <w:rPr>
          <w:i/>
          <w:szCs w:val="24"/>
          <w:lang w:val="fr-FR"/>
        </w:rPr>
        <w:t>devrai</w:t>
      </w:r>
      <w:r w:rsidR="006D48DF">
        <w:rPr>
          <w:i/>
          <w:szCs w:val="24"/>
          <w:lang w:val="fr-FR"/>
        </w:rPr>
        <w:t>en</w:t>
      </w:r>
      <w:r w:rsidR="001F7312">
        <w:rPr>
          <w:i/>
          <w:szCs w:val="24"/>
          <w:lang w:val="fr-FR"/>
        </w:rPr>
        <w:t>t</w:t>
      </w:r>
      <w:r w:rsidR="003F2E88">
        <w:rPr>
          <w:i/>
          <w:szCs w:val="24"/>
          <w:lang w:val="fr-FR"/>
        </w:rPr>
        <w:noBreakHyphen/>
      </w:r>
      <w:r w:rsidR="001F7312">
        <w:rPr>
          <w:i/>
          <w:szCs w:val="24"/>
          <w:lang w:val="fr-FR"/>
        </w:rPr>
        <w:t>ils</w:t>
      </w:r>
      <w:proofErr w:type="spellEnd"/>
      <w:r w:rsidR="001F7312">
        <w:rPr>
          <w:i/>
          <w:szCs w:val="24"/>
          <w:lang w:val="fr-FR"/>
        </w:rPr>
        <w:t xml:space="preserve"> se voir reconnaître la qualité pour agir dans l’intérêt public?</w:t>
      </w:r>
    </w:p>
    <w:p w:rsidR="00E13609" w:rsidRPr="00E13609" w:rsidRDefault="001F7312" w:rsidP="001F7312">
      <w:pPr>
        <w:pStyle w:val="SCCNormalDoubleSpacing"/>
        <w:spacing w:after="480"/>
        <w:rPr>
          <w:szCs w:val="24"/>
          <w:lang w:val="fr-FR"/>
        </w:rPr>
      </w:pPr>
      <w:r w:rsidRPr="001F7312">
        <w:rPr>
          <w:szCs w:val="24"/>
          <w:lang w:val="fr-FR"/>
        </w:rPr>
        <w:tab/>
      </w:r>
      <w:r w:rsidR="00E13609" w:rsidRPr="00E13609">
        <w:rPr>
          <w:szCs w:val="24"/>
          <w:lang w:val="fr-FR"/>
        </w:rPr>
        <w:t>Une Société dont l’objet c</w:t>
      </w:r>
      <w:r w:rsidR="00E13609">
        <w:rPr>
          <w:szCs w:val="24"/>
          <w:lang w:val="fr-FR"/>
        </w:rPr>
        <w:t xml:space="preserve">onsiste notamment à améliorer les conditions de travail des travailleuses du sexe dans le quartier </w:t>
      </w:r>
      <w:proofErr w:type="spellStart"/>
      <w:r w:rsidR="00E13609" w:rsidRPr="00E13609">
        <w:rPr>
          <w:lang w:val="fr-FR"/>
        </w:rPr>
        <w:t>Downtown</w:t>
      </w:r>
      <w:proofErr w:type="spellEnd"/>
      <w:r w:rsidR="00E13609" w:rsidRPr="00E13609">
        <w:rPr>
          <w:lang w:val="fr-FR"/>
        </w:rPr>
        <w:t xml:space="preserve"> </w:t>
      </w:r>
      <w:proofErr w:type="spellStart"/>
      <w:r w:rsidR="00E13609" w:rsidRPr="00E13609">
        <w:rPr>
          <w:lang w:val="fr-FR"/>
        </w:rPr>
        <w:t>Eastside</w:t>
      </w:r>
      <w:proofErr w:type="spellEnd"/>
      <w:r w:rsidR="00E13609" w:rsidRPr="00E13609">
        <w:rPr>
          <w:lang w:val="fr-FR"/>
        </w:rPr>
        <w:t xml:space="preserve"> </w:t>
      </w:r>
      <w:r w:rsidR="00E13609">
        <w:rPr>
          <w:lang w:val="fr-FR"/>
        </w:rPr>
        <w:t>de</w:t>
      </w:r>
      <w:r w:rsidR="00E13609" w:rsidRPr="00E13609">
        <w:rPr>
          <w:lang w:val="fr-FR"/>
        </w:rPr>
        <w:t xml:space="preserve"> Vancouver </w:t>
      </w:r>
      <w:r w:rsidR="00E13609">
        <w:rPr>
          <w:lang w:val="fr-FR"/>
        </w:rPr>
        <w:t>et K</w:t>
      </w:r>
      <w:r w:rsidR="00E13609" w:rsidRPr="00E13609">
        <w:rPr>
          <w:lang w:val="fr-FR"/>
        </w:rPr>
        <w:t>,</w:t>
      </w:r>
      <w:r w:rsidR="00E13609">
        <w:rPr>
          <w:lang w:val="fr-FR"/>
        </w:rPr>
        <w:t xml:space="preserve"> qui a </w:t>
      </w:r>
      <w:r w:rsidR="009D7676">
        <w:rPr>
          <w:lang w:val="fr-FR"/>
        </w:rPr>
        <w:t>exercé ce métier</w:t>
      </w:r>
      <w:r w:rsidR="00E13609">
        <w:rPr>
          <w:lang w:val="fr-FR"/>
        </w:rPr>
        <w:t xml:space="preserve"> duran</w:t>
      </w:r>
      <w:r w:rsidR="003F2E88">
        <w:rPr>
          <w:lang w:val="fr-FR"/>
        </w:rPr>
        <w:t>t 30 </w:t>
      </w:r>
      <w:r w:rsidR="00E13609">
        <w:rPr>
          <w:lang w:val="fr-FR"/>
        </w:rPr>
        <w:t xml:space="preserve">ans, ont lancé une contestation </w:t>
      </w:r>
      <w:r w:rsidR="009D7676">
        <w:rPr>
          <w:lang w:val="fr-FR"/>
        </w:rPr>
        <w:t xml:space="preserve">fondée sur la </w:t>
      </w:r>
      <w:r w:rsidR="009D7676" w:rsidRPr="00E13609">
        <w:rPr>
          <w:i/>
          <w:lang w:val="fr-FR"/>
        </w:rPr>
        <w:t>Charte</w:t>
      </w:r>
      <w:r w:rsidR="009D7676">
        <w:rPr>
          <w:lang w:val="fr-FR"/>
        </w:rPr>
        <w:t xml:space="preserve"> </w:t>
      </w:r>
      <w:r w:rsidR="00E13609">
        <w:rPr>
          <w:lang w:val="fr-FR"/>
        </w:rPr>
        <w:t xml:space="preserve">des dispositions du </w:t>
      </w:r>
      <w:r w:rsidR="00E13609" w:rsidRPr="00E13609">
        <w:rPr>
          <w:i/>
          <w:lang w:val="fr-FR"/>
        </w:rPr>
        <w:t>Code criminel</w:t>
      </w:r>
      <w:r w:rsidR="00E13609">
        <w:rPr>
          <w:lang w:val="fr-FR"/>
        </w:rPr>
        <w:t xml:space="preserve"> relatives à la prostitution. </w:t>
      </w:r>
      <w:r w:rsidR="003F2E88">
        <w:rPr>
          <w:lang w:val="fr-FR"/>
        </w:rPr>
        <w:t xml:space="preserve"> </w:t>
      </w:r>
      <w:r w:rsidR="00E13609">
        <w:rPr>
          <w:lang w:val="fr-FR"/>
        </w:rPr>
        <w:t xml:space="preserve">Le juge en cabinet a conclu qu’elles ne devraient ni l’une ni l’autre se voir reconnaître la qualité </w:t>
      </w:r>
      <w:r w:rsidR="00E13609">
        <w:rPr>
          <w:lang w:val="fr-FR"/>
        </w:rPr>
        <w:lastRenderedPageBreak/>
        <w:t xml:space="preserve">pour agir que ce soit dans l’intérêt public ou privé afin de poursuivre leur action; la Cour d’appel de la </w:t>
      </w:r>
      <w:proofErr w:type="spellStart"/>
      <w:r w:rsidR="00E13609">
        <w:rPr>
          <w:lang w:val="fr-FR"/>
        </w:rPr>
        <w:t>Colombie</w:t>
      </w:r>
      <w:r w:rsidR="003F2E88">
        <w:rPr>
          <w:lang w:val="fr-FR"/>
        </w:rPr>
        <w:noBreakHyphen/>
      </w:r>
      <w:r w:rsidR="00E13609">
        <w:rPr>
          <w:lang w:val="fr-FR"/>
        </w:rPr>
        <w:t>Britannique</w:t>
      </w:r>
      <w:proofErr w:type="spellEnd"/>
      <w:r w:rsidR="00E13609">
        <w:rPr>
          <w:lang w:val="fr-FR"/>
        </w:rPr>
        <w:t xml:space="preserve"> leur a toutefois reconnu à toutes les deux la qualité pour agir dans l’intérêt public.</w:t>
      </w:r>
    </w:p>
    <w:p w:rsidR="001F7312" w:rsidRPr="00E13609" w:rsidRDefault="001F7312" w:rsidP="001F7312">
      <w:pPr>
        <w:pStyle w:val="SCCNormalDoubleSpacing"/>
        <w:spacing w:after="480"/>
        <w:rPr>
          <w:lang w:val="fr-FR"/>
        </w:rPr>
      </w:pPr>
      <w:r w:rsidRPr="003F2E88">
        <w:tab/>
      </w:r>
      <w:r w:rsidR="00E13609" w:rsidRPr="00B1151B">
        <w:rPr>
          <w:i/>
          <w:lang w:val="fr-FR"/>
        </w:rPr>
        <w:t>Arrêt</w:t>
      </w:r>
      <w:r w:rsidR="003F2E88" w:rsidRPr="00B1151B">
        <w:rPr>
          <w:i/>
          <w:lang w:val="fr-FR"/>
        </w:rPr>
        <w:t> </w:t>
      </w:r>
      <w:r w:rsidR="003F2E88" w:rsidRPr="00D83999">
        <w:rPr>
          <w:lang w:val="fr-FR"/>
        </w:rPr>
        <w:t>:</w:t>
      </w:r>
      <w:r w:rsidR="00E13609" w:rsidRPr="00D83999">
        <w:rPr>
          <w:lang w:val="fr-FR"/>
        </w:rPr>
        <w:t xml:space="preserve"> </w:t>
      </w:r>
      <w:r w:rsidR="00E13609" w:rsidRPr="00BF115F">
        <w:rPr>
          <w:lang w:val="fr-FR"/>
        </w:rPr>
        <w:t>Le pourvoi est rejeté.</w:t>
      </w:r>
    </w:p>
    <w:p w:rsidR="00B02C39" w:rsidRDefault="006D48DF" w:rsidP="00846251">
      <w:pPr>
        <w:pStyle w:val="SCCNormalDoubleSpacing"/>
        <w:spacing w:after="480"/>
        <w:rPr>
          <w:szCs w:val="24"/>
        </w:rPr>
      </w:pPr>
      <w:r>
        <w:rPr>
          <w:szCs w:val="24"/>
          <w:lang w:val="fr-FR"/>
        </w:rPr>
        <w:tab/>
      </w:r>
      <w:r w:rsidR="00E13609">
        <w:rPr>
          <w:szCs w:val="24"/>
        </w:rPr>
        <w:t xml:space="preserve">Lorsqu’il s’agit de décider s’il est justifié de reconnaître la qualité pour agir dans une cause de droit public, </w:t>
      </w:r>
      <w:r w:rsidR="00E13609">
        <w:t xml:space="preserve">les tribunaux doivent </w:t>
      </w:r>
      <w:r w:rsidR="00E13609" w:rsidRPr="00824C42">
        <w:t>soup</w:t>
      </w:r>
      <w:r w:rsidR="00E13609">
        <w:t>eser</w:t>
      </w:r>
      <w:r w:rsidR="00E13609" w:rsidRPr="00824C42">
        <w:t xml:space="preserve"> trois</w:t>
      </w:r>
      <w:r w:rsidR="00E13609">
        <w:t xml:space="preserve"> facteurs</w:t>
      </w:r>
      <w:r w:rsidR="00B02C39">
        <w:rPr>
          <w:szCs w:val="24"/>
          <w:lang w:val="fr-FR"/>
        </w:rPr>
        <w:t>.</w:t>
      </w:r>
      <w:r w:rsidR="003F2E88">
        <w:rPr>
          <w:szCs w:val="24"/>
          <w:lang w:val="fr-FR"/>
        </w:rPr>
        <w:t xml:space="preserve"> </w:t>
      </w:r>
      <w:r w:rsidR="00B02C39">
        <w:rPr>
          <w:szCs w:val="24"/>
          <w:lang w:val="fr-FR"/>
        </w:rPr>
        <w:t xml:space="preserve"> I</w:t>
      </w:r>
      <w:r w:rsidR="00E13609" w:rsidRPr="006D48DF">
        <w:rPr>
          <w:lang w:val="fr-FR"/>
        </w:rPr>
        <w:t xml:space="preserve">ls </w:t>
      </w:r>
      <w:r w:rsidRPr="006D48DF">
        <w:rPr>
          <w:lang w:val="fr-FR"/>
        </w:rPr>
        <w:t>do</w:t>
      </w:r>
      <w:r>
        <w:rPr>
          <w:lang w:val="fr-FR"/>
        </w:rPr>
        <w:t>ivent se demander</w:t>
      </w:r>
      <w:r w:rsidR="00E13609" w:rsidRPr="006D48DF">
        <w:rPr>
          <w:lang w:val="fr-FR"/>
        </w:rPr>
        <w:t xml:space="preserve"> si l’affaire soulève une question justiciable sérieuse</w:t>
      </w:r>
      <w:r w:rsidR="00B02C39" w:rsidRPr="006D48DF">
        <w:rPr>
          <w:lang w:val="fr-FR"/>
        </w:rPr>
        <w:t>;</w:t>
      </w:r>
      <w:r w:rsidR="00E13609" w:rsidRPr="006D48DF">
        <w:rPr>
          <w:lang w:val="fr-FR"/>
        </w:rPr>
        <w:t xml:space="preserve"> si la partie qui a intenté la poursuite a un intérêt réel</w:t>
      </w:r>
      <w:r w:rsidR="00B02C39" w:rsidRPr="006D48DF">
        <w:rPr>
          <w:lang w:val="fr-FR"/>
        </w:rPr>
        <w:t xml:space="preserve"> </w:t>
      </w:r>
      <w:r w:rsidR="00B02C39" w:rsidRPr="00BC0084">
        <w:rPr>
          <w:szCs w:val="24"/>
        </w:rPr>
        <w:t xml:space="preserve">dans les procédures ou est </w:t>
      </w:r>
      <w:r w:rsidR="00C2009E">
        <w:rPr>
          <w:szCs w:val="24"/>
        </w:rPr>
        <w:t>engagée</w:t>
      </w:r>
      <w:r w:rsidR="00B02C39" w:rsidRPr="00BC0084">
        <w:rPr>
          <w:szCs w:val="24"/>
        </w:rPr>
        <w:t xml:space="preserve"> quant aux questions qu’elles soulèvent</w:t>
      </w:r>
      <w:r w:rsidR="00B02C39" w:rsidRPr="006D48DF">
        <w:rPr>
          <w:szCs w:val="24"/>
          <w:lang w:val="fr-FR"/>
        </w:rPr>
        <w:t xml:space="preserve">; et si </w:t>
      </w:r>
      <w:r w:rsidR="00B02C39">
        <w:rPr>
          <w:szCs w:val="24"/>
        </w:rPr>
        <w:t>la poursuite proposée, compte tenu de toutes les circonstances et à la lumière d’un grand nombre de considérations, constitue une manière raisonnable et efficace de soumettre la question à la cour</w:t>
      </w:r>
      <w:r w:rsidR="00B02C39" w:rsidRPr="006D48DF">
        <w:rPr>
          <w:szCs w:val="24"/>
          <w:lang w:val="fr-FR"/>
        </w:rPr>
        <w:t xml:space="preserve">.  </w:t>
      </w:r>
      <w:r w:rsidR="00B02C39">
        <w:rPr>
          <w:szCs w:val="24"/>
        </w:rPr>
        <w:t xml:space="preserve">Le demandeur qui souhaite se voir reconnaître la qualité pour agir </w:t>
      </w:r>
      <w:r>
        <w:rPr>
          <w:szCs w:val="24"/>
        </w:rPr>
        <w:t xml:space="preserve">dans l’intérêt public </w:t>
      </w:r>
      <w:r w:rsidR="00B02C39">
        <w:rPr>
          <w:szCs w:val="24"/>
        </w:rPr>
        <w:t xml:space="preserve">doit convaincre la cour que ces facteurs, appliqués d’une manière souple et téléologique, militent en faveur de la reconnaissance de cette qualité.  Toutes les autres considérations étant égales par ailleurs, un demandeur qui possède de plein droit la qualité pour agir sera généralement </w:t>
      </w:r>
      <w:proofErr w:type="gramStart"/>
      <w:r w:rsidR="00B02C39">
        <w:rPr>
          <w:szCs w:val="24"/>
        </w:rPr>
        <w:t>préféré</w:t>
      </w:r>
      <w:proofErr w:type="gramEnd"/>
      <w:r w:rsidR="00B02C39">
        <w:rPr>
          <w:szCs w:val="24"/>
        </w:rPr>
        <w:t xml:space="preserve">. </w:t>
      </w:r>
    </w:p>
    <w:p w:rsidR="00E13609" w:rsidRPr="00B02C39" w:rsidRDefault="00B02C39" w:rsidP="001F7312">
      <w:pPr>
        <w:pStyle w:val="SCCNormalDoubleSpacing"/>
        <w:spacing w:after="480"/>
        <w:rPr>
          <w:szCs w:val="24"/>
        </w:rPr>
      </w:pPr>
      <w:r>
        <w:rPr>
          <w:szCs w:val="24"/>
        </w:rPr>
        <w:tab/>
        <w:t>La question qui oppose les parties en l’espèce a trait à la formulation et à l’application du troisième de ces facteurs.</w:t>
      </w:r>
      <w:r w:rsidRPr="00132F5E">
        <w:rPr>
          <w:szCs w:val="24"/>
        </w:rPr>
        <w:t xml:space="preserve"> </w:t>
      </w:r>
      <w:r w:rsidR="003F2E88">
        <w:rPr>
          <w:szCs w:val="24"/>
        </w:rPr>
        <w:t xml:space="preserve"> </w:t>
      </w:r>
      <w:r>
        <w:rPr>
          <w:szCs w:val="24"/>
        </w:rPr>
        <w:t>Ce facteur a longtemps été qualifié d’exigence stricte</w:t>
      </w:r>
      <w:r w:rsidR="00320FCB">
        <w:rPr>
          <w:szCs w:val="24"/>
        </w:rPr>
        <w:t xml:space="preserve"> que la personne demandant </w:t>
      </w:r>
      <w:r w:rsidR="006D48DF">
        <w:rPr>
          <w:szCs w:val="24"/>
        </w:rPr>
        <w:t>la reconnaissance de s</w:t>
      </w:r>
      <w:r w:rsidR="00320FCB">
        <w:rPr>
          <w:szCs w:val="24"/>
        </w:rPr>
        <w:t xml:space="preserve">a qualité pour agir devait </w:t>
      </w:r>
      <w:r w:rsidR="00320FCB" w:rsidRPr="00172279">
        <w:rPr>
          <w:szCs w:val="24"/>
        </w:rPr>
        <w:t>démontrer</w:t>
      </w:r>
      <w:r w:rsidR="00320FCB">
        <w:rPr>
          <w:szCs w:val="24"/>
        </w:rPr>
        <w:t xml:space="preserve"> </w:t>
      </w:r>
      <w:r w:rsidR="00320FCB" w:rsidRPr="00172279">
        <w:rPr>
          <w:szCs w:val="24"/>
        </w:rPr>
        <w:t>qu’il</w:t>
      </w:r>
      <w:r w:rsidR="00320FCB" w:rsidRPr="00AE3952">
        <w:rPr>
          <w:szCs w:val="24"/>
        </w:rPr>
        <w:t xml:space="preserve"> </w:t>
      </w:r>
      <w:r w:rsidR="00320FCB" w:rsidRPr="00320FCB">
        <w:rPr>
          <w:i/>
          <w:szCs w:val="24"/>
        </w:rPr>
        <w:t>n</w:t>
      </w:r>
      <w:r w:rsidR="00320FCB" w:rsidRPr="001B250B">
        <w:rPr>
          <w:szCs w:val="24"/>
        </w:rPr>
        <w:t>’</w:t>
      </w:r>
      <w:r w:rsidR="00320FCB">
        <w:rPr>
          <w:szCs w:val="24"/>
        </w:rPr>
        <w:t xml:space="preserve">y a </w:t>
      </w:r>
      <w:r w:rsidR="00320FCB" w:rsidRPr="00320FCB">
        <w:rPr>
          <w:i/>
          <w:szCs w:val="24"/>
        </w:rPr>
        <w:t>pas</w:t>
      </w:r>
      <w:r w:rsidR="00320FCB">
        <w:rPr>
          <w:szCs w:val="24"/>
        </w:rPr>
        <w:t xml:space="preserve"> d’autre manière raison</w:t>
      </w:r>
      <w:r w:rsidR="00320FCB" w:rsidRPr="00AE3952">
        <w:rPr>
          <w:szCs w:val="24"/>
        </w:rPr>
        <w:t xml:space="preserve">nable et efficace de </w:t>
      </w:r>
      <w:r w:rsidR="00320FCB" w:rsidRPr="00AE3952">
        <w:rPr>
          <w:szCs w:val="24"/>
        </w:rPr>
        <w:lastRenderedPageBreak/>
        <w:t>soumettre la question à la cour</w:t>
      </w:r>
      <w:r w:rsidR="00320FCB">
        <w:rPr>
          <w:szCs w:val="24"/>
        </w:rPr>
        <w:t>.</w:t>
      </w:r>
      <w:r w:rsidR="003F2E88">
        <w:rPr>
          <w:szCs w:val="24"/>
        </w:rPr>
        <w:t xml:space="preserve"> </w:t>
      </w:r>
      <w:r w:rsidR="00320FCB">
        <w:rPr>
          <w:szCs w:val="24"/>
        </w:rPr>
        <w:t xml:space="preserve"> Il n’empêche que la Cour ne l’a pas </w:t>
      </w:r>
      <w:r w:rsidR="006D48DF">
        <w:rPr>
          <w:szCs w:val="24"/>
        </w:rPr>
        <w:t>formulé</w:t>
      </w:r>
      <w:r w:rsidR="00320FCB">
        <w:rPr>
          <w:szCs w:val="24"/>
        </w:rPr>
        <w:t xml:space="preserve"> systématiquement </w:t>
      </w:r>
      <w:r w:rsidR="006D48DF">
        <w:rPr>
          <w:szCs w:val="24"/>
        </w:rPr>
        <w:t xml:space="preserve">de cette façon </w:t>
      </w:r>
      <w:r w:rsidR="00320FCB">
        <w:rPr>
          <w:szCs w:val="24"/>
        </w:rPr>
        <w:t xml:space="preserve">et l’a même rarement appliqué restrictivement.  Ainsi, il serait préférable de formuler ce facteur comme exigeant que la poursuite proposée, compte tenu de toutes les circonstances et à la lumière d’un grand nombre de considérations, constitue </w:t>
      </w:r>
      <w:r w:rsidR="00320FCB" w:rsidRPr="00320FCB">
        <w:rPr>
          <w:i/>
          <w:szCs w:val="24"/>
        </w:rPr>
        <w:t>une</w:t>
      </w:r>
      <w:r w:rsidR="00320FCB">
        <w:rPr>
          <w:szCs w:val="24"/>
        </w:rPr>
        <w:t xml:space="preserve"> manière raisonnable et efficace de soumettre la question à la cour.</w:t>
      </w:r>
    </w:p>
    <w:p w:rsidR="00320FCB" w:rsidRPr="00132F5E" w:rsidRDefault="00846251" w:rsidP="00846251">
      <w:pPr>
        <w:pStyle w:val="SCCNormalDoubleSpacing"/>
        <w:spacing w:after="480"/>
        <w:rPr>
          <w:szCs w:val="24"/>
        </w:rPr>
      </w:pPr>
      <w:r>
        <w:tab/>
      </w:r>
      <w:r w:rsidR="006D48DF">
        <w:t>E</w:t>
      </w:r>
      <w:r w:rsidR="00320FCB">
        <w:t>n abordant la question sous l’angle téléologique, les tribunaux doivent se demander si l’action envisagée constitue une utilisation efficiente des ressources judiciaires, si les questions sont justiciables dans un contexte accusatoire, et si le fait d’autoriser la poursuite de l’action envisagée favorise le respect du principe de la légalité.  Une approche souple et discrétionnaire est de mise pour juger de l’effet de ces considérations sur la décision ultime de reconnaître ou non la qualité pour agir.  Une analyse dichotomique répondant par un oui ou par un non n’est pas envisa</w:t>
      </w:r>
      <w:r w:rsidR="003F2E88">
        <w:t xml:space="preserve">geable. </w:t>
      </w:r>
      <w:r w:rsidR="001F7312" w:rsidRPr="00320FCB">
        <w:rPr>
          <w:szCs w:val="24"/>
          <w:lang w:val="fr-FR"/>
        </w:rPr>
        <w:t xml:space="preserve"> </w:t>
      </w:r>
      <w:r w:rsidR="006D48DF">
        <w:rPr>
          <w:szCs w:val="24"/>
          <w:lang w:val="fr-FR"/>
        </w:rPr>
        <w:t>L</w:t>
      </w:r>
      <w:r w:rsidR="00320FCB">
        <w:t xml:space="preserve">es questions visant à déterminer si une </w:t>
      </w:r>
      <w:r w:rsidR="006D48DF">
        <w:t>manière</w:t>
      </w:r>
      <w:r w:rsidR="00320FCB">
        <w:t xml:space="preserve"> de procéder est raisonnable, si elle est efficace et si elle favorise le renforcement du principe de la légalité sont des questions de degré et elles doivent être analysées en fonction de solutions de rechange pratiques, compte tenu de toutes les circonstances. </w:t>
      </w:r>
    </w:p>
    <w:p w:rsidR="001F7312" w:rsidRPr="00320FCB" w:rsidRDefault="000D7792" w:rsidP="001F7312">
      <w:pPr>
        <w:pStyle w:val="SCCNormalDoubleSpacing"/>
        <w:spacing w:after="480"/>
        <w:rPr>
          <w:szCs w:val="24"/>
        </w:rPr>
      </w:pPr>
      <w:r>
        <w:rPr>
          <w:szCs w:val="24"/>
        </w:rPr>
        <w:tab/>
        <w:t xml:space="preserve">En l’espèce, </w:t>
      </w:r>
      <w:proofErr w:type="gramStart"/>
      <w:r>
        <w:rPr>
          <w:szCs w:val="24"/>
        </w:rPr>
        <w:t>a</w:t>
      </w:r>
      <w:r>
        <w:t>ppliqués</w:t>
      </w:r>
      <w:proofErr w:type="gramEnd"/>
      <w:r>
        <w:t xml:space="preserve"> selon une approche téléologique et souple, les trois facteurs militent </w:t>
      </w:r>
      <w:r w:rsidR="006D48DF">
        <w:t>pour la reconnaissance de</w:t>
      </w:r>
      <w:r>
        <w:t xml:space="preserve"> la qualité pour agir dans l’intérêt public</w:t>
      </w:r>
      <w:r w:rsidR="006D48DF">
        <w:t xml:space="preserve"> des intimées</w:t>
      </w:r>
      <w:r>
        <w:t xml:space="preserve">.  En fait, </w:t>
      </w:r>
      <w:r w:rsidRPr="006A1C79">
        <w:t>il</w:t>
      </w:r>
      <w:r>
        <w:t xml:space="preserve"> n’y a guère de désaccord quant au fait qu’il a été satisfait aux deux premiers facteurs</w:t>
      </w:r>
      <w:r w:rsidR="003F2E88">
        <w:t> :</w:t>
      </w:r>
      <w:r>
        <w:t xml:space="preserve"> la poursuite des intimées soulève des questions justiciables </w:t>
      </w:r>
      <w:r>
        <w:lastRenderedPageBreak/>
        <w:t xml:space="preserve">sérieuses et les intimées ont un intérêt dans l’issue de l’action et sont totalement engagées au regard des </w:t>
      </w:r>
      <w:r w:rsidR="00C2009E">
        <w:t xml:space="preserve">questions </w:t>
      </w:r>
      <w:r>
        <w:t>qu’elles souhaitent soulever.  En effet,</w:t>
      </w:r>
      <w:r w:rsidR="006D48DF">
        <w:t xml:space="preserve"> la</w:t>
      </w:r>
      <w:r>
        <w:t xml:space="preserve"> constitutionnalité des dispositions du </w:t>
      </w:r>
      <w:r w:rsidRPr="000D7792">
        <w:rPr>
          <w:i/>
        </w:rPr>
        <w:t>Code criminel</w:t>
      </w:r>
      <w:r>
        <w:t xml:space="preserve"> relatives à la prostitution constitue une question justiciable sérieuse et les intimées, compte tenu de leur travail, ont un </w:t>
      </w:r>
      <w:r>
        <w:rPr>
          <w:szCs w:val="24"/>
        </w:rPr>
        <w:t>solide engagement à l’égard de l’enjeu en cause.</w:t>
      </w:r>
    </w:p>
    <w:p w:rsidR="001F7312" w:rsidRPr="000D7792" w:rsidRDefault="001F7312" w:rsidP="001F7312">
      <w:pPr>
        <w:pStyle w:val="SCCNormalDoubleSpacing"/>
        <w:spacing w:after="480"/>
        <w:rPr>
          <w:lang w:val="fr-FR"/>
        </w:rPr>
      </w:pPr>
      <w:r w:rsidRPr="00320FCB">
        <w:rPr>
          <w:lang w:val="fr-FR"/>
        </w:rPr>
        <w:tab/>
      </w:r>
      <w:r w:rsidR="000D7792">
        <w:rPr>
          <w:lang w:val="fr-FR"/>
        </w:rPr>
        <w:t xml:space="preserve">En l’espèce, il est également satisfait au troisième facteur.  L’existence d’une cause civile dans une autre province </w:t>
      </w:r>
      <w:r w:rsidR="000D7792">
        <w:t>constitue certainement un facteur hautement pertinent qui milite souvent contre la reconnaissance de la qualité pour agir.</w:t>
      </w:r>
      <w:r w:rsidR="003F2E88">
        <w:t xml:space="preserve"> </w:t>
      </w:r>
      <w:r w:rsidR="000D7792">
        <w:t xml:space="preserve"> Toutefois, l’existence d’une instance parallèle, </w:t>
      </w:r>
      <w:r w:rsidR="002C2DB0">
        <w:t>même si elle soulève beaucoup de questions</w:t>
      </w:r>
      <w:r w:rsidR="002C2DB0" w:rsidRPr="00132F5E">
        <w:t xml:space="preserve"> </w:t>
      </w:r>
      <w:r w:rsidR="002C2DB0">
        <w:t>identiques, n’est pas nécessairement un motif suffisant pour refuser de reconnaître la qualité pour agir.  Compte tenu de l’organisation provinciale de nos cours supérieures, les décisions rendues par celles d’une province ne lient pas les cours des autres provinces.  Ainsi, une instance dans une province n’apporte pas nécessairement une réponse complète au demandeur qui désire intenter une poursuite sur des questions semblables dans une autre province.  En outre, les questions soulevées dans l’autre cause</w:t>
      </w:r>
      <w:r w:rsidR="002C2DB0" w:rsidRPr="00132F5E">
        <w:t xml:space="preserve"> </w:t>
      </w:r>
      <w:r w:rsidR="002C2DB0">
        <w:t>ne sont pas identiques à celles soulevées en l’espèce.  Le tribunal doit examiner non seulement la question juridique précise posée, mais aussi le contexte dans lequel elle l’est.  Or, les contextes qui sont à l’origine des contestations dans l’autre cause</w:t>
      </w:r>
      <w:r w:rsidR="002C2DB0" w:rsidRPr="00132F5E">
        <w:t xml:space="preserve"> </w:t>
      </w:r>
      <w:r w:rsidR="002C2DB0">
        <w:t xml:space="preserve">et dans la présente affaire sont très différents.  Les </w:t>
      </w:r>
      <w:proofErr w:type="spellStart"/>
      <w:r w:rsidR="002C2DB0">
        <w:t>demanderesses</w:t>
      </w:r>
      <w:proofErr w:type="spellEnd"/>
      <w:r w:rsidR="002C2DB0">
        <w:t xml:space="preserve"> dans l’autre cause</w:t>
      </w:r>
      <w:r w:rsidR="002C2DB0" w:rsidRPr="00132F5E">
        <w:rPr>
          <w:i/>
        </w:rPr>
        <w:t xml:space="preserve"> </w:t>
      </w:r>
      <w:r w:rsidR="002C2DB0">
        <w:t xml:space="preserve">n’étaient pas principalement des travailleuses de l’industrie du sexe </w:t>
      </w:r>
      <w:r w:rsidR="009D7676">
        <w:t>qui exerce</w:t>
      </w:r>
      <w:r w:rsidR="00D83999">
        <w:t>nt</w:t>
      </w:r>
      <w:r w:rsidR="009D7676">
        <w:t xml:space="preserve"> leur métier </w:t>
      </w:r>
      <w:r w:rsidR="002C2DB0">
        <w:t>dans la rue, tandis que, en l’espèce, ce sont elles qui sont au cœur du débat</w:t>
      </w:r>
      <w:r w:rsidR="002C2DB0" w:rsidRPr="00132F5E">
        <w:t xml:space="preserve">. </w:t>
      </w:r>
      <w:r w:rsidR="002C2DB0">
        <w:t xml:space="preserve"> Finalement, mise à part la mesure radicale qui </w:t>
      </w:r>
      <w:r w:rsidR="002C2DB0">
        <w:lastRenderedPageBreak/>
        <w:t xml:space="preserve">consiste à ne pas reconnaître la qualité pour agir, il pourrait y avoir d’autres stratégies en matière de gestion des litiges visant à assurer l’utilisation efficiente et efficace des ressources judiciaires.  La suspension des procédures jusqu’au règlement d’autres instances est, de fait, une possibilité qui devrait être prise en compte </w:t>
      </w:r>
      <w:r w:rsidR="002C2DB0" w:rsidRPr="00CB3EFC">
        <w:t>lors de l</w:t>
      </w:r>
      <w:r w:rsidR="002C2DB0">
        <w:t>’</w:t>
      </w:r>
      <w:r w:rsidR="002C2DB0" w:rsidRPr="00CB3EFC">
        <w:t xml:space="preserve">exercice du pouvoir discrétionnaire </w:t>
      </w:r>
      <w:r w:rsidR="002C2DB0">
        <w:t>de reconnaître ou non</w:t>
      </w:r>
      <w:r w:rsidR="002C2DB0" w:rsidRPr="00CB3EFC">
        <w:t xml:space="preserve"> la qualité pour agir</w:t>
      </w:r>
      <w:r w:rsidR="002C2DB0">
        <w:t>.</w:t>
      </w:r>
    </w:p>
    <w:p w:rsidR="002C2DB0" w:rsidRDefault="001F7312" w:rsidP="001F7312">
      <w:pPr>
        <w:pStyle w:val="SCCNormalDoubleSpacing"/>
        <w:spacing w:after="480"/>
        <w:rPr>
          <w:lang w:val="fr-FR"/>
        </w:rPr>
      </w:pPr>
      <w:r w:rsidRPr="000D7792">
        <w:rPr>
          <w:lang w:val="fr-FR"/>
        </w:rPr>
        <w:tab/>
      </w:r>
      <w:r w:rsidR="002C2DB0">
        <w:t>En tenant compte de ce qui précède, l’existence de l’autre instance, dans les circonstances de la présente affaire,</w:t>
      </w:r>
      <w:r w:rsidR="002C2DB0" w:rsidRPr="00132F5E">
        <w:t xml:space="preserve"> </w:t>
      </w:r>
      <w:r w:rsidR="002C2DB0">
        <w:t>ne semble pas peser très lourd contre les intimées lorsqu’il s’agit de déterminer si la poursuite qu’elles ont intentée constitue une manière raisonnable et efficace de soumettre les allégations formulées</w:t>
      </w:r>
      <w:r w:rsidR="006D48DF">
        <w:t xml:space="preserve"> à </w:t>
      </w:r>
      <w:r w:rsidR="009D7676">
        <w:t xml:space="preserve">l’intention de </w:t>
      </w:r>
      <w:r w:rsidR="006D48DF">
        <w:t>la cour</w:t>
      </w:r>
      <w:r w:rsidR="002C2DB0">
        <w:t>.</w:t>
      </w:r>
    </w:p>
    <w:p w:rsidR="001F7312" w:rsidRPr="002C2DB0" w:rsidRDefault="001F7312" w:rsidP="001F7312">
      <w:pPr>
        <w:pStyle w:val="SCCNormalDoubleSpacing"/>
        <w:spacing w:after="480"/>
        <w:rPr>
          <w:lang w:val="fr-FR"/>
        </w:rPr>
      </w:pPr>
      <w:r w:rsidRPr="002C2DB0">
        <w:rPr>
          <w:lang w:val="fr-FR"/>
        </w:rPr>
        <w:tab/>
      </w:r>
      <w:r w:rsidR="002C2DB0">
        <w:t xml:space="preserve">De plus, l’existence de demandeurs potentiels, bien </w:t>
      </w:r>
      <w:r w:rsidR="006D48DF">
        <w:t>qu’il s’agisse d’</w:t>
      </w:r>
      <w:r w:rsidR="002C2DB0">
        <w:t xml:space="preserve">un facteur pertinent, ne devrait être prise en compte qu’en fonction de considérations d’ordre pratique qui sont telles qu’il est très peu probable que des personnes accusées en application des dispositions relatives à la prostitution engageraient une action semblable à celle des intimées. </w:t>
      </w:r>
      <w:r w:rsidRPr="002C2DB0">
        <w:rPr>
          <w:lang w:val="fr-FR"/>
        </w:rPr>
        <w:t xml:space="preserve"> </w:t>
      </w:r>
      <w:r w:rsidR="00812FF6">
        <w:t xml:space="preserve">De plus, le caractère imprévisible inhérent aux procès criminels rend les choses encore plus difficiles pour une partie soulevant une contestation de la nature de celle engagée en l’espèce.  </w:t>
      </w:r>
    </w:p>
    <w:p w:rsidR="00812FF6" w:rsidRDefault="00812FF6" w:rsidP="001F7312">
      <w:pPr>
        <w:pStyle w:val="SCCNormalDoubleSpacing"/>
        <w:spacing w:after="480"/>
        <w:rPr>
          <w:lang w:val="fr-FR"/>
        </w:rPr>
      </w:pPr>
      <w:r>
        <w:rPr>
          <w:lang w:val="fr-FR"/>
        </w:rPr>
        <w:tab/>
        <w:t>En outre, en l’espèce, il appert du dossier qu’</w:t>
      </w:r>
      <w:r>
        <w:rPr>
          <w:szCs w:val="24"/>
        </w:rPr>
        <w:t xml:space="preserve">aucun travailleur de l’industrie du sexe </w:t>
      </w:r>
      <w:r w:rsidRPr="003F3C55">
        <w:rPr>
          <w:szCs w:val="24"/>
        </w:rPr>
        <w:t xml:space="preserve">du quartier </w:t>
      </w:r>
      <w:proofErr w:type="spellStart"/>
      <w:r w:rsidRPr="003F3C55">
        <w:rPr>
          <w:szCs w:val="24"/>
        </w:rPr>
        <w:t>Downtown</w:t>
      </w:r>
      <w:proofErr w:type="spellEnd"/>
      <w:r w:rsidRPr="003F3C55">
        <w:rPr>
          <w:szCs w:val="24"/>
        </w:rPr>
        <w:t xml:space="preserve"> </w:t>
      </w:r>
      <w:proofErr w:type="spellStart"/>
      <w:r w:rsidRPr="003F3C55">
        <w:rPr>
          <w:szCs w:val="24"/>
        </w:rPr>
        <w:t>Eastside</w:t>
      </w:r>
      <w:proofErr w:type="spellEnd"/>
      <w:r w:rsidRPr="003F3C55">
        <w:rPr>
          <w:szCs w:val="24"/>
        </w:rPr>
        <w:t xml:space="preserve"> de Vancouver </w:t>
      </w:r>
      <w:r>
        <w:rPr>
          <w:szCs w:val="24"/>
        </w:rPr>
        <w:t xml:space="preserve">n’était prêt à </w:t>
      </w:r>
      <w:r w:rsidR="006D48DF">
        <w:rPr>
          <w:szCs w:val="24"/>
        </w:rPr>
        <w:t xml:space="preserve">engager </w:t>
      </w:r>
      <w:r>
        <w:rPr>
          <w:szCs w:val="24"/>
        </w:rPr>
        <w:t xml:space="preserve">une contestation exhaustive.  La volonté de bon nombre de ces personnes de </w:t>
      </w:r>
      <w:r>
        <w:rPr>
          <w:szCs w:val="24"/>
        </w:rPr>
        <w:lastRenderedPageBreak/>
        <w:t>souscrire des affidavits ou de comparaître pour témoigner n’affecte en rien la crédibilité de leur témoignage voulant qu’elles ne soient pas prêtes ou capables d’engager en leurs propres noms une contestation de cette nature.</w:t>
      </w:r>
      <w:r w:rsidR="001F7312" w:rsidRPr="002C2DB0">
        <w:rPr>
          <w:lang w:val="fr-FR"/>
        </w:rPr>
        <w:tab/>
      </w:r>
    </w:p>
    <w:p w:rsidR="00812FF6" w:rsidRPr="00812FF6" w:rsidRDefault="00846251" w:rsidP="00846251">
      <w:pPr>
        <w:pStyle w:val="SCCNormalDoubleSpacing"/>
        <w:spacing w:after="480"/>
        <w:rPr>
          <w:lang w:val="fr-FR"/>
        </w:rPr>
      </w:pPr>
      <w:r>
        <w:rPr>
          <w:szCs w:val="24"/>
        </w:rPr>
        <w:tab/>
      </w:r>
      <w:r w:rsidR="00812FF6">
        <w:rPr>
          <w:szCs w:val="24"/>
        </w:rPr>
        <w:t>D’autres considérations devraient être prises en compte lors de l’examen du facteur relatif aux manières plus raisonnables et efficaces.  La présente affaire constitue un litige d’intérêt public</w:t>
      </w:r>
      <w:r w:rsidR="003F2E88">
        <w:rPr>
          <w:szCs w:val="24"/>
        </w:rPr>
        <w:t> :</w:t>
      </w:r>
      <w:r w:rsidR="00812FF6">
        <w:rPr>
          <w:szCs w:val="24"/>
        </w:rPr>
        <w:t xml:space="preserve"> les intimées ont soulevé des questions d’importance pour le public, des questions qui transcendent leurs intérêts immédiats.  Leur contestation est exhaustive en ce qu’elle vise la presque totalité du régime législatif.  Elle fournit l’occasion d’évaluer, du point de vue du droit constitutionnel, l’effet global de ce régime sur les personnes les plus touchées par ses dispositions.  Une contestation de cette nature est susceptible de prévenir une multiplicité de contestations individuelles engagées dans le cadre de poursuites criminelles.  Il n’y a aucun risque de porter atteinte aux droits d’autres individus ayant un intérêt plus personnel ou plus direct dans la question du fait d’une action trop générale ou mal présentée.  Il est évident que la demande est plaidée </w:t>
      </w:r>
      <w:r w:rsidR="00812FF6" w:rsidRPr="00FB1B99">
        <w:rPr>
          <w:szCs w:val="24"/>
        </w:rPr>
        <w:t>avec rigueur et habileté</w:t>
      </w:r>
      <w:r w:rsidR="00812FF6">
        <w:rPr>
          <w:szCs w:val="24"/>
        </w:rPr>
        <w:t xml:space="preserve">.  Rien ne laisse croire que d’autres personnes touchées de façon plus directe ou personnelle aient choisi de plein gré de ne pas contester ces dispositions.  La présence de </w:t>
      </w:r>
      <w:r w:rsidR="0085037E">
        <w:rPr>
          <w:szCs w:val="24"/>
        </w:rPr>
        <w:t>K</w:t>
      </w:r>
      <w:r w:rsidR="006D48DF">
        <w:rPr>
          <w:szCs w:val="24"/>
        </w:rPr>
        <w:t>,</w:t>
      </w:r>
      <w:r w:rsidR="00812FF6">
        <w:rPr>
          <w:szCs w:val="24"/>
        </w:rPr>
        <w:t xml:space="preserve"> de même que </w:t>
      </w:r>
      <w:r w:rsidR="006D48DF">
        <w:rPr>
          <w:szCs w:val="24"/>
        </w:rPr>
        <w:t xml:space="preserve">celle </w:t>
      </w:r>
      <w:r w:rsidR="00812FF6">
        <w:rPr>
          <w:szCs w:val="24"/>
        </w:rPr>
        <w:t>de la Société</w:t>
      </w:r>
      <w:r w:rsidR="006D48DF">
        <w:rPr>
          <w:szCs w:val="24"/>
        </w:rPr>
        <w:t>,</w:t>
      </w:r>
      <w:r w:rsidR="00812FF6">
        <w:rPr>
          <w:szCs w:val="24"/>
        </w:rPr>
        <w:t xml:space="preserve"> garantira que le litige aura une dimension à la fois individuelle et collective.</w:t>
      </w:r>
    </w:p>
    <w:p w:rsidR="001F7312" w:rsidRPr="0085037E" w:rsidRDefault="00846251" w:rsidP="00846251">
      <w:pPr>
        <w:pStyle w:val="SCCNormalDoubleSpacing"/>
        <w:spacing w:after="480"/>
        <w:rPr>
          <w:b/>
          <w:szCs w:val="24"/>
          <w:lang w:val="fr-FR"/>
        </w:rPr>
      </w:pPr>
      <w:r>
        <w:rPr>
          <w:szCs w:val="24"/>
        </w:rPr>
        <w:lastRenderedPageBreak/>
        <w:tab/>
      </w:r>
      <w:r w:rsidR="0085037E">
        <w:rPr>
          <w:szCs w:val="24"/>
        </w:rPr>
        <w:t xml:space="preserve">Ayant conclu que les intimées ont la qualité pour agir dans l’intérêt public afin de poursuivre leur action, il n’est pas nécessaire d’aborder la question de savoir si K a </w:t>
      </w:r>
      <w:r w:rsidR="0085037E" w:rsidRPr="00FD30C5">
        <w:rPr>
          <w:szCs w:val="24"/>
        </w:rPr>
        <w:t>la qualité pour agir dans l</w:t>
      </w:r>
      <w:r w:rsidR="0085037E">
        <w:rPr>
          <w:szCs w:val="24"/>
        </w:rPr>
        <w:t>’</w:t>
      </w:r>
      <w:r w:rsidR="0085037E" w:rsidRPr="00FD30C5">
        <w:rPr>
          <w:szCs w:val="24"/>
        </w:rPr>
        <w:t>intérêt privé</w:t>
      </w:r>
      <w:r w:rsidR="0085037E">
        <w:rPr>
          <w:szCs w:val="24"/>
        </w:rPr>
        <w:t>.</w:t>
      </w:r>
      <w:r w:rsidR="001F7312" w:rsidRPr="0085037E">
        <w:rPr>
          <w:szCs w:val="24"/>
          <w:lang w:val="fr-FR"/>
        </w:rPr>
        <w:t xml:space="preserve"> </w:t>
      </w:r>
    </w:p>
    <w:p w:rsidR="007E1C47" w:rsidRDefault="0043088E" w:rsidP="00846251">
      <w:pPr>
        <w:pStyle w:val="SCCNormalDoubleSpacing"/>
        <w:keepNext/>
        <w:spacing w:after="720" w:line="240" w:lineRule="auto"/>
        <w:rPr>
          <w:b/>
        </w:rPr>
      </w:pPr>
      <w:r w:rsidRPr="00A24E15">
        <w:rPr>
          <w:b/>
        </w:rPr>
        <w:t>Jurisprudence</w:t>
      </w:r>
    </w:p>
    <w:p w:rsidR="00DE49C0" w:rsidRPr="00B1151B" w:rsidRDefault="002E6705" w:rsidP="00DB656D">
      <w:pPr>
        <w:pStyle w:val="SCCNormalDoubleSpacing"/>
        <w:spacing w:after="480"/>
      </w:pPr>
      <w:r w:rsidRPr="00A24E15">
        <w:tab/>
      </w:r>
      <w:r w:rsidR="00846251" w:rsidRPr="00846251">
        <w:rPr>
          <w:b/>
          <w:szCs w:val="24"/>
        </w:rPr>
        <w:t>Arrêt appliqué</w:t>
      </w:r>
      <w:r w:rsidR="003F2E88">
        <w:rPr>
          <w:b/>
          <w:szCs w:val="24"/>
        </w:rPr>
        <w:t> :</w:t>
      </w:r>
      <w:r w:rsidR="00846251">
        <w:rPr>
          <w:szCs w:val="24"/>
        </w:rPr>
        <w:t xml:space="preserve"> </w:t>
      </w:r>
      <w:r w:rsidR="00846251" w:rsidRPr="0047116D">
        <w:rPr>
          <w:i/>
        </w:rPr>
        <w:t xml:space="preserve">Succession </w:t>
      </w:r>
      <w:proofErr w:type="spellStart"/>
      <w:r w:rsidR="00846251" w:rsidRPr="00C00C0C">
        <w:rPr>
          <w:i/>
        </w:rPr>
        <w:t>Odhavji</w:t>
      </w:r>
      <w:proofErr w:type="spellEnd"/>
      <w:r w:rsidR="00846251" w:rsidRPr="00C00C0C">
        <w:rPr>
          <w:i/>
        </w:rPr>
        <w:t xml:space="preserve"> </w:t>
      </w:r>
      <w:r w:rsidR="00846251">
        <w:rPr>
          <w:i/>
        </w:rPr>
        <w:t>c</w:t>
      </w:r>
      <w:r w:rsidR="00846251" w:rsidRPr="00C00C0C">
        <w:rPr>
          <w:i/>
        </w:rPr>
        <w:t xml:space="preserve">. </w:t>
      </w:r>
      <w:proofErr w:type="spellStart"/>
      <w:r w:rsidR="00846251" w:rsidRPr="00C00C0C">
        <w:rPr>
          <w:i/>
        </w:rPr>
        <w:t>Woodhouse</w:t>
      </w:r>
      <w:proofErr w:type="spellEnd"/>
      <w:r w:rsidR="00846251" w:rsidRPr="009375E3">
        <w:t xml:space="preserve">, </w:t>
      </w:r>
      <w:r w:rsidR="00846251">
        <w:t xml:space="preserve">2003 CSC 69, </w:t>
      </w:r>
      <w:r w:rsidR="00846251" w:rsidRPr="009375E3">
        <w:t xml:space="preserve">[2003] 3 </w:t>
      </w:r>
      <w:r w:rsidR="00846251">
        <w:t>R.C.</w:t>
      </w:r>
      <w:r w:rsidR="00846251" w:rsidRPr="009375E3">
        <w:t>S. 263</w:t>
      </w:r>
      <w:r w:rsidR="00846251">
        <w:t xml:space="preserve">; </w:t>
      </w:r>
      <w:r w:rsidR="00846251" w:rsidRPr="00846251">
        <w:rPr>
          <w:b/>
          <w:szCs w:val="24"/>
        </w:rPr>
        <w:t>arrêts</w:t>
      </w:r>
      <w:r w:rsidR="00846251" w:rsidRPr="003F2E88">
        <w:rPr>
          <w:b/>
          <w:szCs w:val="24"/>
          <w:lang w:val="fr-FR"/>
        </w:rPr>
        <w:t xml:space="preserve"> analysés</w:t>
      </w:r>
      <w:r w:rsidR="003F2E88">
        <w:rPr>
          <w:b/>
          <w:szCs w:val="24"/>
          <w:lang w:val="fr-FR"/>
        </w:rPr>
        <w:t> :</w:t>
      </w:r>
      <w:r w:rsidR="00846251" w:rsidRPr="003F2E88">
        <w:rPr>
          <w:szCs w:val="24"/>
          <w:lang w:val="fr-FR"/>
        </w:rPr>
        <w:t xml:space="preserve"> </w:t>
      </w:r>
      <w:r w:rsidR="00846251" w:rsidRPr="00E72CDF">
        <w:rPr>
          <w:i/>
        </w:rPr>
        <w:t xml:space="preserve">Finlay </w:t>
      </w:r>
      <w:r w:rsidR="00846251">
        <w:rPr>
          <w:i/>
        </w:rPr>
        <w:t>c</w:t>
      </w:r>
      <w:r w:rsidR="00846251" w:rsidRPr="00E72CDF">
        <w:rPr>
          <w:i/>
        </w:rPr>
        <w:t>. Canada (Ministr</w:t>
      </w:r>
      <w:r w:rsidR="00846251">
        <w:rPr>
          <w:i/>
        </w:rPr>
        <w:t>e des</w:t>
      </w:r>
      <w:r w:rsidR="00846251" w:rsidRPr="00E72CDF">
        <w:rPr>
          <w:i/>
        </w:rPr>
        <w:t xml:space="preserve"> Finance</w:t>
      </w:r>
      <w:r w:rsidR="005C4BEA">
        <w:rPr>
          <w:i/>
        </w:rPr>
        <w:t>s</w:t>
      </w:r>
      <w:r w:rsidR="00846251" w:rsidRPr="00E72CDF">
        <w:rPr>
          <w:i/>
        </w:rPr>
        <w:t>)</w:t>
      </w:r>
      <w:r w:rsidR="00846251" w:rsidRPr="00DD64A3">
        <w:t xml:space="preserve">, [1986] 2 </w:t>
      </w:r>
      <w:r w:rsidR="00846251">
        <w:t>R.C.</w:t>
      </w:r>
      <w:r w:rsidR="00846251" w:rsidRPr="00DD64A3">
        <w:t>S. 607</w:t>
      </w:r>
      <w:r w:rsidR="00846251">
        <w:t xml:space="preserve">; </w:t>
      </w:r>
      <w:r w:rsidR="00846251">
        <w:rPr>
          <w:i/>
        </w:rPr>
        <w:t>Co</w:t>
      </w:r>
      <w:r w:rsidR="00846251" w:rsidRPr="00E72CDF">
        <w:rPr>
          <w:i/>
        </w:rPr>
        <w:t>n</w:t>
      </w:r>
      <w:r w:rsidR="00846251">
        <w:rPr>
          <w:i/>
        </w:rPr>
        <w:t>se</w:t>
      </w:r>
      <w:r w:rsidR="00846251" w:rsidRPr="00E72CDF">
        <w:rPr>
          <w:i/>
        </w:rPr>
        <w:t xml:space="preserve">il </w:t>
      </w:r>
      <w:r w:rsidR="00846251">
        <w:rPr>
          <w:i/>
        </w:rPr>
        <w:t>canadien des Églises</w:t>
      </w:r>
      <w:r w:rsidR="00846251" w:rsidRPr="00E72CDF">
        <w:rPr>
          <w:i/>
        </w:rPr>
        <w:t xml:space="preserve"> </w:t>
      </w:r>
      <w:r w:rsidR="00846251">
        <w:rPr>
          <w:i/>
        </w:rPr>
        <w:t>c</w:t>
      </w:r>
      <w:r w:rsidR="00846251" w:rsidRPr="00E72CDF">
        <w:rPr>
          <w:i/>
        </w:rPr>
        <w:t>. Canada (Ministr</w:t>
      </w:r>
      <w:r w:rsidR="00846251">
        <w:rPr>
          <w:i/>
        </w:rPr>
        <w:t>e de l’Emploi et de l’Immigration</w:t>
      </w:r>
      <w:r w:rsidR="00846251" w:rsidRPr="00E72CDF">
        <w:rPr>
          <w:i/>
        </w:rPr>
        <w:t>)</w:t>
      </w:r>
      <w:r w:rsidR="00846251" w:rsidRPr="00DD64A3">
        <w:t xml:space="preserve">, [1992] 1 </w:t>
      </w:r>
      <w:r w:rsidR="00846251">
        <w:t>R.C.</w:t>
      </w:r>
      <w:r w:rsidR="00846251" w:rsidRPr="00DD64A3">
        <w:t>S. 236</w:t>
      </w:r>
      <w:r w:rsidR="00846251">
        <w:t xml:space="preserve">; </w:t>
      </w:r>
      <w:r w:rsidR="00846251" w:rsidRPr="00CD6C41">
        <w:rPr>
          <w:i/>
        </w:rPr>
        <w:t>Ministr</w:t>
      </w:r>
      <w:r w:rsidR="00846251">
        <w:rPr>
          <w:i/>
        </w:rPr>
        <w:t>e de la</w:t>
      </w:r>
      <w:r w:rsidR="00846251" w:rsidRPr="00CD6C41">
        <w:rPr>
          <w:i/>
        </w:rPr>
        <w:t xml:space="preserve"> Justice </w:t>
      </w:r>
      <w:r w:rsidR="00846251">
        <w:rPr>
          <w:i/>
        </w:rPr>
        <w:t>du</w:t>
      </w:r>
      <w:r w:rsidR="00846251" w:rsidRPr="00CD6C41">
        <w:rPr>
          <w:i/>
        </w:rPr>
        <w:t xml:space="preserve"> Canada </w:t>
      </w:r>
      <w:r w:rsidR="00846251">
        <w:rPr>
          <w:i/>
        </w:rPr>
        <w:t>c</w:t>
      </w:r>
      <w:r w:rsidR="00846251" w:rsidRPr="00CD6C41">
        <w:rPr>
          <w:i/>
        </w:rPr>
        <w:t xml:space="preserve">. </w:t>
      </w:r>
      <w:proofErr w:type="spellStart"/>
      <w:r w:rsidR="00846251" w:rsidRPr="00CD6C41">
        <w:rPr>
          <w:i/>
        </w:rPr>
        <w:t>Borowski</w:t>
      </w:r>
      <w:proofErr w:type="spellEnd"/>
      <w:r w:rsidR="00846251" w:rsidRPr="00DD64A3">
        <w:t xml:space="preserve">, [1981] 2 </w:t>
      </w:r>
      <w:r w:rsidR="00846251">
        <w:t>R.C.</w:t>
      </w:r>
      <w:r w:rsidR="00846251" w:rsidRPr="00DD64A3">
        <w:t>S. 575</w:t>
      </w:r>
      <w:r w:rsidR="00846251">
        <w:t xml:space="preserve">; </w:t>
      </w:r>
      <w:r w:rsidR="00846251" w:rsidRPr="00CD6C41">
        <w:rPr>
          <w:i/>
        </w:rPr>
        <w:t xml:space="preserve">Hy and </w:t>
      </w:r>
      <w:proofErr w:type="spellStart"/>
      <w:r w:rsidR="00846251" w:rsidRPr="00CD6C41">
        <w:rPr>
          <w:i/>
        </w:rPr>
        <w:t>Zel’s</w:t>
      </w:r>
      <w:proofErr w:type="spellEnd"/>
      <w:r w:rsidR="00846251" w:rsidRPr="00CD6C41">
        <w:rPr>
          <w:i/>
        </w:rPr>
        <w:t xml:space="preserve"> Inc. </w:t>
      </w:r>
      <w:r w:rsidR="00846251">
        <w:rPr>
          <w:i/>
        </w:rPr>
        <w:t>c</w:t>
      </w:r>
      <w:r w:rsidR="00846251" w:rsidRPr="00CD6C41">
        <w:rPr>
          <w:i/>
        </w:rPr>
        <w:t>. Ontario (</w:t>
      </w:r>
      <w:r w:rsidR="00846251">
        <w:rPr>
          <w:i/>
        </w:rPr>
        <w:t>Procureur géné</w:t>
      </w:r>
      <w:r w:rsidR="00846251" w:rsidRPr="00CD6C41">
        <w:rPr>
          <w:i/>
        </w:rPr>
        <w:t>ral)</w:t>
      </w:r>
      <w:r w:rsidR="00846251" w:rsidRPr="00DD64A3">
        <w:t xml:space="preserve">, [1993] 3 </w:t>
      </w:r>
      <w:r w:rsidR="00846251">
        <w:t>R.C.</w:t>
      </w:r>
      <w:r w:rsidR="00846251" w:rsidRPr="00DD64A3">
        <w:t>S. 675</w:t>
      </w:r>
      <w:r w:rsidR="00846251">
        <w:t xml:space="preserve">; </w:t>
      </w:r>
      <w:proofErr w:type="spellStart"/>
      <w:r w:rsidR="00846251" w:rsidRPr="00CD6C41">
        <w:rPr>
          <w:i/>
        </w:rPr>
        <w:t>Thorson</w:t>
      </w:r>
      <w:proofErr w:type="spellEnd"/>
      <w:r w:rsidR="00846251" w:rsidRPr="00CD6C41">
        <w:rPr>
          <w:i/>
        </w:rPr>
        <w:t xml:space="preserve"> </w:t>
      </w:r>
      <w:r w:rsidR="00846251">
        <w:rPr>
          <w:i/>
        </w:rPr>
        <w:t>c</w:t>
      </w:r>
      <w:r w:rsidR="00846251" w:rsidRPr="00CD6C41">
        <w:rPr>
          <w:i/>
        </w:rPr>
        <w:t xml:space="preserve">. </w:t>
      </w:r>
      <w:r w:rsidR="00846251">
        <w:rPr>
          <w:i/>
        </w:rPr>
        <w:t>Procureur général du</w:t>
      </w:r>
      <w:r w:rsidR="00846251" w:rsidRPr="00CD6C41">
        <w:rPr>
          <w:i/>
        </w:rPr>
        <w:t xml:space="preserve"> Canada</w:t>
      </w:r>
      <w:r w:rsidR="00846251">
        <w:t>,</w:t>
      </w:r>
      <w:r w:rsidR="00846251" w:rsidRPr="00DD64A3">
        <w:t xml:space="preserve"> [1975] 1 </w:t>
      </w:r>
      <w:r w:rsidR="00846251">
        <w:t>R.C.</w:t>
      </w:r>
      <w:r w:rsidR="00846251" w:rsidRPr="00DD64A3">
        <w:t>S. 138</w:t>
      </w:r>
      <w:r w:rsidR="00846251">
        <w:t xml:space="preserve">; </w:t>
      </w:r>
      <w:r w:rsidR="00846251" w:rsidRPr="00CD6C41">
        <w:rPr>
          <w:i/>
        </w:rPr>
        <w:t xml:space="preserve">Nova </w:t>
      </w:r>
      <w:proofErr w:type="spellStart"/>
      <w:r w:rsidR="00846251" w:rsidRPr="00CD6C41">
        <w:rPr>
          <w:i/>
        </w:rPr>
        <w:t>Scotia</w:t>
      </w:r>
      <w:proofErr w:type="spellEnd"/>
      <w:r w:rsidR="00846251" w:rsidRPr="00CD6C41">
        <w:rPr>
          <w:i/>
        </w:rPr>
        <w:t xml:space="preserve"> </w:t>
      </w:r>
      <w:proofErr w:type="spellStart"/>
      <w:r w:rsidR="00846251" w:rsidRPr="00CD6C41">
        <w:rPr>
          <w:i/>
        </w:rPr>
        <w:t>Board</w:t>
      </w:r>
      <w:proofErr w:type="spellEnd"/>
      <w:r w:rsidR="00846251" w:rsidRPr="00CD6C41">
        <w:rPr>
          <w:i/>
        </w:rPr>
        <w:t xml:space="preserve"> of </w:t>
      </w:r>
      <w:proofErr w:type="spellStart"/>
      <w:r w:rsidR="00846251" w:rsidRPr="00CD6C41">
        <w:rPr>
          <w:i/>
        </w:rPr>
        <w:t>Censors</w:t>
      </w:r>
      <w:proofErr w:type="spellEnd"/>
      <w:r w:rsidR="00846251" w:rsidRPr="00CD6C41">
        <w:rPr>
          <w:i/>
        </w:rPr>
        <w:t xml:space="preserve"> </w:t>
      </w:r>
      <w:r w:rsidR="00846251">
        <w:rPr>
          <w:i/>
        </w:rPr>
        <w:t>c</w:t>
      </w:r>
      <w:r w:rsidR="00846251" w:rsidRPr="00CD6C41">
        <w:rPr>
          <w:i/>
        </w:rPr>
        <w:t>. McNeil</w:t>
      </w:r>
      <w:r w:rsidR="00846251">
        <w:t>,</w:t>
      </w:r>
      <w:r w:rsidR="00846251" w:rsidRPr="00DD64A3">
        <w:t xml:space="preserve"> [1976] 2 </w:t>
      </w:r>
      <w:r w:rsidR="00846251">
        <w:t>R.C.</w:t>
      </w:r>
      <w:r w:rsidR="00846251" w:rsidRPr="00DD64A3">
        <w:t>S. 265</w:t>
      </w:r>
      <w:r w:rsidR="00846251">
        <w:t xml:space="preserve">; </w:t>
      </w:r>
      <w:r w:rsidR="00846251">
        <w:rPr>
          <w:b/>
        </w:rPr>
        <w:t>a</w:t>
      </w:r>
      <w:r w:rsidR="0043088E" w:rsidRPr="00A24E15">
        <w:rPr>
          <w:b/>
        </w:rPr>
        <w:t>rrêts mentionnés</w:t>
      </w:r>
      <w:r w:rsidR="003F2E88">
        <w:rPr>
          <w:b/>
        </w:rPr>
        <w:t> :</w:t>
      </w:r>
      <w:r w:rsidR="00172A04" w:rsidRPr="00A24E15">
        <w:t xml:space="preserve"> </w:t>
      </w:r>
      <w:r w:rsidR="00DE49C0" w:rsidRPr="00E72CDF">
        <w:rPr>
          <w:i/>
        </w:rPr>
        <w:t xml:space="preserve">Bedford </w:t>
      </w:r>
      <w:r w:rsidR="00DE49C0">
        <w:rPr>
          <w:i/>
        </w:rPr>
        <w:t>c</w:t>
      </w:r>
      <w:r w:rsidR="00DE49C0" w:rsidRPr="00E72CDF">
        <w:rPr>
          <w:i/>
        </w:rPr>
        <w:t>. Canada (Attorney General)</w:t>
      </w:r>
      <w:r w:rsidR="00DE49C0" w:rsidRPr="00DD64A3">
        <w:t>, 201</w:t>
      </w:r>
      <w:r w:rsidR="00DE49C0">
        <w:t>0</w:t>
      </w:r>
      <w:r w:rsidR="00DE49C0" w:rsidRPr="00DD64A3">
        <w:t xml:space="preserve"> ONSC 4264</w:t>
      </w:r>
      <w:r w:rsidR="00D16365">
        <w:t>,</w:t>
      </w:r>
      <w:r w:rsidR="00D16365" w:rsidRPr="00DD64A3">
        <w:t xml:space="preserve"> </w:t>
      </w:r>
      <w:r w:rsidR="00D16365">
        <w:t>327 D.L.R. (4th) 52</w:t>
      </w:r>
      <w:r w:rsidR="00DE49C0">
        <w:t>,</w:t>
      </w:r>
      <w:r w:rsidR="00DE49C0" w:rsidRPr="00DD64A3">
        <w:t xml:space="preserve"> </w:t>
      </w:r>
      <w:r w:rsidR="00DE49C0">
        <w:t>inf. en</w:t>
      </w:r>
      <w:r w:rsidR="00DE49C0" w:rsidRPr="00E72CDF">
        <w:t xml:space="preserve"> part</w:t>
      </w:r>
      <w:r w:rsidR="00DE49C0">
        <w:t>ie par</w:t>
      </w:r>
      <w:r w:rsidR="00DE49C0" w:rsidRPr="00DD64A3">
        <w:t xml:space="preserve"> 2012 ONCA 186</w:t>
      </w:r>
      <w:r w:rsidR="00DE49C0">
        <w:t xml:space="preserve">, 109 O.R. (3d) 1; </w:t>
      </w:r>
      <w:proofErr w:type="spellStart"/>
      <w:r w:rsidR="00DE49C0" w:rsidRPr="00E72CDF">
        <w:rPr>
          <w:i/>
        </w:rPr>
        <w:t>Chaoulli</w:t>
      </w:r>
      <w:proofErr w:type="spellEnd"/>
      <w:r w:rsidR="00DE49C0" w:rsidRPr="00E72CDF">
        <w:rPr>
          <w:i/>
        </w:rPr>
        <w:t xml:space="preserve"> </w:t>
      </w:r>
      <w:r w:rsidR="00DE49C0">
        <w:rPr>
          <w:i/>
        </w:rPr>
        <w:t>c</w:t>
      </w:r>
      <w:r w:rsidR="00DE49C0" w:rsidRPr="00E72CDF">
        <w:rPr>
          <w:i/>
        </w:rPr>
        <w:t>. Qu</w:t>
      </w:r>
      <w:r w:rsidR="00DE49C0">
        <w:rPr>
          <w:i/>
        </w:rPr>
        <w:t>é</w:t>
      </w:r>
      <w:r w:rsidR="00DE49C0" w:rsidRPr="00E72CDF">
        <w:rPr>
          <w:i/>
        </w:rPr>
        <w:t>bec (</w:t>
      </w:r>
      <w:r w:rsidR="00DE49C0">
        <w:rPr>
          <w:i/>
        </w:rPr>
        <w:t>Procureur géné</w:t>
      </w:r>
      <w:r w:rsidR="00DE49C0" w:rsidRPr="00E72CDF">
        <w:rPr>
          <w:i/>
        </w:rPr>
        <w:t>ral)</w:t>
      </w:r>
      <w:r w:rsidR="00DE49C0" w:rsidRPr="00DD64A3">
        <w:t xml:space="preserve">, 2005 </w:t>
      </w:r>
      <w:r w:rsidR="00DE49C0">
        <w:t>C</w:t>
      </w:r>
      <w:r w:rsidR="00DE49C0" w:rsidRPr="00DD64A3">
        <w:t xml:space="preserve">SC 35, [2005] 1 </w:t>
      </w:r>
      <w:r w:rsidR="00DE49C0">
        <w:t>R.C.</w:t>
      </w:r>
      <w:r w:rsidR="00DE49C0" w:rsidRPr="00DD64A3">
        <w:t>S. 791</w:t>
      </w:r>
      <w:r w:rsidR="00DE49C0">
        <w:t xml:space="preserve">; </w:t>
      </w:r>
      <w:r w:rsidR="00DE49C0" w:rsidRPr="00CD6C41">
        <w:rPr>
          <w:i/>
        </w:rPr>
        <w:t xml:space="preserve">Smith </w:t>
      </w:r>
      <w:r w:rsidR="00DE49C0">
        <w:rPr>
          <w:i/>
        </w:rPr>
        <w:t>c</w:t>
      </w:r>
      <w:r w:rsidR="00DE49C0" w:rsidRPr="00CD6C41">
        <w:rPr>
          <w:i/>
        </w:rPr>
        <w:t>. Attorney General of Ontario</w:t>
      </w:r>
      <w:r w:rsidR="00DE49C0" w:rsidRPr="00DD64A3">
        <w:t xml:space="preserve">, [1924] </w:t>
      </w:r>
      <w:r w:rsidR="00DE49C0">
        <w:t>R.C.</w:t>
      </w:r>
      <w:r w:rsidR="00DE49C0" w:rsidRPr="00DD64A3">
        <w:t>S. 331</w:t>
      </w:r>
      <w:r w:rsidR="00DE49C0">
        <w:t xml:space="preserve">; </w:t>
      </w:r>
      <w:r w:rsidR="00DE49C0" w:rsidRPr="00CD6C41">
        <w:rPr>
          <w:i/>
        </w:rPr>
        <w:t xml:space="preserve">Baker </w:t>
      </w:r>
      <w:r w:rsidR="00DE49C0">
        <w:rPr>
          <w:i/>
        </w:rPr>
        <w:t>c</w:t>
      </w:r>
      <w:r w:rsidR="00DE49C0" w:rsidRPr="00CD6C41">
        <w:rPr>
          <w:i/>
        </w:rPr>
        <w:t>. Carr</w:t>
      </w:r>
      <w:r w:rsidR="00DE49C0">
        <w:t xml:space="preserve">, 369 U.S. 186 (1962); </w:t>
      </w:r>
      <w:r w:rsidR="00DE49C0" w:rsidRPr="00CD6C41">
        <w:rPr>
          <w:i/>
        </w:rPr>
        <w:t>Canada (</w:t>
      </w:r>
      <w:r w:rsidR="000274BD">
        <w:rPr>
          <w:i/>
        </w:rPr>
        <w:t>Vérificateur géné</w:t>
      </w:r>
      <w:r w:rsidR="00DE49C0" w:rsidRPr="00CD6C41">
        <w:rPr>
          <w:i/>
        </w:rPr>
        <w:t xml:space="preserve">ral) </w:t>
      </w:r>
      <w:r w:rsidR="000274BD">
        <w:rPr>
          <w:i/>
        </w:rPr>
        <w:t>c</w:t>
      </w:r>
      <w:r w:rsidR="00DE49C0" w:rsidRPr="00CD6C41">
        <w:rPr>
          <w:i/>
        </w:rPr>
        <w:t>. Canada (Ministr</w:t>
      </w:r>
      <w:r w:rsidR="000274BD">
        <w:rPr>
          <w:i/>
        </w:rPr>
        <w:t>e de l’Énergie, des Mines et des Ressources</w:t>
      </w:r>
      <w:r w:rsidR="00DE49C0" w:rsidRPr="00CD6C41">
        <w:rPr>
          <w:i/>
        </w:rPr>
        <w:t>)</w:t>
      </w:r>
      <w:r w:rsidR="00DE49C0" w:rsidRPr="00DD64A3">
        <w:t xml:space="preserve">, [1989] 2 </w:t>
      </w:r>
      <w:r w:rsidR="000274BD">
        <w:t>R.C.</w:t>
      </w:r>
      <w:r w:rsidR="00DE49C0" w:rsidRPr="00DD64A3">
        <w:t>S. 49</w:t>
      </w:r>
      <w:r w:rsidR="00DE49C0">
        <w:t xml:space="preserve">; </w:t>
      </w:r>
      <w:proofErr w:type="spellStart"/>
      <w:r w:rsidR="00DE49C0" w:rsidRPr="00CD6C41">
        <w:rPr>
          <w:i/>
        </w:rPr>
        <w:t>Operation</w:t>
      </w:r>
      <w:proofErr w:type="spellEnd"/>
      <w:r w:rsidR="00DE49C0" w:rsidRPr="00CD6C41">
        <w:rPr>
          <w:i/>
        </w:rPr>
        <w:t xml:space="preserve"> </w:t>
      </w:r>
      <w:proofErr w:type="spellStart"/>
      <w:r w:rsidR="00DE49C0" w:rsidRPr="00CD6C41">
        <w:rPr>
          <w:i/>
        </w:rPr>
        <w:t>Dismantle</w:t>
      </w:r>
      <w:proofErr w:type="spellEnd"/>
      <w:r w:rsidR="00DE49C0" w:rsidRPr="00CD6C41">
        <w:rPr>
          <w:i/>
        </w:rPr>
        <w:t xml:space="preserve"> Inc. </w:t>
      </w:r>
      <w:r w:rsidR="0047116D">
        <w:rPr>
          <w:i/>
        </w:rPr>
        <w:t>c</w:t>
      </w:r>
      <w:r w:rsidR="00DE49C0" w:rsidRPr="00CD6C41">
        <w:rPr>
          <w:i/>
        </w:rPr>
        <w:t xml:space="preserve">. </w:t>
      </w:r>
      <w:r w:rsidR="0047116D">
        <w:rPr>
          <w:i/>
        </w:rPr>
        <w:t>La Reine</w:t>
      </w:r>
      <w:r w:rsidR="00DE49C0" w:rsidRPr="00DD64A3">
        <w:t xml:space="preserve">, [1985] 1 </w:t>
      </w:r>
      <w:r w:rsidR="0047116D">
        <w:t>R.C.</w:t>
      </w:r>
      <w:r w:rsidR="00DE49C0" w:rsidRPr="00DD64A3">
        <w:t>S. 441</w:t>
      </w:r>
      <w:r w:rsidR="00DE49C0">
        <w:t xml:space="preserve">; </w:t>
      </w:r>
      <w:r w:rsidR="00DE49C0" w:rsidRPr="00CD6C41">
        <w:rPr>
          <w:i/>
        </w:rPr>
        <w:t>R.</w:t>
      </w:r>
      <w:r w:rsidR="0047116D">
        <w:rPr>
          <w:i/>
        </w:rPr>
        <w:t xml:space="preserve"> c</w:t>
      </w:r>
      <w:r w:rsidR="00DE49C0" w:rsidRPr="00CD6C41">
        <w:rPr>
          <w:i/>
        </w:rPr>
        <w:t>. Edwards Books and Art Ltd.</w:t>
      </w:r>
      <w:r w:rsidR="00DE49C0" w:rsidRPr="00733F9F">
        <w:t xml:space="preserve">, [1986] 2 </w:t>
      </w:r>
      <w:r w:rsidR="0047116D">
        <w:t>R.C.</w:t>
      </w:r>
      <w:r w:rsidR="00DE49C0" w:rsidRPr="00733F9F">
        <w:t>S. 713</w:t>
      </w:r>
      <w:r w:rsidR="00DE49C0">
        <w:t xml:space="preserve">; </w:t>
      </w:r>
      <w:proofErr w:type="spellStart"/>
      <w:r w:rsidR="00DE49C0" w:rsidRPr="00CD6C41">
        <w:rPr>
          <w:i/>
        </w:rPr>
        <w:t>Danson</w:t>
      </w:r>
      <w:proofErr w:type="spellEnd"/>
      <w:r w:rsidR="00DE49C0" w:rsidRPr="00CD6C41">
        <w:rPr>
          <w:i/>
        </w:rPr>
        <w:t xml:space="preserve"> </w:t>
      </w:r>
      <w:r w:rsidR="0047116D">
        <w:rPr>
          <w:i/>
        </w:rPr>
        <w:t>c</w:t>
      </w:r>
      <w:r w:rsidR="00DE49C0" w:rsidRPr="00CD6C41">
        <w:rPr>
          <w:i/>
        </w:rPr>
        <w:t>. Ontario (</w:t>
      </w:r>
      <w:r w:rsidR="0047116D">
        <w:rPr>
          <w:i/>
        </w:rPr>
        <w:t>Procureur géné</w:t>
      </w:r>
      <w:r w:rsidR="00DE49C0" w:rsidRPr="00CD6C41">
        <w:rPr>
          <w:i/>
        </w:rPr>
        <w:t>ral)</w:t>
      </w:r>
      <w:r w:rsidR="00DE49C0" w:rsidRPr="00733F9F">
        <w:t xml:space="preserve">, [1990] 2 </w:t>
      </w:r>
      <w:r w:rsidR="0047116D">
        <w:t>R.C.</w:t>
      </w:r>
      <w:r w:rsidR="00DE49C0" w:rsidRPr="00733F9F">
        <w:t>S. 1086</w:t>
      </w:r>
      <w:r w:rsidR="00DE49C0">
        <w:t xml:space="preserve">; </w:t>
      </w:r>
      <w:r w:rsidR="00DE49C0" w:rsidRPr="00754A9D">
        <w:rPr>
          <w:i/>
        </w:rPr>
        <w:t>Re</w:t>
      </w:r>
      <w:r w:rsidR="0047116D">
        <w:rPr>
          <w:i/>
        </w:rPr>
        <w:t>nvoi</w:t>
      </w:r>
      <w:r w:rsidR="00DE49C0" w:rsidRPr="00754A9D">
        <w:rPr>
          <w:i/>
        </w:rPr>
        <w:t xml:space="preserve"> re</w:t>
      </w:r>
      <w:r w:rsidR="0047116D">
        <w:rPr>
          <w:i/>
        </w:rPr>
        <w:t>latif à l’</w:t>
      </w:r>
      <w:r w:rsidR="003F2E88">
        <w:rPr>
          <w:i/>
        </w:rPr>
        <w:t>art. </w:t>
      </w:r>
      <w:r w:rsidR="00DE49C0" w:rsidRPr="00754A9D">
        <w:rPr>
          <w:i/>
        </w:rPr>
        <w:t xml:space="preserve">193 </w:t>
      </w:r>
      <w:r w:rsidR="0047116D">
        <w:rPr>
          <w:i/>
        </w:rPr>
        <w:t>et à l’</w:t>
      </w:r>
      <w:r w:rsidR="003F2E88">
        <w:rPr>
          <w:i/>
        </w:rPr>
        <w:t>al. </w:t>
      </w:r>
      <w:r w:rsidR="0047116D">
        <w:rPr>
          <w:i/>
        </w:rPr>
        <w:t>195.1(1)</w:t>
      </w:r>
      <w:r w:rsidR="00DE49C0" w:rsidRPr="00754A9D">
        <w:rPr>
          <w:i/>
        </w:rPr>
        <w:t xml:space="preserve">c) </w:t>
      </w:r>
      <w:r w:rsidR="0047116D">
        <w:rPr>
          <w:i/>
        </w:rPr>
        <w:t xml:space="preserve">du </w:t>
      </w:r>
      <w:r w:rsidR="00DE49C0" w:rsidRPr="00754A9D">
        <w:rPr>
          <w:i/>
        </w:rPr>
        <w:t>Code</w:t>
      </w:r>
      <w:r w:rsidR="0047116D">
        <w:rPr>
          <w:i/>
        </w:rPr>
        <w:t xml:space="preserve"> criminel</w:t>
      </w:r>
      <w:r w:rsidR="00DE49C0" w:rsidRPr="00754A9D">
        <w:rPr>
          <w:i/>
        </w:rPr>
        <w:t xml:space="preserve"> (Man.)</w:t>
      </w:r>
      <w:r w:rsidR="00DE49C0" w:rsidRPr="00733F9F">
        <w:t xml:space="preserve">, [1990] 1 </w:t>
      </w:r>
      <w:r w:rsidR="0047116D">
        <w:t>R.C.</w:t>
      </w:r>
      <w:r w:rsidR="00DE49C0" w:rsidRPr="00733F9F">
        <w:t>S. 1123</w:t>
      </w:r>
      <w:r w:rsidR="00DE49C0">
        <w:t xml:space="preserve">; </w:t>
      </w:r>
      <w:r w:rsidR="00DE49C0" w:rsidRPr="00754A9D">
        <w:rPr>
          <w:i/>
        </w:rPr>
        <w:t xml:space="preserve">R. </w:t>
      </w:r>
      <w:r w:rsidR="0047116D">
        <w:rPr>
          <w:i/>
        </w:rPr>
        <w:t>c</w:t>
      </w:r>
      <w:r w:rsidR="00DE49C0" w:rsidRPr="00754A9D">
        <w:rPr>
          <w:i/>
        </w:rPr>
        <w:t>. Skinner</w:t>
      </w:r>
      <w:r w:rsidR="00DE49C0" w:rsidRPr="00733F9F">
        <w:t xml:space="preserve">, [1990] 1 </w:t>
      </w:r>
      <w:r w:rsidR="0047116D">
        <w:t>R.C.</w:t>
      </w:r>
      <w:r w:rsidR="00DE49C0" w:rsidRPr="00733F9F">
        <w:t>S. 1235</w:t>
      </w:r>
      <w:r w:rsidR="00DE49C0">
        <w:t xml:space="preserve">; </w:t>
      </w:r>
      <w:r w:rsidR="00DE49C0" w:rsidRPr="00754A9D">
        <w:rPr>
          <w:i/>
        </w:rPr>
        <w:t xml:space="preserve">R. </w:t>
      </w:r>
      <w:r w:rsidR="0047116D">
        <w:rPr>
          <w:i/>
        </w:rPr>
        <w:t>c</w:t>
      </w:r>
      <w:r w:rsidR="00DE49C0" w:rsidRPr="00754A9D">
        <w:rPr>
          <w:i/>
        </w:rPr>
        <w:t xml:space="preserve">. </w:t>
      </w:r>
      <w:proofErr w:type="spellStart"/>
      <w:r w:rsidR="00DE49C0" w:rsidRPr="00754A9D">
        <w:rPr>
          <w:i/>
        </w:rPr>
        <w:t>Stagnitta</w:t>
      </w:r>
      <w:proofErr w:type="spellEnd"/>
      <w:r w:rsidR="00DE49C0" w:rsidRPr="00733F9F">
        <w:t xml:space="preserve">, [1990] 1 </w:t>
      </w:r>
      <w:r w:rsidR="0047116D">
        <w:t>R.C.</w:t>
      </w:r>
      <w:r w:rsidR="00DE49C0" w:rsidRPr="00733F9F">
        <w:t xml:space="preserve">S. 1226; </w:t>
      </w:r>
      <w:r w:rsidR="00DE49C0" w:rsidRPr="00754A9D">
        <w:rPr>
          <w:i/>
        </w:rPr>
        <w:t xml:space="preserve">R. </w:t>
      </w:r>
      <w:r w:rsidR="0047116D">
        <w:rPr>
          <w:i/>
        </w:rPr>
        <w:t>c</w:t>
      </w:r>
      <w:r w:rsidR="00DE49C0" w:rsidRPr="00754A9D">
        <w:rPr>
          <w:i/>
        </w:rPr>
        <w:t>. Smith</w:t>
      </w:r>
      <w:r w:rsidR="00DE49C0">
        <w:t xml:space="preserve"> (1988), 44 C.C.C. (3d) 385</w:t>
      </w:r>
      <w:r w:rsidR="00DE49C0" w:rsidRPr="00733F9F">
        <w:t xml:space="preserve">; </w:t>
      </w:r>
      <w:r w:rsidR="00DE49C0" w:rsidRPr="00C00C0C">
        <w:rPr>
          <w:i/>
        </w:rPr>
        <w:t xml:space="preserve">R. </w:t>
      </w:r>
      <w:r w:rsidR="0047116D">
        <w:rPr>
          <w:i/>
        </w:rPr>
        <w:t>c</w:t>
      </w:r>
      <w:r w:rsidR="00DE49C0" w:rsidRPr="00C00C0C">
        <w:rPr>
          <w:i/>
        </w:rPr>
        <w:t>. Gagne</w:t>
      </w:r>
      <w:r w:rsidR="00DE49C0" w:rsidRPr="00733F9F">
        <w:t xml:space="preserve">, </w:t>
      </w:r>
      <w:r w:rsidR="00DE49C0" w:rsidRPr="00733F9F">
        <w:lastRenderedPageBreak/>
        <w:t>[1988] O</w:t>
      </w:r>
      <w:r w:rsidR="00DE49C0">
        <w:t>.</w:t>
      </w:r>
      <w:r w:rsidR="00DE49C0" w:rsidRPr="00733F9F">
        <w:t>J</w:t>
      </w:r>
      <w:r w:rsidR="00DE49C0">
        <w:t>.</w:t>
      </w:r>
      <w:r w:rsidR="00DE49C0" w:rsidRPr="00733F9F">
        <w:t xml:space="preserve"> </w:t>
      </w:r>
      <w:r w:rsidR="003F2E88">
        <w:t>No. </w:t>
      </w:r>
      <w:r w:rsidR="00DE49C0" w:rsidRPr="00733F9F">
        <w:t xml:space="preserve">2518 (QL); </w:t>
      </w:r>
      <w:r w:rsidR="00DE49C0" w:rsidRPr="00754A9D">
        <w:rPr>
          <w:i/>
        </w:rPr>
        <w:t xml:space="preserve">R. </w:t>
      </w:r>
      <w:r w:rsidR="0047116D">
        <w:rPr>
          <w:i/>
        </w:rPr>
        <w:t>c</w:t>
      </w:r>
      <w:r w:rsidR="00DE49C0" w:rsidRPr="00754A9D">
        <w:rPr>
          <w:i/>
        </w:rPr>
        <w:t xml:space="preserve">. </w:t>
      </w:r>
      <w:proofErr w:type="spellStart"/>
      <w:r w:rsidR="00DE49C0" w:rsidRPr="00754A9D">
        <w:rPr>
          <w:i/>
        </w:rPr>
        <w:t>Jahelka</w:t>
      </w:r>
      <w:proofErr w:type="spellEnd"/>
      <w:r w:rsidR="00DE49C0" w:rsidRPr="00733F9F">
        <w:t xml:space="preserve"> (1987), 43 D.L.R. (4th) 111; </w:t>
      </w:r>
      <w:r w:rsidR="00DE49C0" w:rsidRPr="00754A9D">
        <w:rPr>
          <w:i/>
        </w:rPr>
        <w:t xml:space="preserve">R. </w:t>
      </w:r>
      <w:r w:rsidR="0047116D">
        <w:rPr>
          <w:i/>
        </w:rPr>
        <w:t>c</w:t>
      </w:r>
      <w:r w:rsidR="00DE49C0" w:rsidRPr="00754A9D">
        <w:rPr>
          <w:i/>
        </w:rPr>
        <w:t xml:space="preserve">. </w:t>
      </w:r>
      <w:proofErr w:type="spellStart"/>
      <w:r w:rsidR="00DE49C0" w:rsidRPr="00754A9D">
        <w:rPr>
          <w:i/>
        </w:rPr>
        <w:t>Kazelman</w:t>
      </w:r>
      <w:proofErr w:type="spellEnd"/>
      <w:r w:rsidR="00DE49C0" w:rsidRPr="00733F9F">
        <w:t xml:space="preserve">, [1987] O.J. </w:t>
      </w:r>
      <w:r w:rsidR="003F2E88">
        <w:t>No. </w:t>
      </w:r>
      <w:r w:rsidR="00DE49C0" w:rsidRPr="00733F9F">
        <w:t xml:space="preserve">1931 (QL); </w:t>
      </w:r>
      <w:r w:rsidR="00DE49C0" w:rsidRPr="00DB50C6">
        <w:rPr>
          <w:i/>
        </w:rPr>
        <w:t xml:space="preserve">R. </w:t>
      </w:r>
      <w:r w:rsidR="0047116D">
        <w:rPr>
          <w:i/>
        </w:rPr>
        <w:t>c</w:t>
      </w:r>
      <w:r w:rsidR="00DE49C0" w:rsidRPr="00DB50C6">
        <w:rPr>
          <w:i/>
        </w:rPr>
        <w:t xml:space="preserve">. </w:t>
      </w:r>
      <w:proofErr w:type="spellStart"/>
      <w:r w:rsidR="00DE49C0" w:rsidRPr="00DB50C6">
        <w:rPr>
          <w:i/>
        </w:rPr>
        <w:t>Bavington</w:t>
      </w:r>
      <w:proofErr w:type="spellEnd"/>
      <w:r w:rsidR="00DE49C0" w:rsidRPr="00733F9F">
        <w:t>,</w:t>
      </w:r>
      <w:r w:rsidR="005A157A">
        <w:t xml:space="preserve"> [1987] O.J. No. 2728 (QL)</w:t>
      </w:r>
      <w:r w:rsidR="00DE49C0" w:rsidRPr="00733F9F">
        <w:t xml:space="preserve">; </w:t>
      </w:r>
      <w:r w:rsidR="00DE49C0" w:rsidRPr="00DB50C6">
        <w:rPr>
          <w:i/>
        </w:rPr>
        <w:t xml:space="preserve">R. </w:t>
      </w:r>
      <w:r w:rsidR="0047116D">
        <w:rPr>
          <w:i/>
        </w:rPr>
        <w:t>c</w:t>
      </w:r>
      <w:r w:rsidR="00DE49C0" w:rsidRPr="00DB50C6">
        <w:rPr>
          <w:i/>
        </w:rPr>
        <w:t>. Cunningham</w:t>
      </w:r>
      <w:r w:rsidR="00DE49C0" w:rsidRPr="00733F9F">
        <w:t xml:space="preserve"> </w:t>
      </w:r>
      <w:r w:rsidR="00DE49C0">
        <w:t>(</w:t>
      </w:r>
      <w:r w:rsidR="00DE49C0" w:rsidRPr="00733F9F">
        <w:t>1986</w:t>
      </w:r>
      <w:r w:rsidR="00DE49C0">
        <w:t>),</w:t>
      </w:r>
      <w:r w:rsidR="00DE49C0" w:rsidRPr="00733F9F">
        <w:t xml:space="preserve"> 31 C.C.C. (3d) 223; </w:t>
      </w:r>
      <w:r w:rsidR="00DE49C0" w:rsidRPr="00DB50C6">
        <w:rPr>
          <w:i/>
        </w:rPr>
        <w:t xml:space="preserve">R. </w:t>
      </w:r>
      <w:r w:rsidR="0047116D">
        <w:rPr>
          <w:i/>
        </w:rPr>
        <w:t>c</w:t>
      </w:r>
      <w:r w:rsidR="00DE49C0" w:rsidRPr="00DB50C6">
        <w:rPr>
          <w:i/>
        </w:rPr>
        <w:t xml:space="preserve">. </w:t>
      </w:r>
      <w:proofErr w:type="spellStart"/>
      <w:r w:rsidR="00DE49C0" w:rsidRPr="00DB50C6">
        <w:rPr>
          <w:i/>
        </w:rPr>
        <w:t>Bear</w:t>
      </w:r>
      <w:proofErr w:type="spellEnd"/>
      <w:r w:rsidR="00DE49C0" w:rsidRPr="00733F9F">
        <w:t xml:space="preserve"> </w:t>
      </w:r>
      <w:r w:rsidR="00DE49C0">
        <w:t>(</w:t>
      </w:r>
      <w:r w:rsidR="00DE49C0" w:rsidRPr="00733F9F">
        <w:t>1986</w:t>
      </w:r>
      <w:r w:rsidR="00DE49C0">
        <w:t>),</w:t>
      </w:r>
      <w:r w:rsidR="00DE49C0" w:rsidRPr="00733F9F">
        <w:t xml:space="preserve"> 47 Alta</w:t>
      </w:r>
      <w:r w:rsidR="00DE49C0">
        <w:t>.</w:t>
      </w:r>
      <w:r w:rsidR="00DE49C0" w:rsidRPr="00733F9F">
        <w:t xml:space="preserve"> L</w:t>
      </w:r>
      <w:r w:rsidR="00DE49C0">
        <w:t>.</w:t>
      </w:r>
      <w:r w:rsidR="00DE49C0" w:rsidRPr="00733F9F">
        <w:t>R</w:t>
      </w:r>
      <w:r w:rsidR="00DE49C0">
        <w:t>.</w:t>
      </w:r>
      <w:r w:rsidR="00DE49C0" w:rsidRPr="00733F9F">
        <w:t xml:space="preserve"> (2d) 255; </w:t>
      </w:r>
      <w:r w:rsidR="00DE49C0" w:rsidRPr="00DB50C6">
        <w:rPr>
          <w:i/>
        </w:rPr>
        <w:t xml:space="preserve">R. </w:t>
      </w:r>
      <w:r w:rsidR="0047116D">
        <w:rPr>
          <w:i/>
        </w:rPr>
        <w:t>c</w:t>
      </w:r>
      <w:r w:rsidR="00DE49C0" w:rsidRPr="00DB50C6">
        <w:rPr>
          <w:i/>
        </w:rPr>
        <w:t>. McLean</w:t>
      </w:r>
      <w:r w:rsidR="00DE49C0" w:rsidRPr="00733F9F">
        <w:t xml:space="preserve"> (1986), 2 B.C.L.R. (2d) 232; </w:t>
      </w:r>
      <w:r w:rsidR="00DE49C0" w:rsidRPr="00DB50C6">
        <w:rPr>
          <w:i/>
        </w:rPr>
        <w:t xml:space="preserve">R. </w:t>
      </w:r>
      <w:r w:rsidR="0047116D">
        <w:rPr>
          <w:i/>
        </w:rPr>
        <w:t>c</w:t>
      </w:r>
      <w:r w:rsidR="00DE49C0" w:rsidRPr="00DB50C6">
        <w:rPr>
          <w:i/>
        </w:rPr>
        <w:t>. Bailey</w:t>
      </w:r>
      <w:r w:rsidR="00DE49C0" w:rsidRPr="00733F9F">
        <w:t xml:space="preserve">, [1986] O.J. </w:t>
      </w:r>
      <w:r w:rsidR="003F2E88">
        <w:t>No. </w:t>
      </w:r>
      <w:r w:rsidR="00DE49C0" w:rsidRPr="00733F9F">
        <w:t xml:space="preserve">2795 (QL); </w:t>
      </w:r>
      <w:r w:rsidR="00DE49C0" w:rsidRPr="00DB50C6">
        <w:rPr>
          <w:i/>
        </w:rPr>
        <w:t xml:space="preserve">R. </w:t>
      </w:r>
      <w:r w:rsidR="0047116D">
        <w:rPr>
          <w:i/>
        </w:rPr>
        <w:t>c</w:t>
      </w:r>
      <w:r w:rsidR="00DE49C0" w:rsidRPr="00DB50C6">
        <w:rPr>
          <w:i/>
        </w:rPr>
        <w:t xml:space="preserve">. </w:t>
      </w:r>
      <w:proofErr w:type="spellStart"/>
      <w:r w:rsidR="00DE49C0" w:rsidRPr="00DB50C6">
        <w:rPr>
          <w:i/>
        </w:rPr>
        <w:t>Cheeseman</w:t>
      </w:r>
      <w:proofErr w:type="spellEnd"/>
      <w:r w:rsidR="00DE49C0" w:rsidRPr="00733F9F">
        <w:t xml:space="preserve">, </w:t>
      </w:r>
      <w:r w:rsidR="005C4BEA" w:rsidRPr="005C4BEA">
        <w:t xml:space="preserve">C. </w:t>
      </w:r>
      <w:proofErr w:type="spellStart"/>
      <w:r w:rsidR="005C4BEA" w:rsidRPr="005C4BEA">
        <w:t>prov</w:t>
      </w:r>
      <w:proofErr w:type="spellEnd"/>
      <w:r w:rsidR="005C4BEA" w:rsidRPr="005C4BEA">
        <w:t xml:space="preserve">. </w:t>
      </w:r>
      <w:proofErr w:type="spellStart"/>
      <w:r w:rsidR="005C4BEA" w:rsidRPr="005C4BEA">
        <w:t>Sask</w:t>
      </w:r>
      <w:proofErr w:type="spellEnd"/>
      <w:r w:rsidR="005C4BEA" w:rsidRPr="005C4BEA">
        <w:t>., 19 juin 1986</w:t>
      </w:r>
      <w:r w:rsidR="00DE49C0" w:rsidRPr="00B1151B">
        <w:t xml:space="preserve">; </w:t>
      </w:r>
      <w:r w:rsidR="00DE49C0" w:rsidRPr="00B1151B">
        <w:rPr>
          <w:i/>
        </w:rPr>
        <w:t xml:space="preserve">R. </w:t>
      </w:r>
      <w:r w:rsidR="0047116D" w:rsidRPr="00B1151B">
        <w:rPr>
          <w:i/>
        </w:rPr>
        <w:t>c</w:t>
      </w:r>
      <w:r w:rsidR="00DE49C0" w:rsidRPr="00B1151B">
        <w:rPr>
          <w:i/>
        </w:rPr>
        <w:t>. Blais</w:t>
      </w:r>
      <w:r w:rsidR="00DE49C0" w:rsidRPr="00B1151B">
        <w:t xml:space="preserve">, 2008 BCCA 389, 301 D.L.R. (4th) 464; </w:t>
      </w:r>
      <w:r w:rsidR="00DE49C0" w:rsidRPr="00B1151B">
        <w:rPr>
          <w:i/>
        </w:rPr>
        <w:t xml:space="preserve">R. </w:t>
      </w:r>
      <w:r w:rsidR="0047116D" w:rsidRPr="00B1151B">
        <w:rPr>
          <w:i/>
        </w:rPr>
        <w:t>c</w:t>
      </w:r>
      <w:r w:rsidR="00DE49C0" w:rsidRPr="00B1151B">
        <w:rPr>
          <w:i/>
        </w:rPr>
        <w:t>. Downey</w:t>
      </w:r>
      <w:r w:rsidR="00DE49C0" w:rsidRPr="00B1151B">
        <w:t xml:space="preserve">, [1992] 2 </w:t>
      </w:r>
      <w:r w:rsidR="0047116D" w:rsidRPr="00B1151B">
        <w:t>R.C.</w:t>
      </w:r>
      <w:r w:rsidR="00DE49C0" w:rsidRPr="00B1151B">
        <w:t xml:space="preserve">S. 10; </w:t>
      </w:r>
      <w:r w:rsidR="00DE49C0" w:rsidRPr="00B1151B">
        <w:rPr>
          <w:i/>
        </w:rPr>
        <w:t xml:space="preserve">R. </w:t>
      </w:r>
      <w:r w:rsidR="0047116D" w:rsidRPr="00B1151B">
        <w:rPr>
          <w:i/>
        </w:rPr>
        <w:t>c</w:t>
      </w:r>
      <w:r w:rsidR="00DE49C0" w:rsidRPr="00B1151B">
        <w:rPr>
          <w:i/>
        </w:rPr>
        <w:t>. Boston</w:t>
      </w:r>
      <w:r w:rsidR="00DE49C0" w:rsidRPr="00B1151B">
        <w:t xml:space="preserve">, [1988] B.C.J. </w:t>
      </w:r>
      <w:r w:rsidR="003F2E88" w:rsidRPr="00B1151B">
        <w:t>No. </w:t>
      </w:r>
      <w:r w:rsidR="00DE49C0" w:rsidRPr="00B1151B">
        <w:t xml:space="preserve">1185 (QL); </w:t>
      </w:r>
      <w:r w:rsidR="00DE49C0" w:rsidRPr="00B1151B">
        <w:rPr>
          <w:i/>
        </w:rPr>
        <w:t xml:space="preserve">R. </w:t>
      </w:r>
      <w:r w:rsidR="0047116D" w:rsidRPr="00B1151B">
        <w:rPr>
          <w:i/>
        </w:rPr>
        <w:t>c</w:t>
      </w:r>
      <w:r w:rsidR="00DE49C0" w:rsidRPr="00B1151B">
        <w:rPr>
          <w:i/>
        </w:rPr>
        <w:t>. DiGiuseppe</w:t>
      </w:r>
      <w:r w:rsidR="00DE49C0" w:rsidRPr="00B1151B">
        <w:t xml:space="preserve"> (2002), 161 C.C.C. (3d) 424.</w:t>
      </w:r>
    </w:p>
    <w:p w:rsidR="00231F3A" w:rsidRPr="00A24E15" w:rsidRDefault="0043088E" w:rsidP="00670743">
      <w:pPr>
        <w:pStyle w:val="SCCNormalDoubleSpacing"/>
        <w:keepNext/>
        <w:spacing w:after="720" w:line="240" w:lineRule="auto"/>
        <w:rPr>
          <w:b/>
        </w:rPr>
      </w:pPr>
      <w:r w:rsidRPr="00A24E15">
        <w:rPr>
          <w:b/>
        </w:rPr>
        <w:t>Lois</w:t>
      </w:r>
      <w:r w:rsidR="002E6705" w:rsidRPr="00A24E15">
        <w:rPr>
          <w:b/>
        </w:rPr>
        <w:t xml:space="preserve"> </w:t>
      </w:r>
      <w:r w:rsidR="008A6558" w:rsidRPr="00A24E15">
        <w:rPr>
          <w:b/>
        </w:rPr>
        <w:t>et</w:t>
      </w:r>
      <w:r w:rsidR="002E6705" w:rsidRPr="00A24E15">
        <w:rPr>
          <w:b/>
        </w:rPr>
        <w:t xml:space="preserve"> </w:t>
      </w:r>
      <w:r w:rsidRPr="00A24E15">
        <w:rPr>
          <w:b/>
        </w:rPr>
        <w:t>rè</w:t>
      </w:r>
      <w:r w:rsidR="002E6705" w:rsidRPr="00A24E15">
        <w:rPr>
          <w:b/>
        </w:rPr>
        <w:t>gl</w:t>
      </w:r>
      <w:r w:rsidRPr="00A24E15">
        <w:rPr>
          <w:b/>
        </w:rPr>
        <w:t>ements</w:t>
      </w:r>
      <w:r w:rsidR="002E6705" w:rsidRPr="00A24E15">
        <w:rPr>
          <w:b/>
        </w:rPr>
        <w:t xml:space="preserve"> </w:t>
      </w:r>
      <w:r w:rsidRPr="00A24E15">
        <w:rPr>
          <w:b/>
        </w:rPr>
        <w:t>c</w:t>
      </w:r>
      <w:r w:rsidR="002E6705" w:rsidRPr="00A24E15">
        <w:rPr>
          <w:b/>
        </w:rPr>
        <w:t>it</w:t>
      </w:r>
      <w:r w:rsidRPr="00A24E15">
        <w:rPr>
          <w:b/>
        </w:rPr>
        <w:t>és</w:t>
      </w:r>
    </w:p>
    <w:p w:rsidR="00765475" w:rsidRDefault="00765475" w:rsidP="00DB656D">
      <w:pPr>
        <w:pStyle w:val="SCCNormalDoubleSpacing"/>
        <w:spacing w:after="240" w:line="240" w:lineRule="auto"/>
        <w:ind w:left="547" w:hanging="547"/>
      </w:pPr>
      <w:r>
        <w:rPr>
          <w:i/>
        </w:rPr>
        <w:t>Charte c</w:t>
      </w:r>
      <w:r w:rsidRPr="00F51890">
        <w:rPr>
          <w:i/>
        </w:rPr>
        <w:t>anadi</w:t>
      </w:r>
      <w:r>
        <w:rPr>
          <w:i/>
        </w:rPr>
        <w:t>e</w:t>
      </w:r>
      <w:r w:rsidRPr="00F51890">
        <w:rPr>
          <w:i/>
        </w:rPr>
        <w:t>n</w:t>
      </w:r>
      <w:r>
        <w:rPr>
          <w:i/>
        </w:rPr>
        <w:t>ne des droits et libertés</w:t>
      </w:r>
      <w:r w:rsidR="00846251">
        <w:t xml:space="preserve">, </w:t>
      </w:r>
      <w:r w:rsidR="003F2E88">
        <w:t>art. </w:t>
      </w:r>
      <w:r>
        <w:t>2</w:t>
      </w:r>
      <w:r w:rsidRPr="00F51890">
        <w:rPr>
          <w:i/>
        </w:rPr>
        <w:t>b</w:t>
      </w:r>
      <w:r>
        <w:t xml:space="preserve">), </w:t>
      </w:r>
      <w:r w:rsidRPr="00F51890">
        <w:rPr>
          <w:i/>
        </w:rPr>
        <w:t>d</w:t>
      </w:r>
      <w:r>
        <w:t>), 7, 15.</w:t>
      </w:r>
    </w:p>
    <w:p w:rsidR="00765475" w:rsidRDefault="00765475" w:rsidP="00DB656D">
      <w:pPr>
        <w:pStyle w:val="SCCNormalDoubleSpacing"/>
        <w:spacing w:after="240" w:line="240" w:lineRule="auto"/>
        <w:ind w:left="547" w:hanging="547"/>
      </w:pPr>
      <w:r w:rsidRPr="00F51890">
        <w:rPr>
          <w:i/>
        </w:rPr>
        <w:t>C</w:t>
      </w:r>
      <w:r>
        <w:rPr>
          <w:i/>
        </w:rPr>
        <w:t>ode c</w:t>
      </w:r>
      <w:r w:rsidRPr="00F51890">
        <w:rPr>
          <w:i/>
        </w:rPr>
        <w:t>rimin</w:t>
      </w:r>
      <w:r>
        <w:rPr>
          <w:i/>
        </w:rPr>
        <w:t>e</w:t>
      </w:r>
      <w:r w:rsidRPr="00F51890">
        <w:rPr>
          <w:i/>
        </w:rPr>
        <w:t>l</w:t>
      </w:r>
      <w:r w:rsidR="00846251">
        <w:t xml:space="preserve">, L.R.C. 1985, </w:t>
      </w:r>
      <w:r w:rsidR="003F2E88">
        <w:t>ch. </w:t>
      </w:r>
      <w:r>
        <w:t>C</w:t>
      </w:r>
      <w:r w:rsidR="001A6640">
        <w:t>-</w:t>
      </w:r>
      <w:r w:rsidR="00846251">
        <w:t xml:space="preserve">46, </w:t>
      </w:r>
      <w:r w:rsidR="003F2E88">
        <w:t>art. </w:t>
      </w:r>
      <w:r>
        <w:t>210 à 213.</w:t>
      </w:r>
    </w:p>
    <w:p w:rsidR="00765475" w:rsidRDefault="00765475" w:rsidP="00DB656D">
      <w:pPr>
        <w:pStyle w:val="SCCNormalDoubleSpacing"/>
        <w:spacing w:after="240" w:line="240" w:lineRule="auto"/>
        <w:ind w:left="547" w:hanging="547"/>
      </w:pPr>
      <w:r w:rsidRPr="00765475">
        <w:rPr>
          <w:i/>
        </w:rPr>
        <w:t>Loi constitutionnelle de 1982</w:t>
      </w:r>
      <w:r>
        <w:t>.</w:t>
      </w:r>
    </w:p>
    <w:p w:rsidR="00F51313" w:rsidRPr="00670743" w:rsidRDefault="00F51313" w:rsidP="00DB656D">
      <w:pPr>
        <w:pStyle w:val="SCCNormalDoubleSpacing"/>
        <w:spacing w:after="720" w:line="240" w:lineRule="auto"/>
        <w:ind w:left="540" w:hanging="540"/>
        <w:rPr>
          <w:lang w:val="en-US"/>
        </w:rPr>
      </w:pPr>
      <w:proofErr w:type="gramStart"/>
      <w:r w:rsidRPr="00670743">
        <w:rPr>
          <w:i/>
          <w:lang w:val="en-US"/>
        </w:rPr>
        <w:t>Supreme Court Rules</w:t>
      </w:r>
      <w:r w:rsidR="00846251">
        <w:rPr>
          <w:lang w:val="en-US"/>
        </w:rPr>
        <w:t xml:space="preserve">, B.C. Reg. 221/90 [abr. 168/2009], </w:t>
      </w:r>
      <w:proofErr w:type="spellStart"/>
      <w:r w:rsidR="00846251">
        <w:rPr>
          <w:lang w:val="en-US"/>
        </w:rPr>
        <w:t>règle</w:t>
      </w:r>
      <w:proofErr w:type="spellEnd"/>
      <w:r w:rsidR="00846251">
        <w:rPr>
          <w:lang w:val="en-US"/>
        </w:rPr>
        <w:t> </w:t>
      </w:r>
      <w:r w:rsidRPr="00670743">
        <w:rPr>
          <w:lang w:val="en-US"/>
        </w:rPr>
        <w:t>19(24).</w:t>
      </w:r>
      <w:proofErr w:type="gramEnd"/>
    </w:p>
    <w:p w:rsidR="002E6705" w:rsidRPr="00A24E15" w:rsidRDefault="0043088E" w:rsidP="00DB656D">
      <w:pPr>
        <w:pStyle w:val="SCCNormalDoubleSpacing"/>
        <w:keepNext/>
        <w:spacing w:after="720" w:line="240" w:lineRule="auto"/>
        <w:rPr>
          <w:b/>
        </w:rPr>
      </w:pPr>
      <w:r w:rsidRPr="00A24E15">
        <w:rPr>
          <w:b/>
        </w:rPr>
        <w:t>Doctrine</w:t>
      </w:r>
      <w:r w:rsidR="002E6705" w:rsidRPr="00A24E15">
        <w:rPr>
          <w:b/>
        </w:rPr>
        <w:t xml:space="preserve"> </w:t>
      </w:r>
      <w:r w:rsidR="00156D11">
        <w:rPr>
          <w:b/>
        </w:rPr>
        <w:t xml:space="preserve">et autres documents </w:t>
      </w:r>
      <w:r w:rsidRPr="00A24E15">
        <w:rPr>
          <w:b/>
        </w:rPr>
        <w:t>c</w:t>
      </w:r>
      <w:r w:rsidR="002E6705" w:rsidRPr="00A24E15">
        <w:rPr>
          <w:b/>
        </w:rPr>
        <w:t>it</w:t>
      </w:r>
      <w:r w:rsidRPr="00A24E15">
        <w:rPr>
          <w:b/>
        </w:rPr>
        <w:t>é</w:t>
      </w:r>
      <w:r w:rsidR="00156D11">
        <w:rPr>
          <w:b/>
        </w:rPr>
        <w:t>s</w:t>
      </w:r>
    </w:p>
    <w:p w:rsidR="0028172F" w:rsidRPr="00DB656D" w:rsidRDefault="00DB656D" w:rsidP="00DB656D">
      <w:pPr>
        <w:pStyle w:val="SCCNormalDoubleSpacing"/>
        <w:spacing w:after="240" w:line="240" w:lineRule="auto"/>
        <w:ind w:left="547" w:hanging="547"/>
        <w:rPr>
          <w:lang w:val="en-US"/>
        </w:rPr>
      </w:pPr>
      <w:proofErr w:type="spellStart"/>
      <w:r w:rsidRPr="00413EDC">
        <w:rPr>
          <w:lang w:val="en-US"/>
        </w:rPr>
        <w:t>Fiss</w:t>
      </w:r>
      <w:proofErr w:type="spellEnd"/>
      <w:r w:rsidRPr="00413EDC">
        <w:rPr>
          <w:lang w:val="en-US"/>
        </w:rPr>
        <w:t>, Owen </w:t>
      </w:r>
      <w:r w:rsidR="0028172F" w:rsidRPr="00413EDC">
        <w:rPr>
          <w:lang w:val="en-US"/>
        </w:rPr>
        <w:t xml:space="preserve">M.  </w:t>
      </w:r>
      <w:proofErr w:type="gramStart"/>
      <w:r w:rsidR="0028172F" w:rsidRPr="00DB656D">
        <w:rPr>
          <w:lang w:val="en-US"/>
        </w:rPr>
        <w:t xml:space="preserve">« The Social and Political Foundations of Adjudication » (1982), 6 </w:t>
      </w:r>
      <w:r w:rsidR="0028172F" w:rsidRPr="00DB656D">
        <w:rPr>
          <w:i/>
          <w:lang w:val="en-US"/>
        </w:rPr>
        <w:t>Law &amp; Hum.</w:t>
      </w:r>
      <w:proofErr w:type="gramEnd"/>
      <w:r w:rsidR="0028172F" w:rsidRPr="00DB656D">
        <w:rPr>
          <w:i/>
          <w:lang w:val="en-US"/>
        </w:rPr>
        <w:t xml:space="preserve"> </w:t>
      </w:r>
      <w:proofErr w:type="gramStart"/>
      <w:r w:rsidR="0028172F" w:rsidRPr="00DB656D">
        <w:rPr>
          <w:i/>
          <w:lang w:val="en-US"/>
        </w:rPr>
        <w:t>Behav.</w:t>
      </w:r>
      <w:proofErr w:type="gramEnd"/>
      <w:r w:rsidR="0028172F" w:rsidRPr="00DB656D">
        <w:rPr>
          <w:lang w:val="en-US"/>
        </w:rPr>
        <w:t xml:space="preserve"> 121.</w:t>
      </w:r>
    </w:p>
    <w:p w:rsidR="00CF54BA" w:rsidRPr="00DB656D" w:rsidRDefault="00CF54BA" w:rsidP="00DB656D">
      <w:pPr>
        <w:pStyle w:val="SCCNormalDoubleSpacing"/>
        <w:spacing w:after="240" w:line="240" w:lineRule="auto"/>
        <w:ind w:left="547" w:hanging="547"/>
        <w:rPr>
          <w:lang w:val="en-US"/>
        </w:rPr>
      </w:pPr>
      <w:r w:rsidRPr="00DB656D">
        <w:rPr>
          <w:lang w:val="en-US"/>
        </w:rPr>
        <w:t xml:space="preserve">Roach, Kent.  </w:t>
      </w:r>
      <w:proofErr w:type="gramStart"/>
      <w:r w:rsidRPr="00DB656D">
        <w:rPr>
          <w:i/>
          <w:lang w:val="en-US"/>
        </w:rPr>
        <w:t>Constitutional Remedies in Canada</w:t>
      </w:r>
      <w:r w:rsidRPr="00DB656D">
        <w:rPr>
          <w:lang w:val="en-US"/>
        </w:rPr>
        <w:t>.</w:t>
      </w:r>
      <w:proofErr w:type="gramEnd"/>
      <w:r w:rsidRPr="00DB656D">
        <w:rPr>
          <w:lang w:val="en-US"/>
        </w:rPr>
        <w:t xml:space="preserve">  Aurora, Ont</w:t>
      </w:r>
      <w:proofErr w:type="gramStart"/>
      <w:r w:rsidRPr="00DB656D">
        <w:rPr>
          <w:lang w:val="en-US"/>
        </w:rPr>
        <w:t>.</w:t>
      </w:r>
      <w:r w:rsidR="003F2E88">
        <w:rPr>
          <w:lang w:val="en-US"/>
        </w:rPr>
        <w:t> :</w:t>
      </w:r>
      <w:proofErr w:type="gramEnd"/>
      <w:r w:rsidRPr="00DB656D">
        <w:rPr>
          <w:lang w:val="en-US"/>
        </w:rPr>
        <w:t xml:space="preserve"> Canada Law Book, 1994 (loose</w:t>
      </w:r>
      <w:r w:rsidR="003F2E88">
        <w:rPr>
          <w:lang w:val="en-US"/>
        </w:rPr>
        <w:noBreakHyphen/>
      </w:r>
      <w:r w:rsidRPr="00DB656D">
        <w:rPr>
          <w:lang w:val="en-US"/>
        </w:rPr>
        <w:t>leaf updated December 2011, release 17).</w:t>
      </w:r>
    </w:p>
    <w:p w:rsidR="00CF54BA" w:rsidRDefault="00DB656D" w:rsidP="00DB656D">
      <w:pPr>
        <w:pStyle w:val="SCCNormalDoubleSpacing"/>
        <w:spacing w:after="240" w:line="240" w:lineRule="auto"/>
        <w:ind w:left="547" w:hanging="547"/>
        <w:rPr>
          <w:lang w:val="en-US"/>
        </w:rPr>
      </w:pPr>
      <w:r>
        <w:rPr>
          <w:lang w:val="en-US"/>
        </w:rPr>
        <w:t>Scott, Kenneth </w:t>
      </w:r>
      <w:r w:rsidR="00CF54BA" w:rsidRPr="00DB656D">
        <w:rPr>
          <w:lang w:val="en-US"/>
        </w:rPr>
        <w:t xml:space="preserve">E.  « Standing in the Supreme Court </w:t>
      </w:r>
      <w:r w:rsidR="00302B1B" w:rsidRPr="00DB656D">
        <w:rPr>
          <w:lang w:val="en-US"/>
        </w:rPr>
        <w:t>— A Functional Analysis » (</w:t>
      </w:r>
      <w:r w:rsidR="00CF54BA" w:rsidRPr="00DB656D">
        <w:rPr>
          <w:lang w:val="en-US"/>
        </w:rPr>
        <w:t xml:space="preserve">1973), 86 </w:t>
      </w:r>
      <w:r w:rsidR="00CF54BA" w:rsidRPr="00DB656D">
        <w:rPr>
          <w:i/>
          <w:lang w:val="en-US"/>
        </w:rPr>
        <w:t>Harv. L. Rev.</w:t>
      </w:r>
      <w:r w:rsidR="00CF54BA" w:rsidRPr="00DB656D">
        <w:rPr>
          <w:lang w:val="en-US"/>
        </w:rPr>
        <w:t xml:space="preserve"> 645.</w:t>
      </w:r>
    </w:p>
    <w:p w:rsidR="004B7433" w:rsidRDefault="004B7433" w:rsidP="00DB656D">
      <w:pPr>
        <w:pStyle w:val="SCCNormalDoubleSpacing"/>
        <w:spacing w:after="240" w:line="240" w:lineRule="auto"/>
        <w:ind w:left="547" w:hanging="547"/>
        <w:rPr>
          <w:lang w:val="en-US"/>
        </w:rPr>
      </w:pPr>
      <w:r w:rsidRPr="00DB656D">
        <w:rPr>
          <w:lang w:val="en-US"/>
        </w:rPr>
        <w:t xml:space="preserve">Sossin, Lorne.  « The Justice of </w:t>
      </w:r>
      <w:proofErr w:type="gramStart"/>
      <w:r w:rsidRPr="00DB656D">
        <w:rPr>
          <w:lang w:val="en-US"/>
        </w:rPr>
        <w:t>Access</w:t>
      </w:r>
      <w:r>
        <w:rPr>
          <w:lang w:val="en-US"/>
        </w:rPr>
        <w:t> :</w:t>
      </w:r>
      <w:proofErr w:type="gramEnd"/>
      <w:r w:rsidRPr="00DB656D">
        <w:rPr>
          <w:lang w:val="en-US"/>
        </w:rPr>
        <w:t xml:space="preserve"> Who Should Have Standing to Challenge the Constitutional Adequacy of Legal Aid? » </w:t>
      </w:r>
      <w:proofErr w:type="gramStart"/>
      <w:r w:rsidRPr="00DB656D">
        <w:rPr>
          <w:lang w:val="en-US"/>
        </w:rPr>
        <w:t xml:space="preserve">(2007), 40 </w:t>
      </w:r>
      <w:r w:rsidRPr="00DB656D">
        <w:rPr>
          <w:i/>
          <w:lang w:val="en-US"/>
        </w:rPr>
        <w:t>U.B.C. L. Rev.</w:t>
      </w:r>
      <w:r w:rsidRPr="00DB656D">
        <w:rPr>
          <w:lang w:val="en-US"/>
        </w:rPr>
        <w:t xml:space="preserve"> 727.</w:t>
      </w:r>
      <w:proofErr w:type="gramEnd"/>
    </w:p>
    <w:p w:rsidR="00CF54BA" w:rsidRPr="00DB656D" w:rsidRDefault="00D83999" w:rsidP="004B7433">
      <w:pPr>
        <w:pStyle w:val="SCCNormalDoubleSpacing"/>
        <w:spacing w:after="720" w:line="240" w:lineRule="auto"/>
        <w:ind w:left="547" w:hanging="547"/>
        <w:rPr>
          <w:lang w:val="en-US"/>
        </w:rPr>
      </w:pPr>
      <w:r>
        <w:rPr>
          <w:lang w:val="en-US"/>
        </w:rPr>
        <w:lastRenderedPageBreak/>
        <w:t>Sossin, Lorne </w:t>
      </w:r>
      <w:r w:rsidRPr="00DB656D">
        <w:rPr>
          <w:lang w:val="en-US"/>
        </w:rPr>
        <w:t xml:space="preserve">M.  </w:t>
      </w:r>
      <w:r w:rsidRPr="00DB656D">
        <w:rPr>
          <w:i/>
          <w:lang w:val="en-US"/>
        </w:rPr>
        <w:t xml:space="preserve">Boundaries of Judicial </w:t>
      </w:r>
      <w:proofErr w:type="gramStart"/>
      <w:r w:rsidRPr="00DB656D">
        <w:rPr>
          <w:i/>
          <w:lang w:val="en-US"/>
        </w:rPr>
        <w:t>Review</w:t>
      </w:r>
      <w:r>
        <w:rPr>
          <w:i/>
          <w:lang w:val="en-US"/>
        </w:rPr>
        <w:t> :</w:t>
      </w:r>
      <w:proofErr w:type="gramEnd"/>
      <w:r w:rsidRPr="00DB656D">
        <w:rPr>
          <w:i/>
          <w:lang w:val="en-US"/>
        </w:rPr>
        <w:t xml:space="preserve"> The Law of Justiciability in Canada</w:t>
      </w:r>
      <w:r w:rsidRPr="00DB656D">
        <w:rPr>
          <w:lang w:val="en-US"/>
        </w:rPr>
        <w:t xml:space="preserve">, 2nd ed.  </w:t>
      </w:r>
      <w:proofErr w:type="gramStart"/>
      <w:r w:rsidRPr="00DB656D">
        <w:rPr>
          <w:lang w:val="en-US"/>
        </w:rPr>
        <w:t>Toronto</w:t>
      </w:r>
      <w:r>
        <w:rPr>
          <w:lang w:val="en-US"/>
        </w:rPr>
        <w:t> :</w:t>
      </w:r>
      <w:proofErr w:type="gramEnd"/>
      <w:r w:rsidRPr="00DB656D">
        <w:rPr>
          <w:lang w:val="en-US"/>
        </w:rPr>
        <w:t xml:space="preserve"> </w:t>
      </w:r>
      <w:proofErr w:type="spellStart"/>
      <w:r w:rsidRPr="00DB656D">
        <w:rPr>
          <w:lang w:val="en-US"/>
        </w:rPr>
        <w:t>Carswell</w:t>
      </w:r>
      <w:proofErr w:type="spellEnd"/>
      <w:r w:rsidRPr="00DB656D">
        <w:rPr>
          <w:lang w:val="en-US"/>
        </w:rPr>
        <w:t>, 2012.</w:t>
      </w:r>
    </w:p>
    <w:p w:rsidR="00D5435D" w:rsidRPr="00D83999" w:rsidRDefault="00BD2768" w:rsidP="00DB656D">
      <w:pPr>
        <w:pStyle w:val="SCCNormalDoubleSpacing"/>
        <w:spacing w:after="480"/>
      </w:pPr>
      <w:r w:rsidRPr="00DB656D">
        <w:rPr>
          <w:lang w:val="en-US"/>
        </w:rPr>
        <w:tab/>
      </w:r>
      <w:r w:rsidR="009B57B3" w:rsidRPr="00DB656D">
        <w:rPr>
          <w:lang w:val="en-US"/>
        </w:rPr>
        <w:t>P</w:t>
      </w:r>
      <w:r w:rsidR="0043088E" w:rsidRPr="00DB656D">
        <w:rPr>
          <w:lang w:val="en-US"/>
        </w:rPr>
        <w:t xml:space="preserve">OURVOI </w:t>
      </w:r>
      <w:proofErr w:type="spellStart"/>
      <w:r w:rsidR="0043088E" w:rsidRPr="00DB656D">
        <w:rPr>
          <w:lang w:val="en-US"/>
        </w:rPr>
        <w:t>contre</w:t>
      </w:r>
      <w:proofErr w:type="spellEnd"/>
      <w:r w:rsidR="0043088E" w:rsidRPr="00DB656D">
        <w:rPr>
          <w:lang w:val="en-US"/>
        </w:rPr>
        <w:t xml:space="preserve"> un </w:t>
      </w:r>
      <w:proofErr w:type="spellStart"/>
      <w:r w:rsidR="0043088E" w:rsidRPr="00DB656D">
        <w:rPr>
          <w:lang w:val="en-US"/>
        </w:rPr>
        <w:t>arrêt</w:t>
      </w:r>
      <w:proofErr w:type="spellEnd"/>
      <w:r w:rsidR="0043088E" w:rsidRPr="00DB656D">
        <w:rPr>
          <w:lang w:val="en-US"/>
        </w:rPr>
        <w:t xml:space="preserve"> de la</w:t>
      </w:r>
      <w:r w:rsidR="009B57B3" w:rsidRPr="00DB656D">
        <w:rPr>
          <w:lang w:val="en-US"/>
        </w:rPr>
        <w:t xml:space="preserve"> </w:t>
      </w:r>
      <w:proofErr w:type="spellStart"/>
      <w:r w:rsidR="009B57B3" w:rsidRPr="00DB656D">
        <w:rPr>
          <w:lang w:val="en-US"/>
        </w:rPr>
        <w:t>Cour</w:t>
      </w:r>
      <w:proofErr w:type="spellEnd"/>
      <w:r w:rsidR="009B57B3" w:rsidRPr="00DB656D">
        <w:rPr>
          <w:lang w:val="en-US"/>
        </w:rPr>
        <w:t xml:space="preserve"> </w:t>
      </w:r>
      <w:proofErr w:type="spellStart"/>
      <w:r w:rsidR="009B57B3" w:rsidRPr="00DB656D">
        <w:rPr>
          <w:lang w:val="en-US"/>
        </w:rPr>
        <w:t>d’appel</w:t>
      </w:r>
      <w:proofErr w:type="spellEnd"/>
      <w:r w:rsidR="009B57B3" w:rsidRPr="00DB656D">
        <w:rPr>
          <w:lang w:val="en-US"/>
        </w:rPr>
        <w:t xml:space="preserve"> de la </w:t>
      </w:r>
      <w:proofErr w:type="spellStart"/>
      <w:r w:rsidRPr="00DB656D">
        <w:rPr>
          <w:lang w:val="en-US"/>
        </w:rPr>
        <w:t>Colombie</w:t>
      </w:r>
      <w:r w:rsidR="003F2E88">
        <w:rPr>
          <w:lang w:val="en-US"/>
        </w:rPr>
        <w:noBreakHyphen/>
      </w:r>
      <w:r w:rsidRPr="00DB656D">
        <w:rPr>
          <w:lang w:val="en-US"/>
        </w:rPr>
        <w:t>Britannique</w:t>
      </w:r>
      <w:proofErr w:type="spellEnd"/>
      <w:r w:rsidRPr="00DB656D">
        <w:rPr>
          <w:lang w:val="en-US"/>
        </w:rPr>
        <w:t xml:space="preserve"> </w:t>
      </w:r>
      <w:r w:rsidR="00910B64" w:rsidRPr="00DB656D">
        <w:rPr>
          <w:lang w:val="en-US"/>
        </w:rPr>
        <w:t xml:space="preserve">(les </w:t>
      </w:r>
      <w:proofErr w:type="spellStart"/>
      <w:r w:rsidR="00910B64" w:rsidRPr="00DB656D">
        <w:rPr>
          <w:lang w:val="en-US"/>
        </w:rPr>
        <w:t>juges</w:t>
      </w:r>
      <w:proofErr w:type="spellEnd"/>
      <w:r w:rsidR="00910B64" w:rsidRPr="00DB656D">
        <w:rPr>
          <w:lang w:val="en-US"/>
        </w:rPr>
        <w:t xml:space="preserve"> Saunders, Neilson et Groberman), 2010 BCCA 439, 10 B.C.L.R. (5th) 33, 294 B.C.A.C. 70, </w:t>
      </w:r>
      <w:r w:rsidR="00D83999" w:rsidRPr="00DB656D">
        <w:rPr>
          <w:lang w:val="en-US"/>
        </w:rPr>
        <w:t xml:space="preserve">498 W.A.C. 70, </w:t>
      </w:r>
      <w:r w:rsidR="00910B64" w:rsidRPr="00DB656D">
        <w:rPr>
          <w:lang w:val="en-US"/>
        </w:rPr>
        <w:t xml:space="preserve">324 D.L.R. (4th) 1, 260 C.C.C. (3d) 95, 219 C.R.R. (2d) 171, [2011] 1 W.W.R. 628, [2010] B.C.J. </w:t>
      </w:r>
      <w:r w:rsidR="003F2E88">
        <w:rPr>
          <w:lang w:val="en-US"/>
        </w:rPr>
        <w:t>No. </w:t>
      </w:r>
      <w:r w:rsidR="00910B64" w:rsidRPr="00DB656D">
        <w:rPr>
          <w:lang w:val="en-US"/>
        </w:rPr>
        <w:t xml:space="preserve">1983 (QL), 2010 </w:t>
      </w:r>
      <w:proofErr w:type="spellStart"/>
      <w:r w:rsidR="00910B64" w:rsidRPr="00DB656D">
        <w:rPr>
          <w:lang w:val="en-US"/>
        </w:rPr>
        <w:t>CarswellBC</w:t>
      </w:r>
      <w:proofErr w:type="spellEnd"/>
      <w:r w:rsidR="00910B64" w:rsidRPr="00DB656D">
        <w:rPr>
          <w:lang w:val="en-US"/>
        </w:rPr>
        <w:t xml:space="preserve"> 2729, qui a </w:t>
      </w:r>
      <w:proofErr w:type="spellStart"/>
      <w:r w:rsidR="00910B64" w:rsidRPr="00DB656D">
        <w:rPr>
          <w:lang w:val="en-US"/>
        </w:rPr>
        <w:t>infirmé</w:t>
      </w:r>
      <w:proofErr w:type="spellEnd"/>
      <w:r w:rsidR="00BF115F">
        <w:rPr>
          <w:lang w:val="en-US"/>
        </w:rPr>
        <w:t xml:space="preserve"> en </w:t>
      </w:r>
      <w:proofErr w:type="spellStart"/>
      <w:r w:rsidR="00BF115F">
        <w:rPr>
          <w:lang w:val="en-US"/>
        </w:rPr>
        <w:t>partie</w:t>
      </w:r>
      <w:proofErr w:type="spellEnd"/>
      <w:r w:rsidR="00910B64" w:rsidRPr="00DB656D">
        <w:rPr>
          <w:lang w:val="en-US"/>
        </w:rPr>
        <w:t xml:space="preserve"> </w:t>
      </w:r>
      <w:proofErr w:type="spellStart"/>
      <w:r w:rsidR="00910B64" w:rsidRPr="00DB656D">
        <w:rPr>
          <w:lang w:val="en-US"/>
        </w:rPr>
        <w:t>une</w:t>
      </w:r>
      <w:proofErr w:type="spellEnd"/>
      <w:r w:rsidR="00910B64" w:rsidRPr="00DB656D">
        <w:rPr>
          <w:lang w:val="en-US"/>
        </w:rPr>
        <w:t xml:space="preserve"> </w:t>
      </w:r>
      <w:proofErr w:type="spellStart"/>
      <w:r w:rsidR="00846251">
        <w:rPr>
          <w:lang w:val="en-US"/>
        </w:rPr>
        <w:t>décision</w:t>
      </w:r>
      <w:proofErr w:type="spellEnd"/>
      <w:r w:rsidR="00910B64" w:rsidRPr="00DB656D">
        <w:rPr>
          <w:lang w:val="en-US"/>
        </w:rPr>
        <w:t xml:space="preserve"> d</w:t>
      </w:r>
      <w:r w:rsidR="008935B4" w:rsidRPr="00DB656D">
        <w:rPr>
          <w:lang w:val="en-US"/>
        </w:rPr>
        <w:t>u</w:t>
      </w:r>
      <w:r w:rsidR="00910B64" w:rsidRPr="00DB656D">
        <w:rPr>
          <w:lang w:val="en-US"/>
        </w:rPr>
        <w:t xml:space="preserve"> </w:t>
      </w:r>
      <w:proofErr w:type="spellStart"/>
      <w:r w:rsidR="00910B64" w:rsidRPr="00DB656D">
        <w:rPr>
          <w:lang w:val="en-US"/>
        </w:rPr>
        <w:t>juge</w:t>
      </w:r>
      <w:proofErr w:type="spellEnd"/>
      <w:r w:rsidR="00910B64" w:rsidRPr="00DB656D">
        <w:rPr>
          <w:lang w:val="en-US"/>
        </w:rPr>
        <w:t xml:space="preserve"> </w:t>
      </w:r>
      <w:proofErr w:type="spellStart"/>
      <w:r w:rsidR="00910B64" w:rsidRPr="00DB656D">
        <w:rPr>
          <w:lang w:val="en-US"/>
        </w:rPr>
        <w:t>Ehrcke</w:t>
      </w:r>
      <w:proofErr w:type="spellEnd"/>
      <w:r w:rsidR="00910B64" w:rsidRPr="00DB656D">
        <w:rPr>
          <w:lang w:val="en-US"/>
        </w:rPr>
        <w:t xml:space="preserve">, 2008 BCSC 1726, 90 B.C.L.R. (4th) 177, 305 D.L.R. (4th) 713, 182 C.R.R. (2d) 262, [2009] 5 W.W.R. 696, [2008] B.C.J. </w:t>
      </w:r>
      <w:r w:rsidR="003F2E88">
        <w:rPr>
          <w:lang w:val="en-US"/>
        </w:rPr>
        <w:t>No. </w:t>
      </w:r>
      <w:r w:rsidR="00910B64" w:rsidRPr="00DB656D">
        <w:rPr>
          <w:lang w:val="en-US"/>
        </w:rPr>
        <w:t xml:space="preserve">2447 (QL), 2008 </w:t>
      </w:r>
      <w:proofErr w:type="spellStart"/>
      <w:r w:rsidR="00910B64" w:rsidRPr="00DB656D">
        <w:rPr>
          <w:lang w:val="en-US"/>
        </w:rPr>
        <w:t>CarswellBC</w:t>
      </w:r>
      <w:proofErr w:type="spellEnd"/>
      <w:r w:rsidR="00910B64" w:rsidRPr="00DB656D">
        <w:rPr>
          <w:lang w:val="en-US"/>
        </w:rPr>
        <w:t xml:space="preserve"> 2709.  </w:t>
      </w:r>
      <w:r w:rsidR="00910B64" w:rsidRPr="00D83999">
        <w:t xml:space="preserve">Pourvoi </w:t>
      </w:r>
      <w:r w:rsidR="00080862" w:rsidRPr="00D83999">
        <w:t>rejeté</w:t>
      </w:r>
      <w:r w:rsidR="00910B64" w:rsidRPr="00D83999">
        <w:t>.</w:t>
      </w:r>
    </w:p>
    <w:p w:rsidR="00F73EA2" w:rsidRDefault="00DB656D" w:rsidP="00DB656D">
      <w:pPr>
        <w:pStyle w:val="SCCNormalDoubleSpacing"/>
        <w:spacing w:after="480"/>
      </w:pPr>
      <w:r w:rsidRPr="00D83999">
        <w:rPr>
          <w:i/>
        </w:rPr>
        <w:tab/>
      </w:r>
      <w:r w:rsidRPr="00B1151B">
        <w:rPr>
          <w:i/>
        </w:rPr>
        <w:t>Cheryl </w:t>
      </w:r>
      <w:r w:rsidR="001D1434" w:rsidRPr="00B1151B">
        <w:rPr>
          <w:i/>
        </w:rPr>
        <w:t>J. Tobias</w:t>
      </w:r>
      <w:r w:rsidR="001D1434" w:rsidRPr="00D83999">
        <w:t>,</w:t>
      </w:r>
      <w:r w:rsidR="001D1434" w:rsidRPr="00B1151B">
        <w:rPr>
          <w:i/>
        </w:rPr>
        <w:t xml:space="preserve"> </w:t>
      </w:r>
      <w:proofErr w:type="gramStart"/>
      <w:r w:rsidR="00BD2768" w:rsidRPr="00B1151B">
        <w:rPr>
          <w:i/>
        </w:rPr>
        <w:t>c.r.</w:t>
      </w:r>
      <w:r w:rsidR="00BD2768">
        <w:t>,</w:t>
      </w:r>
      <w:proofErr w:type="gramEnd"/>
      <w:r w:rsidR="00BD2768">
        <w:t xml:space="preserve"> </w:t>
      </w:r>
      <w:r w:rsidR="001D1434">
        <w:t xml:space="preserve">et </w:t>
      </w:r>
      <w:proofErr w:type="spellStart"/>
      <w:r w:rsidR="001D1434" w:rsidRPr="00B1151B">
        <w:rPr>
          <w:i/>
        </w:rPr>
        <w:t>Donnaree</w:t>
      </w:r>
      <w:proofErr w:type="spellEnd"/>
      <w:r w:rsidR="001D1434" w:rsidRPr="00B1151B">
        <w:rPr>
          <w:i/>
        </w:rPr>
        <w:t xml:space="preserve"> </w:t>
      </w:r>
      <w:proofErr w:type="spellStart"/>
      <w:r w:rsidR="001D1434" w:rsidRPr="00B1151B">
        <w:rPr>
          <w:i/>
        </w:rPr>
        <w:t>Nygard</w:t>
      </w:r>
      <w:proofErr w:type="spellEnd"/>
      <w:r w:rsidR="00BD2768">
        <w:t>, pour l’</w:t>
      </w:r>
      <w:r w:rsidR="001D1434">
        <w:t>appelant.</w:t>
      </w:r>
    </w:p>
    <w:p w:rsidR="00F73EA2" w:rsidRDefault="00DB656D" w:rsidP="00DB656D">
      <w:pPr>
        <w:pStyle w:val="SCCNormalDoubleSpacing"/>
        <w:spacing w:after="480"/>
      </w:pPr>
      <w:r w:rsidRPr="00B1151B">
        <w:rPr>
          <w:i/>
        </w:rPr>
        <w:tab/>
        <w:t>Joseph </w:t>
      </w:r>
      <w:r w:rsidR="001D1434" w:rsidRPr="00B1151B">
        <w:rPr>
          <w:i/>
        </w:rPr>
        <w:t xml:space="preserve">J. </w:t>
      </w:r>
      <w:proofErr w:type="spellStart"/>
      <w:r w:rsidR="001D1434" w:rsidRPr="00B1151B">
        <w:rPr>
          <w:i/>
        </w:rPr>
        <w:t>Arvay</w:t>
      </w:r>
      <w:proofErr w:type="spellEnd"/>
      <w:r w:rsidR="001D1434" w:rsidRPr="00D83999">
        <w:t>,</w:t>
      </w:r>
      <w:r w:rsidR="001D1434" w:rsidRPr="00B1151B">
        <w:rPr>
          <w:i/>
        </w:rPr>
        <w:t xml:space="preserve"> </w:t>
      </w:r>
      <w:proofErr w:type="gramStart"/>
      <w:r w:rsidR="00BD2768" w:rsidRPr="00B1151B">
        <w:rPr>
          <w:i/>
        </w:rPr>
        <w:t>c.r.</w:t>
      </w:r>
      <w:r w:rsidR="00BD2768">
        <w:t>,</w:t>
      </w:r>
      <w:proofErr w:type="gramEnd"/>
      <w:r w:rsidR="00BD2768">
        <w:t xml:space="preserve"> </w:t>
      </w:r>
      <w:proofErr w:type="spellStart"/>
      <w:r w:rsidR="001D1434" w:rsidRPr="00B1151B">
        <w:rPr>
          <w:i/>
        </w:rPr>
        <w:t>Elin</w:t>
      </w:r>
      <w:proofErr w:type="spellEnd"/>
      <w:r w:rsidR="001D1434" w:rsidRPr="00B1151B">
        <w:rPr>
          <w:i/>
        </w:rPr>
        <w:t xml:space="preserve"> R.</w:t>
      </w:r>
      <w:r w:rsidR="008935B4" w:rsidRPr="00B1151B">
        <w:rPr>
          <w:i/>
        </w:rPr>
        <w:t> </w:t>
      </w:r>
      <w:r w:rsidR="001D1434" w:rsidRPr="00B1151B">
        <w:rPr>
          <w:i/>
        </w:rPr>
        <w:t xml:space="preserve">S. </w:t>
      </w:r>
      <w:proofErr w:type="spellStart"/>
      <w:r w:rsidR="001D1434" w:rsidRPr="00B1151B">
        <w:rPr>
          <w:i/>
        </w:rPr>
        <w:t>Sigurdson</w:t>
      </w:r>
      <w:proofErr w:type="spellEnd"/>
      <w:r w:rsidR="00BD2768">
        <w:t xml:space="preserve"> </w:t>
      </w:r>
      <w:r w:rsidR="008935B4">
        <w:t xml:space="preserve">et </w:t>
      </w:r>
      <w:proofErr w:type="spellStart"/>
      <w:r w:rsidR="008935B4" w:rsidRPr="00B1151B">
        <w:rPr>
          <w:i/>
        </w:rPr>
        <w:t>Katrina</w:t>
      </w:r>
      <w:proofErr w:type="spellEnd"/>
      <w:r w:rsidR="008935B4" w:rsidRPr="00B1151B">
        <w:rPr>
          <w:i/>
        </w:rPr>
        <w:t xml:space="preserve"> </w:t>
      </w:r>
      <w:proofErr w:type="spellStart"/>
      <w:r w:rsidR="008935B4" w:rsidRPr="00B1151B">
        <w:rPr>
          <w:i/>
        </w:rPr>
        <w:t>Pacey</w:t>
      </w:r>
      <w:proofErr w:type="spellEnd"/>
      <w:r w:rsidR="008935B4">
        <w:t xml:space="preserve">, </w:t>
      </w:r>
      <w:r w:rsidR="00BD2768">
        <w:t>pour l</w:t>
      </w:r>
      <w:r w:rsidR="008935B4">
        <w:t xml:space="preserve">es </w:t>
      </w:r>
      <w:r w:rsidR="001D1434">
        <w:t>intimée</w:t>
      </w:r>
      <w:r w:rsidR="008935B4">
        <w:t>s</w:t>
      </w:r>
      <w:r w:rsidR="001D1434">
        <w:t>.</w:t>
      </w:r>
    </w:p>
    <w:p w:rsidR="00BD2768" w:rsidRDefault="00DB656D" w:rsidP="00DB656D">
      <w:pPr>
        <w:pStyle w:val="SCCNormalDoubleSpacing"/>
        <w:spacing w:after="480"/>
      </w:pPr>
      <w:r w:rsidRPr="00B1151B">
        <w:rPr>
          <w:i/>
        </w:rPr>
        <w:tab/>
        <w:t>Janet </w:t>
      </w:r>
      <w:r w:rsidR="00BD2768" w:rsidRPr="00B1151B">
        <w:rPr>
          <w:i/>
        </w:rPr>
        <w:t xml:space="preserve">E. </w:t>
      </w:r>
      <w:proofErr w:type="spellStart"/>
      <w:r w:rsidR="00BD2768" w:rsidRPr="00B1151B">
        <w:rPr>
          <w:i/>
        </w:rPr>
        <w:t>Minor</w:t>
      </w:r>
      <w:proofErr w:type="spellEnd"/>
      <w:r w:rsidR="00BD2768">
        <w:t xml:space="preserve"> et </w:t>
      </w:r>
      <w:r w:rsidR="00BD2768" w:rsidRPr="00B1151B">
        <w:rPr>
          <w:i/>
        </w:rPr>
        <w:t>Courtney J</w:t>
      </w:r>
      <w:r w:rsidR="00E0564F" w:rsidRPr="00B1151B">
        <w:rPr>
          <w:i/>
        </w:rPr>
        <w:t>.</w:t>
      </w:r>
      <w:r w:rsidR="00BD2768" w:rsidRPr="00B1151B">
        <w:rPr>
          <w:i/>
        </w:rPr>
        <w:t xml:space="preserve"> Harris</w:t>
      </w:r>
      <w:r w:rsidR="00BD2768">
        <w:t>, pour l’intervenant le procureur général de l’Ontario.</w:t>
      </w:r>
    </w:p>
    <w:p w:rsidR="008935B4" w:rsidRDefault="00DB656D" w:rsidP="00DB656D">
      <w:pPr>
        <w:pStyle w:val="SCCNormalDoubleSpacing"/>
        <w:spacing w:after="480"/>
      </w:pPr>
      <w:r w:rsidRPr="00B1151B">
        <w:rPr>
          <w:i/>
        </w:rPr>
        <w:tab/>
        <w:t>David </w:t>
      </w:r>
      <w:r w:rsidR="008935B4" w:rsidRPr="00B1151B">
        <w:rPr>
          <w:i/>
        </w:rPr>
        <w:t xml:space="preserve">W. </w:t>
      </w:r>
      <w:proofErr w:type="spellStart"/>
      <w:r w:rsidR="008935B4" w:rsidRPr="00B1151B">
        <w:rPr>
          <w:i/>
        </w:rPr>
        <w:t>Mossop</w:t>
      </w:r>
      <w:proofErr w:type="spellEnd"/>
      <w:r w:rsidR="008935B4" w:rsidRPr="00D83999">
        <w:t>,</w:t>
      </w:r>
      <w:r w:rsidR="008935B4" w:rsidRPr="00B1151B">
        <w:rPr>
          <w:i/>
        </w:rPr>
        <w:t xml:space="preserve"> </w:t>
      </w:r>
      <w:proofErr w:type="gramStart"/>
      <w:r w:rsidR="008935B4" w:rsidRPr="00B1151B">
        <w:rPr>
          <w:i/>
        </w:rPr>
        <w:t>c.r.</w:t>
      </w:r>
      <w:r w:rsidR="008935B4">
        <w:t>,</w:t>
      </w:r>
      <w:proofErr w:type="gramEnd"/>
      <w:r w:rsidR="008935B4">
        <w:t xml:space="preserve"> et </w:t>
      </w:r>
      <w:r w:rsidR="008935B4" w:rsidRPr="00B1151B">
        <w:rPr>
          <w:i/>
        </w:rPr>
        <w:t>Diane Nielsen</w:t>
      </w:r>
      <w:r w:rsidR="008935B4">
        <w:t xml:space="preserve">, pour l’intervenante </w:t>
      </w:r>
      <w:proofErr w:type="spellStart"/>
      <w:r w:rsidR="008935B4">
        <w:t>Community</w:t>
      </w:r>
      <w:proofErr w:type="spellEnd"/>
      <w:r w:rsidR="008935B4">
        <w:t xml:space="preserve"> </w:t>
      </w:r>
      <w:proofErr w:type="spellStart"/>
      <w:r w:rsidR="008935B4">
        <w:t>Legal</w:t>
      </w:r>
      <w:proofErr w:type="spellEnd"/>
      <w:r w:rsidR="008935B4">
        <w:t xml:space="preserve"> Assistance Society.</w:t>
      </w:r>
    </w:p>
    <w:p w:rsidR="00F73EA2" w:rsidRDefault="00DB656D" w:rsidP="00DB656D">
      <w:pPr>
        <w:pStyle w:val="SCCNormalDoubleSpacing"/>
        <w:spacing w:after="480"/>
      </w:pPr>
      <w:r w:rsidRPr="00B1151B">
        <w:rPr>
          <w:i/>
        </w:rPr>
        <w:tab/>
        <w:t>Jason </w:t>
      </w:r>
      <w:r w:rsidR="001D1434" w:rsidRPr="00B1151B">
        <w:rPr>
          <w:i/>
        </w:rPr>
        <w:t xml:space="preserve">B. </w:t>
      </w:r>
      <w:proofErr w:type="spellStart"/>
      <w:r w:rsidR="001D1434" w:rsidRPr="00B1151B">
        <w:rPr>
          <w:i/>
        </w:rPr>
        <w:t>Gratl</w:t>
      </w:r>
      <w:proofErr w:type="spellEnd"/>
      <w:r w:rsidR="001D1434">
        <w:t xml:space="preserve"> et </w:t>
      </w:r>
      <w:r w:rsidR="001D1434" w:rsidRPr="00B1151B">
        <w:rPr>
          <w:i/>
        </w:rPr>
        <w:t>Megan Vis</w:t>
      </w:r>
      <w:r w:rsidR="002E67E6">
        <w:rPr>
          <w:i/>
        </w:rPr>
        <w:t>-</w:t>
      </w:r>
      <w:r w:rsidR="001D1434" w:rsidRPr="00B1151B">
        <w:rPr>
          <w:i/>
        </w:rPr>
        <w:t>Dunbar</w:t>
      </w:r>
      <w:r w:rsidR="001D1434">
        <w:t>, pour l</w:t>
      </w:r>
      <w:r w:rsidR="00BD2768">
        <w:t>’</w:t>
      </w:r>
      <w:r w:rsidR="001D1434">
        <w:t xml:space="preserve">intervenante </w:t>
      </w:r>
      <w:r w:rsidR="00BD2768">
        <w:t>l’</w:t>
      </w:r>
      <w:r w:rsidR="001D1434">
        <w:t xml:space="preserve">Association des libertés civiles de la </w:t>
      </w:r>
      <w:proofErr w:type="spellStart"/>
      <w:r w:rsidR="001D1434">
        <w:t>Colombie</w:t>
      </w:r>
      <w:r w:rsidR="003F2E88">
        <w:noBreakHyphen/>
      </w:r>
      <w:r w:rsidR="001D1434">
        <w:t>Britannique</w:t>
      </w:r>
      <w:proofErr w:type="spellEnd"/>
      <w:r w:rsidR="001D1434">
        <w:t>.</w:t>
      </w:r>
    </w:p>
    <w:p w:rsidR="00F73EA2" w:rsidRPr="00DB656D" w:rsidRDefault="001D1434" w:rsidP="00DB656D">
      <w:pPr>
        <w:pStyle w:val="SCCNormalDoubleSpacing"/>
        <w:spacing w:after="480"/>
        <w:rPr>
          <w:lang w:val="en-US"/>
        </w:rPr>
      </w:pPr>
      <w:r w:rsidRPr="00B1151B">
        <w:rPr>
          <w:i/>
        </w:rPr>
        <w:lastRenderedPageBreak/>
        <w:tab/>
      </w:r>
      <w:r w:rsidRPr="00B1151B">
        <w:rPr>
          <w:i/>
          <w:lang w:val="en-US"/>
        </w:rPr>
        <w:t>Justin Duncan</w:t>
      </w:r>
      <w:r w:rsidRPr="00DB656D">
        <w:rPr>
          <w:lang w:val="en-US"/>
        </w:rPr>
        <w:t xml:space="preserve"> </w:t>
      </w:r>
      <w:proofErr w:type="gramStart"/>
      <w:r w:rsidRPr="00DB656D">
        <w:rPr>
          <w:lang w:val="en-US"/>
        </w:rPr>
        <w:t>et</w:t>
      </w:r>
      <w:proofErr w:type="gramEnd"/>
      <w:r w:rsidRPr="00DB656D">
        <w:rPr>
          <w:lang w:val="en-US"/>
        </w:rPr>
        <w:t xml:space="preserve"> </w:t>
      </w:r>
      <w:proofErr w:type="spellStart"/>
      <w:r w:rsidRPr="00B1151B">
        <w:rPr>
          <w:i/>
          <w:lang w:val="en-US"/>
        </w:rPr>
        <w:t>Kaitlyn</w:t>
      </w:r>
      <w:proofErr w:type="spellEnd"/>
      <w:r w:rsidRPr="00B1151B">
        <w:rPr>
          <w:i/>
          <w:lang w:val="en-US"/>
        </w:rPr>
        <w:t xml:space="preserve"> Mitchell</w:t>
      </w:r>
      <w:r w:rsidRPr="00DB656D">
        <w:rPr>
          <w:lang w:val="en-US"/>
        </w:rPr>
        <w:t xml:space="preserve">, pour </w:t>
      </w:r>
      <w:proofErr w:type="spellStart"/>
      <w:r w:rsidRPr="00DB656D">
        <w:rPr>
          <w:lang w:val="en-US"/>
        </w:rPr>
        <w:t>l</w:t>
      </w:r>
      <w:r w:rsidR="00BD2768" w:rsidRPr="00DB656D">
        <w:rPr>
          <w:lang w:val="en-US"/>
        </w:rPr>
        <w:t>’</w:t>
      </w:r>
      <w:r w:rsidRPr="00DB656D">
        <w:rPr>
          <w:lang w:val="en-US"/>
        </w:rPr>
        <w:t>intervenant</w:t>
      </w:r>
      <w:proofErr w:type="spellEnd"/>
      <w:r w:rsidRPr="00DB656D">
        <w:rPr>
          <w:lang w:val="en-US"/>
        </w:rPr>
        <w:t xml:space="preserve"> </w:t>
      </w:r>
      <w:proofErr w:type="spellStart"/>
      <w:r w:rsidRPr="00DB656D">
        <w:rPr>
          <w:lang w:val="en-US"/>
        </w:rPr>
        <w:t>Ecojustice</w:t>
      </w:r>
      <w:proofErr w:type="spellEnd"/>
      <w:r w:rsidRPr="00DB656D">
        <w:rPr>
          <w:lang w:val="en-US"/>
        </w:rPr>
        <w:t xml:space="preserve"> Canada.</w:t>
      </w:r>
    </w:p>
    <w:p w:rsidR="00F73EA2" w:rsidRPr="00DB656D" w:rsidRDefault="001D1434" w:rsidP="00DB656D">
      <w:pPr>
        <w:pStyle w:val="SCCNormalDoubleSpacing"/>
        <w:spacing w:after="480"/>
        <w:rPr>
          <w:lang w:val="en-US"/>
        </w:rPr>
      </w:pPr>
      <w:r w:rsidRPr="00B1151B">
        <w:rPr>
          <w:i/>
          <w:lang w:val="en-US"/>
        </w:rPr>
        <w:tab/>
        <w:t>C</w:t>
      </w:r>
      <w:r w:rsidR="008935B4" w:rsidRPr="00B1151B">
        <w:rPr>
          <w:i/>
          <w:lang w:val="en-US"/>
        </w:rPr>
        <w:t>.</w:t>
      </w:r>
      <w:r w:rsidR="00DB656D" w:rsidRPr="00B1151B">
        <w:rPr>
          <w:i/>
          <w:lang w:val="en-US"/>
        </w:rPr>
        <w:t> </w:t>
      </w:r>
      <w:r w:rsidRPr="00B1151B">
        <w:rPr>
          <w:i/>
          <w:lang w:val="en-US"/>
        </w:rPr>
        <w:t>Tess Sheldon</w:t>
      </w:r>
      <w:r w:rsidR="00D83999">
        <w:rPr>
          <w:lang w:val="en-US"/>
        </w:rPr>
        <w:t>,</w:t>
      </w:r>
      <w:r w:rsidRPr="00DB656D">
        <w:rPr>
          <w:lang w:val="en-US"/>
        </w:rPr>
        <w:t xml:space="preserve"> </w:t>
      </w:r>
      <w:proofErr w:type="spellStart"/>
      <w:r w:rsidRPr="00B1151B">
        <w:rPr>
          <w:i/>
          <w:lang w:val="en-US"/>
        </w:rPr>
        <w:t>Niamh</w:t>
      </w:r>
      <w:proofErr w:type="spellEnd"/>
      <w:r w:rsidRPr="00B1151B">
        <w:rPr>
          <w:i/>
          <w:lang w:val="en-US"/>
        </w:rPr>
        <w:t xml:space="preserve"> </w:t>
      </w:r>
      <w:proofErr w:type="spellStart"/>
      <w:r w:rsidRPr="00B1151B">
        <w:rPr>
          <w:i/>
          <w:lang w:val="en-US"/>
        </w:rPr>
        <w:t>Harraher</w:t>
      </w:r>
      <w:proofErr w:type="spellEnd"/>
      <w:r w:rsidR="00D83999">
        <w:rPr>
          <w:lang w:val="en-US"/>
        </w:rPr>
        <w:t xml:space="preserve"> </w:t>
      </w:r>
      <w:proofErr w:type="gramStart"/>
      <w:r w:rsidR="00D83999">
        <w:rPr>
          <w:lang w:val="en-US"/>
        </w:rPr>
        <w:t>et</w:t>
      </w:r>
      <w:proofErr w:type="gramEnd"/>
      <w:r w:rsidR="00D83999">
        <w:rPr>
          <w:lang w:val="en-US"/>
        </w:rPr>
        <w:t xml:space="preserve"> </w:t>
      </w:r>
      <w:proofErr w:type="spellStart"/>
      <w:r w:rsidR="00D83999" w:rsidRPr="00D83999">
        <w:rPr>
          <w:i/>
          <w:lang w:val="en-US"/>
        </w:rPr>
        <w:t>Kasari</w:t>
      </w:r>
      <w:proofErr w:type="spellEnd"/>
      <w:r w:rsidR="00D83999" w:rsidRPr="00D83999">
        <w:rPr>
          <w:i/>
          <w:lang w:val="en-US"/>
        </w:rPr>
        <w:t xml:space="preserve"> </w:t>
      </w:r>
      <w:proofErr w:type="spellStart"/>
      <w:r w:rsidR="00D83999" w:rsidRPr="00D83999">
        <w:rPr>
          <w:i/>
          <w:lang w:val="en-US"/>
        </w:rPr>
        <w:t>Govender</w:t>
      </w:r>
      <w:proofErr w:type="spellEnd"/>
      <w:r w:rsidR="00D83999">
        <w:rPr>
          <w:lang w:val="en-US"/>
        </w:rPr>
        <w:t>,</w:t>
      </w:r>
      <w:r w:rsidRPr="00DB656D">
        <w:rPr>
          <w:lang w:val="en-US"/>
        </w:rPr>
        <w:t xml:space="preserve"> pour l</w:t>
      </w:r>
      <w:r w:rsidR="00BF115F">
        <w:rPr>
          <w:lang w:val="en-US"/>
        </w:rPr>
        <w:t xml:space="preserve">es </w:t>
      </w:r>
      <w:proofErr w:type="spellStart"/>
      <w:r w:rsidRPr="00DB656D">
        <w:rPr>
          <w:lang w:val="en-US"/>
        </w:rPr>
        <w:t>intervenant</w:t>
      </w:r>
      <w:r w:rsidR="00BF115F">
        <w:rPr>
          <w:lang w:val="en-US"/>
        </w:rPr>
        <w:t>s</w:t>
      </w:r>
      <w:proofErr w:type="spellEnd"/>
      <w:r w:rsidRPr="00DB656D">
        <w:rPr>
          <w:lang w:val="en-US"/>
        </w:rPr>
        <w:t xml:space="preserve"> </w:t>
      </w:r>
      <w:r w:rsidR="0099185B" w:rsidRPr="00DB656D">
        <w:rPr>
          <w:lang w:val="en-US"/>
        </w:rPr>
        <w:t xml:space="preserve">Coalition of </w:t>
      </w:r>
      <w:r w:rsidRPr="00DB656D">
        <w:rPr>
          <w:lang w:val="en-US"/>
        </w:rPr>
        <w:t>West Coast Women</w:t>
      </w:r>
      <w:r w:rsidR="00071748" w:rsidRPr="00DB656D">
        <w:rPr>
          <w:lang w:val="en-US"/>
        </w:rPr>
        <w:t>’</w:t>
      </w:r>
      <w:r w:rsidRPr="00DB656D">
        <w:rPr>
          <w:lang w:val="en-US"/>
        </w:rPr>
        <w:t xml:space="preserve">s Legal Education and Action Fund (West Coast LEAF), Justice for Children and Youth </w:t>
      </w:r>
      <w:r w:rsidR="00BD2188">
        <w:rPr>
          <w:lang w:val="en-US"/>
        </w:rPr>
        <w:t>et</w:t>
      </w:r>
      <w:r w:rsidRPr="00DB656D">
        <w:rPr>
          <w:lang w:val="en-US"/>
        </w:rPr>
        <w:t xml:space="preserve"> ARCH Disability Law Centre.</w:t>
      </w:r>
    </w:p>
    <w:p w:rsidR="00F73EA2" w:rsidRDefault="001D1434" w:rsidP="00DB656D">
      <w:pPr>
        <w:pStyle w:val="SCCNormalDoubleSpacing"/>
        <w:spacing w:after="480"/>
      </w:pPr>
      <w:r w:rsidRPr="00B1151B">
        <w:rPr>
          <w:i/>
          <w:lang w:val="en-US"/>
        </w:rPr>
        <w:tab/>
      </w:r>
      <w:r w:rsidR="008935B4" w:rsidRPr="00D83999">
        <w:t>Argumentation écrite seulement par</w:t>
      </w:r>
      <w:r w:rsidR="008935B4" w:rsidRPr="00B1151B">
        <w:rPr>
          <w:i/>
        </w:rPr>
        <w:t xml:space="preserve"> </w:t>
      </w:r>
      <w:r w:rsidR="00DB656D" w:rsidRPr="00B1151B">
        <w:rPr>
          <w:i/>
        </w:rPr>
        <w:t>Mark</w:t>
      </w:r>
      <w:r w:rsidR="007A45B0">
        <w:rPr>
          <w:i/>
        </w:rPr>
        <w:t xml:space="preserve"> </w:t>
      </w:r>
      <w:r w:rsidRPr="00B1151B">
        <w:rPr>
          <w:i/>
        </w:rPr>
        <w:t>C. Power</w:t>
      </w:r>
      <w:r>
        <w:t xml:space="preserve"> et </w:t>
      </w:r>
      <w:proofErr w:type="spellStart"/>
      <w:r w:rsidRPr="00B1151B">
        <w:rPr>
          <w:i/>
        </w:rPr>
        <w:t>Jean</w:t>
      </w:r>
      <w:r w:rsidR="003F2E88" w:rsidRPr="00B1151B">
        <w:rPr>
          <w:i/>
        </w:rPr>
        <w:noBreakHyphen/>
      </w:r>
      <w:r w:rsidRPr="00B1151B">
        <w:rPr>
          <w:i/>
        </w:rPr>
        <w:t>Pierre</w:t>
      </w:r>
      <w:proofErr w:type="spellEnd"/>
      <w:r w:rsidRPr="00B1151B">
        <w:rPr>
          <w:i/>
        </w:rPr>
        <w:t xml:space="preserve"> </w:t>
      </w:r>
      <w:proofErr w:type="spellStart"/>
      <w:r w:rsidRPr="00B1151B">
        <w:rPr>
          <w:i/>
        </w:rPr>
        <w:t>Hachey</w:t>
      </w:r>
      <w:proofErr w:type="spellEnd"/>
      <w:r>
        <w:t>, pour l</w:t>
      </w:r>
      <w:r w:rsidR="00071748">
        <w:t>’</w:t>
      </w:r>
      <w:r>
        <w:t xml:space="preserve">intervenant </w:t>
      </w:r>
      <w:r w:rsidR="00071748">
        <w:t xml:space="preserve">le </w:t>
      </w:r>
      <w:r>
        <w:t xml:space="preserve">Conseil scolaire francophone de la </w:t>
      </w:r>
      <w:proofErr w:type="spellStart"/>
      <w:r>
        <w:t>Colombie</w:t>
      </w:r>
      <w:r w:rsidR="003F2E88">
        <w:noBreakHyphen/>
      </w:r>
      <w:r>
        <w:t>Britannique</w:t>
      </w:r>
      <w:proofErr w:type="spellEnd"/>
      <w:r>
        <w:t>.</w:t>
      </w:r>
    </w:p>
    <w:p w:rsidR="00F73EA2" w:rsidRDefault="001D1434" w:rsidP="00DB656D">
      <w:pPr>
        <w:pStyle w:val="SCCNormalDoubleSpacing"/>
        <w:spacing w:after="480"/>
      </w:pPr>
      <w:r w:rsidRPr="00B1151B">
        <w:rPr>
          <w:i/>
        </w:rPr>
        <w:tab/>
      </w:r>
      <w:r w:rsidR="008935B4" w:rsidRPr="00B1151B">
        <w:rPr>
          <w:i/>
        </w:rPr>
        <w:t xml:space="preserve">Kent </w:t>
      </w:r>
      <w:proofErr w:type="spellStart"/>
      <w:r w:rsidR="008935B4" w:rsidRPr="00B1151B">
        <w:rPr>
          <w:i/>
        </w:rPr>
        <w:t>Roach</w:t>
      </w:r>
      <w:proofErr w:type="spellEnd"/>
      <w:r w:rsidR="008935B4" w:rsidRPr="00B1151B">
        <w:rPr>
          <w:i/>
        </w:rPr>
        <w:t xml:space="preserve"> </w:t>
      </w:r>
      <w:r w:rsidR="008935B4">
        <w:t>et</w:t>
      </w:r>
      <w:r w:rsidR="008935B4" w:rsidRPr="00B1151B">
        <w:rPr>
          <w:i/>
        </w:rPr>
        <w:t xml:space="preserve"> </w:t>
      </w:r>
      <w:r w:rsidRPr="00B1151B">
        <w:rPr>
          <w:i/>
        </w:rPr>
        <w:t xml:space="preserve">Cheryl </w:t>
      </w:r>
      <w:proofErr w:type="spellStart"/>
      <w:r w:rsidRPr="00B1151B">
        <w:rPr>
          <w:i/>
        </w:rPr>
        <w:t>Milne</w:t>
      </w:r>
      <w:proofErr w:type="spellEnd"/>
      <w:r>
        <w:t>, pour l</w:t>
      </w:r>
      <w:r w:rsidR="00071748">
        <w:t>’</w:t>
      </w:r>
      <w:r>
        <w:t xml:space="preserve">intervenant David </w:t>
      </w:r>
      <w:proofErr w:type="spellStart"/>
      <w:r>
        <w:t>Asper</w:t>
      </w:r>
      <w:proofErr w:type="spellEnd"/>
      <w:r>
        <w:t xml:space="preserve"> Centre for </w:t>
      </w:r>
      <w:proofErr w:type="spellStart"/>
      <w:r>
        <w:t>Constitutional</w:t>
      </w:r>
      <w:proofErr w:type="spellEnd"/>
      <w:r>
        <w:t xml:space="preserve"> Rights.</w:t>
      </w:r>
    </w:p>
    <w:p w:rsidR="00F73EA2" w:rsidRDefault="001D1434" w:rsidP="00DB656D">
      <w:pPr>
        <w:pStyle w:val="SCCNormalDoubleSpacing"/>
        <w:spacing w:after="480"/>
      </w:pPr>
      <w:r w:rsidRPr="00B1151B">
        <w:rPr>
          <w:i/>
        </w:rPr>
        <w:tab/>
      </w:r>
      <w:r w:rsidR="008935B4" w:rsidRPr="00D83999">
        <w:t>Argumentation écrite seulement par</w:t>
      </w:r>
      <w:r w:rsidR="008935B4" w:rsidRPr="00B1151B">
        <w:rPr>
          <w:i/>
        </w:rPr>
        <w:t xml:space="preserve"> </w:t>
      </w:r>
      <w:proofErr w:type="spellStart"/>
      <w:r w:rsidRPr="00B1151B">
        <w:rPr>
          <w:i/>
        </w:rPr>
        <w:t>Cara</w:t>
      </w:r>
      <w:proofErr w:type="spellEnd"/>
      <w:r w:rsidRPr="00B1151B">
        <w:rPr>
          <w:i/>
        </w:rPr>
        <w:t xml:space="preserve"> </w:t>
      </w:r>
      <w:proofErr w:type="spellStart"/>
      <w:r w:rsidRPr="00B1151B">
        <w:rPr>
          <w:i/>
        </w:rPr>
        <w:t>Faith</w:t>
      </w:r>
      <w:proofErr w:type="spellEnd"/>
      <w:r w:rsidRPr="00B1151B">
        <w:rPr>
          <w:i/>
        </w:rPr>
        <w:t xml:space="preserve"> </w:t>
      </w:r>
      <w:proofErr w:type="spellStart"/>
      <w:r w:rsidRPr="00B1151B">
        <w:rPr>
          <w:i/>
        </w:rPr>
        <w:t>Zwibel</w:t>
      </w:r>
      <w:proofErr w:type="spellEnd"/>
      <w:r>
        <w:t>, pour l</w:t>
      </w:r>
      <w:r w:rsidR="00071748">
        <w:t>’</w:t>
      </w:r>
      <w:r>
        <w:t xml:space="preserve">intervenante </w:t>
      </w:r>
      <w:r w:rsidR="00071748">
        <w:t>l’</w:t>
      </w:r>
      <w:r>
        <w:t>Association canadienne des libertés civiles.</w:t>
      </w:r>
    </w:p>
    <w:p w:rsidR="00F73EA2" w:rsidRDefault="001D1434" w:rsidP="00DB656D">
      <w:pPr>
        <w:pStyle w:val="SCCNormalDoubleSpacing"/>
        <w:spacing w:after="480"/>
      </w:pPr>
      <w:r w:rsidRPr="00B1151B">
        <w:rPr>
          <w:i/>
        </w:rPr>
        <w:tab/>
        <w:t xml:space="preserve">Lorne </w:t>
      </w:r>
      <w:proofErr w:type="spellStart"/>
      <w:r w:rsidRPr="00B1151B">
        <w:rPr>
          <w:i/>
        </w:rPr>
        <w:t>Waldman</w:t>
      </w:r>
      <w:proofErr w:type="spellEnd"/>
      <w:r>
        <w:t xml:space="preserve">, </w:t>
      </w:r>
      <w:proofErr w:type="spellStart"/>
      <w:r w:rsidRPr="00B1151B">
        <w:rPr>
          <w:i/>
        </w:rPr>
        <w:t>Clare</w:t>
      </w:r>
      <w:proofErr w:type="spellEnd"/>
      <w:r w:rsidRPr="00B1151B">
        <w:rPr>
          <w:i/>
        </w:rPr>
        <w:t xml:space="preserve"> </w:t>
      </w:r>
      <w:proofErr w:type="spellStart"/>
      <w:r w:rsidRPr="00B1151B">
        <w:rPr>
          <w:i/>
        </w:rPr>
        <w:t>Crummey</w:t>
      </w:r>
      <w:proofErr w:type="spellEnd"/>
      <w:r>
        <w:t xml:space="preserve"> et </w:t>
      </w:r>
      <w:r w:rsidRPr="00B1151B">
        <w:rPr>
          <w:i/>
        </w:rPr>
        <w:t>Tamara Morgenthau</w:t>
      </w:r>
      <w:r>
        <w:t>, pour l</w:t>
      </w:r>
      <w:r w:rsidR="00071748">
        <w:t xml:space="preserve">es </w:t>
      </w:r>
      <w:r>
        <w:t>intervenant</w:t>
      </w:r>
      <w:r w:rsidR="00071748">
        <w:t>s</w:t>
      </w:r>
      <w:r>
        <w:t xml:space="preserve"> </w:t>
      </w:r>
      <w:r w:rsidR="009012A4">
        <w:t>l’Association canadienne des avocats et avocates en droit des réfugiés</w:t>
      </w:r>
      <w:r>
        <w:t xml:space="preserve"> et </w:t>
      </w:r>
      <w:r w:rsidR="00071748">
        <w:t xml:space="preserve">le </w:t>
      </w:r>
      <w:r>
        <w:t>Conseil canadien pour les réfugiés.</w:t>
      </w:r>
    </w:p>
    <w:p w:rsidR="00F73EA2" w:rsidRDefault="001D1434" w:rsidP="00DB656D">
      <w:pPr>
        <w:pStyle w:val="SCCNormalDoubleSpacing"/>
        <w:spacing w:after="480"/>
      </w:pPr>
      <w:r w:rsidRPr="00B1151B">
        <w:rPr>
          <w:i/>
        </w:rPr>
        <w:tab/>
      </w:r>
      <w:r w:rsidR="008935B4" w:rsidRPr="00D83999">
        <w:t>Argumentation écrite seulement par</w:t>
      </w:r>
      <w:r w:rsidR="008935B4" w:rsidRPr="00B1151B">
        <w:rPr>
          <w:i/>
        </w:rPr>
        <w:t xml:space="preserve"> </w:t>
      </w:r>
      <w:r w:rsidRPr="00B1151B">
        <w:rPr>
          <w:i/>
        </w:rPr>
        <w:t xml:space="preserve">Michael A. </w:t>
      </w:r>
      <w:proofErr w:type="spellStart"/>
      <w:r w:rsidRPr="00B1151B">
        <w:rPr>
          <w:i/>
        </w:rPr>
        <w:t>Feder</w:t>
      </w:r>
      <w:proofErr w:type="spellEnd"/>
      <w:r>
        <w:t xml:space="preserve">, </w:t>
      </w:r>
      <w:r w:rsidRPr="00B1151B">
        <w:rPr>
          <w:i/>
        </w:rPr>
        <w:t xml:space="preserve">Alexandra E. </w:t>
      </w:r>
      <w:proofErr w:type="spellStart"/>
      <w:r w:rsidRPr="00B1151B">
        <w:rPr>
          <w:i/>
        </w:rPr>
        <w:t>Cocks</w:t>
      </w:r>
      <w:proofErr w:type="spellEnd"/>
      <w:r>
        <w:t xml:space="preserve"> et </w:t>
      </w:r>
      <w:proofErr w:type="spellStart"/>
      <w:r w:rsidRPr="00B1151B">
        <w:rPr>
          <w:i/>
        </w:rPr>
        <w:t>Jordanna</w:t>
      </w:r>
      <w:proofErr w:type="spellEnd"/>
      <w:r w:rsidRPr="00B1151B">
        <w:rPr>
          <w:i/>
        </w:rPr>
        <w:t xml:space="preserve"> </w:t>
      </w:r>
      <w:proofErr w:type="spellStart"/>
      <w:r w:rsidRPr="00B1151B">
        <w:rPr>
          <w:i/>
        </w:rPr>
        <w:t>Cytrynbaum</w:t>
      </w:r>
      <w:proofErr w:type="spellEnd"/>
      <w:r>
        <w:t>, pour l</w:t>
      </w:r>
      <w:r w:rsidR="00071748">
        <w:t xml:space="preserve">es </w:t>
      </w:r>
      <w:r>
        <w:t>intervenant</w:t>
      </w:r>
      <w:r w:rsidR="00071748">
        <w:t>s</w:t>
      </w:r>
      <w:r>
        <w:t xml:space="preserve"> </w:t>
      </w:r>
      <w:r w:rsidR="00071748">
        <w:t xml:space="preserve">le </w:t>
      </w:r>
      <w:r>
        <w:t xml:space="preserve">Réseau juridique canadien </w:t>
      </w:r>
      <w:r>
        <w:lastRenderedPageBreak/>
        <w:t xml:space="preserve">VIH/sida, HIV &amp; AIDS </w:t>
      </w:r>
      <w:proofErr w:type="spellStart"/>
      <w:r>
        <w:t>Legal</w:t>
      </w:r>
      <w:proofErr w:type="spellEnd"/>
      <w:r>
        <w:t xml:space="preserve"> </w:t>
      </w:r>
      <w:proofErr w:type="spellStart"/>
      <w:r>
        <w:t>Clinic</w:t>
      </w:r>
      <w:proofErr w:type="spellEnd"/>
      <w:r>
        <w:t xml:space="preserve"> Ontario et Positive Living Society of British Columbia.</w:t>
      </w:r>
    </w:p>
    <w:p w:rsidR="00D83999" w:rsidRDefault="00D83999" w:rsidP="00DB656D">
      <w:pPr>
        <w:pStyle w:val="SCCNormalDoubleSpacing"/>
        <w:spacing w:after="480"/>
      </w:pPr>
      <w:r>
        <w:tab/>
        <w:t>Version française du jugement de la Cour rendu par</w:t>
      </w:r>
    </w:p>
    <w:p w:rsidR="00D83999" w:rsidRDefault="00D83999" w:rsidP="00DB656D">
      <w:pPr>
        <w:pStyle w:val="SCCNormalDoubleSpacing"/>
        <w:spacing w:after="480"/>
      </w:pPr>
      <w:r>
        <w:tab/>
      </w:r>
      <w:r w:rsidRPr="00D83999">
        <w:rPr>
          <w:smallCaps/>
        </w:rPr>
        <w:t>Le juge Cromwell</w:t>
      </w:r>
      <w:r>
        <w:t xml:space="preserve"> —</w:t>
      </w:r>
    </w:p>
    <w:p w:rsidR="00D867A4" w:rsidRPr="000443F8" w:rsidRDefault="00D867A4" w:rsidP="00D83999">
      <w:pPr>
        <w:pStyle w:val="TitleTitre-AltT"/>
        <w:keepNext/>
        <w:tabs>
          <w:tab w:val="clear" w:pos="360"/>
          <w:tab w:val="left" w:pos="540"/>
        </w:tabs>
        <w:ind w:left="0" w:firstLine="0"/>
        <w:rPr>
          <w:smallCaps/>
          <w:szCs w:val="24"/>
          <w:u w:val="single"/>
          <w:lang w:val="fr-CA"/>
        </w:rPr>
      </w:pPr>
      <w:r w:rsidRPr="000443F8">
        <w:rPr>
          <w:szCs w:val="24"/>
          <w:lang w:val="fr-CA"/>
        </w:rPr>
        <w:t>I.</w:t>
      </w:r>
      <w:r w:rsidRPr="000443F8">
        <w:rPr>
          <w:szCs w:val="24"/>
          <w:lang w:val="fr-CA"/>
        </w:rPr>
        <w:tab/>
      </w:r>
      <w:r w:rsidRPr="000443F8">
        <w:rPr>
          <w:szCs w:val="24"/>
          <w:u w:val="single"/>
          <w:lang w:val="fr-CA"/>
        </w:rPr>
        <w:t>Introduction</w:t>
      </w:r>
    </w:p>
    <w:p w:rsidR="00D867A4" w:rsidRPr="00132F5E" w:rsidRDefault="00D867A4" w:rsidP="00D867A4">
      <w:pPr>
        <w:pStyle w:val="ParaNoNdepar-AltN"/>
        <w:tabs>
          <w:tab w:val="clear" w:pos="1152"/>
          <w:tab w:val="left" w:pos="1170"/>
        </w:tabs>
        <w:rPr>
          <w:lang w:val="fr-CA"/>
        </w:rPr>
      </w:pPr>
      <w:r>
        <w:rPr>
          <w:lang w:val="fr-CA"/>
        </w:rPr>
        <w:t>Le présent pourvoi porte sur les règles de droit relatives à la qualité pour agir dans l’intérêt public dans les causes en matière constitutionnelle.  Ces règles déterminent qui peut soumettre une affaire aux tribunaux.  Bien entendu, la situation serait insoutenable si tous avaient la qualité pour engager des poursuites à tout propos, aussi ténu</w:t>
      </w:r>
      <w:r w:rsidRPr="0065454F">
        <w:rPr>
          <w:lang w:val="fr-CA"/>
        </w:rPr>
        <w:t xml:space="preserve"> leur intérêt personnel </w:t>
      </w:r>
      <w:proofErr w:type="spellStart"/>
      <w:r>
        <w:rPr>
          <w:lang w:val="fr-CA"/>
        </w:rPr>
        <w:t>soit</w:t>
      </w:r>
      <w:r>
        <w:rPr>
          <w:lang w:val="fr-CA"/>
        </w:rPr>
        <w:noBreakHyphen/>
        <w:t>il</w:t>
      </w:r>
      <w:proofErr w:type="spellEnd"/>
      <w:r>
        <w:rPr>
          <w:lang w:val="fr-CA"/>
        </w:rPr>
        <w:t xml:space="preserve"> </w:t>
      </w:r>
      <w:r w:rsidRPr="0065454F">
        <w:rPr>
          <w:lang w:val="fr-CA"/>
        </w:rPr>
        <w:t>dans la</w:t>
      </w:r>
      <w:r>
        <w:rPr>
          <w:lang w:val="fr-CA"/>
        </w:rPr>
        <w:t xml:space="preserve"> cause.  Des restrictions s’imposent donc en matière de qualité pour agir afin d’assurer que les tribunaux ne deviennent pas complètement submergés par des poursuites insignifiantes ou redondantes, d’écarter les </w:t>
      </w:r>
      <w:proofErr w:type="spellStart"/>
      <w:r>
        <w:rPr>
          <w:lang w:val="fr-CA"/>
        </w:rPr>
        <w:t>trouble</w:t>
      </w:r>
      <w:r>
        <w:rPr>
          <w:lang w:val="fr-CA"/>
        </w:rPr>
        <w:noBreakHyphen/>
        <w:t>fête</w:t>
      </w:r>
      <w:proofErr w:type="spellEnd"/>
      <w:r>
        <w:rPr>
          <w:lang w:val="fr-CA"/>
        </w:rPr>
        <w:t xml:space="preserve"> et de s’assurer que les tribunaux entendent les principaux intéressés faire valoir contradictoirement leurs points de vue et jouent le rôle qui </w:t>
      </w:r>
      <w:r w:rsidRPr="00824C42">
        <w:rPr>
          <w:lang w:val="fr-CA"/>
        </w:rPr>
        <w:t>leur est propre</w:t>
      </w:r>
      <w:r>
        <w:rPr>
          <w:lang w:val="fr-CA"/>
        </w:rPr>
        <w:t xml:space="preserve"> dans le cadre de notre système démocratique de gouvernement :</w:t>
      </w:r>
      <w:r w:rsidRPr="00132F5E">
        <w:rPr>
          <w:lang w:val="fr-CA"/>
        </w:rPr>
        <w:t xml:space="preserve"> </w:t>
      </w:r>
      <w:r>
        <w:rPr>
          <w:i/>
          <w:lang w:val="fr-CA"/>
        </w:rPr>
        <w:t>Finlay c. Canada (Ministre des Finances</w:t>
      </w:r>
      <w:r w:rsidRPr="00132F5E">
        <w:rPr>
          <w:i/>
          <w:lang w:val="fr-CA"/>
        </w:rPr>
        <w:t>)</w:t>
      </w:r>
      <w:r w:rsidRPr="00132F5E">
        <w:rPr>
          <w:lang w:val="fr-CA"/>
        </w:rPr>
        <w:t xml:space="preserve">, [1986] 2 </w:t>
      </w:r>
      <w:r>
        <w:rPr>
          <w:lang w:val="fr-CA"/>
        </w:rPr>
        <w:t>R.C.S.</w:t>
      </w:r>
      <w:r w:rsidRPr="00132F5E">
        <w:rPr>
          <w:lang w:val="fr-CA"/>
        </w:rPr>
        <w:t xml:space="preserve"> 607, </w:t>
      </w:r>
      <w:r>
        <w:rPr>
          <w:lang w:val="fr-CA"/>
        </w:rPr>
        <w:t>p. </w:t>
      </w:r>
      <w:r w:rsidRPr="00132F5E">
        <w:rPr>
          <w:lang w:val="fr-CA"/>
        </w:rPr>
        <w:t>631.</w:t>
      </w:r>
      <w:r>
        <w:rPr>
          <w:lang w:val="fr-CA"/>
        </w:rPr>
        <w:t xml:space="preserve"> </w:t>
      </w:r>
      <w:r w:rsidRPr="00132F5E">
        <w:rPr>
          <w:lang w:val="fr-CA"/>
        </w:rPr>
        <w:t xml:space="preserve"> </w:t>
      </w:r>
      <w:r>
        <w:rPr>
          <w:lang w:val="fr-CA"/>
        </w:rPr>
        <w:t xml:space="preserve">Selon l’approche traditionnellement retenue, la qualité pour agir était limitée aux personnes dont les intérêts privés étaient en jeu ou pour qui l’issue des procédures avait des incidences particulières.  Dans les causes de droit public, les tribunaux </w:t>
      </w:r>
      <w:r>
        <w:rPr>
          <w:lang w:val="fr-CA"/>
        </w:rPr>
        <w:lastRenderedPageBreak/>
        <w:t>canadiens ont toutefois tempéré</w:t>
      </w:r>
      <w:r w:rsidRPr="00824C42">
        <w:rPr>
          <w:lang w:val="fr-CA"/>
        </w:rPr>
        <w:t xml:space="preserve"> ces limites</w:t>
      </w:r>
      <w:r>
        <w:rPr>
          <w:lang w:val="fr-CA"/>
        </w:rPr>
        <w:t xml:space="preserve"> et adopté une approche </w:t>
      </w:r>
      <w:r w:rsidRPr="00824C42">
        <w:rPr>
          <w:lang w:val="fr-CA"/>
        </w:rPr>
        <w:t>souple et discrétionnaire</w:t>
      </w:r>
      <w:r>
        <w:rPr>
          <w:lang w:val="fr-CA"/>
        </w:rPr>
        <w:t xml:space="preserve"> quant à la question de la qualité pour agir dans l’intérêt public, guidés en cela par</w:t>
      </w:r>
      <w:r w:rsidR="002E67E6">
        <w:rPr>
          <w:lang w:val="fr-CA"/>
        </w:rPr>
        <w:t xml:space="preserve"> les objectifs qui étaient sous-</w:t>
      </w:r>
      <w:r>
        <w:rPr>
          <w:lang w:val="fr-CA"/>
        </w:rPr>
        <w:t xml:space="preserve">jacents aux limites traditionnelles. </w:t>
      </w:r>
      <w:r w:rsidRPr="00132F5E">
        <w:rPr>
          <w:lang w:val="fr-CA"/>
        </w:rPr>
        <w:t xml:space="preserve"> </w:t>
      </w:r>
    </w:p>
    <w:p w:rsidR="00D867A4" w:rsidRPr="002E0D62" w:rsidRDefault="00D867A4" w:rsidP="00D867A4">
      <w:pPr>
        <w:pStyle w:val="ParaNoNdepar-AltN"/>
        <w:tabs>
          <w:tab w:val="clear" w:pos="1152"/>
          <w:tab w:val="left" w:pos="1170"/>
        </w:tabs>
        <w:rPr>
          <w:lang w:val="fr-CA"/>
        </w:rPr>
      </w:pPr>
      <w:r>
        <w:rPr>
          <w:lang w:val="fr-CA"/>
        </w:rPr>
        <w:t xml:space="preserve">Lorsqu’ils exercent leur pouvoir discrétionnaire en matière de qualité pour agir, les tribunaux </w:t>
      </w:r>
      <w:r w:rsidRPr="00824C42">
        <w:rPr>
          <w:lang w:val="fr-CA"/>
        </w:rPr>
        <w:t>soupèsent trois</w:t>
      </w:r>
      <w:r>
        <w:rPr>
          <w:lang w:val="fr-CA"/>
        </w:rPr>
        <w:t xml:space="preserve"> facteurs à la lumière de ces objectifs </w:t>
      </w:r>
      <w:proofErr w:type="spellStart"/>
      <w:r>
        <w:rPr>
          <w:lang w:val="fr-CA"/>
        </w:rPr>
        <w:t>sous</w:t>
      </w:r>
      <w:r>
        <w:rPr>
          <w:lang w:val="fr-CA"/>
        </w:rPr>
        <w:noBreakHyphen/>
        <w:t>jacents</w:t>
      </w:r>
      <w:proofErr w:type="spellEnd"/>
      <w:r>
        <w:rPr>
          <w:lang w:val="fr-CA"/>
        </w:rPr>
        <w:t xml:space="preserve"> et des circonstances particulières de chaque cas.  Ils se demandent si l’affaire soulève une question justiciable sérieuse, si la partie qui a intenté la poursuite a un intérêt réel ou véritable dans son issue et, en tenant compte d’un grand nombre de facteurs, si la poursuite proposée constitue une manière raisonnable et efficace de soumettre la question à la cour : </w:t>
      </w:r>
      <w:r>
        <w:rPr>
          <w:i/>
          <w:lang w:val="fr-CA"/>
        </w:rPr>
        <w:t>Conseil canadien des Églises c. Canada (Ministre de l’Emploi et de l’Immigration</w:t>
      </w:r>
      <w:r w:rsidRPr="002E0D62">
        <w:rPr>
          <w:i/>
          <w:lang w:val="fr-CA"/>
        </w:rPr>
        <w:t>)</w:t>
      </w:r>
      <w:r w:rsidRPr="002E0D62">
        <w:rPr>
          <w:lang w:val="fr-CA"/>
        </w:rPr>
        <w:t xml:space="preserve">, [1992] 1 </w:t>
      </w:r>
      <w:r>
        <w:rPr>
          <w:lang w:val="fr-CA"/>
        </w:rPr>
        <w:t>R.C.S.</w:t>
      </w:r>
      <w:r w:rsidRPr="002E0D62">
        <w:rPr>
          <w:lang w:val="fr-CA"/>
        </w:rPr>
        <w:t xml:space="preserve"> 236</w:t>
      </w:r>
      <w:r>
        <w:rPr>
          <w:lang w:val="fr-CA"/>
        </w:rPr>
        <w:t>, p. </w:t>
      </w:r>
      <w:r w:rsidRPr="002E0D62">
        <w:rPr>
          <w:lang w:val="fr-CA"/>
        </w:rPr>
        <w:t>253</w:t>
      </w:r>
      <w:r>
        <w:rPr>
          <w:lang w:val="fr-CA"/>
        </w:rPr>
        <w:t>.  Les tribunaux exercent ce pouvoir discrétionnaire de reconnaître ou non la qualité pour agir de façon « libérale et souple »</w:t>
      </w:r>
      <w:r w:rsidRPr="002E0D62">
        <w:rPr>
          <w:lang w:val="fr-CA"/>
        </w:rPr>
        <w:t xml:space="preserve"> (</w:t>
      </w:r>
      <w:r>
        <w:rPr>
          <w:lang w:val="fr-CA"/>
        </w:rPr>
        <w:t>p. </w:t>
      </w:r>
      <w:r w:rsidRPr="002E0D62">
        <w:rPr>
          <w:lang w:val="fr-CA"/>
        </w:rPr>
        <w:t>253).</w:t>
      </w:r>
    </w:p>
    <w:p w:rsidR="00D867A4" w:rsidRPr="00132F5E" w:rsidRDefault="00D867A4" w:rsidP="00D867A4">
      <w:pPr>
        <w:pStyle w:val="ParaNoNdepar-AltN"/>
        <w:tabs>
          <w:tab w:val="clear" w:pos="1152"/>
          <w:tab w:val="left" w:pos="1170"/>
        </w:tabs>
        <w:rPr>
          <w:lang w:val="fr-CA"/>
        </w:rPr>
      </w:pPr>
      <w:r>
        <w:rPr>
          <w:lang w:val="fr-CA"/>
        </w:rPr>
        <w:t xml:space="preserve">En l’espèce, les intimées </w:t>
      </w:r>
      <w:proofErr w:type="spellStart"/>
      <w:r w:rsidRPr="00132F5E">
        <w:rPr>
          <w:lang w:val="fr-CA"/>
        </w:rPr>
        <w:t>Downtown</w:t>
      </w:r>
      <w:proofErr w:type="spellEnd"/>
      <w:r w:rsidRPr="00132F5E">
        <w:rPr>
          <w:lang w:val="fr-CA"/>
        </w:rPr>
        <w:t xml:space="preserve"> </w:t>
      </w:r>
      <w:proofErr w:type="spellStart"/>
      <w:r w:rsidRPr="00132F5E">
        <w:rPr>
          <w:lang w:val="fr-CA"/>
        </w:rPr>
        <w:t>Eastside</w:t>
      </w:r>
      <w:proofErr w:type="spellEnd"/>
      <w:r w:rsidRPr="00132F5E">
        <w:rPr>
          <w:lang w:val="fr-CA"/>
        </w:rPr>
        <w:t xml:space="preserve"> </w:t>
      </w:r>
      <w:proofErr w:type="spellStart"/>
      <w:r w:rsidRPr="00132F5E">
        <w:rPr>
          <w:lang w:val="fr-CA"/>
        </w:rPr>
        <w:t>Sex</w:t>
      </w:r>
      <w:proofErr w:type="spellEnd"/>
      <w:r w:rsidRPr="00132F5E">
        <w:rPr>
          <w:lang w:val="fr-CA"/>
        </w:rPr>
        <w:t xml:space="preserve"> </w:t>
      </w:r>
      <w:proofErr w:type="spellStart"/>
      <w:r w:rsidRPr="00132F5E">
        <w:rPr>
          <w:lang w:val="fr-CA"/>
        </w:rPr>
        <w:t>Workers</w:t>
      </w:r>
      <w:proofErr w:type="spellEnd"/>
      <w:r w:rsidRPr="00132F5E">
        <w:rPr>
          <w:lang w:val="fr-CA"/>
        </w:rPr>
        <w:t xml:space="preserve"> United </w:t>
      </w:r>
      <w:proofErr w:type="spellStart"/>
      <w:r w:rsidRPr="00132F5E">
        <w:rPr>
          <w:lang w:val="fr-CA"/>
        </w:rPr>
        <w:t>Against</w:t>
      </w:r>
      <w:proofErr w:type="spellEnd"/>
      <w:r w:rsidRPr="00132F5E">
        <w:rPr>
          <w:lang w:val="fr-CA"/>
        </w:rPr>
        <w:t xml:space="preserve"> Violence Society</w:t>
      </w:r>
      <w:r>
        <w:rPr>
          <w:lang w:val="fr-CA"/>
        </w:rPr>
        <w:t xml:space="preserve"> (« Société ») </w:t>
      </w:r>
      <w:r>
        <w:rPr>
          <w:rFonts w:cs="Times New Roman"/>
          <w:lang w:val="fr-CA"/>
        </w:rPr>
        <w:t>— dont l’objet consiste notamment à améliorer les</w:t>
      </w:r>
      <w:r>
        <w:rPr>
          <w:lang w:val="fr-CA"/>
        </w:rPr>
        <w:t xml:space="preserve"> conditions de travail des travailleuses du sexe </w:t>
      </w:r>
      <w:r>
        <w:rPr>
          <w:rFonts w:cs="Times New Roman"/>
          <w:lang w:val="fr-CA"/>
        </w:rPr>
        <w:t>—</w:t>
      </w:r>
      <w:r>
        <w:rPr>
          <w:lang w:val="fr-CA"/>
        </w:rPr>
        <w:t xml:space="preserve"> et M</w:t>
      </w:r>
      <w:r w:rsidRPr="00A66D37">
        <w:rPr>
          <w:vertAlign w:val="superscript"/>
          <w:lang w:val="fr-CA"/>
        </w:rPr>
        <w:t>me</w:t>
      </w:r>
      <w:r>
        <w:rPr>
          <w:lang w:val="fr-CA"/>
        </w:rPr>
        <w:t> </w:t>
      </w:r>
      <w:proofErr w:type="spellStart"/>
      <w:r>
        <w:rPr>
          <w:lang w:val="fr-CA"/>
        </w:rPr>
        <w:t>Kiselbach</w:t>
      </w:r>
      <w:proofErr w:type="spellEnd"/>
      <w:r>
        <w:rPr>
          <w:lang w:val="fr-CA"/>
        </w:rPr>
        <w:t xml:space="preserve"> ont lancé une vaste contestation constitutionnelle des dispositions du </w:t>
      </w:r>
      <w:r>
        <w:rPr>
          <w:i/>
          <w:lang w:val="fr-CA"/>
        </w:rPr>
        <w:t>Code criminel</w:t>
      </w:r>
      <w:r w:rsidR="00FF14BD">
        <w:rPr>
          <w:lang w:val="fr-CA"/>
        </w:rPr>
        <w:t>, L.R.C. 1985, ch. C</w:t>
      </w:r>
      <w:r w:rsidR="00FF14BD">
        <w:rPr>
          <w:lang w:val="fr-CA"/>
        </w:rPr>
        <w:noBreakHyphen/>
        <w:t xml:space="preserve">46, </w:t>
      </w:r>
      <w:r>
        <w:rPr>
          <w:lang w:val="fr-CA"/>
        </w:rPr>
        <w:t>relatives à</w:t>
      </w:r>
      <w:r w:rsidRPr="00882059">
        <w:rPr>
          <w:lang w:val="fr-CA"/>
        </w:rPr>
        <w:t xml:space="preserve"> la prostitution</w:t>
      </w:r>
      <w:r>
        <w:rPr>
          <w:i/>
          <w:lang w:val="fr-CA"/>
        </w:rPr>
        <w:t>.</w:t>
      </w:r>
      <w:r w:rsidRPr="00427468">
        <w:rPr>
          <w:lang w:val="fr-CA"/>
        </w:rPr>
        <w:t xml:space="preserve">  </w:t>
      </w:r>
      <w:r>
        <w:rPr>
          <w:lang w:val="fr-CA"/>
        </w:rPr>
        <w:t xml:space="preserve">La Cour d’appel de la </w:t>
      </w:r>
      <w:proofErr w:type="spellStart"/>
      <w:r>
        <w:rPr>
          <w:lang w:val="fr-CA"/>
        </w:rPr>
        <w:t>Colombie</w:t>
      </w:r>
      <w:r>
        <w:rPr>
          <w:lang w:val="fr-CA"/>
        </w:rPr>
        <w:noBreakHyphen/>
        <w:t>Britannique</w:t>
      </w:r>
      <w:proofErr w:type="spellEnd"/>
      <w:r>
        <w:rPr>
          <w:lang w:val="fr-CA"/>
        </w:rPr>
        <w:t xml:space="preserve"> a jugé qu’il y avait lieu de leur reconnaître la qualité pour agir dans l’intérêt public pour qu’elles puissent faire valoir cette contestation.  Le procureur général du Canada interjette appel de cette décision.  Le pourvoi porte </w:t>
      </w:r>
      <w:r>
        <w:rPr>
          <w:lang w:val="fr-CA"/>
        </w:rPr>
        <w:lastRenderedPageBreak/>
        <w:t xml:space="preserve">principalement sur la question de savoir si les trois facteurs que les tribunaux doivent prendre en compte afin de juger de </w:t>
      </w:r>
      <w:r w:rsidRPr="00824C42">
        <w:rPr>
          <w:lang w:val="fr-CA"/>
        </w:rPr>
        <w:t>la qualité pour agir doivent être considérés comme des éléments d</w:t>
      </w:r>
      <w:r>
        <w:rPr>
          <w:lang w:val="fr-CA"/>
        </w:rPr>
        <w:t>’</w:t>
      </w:r>
      <w:r w:rsidRPr="00824C42">
        <w:rPr>
          <w:lang w:val="fr-CA"/>
        </w:rPr>
        <w:t>une liste de contrôle rigide ou s</w:t>
      </w:r>
      <w:r>
        <w:rPr>
          <w:lang w:val="fr-CA"/>
        </w:rPr>
        <w:t>’</w:t>
      </w:r>
      <w:r w:rsidRPr="00824C42">
        <w:rPr>
          <w:lang w:val="fr-CA"/>
        </w:rPr>
        <w:t>ils doivent être pris en compte et soupesés dans l</w:t>
      </w:r>
      <w:r>
        <w:rPr>
          <w:lang w:val="fr-CA"/>
        </w:rPr>
        <w:t>’</w:t>
      </w:r>
      <w:r w:rsidRPr="00824C42">
        <w:rPr>
          <w:lang w:val="fr-CA"/>
        </w:rPr>
        <w:t xml:space="preserve">exercice du pouvoir discrétionnaire judiciaire en vue de servir les principes </w:t>
      </w:r>
      <w:proofErr w:type="spellStart"/>
      <w:r w:rsidRPr="00824C42">
        <w:rPr>
          <w:lang w:val="fr-CA"/>
        </w:rPr>
        <w:t>sous</w:t>
      </w:r>
      <w:r>
        <w:rPr>
          <w:lang w:val="fr-CA"/>
        </w:rPr>
        <w:noBreakHyphen/>
      </w:r>
      <w:r w:rsidRPr="00824C42">
        <w:rPr>
          <w:lang w:val="fr-CA"/>
        </w:rPr>
        <w:t>jacents</w:t>
      </w:r>
      <w:proofErr w:type="spellEnd"/>
      <w:r w:rsidRPr="00824C42">
        <w:rPr>
          <w:lang w:val="fr-CA"/>
        </w:rPr>
        <w:t xml:space="preserve"> des règles de</w:t>
      </w:r>
      <w:r>
        <w:rPr>
          <w:lang w:val="fr-CA"/>
        </w:rPr>
        <w:t xml:space="preserve"> droit applicables à ce sujet.  À mon avis, la dernière approche est la bonne et, en l’appliquant en l’espèce, j’estime qu’il y a lieu de reconnaître à la Société</w:t>
      </w:r>
      <w:r w:rsidRPr="00132F5E">
        <w:rPr>
          <w:lang w:val="fr-CA"/>
        </w:rPr>
        <w:t xml:space="preserve"> </w:t>
      </w:r>
      <w:r>
        <w:rPr>
          <w:lang w:val="fr-CA"/>
        </w:rPr>
        <w:t>et à M</w:t>
      </w:r>
      <w:r w:rsidRPr="00782E56">
        <w:rPr>
          <w:vertAlign w:val="superscript"/>
          <w:lang w:val="fr-CA"/>
        </w:rPr>
        <w:t>me</w:t>
      </w:r>
      <w:r>
        <w:rPr>
          <w:lang w:val="fr-CA"/>
        </w:rPr>
        <w:t> </w:t>
      </w:r>
      <w:proofErr w:type="spellStart"/>
      <w:r w:rsidRPr="00132F5E">
        <w:rPr>
          <w:lang w:val="fr-CA"/>
        </w:rPr>
        <w:t>Kiselba</w:t>
      </w:r>
      <w:r>
        <w:rPr>
          <w:lang w:val="fr-CA"/>
        </w:rPr>
        <w:t>ch</w:t>
      </w:r>
      <w:proofErr w:type="spellEnd"/>
      <w:r>
        <w:rPr>
          <w:lang w:val="fr-CA"/>
        </w:rPr>
        <w:t xml:space="preserve"> la qualité pour agir dans l’intérêt public.  Je suis donc d’avis de rejeter le pourvoi. </w:t>
      </w:r>
    </w:p>
    <w:p w:rsidR="00D867A4" w:rsidRPr="00132F5E" w:rsidRDefault="00D867A4" w:rsidP="00D83999">
      <w:pPr>
        <w:pStyle w:val="TitleTitre-AltT"/>
        <w:keepNext/>
        <w:tabs>
          <w:tab w:val="clear" w:pos="360"/>
          <w:tab w:val="left" w:pos="540"/>
        </w:tabs>
        <w:ind w:left="540" w:hanging="540"/>
        <w:rPr>
          <w:szCs w:val="24"/>
          <w:u w:val="single"/>
          <w:lang w:val="fr-CA"/>
        </w:rPr>
      </w:pPr>
      <w:r w:rsidRPr="003068FA">
        <w:rPr>
          <w:szCs w:val="24"/>
          <w:lang w:val="fr-CA"/>
        </w:rPr>
        <w:t>I</w:t>
      </w:r>
      <w:r>
        <w:rPr>
          <w:szCs w:val="24"/>
          <w:lang w:val="fr-CA"/>
        </w:rPr>
        <w:t>I</w:t>
      </w:r>
      <w:r w:rsidRPr="003068FA">
        <w:rPr>
          <w:szCs w:val="24"/>
          <w:lang w:val="fr-CA"/>
        </w:rPr>
        <w:t>.</w:t>
      </w:r>
      <w:r w:rsidRPr="003068FA">
        <w:rPr>
          <w:szCs w:val="24"/>
          <w:lang w:val="fr-CA"/>
        </w:rPr>
        <w:tab/>
      </w:r>
      <w:r>
        <w:rPr>
          <w:szCs w:val="24"/>
          <w:u w:val="single"/>
          <w:lang w:val="fr-CA"/>
        </w:rPr>
        <w:t>Questions en litige</w:t>
      </w:r>
    </w:p>
    <w:p w:rsidR="00D867A4" w:rsidRPr="00132F5E" w:rsidRDefault="00D867A4" w:rsidP="00D867A4">
      <w:pPr>
        <w:pStyle w:val="ParaNoNdepar-AltN"/>
        <w:tabs>
          <w:tab w:val="clear" w:pos="1152"/>
          <w:tab w:val="left" w:pos="1170"/>
        </w:tabs>
        <w:rPr>
          <w:szCs w:val="24"/>
          <w:lang w:val="fr-CA"/>
        </w:rPr>
      </w:pPr>
      <w:r>
        <w:rPr>
          <w:lang w:val="fr-CA"/>
        </w:rPr>
        <w:t>Les questions en litige telles qu’elles sont exposées par les parties sont celles de savoir si la Cour devrait reconnaître aux intimées la qualité pour agir dans l’intérêt public et à M</w:t>
      </w:r>
      <w:r w:rsidRPr="00782E56">
        <w:rPr>
          <w:vertAlign w:val="superscript"/>
          <w:lang w:val="fr-CA"/>
        </w:rPr>
        <w:t>me</w:t>
      </w:r>
      <w:r>
        <w:rPr>
          <w:lang w:val="fr-CA"/>
        </w:rPr>
        <w:t> </w:t>
      </w:r>
      <w:proofErr w:type="spellStart"/>
      <w:r w:rsidRPr="00132F5E">
        <w:rPr>
          <w:lang w:val="fr-CA"/>
        </w:rPr>
        <w:t>Kiselba</w:t>
      </w:r>
      <w:r>
        <w:rPr>
          <w:lang w:val="fr-CA"/>
        </w:rPr>
        <w:t>ch</w:t>
      </w:r>
      <w:proofErr w:type="spellEnd"/>
      <w:r>
        <w:rPr>
          <w:lang w:val="fr-CA"/>
        </w:rPr>
        <w:t xml:space="preserve"> la qualité pour agir dans l’intérêt privé.  </w:t>
      </w:r>
      <w:r w:rsidRPr="009D120B">
        <w:rPr>
          <w:lang w:val="fr-CA"/>
        </w:rPr>
        <w:t xml:space="preserve">À  mon avis, la meilleure façon de régler la présente affaire </w:t>
      </w:r>
      <w:r>
        <w:rPr>
          <w:lang w:val="fr-CA"/>
        </w:rPr>
        <w:t>consiste à</w:t>
      </w:r>
      <w:r w:rsidRPr="009D120B">
        <w:rPr>
          <w:lang w:val="fr-CA"/>
        </w:rPr>
        <w:t xml:space="preserve"> procéder à l</w:t>
      </w:r>
      <w:r>
        <w:rPr>
          <w:lang w:val="fr-CA"/>
        </w:rPr>
        <w:t>’</w:t>
      </w:r>
      <w:r w:rsidRPr="009D120B">
        <w:rPr>
          <w:lang w:val="fr-CA"/>
        </w:rPr>
        <w:t>examen d</w:t>
      </w:r>
      <w:r>
        <w:rPr>
          <w:lang w:val="fr-CA"/>
        </w:rPr>
        <w:t>u pouvoir discrétionnaire</w:t>
      </w:r>
      <w:r w:rsidRPr="009D120B">
        <w:rPr>
          <w:lang w:val="fr-CA"/>
        </w:rPr>
        <w:t xml:space="preserve"> de reconnaître la qualité pour agir </w:t>
      </w:r>
      <w:r>
        <w:rPr>
          <w:lang w:val="fr-CA"/>
        </w:rPr>
        <w:t xml:space="preserve">dans l’intérêt public </w:t>
      </w:r>
      <w:r w:rsidRPr="009D120B">
        <w:rPr>
          <w:lang w:val="fr-CA"/>
        </w:rPr>
        <w:t xml:space="preserve">et, sur cette base, de </w:t>
      </w:r>
      <w:r>
        <w:rPr>
          <w:lang w:val="fr-CA"/>
        </w:rPr>
        <w:t xml:space="preserve">la </w:t>
      </w:r>
      <w:r w:rsidRPr="009D120B">
        <w:rPr>
          <w:lang w:val="fr-CA"/>
        </w:rPr>
        <w:t>reconnaître aux intimées.</w:t>
      </w:r>
      <w:r w:rsidRPr="00132F5E">
        <w:rPr>
          <w:lang w:val="fr-CA"/>
        </w:rPr>
        <w:t xml:space="preserve"> </w:t>
      </w:r>
    </w:p>
    <w:p w:rsidR="00D867A4" w:rsidRPr="00132F5E" w:rsidRDefault="00D867A4" w:rsidP="00C37715">
      <w:pPr>
        <w:pStyle w:val="TitleTitre-AltT"/>
        <w:keepNext/>
        <w:tabs>
          <w:tab w:val="clear" w:pos="360"/>
          <w:tab w:val="left" w:pos="540"/>
        </w:tabs>
        <w:ind w:left="540" w:hanging="540"/>
        <w:rPr>
          <w:szCs w:val="24"/>
          <w:lang w:val="fr-CA"/>
        </w:rPr>
      </w:pPr>
      <w:r w:rsidRPr="003068FA">
        <w:rPr>
          <w:szCs w:val="24"/>
          <w:lang w:val="fr-CA"/>
        </w:rPr>
        <w:lastRenderedPageBreak/>
        <w:t>II</w:t>
      </w:r>
      <w:r>
        <w:rPr>
          <w:szCs w:val="24"/>
          <w:lang w:val="fr-CA"/>
        </w:rPr>
        <w:t>I</w:t>
      </w:r>
      <w:r w:rsidRPr="003068FA">
        <w:rPr>
          <w:szCs w:val="24"/>
          <w:lang w:val="fr-CA"/>
        </w:rPr>
        <w:t>.</w:t>
      </w:r>
      <w:r w:rsidRPr="003068FA">
        <w:rPr>
          <w:szCs w:val="24"/>
          <w:lang w:val="fr-CA"/>
        </w:rPr>
        <w:tab/>
      </w:r>
      <w:r>
        <w:rPr>
          <w:szCs w:val="24"/>
          <w:u w:val="single"/>
          <w:lang w:val="fr-CA"/>
        </w:rPr>
        <w:t>Aperçu des faits et des procédures</w:t>
      </w:r>
    </w:p>
    <w:p w:rsidR="00D867A4" w:rsidRPr="0068429B" w:rsidRDefault="00D867A4" w:rsidP="00C37715">
      <w:pPr>
        <w:pStyle w:val="TitleTitre-AltT"/>
        <w:keepNext/>
        <w:tabs>
          <w:tab w:val="clear" w:pos="360"/>
          <w:tab w:val="left" w:pos="540"/>
        </w:tabs>
        <w:ind w:left="540" w:hanging="540"/>
        <w:rPr>
          <w:szCs w:val="24"/>
          <w:lang w:val="fr-CA"/>
        </w:rPr>
      </w:pPr>
      <w:r w:rsidRPr="003068FA">
        <w:rPr>
          <w:szCs w:val="24"/>
          <w:lang w:val="fr-CA"/>
        </w:rPr>
        <w:t>A.</w:t>
      </w:r>
      <w:r w:rsidRPr="003068FA">
        <w:rPr>
          <w:szCs w:val="24"/>
          <w:lang w:val="fr-CA"/>
        </w:rPr>
        <w:tab/>
      </w:r>
      <w:r>
        <w:rPr>
          <w:i/>
          <w:szCs w:val="24"/>
          <w:lang w:val="fr-CA"/>
        </w:rPr>
        <w:t>Les faits</w:t>
      </w:r>
    </w:p>
    <w:p w:rsidR="00D867A4" w:rsidRPr="00132F5E" w:rsidRDefault="00D867A4" w:rsidP="00D867A4">
      <w:pPr>
        <w:pStyle w:val="ParaNoNdepar-AltN"/>
        <w:tabs>
          <w:tab w:val="clear" w:pos="1152"/>
          <w:tab w:val="left" w:pos="1170"/>
        </w:tabs>
        <w:rPr>
          <w:szCs w:val="24"/>
          <w:lang w:val="fr-CA"/>
        </w:rPr>
      </w:pPr>
      <w:r w:rsidRPr="003068FA">
        <w:rPr>
          <w:lang w:val="fr-CA"/>
        </w:rPr>
        <w:t>L</w:t>
      </w:r>
      <w:r>
        <w:rPr>
          <w:lang w:val="fr-CA"/>
        </w:rPr>
        <w:t>a</w:t>
      </w:r>
      <w:r>
        <w:rPr>
          <w:szCs w:val="24"/>
          <w:lang w:val="fr-CA"/>
        </w:rPr>
        <w:t xml:space="preserve"> Société intimée est une entreprise </w:t>
      </w:r>
      <w:r w:rsidRPr="00824C42">
        <w:rPr>
          <w:szCs w:val="24"/>
          <w:lang w:val="fr-CA"/>
        </w:rPr>
        <w:t>enregistrée d</w:t>
      </w:r>
      <w:r>
        <w:rPr>
          <w:szCs w:val="24"/>
          <w:lang w:val="fr-CA"/>
        </w:rPr>
        <w:t>e la Colombie</w:t>
      </w:r>
      <w:r w:rsidR="00C37715">
        <w:rPr>
          <w:szCs w:val="24"/>
          <w:lang w:val="fr-CA"/>
        </w:rPr>
        <w:t>-</w:t>
      </w:r>
      <w:r>
        <w:rPr>
          <w:szCs w:val="24"/>
          <w:lang w:val="fr-CA"/>
        </w:rPr>
        <w:t xml:space="preserve">Britannique qui a notamment pour objet d’améliorer les conditions de travail des travailleuses du sexe.  Elle est administrée </w:t>
      </w:r>
      <w:r w:rsidR="00C37715">
        <w:rPr>
          <w:rFonts w:cs="Times New Roman"/>
          <w:szCs w:val="24"/>
          <w:lang w:val="fr-CA"/>
        </w:rPr>
        <w:t>«</w:t>
      </w:r>
      <w:r w:rsidR="00C37715">
        <w:rPr>
          <w:szCs w:val="24"/>
          <w:lang w:val="fr-CA"/>
        </w:rPr>
        <w:t xml:space="preserve"> </w:t>
      </w:r>
      <w:r>
        <w:rPr>
          <w:szCs w:val="24"/>
          <w:lang w:val="fr-CA"/>
        </w:rPr>
        <w:t xml:space="preserve">par et pour </w:t>
      </w:r>
      <w:r w:rsidR="00C37715">
        <w:rPr>
          <w:rFonts w:cs="Times New Roman"/>
          <w:szCs w:val="24"/>
          <w:lang w:val="fr-CA"/>
        </w:rPr>
        <w:t>»</w:t>
      </w:r>
      <w:r w:rsidR="00C37715">
        <w:rPr>
          <w:szCs w:val="24"/>
          <w:lang w:val="fr-CA"/>
        </w:rPr>
        <w:t xml:space="preserve"> </w:t>
      </w:r>
      <w:r>
        <w:rPr>
          <w:szCs w:val="24"/>
          <w:lang w:val="fr-CA"/>
        </w:rPr>
        <w:t xml:space="preserve">des travailleuses du sexe actives et retirées vivant </w:t>
      </w:r>
      <w:r w:rsidRPr="00824C42">
        <w:rPr>
          <w:szCs w:val="24"/>
          <w:lang w:val="fr-CA"/>
        </w:rPr>
        <w:t xml:space="preserve">dans le quartier </w:t>
      </w:r>
      <w:proofErr w:type="spellStart"/>
      <w:r w:rsidRPr="00824C42">
        <w:rPr>
          <w:szCs w:val="24"/>
          <w:lang w:val="fr-CA"/>
        </w:rPr>
        <w:t>Downtown</w:t>
      </w:r>
      <w:proofErr w:type="spellEnd"/>
      <w:r w:rsidRPr="00824C42">
        <w:rPr>
          <w:szCs w:val="24"/>
          <w:lang w:val="fr-CA"/>
        </w:rPr>
        <w:t xml:space="preserve"> </w:t>
      </w:r>
      <w:proofErr w:type="spellStart"/>
      <w:r w:rsidRPr="00824C42">
        <w:rPr>
          <w:szCs w:val="24"/>
          <w:lang w:val="fr-CA"/>
        </w:rPr>
        <w:t>Eastside</w:t>
      </w:r>
      <w:proofErr w:type="spellEnd"/>
      <w:r w:rsidRPr="00824C42">
        <w:rPr>
          <w:szCs w:val="24"/>
          <w:lang w:val="fr-CA"/>
        </w:rPr>
        <w:t xml:space="preserve"> de Vancouver.</w:t>
      </w:r>
      <w:r>
        <w:rPr>
          <w:szCs w:val="24"/>
          <w:lang w:val="fr-CA"/>
        </w:rPr>
        <w:t xml:space="preserve">  Les membres de la Société</w:t>
      </w:r>
      <w:r w:rsidRPr="00132F5E">
        <w:rPr>
          <w:szCs w:val="24"/>
          <w:lang w:val="fr-CA"/>
        </w:rPr>
        <w:t xml:space="preserve"> </w:t>
      </w:r>
      <w:r>
        <w:rPr>
          <w:szCs w:val="24"/>
          <w:lang w:val="fr-CA"/>
        </w:rPr>
        <w:t xml:space="preserve">sont des femmes, la plupart autochtones, vivant avec des problèmes de toxicomanie, </w:t>
      </w:r>
      <w:r w:rsidRPr="00A92AD1">
        <w:rPr>
          <w:szCs w:val="24"/>
          <w:lang w:val="fr-CA"/>
        </w:rPr>
        <w:t>de santé, d</w:t>
      </w:r>
      <w:r>
        <w:rPr>
          <w:szCs w:val="24"/>
          <w:lang w:val="fr-CA"/>
        </w:rPr>
        <w:t>’</w:t>
      </w:r>
      <w:r w:rsidRPr="00A92AD1">
        <w:rPr>
          <w:szCs w:val="24"/>
          <w:lang w:val="fr-CA"/>
        </w:rPr>
        <w:t>incapacités</w:t>
      </w:r>
      <w:r>
        <w:rPr>
          <w:szCs w:val="24"/>
          <w:lang w:val="fr-CA"/>
        </w:rPr>
        <w:t xml:space="preserve"> et de pauvreté</w:t>
      </w:r>
      <w:r w:rsidRPr="00132F5E">
        <w:rPr>
          <w:szCs w:val="24"/>
          <w:lang w:val="fr-CA"/>
        </w:rPr>
        <w:t xml:space="preserve">; </w:t>
      </w:r>
      <w:r>
        <w:rPr>
          <w:szCs w:val="24"/>
          <w:lang w:val="fr-CA"/>
        </w:rPr>
        <w:t>elles ont presque toutes été victimes de violence physique ou sexuelle, ou des deux.</w:t>
      </w:r>
    </w:p>
    <w:p w:rsidR="00D867A4" w:rsidRPr="00132F5E" w:rsidRDefault="00D867A4" w:rsidP="00D867A4">
      <w:pPr>
        <w:pStyle w:val="ParaNoNdepar-AltN"/>
        <w:tabs>
          <w:tab w:val="clear" w:pos="1152"/>
          <w:tab w:val="left" w:pos="1170"/>
        </w:tabs>
        <w:rPr>
          <w:szCs w:val="24"/>
          <w:lang w:val="fr-CA"/>
        </w:rPr>
      </w:pPr>
      <w:proofErr w:type="spellStart"/>
      <w:r w:rsidRPr="00132F5E">
        <w:rPr>
          <w:szCs w:val="24"/>
          <w:lang w:val="fr-CA"/>
        </w:rPr>
        <w:t>Sheryl</w:t>
      </w:r>
      <w:proofErr w:type="spellEnd"/>
      <w:r w:rsidRPr="00132F5E">
        <w:rPr>
          <w:szCs w:val="24"/>
          <w:lang w:val="fr-CA"/>
        </w:rPr>
        <w:t xml:space="preserve"> </w:t>
      </w:r>
      <w:proofErr w:type="spellStart"/>
      <w:r w:rsidRPr="00132F5E">
        <w:rPr>
          <w:szCs w:val="24"/>
          <w:lang w:val="fr-CA"/>
        </w:rPr>
        <w:t>Kiselbach</w:t>
      </w:r>
      <w:proofErr w:type="spellEnd"/>
      <w:r w:rsidRPr="00132F5E">
        <w:rPr>
          <w:szCs w:val="24"/>
          <w:lang w:val="fr-CA"/>
        </w:rPr>
        <w:t xml:space="preserve"> </w:t>
      </w:r>
      <w:r>
        <w:rPr>
          <w:szCs w:val="24"/>
          <w:lang w:val="fr-CA"/>
        </w:rPr>
        <w:t xml:space="preserve">est une ancienne travailleuse du sexe qui occupe actuellement un emploi de coordonnatrice en prévention de la violence dans le quartier </w:t>
      </w:r>
      <w:proofErr w:type="spellStart"/>
      <w:r>
        <w:rPr>
          <w:szCs w:val="24"/>
          <w:lang w:val="fr-CA"/>
        </w:rPr>
        <w:t>Downtown</w:t>
      </w:r>
      <w:proofErr w:type="spellEnd"/>
      <w:r>
        <w:rPr>
          <w:szCs w:val="24"/>
          <w:lang w:val="fr-CA"/>
        </w:rPr>
        <w:t xml:space="preserve"> </w:t>
      </w:r>
      <w:proofErr w:type="spellStart"/>
      <w:r>
        <w:rPr>
          <w:szCs w:val="24"/>
          <w:lang w:val="fr-CA"/>
        </w:rPr>
        <w:t>Eastside</w:t>
      </w:r>
      <w:proofErr w:type="spellEnd"/>
      <w:r>
        <w:rPr>
          <w:szCs w:val="24"/>
          <w:lang w:val="fr-CA"/>
        </w:rPr>
        <w:t>.  Pendant environ 30 ans, elle</w:t>
      </w:r>
      <w:r w:rsidRPr="00132F5E">
        <w:rPr>
          <w:szCs w:val="24"/>
          <w:lang w:val="fr-CA"/>
        </w:rPr>
        <w:t xml:space="preserve"> </w:t>
      </w:r>
      <w:r>
        <w:rPr>
          <w:szCs w:val="24"/>
          <w:lang w:val="fr-CA"/>
        </w:rPr>
        <w:t>a exercé diverses activités dans l’industrie du sexe dont la danse exotique, l</w:t>
      </w:r>
      <w:r w:rsidRPr="002E0CAA">
        <w:rPr>
          <w:szCs w:val="24"/>
          <w:lang w:val="fr-CA"/>
        </w:rPr>
        <w:t xml:space="preserve">es spectacles érotiques en direct, </w:t>
      </w:r>
      <w:r>
        <w:rPr>
          <w:szCs w:val="24"/>
          <w:lang w:val="fr-CA"/>
        </w:rPr>
        <w:t>l</w:t>
      </w:r>
      <w:r w:rsidRPr="002E0CAA">
        <w:rPr>
          <w:szCs w:val="24"/>
          <w:lang w:val="fr-CA"/>
        </w:rPr>
        <w:t>es séances en salons de massage</w:t>
      </w:r>
      <w:r>
        <w:rPr>
          <w:szCs w:val="24"/>
          <w:lang w:val="fr-CA"/>
        </w:rPr>
        <w:t xml:space="preserve"> et</w:t>
      </w:r>
      <w:r w:rsidRPr="002E0CAA">
        <w:rPr>
          <w:szCs w:val="24"/>
          <w:lang w:val="fr-CA"/>
        </w:rPr>
        <w:t xml:space="preserve"> </w:t>
      </w:r>
      <w:r>
        <w:rPr>
          <w:szCs w:val="24"/>
          <w:lang w:val="fr-CA"/>
        </w:rPr>
        <w:t>la prostitution</w:t>
      </w:r>
      <w:r w:rsidRPr="002E0CAA">
        <w:rPr>
          <w:szCs w:val="24"/>
          <w:lang w:val="fr-CA"/>
        </w:rPr>
        <w:t xml:space="preserve"> </w:t>
      </w:r>
      <w:r>
        <w:rPr>
          <w:szCs w:val="24"/>
          <w:lang w:val="fr-CA"/>
        </w:rPr>
        <w:t>de</w:t>
      </w:r>
      <w:r w:rsidRPr="002E0CAA">
        <w:rPr>
          <w:szCs w:val="24"/>
          <w:lang w:val="fr-CA"/>
        </w:rPr>
        <w:t xml:space="preserve"> rue </w:t>
      </w:r>
      <w:r>
        <w:rPr>
          <w:szCs w:val="24"/>
          <w:lang w:val="fr-CA"/>
        </w:rPr>
        <w:t xml:space="preserve">en tant que travailleuse </w:t>
      </w:r>
      <w:r w:rsidRPr="002E0CAA">
        <w:rPr>
          <w:szCs w:val="24"/>
          <w:lang w:val="fr-CA"/>
        </w:rPr>
        <w:t>autonome</w:t>
      </w:r>
      <w:r>
        <w:rPr>
          <w:szCs w:val="24"/>
          <w:lang w:val="fr-CA"/>
        </w:rPr>
        <w:t xml:space="preserve">.  Durant cette période, elle a été déclarée coupable de plusieurs infractions relatives à la prostitution.  Elle a quitté cette industrie en </w:t>
      </w:r>
      <w:r w:rsidRPr="00132F5E">
        <w:rPr>
          <w:szCs w:val="24"/>
          <w:lang w:val="fr-CA"/>
        </w:rPr>
        <w:t>2001</w:t>
      </w:r>
      <w:r>
        <w:rPr>
          <w:szCs w:val="24"/>
          <w:lang w:val="fr-CA"/>
        </w:rPr>
        <w:t xml:space="preserve">.  Elle soutient avoir été incapable de participer à une contestation judiciaire des lois relatives à la prostitution pendant qu’elle était active comme travailleuse du sexe en raison des risques liés à une exposition publique, de la crainte pour sa sécurité personnelle et de la perte éventuelle de services sociaux, d’aide au revenu, de clientèle et de possibilités </w:t>
      </w:r>
      <w:r>
        <w:rPr>
          <w:szCs w:val="24"/>
          <w:lang w:val="fr-CA"/>
        </w:rPr>
        <w:lastRenderedPageBreak/>
        <w:t xml:space="preserve">d’emploi </w:t>
      </w:r>
      <w:r w:rsidRPr="00132F5E">
        <w:rPr>
          <w:szCs w:val="24"/>
          <w:lang w:val="fr-CA"/>
        </w:rPr>
        <w:t>(</w:t>
      </w:r>
      <w:r>
        <w:rPr>
          <w:szCs w:val="24"/>
          <w:lang w:val="fr-CA"/>
        </w:rPr>
        <w:t>motifs du juge en cabinet, 2008 BCSC 1726, 90 B.C.L.R. (4th) 177, par. </w:t>
      </w:r>
      <w:r w:rsidRPr="00132F5E">
        <w:rPr>
          <w:szCs w:val="24"/>
          <w:lang w:val="fr-CA"/>
        </w:rPr>
        <w:t>29</w:t>
      </w:r>
      <w:r>
        <w:rPr>
          <w:szCs w:val="24"/>
          <w:lang w:val="fr-CA"/>
        </w:rPr>
        <w:t xml:space="preserve"> et</w:t>
      </w:r>
      <w:r w:rsidRPr="00132F5E">
        <w:rPr>
          <w:szCs w:val="24"/>
          <w:lang w:val="fr-CA"/>
        </w:rPr>
        <w:t xml:space="preserve"> 44</w:t>
      </w:r>
      <w:r>
        <w:rPr>
          <w:szCs w:val="24"/>
          <w:lang w:val="fr-CA"/>
        </w:rPr>
        <w:t>)</w:t>
      </w:r>
      <w:r w:rsidRPr="00132F5E">
        <w:rPr>
          <w:szCs w:val="24"/>
          <w:lang w:val="fr-CA"/>
        </w:rPr>
        <w:t xml:space="preserve">. </w:t>
      </w:r>
    </w:p>
    <w:p w:rsidR="00D867A4" w:rsidRPr="00FB24C0" w:rsidRDefault="00D867A4" w:rsidP="00D867A4">
      <w:pPr>
        <w:pStyle w:val="ParaNoNdepar-AltN"/>
        <w:tabs>
          <w:tab w:val="clear" w:pos="1152"/>
          <w:tab w:val="left" w:pos="1170"/>
        </w:tabs>
        <w:rPr>
          <w:szCs w:val="24"/>
          <w:lang w:val="fr-CA"/>
        </w:rPr>
      </w:pPr>
      <w:r>
        <w:rPr>
          <w:szCs w:val="24"/>
          <w:lang w:val="fr-CA"/>
        </w:rPr>
        <w:t xml:space="preserve">Les </w:t>
      </w:r>
      <w:r w:rsidRPr="003068FA">
        <w:rPr>
          <w:lang w:val="fr-CA"/>
        </w:rPr>
        <w:t>intimées</w:t>
      </w:r>
      <w:r>
        <w:rPr>
          <w:szCs w:val="24"/>
          <w:lang w:val="fr-CA"/>
        </w:rPr>
        <w:t xml:space="preserve"> ont intenté une action contestant la validité constitutionnelle de certains articles du </w:t>
      </w:r>
      <w:r>
        <w:rPr>
          <w:i/>
          <w:szCs w:val="24"/>
          <w:lang w:val="fr-CA"/>
        </w:rPr>
        <w:t>C</w:t>
      </w:r>
      <w:r w:rsidR="001563AB">
        <w:rPr>
          <w:i/>
          <w:szCs w:val="24"/>
          <w:lang w:val="fr-CA"/>
        </w:rPr>
        <w:t>ode criminel</w:t>
      </w:r>
      <w:r w:rsidRPr="00132F5E">
        <w:rPr>
          <w:szCs w:val="24"/>
          <w:lang w:val="fr-CA"/>
        </w:rPr>
        <w:t xml:space="preserve"> </w:t>
      </w:r>
      <w:r>
        <w:rPr>
          <w:szCs w:val="24"/>
          <w:lang w:val="fr-CA"/>
        </w:rPr>
        <w:t xml:space="preserve">qui traitent de différents aspects de la prostitution.  Elles sollicitent un jugement déclaratoire portant que ces dispositions enfreignent les droits à la liberté d’expression et d’association, </w:t>
      </w:r>
      <w:r w:rsidRPr="00213C6A">
        <w:rPr>
          <w:szCs w:val="24"/>
          <w:lang w:val="fr-CA"/>
        </w:rPr>
        <w:t>ainsi qu</w:t>
      </w:r>
      <w:r>
        <w:rPr>
          <w:szCs w:val="24"/>
          <w:lang w:val="fr-CA"/>
        </w:rPr>
        <w:t>e les</w:t>
      </w:r>
      <w:r w:rsidRPr="00213C6A">
        <w:rPr>
          <w:szCs w:val="24"/>
          <w:lang w:val="fr-CA"/>
        </w:rPr>
        <w:t xml:space="preserve"> droits à l</w:t>
      </w:r>
      <w:r>
        <w:rPr>
          <w:szCs w:val="24"/>
          <w:lang w:val="fr-CA"/>
        </w:rPr>
        <w:t>’</w:t>
      </w:r>
      <w:r w:rsidRPr="00213C6A">
        <w:rPr>
          <w:szCs w:val="24"/>
          <w:lang w:val="fr-CA"/>
        </w:rPr>
        <w:t>égalité devant la loi</w:t>
      </w:r>
      <w:r>
        <w:rPr>
          <w:szCs w:val="24"/>
          <w:lang w:val="fr-CA"/>
        </w:rPr>
        <w:t>,</w:t>
      </w:r>
      <w:r w:rsidRPr="00213C6A">
        <w:rPr>
          <w:szCs w:val="24"/>
          <w:lang w:val="fr-CA"/>
        </w:rPr>
        <w:t xml:space="preserve"> à la vie, à la liberté et à la sécurité de la personne</w:t>
      </w:r>
      <w:r>
        <w:rPr>
          <w:szCs w:val="24"/>
          <w:lang w:val="fr-CA"/>
        </w:rPr>
        <w:t xml:space="preserve"> garantis par les al</w:t>
      </w:r>
      <w:r w:rsidR="000F325B">
        <w:rPr>
          <w:szCs w:val="24"/>
          <w:lang w:val="fr-CA"/>
        </w:rPr>
        <w:t>.</w:t>
      </w:r>
      <w:r>
        <w:rPr>
          <w:szCs w:val="24"/>
          <w:lang w:val="fr-CA"/>
        </w:rPr>
        <w:t> </w:t>
      </w:r>
      <w:r w:rsidRPr="00FB24C0">
        <w:rPr>
          <w:szCs w:val="24"/>
          <w:lang w:val="fr-CA"/>
        </w:rPr>
        <w:t>2</w:t>
      </w:r>
      <w:r w:rsidRPr="00B67C53">
        <w:rPr>
          <w:i/>
          <w:szCs w:val="24"/>
          <w:lang w:val="fr-CA"/>
        </w:rPr>
        <w:t>b</w:t>
      </w:r>
      <w:r w:rsidRPr="00FB24C0">
        <w:rPr>
          <w:szCs w:val="24"/>
          <w:lang w:val="fr-CA"/>
        </w:rPr>
        <w:t>) et 2</w:t>
      </w:r>
      <w:r w:rsidRPr="00B67C53">
        <w:rPr>
          <w:i/>
          <w:szCs w:val="24"/>
          <w:lang w:val="fr-CA"/>
        </w:rPr>
        <w:t>d</w:t>
      </w:r>
      <w:r w:rsidRPr="00FB24C0">
        <w:rPr>
          <w:szCs w:val="24"/>
          <w:lang w:val="fr-CA"/>
        </w:rPr>
        <w:t xml:space="preserve">) </w:t>
      </w:r>
      <w:r>
        <w:rPr>
          <w:szCs w:val="24"/>
          <w:lang w:val="fr-CA"/>
        </w:rPr>
        <w:t>ainsi que par</w:t>
      </w:r>
      <w:r w:rsidRPr="00FB24C0">
        <w:rPr>
          <w:szCs w:val="24"/>
          <w:lang w:val="fr-CA"/>
        </w:rPr>
        <w:t xml:space="preserve"> </w:t>
      </w:r>
      <w:proofErr w:type="gramStart"/>
      <w:r w:rsidRPr="00FB24C0">
        <w:rPr>
          <w:szCs w:val="24"/>
          <w:lang w:val="fr-CA"/>
        </w:rPr>
        <w:t>les art</w:t>
      </w:r>
      <w:proofErr w:type="gramEnd"/>
      <w:r w:rsidR="000F325B">
        <w:rPr>
          <w:szCs w:val="24"/>
          <w:lang w:val="fr-CA"/>
        </w:rPr>
        <w:t>.</w:t>
      </w:r>
      <w:r>
        <w:rPr>
          <w:szCs w:val="24"/>
          <w:lang w:val="fr-CA"/>
        </w:rPr>
        <w:t> 7</w:t>
      </w:r>
      <w:r w:rsidRPr="00FB24C0">
        <w:rPr>
          <w:szCs w:val="24"/>
          <w:lang w:val="fr-CA"/>
        </w:rPr>
        <w:t xml:space="preserve"> et </w:t>
      </w:r>
      <w:r>
        <w:rPr>
          <w:szCs w:val="24"/>
          <w:lang w:val="fr-CA"/>
        </w:rPr>
        <w:t>15</w:t>
      </w:r>
      <w:r w:rsidRPr="00FB24C0">
        <w:rPr>
          <w:szCs w:val="24"/>
          <w:lang w:val="fr-CA"/>
        </w:rPr>
        <w:t xml:space="preserve"> de la </w:t>
      </w:r>
      <w:r w:rsidRPr="00FB24C0">
        <w:rPr>
          <w:i/>
          <w:szCs w:val="24"/>
          <w:lang w:val="fr-CA"/>
        </w:rPr>
        <w:t>Charte canadienne des droits et libertés</w:t>
      </w:r>
      <w:r>
        <w:rPr>
          <w:iCs/>
          <w:szCs w:val="24"/>
          <w:lang w:val="fr-CA"/>
        </w:rPr>
        <w:t>.  Les dispositions contestées sont ce que j’appelle</w:t>
      </w:r>
      <w:r w:rsidRPr="00782E56">
        <w:rPr>
          <w:iCs/>
          <w:szCs w:val="24"/>
          <w:lang w:val="fr-CA"/>
        </w:rPr>
        <w:t>rai</w:t>
      </w:r>
      <w:r>
        <w:rPr>
          <w:iCs/>
          <w:szCs w:val="24"/>
          <w:lang w:val="fr-CA"/>
        </w:rPr>
        <w:t xml:space="preserve"> les « dispositions relatives à la prostitution »</w:t>
      </w:r>
      <w:r w:rsidRPr="00FB24C0">
        <w:rPr>
          <w:iCs/>
          <w:szCs w:val="24"/>
          <w:lang w:val="fr-CA"/>
        </w:rPr>
        <w:t xml:space="preserve">, </w:t>
      </w:r>
      <w:r>
        <w:rPr>
          <w:iCs/>
          <w:szCs w:val="24"/>
          <w:lang w:val="fr-CA"/>
        </w:rPr>
        <w:t>les « dispositions relatives aux maisons de débauche », la « disposition relative au proxénétisme »</w:t>
      </w:r>
      <w:r w:rsidRPr="00FB24C0">
        <w:rPr>
          <w:iCs/>
          <w:szCs w:val="24"/>
          <w:lang w:val="fr-CA"/>
        </w:rPr>
        <w:t xml:space="preserve"> </w:t>
      </w:r>
      <w:r>
        <w:rPr>
          <w:iCs/>
          <w:szCs w:val="24"/>
          <w:lang w:val="fr-CA"/>
        </w:rPr>
        <w:t>et la « </w:t>
      </w:r>
      <w:r w:rsidRPr="009B781C">
        <w:rPr>
          <w:iCs/>
          <w:szCs w:val="24"/>
          <w:lang w:val="fr-CA"/>
        </w:rPr>
        <w:t xml:space="preserve">disposition </w:t>
      </w:r>
      <w:r>
        <w:rPr>
          <w:iCs/>
          <w:szCs w:val="24"/>
          <w:lang w:val="fr-CA"/>
        </w:rPr>
        <w:t xml:space="preserve">relative à la communication ».  Le premier de ces termes, soit « dispositions relatives à la prostitution », constitue l’expression générique pour désigner l’ensemble des dispositions du </w:t>
      </w:r>
      <w:r w:rsidR="001563AB">
        <w:rPr>
          <w:i/>
          <w:iCs/>
          <w:szCs w:val="24"/>
          <w:lang w:val="fr-CA"/>
        </w:rPr>
        <w:t>Code criminel</w:t>
      </w:r>
      <w:r>
        <w:rPr>
          <w:i/>
          <w:iCs/>
          <w:szCs w:val="24"/>
          <w:lang w:val="fr-CA"/>
        </w:rPr>
        <w:t xml:space="preserve"> </w:t>
      </w:r>
      <w:r>
        <w:rPr>
          <w:iCs/>
          <w:szCs w:val="24"/>
          <w:lang w:val="fr-CA"/>
        </w:rPr>
        <w:t xml:space="preserve">portant sur la criminalisation des activités relatives à la prostitution (art. 210 à </w:t>
      </w:r>
      <w:r w:rsidRPr="00FB24C0">
        <w:rPr>
          <w:iCs/>
          <w:szCs w:val="24"/>
          <w:lang w:val="fr-CA"/>
        </w:rPr>
        <w:t>213)</w:t>
      </w:r>
      <w:r>
        <w:rPr>
          <w:iCs/>
          <w:szCs w:val="24"/>
          <w:lang w:val="fr-CA"/>
        </w:rPr>
        <w:t>.  Parmi elles, on retrouve les dispositions relatives aux maisons de débauche qui créent notamment les infractions que constitue le fait de tenir une maison de débauche, de se trouver dans une telle maison</w:t>
      </w:r>
      <w:r>
        <w:rPr>
          <w:szCs w:val="24"/>
          <w:lang w:val="fr-CA"/>
        </w:rPr>
        <w:t xml:space="preserve"> (art. </w:t>
      </w:r>
      <w:r w:rsidRPr="00FB24C0">
        <w:rPr>
          <w:szCs w:val="24"/>
          <w:lang w:val="fr-CA"/>
        </w:rPr>
        <w:t xml:space="preserve">210), </w:t>
      </w:r>
      <w:r>
        <w:rPr>
          <w:szCs w:val="24"/>
          <w:lang w:val="fr-CA"/>
        </w:rPr>
        <w:t>ainsi que d’y transporter une personne (art. </w:t>
      </w:r>
      <w:r w:rsidRPr="00FB24C0">
        <w:rPr>
          <w:szCs w:val="24"/>
          <w:lang w:val="fr-CA"/>
        </w:rPr>
        <w:t>211)</w:t>
      </w:r>
      <w:r>
        <w:rPr>
          <w:szCs w:val="24"/>
          <w:lang w:val="fr-CA"/>
        </w:rPr>
        <w:t>; la disposition relative au proxénétisme qui vise l’acte d’induire à avoir des rapports sexuels et de</w:t>
      </w:r>
      <w:r w:rsidRPr="00FB24C0">
        <w:rPr>
          <w:szCs w:val="24"/>
          <w:lang w:val="fr-CA"/>
        </w:rPr>
        <w:t xml:space="preserve"> </w:t>
      </w:r>
      <w:r>
        <w:rPr>
          <w:szCs w:val="24"/>
          <w:lang w:val="fr-CA"/>
        </w:rPr>
        <w:t>vivre des produits de la prostitution (art. </w:t>
      </w:r>
      <w:r w:rsidRPr="00FB24C0">
        <w:rPr>
          <w:szCs w:val="24"/>
          <w:lang w:val="fr-CA"/>
        </w:rPr>
        <w:t>212</w:t>
      </w:r>
      <w:r>
        <w:rPr>
          <w:szCs w:val="24"/>
          <w:lang w:val="fr-CA"/>
        </w:rPr>
        <w:t>, sauf les al. 212(1)</w:t>
      </w:r>
      <w:r w:rsidRPr="00FB24C0">
        <w:rPr>
          <w:i/>
          <w:szCs w:val="24"/>
          <w:lang w:val="fr-CA"/>
        </w:rPr>
        <w:t>g</w:t>
      </w:r>
      <w:r w:rsidRPr="00FB24C0">
        <w:rPr>
          <w:szCs w:val="24"/>
          <w:lang w:val="fr-CA"/>
        </w:rPr>
        <w:t xml:space="preserve">) </w:t>
      </w:r>
      <w:r>
        <w:rPr>
          <w:szCs w:val="24"/>
          <w:lang w:val="fr-CA"/>
        </w:rPr>
        <w:t xml:space="preserve">et </w:t>
      </w:r>
      <w:r w:rsidRPr="00FB24C0">
        <w:rPr>
          <w:i/>
          <w:szCs w:val="24"/>
          <w:lang w:val="fr-CA"/>
        </w:rPr>
        <w:t>i</w:t>
      </w:r>
      <w:r w:rsidRPr="00FB24C0">
        <w:rPr>
          <w:szCs w:val="24"/>
          <w:lang w:val="fr-CA"/>
        </w:rPr>
        <w:t xml:space="preserve">)), </w:t>
      </w:r>
      <w:r>
        <w:rPr>
          <w:szCs w:val="24"/>
          <w:lang w:val="fr-CA"/>
        </w:rPr>
        <w:t>et la disposition relative à la communication qui vise l’acte de sollicitation dans un endroit public (al. </w:t>
      </w:r>
      <w:r w:rsidRPr="00FB24C0">
        <w:rPr>
          <w:szCs w:val="24"/>
          <w:lang w:val="fr-CA"/>
        </w:rPr>
        <w:t>213</w:t>
      </w:r>
      <w:r>
        <w:rPr>
          <w:szCs w:val="24"/>
          <w:lang w:val="fr-CA"/>
        </w:rPr>
        <w:t>(1)</w:t>
      </w:r>
      <w:r w:rsidRPr="00FB24C0">
        <w:rPr>
          <w:i/>
          <w:szCs w:val="24"/>
          <w:lang w:val="fr-CA"/>
        </w:rPr>
        <w:t>c</w:t>
      </w:r>
      <w:r w:rsidRPr="00FB24C0">
        <w:rPr>
          <w:szCs w:val="24"/>
          <w:lang w:val="fr-CA"/>
        </w:rPr>
        <w:t>))</w:t>
      </w:r>
      <w:r>
        <w:rPr>
          <w:szCs w:val="24"/>
          <w:lang w:val="fr-CA"/>
        </w:rPr>
        <w:t xml:space="preserve">.  </w:t>
      </w:r>
      <w:r>
        <w:rPr>
          <w:szCs w:val="24"/>
          <w:lang w:val="fr-CA"/>
        </w:rPr>
        <w:lastRenderedPageBreak/>
        <w:t xml:space="preserve">Aucune des intimées n’est actuellement accusée de l’une ou l’autre des infractions décrites par les dispositions contestées. </w:t>
      </w:r>
    </w:p>
    <w:p w:rsidR="00D867A4" w:rsidRPr="00BD3A21" w:rsidRDefault="00D867A4" w:rsidP="00D867A4">
      <w:pPr>
        <w:pStyle w:val="ParaNoNdepar-AltN"/>
        <w:tabs>
          <w:tab w:val="clear" w:pos="1152"/>
          <w:tab w:val="left" w:pos="1170"/>
        </w:tabs>
        <w:rPr>
          <w:szCs w:val="24"/>
          <w:lang w:val="fr-CA"/>
        </w:rPr>
      </w:pPr>
      <w:r>
        <w:rPr>
          <w:iCs/>
          <w:szCs w:val="24"/>
          <w:lang w:val="fr-CA"/>
        </w:rPr>
        <w:t xml:space="preserve">Selon les </w:t>
      </w:r>
      <w:r w:rsidRPr="003068FA">
        <w:rPr>
          <w:lang w:val="fr-CA"/>
        </w:rPr>
        <w:t>intimées</w:t>
      </w:r>
      <w:r>
        <w:rPr>
          <w:lang w:val="fr-CA"/>
        </w:rPr>
        <w:t>,</w:t>
      </w:r>
      <w:r>
        <w:rPr>
          <w:iCs/>
          <w:szCs w:val="24"/>
          <w:lang w:val="fr-CA"/>
        </w:rPr>
        <w:t xml:space="preserve"> les dispositions relatives à la prostitution</w:t>
      </w:r>
      <w:r w:rsidR="000F325B">
        <w:rPr>
          <w:iCs/>
          <w:szCs w:val="24"/>
          <w:lang w:val="fr-CA"/>
        </w:rPr>
        <w:t xml:space="preserve"> (art. 210 à 213)</w:t>
      </w:r>
      <w:r>
        <w:rPr>
          <w:iCs/>
          <w:szCs w:val="24"/>
          <w:lang w:val="fr-CA"/>
        </w:rPr>
        <w:t xml:space="preserve"> portent atteinte au droit à la liberté d’association garanti par l’al. 2</w:t>
      </w:r>
      <w:r w:rsidRPr="00132F5E">
        <w:rPr>
          <w:i/>
          <w:iCs/>
          <w:szCs w:val="24"/>
          <w:lang w:val="fr-CA"/>
        </w:rPr>
        <w:t>d</w:t>
      </w:r>
      <w:r w:rsidRPr="00132F5E">
        <w:rPr>
          <w:iCs/>
          <w:szCs w:val="24"/>
          <w:lang w:val="fr-CA"/>
        </w:rPr>
        <w:t xml:space="preserve">) </w:t>
      </w:r>
      <w:r>
        <w:rPr>
          <w:iCs/>
          <w:szCs w:val="24"/>
          <w:lang w:val="fr-CA"/>
        </w:rPr>
        <w:t>parce qu’elles empêchent les prostituées de se regrouper afin d’accroître leur sécurité personnelle.  Elles soutiennent que ces dispositions portent également atteinte au droit à la sécurité de la personne garanti par l’art. 7 parce que les prostituées courent le risque d’être arrêtées et détenues et parce que ces dispositions les empêchent de prendre des mesures pour améliorer leurs conditions de santé et de sécurité au travail; au droit à l’égalité garanti par l’art</w:t>
      </w:r>
      <w:r w:rsidR="000F325B">
        <w:rPr>
          <w:iCs/>
          <w:szCs w:val="24"/>
          <w:lang w:val="fr-CA"/>
        </w:rPr>
        <w:t>.</w:t>
      </w:r>
      <w:r>
        <w:rPr>
          <w:iCs/>
          <w:szCs w:val="24"/>
          <w:lang w:val="fr-CA"/>
        </w:rPr>
        <w:t> 15 parce que ces dispositions sont discriminatoires à l’égard des membres d’un groupe défavorisé; et au</w:t>
      </w:r>
      <w:r>
        <w:rPr>
          <w:szCs w:val="24"/>
          <w:lang w:val="fr-CA"/>
        </w:rPr>
        <w:t xml:space="preserve"> droit</w:t>
      </w:r>
      <w:r>
        <w:rPr>
          <w:iCs/>
          <w:szCs w:val="24"/>
          <w:lang w:val="fr-CA"/>
        </w:rPr>
        <w:t xml:space="preserve"> à la liberté d’expression garanti par l’al. 2</w:t>
      </w:r>
      <w:r w:rsidRPr="00BD3A21">
        <w:rPr>
          <w:i/>
          <w:iCs/>
          <w:szCs w:val="24"/>
          <w:lang w:val="fr-CA"/>
        </w:rPr>
        <w:t>b</w:t>
      </w:r>
      <w:r w:rsidRPr="00BD3A21">
        <w:rPr>
          <w:iCs/>
          <w:szCs w:val="24"/>
          <w:lang w:val="fr-CA"/>
        </w:rPr>
        <w:t xml:space="preserve">) </w:t>
      </w:r>
      <w:r>
        <w:rPr>
          <w:iCs/>
          <w:szCs w:val="24"/>
          <w:lang w:val="fr-CA"/>
        </w:rPr>
        <w:t>puisque des communications qui pourraient servir à accroître leur sécurité</w:t>
      </w:r>
      <w:r w:rsidRPr="00BD3A21">
        <w:rPr>
          <w:iCs/>
          <w:szCs w:val="24"/>
          <w:lang w:val="fr-CA"/>
        </w:rPr>
        <w:t xml:space="preserve"> </w:t>
      </w:r>
      <w:r>
        <w:rPr>
          <w:iCs/>
          <w:szCs w:val="24"/>
          <w:lang w:val="fr-CA"/>
        </w:rPr>
        <w:t>sont rendues illégales</w:t>
      </w:r>
      <w:r w:rsidRPr="00BD3A21">
        <w:rPr>
          <w:iCs/>
          <w:szCs w:val="24"/>
          <w:lang w:val="fr-CA"/>
        </w:rPr>
        <w:t xml:space="preserve">. </w:t>
      </w:r>
    </w:p>
    <w:p w:rsidR="00D867A4" w:rsidRPr="00132F5E" w:rsidRDefault="00D867A4" w:rsidP="000F325B">
      <w:pPr>
        <w:pStyle w:val="TitleTitre-AltT"/>
        <w:keepNext/>
        <w:tabs>
          <w:tab w:val="clear" w:pos="360"/>
          <w:tab w:val="left" w:pos="540"/>
        </w:tabs>
        <w:ind w:left="540" w:hanging="540"/>
        <w:rPr>
          <w:szCs w:val="24"/>
          <w:lang w:val="fr-CA"/>
        </w:rPr>
      </w:pPr>
      <w:r w:rsidRPr="00132F5E">
        <w:rPr>
          <w:szCs w:val="24"/>
          <w:lang w:val="fr-CA"/>
        </w:rPr>
        <w:t>B.</w:t>
      </w:r>
      <w:r w:rsidRPr="00132F5E">
        <w:rPr>
          <w:szCs w:val="24"/>
          <w:lang w:val="fr-CA"/>
        </w:rPr>
        <w:tab/>
      </w:r>
      <w:r w:rsidRPr="00DA5899">
        <w:rPr>
          <w:i/>
          <w:szCs w:val="24"/>
          <w:lang w:val="fr-CA"/>
        </w:rPr>
        <w:t>Historique des</w:t>
      </w:r>
      <w:r>
        <w:rPr>
          <w:szCs w:val="24"/>
          <w:lang w:val="fr-CA"/>
        </w:rPr>
        <w:t xml:space="preserve"> </w:t>
      </w:r>
      <w:r w:rsidRPr="004C5934">
        <w:rPr>
          <w:i/>
          <w:szCs w:val="24"/>
          <w:lang w:val="fr-CA"/>
        </w:rPr>
        <w:t>p</w:t>
      </w:r>
      <w:r w:rsidRPr="00132F5E">
        <w:rPr>
          <w:i/>
          <w:szCs w:val="24"/>
          <w:lang w:val="fr-CA"/>
        </w:rPr>
        <w:t>roc</w:t>
      </w:r>
      <w:r>
        <w:rPr>
          <w:i/>
          <w:szCs w:val="24"/>
          <w:lang w:val="fr-CA"/>
        </w:rPr>
        <w:t>édures</w:t>
      </w:r>
    </w:p>
    <w:p w:rsidR="00D867A4" w:rsidRPr="00132F5E" w:rsidRDefault="00D867A4" w:rsidP="000F325B">
      <w:pPr>
        <w:pStyle w:val="TitleTitre-AltT"/>
        <w:keepNext/>
        <w:tabs>
          <w:tab w:val="clear" w:pos="360"/>
          <w:tab w:val="left" w:pos="540"/>
        </w:tabs>
        <w:ind w:left="1170" w:hanging="1170"/>
        <w:rPr>
          <w:szCs w:val="24"/>
          <w:lang w:val="fr-CA"/>
        </w:rPr>
      </w:pPr>
      <w:r w:rsidRPr="00132F5E">
        <w:rPr>
          <w:szCs w:val="24"/>
          <w:lang w:val="fr-CA"/>
        </w:rPr>
        <w:tab/>
        <w:t>(1)</w:t>
      </w:r>
      <w:r w:rsidRPr="00132F5E">
        <w:rPr>
          <w:szCs w:val="24"/>
          <w:lang w:val="fr-CA"/>
        </w:rPr>
        <w:tab/>
      </w:r>
      <w:r>
        <w:rPr>
          <w:szCs w:val="24"/>
          <w:u w:val="single"/>
          <w:lang w:val="fr-CA"/>
        </w:rPr>
        <w:t xml:space="preserve">Cour suprême de la </w:t>
      </w:r>
      <w:proofErr w:type="spellStart"/>
      <w:r>
        <w:rPr>
          <w:szCs w:val="24"/>
          <w:u w:val="single"/>
          <w:lang w:val="fr-CA"/>
        </w:rPr>
        <w:t>Colombie</w:t>
      </w:r>
      <w:r>
        <w:rPr>
          <w:szCs w:val="24"/>
          <w:u w:val="single"/>
          <w:lang w:val="fr-CA"/>
        </w:rPr>
        <w:noBreakHyphen/>
        <w:t>Britannique</w:t>
      </w:r>
      <w:proofErr w:type="spellEnd"/>
      <w:r>
        <w:rPr>
          <w:szCs w:val="24"/>
          <w:u w:val="single"/>
          <w:lang w:val="fr-CA"/>
        </w:rPr>
        <w:t xml:space="preserve"> (le juge </w:t>
      </w:r>
      <w:proofErr w:type="spellStart"/>
      <w:r>
        <w:rPr>
          <w:szCs w:val="24"/>
          <w:u w:val="single"/>
          <w:lang w:val="fr-CA"/>
        </w:rPr>
        <w:t>Ehrcke</w:t>
      </w:r>
      <w:proofErr w:type="spellEnd"/>
      <w:r w:rsidRPr="00132F5E">
        <w:rPr>
          <w:szCs w:val="24"/>
          <w:u w:val="single"/>
          <w:lang w:val="fr-CA"/>
        </w:rPr>
        <w:t>)</w:t>
      </w:r>
      <w:r w:rsidR="005827FD">
        <w:rPr>
          <w:szCs w:val="24"/>
          <w:u w:val="single"/>
          <w:lang w:val="fr-CA"/>
        </w:rPr>
        <w:t>, 2008 BCSC 1726,</w:t>
      </w:r>
      <w:r w:rsidR="000F325B">
        <w:rPr>
          <w:szCs w:val="24"/>
          <w:u w:val="single"/>
          <w:lang w:val="fr-CA"/>
        </w:rPr>
        <w:t xml:space="preserve"> 90 B.C.L.R. (4th) 177</w:t>
      </w:r>
    </w:p>
    <w:p w:rsidR="00D867A4" w:rsidRPr="00132F5E" w:rsidRDefault="00D867A4" w:rsidP="00D867A4">
      <w:pPr>
        <w:pStyle w:val="ParaNoNdepar-AltN"/>
        <w:tabs>
          <w:tab w:val="clear" w:pos="1152"/>
          <w:tab w:val="left" w:pos="1170"/>
        </w:tabs>
        <w:rPr>
          <w:szCs w:val="24"/>
          <w:lang w:val="fr-CA"/>
        </w:rPr>
      </w:pPr>
      <w:r>
        <w:rPr>
          <w:szCs w:val="24"/>
          <w:lang w:val="fr-CA"/>
        </w:rPr>
        <w:t xml:space="preserve">Le </w:t>
      </w:r>
      <w:r w:rsidRPr="003068FA">
        <w:rPr>
          <w:lang w:val="fr-CA"/>
        </w:rPr>
        <w:t>Procureur</w:t>
      </w:r>
      <w:r>
        <w:rPr>
          <w:szCs w:val="24"/>
          <w:lang w:val="fr-CA"/>
        </w:rPr>
        <w:t xml:space="preserve"> général du </w:t>
      </w:r>
      <w:r w:rsidRPr="00132F5E">
        <w:rPr>
          <w:szCs w:val="24"/>
          <w:lang w:val="fr-CA"/>
        </w:rPr>
        <w:t xml:space="preserve">Canada </w:t>
      </w:r>
      <w:r>
        <w:rPr>
          <w:szCs w:val="24"/>
          <w:lang w:val="fr-CA"/>
        </w:rPr>
        <w:t xml:space="preserve">a demandé à la Cour suprême de la </w:t>
      </w:r>
      <w:proofErr w:type="spellStart"/>
      <w:r>
        <w:rPr>
          <w:szCs w:val="24"/>
          <w:lang w:val="fr-CA"/>
        </w:rPr>
        <w:t>Colombie</w:t>
      </w:r>
      <w:r>
        <w:rPr>
          <w:szCs w:val="24"/>
          <w:lang w:val="fr-CA"/>
        </w:rPr>
        <w:noBreakHyphen/>
        <w:t>Britannique</w:t>
      </w:r>
      <w:proofErr w:type="spellEnd"/>
      <w:r>
        <w:rPr>
          <w:szCs w:val="24"/>
          <w:lang w:val="fr-CA"/>
        </w:rPr>
        <w:t xml:space="preserve"> </w:t>
      </w:r>
      <w:r w:rsidRPr="00C40948">
        <w:rPr>
          <w:szCs w:val="24"/>
          <w:lang w:val="fr-CA"/>
        </w:rPr>
        <w:t xml:space="preserve">siégeant en </w:t>
      </w:r>
      <w:r>
        <w:rPr>
          <w:szCs w:val="24"/>
          <w:lang w:val="fr-CA"/>
        </w:rPr>
        <w:t xml:space="preserve">cabinet de rejeter la poursuite des intimées au motif qu’elles n’avaient pas la qualité pour l’intenter.  Subsidiairement, au titre </w:t>
      </w:r>
      <w:r w:rsidR="00C9617B">
        <w:rPr>
          <w:szCs w:val="24"/>
          <w:lang w:val="fr-CA"/>
        </w:rPr>
        <w:t xml:space="preserve"> de la règle </w:t>
      </w:r>
      <w:r w:rsidRPr="00132F5E">
        <w:rPr>
          <w:szCs w:val="24"/>
          <w:lang w:val="fr-CA"/>
        </w:rPr>
        <w:t xml:space="preserve">19(24) </w:t>
      </w:r>
      <w:r>
        <w:rPr>
          <w:szCs w:val="24"/>
          <w:lang w:val="fr-CA"/>
        </w:rPr>
        <w:t xml:space="preserve">des </w:t>
      </w:r>
      <w:proofErr w:type="spellStart"/>
      <w:r>
        <w:rPr>
          <w:i/>
          <w:szCs w:val="24"/>
          <w:lang w:val="fr-CA"/>
        </w:rPr>
        <w:t>Supreme</w:t>
      </w:r>
      <w:proofErr w:type="spellEnd"/>
      <w:r>
        <w:rPr>
          <w:i/>
          <w:szCs w:val="24"/>
          <w:lang w:val="fr-CA"/>
        </w:rPr>
        <w:t xml:space="preserve"> Court </w:t>
      </w:r>
      <w:proofErr w:type="spellStart"/>
      <w:r>
        <w:rPr>
          <w:i/>
          <w:szCs w:val="24"/>
          <w:lang w:val="fr-CA"/>
        </w:rPr>
        <w:t>Rules</w:t>
      </w:r>
      <w:proofErr w:type="spellEnd"/>
      <w:r w:rsidRPr="00E13D99">
        <w:rPr>
          <w:szCs w:val="24"/>
          <w:lang w:val="fr-CA"/>
        </w:rPr>
        <w:t>,</w:t>
      </w:r>
      <w:r>
        <w:rPr>
          <w:szCs w:val="24"/>
          <w:lang w:val="fr-CA"/>
        </w:rPr>
        <w:t xml:space="preserve"> B.C. Reg. 221/90 (remplacées par les </w:t>
      </w:r>
      <w:proofErr w:type="spellStart"/>
      <w:r w:rsidRPr="00354B32">
        <w:rPr>
          <w:i/>
          <w:szCs w:val="24"/>
          <w:lang w:val="fr-CA"/>
        </w:rPr>
        <w:t>Supreme</w:t>
      </w:r>
      <w:proofErr w:type="spellEnd"/>
      <w:r w:rsidRPr="00354B32">
        <w:rPr>
          <w:i/>
          <w:szCs w:val="24"/>
          <w:lang w:val="fr-CA"/>
        </w:rPr>
        <w:t xml:space="preserve"> </w:t>
      </w:r>
      <w:r w:rsidRPr="00354B32">
        <w:rPr>
          <w:i/>
          <w:szCs w:val="24"/>
          <w:lang w:val="fr-CA"/>
        </w:rPr>
        <w:lastRenderedPageBreak/>
        <w:t xml:space="preserve">Court Civil </w:t>
      </w:r>
      <w:proofErr w:type="spellStart"/>
      <w:r w:rsidRPr="00354B32">
        <w:rPr>
          <w:i/>
          <w:szCs w:val="24"/>
          <w:lang w:val="fr-CA"/>
        </w:rPr>
        <w:t>Rules</w:t>
      </w:r>
      <w:proofErr w:type="spellEnd"/>
      <w:r>
        <w:rPr>
          <w:szCs w:val="24"/>
          <w:lang w:val="fr-CA"/>
        </w:rPr>
        <w:t>, B.C. Reg. 168/2009, entrées en vigueur le 1</w:t>
      </w:r>
      <w:r w:rsidRPr="00354B32">
        <w:rPr>
          <w:szCs w:val="24"/>
          <w:vertAlign w:val="superscript"/>
          <w:lang w:val="fr-CA"/>
        </w:rPr>
        <w:t>er</w:t>
      </w:r>
      <w:r>
        <w:rPr>
          <w:szCs w:val="24"/>
          <w:lang w:val="fr-CA"/>
        </w:rPr>
        <w:t> juillet 2010),</w:t>
      </w:r>
      <w:r>
        <w:rPr>
          <w:i/>
          <w:szCs w:val="24"/>
          <w:lang w:val="fr-CA"/>
        </w:rPr>
        <w:t xml:space="preserve"> </w:t>
      </w:r>
      <w:r>
        <w:rPr>
          <w:szCs w:val="24"/>
          <w:lang w:val="fr-CA"/>
        </w:rPr>
        <w:t xml:space="preserve">il a demandé la radiation de certaines parties de la déclaration et la suspension d’une partie de la poursuite au motif que les actes de procédures ne révélaient aucune cause d’action raisonnable.  Subsidiairement encore, il a demandé des précisions qui, selon lui, étaient nécessaires pour connaître les éléments invoqués dans la poursuite et les réfuter </w:t>
      </w:r>
      <w:r w:rsidRPr="00132F5E">
        <w:rPr>
          <w:szCs w:val="24"/>
          <w:lang w:val="fr-CA"/>
        </w:rPr>
        <w:t>(</w:t>
      </w:r>
      <w:r>
        <w:rPr>
          <w:szCs w:val="24"/>
          <w:lang w:val="fr-CA"/>
        </w:rPr>
        <w:t xml:space="preserve">motifs du juge en cabinet, </w:t>
      </w:r>
      <w:r>
        <w:rPr>
          <w:rFonts w:cs="Times New Roman"/>
          <w:szCs w:val="24"/>
          <w:lang w:val="fr-CA"/>
        </w:rPr>
        <w:t>par. </w:t>
      </w:r>
      <w:r w:rsidRPr="00132F5E">
        <w:rPr>
          <w:rFonts w:cs="Times New Roman"/>
          <w:szCs w:val="24"/>
          <w:lang w:val="fr-CA"/>
        </w:rPr>
        <w:t>2)</w:t>
      </w:r>
      <w:r>
        <w:rPr>
          <w:szCs w:val="24"/>
          <w:lang w:val="fr-CA"/>
        </w:rPr>
        <w:t xml:space="preserve">.  Le juge en cabinet a rejeté l’action statuant que ni l’une ni l’autre des intimées n’avaient la qualité pour agir dans l’intérêt privé et que la qualité pour agir dans l’intérêt public </w:t>
      </w:r>
      <w:r w:rsidRPr="004B3E6F">
        <w:rPr>
          <w:szCs w:val="24"/>
          <w:lang w:val="fr-CA"/>
        </w:rPr>
        <w:t>qui est tributaire de l</w:t>
      </w:r>
      <w:r>
        <w:rPr>
          <w:szCs w:val="24"/>
          <w:lang w:val="fr-CA"/>
        </w:rPr>
        <w:t>’</w:t>
      </w:r>
      <w:r w:rsidRPr="004B3E6F">
        <w:rPr>
          <w:szCs w:val="24"/>
          <w:lang w:val="fr-CA"/>
        </w:rPr>
        <w:t>exercice d</w:t>
      </w:r>
      <w:r>
        <w:rPr>
          <w:szCs w:val="24"/>
          <w:lang w:val="fr-CA"/>
        </w:rPr>
        <w:t>’</w:t>
      </w:r>
      <w:r w:rsidRPr="004B3E6F">
        <w:rPr>
          <w:szCs w:val="24"/>
          <w:lang w:val="fr-CA"/>
        </w:rPr>
        <w:t xml:space="preserve">un pouvoir discrétionnaire </w:t>
      </w:r>
      <w:r>
        <w:rPr>
          <w:szCs w:val="24"/>
          <w:lang w:val="fr-CA"/>
        </w:rPr>
        <w:t xml:space="preserve">ne devait pas leur être reconnue.  Compte tenu de cette décision, le juge en cabinet a conclu qu’il n’était pas nécessaire d’examiner la demande présentée par le procureur général au titre </w:t>
      </w:r>
      <w:r w:rsidR="00DD0D8C">
        <w:rPr>
          <w:szCs w:val="24"/>
          <w:lang w:val="fr-CA"/>
        </w:rPr>
        <w:t xml:space="preserve">de la règle </w:t>
      </w:r>
      <w:r w:rsidRPr="00132F5E">
        <w:rPr>
          <w:szCs w:val="24"/>
          <w:lang w:val="fr-CA"/>
        </w:rPr>
        <w:t>19(24)</w:t>
      </w:r>
      <w:r>
        <w:rPr>
          <w:szCs w:val="24"/>
          <w:lang w:val="fr-CA"/>
        </w:rPr>
        <w:t>,</w:t>
      </w:r>
      <w:r>
        <w:rPr>
          <w:i/>
          <w:szCs w:val="24"/>
          <w:lang w:val="fr-CA"/>
        </w:rPr>
        <w:t xml:space="preserve"> </w:t>
      </w:r>
      <w:r>
        <w:rPr>
          <w:szCs w:val="24"/>
          <w:lang w:val="fr-CA"/>
        </w:rPr>
        <w:t>ni celle sollicitant des précisions</w:t>
      </w:r>
      <w:r w:rsidRPr="00132F5E">
        <w:rPr>
          <w:szCs w:val="24"/>
          <w:lang w:val="fr-CA"/>
        </w:rPr>
        <w:t xml:space="preserve"> </w:t>
      </w:r>
      <w:r w:rsidRPr="00132F5E">
        <w:rPr>
          <w:rFonts w:cs="Times New Roman"/>
          <w:szCs w:val="24"/>
          <w:lang w:val="fr-CA"/>
        </w:rPr>
        <w:t>(</w:t>
      </w:r>
      <w:r>
        <w:rPr>
          <w:rFonts w:cs="Times New Roman"/>
          <w:szCs w:val="24"/>
          <w:lang w:val="fr-CA"/>
        </w:rPr>
        <w:t>par. </w:t>
      </w:r>
      <w:r w:rsidRPr="00132F5E">
        <w:rPr>
          <w:rFonts w:cs="Times New Roman"/>
          <w:szCs w:val="24"/>
          <w:lang w:val="fr-CA"/>
        </w:rPr>
        <w:t>88)</w:t>
      </w:r>
      <w:r w:rsidRPr="00132F5E">
        <w:rPr>
          <w:szCs w:val="24"/>
          <w:lang w:val="fr-CA"/>
        </w:rPr>
        <w:t xml:space="preserve">. </w:t>
      </w:r>
    </w:p>
    <w:p w:rsidR="00D867A4" w:rsidRPr="00132F5E" w:rsidRDefault="00D867A4" w:rsidP="00D867A4">
      <w:pPr>
        <w:pStyle w:val="ParaNoNdepar-AltN"/>
        <w:tabs>
          <w:tab w:val="clear" w:pos="1152"/>
          <w:tab w:val="left" w:pos="1170"/>
        </w:tabs>
        <w:rPr>
          <w:szCs w:val="24"/>
          <w:lang w:val="fr-CA"/>
        </w:rPr>
      </w:pPr>
      <w:r>
        <w:rPr>
          <w:szCs w:val="24"/>
          <w:lang w:val="fr-CA"/>
        </w:rPr>
        <w:t xml:space="preserve">Le </w:t>
      </w:r>
      <w:r w:rsidRPr="003068FA">
        <w:rPr>
          <w:lang w:val="fr-CA"/>
        </w:rPr>
        <w:t>juge</w:t>
      </w:r>
      <w:r>
        <w:rPr>
          <w:szCs w:val="24"/>
          <w:lang w:val="fr-CA"/>
        </w:rPr>
        <w:t xml:space="preserve"> en cabinet a noté que ni la Société</w:t>
      </w:r>
      <w:r w:rsidRPr="00132F5E">
        <w:rPr>
          <w:szCs w:val="24"/>
          <w:lang w:val="fr-CA"/>
        </w:rPr>
        <w:t xml:space="preserve"> </w:t>
      </w:r>
      <w:r>
        <w:rPr>
          <w:szCs w:val="24"/>
          <w:lang w:val="fr-CA"/>
        </w:rPr>
        <w:t>ni M</w:t>
      </w:r>
      <w:r w:rsidRPr="008C5A96">
        <w:rPr>
          <w:szCs w:val="24"/>
          <w:vertAlign w:val="superscript"/>
          <w:lang w:val="fr-CA"/>
        </w:rPr>
        <w:t>me</w:t>
      </w:r>
      <w:r>
        <w:rPr>
          <w:szCs w:val="24"/>
          <w:lang w:val="fr-CA"/>
        </w:rPr>
        <w:t> </w:t>
      </w:r>
      <w:proofErr w:type="spellStart"/>
      <w:r w:rsidRPr="00132F5E">
        <w:rPr>
          <w:szCs w:val="24"/>
          <w:lang w:val="fr-CA"/>
        </w:rPr>
        <w:t>Kiselbach</w:t>
      </w:r>
      <w:proofErr w:type="spellEnd"/>
      <w:r w:rsidRPr="00132F5E">
        <w:rPr>
          <w:szCs w:val="24"/>
          <w:lang w:val="fr-CA"/>
        </w:rPr>
        <w:t xml:space="preserve"> </w:t>
      </w:r>
      <w:r>
        <w:rPr>
          <w:szCs w:val="24"/>
          <w:lang w:val="fr-CA"/>
        </w:rPr>
        <w:t>n’étaient accusées des infractions prévues aux dispositions contestées ou n’étaient défenderesses à une action engagée par un organisme gouvernemental, toujours en application des dispositions en question.  En outre, il a précisé que la Société</w:t>
      </w:r>
      <w:r w:rsidRPr="00132F5E">
        <w:rPr>
          <w:szCs w:val="24"/>
          <w:lang w:val="fr-CA"/>
        </w:rPr>
        <w:t xml:space="preserve"> </w:t>
      </w:r>
      <w:r>
        <w:rPr>
          <w:szCs w:val="24"/>
          <w:lang w:val="fr-CA"/>
        </w:rPr>
        <w:t>est une entité séparée dont les droits sont distincts de ceux de ses membres.  Il a aussi jugé que M</w:t>
      </w:r>
      <w:r w:rsidRPr="008C5A96">
        <w:rPr>
          <w:szCs w:val="24"/>
          <w:vertAlign w:val="superscript"/>
          <w:lang w:val="fr-CA"/>
        </w:rPr>
        <w:t>me</w:t>
      </w:r>
      <w:r>
        <w:rPr>
          <w:szCs w:val="24"/>
          <w:lang w:val="fr-CA"/>
        </w:rPr>
        <w:t> </w:t>
      </w:r>
      <w:proofErr w:type="spellStart"/>
      <w:r w:rsidRPr="00132F5E">
        <w:rPr>
          <w:szCs w:val="24"/>
          <w:lang w:val="fr-CA"/>
        </w:rPr>
        <w:t>Kiselbach</w:t>
      </w:r>
      <w:proofErr w:type="spellEnd"/>
      <w:r>
        <w:rPr>
          <w:szCs w:val="24"/>
          <w:lang w:val="fr-CA"/>
        </w:rPr>
        <w:t xml:space="preserve"> ne pouvait pas se voir reconnaître la qualité </w:t>
      </w:r>
      <w:r w:rsidRPr="00250AF2">
        <w:rPr>
          <w:szCs w:val="24"/>
          <w:lang w:val="fr-CA"/>
        </w:rPr>
        <w:t xml:space="preserve">pour </w:t>
      </w:r>
      <w:r>
        <w:rPr>
          <w:szCs w:val="24"/>
          <w:lang w:val="fr-CA"/>
        </w:rPr>
        <w:t xml:space="preserve">agir </w:t>
      </w:r>
      <w:r w:rsidRPr="00250AF2">
        <w:rPr>
          <w:szCs w:val="24"/>
          <w:lang w:val="fr-CA"/>
        </w:rPr>
        <w:t>dans l</w:t>
      </w:r>
      <w:r>
        <w:rPr>
          <w:szCs w:val="24"/>
          <w:lang w:val="fr-CA"/>
        </w:rPr>
        <w:t>’</w:t>
      </w:r>
      <w:r w:rsidRPr="00250AF2">
        <w:rPr>
          <w:szCs w:val="24"/>
          <w:lang w:val="fr-CA"/>
        </w:rPr>
        <w:t>intérêt privé</w:t>
      </w:r>
      <w:r>
        <w:rPr>
          <w:szCs w:val="24"/>
          <w:lang w:val="fr-CA"/>
        </w:rPr>
        <w:t>, d’une part parce qu’elle ne travaillait pas actuellement dans l’industrie du sexe et, d’autre part parce que le stigmate persistant associé à ses condamnations antérieures ne pouvait lui donner cette</w:t>
      </w:r>
      <w:r w:rsidRPr="00250AF2">
        <w:rPr>
          <w:szCs w:val="24"/>
          <w:lang w:val="fr-CA"/>
        </w:rPr>
        <w:t xml:space="preserve"> qualité</w:t>
      </w:r>
      <w:r>
        <w:rPr>
          <w:szCs w:val="24"/>
          <w:lang w:val="fr-CA"/>
        </w:rPr>
        <w:t xml:space="preserve">, puisque cela équivaudrait à les contester de façon indirecte.  </w:t>
      </w:r>
    </w:p>
    <w:p w:rsidR="00D867A4" w:rsidRPr="000B5C69" w:rsidRDefault="00D867A4" w:rsidP="00D867A4">
      <w:pPr>
        <w:pStyle w:val="ParaNoNdepar-AltN"/>
        <w:tabs>
          <w:tab w:val="clear" w:pos="1152"/>
          <w:tab w:val="left" w:pos="1170"/>
        </w:tabs>
        <w:rPr>
          <w:szCs w:val="24"/>
          <w:lang w:val="fr-CA"/>
        </w:rPr>
      </w:pPr>
      <w:bookmarkStart w:id="0" w:name="PNUM_18"/>
      <w:r>
        <w:rPr>
          <w:szCs w:val="24"/>
          <w:lang w:val="fr-CA"/>
        </w:rPr>
        <w:lastRenderedPageBreak/>
        <w:t xml:space="preserve">Le juge en cabinet s’est ensuite penché sur la question de la qualité pour agir dans l’intérêt public et il ne devrait pas exercer </w:t>
      </w:r>
      <w:r w:rsidRPr="00D621F4">
        <w:rPr>
          <w:szCs w:val="24"/>
          <w:lang w:val="fr-CA"/>
        </w:rPr>
        <w:t>son pouvoir</w:t>
      </w:r>
      <w:r>
        <w:rPr>
          <w:szCs w:val="24"/>
          <w:lang w:val="fr-CA"/>
        </w:rPr>
        <w:t xml:space="preserve"> discrétionnaire pour reconnaître cette qualité ni à l’une ni à l’autre des intimées.  Il a examiné ce qu’il a décrit comme étant les trois « exigences » pour se voir reconnaître la qualité pour agir dans l’intérêt public tel qu’elles sont énoncées dans l’arrêt </w:t>
      </w:r>
      <w:r>
        <w:rPr>
          <w:i/>
          <w:szCs w:val="24"/>
          <w:lang w:val="fr-CA"/>
        </w:rPr>
        <w:t>Conseil canadien des Églises</w:t>
      </w:r>
      <w:r>
        <w:rPr>
          <w:szCs w:val="24"/>
          <w:lang w:val="fr-CA"/>
        </w:rPr>
        <w:t xml:space="preserve">.  Il a conclu que la poursuite des intimées soulevait des questions constitutionnelles sérieuses et que les intimées avaient un intérêt véritable quant à la validité des dispositions.  Le juge a donc estimé qu’il avait été satisfait aux première et deuxième </w:t>
      </w:r>
      <w:r w:rsidRPr="00A25C58">
        <w:rPr>
          <w:szCs w:val="24"/>
          <w:lang w:val="fr-CA"/>
        </w:rPr>
        <w:t>« exigences</w:t>
      </w:r>
      <w:r>
        <w:rPr>
          <w:szCs w:val="24"/>
          <w:lang w:val="fr-CA"/>
        </w:rPr>
        <w:t> » relatives à la qualité pour agir dans l’intérêt public</w:t>
      </w:r>
      <w:bookmarkEnd w:id="0"/>
      <w:r>
        <w:rPr>
          <w:szCs w:val="24"/>
          <w:lang w:val="fr-CA"/>
        </w:rPr>
        <w:t xml:space="preserve">.  Il a ensuite examiné le troisième élément </w:t>
      </w:r>
      <w:r w:rsidRPr="00250AF2">
        <w:rPr>
          <w:szCs w:val="24"/>
          <w:lang w:val="fr-CA"/>
        </w:rPr>
        <w:t xml:space="preserve">du </w:t>
      </w:r>
      <w:r>
        <w:rPr>
          <w:szCs w:val="24"/>
          <w:lang w:val="fr-CA"/>
        </w:rPr>
        <w:t xml:space="preserve">test, soit </w:t>
      </w:r>
      <w:r w:rsidR="00AC6682">
        <w:rPr>
          <w:szCs w:val="24"/>
          <w:lang w:val="fr-CA"/>
        </w:rPr>
        <w:t>[</w:t>
      </w:r>
      <w:r w:rsidR="00AC6682" w:rsidRPr="00AC6682">
        <w:rPr>
          <w:smallCaps/>
          <w:szCs w:val="24"/>
          <w:lang w:val="fr-CA"/>
        </w:rPr>
        <w:t>traduction</w:t>
      </w:r>
      <w:r w:rsidR="00AC6682">
        <w:rPr>
          <w:szCs w:val="24"/>
          <w:lang w:val="fr-CA"/>
        </w:rPr>
        <w:t xml:space="preserve">] </w:t>
      </w:r>
      <w:r>
        <w:rPr>
          <w:szCs w:val="24"/>
          <w:lang w:val="fr-CA"/>
        </w:rPr>
        <w:t xml:space="preserve">« la question de savoir si, dans la mesure où la qualité n’était pas reconnue, il existait une autre manière raisonnable et efficace de soumettre la question à la cour » </w:t>
      </w:r>
      <w:r w:rsidRPr="000B5C69">
        <w:rPr>
          <w:szCs w:val="24"/>
          <w:lang w:val="fr-CA"/>
        </w:rPr>
        <w:t>(</w:t>
      </w:r>
      <w:r>
        <w:rPr>
          <w:szCs w:val="24"/>
          <w:lang w:val="fr-CA"/>
        </w:rPr>
        <w:t>par. </w:t>
      </w:r>
      <w:r w:rsidRPr="000B5C69">
        <w:rPr>
          <w:szCs w:val="24"/>
          <w:lang w:val="fr-CA"/>
        </w:rPr>
        <w:t>70)</w:t>
      </w:r>
      <w:r>
        <w:rPr>
          <w:szCs w:val="24"/>
          <w:lang w:val="fr-CA"/>
        </w:rPr>
        <w:t>.  Selon le juge, c’est à cet égard que la demande des intimées</w:t>
      </w:r>
      <w:r w:rsidRPr="000B5C69">
        <w:rPr>
          <w:szCs w:val="24"/>
          <w:lang w:val="fr-CA"/>
        </w:rPr>
        <w:t xml:space="preserve"> </w:t>
      </w:r>
      <w:r>
        <w:rPr>
          <w:szCs w:val="24"/>
          <w:lang w:val="fr-CA"/>
        </w:rPr>
        <w:t>présentait des faiblesses</w:t>
      </w:r>
      <w:r w:rsidRPr="000B5C69">
        <w:rPr>
          <w:szCs w:val="24"/>
          <w:lang w:val="fr-CA"/>
        </w:rPr>
        <w:t xml:space="preserve">.  </w:t>
      </w:r>
    </w:p>
    <w:p w:rsidR="00D867A4" w:rsidRPr="00132F5E" w:rsidRDefault="00D867A4" w:rsidP="00D867A4">
      <w:pPr>
        <w:pStyle w:val="ParaNoNdepar-AltN"/>
        <w:tabs>
          <w:tab w:val="clear" w:pos="1152"/>
          <w:tab w:val="left" w:pos="1170"/>
        </w:tabs>
        <w:rPr>
          <w:szCs w:val="24"/>
          <w:lang w:val="fr-CA"/>
        </w:rPr>
      </w:pPr>
      <w:r>
        <w:rPr>
          <w:szCs w:val="24"/>
          <w:lang w:val="fr-CA"/>
        </w:rPr>
        <w:t>Il a souscrit à l’argument du procureur général selon lequel les dispositions pouvaient être contestées par les justiciables accusés en vertu d’elles.  À son avis, le fait que des membres de la Société</w:t>
      </w:r>
      <w:r w:rsidRPr="00132F5E">
        <w:rPr>
          <w:szCs w:val="24"/>
          <w:lang w:val="fr-CA"/>
        </w:rPr>
        <w:t xml:space="preserve"> </w:t>
      </w:r>
      <w:r>
        <w:rPr>
          <w:szCs w:val="24"/>
          <w:lang w:val="fr-CA"/>
        </w:rPr>
        <w:t>soient [</w:t>
      </w:r>
      <w:r w:rsidRPr="00330CE1">
        <w:rPr>
          <w:smallCaps/>
          <w:szCs w:val="24"/>
          <w:lang w:val="fr-CA"/>
        </w:rPr>
        <w:t>traduction</w:t>
      </w:r>
      <w:r>
        <w:rPr>
          <w:szCs w:val="24"/>
          <w:lang w:val="fr-CA"/>
        </w:rPr>
        <w:t xml:space="preserve">] « particulièrement vulnérables » et </w:t>
      </w:r>
      <w:proofErr w:type="spellStart"/>
      <w:r>
        <w:rPr>
          <w:szCs w:val="24"/>
          <w:lang w:val="fr-CA"/>
        </w:rPr>
        <w:t>soi</w:t>
      </w:r>
      <w:r>
        <w:rPr>
          <w:szCs w:val="24"/>
          <w:lang w:val="fr-CA"/>
        </w:rPr>
        <w:noBreakHyphen/>
        <w:t>disant</w:t>
      </w:r>
      <w:proofErr w:type="spellEnd"/>
      <w:r>
        <w:rPr>
          <w:szCs w:val="24"/>
          <w:lang w:val="fr-CA"/>
        </w:rPr>
        <w:t xml:space="preserve"> incapables de se manifester ne pouvait justifier la reconnaissance de la qualité pour agir dans l’intérêt public (par. 76).  Si l’affaire avait été instruite, des membres de la Société</w:t>
      </w:r>
      <w:r w:rsidRPr="00132F5E">
        <w:rPr>
          <w:szCs w:val="24"/>
          <w:lang w:val="fr-CA"/>
        </w:rPr>
        <w:t xml:space="preserve"> </w:t>
      </w:r>
      <w:r>
        <w:rPr>
          <w:szCs w:val="24"/>
          <w:lang w:val="fr-CA"/>
        </w:rPr>
        <w:t xml:space="preserve">auraient probablement eu à témoigner, et si elles étaient prêtes à faire cela, elles étaient aussi en mesure de se présenter à titre de </w:t>
      </w:r>
      <w:proofErr w:type="spellStart"/>
      <w:r>
        <w:rPr>
          <w:szCs w:val="24"/>
          <w:lang w:val="fr-CA"/>
        </w:rPr>
        <w:t>demanderesses</w:t>
      </w:r>
      <w:proofErr w:type="spellEnd"/>
      <w:r w:rsidRPr="00132F5E">
        <w:rPr>
          <w:szCs w:val="24"/>
          <w:lang w:val="fr-CA"/>
        </w:rPr>
        <w:t xml:space="preserve">. </w:t>
      </w:r>
      <w:r>
        <w:rPr>
          <w:szCs w:val="24"/>
          <w:lang w:val="fr-CA"/>
        </w:rPr>
        <w:t xml:space="preserve"> Le juge en cabinet a aussi souligné qu’il y avait une poursuite en cours en Ontario qui soulevait bon nombre des mêmes questions :</w:t>
      </w:r>
      <w:r w:rsidRPr="00132F5E">
        <w:rPr>
          <w:szCs w:val="24"/>
          <w:lang w:val="fr-CA"/>
        </w:rPr>
        <w:t xml:space="preserve"> </w:t>
      </w:r>
      <w:r w:rsidRPr="00405D4F">
        <w:rPr>
          <w:i/>
          <w:szCs w:val="24"/>
          <w:lang w:val="fr-CA"/>
        </w:rPr>
        <w:lastRenderedPageBreak/>
        <w:t xml:space="preserve">Bedford c. </w:t>
      </w:r>
      <w:r>
        <w:rPr>
          <w:i/>
          <w:szCs w:val="24"/>
          <w:lang w:val="fr-CA"/>
        </w:rPr>
        <w:t>Canada (</w:t>
      </w:r>
      <w:r w:rsidR="00AC6682">
        <w:rPr>
          <w:i/>
          <w:szCs w:val="24"/>
          <w:lang w:val="fr-CA"/>
        </w:rPr>
        <w:t>Attorney General</w:t>
      </w:r>
      <w:r>
        <w:rPr>
          <w:i/>
          <w:szCs w:val="24"/>
          <w:lang w:val="fr-CA"/>
        </w:rPr>
        <w:t>)</w:t>
      </w:r>
      <w:r w:rsidRPr="00405D4F">
        <w:rPr>
          <w:szCs w:val="24"/>
          <w:lang w:val="fr-CA"/>
        </w:rPr>
        <w:t>, 201</w:t>
      </w:r>
      <w:r>
        <w:rPr>
          <w:szCs w:val="24"/>
          <w:lang w:val="fr-CA"/>
        </w:rPr>
        <w:t>0</w:t>
      </w:r>
      <w:r w:rsidRPr="00405D4F">
        <w:rPr>
          <w:szCs w:val="24"/>
          <w:lang w:val="fr-CA"/>
        </w:rPr>
        <w:t xml:space="preserve"> ONSC 4264</w:t>
      </w:r>
      <w:r w:rsidR="00AC6682">
        <w:rPr>
          <w:szCs w:val="24"/>
          <w:lang w:val="fr-CA"/>
        </w:rPr>
        <w:t>,</w:t>
      </w:r>
      <w:r w:rsidRPr="00405D4F">
        <w:rPr>
          <w:szCs w:val="24"/>
          <w:lang w:val="fr-CA"/>
        </w:rPr>
        <w:t xml:space="preserve"> </w:t>
      </w:r>
      <w:r>
        <w:rPr>
          <w:szCs w:val="24"/>
          <w:lang w:val="fr-CA"/>
        </w:rPr>
        <w:t xml:space="preserve">327 D.L.R. (4th) 52, </w:t>
      </w:r>
      <w:r w:rsidRPr="00405D4F">
        <w:rPr>
          <w:szCs w:val="24"/>
          <w:lang w:val="fr-CA"/>
        </w:rPr>
        <w:t>inf. en partie par 2012 ONCA 186</w:t>
      </w:r>
      <w:r>
        <w:rPr>
          <w:szCs w:val="24"/>
          <w:lang w:val="fr-CA"/>
        </w:rPr>
        <w:t>, 109 O.R. (3d) 1</w:t>
      </w:r>
      <w:r w:rsidRPr="00405D4F">
        <w:rPr>
          <w:szCs w:val="24"/>
          <w:lang w:val="fr-CA"/>
        </w:rPr>
        <w:t>.</w:t>
      </w:r>
      <w:r>
        <w:rPr>
          <w:szCs w:val="24"/>
          <w:lang w:val="fr-CA"/>
        </w:rPr>
        <w:t xml:space="preserve">  Il a expliqué que, même si l’existence de ce litige ne constituait pas nécessairement un motif suffisant pour refuser de reconnaître la qualité pour agir, elle tendait à démontrer qu’« il pourrait néanmoins y avoir des demandeurs éventuels ayant </w:t>
      </w:r>
      <w:r w:rsidRPr="00250AF2">
        <w:rPr>
          <w:szCs w:val="24"/>
          <w:lang w:val="fr-CA"/>
        </w:rPr>
        <w:t>qualité pour agir dans l</w:t>
      </w:r>
      <w:r>
        <w:rPr>
          <w:szCs w:val="24"/>
          <w:lang w:val="fr-CA"/>
        </w:rPr>
        <w:t>’</w:t>
      </w:r>
      <w:r w:rsidRPr="00250AF2">
        <w:rPr>
          <w:szCs w:val="24"/>
          <w:lang w:val="fr-CA"/>
        </w:rPr>
        <w:t>intérêt privé</w:t>
      </w:r>
      <w:r>
        <w:rPr>
          <w:szCs w:val="24"/>
          <w:lang w:val="fr-CA"/>
        </w:rPr>
        <w:t xml:space="preserve"> qui pourraient, s’ils choisissaient de le faire, soumettre l’ensemble de ces questions à la cour »</w:t>
      </w:r>
      <w:r w:rsidRPr="00132F5E">
        <w:rPr>
          <w:szCs w:val="24"/>
          <w:lang w:val="fr-CA"/>
        </w:rPr>
        <w:t xml:space="preserve"> (</w:t>
      </w:r>
      <w:r>
        <w:rPr>
          <w:szCs w:val="24"/>
          <w:lang w:val="fr-CA"/>
        </w:rPr>
        <w:t>par. </w:t>
      </w:r>
      <w:r w:rsidRPr="00132F5E">
        <w:rPr>
          <w:szCs w:val="24"/>
          <w:lang w:val="fr-CA"/>
        </w:rPr>
        <w:t>75)</w:t>
      </w:r>
      <w:r>
        <w:rPr>
          <w:szCs w:val="24"/>
          <w:lang w:val="fr-CA"/>
        </w:rPr>
        <w:t>.  Il a également mentionné qu’il y avait eu un certa</w:t>
      </w:r>
      <w:r w:rsidR="002E67E6">
        <w:rPr>
          <w:szCs w:val="24"/>
          <w:lang w:val="fr-CA"/>
        </w:rPr>
        <w:t>in nombre de causes en Colombie-</w:t>
      </w:r>
      <w:r>
        <w:rPr>
          <w:szCs w:val="24"/>
          <w:lang w:val="fr-CA"/>
        </w:rPr>
        <w:t xml:space="preserve">Britannique et ailleurs dans le cadre desquelles les dispositions législatives contestées en l’espèce avaient fait l’objet de contestations et qu’il y a chaque année en </w:t>
      </w:r>
      <w:proofErr w:type="spellStart"/>
      <w:r>
        <w:rPr>
          <w:szCs w:val="24"/>
          <w:lang w:val="fr-CA"/>
        </w:rPr>
        <w:t>Colombie</w:t>
      </w:r>
      <w:r>
        <w:rPr>
          <w:szCs w:val="24"/>
          <w:lang w:val="fr-CA"/>
        </w:rPr>
        <w:noBreakHyphen/>
        <w:t>Britannique</w:t>
      </w:r>
      <w:proofErr w:type="spellEnd"/>
      <w:r>
        <w:rPr>
          <w:szCs w:val="24"/>
          <w:lang w:val="fr-CA"/>
        </w:rPr>
        <w:t xml:space="preserve"> des centaines de procès au criminel durant lesquels l’accusé </w:t>
      </w:r>
      <w:r w:rsidRPr="00A25C58">
        <w:rPr>
          <w:szCs w:val="24"/>
          <w:lang w:val="fr-CA"/>
        </w:rPr>
        <w:t>«</w:t>
      </w:r>
      <w:r>
        <w:rPr>
          <w:szCs w:val="24"/>
          <w:lang w:val="fr-CA"/>
        </w:rPr>
        <w:t xml:space="preserve"> pourrait soulever, de plein droit, les questions constitutionnelles que les </w:t>
      </w:r>
      <w:proofErr w:type="spellStart"/>
      <w:r>
        <w:rPr>
          <w:szCs w:val="24"/>
          <w:lang w:val="fr-CA"/>
        </w:rPr>
        <w:t>demanderesses</w:t>
      </w:r>
      <w:proofErr w:type="spellEnd"/>
      <w:r>
        <w:rPr>
          <w:szCs w:val="24"/>
          <w:lang w:val="fr-CA"/>
        </w:rPr>
        <w:t xml:space="preserve"> tentent de soulever en l’espèce »</w:t>
      </w:r>
      <w:r w:rsidRPr="00132F5E">
        <w:rPr>
          <w:szCs w:val="24"/>
          <w:lang w:val="fr-CA"/>
        </w:rPr>
        <w:t xml:space="preserve"> (</w:t>
      </w:r>
      <w:r>
        <w:rPr>
          <w:szCs w:val="24"/>
          <w:lang w:val="fr-CA"/>
        </w:rPr>
        <w:t>par. </w:t>
      </w:r>
      <w:r w:rsidRPr="00132F5E">
        <w:rPr>
          <w:szCs w:val="24"/>
          <w:lang w:val="fr-CA"/>
        </w:rPr>
        <w:t>77).</w:t>
      </w:r>
    </w:p>
    <w:p w:rsidR="00D867A4" w:rsidRPr="00132F5E" w:rsidRDefault="00D867A4" w:rsidP="00D867A4">
      <w:pPr>
        <w:pStyle w:val="ParaNoNdepar-AltN"/>
        <w:rPr>
          <w:szCs w:val="24"/>
          <w:lang w:val="fr-CA"/>
        </w:rPr>
      </w:pPr>
      <w:r>
        <w:rPr>
          <w:szCs w:val="24"/>
          <w:lang w:val="fr-CA"/>
        </w:rPr>
        <w:t>Le juge a conclu qu’il était tenu d’appliquer le critère visant à déterminer s’il n’y a pas une autre manière raisonnable et efficace de soumettre la question à la cour et que les intimées n’avaient pas satisfait à ce critère</w:t>
      </w:r>
      <w:r w:rsidRPr="00132F5E">
        <w:rPr>
          <w:szCs w:val="24"/>
          <w:lang w:val="fr-CA"/>
        </w:rPr>
        <w:t xml:space="preserve"> (</w:t>
      </w:r>
      <w:r>
        <w:rPr>
          <w:szCs w:val="24"/>
          <w:lang w:val="fr-CA"/>
        </w:rPr>
        <w:t>par. </w:t>
      </w:r>
      <w:r w:rsidRPr="00132F5E">
        <w:rPr>
          <w:szCs w:val="24"/>
          <w:lang w:val="fr-CA"/>
        </w:rPr>
        <w:t>85).</w:t>
      </w:r>
    </w:p>
    <w:p w:rsidR="00D867A4" w:rsidRPr="00132F5E" w:rsidRDefault="00D867A4" w:rsidP="004158BE">
      <w:pPr>
        <w:pStyle w:val="TitleTitre-AltT"/>
        <w:keepNext/>
        <w:tabs>
          <w:tab w:val="clear" w:pos="360"/>
          <w:tab w:val="left" w:pos="540"/>
        </w:tabs>
        <w:ind w:left="1170" w:hanging="1170"/>
        <w:rPr>
          <w:szCs w:val="24"/>
          <w:u w:val="single"/>
          <w:lang w:val="fr-CA"/>
        </w:rPr>
      </w:pPr>
      <w:r>
        <w:rPr>
          <w:szCs w:val="24"/>
          <w:lang w:val="fr-CA"/>
        </w:rPr>
        <w:tab/>
      </w:r>
      <w:r w:rsidRPr="00132F5E">
        <w:rPr>
          <w:szCs w:val="24"/>
          <w:lang w:val="fr-CA"/>
        </w:rPr>
        <w:t>(2</w:t>
      </w:r>
      <w:r>
        <w:rPr>
          <w:szCs w:val="24"/>
          <w:lang w:val="fr-CA"/>
        </w:rPr>
        <w:t>)</w:t>
      </w:r>
      <w:r>
        <w:rPr>
          <w:szCs w:val="24"/>
          <w:lang w:val="fr-CA"/>
        </w:rPr>
        <w:tab/>
      </w:r>
      <w:r>
        <w:rPr>
          <w:szCs w:val="24"/>
          <w:u w:val="single"/>
          <w:lang w:val="fr-CA"/>
        </w:rPr>
        <w:t xml:space="preserve">Cour d’appel de la </w:t>
      </w:r>
      <w:proofErr w:type="spellStart"/>
      <w:r>
        <w:rPr>
          <w:szCs w:val="24"/>
          <w:u w:val="single"/>
          <w:lang w:val="fr-CA"/>
        </w:rPr>
        <w:t>Colombie</w:t>
      </w:r>
      <w:r>
        <w:rPr>
          <w:szCs w:val="24"/>
          <w:u w:val="single"/>
          <w:lang w:val="fr-CA"/>
        </w:rPr>
        <w:noBreakHyphen/>
        <w:t>Britannique</w:t>
      </w:r>
      <w:proofErr w:type="spellEnd"/>
      <w:r w:rsidR="004158BE">
        <w:rPr>
          <w:szCs w:val="24"/>
          <w:u w:val="single"/>
          <w:lang w:val="fr-CA"/>
        </w:rPr>
        <w:t xml:space="preserve">, </w:t>
      </w:r>
      <w:r w:rsidRPr="00132F5E">
        <w:rPr>
          <w:szCs w:val="24"/>
          <w:u w:val="single"/>
          <w:lang w:val="fr-CA"/>
        </w:rPr>
        <w:t xml:space="preserve">2010 </w:t>
      </w:r>
      <w:r w:rsidRPr="00250AF2">
        <w:rPr>
          <w:szCs w:val="24"/>
          <w:u w:val="single"/>
          <w:lang w:val="fr-CA"/>
        </w:rPr>
        <w:t>BCCA</w:t>
      </w:r>
      <w:r w:rsidRPr="00132F5E">
        <w:rPr>
          <w:szCs w:val="24"/>
          <w:u w:val="single"/>
          <w:lang w:val="fr-CA"/>
        </w:rPr>
        <w:t xml:space="preserve"> 439, </w:t>
      </w:r>
      <w:r>
        <w:rPr>
          <w:szCs w:val="24"/>
          <w:u w:val="single"/>
          <w:lang w:val="fr-CA"/>
        </w:rPr>
        <w:t>10 B.C.L.R. (5th) 33</w:t>
      </w:r>
    </w:p>
    <w:p w:rsidR="00D867A4" w:rsidRPr="00CE008A" w:rsidRDefault="00D867A4" w:rsidP="00D867A4">
      <w:pPr>
        <w:pStyle w:val="ParaNoNdepar-AltN"/>
        <w:tabs>
          <w:tab w:val="clear" w:pos="1152"/>
          <w:tab w:val="left" w:pos="1170"/>
        </w:tabs>
        <w:rPr>
          <w:szCs w:val="24"/>
          <w:lang w:val="fr-CA"/>
        </w:rPr>
      </w:pPr>
      <w:r>
        <w:rPr>
          <w:szCs w:val="24"/>
          <w:lang w:val="fr-CA"/>
        </w:rPr>
        <w:t xml:space="preserve">Les </w:t>
      </w:r>
      <w:r w:rsidRPr="003068FA">
        <w:rPr>
          <w:lang w:val="fr-CA"/>
        </w:rPr>
        <w:t>intimées</w:t>
      </w:r>
      <w:r>
        <w:rPr>
          <w:szCs w:val="24"/>
          <w:lang w:val="fr-CA"/>
        </w:rPr>
        <w:t xml:space="preserve"> ont interjeté appel, faisant valoir que le juge en cabinet avait commis une erreur en refusant de reconnaître à M</w:t>
      </w:r>
      <w:r w:rsidRPr="007037ED">
        <w:rPr>
          <w:szCs w:val="24"/>
          <w:vertAlign w:val="superscript"/>
          <w:lang w:val="fr-CA"/>
        </w:rPr>
        <w:t>me</w:t>
      </w:r>
      <w:r>
        <w:rPr>
          <w:szCs w:val="24"/>
          <w:lang w:val="fr-CA"/>
        </w:rPr>
        <w:t> </w:t>
      </w:r>
      <w:proofErr w:type="spellStart"/>
      <w:r>
        <w:rPr>
          <w:szCs w:val="24"/>
          <w:lang w:val="fr-CA"/>
        </w:rPr>
        <w:t>Kiselbach</w:t>
      </w:r>
      <w:proofErr w:type="spellEnd"/>
      <w:r>
        <w:rPr>
          <w:szCs w:val="24"/>
          <w:lang w:val="fr-CA"/>
        </w:rPr>
        <w:t xml:space="preserve"> la </w:t>
      </w:r>
      <w:r w:rsidRPr="00250AF2">
        <w:rPr>
          <w:szCs w:val="24"/>
          <w:lang w:val="fr-CA"/>
        </w:rPr>
        <w:t>qualité pour agir dans l</w:t>
      </w:r>
      <w:r>
        <w:rPr>
          <w:szCs w:val="24"/>
          <w:lang w:val="fr-CA"/>
        </w:rPr>
        <w:t>’</w:t>
      </w:r>
      <w:r w:rsidRPr="00250AF2">
        <w:rPr>
          <w:szCs w:val="24"/>
          <w:lang w:val="fr-CA"/>
        </w:rPr>
        <w:t>intérêt privé</w:t>
      </w:r>
      <w:r>
        <w:rPr>
          <w:szCs w:val="24"/>
          <w:lang w:val="fr-CA"/>
        </w:rPr>
        <w:t xml:space="preserve"> et aux deux intimées la qualité pour agir dans l’intérêt public</w:t>
      </w:r>
      <w:r w:rsidRPr="00132F5E">
        <w:rPr>
          <w:szCs w:val="24"/>
          <w:lang w:val="fr-CA"/>
        </w:rPr>
        <w:t>.</w:t>
      </w:r>
      <w:r>
        <w:rPr>
          <w:szCs w:val="24"/>
          <w:lang w:val="fr-CA"/>
        </w:rPr>
        <w:t xml:space="preserve"> </w:t>
      </w:r>
      <w:r w:rsidRPr="00132F5E">
        <w:rPr>
          <w:szCs w:val="24"/>
          <w:lang w:val="fr-CA"/>
        </w:rPr>
        <w:t xml:space="preserve"> </w:t>
      </w:r>
      <w:r>
        <w:rPr>
          <w:szCs w:val="24"/>
          <w:lang w:val="fr-CA"/>
        </w:rPr>
        <w:t xml:space="preserve">La conclusion du juge en cabinet selon laquelle la Société n’avait pas qualité pour agir </w:t>
      </w:r>
      <w:r>
        <w:rPr>
          <w:szCs w:val="24"/>
          <w:lang w:val="fr-CA"/>
        </w:rPr>
        <w:lastRenderedPageBreak/>
        <w:t>dans l’intérêt privé n’a pas été portée en appel</w:t>
      </w:r>
      <w:r w:rsidRPr="00132F5E">
        <w:rPr>
          <w:szCs w:val="24"/>
          <w:lang w:val="fr-CA"/>
        </w:rPr>
        <w:t xml:space="preserve"> (</w:t>
      </w:r>
      <w:r>
        <w:rPr>
          <w:szCs w:val="24"/>
          <w:lang w:val="fr-CA"/>
        </w:rPr>
        <w:t>par. </w:t>
      </w:r>
      <w:r w:rsidRPr="00132F5E">
        <w:rPr>
          <w:szCs w:val="24"/>
          <w:lang w:val="fr-CA"/>
        </w:rPr>
        <w:t>3).</w:t>
      </w:r>
      <w:r>
        <w:rPr>
          <w:szCs w:val="24"/>
          <w:lang w:val="fr-CA"/>
        </w:rPr>
        <w:t xml:space="preserve"> </w:t>
      </w:r>
      <w:r w:rsidRPr="00132F5E">
        <w:rPr>
          <w:szCs w:val="24"/>
          <w:lang w:val="fr-CA"/>
        </w:rPr>
        <w:t xml:space="preserve"> </w:t>
      </w:r>
      <w:r>
        <w:rPr>
          <w:szCs w:val="24"/>
          <w:lang w:val="fr-CA"/>
        </w:rPr>
        <w:t xml:space="preserve">La Cour d’appel, à la majorité, a maintenu la décision du juge en cabinet de refuser de reconnaître à </w:t>
      </w:r>
      <w:r w:rsidRPr="007037ED">
        <w:rPr>
          <w:szCs w:val="24"/>
          <w:lang w:val="fr-CA"/>
        </w:rPr>
        <w:t>M</w:t>
      </w:r>
      <w:r w:rsidRPr="007037ED">
        <w:rPr>
          <w:szCs w:val="24"/>
          <w:vertAlign w:val="superscript"/>
          <w:lang w:val="fr-CA"/>
        </w:rPr>
        <w:t>me</w:t>
      </w:r>
      <w:r>
        <w:rPr>
          <w:szCs w:val="24"/>
          <w:lang w:val="fr-CA"/>
        </w:rPr>
        <w:t> </w:t>
      </w:r>
      <w:proofErr w:type="spellStart"/>
      <w:r w:rsidRPr="00132F5E">
        <w:rPr>
          <w:szCs w:val="24"/>
          <w:lang w:val="fr-CA"/>
        </w:rPr>
        <w:t>Kiselba</w:t>
      </w:r>
      <w:r>
        <w:rPr>
          <w:szCs w:val="24"/>
          <w:lang w:val="fr-CA"/>
        </w:rPr>
        <w:t>ch</w:t>
      </w:r>
      <w:proofErr w:type="spellEnd"/>
      <w:r>
        <w:rPr>
          <w:szCs w:val="24"/>
          <w:lang w:val="fr-CA"/>
        </w:rPr>
        <w:t xml:space="preserve"> la qualité pour agir dans l’intérêt privé, mais elle a conclu que la qualité pour agir dans l’intérêt public des deux intimées aurait dû être reconnue.  Une seule question a donné lieu à une dissidence en Cour d’appel, soit celle relative au troisième facteur de l’analyse qui vise à déterminer si la cour devait refuser de reconnaître la qualité pour agir parce qu’il y avait d’autres manières de saisir les tribunaux des questions soulevées par les intimées dans le cadre de leurs procédures</w:t>
      </w:r>
      <w:r w:rsidRPr="00CE008A">
        <w:rPr>
          <w:szCs w:val="24"/>
          <w:lang w:val="fr-CA"/>
        </w:rPr>
        <w:t>.</w:t>
      </w:r>
    </w:p>
    <w:p w:rsidR="00D867A4" w:rsidRPr="00234FA6" w:rsidRDefault="00D867A4" w:rsidP="00D867A4">
      <w:pPr>
        <w:pStyle w:val="ParaNoNdepar-AltN"/>
        <w:rPr>
          <w:szCs w:val="24"/>
          <w:lang w:val="fr-CA"/>
        </w:rPr>
      </w:pPr>
      <w:r>
        <w:rPr>
          <w:bCs/>
          <w:szCs w:val="24"/>
          <w:lang w:val="fr-CA"/>
        </w:rPr>
        <w:t xml:space="preserve">La juge </w:t>
      </w:r>
      <w:proofErr w:type="spellStart"/>
      <w:r w:rsidRPr="00132F5E">
        <w:rPr>
          <w:bCs/>
          <w:szCs w:val="24"/>
          <w:lang w:val="fr-CA"/>
        </w:rPr>
        <w:t>Saunders</w:t>
      </w:r>
      <w:proofErr w:type="spellEnd"/>
      <w:r>
        <w:rPr>
          <w:bCs/>
          <w:szCs w:val="24"/>
          <w:lang w:val="fr-CA"/>
        </w:rPr>
        <w:t xml:space="preserve"> de la Cour d’appel,</w:t>
      </w:r>
      <w:r w:rsidRPr="00132F5E">
        <w:rPr>
          <w:bCs/>
          <w:szCs w:val="24"/>
          <w:lang w:val="fr-CA"/>
        </w:rPr>
        <w:t xml:space="preserve"> </w:t>
      </w:r>
      <w:r>
        <w:rPr>
          <w:bCs/>
          <w:szCs w:val="24"/>
          <w:lang w:val="fr-CA"/>
        </w:rPr>
        <w:t xml:space="preserve">avec l’accord de la juge </w:t>
      </w:r>
      <w:proofErr w:type="spellStart"/>
      <w:r w:rsidRPr="00132F5E">
        <w:rPr>
          <w:szCs w:val="24"/>
          <w:lang w:val="fr-CA"/>
        </w:rPr>
        <w:t>Neilson</w:t>
      </w:r>
      <w:proofErr w:type="spellEnd"/>
      <w:r>
        <w:rPr>
          <w:szCs w:val="24"/>
          <w:lang w:val="fr-CA"/>
        </w:rPr>
        <w:t xml:space="preserve"> et</w:t>
      </w:r>
      <w:r>
        <w:rPr>
          <w:bCs/>
          <w:szCs w:val="24"/>
          <w:lang w:val="fr-CA"/>
        </w:rPr>
        <w:t xml:space="preserve"> rédigeant au nom des juges majoritaires, n’a trouvé aucune raison de refuser de reconnaître la qualité pour agir dans l’intérêt public</w:t>
      </w:r>
      <w:r>
        <w:rPr>
          <w:szCs w:val="24"/>
          <w:lang w:val="fr-CA"/>
        </w:rPr>
        <w:t>.  Selon elle, la Cour avait énoncé clairement que le pouvoir discrétionnaire de reconnaître la qualité pour agir ne doit pas être exercé mécaniquement, mais plutôt de manière large et libérale afin d’</w:t>
      </w:r>
      <w:r w:rsidRPr="00234FA6">
        <w:rPr>
          <w:szCs w:val="24"/>
          <w:lang w:val="fr-CA"/>
        </w:rPr>
        <w:t>assurer que les dispositions législatives contestées n</w:t>
      </w:r>
      <w:r>
        <w:rPr>
          <w:szCs w:val="24"/>
          <w:lang w:val="fr-CA"/>
        </w:rPr>
        <w:t>’</w:t>
      </w:r>
      <w:r w:rsidRPr="00234FA6">
        <w:rPr>
          <w:szCs w:val="24"/>
          <w:lang w:val="fr-CA"/>
        </w:rPr>
        <w:t>échappent pas à tout</w:t>
      </w:r>
      <w:r>
        <w:rPr>
          <w:szCs w:val="24"/>
          <w:lang w:val="fr-CA"/>
        </w:rPr>
        <w:t xml:space="preserve"> examen.  Selon les juges majoritaires, les motifs dissidents exprimés par les juges </w:t>
      </w:r>
      <w:proofErr w:type="spellStart"/>
      <w:r w:rsidRPr="00132F5E">
        <w:rPr>
          <w:iCs/>
          <w:szCs w:val="24"/>
          <w:lang w:val="fr-CA"/>
        </w:rPr>
        <w:t>Binnie</w:t>
      </w:r>
      <w:proofErr w:type="spellEnd"/>
      <w:r w:rsidRPr="00132F5E">
        <w:rPr>
          <w:iCs/>
          <w:szCs w:val="24"/>
          <w:lang w:val="fr-CA"/>
        </w:rPr>
        <w:t xml:space="preserve"> </w:t>
      </w:r>
      <w:r>
        <w:rPr>
          <w:iCs/>
          <w:szCs w:val="24"/>
          <w:lang w:val="fr-CA"/>
        </w:rPr>
        <w:t>et</w:t>
      </w:r>
      <w:r w:rsidRPr="00132F5E">
        <w:rPr>
          <w:iCs/>
          <w:szCs w:val="24"/>
          <w:lang w:val="fr-CA"/>
        </w:rPr>
        <w:t xml:space="preserve"> </w:t>
      </w:r>
      <w:proofErr w:type="spellStart"/>
      <w:r w:rsidRPr="00132F5E">
        <w:rPr>
          <w:iCs/>
          <w:szCs w:val="24"/>
          <w:lang w:val="fr-CA"/>
        </w:rPr>
        <w:t>LeBel</w:t>
      </w:r>
      <w:proofErr w:type="spellEnd"/>
      <w:r w:rsidRPr="00132F5E">
        <w:rPr>
          <w:iCs/>
          <w:szCs w:val="24"/>
          <w:lang w:val="fr-CA"/>
        </w:rPr>
        <w:t xml:space="preserve"> </w:t>
      </w:r>
      <w:r>
        <w:rPr>
          <w:iCs/>
          <w:szCs w:val="24"/>
          <w:lang w:val="fr-CA"/>
        </w:rPr>
        <w:t xml:space="preserve">dans l’arrêt </w:t>
      </w:r>
      <w:proofErr w:type="spellStart"/>
      <w:r>
        <w:rPr>
          <w:i/>
          <w:iCs/>
          <w:szCs w:val="24"/>
          <w:lang w:val="fr-CA"/>
        </w:rPr>
        <w:t>Chaoulli</w:t>
      </w:r>
      <w:proofErr w:type="spellEnd"/>
      <w:r>
        <w:rPr>
          <w:i/>
          <w:iCs/>
          <w:szCs w:val="24"/>
          <w:lang w:val="fr-CA"/>
        </w:rPr>
        <w:t xml:space="preserve"> c. Qué</w:t>
      </w:r>
      <w:r w:rsidRPr="00132F5E">
        <w:rPr>
          <w:i/>
          <w:iCs/>
          <w:szCs w:val="24"/>
          <w:lang w:val="fr-CA"/>
        </w:rPr>
        <w:t>bec (</w:t>
      </w:r>
      <w:r>
        <w:rPr>
          <w:i/>
          <w:iCs/>
          <w:szCs w:val="24"/>
          <w:lang w:val="fr-CA"/>
        </w:rPr>
        <w:t>Procureur général</w:t>
      </w:r>
      <w:r w:rsidRPr="00132F5E">
        <w:rPr>
          <w:i/>
          <w:iCs/>
          <w:szCs w:val="24"/>
          <w:lang w:val="fr-CA"/>
        </w:rPr>
        <w:t>)</w:t>
      </w:r>
      <w:r w:rsidRPr="00132F5E">
        <w:rPr>
          <w:szCs w:val="24"/>
          <w:lang w:val="fr-CA"/>
        </w:rPr>
        <w:t>, 2005 C</w:t>
      </w:r>
      <w:r>
        <w:rPr>
          <w:szCs w:val="24"/>
          <w:lang w:val="fr-CA"/>
        </w:rPr>
        <w:t>S</w:t>
      </w:r>
      <w:r w:rsidRPr="00132F5E">
        <w:rPr>
          <w:szCs w:val="24"/>
          <w:lang w:val="fr-CA"/>
        </w:rPr>
        <w:t xml:space="preserve">C 35, [2005] 1 </w:t>
      </w:r>
      <w:r>
        <w:rPr>
          <w:szCs w:val="24"/>
          <w:lang w:val="fr-CA"/>
        </w:rPr>
        <w:t>R.C.S.</w:t>
      </w:r>
      <w:r w:rsidRPr="00132F5E">
        <w:rPr>
          <w:szCs w:val="24"/>
          <w:lang w:val="fr-CA"/>
        </w:rPr>
        <w:t xml:space="preserve"> 791, </w:t>
      </w:r>
      <w:r>
        <w:rPr>
          <w:szCs w:val="24"/>
          <w:lang w:val="fr-CA"/>
        </w:rPr>
        <w:t xml:space="preserve">qualifiaient la contestation fondée sur des dispositions de la </w:t>
      </w:r>
      <w:r>
        <w:rPr>
          <w:i/>
          <w:szCs w:val="24"/>
          <w:lang w:val="fr-CA"/>
        </w:rPr>
        <w:t xml:space="preserve">Charte </w:t>
      </w:r>
      <w:r>
        <w:rPr>
          <w:szCs w:val="24"/>
          <w:lang w:val="fr-CA"/>
        </w:rPr>
        <w:t xml:space="preserve">dans cette instance de contestation « systémique » dont la </w:t>
      </w:r>
      <w:r w:rsidRPr="00F820C8">
        <w:rPr>
          <w:szCs w:val="24"/>
          <w:lang w:val="fr-CA"/>
        </w:rPr>
        <w:t>portée</w:t>
      </w:r>
      <w:r>
        <w:rPr>
          <w:szCs w:val="24"/>
          <w:lang w:val="fr-CA"/>
        </w:rPr>
        <w:t xml:space="preserve"> différait de celle d’une contestation engagée par un individu et touchant une question particulière.  Pour l</w:t>
      </w:r>
      <w:r w:rsidRPr="00F820C8">
        <w:rPr>
          <w:szCs w:val="24"/>
          <w:lang w:val="fr-CA"/>
        </w:rPr>
        <w:t>es juges majoritaires</w:t>
      </w:r>
      <w:r>
        <w:rPr>
          <w:szCs w:val="24"/>
          <w:lang w:val="fr-CA"/>
        </w:rPr>
        <w:t>,</w:t>
      </w:r>
      <w:r w:rsidRPr="00F820C8">
        <w:rPr>
          <w:szCs w:val="24"/>
          <w:lang w:val="fr-CA"/>
        </w:rPr>
        <w:t xml:space="preserve"> l</w:t>
      </w:r>
      <w:r>
        <w:rPr>
          <w:szCs w:val="24"/>
          <w:lang w:val="fr-CA"/>
        </w:rPr>
        <w:t>’</w:t>
      </w:r>
      <w:r w:rsidRPr="00F820C8">
        <w:rPr>
          <w:szCs w:val="24"/>
          <w:lang w:val="fr-CA"/>
        </w:rPr>
        <w:t xml:space="preserve">arrêt </w:t>
      </w:r>
      <w:proofErr w:type="spellStart"/>
      <w:r w:rsidRPr="00F820C8">
        <w:rPr>
          <w:i/>
          <w:iCs/>
          <w:szCs w:val="24"/>
          <w:lang w:val="fr-CA"/>
        </w:rPr>
        <w:t>Chaoulli</w:t>
      </w:r>
      <w:proofErr w:type="spellEnd"/>
      <w:r w:rsidRPr="00F820C8">
        <w:rPr>
          <w:szCs w:val="24"/>
          <w:lang w:val="fr-CA"/>
        </w:rPr>
        <w:t xml:space="preserve"> a </w:t>
      </w:r>
      <w:r>
        <w:rPr>
          <w:szCs w:val="24"/>
          <w:lang w:val="fr-CA"/>
        </w:rPr>
        <w:t>reconnu</w:t>
      </w:r>
      <w:r w:rsidRPr="00F820C8">
        <w:rPr>
          <w:szCs w:val="24"/>
          <w:lang w:val="fr-CA"/>
        </w:rPr>
        <w:t xml:space="preserve"> que les problèmes soulevés par des contestations dont la portée diffère peuvent être réglés </w:t>
      </w:r>
      <w:r>
        <w:rPr>
          <w:szCs w:val="24"/>
          <w:lang w:val="fr-CA"/>
        </w:rPr>
        <w:t>en adoptant [</w:t>
      </w:r>
      <w:r>
        <w:rPr>
          <w:smallCaps/>
          <w:szCs w:val="24"/>
          <w:lang w:val="fr-CA"/>
        </w:rPr>
        <w:t>traduction</w:t>
      </w:r>
      <w:r>
        <w:rPr>
          <w:szCs w:val="24"/>
          <w:lang w:val="fr-CA"/>
        </w:rPr>
        <w:t xml:space="preserve">] </w:t>
      </w:r>
      <w:r>
        <w:rPr>
          <w:szCs w:val="24"/>
          <w:lang w:val="fr-CA"/>
        </w:rPr>
        <w:lastRenderedPageBreak/>
        <w:t xml:space="preserve">« une conception plus large de la qualité pour agir lorsqu’il y a lieu </w:t>
      </w:r>
      <w:r w:rsidRPr="00234FA6">
        <w:rPr>
          <w:szCs w:val="24"/>
          <w:lang w:val="fr-CA"/>
        </w:rPr>
        <w:t>de le faire »</w:t>
      </w:r>
      <w:r>
        <w:rPr>
          <w:szCs w:val="24"/>
          <w:lang w:val="fr-CA"/>
        </w:rPr>
        <w:t xml:space="preserve"> (par. 59)</w:t>
      </w:r>
      <w:r w:rsidRPr="00234FA6">
        <w:rPr>
          <w:szCs w:val="24"/>
          <w:lang w:val="fr-CA"/>
        </w:rPr>
        <w:t>.</w:t>
      </w:r>
    </w:p>
    <w:p w:rsidR="00D867A4" w:rsidRPr="00132F5E" w:rsidRDefault="00D867A4" w:rsidP="00D867A4">
      <w:pPr>
        <w:pStyle w:val="ParaNoNdepar-AltN"/>
        <w:rPr>
          <w:szCs w:val="24"/>
          <w:lang w:val="fr-CA"/>
        </w:rPr>
      </w:pPr>
      <w:r>
        <w:rPr>
          <w:szCs w:val="24"/>
          <w:lang w:val="fr-CA"/>
        </w:rPr>
        <w:t xml:space="preserve">Appliquant cette approche, les juges majoritaires ont estimé que la présente instance se rapprochait davantage de l’affaire </w:t>
      </w:r>
      <w:proofErr w:type="spellStart"/>
      <w:r w:rsidRPr="00132F5E">
        <w:rPr>
          <w:i/>
          <w:iCs/>
          <w:szCs w:val="24"/>
          <w:lang w:val="fr-CA"/>
        </w:rPr>
        <w:t>Chaoulli</w:t>
      </w:r>
      <w:proofErr w:type="spellEnd"/>
      <w:r>
        <w:rPr>
          <w:i/>
          <w:iCs/>
          <w:szCs w:val="24"/>
          <w:lang w:val="fr-CA"/>
        </w:rPr>
        <w:t xml:space="preserve"> </w:t>
      </w:r>
      <w:r>
        <w:rPr>
          <w:iCs/>
          <w:szCs w:val="24"/>
          <w:lang w:val="fr-CA"/>
        </w:rPr>
        <w:t xml:space="preserve">que de celle du </w:t>
      </w:r>
      <w:r>
        <w:rPr>
          <w:i/>
          <w:iCs/>
          <w:szCs w:val="24"/>
          <w:lang w:val="fr-CA"/>
        </w:rPr>
        <w:t>Conseil canadien des Églises</w:t>
      </w:r>
      <w:r>
        <w:rPr>
          <w:szCs w:val="24"/>
          <w:lang w:val="fr-CA"/>
        </w:rPr>
        <w:t xml:space="preserve">.  Selon la juge </w:t>
      </w:r>
      <w:proofErr w:type="spellStart"/>
      <w:r w:rsidRPr="00132F5E">
        <w:rPr>
          <w:szCs w:val="24"/>
          <w:lang w:val="fr-CA"/>
        </w:rPr>
        <w:t>Saunders</w:t>
      </w:r>
      <w:proofErr w:type="spellEnd"/>
      <w:r>
        <w:rPr>
          <w:szCs w:val="24"/>
          <w:lang w:val="fr-CA"/>
        </w:rPr>
        <w:t xml:space="preserve">, le juge en cabinet a dépouillé la poursuite de la thèse sur laquelle elle reposait en l’assimilant aux poursuites où avaient été déposées des accusations relatives à la prostitution.  La juge </w:t>
      </w:r>
      <w:proofErr w:type="spellStart"/>
      <w:r w:rsidRPr="00132F5E">
        <w:rPr>
          <w:szCs w:val="24"/>
          <w:lang w:val="fr-CA"/>
        </w:rPr>
        <w:t>Saunders</w:t>
      </w:r>
      <w:proofErr w:type="spellEnd"/>
      <w:r w:rsidRPr="00132F5E">
        <w:rPr>
          <w:szCs w:val="24"/>
          <w:lang w:val="fr-CA"/>
        </w:rPr>
        <w:t xml:space="preserve"> </w:t>
      </w:r>
      <w:r>
        <w:rPr>
          <w:szCs w:val="24"/>
          <w:lang w:val="fr-CA"/>
        </w:rPr>
        <w:t xml:space="preserve">s’est concentrée sur la nature multidimensionnelle de la contestation envisagée et a conclu que les intimées cherchaient à contester les dispositions du </w:t>
      </w:r>
      <w:r w:rsidR="00CF139D">
        <w:rPr>
          <w:i/>
          <w:szCs w:val="24"/>
          <w:lang w:val="fr-CA"/>
        </w:rPr>
        <w:t>Code criminel</w:t>
      </w:r>
      <w:r>
        <w:rPr>
          <w:i/>
          <w:szCs w:val="24"/>
          <w:lang w:val="fr-CA"/>
        </w:rPr>
        <w:t xml:space="preserve"> </w:t>
      </w:r>
      <w:r>
        <w:rPr>
          <w:szCs w:val="24"/>
          <w:lang w:val="fr-CA"/>
        </w:rPr>
        <w:t xml:space="preserve">en fonction de leur effet cumulatif sur les travailleurs de l’industrie du sexe.  Dans l’opinion des juges majoritaires, la qualité pour agir dans l’intérêt public devait être reconnue en l’espèce puisque l’essence de la </w:t>
      </w:r>
      <w:r w:rsidRPr="00F6697E">
        <w:rPr>
          <w:szCs w:val="24"/>
          <w:lang w:val="fr-CA"/>
        </w:rPr>
        <w:t xml:space="preserve">plainte </w:t>
      </w:r>
      <w:r>
        <w:rPr>
          <w:szCs w:val="24"/>
          <w:lang w:val="fr-CA"/>
        </w:rPr>
        <w:t xml:space="preserve">était que ces dispositions législatives rendent vulnérables de façon inacceptable des personnes s’adonnant à des activités par ailleurs licites et aggravent leur vulnérabilité.  </w:t>
      </w:r>
    </w:p>
    <w:p w:rsidR="00D867A4" w:rsidRPr="00132F5E" w:rsidRDefault="00D867A4" w:rsidP="00D867A4">
      <w:pPr>
        <w:pStyle w:val="ParaNoNdepar-AltN"/>
        <w:rPr>
          <w:szCs w:val="24"/>
          <w:lang w:val="fr-CA"/>
        </w:rPr>
      </w:pPr>
      <w:r>
        <w:rPr>
          <w:szCs w:val="24"/>
          <w:lang w:val="fr-CA"/>
        </w:rPr>
        <w:t xml:space="preserve">Le juge </w:t>
      </w:r>
      <w:proofErr w:type="spellStart"/>
      <w:r>
        <w:rPr>
          <w:szCs w:val="24"/>
          <w:lang w:val="fr-CA"/>
        </w:rPr>
        <w:t>Groberman</w:t>
      </w:r>
      <w:proofErr w:type="spellEnd"/>
      <w:r>
        <w:rPr>
          <w:szCs w:val="24"/>
          <w:lang w:val="fr-CA"/>
        </w:rPr>
        <w:t>, dissident, a souscrit au raisonnement du juge en cabinet.  À son avis, la présente affaire ne soulève aucune contestation qui n’aurait pas pu être engagée par quiconque ayant la qualité pour agir dans l’intérêt privé</w:t>
      </w:r>
      <w:r w:rsidRPr="00132F5E">
        <w:rPr>
          <w:szCs w:val="24"/>
          <w:lang w:val="fr-CA"/>
        </w:rPr>
        <w:t xml:space="preserve">. </w:t>
      </w:r>
      <w:r>
        <w:rPr>
          <w:szCs w:val="24"/>
          <w:lang w:val="fr-CA"/>
        </w:rPr>
        <w:t xml:space="preserve"> Il a accepté la position des intimées selon laquelle il était peu probable qu’une affaire soit engagée dans laquelle il serait possible d’attaquer sous plusieurs aspects la validité de toutes les dispositions contestées.  Il n’a cependant pas considéré que l’absence d’une telle possibilité justifie la reconnaissance de la qualité pour agir dans l’intérêt public.  </w:t>
      </w:r>
      <w:r>
        <w:rPr>
          <w:szCs w:val="24"/>
          <w:lang w:val="fr-CA"/>
        </w:rPr>
        <w:lastRenderedPageBreak/>
        <w:t>Il a estimé qu’une contestation dont la portée est très large, comme celle en l’espèce, exige une preuve considérable sur une multitude d’aspects et il ne lui a pas semblé manifeste que le processus judiciaire traiterait de façon équitable et efficace une telle contestation dans un délai raisonnable</w:t>
      </w:r>
      <w:r w:rsidRPr="00132F5E">
        <w:rPr>
          <w:szCs w:val="24"/>
          <w:lang w:val="fr-CA"/>
        </w:rPr>
        <w:t xml:space="preserve">. </w:t>
      </w:r>
      <w:r>
        <w:rPr>
          <w:szCs w:val="24"/>
          <w:lang w:val="fr-CA"/>
        </w:rPr>
        <w:t xml:space="preserve"> Suivant son interprétation de l’arrêt </w:t>
      </w:r>
      <w:proofErr w:type="spellStart"/>
      <w:r w:rsidRPr="00132F5E">
        <w:rPr>
          <w:i/>
          <w:szCs w:val="24"/>
          <w:lang w:val="fr-CA"/>
        </w:rPr>
        <w:t>Chaoulli</w:t>
      </w:r>
      <w:proofErr w:type="spellEnd"/>
      <w:r w:rsidRPr="00132F5E">
        <w:rPr>
          <w:szCs w:val="24"/>
          <w:lang w:val="fr-CA"/>
        </w:rPr>
        <w:t xml:space="preserve">, </w:t>
      </w:r>
      <w:r>
        <w:rPr>
          <w:szCs w:val="24"/>
          <w:lang w:val="fr-CA"/>
        </w:rPr>
        <w:t xml:space="preserve">le juge </w:t>
      </w:r>
      <w:proofErr w:type="spellStart"/>
      <w:r w:rsidRPr="00132F5E">
        <w:rPr>
          <w:szCs w:val="24"/>
          <w:lang w:val="fr-CA"/>
        </w:rPr>
        <w:t>Groberman</w:t>
      </w:r>
      <w:proofErr w:type="spellEnd"/>
      <w:r w:rsidRPr="00132F5E">
        <w:rPr>
          <w:szCs w:val="24"/>
          <w:lang w:val="fr-CA"/>
        </w:rPr>
        <w:t xml:space="preserve"> </w:t>
      </w:r>
      <w:r>
        <w:rPr>
          <w:szCs w:val="24"/>
          <w:lang w:val="fr-CA"/>
        </w:rPr>
        <w:t xml:space="preserve">a conclu que la Cour n’avait pas </w:t>
      </w:r>
      <w:r w:rsidRPr="005F2916">
        <w:rPr>
          <w:szCs w:val="24"/>
          <w:lang w:val="fr-CA"/>
        </w:rPr>
        <w:t>élargi le</w:t>
      </w:r>
      <w:r>
        <w:rPr>
          <w:szCs w:val="24"/>
          <w:lang w:val="fr-CA"/>
        </w:rPr>
        <w:t xml:space="preserve"> fondement de la qualité pour agir dans l’intérêt public.  À son avis, cet arrêt n’a pas établi </w:t>
      </w:r>
      <w:r w:rsidRPr="000511FF">
        <w:rPr>
          <w:szCs w:val="24"/>
          <w:lang w:val="fr-CA"/>
        </w:rPr>
        <w:t>que la qualité pour agir dans l</w:t>
      </w:r>
      <w:r>
        <w:rPr>
          <w:szCs w:val="24"/>
          <w:lang w:val="fr-CA"/>
        </w:rPr>
        <w:t>’</w:t>
      </w:r>
      <w:r w:rsidRPr="000511FF">
        <w:rPr>
          <w:szCs w:val="24"/>
          <w:lang w:val="fr-CA"/>
        </w:rPr>
        <w:t xml:space="preserve">intérêt public devait être reconnue de façon préférentielle </w:t>
      </w:r>
      <w:r>
        <w:rPr>
          <w:szCs w:val="24"/>
          <w:lang w:val="fr-CA"/>
        </w:rPr>
        <w:t xml:space="preserve">dans le contexte de </w:t>
      </w:r>
      <w:r w:rsidRPr="000511FF">
        <w:rPr>
          <w:szCs w:val="24"/>
          <w:lang w:val="fr-CA"/>
        </w:rPr>
        <w:t>contestations de portée vaste et générale visant des dispositions législatives</w:t>
      </w:r>
      <w:r w:rsidRPr="00132F5E">
        <w:rPr>
          <w:szCs w:val="24"/>
          <w:lang w:val="fr-CA"/>
        </w:rPr>
        <w:t xml:space="preserve">. </w:t>
      </w:r>
    </w:p>
    <w:p w:rsidR="00D867A4" w:rsidRPr="00132F5E" w:rsidRDefault="00D867A4" w:rsidP="004158BE">
      <w:pPr>
        <w:pStyle w:val="TitleTitre-AltT"/>
        <w:keepNext/>
        <w:tabs>
          <w:tab w:val="clear" w:pos="360"/>
          <w:tab w:val="left" w:pos="540"/>
        </w:tabs>
        <w:ind w:left="540" w:hanging="540"/>
        <w:rPr>
          <w:szCs w:val="24"/>
          <w:lang w:val="fr-CA"/>
        </w:rPr>
      </w:pPr>
      <w:r>
        <w:rPr>
          <w:szCs w:val="24"/>
          <w:lang w:val="fr-CA"/>
        </w:rPr>
        <w:t>IV</w:t>
      </w:r>
      <w:r w:rsidRPr="00132F5E">
        <w:rPr>
          <w:szCs w:val="24"/>
          <w:lang w:val="fr-CA"/>
        </w:rPr>
        <w:t>.</w:t>
      </w:r>
      <w:r w:rsidRPr="00132F5E">
        <w:rPr>
          <w:szCs w:val="24"/>
          <w:lang w:val="fr-CA"/>
        </w:rPr>
        <w:tab/>
      </w:r>
      <w:r w:rsidRPr="00132F5E">
        <w:rPr>
          <w:szCs w:val="24"/>
          <w:u w:val="single"/>
          <w:lang w:val="fr-CA"/>
        </w:rPr>
        <w:t>Analys</w:t>
      </w:r>
      <w:r>
        <w:rPr>
          <w:szCs w:val="24"/>
          <w:u w:val="single"/>
          <w:lang w:val="fr-CA"/>
        </w:rPr>
        <w:t>e</w:t>
      </w:r>
    </w:p>
    <w:p w:rsidR="00D867A4" w:rsidRPr="00132F5E" w:rsidRDefault="00D867A4" w:rsidP="004158BE">
      <w:pPr>
        <w:pStyle w:val="TitleTitre-AltT"/>
        <w:keepNext/>
        <w:tabs>
          <w:tab w:val="clear" w:pos="360"/>
          <w:tab w:val="left" w:pos="540"/>
        </w:tabs>
        <w:ind w:left="540" w:hanging="540"/>
        <w:rPr>
          <w:i/>
          <w:szCs w:val="24"/>
          <w:lang w:val="fr-CA"/>
        </w:rPr>
      </w:pPr>
      <w:r w:rsidRPr="00132F5E">
        <w:rPr>
          <w:szCs w:val="24"/>
          <w:lang w:val="fr-CA"/>
        </w:rPr>
        <w:t>A.</w:t>
      </w:r>
      <w:r w:rsidRPr="00132F5E">
        <w:rPr>
          <w:i/>
          <w:szCs w:val="24"/>
          <w:lang w:val="fr-CA"/>
        </w:rPr>
        <w:tab/>
      </w:r>
      <w:r>
        <w:rPr>
          <w:i/>
          <w:szCs w:val="24"/>
          <w:lang w:val="fr-CA"/>
        </w:rPr>
        <w:t>La qualité pour agir dans l’intérêt public</w:t>
      </w:r>
    </w:p>
    <w:p w:rsidR="00D867A4" w:rsidRPr="00132F5E" w:rsidRDefault="00D867A4" w:rsidP="004158BE">
      <w:pPr>
        <w:pStyle w:val="TitleTitre-AltT"/>
        <w:keepNext/>
        <w:tabs>
          <w:tab w:val="clear" w:pos="360"/>
          <w:tab w:val="left" w:pos="540"/>
        </w:tabs>
        <w:ind w:left="1170" w:hanging="1170"/>
        <w:rPr>
          <w:szCs w:val="24"/>
          <w:lang w:val="fr-CA"/>
        </w:rPr>
      </w:pPr>
      <w:r w:rsidRPr="00132F5E">
        <w:rPr>
          <w:szCs w:val="24"/>
          <w:lang w:val="fr-CA"/>
        </w:rPr>
        <w:tab/>
        <w:t>(1)</w:t>
      </w:r>
      <w:r>
        <w:rPr>
          <w:szCs w:val="24"/>
          <w:lang w:val="fr-CA"/>
        </w:rPr>
        <w:tab/>
      </w:r>
      <w:r>
        <w:rPr>
          <w:szCs w:val="24"/>
          <w:u w:val="single"/>
          <w:lang w:val="fr-CA"/>
        </w:rPr>
        <w:t>La principale question en litige</w:t>
      </w:r>
    </w:p>
    <w:p w:rsidR="00D867A4" w:rsidRPr="00132F5E" w:rsidRDefault="00D867A4" w:rsidP="00D867A4">
      <w:pPr>
        <w:pStyle w:val="ParaNoNdepar-AltN"/>
        <w:rPr>
          <w:szCs w:val="24"/>
          <w:lang w:val="fr-CA"/>
        </w:rPr>
      </w:pPr>
      <w:r>
        <w:rPr>
          <w:szCs w:val="24"/>
          <w:lang w:val="fr-CA"/>
        </w:rPr>
        <w:t xml:space="preserve">Dans l’arrêt </w:t>
      </w:r>
      <w:r>
        <w:rPr>
          <w:i/>
          <w:szCs w:val="24"/>
          <w:lang w:val="fr-CA"/>
        </w:rPr>
        <w:t>Ministre de la Justice du Canada c</w:t>
      </w:r>
      <w:r w:rsidRPr="00132F5E">
        <w:rPr>
          <w:i/>
          <w:szCs w:val="24"/>
          <w:lang w:val="fr-CA"/>
        </w:rPr>
        <w:t xml:space="preserve">. </w:t>
      </w:r>
      <w:proofErr w:type="spellStart"/>
      <w:r w:rsidRPr="00132F5E">
        <w:rPr>
          <w:i/>
          <w:szCs w:val="24"/>
          <w:lang w:val="fr-CA"/>
        </w:rPr>
        <w:t>Borowski</w:t>
      </w:r>
      <w:proofErr w:type="spellEnd"/>
      <w:r w:rsidRPr="00132F5E">
        <w:rPr>
          <w:szCs w:val="24"/>
          <w:lang w:val="fr-CA"/>
        </w:rPr>
        <w:t xml:space="preserve">, [1981] 2 </w:t>
      </w:r>
      <w:r>
        <w:rPr>
          <w:szCs w:val="24"/>
          <w:lang w:val="fr-CA"/>
        </w:rPr>
        <w:t>R.C.S.</w:t>
      </w:r>
      <w:r w:rsidRPr="00132F5E">
        <w:rPr>
          <w:szCs w:val="24"/>
          <w:lang w:val="fr-CA"/>
        </w:rPr>
        <w:t xml:space="preserve"> 575</w:t>
      </w:r>
      <w:r>
        <w:rPr>
          <w:szCs w:val="24"/>
          <w:lang w:val="fr-CA"/>
        </w:rPr>
        <w:t>,</w:t>
      </w:r>
      <w:r w:rsidRPr="00132F5E">
        <w:rPr>
          <w:szCs w:val="24"/>
          <w:lang w:val="fr-CA"/>
        </w:rPr>
        <w:t xml:space="preserve"> </w:t>
      </w:r>
      <w:r>
        <w:rPr>
          <w:szCs w:val="24"/>
          <w:lang w:val="fr-CA"/>
        </w:rPr>
        <w:t>les juges majoritaires ont résumé comme suit le droit applicable à la qualité pour agir dans une poursuite visant à faire invalider une loi : si une question justiciable sérieuse se pose quant à l’invalidité de la loi, « </w:t>
      </w:r>
      <w:r w:rsidRPr="00361087">
        <w:rPr>
          <w:szCs w:val="24"/>
          <w:lang w:val="fr-CA"/>
        </w:rPr>
        <w:t>il suffit qu</w:t>
      </w:r>
      <w:r>
        <w:rPr>
          <w:szCs w:val="24"/>
          <w:lang w:val="fr-CA"/>
        </w:rPr>
        <w:t>’</w:t>
      </w:r>
      <w:r w:rsidRPr="00361087">
        <w:rPr>
          <w:szCs w:val="24"/>
          <w:lang w:val="fr-CA"/>
        </w:rPr>
        <w:t>une personne démontre qu</w:t>
      </w:r>
      <w:r>
        <w:rPr>
          <w:szCs w:val="24"/>
          <w:lang w:val="fr-CA"/>
        </w:rPr>
        <w:t>’</w:t>
      </w:r>
      <w:r w:rsidRPr="00361087">
        <w:rPr>
          <w:szCs w:val="24"/>
          <w:lang w:val="fr-CA"/>
        </w:rPr>
        <w:t>elle est directement touchée ou qu</w:t>
      </w:r>
      <w:r>
        <w:rPr>
          <w:szCs w:val="24"/>
          <w:lang w:val="fr-CA"/>
        </w:rPr>
        <w:t>’</w:t>
      </w:r>
      <w:r w:rsidRPr="00361087">
        <w:rPr>
          <w:szCs w:val="24"/>
          <w:lang w:val="fr-CA"/>
        </w:rPr>
        <w:t>elle a, à titre de citoyen, un intérêt véritable quant à la validité de la loi, et qu</w:t>
      </w:r>
      <w:r>
        <w:rPr>
          <w:szCs w:val="24"/>
          <w:lang w:val="fr-CA"/>
        </w:rPr>
        <w:t>’</w:t>
      </w:r>
      <w:r w:rsidRPr="00361087">
        <w:rPr>
          <w:szCs w:val="24"/>
          <w:lang w:val="fr-CA"/>
        </w:rPr>
        <w:t>il n</w:t>
      </w:r>
      <w:r>
        <w:rPr>
          <w:szCs w:val="24"/>
          <w:lang w:val="fr-CA"/>
        </w:rPr>
        <w:t>’y a pas d’autre manière raison</w:t>
      </w:r>
      <w:r w:rsidRPr="00361087">
        <w:rPr>
          <w:szCs w:val="24"/>
          <w:lang w:val="fr-CA"/>
        </w:rPr>
        <w:t>nable et efficace de soumettre la question à la cour</w:t>
      </w:r>
      <w:r>
        <w:rPr>
          <w:szCs w:val="24"/>
          <w:lang w:val="fr-CA"/>
        </w:rPr>
        <w:t xml:space="preserve"> » </w:t>
      </w:r>
      <w:r w:rsidRPr="00132F5E">
        <w:rPr>
          <w:szCs w:val="24"/>
          <w:lang w:val="fr-CA"/>
        </w:rPr>
        <w:t>(</w:t>
      </w:r>
      <w:r>
        <w:rPr>
          <w:szCs w:val="24"/>
          <w:lang w:val="fr-CA"/>
        </w:rPr>
        <w:t>p. </w:t>
      </w:r>
      <w:r w:rsidRPr="00132F5E">
        <w:rPr>
          <w:szCs w:val="24"/>
          <w:lang w:val="fr-CA"/>
        </w:rPr>
        <w:t>5</w:t>
      </w:r>
      <w:r>
        <w:rPr>
          <w:szCs w:val="24"/>
          <w:lang w:val="fr-CA"/>
        </w:rPr>
        <w:t>98</w:t>
      </w:r>
      <w:r w:rsidRPr="00132F5E">
        <w:rPr>
          <w:szCs w:val="24"/>
          <w:lang w:val="fr-CA"/>
        </w:rPr>
        <w:t>)</w:t>
      </w:r>
      <w:r>
        <w:rPr>
          <w:szCs w:val="24"/>
          <w:lang w:val="fr-CA"/>
        </w:rPr>
        <w:t xml:space="preserve">.  La manière dont cette </w:t>
      </w:r>
      <w:r>
        <w:rPr>
          <w:szCs w:val="24"/>
          <w:lang w:val="fr-CA"/>
        </w:rPr>
        <w:lastRenderedPageBreak/>
        <w:t xml:space="preserve">conception de la qualité pour agir devrait s’appliquer est à l’origine du présent pourvoi. </w:t>
      </w:r>
    </w:p>
    <w:p w:rsidR="00D867A4" w:rsidRPr="00132F5E" w:rsidRDefault="00D867A4" w:rsidP="00D867A4">
      <w:pPr>
        <w:pStyle w:val="ParaNoNdepar-AltN"/>
        <w:rPr>
          <w:szCs w:val="24"/>
          <w:lang w:val="fr-CA"/>
        </w:rPr>
      </w:pPr>
      <w:r>
        <w:rPr>
          <w:szCs w:val="24"/>
          <w:lang w:val="fr-CA"/>
        </w:rPr>
        <w:t xml:space="preserve">S’appuyant sur des citations tirées des arrêts de principe, le juge en cabinet a estimé que le droit établit trois conditions </w:t>
      </w:r>
      <w:r w:rsidRPr="00132F5E">
        <w:rPr>
          <w:rFonts w:cs="Times New Roman"/>
          <w:szCs w:val="24"/>
          <w:lang w:val="fr-CA"/>
        </w:rPr>
        <w:t>―</w:t>
      </w:r>
      <w:r w:rsidRPr="00132F5E">
        <w:rPr>
          <w:szCs w:val="24"/>
          <w:lang w:val="fr-CA"/>
        </w:rPr>
        <w:t xml:space="preserve"> </w:t>
      </w:r>
      <w:r>
        <w:rPr>
          <w:szCs w:val="24"/>
          <w:lang w:val="fr-CA"/>
        </w:rPr>
        <w:t>une méthode rappelant l’utilisation d’une liste de contrôle</w:t>
      </w:r>
      <w:r w:rsidRPr="00132F5E">
        <w:rPr>
          <w:szCs w:val="24"/>
          <w:lang w:val="fr-CA"/>
        </w:rPr>
        <w:t xml:space="preserve"> </w:t>
      </w:r>
      <w:r w:rsidRPr="00132F5E">
        <w:rPr>
          <w:rFonts w:cs="Times New Roman"/>
          <w:szCs w:val="24"/>
          <w:lang w:val="fr-CA"/>
        </w:rPr>
        <w:t>―</w:t>
      </w:r>
      <w:r w:rsidRPr="00132F5E">
        <w:rPr>
          <w:szCs w:val="24"/>
          <w:lang w:val="fr-CA"/>
        </w:rPr>
        <w:t xml:space="preserve"> </w:t>
      </w:r>
      <w:r>
        <w:rPr>
          <w:szCs w:val="24"/>
          <w:lang w:val="fr-CA"/>
        </w:rPr>
        <w:t xml:space="preserve">auxquelles une personne sollicitant l’exercice du pouvoir discrétionnaire judiciaire pour se voir accorder la qualité pour agir dans l’intérêt public doit satisfaire pour avoir gain de cause.  Les intimées plaident cependant pour une approche plus souple, mettant l’accent sur le caractère discrétionnaire des décisions relatives à la qualité pour agir.  Le débat porte sur le </w:t>
      </w:r>
      <w:r w:rsidRPr="000511FF">
        <w:rPr>
          <w:szCs w:val="24"/>
          <w:lang w:val="fr-CA"/>
        </w:rPr>
        <w:t>troisième</w:t>
      </w:r>
      <w:r>
        <w:rPr>
          <w:szCs w:val="24"/>
          <w:lang w:val="fr-CA"/>
        </w:rPr>
        <w:t xml:space="preserve"> facteur tel qu’il a été énoncé dans l’arrêt </w:t>
      </w:r>
      <w:proofErr w:type="spellStart"/>
      <w:r w:rsidRPr="00132F5E">
        <w:rPr>
          <w:i/>
          <w:szCs w:val="24"/>
          <w:lang w:val="fr-CA"/>
        </w:rPr>
        <w:t>Borowsk</w:t>
      </w:r>
      <w:r>
        <w:rPr>
          <w:i/>
          <w:szCs w:val="24"/>
          <w:lang w:val="fr-CA"/>
        </w:rPr>
        <w:t>i</w:t>
      </w:r>
      <w:proofErr w:type="spellEnd"/>
      <w:r w:rsidRPr="00132F5E">
        <w:rPr>
          <w:rFonts w:cs="Times New Roman"/>
          <w:szCs w:val="24"/>
          <w:lang w:val="fr-CA"/>
        </w:rPr>
        <w:t xml:space="preserve"> ―</w:t>
      </w:r>
      <w:r w:rsidRPr="00132F5E">
        <w:rPr>
          <w:szCs w:val="24"/>
          <w:lang w:val="fr-CA"/>
        </w:rPr>
        <w:t xml:space="preserve"> </w:t>
      </w:r>
      <w:r>
        <w:rPr>
          <w:szCs w:val="24"/>
          <w:lang w:val="fr-CA"/>
        </w:rPr>
        <w:t>soit celui qui consiste à se demander s’il n’y a pas d’autre manière raisonnable et efficace de soumettre la question à la cour</w:t>
      </w:r>
      <w:r w:rsidRPr="00132F5E">
        <w:rPr>
          <w:szCs w:val="24"/>
          <w:lang w:val="fr-CA"/>
        </w:rPr>
        <w:t xml:space="preserve"> </w:t>
      </w:r>
      <w:r w:rsidRPr="00132F5E">
        <w:rPr>
          <w:rFonts w:cs="Times New Roman"/>
          <w:szCs w:val="24"/>
          <w:lang w:val="fr-CA"/>
        </w:rPr>
        <w:t>―</w:t>
      </w:r>
      <w:r w:rsidRPr="00132F5E">
        <w:rPr>
          <w:szCs w:val="24"/>
          <w:lang w:val="fr-CA"/>
        </w:rPr>
        <w:t xml:space="preserve"> </w:t>
      </w:r>
      <w:r>
        <w:rPr>
          <w:szCs w:val="24"/>
          <w:lang w:val="fr-CA"/>
        </w:rPr>
        <w:t xml:space="preserve">et consiste à déterminer la rigueur avec laquelle ce facteur devrait être défini et la façon dont il devrait être appliqué. </w:t>
      </w:r>
    </w:p>
    <w:p w:rsidR="00D867A4" w:rsidRPr="00132F5E" w:rsidRDefault="00D867A4" w:rsidP="00D867A4">
      <w:pPr>
        <w:pStyle w:val="ParaNoNdepar-AltN"/>
        <w:rPr>
          <w:szCs w:val="24"/>
          <w:lang w:val="fr-CA"/>
        </w:rPr>
      </w:pPr>
      <w:r>
        <w:rPr>
          <w:szCs w:val="24"/>
          <w:lang w:val="fr-CA"/>
        </w:rPr>
        <w:t xml:space="preserve">À mon avis, les trois éléments énoncés dans l’arrêt </w:t>
      </w:r>
      <w:proofErr w:type="spellStart"/>
      <w:r w:rsidRPr="00132F5E">
        <w:rPr>
          <w:i/>
          <w:szCs w:val="24"/>
          <w:lang w:val="fr-CA"/>
        </w:rPr>
        <w:t>Borowski</w:t>
      </w:r>
      <w:proofErr w:type="spellEnd"/>
      <w:r w:rsidRPr="00132F5E">
        <w:rPr>
          <w:szCs w:val="24"/>
          <w:lang w:val="fr-CA"/>
        </w:rPr>
        <w:t xml:space="preserve"> </w:t>
      </w:r>
      <w:r>
        <w:rPr>
          <w:szCs w:val="24"/>
          <w:lang w:val="fr-CA"/>
        </w:rPr>
        <w:t xml:space="preserve">sont intimement liés et doivent être considérés dans l’exercice du pouvoir discrétionnaire de reconnaître ou non la qualité pour agir.  Ces facteurs, et plus particulièrement le troisième, ne devraient pas être considérés comme des exigences inflexibles ou comme des critères autonomes sans aucun lien de dépendance les uns avec les autres.  Ils devraient plutôt être appréciés et soupesés de façon cumulative </w:t>
      </w:r>
      <w:r>
        <w:rPr>
          <w:rFonts w:cs="Times New Roman"/>
          <w:szCs w:val="24"/>
          <w:lang w:val="fr-CA"/>
        </w:rPr>
        <w:t xml:space="preserve">— à la lumière des objectifs qui </w:t>
      </w:r>
      <w:proofErr w:type="spellStart"/>
      <w:r>
        <w:rPr>
          <w:rFonts w:cs="Times New Roman"/>
          <w:szCs w:val="24"/>
          <w:lang w:val="fr-CA"/>
        </w:rPr>
        <w:t>sous</w:t>
      </w:r>
      <w:r>
        <w:rPr>
          <w:rFonts w:cs="Times New Roman"/>
          <w:szCs w:val="24"/>
          <w:lang w:val="fr-CA"/>
        </w:rPr>
        <w:noBreakHyphen/>
        <w:t>tendent</w:t>
      </w:r>
      <w:proofErr w:type="spellEnd"/>
      <w:r>
        <w:rPr>
          <w:rFonts w:cs="Times New Roman"/>
          <w:szCs w:val="24"/>
          <w:lang w:val="fr-CA"/>
        </w:rPr>
        <w:t xml:space="preserve"> les restrictions à</w:t>
      </w:r>
      <w:r>
        <w:rPr>
          <w:szCs w:val="24"/>
          <w:lang w:val="fr-CA"/>
        </w:rPr>
        <w:t xml:space="preserve"> la qualité pour agir </w:t>
      </w:r>
      <w:r>
        <w:rPr>
          <w:rFonts w:cs="Times New Roman"/>
          <w:szCs w:val="24"/>
          <w:lang w:val="fr-CA"/>
        </w:rPr>
        <w:t>—</w:t>
      </w:r>
      <w:r>
        <w:rPr>
          <w:szCs w:val="24"/>
          <w:lang w:val="fr-CA"/>
        </w:rPr>
        <w:t xml:space="preserve"> et appliqués d’une </w:t>
      </w:r>
      <w:r>
        <w:rPr>
          <w:szCs w:val="24"/>
          <w:lang w:val="fr-CA"/>
        </w:rPr>
        <w:lastRenderedPageBreak/>
        <w:t xml:space="preserve">manière souple et libérale de façon à favoriser la mise en œuvre de ces objectifs </w:t>
      </w:r>
      <w:proofErr w:type="spellStart"/>
      <w:r>
        <w:rPr>
          <w:szCs w:val="24"/>
          <w:lang w:val="fr-CA"/>
        </w:rPr>
        <w:t>sous</w:t>
      </w:r>
      <w:r>
        <w:rPr>
          <w:szCs w:val="24"/>
          <w:lang w:val="fr-CA"/>
        </w:rPr>
        <w:noBreakHyphen/>
        <w:t>jacents</w:t>
      </w:r>
      <w:proofErr w:type="spellEnd"/>
      <w:r>
        <w:rPr>
          <w:szCs w:val="24"/>
          <w:lang w:val="fr-CA"/>
        </w:rPr>
        <w:t xml:space="preserve">. </w:t>
      </w:r>
    </w:p>
    <w:p w:rsidR="00D867A4" w:rsidRPr="00634769" w:rsidRDefault="00D867A4" w:rsidP="00D867A4">
      <w:pPr>
        <w:pStyle w:val="ParaNoNdepar-AltN"/>
        <w:rPr>
          <w:szCs w:val="24"/>
          <w:lang w:val="fr-CA"/>
        </w:rPr>
      </w:pPr>
      <w:r>
        <w:rPr>
          <w:szCs w:val="24"/>
          <w:lang w:val="fr-CA"/>
        </w:rPr>
        <w:t>Je n’ai pas l’intention d’entreprendre l’examen exhaustif de la jurisprudence de la Cour en matière de qualité pour agir dans l’intérêt public.  Je vais cependant en souligner certains aspects clés : l’approche télé</w:t>
      </w:r>
      <w:r w:rsidR="002E67E6">
        <w:rPr>
          <w:szCs w:val="24"/>
          <w:lang w:val="fr-CA"/>
        </w:rPr>
        <w:t>ologique, la préoccupation sous-</w:t>
      </w:r>
      <w:r>
        <w:rPr>
          <w:szCs w:val="24"/>
          <w:lang w:val="fr-CA"/>
        </w:rPr>
        <w:t>jacente envers le principe de la légalité et l’importance de l’exercice judicieux du pouvoir judiciaire discrétionnaire.  Ensuite, je vais expliquer que, à mon avis, l’examen qu’il convient d’appliquer à ces facteurs confirme la conclusion de la Cour d’appel selon laquelle il y a lieu de reconnaître aux intimées la qualité pour agir dans l’intérêt public</w:t>
      </w:r>
      <w:r w:rsidRPr="00634769">
        <w:rPr>
          <w:szCs w:val="24"/>
          <w:lang w:val="fr-CA"/>
        </w:rPr>
        <w:t>.</w:t>
      </w:r>
    </w:p>
    <w:p w:rsidR="00D867A4" w:rsidRPr="00132F5E" w:rsidRDefault="00D867A4" w:rsidP="008627CE">
      <w:pPr>
        <w:pStyle w:val="TitleTitre-AltT"/>
        <w:keepNext/>
        <w:tabs>
          <w:tab w:val="clear" w:pos="360"/>
          <w:tab w:val="left" w:pos="540"/>
        </w:tabs>
        <w:ind w:left="1170" w:hanging="1170"/>
        <w:rPr>
          <w:szCs w:val="24"/>
          <w:lang w:val="fr-CA"/>
        </w:rPr>
      </w:pPr>
      <w:r>
        <w:rPr>
          <w:szCs w:val="24"/>
          <w:lang w:val="fr-CA"/>
        </w:rPr>
        <w:tab/>
      </w:r>
      <w:r w:rsidRPr="00132F5E">
        <w:rPr>
          <w:szCs w:val="24"/>
          <w:lang w:val="fr-CA"/>
        </w:rPr>
        <w:t>(2)</w:t>
      </w:r>
      <w:r>
        <w:rPr>
          <w:szCs w:val="24"/>
          <w:lang w:val="fr-CA"/>
        </w:rPr>
        <w:tab/>
      </w:r>
      <w:r w:rsidRPr="00C308C4">
        <w:rPr>
          <w:szCs w:val="24"/>
          <w:u w:val="single"/>
          <w:lang w:val="fr-CA"/>
        </w:rPr>
        <w:t>Les obje</w:t>
      </w:r>
      <w:r w:rsidR="008627CE">
        <w:rPr>
          <w:szCs w:val="24"/>
          <w:u w:val="single"/>
          <w:lang w:val="fr-CA"/>
        </w:rPr>
        <w:t>c</w:t>
      </w:r>
      <w:r w:rsidRPr="00C308C4">
        <w:rPr>
          <w:szCs w:val="24"/>
          <w:u w:val="single"/>
          <w:lang w:val="fr-CA"/>
        </w:rPr>
        <w:t>t</w:t>
      </w:r>
      <w:r>
        <w:rPr>
          <w:szCs w:val="24"/>
          <w:u w:val="single"/>
          <w:lang w:val="fr-CA"/>
        </w:rPr>
        <w:t>ifs</w:t>
      </w:r>
      <w:r w:rsidRPr="00C308C4">
        <w:rPr>
          <w:szCs w:val="24"/>
          <w:u w:val="single"/>
          <w:lang w:val="fr-CA"/>
        </w:rPr>
        <w:t xml:space="preserve"> </w:t>
      </w:r>
      <w:r>
        <w:rPr>
          <w:szCs w:val="24"/>
          <w:u w:val="single"/>
          <w:lang w:val="fr-CA"/>
        </w:rPr>
        <w:t>des</w:t>
      </w:r>
      <w:r w:rsidRPr="00C308C4">
        <w:rPr>
          <w:szCs w:val="24"/>
          <w:u w:val="single"/>
          <w:lang w:val="fr-CA"/>
        </w:rPr>
        <w:t xml:space="preserve"> règles de droit </w:t>
      </w:r>
      <w:r>
        <w:rPr>
          <w:szCs w:val="24"/>
          <w:u w:val="single"/>
          <w:lang w:val="fr-CA"/>
        </w:rPr>
        <w:t>relatives à</w:t>
      </w:r>
      <w:r w:rsidRPr="00C308C4">
        <w:rPr>
          <w:szCs w:val="24"/>
          <w:u w:val="single"/>
          <w:lang w:val="fr-CA"/>
        </w:rPr>
        <w:t xml:space="preserve"> la qualité pour agir</w:t>
      </w:r>
      <w:r>
        <w:rPr>
          <w:szCs w:val="24"/>
          <w:u w:val="single"/>
          <w:lang w:val="fr-CA"/>
        </w:rPr>
        <w:t xml:space="preserve"> </w:t>
      </w:r>
    </w:p>
    <w:p w:rsidR="00D867A4" w:rsidRPr="00234FA6" w:rsidRDefault="00D867A4" w:rsidP="00D867A4">
      <w:pPr>
        <w:pStyle w:val="ParaNoNdepar-AltN"/>
        <w:rPr>
          <w:szCs w:val="24"/>
          <w:lang w:val="fr-CA"/>
        </w:rPr>
      </w:pPr>
      <w:r>
        <w:rPr>
          <w:szCs w:val="24"/>
          <w:lang w:val="fr-CA"/>
        </w:rPr>
        <w:t>Les tribunaux ont reconnu depuis longtemps la nécessité de restreindre la qualité pour agir.  En effet, ce ne sont pas toutes les personnes voulant débattre d’une question, sans tenir compte du fait qu’elles soient touchées par l’issue du débat ou pas, qui devraient être autorisées à le faire :</w:t>
      </w:r>
      <w:r w:rsidRPr="00132F5E">
        <w:rPr>
          <w:szCs w:val="24"/>
          <w:lang w:val="fr-CA"/>
        </w:rPr>
        <w:t xml:space="preserve"> </w:t>
      </w:r>
      <w:r>
        <w:rPr>
          <w:i/>
          <w:szCs w:val="24"/>
          <w:lang w:val="fr-CA"/>
        </w:rPr>
        <w:t>Conseil canadien des Églises</w:t>
      </w:r>
      <w:r w:rsidRPr="00132F5E">
        <w:rPr>
          <w:szCs w:val="24"/>
          <w:lang w:val="fr-CA"/>
        </w:rPr>
        <w:t xml:space="preserve">, </w:t>
      </w:r>
      <w:r>
        <w:rPr>
          <w:szCs w:val="24"/>
          <w:lang w:val="fr-CA"/>
        </w:rPr>
        <w:t>p. </w:t>
      </w:r>
      <w:r w:rsidRPr="00132F5E">
        <w:rPr>
          <w:szCs w:val="24"/>
          <w:lang w:val="fr-CA"/>
        </w:rPr>
        <w:t>252</w:t>
      </w:r>
      <w:r>
        <w:rPr>
          <w:szCs w:val="24"/>
          <w:lang w:val="fr-CA"/>
        </w:rPr>
        <w:t xml:space="preserve">.  Cela étant dit, l’augmentation de la réglementation gouvernementale et l’entrée en vigueur de la </w:t>
      </w:r>
      <w:r>
        <w:rPr>
          <w:i/>
          <w:szCs w:val="24"/>
          <w:lang w:val="fr-CA"/>
        </w:rPr>
        <w:t xml:space="preserve">Charte </w:t>
      </w:r>
      <w:r w:rsidRPr="00234FA6">
        <w:rPr>
          <w:szCs w:val="24"/>
          <w:lang w:val="fr-CA"/>
        </w:rPr>
        <w:t>ont incité les tribunaux à s</w:t>
      </w:r>
      <w:r>
        <w:rPr>
          <w:szCs w:val="24"/>
          <w:lang w:val="fr-CA"/>
        </w:rPr>
        <w:t>’</w:t>
      </w:r>
      <w:r w:rsidRPr="00234FA6">
        <w:rPr>
          <w:szCs w:val="24"/>
          <w:lang w:val="fr-CA"/>
        </w:rPr>
        <w:t>éloigner d</w:t>
      </w:r>
      <w:r>
        <w:rPr>
          <w:szCs w:val="24"/>
          <w:lang w:val="fr-CA"/>
        </w:rPr>
        <w:t>’</w:t>
      </w:r>
      <w:r w:rsidRPr="00234FA6">
        <w:rPr>
          <w:szCs w:val="24"/>
          <w:lang w:val="fr-CA"/>
        </w:rPr>
        <w:t>une conception de leur rôle fondée strictement sur le droit privé, comme en témoigne l</w:t>
      </w:r>
      <w:r>
        <w:rPr>
          <w:szCs w:val="24"/>
          <w:lang w:val="fr-CA"/>
        </w:rPr>
        <w:t>’</w:t>
      </w:r>
      <w:r w:rsidRPr="00234FA6">
        <w:rPr>
          <w:szCs w:val="24"/>
          <w:lang w:val="fr-CA"/>
        </w:rPr>
        <w:t>observation d</w:t>
      </w:r>
      <w:r>
        <w:rPr>
          <w:szCs w:val="24"/>
          <w:lang w:val="fr-CA"/>
        </w:rPr>
        <w:t>’</w:t>
      </w:r>
      <w:r w:rsidRPr="00234FA6">
        <w:rPr>
          <w:szCs w:val="24"/>
          <w:lang w:val="fr-CA"/>
        </w:rPr>
        <w:t>un certain relâchement des règles traditionnelles</w:t>
      </w:r>
      <w:r>
        <w:rPr>
          <w:szCs w:val="24"/>
          <w:lang w:val="fr-CA"/>
        </w:rPr>
        <w:t xml:space="preserve"> de droit privé en ce qui concerne la qualité pour engager une poursuite :</w:t>
      </w:r>
      <w:r w:rsidRPr="00132F5E">
        <w:rPr>
          <w:szCs w:val="24"/>
          <w:lang w:val="fr-CA"/>
        </w:rPr>
        <w:t xml:space="preserve"> </w:t>
      </w:r>
      <w:r>
        <w:rPr>
          <w:i/>
          <w:szCs w:val="24"/>
          <w:lang w:val="fr-CA"/>
        </w:rPr>
        <w:t>Conseil canadien des Églises</w:t>
      </w:r>
      <w:r w:rsidRPr="00132F5E">
        <w:rPr>
          <w:szCs w:val="24"/>
          <w:lang w:val="fr-CA"/>
        </w:rPr>
        <w:t>,</w:t>
      </w:r>
      <w:r w:rsidRPr="00132F5E">
        <w:rPr>
          <w:i/>
          <w:szCs w:val="24"/>
          <w:lang w:val="fr-CA"/>
        </w:rPr>
        <w:t xml:space="preserve"> </w:t>
      </w:r>
      <w:r>
        <w:rPr>
          <w:szCs w:val="24"/>
          <w:lang w:val="fr-CA"/>
        </w:rPr>
        <w:t>p. </w:t>
      </w:r>
      <w:r w:rsidRPr="00132F5E">
        <w:rPr>
          <w:szCs w:val="24"/>
          <w:lang w:val="fr-CA"/>
        </w:rPr>
        <w:t>249</w:t>
      </w:r>
      <w:r w:rsidR="00D50F4F">
        <w:rPr>
          <w:szCs w:val="24"/>
          <w:lang w:val="fr-CA"/>
        </w:rPr>
        <w:t>,</w:t>
      </w:r>
      <w:r w:rsidRPr="00132F5E">
        <w:rPr>
          <w:szCs w:val="24"/>
          <w:lang w:val="fr-CA"/>
        </w:rPr>
        <w:t xml:space="preserve"> </w:t>
      </w:r>
      <w:r>
        <w:rPr>
          <w:szCs w:val="24"/>
          <w:lang w:val="fr-CA"/>
        </w:rPr>
        <w:t xml:space="preserve">et voir </w:t>
      </w:r>
      <w:r>
        <w:rPr>
          <w:szCs w:val="24"/>
          <w:lang w:val="fr-CA"/>
        </w:rPr>
        <w:lastRenderedPageBreak/>
        <w:t>aussi généralement O. M. </w:t>
      </w:r>
      <w:proofErr w:type="spellStart"/>
      <w:r>
        <w:rPr>
          <w:szCs w:val="24"/>
          <w:lang w:val="fr-CA"/>
        </w:rPr>
        <w:t>Fiss</w:t>
      </w:r>
      <w:proofErr w:type="spellEnd"/>
      <w:r>
        <w:rPr>
          <w:szCs w:val="24"/>
          <w:lang w:val="fr-CA"/>
        </w:rPr>
        <w:t>, « </w:t>
      </w:r>
      <w:r w:rsidRPr="00132F5E">
        <w:rPr>
          <w:szCs w:val="24"/>
          <w:lang w:val="fr-CA"/>
        </w:rPr>
        <w:t xml:space="preserve">The Social and </w:t>
      </w:r>
      <w:proofErr w:type="spellStart"/>
      <w:r w:rsidRPr="00132F5E">
        <w:rPr>
          <w:szCs w:val="24"/>
          <w:lang w:val="fr-CA"/>
        </w:rPr>
        <w:t>Politi</w:t>
      </w:r>
      <w:r>
        <w:rPr>
          <w:szCs w:val="24"/>
          <w:lang w:val="fr-CA"/>
        </w:rPr>
        <w:t>cal</w:t>
      </w:r>
      <w:proofErr w:type="spellEnd"/>
      <w:r>
        <w:rPr>
          <w:szCs w:val="24"/>
          <w:lang w:val="fr-CA"/>
        </w:rPr>
        <w:t xml:space="preserve"> </w:t>
      </w:r>
      <w:proofErr w:type="spellStart"/>
      <w:r>
        <w:rPr>
          <w:szCs w:val="24"/>
          <w:lang w:val="fr-CA"/>
        </w:rPr>
        <w:t>Foundations</w:t>
      </w:r>
      <w:proofErr w:type="spellEnd"/>
      <w:r>
        <w:rPr>
          <w:szCs w:val="24"/>
          <w:lang w:val="fr-CA"/>
        </w:rPr>
        <w:t xml:space="preserve"> of Adjudication »</w:t>
      </w:r>
      <w:r w:rsidRPr="00132F5E">
        <w:rPr>
          <w:szCs w:val="24"/>
          <w:lang w:val="fr-CA"/>
        </w:rPr>
        <w:t xml:space="preserve"> (1982), 6 </w:t>
      </w:r>
      <w:r w:rsidRPr="008627CE">
        <w:rPr>
          <w:i/>
          <w:szCs w:val="24"/>
          <w:lang w:val="fr-CA"/>
        </w:rPr>
        <w:t xml:space="preserve">Law &amp; Hum. </w:t>
      </w:r>
      <w:proofErr w:type="spellStart"/>
      <w:r w:rsidRPr="008627CE">
        <w:rPr>
          <w:i/>
          <w:szCs w:val="24"/>
          <w:lang w:val="fr-CA"/>
        </w:rPr>
        <w:t>Behav</w:t>
      </w:r>
      <w:proofErr w:type="spellEnd"/>
      <w:r w:rsidRPr="008627CE">
        <w:rPr>
          <w:i/>
          <w:szCs w:val="24"/>
          <w:lang w:val="fr-CA"/>
        </w:rPr>
        <w:t>.</w:t>
      </w:r>
      <w:r w:rsidRPr="00132F5E">
        <w:rPr>
          <w:szCs w:val="24"/>
          <w:lang w:val="fr-CA"/>
        </w:rPr>
        <w:t xml:space="preserve"> 121</w:t>
      </w:r>
      <w:r>
        <w:rPr>
          <w:szCs w:val="24"/>
          <w:lang w:val="fr-CA"/>
        </w:rPr>
        <w:t xml:space="preserve">.  La Cour a reconnu que, dans le cadre d’une démocratie constitutionnelle comme celle du Canada qui est doté d’une </w:t>
      </w:r>
      <w:r>
        <w:rPr>
          <w:i/>
          <w:szCs w:val="24"/>
          <w:lang w:val="fr-CA"/>
        </w:rPr>
        <w:t>Charte des droits et libertés</w:t>
      </w:r>
      <w:r>
        <w:rPr>
          <w:szCs w:val="24"/>
          <w:lang w:val="fr-CA"/>
        </w:rPr>
        <w:t>,</w:t>
      </w:r>
      <w:r>
        <w:rPr>
          <w:i/>
          <w:szCs w:val="24"/>
          <w:lang w:val="fr-CA"/>
        </w:rPr>
        <w:t xml:space="preserve"> </w:t>
      </w:r>
      <w:r>
        <w:rPr>
          <w:szCs w:val="24"/>
          <w:lang w:val="fr-CA"/>
        </w:rPr>
        <w:t>il existe des occasions</w:t>
      </w:r>
      <w:r w:rsidRPr="00132F5E">
        <w:rPr>
          <w:szCs w:val="24"/>
          <w:lang w:val="fr-CA"/>
        </w:rPr>
        <w:t xml:space="preserve"> </w:t>
      </w:r>
      <w:r>
        <w:rPr>
          <w:szCs w:val="24"/>
          <w:lang w:val="fr-CA"/>
        </w:rPr>
        <w:t>où un litige</w:t>
      </w:r>
      <w:r w:rsidRPr="00234FA6">
        <w:rPr>
          <w:szCs w:val="24"/>
          <w:lang w:val="fr-CA"/>
        </w:rPr>
        <w:t xml:space="preserve"> d</w:t>
      </w:r>
      <w:r>
        <w:rPr>
          <w:szCs w:val="24"/>
          <w:lang w:val="fr-CA"/>
        </w:rPr>
        <w:t>’</w:t>
      </w:r>
      <w:r w:rsidRPr="00234FA6">
        <w:rPr>
          <w:szCs w:val="24"/>
          <w:lang w:val="fr-CA"/>
        </w:rPr>
        <w:t>intérêt public constitue la façon</w:t>
      </w:r>
      <w:r>
        <w:rPr>
          <w:szCs w:val="24"/>
          <w:lang w:val="fr-CA"/>
        </w:rPr>
        <w:t xml:space="preserve"> appropriée</w:t>
      </w:r>
      <w:r w:rsidRPr="00234FA6">
        <w:rPr>
          <w:szCs w:val="24"/>
          <w:lang w:val="fr-CA"/>
        </w:rPr>
        <w:t xml:space="preserve"> de procéder pour saisir les tribunaux de questions d</w:t>
      </w:r>
      <w:r>
        <w:rPr>
          <w:szCs w:val="24"/>
          <w:lang w:val="fr-CA"/>
        </w:rPr>
        <w:t>’</w:t>
      </w:r>
      <w:r w:rsidRPr="00234FA6">
        <w:rPr>
          <w:szCs w:val="24"/>
          <w:lang w:val="fr-CA"/>
        </w:rPr>
        <w:t>intérêt public d</w:t>
      </w:r>
      <w:r>
        <w:rPr>
          <w:szCs w:val="24"/>
          <w:lang w:val="fr-CA"/>
        </w:rPr>
        <w:t>’</w:t>
      </w:r>
      <w:r w:rsidRPr="00234FA6">
        <w:rPr>
          <w:szCs w:val="24"/>
          <w:lang w:val="fr-CA"/>
        </w:rPr>
        <w:t xml:space="preserve">importance.  </w:t>
      </w:r>
    </w:p>
    <w:p w:rsidR="00D867A4" w:rsidRPr="00132F5E" w:rsidRDefault="00D867A4" w:rsidP="00D867A4">
      <w:pPr>
        <w:pStyle w:val="ParaNoNdepar-AltN"/>
        <w:rPr>
          <w:szCs w:val="24"/>
          <w:lang w:val="fr-CA"/>
        </w:rPr>
      </w:pPr>
      <w:r>
        <w:rPr>
          <w:szCs w:val="24"/>
          <w:lang w:val="fr-CA"/>
        </w:rPr>
        <w:t>Dans les affaires de droit public, la Cour a adopté une approche téléologique pour l’élaboration des règles de droit applicables à la question de la qualité pour agir.  Lorsqu’il s’agit de décider s’il est justifié de reconnaître cette qualité, les tribunaux doivent exercer leur pouvoir discrétionnaire et mettre en balance, d’une</w:t>
      </w:r>
      <w:r w:rsidR="002E67E6">
        <w:rPr>
          <w:szCs w:val="24"/>
          <w:lang w:val="fr-CA"/>
        </w:rPr>
        <w:t xml:space="preserve"> part, le raisonnement qui sous-</w:t>
      </w:r>
      <w:r>
        <w:rPr>
          <w:szCs w:val="24"/>
          <w:lang w:val="fr-CA"/>
        </w:rPr>
        <w:t xml:space="preserve">tend les restrictions à cette reconnaissance et, d’autre part, le rôle important qu’ils jouent lorsqu’ils se prononcent sur la </w:t>
      </w:r>
      <w:r w:rsidRPr="00FD3ABD">
        <w:rPr>
          <w:szCs w:val="24"/>
          <w:lang w:val="fr-CA"/>
        </w:rPr>
        <w:t>validité d</w:t>
      </w:r>
      <w:r>
        <w:rPr>
          <w:szCs w:val="24"/>
          <w:lang w:val="fr-CA"/>
        </w:rPr>
        <w:t>es mesures prises par le gouvernement.  En somme, les règles de droit relatives à la qualité pour agir tirent leur origine de la nécessité d’établir un équilibre « </w:t>
      </w:r>
      <w:r w:rsidRPr="00AA033C">
        <w:rPr>
          <w:szCs w:val="24"/>
          <w:lang w:val="fr-CA"/>
        </w:rPr>
        <w:t>entre l</w:t>
      </w:r>
      <w:r>
        <w:rPr>
          <w:szCs w:val="24"/>
          <w:lang w:val="fr-CA"/>
        </w:rPr>
        <w:t>’</w:t>
      </w:r>
      <w:r w:rsidRPr="00AA033C">
        <w:rPr>
          <w:szCs w:val="24"/>
          <w:lang w:val="fr-CA"/>
        </w:rPr>
        <w:t>accès aux tribunaux et la nécessité d</w:t>
      </w:r>
      <w:r>
        <w:rPr>
          <w:szCs w:val="24"/>
          <w:lang w:val="fr-CA"/>
        </w:rPr>
        <w:t>’</w:t>
      </w:r>
      <w:r w:rsidRPr="00AA033C">
        <w:rPr>
          <w:szCs w:val="24"/>
          <w:lang w:val="fr-CA"/>
        </w:rPr>
        <w:t>économiser les ressources judiciaires</w:t>
      </w:r>
      <w:r>
        <w:rPr>
          <w:szCs w:val="24"/>
          <w:lang w:val="fr-CA"/>
        </w:rPr>
        <w:t> » :</w:t>
      </w:r>
      <w:r w:rsidRPr="00132F5E">
        <w:rPr>
          <w:szCs w:val="24"/>
          <w:lang w:val="fr-CA"/>
        </w:rPr>
        <w:t xml:space="preserve"> </w:t>
      </w:r>
      <w:r>
        <w:rPr>
          <w:i/>
          <w:szCs w:val="24"/>
          <w:lang w:val="fr-CA"/>
        </w:rPr>
        <w:t>Conseil canadien des Églises</w:t>
      </w:r>
      <w:r w:rsidRPr="00132F5E">
        <w:rPr>
          <w:szCs w:val="24"/>
          <w:lang w:val="fr-CA"/>
        </w:rPr>
        <w:t xml:space="preserve">, </w:t>
      </w:r>
      <w:r>
        <w:rPr>
          <w:szCs w:val="24"/>
          <w:lang w:val="fr-CA"/>
        </w:rPr>
        <w:t>p. </w:t>
      </w:r>
      <w:r w:rsidRPr="00132F5E">
        <w:rPr>
          <w:szCs w:val="24"/>
          <w:lang w:val="fr-CA"/>
        </w:rPr>
        <w:t xml:space="preserve">252. </w:t>
      </w:r>
    </w:p>
    <w:p w:rsidR="00D867A4" w:rsidRPr="00132F5E" w:rsidRDefault="00D867A4" w:rsidP="00D867A4">
      <w:pPr>
        <w:pStyle w:val="ParaNoNdepar-AltN"/>
        <w:rPr>
          <w:szCs w:val="24"/>
          <w:lang w:val="fr-CA"/>
        </w:rPr>
      </w:pPr>
      <w:r>
        <w:rPr>
          <w:szCs w:val="24"/>
          <w:lang w:val="fr-CA"/>
        </w:rPr>
        <w:t xml:space="preserve">Il est utile de rappeler ici succinctement les objectifs </w:t>
      </w:r>
      <w:proofErr w:type="spellStart"/>
      <w:r>
        <w:rPr>
          <w:szCs w:val="24"/>
          <w:lang w:val="fr-CA"/>
        </w:rPr>
        <w:t>sous</w:t>
      </w:r>
      <w:r>
        <w:rPr>
          <w:szCs w:val="24"/>
          <w:lang w:val="fr-CA"/>
        </w:rPr>
        <w:noBreakHyphen/>
        <w:t>jacents</w:t>
      </w:r>
      <w:proofErr w:type="spellEnd"/>
      <w:r>
        <w:rPr>
          <w:szCs w:val="24"/>
          <w:lang w:val="fr-CA"/>
        </w:rPr>
        <w:t xml:space="preserve"> que visent les règles de droit relatives à la qualité pour agir formulées par la Cour ainsi que la manière dont ils sont pris en compte. </w:t>
      </w:r>
    </w:p>
    <w:p w:rsidR="00D867A4" w:rsidRPr="000D3FE6" w:rsidRDefault="00D867A4" w:rsidP="00D867A4">
      <w:pPr>
        <w:pStyle w:val="ParaNoNdepar-AltN"/>
        <w:rPr>
          <w:szCs w:val="24"/>
          <w:lang w:val="fr-CA"/>
        </w:rPr>
      </w:pPr>
      <w:r>
        <w:rPr>
          <w:szCs w:val="24"/>
          <w:lang w:val="fr-CA"/>
        </w:rPr>
        <w:lastRenderedPageBreak/>
        <w:t xml:space="preserve">C’est dans l’arrêt </w:t>
      </w:r>
      <w:r w:rsidRPr="00132F5E">
        <w:rPr>
          <w:i/>
          <w:szCs w:val="24"/>
          <w:lang w:val="fr-CA"/>
        </w:rPr>
        <w:t>Finlay</w:t>
      </w:r>
      <w:r>
        <w:rPr>
          <w:szCs w:val="24"/>
          <w:lang w:val="fr-CA"/>
        </w:rPr>
        <w:t>,</w:t>
      </w:r>
      <w:r w:rsidR="008627CE">
        <w:rPr>
          <w:szCs w:val="24"/>
          <w:lang w:val="fr-CA"/>
        </w:rPr>
        <w:t xml:space="preserve"> aux</w:t>
      </w:r>
      <w:r>
        <w:rPr>
          <w:szCs w:val="24"/>
          <w:lang w:val="fr-CA"/>
        </w:rPr>
        <w:t xml:space="preserve"> p. </w:t>
      </w:r>
      <w:r w:rsidRPr="00132F5E">
        <w:rPr>
          <w:szCs w:val="24"/>
          <w:lang w:val="fr-CA"/>
        </w:rPr>
        <w:t>631</w:t>
      </w:r>
      <w:r w:rsidR="008627CE">
        <w:rPr>
          <w:szCs w:val="24"/>
          <w:lang w:val="fr-CA"/>
        </w:rPr>
        <w:t>-6</w:t>
      </w:r>
      <w:r w:rsidRPr="00132F5E">
        <w:rPr>
          <w:szCs w:val="24"/>
          <w:lang w:val="fr-CA"/>
        </w:rPr>
        <w:t>34</w:t>
      </w:r>
      <w:r>
        <w:rPr>
          <w:szCs w:val="24"/>
          <w:lang w:val="fr-CA"/>
        </w:rPr>
        <w:t>, qu’on trouve l’</w:t>
      </w:r>
      <w:r w:rsidRPr="00222CDE">
        <w:rPr>
          <w:szCs w:val="24"/>
          <w:lang w:val="fr-CA"/>
        </w:rPr>
        <w:t>examen le plus exhaustif du raisonnement</w:t>
      </w:r>
      <w:r>
        <w:rPr>
          <w:szCs w:val="24"/>
          <w:lang w:val="fr-CA"/>
        </w:rPr>
        <w:t xml:space="preserve"> qui sous</w:t>
      </w:r>
      <w:r w:rsidR="002E67E6">
        <w:rPr>
          <w:szCs w:val="24"/>
          <w:lang w:val="fr-CA"/>
        </w:rPr>
        <w:t>-</w:t>
      </w:r>
      <w:r>
        <w:rPr>
          <w:szCs w:val="24"/>
          <w:lang w:val="fr-CA"/>
        </w:rPr>
        <w:t xml:space="preserve">tend les restrictions à la reconnaissance de la qualité pour agir.  En effet, la Cour y a décrit les </w:t>
      </w:r>
      <w:r w:rsidRPr="000D3FE6">
        <w:rPr>
          <w:szCs w:val="24"/>
          <w:lang w:val="fr-CA"/>
        </w:rPr>
        <w:t xml:space="preserve">préoccupations qui, traditionnellement, ont servi à expliquer </w:t>
      </w:r>
      <w:r>
        <w:rPr>
          <w:szCs w:val="24"/>
          <w:lang w:val="fr-CA"/>
        </w:rPr>
        <w:t>c</w:t>
      </w:r>
      <w:r w:rsidRPr="000D3FE6">
        <w:rPr>
          <w:szCs w:val="24"/>
          <w:lang w:val="fr-CA"/>
        </w:rPr>
        <w:t>es restrictions</w:t>
      </w:r>
      <w:r>
        <w:rPr>
          <w:szCs w:val="24"/>
          <w:lang w:val="fr-CA"/>
        </w:rPr>
        <w:t xml:space="preserve"> : l’affectation appropriée des ressources judiciaires limitées et la </w:t>
      </w:r>
      <w:r w:rsidR="002E67E6">
        <w:rPr>
          <w:szCs w:val="24"/>
          <w:lang w:val="fr-CA"/>
        </w:rPr>
        <w:t>nécessité d’écarter les trouble-</w:t>
      </w:r>
      <w:r>
        <w:rPr>
          <w:szCs w:val="24"/>
          <w:lang w:val="fr-CA"/>
        </w:rPr>
        <w:t>fête</w:t>
      </w:r>
      <w:r w:rsidRPr="00132F5E">
        <w:rPr>
          <w:szCs w:val="24"/>
          <w:lang w:val="fr-CA"/>
        </w:rPr>
        <w:t xml:space="preserve">; </w:t>
      </w:r>
      <w:r>
        <w:rPr>
          <w:szCs w:val="24"/>
          <w:lang w:val="fr-CA"/>
        </w:rPr>
        <w:t xml:space="preserve">l’assurance que les tribunaux entendront </w:t>
      </w:r>
      <w:r>
        <w:rPr>
          <w:spacing w:val="-3"/>
          <w:lang w:val="fr-FR"/>
        </w:rPr>
        <w:t>les principaux intéressés faire valoir contradictoirement leurs points de vue</w:t>
      </w:r>
      <w:r w:rsidRPr="00132F5E">
        <w:rPr>
          <w:szCs w:val="24"/>
          <w:lang w:val="fr-CA"/>
        </w:rPr>
        <w:t xml:space="preserve">; </w:t>
      </w:r>
      <w:r>
        <w:rPr>
          <w:szCs w:val="24"/>
          <w:lang w:val="fr-CA"/>
        </w:rPr>
        <w:t xml:space="preserve">et la sauvegarde </w:t>
      </w:r>
      <w:r w:rsidRPr="000D3FE6">
        <w:rPr>
          <w:szCs w:val="24"/>
          <w:lang w:val="fr-CA"/>
        </w:rPr>
        <w:t xml:space="preserve">du rôle propre aux tribunaux et de leur relation constitutionnelle avec les autres branches du gouvernement.  Quelques mots sont de mise concernant chacune de ces préoccupations traditionnelles. </w:t>
      </w:r>
    </w:p>
    <w:p w:rsidR="00D867A4" w:rsidRPr="00132F5E" w:rsidRDefault="00D867A4" w:rsidP="00B80BF2">
      <w:pPr>
        <w:pStyle w:val="TitleTitre-AltT"/>
        <w:keepNext/>
        <w:tabs>
          <w:tab w:val="clear" w:pos="360"/>
          <w:tab w:val="left" w:pos="540"/>
        </w:tabs>
        <w:ind w:left="1170" w:hanging="1170"/>
        <w:rPr>
          <w:szCs w:val="24"/>
          <w:lang w:val="fr-CA"/>
        </w:rPr>
      </w:pPr>
      <w:r>
        <w:rPr>
          <w:szCs w:val="24"/>
          <w:lang w:val="fr-CA"/>
        </w:rPr>
        <w:tab/>
      </w:r>
      <w:r w:rsidRPr="00132F5E">
        <w:rPr>
          <w:szCs w:val="24"/>
          <w:lang w:val="fr-CA"/>
        </w:rPr>
        <w:t>a)</w:t>
      </w:r>
      <w:r>
        <w:rPr>
          <w:i/>
          <w:szCs w:val="24"/>
          <w:lang w:val="fr-CA"/>
        </w:rPr>
        <w:tab/>
        <w:t>Les ressources judiciaires limitées et les « </w:t>
      </w:r>
      <w:proofErr w:type="spellStart"/>
      <w:r>
        <w:rPr>
          <w:i/>
          <w:szCs w:val="24"/>
          <w:lang w:val="fr-CA"/>
        </w:rPr>
        <w:t>trouble</w:t>
      </w:r>
      <w:r>
        <w:rPr>
          <w:i/>
          <w:szCs w:val="24"/>
          <w:lang w:val="fr-CA"/>
        </w:rPr>
        <w:noBreakHyphen/>
        <w:t>fête</w:t>
      </w:r>
      <w:proofErr w:type="spellEnd"/>
      <w:r>
        <w:rPr>
          <w:i/>
          <w:szCs w:val="24"/>
          <w:lang w:val="fr-CA"/>
        </w:rPr>
        <w:t> »</w:t>
      </w:r>
    </w:p>
    <w:p w:rsidR="00D867A4" w:rsidRPr="00132F5E" w:rsidRDefault="00D867A4" w:rsidP="00D867A4">
      <w:pPr>
        <w:pStyle w:val="ParaNoNdepar-AltN"/>
        <w:rPr>
          <w:lang w:val="fr-CA"/>
        </w:rPr>
      </w:pPr>
      <w:r>
        <w:rPr>
          <w:lang w:val="fr-CA"/>
        </w:rPr>
        <w:t>La préoccupation au regard de l’affectation appropriée des ressources judiciaires limitées est en partie fondée sur l’argument bien connu du « raz de marée ».  Le relâchement des règles concernant la qualité pour agir pourrait avoir comme résultat de conférer à plusieurs personnes le droit d’intenter des actions de nature semblable et il pourrait en résulter de</w:t>
      </w:r>
      <w:r w:rsidR="00B80BF2">
        <w:rPr>
          <w:lang w:val="fr-CA"/>
        </w:rPr>
        <w:t xml:space="preserve"> [</w:t>
      </w:r>
      <w:r w:rsidR="00B80BF2" w:rsidRPr="00B80BF2">
        <w:rPr>
          <w:smallCaps/>
          <w:lang w:val="fr-CA"/>
        </w:rPr>
        <w:t>traduction</w:t>
      </w:r>
      <w:r w:rsidR="00B80BF2">
        <w:rPr>
          <w:lang w:val="fr-CA"/>
        </w:rPr>
        <w:t>]</w:t>
      </w:r>
      <w:r>
        <w:rPr>
          <w:lang w:val="fr-CA"/>
        </w:rPr>
        <w:t xml:space="preserve"> « graves inconvénients » : voir</w:t>
      </w:r>
      <w:r w:rsidR="00B80BF2">
        <w:rPr>
          <w:lang w:val="fr-CA"/>
        </w:rPr>
        <w:t>,</w:t>
      </w:r>
      <w:r>
        <w:rPr>
          <w:lang w:val="fr-CA"/>
        </w:rPr>
        <w:t xml:space="preserve"> p</w:t>
      </w:r>
      <w:r w:rsidR="00B80BF2">
        <w:rPr>
          <w:lang w:val="fr-CA"/>
        </w:rPr>
        <w:t>.</w:t>
      </w:r>
      <w:r>
        <w:rPr>
          <w:lang w:val="fr-CA"/>
        </w:rPr>
        <w:t xml:space="preserve"> ex., </w:t>
      </w:r>
      <w:r>
        <w:rPr>
          <w:i/>
          <w:lang w:val="fr-CA"/>
        </w:rPr>
        <w:t>Smith c</w:t>
      </w:r>
      <w:r w:rsidRPr="00132F5E">
        <w:rPr>
          <w:i/>
          <w:lang w:val="fr-CA"/>
        </w:rPr>
        <w:t xml:space="preserve">. </w:t>
      </w:r>
      <w:r w:rsidR="00B80BF2">
        <w:rPr>
          <w:i/>
          <w:lang w:val="fr-CA"/>
        </w:rPr>
        <w:t xml:space="preserve">Attorney General of </w:t>
      </w:r>
      <w:r>
        <w:rPr>
          <w:i/>
          <w:lang w:val="fr-CA"/>
        </w:rPr>
        <w:t>Ontario</w:t>
      </w:r>
      <w:r w:rsidRPr="00132F5E">
        <w:rPr>
          <w:lang w:val="fr-CA"/>
        </w:rPr>
        <w:t xml:space="preserve">, [1924] </w:t>
      </w:r>
      <w:r>
        <w:rPr>
          <w:lang w:val="fr-CA"/>
        </w:rPr>
        <w:t>R.C.S.</w:t>
      </w:r>
      <w:r w:rsidRPr="00132F5E">
        <w:rPr>
          <w:lang w:val="fr-CA"/>
        </w:rPr>
        <w:t xml:space="preserve"> 331, </w:t>
      </w:r>
      <w:r>
        <w:rPr>
          <w:lang w:val="fr-CA"/>
        </w:rPr>
        <w:t>p. </w:t>
      </w:r>
      <w:r w:rsidRPr="00132F5E">
        <w:rPr>
          <w:lang w:val="fr-CA"/>
        </w:rPr>
        <w:t>337</w:t>
      </w:r>
      <w:r>
        <w:rPr>
          <w:lang w:val="fr-CA"/>
        </w:rPr>
        <w:t xml:space="preserve">.  Le juge Cory a présenté la chose de façon convaincante au nom de la Cour dans l’arrêt </w:t>
      </w:r>
      <w:r>
        <w:rPr>
          <w:i/>
          <w:lang w:val="fr-CA"/>
        </w:rPr>
        <w:t>Conseil canadien des Églises</w:t>
      </w:r>
      <w:r>
        <w:rPr>
          <w:lang w:val="fr-CA"/>
        </w:rPr>
        <w:t> : « </w:t>
      </w:r>
      <w:r w:rsidRPr="007D1C22">
        <w:rPr>
          <w:lang w:val="fr-CA"/>
        </w:rPr>
        <w:t>Ce serait désastreux si les tribunaux devenaient complètement submergés en raison d</w:t>
      </w:r>
      <w:r>
        <w:rPr>
          <w:lang w:val="fr-CA"/>
        </w:rPr>
        <w:t>’</w:t>
      </w:r>
      <w:r w:rsidRPr="007D1C22">
        <w:rPr>
          <w:lang w:val="fr-CA"/>
        </w:rPr>
        <w:t>une prolifération inutile de poursuites insignifiantes ou redondantes intentées par des organismes bien intentionnés dans le cadre de la réalisation de leurs objectifs, convaincus que</w:t>
      </w:r>
      <w:r>
        <w:rPr>
          <w:lang w:val="fr-CA"/>
        </w:rPr>
        <w:t xml:space="preserve"> leur cause est fort </w:t>
      </w:r>
      <w:r>
        <w:rPr>
          <w:lang w:val="fr-CA"/>
        </w:rPr>
        <w:lastRenderedPageBreak/>
        <w:t>importante » (p. 252)</w:t>
      </w:r>
      <w:r w:rsidRPr="00132F5E">
        <w:rPr>
          <w:lang w:val="fr-CA"/>
        </w:rPr>
        <w:t>.</w:t>
      </w:r>
      <w:r>
        <w:rPr>
          <w:lang w:val="fr-CA"/>
        </w:rPr>
        <w:t xml:space="preserve">  Ce facteur ne vise pas les questions de commodités ni celles relatives à la charge de travail des juges, mais bien celle du fonctionnement efficace du système judiciaire dans son ensemble. </w:t>
      </w:r>
      <w:r w:rsidRPr="00132F5E">
        <w:rPr>
          <w:vertAlign w:val="superscript"/>
          <w:lang w:val="fr-CA"/>
        </w:rPr>
        <w:t xml:space="preserve"> </w:t>
      </w:r>
    </w:p>
    <w:p w:rsidR="00D867A4" w:rsidRPr="00132F5E" w:rsidRDefault="00D867A4" w:rsidP="00D867A4">
      <w:pPr>
        <w:pStyle w:val="ParaNoNdepar-AltN"/>
        <w:rPr>
          <w:szCs w:val="24"/>
          <w:lang w:val="fr-CA"/>
        </w:rPr>
      </w:pPr>
      <w:r>
        <w:rPr>
          <w:szCs w:val="24"/>
          <w:lang w:val="fr-CA"/>
        </w:rPr>
        <w:t xml:space="preserve">La préoccupation alimentée par la volonté d’écarter les </w:t>
      </w:r>
      <w:proofErr w:type="spellStart"/>
      <w:r>
        <w:rPr>
          <w:szCs w:val="24"/>
          <w:lang w:val="fr-CA"/>
        </w:rPr>
        <w:t>trouble</w:t>
      </w:r>
      <w:r>
        <w:rPr>
          <w:szCs w:val="24"/>
          <w:lang w:val="fr-CA"/>
        </w:rPr>
        <w:noBreakHyphen/>
        <w:t>fête</w:t>
      </w:r>
      <w:proofErr w:type="spellEnd"/>
      <w:r>
        <w:rPr>
          <w:szCs w:val="24"/>
          <w:lang w:val="fr-CA"/>
        </w:rPr>
        <w:t xml:space="preserve"> découle, pour sa part, non seulement de la question de la multiplicité possible des actions, mais également de la thèse selon laquelle les demandeurs qui ont un intérêt personnel dans l’issue d’une affaire devraient bénéficier d’une affectation prioritaire des ressources judiciaires</w:t>
      </w:r>
      <w:r w:rsidRPr="000D3FE6">
        <w:rPr>
          <w:szCs w:val="24"/>
          <w:lang w:val="fr-CA"/>
        </w:rPr>
        <w:t>.  Les tribunaux doivent aussi prendre en compte l</w:t>
      </w:r>
      <w:r>
        <w:rPr>
          <w:szCs w:val="24"/>
          <w:lang w:val="fr-CA"/>
        </w:rPr>
        <w:t>’</w:t>
      </w:r>
      <w:r w:rsidRPr="000D3FE6">
        <w:rPr>
          <w:szCs w:val="24"/>
          <w:lang w:val="fr-CA"/>
        </w:rPr>
        <w:t xml:space="preserve">effet que </w:t>
      </w:r>
      <w:r>
        <w:rPr>
          <w:szCs w:val="24"/>
          <w:lang w:val="fr-CA"/>
        </w:rPr>
        <w:t>peut</w:t>
      </w:r>
      <w:r w:rsidRPr="000D3FE6">
        <w:rPr>
          <w:szCs w:val="24"/>
          <w:lang w:val="fr-CA"/>
        </w:rPr>
        <w:t xml:space="preserve"> avoir sur les autres l</w:t>
      </w:r>
      <w:r>
        <w:rPr>
          <w:szCs w:val="24"/>
          <w:lang w:val="fr-CA"/>
        </w:rPr>
        <w:t>a</w:t>
      </w:r>
      <w:r w:rsidRPr="000D3FE6">
        <w:rPr>
          <w:szCs w:val="24"/>
          <w:lang w:val="fr-CA"/>
        </w:rPr>
        <w:t xml:space="preserve"> décision </w:t>
      </w:r>
      <w:r>
        <w:rPr>
          <w:szCs w:val="24"/>
          <w:lang w:val="fr-CA"/>
        </w:rPr>
        <w:t xml:space="preserve">de </w:t>
      </w:r>
      <w:r w:rsidRPr="000D3FE6">
        <w:rPr>
          <w:szCs w:val="24"/>
          <w:lang w:val="fr-CA"/>
        </w:rPr>
        <w:t>reconn</w:t>
      </w:r>
      <w:r>
        <w:rPr>
          <w:szCs w:val="24"/>
          <w:lang w:val="fr-CA"/>
        </w:rPr>
        <w:t>aître</w:t>
      </w:r>
      <w:r w:rsidRPr="000D3FE6">
        <w:rPr>
          <w:szCs w:val="24"/>
          <w:lang w:val="fr-CA"/>
        </w:rPr>
        <w:t xml:space="preserve"> la qualité pour agir</w:t>
      </w:r>
      <w:r>
        <w:rPr>
          <w:szCs w:val="24"/>
          <w:lang w:val="fr-CA"/>
        </w:rPr>
        <w:t xml:space="preserve"> dans l’intérêt public</w:t>
      </w:r>
      <w:r w:rsidRPr="000D3FE6">
        <w:rPr>
          <w:szCs w:val="24"/>
          <w:lang w:val="fr-CA"/>
        </w:rPr>
        <w:t xml:space="preserve">.  Par exemple, une telle décision pourrait ébranler celle de ne pas intenter de poursuite prise par les </w:t>
      </w:r>
      <w:r>
        <w:rPr>
          <w:szCs w:val="24"/>
          <w:lang w:val="fr-CA"/>
        </w:rPr>
        <w:t>personnes</w:t>
      </w:r>
      <w:r w:rsidRPr="000D3FE6">
        <w:rPr>
          <w:szCs w:val="24"/>
          <w:lang w:val="fr-CA"/>
        </w:rPr>
        <w:t xml:space="preserve"> ayant un intérêt personnel dans</w:t>
      </w:r>
      <w:r>
        <w:rPr>
          <w:szCs w:val="24"/>
          <w:lang w:val="fr-CA"/>
        </w:rPr>
        <w:t xml:space="preserve"> une affaire.  En outre, le fait de reconnaître la qualité pour agir dans le cadre d’une contestation qui est ultimement rejetée pourrait faire obstacle à des contestations engagées par des parties qui auraient « des</w:t>
      </w:r>
      <w:r w:rsidRPr="00D77957">
        <w:rPr>
          <w:szCs w:val="24"/>
          <w:lang w:val="fr-CA"/>
        </w:rPr>
        <w:t xml:space="preserve"> plaintes précises fondées sur des faits</w:t>
      </w:r>
      <w:r>
        <w:rPr>
          <w:szCs w:val="24"/>
          <w:lang w:val="fr-CA"/>
        </w:rPr>
        <w:t> » :</w:t>
      </w:r>
      <w:r w:rsidRPr="00132F5E">
        <w:rPr>
          <w:szCs w:val="24"/>
          <w:lang w:val="fr-CA"/>
        </w:rPr>
        <w:t xml:space="preserve"> </w:t>
      </w:r>
      <w:r w:rsidRPr="001B03E8">
        <w:rPr>
          <w:i/>
          <w:szCs w:val="24"/>
          <w:lang w:val="fr-CA"/>
        </w:rPr>
        <w:t>Hy</w:t>
      </w:r>
      <w:r w:rsidRPr="00132F5E">
        <w:rPr>
          <w:i/>
          <w:szCs w:val="24"/>
          <w:lang w:val="fr-CA"/>
        </w:rPr>
        <w:t xml:space="preserve"> and </w:t>
      </w:r>
      <w:proofErr w:type="spellStart"/>
      <w:r w:rsidRPr="00132F5E">
        <w:rPr>
          <w:i/>
          <w:szCs w:val="24"/>
          <w:lang w:val="fr-CA"/>
        </w:rPr>
        <w:t>Zel</w:t>
      </w:r>
      <w:r>
        <w:rPr>
          <w:i/>
          <w:szCs w:val="24"/>
          <w:lang w:val="fr-CA"/>
        </w:rPr>
        <w:t>’s</w:t>
      </w:r>
      <w:proofErr w:type="spellEnd"/>
      <w:r w:rsidRPr="00132F5E">
        <w:rPr>
          <w:i/>
          <w:szCs w:val="24"/>
          <w:lang w:val="fr-CA"/>
        </w:rPr>
        <w:t xml:space="preserve"> Inc</w:t>
      </w:r>
      <w:r>
        <w:rPr>
          <w:i/>
          <w:szCs w:val="24"/>
          <w:lang w:val="fr-CA"/>
        </w:rPr>
        <w:t>. c</w:t>
      </w:r>
      <w:r w:rsidRPr="00132F5E">
        <w:rPr>
          <w:i/>
          <w:szCs w:val="24"/>
          <w:lang w:val="fr-CA"/>
        </w:rPr>
        <w:t>. Ontario (</w:t>
      </w:r>
      <w:r>
        <w:rPr>
          <w:i/>
          <w:szCs w:val="24"/>
          <w:lang w:val="fr-CA"/>
        </w:rPr>
        <w:t>Procureur général</w:t>
      </w:r>
      <w:r w:rsidRPr="00132F5E">
        <w:rPr>
          <w:i/>
          <w:szCs w:val="24"/>
          <w:lang w:val="fr-CA"/>
        </w:rPr>
        <w:t>)</w:t>
      </w:r>
      <w:r w:rsidRPr="00E67834">
        <w:rPr>
          <w:szCs w:val="24"/>
          <w:lang w:val="fr-CA"/>
        </w:rPr>
        <w:t>,</w:t>
      </w:r>
      <w:r w:rsidRPr="00132F5E">
        <w:rPr>
          <w:i/>
          <w:szCs w:val="24"/>
          <w:lang w:val="fr-CA"/>
        </w:rPr>
        <w:t xml:space="preserve"> </w:t>
      </w:r>
      <w:r w:rsidRPr="00132F5E">
        <w:rPr>
          <w:szCs w:val="24"/>
          <w:lang w:val="fr-CA"/>
        </w:rPr>
        <w:t xml:space="preserve">[1993] 3 </w:t>
      </w:r>
      <w:r>
        <w:rPr>
          <w:szCs w:val="24"/>
          <w:lang w:val="fr-CA"/>
        </w:rPr>
        <w:t>R.C.S.</w:t>
      </w:r>
      <w:r w:rsidRPr="00132F5E">
        <w:rPr>
          <w:szCs w:val="24"/>
          <w:lang w:val="fr-CA"/>
        </w:rPr>
        <w:t xml:space="preserve"> 675, </w:t>
      </w:r>
      <w:r>
        <w:rPr>
          <w:szCs w:val="24"/>
          <w:lang w:val="fr-CA"/>
        </w:rPr>
        <w:t>p. </w:t>
      </w:r>
      <w:r w:rsidRPr="00132F5E">
        <w:rPr>
          <w:szCs w:val="24"/>
          <w:lang w:val="fr-CA"/>
        </w:rPr>
        <w:t>694.</w:t>
      </w:r>
    </w:p>
    <w:p w:rsidR="00D867A4" w:rsidRPr="00132F5E" w:rsidRDefault="00D867A4" w:rsidP="00D867A4">
      <w:pPr>
        <w:pStyle w:val="ParaNoNdepar-AltN"/>
        <w:rPr>
          <w:szCs w:val="24"/>
          <w:lang w:val="fr-CA"/>
        </w:rPr>
      </w:pPr>
      <w:r>
        <w:rPr>
          <w:szCs w:val="24"/>
          <w:lang w:val="fr-CA"/>
        </w:rPr>
        <w:t>Ces préoccupations concernant la multiplicité des poursuites et des demandes présentées par des « </w:t>
      </w:r>
      <w:proofErr w:type="spellStart"/>
      <w:r>
        <w:rPr>
          <w:szCs w:val="24"/>
          <w:lang w:val="fr-CA"/>
        </w:rPr>
        <w:t>trouble</w:t>
      </w:r>
      <w:r>
        <w:rPr>
          <w:szCs w:val="24"/>
          <w:lang w:val="fr-CA"/>
        </w:rPr>
        <w:noBreakHyphen/>
        <w:t>fête</w:t>
      </w:r>
      <w:proofErr w:type="spellEnd"/>
      <w:r>
        <w:rPr>
          <w:szCs w:val="24"/>
          <w:lang w:val="fr-CA"/>
        </w:rPr>
        <w:t xml:space="preserve"> » sont reconnues depuis longtemps.  Toutefois, il a également été reconnu qu’elles pourraient avoir été exagérées.  Après tout, bien peu de gens saisiront les tribunaux d’une affaire dans laquelle ils n’ont aucun intérêt et qui, en soi, ne laisse entrevoir aucune fin légitime.  </w:t>
      </w:r>
      <w:r>
        <w:rPr>
          <w:iCs/>
          <w:szCs w:val="24"/>
          <w:lang w:val="fr-CA"/>
        </w:rPr>
        <w:t xml:space="preserve">Selon les mots du professeur </w:t>
      </w:r>
      <w:r w:rsidRPr="00132F5E">
        <w:rPr>
          <w:rFonts w:eastAsia="Times New Roman"/>
          <w:szCs w:val="24"/>
          <w:lang w:val="fr-CA" w:eastAsia="en-CA"/>
        </w:rPr>
        <w:t>K.</w:t>
      </w:r>
      <w:r w:rsidR="00A0726D">
        <w:rPr>
          <w:rFonts w:eastAsia="Times New Roman"/>
          <w:szCs w:val="24"/>
          <w:lang w:val="fr-CA" w:eastAsia="en-CA"/>
        </w:rPr>
        <w:t xml:space="preserve"> </w:t>
      </w:r>
      <w:r w:rsidRPr="00132F5E">
        <w:rPr>
          <w:rFonts w:eastAsia="Times New Roman"/>
          <w:szCs w:val="24"/>
          <w:lang w:val="fr-CA" w:eastAsia="en-CA"/>
        </w:rPr>
        <w:t>E</w:t>
      </w:r>
      <w:r>
        <w:rPr>
          <w:rFonts w:eastAsia="Times New Roman"/>
          <w:szCs w:val="24"/>
          <w:lang w:val="fr-CA" w:eastAsia="en-CA"/>
        </w:rPr>
        <w:t>. </w:t>
      </w:r>
      <w:r w:rsidRPr="00132F5E">
        <w:rPr>
          <w:rFonts w:eastAsia="Times New Roman"/>
          <w:szCs w:val="24"/>
          <w:lang w:val="fr-CA" w:eastAsia="en-CA"/>
        </w:rPr>
        <w:t xml:space="preserve">Scott, </w:t>
      </w:r>
      <w:r>
        <w:rPr>
          <w:rFonts w:eastAsia="Times New Roman"/>
          <w:szCs w:val="24"/>
          <w:lang w:val="fr-CA" w:eastAsia="en-CA"/>
        </w:rPr>
        <w:t>[</w:t>
      </w:r>
      <w:r>
        <w:rPr>
          <w:rFonts w:eastAsia="Times New Roman"/>
          <w:smallCaps/>
          <w:szCs w:val="24"/>
          <w:lang w:val="fr-CA" w:eastAsia="en-CA"/>
        </w:rPr>
        <w:t>traduction</w:t>
      </w:r>
      <w:r>
        <w:rPr>
          <w:rFonts w:eastAsia="Times New Roman"/>
          <w:szCs w:val="24"/>
          <w:lang w:val="fr-CA" w:eastAsia="en-CA"/>
        </w:rPr>
        <w:t xml:space="preserve">] </w:t>
      </w:r>
      <w:r w:rsidRPr="00993E70">
        <w:rPr>
          <w:rFonts w:eastAsia="Times New Roman"/>
          <w:szCs w:val="24"/>
          <w:lang w:val="fr-CA" w:eastAsia="en-CA"/>
        </w:rPr>
        <w:t xml:space="preserve">« [l]e </w:t>
      </w:r>
      <w:r w:rsidRPr="000D3FE6">
        <w:rPr>
          <w:rFonts w:eastAsia="Times New Roman"/>
          <w:szCs w:val="24"/>
          <w:lang w:val="fr-CA" w:eastAsia="en-CA"/>
        </w:rPr>
        <w:t xml:space="preserve">demandeur passif et capricieux, le </w:t>
      </w:r>
      <w:r w:rsidRPr="000D3FE6">
        <w:rPr>
          <w:rFonts w:eastAsia="Times New Roman"/>
          <w:szCs w:val="24"/>
          <w:lang w:val="fr-CA" w:eastAsia="en-CA"/>
        </w:rPr>
        <w:lastRenderedPageBreak/>
        <w:t>dilettante qui plaide pour le plaisir est un spectre qui hante la littérature juridique, non les salles d</w:t>
      </w:r>
      <w:r>
        <w:rPr>
          <w:rFonts w:eastAsia="Times New Roman"/>
          <w:szCs w:val="24"/>
          <w:lang w:val="fr-CA" w:eastAsia="en-CA"/>
        </w:rPr>
        <w:t>’</w:t>
      </w:r>
      <w:r w:rsidRPr="000D3FE6">
        <w:rPr>
          <w:rFonts w:eastAsia="Times New Roman"/>
          <w:szCs w:val="24"/>
          <w:lang w:val="fr-CA" w:eastAsia="en-CA"/>
        </w:rPr>
        <w:t>audience »</w:t>
      </w:r>
      <w:r w:rsidR="00A0726D">
        <w:rPr>
          <w:rFonts w:eastAsia="Times New Roman"/>
          <w:szCs w:val="24"/>
          <w:lang w:val="fr-CA" w:eastAsia="en-CA"/>
        </w:rPr>
        <w:t xml:space="preserve"> : </w:t>
      </w:r>
      <w:r w:rsidRPr="000D3FE6">
        <w:rPr>
          <w:szCs w:val="24"/>
          <w:lang w:val="fr-CA"/>
        </w:rPr>
        <w:t xml:space="preserve">« Standing in the </w:t>
      </w:r>
      <w:proofErr w:type="spellStart"/>
      <w:r w:rsidRPr="000D3FE6">
        <w:rPr>
          <w:szCs w:val="24"/>
          <w:lang w:val="fr-CA"/>
        </w:rPr>
        <w:t>Supreme</w:t>
      </w:r>
      <w:proofErr w:type="spellEnd"/>
      <w:r w:rsidRPr="000D3FE6">
        <w:rPr>
          <w:szCs w:val="24"/>
          <w:lang w:val="fr-CA"/>
        </w:rPr>
        <w:t xml:space="preserve"> Court </w:t>
      </w:r>
      <w:r w:rsidRPr="000D3FE6">
        <w:rPr>
          <w:rFonts w:cs="Times New Roman"/>
          <w:szCs w:val="24"/>
          <w:lang w:val="fr-CA"/>
        </w:rPr>
        <w:t>—</w:t>
      </w:r>
      <w:r w:rsidR="00A0726D">
        <w:rPr>
          <w:szCs w:val="24"/>
          <w:lang w:val="fr-CA"/>
        </w:rPr>
        <w:t xml:space="preserve"> A </w:t>
      </w:r>
      <w:proofErr w:type="spellStart"/>
      <w:r w:rsidR="00A0726D">
        <w:rPr>
          <w:szCs w:val="24"/>
          <w:lang w:val="fr-CA"/>
        </w:rPr>
        <w:t>F</w:t>
      </w:r>
      <w:r w:rsidRPr="000D3FE6">
        <w:rPr>
          <w:szCs w:val="24"/>
          <w:lang w:val="fr-CA"/>
        </w:rPr>
        <w:t>unctional</w:t>
      </w:r>
      <w:proofErr w:type="spellEnd"/>
      <w:r w:rsidRPr="000D3FE6">
        <w:rPr>
          <w:szCs w:val="24"/>
          <w:lang w:val="fr-CA"/>
        </w:rPr>
        <w:t xml:space="preserve"> </w:t>
      </w:r>
      <w:proofErr w:type="spellStart"/>
      <w:r w:rsidRPr="000D3FE6">
        <w:rPr>
          <w:szCs w:val="24"/>
          <w:lang w:val="fr-CA"/>
        </w:rPr>
        <w:t>Analysis</w:t>
      </w:r>
      <w:proofErr w:type="spellEnd"/>
      <w:r w:rsidRPr="000D3FE6">
        <w:rPr>
          <w:szCs w:val="24"/>
          <w:lang w:val="fr-CA"/>
        </w:rPr>
        <w:t> » (1973)</w:t>
      </w:r>
      <w:r>
        <w:rPr>
          <w:szCs w:val="24"/>
          <w:lang w:val="fr-CA"/>
        </w:rPr>
        <w:t>,</w:t>
      </w:r>
      <w:r w:rsidRPr="000D3FE6">
        <w:rPr>
          <w:szCs w:val="24"/>
          <w:lang w:val="fr-CA"/>
        </w:rPr>
        <w:t xml:space="preserve"> 86 </w:t>
      </w:r>
      <w:proofErr w:type="spellStart"/>
      <w:r w:rsidRPr="00293363">
        <w:rPr>
          <w:i/>
          <w:szCs w:val="24"/>
          <w:lang w:val="fr-CA"/>
        </w:rPr>
        <w:t>Harv</w:t>
      </w:r>
      <w:proofErr w:type="spellEnd"/>
      <w:r w:rsidRPr="00293363">
        <w:rPr>
          <w:i/>
          <w:szCs w:val="24"/>
          <w:lang w:val="fr-CA"/>
        </w:rPr>
        <w:t xml:space="preserve">. L. </w:t>
      </w:r>
      <w:proofErr w:type="spellStart"/>
      <w:r w:rsidRPr="00293363">
        <w:rPr>
          <w:i/>
          <w:szCs w:val="24"/>
          <w:lang w:val="fr-CA"/>
        </w:rPr>
        <w:t>Rev</w:t>
      </w:r>
      <w:proofErr w:type="spellEnd"/>
      <w:r w:rsidRPr="00293363">
        <w:rPr>
          <w:i/>
          <w:szCs w:val="24"/>
          <w:lang w:val="fr-CA"/>
        </w:rPr>
        <w:t>.</w:t>
      </w:r>
      <w:r w:rsidRPr="000D3FE6">
        <w:rPr>
          <w:szCs w:val="24"/>
          <w:lang w:val="fr-CA"/>
        </w:rPr>
        <w:t xml:space="preserve"> 645, </w:t>
      </w:r>
      <w:r>
        <w:rPr>
          <w:szCs w:val="24"/>
          <w:lang w:val="fr-CA"/>
        </w:rPr>
        <w:t>p. </w:t>
      </w:r>
      <w:r w:rsidRPr="000D3FE6">
        <w:rPr>
          <w:szCs w:val="24"/>
          <w:lang w:val="fr-CA"/>
        </w:rPr>
        <w:t>674.  De plus, le</w:t>
      </w:r>
      <w:r>
        <w:rPr>
          <w:szCs w:val="24"/>
          <w:lang w:val="fr-CA"/>
        </w:rPr>
        <w:t xml:space="preserve"> déni catégorique de la reconnaissance de </w:t>
      </w:r>
      <w:r w:rsidRPr="00741E29">
        <w:rPr>
          <w:szCs w:val="24"/>
          <w:lang w:val="fr-CA"/>
        </w:rPr>
        <w:t>la qualité pour agir</w:t>
      </w:r>
      <w:r>
        <w:rPr>
          <w:szCs w:val="24"/>
          <w:lang w:val="fr-CA"/>
        </w:rPr>
        <w:t xml:space="preserve"> n’est pas la seule manière, ni nécessairement la plus appropriée, pour se prémunir contre ces périls.  Les tribunaux peuvent vérifier le </w:t>
      </w:r>
      <w:proofErr w:type="spellStart"/>
      <w:r>
        <w:rPr>
          <w:szCs w:val="24"/>
          <w:lang w:val="fr-CA"/>
        </w:rPr>
        <w:t>bien</w:t>
      </w:r>
      <w:r>
        <w:rPr>
          <w:szCs w:val="24"/>
          <w:lang w:val="fr-CA"/>
        </w:rPr>
        <w:noBreakHyphen/>
        <w:t>fondé</w:t>
      </w:r>
      <w:proofErr w:type="spellEnd"/>
      <w:r>
        <w:rPr>
          <w:szCs w:val="24"/>
          <w:lang w:val="fr-CA"/>
        </w:rPr>
        <w:t xml:space="preserve"> des demandes dès le stade préliminaire des procédures, ils peuvent intervenir afin de prévenir les abus et ils disposent du pouvoir d’adjuger des dépens.  Ces avenues peuvent toutes constituer des manières plus appropriées pour remédier aux dangers de la multiplicité des poursuites ou des demandes pr</w:t>
      </w:r>
      <w:r w:rsidR="000B0184">
        <w:rPr>
          <w:szCs w:val="24"/>
          <w:lang w:val="fr-CA"/>
        </w:rPr>
        <w:t>ésentées par de simples trouble-</w:t>
      </w:r>
      <w:r>
        <w:rPr>
          <w:szCs w:val="24"/>
          <w:lang w:val="fr-CA"/>
        </w:rPr>
        <w:t>fête :</w:t>
      </w:r>
      <w:r w:rsidRPr="00132F5E">
        <w:rPr>
          <w:szCs w:val="24"/>
          <w:lang w:val="fr-CA"/>
        </w:rPr>
        <w:t xml:space="preserve"> </w:t>
      </w:r>
      <w:r>
        <w:rPr>
          <w:szCs w:val="24"/>
          <w:lang w:val="fr-CA"/>
        </w:rPr>
        <w:t>voir</w:t>
      </w:r>
      <w:r w:rsidR="000B0184">
        <w:rPr>
          <w:szCs w:val="24"/>
          <w:lang w:val="fr-CA"/>
        </w:rPr>
        <w:t>,</w:t>
      </w:r>
      <w:r>
        <w:rPr>
          <w:szCs w:val="24"/>
          <w:lang w:val="fr-CA"/>
        </w:rPr>
        <w:t xml:space="preserve"> p</w:t>
      </w:r>
      <w:r w:rsidR="000B0184">
        <w:rPr>
          <w:szCs w:val="24"/>
          <w:lang w:val="fr-CA"/>
        </w:rPr>
        <w:t>.</w:t>
      </w:r>
      <w:r>
        <w:rPr>
          <w:szCs w:val="24"/>
          <w:lang w:val="fr-CA"/>
        </w:rPr>
        <w:t xml:space="preserve"> ex., </w:t>
      </w:r>
      <w:proofErr w:type="spellStart"/>
      <w:r w:rsidRPr="00132F5E">
        <w:rPr>
          <w:i/>
          <w:szCs w:val="24"/>
          <w:lang w:val="fr-CA"/>
        </w:rPr>
        <w:t>Thorson</w:t>
      </w:r>
      <w:proofErr w:type="spellEnd"/>
      <w:r>
        <w:rPr>
          <w:i/>
          <w:szCs w:val="24"/>
          <w:lang w:val="fr-CA"/>
        </w:rPr>
        <w:t xml:space="preserve"> c. Procureur général du Canada</w:t>
      </w:r>
      <w:r w:rsidRPr="00293363">
        <w:rPr>
          <w:szCs w:val="24"/>
          <w:lang w:val="fr-CA"/>
        </w:rPr>
        <w:t>, [1975] 1 R.C.S. 138</w:t>
      </w:r>
      <w:r w:rsidRPr="00132F5E">
        <w:rPr>
          <w:szCs w:val="24"/>
          <w:lang w:val="fr-CA"/>
        </w:rPr>
        <w:t xml:space="preserve">, </w:t>
      </w:r>
      <w:r>
        <w:rPr>
          <w:szCs w:val="24"/>
          <w:lang w:val="fr-CA"/>
        </w:rPr>
        <w:t>p. </w:t>
      </w:r>
      <w:r w:rsidRPr="00132F5E">
        <w:rPr>
          <w:szCs w:val="24"/>
          <w:lang w:val="fr-CA"/>
        </w:rPr>
        <w:t xml:space="preserve">145. </w:t>
      </w:r>
    </w:p>
    <w:p w:rsidR="00D867A4" w:rsidRPr="001B03E8" w:rsidRDefault="002E67E6" w:rsidP="001D0B62">
      <w:pPr>
        <w:pStyle w:val="TitleTitre-AltT"/>
        <w:keepNext/>
        <w:tabs>
          <w:tab w:val="clear" w:pos="360"/>
          <w:tab w:val="left" w:pos="540"/>
        </w:tabs>
        <w:ind w:left="1170" w:hanging="1170"/>
        <w:rPr>
          <w:szCs w:val="24"/>
          <w:lang w:val="fr-CA"/>
        </w:rPr>
      </w:pPr>
      <w:r>
        <w:rPr>
          <w:szCs w:val="24"/>
          <w:lang w:val="fr-CA"/>
        </w:rPr>
        <w:tab/>
      </w:r>
      <w:r w:rsidR="00D867A4">
        <w:rPr>
          <w:szCs w:val="24"/>
          <w:lang w:val="fr-CA"/>
        </w:rPr>
        <w:t>b)</w:t>
      </w:r>
      <w:r w:rsidR="00D867A4">
        <w:rPr>
          <w:szCs w:val="24"/>
          <w:lang w:val="fr-CA"/>
        </w:rPr>
        <w:tab/>
      </w:r>
      <w:r w:rsidR="00D867A4" w:rsidRPr="000D3FE6">
        <w:rPr>
          <w:i/>
          <w:szCs w:val="24"/>
          <w:lang w:val="fr-CA"/>
        </w:rPr>
        <w:t>L</w:t>
      </w:r>
      <w:r w:rsidR="00D867A4">
        <w:rPr>
          <w:i/>
          <w:szCs w:val="24"/>
          <w:lang w:val="fr-CA"/>
        </w:rPr>
        <w:t>’</w:t>
      </w:r>
      <w:r w:rsidR="00D867A4" w:rsidRPr="000D3FE6">
        <w:rPr>
          <w:i/>
          <w:szCs w:val="24"/>
          <w:lang w:val="fr-CA"/>
        </w:rPr>
        <w:t xml:space="preserve">assurance que les principaux intéressés feront valoir </w:t>
      </w:r>
      <w:r w:rsidR="00D867A4">
        <w:rPr>
          <w:i/>
          <w:szCs w:val="24"/>
          <w:lang w:val="fr-CA"/>
        </w:rPr>
        <w:t xml:space="preserve">contradictoirement </w:t>
      </w:r>
      <w:r w:rsidR="00D867A4" w:rsidRPr="000D3FE6">
        <w:rPr>
          <w:i/>
          <w:szCs w:val="24"/>
          <w:lang w:val="fr-CA"/>
        </w:rPr>
        <w:t xml:space="preserve">leurs points de vue </w:t>
      </w:r>
    </w:p>
    <w:p w:rsidR="00D867A4" w:rsidRPr="00132F5E" w:rsidRDefault="00D867A4" w:rsidP="00D867A4">
      <w:pPr>
        <w:pStyle w:val="ParaNoNdepar-AltN"/>
        <w:rPr>
          <w:szCs w:val="24"/>
          <w:lang w:val="fr-CA"/>
        </w:rPr>
      </w:pPr>
      <w:r>
        <w:rPr>
          <w:szCs w:val="24"/>
          <w:lang w:val="fr-CA"/>
        </w:rPr>
        <w:t xml:space="preserve">La deuxième raison </w:t>
      </w:r>
      <w:proofErr w:type="spellStart"/>
      <w:r>
        <w:rPr>
          <w:szCs w:val="24"/>
          <w:lang w:val="fr-CA"/>
        </w:rPr>
        <w:t>sous</w:t>
      </w:r>
      <w:r>
        <w:rPr>
          <w:szCs w:val="24"/>
          <w:lang w:val="fr-CA"/>
        </w:rPr>
        <w:noBreakHyphen/>
        <w:t>jacente</w:t>
      </w:r>
      <w:proofErr w:type="spellEnd"/>
      <w:r>
        <w:rPr>
          <w:szCs w:val="24"/>
          <w:lang w:val="fr-CA"/>
        </w:rPr>
        <w:t xml:space="preserve"> à la restriction de la reconnaissance de la qualité pour agir a trait à la nécessité pour les tribunaux d’entendre les principaux intéressés faire valoir contradictoirement leurs points de vue.  En effet, les tribunaux agissent comme des arbitres impartiaux dans le cadre d’un système accusatoire.  Ils dépendent des parties quant à la présentation complète et adroite des éléments de preuve et des arguments.  Or, [</w:t>
      </w:r>
      <w:r>
        <w:rPr>
          <w:smallCaps/>
          <w:szCs w:val="24"/>
          <w:lang w:val="fr-CA"/>
        </w:rPr>
        <w:t>traduction</w:t>
      </w:r>
      <w:r>
        <w:rPr>
          <w:szCs w:val="24"/>
          <w:lang w:val="fr-CA"/>
        </w:rPr>
        <w:t>] « une opposition</w:t>
      </w:r>
      <w:r w:rsidRPr="000D3FE6">
        <w:rPr>
          <w:szCs w:val="24"/>
          <w:lang w:val="fr-CA"/>
        </w:rPr>
        <w:t xml:space="preserve"> réel</w:t>
      </w:r>
      <w:r>
        <w:rPr>
          <w:szCs w:val="24"/>
          <w:lang w:val="fr-CA"/>
        </w:rPr>
        <w:t>le</w:t>
      </w:r>
      <w:r w:rsidRPr="000D3FE6">
        <w:rPr>
          <w:szCs w:val="24"/>
          <w:lang w:val="fr-CA"/>
        </w:rPr>
        <w:t> » stimule</w:t>
      </w:r>
      <w:r>
        <w:rPr>
          <w:szCs w:val="24"/>
          <w:lang w:val="fr-CA"/>
        </w:rPr>
        <w:t xml:space="preserve"> les débats sur les questions en litige et l’intérêt personnel des parties dans l’issue de </w:t>
      </w:r>
      <w:r>
        <w:rPr>
          <w:szCs w:val="24"/>
          <w:lang w:val="fr-CA"/>
        </w:rPr>
        <w:lastRenderedPageBreak/>
        <w:t>l’affaire contribue à la formulation exhaustive et diligente des arguments : voir</w:t>
      </w:r>
      <w:r w:rsidR="001D0B62">
        <w:rPr>
          <w:szCs w:val="24"/>
          <w:lang w:val="fr-CA"/>
        </w:rPr>
        <w:t>,</w:t>
      </w:r>
      <w:r>
        <w:rPr>
          <w:szCs w:val="24"/>
          <w:lang w:val="fr-CA"/>
        </w:rPr>
        <w:t xml:space="preserve"> p</w:t>
      </w:r>
      <w:r w:rsidR="001D0B62">
        <w:rPr>
          <w:szCs w:val="24"/>
          <w:lang w:val="fr-CA"/>
        </w:rPr>
        <w:t>.</w:t>
      </w:r>
      <w:r>
        <w:rPr>
          <w:szCs w:val="24"/>
          <w:lang w:val="fr-CA"/>
        </w:rPr>
        <w:t xml:space="preserve"> ex., </w:t>
      </w:r>
      <w:r>
        <w:rPr>
          <w:i/>
          <w:szCs w:val="24"/>
          <w:lang w:val="fr-CA"/>
        </w:rPr>
        <w:t>Baker c.</w:t>
      </w:r>
      <w:r w:rsidRPr="00132F5E">
        <w:rPr>
          <w:i/>
          <w:szCs w:val="24"/>
          <w:lang w:val="fr-CA"/>
        </w:rPr>
        <w:t xml:space="preserve"> Carr</w:t>
      </w:r>
      <w:r w:rsidRPr="00132F5E">
        <w:rPr>
          <w:szCs w:val="24"/>
          <w:lang w:val="fr-CA"/>
        </w:rPr>
        <w:t>, 369 U.S. 18</w:t>
      </w:r>
      <w:r>
        <w:rPr>
          <w:szCs w:val="24"/>
          <w:lang w:val="fr-CA"/>
        </w:rPr>
        <w:t>6</w:t>
      </w:r>
      <w:r w:rsidRPr="00132F5E">
        <w:rPr>
          <w:szCs w:val="24"/>
          <w:lang w:val="fr-CA"/>
        </w:rPr>
        <w:t xml:space="preserve"> (196</w:t>
      </w:r>
      <w:r>
        <w:rPr>
          <w:szCs w:val="24"/>
          <w:lang w:val="fr-CA"/>
        </w:rPr>
        <w:t>2</w:t>
      </w:r>
      <w:r w:rsidRPr="00132F5E">
        <w:rPr>
          <w:szCs w:val="24"/>
          <w:lang w:val="fr-CA"/>
        </w:rPr>
        <w:t xml:space="preserve">), </w:t>
      </w:r>
      <w:r>
        <w:rPr>
          <w:szCs w:val="24"/>
          <w:lang w:val="fr-CA"/>
        </w:rPr>
        <w:t>p. </w:t>
      </w:r>
      <w:r w:rsidR="001D0B62">
        <w:rPr>
          <w:szCs w:val="24"/>
          <w:lang w:val="fr-CA"/>
        </w:rPr>
        <w:t>20</w:t>
      </w:r>
      <w:r w:rsidRPr="00132F5E">
        <w:rPr>
          <w:szCs w:val="24"/>
          <w:lang w:val="fr-CA"/>
        </w:rPr>
        <w:t>4.</w:t>
      </w:r>
    </w:p>
    <w:p w:rsidR="00D867A4" w:rsidRPr="000D3FE6" w:rsidRDefault="002E67E6" w:rsidP="001D0B62">
      <w:pPr>
        <w:pStyle w:val="TitleTitre-AltT"/>
        <w:keepNext/>
        <w:tabs>
          <w:tab w:val="clear" w:pos="360"/>
          <w:tab w:val="left" w:pos="540"/>
        </w:tabs>
        <w:ind w:left="1170" w:hanging="1170"/>
        <w:rPr>
          <w:szCs w:val="24"/>
          <w:lang w:val="fr-CA"/>
        </w:rPr>
      </w:pPr>
      <w:r>
        <w:rPr>
          <w:szCs w:val="24"/>
          <w:lang w:val="fr-CA"/>
        </w:rPr>
        <w:tab/>
      </w:r>
      <w:r w:rsidR="00D867A4">
        <w:rPr>
          <w:szCs w:val="24"/>
          <w:lang w:val="fr-CA"/>
        </w:rPr>
        <w:t>c)</w:t>
      </w:r>
      <w:r w:rsidR="00D867A4">
        <w:rPr>
          <w:szCs w:val="24"/>
          <w:lang w:val="fr-CA"/>
        </w:rPr>
        <w:tab/>
      </w:r>
      <w:r w:rsidR="00D867A4" w:rsidRPr="0072610C">
        <w:rPr>
          <w:i/>
          <w:szCs w:val="24"/>
          <w:lang w:val="fr-CA"/>
        </w:rPr>
        <w:t xml:space="preserve">Le rôle </w:t>
      </w:r>
      <w:r w:rsidR="00D867A4">
        <w:rPr>
          <w:i/>
          <w:szCs w:val="24"/>
          <w:lang w:val="fr-CA"/>
        </w:rPr>
        <w:t xml:space="preserve">propre aux </w:t>
      </w:r>
      <w:r w:rsidR="00D867A4" w:rsidRPr="000D3FE6">
        <w:rPr>
          <w:i/>
          <w:szCs w:val="24"/>
          <w:lang w:val="fr-CA"/>
        </w:rPr>
        <w:t xml:space="preserve">tribunaux </w:t>
      </w:r>
    </w:p>
    <w:p w:rsidR="00D867A4" w:rsidRPr="00132F5E" w:rsidRDefault="00D867A4" w:rsidP="00D867A4">
      <w:pPr>
        <w:pStyle w:val="ParaNoNdepar-AltN"/>
        <w:rPr>
          <w:szCs w:val="24"/>
          <w:lang w:val="fr-CA"/>
        </w:rPr>
      </w:pPr>
      <w:r w:rsidRPr="000D3FE6">
        <w:rPr>
          <w:szCs w:val="24"/>
          <w:lang w:val="fr-CA"/>
        </w:rPr>
        <w:t>La troisième préoccupation a trait au rôle propre aux tribunaux et à la relation constitutionnelle qu</w:t>
      </w:r>
      <w:r>
        <w:rPr>
          <w:szCs w:val="24"/>
          <w:lang w:val="fr-CA"/>
        </w:rPr>
        <w:t>’</w:t>
      </w:r>
      <w:r w:rsidRPr="000D3FE6">
        <w:rPr>
          <w:szCs w:val="24"/>
          <w:lang w:val="fr-CA"/>
        </w:rPr>
        <w:t>ils doivent entretenir avec les</w:t>
      </w:r>
      <w:r w:rsidRPr="00F62B20">
        <w:rPr>
          <w:szCs w:val="24"/>
          <w:lang w:val="fr-CA"/>
        </w:rPr>
        <w:t xml:space="preserve"> autres branches du gouvernement</w:t>
      </w:r>
      <w:r>
        <w:rPr>
          <w:szCs w:val="24"/>
          <w:lang w:val="fr-CA"/>
        </w:rPr>
        <w:t>.  Notre approche discrétionnaire de la qualité pour agir dans l’intérêt public est fondée sur la prémisse selon laquelle l’instance soulève une question justiciable, c’est</w:t>
      </w:r>
      <w:r>
        <w:rPr>
          <w:szCs w:val="24"/>
          <w:lang w:val="fr-CA"/>
        </w:rPr>
        <w:noBreakHyphen/>
      </w:r>
      <w:proofErr w:type="spellStart"/>
      <w:r>
        <w:rPr>
          <w:szCs w:val="24"/>
          <w:lang w:val="fr-CA"/>
        </w:rPr>
        <w:t>à</w:t>
      </w:r>
      <w:r>
        <w:rPr>
          <w:szCs w:val="24"/>
          <w:lang w:val="fr-CA"/>
        </w:rPr>
        <w:noBreakHyphen/>
        <w:t>dire</w:t>
      </w:r>
      <w:proofErr w:type="spellEnd"/>
      <w:r>
        <w:rPr>
          <w:szCs w:val="24"/>
          <w:lang w:val="fr-CA"/>
        </w:rPr>
        <w:t xml:space="preserve"> une question dont les tribunaux peuvent être saisis :</w:t>
      </w:r>
      <w:r w:rsidRPr="00132F5E">
        <w:rPr>
          <w:szCs w:val="24"/>
          <w:lang w:val="fr-CA"/>
        </w:rPr>
        <w:t xml:space="preserve"> </w:t>
      </w:r>
      <w:r w:rsidRPr="00132F5E">
        <w:rPr>
          <w:i/>
          <w:szCs w:val="24"/>
          <w:lang w:val="fr-CA"/>
        </w:rPr>
        <w:t>Finlay</w:t>
      </w:r>
      <w:r w:rsidRPr="00132F5E">
        <w:rPr>
          <w:szCs w:val="24"/>
          <w:lang w:val="fr-CA"/>
        </w:rPr>
        <w:t xml:space="preserve">, </w:t>
      </w:r>
      <w:r>
        <w:rPr>
          <w:szCs w:val="24"/>
          <w:lang w:val="fr-CA"/>
        </w:rPr>
        <w:t>p. </w:t>
      </w:r>
      <w:r w:rsidRPr="00132F5E">
        <w:rPr>
          <w:szCs w:val="24"/>
          <w:lang w:val="fr-CA"/>
        </w:rPr>
        <w:t xml:space="preserve">632; </w:t>
      </w:r>
      <w:r>
        <w:rPr>
          <w:i/>
          <w:szCs w:val="24"/>
          <w:lang w:val="fr-CA"/>
        </w:rPr>
        <w:t>Canada (Vérificateur général) c. Canada (Ministre de l’Énergie, des Mines et des Ressources</w:t>
      </w:r>
      <w:r w:rsidRPr="00132F5E">
        <w:rPr>
          <w:i/>
          <w:szCs w:val="24"/>
          <w:lang w:val="fr-CA"/>
        </w:rPr>
        <w:t>)</w:t>
      </w:r>
      <w:r w:rsidRPr="00132F5E">
        <w:rPr>
          <w:szCs w:val="24"/>
          <w:lang w:val="fr-CA"/>
        </w:rPr>
        <w:t xml:space="preserve">, </w:t>
      </w:r>
      <w:r w:rsidRPr="00132F5E">
        <w:rPr>
          <w:rFonts w:cs="Times New Roman"/>
          <w:szCs w:val="24"/>
          <w:lang w:val="fr-CA"/>
        </w:rPr>
        <w:t xml:space="preserve">[1989] 2 </w:t>
      </w:r>
      <w:r>
        <w:rPr>
          <w:rFonts w:cs="Times New Roman"/>
          <w:szCs w:val="24"/>
          <w:lang w:val="fr-CA"/>
        </w:rPr>
        <w:t>R.C.S.</w:t>
      </w:r>
      <w:r w:rsidRPr="00132F5E">
        <w:rPr>
          <w:rFonts w:cs="Times New Roman"/>
          <w:szCs w:val="24"/>
          <w:lang w:val="fr-CA"/>
        </w:rPr>
        <w:t xml:space="preserve"> 49</w:t>
      </w:r>
      <w:r>
        <w:rPr>
          <w:rFonts w:cs="Times New Roman"/>
          <w:szCs w:val="24"/>
          <w:lang w:val="fr-CA"/>
        </w:rPr>
        <w:t xml:space="preserve">, </w:t>
      </w:r>
      <w:r w:rsidR="001D0B62">
        <w:rPr>
          <w:rFonts w:cs="Times New Roman"/>
          <w:szCs w:val="24"/>
          <w:lang w:val="fr-CA"/>
        </w:rPr>
        <w:t>p. 90-</w:t>
      </w:r>
      <w:r w:rsidRPr="00132F5E">
        <w:rPr>
          <w:rFonts w:cs="Times New Roman"/>
          <w:szCs w:val="24"/>
          <w:lang w:val="fr-CA"/>
        </w:rPr>
        <w:t xml:space="preserve">91; </w:t>
      </w:r>
      <w:r>
        <w:rPr>
          <w:rFonts w:cs="Times New Roman"/>
          <w:szCs w:val="24"/>
          <w:lang w:val="fr-CA"/>
        </w:rPr>
        <w:t>voir aussi, L.</w:t>
      </w:r>
      <w:r w:rsidR="001D0B62">
        <w:rPr>
          <w:rFonts w:cs="Times New Roman"/>
          <w:szCs w:val="24"/>
          <w:lang w:val="fr-CA"/>
        </w:rPr>
        <w:t xml:space="preserve"> </w:t>
      </w:r>
      <w:r>
        <w:rPr>
          <w:rFonts w:cs="Times New Roman"/>
          <w:szCs w:val="24"/>
          <w:lang w:val="fr-CA"/>
        </w:rPr>
        <w:t>M. </w:t>
      </w:r>
      <w:proofErr w:type="spellStart"/>
      <w:r w:rsidRPr="00132F5E">
        <w:rPr>
          <w:rFonts w:cs="Times New Roman"/>
          <w:szCs w:val="24"/>
          <w:lang w:val="fr-CA"/>
        </w:rPr>
        <w:t>Sossin</w:t>
      </w:r>
      <w:proofErr w:type="spellEnd"/>
      <w:r w:rsidRPr="00132F5E">
        <w:rPr>
          <w:rFonts w:cs="Times New Roman"/>
          <w:szCs w:val="24"/>
          <w:lang w:val="fr-CA"/>
        </w:rPr>
        <w:t xml:space="preserve">, </w:t>
      </w:r>
      <w:proofErr w:type="spellStart"/>
      <w:r w:rsidRPr="00132F5E">
        <w:rPr>
          <w:rFonts w:cs="Times New Roman"/>
          <w:i/>
          <w:szCs w:val="24"/>
          <w:lang w:val="fr-CA"/>
        </w:rPr>
        <w:t>Boundaries</w:t>
      </w:r>
      <w:proofErr w:type="spellEnd"/>
      <w:r w:rsidRPr="00132F5E">
        <w:rPr>
          <w:rFonts w:cs="Times New Roman"/>
          <w:i/>
          <w:szCs w:val="24"/>
          <w:lang w:val="fr-CA"/>
        </w:rPr>
        <w:t xml:space="preserve"> of </w:t>
      </w:r>
      <w:proofErr w:type="spellStart"/>
      <w:r w:rsidRPr="00132F5E">
        <w:rPr>
          <w:rFonts w:cs="Times New Roman"/>
          <w:i/>
          <w:szCs w:val="24"/>
          <w:lang w:val="fr-CA"/>
        </w:rPr>
        <w:t>Judicial</w:t>
      </w:r>
      <w:proofErr w:type="spellEnd"/>
      <w:r w:rsidRPr="00132F5E">
        <w:rPr>
          <w:rFonts w:cs="Times New Roman"/>
          <w:i/>
          <w:szCs w:val="24"/>
          <w:lang w:val="fr-CA"/>
        </w:rPr>
        <w:t xml:space="preserve"> </w:t>
      </w:r>
      <w:proofErr w:type="spellStart"/>
      <w:r w:rsidRPr="00132F5E">
        <w:rPr>
          <w:rFonts w:cs="Times New Roman"/>
          <w:i/>
          <w:szCs w:val="24"/>
          <w:lang w:val="fr-CA"/>
        </w:rPr>
        <w:t>Review</w:t>
      </w:r>
      <w:proofErr w:type="spellEnd"/>
      <w:r>
        <w:rPr>
          <w:rFonts w:cs="Times New Roman"/>
          <w:i/>
          <w:szCs w:val="24"/>
          <w:lang w:val="fr-CA"/>
        </w:rPr>
        <w:t> :</w:t>
      </w:r>
      <w:r w:rsidRPr="00132F5E">
        <w:rPr>
          <w:rFonts w:cs="Times New Roman"/>
          <w:i/>
          <w:szCs w:val="24"/>
          <w:lang w:val="fr-CA"/>
        </w:rPr>
        <w:t xml:space="preserve"> The Law of </w:t>
      </w:r>
      <w:proofErr w:type="spellStart"/>
      <w:r w:rsidRPr="00132F5E">
        <w:rPr>
          <w:rFonts w:cs="Times New Roman"/>
          <w:i/>
          <w:szCs w:val="24"/>
          <w:lang w:val="fr-CA"/>
        </w:rPr>
        <w:t>Justiciability</w:t>
      </w:r>
      <w:proofErr w:type="spellEnd"/>
      <w:r w:rsidRPr="00132F5E">
        <w:rPr>
          <w:rFonts w:cs="Times New Roman"/>
          <w:i/>
          <w:szCs w:val="24"/>
          <w:lang w:val="fr-CA"/>
        </w:rPr>
        <w:t xml:space="preserve"> in Canada </w:t>
      </w:r>
      <w:r>
        <w:rPr>
          <w:rFonts w:cs="Times New Roman"/>
          <w:szCs w:val="24"/>
          <w:lang w:val="fr-CA"/>
        </w:rPr>
        <w:t>(</w:t>
      </w:r>
      <w:r w:rsidR="00D50F4F">
        <w:rPr>
          <w:rFonts w:cs="Times New Roman"/>
          <w:szCs w:val="24"/>
          <w:lang w:val="fr-CA"/>
        </w:rPr>
        <w:t>2</w:t>
      </w:r>
      <w:r w:rsidR="00D50F4F" w:rsidRPr="00D50F4F">
        <w:rPr>
          <w:rFonts w:cs="Times New Roman"/>
          <w:szCs w:val="24"/>
          <w:vertAlign w:val="superscript"/>
          <w:lang w:val="fr-CA"/>
        </w:rPr>
        <w:t>e</w:t>
      </w:r>
      <w:r w:rsidR="00D50F4F">
        <w:rPr>
          <w:rFonts w:cs="Times New Roman"/>
          <w:szCs w:val="24"/>
          <w:lang w:val="fr-CA"/>
        </w:rPr>
        <w:t xml:space="preserve"> éd.</w:t>
      </w:r>
      <w:r w:rsidRPr="001D0B62">
        <w:rPr>
          <w:rFonts w:cs="Times New Roman"/>
          <w:szCs w:val="24"/>
          <w:lang w:val="fr-CA"/>
        </w:rPr>
        <w:t xml:space="preserve"> </w:t>
      </w:r>
      <w:r w:rsidRPr="00132F5E">
        <w:rPr>
          <w:rFonts w:cs="Times New Roman"/>
          <w:szCs w:val="24"/>
          <w:lang w:val="fr-CA"/>
        </w:rPr>
        <w:t>2012</w:t>
      </w:r>
      <w:r>
        <w:rPr>
          <w:rFonts w:cs="Times New Roman"/>
          <w:szCs w:val="24"/>
          <w:lang w:val="fr-CA"/>
        </w:rPr>
        <w:t>), p. 6</w:t>
      </w:r>
      <w:r>
        <w:rPr>
          <w:rFonts w:cs="Times New Roman"/>
          <w:szCs w:val="24"/>
          <w:lang w:val="fr-CA"/>
        </w:rPr>
        <w:noBreakHyphen/>
      </w:r>
      <w:r w:rsidRPr="00132F5E">
        <w:rPr>
          <w:rFonts w:cs="Times New Roman"/>
          <w:szCs w:val="24"/>
          <w:lang w:val="fr-CA"/>
        </w:rPr>
        <w:t>10</w:t>
      </w:r>
      <w:r w:rsidRPr="00132F5E">
        <w:rPr>
          <w:szCs w:val="24"/>
          <w:lang w:val="fr-CA"/>
        </w:rPr>
        <w:t xml:space="preserve">.  </w:t>
      </w:r>
      <w:r>
        <w:rPr>
          <w:szCs w:val="24"/>
          <w:lang w:val="fr-CA"/>
        </w:rPr>
        <w:t xml:space="preserve">Cette préoccupation commande un examen de la nature de la question et de la capacité institutionnelle des tribunaux à considérer la question. </w:t>
      </w:r>
    </w:p>
    <w:p w:rsidR="00D867A4" w:rsidRPr="00132F5E" w:rsidRDefault="00D867A4" w:rsidP="001D0B62">
      <w:pPr>
        <w:pStyle w:val="TitleTitre-AltT"/>
        <w:keepNext/>
        <w:tabs>
          <w:tab w:val="clear" w:pos="360"/>
          <w:tab w:val="left" w:pos="540"/>
        </w:tabs>
        <w:ind w:left="1170" w:hanging="1170"/>
        <w:rPr>
          <w:lang w:val="fr-CA"/>
        </w:rPr>
      </w:pPr>
      <w:r w:rsidRPr="00132F5E">
        <w:rPr>
          <w:szCs w:val="24"/>
          <w:lang w:val="fr-CA"/>
        </w:rPr>
        <w:tab/>
      </w:r>
      <w:r w:rsidRPr="00132F5E">
        <w:rPr>
          <w:lang w:val="fr-CA"/>
        </w:rPr>
        <w:t>(</w:t>
      </w:r>
      <w:r>
        <w:rPr>
          <w:lang w:val="fr-CA"/>
        </w:rPr>
        <w:t>3</w:t>
      </w:r>
      <w:r w:rsidRPr="00132F5E">
        <w:rPr>
          <w:lang w:val="fr-CA"/>
        </w:rPr>
        <w:t>)</w:t>
      </w:r>
      <w:r>
        <w:rPr>
          <w:lang w:val="fr-CA"/>
        </w:rPr>
        <w:tab/>
      </w:r>
      <w:r>
        <w:rPr>
          <w:u w:val="single"/>
          <w:lang w:val="fr-CA"/>
        </w:rPr>
        <w:t>Le principe de la légalité</w:t>
      </w:r>
    </w:p>
    <w:p w:rsidR="00D867A4" w:rsidRPr="00132F5E" w:rsidRDefault="00D867A4" w:rsidP="00D867A4">
      <w:pPr>
        <w:pStyle w:val="ParaNoNdepar-AltN"/>
        <w:rPr>
          <w:szCs w:val="24"/>
          <w:lang w:val="fr-CA"/>
        </w:rPr>
      </w:pPr>
      <w:r>
        <w:rPr>
          <w:szCs w:val="24"/>
          <w:lang w:val="fr-CA"/>
        </w:rPr>
        <w:t xml:space="preserve">Le principe de la légalité renvoie à deux concepts : d’abord, le fait que les actes de l’État doivent être conformes à la </w:t>
      </w:r>
      <w:r w:rsidRPr="00525095">
        <w:rPr>
          <w:szCs w:val="24"/>
          <w:lang w:val="fr-CA"/>
        </w:rPr>
        <w:t>Constitution</w:t>
      </w:r>
      <w:r>
        <w:rPr>
          <w:i/>
          <w:szCs w:val="24"/>
          <w:lang w:val="fr-CA"/>
        </w:rPr>
        <w:t xml:space="preserve"> </w:t>
      </w:r>
      <w:r>
        <w:rPr>
          <w:szCs w:val="24"/>
          <w:lang w:val="fr-CA"/>
        </w:rPr>
        <w:t xml:space="preserve">et au pouvoir conféré par la loi, et qu’il doit exister des manières pratiques et efficaces de contester la légalité des actions de l’État.  </w:t>
      </w:r>
      <w:r>
        <w:rPr>
          <w:bCs/>
          <w:szCs w:val="24"/>
          <w:lang w:val="fr-CA"/>
        </w:rPr>
        <w:t xml:space="preserve">Ce principe </w:t>
      </w:r>
      <w:r>
        <w:rPr>
          <w:szCs w:val="24"/>
          <w:lang w:val="fr-CA"/>
        </w:rPr>
        <w:t>a été au cœur de l’évolution de la notion de qualité pour agir dans l’intérêt public au Canada</w:t>
      </w:r>
      <w:r w:rsidRPr="00132F5E">
        <w:rPr>
          <w:szCs w:val="24"/>
          <w:lang w:val="fr-CA"/>
        </w:rPr>
        <w:t>.</w:t>
      </w:r>
      <w:r>
        <w:rPr>
          <w:szCs w:val="24"/>
          <w:lang w:val="fr-CA"/>
        </w:rPr>
        <w:t xml:space="preserve"> </w:t>
      </w:r>
      <w:r w:rsidRPr="00132F5E">
        <w:rPr>
          <w:szCs w:val="24"/>
          <w:lang w:val="fr-CA"/>
        </w:rPr>
        <w:t xml:space="preserve"> </w:t>
      </w:r>
      <w:r>
        <w:rPr>
          <w:szCs w:val="24"/>
          <w:lang w:val="fr-CA"/>
        </w:rPr>
        <w:t xml:space="preserve">Par exemple, dans l’arrêt de principe </w:t>
      </w:r>
      <w:proofErr w:type="spellStart"/>
      <w:r w:rsidRPr="00132F5E">
        <w:rPr>
          <w:i/>
          <w:szCs w:val="24"/>
          <w:lang w:val="fr-CA"/>
        </w:rPr>
        <w:t>Thorson</w:t>
      </w:r>
      <w:proofErr w:type="spellEnd"/>
      <w:r w:rsidRPr="00132F5E">
        <w:rPr>
          <w:szCs w:val="24"/>
          <w:lang w:val="fr-CA"/>
        </w:rPr>
        <w:t xml:space="preserve">, </w:t>
      </w:r>
      <w:r>
        <w:rPr>
          <w:szCs w:val="24"/>
          <w:lang w:val="fr-CA"/>
        </w:rPr>
        <w:lastRenderedPageBreak/>
        <w:t xml:space="preserve">le juge </w:t>
      </w:r>
      <w:proofErr w:type="spellStart"/>
      <w:r>
        <w:rPr>
          <w:szCs w:val="24"/>
          <w:lang w:val="fr-CA"/>
        </w:rPr>
        <w:t>Laskin</w:t>
      </w:r>
      <w:proofErr w:type="spellEnd"/>
      <w:r>
        <w:rPr>
          <w:szCs w:val="24"/>
          <w:lang w:val="fr-CA"/>
        </w:rPr>
        <w:t xml:space="preserve"> a écrit que « le droit des citoyens au respect de la Constitution par le Parlement » (p. 163) milite pour la reconnaissance de la qualité pour agir et qu’une question de constitutionnalité ne devrait pas être « </w:t>
      </w:r>
      <w:r w:rsidRPr="00AA4CB6">
        <w:rPr>
          <w:szCs w:val="24"/>
          <w:lang w:val="fr-CA"/>
        </w:rPr>
        <w:t>mise à l</w:t>
      </w:r>
      <w:r>
        <w:rPr>
          <w:szCs w:val="24"/>
          <w:lang w:val="fr-CA"/>
        </w:rPr>
        <w:t>’</w:t>
      </w:r>
      <w:r w:rsidRPr="00AA4CB6">
        <w:rPr>
          <w:szCs w:val="24"/>
          <w:lang w:val="fr-CA"/>
        </w:rPr>
        <w:t>abri d</w:t>
      </w:r>
      <w:r>
        <w:rPr>
          <w:szCs w:val="24"/>
          <w:lang w:val="fr-CA"/>
        </w:rPr>
        <w:t>’</w:t>
      </w:r>
      <w:r w:rsidRPr="00AA4CB6">
        <w:rPr>
          <w:szCs w:val="24"/>
          <w:lang w:val="fr-CA"/>
        </w:rPr>
        <w:t>un examen judiciaire en niant qualité pour agir à quiconque tente d</w:t>
      </w:r>
      <w:r>
        <w:rPr>
          <w:szCs w:val="24"/>
          <w:lang w:val="fr-CA"/>
        </w:rPr>
        <w:t>’</w:t>
      </w:r>
      <w:r w:rsidRPr="00AA4CB6">
        <w:rPr>
          <w:szCs w:val="24"/>
          <w:lang w:val="fr-CA"/>
        </w:rPr>
        <w:t>attaquer la loi contestée</w:t>
      </w:r>
      <w:r>
        <w:rPr>
          <w:szCs w:val="24"/>
          <w:lang w:val="fr-CA"/>
        </w:rPr>
        <w:t xml:space="preserve"> » </w:t>
      </w:r>
      <w:r w:rsidRPr="00132F5E">
        <w:rPr>
          <w:szCs w:val="24"/>
          <w:lang w:val="fr-CA"/>
        </w:rPr>
        <w:t>(</w:t>
      </w:r>
      <w:r>
        <w:rPr>
          <w:szCs w:val="24"/>
          <w:lang w:val="fr-CA"/>
        </w:rPr>
        <w:t>p. </w:t>
      </w:r>
      <w:r w:rsidRPr="00132F5E">
        <w:rPr>
          <w:szCs w:val="24"/>
          <w:lang w:val="fr-CA"/>
        </w:rPr>
        <w:t>145)</w:t>
      </w:r>
      <w:r>
        <w:rPr>
          <w:szCs w:val="24"/>
          <w:lang w:val="fr-CA"/>
        </w:rPr>
        <w:t>.  Il a conclu qu’« </w:t>
      </w:r>
      <w:r w:rsidRPr="00BE5617">
        <w:rPr>
          <w:szCs w:val="24"/>
          <w:u w:val="single"/>
          <w:lang w:val="fr-CA"/>
        </w:rPr>
        <w:t>il serait étrange et même alarmant qu</w:t>
      </w:r>
      <w:r>
        <w:rPr>
          <w:szCs w:val="24"/>
          <w:u w:val="single"/>
          <w:lang w:val="fr-CA"/>
        </w:rPr>
        <w:t>’</w:t>
      </w:r>
      <w:r w:rsidRPr="00BE5617">
        <w:rPr>
          <w:szCs w:val="24"/>
          <w:u w:val="single"/>
          <w:lang w:val="fr-CA"/>
        </w:rPr>
        <w:t>il n</w:t>
      </w:r>
      <w:r>
        <w:rPr>
          <w:szCs w:val="24"/>
          <w:u w:val="single"/>
          <w:lang w:val="fr-CA"/>
        </w:rPr>
        <w:t>’</w:t>
      </w:r>
      <w:r w:rsidRPr="00BE5617">
        <w:rPr>
          <w:szCs w:val="24"/>
          <w:u w:val="single"/>
          <w:lang w:val="fr-CA"/>
        </w:rPr>
        <w:t>y ait aucun moyen par lequel une question d</w:t>
      </w:r>
      <w:r>
        <w:rPr>
          <w:szCs w:val="24"/>
          <w:u w:val="single"/>
          <w:lang w:val="fr-CA"/>
        </w:rPr>
        <w:t>’</w:t>
      </w:r>
      <w:r w:rsidRPr="00BE5617">
        <w:rPr>
          <w:szCs w:val="24"/>
          <w:u w:val="single"/>
          <w:lang w:val="fr-CA"/>
        </w:rPr>
        <w:t>abus de pouvoir législatif, matière traditionnellement de la compétence des cours de justice, puisse être soumise à une décision de justice</w:t>
      </w:r>
      <w:r>
        <w:rPr>
          <w:szCs w:val="24"/>
          <w:lang w:val="fr-CA"/>
        </w:rPr>
        <w:t xml:space="preserve"> » </w:t>
      </w:r>
      <w:r w:rsidRPr="00132F5E">
        <w:rPr>
          <w:szCs w:val="24"/>
          <w:lang w:val="fr-CA"/>
        </w:rPr>
        <w:t>(</w:t>
      </w:r>
      <w:r>
        <w:rPr>
          <w:szCs w:val="24"/>
          <w:lang w:val="fr-CA"/>
        </w:rPr>
        <w:t>p. </w:t>
      </w:r>
      <w:r w:rsidRPr="00132F5E">
        <w:rPr>
          <w:szCs w:val="24"/>
          <w:lang w:val="fr-CA"/>
        </w:rPr>
        <w:t xml:space="preserve">145 </w:t>
      </w:r>
      <w:r>
        <w:rPr>
          <w:szCs w:val="24"/>
          <w:lang w:val="fr-CA"/>
        </w:rPr>
        <w:t>(je souligne)).</w:t>
      </w:r>
    </w:p>
    <w:p w:rsidR="00D867A4" w:rsidRPr="00132F5E" w:rsidRDefault="00D867A4" w:rsidP="00D867A4">
      <w:pPr>
        <w:pStyle w:val="ParaNoNdepar-AltN"/>
        <w:rPr>
          <w:szCs w:val="24"/>
          <w:lang w:val="fr-CA"/>
        </w:rPr>
      </w:pPr>
      <w:r>
        <w:rPr>
          <w:spacing w:val="-3"/>
          <w:szCs w:val="24"/>
          <w:lang w:val="fr-CA"/>
        </w:rPr>
        <w:t xml:space="preserve">Le principe de la légalité a été analysé </w:t>
      </w:r>
      <w:r w:rsidRPr="000D3FE6">
        <w:rPr>
          <w:spacing w:val="-3"/>
          <w:szCs w:val="24"/>
          <w:lang w:val="fr-CA"/>
        </w:rPr>
        <w:t>plus en profondeur dans l</w:t>
      </w:r>
      <w:r>
        <w:rPr>
          <w:spacing w:val="-3"/>
          <w:szCs w:val="24"/>
          <w:lang w:val="fr-CA"/>
        </w:rPr>
        <w:t>’</w:t>
      </w:r>
      <w:r w:rsidRPr="000D3FE6">
        <w:rPr>
          <w:spacing w:val="-3"/>
          <w:szCs w:val="24"/>
          <w:lang w:val="fr-CA"/>
        </w:rPr>
        <w:t xml:space="preserve">arrêt </w:t>
      </w:r>
      <w:r w:rsidRPr="000D3FE6">
        <w:rPr>
          <w:i/>
          <w:spacing w:val="-3"/>
          <w:szCs w:val="24"/>
          <w:lang w:val="fr-CA"/>
        </w:rPr>
        <w:t>Finlay</w:t>
      </w:r>
      <w:r w:rsidRPr="000D3FE6">
        <w:rPr>
          <w:szCs w:val="24"/>
          <w:lang w:val="fr-CA"/>
        </w:rPr>
        <w:t>.  La Cour y a souligné l</w:t>
      </w:r>
      <w:r>
        <w:rPr>
          <w:szCs w:val="24"/>
          <w:lang w:val="fr-CA"/>
        </w:rPr>
        <w:t>’</w:t>
      </w:r>
      <w:r w:rsidRPr="000D3FE6">
        <w:rPr>
          <w:szCs w:val="24"/>
          <w:lang w:val="fr-CA"/>
        </w:rPr>
        <w:t>« insistance répétée dans l</w:t>
      </w:r>
      <w:r>
        <w:rPr>
          <w:szCs w:val="24"/>
          <w:lang w:val="fr-CA"/>
        </w:rPr>
        <w:t>’</w:t>
      </w:r>
      <w:r w:rsidRPr="000D3FE6">
        <w:rPr>
          <w:szCs w:val="24"/>
          <w:lang w:val="fr-CA"/>
        </w:rPr>
        <w:t xml:space="preserve">arrêt </w:t>
      </w:r>
      <w:proofErr w:type="spellStart"/>
      <w:r w:rsidRPr="000D3FE6">
        <w:rPr>
          <w:i/>
          <w:szCs w:val="24"/>
          <w:lang w:val="fr-CA"/>
        </w:rPr>
        <w:t>Thorson</w:t>
      </w:r>
      <w:proofErr w:type="spellEnd"/>
      <w:r w:rsidRPr="000D3FE6">
        <w:rPr>
          <w:szCs w:val="24"/>
          <w:lang w:val="fr-CA"/>
        </w:rPr>
        <w:t xml:space="preserve"> sur l</w:t>
      </w:r>
      <w:r>
        <w:rPr>
          <w:szCs w:val="24"/>
          <w:lang w:val="fr-CA"/>
        </w:rPr>
        <w:t>’</w:t>
      </w:r>
      <w:r w:rsidRPr="000D3FE6">
        <w:rPr>
          <w:szCs w:val="24"/>
          <w:lang w:val="fr-CA"/>
        </w:rPr>
        <w:t>importance dans un État fédéral de pouvoir s</w:t>
      </w:r>
      <w:r>
        <w:rPr>
          <w:szCs w:val="24"/>
          <w:lang w:val="fr-CA"/>
        </w:rPr>
        <w:t>’</w:t>
      </w:r>
      <w:r w:rsidRPr="000D3FE6">
        <w:rPr>
          <w:szCs w:val="24"/>
          <w:lang w:val="fr-CA"/>
        </w:rPr>
        <w:t>adresser aux tribunaux pour contester la constitutionnalité d</w:t>
      </w:r>
      <w:r>
        <w:rPr>
          <w:szCs w:val="24"/>
          <w:lang w:val="fr-CA"/>
        </w:rPr>
        <w:t>’</w:t>
      </w:r>
      <w:r w:rsidRPr="000D3FE6">
        <w:rPr>
          <w:szCs w:val="24"/>
          <w:lang w:val="fr-CA"/>
        </w:rPr>
        <w:t>une loi » (</w:t>
      </w:r>
      <w:r>
        <w:rPr>
          <w:szCs w:val="24"/>
          <w:lang w:val="fr-CA"/>
        </w:rPr>
        <w:t>p. </w:t>
      </w:r>
      <w:r w:rsidRPr="000D3FE6">
        <w:rPr>
          <w:szCs w:val="24"/>
          <w:lang w:val="fr-CA"/>
        </w:rPr>
        <w:t>627).  Selon le juge Le Dain, cet énoncé constituait « la considération dominante du principe dans l</w:t>
      </w:r>
      <w:r>
        <w:rPr>
          <w:szCs w:val="24"/>
          <w:lang w:val="fr-CA"/>
        </w:rPr>
        <w:t>’</w:t>
      </w:r>
      <w:r w:rsidRPr="000D3FE6">
        <w:rPr>
          <w:szCs w:val="24"/>
          <w:lang w:val="fr-CA"/>
        </w:rPr>
        <w:t xml:space="preserve">arrêt </w:t>
      </w:r>
      <w:proofErr w:type="spellStart"/>
      <w:r w:rsidRPr="000D3FE6">
        <w:rPr>
          <w:i/>
          <w:szCs w:val="24"/>
          <w:lang w:val="fr-CA"/>
        </w:rPr>
        <w:t>Thorson</w:t>
      </w:r>
      <w:proofErr w:type="spellEnd"/>
      <w:r w:rsidRPr="000D3FE6">
        <w:rPr>
          <w:szCs w:val="24"/>
          <w:lang w:val="fr-CA"/>
        </w:rPr>
        <w:t> » (</w:t>
      </w:r>
      <w:r w:rsidRPr="000D3FE6">
        <w:rPr>
          <w:i/>
          <w:szCs w:val="24"/>
          <w:lang w:val="fr-CA"/>
        </w:rPr>
        <w:t>Finlay</w:t>
      </w:r>
      <w:r w:rsidRPr="000D3FE6">
        <w:rPr>
          <w:szCs w:val="24"/>
          <w:lang w:val="fr-CA"/>
        </w:rPr>
        <w:t xml:space="preserve">, </w:t>
      </w:r>
      <w:r>
        <w:rPr>
          <w:szCs w:val="24"/>
          <w:lang w:val="fr-CA"/>
        </w:rPr>
        <w:t>p. </w:t>
      </w:r>
      <w:r w:rsidRPr="000D3FE6">
        <w:rPr>
          <w:szCs w:val="24"/>
          <w:lang w:val="fr-CA"/>
        </w:rPr>
        <w:t xml:space="preserve">627).  </w:t>
      </w:r>
      <w:r>
        <w:rPr>
          <w:szCs w:val="24"/>
          <w:lang w:val="fr-CA"/>
        </w:rPr>
        <w:t>Au</w:t>
      </w:r>
      <w:r w:rsidRPr="000D3FE6">
        <w:rPr>
          <w:szCs w:val="24"/>
          <w:lang w:val="fr-CA"/>
        </w:rPr>
        <w:t xml:space="preserve"> terme d</w:t>
      </w:r>
      <w:r>
        <w:rPr>
          <w:szCs w:val="24"/>
          <w:lang w:val="fr-CA"/>
        </w:rPr>
        <w:t>’</w:t>
      </w:r>
      <w:r w:rsidRPr="000D3FE6">
        <w:rPr>
          <w:szCs w:val="24"/>
          <w:lang w:val="fr-CA"/>
        </w:rPr>
        <w:t>un examen de la jurisprudence relative à la qualité pour agir dans l</w:t>
      </w:r>
      <w:r>
        <w:rPr>
          <w:szCs w:val="24"/>
          <w:lang w:val="fr-CA"/>
        </w:rPr>
        <w:t>’</w:t>
      </w:r>
      <w:r w:rsidRPr="000D3FE6">
        <w:rPr>
          <w:szCs w:val="24"/>
          <w:lang w:val="fr-CA"/>
        </w:rPr>
        <w:t>intérêt public, la Cour a étendu, dans l</w:t>
      </w:r>
      <w:r>
        <w:rPr>
          <w:szCs w:val="24"/>
          <w:lang w:val="fr-CA"/>
        </w:rPr>
        <w:t>’</w:t>
      </w:r>
      <w:r w:rsidRPr="000D3FE6">
        <w:rPr>
          <w:szCs w:val="24"/>
          <w:lang w:val="fr-CA"/>
        </w:rPr>
        <w:t xml:space="preserve">arrêt </w:t>
      </w:r>
      <w:r w:rsidRPr="000D3FE6">
        <w:rPr>
          <w:i/>
          <w:szCs w:val="24"/>
          <w:lang w:val="fr-CA"/>
        </w:rPr>
        <w:t>Finlay</w:t>
      </w:r>
      <w:r w:rsidRPr="000D3FE6">
        <w:rPr>
          <w:szCs w:val="24"/>
          <w:lang w:val="fr-CA"/>
        </w:rPr>
        <w:t xml:space="preserve">, la portée </w:t>
      </w:r>
      <w:r>
        <w:rPr>
          <w:szCs w:val="24"/>
          <w:lang w:val="fr-CA"/>
        </w:rPr>
        <w:t>du pouvoir discrétionnaire de reconnaître l</w:t>
      </w:r>
      <w:r w:rsidRPr="000D3FE6">
        <w:rPr>
          <w:szCs w:val="24"/>
          <w:lang w:val="fr-CA"/>
        </w:rPr>
        <w:t>a qualité pour agir dans l</w:t>
      </w:r>
      <w:r>
        <w:rPr>
          <w:szCs w:val="24"/>
          <w:lang w:val="fr-CA"/>
        </w:rPr>
        <w:t>’</w:t>
      </w:r>
      <w:r w:rsidRPr="000D3FE6">
        <w:rPr>
          <w:szCs w:val="24"/>
          <w:lang w:val="fr-CA"/>
        </w:rPr>
        <w:t xml:space="preserve">intérêt public aux contestations visant </w:t>
      </w:r>
      <w:r>
        <w:rPr>
          <w:szCs w:val="24"/>
          <w:lang w:val="fr-CA"/>
        </w:rPr>
        <w:t>des</w:t>
      </w:r>
      <w:r w:rsidRPr="000D3FE6">
        <w:rPr>
          <w:szCs w:val="24"/>
          <w:lang w:val="fr-CA"/>
        </w:rPr>
        <w:t xml:space="preserve"> pouvoir</w:t>
      </w:r>
      <w:r>
        <w:rPr>
          <w:szCs w:val="24"/>
          <w:lang w:val="fr-CA"/>
        </w:rPr>
        <w:t>s</w:t>
      </w:r>
      <w:r w:rsidRPr="000D3FE6">
        <w:rPr>
          <w:szCs w:val="24"/>
          <w:lang w:val="fr-CA"/>
        </w:rPr>
        <w:t xml:space="preserve"> </w:t>
      </w:r>
      <w:r>
        <w:rPr>
          <w:szCs w:val="24"/>
          <w:lang w:val="fr-CA"/>
        </w:rPr>
        <w:t xml:space="preserve">administratifs </w:t>
      </w:r>
      <w:r w:rsidRPr="000D3FE6">
        <w:rPr>
          <w:szCs w:val="24"/>
          <w:lang w:val="fr-CA"/>
        </w:rPr>
        <w:t>conféré</w:t>
      </w:r>
      <w:r>
        <w:rPr>
          <w:szCs w:val="24"/>
          <w:lang w:val="fr-CA"/>
        </w:rPr>
        <w:t>s</w:t>
      </w:r>
      <w:r w:rsidRPr="000D3FE6">
        <w:rPr>
          <w:szCs w:val="24"/>
          <w:lang w:val="fr-CA"/>
        </w:rPr>
        <w:t xml:space="preserve"> par une loi.  Cette étape a été franchie en partie parce que</w:t>
      </w:r>
      <w:r>
        <w:rPr>
          <w:szCs w:val="24"/>
          <w:lang w:val="fr-CA"/>
        </w:rPr>
        <w:t xml:space="preserve"> les contestations de cette nature étaient motivées par le souci d’assurer le respect des « limites </w:t>
      </w:r>
      <w:r w:rsidR="001D0B62">
        <w:rPr>
          <w:szCs w:val="24"/>
          <w:lang w:val="fr-CA"/>
        </w:rPr>
        <w:t>[</w:t>
      </w:r>
      <w:r>
        <w:rPr>
          <w:szCs w:val="24"/>
          <w:lang w:val="fr-CA"/>
        </w:rPr>
        <w:t>du</w:t>
      </w:r>
      <w:r w:rsidR="001D0B62">
        <w:rPr>
          <w:szCs w:val="24"/>
          <w:lang w:val="fr-CA"/>
        </w:rPr>
        <w:t>]</w:t>
      </w:r>
      <w:r>
        <w:rPr>
          <w:szCs w:val="24"/>
          <w:lang w:val="fr-CA"/>
        </w:rPr>
        <w:t xml:space="preserve"> pouvoir légal » </w:t>
      </w:r>
      <w:r w:rsidRPr="00132F5E">
        <w:rPr>
          <w:szCs w:val="24"/>
          <w:lang w:val="fr-CA"/>
        </w:rPr>
        <w:t>(</w:t>
      </w:r>
      <w:r>
        <w:rPr>
          <w:szCs w:val="24"/>
          <w:lang w:val="fr-CA"/>
        </w:rPr>
        <w:t>p. </w:t>
      </w:r>
      <w:r w:rsidRPr="00132F5E">
        <w:rPr>
          <w:szCs w:val="24"/>
          <w:lang w:val="fr-CA"/>
        </w:rPr>
        <w:t>631).</w:t>
      </w:r>
    </w:p>
    <w:p w:rsidR="00D867A4" w:rsidRPr="00107F3A" w:rsidRDefault="00D867A4" w:rsidP="00D867A4">
      <w:pPr>
        <w:pStyle w:val="ParaNoNdepar-AltN"/>
        <w:rPr>
          <w:szCs w:val="24"/>
          <w:lang w:val="fr-CA"/>
        </w:rPr>
      </w:pPr>
      <w:r>
        <w:rPr>
          <w:szCs w:val="24"/>
          <w:lang w:val="fr-CA"/>
        </w:rPr>
        <w:t xml:space="preserve">L’importance du principe de la légalité a été renforcée dans l’arrêt </w:t>
      </w:r>
      <w:r>
        <w:rPr>
          <w:i/>
          <w:szCs w:val="24"/>
          <w:lang w:val="fr-CA"/>
        </w:rPr>
        <w:t>Conseil canadien des Églises</w:t>
      </w:r>
      <w:r>
        <w:rPr>
          <w:szCs w:val="24"/>
          <w:lang w:val="fr-CA"/>
        </w:rPr>
        <w:t xml:space="preserve"> où la Cour en a reconnu les deux volets : soit, </w:t>
      </w:r>
      <w:r>
        <w:rPr>
          <w:szCs w:val="24"/>
          <w:lang w:val="fr-CA"/>
        </w:rPr>
        <w:lastRenderedPageBreak/>
        <w:t>qu’aucune loi ne doit être à l’abri d’une contestation, et que les dispositions législatives inconstitutionnelles doivent être invalidées.  Selon le juge Cory</w:t>
      </w:r>
      <w:r w:rsidRPr="00132F5E">
        <w:rPr>
          <w:szCs w:val="24"/>
          <w:lang w:val="fr-CA"/>
        </w:rPr>
        <w:t xml:space="preserve">, </w:t>
      </w:r>
      <w:r>
        <w:rPr>
          <w:szCs w:val="24"/>
          <w:lang w:val="fr-CA"/>
        </w:rPr>
        <w:t xml:space="preserve">la </w:t>
      </w:r>
      <w:r>
        <w:rPr>
          <w:i/>
          <w:szCs w:val="24"/>
          <w:lang w:val="fr-CA"/>
        </w:rPr>
        <w:t xml:space="preserve">Loi constitutionnelle de 1982 </w:t>
      </w:r>
      <w:r>
        <w:rPr>
          <w:szCs w:val="24"/>
          <w:lang w:val="fr-CA"/>
        </w:rPr>
        <w:t>« </w:t>
      </w:r>
      <w:r w:rsidRPr="00FC0BC9">
        <w:rPr>
          <w:szCs w:val="24"/>
          <w:lang w:val="fr-CA"/>
        </w:rPr>
        <w:t>constitutionnalise le droit fondamental du public d</w:t>
      </w:r>
      <w:r>
        <w:rPr>
          <w:szCs w:val="24"/>
          <w:lang w:val="fr-CA"/>
        </w:rPr>
        <w:t>’</w:t>
      </w:r>
      <w:r w:rsidRPr="00FC0BC9">
        <w:rPr>
          <w:szCs w:val="24"/>
          <w:lang w:val="fr-CA"/>
        </w:rPr>
        <w:t>être gouverné conformément aux règles de droit</w:t>
      </w:r>
      <w:r>
        <w:rPr>
          <w:szCs w:val="24"/>
          <w:lang w:val="fr-CA"/>
        </w:rPr>
        <w:t> »</w:t>
      </w:r>
      <w:r w:rsidRPr="00132F5E">
        <w:rPr>
          <w:szCs w:val="24"/>
          <w:lang w:val="fr-CA"/>
        </w:rPr>
        <w:t xml:space="preserve"> (</w:t>
      </w:r>
      <w:r>
        <w:rPr>
          <w:szCs w:val="24"/>
          <w:lang w:val="fr-CA"/>
        </w:rPr>
        <w:t>p. </w:t>
      </w:r>
      <w:r w:rsidRPr="00132F5E">
        <w:rPr>
          <w:szCs w:val="24"/>
          <w:lang w:val="fr-CA"/>
        </w:rPr>
        <w:t>250)</w:t>
      </w:r>
      <w:r>
        <w:rPr>
          <w:szCs w:val="24"/>
          <w:lang w:val="fr-CA"/>
        </w:rPr>
        <w:t>.  Ainsi, il est nécessaire que les tribunaux exercent leur pouvoir discrétionnaire de reconnaître la qualité pour agir « </w:t>
      </w:r>
      <w:r w:rsidRPr="00107F3A">
        <w:rPr>
          <w:szCs w:val="24"/>
          <w:lang w:val="fr-CA"/>
        </w:rPr>
        <w:t xml:space="preserve">dans les cas où ils doivent </w:t>
      </w:r>
      <w:r>
        <w:rPr>
          <w:szCs w:val="24"/>
          <w:lang w:val="fr-CA"/>
        </w:rPr>
        <w:t>[en décider ainsi]</w:t>
      </w:r>
      <w:r w:rsidRPr="00107F3A">
        <w:rPr>
          <w:szCs w:val="24"/>
          <w:lang w:val="fr-CA"/>
        </w:rPr>
        <w:t xml:space="preserve"> pour s</w:t>
      </w:r>
      <w:r>
        <w:rPr>
          <w:szCs w:val="24"/>
          <w:lang w:val="fr-CA"/>
        </w:rPr>
        <w:t>’</w:t>
      </w:r>
      <w:r w:rsidRPr="00107F3A">
        <w:rPr>
          <w:szCs w:val="24"/>
          <w:lang w:val="fr-CA"/>
        </w:rPr>
        <w:t>assurer que la loi en question est compatible avec la Constitution et la</w:t>
      </w:r>
      <w:r w:rsidRPr="00107F3A">
        <w:rPr>
          <w:i/>
          <w:szCs w:val="24"/>
          <w:lang w:val="fr-CA"/>
        </w:rPr>
        <w:t xml:space="preserve"> Charte</w:t>
      </w:r>
      <w:r>
        <w:rPr>
          <w:szCs w:val="24"/>
          <w:lang w:val="fr-CA"/>
        </w:rPr>
        <w:t xml:space="preserve"> » </w:t>
      </w:r>
      <w:r w:rsidRPr="00107F3A">
        <w:rPr>
          <w:szCs w:val="24"/>
          <w:lang w:val="fr-CA"/>
        </w:rPr>
        <w:t>(</w:t>
      </w:r>
      <w:r>
        <w:rPr>
          <w:szCs w:val="24"/>
          <w:lang w:val="fr-CA"/>
        </w:rPr>
        <w:t>p. </w:t>
      </w:r>
      <w:r w:rsidRPr="00107F3A">
        <w:rPr>
          <w:szCs w:val="24"/>
          <w:lang w:val="fr-CA"/>
        </w:rPr>
        <w:t>251)</w:t>
      </w:r>
      <w:r>
        <w:rPr>
          <w:szCs w:val="24"/>
          <w:lang w:val="fr-CA"/>
        </w:rPr>
        <w:t>.  Le juge Cory</w:t>
      </w:r>
      <w:r w:rsidRPr="00107F3A">
        <w:rPr>
          <w:szCs w:val="24"/>
          <w:lang w:val="fr-CA"/>
        </w:rPr>
        <w:t xml:space="preserve"> </w:t>
      </w:r>
      <w:r>
        <w:rPr>
          <w:szCs w:val="24"/>
          <w:lang w:val="fr-CA"/>
        </w:rPr>
        <w:t xml:space="preserve">a souligné que l’entrée en vigueur de la </w:t>
      </w:r>
      <w:r>
        <w:rPr>
          <w:i/>
          <w:szCs w:val="24"/>
          <w:lang w:val="fr-CA"/>
        </w:rPr>
        <w:t xml:space="preserve">Charte </w:t>
      </w:r>
      <w:r>
        <w:rPr>
          <w:szCs w:val="24"/>
          <w:lang w:val="fr-CA"/>
        </w:rPr>
        <w:t xml:space="preserve">et le nouveau rôle constitutionnel qui en a découlé pour les tribunaux commandaient l’adoption d’une interprétation « souple et libérale » de la question de la qualité pour agir </w:t>
      </w:r>
      <w:r w:rsidRPr="00107F3A">
        <w:rPr>
          <w:szCs w:val="24"/>
          <w:lang w:val="fr-CA"/>
        </w:rPr>
        <w:t>(</w:t>
      </w:r>
      <w:r>
        <w:rPr>
          <w:szCs w:val="24"/>
          <w:lang w:val="fr-CA"/>
        </w:rPr>
        <w:t>p. </w:t>
      </w:r>
      <w:r w:rsidRPr="00107F3A">
        <w:rPr>
          <w:szCs w:val="24"/>
          <w:lang w:val="fr-CA"/>
        </w:rPr>
        <w:t>250)</w:t>
      </w:r>
      <w:r>
        <w:rPr>
          <w:szCs w:val="24"/>
          <w:lang w:val="fr-CA"/>
        </w:rPr>
        <w:t>.  Il a en outre souligné que la décision ne devrait pas découler d’une « </w:t>
      </w:r>
      <w:r w:rsidRPr="0018419E">
        <w:rPr>
          <w:szCs w:val="24"/>
          <w:lang w:val="fr-CA"/>
        </w:rPr>
        <w:t>application mécaniste d</w:t>
      </w:r>
      <w:r>
        <w:rPr>
          <w:szCs w:val="24"/>
          <w:lang w:val="fr-CA"/>
        </w:rPr>
        <w:t>’</w:t>
      </w:r>
      <w:r w:rsidRPr="0018419E">
        <w:rPr>
          <w:szCs w:val="24"/>
          <w:lang w:val="fr-CA"/>
        </w:rPr>
        <w:t>une exigence technique</w:t>
      </w:r>
      <w:r>
        <w:rPr>
          <w:szCs w:val="24"/>
          <w:lang w:val="fr-CA"/>
        </w:rPr>
        <w:t xml:space="preserve">.  </w:t>
      </w:r>
      <w:r w:rsidRPr="0018419E">
        <w:rPr>
          <w:szCs w:val="24"/>
          <w:lang w:val="fr-CA"/>
        </w:rPr>
        <w:t>On doit plutôt se rappeler que l</w:t>
      </w:r>
      <w:r>
        <w:rPr>
          <w:szCs w:val="24"/>
          <w:lang w:val="fr-CA"/>
        </w:rPr>
        <w:t>’</w:t>
      </w:r>
      <w:r w:rsidRPr="0018419E">
        <w:rPr>
          <w:szCs w:val="24"/>
          <w:lang w:val="fr-CA"/>
        </w:rPr>
        <w:t>objet fondamental de la reconnaissance de la qualité pour agir dans l</w:t>
      </w:r>
      <w:r>
        <w:rPr>
          <w:szCs w:val="24"/>
          <w:lang w:val="fr-CA"/>
        </w:rPr>
        <w:t>’</w:t>
      </w:r>
      <w:r w:rsidRPr="0018419E">
        <w:rPr>
          <w:szCs w:val="24"/>
          <w:lang w:val="fr-CA"/>
        </w:rPr>
        <w:t>intérêt public est de garantir qu</w:t>
      </w:r>
      <w:r>
        <w:rPr>
          <w:szCs w:val="24"/>
          <w:lang w:val="fr-CA"/>
        </w:rPr>
        <w:t>’</w:t>
      </w:r>
      <w:r w:rsidRPr="0018419E">
        <w:rPr>
          <w:szCs w:val="24"/>
          <w:lang w:val="fr-CA"/>
        </w:rPr>
        <w:t>une loi n</w:t>
      </w:r>
      <w:r>
        <w:rPr>
          <w:szCs w:val="24"/>
          <w:lang w:val="fr-CA"/>
        </w:rPr>
        <w:t>’</w:t>
      </w:r>
      <w:r w:rsidRPr="0018419E">
        <w:rPr>
          <w:szCs w:val="24"/>
          <w:lang w:val="fr-CA"/>
        </w:rPr>
        <w:t>est pas à l</w:t>
      </w:r>
      <w:r>
        <w:rPr>
          <w:szCs w:val="24"/>
          <w:lang w:val="fr-CA"/>
        </w:rPr>
        <w:t>’</w:t>
      </w:r>
      <w:r w:rsidRPr="0018419E">
        <w:rPr>
          <w:szCs w:val="24"/>
          <w:lang w:val="fr-CA"/>
        </w:rPr>
        <w:t>abri de la contestation</w:t>
      </w:r>
      <w:r>
        <w:rPr>
          <w:szCs w:val="24"/>
          <w:lang w:val="fr-CA"/>
        </w:rPr>
        <w:t> »</w:t>
      </w:r>
      <w:r w:rsidRPr="0018419E">
        <w:rPr>
          <w:szCs w:val="24"/>
          <w:lang w:val="fr-CA"/>
        </w:rPr>
        <w:t xml:space="preserve"> </w:t>
      </w:r>
      <w:r w:rsidRPr="00107F3A">
        <w:rPr>
          <w:szCs w:val="24"/>
          <w:lang w:val="fr-CA"/>
        </w:rPr>
        <w:t>(</w:t>
      </w:r>
      <w:r>
        <w:rPr>
          <w:szCs w:val="24"/>
          <w:lang w:val="fr-CA"/>
        </w:rPr>
        <w:t>p. </w:t>
      </w:r>
      <w:r w:rsidRPr="00107F3A">
        <w:rPr>
          <w:szCs w:val="24"/>
          <w:lang w:val="fr-CA"/>
        </w:rPr>
        <w:t>256).</w:t>
      </w:r>
    </w:p>
    <w:p w:rsidR="00D867A4" w:rsidRPr="00132F5E" w:rsidRDefault="00D867A4" w:rsidP="00D867A4">
      <w:pPr>
        <w:pStyle w:val="ParaNoNdepar-AltN"/>
        <w:rPr>
          <w:szCs w:val="24"/>
          <w:lang w:val="fr-CA"/>
        </w:rPr>
      </w:pPr>
      <w:r>
        <w:rPr>
          <w:szCs w:val="24"/>
          <w:lang w:val="fr-CA"/>
        </w:rPr>
        <w:t xml:space="preserve">Dans l’arrêt </w:t>
      </w:r>
      <w:r w:rsidRPr="00132F5E">
        <w:rPr>
          <w:i/>
          <w:szCs w:val="24"/>
          <w:lang w:val="fr-CA"/>
        </w:rPr>
        <w:t xml:space="preserve">Hy and </w:t>
      </w:r>
      <w:proofErr w:type="spellStart"/>
      <w:r w:rsidRPr="00132F5E">
        <w:rPr>
          <w:i/>
          <w:szCs w:val="24"/>
          <w:lang w:val="fr-CA"/>
        </w:rPr>
        <w:t>Zel</w:t>
      </w:r>
      <w:r>
        <w:rPr>
          <w:i/>
          <w:szCs w:val="24"/>
          <w:lang w:val="fr-CA"/>
        </w:rPr>
        <w:t>’</w:t>
      </w:r>
      <w:r w:rsidRPr="00132F5E">
        <w:rPr>
          <w:i/>
          <w:szCs w:val="24"/>
          <w:lang w:val="fr-CA"/>
        </w:rPr>
        <w:t>s</w:t>
      </w:r>
      <w:proofErr w:type="spellEnd"/>
      <w:r w:rsidRPr="00132F5E">
        <w:rPr>
          <w:szCs w:val="24"/>
          <w:lang w:val="fr-CA"/>
        </w:rPr>
        <w:t xml:space="preserve">, </w:t>
      </w:r>
      <w:r>
        <w:rPr>
          <w:szCs w:val="24"/>
          <w:lang w:val="fr-CA"/>
        </w:rPr>
        <w:t xml:space="preserve">le juge </w:t>
      </w:r>
      <w:r w:rsidRPr="00132F5E">
        <w:rPr>
          <w:szCs w:val="24"/>
          <w:lang w:val="fr-CA"/>
        </w:rPr>
        <w:t xml:space="preserve">Major </w:t>
      </w:r>
      <w:r>
        <w:rPr>
          <w:szCs w:val="24"/>
          <w:lang w:val="fr-CA"/>
        </w:rPr>
        <w:t xml:space="preserve">a expliqué plus en détail le raisonnement </w:t>
      </w:r>
      <w:proofErr w:type="spellStart"/>
      <w:r>
        <w:rPr>
          <w:szCs w:val="24"/>
          <w:lang w:val="fr-CA"/>
        </w:rPr>
        <w:t>sous</w:t>
      </w:r>
      <w:r>
        <w:rPr>
          <w:szCs w:val="24"/>
          <w:lang w:val="fr-CA"/>
        </w:rPr>
        <w:noBreakHyphen/>
        <w:t>jacent</w:t>
      </w:r>
      <w:proofErr w:type="spellEnd"/>
      <w:r>
        <w:rPr>
          <w:szCs w:val="24"/>
          <w:lang w:val="fr-CA"/>
        </w:rPr>
        <w:t xml:space="preserve"> justifiant les restrictions à la qualité pour agir et l’équilibre qu’il faut établir entre l’application de ces restrictions et la nécessité de donner plein effet au principe de la légalité : </w:t>
      </w:r>
    </w:p>
    <w:p w:rsidR="00D867A4" w:rsidRDefault="00D867A4" w:rsidP="00D867A4">
      <w:pPr>
        <w:pStyle w:val="Citation-AltC"/>
        <w:ind w:hanging="1166"/>
        <w:rPr>
          <w:lang w:val="fr-CA"/>
        </w:rPr>
      </w:pPr>
      <w:r>
        <w:rPr>
          <w:lang w:val="fr-CA"/>
        </w:rPr>
        <w:tab/>
      </w:r>
      <w:r w:rsidRPr="0016624A">
        <w:rPr>
          <w:lang w:val="fr-CA"/>
        </w:rPr>
        <w:t>S</w:t>
      </w:r>
      <w:r>
        <w:rPr>
          <w:lang w:val="fr-CA"/>
        </w:rPr>
        <w:t>’</w:t>
      </w:r>
      <w:r w:rsidRPr="0016624A">
        <w:rPr>
          <w:lang w:val="fr-CA"/>
        </w:rPr>
        <w:t>il existe d</w:t>
      </w:r>
      <w:r>
        <w:rPr>
          <w:lang w:val="fr-CA"/>
        </w:rPr>
        <w:t>’</w:t>
      </w:r>
      <w:r w:rsidRPr="0016624A">
        <w:rPr>
          <w:lang w:val="fr-CA"/>
        </w:rPr>
        <w:t>autres manières de soumettre la question aux tribunaux, les ressources judiciaires limitées peuvent être mieux utilisées</w:t>
      </w:r>
      <w:r>
        <w:rPr>
          <w:lang w:val="fr-CA"/>
        </w:rPr>
        <w:t xml:space="preserve">.  </w:t>
      </w:r>
      <w:r w:rsidRPr="0016624A">
        <w:rPr>
          <w:lang w:val="fr-CA"/>
        </w:rPr>
        <w:t>Ce même critère empêche toutefois les lois d</w:t>
      </w:r>
      <w:r>
        <w:rPr>
          <w:lang w:val="fr-CA"/>
        </w:rPr>
        <w:t>’</w:t>
      </w:r>
      <w:r w:rsidRPr="0016624A">
        <w:rPr>
          <w:lang w:val="fr-CA"/>
        </w:rPr>
        <w:t xml:space="preserve">échapper au contrôle judiciaire, comme cela se serait produit dans les circonstances des affaires </w:t>
      </w:r>
      <w:proofErr w:type="spellStart"/>
      <w:r w:rsidRPr="00047AFD">
        <w:rPr>
          <w:i/>
          <w:lang w:val="fr-CA"/>
        </w:rPr>
        <w:t>Thorson</w:t>
      </w:r>
      <w:proofErr w:type="spellEnd"/>
      <w:r w:rsidRPr="0016624A">
        <w:rPr>
          <w:lang w:val="fr-CA"/>
        </w:rPr>
        <w:t xml:space="preserve"> et </w:t>
      </w:r>
      <w:proofErr w:type="spellStart"/>
      <w:r w:rsidRPr="00047AFD">
        <w:rPr>
          <w:i/>
          <w:lang w:val="fr-CA"/>
        </w:rPr>
        <w:t>Borowski</w:t>
      </w:r>
      <w:proofErr w:type="spellEnd"/>
      <w:r w:rsidRPr="0016624A">
        <w:rPr>
          <w:lang w:val="fr-CA"/>
        </w:rPr>
        <w:t>.</w:t>
      </w:r>
      <w:r>
        <w:rPr>
          <w:lang w:val="fr-CA"/>
        </w:rPr>
        <w:t xml:space="preserve">  </w:t>
      </w:r>
      <w:r w:rsidRPr="00132F5E">
        <w:rPr>
          <w:lang w:val="fr-CA"/>
        </w:rPr>
        <w:t>[</w:t>
      </w:r>
      <w:r>
        <w:rPr>
          <w:lang w:val="fr-CA"/>
        </w:rPr>
        <w:t>p. </w:t>
      </w:r>
      <w:r w:rsidRPr="00132F5E">
        <w:rPr>
          <w:lang w:val="fr-CA"/>
        </w:rPr>
        <w:t>692]</w:t>
      </w:r>
    </w:p>
    <w:p w:rsidR="00D867A4" w:rsidRPr="00132F5E" w:rsidRDefault="00D867A4" w:rsidP="001D0B62">
      <w:pPr>
        <w:pStyle w:val="TitleTitre-AltT"/>
        <w:keepNext/>
        <w:tabs>
          <w:tab w:val="clear" w:pos="360"/>
          <w:tab w:val="left" w:pos="540"/>
        </w:tabs>
        <w:ind w:left="1170" w:hanging="1170"/>
        <w:rPr>
          <w:szCs w:val="24"/>
          <w:lang w:val="fr-CA"/>
        </w:rPr>
      </w:pPr>
      <w:r>
        <w:rPr>
          <w:szCs w:val="24"/>
          <w:lang w:val="fr-CA"/>
        </w:rPr>
        <w:lastRenderedPageBreak/>
        <w:tab/>
      </w:r>
      <w:r w:rsidRPr="00132F5E">
        <w:rPr>
          <w:szCs w:val="24"/>
          <w:lang w:val="fr-CA"/>
        </w:rPr>
        <w:t>(</w:t>
      </w:r>
      <w:r>
        <w:rPr>
          <w:szCs w:val="24"/>
          <w:lang w:val="fr-CA"/>
        </w:rPr>
        <w:t>4</w:t>
      </w:r>
      <w:r w:rsidRPr="00132F5E">
        <w:rPr>
          <w:szCs w:val="24"/>
          <w:lang w:val="fr-CA"/>
        </w:rPr>
        <w:t>)</w:t>
      </w:r>
      <w:r>
        <w:rPr>
          <w:szCs w:val="24"/>
          <w:lang w:val="fr-CA"/>
        </w:rPr>
        <w:tab/>
      </w:r>
      <w:r w:rsidRPr="00047AFD">
        <w:rPr>
          <w:szCs w:val="24"/>
          <w:u w:val="single"/>
          <w:lang w:val="fr-CA"/>
        </w:rPr>
        <w:t>Le p</w:t>
      </w:r>
      <w:r>
        <w:rPr>
          <w:szCs w:val="24"/>
          <w:u w:val="single"/>
          <w:lang w:val="fr-CA"/>
        </w:rPr>
        <w:t>ouvoir discrétionnaire</w:t>
      </w:r>
    </w:p>
    <w:p w:rsidR="00D867A4" w:rsidRPr="00132F5E" w:rsidRDefault="00D867A4" w:rsidP="00D867A4">
      <w:pPr>
        <w:pStyle w:val="ParaNoNdepar-AltN"/>
        <w:rPr>
          <w:lang w:val="fr-CA"/>
        </w:rPr>
      </w:pPr>
      <w:r>
        <w:rPr>
          <w:lang w:val="fr-CA"/>
        </w:rPr>
        <w:t xml:space="preserve">Depuis les premières décisions modernes concernant la qualité pour agir dans l’intérêt public, la question de la qualité pour agir a été considérée comme une question dont la solution est tributaire de l’exercice avisé du pouvoir discrétionnaire judiciaire.  Comme l’a affirmé le juge </w:t>
      </w:r>
      <w:proofErr w:type="spellStart"/>
      <w:r>
        <w:rPr>
          <w:lang w:val="fr-CA"/>
        </w:rPr>
        <w:t>Laskin</w:t>
      </w:r>
      <w:proofErr w:type="spellEnd"/>
      <w:r>
        <w:rPr>
          <w:lang w:val="fr-CA"/>
        </w:rPr>
        <w:t xml:space="preserve"> dans</w:t>
      </w:r>
      <w:r w:rsidRPr="00132F5E">
        <w:rPr>
          <w:lang w:val="fr-CA"/>
        </w:rPr>
        <w:t xml:space="preserve"> </w:t>
      </w:r>
      <w:proofErr w:type="spellStart"/>
      <w:r w:rsidRPr="00132F5E">
        <w:rPr>
          <w:i/>
          <w:lang w:val="fr-CA"/>
        </w:rPr>
        <w:t>Thorson</w:t>
      </w:r>
      <w:proofErr w:type="spellEnd"/>
      <w:r w:rsidRPr="00525095">
        <w:rPr>
          <w:lang w:val="fr-CA"/>
        </w:rPr>
        <w:t>,</w:t>
      </w:r>
      <w:r w:rsidRPr="00132F5E">
        <w:rPr>
          <w:i/>
          <w:lang w:val="fr-CA"/>
        </w:rPr>
        <w:t xml:space="preserve"> </w:t>
      </w:r>
      <w:r>
        <w:rPr>
          <w:lang w:val="fr-CA"/>
        </w:rPr>
        <w:t>la qualité pour agir dans l’intérêt public « </w:t>
      </w:r>
      <w:r w:rsidRPr="0021480E">
        <w:rPr>
          <w:lang w:val="fr-CA"/>
        </w:rPr>
        <w:t>est une matière qui relève particulièrement de l</w:t>
      </w:r>
      <w:r>
        <w:rPr>
          <w:lang w:val="fr-CA"/>
        </w:rPr>
        <w:t>’</w:t>
      </w:r>
      <w:r w:rsidRPr="0021480E">
        <w:rPr>
          <w:lang w:val="fr-CA"/>
        </w:rPr>
        <w:t>exercice du pouvoir discrétionnaire des cours de justice, puisqu</w:t>
      </w:r>
      <w:r>
        <w:rPr>
          <w:lang w:val="fr-CA"/>
        </w:rPr>
        <w:t>’</w:t>
      </w:r>
      <w:r w:rsidRPr="0021480E">
        <w:rPr>
          <w:lang w:val="fr-CA"/>
        </w:rPr>
        <w:t>elle se rapporte à l</w:t>
      </w:r>
      <w:r>
        <w:rPr>
          <w:lang w:val="fr-CA"/>
        </w:rPr>
        <w:t>’</w:t>
      </w:r>
      <w:r w:rsidRPr="0021480E">
        <w:rPr>
          <w:lang w:val="fr-CA"/>
        </w:rPr>
        <w:t>efficacité du recours</w:t>
      </w:r>
      <w:r>
        <w:rPr>
          <w:lang w:val="fr-CA"/>
        </w:rPr>
        <w:t xml:space="preserve"> » </w:t>
      </w:r>
      <w:r w:rsidRPr="00132F5E">
        <w:rPr>
          <w:lang w:val="fr-CA"/>
        </w:rPr>
        <w:t>(</w:t>
      </w:r>
      <w:r>
        <w:rPr>
          <w:lang w:val="fr-CA"/>
        </w:rPr>
        <w:t>p. </w:t>
      </w:r>
      <w:r w:rsidRPr="00132F5E">
        <w:rPr>
          <w:lang w:val="fr-CA"/>
        </w:rPr>
        <w:t xml:space="preserve">161); </w:t>
      </w:r>
      <w:r>
        <w:rPr>
          <w:lang w:val="fr-CA"/>
        </w:rPr>
        <w:t>voir aussi</w:t>
      </w:r>
      <w:r w:rsidRPr="00132F5E">
        <w:rPr>
          <w:szCs w:val="24"/>
          <w:lang w:val="fr-CA"/>
        </w:rPr>
        <w:t xml:space="preserve"> </w:t>
      </w:r>
      <w:r>
        <w:rPr>
          <w:szCs w:val="24"/>
          <w:lang w:val="fr-CA"/>
        </w:rPr>
        <w:t>p. 147</w:t>
      </w:r>
      <w:r w:rsidR="00FB519F">
        <w:rPr>
          <w:szCs w:val="24"/>
          <w:lang w:val="fr-CA"/>
        </w:rPr>
        <w:t xml:space="preserve"> </w:t>
      </w:r>
      <w:r>
        <w:rPr>
          <w:szCs w:val="24"/>
          <w:lang w:val="fr-CA"/>
        </w:rPr>
        <w:t xml:space="preserve">et </w:t>
      </w:r>
      <w:r w:rsidRPr="00132F5E">
        <w:rPr>
          <w:szCs w:val="24"/>
          <w:lang w:val="fr-CA"/>
        </w:rPr>
        <w:t xml:space="preserve">163; </w:t>
      </w:r>
      <w:r w:rsidRPr="00067101">
        <w:rPr>
          <w:i/>
          <w:szCs w:val="24"/>
          <w:lang w:val="fr-CA"/>
        </w:rPr>
        <w:t xml:space="preserve">Nova </w:t>
      </w:r>
      <w:proofErr w:type="spellStart"/>
      <w:r w:rsidRPr="00067101">
        <w:rPr>
          <w:i/>
          <w:szCs w:val="24"/>
          <w:lang w:val="fr-CA"/>
        </w:rPr>
        <w:t>Scotia</w:t>
      </w:r>
      <w:proofErr w:type="spellEnd"/>
      <w:r w:rsidRPr="00067101">
        <w:rPr>
          <w:i/>
          <w:szCs w:val="24"/>
          <w:lang w:val="fr-CA"/>
        </w:rPr>
        <w:t xml:space="preserve"> </w:t>
      </w:r>
      <w:proofErr w:type="spellStart"/>
      <w:r w:rsidRPr="00067101">
        <w:rPr>
          <w:i/>
          <w:szCs w:val="24"/>
          <w:lang w:val="fr-CA"/>
        </w:rPr>
        <w:t>Board</w:t>
      </w:r>
      <w:proofErr w:type="spellEnd"/>
      <w:r w:rsidRPr="00067101">
        <w:rPr>
          <w:i/>
          <w:szCs w:val="24"/>
          <w:lang w:val="fr-CA"/>
        </w:rPr>
        <w:t xml:space="preserve"> of </w:t>
      </w:r>
      <w:proofErr w:type="spellStart"/>
      <w:r w:rsidRPr="00067101">
        <w:rPr>
          <w:i/>
          <w:szCs w:val="24"/>
          <w:lang w:val="fr-CA"/>
        </w:rPr>
        <w:t>Censors</w:t>
      </w:r>
      <w:proofErr w:type="spellEnd"/>
      <w:r w:rsidRPr="00067101">
        <w:rPr>
          <w:i/>
          <w:szCs w:val="24"/>
          <w:lang w:val="fr-CA"/>
        </w:rPr>
        <w:t xml:space="preserve"> c.</w:t>
      </w:r>
      <w:r>
        <w:rPr>
          <w:szCs w:val="24"/>
          <w:lang w:val="fr-CA"/>
        </w:rPr>
        <w:t xml:space="preserve"> </w:t>
      </w:r>
      <w:r w:rsidRPr="00067101">
        <w:rPr>
          <w:i/>
          <w:szCs w:val="24"/>
          <w:lang w:val="fr-CA"/>
        </w:rPr>
        <w:t>McNeil</w:t>
      </w:r>
      <w:r w:rsidRPr="00067101">
        <w:rPr>
          <w:szCs w:val="24"/>
          <w:lang w:val="fr-CA"/>
        </w:rPr>
        <w:t xml:space="preserve">, </w:t>
      </w:r>
      <w:r>
        <w:rPr>
          <w:szCs w:val="24"/>
          <w:lang w:val="fr-CA"/>
        </w:rPr>
        <w:t>[1976] 2 R.C.S. 265, p. </w:t>
      </w:r>
      <w:r w:rsidRPr="00067101">
        <w:rPr>
          <w:szCs w:val="24"/>
          <w:lang w:val="fr-CA"/>
        </w:rPr>
        <w:t xml:space="preserve">269 et 271; </w:t>
      </w:r>
      <w:proofErr w:type="spellStart"/>
      <w:r w:rsidRPr="00067101">
        <w:rPr>
          <w:i/>
          <w:szCs w:val="24"/>
          <w:lang w:val="fr-CA"/>
        </w:rPr>
        <w:t>Borowski</w:t>
      </w:r>
      <w:proofErr w:type="spellEnd"/>
      <w:r w:rsidRPr="00067101">
        <w:rPr>
          <w:szCs w:val="24"/>
          <w:lang w:val="fr-CA"/>
        </w:rPr>
        <w:t xml:space="preserve">, </w:t>
      </w:r>
      <w:r>
        <w:rPr>
          <w:szCs w:val="24"/>
          <w:lang w:val="fr-CA"/>
        </w:rPr>
        <w:t>p. </w:t>
      </w:r>
      <w:r w:rsidRPr="00067101">
        <w:rPr>
          <w:szCs w:val="24"/>
          <w:lang w:val="fr-CA"/>
        </w:rPr>
        <w:t xml:space="preserve">593; </w:t>
      </w:r>
      <w:r w:rsidRPr="00067101">
        <w:rPr>
          <w:i/>
          <w:szCs w:val="24"/>
          <w:lang w:val="fr-CA"/>
        </w:rPr>
        <w:t>Finlay</w:t>
      </w:r>
      <w:r w:rsidRPr="00067101">
        <w:rPr>
          <w:szCs w:val="24"/>
          <w:lang w:val="fr-CA"/>
        </w:rPr>
        <w:t xml:space="preserve">, </w:t>
      </w:r>
      <w:r>
        <w:rPr>
          <w:szCs w:val="24"/>
          <w:lang w:val="fr-CA"/>
        </w:rPr>
        <w:t>p. </w:t>
      </w:r>
      <w:r w:rsidRPr="00067101">
        <w:rPr>
          <w:szCs w:val="24"/>
          <w:lang w:val="fr-CA"/>
        </w:rPr>
        <w:t>631</w:t>
      </w:r>
      <w:r w:rsidR="00A67991">
        <w:rPr>
          <w:szCs w:val="24"/>
          <w:lang w:val="fr-CA"/>
        </w:rPr>
        <w:t>-6</w:t>
      </w:r>
      <w:r w:rsidRPr="00067101">
        <w:rPr>
          <w:szCs w:val="24"/>
          <w:lang w:val="fr-CA"/>
        </w:rPr>
        <w:t>32</w:t>
      </w:r>
      <w:r>
        <w:rPr>
          <w:szCs w:val="24"/>
          <w:lang w:val="fr-CA"/>
        </w:rPr>
        <w:t xml:space="preserve"> et</w:t>
      </w:r>
      <w:r w:rsidRPr="00067101">
        <w:rPr>
          <w:szCs w:val="24"/>
          <w:lang w:val="fr-CA"/>
        </w:rPr>
        <w:t xml:space="preserve"> 635.  </w:t>
      </w:r>
      <w:r w:rsidRPr="00067101">
        <w:rPr>
          <w:lang w:val="fr-CA"/>
        </w:rPr>
        <w:t>La</w:t>
      </w:r>
      <w:r>
        <w:rPr>
          <w:lang w:val="fr-CA"/>
        </w:rPr>
        <w:t xml:space="preserve"> décision de reconnaître ou non la qualité pour agir nécessite l’exercice </w:t>
      </w:r>
      <w:r w:rsidRPr="00047AFD">
        <w:rPr>
          <w:lang w:val="fr-CA"/>
        </w:rPr>
        <w:t xml:space="preserve">minutieux du pouvoir discrétionnaire judiciaire par la mise en balance des trois facteurs </w:t>
      </w:r>
      <w:r>
        <w:rPr>
          <w:lang w:val="fr-CA"/>
        </w:rPr>
        <w:t xml:space="preserve">(une question justiciable sérieuse, la nature de l’intérêt du demandeur et les autres manières raisonnables et efficaces).  Le juge </w:t>
      </w:r>
      <w:r w:rsidRPr="00132F5E">
        <w:rPr>
          <w:lang w:val="fr-CA"/>
        </w:rPr>
        <w:t xml:space="preserve">Cory </w:t>
      </w:r>
      <w:r>
        <w:rPr>
          <w:lang w:val="fr-CA"/>
        </w:rPr>
        <w:t xml:space="preserve">a insisté sur ce point dans </w:t>
      </w:r>
      <w:r>
        <w:rPr>
          <w:i/>
          <w:lang w:val="fr-CA"/>
        </w:rPr>
        <w:t xml:space="preserve">Conseil canadien des Églises </w:t>
      </w:r>
      <w:r>
        <w:rPr>
          <w:lang w:val="fr-CA"/>
        </w:rPr>
        <w:t xml:space="preserve">où il a souligné que les facteurs à prendre en compte dans l’exercice de ce pouvoir discrétionnaire ne devaient pas être considérés comme des exigences techniques et que les principes qui s’y appliquent devraient être interprétés d’une façon libérale et souple </w:t>
      </w:r>
      <w:r w:rsidRPr="00132F5E">
        <w:rPr>
          <w:lang w:val="fr-CA"/>
        </w:rPr>
        <w:t>(</w:t>
      </w:r>
      <w:r>
        <w:rPr>
          <w:lang w:val="fr-CA"/>
        </w:rPr>
        <w:t>p. </w:t>
      </w:r>
      <w:r w:rsidRPr="00132F5E">
        <w:rPr>
          <w:lang w:val="fr-CA"/>
        </w:rPr>
        <w:t xml:space="preserve">256 </w:t>
      </w:r>
      <w:r>
        <w:rPr>
          <w:lang w:val="fr-CA"/>
        </w:rPr>
        <w:t>et</w:t>
      </w:r>
      <w:r w:rsidRPr="00132F5E">
        <w:rPr>
          <w:lang w:val="fr-CA"/>
        </w:rPr>
        <w:t xml:space="preserve"> 253).</w:t>
      </w:r>
    </w:p>
    <w:p w:rsidR="00D867A4" w:rsidRPr="00132F5E" w:rsidRDefault="00D867A4" w:rsidP="001D0B62">
      <w:pPr>
        <w:pStyle w:val="ParaNoNdepar-AltN"/>
        <w:rPr>
          <w:lang w:val="fr-CA"/>
        </w:rPr>
      </w:pPr>
      <w:r>
        <w:rPr>
          <w:lang w:val="fr-CA"/>
        </w:rPr>
        <w:t xml:space="preserve">En conséquence, </w:t>
      </w:r>
      <w:r w:rsidRPr="001D0B62">
        <w:rPr>
          <w:szCs w:val="24"/>
          <w:lang w:val="fr-CA"/>
        </w:rPr>
        <w:t>les</w:t>
      </w:r>
      <w:r>
        <w:rPr>
          <w:lang w:val="fr-CA"/>
        </w:rPr>
        <w:t xml:space="preserve"> trois facteurs ne doivent pas être perçus comme des points figurant sur une liste de contrôle ou comme des exigences techniques.  Ils doivent plutôt être vus comme des considérations connexes</w:t>
      </w:r>
      <w:r w:rsidRPr="00132F5E">
        <w:rPr>
          <w:lang w:val="fr-CA"/>
        </w:rPr>
        <w:t xml:space="preserve"> </w:t>
      </w:r>
      <w:r>
        <w:rPr>
          <w:lang w:val="fr-CA"/>
        </w:rPr>
        <w:t xml:space="preserve">devant être appréciées ensemble, plutôt que séparément, et de manière téléologique. </w:t>
      </w:r>
    </w:p>
    <w:p w:rsidR="00D867A4" w:rsidRPr="00132F5E" w:rsidRDefault="00D867A4" w:rsidP="001D0B62">
      <w:pPr>
        <w:pStyle w:val="TitleTitre-AltT"/>
        <w:keepNext/>
        <w:tabs>
          <w:tab w:val="clear" w:pos="360"/>
          <w:tab w:val="left" w:pos="540"/>
        </w:tabs>
        <w:ind w:left="1170" w:hanging="1170"/>
        <w:rPr>
          <w:szCs w:val="24"/>
          <w:lang w:val="fr-CA"/>
        </w:rPr>
      </w:pPr>
      <w:r w:rsidRPr="00132F5E">
        <w:rPr>
          <w:szCs w:val="24"/>
          <w:lang w:val="fr-CA"/>
        </w:rPr>
        <w:lastRenderedPageBreak/>
        <w:tab/>
        <w:t>(5)</w:t>
      </w:r>
      <w:r>
        <w:rPr>
          <w:szCs w:val="24"/>
          <w:lang w:val="fr-CA"/>
        </w:rPr>
        <w:tab/>
      </w:r>
      <w:r>
        <w:rPr>
          <w:szCs w:val="24"/>
          <w:u w:val="single"/>
          <w:lang w:val="fr-CA"/>
        </w:rPr>
        <w:t>L’application des trois facteurs par une approche téléologique et</w:t>
      </w:r>
      <w:r w:rsidRPr="001D0B62">
        <w:rPr>
          <w:szCs w:val="24"/>
          <w:u w:val="single"/>
          <w:lang w:val="fr-CA"/>
        </w:rPr>
        <w:t xml:space="preserve"> souple</w:t>
      </w:r>
    </w:p>
    <w:p w:rsidR="00D867A4" w:rsidRDefault="00D867A4" w:rsidP="00D867A4">
      <w:pPr>
        <w:pStyle w:val="ParaNoNdepar-AltN"/>
        <w:rPr>
          <w:szCs w:val="24"/>
          <w:lang w:val="fr-CA"/>
        </w:rPr>
      </w:pPr>
      <w:r>
        <w:rPr>
          <w:szCs w:val="24"/>
          <w:lang w:val="fr-CA"/>
        </w:rPr>
        <w:t>Lorsqu’ils exercent le pouvoir discrétionnaire de reconnaître ou non la qualité pour agir dans l’intérêt public, les tribunaux doivent prendre en compte trois facteurs :</w:t>
      </w:r>
      <w:r w:rsidRPr="00132F5E">
        <w:rPr>
          <w:szCs w:val="24"/>
          <w:lang w:val="fr-CA"/>
        </w:rPr>
        <w:t xml:space="preserve"> </w:t>
      </w:r>
      <w:r w:rsidRPr="00047AFD">
        <w:rPr>
          <w:szCs w:val="24"/>
          <w:lang w:val="fr-CA"/>
        </w:rPr>
        <w:t xml:space="preserve">(1) une question justiciable sérieuse </w:t>
      </w:r>
      <w:proofErr w:type="spellStart"/>
      <w:r w:rsidRPr="00047AFD">
        <w:rPr>
          <w:szCs w:val="24"/>
          <w:lang w:val="fr-CA"/>
        </w:rPr>
        <w:t>est</w:t>
      </w:r>
      <w:r>
        <w:rPr>
          <w:szCs w:val="24"/>
          <w:lang w:val="fr-CA"/>
        </w:rPr>
        <w:noBreakHyphen/>
      </w:r>
      <w:r w:rsidRPr="00047AFD">
        <w:rPr>
          <w:szCs w:val="24"/>
          <w:lang w:val="fr-CA"/>
        </w:rPr>
        <w:t>elle</w:t>
      </w:r>
      <w:proofErr w:type="spellEnd"/>
      <w:r w:rsidRPr="00047AFD">
        <w:rPr>
          <w:szCs w:val="24"/>
          <w:lang w:val="fr-CA"/>
        </w:rPr>
        <w:t xml:space="preserve"> soulevée? (2) le demandeur </w:t>
      </w:r>
      <w:proofErr w:type="spellStart"/>
      <w:r w:rsidRPr="00047AFD">
        <w:rPr>
          <w:szCs w:val="24"/>
          <w:lang w:val="fr-CA"/>
        </w:rPr>
        <w:t>a</w:t>
      </w:r>
      <w:r>
        <w:rPr>
          <w:szCs w:val="24"/>
          <w:lang w:val="fr-CA"/>
        </w:rPr>
        <w:noBreakHyphen/>
      </w:r>
      <w:r w:rsidRPr="00047AFD">
        <w:rPr>
          <w:szCs w:val="24"/>
          <w:lang w:val="fr-CA"/>
        </w:rPr>
        <w:t>t</w:t>
      </w:r>
      <w:r>
        <w:rPr>
          <w:szCs w:val="24"/>
          <w:lang w:val="fr-CA"/>
        </w:rPr>
        <w:noBreakHyphen/>
      </w:r>
      <w:r w:rsidRPr="00047AFD">
        <w:rPr>
          <w:szCs w:val="24"/>
          <w:lang w:val="fr-CA"/>
        </w:rPr>
        <w:t>il</w:t>
      </w:r>
      <w:proofErr w:type="spellEnd"/>
      <w:r w:rsidRPr="00047AFD">
        <w:rPr>
          <w:szCs w:val="24"/>
          <w:lang w:val="fr-CA"/>
        </w:rPr>
        <w:t xml:space="preserve"> un intérêt réel </w:t>
      </w:r>
      <w:r>
        <w:rPr>
          <w:szCs w:val="24"/>
          <w:lang w:val="fr-CA"/>
        </w:rPr>
        <w:t>ou</w:t>
      </w:r>
      <w:r w:rsidRPr="00047AFD">
        <w:rPr>
          <w:szCs w:val="24"/>
          <w:lang w:val="fr-CA"/>
        </w:rPr>
        <w:t xml:space="preserve"> véritable dans l</w:t>
      </w:r>
      <w:r>
        <w:rPr>
          <w:szCs w:val="24"/>
          <w:lang w:val="fr-CA"/>
        </w:rPr>
        <w:t>’</w:t>
      </w:r>
      <w:r w:rsidRPr="00047AFD">
        <w:rPr>
          <w:szCs w:val="24"/>
          <w:lang w:val="fr-CA"/>
        </w:rPr>
        <w:t xml:space="preserve">issue de cette question? et (3) compte tenu de toutes les circonstances, la poursuite proposée </w:t>
      </w:r>
      <w:proofErr w:type="spellStart"/>
      <w:r w:rsidRPr="00047AFD">
        <w:rPr>
          <w:szCs w:val="24"/>
          <w:lang w:val="fr-CA"/>
        </w:rPr>
        <w:t>constitue</w:t>
      </w:r>
      <w:r>
        <w:rPr>
          <w:szCs w:val="24"/>
          <w:lang w:val="fr-CA"/>
        </w:rPr>
        <w:noBreakHyphen/>
      </w:r>
      <w:r w:rsidRPr="00047AFD">
        <w:rPr>
          <w:szCs w:val="24"/>
          <w:lang w:val="fr-CA"/>
        </w:rPr>
        <w:t>t</w:t>
      </w:r>
      <w:r>
        <w:rPr>
          <w:szCs w:val="24"/>
          <w:lang w:val="fr-CA"/>
        </w:rPr>
        <w:noBreakHyphen/>
      </w:r>
      <w:r w:rsidRPr="00047AFD">
        <w:rPr>
          <w:szCs w:val="24"/>
          <w:lang w:val="fr-CA"/>
        </w:rPr>
        <w:t>elle</w:t>
      </w:r>
      <w:proofErr w:type="spellEnd"/>
      <w:r w:rsidRPr="00047AFD">
        <w:rPr>
          <w:szCs w:val="24"/>
          <w:lang w:val="fr-CA"/>
        </w:rPr>
        <w:t xml:space="preserve"> </w:t>
      </w:r>
      <w:r>
        <w:rPr>
          <w:szCs w:val="24"/>
          <w:lang w:val="fr-CA"/>
        </w:rPr>
        <w:t>une manière</w:t>
      </w:r>
      <w:r w:rsidRPr="00047AFD">
        <w:rPr>
          <w:szCs w:val="24"/>
          <w:lang w:val="fr-CA"/>
        </w:rPr>
        <w:t xml:space="preserve"> raisonnable et efficace de soumettre la question aux tribunaux?</w:t>
      </w:r>
      <w:r>
        <w:rPr>
          <w:szCs w:val="24"/>
          <w:lang w:val="fr-CA"/>
        </w:rPr>
        <w:t> :</w:t>
      </w:r>
      <w:r w:rsidRPr="00132F5E">
        <w:rPr>
          <w:szCs w:val="24"/>
          <w:lang w:val="fr-CA"/>
        </w:rPr>
        <w:t xml:space="preserve"> </w:t>
      </w:r>
      <w:proofErr w:type="spellStart"/>
      <w:r w:rsidRPr="00132F5E">
        <w:rPr>
          <w:i/>
          <w:szCs w:val="24"/>
          <w:lang w:val="fr-CA"/>
        </w:rPr>
        <w:t>Borowski</w:t>
      </w:r>
      <w:proofErr w:type="spellEnd"/>
      <w:r w:rsidRPr="00132F5E">
        <w:rPr>
          <w:szCs w:val="24"/>
          <w:lang w:val="fr-CA"/>
        </w:rPr>
        <w:t xml:space="preserve">, </w:t>
      </w:r>
      <w:r>
        <w:rPr>
          <w:szCs w:val="24"/>
          <w:lang w:val="fr-CA"/>
        </w:rPr>
        <w:t>p. </w:t>
      </w:r>
      <w:r w:rsidRPr="00132F5E">
        <w:rPr>
          <w:szCs w:val="24"/>
          <w:lang w:val="fr-CA"/>
        </w:rPr>
        <w:t xml:space="preserve">598; </w:t>
      </w:r>
      <w:r w:rsidRPr="00132F5E">
        <w:rPr>
          <w:i/>
          <w:szCs w:val="24"/>
          <w:lang w:val="fr-CA"/>
        </w:rPr>
        <w:t>Finlay</w:t>
      </w:r>
      <w:r w:rsidRPr="00132F5E">
        <w:rPr>
          <w:szCs w:val="24"/>
          <w:lang w:val="fr-CA"/>
        </w:rPr>
        <w:t xml:space="preserve">, </w:t>
      </w:r>
      <w:r>
        <w:rPr>
          <w:szCs w:val="24"/>
          <w:lang w:val="fr-CA"/>
        </w:rPr>
        <w:t>p. </w:t>
      </w:r>
      <w:r w:rsidRPr="00132F5E">
        <w:rPr>
          <w:szCs w:val="24"/>
          <w:lang w:val="fr-CA"/>
        </w:rPr>
        <w:t xml:space="preserve">626; </w:t>
      </w:r>
      <w:r w:rsidRPr="00952DB9">
        <w:rPr>
          <w:i/>
          <w:szCs w:val="24"/>
          <w:lang w:val="fr-CA"/>
        </w:rPr>
        <w:t xml:space="preserve">Conseil canadien des </w:t>
      </w:r>
      <w:r>
        <w:rPr>
          <w:i/>
          <w:szCs w:val="24"/>
          <w:lang w:val="fr-CA"/>
        </w:rPr>
        <w:t>Égli</w:t>
      </w:r>
      <w:r w:rsidRPr="00952DB9">
        <w:rPr>
          <w:i/>
          <w:szCs w:val="24"/>
          <w:lang w:val="fr-CA"/>
        </w:rPr>
        <w:t>ses</w:t>
      </w:r>
      <w:r w:rsidRPr="00132F5E">
        <w:rPr>
          <w:szCs w:val="24"/>
          <w:lang w:val="fr-CA"/>
        </w:rPr>
        <w:t xml:space="preserve">, </w:t>
      </w:r>
      <w:r>
        <w:rPr>
          <w:szCs w:val="24"/>
          <w:lang w:val="fr-CA"/>
        </w:rPr>
        <w:t>p. </w:t>
      </w:r>
      <w:r w:rsidRPr="00132F5E">
        <w:rPr>
          <w:szCs w:val="24"/>
          <w:lang w:val="fr-CA"/>
        </w:rPr>
        <w:t xml:space="preserve">253; </w:t>
      </w:r>
      <w:r w:rsidRPr="00132F5E">
        <w:rPr>
          <w:i/>
          <w:szCs w:val="24"/>
          <w:lang w:val="fr-CA"/>
        </w:rPr>
        <w:t xml:space="preserve">Hy and </w:t>
      </w:r>
      <w:proofErr w:type="spellStart"/>
      <w:r w:rsidRPr="00132F5E">
        <w:rPr>
          <w:i/>
          <w:szCs w:val="24"/>
          <w:lang w:val="fr-CA"/>
        </w:rPr>
        <w:t>Zel</w:t>
      </w:r>
      <w:r>
        <w:rPr>
          <w:i/>
          <w:szCs w:val="24"/>
          <w:lang w:val="fr-CA"/>
        </w:rPr>
        <w:t>’</w:t>
      </w:r>
      <w:r w:rsidRPr="00132F5E">
        <w:rPr>
          <w:i/>
          <w:szCs w:val="24"/>
          <w:lang w:val="fr-CA"/>
        </w:rPr>
        <w:t>s</w:t>
      </w:r>
      <w:proofErr w:type="spellEnd"/>
      <w:r w:rsidRPr="00132F5E">
        <w:rPr>
          <w:szCs w:val="24"/>
          <w:lang w:val="fr-CA"/>
        </w:rPr>
        <w:t xml:space="preserve">, </w:t>
      </w:r>
      <w:r>
        <w:rPr>
          <w:szCs w:val="24"/>
          <w:lang w:val="fr-CA"/>
        </w:rPr>
        <w:t>p. </w:t>
      </w:r>
      <w:r w:rsidRPr="00132F5E">
        <w:rPr>
          <w:szCs w:val="24"/>
          <w:lang w:val="fr-CA"/>
        </w:rPr>
        <w:t xml:space="preserve">690; </w:t>
      </w:r>
      <w:proofErr w:type="spellStart"/>
      <w:r w:rsidRPr="00132F5E">
        <w:rPr>
          <w:i/>
          <w:szCs w:val="24"/>
          <w:lang w:val="fr-CA"/>
        </w:rPr>
        <w:t>Chaoulli</w:t>
      </w:r>
      <w:proofErr w:type="spellEnd"/>
      <w:r>
        <w:rPr>
          <w:szCs w:val="24"/>
          <w:lang w:val="fr-CA"/>
        </w:rPr>
        <w:t xml:space="preserve">, par. 35 et </w:t>
      </w:r>
      <w:r w:rsidRPr="00132F5E">
        <w:rPr>
          <w:szCs w:val="24"/>
          <w:lang w:val="fr-CA"/>
        </w:rPr>
        <w:t>188</w:t>
      </w:r>
      <w:r>
        <w:rPr>
          <w:szCs w:val="24"/>
          <w:lang w:val="fr-CA"/>
        </w:rPr>
        <w:t xml:space="preserve">.  Le demandeur qui souhaite se voir reconnaître la qualité pour agir doit convaincre la cour que ces facteurs, appliqués d’une manière souple et téléologique, militent en faveur de la reconnaissance de cette qualité.  Toutes les autres considérations étant égales par ailleurs, un demandeur qui possède de plein droit la qualité pour agir sera généralement </w:t>
      </w:r>
      <w:proofErr w:type="gramStart"/>
      <w:r>
        <w:rPr>
          <w:szCs w:val="24"/>
          <w:lang w:val="fr-CA"/>
        </w:rPr>
        <w:t>préféré</w:t>
      </w:r>
      <w:proofErr w:type="gramEnd"/>
      <w:r>
        <w:rPr>
          <w:szCs w:val="24"/>
          <w:lang w:val="fr-CA"/>
        </w:rPr>
        <w:t>.</w:t>
      </w:r>
    </w:p>
    <w:p w:rsidR="00D867A4" w:rsidRPr="00132F5E" w:rsidRDefault="00D867A4" w:rsidP="00D867A4">
      <w:pPr>
        <w:pStyle w:val="ParaNoNdepar-AltN"/>
        <w:rPr>
          <w:szCs w:val="24"/>
          <w:lang w:val="fr-CA"/>
        </w:rPr>
      </w:pPr>
      <w:r>
        <w:rPr>
          <w:szCs w:val="24"/>
          <w:lang w:val="fr-CA"/>
        </w:rPr>
        <w:t>La principale question qui oppose les parties en l’espèce a trait à la formulation et à l’application du troisième de ces facteurs.</w:t>
      </w:r>
      <w:r w:rsidRPr="00132F5E">
        <w:rPr>
          <w:szCs w:val="24"/>
          <w:lang w:val="fr-CA"/>
        </w:rPr>
        <w:t xml:space="preserve"> </w:t>
      </w:r>
      <w:r>
        <w:rPr>
          <w:szCs w:val="24"/>
          <w:lang w:val="fr-CA"/>
        </w:rPr>
        <w:t xml:space="preserve"> Cependant, comme ils sont tous les trois intimement liés et qu’il existe un différend entre les parti</w:t>
      </w:r>
      <w:r w:rsidR="0028417D">
        <w:rPr>
          <w:szCs w:val="24"/>
          <w:lang w:val="fr-CA"/>
        </w:rPr>
        <w:t>e</w:t>
      </w:r>
      <w:r>
        <w:rPr>
          <w:szCs w:val="24"/>
          <w:lang w:val="fr-CA"/>
        </w:rPr>
        <w:t xml:space="preserve">s en ce qui concerne au moins un d’entre eux, je vais exposer brièvement certaines des considérations pertinentes quant à chacun de ces facteurs et j’analyserai, par la suite, le rôle qu’ils jouent en l’espèce. </w:t>
      </w:r>
    </w:p>
    <w:p w:rsidR="00D867A4" w:rsidRPr="00132F5E" w:rsidRDefault="00D867A4" w:rsidP="0028417D">
      <w:pPr>
        <w:pStyle w:val="TitleTitre-AltT"/>
        <w:keepNext/>
        <w:tabs>
          <w:tab w:val="clear" w:pos="360"/>
          <w:tab w:val="left" w:pos="540"/>
        </w:tabs>
        <w:ind w:left="1170" w:hanging="1170"/>
        <w:rPr>
          <w:szCs w:val="24"/>
          <w:lang w:val="fr-CA"/>
        </w:rPr>
      </w:pPr>
      <w:r>
        <w:rPr>
          <w:szCs w:val="24"/>
          <w:lang w:val="fr-CA"/>
        </w:rPr>
        <w:lastRenderedPageBreak/>
        <w:tab/>
        <w:t>a)</w:t>
      </w:r>
      <w:r>
        <w:rPr>
          <w:szCs w:val="24"/>
          <w:lang w:val="fr-CA"/>
        </w:rPr>
        <w:tab/>
      </w:r>
      <w:r>
        <w:rPr>
          <w:i/>
          <w:szCs w:val="24"/>
          <w:lang w:val="fr-CA"/>
        </w:rPr>
        <w:t xml:space="preserve">Question justiciable sérieuse </w:t>
      </w:r>
    </w:p>
    <w:p w:rsidR="00D867A4" w:rsidRPr="00132F5E" w:rsidRDefault="00D867A4" w:rsidP="00D867A4">
      <w:pPr>
        <w:pStyle w:val="ParaNoNdepar-AltN"/>
        <w:rPr>
          <w:szCs w:val="24"/>
          <w:lang w:val="fr-CA"/>
        </w:rPr>
      </w:pPr>
      <w:r>
        <w:rPr>
          <w:szCs w:val="24"/>
          <w:lang w:val="fr-CA"/>
        </w:rPr>
        <w:t xml:space="preserve">Ce facteur concerne deux des préoccupations qui </w:t>
      </w:r>
      <w:proofErr w:type="spellStart"/>
      <w:r>
        <w:rPr>
          <w:szCs w:val="24"/>
          <w:lang w:val="fr-CA"/>
        </w:rPr>
        <w:t>sous</w:t>
      </w:r>
      <w:r>
        <w:rPr>
          <w:szCs w:val="24"/>
          <w:lang w:val="fr-CA"/>
        </w:rPr>
        <w:noBreakHyphen/>
        <w:t>tendent</w:t>
      </w:r>
      <w:proofErr w:type="spellEnd"/>
      <w:r>
        <w:rPr>
          <w:szCs w:val="24"/>
          <w:lang w:val="fr-CA"/>
        </w:rPr>
        <w:t xml:space="preserve"> les restrictions traditionnelles imposées à la qualité pour agir.  Dans </w:t>
      </w:r>
      <w:r w:rsidRPr="00132F5E">
        <w:rPr>
          <w:i/>
          <w:szCs w:val="24"/>
          <w:lang w:val="fr-CA"/>
        </w:rPr>
        <w:t>Finlay</w:t>
      </w:r>
      <w:r w:rsidRPr="00132F5E">
        <w:rPr>
          <w:szCs w:val="24"/>
          <w:lang w:val="fr-CA"/>
        </w:rPr>
        <w:t xml:space="preserve">, </w:t>
      </w:r>
      <w:r>
        <w:rPr>
          <w:szCs w:val="24"/>
          <w:lang w:val="fr-CA"/>
        </w:rPr>
        <w:t xml:space="preserve">le juge Le Dain a lié la </w:t>
      </w:r>
      <w:proofErr w:type="spellStart"/>
      <w:r>
        <w:rPr>
          <w:szCs w:val="24"/>
          <w:lang w:val="fr-CA"/>
        </w:rPr>
        <w:t>justiciabilité</w:t>
      </w:r>
      <w:proofErr w:type="spellEnd"/>
      <w:r>
        <w:rPr>
          <w:szCs w:val="24"/>
          <w:lang w:val="fr-CA"/>
        </w:rPr>
        <w:t xml:space="preserve"> d’une question à la « </w:t>
      </w:r>
      <w:r w:rsidRPr="00053A23">
        <w:rPr>
          <w:szCs w:val="24"/>
          <w:lang w:val="fr-CA"/>
        </w:rPr>
        <w:t>préoccupation relative au rôle propre des tribunaux et à leur relation constitutionnelle avec les autres branches du gouvernement</w:t>
      </w:r>
      <w:r>
        <w:rPr>
          <w:szCs w:val="24"/>
          <w:lang w:val="fr-CA"/>
        </w:rPr>
        <w:t xml:space="preserve"> » et son caractère sérieux à la préoccupation relative à l’utilisation des ressources judiciaires limitées </w:t>
      </w:r>
      <w:r w:rsidRPr="00132F5E">
        <w:rPr>
          <w:lang w:val="fr-CA"/>
        </w:rPr>
        <w:t>(</w:t>
      </w:r>
      <w:r>
        <w:rPr>
          <w:lang w:val="fr-CA"/>
        </w:rPr>
        <w:t>p. </w:t>
      </w:r>
      <w:r w:rsidRPr="00132F5E">
        <w:rPr>
          <w:lang w:val="fr-CA"/>
        </w:rPr>
        <w:t>63</w:t>
      </w:r>
      <w:r>
        <w:rPr>
          <w:lang w:val="fr-CA"/>
        </w:rPr>
        <w:t>1</w:t>
      </w:r>
      <w:r w:rsidRPr="00132F5E">
        <w:rPr>
          <w:lang w:val="fr-CA"/>
        </w:rPr>
        <w:t xml:space="preserve">); </w:t>
      </w:r>
      <w:r>
        <w:rPr>
          <w:lang w:val="fr-CA"/>
        </w:rPr>
        <w:t>voir aussi, la juge L’</w:t>
      </w:r>
      <w:proofErr w:type="spellStart"/>
      <w:r>
        <w:rPr>
          <w:lang w:val="fr-CA"/>
        </w:rPr>
        <w:t>Heureux</w:t>
      </w:r>
      <w:r>
        <w:rPr>
          <w:lang w:val="fr-CA"/>
        </w:rPr>
        <w:noBreakHyphen/>
        <w:t>Dubé</w:t>
      </w:r>
      <w:proofErr w:type="spellEnd"/>
      <w:r w:rsidRPr="00132F5E">
        <w:rPr>
          <w:lang w:val="fr-CA"/>
        </w:rPr>
        <w:t xml:space="preserve">, </w:t>
      </w:r>
      <w:r>
        <w:rPr>
          <w:lang w:val="fr-CA"/>
        </w:rPr>
        <w:t xml:space="preserve">dissidente, dans </w:t>
      </w:r>
      <w:r w:rsidRPr="00132F5E">
        <w:rPr>
          <w:i/>
          <w:lang w:val="fr-CA"/>
        </w:rPr>
        <w:t xml:space="preserve">Hy and </w:t>
      </w:r>
      <w:proofErr w:type="spellStart"/>
      <w:r w:rsidRPr="00132F5E">
        <w:rPr>
          <w:i/>
          <w:lang w:val="fr-CA"/>
        </w:rPr>
        <w:t>Zel</w:t>
      </w:r>
      <w:r>
        <w:rPr>
          <w:i/>
          <w:lang w:val="fr-CA"/>
        </w:rPr>
        <w:t>’</w:t>
      </w:r>
      <w:r w:rsidRPr="00132F5E">
        <w:rPr>
          <w:i/>
          <w:lang w:val="fr-CA"/>
        </w:rPr>
        <w:t>s</w:t>
      </w:r>
      <w:proofErr w:type="spellEnd"/>
      <w:r w:rsidRPr="00132F5E">
        <w:rPr>
          <w:lang w:val="fr-CA"/>
        </w:rPr>
        <w:t xml:space="preserve">, </w:t>
      </w:r>
      <w:r w:rsidR="0028417D">
        <w:rPr>
          <w:lang w:val="fr-CA"/>
        </w:rPr>
        <w:t>p. 702-70</w:t>
      </w:r>
      <w:r w:rsidRPr="00132F5E">
        <w:rPr>
          <w:lang w:val="fr-CA"/>
        </w:rPr>
        <w:t>3.</w:t>
      </w:r>
    </w:p>
    <w:p w:rsidR="00D867A4" w:rsidRPr="003068FA" w:rsidRDefault="00D867A4" w:rsidP="00D867A4">
      <w:pPr>
        <w:pStyle w:val="ParaNoNdepar-AltN"/>
        <w:rPr>
          <w:szCs w:val="24"/>
        </w:rPr>
      </w:pPr>
      <w:r>
        <w:rPr>
          <w:lang w:val="fr-CA"/>
        </w:rPr>
        <w:t xml:space="preserve">En insistant sur l’existence d’une question justiciable, les tribunaux s’assurent d’exercer leur pouvoir discrétionnaire de reconnaître la qualité pour agir d’une façon qui est cohérente avec l’objectif de demeurer dans les limites du rôle constitutionnel qui leur est propre </w:t>
      </w:r>
      <w:r w:rsidRPr="00132F5E">
        <w:rPr>
          <w:szCs w:val="24"/>
          <w:lang w:val="fr-CA"/>
        </w:rPr>
        <w:t>(</w:t>
      </w:r>
      <w:r w:rsidRPr="00525095">
        <w:rPr>
          <w:i/>
          <w:szCs w:val="24"/>
          <w:lang w:val="fr-CA"/>
        </w:rPr>
        <w:t>Finlay</w:t>
      </w:r>
      <w:r>
        <w:rPr>
          <w:szCs w:val="24"/>
          <w:lang w:val="fr-CA"/>
        </w:rPr>
        <w:t>, p. </w:t>
      </w:r>
      <w:r w:rsidRPr="00132F5E">
        <w:rPr>
          <w:szCs w:val="24"/>
          <w:lang w:val="fr-CA"/>
        </w:rPr>
        <w:t>632)</w:t>
      </w:r>
      <w:r>
        <w:rPr>
          <w:szCs w:val="24"/>
          <w:lang w:val="fr-CA"/>
        </w:rPr>
        <w:t xml:space="preserve">.  Dans </w:t>
      </w:r>
      <w:r>
        <w:rPr>
          <w:i/>
          <w:szCs w:val="24"/>
          <w:lang w:val="fr-CA"/>
        </w:rPr>
        <w:t>Finlay</w:t>
      </w:r>
      <w:r w:rsidRPr="00264675">
        <w:rPr>
          <w:szCs w:val="24"/>
          <w:lang w:val="fr-CA"/>
        </w:rPr>
        <w:t xml:space="preserve">, </w:t>
      </w:r>
      <w:r>
        <w:rPr>
          <w:szCs w:val="24"/>
          <w:lang w:val="fr-CA"/>
        </w:rPr>
        <w:t>l</w:t>
      </w:r>
      <w:r w:rsidRPr="00132F5E">
        <w:rPr>
          <w:szCs w:val="24"/>
          <w:lang w:val="fr-CA"/>
        </w:rPr>
        <w:t>e</w:t>
      </w:r>
      <w:r>
        <w:rPr>
          <w:szCs w:val="24"/>
          <w:lang w:val="fr-CA"/>
        </w:rPr>
        <w:t xml:space="preserve"> juge Le </w:t>
      </w:r>
      <w:r w:rsidRPr="00132F5E">
        <w:rPr>
          <w:szCs w:val="24"/>
          <w:lang w:val="fr-CA"/>
        </w:rPr>
        <w:t xml:space="preserve">Dain </w:t>
      </w:r>
      <w:r>
        <w:rPr>
          <w:szCs w:val="24"/>
          <w:lang w:val="fr-CA"/>
        </w:rPr>
        <w:t xml:space="preserve">a cité l’arrêt </w:t>
      </w:r>
      <w:proofErr w:type="spellStart"/>
      <w:r>
        <w:rPr>
          <w:i/>
          <w:lang w:val="fr-CA"/>
        </w:rPr>
        <w:t>Operation</w:t>
      </w:r>
      <w:proofErr w:type="spellEnd"/>
      <w:r>
        <w:rPr>
          <w:i/>
          <w:lang w:val="fr-CA"/>
        </w:rPr>
        <w:t xml:space="preserve"> </w:t>
      </w:r>
      <w:proofErr w:type="spellStart"/>
      <w:r>
        <w:rPr>
          <w:i/>
          <w:lang w:val="fr-CA"/>
        </w:rPr>
        <w:t>Dismantle</w:t>
      </w:r>
      <w:proofErr w:type="spellEnd"/>
      <w:r>
        <w:rPr>
          <w:i/>
          <w:lang w:val="fr-CA"/>
        </w:rPr>
        <w:t xml:space="preserve"> Inc. c</w:t>
      </w:r>
      <w:r w:rsidRPr="00132F5E">
        <w:rPr>
          <w:i/>
          <w:lang w:val="fr-CA"/>
        </w:rPr>
        <w:t xml:space="preserve">. </w:t>
      </w:r>
      <w:r>
        <w:rPr>
          <w:i/>
          <w:lang w:val="fr-CA"/>
        </w:rPr>
        <w:t>La Reine</w:t>
      </w:r>
      <w:r w:rsidRPr="00132F5E">
        <w:rPr>
          <w:lang w:val="fr-CA"/>
        </w:rPr>
        <w:t xml:space="preserve">, [1985] 1 </w:t>
      </w:r>
      <w:r>
        <w:rPr>
          <w:lang w:val="fr-CA"/>
        </w:rPr>
        <w:t>R.C.S.</w:t>
      </w:r>
      <w:r w:rsidRPr="00132F5E">
        <w:rPr>
          <w:lang w:val="fr-CA"/>
        </w:rPr>
        <w:t xml:space="preserve"> 441, </w:t>
      </w:r>
      <w:r>
        <w:rPr>
          <w:lang w:val="fr-CA"/>
        </w:rPr>
        <w:t>et a écrit que « </w:t>
      </w:r>
      <w:r w:rsidRPr="00264675">
        <w:rPr>
          <w:lang w:val="fr-CA"/>
        </w:rPr>
        <w:t>lorsqu</w:t>
      </w:r>
      <w:r>
        <w:rPr>
          <w:lang w:val="fr-CA"/>
        </w:rPr>
        <w:t>’</w:t>
      </w:r>
      <w:r w:rsidRPr="00264675">
        <w:rPr>
          <w:lang w:val="fr-CA"/>
        </w:rPr>
        <w:t>est en cause un litige que les tribunaux peuvent trancher, ceux</w:t>
      </w:r>
      <w:r w:rsidR="00D0078F" w:rsidRPr="00D0078F">
        <w:rPr>
          <w:lang w:val="fr-CA"/>
        </w:rPr>
        <w:t>-</w:t>
      </w:r>
      <w:r w:rsidRPr="00264675">
        <w:rPr>
          <w:rFonts w:cs="Times New Roman"/>
          <w:lang w:val="fr-CA"/>
        </w:rPr>
        <w:t>ci ne devraient pas refuser de statuer au motif qu</w:t>
      </w:r>
      <w:r>
        <w:rPr>
          <w:rFonts w:cs="Times New Roman"/>
          <w:lang w:val="fr-CA"/>
        </w:rPr>
        <w:t>’</w:t>
      </w:r>
      <w:r w:rsidRPr="00264675">
        <w:rPr>
          <w:rFonts w:cs="Times New Roman"/>
          <w:lang w:val="fr-CA"/>
        </w:rPr>
        <w:t>à cause de ses incidences ou de son contexte politiques, il vaudrait mieux en laisser l</w:t>
      </w:r>
      <w:r>
        <w:rPr>
          <w:rFonts w:cs="Times New Roman"/>
          <w:lang w:val="fr-CA"/>
        </w:rPr>
        <w:t>’</w:t>
      </w:r>
      <w:r w:rsidRPr="00264675">
        <w:rPr>
          <w:rFonts w:cs="Times New Roman"/>
          <w:lang w:val="fr-CA"/>
        </w:rPr>
        <w:t>examen et le règlement au législatif ou à l</w:t>
      </w:r>
      <w:r>
        <w:rPr>
          <w:rFonts w:cs="Times New Roman"/>
          <w:lang w:val="fr-CA"/>
        </w:rPr>
        <w:t>’</w:t>
      </w:r>
      <w:r w:rsidRPr="00264675">
        <w:rPr>
          <w:rFonts w:cs="Times New Roman"/>
          <w:lang w:val="fr-CA"/>
        </w:rPr>
        <w:t>e</w:t>
      </w:r>
      <w:r w:rsidRPr="00264675">
        <w:rPr>
          <w:lang w:val="fr-CA"/>
        </w:rPr>
        <w:t>xécutif</w:t>
      </w:r>
      <w:r>
        <w:rPr>
          <w:lang w:val="fr-CA"/>
        </w:rPr>
        <w:t> » :</w:t>
      </w:r>
      <w:r w:rsidRPr="00132F5E">
        <w:rPr>
          <w:lang w:val="fr-CA"/>
        </w:rPr>
        <w:t xml:space="preserve"> </w:t>
      </w:r>
      <w:r>
        <w:rPr>
          <w:lang w:val="fr-CA"/>
        </w:rPr>
        <w:t>p. </w:t>
      </w:r>
      <w:r w:rsidRPr="00132F5E">
        <w:rPr>
          <w:lang w:val="fr-CA"/>
        </w:rPr>
        <w:t>632</w:t>
      </w:r>
      <w:r w:rsidR="0028417D">
        <w:rPr>
          <w:lang w:val="fr-CA"/>
        </w:rPr>
        <w:t>-6</w:t>
      </w:r>
      <w:r w:rsidRPr="00132F5E">
        <w:rPr>
          <w:lang w:val="fr-CA"/>
        </w:rPr>
        <w:t xml:space="preserve">33; </w:t>
      </w:r>
      <w:r>
        <w:rPr>
          <w:lang w:val="fr-CA"/>
        </w:rPr>
        <w:t>voir aussi L. </w:t>
      </w:r>
      <w:proofErr w:type="spellStart"/>
      <w:r>
        <w:rPr>
          <w:lang w:val="fr-CA"/>
        </w:rPr>
        <w:t>Sossin</w:t>
      </w:r>
      <w:proofErr w:type="spellEnd"/>
      <w:r>
        <w:rPr>
          <w:lang w:val="fr-CA"/>
        </w:rPr>
        <w:t>, « </w:t>
      </w:r>
      <w:r w:rsidRPr="00132F5E">
        <w:rPr>
          <w:lang w:val="fr-CA"/>
        </w:rPr>
        <w:t xml:space="preserve">The Justice </w:t>
      </w:r>
      <w:r>
        <w:rPr>
          <w:lang w:val="fr-CA"/>
        </w:rPr>
        <w:t xml:space="preserve">of </w:t>
      </w:r>
      <w:r w:rsidRPr="00132F5E">
        <w:rPr>
          <w:lang w:val="fr-CA"/>
        </w:rPr>
        <w:t>Access</w:t>
      </w:r>
      <w:r>
        <w:rPr>
          <w:lang w:val="fr-CA"/>
        </w:rPr>
        <w:t> :</w:t>
      </w:r>
      <w:r w:rsidRPr="00132F5E">
        <w:rPr>
          <w:lang w:val="fr-CA"/>
        </w:rPr>
        <w:t xml:space="preserve"> </w:t>
      </w:r>
      <w:proofErr w:type="spellStart"/>
      <w:r w:rsidRPr="00132F5E">
        <w:rPr>
          <w:lang w:val="fr-CA"/>
        </w:rPr>
        <w:t>Who</w:t>
      </w:r>
      <w:proofErr w:type="spellEnd"/>
      <w:r w:rsidRPr="00132F5E">
        <w:rPr>
          <w:lang w:val="fr-CA"/>
        </w:rPr>
        <w:t xml:space="preserve"> </w:t>
      </w:r>
      <w:proofErr w:type="spellStart"/>
      <w:r>
        <w:rPr>
          <w:lang w:val="fr-CA"/>
        </w:rPr>
        <w:t>S</w:t>
      </w:r>
      <w:r w:rsidRPr="00132F5E">
        <w:rPr>
          <w:lang w:val="fr-CA"/>
        </w:rPr>
        <w:t>hould</w:t>
      </w:r>
      <w:proofErr w:type="spellEnd"/>
      <w:r w:rsidRPr="00132F5E">
        <w:rPr>
          <w:lang w:val="fr-CA"/>
        </w:rPr>
        <w:t xml:space="preserve"> </w:t>
      </w:r>
      <w:r>
        <w:rPr>
          <w:lang w:val="fr-CA"/>
        </w:rPr>
        <w:t>H</w:t>
      </w:r>
      <w:r w:rsidRPr="00132F5E">
        <w:rPr>
          <w:lang w:val="fr-CA"/>
        </w:rPr>
        <w:t xml:space="preserve">ave </w:t>
      </w:r>
      <w:r>
        <w:rPr>
          <w:lang w:val="fr-CA"/>
        </w:rPr>
        <w:t>S</w:t>
      </w:r>
      <w:r w:rsidRPr="00132F5E">
        <w:rPr>
          <w:lang w:val="fr-CA"/>
        </w:rPr>
        <w:t xml:space="preserve">tanding to </w:t>
      </w:r>
      <w:r>
        <w:rPr>
          <w:lang w:val="fr-CA"/>
        </w:rPr>
        <w:t>C</w:t>
      </w:r>
      <w:r w:rsidRPr="00132F5E">
        <w:rPr>
          <w:lang w:val="fr-CA"/>
        </w:rPr>
        <w:t xml:space="preserve">hallenge the </w:t>
      </w:r>
      <w:proofErr w:type="spellStart"/>
      <w:r>
        <w:rPr>
          <w:lang w:val="fr-CA"/>
        </w:rPr>
        <w:t>C</w:t>
      </w:r>
      <w:r w:rsidRPr="00132F5E">
        <w:rPr>
          <w:lang w:val="fr-CA"/>
        </w:rPr>
        <w:t>onstitutional</w:t>
      </w:r>
      <w:proofErr w:type="spellEnd"/>
      <w:r w:rsidRPr="00132F5E">
        <w:rPr>
          <w:lang w:val="fr-CA"/>
        </w:rPr>
        <w:t xml:space="preserve"> </w:t>
      </w:r>
      <w:proofErr w:type="spellStart"/>
      <w:r>
        <w:rPr>
          <w:lang w:val="fr-CA"/>
        </w:rPr>
        <w:t>A</w:t>
      </w:r>
      <w:r w:rsidRPr="00132F5E">
        <w:rPr>
          <w:lang w:val="fr-CA"/>
        </w:rPr>
        <w:t>dequacy</w:t>
      </w:r>
      <w:proofErr w:type="spellEnd"/>
      <w:r w:rsidRPr="00132F5E">
        <w:rPr>
          <w:lang w:val="fr-CA"/>
        </w:rPr>
        <w:t xml:space="preserve"> of </w:t>
      </w:r>
      <w:proofErr w:type="spellStart"/>
      <w:r>
        <w:rPr>
          <w:lang w:val="fr-CA"/>
        </w:rPr>
        <w:t>L</w:t>
      </w:r>
      <w:r w:rsidRPr="00132F5E">
        <w:rPr>
          <w:lang w:val="fr-CA"/>
        </w:rPr>
        <w:t>egal</w:t>
      </w:r>
      <w:proofErr w:type="spellEnd"/>
      <w:r w:rsidRPr="00132F5E">
        <w:rPr>
          <w:lang w:val="fr-CA"/>
        </w:rPr>
        <w:t xml:space="preserve"> </w:t>
      </w:r>
      <w:proofErr w:type="spellStart"/>
      <w:r>
        <w:rPr>
          <w:lang w:val="fr-CA"/>
        </w:rPr>
        <w:t>A</w:t>
      </w:r>
      <w:r w:rsidRPr="00132F5E">
        <w:rPr>
          <w:lang w:val="fr-CA"/>
        </w:rPr>
        <w:t>id</w:t>
      </w:r>
      <w:proofErr w:type="spellEnd"/>
      <w:r w:rsidRPr="00132F5E">
        <w:rPr>
          <w:lang w:val="fr-CA"/>
        </w:rPr>
        <w:t>?</w:t>
      </w:r>
      <w:r>
        <w:rPr>
          <w:lang w:val="fr-CA"/>
        </w:rPr>
        <w:t> »</w:t>
      </w:r>
      <w:r w:rsidRPr="00132F5E">
        <w:rPr>
          <w:lang w:val="fr-CA"/>
        </w:rPr>
        <w:t xml:space="preserve"> </w:t>
      </w:r>
      <w:r w:rsidRPr="003068FA">
        <w:t>(2007)</w:t>
      </w:r>
      <w:r>
        <w:t>,</w:t>
      </w:r>
      <w:r w:rsidRPr="003068FA">
        <w:t xml:space="preserve"> 40 </w:t>
      </w:r>
      <w:r w:rsidRPr="003068FA">
        <w:rPr>
          <w:i/>
        </w:rPr>
        <w:t>U.B.C.</w:t>
      </w:r>
      <w:r>
        <w:rPr>
          <w:i/>
        </w:rPr>
        <w:t xml:space="preserve"> </w:t>
      </w:r>
      <w:r w:rsidRPr="003068FA">
        <w:rPr>
          <w:i/>
        </w:rPr>
        <w:t>L. Rev.</w:t>
      </w:r>
      <w:r w:rsidRPr="003068FA">
        <w:t xml:space="preserve"> 727, </w:t>
      </w:r>
      <w:r w:rsidR="0028417D">
        <w:t>p. 733-7</w:t>
      </w:r>
      <w:r>
        <w:t>34</w:t>
      </w:r>
      <w:r w:rsidRPr="003068FA">
        <w:t xml:space="preserve">; </w:t>
      </w:r>
      <w:r w:rsidRPr="003068FA">
        <w:rPr>
          <w:rFonts w:cs="Times New Roman"/>
          <w:szCs w:val="24"/>
        </w:rPr>
        <w:t xml:space="preserve">Sossin, </w:t>
      </w:r>
      <w:r w:rsidRPr="003068FA">
        <w:rPr>
          <w:rFonts w:cs="Times New Roman"/>
          <w:i/>
          <w:szCs w:val="24"/>
        </w:rPr>
        <w:t xml:space="preserve">Boundaries of Judicial </w:t>
      </w:r>
      <w:proofErr w:type="gramStart"/>
      <w:r w:rsidRPr="003068FA">
        <w:rPr>
          <w:rFonts w:cs="Times New Roman"/>
          <w:i/>
          <w:szCs w:val="24"/>
        </w:rPr>
        <w:t>Review</w:t>
      </w:r>
      <w:r>
        <w:rPr>
          <w:rFonts w:cs="Times New Roman"/>
          <w:i/>
          <w:szCs w:val="24"/>
        </w:rPr>
        <w:t> :</w:t>
      </w:r>
      <w:proofErr w:type="gramEnd"/>
      <w:r w:rsidRPr="003068FA">
        <w:rPr>
          <w:rFonts w:cs="Times New Roman"/>
          <w:i/>
          <w:szCs w:val="24"/>
        </w:rPr>
        <w:t xml:space="preserve"> The Law of Justiciability in Canada</w:t>
      </w:r>
      <w:r w:rsidRPr="003068FA">
        <w:rPr>
          <w:rFonts w:cs="Times New Roman"/>
          <w:szCs w:val="24"/>
        </w:rPr>
        <w:t>,</w:t>
      </w:r>
      <w:r w:rsidRPr="003068FA">
        <w:rPr>
          <w:rFonts w:cs="Times New Roman"/>
          <w:i/>
          <w:szCs w:val="24"/>
        </w:rPr>
        <w:t xml:space="preserve"> </w:t>
      </w:r>
      <w:r>
        <w:rPr>
          <w:rFonts w:cs="Times New Roman"/>
          <w:szCs w:val="24"/>
        </w:rPr>
        <w:t>p. </w:t>
      </w:r>
      <w:r w:rsidRPr="003068FA">
        <w:rPr>
          <w:rFonts w:cs="Times New Roman"/>
          <w:szCs w:val="24"/>
        </w:rPr>
        <w:t>27</w:t>
      </w:r>
      <w:r w:rsidRPr="003068FA">
        <w:t xml:space="preserve">. </w:t>
      </w:r>
    </w:p>
    <w:p w:rsidR="00D867A4" w:rsidRPr="00132F5E" w:rsidRDefault="00D867A4" w:rsidP="00D867A4">
      <w:pPr>
        <w:pStyle w:val="ParaNoNdepar-AltN"/>
        <w:rPr>
          <w:szCs w:val="24"/>
          <w:lang w:val="fr-CA"/>
        </w:rPr>
      </w:pPr>
      <w:r>
        <w:rPr>
          <w:szCs w:val="24"/>
          <w:lang w:val="fr-CA"/>
        </w:rPr>
        <w:lastRenderedPageBreak/>
        <w:t xml:space="preserve">Ce facteur traduit aussi la préoccupation quant au risque que les tribunaux soient submergés en raison d’une « prolifération inutile de poursuites insignifiantes ou redondantes » et la nécessité d’écarter les simples </w:t>
      </w:r>
      <w:proofErr w:type="spellStart"/>
      <w:r>
        <w:rPr>
          <w:szCs w:val="24"/>
          <w:lang w:val="fr-CA"/>
        </w:rPr>
        <w:t>trouble</w:t>
      </w:r>
      <w:r>
        <w:rPr>
          <w:szCs w:val="24"/>
          <w:lang w:val="fr-CA"/>
        </w:rPr>
        <w:noBreakHyphen/>
        <w:t>fête</w:t>
      </w:r>
      <w:proofErr w:type="spellEnd"/>
      <w:r>
        <w:rPr>
          <w:szCs w:val="24"/>
          <w:lang w:val="fr-CA"/>
        </w:rPr>
        <w:t xml:space="preserve"> : </w:t>
      </w:r>
      <w:r>
        <w:rPr>
          <w:i/>
          <w:szCs w:val="24"/>
          <w:lang w:val="fr-CA"/>
        </w:rPr>
        <w:t>Conseil canadien des Églises</w:t>
      </w:r>
      <w:r w:rsidRPr="00132F5E">
        <w:rPr>
          <w:szCs w:val="24"/>
          <w:lang w:val="fr-CA"/>
        </w:rPr>
        <w:t>,</w:t>
      </w:r>
      <w:r>
        <w:rPr>
          <w:szCs w:val="24"/>
          <w:lang w:val="fr-CA"/>
        </w:rPr>
        <w:t xml:space="preserve"> p. 252; </w:t>
      </w:r>
      <w:r w:rsidRPr="00067101">
        <w:rPr>
          <w:i/>
          <w:szCs w:val="24"/>
          <w:lang w:val="fr-CA"/>
        </w:rPr>
        <w:t>Finlay</w:t>
      </w:r>
      <w:r>
        <w:rPr>
          <w:szCs w:val="24"/>
          <w:lang w:val="fr-CA"/>
        </w:rPr>
        <w:t>, p. </w:t>
      </w:r>
      <w:r w:rsidRPr="00132F5E">
        <w:rPr>
          <w:szCs w:val="24"/>
          <w:lang w:val="fr-CA"/>
        </w:rPr>
        <w:t>631</w:t>
      </w:r>
      <w:r w:rsidR="0028417D">
        <w:rPr>
          <w:szCs w:val="24"/>
          <w:lang w:val="fr-CA"/>
        </w:rPr>
        <w:t>-6</w:t>
      </w:r>
      <w:r w:rsidRPr="00132F5E">
        <w:rPr>
          <w:szCs w:val="24"/>
          <w:lang w:val="fr-CA"/>
        </w:rPr>
        <w:t>33</w:t>
      </w:r>
      <w:r>
        <w:rPr>
          <w:szCs w:val="24"/>
          <w:lang w:val="fr-CA"/>
        </w:rPr>
        <w:t>.  Comme je l’ai exposé précédemment, ces préoccupations peuvent être exagérées et doivent être appréciées en pratique en fonction des circonstances de chaque affaire plutôt que dans l’abstrait ou de façon hypothétique.</w:t>
      </w:r>
      <w:r w:rsidRPr="00132F5E">
        <w:rPr>
          <w:szCs w:val="24"/>
          <w:lang w:val="fr-CA"/>
        </w:rPr>
        <w:t xml:space="preserve"> </w:t>
      </w:r>
      <w:r>
        <w:rPr>
          <w:szCs w:val="24"/>
          <w:lang w:val="fr-CA"/>
        </w:rPr>
        <w:t xml:space="preserve"> Il conviendrait aussi d’examiner d’autres façons possibles de se prémunir contre ces dangers</w:t>
      </w:r>
      <w:r w:rsidRPr="00132F5E">
        <w:rPr>
          <w:szCs w:val="24"/>
          <w:lang w:val="fr-CA"/>
        </w:rPr>
        <w:t>.</w:t>
      </w:r>
    </w:p>
    <w:p w:rsidR="00D867A4" w:rsidRPr="00F55B95" w:rsidRDefault="00D867A4" w:rsidP="00D867A4">
      <w:pPr>
        <w:pStyle w:val="ParaNoNdepar-AltN"/>
        <w:rPr>
          <w:szCs w:val="24"/>
          <w:lang w:val="fr-CA"/>
        </w:rPr>
      </w:pPr>
      <w:r>
        <w:rPr>
          <w:szCs w:val="24"/>
          <w:lang w:val="fr-CA"/>
        </w:rPr>
        <w:t>Pour être considérée comme une « question sérieuse », la question soulevée doit constituer un « point constitutionnel important »</w:t>
      </w:r>
      <w:r w:rsidRPr="00132F5E">
        <w:rPr>
          <w:szCs w:val="24"/>
          <w:lang w:val="fr-CA"/>
        </w:rPr>
        <w:t xml:space="preserve"> (</w:t>
      </w:r>
      <w:r w:rsidRPr="00132F5E">
        <w:rPr>
          <w:i/>
          <w:szCs w:val="24"/>
          <w:lang w:val="fr-CA"/>
        </w:rPr>
        <w:t>McNeil</w:t>
      </w:r>
      <w:r w:rsidRPr="00132F5E">
        <w:rPr>
          <w:szCs w:val="24"/>
          <w:lang w:val="fr-CA"/>
        </w:rPr>
        <w:t xml:space="preserve">, </w:t>
      </w:r>
      <w:r>
        <w:rPr>
          <w:szCs w:val="24"/>
          <w:lang w:val="fr-CA"/>
        </w:rPr>
        <w:t>p. </w:t>
      </w:r>
      <w:r w:rsidRPr="00132F5E">
        <w:rPr>
          <w:szCs w:val="24"/>
          <w:lang w:val="fr-CA"/>
        </w:rPr>
        <w:t xml:space="preserve">268) </w:t>
      </w:r>
      <w:r>
        <w:rPr>
          <w:szCs w:val="24"/>
          <w:lang w:val="fr-CA"/>
        </w:rPr>
        <w:t>ou constituer une « question [. . </w:t>
      </w:r>
      <w:r>
        <w:rPr>
          <w:lang w:val="fr-FR"/>
        </w:rPr>
        <w:t xml:space="preserve">.] </w:t>
      </w:r>
      <w:r>
        <w:rPr>
          <w:szCs w:val="24"/>
          <w:lang w:val="fr-CA"/>
        </w:rPr>
        <w:t>importante »</w:t>
      </w:r>
      <w:r w:rsidRPr="00132F5E">
        <w:rPr>
          <w:szCs w:val="24"/>
          <w:lang w:val="fr-CA"/>
        </w:rPr>
        <w:t xml:space="preserve"> (</w:t>
      </w:r>
      <w:proofErr w:type="spellStart"/>
      <w:r w:rsidRPr="00132F5E">
        <w:rPr>
          <w:i/>
          <w:szCs w:val="24"/>
          <w:lang w:val="fr-CA"/>
        </w:rPr>
        <w:t>Borowski</w:t>
      </w:r>
      <w:proofErr w:type="spellEnd"/>
      <w:r w:rsidRPr="00132F5E">
        <w:rPr>
          <w:szCs w:val="24"/>
          <w:lang w:val="fr-CA"/>
        </w:rPr>
        <w:t xml:space="preserve">, </w:t>
      </w:r>
      <w:r>
        <w:rPr>
          <w:szCs w:val="24"/>
          <w:lang w:val="fr-CA"/>
        </w:rPr>
        <w:t>p. </w:t>
      </w:r>
      <w:r w:rsidRPr="00132F5E">
        <w:rPr>
          <w:szCs w:val="24"/>
          <w:lang w:val="fr-CA"/>
        </w:rPr>
        <w:t xml:space="preserve">589). </w:t>
      </w:r>
      <w:r>
        <w:rPr>
          <w:szCs w:val="24"/>
          <w:lang w:val="fr-CA"/>
        </w:rPr>
        <w:t xml:space="preserve"> L’action doit être « loin d’être </w:t>
      </w:r>
      <w:proofErr w:type="spellStart"/>
      <w:r>
        <w:rPr>
          <w:szCs w:val="24"/>
          <w:lang w:val="fr-CA"/>
        </w:rPr>
        <w:t>futil</w:t>
      </w:r>
      <w:proofErr w:type="spellEnd"/>
      <w:r w:rsidR="00553DC7">
        <w:rPr>
          <w:szCs w:val="24"/>
          <w:lang w:val="fr-CA"/>
        </w:rPr>
        <w:t>[</w:t>
      </w:r>
      <w:r>
        <w:rPr>
          <w:szCs w:val="24"/>
          <w:lang w:val="fr-CA"/>
        </w:rPr>
        <w:t>e</w:t>
      </w:r>
      <w:r w:rsidR="00553DC7">
        <w:rPr>
          <w:szCs w:val="24"/>
          <w:lang w:val="fr-CA"/>
        </w:rPr>
        <w:t>]</w:t>
      </w:r>
      <w:r>
        <w:rPr>
          <w:szCs w:val="24"/>
          <w:lang w:val="fr-CA"/>
        </w:rPr>
        <w:t> »</w:t>
      </w:r>
      <w:r w:rsidRPr="00132F5E">
        <w:rPr>
          <w:szCs w:val="24"/>
          <w:lang w:val="fr-CA"/>
        </w:rPr>
        <w:t xml:space="preserve"> (</w:t>
      </w:r>
      <w:r w:rsidRPr="00132F5E">
        <w:rPr>
          <w:i/>
          <w:szCs w:val="24"/>
          <w:lang w:val="fr-CA"/>
        </w:rPr>
        <w:t>Finlay</w:t>
      </w:r>
      <w:r w:rsidRPr="00132F5E">
        <w:rPr>
          <w:szCs w:val="24"/>
          <w:lang w:val="fr-CA"/>
        </w:rPr>
        <w:t xml:space="preserve">, </w:t>
      </w:r>
      <w:r>
        <w:rPr>
          <w:szCs w:val="24"/>
          <w:lang w:val="fr-CA"/>
        </w:rPr>
        <w:t>p. </w:t>
      </w:r>
      <w:r w:rsidRPr="00132F5E">
        <w:rPr>
          <w:szCs w:val="24"/>
          <w:lang w:val="fr-CA"/>
        </w:rPr>
        <w:t xml:space="preserve">633), </w:t>
      </w:r>
      <w:r>
        <w:rPr>
          <w:szCs w:val="24"/>
          <w:lang w:val="fr-CA"/>
        </w:rPr>
        <w:t xml:space="preserve">bien que les tribunaux </w:t>
      </w:r>
      <w:r w:rsidR="00553DC7">
        <w:rPr>
          <w:szCs w:val="24"/>
          <w:lang w:val="fr-CA"/>
        </w:rPr>
        <w:t>ne doivent pas examiner le bien-</w:t>
      </w:r>
      <w:r>
        <w:rPr>
          <w:szCs w:val="24"/>
          <w:lang w:val="fr-CA"/>
        </w:rPr>
        <w:t>fondé d’une affaire autrement que de façon préliminaire.  Par exemple, dans l’arrêt</w:t>
      </w:r>
      <w:r w:rsidRPr="00132F5E">
        <w:rPr>
          <w:szCs w:val="24"/>
          <w:lang w:val="fr-CA"/>
        </w:rPr>
        <w:t xml:space="preserve"> </w:t>
      </w:r>
      <w:r w:rsidRPr="00132F5E">
        <w:rPr>
          <w:i/>
          <w:szCs w:val="24"/>
          <w:lang w:val="fr-CA"/>
        </w:rPr>
        <w:t xml:space="preserve">Hy and </w:t>
      </w:r>
      <w:proofErr w:type="spellStart"/>
      <w:r w:rsidRPr="00132F5E">
        <w:rPr>
          <w:i/>
          <w:szCs w:val="24"/>
          <w:lang w:val="fr-CA"/>
        </w:rPr>
        <w:t>Zel</w:t>
      </w:r>
      <w:r>
        <w:rPr>
          <w:i/>
          <w:szCs w:val="24"/>
          <w:lang w:val="fr-CA"/>
        </w:rPr>
        <w:t>’</w:t>
      </w:r>
      <w:r w:rsidRPr="00132F5E">
        <w:rPr>
          <w:i/>
          <w:szCs w:val="24"/>
          <w:lang w:val="fr-CA"/>
        </w:rPr>
        <w:t>s</w:t>
      </w:r>
      <w:proofErr w:type="spellEnd"/>
      <w:r w:rsidRPr="00132F5E">
        <w:rPr>
          <w:szCs w:val="24"/>
          <w:lang w:val="fr-CA"/>
        </w:rPr>
        <w:t xml:space="preserve">, </w:t>
      </w:r>
      <w:r>
        <w:rPr>
          <w:szCs w:val="24"/>
          <w:lang w:val="fr-CA"/>
        </w:rPr>
        <w:t xml:space="preserve">le juge </w:t>
      </w:r>
      <w:r w:rsidRPr="00172279">
        <w:rPr>
          <w:szCs w:val="24"/>
          <w:lang w:val="fr-CA"/>
        </w:rPr>
        <w:t>Major s</w:t>
      </w:r>
      <w:r>
        <w:rPr>
          <w:szCs w:val="24"/>
          <w:lang w:val="fr-CA"/>
        </w:rPr>
        <w:t>’</w:t>
      </w:r>
      <w:r w:rsidRPr="00172279">
        <w:rPr>
          <w:szCs w:val="24"/>
          <w:lang w:val="fr-CA"/>
        </w:rPr>
        <w:t>est appuyé sur</w:t>
      </w:r>
      <w:r>
        <w:rPr>
          <w:szCs w:val="24"/>
          <w:lang w:val="fr-CA"/>
        </w:rPr>
        <w:t xml:space="preserve"> la norme applicable aux cas où il est tellement peu probable que l’action soit accueillie qu’on pourrait considérer </w:t>
      </w:r>
      <w:r w:rsidRPr="005426E5">
        <w:rPr>
          <w:szCs w:val="24"/>
          <w:lang w:val="fr-CA"/>
        </w:rPr>
        <w:t>son issue comme une conclusion</w:t>
      </w:r>
      <w:r w:rsidR="00553DC7">
        <w:rPr>
          <w:szCs w:val="24"/>
          <w:lang w:val="fr-CA"/>
        </w:rPr>
        <w:t xml:space="preserve"> qui</w:t>
      </w:r>
      <w:r w:rsidRPr="005426E5">
        <w:rPr>
          <w:szCs w:val="24"/>
          <w:lang w:val="fr-CA"/>
        </w:rPr>
        <w:t xml:space="preserve"> </w:t>
      </w:r>
      <w:r w:rsidR="00553DC7" w:rsidRPr="005426E5">
        <w:rPr>
          <w:szCs w:val="24"/>
          <w:lang w:val="fr-CA"/>
        </w:rPr>
        <w:t>« </w:t>
      </w:r>
      <w:r w:rsidR="00553DC7">
        <w:rPr>
          <w:szCs w:val="24"/>
          <w:lang w:val="fr-CA"/>
        </w:rPr>
        <w:t>soit  [. . .] assurée</w:t>
      </w:r>
      <w:r w:rsidRPr="005426E5">
        <w:rPr>
          <w:szCs w:val="24"/>
          <w:lang w:val="fr-CA"/>
        </w:rPr>
        <w:t> »</w:t>
      </w:r>
      <w:r>
        <w:rPr>
          <w:szCs w:val="24"/>
          <w:lang w:val="fr-CA"/>
        </w:rPr>
        <w:t xml:space="preserve"> (p. 690).  Il a adopté cette position en dépit du fait que la Cour avait déclaré sept ans auparavant que la même </w:t>
      </w:r>
      <w:r w:rsidR="00553DC7">
        <w:rPr>
          <w:szCs w:val="24"/>
          <w:lang w:val="fr-CA"/>
        </w:rPr>
        <w:t>L</w:t>
      </w:r>
      <w:r w:rsidRPr="00510FDE">
        <w:rPr>
          <w:szCs w:val="24"/>
          <w:lang w:val="fr-CA"/>
        </w:rPr>
        <w:t>oi</w:t>
      </w:r>
      <w:r>
        <w:rPr>
          <w:szCs w:val="24"/>
          <w:lang w:val="fr-CA"/>
        </w:rPr>
        <w:t xml:space="preserve"> était constitutionnelle : </w:t>
      </w:r>
      <w:r>
        <w:rPr>
          <w:i/>
          <w:szCs w:val="24"/>
          <w:lang w:val="fr-CA"/>
        </w:rPr>
        <w:t>R. c</w:t>
      </w:r>
      <w:r w:rsidRPr="00132F5E">
        <w:rPr>
          <w:i/>
          <w:szCs w:val="24"/>
          <w:lang w:val="fr-CA"/>
        </w:rPr>
        <w:t>. Edwards Books and Art Ltd.</w:t>
      </w:r>
      <w:r w:rsidRPr="00132F5E">
        <w:rPr>
          <w:szCs w:val="24"/>
          <w:lang w:val="fr-CA"/>
        </w:rPr>
        <w:t xml:space="preserve">, </w:t>
      </w:r>
      <w:r w:rsidRPr="00132F5E">
        <w:rPr>
          <w:rFonts w:cs="Times New Roman"/>
          <w:szCs w:val="24"/>
          <w:lang w:val="fr-CA"/>
        </w:rPr>
        <w:t xml:space="preserve">[1986] 2 </w:t>
      </w:r>
      <w:r>
        <w:rPr>
          <w:rFonts w:cs="Times New Roman"/>
          <w:szCs w:val="24"/>
          <w:lang w:val="fr-CA"/>
        </w:rPr>
        <w:t>R.C.S.</w:t>
      </w:r>
      <w:r w:rsidRPr="00132F5E">
        <w:rPr>
          <w:rFonts w:cs="Times New Roman"/>
          <w:szCs w:val="24"/>
          <w:lang w:val="fr-CA"/>
        </w:rPr>
        <w:t xml:space="preserve"> 713</w:t>
      </w:r>
      <w:r>
        <w:rPr>
          <w:rFonts w:cs="Times New Roman"/>
          <w:szCs w:val="24"/>
          <w:lang w:val="fr-CA"/>
        </w:rPr>
        <w:t xml:space="preserve">.  </w:t>
      </w:r>
      <w:r>
        <w:rPr>
          <w:szCs w:val="24"/>
          <w:lang w:val="fr-CA"/>
        </w:rPr>
        <w:t>Le juge Major a statué qu’il était « </w:t>
      </w:r>
      <w:r w:rsidRPr="00F55B95">
        <w:rPr>
          <w:szCs w:val="24"/>
          <w:lang w:val="fr-CA"/>
        </w:rPr>
        <w:t>prêt à tenir pour acquis que les nombreuses modifications apportées au cours des sept années qui ont suivi l</w:t>
      </w:r>
      <w:r>
        <w:rPr>
          <w:szCs w:val="24"/>
          <w:lang w:val="fr-CA"/>
        </w:rPr>
        <w:t>’</w:t>
      </w:r>
      <w:r w:rsidRPr="00F55B95">
        <w:rPr>
          <w:szCs w:val="24"/>
          <w:lang w:val="fr-CA"/>
        </w:rPr>
        <w:t xml:space="preserve">arrêt </w:t>
      </w:r>
      <w:r w:rsidRPr="00F55B95">
        <w:rPr>
          <w:i/>
          <w:szCs w:val="24"/>
          <w:lang w:val="fr-CA"/>
        </w:rPr>
        <w:t>Edwards Books</w:t>
      </w:r>
      <w:r w:rsidRPr="00F55B95">
        <w:rPr>
          <w:szCs w:val="24"/>
          <w:lang w:val="fr-CA"/>
        </w:rPr>
        <w:t xml:space="preserve"> ont suffisamment changé la </w:t>
      </w:r>
      <w:r>
        <w:rPr>
          <w:szCs w:val="24"/>
          <w:lang w:val="fr-CA"/>
        </w:rPr>
        <w:t>L</w:t>
      </w:r>
      <w:r w:rsidRPr="00F55B95">
        <w:rPr>
          <w:szCs w:val="24"/>
          <w:lang w:val="fr-CA"/>
        </w:rPr>
        <w:t>oi pour que s</w:t>
      </w:r>
      <w:r w:rsidR="00553DC7">
        <w:rPr>
          <w:szCs w:val="24"/>
          <w:lang w:val="fr-CA"/>
        </w:rPr>
        <w:t>a validité ne soit plus assurée</w:t>
      </w:r>
      <w:r>
        <w:rPr>
          <w:szCs w:val="24"/>
          <w:lang w:val="fr-CA"/>
        </w:rPr>
        <w:t xml:space="preserve"> » </w:t>
      </w:r>
      <w:r w:rsidRPr="00F55B95">
        <w:rPr>
          <w:szCs w:val="24"/>
          <w:lang w:val="fr-CA"/>
        </w:rPr>
        <w:t>(</w:t>
      </w:r>
      <w:r w:rsidRPr="00132F5E">
        <w:rPr>
          <w:i/>
          <w:szCs w:val="24"/>
          <w:lang w:val="fr-CA"/>
        </w:rPr>
        <w:t xml:space="preserve">Hy and </w:t>
      </w:r>
      <w:proofErr w:type="spellStart"/>
      <w:r w:rsidRPr="00132F5E">
        <w:rPr>
          <w:i/>
          <w:szCs w:val="24"/>
          <w:lang w:val="fr-CA"/>
        </w:rPr>
        <w:t>Zel</w:t>
      </w:r>
      <w:r>
        <w:rPr>
          <w:i/>
          <w:szCs w:val="24"/>
          <w:lang w:val="fr-CA"/>
        </w:rPr>
        <w:t>’</w:t>
      </w:r>
      <w:r w:rsidRPr="00132F5E">
        <w:rPr>
          <w:i/>
          <w:szCs w:val="24"/>
          <w:lang w:val="fr-CA"/>
        </w:rPr>
        <w:t>s</w:t>
      </w:r>
      <w:proofErr w:type="spellEnd"/>
      <w:r w:rsidRPr="00132F5E">
        <w:rPr>
          <w:szCs w:val="24"/>
          <w:lang w:val="fr-CA"/>
        </w:rPr>
        <w:t xml:space="preserve">, </w:t>
      </w:r>
      <w:r>
        <w:rPr>
          <w:szCs w:val="24"/>
          <w:lang w:val="fr-CA"/>
        </w:rPr>
        <w:t>p. </w:t>
      </w:r>
      <w:r w:rsidRPr="00F55B95">
        <w:rPr>
          <w:szCs w:val="24"/>
          <w:lang w:val="fr-CA"/>
        </w:rPr>
        <w:t xml:space="preserve">690). </w:t>
      </w:r>
      <w:r>
        <w:rPr>
          <w:szCs w:val="24"/>
          <w:lang w:val="fr-CA"/>
        </w:rPr>
        <w:t xml:space="preserve"> Dans </w:t>
      </w:r>
      <w:r>
        <w:rPr>
          <w:i/>
          <w:szCs w:val="24"/>
          <w:lang w:val="fr-CA"/>
        </w:rPr>
        <w:t>Conseil canadien des Églises</w:t>
      </w:r>
      <w:r w:rsidRPr="00F55B95">
        <w:rPr>
          <w:szCs w:val="24"/>
          <w:lang w:val="fr-CA"/>
        </w:rPr>
        <w:t>,</w:t>
      </w:r>
      <w:r>
        <w:rPr>
          <w:i/>
          <w:szCs w:val="24"/>
          <w:lang w:val="fr-CA"/>
        </w:rPr>
        <w:t xml:space="preserve"> </w:t>
      </w:r>
      <w:r>
        <w:rPr>
          <w:szCs w:val="24"/>
          <w:lang w:val="fr-CA"/>
        </w:rPr>
        <w:t xml:space="preserve">la Cour </w:t>
      </w:r>
      <w:r>
        <w:rPr>
          <w:szCs w:val="24"/>
          <w:lang w:val="fr-CA"/>
        </w:rPr>
        <w:lastRenderedPageBreak/>
        <w:t>avait de nombreuses réserves quant à la nature de l’action envisagée, mais elle a ultimement accepté que « </w:t>
      </w:r>
      <w:r w:rsidRPr="00F55B95">
        <w:rPr>
          <w:szCs w:val="24"/>
          <w:lang w:val="fr-CA"/>
        </w:rPr>
        <w:t xml:space="preserve">certains aspects de la déclaration </w:t>
      </w:r>
      <w:proofErr w:type="spellStart"/>
      <w:proofErr w:type="gramStart"/>
      <w:r w:rsidRPr="00F55B95">
        <w:rPr>
          <w:szCs w:val="24"/>
          <w:lang w:val="fr-CA"/>
        </w:rPr>
        <w:t>soul</w:t>
      </w:r>
      <w:r>
        <w:rPr>
          <w:szCs w:val="24"/>
          <w:lang w:val="fr-CA"/>
        </w:rPr>
        <w:t>e</w:t>
      </w:r>
      <w:r w:rsidRPr="00F55B95">
        <w:rPr>
          <w:szCs w:val="24"/>
          <w:lang w:val="fr-CA"/>
        </w:rPr>
        <w:t>v</w:t>
      </w:r>
      <w:proofErr w:type="spellEnd"/>
      <w:r w:rsidR="00553DC7">
        <w:rPr>
          <w:szCs w:val="24"/>
          <w:lang w:val="fr-CA"/>
        </w:rPr>
        <w:t>[</w:t>
      </w:r>
      <w:proofErr w:type="gramEnd"/>
      <w:r>
        <w:rPr>
          <w:szCs w:val="24"/>
          <w:lang w:val="fr-CA"/>
        </w:rPr>
        <w:t>ai</w:t>
      </w:r>
      <w:r w:rsidRPr="00F55B95">
        <w:rPr>
          <w:szCs w:val="24"/>
          <w:lang w:val="fr-CA"/>
        </w:rPr>
        <w:t>ent</w:t>
      </w:r>
      <w:r w:rsidR="00553DC7">
        <w:rPr>
          <w:szCs w:val="24"/>
          <w:lang w:val="fr-CA"/>
        </w:rPr>
        <w:t>]</w:t>
      </w:r>
      <w:r w:rsidRPr="00F55B95">
        <w:rPr>
          <w:szCs w:val="24"/>
          <w:lang w:val="fr-CA"/>
        </w:rPr>
        <w:t xml:space="preserve"> une question sérieuse quant à la validité de la loi</w:t>
      </w:r>
      <w:r>
        <w:rPr>
          <w:szCs w:val="24"/>
          <w:lang w:val="fr-CA"/>
        </w:rPr>
        <w:t> »</w:t>
      </w:r>
      <w:r w:rsidRPr="00F55B95">
        <w:rPr>
          <w:szCs w:val="24"/>
          <w:lang w:val="fr-CA"/>
        </w:rPr>
        <w:t xml:space="preserve"> (</w:t>
      </w:r>
      <w:r>
        <w:rPr>
          <w:szCs w:val="24"/>
          <w:lang w:val="fr-CA"/>
        </w:rPr>
        <w:t>p. </w:t>
      </w:r>
      <w:r w:rsidRPr="00F55B95">
        <w:rPr>
          <w:szCs w:val="24"/>
          <w:lang w:val="fr-CA"/>
        </w:rPr>
        <w:t>254).</w:t>
      </w:r>
      <w:r>
        <w:rPr>
          <w:szCs w:val="24"/>
          <w:lang w:val="fr-CA"/>
        </w:rPr>
        <w:t xml:space="preserve">  En outre, dès qu’il devient évident qu’une déclaration fait état d’au moins une question sérieuse, il ne sera généralement pas nécessaire d’examiner minutieusement chacun des arguments plaidés pour trancher la question de la qualité pour agir.</w:t>
      </w:r>
    </w:p>
    <w:p w:rsidR="00D867A4" w:rsidRPr="00132F5E" w:rsidRDefault="00D867A4" w:rsidP="00553DC7">
      <w:pPr>
        <w:pStyle w:val="TitleTitre-AltT"/>
        <w:keepNext/>
        <w:tabs>
          <w:tab w:val="clear" w:pos="360"/>
          <w:tab w:val="left" w:pos="540"/>
        </w:tabs>
        <w:ind w:left="1170" w:hanging="1170"/>
        <w:rPr>
          <w:szCs w:val="24"/>
          <w:lang w:val="fr-CA"/>
        </w:rPr>
      </w:pPr>
      <w:r>
        <w:rPr>
          <w:szCs w:val="24"/>
          <w:lang w:val="fr-CA"/>
        </w:rPr>
        <w:tab/>
      </w:r>
      <w:r w:rsidRPr="00132F5E">
        <w:rPr>
          <w:szCs w:val="24"/>
          <w:lang w:val="fr-CA"/>
        </w:rPr>
        <w:t>b</w:t>
      </w:r>
      <w:r>
        <w:rPr>
          <w:szCs w:val="24"/>
          <w:lang w:val="fr-CA"/>
        </w:rPr>
        <w:t>)</w:t>
      </w:r>
      <w:r>
        <w:rPr>
          <w:szCs w:val="24"/>
          <w:lang w:val="fr-CA"/>
        </w:rPr>
        <w:tab/>
      </w:r>
      <w:r>
        <w:rPr>
          <w:i/>
          <w:szCs w:val="24"/>
          <w:lang w:val="fr-CA"/>
        </w:rPr>
        <w:t>La nature de l’intérêt du demandeur</w:t>
      </w:r>
    </w:p>
    <w:p w:rsidR="00D867A4" w:rsidRPr="00BC0084" w:rsidRDefault="00D867A4" w:rsidP="00D867A4">
      <w:pPr>
        <w:pStyle w:val="ParaNoNdepar-AltN"/>
        <w:rPr>
          <w:szCs w:val="24"/>
          <w:lang w:val="fr-CA"/>
        </w:rPr>
      </w:pPr>
      <w:r w:rsidRPr="00BC0084">
        <w:rPr>
          <w:szCs w:val="24"/>
          <w:lang w:val="fr-CA"/>
        </w:rPr>
        <w:t>Dans l</w:t>
      </w:r>
      <w:r>
        <w:rPr>
          <w:szCs w:val="24"/>
          <w:lang w:val="fr-CA"/>
        </w:rPr>
        <w:t>’</w:t>
      </w:r>
      <w:r w:rsidRPr="00BC0084">
        <w:rPr>
          <w:szCs w:val="24"/>
          <w:lang w:val="fr-CA"/>
        </w:rPr>
        <w:t xml:space="preserve">arrêt </w:t>
      </w:r>
      <w:r w:rsidRPr="00BC0084">
        <w:rPr>
          <w:i/>
          <w:szCs w:val="24"/>
          <w:lang w:val="fr-CA"/>
        </w:rPr>
        <w:t>Finlay</w:t>
      </w:r>
      <w:r w:rsidRPr="00BC0084">
        <w:rPr>
          <w:szCs w:val="24"/>
          <w:lang w:val="fr-CA"/>
        </w:rPr>
        <w:t>, la Cour a écrit que ce facteur traduisait la préoccupation de conserver les ressources judiciaires limitées et la nécessité d</w:t>
      </w:r>
      <w:r>
        <w:rPr>
          <w:szCs w:val="24"/>
          <w:lang w:val="fr-CA"/>
        </w:rPr>
        <w:t>’</w:t>
      </w:r>
      <w:r w:rsidRPr="00BC0084">
        <w:rPr>
          <w:szCs w:val="24"/>
          <w:lang w:val="fr-CA"/>
        </w:rPr>
        <w:t>écarter les simples trouble</w:t>
      </w:r>
      <w:r w:rsidR="00553DC7">
        <w:rPr>
          <w:szCs w:val="24"/>
          <w:lang w:val="fr-CA"/>
        </w:rPr>
        <w:t>-</w:t>
      </w:r>
      <w:r w:rsidRPr="00BC0084">
        <w:rPr>
          <w:szCs w:val="24"/>
          <w:lang w:val="fr-CA"/>
        </w:rPr>
        <w:t>fête (</w:t>
      </w:r>
      <w:r>
        <w:rPr>
          <w:szCs w:val="24"/>
          <w:lang w:val="fr-CA"/>
        </w:rPr>
        <w:t>p. </w:t>
      </w:r>
      <w:r w:rsidRPr="00BC0084">
        <w:rPr>
          <w:szCs w:val="24"/>
          <w:lang w:val="fr-CA"/>
        </w:rPr>
        <w:t>633).  À mon avis, ce facteur concerne la question de savoir si le demandeur a un intérêt réel dans les procédures ou est engagé quant aux questions qu</w:t>
      </w:r>
      <w:r>
        <w:rPr>
          <w:szCs w:val="24"/>
          <w:lang w:val="fr-CA"/>
        </w:rPr>
        <w:t>’</w:t>
      </w:r>
      <w:r w:rsidRPr="00BC0084">
        <w:rPr>
          <w:szCs w:val="24"/>
          <w:lang w:val="fr-CA"/>
        </w:rPr>
        <w:t xml:space="preserve">elles soulèvent.  Ce point est illustré </w:t>
      </w:r>
      <w:r>
        <w:rPr>
          <w:szCs w:val="24"/>
          <w:lang w:val="fr-CA"/>
        </w:rPr>
        <w:t>dans</w:t>
      </w:r>
      <w:r w:rsidRPr="00BC0084">
        <w:rPr>
          <w:szCs w:val="24"/>
          <w:lang w:val="fr-CA"/>
        </w:rPr>
        <w:t xml:space="preserve"> la jurisprudence de </w:t>
      </w:r>
      <w:r>
        <w:rPr>
          <w:szCs w:val="24"/>
          <w:lang w:val="fr-CA"/>
        </w:rPr>
        <w:t>la Cour</w:t>
      </w:r>
      <w:r w:rsidRPr="00BC0084">
        <w:rPr>
          <w:szCs w:val="24"/>
          <w:lang w:val="fr-CA"/>
        </w:rPr>
        <w:t xml:space="preserve">.  Dans </w:t>
      </w:r>
      <w:r w:rsidRPr="00BC0084">
        <w:rPr>
          <w:i/>
          <w:szCs w:val="24"/>
          <w:lang w:val="fr-CA"/>
        </w:rPr>
        <w:t>Finlay</w:t>
      </w:r>
      <w:r w:rsidRPr="00BC0084">
        <w:rPr>
          <w:szCs w:val="24"/>
          <w:lang w:val="fr-CA"/>
        </w:rPr>
        <w:t>, par exemple, même si</w:t>
      </w:r>
      <w:r>
        <w:rPr>
          <w:szCs w:val="24"/>
          <w:lang w:val="fr-CA"/>
        </w:rPr>
        <w:t>,</w:t>
      </w:r>
      <w:r w:rsidRPr="00BC0084">
        <w:rPr>
          <w:szCs w:val="24"/>
          <w:lang w:val="fr-CA"/>
        </w:rPr>
        <w:t xml:space="preserve"> selon la Cour</w:t>
      </w:r>
      <w:r>
        <w:rPr>
          <w:szCs w:val="24"/>
          <w:lang w:val="fr-CA"/>
        </w:rPr>
        <w:t>,</w:t>
      </w:r>
      <w:r w:rsidRPr="00BC0084">
        <w:rPr>
          <w:szCs w:val="24"/>
          <w:lang w:val="fr-CA"/>
        </w:rPr>
        <w:t xml:space="preserve"> le demandeur n</w:t>
      </w:r>
      <w:r>
        <w:rPr>
          <w:szCs w:val="24"/>
          <w:lang w:val="fr-CA"/>
        </w:rPr>
        <w:t>’</w:t>
      </w:r>
      <w:r w:rsidRPr="00BC0084">
        <w:rPr>
          <w:szCs w:val="24"/>
          <w:lang w:val="fr-CA"/>
        </w:rPr>
        <w:t>avait pas la qualité pour agi</w:t>
      </w:r>
      <w:r>
        <w:rPr>
          <w:szCs w:val="24"/>
          <w:lang w:val="fr-CA"/>
        </w:rPr>
        <w:t>r de plein droit</w:t>
      </w:r>
      <w:r w:rsidRPr="00BC0084">
        <w:rPr>
          <w:szCs w:val="24"/>
          <w:lang w:val="fr-CA"/>
        </w:rPr>
        <w:t>, il avait néanmoins un intérêt direct et personnel quant aux questions qu</w:t>
      </w:r>
      <w:r>
        <w:rPr>
          <w:szCs w:val="24"/>
          <w:lang w:val="fr-CA"/>
        </w:rPr>
        <w:t>’</w:t>
      </w:r>
      <w:r w:rsidRPr="00BC0084">
        <w:rPr>
          <w:szCs w:val="24"/>
          <w:lang w:val="fr-CA"/>
        </w:rPr>
        <w:t xml:space="preserve">il souhaitait soulever.  Dans </w:t>
      </w:r>
      <w:proofErr w:type="spellStart"/>
      <w:r w:rsidRPr="00BC0084">
        <w:rPr>
          <w:i/>
          <w:szCs w:val="24"/>
          <w:lang w:val="fr-CA"/>
        </w:rPr>
        <w:t>Borowski</w:t>
      </w:r>
      <w:proofErr w:type="spellEnd"/>
      <w:r w:rsidRPr="00BC0084">
        <w:rPr>
          <w:szCs w:val="24"/>
          <w:lang w:val="fr-CA"/>
        </w:rPr>
        <w:t xml:space="preserve">, la Cour a conclu que le demandeur avait un intérêt véritable dans la contestation des dispositions </w:t>
      </w:r>
      <w:proofErr w:type="spellStart"/>
      <w:r w:rsidRPr="00BC0084">
        <w:rPr>
          <w:szCs w:val="24"/>
          <w:lang w:val="fr-CA"/>
        </w:rPr>
        <w:t>disculpatoires</w:t>
      </w:r>
      <w:proofErr w:type="spellEnd"/>
      <w:r w:rsidRPr="00BC0084">
        <w:rPr>
          <w:szCs w:val="24"/>
          <w:lang w:val="fr-CA"/>
        </w:rPr>
        <w:t xml:space="preserve"> concernant l</w:t>
      </w:r>
      <w:r>
        <w:rPr>
          <w:szCs w:val="24"/>
          <w:lang w:val="fr-CA"/>
        </w:rPr>
        <w:t>’</w:t>
      </w:r>
      <w:r w:rsidRPr="00BC0084">
        <w:rPr>
          <w:szCs w:val="24"/>
          <w:lang w:val="fr-CA"/>
        </w:rPr>
        <w:t xml:space="preserve">avortement.  Il était un citoyen inquiet et un contribuable, et il avait tenté sans succès </w:t>
      </w:r>
      <w:r>
        <w:rPr>
          <w:szCs w:val="24"/>
          <w:lang w:val="fr-CA"/>
        </w:rPr>
        <w:t>d’obtenir une décision sur</w:t>
      </w:r>
      <w:r w:rsidRPr="00BC0084">
        <w:rPr>
          <w:szCs w:val="24"/>
          <w:lang w:val="fr-CA"/>
        </w:rPr>
        <w:t xml:space="preserve"> la </w:t>
      </w:r>
      <w:r>
        <w:rPr>
          <w:szCs w:val="24"/>
          <w:lang w:val="fr-CA"/>
        </w:rPr>
        <w:t xml:space="preserve">question par d’autres moyens </w:t>
      </w:r>
      <w:r w:rsidRPr="00BC0084">
        <w:rPr>
          <w:szCs w:val="24"/>
          <w:lang w:val="fr-CA"/>
        </w:rPr>
        <w:t>(</w:t>
      </w:r>
      <w:r>
        <w:rPr>
          <w:szCs w:val="24"/>
          <w:lang w:val="fr-CA"/>
        </w:rPr>
        <w:t>p. </w:t>
      </w:r>
      <w:r w:rsidRPr="00BC0084">
        <w:rPr>
          <w:szCs w:val="24"/>
          <w:lang w:val="fr-CA"/>
        </w:rPr>
        <w:t>597).  La Cour a donc évalué l</w:t>
      </w:r>
      <w:r>
        <w:rPr>
          <w:szCs w:val="24"/>
          <w:lang w:val="fr-CA"/>
        </w:rPr>
        <w:t>’</w:t>
      </w:r>
      <w:r w:rsidRPr="00BC0084">
        <w:rPr>
          <w:szCs w:val="24"/>
          <w:lang w:val="fr-CA"/>
        </w:rPr>
        <w:t xml:space="preserve">engagement de </w:t>
      </w:r>
      <w:r>
        <w:rPr>
          <w:szCs w:val="24"/>
          <w:lang w:val="fr-CA"/>
        </w:rPr>
        <w:t>M. </w:t>
      </w:r>
      <w:proofErr w:type="spellStart"/>
      <w:r w:rsidRPr="00BC0084">
        <w:rPr>
          <w:szCs w:val="24"/>
          <w:lang w:val="fr-CA"/>
        </w:rPr>
        <w:t>Borowski</w:t>
      </w:r>
      <w:proofErr w:type="spellEnd"/>
      <w:r w:rsidRPr="00BC0084">
        <w:rPr>
          <w:szCs w:val="24"/>
          <w:lang w:val="fr-CA"/>
        </w:rPr>
        <w:t xml:space="preserve"> </w:t>
      </w:r>
      <w:r>
        <w:rPr>
          <w:szCs w:val="24"/>
          <w:lang w:val="fr-CA"/>
        </w:rPr>
        <w:t>relativement à l’objet du litige</w:t>
      </w:r>
      <w:r w:rsidRPr="00BC0084">
        <w:rPr>
          <w:szCs w:val="24"/>
          <w:lang w:val="fr-CA"/>
        </w:rPr>
        <w:t xml:space="preserve"> en examinant s</w:t>
      </w:r>
      <w:r>
        <w:rPr>
          <w:szCs w:val="24"/>
          <w:lang w:val="fr-CA"/>
        </w:rPr>
        <w:t>’</w:t>
      </w:r>
      <w:r w:rsidRPr="00BC0084">
        <w:rPr>
          <w:szCs w:val="24"/>
          <w:lang w:val="fr-CA"/>
        </w:rPr>
        <w:t xml:space="preserve">il avait un intérêt véritable </w:t>
      </w:r>
      <w:r>
        <w:rPr>
          <w:szCs w:val="24"/>
          <w:lang w:val="fr-CA"/>
        </w:rPr>
        <w:t xml:space="preserve">quant à </w:t>
      </w:r>
      <w:r w:rsidRPr="00BC0084">
        <w:rPr>
          <w:szCs w:val="24"/>
          <w:lang w:val="fr-CA"/>
        </w:rPr>
        <w:t xml:space="preserve">la </w:t>
      </w:r>
      <w:r w:rsidRPr="00172279">
        <w:rPr>
          <w:szCs w:val="24"/>
          <w:lang w:val="fr-CA"/>
        </w:rPr>
        <w:t>question qu</w:t>
      </w:r>
      <w:r>
        <w:rPr>
          <w:szCs w:val="24"/>
          <w:lang w:val="fr-CA"/>
        </w:rPr>
        <w:t>’</w:t>
      </w:r>
      <w:r w:rsidRPr="00172279">
        <w:rPr>
          <w:szCs w:val="24"/>
          <w:lang w:val="fr-CA"/>
        </w:rPr>
        <w:t>il désirait soulever.  En outre</w:t>
      </w:r>
      <w:r w:rsidRPr="00BC0084">
        <w:rPr>
          <w:szCs w:val="24"/>
          <w:lang w:val="fr-CA"/>
        </w:rPr>
        <w:t>, dans l</w:t>
      </w:r>
      <w:r>
        <w:rPr>
          <w:szCs w:val="24"/>
          <w:lang w:val="fr-CA"/>
        </w:rPr>
        <w:t>’</w:t>
      </w:r>
      <w:r w:rsidRPr="00BC0084">
        <w:rPr>
          <w:szCs w:val="24"/>
          <w:lang w:val="fr-CA"/>
        </w:rPr>
        <w:t xml:space="preserve">arrêt </w:t>
      </w:r>
      <w:r w:rsidRPr="00BC0084">
        <w:rPr>
          <w:i/>
          <w:szCs w:val="24"/>
          <w:lang w:val="fr-CA"/>
        </w:rPr>
        <w:t>Conseil canadien des Églises</w:t>
      </w:r>
      <w:r w:rsidRPr="00BC0084">
        <w:rPr>
          <w:szCs w:val="24"/>
          <w:lang w:val="fr-CA"/>
        </w:rPr>
        <w:t xml:space="preserve">, </w:t>
      </w:r>
      <w:r>
        <w:rPr>
          <w:szCs w:val="24"/>
          <w:lang w:val="fr-CA"/>
        </w:rPr>
        <w:t>il</w:t>
      </w:r>
      <w:r w:rsidRPr="00BC0084">
        <w:rPr>
          <w:szCs w:val="24"/>
          <w:lang w:val="fr-CA"/>
        </w:rPr>
        <w:t xml:space="preserve"> était évident </w:t>
      </w:r>
      <w:r>
        <w:rPr>
          <w:szCs w:val="24"/>
          <w:lang w:val="fr-CA"/>
        </w:rPr>
        <w:t xml:space="preserve">pour la </w:t>
      </w:r>
      <w:r>
        <w:rPr>
          <w:szCs w:val="24"/>
          <w:lang w:val="fr-CA"/>
        </w:rPr>
        <w:lastRenderedPageBreak/>
        <w:t xml:space="preserve">Cour </w:t>
      </w:r>
      <w:r w:rsidRPr="00BC0084">
        <w:rPr>
          <w:szCs w:val="24"/>
          <w:lang w:val="fr-CA"/>
        </w:rPr>
        <w:t>que le demandeur avait un « intérêt véritable », vu qu</w:t>
      </w:r>
      <w:r>
        <w:rPr>
          <w:szCs w:val="24"/>
          <w:lang w:val="fr-CA"/>
        </w:rPr>
        <w:t>’</w:t>
      </w:r>
      <w:r w:rsidRPr="00BC0084">
        <w:rPr>
          <w:szCs w:val="24"/>
          <w:lang w:val="fr-CA"/>
        </w:rPr>
        <w:t xml:space="preserve">il jouissait « de la meilleure réputation possible et </w:t>
      </w:r>
      <w:r>
        <w:rPr>
          <w:szCs w:val="24"/>
          <w:lang w:val="fr-CA"/>
        </w:rPr>
        <w:t>[qu’</w:t>
      </w:r>
      <w:proofErr w:type="gramStart"/>
      <w:r>
        <w:rPr>
          <w:szCs w:val="24"/>
          <w:lang w:val="fr-CA"/>
        </w:rPr>
        <w:t>]</w:t>
      </w:r>
      <w:r w:rsidRPr="00BC0084">
        <w:rPr>
          <w:szCs w:val="24"/>
          <w:lang w:val="fr-CA"/>
        </w:rPr>
        <w:t>il</w:t>
      </w:r>
      <w:proofErr w:type="gramEnd"/>
      <w:r w:rsidRPr="00BC0084">
        <w:rPr>
          <w:szCs w:val="24"/>
          <w:lang w:val="fr-CA"/>
        </w:rPr>
        <w:t xml:space="preserve"> a</w:t>
      </w:r>
      <w:r>
        <w:rPr>
          <w:szCs w:val="24"/>
          <w:lang w:val="fr-CA"/>
        </w:rPr>
        <w:t>[</w:t>
      </w:r>
      <w:proofErr w:type="spellStart"/>
      <w:r>
        <w:rPr>
          <w:szCs w:val="24"/>
          <w:lang w:val="fr-CA"/>
        </w:rPr>
        <w:t>vait</w:t>
      </w:r>
      <w:proofErr w:type="spellEnd"/>
      <w:r>
        <w:rPr>
          <w:szCs w:val="24"/>
          <w:lang w:val="fr-CA"/>
        </w:rPr>
        <w:t>]</w:t>
      </w:r>
      <w:r w:rsidRPr="00BC0084">
        <w:rPr>
          <w:szCs w:val="24"/>
          <w:lang w:val="fr-CA"/>
        </w:rPr>
        <w:t xml:space="preserve"> démontré un intérêt réel et constant dans les problèmes des réfugiés et des immigrants » (</w:t>
      </w:r>
      <w:r>
        <w:rPr>
          <w:szCs w:val="24"/>
          <w:lang w:val="fr-CA"/>
        </w:rPr>
        <w:t>p. </w:t>
      </w:r>
      <w:r w:rsidRPr="00BC0084">
        <w:rPr>
          <w:szCs w:val="24"/>
          <w:lang w:val="fr-CA"/>
        </w:rPr>
        <w:t xml:space="preserve">254).  En examinant la réputation du demandeur, son intérêt continu et </w:t>
      </w:r>
      <w:r>
        <w:rPr>
          <w:szCs w:val="24"/>
          <w:lang w:val="fr-CA"/>
        </w:rPr>
        <w:t>son lien</w:t>
      </w:r>
      <w:r w:rsidRPr="00BC0084">
        <w:rPr>
          <w:szCs w:val="24"/>
          <w:lang w:val="fr-CA"/>
        </w:rPr>
        <w:t xml:space="preserve"> avec l</w:t>
      </w:r>
      <w:r>
        <w:rPr>
          <w:szCs w:val="24"/>
          <w:lang w:val="fr-CA"/>
        </w:rPr>
        <w:t>’</w:t>
      </w:r>
      <w:r w:rsidRPr="00BC0084">
        <w:rPr>
          <w:szCs w:val="24"/>
          <w:lang w:val="fr-CA"/>
        </w:rPr>
        <w:t xml:space="preserve">action, la Cour a ainsi évalué son « engagement », de façon à assurer une utilisation </w:t>
      </w:r>
      <w:r>
        <w:rPr>
          <w:szCs w:val="24"/>
          <w:lang w:val="fr-CA"/>
        </w:rPr>
        <w:t>efficiente</w:t>
      </w:r>
      <w:r w:rsidRPr="00BC0084">
        <w:rPr>
          <w:szCs w:val="24"/>
          <w:lang w:val="fr-CA"/>
        </w:rPr>
        <w:t xml:space="preserve"> des ressources judiciaires limitées (</w:t>
      </w:r>
      <w:r>
        <w:rPr>
          <w:szCs w:val="24"/>
          <w:lang w:val="fr-CA"/>
        </w:rPr>
        <w:t>v</w:t>
      </w:r>
      <w:r w:rsidRPr="00BC0084">
        <w:rPr>
          <w:szCs w:val="24"/>
          <w:lang w:val="fr-CA"/>
        </w:rPr>
        <w:t>oir K.</w:t>
      </w:r>
      <w:r>
        <w:rPr>
          <w:szCs w:val="24"/>
          <w:lang w:val="fr-CA"/>
        </w:rPr>
        <w:t> </w:t>
      </w:r>
      <w:r w:rsidR="00553DC7" w:rsidRPr="00BC0084">
        <w:rPr>
          <w:szCs w:val="24"/>
          <w:lang w:val="fr-CA"/>
        </w:rPr>
        <w:t xml:space="preserve"> </w:t>
      </w:r>
      <w:proofErr w:type="spellStart"/>
      <w:r w:rsidRPr="00BC0084">
        <w:rPr>
          <w:szCs w:val="24"/>
          <w:lang w:val="fr-CA"/>
        </w:rPr>
        <w:t>Roach</w:t>
      </w:r>
      <w:proofErr w:type="spellEnd"/>
      <w:r w:rsidRPr="00BC0084">
        <w:rPr>
          <w:szCs w:val="24"/>
          <w:lang w:val="fr-CA"/>
        </w:rPr>
        <w:t xml:space="preserve">, </w:t>
      </w:r>
      <w:proofErr w:type="spellStart"/>
      <w:r w:rsidRPr="00BC0084">
        <w:rPr>
          <w:i/>
          <w:szCs w:val="24"/>
          <w:lang w:val="fr-CA"/>
        </w:rPr>
        <w:t>Constitutional</w:t>
      </w:r>
      <w:proofErr w:type="spellEnd"/>
      <w:r w:rsidRPr="00BC0084">
        <w:rPr>
          <w:i/>
          <w:szCs w:val="24"/>
          <w:lang w:val="fr-CA"/>
        </w:rPr>
        <w:t xml:space="preserve"> </w:t>
      </w:r>
      <w:proofErr w:type="spellStart"/>
      <w:r w:rsidRPr="00BC0084">
        <w:rPr>
          <w:i/>
          <w:szCs w:val="24"/>
          <w:lang w:val="fr-CA"/>
        </w:rPr>
        <w:t>Remedies</w:t>
      </w:r>
      <w:proofErr w:type="spellEnd"/>
      <w:r w:rsidRPr="00BC0084">
        <w:rPr>
          <w:i/>
          <w:szCs w:val="24"/>
          <w:lang w:val="fr-CA"/>
        </w:rPr>
        <w:t xml:space="preserve"> in Canada</w:t>
      </w:r>
      <w:r w:rsidRPr="001B250B">
        <w:rPr>
          <w:szCs w:val="24"/>
          <w:lang w:val="fr-CA"/>
        </w:rPr>
        <w:t xml:space="preserve"> </w:t>
      </w:r>
      <w:r>
        <w:rPr>
          <w:szCs w:val="24"/>
          <w:lang w:val="fr-CA"/>
        </w:rPr>
        <w:t>(feuilles mobiles)</w:t>
      </w:r>
      <w:r w:rsidRPr="001B250B">
        <w:rPr>
          <w:szCs w:val="24"/>
          <w:lang w:val="fr-CA"/>
        </w:rPr>
        <w:t>,</w:t>
      </w:r>
      <w:r w:rsidRPr="00BC0084">
        <w:rPr>
          <w:szCs w:val="24"/>
          <w:lang w:val="fr-CA"/>
        </w:rPr>
        <w:t xml:space="preserve"> </w:t>
      </w:r>
      <w:r>
        <w:rPr>
          <w:rFonts w:cs="Times New Roman"/>
          <w:szCs w:val="24"/>
          <w:lang w:val="fr-CA"/>
        </w:rPr>
        <w:t>¶</w:t>
      </w:r>
      <w:r w:rsidRPr="00BC0084">
        <w:rPr>
          <w:szCs w:val="24"/>
          <w:lang w:val="fr-CA"/>
        </w:rPr>
        <w:t>5</w:t>
      </w:r>
      <w:r>
        <w:rPr>
          <w:szCs w:val="24"/>
          <w:lang w:val="fr-CA"/>
        </w:rPr>
        <w:t>.120</w:t>
      </w:r>
      <w:r w:rsidRPr="00BC0084">
        <w:rPr>
          <w:szCs w:val="24"/>
          <w:lang w:val="fr-CA"/>
        </w:rPr>
        <w:t>).</w:t>
      </w:r>
    </w:p>
    <w:p w:rsidR="00D867A4" w:rsidRPr="00132F5E" w:rsidRDefault="002E67E6" w:rsidP="00553DC7">
      <w:pPr>
        <w:pStyle w:val="TitleTitre-AltT"/>
        <w:keepNext/>
        <w:tabs>
          <w:tab w:val="clear" w:pos="360"/>
          <w:tab w:val="left" w:pos="540"/>
        </w:tabs>
        <w:ind w:left="1170" w:hanging="1170"/>
        <w:rPr>
          <w:szCs w:val="24"/>
          <w:lang w:val="fr-CA"/>
        </w:rPr>
      </w:pPr>
      <w:r>
        <w:rPr>
          <w:szCs w:val="24"/>
          <w:lang w:val="fr-CA"/>
        </w:rPr>
        <w:tab/>
      </w:r>
      <w:r w:rsidR="00D867A4">
        <w:rPr>
          <w:szCs w:val="24"/>
          <w:lang w:val="fr-CA"/>
        </w:rPr>
        <w:t>c</w:t>
      </w:r>
      <w:r w:rsidR="00D867A4" w:rsidRPr="00132F5E">
        <w:rPr>
          <w:szCs w:val="24"/>
          <w:lang w:val="fr-CA"/>
        </w:rPr>
        <w:t>)</w:t>
      </w:r>
      <w:r w:rsidR="00D867A4">
        <w:rPr>
          <w:szCs w:val="24"/>
          <w:lang w:val="fr-CA"/>
        </w:rPr>
        <w:tab/>
      </w:r>
      <w:r w:rsidR="00D867A4">
        <w:rPr>
          <w:i/>
          <w:szCs w:val="24"/>
          <w:lang w:val="fr-CA"/>
        </w:rPr>
        <w:t xml:space="preserve">Manières raisonnables et efficaces de soumettre la question à la Cour </w:t>
      </w:r>
    </w:p>
    <w:p w:rsidR="00D867A4" w:rsidRPr="00132F5E" w:rsidRDefault="00D867A4" w:rsidP="00D867A4">
      <w:pPr>
        <w:pStyle w:val="ParaNoNdepar-AltN"/>
        <w:rPr>
          <w:szCs w:val="24"/>
          <w:lang w:val="fr-CA"/>
        </w:rPr>
      </w:pPr>
      <w:r>
        <w:rPr>
          <w:szCs w:val="24"/>
          <w:lang w:val="fr-CA"/>
        </w:rPr>
        <w:t xml:space="preserve">Ce facteur a longtemps été qualifié d’exigence stricte.  Par exemple, dans </w:t>
      </w:r>
      <w:proofErr w:type="spellStart"/>
      <w:r w:rsidRPr="00132F5E">
        <w:rPr>
          <w:i/>
          <w:szCs w:val="24"/>
          <w:lang w:val="fr-CA"/>
        </w:rPr>
        <w:t>Borowski</w:t>
      </w:r>
      <w:proofErr w:type="spellEnd"/>
      <w:r>
        <w:rPr>
          <w:szCs w:val="24"/>
          <w:lang w:val="fr-CA"/>
        </w:rPr>
        <w:t>, les juges majoritaires de la Cour ont déclaré que la personne demandant l’exercice du pouvoir discrétionnaire pour se voir reconnaître la qualité pour agir doit « </w:t>
      </w:r>
      <w:r w:rsidRPr="00172279">
        <w:rPr>
          <w:szCs w:val="24"/>
          <w:lang w:val="fr-CA"/>
        </w:rPr>
        <w:t>démontre[r] qu</w:t>
      </w:r>
      <w:r>
        <w:rPr>
          <w:szCs w:val="24"/>
          <w:lang w:val="fr-CA"/>
        </w:rPr>
        <w:t>’</w:t>
      </w:r>
      <w:r w:rsidRPr="00172279">
        <w:rPr>
          <w:szCs w:val="24"/>
          <w:lang w:val="fr-CA"/>
        </w:rPr>
        <w:t>il</w:t>
      </w:r>
      <w:r w:rsidRPr="00AE3952">
        <w:rPr>
          <w:szCs w:val="24"/>
          <w:lang w:val="fr-CA"/>
        </w:rPr>
        <w:t xml:space="preserve"> </w:t>
      </w:r>
      <w:r w:rsidRPr="001B250B">
        <w:rPr>
          <w:szCs w:val="24"/>
          <w:u w:val="single"/>
          <w:lang w:val="fr-CA"/>
        </w:rPr>
        <w:t>n</w:t>
      </w:r>
      <w:r>
        <w:rPr>
          <w:szCs w:val="24"/>
          <w:lang w:val="fr-CA"/>
        </w:rPr>
        <w:t xml:space="preserve">’y a </w:t>
      </w:r>
      <w:r w:rsidRPr="001B250B">
        <w:rPr>
          <w:szCs w:val="24"/>
          <w:u w:val="single"/>
          <w:lang w:val="fr-CA"/>
        </w:rPr>
        <w:t>pas</w:t>
      </w:r>
      <w:r>
        <w:rPr>
          <w:szCs w:val="24"/>
          <w:lang w:val="fr-CA"/>
        </w:rPr>
        <w:t xml:space="preserve"> d’autre manière raison</w:t>
      </w:r>
      <w:r w:rsidRPr="00AE3952">
        <w:rPr>
          <w:szCs w:val="24"/>
          <w:lang w:val="fr-CA"/>
        </w:rPr>
        <w:t>nable et efficace de soumettre la question à la cour</w:t>
      </w:r>
      <w:r>
        <w:rPr>
          <w:szCs w:val="24"/>
          <w:lang w:val="fr-CA"/>
        </w:rPr>
        <w:t> »</w:t>
      </w:r>
      <w:r w:rsidR="00553DC7">
        <w:rPr>
          <w:szCs w:val="24"/>
          <w:lang w:val="fr-CA"/>
        </w:rPr>
        <w:t xml:space="preserve"> : </w:t>
      </w:r>
      <w:r>
        <w:rPr>
          <w:szCs w:val="24"/>
          <w:lang w:val="fr-CA"/>
        </w:rPr>
        <w:t>p. </w:t>
      </w:r>
      <w:r w:rsidR="00553DC7">
        <w:rPr>
          <w:szCs w:val="24"/>
          <w:lang w:val="fr-CA"/>
        </w:rPr>
        <w:t>598</w:t>
      </w:r>
      <w:r w:rsidRPr="00132F5E">
        <w:rPr>
          <w:szCs w:val="24"/>
          <w:lang w:val="fr-CA"/>
        </w:rPr>
        <w:t xml:space="preserve"> (</w:t>
      </w:r>
      <w:r>
        <w:rPr>
          <w:szCs w:val="24"/>
          <w:lang w:val="fr-CA"/>
        </w:rPr>
        <w:t>je souligne</w:t>
      </w:r>
      <w:r w:rsidRPr="00132F5E">
        <w:rPr>
          <w:rFonts w:cs="Times New Roman"/>
          <w:szCs w:val="24"/>
          <w:lang w:val="fr-CA"/>
        </w:rPr>
        <w:t>)</w:t>
      </w:r>
      <w:r w:rsidR="00553DC7">
        <w:rPr>
          <w:rFonts w:cs="Times New Roman"/>
          <w:szCs w:val="24"/>
          <w:lang w:val="fr-CA"/>
        </w:rPr>
        <w:t>;</w:t>
      </w:r>
      <w:r w:rsidRPr="00132F5E">
        <w:rPr>
          <w:szCs w:val="24"/>
          <w:lang w:val="fr-CA"/>
        </w:rPr>
        <w:t xml:space="preserve"> </w:t>
      </w:r>
      <w:r w:rsidR="00553DC7">
        <w:rPr>
          <w:szCs w:val="24"/>
          <w:lang w:val="fr-CA"/>
        </w:rPr>
        <w:t>voir aussi</w:t>
      </w:r>
      <w:r>
        <w:rPr>
          <w:szCs w:val="24"/>
          <w:lang w:val="fr-CA"/>
        </w:rPr>
        <w:t xml:space="preserve"> </w:t>
      </w:r>
      <w:r w:rsidRPr="00132F5E">
        <w:rPr>
          <w:i/>
          <w:szCs w:val="24"/>
          <w:lang w:val="fr-CA"/>
        </w:rPr>
        <w:t>Finlay</w:t>
      </w:r>
      <w:r w:rsidRPr="00132F5E">
        <w:rPr>
          <w:szCs w:val="24"/>
          <w:lang w:val="fr-CA"/>
        </w:rPr>
        <w:t xml:space="preserve">, </w:t>
      </w:r>
      <w:r>
        <w:rPr>
          <w:szCs w:val="24"/>
          <w:lang w:val="fr-CA"/>
        </w:rPr>
        <w:t>p. </w:t>
      </w:r>
      <w:r w:rsidRPr="00132F5E">
        <w:rPr>
          <w:szCs w:val="24"/>
          <w:lang w:val="fr-CA"/>
        </w:rPr>
        <w:t xml:space="preserve">626; </w:t>
      </w:r>
      <w:r w:rsidRPr="00132F5E">
        <w:rPr>
          <w:i/>
          <w:szCs w:val="24"/>
          <w:lang w:val="fr-CA"/>
        </w:rPr>
        <w:t xml:space="preserve">Hy and </w:t>
      </w:r>
      <w:proofErr w:type="spellStart"/>
      <w:r w:rsidRPr="00132F5E">
        <w:rPr>
          <w:i/>
          <w:szCs w:val="24"/>
          <w:lang w:val="fr-CA"/>
        </w:rPr>
        <w:t>Zel</w:t>
      </w:r>
      <w:r>
        <w:rPr>
          <w:i/>
          <w:szCs w:val="24"/>
          <w:lang w:val="fr-CA"/>
        </w:rPr>
        <w:t>’</w:t>
      </w:r>
      <w:r w:rsidRPr="00132F5E">
        <w:rPr>
          <w:i/>
          <w:szCs w:val="24"/>
          <w:lang w:val="fr-CA"/>
        </w:rPr>
        <w:t>s</w:t>
      </w:r>
      <w:proofErr w:type="spellEnd"/>
      <w:r w:rsidRPr="00132F5E">
        <w:rPr>
          <w:szCs w:val="24"/>
          <w:lang w:val="fr-CA"/>
        </w:rPr>
        <w:t xml:space="preserve">, </w:t>
      </w:r>
      <w:r>
        <w:rPr>
          <w:szCs w:val="24"/>
          <w:lang w:val="fr-CA"/>
        </w:rPr>
        <w:t>p. </w:t>
      </w:r>
      <w:r w:rsidRPr="00132F5E">
        <w:rPr>
          <w:szCs w:val="24"/>
          <w:lang w:val="fr-CA"/>
        </w:rPr>
        <w:t>690.</w:t>
      </w:r>
      <w:r>
        <w:rPr>
          <w:szCs w:val="24"/>
          <w:lang w:val="fr-CA"/>
        </w:rPr>
        <w:t xml:space="preserve"> </w:t>
      </w:r>
      <w:r w:rsidRPr="00132F5E">
        <w:rPr>
          <w:szCs w:val="24"/>
          <w:lang w:val="fr-CA"/>
        </w:rPr>
        <w:t xml:space="preserve"> </w:t>
      </w:r>
      <w:r>
        <w:rPr>
          <w:szCs w:val="24"/>
          <w:lang w:val="fr-CA"/>
        </w:rPr>
        <w:t xml:space="preserve">Ce facteur n’a cependant pas toujours été exprimé de façon aussi restrictive et a rarement été appliqué de la sorte.  J’estime que nous </w:t>
      </w:r>
      <w:r w:rsidRPr="00E56E46">
        <w:rPr>
          <w:szCs w:val="24"/>
          <w:lang w:val="fr-CA"/>
        </w:rPr>
        <w:t>devrions</w:t>
      </w:r>
      <w:r>
        <w:rPr>
          <w:szCs w:val="24"/>
          <w:lang w:val="fr-CA"/>
        </w:rPr>
        <w:t xml:space="preserve"> maintenant indiquer clairement qu’il s’agit d’un des trois facteurs qui doivent être analysés et soupesés par les tribunaux lors de l’exercice de leur pouvoir discrétionnaire.  À mon humble avis, il serait préférable de formuler ce troisième facteur comme étant celui exigeant l’examen de la question de savoir si la poursuite proposée, compte tenu de toutes les circonstances et à la lumière d’un grand nombre de considérations dont je vais traiter sous peu, constitue une manière raisonnable et efficace de soumettre la question à la </w:t>
      </w:r>
      <w:r>
        <w:rPr>
          <w:szCs w:val="24"/>
          <w:lang w:val="fr-CA"/>
        </w:rPr>
        <w:lastRenderedPageBreak/>
        <w:t xml:space="preserve">cour.  Cette approche quant au troisième facteur correspond davantage à l’interprétation souple, discrétionnaire et téléologique de la qualité pour agir dans l’intérêt public qui </w:t>
      </w:r>
      <w:proofErr w:type="spellStart"/>
      <w:r>
        <w:rPr>
          <w:szCs w:val="24"/>
          <w:lang w:val="fr-CA"/>
        </w:rPr>
        <w:t>sous</w:t>
      </w:r>
      <w:r>
        <w:rPr>
          <w:szCs w:val="24"/>
          <w:lang w:val="fr-CA"/>
        </w:rPr>
        <w:noBreakHyphen/>
        <w:t>tend</w:t>
      </w:r>
      <w:proofErr w:type="spellEnd"/>
      <w:r>
        <w:rPr>
          <w:szCs w:val="24"/>
          <w:lang w:val="fr-CA"/>
        </w:rPr>
        <w:t xml:space="preserve"> toutes les décisions prononcées par la Cour dans ce domaine.  </w:t>
      </w:r>
    </w:p>
    <w:p w:rsidR="00D867A4" w:rsidRPr="00132F5E" w:rsidRDefault="00D867A4" w:rsidP="00553DC7">
      <w:pPr>
        <w:pStyle w:val="TitleTitre-AltT"/>
        <w:keepNext/>
        <w:tabs>
          <w:tab w:val="clear" w:pos="360"/>
          <w:tab w:val="left" w:pos="540"/>
        </w:tabs>
        <w:ind w:left="1170" w:hanging="1170"/>
        <w:rPr>
          <w:i/>
          <w:szCs w:val="24"/>
          <w:lang w:val="fr-CA"/>
        </w:rPr>
      </w:pPr>
      <w:r>
        <w:rPr>
          <w:szCs w:val="24"/>
          <w:lang w:val="fr-CA"/>
        </w:rPr>
        <w:tab/>
        <w:t>(i)</w:t>
      </w:r>
      <w:r>
        <w:rPr>
          <w:szCs w:val="24"/>
          <w:lang w:val="fr-CA"/>
        </w:rPr>
        <w:tab/>
      </w:r>
      <w:r>
        <w:rPr>
          <w:szCs w:val="24"/>
          <w:u w:val="single"/>
          <w:lang w:val="fr-CA"/>
        </w:rPr>
        <w:t xml:space="preserve">La Cour n’a pas toujours exprimé ce facteur de façon rigide et l’a rarement appliqué de la sorte </w:t>
      </w:r>
    </w:p>
    <w:p w:rsidR="00D867A4" w:rsidRPr="00132F5E" w:rsidRDefault="00D867A4" w:rsidP="00D867A4">
      <w:pPr>
        <w:pStyle w:val="ParaNoNdepar-AltN"/>
        <w:rPr>
          <w:szCs w:val="24"/>
          <w:lang w:val="fr-CA"/>
        </w:rPr>
      </w:pPr>
      <w:r>
        <w:rPr>
          <w:szCs w:val="24"/>
          <w:lang w:val="fr-CA"/>
        </w:rPr>
        <w:t xml:space="preserve">À mon avis, une lecture attentive des décisions rendues par la Cour permet de déceler que même si ce facteur a souvent été qualifié d’exigence stricte, la Cour ne l’a pas appliqué avec rigidité de façon constante et, en fait, n’a pas non plus examiné son application de cette manière.  </w:t>
      </w:r>
    </w:p>
    <w:p w:rsidR="00D867A4" w:rsidRPr="00132F5E" w:rsidRDefault="00D867A4" w:rsidP="00D867A4">
      <w:pPr>
        <w:pStyle w:val="ParaNoNdepar-AltN"/>
        <w:rPr>
          <w:szCs w:val="24"/>
          <w:lang w:val="fr-CA"/>
        </w:rPr>
      </w:pPr>
      <w:r>
        <w:rPr>
          <w:szCs w:val="24"/>
          <w:lang w:val="fr-CA"/>
        </w:rPr>
        <w:t xml:space="preserve">La formulation rigide du troisième facteur telle qu’elle a été énoncée dans l’arrêt </w:t>
      </w:r>
      <w:proofErr w:type="spellStart"/>
      <w:r w:rsidRPr="00132F5E">
        <w:rPr>
          <w:i/>
          <w:szCs w:val="24"/>
          <w:lang w:val="fr-CA"/>
        </w:rPr>
        <w:t>Borowski</w:t>
      </w:r>
      <w:proofErr w:type="spellEnd"/>
      <w:r w:rsidRPr="00132F5E">
        <w:rPr>
          <w:szCs w:val="24"/>
          <w:lang w:val="fr-CA"/>
        </w:rPr>
        <w:t xml:space="preserve"> </w:t>
      </w:r>
      <w:r>
        <w:rPr>
          <w:szCs w:val="24"/>
          <w:lang w:val="fr-CA"/>
        </w:rPr>
        <w:t>n’a pas été retenue dans les deux principales affaires concernant la qualité pour agir dans l’intérêt public : voir</w:t>
      </w:r>
      <w:r w:rsidRPr="00132F5E">
        <w:rPr>
          <w:rFonts w:cs="Times New Roman"/>
          <w:szCs w:val="24"/>
          <w:lang w:val="fr-CA"/>
        </w:rPr>
        <w:t xml:space="preserve"> </w:t>
      </w:r>
      <w:proofErr w:type="spellStart"/>
      <w:r w:rsidRPr="00132F5E">
        <w:rPr>
          <w:rFonts w:cs="Times New Roman"/>
          <w:i/>
          <w:szCs w:val="24"/>
          <w:lang w:val="fr-CA"/>
        </w:rPr>
        <w:t>Thorson</w:t>
      </w:r>
      <w:proofErr w:type="spellEnd"/>
      <w:r w:rsidRPr="00132F5E">
        <w:rPr>
          <w:rFonts w:cs="Times New Roman"/>
          <w:szCs w:val="24"/>
          <w:lang w:val="fr-CA"/>
        </w:rPr>
        <w:t xml:space="preserve">, </w:t>
      </w:r>
      <w:r>
        <w:rPr>
          <w:rFonts w:cs="Times New Roman"/>
          <w:szCs w:val="24"/>
          <w:lang w:val="fr-CA"/>
        </w:rPr>
        <w:t>p. 161</w:t>
      </w:r>
      <w:r w:rsidR="00453FD7">
        <w:rPr>
          <w:rFonts w:cs="Times New Roman"/>
          <w:szCs w:val="24"/>
          <w:lang w:val="fr-CA"/>
        </w:rPr>
        <w:t>,</w:t>
      </w:r>
      <w:r>
        <w:rPr>
          <w:rFonts w:cs="Times New Roman"/>
          <w:szCs w:val="24"/>
          <w:lang w:val="fr-CA"/>
        </w:rPr>
        <w:t xml:space="preserve"> et</w:t>
      </w:r>
      <w:r w:rsidRPr="00132F5E">
        <w:rPr>
          <w:rFonts w:cs="Times New Roman"/>
          <w:szCs w:val="24"/>
          <w:lang w:val="fr-CA"/>
        </w:rPr>
        <w:t xml:space="preserve"> </w:t>
      </w:r>
      <w:r w:rsidRPr="00132F5E">
        <w:rPr>
          <w:rFonts w:cs="Times New Roman"/>
          <w:i/>
          <w:szCs w:val="24"/>
          <w:lang w:val="fr-CA"/>
        </w:rPr>
        <w:t>McNeil</w:t>
      </w:r>
      <w:r w:rsidRPr="00132F5E">
        <w:rPr>
          <w:rFonts w:cs="Times New Roman"/>
          <w:szCs w:val="24"/>
          <w:lang w:val="fr-CA"/>
        </w:rPr>
        <w:t xml:space="preserve">, </w:t>
      </w:r>
      <w:r>
        <w:rPr>
          <w:rFonts w:cs="Times New Roman"/>
          <w:szCs w:val="24"/>
          <w:lang w:val="fr-CA"/>
        </w:rPr>
        <w:t>p. </w:t>
      </w:r>
      <w:r w:rsidRPr="00132F5E">
        <w:rPr>
          <w:rFonts w:cs="Times New Roman"/>
          <w:szCs w:val="24"/>
          <w:lang w:val="fr-CA"/>
        </w:rPr>
        <w:t xml:space="preserve">271. </w:t>
      </w:r>
      <w:r>
        <w:rPr>
          <w:rFonts w:cs="Times New Roman"/>
          <w:szCs w:val="24"/>
          <w:lang w:val="fr-CA"/>
        </w:rPr>
        <w:t xml:space="preserve"> En outre, dans l’arrêt </w:t>
      </w:r>
      <w:r>
        <w:rPr>
          <w:rFonts w:cs="Times New Roman"/>
          <w:i/>
          <w:szCs w:val="24"/>
          <w:lang w:val="fr-CA"/>
        </w:rPr>
        <w:t>Conseil canadien des Églises</w:t>
      </w:r>
      <w:r>
        <w:rPr>
          <w:rFonts w:cs="Times New Roman"/>
          <w:szCs w:val="24"/>
          <w:lang w:val="fr-CA"/>
        </w:rPr>
        <w:t>, le troisième facteur a été formulé comme étant la question de savoir s’</w:t>
      </w:r>
      <w:r>
        <w:rPr>
          <w:szCs w:val="24"/>
          <w:lang w:val="fr-CA"/>
        </w:rPr>
        <w:t xml:space="preserve">« il </w:t>
      </w:r>
      <w:r w:rsidR="00453FD7">
        <w:rPr>
          <w:szCs w:val="24"/>
          <w:lang w:val="fr-CA"/>
        </w:rPr>
        <w:t>[</w:t>
      </w:r>
      <w:r>
        <w:rPr>
          <w:szCs w:val="24"/>
          <w:lang w:val="fr-CA"/>
        </w:rPr>
        <w:t xml:space="preserve">y avait] </w:t>
      </w:r>
      <w:r w:rsidRPr="00A023E0">
        <w:rPr>
          <w:szCs w:val="24"/>
          <w:u w:val="single"/>
          <w:lang w:val="fr-CA"/>
        </w:rPr>
        <w:t>une autre</w:t>
      </w:r>
      <w:r w:rsidRPr="00366211">
        <w:rPr>
          <w:szCs w:val="24"/>
          <w:lang w:val="fr-CA"/>
        </w:rPr>
        <w:t xml:space="preserve"> manière raisonnable et efficace de soumettre la question à la cour</w:t>
      </w:r>
      <w:r>
        <w:rPr>
          <w:szCs w:val="24"/>
          <w:lang w:val="fr-CA"/>
        </w:rPr>
        <w:t xml:space="preserve"> » </w:t>
      </w:r>
      <w:r w:rsidRPr="00132F5E">
        <w:rPr>
          <w:szCs w:val="24"/>
          <w:lang w:val="fr-CA"/>
        </w:rPr>
        <w:t>(</w:t>
      </w:r>
      <w:r>
        <w:rPr>
          <w:szCs w:val="24"/>
          <w:lang w:val="fr-CA"/>
        </w:rPr>
        <w:t>p. </w:t>
      </w:r>
      <w:r w:rsidRPr="00132F5E">
        <w:rPr>
          <w:szCs w:val="24"/>
          <w:lang w:val="fr-CA"/>
        </w:rPr>
        <w:t>253 (</w:t>
      </w:r>
      <w:r>
        <w:rPr>
          <w:szCs w:val="24"/>
          <w:lang w:val="fr-CA"/>
        </w:rPr>
        <w:t>je souligne</w:t>
      </w:r>
      <w:r w:rsidRPr="00132F5E">
        <w:rPr>
          <w:rFonts w:cs="Times New Roman"/>
          <w:szCs w:val="24"/>
          <w:lang w:val="fr-CA"/>
        </w:rPr>
        <w:t>)</w:t>
      </w:r>
      <w:r>
        <w:rPr>
          <w:rFonts w:cs="Times New Roman"/>
          <w:szCs w:val="24"/>
          <w:lang w:val="fr-CA"/>
        </w:rPr>
        <w:t>)</w:t>
      </w:r>
      <w:r w:rsidRPr="00132F5E">
        <w:rPr>
          <w:rFonts w:cs="Times New Roman"/>
          <w:szCs w:val="24"/>
          <w:lang w:val="fr-CA"/>
        </w:rPr>
        <w:t xml:space="preserve">. </w:t>
      </w:r>
    </w:p>
    <w:p w:rsidR="00D867A4" w:rsidRPr="00132F5E" w:rsidRDefault="00D867A4" w:rsidP="00D867A4">
      <w:pPr>
        <w:pStyle w:val="ParaNoNdepar-AltN"/>
        <w:rPr>
          <w:szCs w:val="24"/>
          <w:lang w:val="fr-CA"/>
        </w:rPr>
      </w:pPr>
      <w:r>
        <w:rPr>
          <w:szCs w:val="24"/>
          <w:lang w:val="fr-CA"/>
        </w:rPr>
        <w:t xml:space="preserve">En outre, un grand nombre de décisions illustre que ce troisième facteur n’a pas été appliqué de façon rigide, quelle qu’ait été sa formulation.  Par exemple, dans l’arrêt </w:t>
      </w:r>
      <w:r w:rsidRPr="00132F5E">
        <w:rPr>
          <w:i/>
          <w:szCs w:val="24"/>
          <w:lang w:val="fr-CA"/>
        </w:rPr>
        <w:t>McNeil</w:t>
      </w:r>
      <w:r w:rsidRPr="00132F5E">
        <w:rPr>
          <w:szCs w:val="24"/>
          <w:lang w:val="fr-CA"/>
        </w:rPr>
        <w:t xml:space="preserve">, </w:t>
      </w:r>
      <w:r>
        <w:rPr>
          <w:szCs w:val="24"/>
          <w:lang w:val="fr-CA"/>
        </w:rPr>
        <w:t xml:space="preserve">la question en litige concernait la constitutionnalité de dispositions législatives conférant à une commission provinciale le pouvoir </w:t>
      </w:r>
      <w:r>
        <w:rPr>
          <w:szCs w:val="24"/>
          <w:lang w:val="fr-CA"/>
        </w:rPr>
        <w:lastRenderedPageBreak/>
        <w:t>d’autoriser ou d’interdire la projection de films pour le public.  Il était évident qu’il y avait des personnes touchées plus directement par ce régime réglementaire que ne l’était le demandeur, notamment les propriétaires de cinémas et d’autres personnes visées par ces dispositions législatives.  La Cour, au terme de l’exercice de son pouvoir discrétionnaire, a tout de même confirmé la reconnaissance de la qualité pour agir dans l’intérêt public aux motifs que le demandeur, en tant que membre du public, avait un intérêt différent de celui des propriétaires de cinémas et qu’il n’y avait « pratique</w:t>
      </w:r>
      <w:r w:rsidR="00D50F4F">
        <w:rPr>
          <w:szCs w:val="24"/>
          <w:lang w:val="fr-CA"/>
        </w:rPr>
        <w:t>ment</w:t>
      </w:r>
      <w:r>
        <w:rPr>
          <w:szCs w:val="24"/>
          <w:lang w:val="fr-CA"/>
        </w:rPr>
        <w:t xml:space="preserve"> » aucune autre manière de saisir la cour d’une contestation de cette nature </w:t>
      </w:r>
      <w:r w:rsidRPr="00132F5E">
        <w:rPr>
          <w:szCs w:val="24"/>
          <w:lang w:val="fr-CA"/>
        </w:rPr>
        <w:t>(</w:t>
      </w:r>
      <w:r>
        <w:rPr>
          <w:szCs w:val="24"/>
          <w:lang w:val="fr-CA"/>
        </w:rPr>
        <w:t>p. </w:t>
      </w:r>
      <w:r w:rsidRPr="00132F5E">
        <w:rPr>
          <w:szCs w:val="24"/>
          <w:lang w:val="fr-CA"/>
        </w:rPr>
        <w:t>270</w:t>
      </w:r>
      <w:r w:rsidR="00453FD7">
        <w:rPr>
          <w:szCs w:val="24"/>
          <w:lang w:val="fr-CA"/>
        </w:rPr>
        <w:t>-2</w:t>
      </w:r>
      <w:r>
        <w:rPr>
          <w:szCs w:val="24"/>
          <w:lang w:val="fr-CA"/>
        </w:rPr>
        <w:t>7</w:t>
      </w:r>
      <w:r w:rsidRPr="00132F5E">
        <w:rPr>
          <w:szCs w:val="24"/>
          <w:lang w:val="fr-CA"/>
        </w:rPr>
        <w:t>1)</w:t>
      </w:r>
      <w:r>
        <w:rPr>
          <w:szCs w:val="24"/>
          <w:lang w:val="fr-CA"/>
        </w:rPr>
        <w:t xml:space="preserve">.  De même, dans l’arrêt </w:t>
      </w:r>
      <w:proofErr w:type="spellStart"/>
      <w:r w:rsidRPr="00132F5E">
        <w:rPr>
          <w:i/>
          <w:szCs w:val="24"/>
          <w:lang w:val="fr-CA"/>
        </w:rPr>
        <w:t>Borowski</w:t>
      </w:r>
      <w:proofErr w:type="spellEnd"/>
      <w:r>
        <w:rPr>
          <w:szCs w:val="24"/>
          <w:lang w:val="fr-CA"/>
        </w:rPr>
        <w:t xml:space="preserve">, bien que plusieurs personnes fussent davantage touchées par la loi en cause, il était peu probable en pratique que ces gens puissent soumettre au tribunal une contestation de la nature de celle engagée par le demandeur </w:t>
      </w:r>
      <w:r w:rsidRPr="00132F5E">
        <w:rPr>
          <w:szCs w:val="24"/>
          <w:lang w:val="fr-CA"/>
        </w:rPr>
        <w:t>(</w:t>
      </w:r>
      <w:r w:rsidR="00453FD7">
        <w:rPr>
          <w:szCs w:val="24"/>
          <w:lang w:val="fr-CA"/>
        </w:rPr>
        <w:t>p. 597-59</w:t>
      </w:r>
      <w:r w:rsidRPr="00132F5E">
        <w:rPr>
          <w:szCs w:val="24"/>
          <w:lang w:val="fr-CA"/>
        </w:rPr>
        <w:t>8)</w:t>
      </w:r>
      <w:r>
        <w:rPr>
          <w:szCs w:val="24"/>
          <w:lang w:val="fr-CA"/>
        </w:rPr>
        <w:t xml:space="preserve">.  Dans les deux cas, la question de savoir s’il n’y avait pas d’autres manières raisonnables et efficaces de soumettre la question à la cour a été </w:t>
      </w:r>
      <w:proofErr w:type="gramStart"/>
      <w:r>
        <w:rPr>
          <w:szCs w:val="24"/>
          <w:lang w:val="fr-CA"/>
        </w:rPr>
        <w:t>traitée</w:t>
      </w:r>
      <w:proofErr w:type="gramEnd"/>
      <w:r>
        <w:rPr>
          <w:szCs w:val="24"/>
          <w:lang w:val="fr-CA"/>
        </w:rPr>
        <w:t xml:space="preserve"> d’un point de vue pratique et pragmatique, et en fonction de la nature précise de la contestation que le demandeur avait l’intention d’engager.</w:t>
      </w:r>
      <w:r w:rsidRPr="00132F5E">
        <w:rPr>
          <w:szCs w:val="24"/>
          <w:lang w:val="fr-CA"/>
        </w:rPr>
        <w:t xml:space="preserve">  </w:t>
      </w:r>
    </w:p>
    <w:p w:rsidR="00D867A4" w:rsidRPr="00132F5E" w:rsidRDefault="00D867A4" w:rsidP="00D867A4">
      <w:pPr>
        <w:pStyle w:val="ParaNoNdepar-AltN"/>
        <w:rPr>
          <w:szCs w:val="24"/>
          <w:lang w:val="fr-CA"/>
        </w:rPr>
      </w:pPr>
      <w:r>
        <w:rPr>
          <w:szCs w:val="24"/>
          <w:lang w:val="fr-CA"/>
        </w:rPr>
        <w:t>Même dans les cas où la qualité pour agir n’a pas été reconnue par suite de l’application de ce facteur, la Cour a insisté sur la nécessité d’exercer le pouvoir discrétionnaire de reconnaître ou non la qualité pour agir plutôt qu’en appliquant les facteurs de façon mécanique</w:t>
      </w:r>
      <w:r w:rsidRPr="00132F5E">
        <w:rPr>
          <w:szCs w:val="24"/>
          <w:lang w:val="fr-CA"/>
        </w:rPr>
        <w:t xml:space="preserve">. </w:t>
      </w:r>
      <w:r>
        <w:rPr>
          <w:szCs w:val="24"/>
          <w:lang w:val="fr-CA"/>
        </w:rPr>
        <w:t xml:space="preserve"> Le meilleur exemple de cette approche se trouve dans l’arrêt </w:t>
      </w:r>
      <w:r>
        <w:rPr>
          <w:i/>
          <w:szCs w:val="24"/>
          <w:lang w:val="fr-CA"/>
        </w:rPr>
        <w:t>Conseil canadien des Églises</w:t>
      </w:r>
      <w:r w:rsidRPr="00ED6584">
        <w:rPr>
          <w:szCs w:val="24"/>
          <w:lang w:val="fr-CA"/>
        </w:rPr>
        <w:t xml:space="preserve">.  </w:t>
      </w:r>
      <w:r>
        <w:rPr>
          <w:szCs w:val="24"/>
          <w:lang w:val="fr-CA"/>
        </w:rPr>
        <w:t>La Cour a déclaré d’une part que l’exercice par le tribunal de son pouvoir discrétionnaire pour reconnaître la qualité pour agir dans l’intérêt public « n’est pas nécessaire</w:t>
      </w:r>
      <w:r w:rsidR="00453FD7">
        <w:rPr>
          <w:szCs w:val="24"/>
          <w:lang w:val="fr-CA"/>
        </w:rPr>
        <w:t xml:space="preserve"> [. . .]</w:t>
      </w:r>
      <w:r>
        <w:rPr>
          <w:szCs w:val="24"/>
          <w:lang w:val="fr-CA"/>
        </w:rPr>
        <w:t xml:space="preserve"> </w:t>
      </w:r>
      <w:r w:rsidRPr="00FE1DC5">
        <w:rPr>
          <w:szCs w:val="24"/>
          <w:lang w:val="fr-CA"/>
        </w:rPr>
        <w:t xml:space="preserve">lorsque, selon une prépondérance des </w:t>
      </w:r>
      <w:r w:rsidRPr="00FE1DC5">
        <w:rPr>
          <w:szCs w:val="24"/>
          <w:lang w:val="fr-CA"/>
        </w:rPr>
        <w:lastRenderedPageBreak/>
        <w:t>probabilités, on peut établir qu</w:t>
      </w:r>
      <w:r>
        <w:rPr>
          <w:szCs w:val="24"/>
          <w:lang w:val="fr-CA"/>
        </w:rPr>
        <w:t>’</w:t>
      </w:r>
      <w:r w:rsidRPr="00FE1DC5">
        <w:rPr>
          <w:szCs w:val="24"/>
          <w:lang w:val="fr-CA"/>
        </w:rPr>
        <w:t>un particulier contestera la mesure</w:t>
      </w:r>
      <w:r>
        <w:rPr>
          <w:szCs w:val="24"/>
          <w:lang w:val="fr-CA"/>
        </w:rPr>
        <w:t> »</w:t>
      </w:r>
      <w:r w:rsidRPr="00132F5E">
        <w:rPr>
          <w:szCs w:val="24"/>
          <w:lang w:val="fr-CA"/>
        </w:rPr>
        <w:t xml:space="preserve"> (</w:t>
      </w:r>
      <w:r>
        <w:rPr>
          <w:szCs w:val="24"/>
          <w:lang w:val="fr-CA"/>
        </w:rPr>
        <w:t>p. </w:t>
      </w:r>
      <w:r w:rsidRPr="00132F5E">
        <w:rPr>
          <w:szCs w:val="24"/>
          <w:lang w:val="fr-CA"/>
        </w:rPr>
        <w:t>252)</w:t>
      </w:r>
      <w:r>
        <w:rPr>
          <w:szCs w:val="24"/>
          <w:lang w:val="fr-CA"/>
        </w:rPr>
        <w:t xml:space="preserve">.  Toutefois, la Cour a souligné d’autre part que la décision de reconnaître ou non la qualité pour agir dans l’intérêt public relève d’un pouvoir discrétionnaire, que les principes applicables devraient être interprétés « d’une façon libérale et souple » et que le facteur relatif aux autres manières raisonnables et efficaces ne doit pas être interprété comme le résultat d’une application mécaniste d’une « exigence technique » </w:t>
      </w:r>
      <w:r w:rsidRPr="00132F5E">
        <w:rPr>
          <w:szCs w:val="24"/>
          <w:lang w:val="fr-CA"/>
        </w:rPr>
        <w:t>(</w:t>
      </w:r>
      <w:r>
        <w:rPr>
          <w:szCs w:val="24"/>
          <w:lang w:val="fr-CA"/>
        </w:rPr>
        <w:t>p. </w:t>
      </w:r>
      <w:r w:rsidRPr="00132F5E">
        <w:rPr>
          <w:szCs w:val="24"/>
          <w:lang w:val="fr-CA"/>
        </w:rPr>
        <w:t>25</w:t>
      </w:r>
      <w:r>
        <w:rPr>
          <w:szCs w:val="24"/>
          <w:lang w:val="fr-CA"/>
        </w:rPr>
        <w:t>3 et 2</w:t>
      </w:r>
      <w:r w:rsidRPr="00132F5E">
        <w:rPr>
          <w:szCs w:val="24"/>
          <w:lang w:val="fr-CA"/>
        </w:rPr>
        <w:t>56).</w:t>
      </w:r>
    </w:p>
    <w:p w:rsidR="00D867A4" w:rsidRPr="00132F5E" w:rsidRDefault="00D867A4" w:rsidP="00453FD7">
      <w:pPr>
        <w:pStyle w:val="TitleTitre-AltT"/>
        <w:keepNext/>
        <w:tabs>
          <w:tab w:val="clear" w:pos="360"/>
          <w:tab w:val="left" w:pos="540"/>
        </w:tabs>
        <w:ind w:left="1170" w:hanging="1170"/>
        <w:rPr>
          <w:rFonts w:eastAsiaTheme="minorEastAsia"/>
          <w:lang w:val="fr-CA"/>
        </w:rPr>
      </w:pPr>
      <w:r>
        <w:rPr>
          <w:lang w:val="fr-CA"/>
        </w:rPr>
        <w:tab/>
        <w:t>(ii)</w:t>
      </w:r>
      <w:r>
        <w:rPr>
          <w:lang w:val="fr-CA"/>
        </w:rPr>
        <w:tab/>
      </w:r>
      <w:r>
        <w:rPr>
          <w:u w:val="single"/>
          <w:lang w:val="fr-CA"/>
        </w:rPr>
        <w:t xml:space="preserve">Ce </w:t>
      </w:r>
      <w:r w:rsidRPr="0005521C">
        <w:rPr>
          <w:u w:val="single"/>
          <w:lang w:val="fr-CA"/>
        </w:rPr>
        <w:t>facteur</w:t>
      </w:r>
      <w:r>
        <w:rPr>
          <w:u w:val="single"/>
          <w:lang w:val="fr-CA"/>
        </w:rPr>
        <w:t xml:space="preserve"> doit être appliqué de manière téléologique</w:t>
      </w:r>
    </w:p>
    <w:p w:rsidR="00D867A4" w:rsidRPr="00132F5E" w:rsidRDefault="00D867A4" w:rsidP="00D867A4">
      <w:pPr>
        <w:pStyle w:val="ParaNoNdepar-AltN"/>
        <w:rPr>
          <w:szCs w:val="24"/>
          <w:lang w:val="fr-CA"/>
        </w:rPr>
      </w:pPr>
      <w:r>
        <w:rPr>
          <w:szCs w:val="24"/>
          <w:lang w:val="fr-CA"/>
        </w:rPr>
        <w:t xml:space="preserve">Ce troisième facteur doit être appliqué au regard de la nécessité </w:t>
      </w:r>
      <w:r w:rsidRPr="0005521C">
        <w:rPr>
          <w:szCs w:val="24"/>
          <w:lang w:val="fr-CA"/>
        </w:rPr>
        <w:t>d</w:t>
      </w:r>
      <w:r>
        <w:rPr>
          <w:szCs w:val="24"/>
          <w:lang w:val="fr-CA"/>
        </w:rPr>
        <w:t>’</w:t>
      </w:r>
      <w:r w:rsidRPr="0005521C">
        <w:rPr>
          <w:szCs w:val="24"/>
          <w:lang w:val="fr-CA"/>
        </w:rPr>
        <w:t>assurer un exposé complet des positions contradictoires des parties</w:t>
      </w:r>
      <w:r>
        <w:rPr>
          <w:szCs w:val="24"/>
          <w:lang w:val="fr-CA"/>
        </w:rPr>
        <w:t xml:space="preserve"> et de ménager les ressources judiciaires.  Dans l’arrêt </w:t>
      </w:r>
      <w:r w:rsidRPr="00132F5E">
        <w:rPr>
          <w:i/>
          <w:szCs w:val="24"/>
          <w:lang w:val="fr-CA"/>
        </w:rPr>
        <w:t>Finlay</w:t>
      </w:r>
      <w:r w:rsidRPr="00453FD7">
        <w:rPr>
          <w:szCs w:val="24"/>
          <w:lang w:val="fr-CA"/>
        </w:rPr>
        <w:t>,</w:t>
      </w:r>
      <w:r w:rsidRPr="00132F5E">
        <w:rPr>
          <w:i/>
          <w:szCs w:val="24"/>
          <w:lang w:val="fr-CA"/>
        </w:rPr>
        <w:t xml:space="preserve"> </w:t>
      </w:r>
      <w:r>
        <w:rPr>
          <w:szCs w:val="24"/>
          <w:lang w:val="fr-CA"/>
        </w:rPr>
        <w:t xml:space="preserve">la Cour a associé ce facteur à la préoccupation du « tribunal [. . .] </w:t>
      </w:r>
      <w:r w:rsidRPr="00B42B46">
        <w:rPr>
          <w:szCs w:val="24"/>
          <w:lang w:val="fr-CA"/>
        </w:rPr>
        <w:t>d</w:t>
      </w:r>
      <w:r>
        <w:rPr>
          <w:szCs w:val="24"/>
          <w:lang w:val="fr-CA"/>
        </w:rPr>
        <w:t>’</w:t>
      </w:r>
      <w:r w:rsidRPr="00B42B46">
        <w:rPr>
          <w:szCs w:val="24"/>
          <w:lang w:val="fr-CA"/>
        </w:rPr>
        <w:t>entendre les principaux intéressés faire valoir contra</w:t>
      </w:r>
      <w:r>
        <w:rPr>
          <w:szCs w:val="24"/>
          <w:lang w:val="fr-CA"/>
        </w:rPr>
        <w:t xml:space="preserve">dictoirement leurs points de vue » </w:t>
      </w:r>
      <w:r w:rsidRPr="00132F5E">
        <w:rPr>
          <w:szCs w:val="24"/>
          <w:lang w:val="fr-CA"/>
        </w:rPr>
        <w:t>(</w:t>
      </w:r>
      <w:r>
        <w:rPr>
          <w:szCs w:val="24"/>
          <w:lang w:val="fr-CA"/>
        </w:rPr>
        <w:t>p. </w:t>
      </w:r>
      <w:r w:rsidRPr="00132F5E">
        <w:rPr>
          <w:szCs w:val="24"/>
          <w:lang w:val="fr-CA"/>
        </w:rPr>
        <w:t xml:space="preserve">633); </w:t>
      </w:r>
      <w:r>
        <w:rPr>
          <w:szCs w:val="24"/>
          <w:lang w:val="fr-CA"/>
        </w:rPr>
        <w:t>voir aussi</w:t>
      </w:r>
      <w:r w:rsidRPr="00132F5E">
        <w:rPr>
          <w:szCs w:val="24"/>
          <w:lang w:val="fr-CA"/>
        </w:rPr>
        <w:t xml:space="preserve"> </w:t>
      </w:r>
      <w:proofErr w:type="spellStart"/>
      <w:r w:rsidRPr="00132F5E">
        <w:rPr>
          <w:szCs w:val="24"/>
          <w:lang w:val="fr-CA"/>
        </w:rPr>
        <w:t>Roach</w:t>
      </w:r>
      <w:proofErr w:type="spellEnd"/>
      <w:r w:rsidRPr="00132F5E">
        <w:rPr>
          <w:szCs w:val="24"/>
          <w:lang w:val="fr-CA"/>
        </w:rPr>
        <w:t>,</w:t>
      </w:r>
      <w:r>
        <w:rPr>
          <w:szCs w:val="24"/>
          <w:lang w:val="fr-CA"/>
        </w:rPr>
        <w:t xml:space="preserve"> </w:t>
      </w:r>
      <w:r w:rsidR="00FF00BD">
        <w:rPr>
          <w:rFonts w:cs="Times New Roman"/>
          <w:szCs w:val="24"/>
          <w:lang w:val="fr-CA"/>
        </w:rPr>
        <w:t>¶</w:t>
      </w:r>
      <w:r>
        <w:rPr>
          <w:rFonts w:cs="Times New Roman"/>
          <w:szCs w:val="24"/>
          <w:lang w:val="fr-CA"/>
        </w:rPr>
        <w:t>5.120</w:t>
      </w:r>
      <w:r>
        <w:rPr>
          <w:szCs w:val="24"/>
          <w:lang w:val="fr-CA"/>
        </w:rPr>
        <w:t>.  Dans l’arrêt</w:t>
      </w:r>
      <w:r w:rsidRPr="00132F5E">
        <w:rPr>
          <w:szCs w:val="24"/>
          <w:lang w:val="fr-CA"/>
        </w:rPr>
        <w:t xml:space="preserve"> </w:t>
      </w:r>
      <w:r w:rsidRPr="00132F5E">
        <w:rPr>
          <w:i/>
          <w:szCs w:val="24"/>
          <w:lang w:val="fr-CA"/>
        </w:rPr>
        <w:t xml:space="preserve">Hy and </w:t>
      </w:r>
      <w:proofErr w:type="spellStart"/>
      <w:r w:rsidRPr="00132F5E">
        <w:rPr>
          <w:i/>
          <w:szCs w:val="24"/>
          <w:lang w:val="fr-CA"/>
        </w:rPr>
        <w:t>Zel</w:t>
      </w:r>
      <w:r>
        <w:rPr>
          <w:i/>
          <w:szCs w:val="24"/>
          <w:lang w:val="fr-CA"/>
        </w:rPr>
        <w:t>’</w:t>
      </w:r>
      <w:r w:rsidRPr="00132F5E">
        <w:rPr>
          <w:i/>
          <w:szCs w:val="24"/>
          <w:lang w:val="fr-CA"/>
        </w:rPr>
        <w:t>s</w:t>
      </w:r>
      <w:proofErr w:type="spellEnd"/>
      <w:r w:rsidRPr="00132F5E">
        <w:rPr>
          <w:szCs w:val="24"/>
          <w:lang w:val="fr-CA"/>
        </w:rPr>
        <w:t xml:space="preserve">, </w:t>
      </w:r>
      <w:r>
        <w:rPr>
          <w:szCs w:val="24"/>
          <w:lang w:val="fr-CA"/>
        </w:rPr>
        <w:t xml:space="preserve">le juge </w:t>
      </w:r>
      <w:r w:rsidRPr="00132F5E">
        <w:rPr>
          <w:szCs w:val="24"/>
          <w:lang w:val="fr-CA"/>
        </w:rPr>
        <w:t>M</w:t>
      </w:r>
      <w:r>
        <w:rPr>
          <w:szCs w:val="24"/>
          <w:lang w:val="fr-CA"/>
        </w:rPr>
        <w:t>ajor a lié ce facteur à la préoccupation de ne pas surcharger inutilement les tribunaux, soulignant que « [s]’</w:t>
      </w:r>
      <w:r w:rsidRPr="0001359E">
        <w:rPr>
          <w:szCs w:val="24"/>
          <w:lang w:val="fr-CA"/>
        </w:rPr>
        <w:t>il existe d</w:t>
      </w:r>
      <w:r>
        <w:rPr>
          <w:szCs w:val="24"/>
          <w:lang w:val="fr-CA"/>
        </w:rPr>
        <w:t>’</w:t>
      </w:r>
      <w:r w:rsidRPr="0001359E">
        <w:rPr>
          <w:szCs w:val="24"/>
          <w:lang w:val="fr-CA"/>
        </w:rPr>
        <w:t>autres manières de soumettre la question aux tribunaux, les ressources judiciaires limitées peuvent être mieux utilisées</w:t>
      </w:r>
      <w:r>
        <w:rPr>
          <w:szCs w:val="24"/>
          <w:lang w:val="fr-CA"/>
        </w:rPr>
        <w:t> »</w:t>
      </w:r>
      <w:r w:rsidRPr="00132F5E">
        <w:rPr>
          <w:szCs w:val="24"/>
          <w:lang w:val="fr-CA"/>
        </w:rPr>
        <w:t xml:space="preserve"> </w:t>
      </w:r>
      <w:r>
        <w:rPr>
          <w:szCs w:val="24"/>
          <w:lang w:val="fr-CA"/>
        </w:rPr>
        <w:t>(p. </w:t>
      </w:r>
      <w:r w:rsidRPr="00132F5E">
        <w:rPr>
          <w:szCs w:val="24"/>
          <w:lang w:val="fr-CA"/>
        </w:rPr>
        <w:t>692)</w:t>
      </w:r>
      <w:r>
        <w:rPr>
          <w:szCs w:val="24"/>
          <w:lang w:val="fr-CA"/>
        </w:rPr>
        <w:t xml:space="preserve">.  Ce facteur est aussi étroitement lié au principe de la légalité, puisque les tribunaux doivent déterminer s’il est souhaitable de reconnaître la qualité pour agir en fonction de la nécessité d’assurer la légalité des mesures prises par les acteurs gouvernementaux.  Pour appliquer ce facteur de manière téléologique, </w:t>
      </w:r>
      <w:r>
        <w:rPr>
          <w:szCs w:val="24"/>
          <w:lang w:val="fr-CA"/>
        </w:rPr>
        <w:lastRenderedPageBreak/>
        <w:t>il est donc nécessaire que le tribunal prenne en</w:t>
      </w:r>
      <w:r w:rsidR="00453FD7">
        <w:rPr>
          <w:szCs w:val="24"/>
          <w:lang w:val="fr-CA"/>
        </w:rPr>
        <w:t xml:space="preserve"> compte ces préoccupations sous-</w:t>
      </w:r>
      <w:r>
        <w:rPr>
          <w:szCs w:val="24"/>
          <w:lang w:val="fr-CA"/>
        </w:rPr>
        <w:t>jacentes</w:t>
      </w:r>
      <w:r w:rsidRPr="00132F5E">
        <w:rPr>
          <w:szCs w:val="24"/>
          <w:lang w:val="fr-CA"/>
        </w:rPr>
        <w:t xml:space="preserve">. </w:t>
      </w:r>
    </w:p>
    <w:p w:rsidR="00D867A4" w:rsidRPr="00807644" w:rsidRDefault="00D867A4" w:rsidP="00453FD7">
      <w:pPr>
        <w:pStyle w:val="TitleTitre-AltT"/>
        <w:keepNext/>
        <w:tabs>
          <w:tab w:val="clear" w:pos="360"/>
          <w:tab w:val="left" w:pos="540"/>
        </w:tabs>
        <w:ind w:left="1170" w:hanging="1170"/>
        <w:rPr>
          <w:b/>
          <w:szCs w:val="24"/>
          <w:u w:val="single"/>
          <w:lang w:val="fr-CA"/>
        </w:rPr>
      </w:pPr>
      <w:r w:rsidRPr="00BB4565">
        <w:rPr>
          <w:szCs w:val="24"/>
          <w:lang w:val="fr-CA"/>
        </w:rPr>
        <w:tab/>
        <w:t>(iii</w:t>
      </w:r>
      <w:r>
        <w:rPr>
          <w:szCs w:val="24"/>
          <w:lang w:val="fr-CA"/>
        </w:rPr>
        <w:t>)</w:t>
      </w:r>
      <w:r w:rsidRPr="00BB4565">
        <w:rPr>
          <w:szCs w:val="24"/>
          <w:lang w:val="fr-CA"/>
        </w:rPr>
        <w:tab/>
      </w:r>
      <w:r>
        <w:rPr>
          <w:szCs w:val="24"/>
          <w:u w:val="single"/>
          <w:lang w:val="fr-CA"/>
        </w:rPr>
        <w:t xml:space="preserve">Il est nécessaire d’adopter une approche souple </w:t>
      </w:r>
      <w:r w:rsidRPr="00A023E0">
        <w:rPr>
          <w:szCs w:val="24"/>
          <w:u w:val="single"/>
          <w:lang w:val="fr-CA"/>
        </w:rPr>
        <w:t xml:space="preserve">pour </w:t>
      </w:r>
      <w:r>
        <w:rPr>
          <w:szCs w:val="24"/>
          <w:u w:val="single"/>
          <w:lang w:val="fr-CA"/>
        </w:rPr>
        <w:t>évaluer</w:t>
      </w:r>
      <w:r w:rsidRPr="00A023E0">
        <w:rPr>
          <w:szCs w:val="24"/>
          <w:u w:val="single"/>
          <w:lang w:val="fr-CA"/>
        </w:rPr>
        <w:t xml:space="preserve"> </w:t>
      </w:r>
      <w:r>
        <w:rPr>
          <w:szCs w:val="24"/>
          <w:u w:val="single"/>
          <w:lang w:val="fr-CA"/>
        </w:rPr>
        <w:t>le facteur relatif aux manières « raisonnables et efficaces </w:t>
      </w:r>
      <w:r w:rsidRPr="00453FD7">
        <w:rPr>
          <w:szCs w:val="24"/>
          <w:u w:val="single"/>
          <w:lang w:val="fr-CA"/>
        </w:rPr>
        <w:t xml:space="preserve">» </w:t>
      </w:r>
    </w:p>
    <w:p w:rsidR="00D867A4" w:rsidRPr="00132F5E" w:rsidRDefault="00D867A4" w:rsidP="00D867A4">
      <w:pPr>
        <w:pStyle w:val="ParaNoNdepar-AltN"/>
        <w:rPr>
          <w:szCs w:val="24"/>
          <w:lang w:val="fr-CA"/>
        </w:rPr>
      </w:pPr>
      <w:r>
        <w:rPr>
          <w:lang w:val="fr-CA"/>
        </w:rPr>
        <w:t xml:space="preserve">La jurisprudence de la Cour n’est pas très riche en enseignement sur la façon de juger du caractère « raisonnable et efficace » ou non d’une manière donnée de soumettre une question à la cour.  Toutefois, en abordant la question sous l’angle téléologique, les tribunaux doivent se demander si l’action envisagée constitue une utilisation efficiente des ressources judiciaires, si les questions sont justiciables dans un contexte accusatoire, et si le fait d’autoriser la poursuite de l’action envisagée favorise le respect du principe de la légalité.  Une approche souple et discrétionnaire est de mise pour juger de l’effet de ces considérations sur la décision ultime de reconnaître ou non la qualité pour agir.  Par ailleurs, une analyse dichotomique répondant par un oui ou par un non à la question à l’étude n’est pas envisageable : les questions visant à déterminer si une façon de procéder est raisonnable, si elle est efficace et si elle favorise le renforcement du principe de la légalité sont des questions de degré et elles doivent être analysées en fonction de solutions de rechange pratiques, compte tenu de toutes les circonstances. </w:t>
      </w:r>
    </w:p>
    <w:p w:rsidR="00D867A4" w:rsidRPr="00132F5E" w:rsidRDefault="00D867A4" w:rsidP="00D867A4">
      <w:pPr>
        <w:pStyle w:val="ParaNoNdepar-AltN"/>
        <w:rPr>
          <w:lang w:val="fr-CA"/>
        </w:rPr>
      </w:pPr>
      <w:r>
        <w:rPr>
          <w:lang w:val="fr-CA"/>
        </w:rPr>
        <w:t xml:space="preserve">Il pourrait être utile de donner des exemples de certaines questions interdépendantes que les tribunaux pourraient trouver utile de prendre en compte au </w:t>
      </w:r>
      <w:r>
        <w:rPr>
          <w:lang w:val="fr-CA"/>
        </w:rPr>
        <w:lastRenderedPageBreak/>
        <w:t xml:space="preserve">moment de se pencher sur le troisième </w:t>
      </w:r>
      <w:r w:rsidRPr="0005521C">
        <w:rPr>
          <w:lang w:val="fr-CA"/>
        </w:rPr>
        <w:t>facteur</w:t>
      </w:r>
      <w:r>
        <w:rPr>
          <w:lang w:val="fr-CA"/>
        </w:rPr>
        <w:t xml:space="preserve"> discrétionnaire.  La liste qui suit n’est naturellement pas exhaustive et ne comprend que quelques exemples. </w:t>
      </w:r>
    </w:p>
    <w:p w:rsidR="00D867A4" w:rsidRPr="00132F5E" w:rsidRDefault="00D867A4" w:rsidP="00453FD7">
      <w:pPr>
        <w:pStyle w:val="Citation-AltC"/>
        <w:numPr>
          <w:ilvl w:val="0"/>
          <w:numId w:val="26"/>
        </w:numPr>
        <w:tabs>
          <w:tab w:val="left" w:pos="1800"/>
        </w:tabs>
        <w:spacing w:after="360" w:line="480" w:lineRule="auto"/>
        <w:ind w:left="1530" w:hanging="1530"/>
        <w:contextualSpacing w:val="0"/>
        <w:rPr>
          <w:lang w:val="fr-CA"/>
        </w:rPr>
      </w:pPr>
      <w:r>
        <w:rPr>
          <w:lang w:val="fr-CA"/>
        </w:rPr>
        <w:t>Le tribunal devrait tenir compte de la capacité du demandeur d’engager une poursuite.  Ce faisant, il devrait examiner notamment ses ressources et son expertise ainsi que la question de savoir si l’objet du litige sera présenté dans un contexte factuel su</w:t>
      </w:r>
      <w:r w:rsidR="00B825CC">
        <w:rPr>
          <w:lang w:val="fr-CA"/>
        </w:rPr>
        <w:t xml:space="preserve">ffisamment concret et élaboré. </w:t>
      </w:r>
    </w:p>
    <w:p w:rsidR="00D867A4" w:rsidRPr="00132F5E" w:rsidRDefault="00D867A4" w:rsidP="00453FD7">
      <w:pPr>
        <w:pStyle w:val="Citation-AltC"/>
        <w:numPr>
          <w:ilvl w:val="0"/>
          <w:numId w:val="26"/>
        </w:numPr>
        <w:tabs>
          <w:tab w:val="left" w:pos="1800"/>
        </w:tabs>
        <w:spacing w:after="360" w:line="480" w:lineRule="auto"/>
        <w:ind w:left="1530" w:hanging="1530"/>
        <w:contextualSpacing w:val="0"/>
        <w:rPr>
          <w:lang w:val="fr-CA"/>
        </w:rPr>
      </w:pPr>
      <w:r>
        <w:rPr>
          <w:lang w:val="fr-CA"/>
        </w:rPr>
        <w:t>Le tribunal devrait déterminer si la cause est d’intérêt public en ce sens qu’elle transcende les intérêts des parties qui sont le plus directement touchées par les dispositions législatives ou par les mesures contestées.</w:t>
      </w:r>
      <w:r w:rsidRPr="00132F5E">
        <w:rPr>
          <w:szCs w:val="24"/>
          <w:lang w:val="fr-CA"/>
        </w:rPr>
        <w:t xml:space="preserve"> </w:t>
      </w:r>
      <w:r>
        <w:rPr>
          <w:szCs w:val="24"/>
          <w:lang w:val="fr-CA"/>
        </w:rPr>
        <w:t xml:space="preserve"> Les tribunaux devraient tenir compte du fait qu’une des idées associées aux poursuites d’intérêt public est que ces poursuites peuvent assurer un accès à la justice aux personnes défavorisées de la société dont les droits reconnus par la loi sont touchés.  Ceci ne devrait naturellement pas être assimilé à une permission de reconnaître la qualité pour agir à quiconque décide de s’afficher comme le représentant des personnes pauvres et marginalisées. </w:t>
      </w:r>
    </w:p>
    <w:p w:rsidR="00D867A4" w:rsidRPr="00132F5E" w:rsidRDefault="00D867A4" w:rsidP="00453FD7">
      <w:pPr>
        <w:pStyle w:val="Citation-AltC"/>
        <w:numPr>
          <w:ilvl w:val="0"/>
          <w:numId w:val="26"/>
        </w:numPr>
        <w:tabs>
          <w:tab w:val="left" w:pos="1800"/>
        </w:tabs>
        <w:spacing w:after="360" w:line="480" w:lineRule="auto"/>
        <w:ind w:left="1530" w:hanging="1530"/>
        <w:contextualSpacing w:val="0"/>
        <w:rPr>
          <w:lang w:val="fr-CA"/>
        </w:rPr>
      </w:pPr>
      <w:r w:rsidRPr="0014104B">
        <w:rPr>
          <w:lang w:val="fr-CA"/>
        </w:rPr>
        <w:t>Le tribunal devrait se pencher sur la question de savoir s</w:t>
      </w:r>
      <w:r>
        <w:rPr>
          <w:lang w:val="fr-CA"/>
        </w:rPr>
        <w:t>’</w:t>
      </w:r>
      <w:r w:rsidRPr="0014104B">
        <w:rPr>
          <w:lang w:val="fr-CA"/>
        </w:rPr>
        <w:t xml:space="preserve">il y </w:t>
      </w:r>
      <w:r>
        <w:rPr>
          <w:lang w:val="fr-CA"/>
        </w:rPr>
        <w:t>a d’autres manières</w:t>
      </w:r>
      <w:r w:rsidRPr="0014104B">
        <w:rPr>
          <w:lang w:val="fr-CA"/>
        </w:rPr>
        <w:t xml:space="preserve"> réalistes </w:t>
      </w:r>
      <w:r>
        <w:rPr>
          <w:lang w:val="fr-CA"/>
        </w:rPr>
        <w:t xml:space="preserve">de trancher la question </w:t>
      </w:r>
      <w:r w:rsidRPr="0014104B">
        <w:rPr>
          <w:lang w:val="fr-CA"/>
        </w:rPr>
        <w:t xml:space="preserve">qui favoriseraient </w:t>
      </w:r>
      <w:r w:rsidRPr="0014104B">
        <w:rPr>
          <w:lang w:val="fr-CA"/>
        </w:rPr>
        <w:lastRenderedPageBreak/>
        <w:t xml:space="preserve">une utilisation plus </w:t>
      </w:r>
      <w:r>
        <w:rPr>
          <w:lang w:val="fr-CA"/>
        </w:rPr>
        <w:t xml:space="preserve">efficace et efficiente </w:t>
      </w:r>
      <w:r w:rsidRPr="0014104B">
        <w:rPr>
          <w:lang w:val="fr-CA"/>
        </w:rPr>
        <w:t xml:space="preserve">des ressources judiciaires et qui offriraient un </w:t>
      </w:r>
      <w:r>
        <w:rPr>
          <w:lang w:val="fr-CA"/>
        </w:rPr>
        <w:t xml:space="preserve">contexte </w:t>
      </w:r>
      <w:r w:rsidRPr="0014104B">
        <w:rPr>
          <w:lang w:val="fr-CA"/>
        </w:rPr>
        <w:t>plus favorable à ce qu</w:t>
      </w:r>
      <w:r>
        <w:rPr>
          <w:lang w:val="fr-CA"/>
        </w:rPr>
        <w:t>’</w:t>
      </w:r>
      <w:r w:rsidRPr="0014104B">
        <w:rPr>
          <w:lang w:val="fr-CA"/>
        </w:rPr>
        <w:t xml:space="preserve">une décision soit rendue dans le cadre du système contradictoire. </w:t>
      </w:r>
      <w:r>
        <w:rPr>
          <w:lang w:val="fr-CA"/>
        </w:rPr>
        <w:t xml:space="preserve"> </w:t>
      </w:r>
      <w:r w:rsidRPr="0014104B">
        <w:rPr>
          <w:lang w:val="fr-CA"/>
        </w:rPr>
        <w:t>Les tribunaux devraient adopter une approche pratique et pragmatique</w:t>
      </w:r>
      <w:r>
        <w:rPr>
          <w:szCs w:val="24"/>
          <w:lang w:val="fr-CA"/>
        </w:rPr>
        <w:t xml:space="preserve">.  </w:t>
      </w:r>
      <w:r w:rsidRPr="0014104B">
        <w:rPr>
          <w:szCs w:val="24"/>
          <w:lang w:val="fr-CA"/>
        </w:rPr>
        <w:t>L</w:t>
      </w:r>
      <w:r>
        <w:rPr>
          <w:szCs w:val="24"/>
          <w:lang w:val="fr-CA"/>
        </w:rPr>
        <w:t>’</w:t>
      </w:r>
      <w:r w:rsidRPr="0014104B">
        <w:rPr>
          <w:szCs w:val="24"/>
          <w:lang w:val="fr-CA"/>
        </w:rPr>
        <w:t>existence d</w:t>
      </w:r>
      <w:r>
        <w:rPr>
          <w:szCs w:val="24"/>
          <w:lang w:val="fr-CA"/>
        </w:rPr>
        <w:t>’</w:t>
      </w:r>
      <w:r w:rsidRPr="0014104B">
        <w:rPr>
          <w:szCs w:val="24"/>
          <w:lang w:val="fr-CA"/>
        </w:rPr>
        <w:t>autres demandeurs po</w:t>
      </w:r>
      <w:r>
        <w:rPr>
          <w:szCs w:val="24"/>
          <w:lang w:val="fr-CA"/>
        </w:rPr>
        <w:t>tentiels, notamment ceux qui possèdent de plein droit la qualité pour agir,</w:t>
      </w:r>
      <w:r w:rsidRPr="0014104B">
        <w:rPr>
          <w:szCs w:val="24"/>
          <w:lang w:val="fr-CA"/>
        </w:rPr>
        <w:t xml:space="preserve"> est pertinente, mais les chances en pratique qu</w:t>
      </w:r>
      <w:r>
        <w:rPr>
          <w:szCs w:val="24"/>
          <w:lang w:val="fr-CA"/>
        </w:rPr>
        <w:t>’</w:t>
      </w:r>
      <w:r w:rsidRPr="0014104B">
        <w:rPr>
          <w:szCs w:val="24"/>
          <w:lang w:val="fr-CA"/>
        </w:rPr>
        <w:t xml:space="preserve">ils soumettent la question aux tribunaux ou </w:t>
      </w:r>
      <w:r>
        <w:rPr>
          <w:szCs w:val="24"/>
          <w:lang w:val="fr-CA"/>
        </w:rPr>
        <w:t>que des</w:t>
      </w:r>
      <w:r w:rsidRPr="0014104B">
        <w:rPr>
          <w:szCs w:val="24"/>
          <w:lang w:val="fr-CA"/>
        </w:rPr>
        <w:t xml:space="preserve"> </w:t>
      </w:r>
      <w:r>
        <w:rPr>
          <w:szCs w:val="24"/>
          <w:lang w:val="fr-CA"/>
        </w:rPr>
        <w:t>manières</w:t>
      </w:r>
      <w:r w:rsidRPr="0014104B">
        <w:rPr>
          <w:szCs w:val="24"/>
          <w:lang w:val="fr-CA"/>
        </w:rPr>
        <w:t xml:space="preserve"> </w:t>
      </w:r>
      <w:r>
        <w:rPr>
          <w:szCs w:val="24"/>
          <w:lang w:val="fr-CA"/>
        </w:rPr>
        <w:t xml:space="preserve">aussi ou plus </w:t>
      </w:r>
      <w:r w:rsidRPr="0014104B">
        <w:rPr>
          <w:szCs w:val="24"/>
          <w:lang w:val="fr-CA"/>
        </w:rPr>
        <w:t xml:space="preserve">raisonnables </w:t>
      </w:r>
      <w:r>
        <w:rPr>
          <w:szCs w:val="24"/>
          <w:lang w:val="fr-CA"/>
        </w:rPr>
        <w:t>et</w:t>
      </w:r>
      <w:r w:rsidRPr="0014104B">
        <w:rPr>
          <w:szCs w:val="24"/>
          <w:lang w:val="fr-CA"/>
        </w:rPr>
        <w:t xml:space="preserve"> efficaces soient utilisé</w:t>
      </w:r>
      <w:r>
        <w:rPr>
          <w:szCs w:val="24"/>
          <w:lang w:val="fr-CA"/>
        </w:rPr>
        <w:t>e</w:t>
      </w:r>
      <w:r w:rsidRPr="0014104B">
        <w:rPr>
          <w:szCs w:val="24"/>
          <w:lang w:val="fr-CA"/>
        </w:rPr>
        <w:t>s pour le faire devraient être</w:t>
      </w:r>
      <w:r>
        <w:rPr>
          <w:szCs w:val="24"/>
          <w:lang w:val="fr-CA"/>
        </w:rPr>
        <w:t xml:space="preserve"> prises en compte</w:t>
      </w:r>
      <w:r w:rsidRPr="0014104B">
        <w:rPr>
          <w:szCs w:val="24"/>
          <w:lang w:val="fr-CA"/>
        </w:rPr>
        <w:t xml:space="preserve"> en fonction de</w:t>
      </w:r>
      <w:r>
        <w:rPr>
          <w:szCs w:val="24"/>
          <w:lang w:val="fr-CA"/>
        </w:rPr>
        <w:t>s</w:t>
      </w:r>
      <w:r w:rsidRPr="0014104B">
        <w:rPr>
          <w:szCs w:val="24"/>
          <w:lang w:val="fr-CA"/>
        </w:rPr>
        <w:t xml:space="preserve"> réalités pratiques et non de</w:t>
      </w:r>
      <w:r>
        <w:rPr>
          <w:szCs w:val="24"/>
          <w:lang w:val="fr-CA"/>
        </w:rPr>
        <w:t>s</w:t>
      </w:r>
      <w:r w:rsidRPr="0014104B">
        <w:rPr>
          <w:szCs w:val="24"/>
          <w:lang w:val="fr-CA"/>
        </w:rPr>
        <w:t xml:space="preserve"> possibilités théoriques</w:t>
      </w:r>
      <w:r>
        <w:rPr>
          <w:szCs w:val="24"/>
          <w:lang w:val="fr-CA"/>
        </w:rPr>
        <w:t xml:space="preserve">.  </w:t>
      </w:r>
      <w:r w:rsidRPr="0014104B">
        <w:rPr>
          <w:szCs w:val="24"/>
          <w:lang w:val="fr-CA"/>
        </w:rPr>
        <w:t>Lorsqu</w:t>
      </w:r>
      <w:r>
        <w:rPr>
          <w:szCs w:val="24"/>
          <w:lang w:val="fr-CA"/>
        </w:rPr>
        <w:t>’</w:t>
      </w:r>
      <w:r w:rsidRPr="0014104B">
        <w:rPr>
          <w:szCs w:val="24"/>
          <w:lang w:val="fr-CA"/>
        </w:rPr>
        <w:t xml:space="preserve">il y </w:t>
      </w:r>
      <w:r>
        <w:rPr>
          <w:szCs w:val="24"/>
          <w:lang w:val="fr-CA"/>
        </w:rPr>
        <w:t xml:space="preserve">a </w:t>
      </w:r>
      <w:r w:rsidRPr="0014104B">
        <w:rPr>
          <w:szCs w:val="24"/>
          <w:lang w:val="fr-CA"/>
        </w:rPr>
        <w:t>d</w:t>
      </w:r>
      <w:r>
        <w:rPr>
          <w:szCs w:val="24"/>
          <w:lang w:val="fr-CA"/>
        </w:rPr>
        <w:t>’</w:t>
      </w:r>
      <w:r w:rsidRPr="0014104B">
        <w:rPr>
          <w:szCs w:val="24"/>
          <w:lang w:val="fr-CA"/>
        </w:rPr>
        <w:t>autres demandeurs, en ce sens que d</w:t>
      </w:r>
      <w:r>
        <w:rPr>
          <w:szCs w:val="24"/>
          <w:lang w:val="fr-CA"/>
        </w:rPr>
        <w:t>’</w:t>
      </w:r>
      <w:r w:rsidRPr="0014104B">
        <w:rPr>
          <w:szCs w:val="24"/>
          <w:lang w:val="fr-CA"/>
        </w:rPr>
        <w:t xml:space="preserve">autres </w:t>
      </w:r>
      <w:r>
        <w:rPr>
          <w:szCs w:val="24"/>
          <w:lang w:val="fr-CA"/>
        </w:rPr>
        <w:t>action</w:t>
      </w:r>
      <w:r w:rsidRPr="0014104B">
        <w:rPr>
          <w:szCs w:val="24"/>
          <w:lang w:val="fr-CA"/>
        </w:rPr>
        <w:t>s ont été engagé</w:t>
      </w:r>
      <w:r>
        <w:rPr>
          <w:szCs w:val="24"/>
          <w:lang w:val="fr-CA"/>
        </w:rPr>
        <w:t>e</w:t>
      </w:r>
      <w:r w:rsidRPr="0014104B">
        <w:rPr>
          <w:szCs w:val="24"/>
          <w:lang w:val="fr-CA"/>
        </w:rPr>
        <w:t xml:space="preserve">s </w:t>
      </w:r>
      <w:r>
        <w:rPr>
          <w:szCs w:val="24"/>
          <w:lang w:val="fr-CA"/>
        </w:rPr>
        <w:t>relativement à</w:t>
      </w:r>
      <w:r w:rsidRPr="0014104B">
        <w:rPr>
          <w:szCs w:val="24"/>
          <w:lang w:val="fr-CA"/>
        </w:rPr>
        <w:t xml:space="preserve"> la question, le tribunal devrait évaluer d</w:t>
      </w:r>
      <w:r>
        <w:rPr>
          <w:szCs w:val="24"/>
          <w:lang w:val="fr-CA"/>
        </w:rPr>
        <w:t>’</w:t>
      </w:r>
      <w:r w:rsidRPr="0014104B">
        <w:rPr>
          <w:szCs w:val="24"/>
          <w:lang w:val="fr-CA"/>
        </w:rPr>
        <w:t>un point de vue pratique les avantages, le cas échéant</w:t>
      </w:r>
      <w:r>
        <w:rPr>
          <w:szCs w:val="24"/>
          <w:lang w:val="fr-CA"/>
        </w:rPr>
        <w:t xml:space="preserve">, </w:t>
      </w:r>
      <w:r w:rsidRPr="0014104B">
        <w:rPr>
          <w:szCs w:val="24"/>
          <w:lang w:val="fr-CA"/>
        </w:rPr>
        <w:t>d</w:t>
      </w:r>
      <w:r>
        <w:rPr>
          <w:szCs w:val="24"/>
          <w:lang w:val="fr-CA"/>
        </w:rPr>
        <w:t>’</w:t>
      </w:r>
      <w:r w:rsidRPr="0014104B">
        <w:rPr>
          <w:szCs w:val="24"/>
          <w:lang w:val="fr-CA"/>
        </w:rPr>
        <w:t xml:space="preserve">avoir des recours parallèles et se demander si ces autres </w:t>
      </w:r>
      <w:r>
        <w:rPr>
          <w:szCs w:val="24"/>
          <w:lang w:val="fr-CA"/>
        </w:rPr>
        <w:t>actions</w:t>
      </w:r>
      <w:r w:rsidRPr="0014104B">
        <w:rPr>
          <w:szCs w:val="24"/>
          <w:lang w:val="fr-CA"/>
        </w:rPr>
        <w:t xml:space="preserve"> vont résoudre les questions d</w:t>
      </w:r>
      <w:r>
        <w:rPr>
          <w:szCs w:val="24"/>
          <w:lang w:val="fr-CA"/>
        </w:rPr>
        <w:t>e</w:t>
      </w:r>
      <w:r w:rsidRPr="0014104B">
        <w:rPr>
          <w:szCs w:val="24"/>
          <w:lang w:val="fr-CA"/>
        </w:rPr>
        <w:t xml:space="preserve"> manière </w:t>
      </w:r>
      <w:r>
        <w:rPr>
          <w:szCs w:val="24"/>
          <w:lang w:val="fr-CA"/>
        </w:rPr>
        <w:t>aussi</w:t>
      </w:r>
      <w:r w:rsidRPr="0014104B">
        <w:rPr>
          <w:szCs w:val="24"/>
          <w:lang w:val="fr-CA"/>
        </w:rPr>
        <w:t xml:space="preserve"> </w:t>
      </w:r>
      <w:r>
        <w:rPr>
          <w:szCs w:val="24"/>
          <w:lang w:val="fr-CA"/>
        </w:rPr>
        <w:t xml:space="preserve">ou plus </w:t>
      </w:r>
      <w:r w:rsidRPr="0014104B">
        <w:rPr>
          <w:szCs w:val="24"/>
          <w:lang w:val="fr-CA"/>
        </w:rPr>
        <w:t>raisonnable et efficace</w:t>
      </w:r>
      <w:r>
        <w:rPr>
          <w:szCs w:val="24"/>
          <w:lang w:val="fr-CA"/>
        </w:rPr>
        <w:t xml:space="preserve">.  </w:t>
      </w:r>
      <w:r w:rsidRPr="0014104B">
        <w:rPr>
          <w:szCs w:val="24"/>
          <w:lang w:val="fr-CA"/>
        </w:rPr>
        <w:t xml:space="preserve">En procédant ainsi, le tribunal ne devrait pas uniquement prendre en compte les </w:t>
      </w:r>
      <w:r>
        <w:rPr>
          <w:szCs w:val="24"/>
          <w:lang w:val="fr-CA"/>
        </w:rPr>
        <w:t xml:space="preserve">questions </w:t>
      </w:r>
      <w:r w:rsidRPr="0014104B">
        <w:rPr>
          <w:szCs w:val="24"/>
          <w:lang w:val="fr-CA"/>
        </w:rPr>
        <w:t xml:space="preserve">juridiques précises ou les points soulevés, mais plutôt </w:t>
      </w:r>
      <w:r w:rsidRPr="006A1C79">
        <w:rPr>
          <w:szCs w:val="24"/>
          <w:lang w:val="fr-CA"/>
        </w:rPr>
        <w:t>chercher à</w:t>
      </w:r>
      <w:r>
        <w:rPr>
          <w:szCs w:val="24"/>
          <w:lang w:val="fr-CA"/>
        </w:rPr>
        <w:t xml:space="preserve"> savoir </w:t>
      </w:r>
      <w:r w:rsidRPr="0014104B">
        <w:rPr>
          <w:szCs w:val="24"/>
          <w:lang w:val="fr-CA"/>
        </w:rPr>
        <w:t xml:space="preserve">si le demandeur apporte une perspective particulièrement utile ou </w:t>
      </w:r>
      <w:r>
        <w:rPr>
          <w:szCs w:val="24"/>
          <w:lang w:val="fr-CA"/>
        </w:rPr>
        <w:t>distincte</w:t>
      </w:r>
      <w:r w:rsidRPr="0014104B">
        <w:rPr>
          <w:szCs w:val="24"/>
          <w:lang w:val="fr-CA"/>
        </w:rPr>
        <w:t xml:space="preserve"> en vue de régler ces points</w:t>
      </w:r>
      <w:r w:rsidRPr="0014104B">
        <w:rPr>
          <w:lang w:val="fr-CA"/>
        </w:rPr>
        <w:t xml:space="preserve">. </w:t>
      </w:r>
      <w:r>
        <w:rPr>
          <w:lang w:val="fr-CA"/>
        </w:rPr>
        <w:t xml:space="preserve"> À la lecture de </w:t>
      </w:r>
      <w:r w:rsidRPr="0014104B">
        <w:rPr>
          <w:lang w:val="fr-CA"/>
        </w:rPr>
        <w:t>l</w:t>
      </w:r>
      <w:r>
        <w:rPr>
          <w:lang w:val="fr-CA"/>
        </w:rPr>
        <w:t>’</w:t>
      </w:r>
      <w:r w:rsidRPr="0014104B">
        <w:rPr>
          <w:lang w:val="fr-CA"/>
        </w:rPr>
        <w:t xml:space="preserve">arrêt </w:t>
      </w:r>
      <w:r w:rsidRPr="0014104B">
        <w:rPr>
          <w:i/>
          <w:lang w:val="fr-CA"/>
        </w:rPr>
        <w:t>McNeil</w:t>
      </w:r>
      <w:r>
        <w:rPr>
          <w:lang w:val="fr-CA"/>
        </w:rPr>
        <w:t xml:space="preserve"> p</w:t>
      </w:r>
      <w:r w:rsidRPr="0014104B">
        <w:rPr>
          <w:lang w:val="fr-CA"/>
        </w:rPr>
        <w:t xml:space="preserve">ar exemple, </w:t>
      </w:r>
      <w:r>
        <w:rPr>
          <w:lang w:val="fr-CA"/>
        </w:rPr>
        <w:t xml:space="preserve">on voit que </w:t>
      </w:r>
      <w:r w:rsidRPr="0014104B">
        <w:rPr>
          <w:lang w:val="fr-CA"/>
        </w:rPr>
        <w:t>même lorsque des personnes peuvent avoir un intérêt plus direct dans la question, le demandeur p</w:t>
      </w:r>
      <w:r>
        <w:rPr>
          <w:lang w:val="fr-CA"/>
        </w:rPr>
        <w:t>eut</w:t>
      </w:r>
      <w:r w:rsidRPr="0014104B">
        <w:rPr>
          <w:lang w:val="fr-CA"/>
        </w:rPr>
        <w:t xml:space="preserve"> avoir un intérêt distinct et important qui diffère de </w:t>
      </w:r>
      <w:r w:rsidRPr="0014104B">
        <w:rPr>
          <w:lang w:val="fr-CA"/>
        </w:rPr>
        <w:lastRenderedPageBreak/>
        <w:t>celui des autres</w:t>
      </w:r>
      <w:r>
        <w:rPr>
          <w:lang w:val="fr-CA"/>
        </w:rPr>
        <w:t>,</w:t>
      </w:r>
      <w:r w:rsidRPr="0014104B">
        <w:rPr>
          <w:lang w:val="fr-CA"/>
        </w:rPr>
        <w:t xml:space="preserve"> ce qui p</w:t>
      </w:r>
      <w:r>
        <w:rPr>
          <w:lang w:val="fr-CA"/>
        </w:rPr>
        <w:t>eut</w:t>
      </w:r>
      <w:r w:rsidRPr="0014104B">
        <w:rPr>
          <w:lang w:val="fr-CA"/>
        </w:rPr>
        <w:t xml:space="preserve"> justifier </w:t>
      </w:r>
      <w:r>
        <w:rPr>
          <w:lang w:val="fr-CA"/>
        </w:rPr>
        <w:t xml:space="preserve">que le tribunal exerce son pouvoir discrétionnaire pour </w:t>
      </w:r>
      <w:r w:rsidRPr="0014104B">
        <w:rPr>
          <w:lang w:val="fr-CA"/>
        </w:rPr>
        <w:t>lui reco</w:t>
      </w:r>
      <w:r>
        <w:rPr>
          <w:lang w:val="fr-CA"/>
        </w:rPr>
        <w:t>nnaître la qualité pour</w:t>
      </w:r>
      <w:r w:rsidR="00D0078F">
        <w:rPr>
          <w:lang w:val="fr-CA"/>
        </w:rPr>
        <w:t xml:space="preserve"> agir</w:t>
      </w:r>
      <w:r>
        <w:rPr>
          <w:lang w:val="fr-CA"/>
        </w:rPr>
        <w:t>.</w:t>
      </w:r>
    </w:p>
    <w:p w:rsidR="00D867A4" w:rsidRPr="00132F5E" w:rsidRDefault="00D867A4" w:rsidP="00453FD7">
      <w:pPr>
        <w:pStyle w:val="Citation-AltC"/>
        <w:numPr>
          <w:ilvl w:val="0"/>
          <w:numId w:val="26"/>
        </w:numPr>
        <w:tabs>
          <w:tab w:val="left" w:pos="1800"/>
        </w:tabs>
        <w:spacing w:after="360" w:line="480" w:lineRule="auto"/>
        <w:ind w:left="1530" w:hanging="1530"/>
        <w:contextualSpacing w:val="0"/>
        <w:rPr>
          <w:lang w:val="fr-CA"/>
        </w:rPr>
      </w:pPr>
      <w:r w:rsidRPr="006A1C79">
        <w:rPr>
          <w:szCs w:val="24"/>
          <w:lang w:val="fr-CA"/>
        </w:rPr>
        <w:t>L</w:t>
      </w:r>
      <w:r>
        <w:rPr>
          <w:szCs w:val="24"/>
          <w:lang w:val="fr-CA"/>
        </w:rPr>
        <w:t>’</w:t>
      </w:r>
      <w:r w:rsidRPr="006A1C79">
        <w:rPr>
          <w:szCs w:val="24"/>
          <w:lang w:val="fr-CA"/>
        </w:rPr>
        <w:t>incidence éventuelle</w:t>
      </w:r>
      <w:r>
        <w:rPr>
          <w:szCs w:val="24"/>
          <w:lang w:val="fr-CA"/>
        </w:rPr>
        <w:t xml:space="preserve"> des procédures sur les droits d’autres personnes dont les intérêts sont aussi, sinon plus touchés devrait être prise en compte.  En effet, les tribunaux devraient porter une attention particulière aux situations où les intérêts privés et publics seraient susceptibles d’entrer en conflit.  Comme il est indiqué dans l’arrêt </w:t>
      </w:r>
      <w:proofErr w:type="spellStart"/>
      <w:r>
        <w:rPr>
          <w:i/>
          <w:szCs w:val="24"/>
          <w:lang w:val="fr-CA"/>
        </w:rPr>
        <w:t>Danson</w:t>
      </w:r>
      <w:proofErr w:type="spellEnd"/>
      <w:r>
        <w:rPr>
          <w:i/>
          <w:szCs w:val="24"/>
          <w:lang w:val="fr-CA"/>
        </w:rPr>
        <w:t xml:space="preserve"> c.</w:t>
      </w:r>
      <w:r w:rsidRPr="00132F5E">
        <w:rPr>
          <w:i/>
          <w:szCs w:val="24"/>
          <w:lang w:val="fr-CA"/>
        </w:rPr>
        <w:t xml:space="preserve"> Ontario</w:t>
      </w:r>
      <w:r>
        <w:rPr>
          <w:i/>
          <w:szCs w:val="24"/>
          <w:lang w:val="fr-CA"/>
        </w:rPr>
        <w:t xml:space="preserve"> (Procureur général)</w:t>
      </w:r>
      <w:r w:rsidRPr="00132F5E">
        <w:rPr>
          <w:szCs w:val="24"/>
          <w:lang w:val="fr-CA"/>
        </w:rPr>
        <w:t xml:space="preserve">, [1990] 2 </w:t>
      </w:r>
      <w:r>
        <w:rPr>
          <w:szCs w:val="24"/>
          <w:lang w:val="fr-CA"/>
        </w:rPr>
        <w:t>R.C.S.</w:t>
      </w:r>
      <w:r w:rsidRPr="00132F5E">
        <w:rPr>
          <w:szCs w:val="24"/>
          <w:lang w:val="fr-CA"/>
        </w:rPr>
        <w:t xml:space="preserve"> 1086, </w:t>
      </w:r>
      <w:r>
        <w:rPr>
          <w:szCs w:val="24"/>
          <w:lang w:val="fr-CA"/>
        </w:rPr>
        <w:t>p. </w:t>
      </w:r>
      <w:r w:rsidRPr="00132F5E">
        <w:rPr>
          <w:szCs w:val="24"/>
          <w:lang w:val="fr-CA"/>
        </w:rPr>
        <w:t xml:space="preserve">1093, </w:t>
      </w:r>
      <w:r>
        <w:rPr>
          <w:szCs w:val="24"/>
          <w:lang w:val="fr-CA"/>
        </w:rPr>
        <w:t>le tribunal devrait se demander, par exemple, si « </w:t>
      </w:r>
      <w:r w:rsidRPr="00336CE8">
        <w:rPr>
          <w:szCs w:val="24"/>
          <w:lang w:val="fr-CA"/>
        </w:rPr>
        <w:t>l</w:t>
      </w:r>
      <w:r>
        <w:rPr>
          <w:szCs w:val="24"/>
          <w:lang w:val="fr-CA"/>
        </w:rPr>
        <w:t>’</w:t>
      </w:r>
      <w:r w:rsidRPr="00336CE8">
        <w:rPr>
          <w:szCs w:val="24"/>
          <w:lang w:val="fr-CA"/>
        </w:rPr>
        <w:t>échec d</w:t>
      </w:r>
      <w:r>
        <w:rPr>
          <w:szCs w:val="24"/>
          <w:lang w:val="fr-CA"/>
        </w:rPr>
        <w:t>’</w:t>
      </w:r>
      <w:r w:rsidRPr="00336CE8">
        <w:rPr>
          <w:szCs w:val="24"/>
          <w:lang w:val="fr-CA"/>
        </w:rPr>
        <w:t>une contestation trop diffuse pourrait faire obstacle à des contestations ultérieures des règles en question, par certaines parties qui auraient des plaintes précises fondées sur des faits</w:t>
      </w:r>
      <w:r>
        <w:rPr>
          <w:szCs w:val="24"/>
          <w:lang w:val="fr-CA"/>
        </w:rPr>
        <w:t xml:space="preserve"> ».  L’inverse est également vrai.  Ainsi, que les personnes ayant des intérêts plus directs et personnels dans la cause se soient abstenues </w:t>
      </w:r>
      <w:r w:rsidRPr="006A1C79">
        <w:rPr>
          <w:szCs w:val="24"/>
          <w:lang w:val="fr-CA"/>
        </w:rPr>
        <w:t>volontairement d</w:t>
      </w:r>
      <w:r>
        <w:rPr>
          <w:szCs w:val="24"/>
          <w:lang w:val="fr-CA"/>
        </w:rPr>
        <w:t>’</w:t>
      </w:r>
      <w:r w:rsidRPr="006A1C79">
        <w:rPr>
          <w:szCs w:val="24"/>
          <w:lang w:val="fr-CA"/>
        </w:rPr>
        <w:t>engager</w:t>
      </w:r>
      <w:r>
        <w:rPr>
          <w:szCs w:val="24"/>
          <w:lang w:val="fr-CA"/>
        </w:rPr>
        <w:t xml:space="preserve"> une poursuite pourrait militer pour le refus par la cour d’exercer son pouvoir discrétionnaire de reconnaître la qualité pour agir. </w:t>
      </w:r>
    </w:p>
    <w:p w:rsidR="00D867A4" w:rsidRPr="00132F5E" w:rsidRDefault="00D867A4" w:rsidP="00820B49">
      <w:pPr>
        <w:pStyle w:val="TitleTitre-AltT"/>
        <w:keepNext/>
        <w:tabs>
          <w:tab w:val="clear" w:pos="360"/>
          <w:tab w:val="left" w:pos="540"/>
        </w:tabs>
        <w:ind w:left="1170" w:hanging="1170"/>
        <w:rPr>
          <w:lang w:val="fr-CA"/>
        </w:rPr>
      </w:pPr>
      <w:r w:rsidRPr="007037C2">
        <w:rPr>
          <w:lang w:val="fr-CA"/>
        </w:rPr>
        <w:tab/>
        <w:t>(iv)</w:t>
      </w:r>
      <w:r w:rsidRPr="007037C2">
        <w:rPr>
          <w:lang w:val="fr-CA"/>
        </w:rPr>
        <w:tab/>
      </w:r>
      <w:r w:rsidRPr="00132F5E">
        <w:rPr>
          <w:u w:val="single"/>
          <w:lang w:val="fr-CA"/>
        </w:rPr>
        <w:t>Conclusion</w:t>
      </w:r>
      <w:r w:rsidR="00B825CC" w:rsidRPr="00B825CC">
        <w:rPr>
          <w:lang w:val="fr-CA"/>
        </w:rPr>
        <w:t xml:space="preserve"> </w:t>
      </w:r>
    </w:p>
    <w:p w:rsidR="00D867A4" w:rsidRPr="00132F5E" w:rsidRDefault="00D867A4" w:rsidP="00D867A4">
      <w:pPr>
        <w:pStyle w:val="ParaNoNdepar-AltN"/>
        <w:rPr>
          <w:lang w:val="fr-CA"/>
        </w:rPr>
      </w:pPr>
      <w:r w:rsidRPr="006A1C79">
        <w:rPr>
          <w:lang w:val="fr-CA"/>
        </w:rPr>
        <w:t>Je conclus que le troisième facteur de l</w:t>
      </w:r>
      <w:r>
        <w:rPr>
          <w:lang w:val="fr-CA"/>
        </w:rPr>
        <w:t>’</w:t>
      </w:r>
      <w:r w:rsidRPr="006A1C79">
        <w:rPr>
          <w:lang w:val="fr-CA"/>
        </w:rPr>
        <w:t>analyse de la qualité pour agir dans l</w:t>
      </w:r>
      <w:r>
        <w:rPr>
          <w:lang w:val="fr-CA"/>
        </w:rPr>
        <w:t>’</w:t>
      </w:r>
      <w:r w:rsidRPr="006A1C79">
        <w:rPr>
          <w:lang w:val="fr-CA"/>
        </w:rPr>
        <w:t xml:space="preserve">intérêt public devrait </w:t>
      </w:r>
      <w:r>
        <w:rPr>
          <w:lang w:val="fr-CA"/>
        </w:rPr>
        <w:t xml:space="preserve">être </w:t>
      </w:r>
      <w:r w:rsidRPr="006A1C79">
        <w:rPr>
          <w:lang w:val="fr-CA"/>
        </w:rPr>
        <w:t xml:space="preserve">formulé comme </w:t>
      </w:r>
      <w:r>
        <w:rPr>
          <w:lang w:val="fr-CA"/>
        </w:rPr>
        <w:t>ceci :</w:t>
      </w:r>
      <w:r w:rsidRPr="006A1C79">
        <w:rPr>
          <w:lang w:val="fr-CA"/>
        </w:rPr>
        <w:t xml:space="preserve"> la poursuite </w:t>
      </w:r>
      <w:r>
        <w:rPr>
          <w:lang w:val="fr-CA"/>
        </w:rPr>
        <w:t>proposée</w:t>
      </w:r>
      <w:r w:rsidRPr="006A1C79">
        <w:rPr>
          <w:lang w:val="fr-CA"/>
        </w:rPr>
        <w:t xml:space="preserve"> </w:t>
      </w:r>
      <w:proofErr w:type="spellStart"/>
      <w:r w:rsidRPr="006A1C79">
        <w:rPr>
          <w:lang w:val="fr-CA"/>
        </w:rPr>
        <w:lastRenderedPageBreak/>
        <w:t>constitue</w:t>
      </w:r>
      <w:r>
        <w:rPr>
          <w:lang w:val="fr-CA"/>
        </w:rPr>
        <w:noBreakHyphen/>
      </w:r>
      <w:r w:rsidRPr="006A1C79">
        <w:rPr>
          <w:lang w:val="fr-CA"/>
        </w:rPr>
        <w:t>t</w:t>
      </w:r>
      <w:r>
        <w:rPr>
          <w:lang w:val="fr-CA"/>
        </w:rPr>
        <w:noBreakHyphen/>
      </w:r>
      <w:r w:rsidRPr="006A1C79">
        <w:rPr>
          <w:lang w:val="fr-CA"/>
        </w:rPr>
        <w:t>elle</w:t>
      </w:r>
      <w:proofErr w:type="spellEnd"/>
      <w:r w:rsidRPr="006A1C79">
        <w:rPr>
          <w:lang w:val="fr-CA"/>
        </w:rPr>
        <w:t xml:space="preserve">, compte tenu de toutes les circonstances, </w:t>
      </w:r>
      <w:r>
        <w:rPr>
          <w:lang w:val="fr-CA"/>
        </w:rPr>
        <w:t>une manière</w:t>
      </w:r>
      <w:r w:rsidRPr="006A1C79">
        <w:rPr>
          <w:lang w:val="fr-CA"/>
        </w:rPr>
        <w:t xml:space="preserve"> raisonnable et efficace de soumettre la question à la cour.  Ce facteur, comme les deux autres, doit être apprécié d</w:t>
      </w:r>
      <w:r>
        <w:rPr>
          <w:lang w:val="fr-CA"/>
        </w:rPr>
        <w:t>’</w:t>
      </w:r>
      <w:r w:rsidRPr="006A1C79">
        <w:rPr>
          <w:lang w:val="fr-CA"/>
        </w:rPr>
        <w:t>une manière souple et téléologique en plus</w:t>
      </w:r>
      <w:r>
        <w:rPr>
          <w:lang w:val="fr-CA"/>
        </w:rPr>
        <w:t xml:space="preserve"> d’être soupesé à la lumière des autres </w:t>
      </w:r>
      <w:r w:rsidRPr="0005521C">
        <w:rPr>
          <w:lang w:val="fr-CA"/>
        </w:rPr>
        <w:t>facteurs.</w:t>
      </w:r>
      <w:r>
        <w:rPr>
          <w:lang w:val="fr-CA"/>
        </w:rPr>
        <w:t xml:space="preserve"> </w:t>
      </w:r>
    </w:p>
    <w:p w:rsidR="00D867A4" w:rsidRPr="00132F5E" w:rsidRDefault="00D867A4" w:rsidP="00820B49">
      <w:pPr>
        <w:pStyle w:val="TitleTitre-AltT"/>
        <w:keepNext/>
        <w:tabs>
          <w:tab w:val="clear" w:pos="360"/>
          <w:tab w:val="left" w:pos="540"/>
        </w:tabs>
        <w:ind w:left="1170" w:hanging="1170"/>
        <w:rPr>
          <w:szCs w:val="24"/>
          <w:lang w:val="fr-CA"/>
        </w:rPr>
      </w:pPr>
      <w:r w:rsidRPr="00132F5E">
        <w:rPr>
          <w:szCs w:val="24"/>
          <w:lang w:val="fr-CA"/>
        </w:rPr>
        <w:tab/>
        <w:t>(6</w:t>
      </w:r>
      <w:r>
        <w:rPr>
          <w:szCs w:val="24"/>
          <w:lang w:val="fr-CA"/>
        </w:rPr>
        <w:t>)</w:t>
      </w:r>
      <w:r>
        <w:rPr>
          <w:szCs w:val="24"/>
          <w:lang w:val="fr-CA"/>
        </w:rPr>
        <w:tab/>
      </w:r>
      <w:r w:rsidRPr="003A4858">
        <w:rPr>
          <w:szCs w:val="24"/>
          <w:u w:val="single"/>
          <w:lang w:val="fr-CA"/>
        </w:rPr>
        <w:t>Appréciation des trois facteurs</w:t>
      </w:r>
      <w:r w:rsidR="00B825CC" w:rsidRPr="00B825CC">
        <w:rPr>
          <w:szCs w:val="24"/>
          <w:lang w:val="fr-CA"/>
        </w:rPr>
        <w:t xml:space="preserve"> </w:t>
      </w:r>
    </w:p>
    <w:p w:rsidR="00D867A4" w:rsidRPr="00132F5E" w:rsidRDefault="00D867A4" w:rsidP="00D867A4">
      <w:pPr>
        <w:pStyle w:val="ParaNoNdepar-AltN"/>
        <w:rPr>
          <w:lang w:val="fr-CA"/>
        </w:rPr>
      </w:pPr>
      <w:r>
        <w:rPr>
          <w:lang w:val="fr-CA"/>
        </w:rPr>
        <w:t xml:space="preserve">Je reviens aux circonstances de l’espèce pour y appliquer les trois </w:t>
      </w:r>
      <w:r w:rsidRPr="003A4858">
        <w:rPr>
          <w:lang w:val="fr-CA"/>
        </w:rPr>
        <w:t>facteurs</w:t>
      </w:r>
      <w:r>
        <w:rPr>
          <w:lang w:val="fr-CA"/>
        </w:rPr>
        <w:t xml:space="preserve"> qui doivent être pris en compte :</w:t>
      </w:r>
      <w:r w:rsidRPr="006A1C79">
        <w:rPr>
          <w:lang w:val="fr-CA"/>
        </w:rPr>
        <w:t xml:space="preserve"> l</w:t>
      </w:r>
      <w:r>
        <w:rPr>
          <w:lang w:val="fr-CA"/>
        </w:rPr>
        <w:t>’</w:t>
      </w:r>
      <w:r w:rsidRPr="006A1C79">
        <w:rPr>
          <w:lang w:val="fr-CA"/>
        </w:rPr>
        <w:t xml:space="preserve">affaire </w:t>
      </w:r>
      <w:proofErr w:type="spellStart"/>
      <w:r w:rsidRPr="006A1C79">
        <w:rPr>
          <w:lang w:val="fr-CA"/>
        </w:rPr>
        <w:t>soulève</w:t>
      </w:r>
      <w:r>
        <w:rPr>
          <w:lang w:val="fr-CA"/>
        </w:rPr>
        <w:noBreakHyphen/>
      </w:r>
      <w:r w:rsidRPr="006A1C79">
        <w:rPr>
          <w:lang w:val="fr-CA"/>
        </w:rPr>
        <w:t>t</w:t>
      </w:r>
      <w:r>
        <w:rPr>
          <w:lang w:val="fr-CA"/>
        </w:rPr>
        <w:noBreakHyphen/>
      </w:r>
      <w:r w:rsidRPr="006A1C79">
        <w:rPr>
          <w:lang w:val="fr-CA"/>
        </w:rPr>
        <w:t>elle</w:t>
      </w:r>
      <w:proofErr w:type="spellEnd"/>
      <w:r w:rsidRPr="006A1C79">
        <w:rPr>
          <w:lang w:val="fr-CA"/>
        </w:rPr>
        <w:t xml:space="preserve"> une question justiciable sérieuse? </w:t>
      </w:r>
      <w:r>
        <w:rPr>
          <w:lang w:val="fr-CA"/>
        </w:rPr>
        <w:t xml:space="preserve"> </w:t>
      </w:r>
      <w:r w:rsidRPr="006A1C79">
        <w:rPr>
          <w:lang w:val="fr-CA"/>
        </w:rPr>
        <w:t xml:space="preserve">Les </w:t>
      </w:r>
      <w:r>
        <w:rPr>
          <w:lang w:val="fr-CA"/>
        </w:rPr>
        <w:t>intimées</w:t>
      </w:r>
      <w:r w:rsidRPr="006A1C79">
        <w:rPr>
          <w:lang w:val="fr-CA"/>
        </w:rPr>
        <w:t xml:space="preserve"> </w:t>
      </w:r>
      <w:proofErr w:type="spellStart"/>
      <w:r w:rsidRPr="006A1C79">
        <w:rPr>
          <w:lang w:val="fr-CA"/>
        </w:rPr>
        <w:t>ont</w:t>
      </w:r>
      <w:r>
        <w:rPr>
          <w:lang w:val="fr-CA"/>
        </w:rPr>
        <w:noBreakHyphen/>
      </w:r>
      <w:r w:rsidRPr="006A1C79">
        <w:rPr>
          <w:lang w:val="fr-CA"/>
        </w:rPr>
        <w:t>elles</w:t>
      </w:r>
      <w:proofErr w:type="spellEnd"/>
      <w:r w:rsidRPr="006A1C79">
        <w:rPr>
          <w:lang w:val="fr-CA"/>
        </w:rPr>
        <w:t xml:space="preserve"> un intérêt </w:t>
      </w:r>
      <w:r>
        <w:rPr>
          <w:lang w:val="fr-CA"/>
        </w:rPr>
        <w:t xml:space="preserve">réel ou </w:t>
      </w:r>
      <w:r w:rsidRPr="006A1C79">
        <w:rPr>
          <w:lang w:val="fr-CA"/>
        </w:rPr>
        <w:t>véritable dans la question ou les questions?</w:t>
      </w:r>
      <w:r>
        <w:rPr>
          <w:lang w:val="fr-CA"/>
        </w:rPr>
        <w:t xml:space="preserve"> </w:t>
      </w:r>
      <w:r w:rsidRPr="006A1C79">
        <w:rPr>
          <w:lang w:val="fr-CA"/>
        </w:rPr>
        <w:t xml:space="preserve"> </w:t>
      </w:r>
      <w:r>
        <w:rPr>
          <w:lang w:val="fr-CA"/>
        </w:rPr>
        <w:t>L</w:t>
      </w:r>
      <w:r w:rsidRPr="006A1C79">
        <w:rPr>
          <w:lang w:val="fr-CA"/>
        </w:rPr>
        <w:t xml:space="preserve">a poursuite </w:t>
      </w:r>
      <w:proofErr w:type="spellStart"/>
      <w:r w:rsidRPr="006A1C79">
        <w:rPr>
          <w:lang w:val="fr-CA"/>
        </w:rPr>
        <w:t>constitue</w:t>
      </w:r>
      <w:r>
        <w:rPr>
          <w:lang w:val="fr-CA"/>
        </w:rPr>
        <w:noBreakHyphen/>
      </w:r>
      <w:r w:rsidRPr="006A1C79">
        <w:rPr>
          <w:lang w:val="fr-CA"/>
        </w:rPr>
        <w:t>t</w:t>
      </w:r>
      <w:r>
        <w:rPr>
          <w:lang w:val="fr-CA"/>
        </w:rPr>
        <w:noBreakHyphen/>
      </w:r>
      <w:r w:rsidRPr="006A1C79">
        <w:rPr>
          <w:lang w:val="fr-CA"/>
        </w:rPr>
        <w:t>elle</w:t>
      </w:r>
      <w:proofErr w:type="spellEnd"/>
      <w:r w:rsidRPr="006A1C79">
        <w:rPr>
          <w:lang w:val="fr-CA"/>
        </w:rPr>
        <w:t xml:space="preserve">, compte tenu de toutes les circonstances, </w:t>
      </w:r>
      <w:r>
        <w:rPr>
          <w:lang w:val="fr-CA"/>
        </w:rPr>
        <w:t>une manière</w:t>
      </w:r>
      <w:r w:rsidRPr="006A1C79">
        <w:rPr>
          <w:lang w:val="fr-CA"/>
        </w:rPr>
        <w:t xml:space="preserve"> raisonnable et efficace de soumettre les questions à la cour?  Bien qu</w:t>
      </w:r>
      <w:r>
        <w:rPr>
          <w:lang w:val="fr-CA"/>
        </w:rPr>
        <w:t>’</w:t>
      </w:r>
      <w:r w:rsidRPr="006A1C79">
        <w:rPr>
          <w:lang w:val="fr-CA"/>
        </w:rPr>
        <w:t>il</w:t>
      </w:r>
      <w:r>
        <w:rPr>
          <w:lang w:val="fr-CA"/>
        </w:rPr>
        <w:t xml:space="preserve"> n’y ait guère de désaccord quant au fait que les deux premiers facteurs favorisent la reconnaissance de la qualité pour agir, je vais les examiner tous les trois, car, à mon avis, ils doivent être appréciés cumulativement plutôt qu’individuellement.  Après avoir examiné les trois facteurs suivant une approche téléologique, souple et libérale, je conclus que la Cour d’appel était justifiée de reconnaître la qualité pour agir dans l’intérêt public à la Société</w:t>
      </w:r>
      <w:r w:rsidRPr="00132F5E">
        <w:rPr>
          <w:lang w:val="fr-CA"/>
        </w:rPr>
        <w:t xml:space="preserve"> </w:t>
      </w:r>
      <w:r>
        <w:rPr>
          <w:lang w:val="fr-CA"/>
        </w:rPr>
        <w:t>et à M</w:t>
      </w:r>
      <w:r w:rsidRPr="00FA3B43">
        <w:rPr>
          <w:vertAlign w:val="superscript"/>
          <w:lang w:val="fr-CA"/>
        </w:rPr>
        <w:t>me</w:t>
      </w:r>
      <w:r>
        <w:rPr>
          <w:lang w:val="fr-CA"/>
        </w:rPr>
        <w:t> </w:t>
      </w:r>
      <w:proofErr w:type="spellStart"/>
      <w:r w:rsidRPr="00132F5E">
        <w:rPr>
          <w:lang w:val="fr-CA"/>
        </w:rPr>
        <w:t>Kiselba</w:t>
      </w:r>
      <w:r>
        <w:rPr>
          <w:lang w:val="fr-CA"/>
        </w:rPr>
        <w:t>ch</w:t>
      </w:r>
      <w:proofErr w:type="spellEnd"/>
      <w:r>
        <w:rPr>
          <w:lang w:val="fr-CA"/>
        </w:rPr>
        <w:t>.</w:t>
      </w:r>
    </w:p>
    <w:p w:rsidR="00D867A4" w:rsidRPr="007037C2" w:rsidRDefault="00B620C1" w:rsidP="00820B49">
      <w:pPr>
        <w:pStyle w:val="TitleTitre-AltT"/>
        <w:keepNext/>
        <w:tabs>
          <w:tab w:val="clear" w:pos="360"/>
          <w:tab w:val="left" w:pos="540"/>
        </w:tabs>
        <w:ind w:left="1170" w:hanging="1170"/>
        <w:rPr>
          <w:szCs w:val="24"/>
          <w:lang w:val="fr-CA"/>
        </w:rPr>
      </w:pPr>
      <w:r>
        <w:rPr>
          <w:szCs w:val="24"/>
          <w:lang w:val="fr-CA"/>
        </w:rPr>
        <w:tab/>
      </w:r>
      <w:r w:rsidR="00D867A4">
        <w:rPr>
          <w:szCs w:val="24"/>
          <w:lang w:val="fr-CA"/>
        </w:rPr>
        <w:t>a)</w:t>
      </w:r>
      <w:r w:rsidR="00D867A4">
        <w:rPr>
          <w:szCs w:val="24"/>
          <w:lang w:val="fr-CA"/>
        </w:rPr>
        <w:tab/>
      </w:r>
      <w:r w:rsidR="00D867A4" w:rsidRPr="007037C2">
        <w:rPr>
          <w:i/>
          <w:szCs w:val="24"/>
          <w:lang w:val="fr-CA"/>
        </w:rPr>
        <w:t>Une question justiciable sérieuse</w:t>
      </w:r>
      <w:r w:rsidR="00D867A4" w:rsidRPr="007037C2">
        <w:rPr>
          <w:szCs w:val="24"/>
          <w:lang w:val="fr-CA"/>
        </w:rPr>
        <w:t xml:space="preserve"> </w:t>
      </w:r>
    </w:p>
    <w:p w:rsidR="00D867A4" w:rsidRPr="00132F5E" w:rsidRDefault="00D867A4" w:rsidP="00D867A4">
      <w:pPr>
        <w:pStyle w:val="ParaNoNdepar-AltN"/>
        <w:rPr>
          <w:lang w:val="fr-CA"/>
        </w:rPr>
      </w:pPr>
      <w:r>
        <w:rPr>
          <w:lang w:val="fr-CA"/>
        </w:rPr>
        <w:t>Comme je l’ai déjà indiqué, à une exception près, nul ne conteste que l’action des intimées soulève des questions sérieuses et justiciables.</w:t>
      </w:r>
      <w:r w:rsidRPr="00132F5E">
        <w:rPr>
          <w:lang w:val="fr-CA"/>
        </w:rPr>
        <w:t xml:space="preserve"> </w:t>
      </w:r>
      <w:r>
        <w:rPr>
          <w:lang w:val="fr-CA"/>
        </w:rPr>
        <w:t xml:space="preserve"> La </w:t>
      </w:r>
      <w:r>
        <w:rPr>
          <w:lang w:val="fr-CA"/>
        </w:rPr>
        <w:lastRenderedPageBreak/>
        <w:t>constitutionnalité des lois relatives à la prostitution constitue certainement un « point constitutionnel important » (</w:t>
      </w:r>
      <w:r w:rsidRPr="00AC1DE1">
        <w:rPr>
          <w:i/>
          <w:lang w:val="fr-CA"/>
        </w:rPr>
        <w:t>McNeil</w:t>
      </w:r>
      <w:r>
        <w:rPr>
          <w:lang w:val="fr-CA"/>
        </w:rPr>
        <w:t>, p. 268) et une « question [. . .] importante » (</w:t>
      </w:r>
      <w:proofErr w:type="spellStart"/>
      <w:r w:rsidRPr="00AC1DE1">
        <w:rPr>
          <w:i/>
          <w:lang w:val="fr-CA"/>
        </w:rPr>
        <w:t>Borowski</w:t>
      </w:r>
      <w:proofErr w:type="spellEnd"/>
      <w:r>
        <w:rPr>
          <w:lang w:val="fr-CA"/>
        </w:rPr>
        <w:t xml:space="preserve">, p. 589) qui est « loin d’être </w:t>
      </w:r>
      <w:proofErr w:type="spellStart"/>
      <w:r>
        <w:rPr>
          <w:lang w:val="fr-CA"/>
        </w:rPr>
        <w:t>futil</w:t>
      </w:r>
      <w:proofErr w:type="spellEnd"/>
      <w:r w:rsidR="00820B49">
        <w:rPr>
          <w:lang w:val="fr-CA"/>
        </w:rPr>
        <w:t>[</w:t>
      </w:r>
      <w:r>
        <w:rPr>
          <w:lang w:val="fr-CA"/>
        </w:rPr>
        <w:t>e</w:t>
      </w:r>
      <w:r w:rsidR="00820B49">
        <w:rPr>
          <w:lang w:val="fr-CA"/>
        </w:rPr>
        <w:t>]</w:t>
      </w:r>
      <w:r>
        <w:rPr>
          <w:lang w:val="fr-CA"/>
        </w:rPr>
        <w:t> » (</w:t>
      </w:r>
      <w:r w:rsidRPr="00AC1DE1">
        <w:rPr>
          <w:i/>
          <w:lang w:val="fr-CA"/>
        </w:rPr>
        <w:t>Finlay</w:t>
      </w:r>
      <w:r>
        <w:rPr>
          <w:lang w:val="fr-CA"/>
        </w:rPr>
        <w:t xml:space="preserve">, p. 633).  De fait, les intimées soutiennent que les dispositions contestées du </w:t>
      </w:r>
      <w:r w:rsidR="004B67AA">
        <w:rPr>
          <w:i/>
          <w:lang w:val="fr-CA"/>
        </w:rPr>
        <w:t>Code</w:t>
      </w:r>
      <w:r>
        <w:rPr>
          <w:i/>
          <w:lang w:val="fr-CA"/>
        </w:rPr>
        <w:t xml:space="preserve"> cr</w:t>
      </w:r>
      <w:r w:rsidR="004B67AA">
        <w:rPr>
          <w:i/>
          <w:lang w:val="fr-CA"/>
        </w:rPr>
        <w:t>iminel</w:t>
      </w:r>
      <w:r>
        <w:rPr>
          <w:lang w:val="fr-CA"/>
        </w:rPr>
        <w:t>, en criminalisant plusieurs des activités entourant la prostitution, nuisent à un grand nombre de femmes.  Ces questions sont aussi clairement justiciables, en ce qu’elles concernent la constitutionnalité des dispositions contestées.</w:t>
      </w:r>
      <w:r w:rsidRPr="00132F5E">
        <w:rPr>
          <w:lang w:val="fr-CA"/>
        </w:rPr>
        <w:t xml:space="preserve"> </w:t>
      </w:r>
      <w:r>
        <w:rPr>
          <w:lang w:val="fr-CA"/>
        </w:rPr>
        <w:t xml:space="preserve"> L’examen de ce facteur appuie sans équivoque l’exercice du pouvoir discrétionnaire dont jouissent les tribunaux afin de reconnaître la qualité pour agir. </w:t>
      </w:r>
    </w:p>
    <w:p w:rsidR="00D867A4" w:rsidRPr="00132F5E" w:rsidRDefault="00D867A4" w:rsidP="00D867A4">
      <w:pPr>
        <w:pStyle w:val="ParaNoNdepar-AltN"/>
        <w:rPr>
          <w:lang w:val="fr-CA"/>
        </w:rPr>
      </w:pPr>
      <w:r>
        <w:rPr>
          <w:lang w:val="fr-CA"/>
        </w:rPr>
        <w:t>L’appelant fait cependant valoir que l’action des intimées ne soulève pas de question sérieuse au regard de la constitutionnalité de l’al</w:t>
      </w:r>
      <w:r w:rsidR="00820B49">
        <w:rPr>
          <w:lang w:val="fr-CA"/>
        </w:rPr>
        <w:t>.</w:t>
      </w:r>
      <w:r>
        <w:rPr>
          <w:lang w:val="fr-CA"/>
        </w:rPr>
        <w:t> 213(1)</w:t>
      </w:r>
      <w:r w:rsidRPr="00132F5E">
        <w:rPr>
          <w:i/>
          <w:lang w:val="fr-CA"/>
        </w:rPr>
        <w:t>c</w:t>
      </w:r>
      <w:r w:rsidRPr="00132F5E">
        <w:rPr>
          <w:lang w:val="fr-CA"/>
        </w:rPr>
        <w:t xml:space="preserve">) </w:t>
      </w:r>
      <w:r>
        <w:rPr>
          <w:lang w:val="fr-CA"/>
        </w:rPr>
        <w:t>(anciennement l’al. 195.1(1</w:t>
      </w:r>
      <w:proofErr w:type="gramStart"/>
      <w:r>
        <w:rPr>
          <w:lang w:val="fr-CA"/>
        </w:rPr>
        <w:t>)</w:t>
      </w:r>
      <w:r w:rsidRPr="00A023E0">
        <w:rPr>
          <w:i/>
          <w:lang w:val="fr-CA"/>
        </w:rPr>
        <w:t>c</w:t>
      </w:r>
      <w:proofErr w:type="gramEnd"/>
      <w:r>
        <w:rPr>
          <w:lang w:val="fr-CA"/>
        </w:rPr>
        <w:t xml:space="preserve">)) parce que la Cour a confirmé la validité de cette disposition dans le </w:t>
      </w:r>
      <w:r>
        <w:rPr>
          <w:i/>
          <w:lang w:val="fr-CA"/>
        </w:rPr>
        <w:t>Renvoi relatif à l’art. </w:t>
      </w:r>
      <w:r w:rsidRPr="00132F5E">
        <w:rPr>
          <w:i/>
          <w:lang w:val="fr-CA"/>
        </w:rPr>
        <w:t xml:space="preserve">193 </w:t>
      </w:r>
      <w:r>
        <w:rPr>
          <w:i/>
          <w:lang w:val="fr-CA"/>
        </w:rPr>
        <w:t>et à l’al</w:t>
      </w:r>
      <w:r w:rsidR="00820B49">
        <w:rPr>
          <w:i/>
          <w:lang w:val="fr-CA"/>
        </w:rPr>
        <w:t>.</w:t>
      </w:r>
      <w:r>
        <w:rPr>
          <w:i/>
          <w:lang w:val="fr-CA"/>
        </w:rPr>
        <w:t> 195.1(1)</w:t>
      </w:r>
      <w:r w:rsidRPr="00132F5E">
        <w:rPr>
          <w:i/>
          <w:lang w:val="fr-CA"/>
        </w:rPr>
        <w:t xml:space="preserve">c) </w:t>
      </w:r>
      <w:r>
        <w:rPr>
          <w:i/>
          <w:lang w:val="fr-CA"/>
        </w:rPr>
        <w:t>du Code criminel</w:t>
      </w:r>
      <w:r w:rsidR="00820B49">
        <w:rPr>
          <w:i/>
          <w:lang w:val="fr-CA"/>
        </w:rPr>
        <w:t xml:space="preserve"> (Man.)</w:t>
      </w:r>
      <w:r w:rsidRPr="00132F5E">
        <w:rPr>
          <w:lang w:val="fr-CA"/>
        </w:rPr>
        <w:t xml:space="preserve">, [1990] 1 </w:t>
      </w:r>
      <w:r>
        <w:rPr>
          <w:lang w:val="fr-CA"/>
        </w:rPr>
        <w:t>R.C.S.</w:t>
      </w:r>
      <w:r w:rsidRPr="00132F5E">
        <w:rPr>
          <w:lang w:val="fr-CA"/>
        </w:rPr>
        <w:t xml:space="preserve"> 1123</w:t>
      </w:r>
      <w:r>
        <w:rPr>
          <w:lang w:val="fr-CA"/>
        </w:rPr>
        <w:t>,</w:t>
      </w:r>
      <w:r w:rsidRPr="00132F5E">
        <w:rPr>
          <w:lang w:val="fr-CA"/>
        </w:rPr>
        <w:t xml:space="preserve"> </w:t>
      </w:r>
      <w:r>
        <w:rPr>
          <w:lang w:val="fr-CA"/>
        </w:rPr>
        <w:t xml:space="preserve">et dans </w:t>
      </w:r>
      <w:r>
        <w:rPr>
          <w:i/>
          <w:lang w:val="fr-CA"/>
        </w:rPr>
        <w:t>R. c</w:t>
      </w:r>
      <w:r w:rsidRPr="00132F5E">
        <w:rPr>
          <w:i/>
          <w:lang w:val="fr-CA"/>
        </w:rPr>
        <w:t>. Skinner</w:t>
      </w:r>
      <w:r w:rsidRPr="00132F5E">
        <w:rPr>
          <w:lang w:val="fr-CA"/>
        </w:rPr>
        <w:t xml:space="preserve">, [1990] 1 </w:t>
      </w:r>
      <w:r>
        <w:rPr>
          <w:lang w:val="fr-CA"/>
        </w:rPr>
        <w:t>R.C.S.</w:t>
      </w:r>
      <w:r w:rsidRPr="00132F5E">
        <w:rPr>
          <w:lang w:val="fr-CA"/>
        </w:rPr>
        <w:t xml:space="preserve"> 1235. </w:t>
      </w:r>
    </w:p>
    <w:p w:rsidR="00D867A4" w:rsidRPr="00132F5E" w:rsidRDefault="00D867A4" w:rsidP="00D867A4">
      <w:pPr>
        <w:pStyle w:val="ParaNoNdepar-AltN"/>
        <w:rPr>
          <w:lang w:val="fr-CA"/>
        </w:rPr>
      </w:pPr>
      <w:r>
        <w:rPr>
          <w:lang w:val="fr-CA"/>
        </w:rPr>
        <w:t xml:space="preserve">Sur ce point, je suis tout à fait d’accord avec le juge en cabinet.  Il a conclu que, dans les circonstances de la présente contestation vaste et à multiples facettes, il n’était pas nécessaire, aux fins de disposer de la question de la qualité pour agir, de déterminer si le principe du </w:t>
      </w:r>
      <w:proofErr w:type="spellStart"/>
      <w:r>
        <w:rPr>
          <w:i/>
          <w:lang w:val="fr-CA"/>
        </w:rPr>
        <w:t>stare</w:t>
      </w:r>
      <w:proofErr w:type="spellEnd"/>
      <w:r>
        <w:rPr>
          <w:i/>
          <w:lang w:val="fr-CA"/>
        </w:rPr>
        <w:t xml:space="preserve"> </w:t>
      </w:r>
      <w:proofErr w:type="spellStart"/>
      <w:r>
        <w:rPr>
          <w:i/>
          <w:lang w:val="fr-CA"/>
        </w:rPr>
        <w:t>decisis</w:t>
      </w:r>
      <w:proofErr w:type="spellEnd"/>
      <w:r>
        <w:rPr>
          <w:i/>
          <w:lang w:val="fr-CA"/>
        </w:rPr>
        <w:t xml:space="preserve"> </w:t>
      </w:r>
      <w:r>
        <w:rPr>
          <w:lang w:val="fr-CA"/>
        </w:rPr>
        <w:t xml:space="preserve">permet aux intimées de soulever cet aspect particulier de leur action qui est par ailleurs beaucoup plus vaste.  On peut dire de façon plus pragmatique, comme l’ont fait le juge </w:t>
      </w:r>
      <w:r w:rsidRPr="00132F5E">
        <w:rPr>
          <w:lang w:val="fr-CA"/>
        </w:rPr>
        <w:t xml:space="preserve">Cory </w:t>
      </w:r>
      <w:r>
        <w:rPr>
          <w:lang w:val="fr-CA"/>
        </w:rPr>
        <w:t xml:space="preserve">dans l’arrêt </w:t>
      </w:r>
      <w:r>
        <w:rPr>
          <w:i/>
          <w:lang w:val="fr-CA"/>
        </w:rPr>
        <w:t xml:space="preserve">Conseil canadien des Églises </w:t>
      </w:r>
      <w:r>
        <w:rPr>
          <w:lang w:val="fr-CA"/>
        </w:rPr>
        <w:t xml:space="preserve">et le juge siégeant en cabinet en l’espèce, </w:t>
      </w:r>
      <w:r w:rsidRPr="006A1C79">
        <w:rPr>
          <w:lang w:val="fr-CA"/>
        </w:rPr>
        <w:t xml:space="preserve">que certains éléments </w:t>
      </w:r>
      <w:r w:rsidRPr="006A1C79">
        <w:rPr>
          <w:lang w:val="fr-CA"/>
        </w:rPr>
        <w:lastRenderedPageBreak/>
        <w:t>de la déclaration soulèvent des questions sérieuses au regard de l</w:t>
      </w:r>
      <w:r>
        <w:rPr>
          <w:lang w:val="fr-CA"/>
        </w:rPr>
        <w:t>’</w:t>
      </w:r>
      <w:r w:rsidRPr="006A1C79">
        <w:rPr>
          <w:lang w:val="fr-CA"/>
        </w:rPr>
        <w:t>invalidité</w:t>
      </w:r>
      <w:r>
        <w:rPr>
          <w:lang w:val="fr-CA"/>
        </w:rPr>
        <w:t xml:space="preserve"> des dispositions législatives.  Lorsqu’il est évident que certains aspects de l’action soulèvent des questions justiciables sérieuses, il est préférable dans le cadre de l’analyse de la question de la qualité pour agir de ne pas se livrer à un examen en profondeur du bien</w:t>
      </w:r>
      <w:r w:rsidR="00DD4166">
        <w:rPr>
          <w:lang w:val="fr-CA"/>
        </w:rPr>
        <w:t>-</w:t>
      </w:r>
      <w:r>
        <w:rPr>
          <w:lang w:val="fr-CA"/>
        </w:rPr>
        <w:t xml:space="preserve">fondé des aspects distincts et particuliers de l’action.  Ces derniers peuvent être examinés au moyen d’autres véhicules procéduraux appropriés. </w:t>
      </w:r>
    </w:p>
    <w:p w:rsidR="00D867A4" w:rsidRPr="00132F5E" w:rsidRDefault="00DD4166" w:rsidP="00B620C1">
      <w:pPr>
        <w:pStyle w:val="TitleTitre-AltT"/>
        <w:keepNext/>
        <w:tabs>
          <w:tab w:val="clear" w:pos="360"/>
          <w:tab w:val="left" w:pos="540"/>
        </w:tabs>
        <w:ind w:left="1170" w:hanging="1170"/>
        <w:rPr>
          <w:lang w:val="fr-CA"/>
        </w:rPr>
      </w:pPr>
      <w:r>
        <w:rPr>
          <w:lang w:val="fr-CA"/>
        </w:rPr>
        <w:tab/>
      </w:r>
      <w:r w:rsidR="00D867A4">
        <w:rPr>
          <w:lang w:val="fr-CA"/>
        </w:rPr>
        <w:t>b)</w:t>
      </w:r>
      <w:r w:rsidR="00D867A4">
        <w:rPr>
          <w:lang w:val="fr-CA"/>
        </w:rPr>
        <w:tab/>
      </w:r>
      <w:r w:rsidR="00D867A4">
        <w:rPr>
          <w:i/>
          <w:lang w:val="fr-CA"/>
        </w:rPr>
        <w:t>L’intérêt que devrait avoir le demandeur</w:t>
      </w:r>
    </w:p>
    <w:p w:rsidR="00D867A4" w:rsidRPr="00132F5E" w:rsidRDefault="00D867A4" w:rsidP="00D867A4">
      <w:pPr>
        <w:pStyle w:val="ParaNoNdepar-AltN"/>
        <w:rPr>
          <w:szCs w:val="24"/>
          <w:lang w:val="fr-CA"/>
        </w:rPr>
      </w:pPr>
      <w:r>
        <w:rPr>
          <w:szCs w:val="24"/>
          <w:lang w:val="fr-CA"/>
        </w:rPr>
        <w:t xml:space="preserve">En appliquant </w:t>
      </w:r>
      <w:r w:rsidRPr="00445E66">
        <w:rPr>
          <w:szCs w:val="24"/>
          <w:lang w:val="fr-CA"/>
        </w:rPr>
        <w:t>l</w:t>
      </w:r>
      <w:r>
        <w:rPr>
          <w:szCs w:val="24"/>
          <w:lang w:val="fr-CA"/>
        </w:rPr>
        <w:t>’</w:t>
      </w:r>
      <w:r w:rsidRPr="00445E66">
        <w:rPr>
          <w:szCs w:val="24"/>
          <w:lang w:val="fr-CA"/>
        </w:rPr>
        <w:t xml:space="preserve">approche </w:t>
      </w:r>
      <w:r>
        <w:rPr>
          <w:szCs w:val="24"/>
          <w:lang w:val="fr-CA"/>
        </w:rPr>
        <w:t>téléologique déjà exposée, il ne subsiste aucun doute, d’aill</w:t>
      </w:r>
      <w:r w:rsidR="00B620C1">
        <w:rPr>
          <w:szCs w:val="24"/>
          <w:lang w:val="fr-CA"/>
        </w:rPr>
        <w:t>eurs l’appelant en convient lui-</w:t>
      </w:r>
      <w:r>
        <w:rPr>
          <w:szCs w:val="24"/>
          <w:lang w:val="fr-CA"/>
        </w:rPr>
        <w:t xml:space="preserve">même, que ce </w:t>
      </w:r>
      <w:r w:rsidRPr="00445E66">
        <w:rPr>
          <w:szCs w:val="24"/>
          <w:lang w:val="fr-CA"/>
        </w:rPr>
        <w:t>facteur</w:t>
      </w:r>
      <w:r>
        <w:rPr>
          <w:szCs w:val="24"/>
          <w:lang w:val="fr-CA"/>
        </w:rPr>
        <w:t xml:space="preserve"> joue en faveur de la reconnaissance de la qualité pour agir dans l’intérêt public.  La Société</w:t>
      </w:r>
      <w:r w:rsidRPr="00132F5E">
        <w:rPr>
          <w:szCs w:val="24"/>
          <w:lang w:val="fr-CA"/>
        </w:rPr>
        <w:t xml:space="preserve"> </w:t>
      </w:r>
      <w:r>
        <w:rPr>
          <w:szCs w:val="24"/>
          <w:lang w:val="fr-CA"/>
        </w:rPr>
        <w:t xml:space="preserve">a un intérêt véritable dans la présente demande.  Elle est totalement engagée au regard des questions qu’elle souhaite soulever. </w:t>
      </w:r>
    </w:p>
    <w:p w:rsidR="00D867A4" w:rsidRPr="00132F5E" w:rsidRDefault="00D867A4" w:rsidP="00D867A4">
      <w:pPr>
        <w:pStyle w:val="ParaNoNdepar-AltN"/>
        <w:rPr>
          <w:lang w:val="fr-CA"/>
        </w:rPr>
      </w:pPr>
      <w:r>
        <w:rPr>
          <w:szCs w:val="24"/>
          <w:lang w:val="fr-CA"/>
        </w:rPr>
        <w:t>Comme le soulignent les intimées, la Société</w:t>
      </w:r>
      <w:r w:rsidRPr="00132F5E">
        <w:rPr>
          <w:szCs w:val="24"/>
          <w:lang w:val="fr-CA"/>
        </w:rPr>
        <w:t xml:space="preserve"> </w:t>
      </w:r>
      <w:r>
        <w:rPr>
          <w:szCs w:val="24"/>
          <w:lang w:val="fr-CA"/>
        </w:rPr>
        <w:t xml:space="preserve">n’agit pas en </w:t>
      </w:r>
      <w:proofErr w:type="spellStart"/>
      <w:r>
        <w:rPr>
          <w:szCs w:val="24"/>
          <w:lang w:val="fr-CA"/>
        </w:rPr>
        <w:t>trouble</w:t>
      </w:r>
      <w:r>
        <w:rPr>
          <w:szCs w:val="24"/>
          <w:lang w:val="fr-CA"/>
        </w:rPr>
        <w:noBreakHyphen/>
        <w:t>fête</w:t>
      </w:r>
      <w:proofErr w:type="spellEnd"/>
      <w:r>
        <w:rPr>
          <w:szCs w:val="24"/>
          <w:lang w:val="fr-CA"/>
        </w:rPr>
        <w:t xml:space="preserve"> et a démontré un solide engagement à l’égard de l’enjeu en cause.  Elle a une expérience considérable relativement aux travailleurs de l’industrie du sexe du quartier </w:t>
      </w:r>
      <w:proofErr w:type="spellStart"/>
      <w:r>
        <w:rPr>
          <w:szCs w:val="24"/>
          <w:lang w:val="fr-CA"/>
        </w:rPr>
        <w:t>Downtown</w:t>
      </w:r>
      <w:proofErr w:type="spellEnd"/>
      <w:r>
        <w:rPr>
          <w:szCs w:val="24"/>
          <w:lang w:val="fr-CA"/>
        </w:rPr>
        <w:t xml:space="preserve"> </w:t>
      </w:r>
      <w:proofErr w:type="spellStart"/>
      <w:r w:rsidRPr="006A1C79">
        <w:rPr>
          <w:szCs w:val="24"/>
          <w:lang w:val="fr-CA"/>
        </w:rPr>
        <w:t>Eastside</w:t>
      </w:r>
      <w:proofErr w:type="spellEnd"/>
      <w:r w:rsidRPr="006A1C79">
        <w:rPr>
          <w:szCs w:val="24"/>
          <w:lang w:val="fr-CA"/>
        </w:rPr>
        <w:t xml:space="preserve"> de Vancouver et</w:t>
      </w:r>
      <w:r>
        <w:rPr>
          <w:szCs w:val="24"/>
          <w:lang w:val="fr-CA"/>
        </w:rPr>
        <w:t xml:space="preserve"> elle connaît bien leurs intérêts.  Il s’agit d’un organisme sans but lucratif enregistré qui est administré « par et pour » des travailleurs qui exerce</w:t>
      </w:r>
      <w:r w:rsidR="00B620C1">
        <w:rPr>
          <w:szCs w:val="24"/>
          <w:lang w:val="fr-CA"/>
        </w:rPr>
        <w:t>nt</w:t>
      </w:r>
      <w:r>
        <w:rPr>
          <w:szCs w:val="24"/>
          <w:lang w:val="fr-CA"/>
        </w:rPr>
        <w:t xml:space="preserve"> un métier dans l’industrie du sexe, ou qui en ont déjà exercé un, et qui habitent ou travaillent dans ce quartier de Vancouver.  L’objet de cet organisme est fondé sur la vision et les besoins des travailleurs de la rue de l’industrie </w:t>
      </w:r>
      <w:r>
        <w:rPr>
          <w:szCs w:val="24"/>
          <w:lang w:val="fr-CA"/>
        </w:rPr>
        <w:lastRenderedPageBreak/>
        <w:t>du sexe et ses objets visent notamment à améliorer leur santé et leur sécurité, à s’opposer à toutes les formes de violence à leur égard et à exercer des pressions pour obtenir des modifications aux politiques et aux lois afin d’améliorer les conditions de vie et de travail des travailleurs du sexe (</w:t>
      </w:r>
      <w:proofErr w:type="gramStart"/>
      <w:r>
        <w:rPr>
          <w:szCs w:val="24"/>
          <w:lang w:val="fr-CA"/>
        </w:rPr>
        <w:t>m.i.,</w:t>
      </w:r>
      <w:proofErr w:type="gramEnd"/>
      <w:r>
        <w:rPr>
          <w:szCs w:val="24"/>
          <w:lang w:val="fr-CA"/>
        </w:rPr>
        <w:t xml:space="preserve"> par. </w:t>
      </w:r>
      <w:r w:rsidRPr="00132F5E">
        <w:rPr>
          <w:szCs w:val="24"/>
          <w:lang w:val="fr-CA"/>
        </w:rPr>
        <w:t xml:space="preserve">8).  </w:t>
      </w:r>
    </w:p>
    <w:p w:rsidR="00D867A4" w:rsidRPr="00132F5E" w:rsidRDefault="00D867A4" w:rsidP="00D867A4">
      <w:pPr>
        <w:pStyle w:val="ParaNoNdepar-AltN"/>
        <w:rPr>
          <w:lang w:val="fr-CA"/>
        </w:rPr>
      </w:pPr>
      <w:r>
        <w:rPr>
          <w:lang w:val="fr-CA"/>
        </w:rPr>
        <w:t xml:space="preserve">D’après l’affidavit de </w:t>
      </w:r>
      <w:proofErr w:type="spellStart"/>
      <w:r w:rsidRPr="00132F5E">
        <w:rPr>
          <w:lang w:val="fr-CA"/>
        </w:rPr>
        <w:t>Sheryl</w:t>
      </w:r>
      <w:proofErr w:type="spellEnd"/>
      <w:r w:rsidRPr="00132F5E">
        <w:rPr>
          <w:lang w:val="fr-CA"/>
        </w:rPr>
        <w:t xml:space="preserve"> </w:t>
      </w:r>
      <w:proofErr w:type="spellStart"/>
      <w:r w:rsidRPr="00132F5E">
        <w:rPr>
          <w:lang w:val="fr-CA"/>
        </w:rPr>
        <w:t>Kiselbach</w:t>
      </w:r>
      <w:proofErr w:type="spellEnd"/>
      <w:r w:rsidRPr="00132F5E">
        <w:rPr>
          <w:lang w:val="fr-CA"/>
        </w:rPr>
        <w:t xml:space="preserve">, </w:t>
      </w:r>
      <w:r>
        <w:rPr>
          <w:lang w:val="fr-CA"/>
        </w:rPr>
        <w:t xml:space="preserve">il est évident qu’elle est fortement engagée dans les questions soulevées.  Non seulement </w:t>
      </w:r>
      <w:proofErr w:type="spellStart"/>
      <w:r>
        <w:rPr>
          <w:lang w:val="fr-CA"/>
        </w:rPr>
        <w:t>soutient</w:t>
      </w:r>
      <w:r>
        <w:rPr>
          <w:lang w:val="fr-CA"/>
        </w:rPr>
        <w:noBreakHyphen/>
        <w:t>elle</w:t>
      </w:r>
      <w:proofErr w:type="spellEnd"/>
      <w:r>
        <w:rPr>
          <w:lang w:val="fr-CA"/>
        </w:rPr>
        <w:t xml:space="preserve"> que les lois relatives à la prostitution l’ont directement et considérablement affectée durant 30 ans (</w:t>
      </w:r>
      <w:proofErr w:type="gramStart"/>
      <w:r w:rsidR="00B620C1">
        <w:rPr>
          <w:lang w:val="fr-CA"/>
        </w:rPr>
        <w:t>d</w:t>
      </w:r>
      <w:r w:rsidRPr="00DA5DF2">
        <w:rPr>
          <w:lang w:val="fr-CA"/>
        </w:rPr>
        <w:t>.</w:t>
      </w:r>
      <w:r w:rsidR="00B620C1">
        <w:rPr>
          <w:lang w:val="fr-CA"/>
        </w:rPr>
        <w:t>a</w:t>
      </w:r>
      <w:r w:rsidRPr="00DA5DF2">
        <w:rPr>
          <w:lang w:val="fr-CA"/>
        </w:rPr>
        <w:t>.,</w:t>
      </w:r>
      <w:proofErr w:type="gramEnd"/>
      <w:r w:rsidRPr="00132F5E">
        <w:rPr>
          <w:lang w:val="fr-CA"/>
        </w:rPr>
        <w:t xml:space="preserve"> </w:t>
      </w:r>
      <w:r>
        <w:rPr>
          <w:lang w:val="fr-CA"/>
        </w:rPr>
        <w:t>vol. </w:t>
      </w:r>
      <w:r w:rsidRPr="00132F5E">
        <w:rPr>
          <w:lang w:val="fr-CA"/>
        </w:rPr>
        <w:t xml:space="preserve">IV, </w:t>
      </w:r>
      <w:r>
        <w:rPr>
          <w:lang w:val="fr-CA"/>
        </w:rPr>
        <w:t>p. </w:t>
      </w:r>
      <w:r w:rsidRPr="00132F5E">
        <w:rPr>
          <w:lang w:val="fr-CA"/>
        </w:rPr>
        <w:t>1</w:t>
      </w:r>
      <w:r>
        <w:rPr>
          <w:lang w:val="fr-CA"/>
        </w:rPr>
        <w:t>5</w:t>
      </w:r>
      <w:r>
        <w:rPr>
          <w:lang w:val="fr-CA"/>
        </w:rPr>
        <w:noBreakHyphen/>
        <w:t>17</w:t>
      </w:r>
      <w:r w:rsidRPr="00132F5E">
        <w:rPr>
          <w:lang w:val="fr-CA"/>
        </w:rPr>
        <w:t xml:space="preserve">), </w:t>
      </w:r>
      <w:r>
        <w:rPr>
          <w:lang w:val="fr-CA"/>
        </w:rPr>
        <w:t xml:space="preserve">mais elle souligne également qu’elle est maintenant employée </w:t>
      </w:r>
      <w:r>
        <w:rPr>
          <w:szCs w:val="24"/>
          <w:lang w:val="fr-CA"/>
        </w:rPr>
        <w:t xml:space="preserve">comme </w:t>
      </w:r>
      <w:r w:rsidRPr="00DA5DF2">
        <w:rPr>
          <w:szCs w:val="24"/>
          <w:lang w:val="fr-CA"/>
        </w:rPr>
        <w:t>coordonnatrice de la prévention de la violence.</w:t>
      </w:r>
      <w:r w:rsidRPr="00132F5E">
        <w:rPr>
          <w:szCs w:val="24"/>
          <w:lang w:val="fr-CA"/>
        </w:rPr>
        <w:t xml:space="preserve"> </w:t>
      </w:r>
    </w:p>
    <w:p w:rsidR="00D867A4" w:rsidRPr="00132F5E" w:rsidRDefault="00D867A4" w:rsidP="00B620C1">
      <w:pPr>
        <w:pStyle w:val="TitleTitre-AltT"/>
        <w:keepNext/>
        <w:tabs>
          <w:tab w:val="clear" w:pos="360"/>
          <w:tab w:val="left" w:pos="540"/>
        </w:tabs>
        <w:ind w:left="1170" w:hanging="1170"/>
        <w:rPr>
          <w:lang w:val="fr-CA"/>
        </w:rPr>
      </w:pPr>
      <w:r w:rsidRPr="00132F5E">
        <w:rPr>
          <w:lang w:val="fr-CA"/>
        </w:rPr>
        <w:tab/>
        <w:t>c</w:t>
      </w:r>
      <w:r>
        <w:rPr>
          <w:lang w:val="fr-CA"/>
        </w:rPr>
        <w:t>)</w:t>
      </w:r>
      <w:r>
        <w:rPr>
          <w:lang w:val="fr-CA"/>
        </w:rPr>
        <w:tab/>
      </w:r>
      <w:r w:rsidRPr="00B32628">
        <w:rPr>
          <w:i/>
          <w:lang w:val="fr-CA"/>
        </w:rPr>
        <w:t>Les m</w:t>
      </w:r>
      <w:r>
        <w:rPr>
          <w:i/>
          <w:lang w:val="fr-CA"/>
        </w:rPr>
        <w:t xml:space="preserve">anières raisonnables et efficaces de soumettre la question à la cour </w:t>
      </w:r>
    </w:p>
    <w:p w:rsidR="00D867A4" w:rsidRPr="00132F5E" w:rsidRDefault="00D867A4" w:rsidP="00D867A4">
      <w:pPr>
        <w:pStyle w:val="ParaNoNdepar-AltN"/>
        <w:rPr>
          <w:szCs w:val="24"/>
          <w:lang w:val="fr-CA"/>
        </w:rPr>
      </w:pPr>
      <w:r>
        <w:rPr>
          <w:szCs w:val="24"/>
          <w:lang w:val="fr-CA"/>
        </w:rPr>
        <w:t>Pour des raisons faciles à comprendre, le juge en cabinet a considéré la formulation traditionnelle de ce facteur comme une exigence d’un test d’application stricte.  Il a rejeté l’argument des intimées selon lequel la qualité pour agir aurait dû leur être reconnue parce que leur action était [</w:t>
      </w:r>
      <w:r w:rsidRPr="00F8684B">
        <w:rPr>
          <w:smallCaps/>
          <w:szCs w:val="24"/>
          <w:lang w:val="fr-CA"/>
        </w:rPr>
        <w:t>traduction</w:t>
      </w:r>
      <w:r>
        <w:rPr>
          <w:szCs w:val="24"/>
          <w:lang w:val="fr-CA"/>
        </w:rPr>
        <w:t>] « </w:t>
      </w:r>
      <w:r w:rsidR="00812674">
        <w:rPr>
          <w:szCs w:val="24"/>
          <w:lang w:val="fr-CA"/>
        </w:rPr>
        <w:t>[</w:t>
      </w:r>
      <w:r>
        <w:rPr>
          <w:szCs w:val="24"/>
          <w:lang w:val="fr-CA"/>
        </w:rPr>
        <w:t>l</w:t>
      </w:r>
      <w:r w:rsidR="00812674">
        <w:rPr>
          <w:szCs w:val="24"/>
          <w:lang w:val="fr-CA"/>
        </w:rPr>
        <w:t>]</w:t>
      </w:r>
      <w:r>
        <w:rPr>
          <w:szCs w:val="24"/>
          <w:lang w:val="fr-CA"/>
        </w:rPr>
        <w:t>a manière la plus raisonnable et efficace » de soumettre la présente contestation à la cour.  Le juge a souligné que cet argument dénaturait le critère formulé par la Cour et qu’il était « tenu d’appliquer » le critère exigeant que les intimées démontrent qu’« il n’y a pas d’autres manières raisonnables et efficaces de soumettre la question à la cour » (par. </w:t>
      </w:r>
      <w:r w:rsidRPr="00132F5E">
        <w:rPr>
          <w:szCs w:val="24"/>
          <w:lang w:val="fr-CA"/>
        </w:rPr>
        <w:t>84</w:t>
      </w:r>
      <w:r w:rsidR="00B620C1">
        <w:rPr>
          <w:szCs w:val="24"/>
          <w:lang w:val="fr-CA"/>
        </w:rPr>
        <w:t>-</w:t>
      </w:r>
      <w:r w:rsidRPr="00132F5E">
        <w:rPr>
          <w:szCs w:val="24"/>
          <w:lang w:val="fr-CA"/>
        </w:rPr>
        <w:t>85</w:t>
      </w:r>
      <w:r>
        <w:rPr>
          <w:szCs w:val="24"/>
          <w:lang w:val="fr-CA"/>
        </w:rPr>
        <w:t xml:space="preserve">).  Toutefois, pour les motifs que j’ai déjà formulés, un tel examen du troisième facteur devrait être considéré comme une erreur de principe.  Nous devons </w:t>
      </w:r>
      <w:r>
        <w:rPr>
          <w:szCs w:val="24"/>
          <w:lang w:val="fr-CA"/>
        </w:rPr>
        <w:lastRenderedPageBreak/>
        <w:t xml:space="preserve">donc réévaluer le poids qu’il convient de donner à ce facteur </w:t>
      </w:r>
      <w:r w:rsidRPr="0009452C">
        <w:rPr>
          <w:szCs w:val="24"/>
          <w:lang w:val="fr-CA"/>
        </w:rPr>
        <w:t>lorsqu</w:t>
      </w:r>
      <w:r>
        <w:rPr>
          <w:szCs w:val="24"/>
          <w:lang w:val="fr-CA"/>
        </w:rPr>
        <w:t>’</w:t>
      </w:r>
      <w:r w:rsidRPr="0009452C">
        <w:rPr>
          <w:szCs w:val="24"/>
          <w:lang w:val="fr-CA"/>
        </w:rPr>
        <w:t xml:space="preserve">il est pris en compte </w:t>
      </w:r>
      <w:r>
        <w:rPr>
          <w:szCs w:val="24"/>
          <w:lang w:val="fr-CA"/>
        </w:rPr>
        <w:t>de manière</w:t>
      </w:r>
      <w:r w:rsidRPr="0009452C">
        <w:rPr>
          <w:szCs w:val="24"/>
          <w:lang w:val="fr-CA"/>
        </w:rPr>
        <w:t xml:space="preserve"> téléologique et souple.</w:t>
      </w:r>
      <w:r>
        <w:rPr>
          <w:szCs w:val="24"/>
          <w:lang w:val="fr-CA"/>
        </w:rPr>
        <w:t xml:space="preserve">  </w:t>
      </w:r>
    </w:p>
    <w:p w:rsidR="00D867A4" w:rsidRPr="00132F5E" w:rsidRDefault="00D867A4" w:rsidP="00D867A4">
      <w:pPr>
        <w:pStyle w:val="ParaNoNdepar-AltN"/>
        <w:rPr>
          <w:lang w:val="fr-CA"/>
        </w:rPr>
      </w:pPr>
      <w:r>
        <w:rPr>
          <w:szCs w:val="24"/>
          <w:lang w:val="fr-CA"/>
        </w:rPr>
        <w:t xml:space="preserve">Le juge en cabinet était préoccupé par trois questions connexes qui, selon lui, militaient fortement contre la reconnaissance de la qualité pour agir dans l’intérêt public.  Premièrement, il croyait que l’existence de l’affaire </w:t>
      </w:r>
      <w:r w:rsidRPr="00132F5E">
        <w:rPr>
          <w:i/>
          <w:szCs w:val="24"/>
          <w:lang w:val="fr-CA"/>
        </w:rPr>
        <w:t>Bedford</w:t>
      </w:r>
      <w:r w:rsidRPr="00132F5E">
        <w:rPr>
          <w:szCs w:val="24"/>
          <w:lang w:val="fr-CA"/>
        </w:rPr>
        <w:t xml:space="preserve"> </w:t>
      </w:r>
      <w:r>
        <w:rPr>
          <w:szCs w:val="24"/>
          <w:lang w:val="fr-CA"/>
        </w:rPr>
        <w:t xml:space="preserve">en </w:t>
      </w:r>
      <w:r w:rsidRPr="00132F5E">
        <w:rPr>
          <w:szCs w:val="24"/>
          <w:lang w:val="fr-CA"/>
        </w:rPr>
        <w:t xml:space="preserve">Ontario </w:t>
      </w:r>
      <w:r>
        <w:rPr>
          <w:szCs w:val="24"/>
          <w:lang w:val="fr-CA"/>
        </w:rPr>
        <w:t xml:space="preserve">démontrait qu’il pourrait y avoir de nombreux autres demandeurs susceptibles de soulever en grand nombre les mêmes points.  Deuxièmement, il a remarqué que de nombreuses poursuites criminelles avaient été engagées </w:t>
      </w:r>
      <w:r w:rsidRPr="003F3C55">
        <w:rPr>
          <w:szCs w:val="24"/>
          <w:lang w:val="fr-CA"/>
        </w:rPr>
        <w:t>en application</w:t>
      </w:r>
      <w:r>
        <w:rPr>
          <w:szCs w:val="24"/>
          <w:lang w:val="fr-CA"/>
        </w:rPr>
        <w:t xml:space="preserve"> des dispositions contestées et que l’accusé dans chacune de ces poursuites pouvait de plein droit soulever des questions constitutionnelles.  Enfin, il n’était pas convaincu que des travailleurs du sexe ne pouvaient pas, de leur propre chef, faire valoir la contestation en tant que parties privées.  Je vais examiner chacune de ces préoccupations successivement.</w:t>
      </w:r>
      <w:r w:rsidRPr="00132F5E">
        <w:rPr>
          <w:szCs w:val="24"/>
          <w:lang w:val="fr-CA"/>
        </w:rPr>
        <w:t xml:space="preserve">  </w:t>
      </w:r>
    </w:p>
    <w:p w:rsidR="00D867A4" w:rsidRPr="00132F5E" w:rsidRDefault="00D867A4" w:rsidP="00D867A4">
      <w:pPr>
        <w:pStyle w:val="ParaNoNdepar-AltN"/>
        <w:rPr>
          <w:lang w:val="fr-CA"/>
        </w:rPr>
      </w:pPr>
      <w:r>
        <w:rPr>
          <w:szCs w:val="24"/>
          <w:lang w:val="fr-CA"/>
        </w:rPr>
        <w:t xml:space="preserve">Le juge était d’abord préoccupé par le litige connexe en cours en Ontario, soit l’affaire </w:t>
      </w:r>
      <w:r w:rsidRPr="00132F5E">
        <w:rPr>
          <w:i/>
          <w:szCs w:val="24"/>
          <w:lang w:val="fr-CA"/>
        </w:rPr>
        <w:t>Bedford</w:t>
      </w:r>
      <w:r>
        <w:rPr>
          <w:szCs w:val="24"/>
          <w:lang w:val="fr-CA"/>
        </w:rPr>
        <w:t>.  Il a souligné que le fait qu’il y ait une autre affaire en matière civile dans une autre province et dans laquelle plusieurs des mêmes questions sont soulevées [</w:t>
      </w:r>
      <w:r>
        <w:rPr>
          <w:smallCaps/>
          <w:szCs w:val="24"/>
          <w:lang w:val="fr-CA"/>
        </w:rPr>
        <w:t>traduction] « </w:t>
      </w:r>
      <w:r>
        <w:rPr>
          <w:szCs w:val="24"/>
          <w:lang w:val="fr-CA"/>
        </w:rPr>
        <w:t>ne constituerait pas nécessairement un motif suffisant pour conclure que la présente instance [. . .]</w:t>
      </w:r>
      <w:r w:rsidRPr="00132F5E">
        <w:rPr>
          <w:szCs w:val="24"/>
          <w:lang w:val="fr-CA"/>
        </w:rPr>
        <w:t xml:space="preserve"> </w:t>
      </w:r>
      <w:r>
        <w:rPr>
          <w:szCs w:val="24"/>
          <w:lang w:val="fr-CA"/>
        </w:rPr>
        <w:t>ne devrait pas procéder », mais cela « illustre que si la qualité pour agir n’est pas accordée [. . .], il pourrait tout de même y avoir des demandeurs ayant la qualité pour agir</w:t>
      </w:r>
      <w:r w:rsidRPr="00132F5E">
        <w:rPr>
          <w:szCs w:val="24"/>
          <w:lang w:val="fr-CA"/>
        </w:rPr>
        <w:t xml:space="preserve"> </w:t>
      </w:r>
      <w:r>
        <w:rPr>
          <w:szCs w:val="24"/>
          <w:lang w:val="fr-CA"/>
        </w:rPr>
        <w:t xml:space="preserve">qui pourraient, s’ils décidaient de le faire, soumettre à la cour l’ensemble de ces questions » </w:t>
      </w:r>
      <w:r w:rsidRPr="00132F5E">
        <w:rPr>
          <w:szCs w:val="24"/>
          <w:lang w:val="fr-CA"/>
        </w:rPr>
        <w:t>(</w:t>
      </w:r>
      <w:r>
        <w:rPr>
          <w:szCs w:val="24"/>
          <w:lang w:val="fr-CA"/>
        </w:rPr>
        <w:t>par. </w:t>
      </w:r>
      <w:r w:rsidRPr="00132F5E">
        <w:rPr>
          <w:szCs w:val="24"/>
          <w:lang w:val="fr-CA"/>
        </w:rPr>
        <w:t xml:space="preserve">75). </w:t>
      </w:r>
    </w:p>
    <w:p w:rsidR="00D867A4" w:rsidRPr="00132F5E" w:rsidRDefault="00D867A4" w:rsidP="00D867A4">
      <w:pPr>
        <w:pStyle w:val="ParaNoNdepar-AltN"/>
        <w:rPr>
          <w:lang w:val="fr-CA"/>
        </w:rPr>
      </w:pPr>
      <w:r>
        <w:rPr>
          <w:lang w:val="fr-CA"/>
        </w:rPr>
        <w:lastRenderedPageBreak/>
        <w:t>L’existence d’une instance parallèle</w:t>
      </w:r>
      <w:r w:rsidRPr="00132F5E">
        <w:rPr>
          <w:lang w:val="fr-CA"/>
        </w:rPr>
        <w:t xml:space="preserve"> </w:t>
      </w:r>
      <w:r>
        <w:rPr>
          <w:lang w:val="fr-CA"/>
        </w:rPr>
        <w:t>constitue certainement un facteur hautement pertinent qui milite souvent contre la reconnaissance de la qualité pour agir.  Je conviens cependant avec le juge en cabinet que l’existence d’une affaire civile dans une autre province</w:t>
      </w:r>
      <w:r w:rsidRPr="00132F5E">
        <w:rPr>
          <w:lang w:val="fr-CA"/>
        </w:rPr>
        <w:t xml:space="preserve"> </w:t>
      </w:r>
      <w:r w:rsidRPr="00132F5E">
        <w:rPr>
          <w:rFonts w:cs="Times New Roman"/>
          <w:lang w:val="fr-CA"/>
        </w:rPr>
        <w:t>―</w:t>
      </w:r>
      <w:r w:rsidRPr="00132F5E">
        <w:rPr>
          <w:lang w:val="fr-CA"/>
        </w:rPr>
        <w:t xml:space="preserve"> </w:t>
      </w:r>
      <w:r>
        <w:rPr>
          <w:lang w:val="fr-CA"/>
        </w:rPr>
        <w:t>même si elle soulève beaucoup de questions</w:t>
      </w:r>
      <w:r w:rsidRPr="00132F5E">
        <w:rPr>
          <w:lang w:val="fr-CA"/>
        </w:rPr>
        <w:t xml:space="preserve"> </w:t>
      </w:r>
      <w:r>
        <w:rPr>
          <w:lang w:val="fr-CA"/>
        </w:rPr>
        <w:t xml:space="preserve">identiques </w:t>
      </w:r>
      <w:r w:rsidRPr="00132F5E">
        <w:rPr>
          <w:rFonts w:cs="Times New Roman"/>
          <w:lang w:val="fr-CA"/>
        </w:rPr>
        <w:t>―</w:t>
      </w:r>
      <w:r w:rsidRPr="00132F5E">
        <w:rPr>
          <w:lang w:val="fr-CA"/>
        </w:rPr>
        <w:t xml:space="preserve"> </w:t>
      </w:r>
      <w:r>
        <w:rPr>
          <w:lang w:val="fr-CA"/>
        </w:rPr>
        <w:t>n’est pas nécessairement un motif suffisant pour refuser de reconnaître la qualité pour agir.  Cela s’explique de plusieurs façons.</w:t>
      </w:r>
    </w:p>
    <w:p w:rsidR="00D867A4" w:rsidRPr="00132F5E" w:rsidRDefault="00D867A4" w:rsidP="00D867A4">
      <w:pPr>
        <w:pStyle w:val="ParaNoNdepar-AltN"/>
        <w:rPr>
          <w:lang w:val="fr-CA"/>
        </w:rPr>
      </w:pPr>
      <w:r>
        <w:rPr>
          <w:lang w:val="fr-CA"/>
        </w:rPr>
        <w:t xml:space="preserve">Premièrement, compte tenu de l’organisation provinciale de nos cours supérieures, les décisions rendues par celles d’une province ne lient pas les cours des autres provinces.  Ainsi, une instance dans une province n’apporte pas nécessairement une réponse complète au demandeur qui désire intenter une poursuite sur des questions semblables dans une autre province.  Il faut donc évaluer de façon pratique et pragmatique si le fait d’avoir des instances parallèles dans des provinces différentes constitue une approche raisonnable et efficace dans les circonstances particulières de l’espèce.  Deuxièmement, les questions soulevées dans l’affaire </w:t>
      </w:r>
      <w:r w:rsidRPr="00132F5E">
        <w:rPr>
          <w:i/>
          <w:lang w:val="fr-CA"/>
        </w:rPr>
        <w:t>Bedford</w:t>
      </w:r>
      <w:r w:rsidRPr="00132F5E">
        <w:rPr>
          <w:lang w:val="fr-CA"/>
        </w:rPr>
        <w:t xml:space="preserve"> </w:t>
      </w:r>
      <w:r>
        <w:rPr>
          <w:lang w:val="fr-CA"/>
        </w:rPr>
        <w:t>ne sont pas identiques à celles soulevées en l’espèce</w:t>
      </w:r>
      <w:r w:rsidRPr="00132F5E">
        <w:rPr>
          <w:lang w:val="fr-CA"/>
        </w:rPr>
        <w:t>.</w:t>
      </w:r>
      <w:r>
        <w:rPr>
          <w:lang w:val="fr-CA"/>
        </w:rPr>
        <w:t xml:space="preserve"> </w:t>
      </w:r>
      <w:r w:rsidRPr="00132F5E">
        <w:rPr>
          <w:lang w:val="fr-CA"/>
        </w:rPr>
        <w:t xml:space="preserve"> </w:t>
      </w:r>
      <w:r>
        <w:rPr>
          <w:lang w:val="fr-CA"/>
        </w:rPr>
        <w:t xml:space="preserve">En effet, contrairement à la présente affaire, l’affaire </w:t>
      </w:r>
      <w:r w:rsidRPr="00132F5E">
        <w:rPr>
          <w:i/>
          <w:lang w:val="fr-CA"/>
        </w:rPr>
        <w:t>Bedford</w:t>
      </w:r>
      <w:r w:rsidRPr="00132F5E">
        <w:rPr>
          <w:lang w:val="fr-CA"/>
        </w:rPr>
        <w:t xml:space="preserve"> </w:t>
      </w:r>
      <w:r>
        <w:rPr>
          <w:lang w:val="fr-CA"/>
        </w:rPr>
        <w:t>ne vise pas la contestation de l’art. </w:t>
      </w:r>
      <w:r w:rsidRPr="00132F5E">
        <w:rPr>
          <w:lang w:val="fr-CA"/>
        </w:rPr>
        <w:t xml:space="preserve">211, </w:t>
      </w:r>
      <w:r>
        <w:rPr>
          <w:lang w:val="fr-CA"/>
        </w:rPr>
        <w:t>des al. 212(1)</w:t>
      </w:r>
      <w:r w:rsidRPr="00132F5E">
        <w:rPr>
          <w:i/>
          <w:lang w:val="fr-CA"/>
        </w:rPr>
        <w:t>a</w:t>
      </w:r>
      <w:r w:rsidRPr="00132F5E">
        <w:rPr>
          <w:lang w:val="fr-CA"/>
        </w:rPr>
        <w:t>),</w:t>
      </w:r>
      <w:r>
        <w:rPr>
          <w:lang w:val="fr-CA"/>
        </w:rPr>
        <w:t xml:space="preserve"> </w:t>
      </w:r>
      <w:r w:rsidRPr="00132F5E">
        <w:rPr>
          <w:i/>
          <w:lang w:val="fr-CA"/>
        </w:rPr>
        <w:t>b</w:t>
      </w:r>
      <w:r w:rsidRPr="00132F5E">
        <w:rPr>
          <w:lang w:val="fr-CA"/>
        </w:rPr>
        <w:t>),</w:t>
      </w:r>
      <w:r>
        <w:rPr>
          <w:lang w:val="fr-CA"/>
        </w:rPr>
        <w:t xml:space="preserve"> </w:t>
      </w:r>
      <w:r w:rsidRPr="00132F5E">
        <w:rPr>
          <w:i/>
          <w:lang w:val="fr-CA"/>
        </w:rPr>
        <w:t>c</w:t>
      </w:r>
      <w:r w:rsidRPr="00132F5E">
        <w:rPr>
          <w:lang w:val="fr-CA"/>
        </w:rPr>
        <w:t>),</w:t>
      </w:r>
      <w:r>
        <w:rPr>
          <w:lang w:val="fr-CA"/>
        </w:rPr>
        <w:t xml:space="preserve"> </w:t>
      </w:r>
      <w:r w:rsidRPr="00132F5E">
        <w:rPr>
          <w:i/>
          <w:lang w:val="fr-CA"/>
        </w:rPr>
        <w:t>d</w:t>
      </w:r>
      <w:r w:rsidRPr="00132F5E">
        <w:rPr>
          <w:lang w:val="fr-CA"/>
        </w:rPr>
        <w:t>),</w:t>
      </w:r>
      <w:r>
        <w:rPr>
          <w:lang w:val="fr-CA"/>
        </w:rPr>
        <w:t xml:space="preserve"> </w:t>
      </w:r>
      <w:r w:rsidRPr="00132F5E">
        <w:rPr>
          <w:i/>
          <w:lang w:val="fr-CA"/>
        </w:rPr>
        <w:t>e</w:t>
      </w:r>
      <w:r w:rsidRPr="00132F5E">
        <w:rPr>
          <w:lang w:val="fr-CA"/>
        </w:rPr>
        <w:t>)</w:t>
      </w:r>
      <w:r>
        <w:rPr>
          <w:lang w:val="fr-CA"/>
        </w:rPr>
        <w:t xml:space="preserve">, </w:t>
      </w:r>
      <w:r w:rsidRPr="00132F5E">
        <w:rPr>
          <w:i/>
          <w:lang w:val="fr-CA"/>
        </w:rPr>
        <w:t>f</w:t>
      </w:r>
      <w:r w:rsidRPr="00132F5E">
        <w:rPr>
          <w:lang w:val="fr-CA"/>
        </w:rPr>
        <w:t>)</w:t>
      </w:r>
      <w:r>
        <w:rPr>
          <w:lang w:val="fr-CA"/>
        </w:rPr>
        <w:t xml:space="preserve"> et </w:t>
      </w:r>
      <w:r w:rsidRPr="000A2722">
        <w:rPr>
          <w:i/>
          <w:lang w:val="fr-CA"/>
        </w:rPr>
        <w:t>h</w:t>
      </w:r>
      <w:r>
        <w:rPr>
          <w:lang w:val="fr-CA"/>
        </w:rPr>
        <w:t>)</w:t>
      </w:r>
      <w:r w:rsidRPr="00132F5E">
        <w:rPr>
          <w:lang w:val="fr-CA"/>
        </w:rPr>
        <w:t xml:space="preserve"> </w:t>
      </w:r>
      <w:r>
        <w:rPr>
          <w:lang w:val="fr-CA"/>
        </w:rPr>
        <w:t>et du par. 212</w:t>
      </w:r>
      <w:r w:rsidRPr="00132F5E">
        <w:rPr>
          <w:lang w:val="fr-CA"/>
        </w:rPr>
        <w:t xml:space="preserve">(3) </w:t>
      </w:r>
      <w:r>
        <w:rPr>
          <w:lang w:val="fr-CA"/>
        </w:rPr>
        <w:t xml:space="preserve">du </w:t>
      </w:r>
      <w:r w:rsidR="00D609CA">
        <w:rPr>
          <w:i/>
          <w:lang w:val="fr-CA"/>
        </w:rPr>
        <w:t>Code criminel</w:t>
      </w:r>
      <w:r>
        <w:rPr>
          <w:lang w:val="fr-CA"/>
        </w:rPr>
        <w:t xml:space="preserve"> et ne conteste aucune disposition sur le fondement de l’al. 2</w:t>
      </w:r>
      <w:r w:rsidRPr="00132F5E">
        <w:rPr>
          <w:i/>
          <w:lang w:val="fr-CA"/>
        </w:rPr>
        <w:t>d</w:t>
      </w:r>
      <w:r>
        <w:rPr>
          <w:lang w:val="fr-CA"/>
        </w:rPr>
        <w:t>) ou sur l’art. </w:t>
      </w:r>
      <w:r w:rsidRPr="00132F5E">
        <w:rPr>
          <w:lang w:val="fr-CA"/>
        </w:rPr>
        <w:t xml:space="preserve">15 </w:t>
      </w:r>
      <w:r>
        <w:rPr>
          <w:lang w:val="fr-CA"/>
        </w:rPr>
        <w:t xml:space="preserve">de la </w:t>
      </w:r>
      <w:r>
        <w:rPr>
          <w:i/>
          <w:lang w:val="fr-CA"/>
        </w:rPr>
        <w:t>Charte</w:t>
      </w:r>
      <w:r>
        <w:rPr>
          <w:lang w:val="fr-CA"/>
        </w:rPr>
        <w:t xml:space="preserve">.  En outre, comme nous l’avons vu, le tribunal doit examiner non seulement la question juridique précise posée, mais aussi le contexte dans lequel elle l’est.  Or, les contextes qui sont à l’origine des contestations dans l’affaire </w:t>
      </w:r>
      <w:r w:rsidRPr="00132F5E">
        <w:rPr>
          <w:i/>
          <w:lang w:val="fr-CA"/>
        </w:rPr>
        <w:t>Bedford</w:t>
      </w:r>
      <w:r w:rsidRPr="00132F5E">
        <w:rPr>
          <w:lang w:val="fr-CA"/>
        </w:rPr>
        <w:t xml:space="preserve"> </w:t>
      </w:r>
      <w:r>
        <w:rPr>
          <w:lang w:val="fr-CA"/>
        </w:rPr>
        <w:t xml:space="preserve">et dans la présente affaire sont très différents.  Les </w:t>
      </w:r>
      <w:proofErr w:type="spellStart"/>
      <w:r>
        <w:rPr>
          <w:lang w:val="fr-CA"/>
        </w:rPr>
        <w:t>demanderesses</w:t>
      </w:r>
      <w:proofErr w:type="spellEnd"/>
      <w:r>
        <w:rPr>
          <w:lang w:val="fr-CA"/>
        </w:rPr>
        <w:t xml:space="preserve"> dans l’affaire </w:t>
      </w:r>
      <w:r w:rsidRPr="00132F5E">
        <w:rPr>
          <w:i/>
          <w:lang w:val="fr-CA"/>
        </w:rPr>
        <w:t xml:space="preserve">Bedford </w:t>
      </w:r>
      <w:r>
        <w:rPr>
          <w:lang w:val="fr-CA"/>
        </w:rPr>
        <w:t xml:space="preserve">n’étaient pas principalement des </w:t>
      </w:r>
      <w:r>
        <w:rPr>
          <w:lang w:val="fr-CA"/>
        </w:rPr>
        <w:lastRenderedPageBreak/>
        <w:t>travailleuses de l’industrie du sexe qui exerçait leur métier dans la rue, tandis que, en l’espèce, ce sont elles qui sont au cœur du débat</w:t>
      </w:r>
      <w:r w:rsidRPr="00132F5E">
        <w:rPr>
          <w:lang w:val="fr-CA"/>
        </w:rPr>
        <w:t xml:space="preserve">. </w:t>
      </w:r>
      <w:r>
        <w:rPr>
          <w:lang w:val="fr-CA"/>
        </w:rPr>
        <w:t xml:space="preserve"> Comme l’argument d’inconstitutionnalité des lois relatives à la prostitution porte principalement sur les effets qu’elles ont sur ces travailleurs, les intimées en l’espèce fondent leurs contestations dans un contexte distinctif.  Troisièmement, mise à part la mesure radicale qui consiste à ne pas reconnaître la qualité pour agir, il pourrait y avoir d’autres stratégies en matière de gestion des litiges visant à assurer l’utilisation efficiente et efficace des ressources judiciaires.  Par exemple, les intimées auraient suggéré que leur pourvoi devant la Cour soit suspendu dans l’attente de l’issue de l’affaire</w:t>
      </w:r>
      <w:r w:rsidRPr="00132F5E">
        <w:rPr>
          <w:i/>
          <w:lang w:val="fr-CA"/>
        </w:rPr>
        <w:t xml:space="preserve"> Bedford</w:t>
      </w:r>
      <w:r>
        <w:rPr>
          <w:lang w:val="fr-CA"/>
        </w:rPr>
        <w:t xml:space="preserve">.  La suspension des procédures jusqu’au règlement d’autres instances est, de fait, une possibilité qui devrait être prise en compte </w:t>
      </w:r>
      <w:r w:rsidRPr="00CB3EFC">
        <w:rPr>
          <w:lang w:val="fr-CA"/>
        </w:rPr>
        <w:t>lors de l</w:t>
      </w:r>
      <w:r>
        <w:rPr>
          <w:lang w:val="fr-CA"/>
        </w:rPr>
        <w:t>’</w:t>
      </w:r>
      <w:r w:rsidRPr="00CB3EFC">
        <w:rPr>
          <w:lang w:val="fr-CA"/>
        </w:rPr>
        <w:t xml:space="preserve">exercice du pouvoir discrétionnaire </w:t>
      </w:r>
      <w:r>
        <w:rPr>
          <w:lang w:val="fr-CA"/>
        </w:rPr>
        <w:t>de reconnaître ou non</w:t>
      </w:r>
      <w:r w:rsidRPr="00CB3EFC">
        <w:rPr>
          <w:lang w:val="fr-CA"/>
        </w:rPr>
        <w:t xml:space="preserve"> la qualité pour agir</w:t>
      </w:r>
      <w:r>
        <w:rPr>
          <w:lang w:val="fr-CA"/>
        </w:rPr>
        <w:t xml:space="preserve">. </w:t>
      </w:r>
    </w:p>
    <w:p w:rsidR="00D867A4" w:rsidRPr="003F3C55" w:rsidRDefault="00D867A4" w:rsidP="00D867A4">
      <w:pPr>
        <w:pStyle w:val="ParaNoNdepar-AltN"/>
        <w:rPr>
          <w:lang w:val="fr-CA"/>
        </w:rPr>
      </w:pPr>
      <w:r>
        <w:rPr>
          <w:lang w:val="fr-CA"/>
        </w:rPr>
        <w:t xml:space="preserve">En tenant compte de ce qui précède, l’existence de l’affaire </w:t>
      </w:r>
      <w:r w:rsidRPr="00132F5E">
        <w:rPr>
          <w:i/>
          <w:lang w:val="fr-CA"/>
        </w:rPr>
        <w:t>Bedford</w:t>
      </w:r>
      <w:r>
        <w:rPr>
          <w:lang w:val="fr-CA"/>
        </w:rPr>
        <w:t xml:space="preserve"> en </w:t>
      </w:r>
      <w:r w:rsidRPr="00132F5E">
        <w:rPr>
          <w:lang w:val="fr-CA"/>
        </w:rPr>
        <w:t>Ontario</w:t>
      </w:r>
      <w:r>
        <w:rPr>
          <w:lang w:val="fr-CA"/>
        </w:rPr>
        <w:t>, dans les circonstances de la présente affaire,</w:t>
      </w:r>
      <w:r w:rsidRPr="00132F5E">
        <w:rPr>
          <w:lang w:val="fr-CA"/>
        </w:rPr>
        <w:t xml:space="preserve"> </w:t>
      </w:r>
      <w:r>
        <w:rPr>
          <w:lang w:val="fr-CA"/>
        </w:rPr>
        <w:t xml:space="preserve">ne me semble pas peser très lourd contre les intimées lorsqu’il s’agit de déterminer si la poursuite qu’elles ont intentée constitue une manière raisonnable et efficace de soumettre à la cour les allégations formulées.  À mon avis, il n’a pas été démontré que cette autre affaire </w:t>
      </w:r>
      <w:r w:rsidRPr="003F3C55">
        <w:rPr>
          <w:lang w:val="fr-CA"/>
        </w:rPr>
        <w:t>constituait une manière plus raisonnable et efficace d</w:t>
      </w:r>
      <w:r>
        <w:rPr>
          <w:lang w:val="fr-CA"/>
        </w:rPr>
        <w:t>’</w:t>
      </w:r>
      <w:r w:rsidRPr="003F3C55">
        <w:rPr>
          <w:lang w:val="fr-CA"/>
        </w:rPr>
        <w:t xml:space="preserve">y arriver. </w:t>
      </w:r>
    </w:p>
    <w:p w:rsidR="00D867A4" w:rsidRPr="00132F5E" w:rsidRDefault="00D867A4" w:rsidP="00D867A4">
      <w:pPr>
        <w:pStyle w:val="ParaNoNdepar-AltN"/>
        <w:rPr>
          <w:lang w:val="fr-CA"/>
        </w:rPr>
      </w:pPr>
      <w:r>
        <w:rPr>
          <w:lang w:val="fr-CA"/>
        </w:rPr>
        <w:t xml:space="preserve">Le deuxième point dont le juge en cabinet était préoccupé concernait les centaines de poursuites engagées chaque année en </w:t>
      </w:r>
      <w:proofErr w:type="spellStart"/>
      <w:r>
        <w:rPr>
          <w:lang w:val="fr-CA"/>
        </w:rPr>
        <w:t>Colombie</w:t>
      </w:r>
      <w:r>
        <w:rPr>
          <w:lang w:val="fr-CA"/>
        </w:rPr>
        <w:noBreakHyphen/>
        <w:t>Britannique</w:t>
      </w:r>
      <w:proofErr w:type="spellEnd"/>
      <w:r>
        <w:rPr>
          <w:lang w:val="fr-CA"/>
        </w:rPr>
        <w:t xml:space="preserve"> en application des dispositions contestées.  Il en a conclu que [</w:t>
      </w:r>
      <w:r>
        <w:rPr>
          <w:smallCaps/>
          <w:lang w:val="fr-CA"/>
        </w:rPr>
        <w:t>traduction</w:t>
      </w:r>
      <w:r>
        <w:rPr>
          <w:lang w:val="fr-CA"/>
        </w:rPr>
        <w:t xml:space="preserve">] « l’accusé </w:t>
      </w:r>
      <w:r>
        <w:rPr>
          <w:lang w:val="fr-CA"/>
        </w:rPr>
        <w:lastRenderedPageBreak/>
        <w:t xml:space="preserve">dans chacune de ces causes pourrait de plein droit soulever les questions constitutionnelles que les </w:t>
      </w:r>
      <w:proofErr w:type="spellStart"/>
      <w:r>
        <w:rPr>
          <w:lang w:val="fr-CA"/>
        </w:rPr>
        <w:t>demanderesses</w:t>
      </w:r>
      <w:proofErr w:type="spellEnd"/>
      <w:r>
        <w:rPr>
          <w:lang w:val="fr-CA"/>
        </w:rPr>
        <w:t xml:space="preserve"> tentent de soulever en l’espèce »</w:t>
      </w:r>
      <w:r w:rsidRPr="00132F5E">
        <w:rPr>
          <w:lang w:val="fr-CA"/>
        </w:rPr>
        <w:t xml:space="preserve"> </w:t>
      </w:r>
      <w:r>
        <w:rPr>
          <w:lang w:val="fr-CA"/>
        </w:rPr>
        <w:t>(par. </w:t>
      </w:r>
      <w:r w:rsidRPr="00132F5E">
        <w:rPr>
          <w:lang w:val="fr-CA"/>
        </w:rPr>
        <w:t>77)</w:t>
      </w:r>
      <w:r>
        <w:rPr>
          <w:lang w:val="fr-CA"/>
        </w:rPr>
        <w:t>.  En outre, il a souligné que de telles contestations avaient été formulées par des accusés dans de nombreux procès criminels en matière de prostitution (par. </w:t>
      </w:r>
      <w:r w:rsidRPr="00132F5E">
        <w:rPr>
          <w:lang w:val="fr-CA"/>
        </w:rPr>
        <w:t>78</w:t>
      </w:r>
      <w:r w:rsidR="000A4D5E">
        <w:rPr>
          <w:lang w:val="fr-CA"/>
        </w:rPr>
        <w:t>-</w:t>
      </w:r>
      <w:r w:rsidRPr="00132F5E">
        <w:rPr>
          <w:lang w:val="fr-CA"/>
        </w:rPr>
        <w:t>79</w:t>
      </w:r>
      <w:r>
        <w:rPr>
          <w:lang w:val="fr-CA"/>
        </w:rPr>
        <w:t xml:space="preserve">).  À mon avis, il y a cependant un certain nombre de facteurs qui, dans les circonstances de la présente instance, réduisent considérablement l’importance qu’il convient d’accorder à cette préoccupation. </w:t>
      </w:r>
    </w:p>
    <w:p w:rsidR="00D867A4" w:rsidRPr="00132F5E" w:rsidRDefault="00D867A4" w:rsidP="00D867A4">
      <w:pPr>
        <w:pStyle w:val="ParaNoNdepar-AltN"/>
        <w:rPr>
          <w:lang w:val="fr-CA"/>
        </w:rPr>
      </w:pPr>
      <w:r>
        <w:rPr>
          <w:lang w:val="fr-CA"/>
        </w:rPr>
        <w:t xml:space="preserve">Tout d’abord, compte tenu de l’importance d’adopter une </w:t>
      </w:r>
      <w:r w:rsidRPr="006D1336">
        <w:rPr>
          <w:lang w:val="fr-CA"/>
        </w:rPr>
        <w:t>approche téléologique</w:t>
      </w:r>
      <w:r>
        <w:rPr>
          <w:lang w:val="fr-CA"/>
        </w:rPr>
        <w:t xml:space="preserve"> au regard de la qualité pour agir, il est évident que l’existence d’une action parallèle, qu’elle soit éventuelle ou réelle, n’est pas déterminante.  De plus, l’existence de demandeurs potentiels, bien qu’évidemment un facteur pertinent, ne devrait être prise en compte qu’en fonction de considérations d’ordre pratique.  Comme je l’expliquerai plus loin, les considérations d’ordre pratique, en l’espèce, sont telles qu’il est très peu probable que des personnes accusées en application de ces dispositions engageraient une action semblable à celle des </w:t>
      </w:r>
      <w:proofErr w:type="spellStart"/>
      <w:r>
        <w:rPr>
          <w:lang w:val="fr-CA"/>
        </w:rPr>
        <w:t>demanderesses</w:t>
      </w:r>
      <w:proofErr w:type="spellEnd"/>
      <w:r>
        <w:rPr>
          <w:lang w:val="fr-CA"/>
        </w:rPr>
        <w:t xml:space="preserve">.  Enfin, le fait que certaines contestations aient été formulées par des accusés dans le cadre de nombreux procès criminels en matière de prostitution n’est pas non plus très révélateur. </w:t>
      </w:r>
    </w:p>
    <w:p w:rsidR="00D867A4" w:rsidRPr="00132F5E" w:rsidRDefault="00D867A4" w:rsidP="00D867A4">
      <w:pPr>
        <w:pStyle w:val="ParaNoNdepar-AltN"/>
        <w:rPr>
          <w:lang w:val="fr-CA"/>
        </w:rPr>
      </w:pPr>
      <w:r>
        <w:rPr>
          <w:lang w:val="fr-CA"/>
        </w:rPr>
        <w:t>Les causes qui ont été portées à notre attention étaient loin de contester la validité de l’ensemble du régime législatif comme les intimées le font en l’espèce</w:t>
      </w:r>
      <w:r>
        <w:rPr>
          <w:szCs w:val="24"/>
          <w:lang w:val="fr-CA"/>
        </w:rPr>
        <w:t xml:space="preserve">.  </w:t>
      </w:r>
      <w:r>
        <w:rPr>
          <w:lang w:val="fr-CA"/>
        </w:rPr>
        <w:t xml:space="preserve">Comme </w:t>
      </w:r>
      <w:proofErr w:type="spellStart"/>
      <w:r>
        <w:rPr>
          <w:lang w:val="fr-CA"/>
        </w:rPr>
        <w:t>celles</w:t>
      </w:r>
      <w:r>
        <w:rPr>
          <w:lang w:val="fr-CA"/>
        </w:rPr>
        <w:noBreakHyphen/>
        <w:t>ci</w:t>
      </w:r>
      <w:proofErr w:type="spellEnd"/>
      <w:r>
        <w:rPr>
          <w:lang w:val="fr-CA"/>
        </w:rPr>
        <w:t xml:space="preserve"> l’ont d’ailleurs souligné, la presque totalité de la jurisprudence citée </w:t>
      </w:r>
      <w:r>
        <w:rPr>
          <w:lang w:val="fr-CA"/>
        </w:rPr>
        <w:lastRenderedPageBreak/>
        <w:t>renvoie à des contestations qui visaient uniquement les infractions relatives à la communication :</w:t>
      </w:r>
      <w:r w:rsidRPr="00132F5E">
        <w:rPr>
          <w:lang w:val="fr-CA"/>
        </w:rPr>
        <w:t xml:space="preserve"> </w:t>
      </w:r>
      <w:r>
        <w:rPr>
          <w:i/>
          <w:lang w:val="fr-CA"/>
        </w:rPr>
        <w:t>R. c.</w:t>
      </w:r>
      <w:r w:rsidRPr="00132F5E">
        <w:rPr>
          <w:i/>
          <w:lang w:val="fr-CA"/>
        </w:rPr>
        <w:t xml:space="preserve"> </w:t>
      </w:r>
      <w:proofErr w:type="spellStart"/>
      <w:r w:rsidRPr="00132F5E">
        <w:rPr>
          <w:i/>
          <w:lang w:val="fr-CA"/>
        </w:rPr>
        <w:t>Stagnitta</w:t>
      </w:r>
      <w:proofErr w:type="spellEnd"/>
      <w:r w:rsidRPr="00461EA7">
        <w:rPr>
          <w:lang w:val="fr-CA"/>
        </w:rPr>
        <w:t>,</w:t>
      </w:r>
      <w:r w:rsidRPr="00132F5E">
        <w:rPr>
          <w:i/>
          <w:lang w:val="fr-CA"/>
        </w:rPr>
        <w:t xml:space="preserve"> </w:t>
      </w:r>
      <w:r w:rsidRPr="00132F5E">
        <w:rPr>
          <w:rFonts w:cs="Times New Roman"/>
          <w:lang w:val="fr-CA"/>
        </w:rPr>
        <w:t xml:space="preserve">[1990] 1 </w:t>
      </w:r>
      <w:r>
        <w:rPr>
          <w:rFonts w:cs="Times New Roman"/>
          <w:lang w:val="fr-CA"/>
        </w:rPr>
        <w:t>R.C.S.</w:t>
      </w:r>
      <w:r w:rsidRPr="00132F5E">
        <w:rPr>
          <w:rFonts w:cs="Times New Roman"/>
          <w:lang w:val="fr-CA"/>
        </w:rPr>
        <w:t xml:space="preserve"> 122</w:t>
      </w:r>
      <w:r>
        <w:rPr>
          <w:rFonts w:cs="Times New Roman"/>
          <w:lang w:val="fr-CA"/>
        </w:rPr>
        <w:t>6</w:t>
      </w:r>
      <w:r w:rsidRPr="00461EA7">
        <w:rPr>
          <w:lang w:val="fr-CA"/>
        </w:rPr>
        <w:t>;</w:t>
      </w:r>
      <w:r>
        <w:rPr>
          <w:i/>
          <w:lang w:val="fr-CA"/>
        </w:rPr>
        <w:t xml:space="preserve"> </w:t>
      </w:r>
      <w:r w:rsidRPr="00132F5E">
        <w:rPr>
          <w:i/>
          <w:lang w:val="fr-CA"/>
        </w:rPr>
        <w:t>Skinne</w:t>
      </w:r>
      <w:r>
        <w:rPr>
          <w:i/>
          <w:lang w:val="fr-CA"/>
        </w:rPr>
        <w:t>r</w:t>
      </w:r>
      <w:r w:rsidRPr="00461EA7">
        <w:rPr>
          <w:lang w:val="fr-CA"/>
        </w:rPr>
        <w:t>;</w:t>
      </w:r>
      <w:r>
        <w:rPr>
          <w:i/>
          <w:lang w:val="fr-CA"/>
        </w:rPr>
        <w:t xml:space="preserve"> R. c.</w:t>
      </w:r>
      <w:r w:rsidRPr="00132F5E">
        <w:rPr>
          <w:i/>
          <w:lang w:val="fr-CA"/>
        </w:rPr>
        <w:t xml:space="preserve"> Smith </w:t>
      </w:r>
      <w:r w:rsidRPr="00132F5E">
        <w:rPr>
          <w:rFonts w:cs="Times New Roman"/>
          <w:lang w:val="fr-CA"/>
        </w:rPr>
        <w:t>(1988), 44 C.C.C. (3d) 385 (H.C.J.</w:t>
      </w:r>
      <w:r w:rsidRPr="000B2638">
        <w:rPr>
          <w:rFonts w:cs="Times New Roman"/>
          <w:lang w:val="fr-CA"/>
        </w:rPr>
        <w:t xml:space="preserve"> </w:t>
      </w:r>
      <w:r w:rsidRPr="00132F5E">
        <w:rPr>
          <w:rFonts w:cs="Times New Roman"/>
          <w:lang w:val="fr-CA"/>
        </w:rPr>
        <w:t>Ont.)</w:t>
      </w:r>
      <w:r w:rsidRPr="00461EA7">
        <w:rPr>
          <w:lang w:val="fr-CA"/>
        </w:rPr>
        <w:t>;</w:t>
      </w:r>
      <w:r w:rsidRPr="00132F5E">
        <w:rPr>
          <w:i/>
          <w:lang w:val="fr-CA"/>
        </w:rPr>
        <w:t xml:space="preserve"> R. </w:t>
      </w:r>
      <w:r>
        <w:rPr>
          <w:i/>
          <w:lang w:val="fr-CA"/>
        </w:rPr>
        <w:t>c.</w:t>
      </w:r>
      <w:r w:rsidRPr="00132F5E">
        <w:rPr>
          <w:i/>
          <w:lang w:val="fr-CA"/>
        </w:rPr>
        <w:t xml:space="preserve"> Gagne</w:t>
      </w:r>
      <w:r w:rsidRPr="00461EA7">
        <w:rPr>
          <w:lang w:val="fr-CA"/>
        </w:rPr>
        <w:t>,</w:t>
      </w:r>
      <w:r w:rsidRPr="00132F5E">
        <w:rPr>
          <w:i/>
          <w:lang w:val="fr-CA"/>
        </w:rPr>
        <w:t xml:space="preserve"> </w:t>
      </w:r>
      <w:r w:rsidRPr="00132F5E">
        <w:rPr>
          <w:rFonts w:cs="Times New Roman"/>
          <w:lang w:val="fr-CA"/>
        </w:rPr>
        <w:t>[1988]</w:t>
      </w:r>
      <w:r>
        <w:rPr>
          <w:rFonts w:cs="Times New Roman"/>
          <w:lang w:val="fr-CA"/>
        </w:rPr>
        <w:t xml:space="preserve"> O.J. N</w:t>
      </w:r>
      <w:r w:rsidR="000A4D5E">
        <w:rPr>
          <w:rFonts w:cs="Times New Roman"/>
          <w:lang w:val="fr-CA"/>
        </w:rPr>
        <w:t>o</w:t>
      </w:r>
      <w:r>
        <w:rPr>
          <w:rFonts w:cs="Times New Roman"/>
          <w:lang w:val="fr-CA"/>
        </w:rPr>
        <w:t>. </w:t>
      </w:r>
      <w:r w:rsidRPr="00132F5E">
        <w:rPr>
          <w:rFonts w:cs="Times New Roman"/>
          <w:lang w:val="fr-CA"/>
        </w:rPr>
        <w:t>2518</w:t>
      </w:r>
      <w:r w:rsidR="00350C36" w:rsidRPr="00132F5E">
        <w:rPr>
          <w:rFonts w:cs="Times New Roman"/>
          <w:lang w:val="fr-CA"/>
        </w:rPr>
        <w:t xml:space="preserve"> </w:t>
      </w:r>
      <w:r w:rsidR="00350C36" w:rsidRPr="00350C36">
        <w:rPr>
          <w:rFonts w:cs="Times New Roman"/>
          <w:lang w:val="fr-CA"/>
        </w:rPr>
        <w:t>(QL)</w:t>
      </w:r>
      <w:r w:rsidRPr="00132F5E">
        <w:rPr>
          <w:rFonts w:cs="Times New Roman"/>
          <w:lang w:val="fr-CA"/>
        </w:rPr>
        <w:t xml:space="preserve"> (</w:t>
      </w:r>
      <w:r>
        <w:rPr>
          <w:rFonts w:cs="Times New Roman"/>
          <w:lang w:val="fr-CA"/>
        </w:rPr>
        <w:t xml:space="preserve">C. </w:t>
      </w:r>
      <w:proofErr w:type="spellStart"/>
      <w:r>
        <w:rPr>
          <w:rFonts w:cs="Times New Roman"/>
          <w:lang w:val="fr-CA"/>
        </w:rPr>
        <w:t>prov</w:t>
      </w:r>
      <w:proofErr w:type="spellEnd"/>
      <w:r>
        <w:rPr>
          <w:rFonts w:cs="Times New Roman"/>
          <w:lang w:val="fr-CA"/>
        </w:rPr>
        <w:t>.)</w:t>
      </w:r>
      <w:r w:rsidRPr="00350C36">
        <w:rPr>
          <w:lang w:val="fr-CA"/>
        </w:rPr>
        <w:t>;</w:t>
      </w:r>
      <w:r w:rsidRPr="00350C36">
        <w:rPr>
          <w:i/>
          <w:lang w:val="fr-CA"/>
        </w:rPr>
        <w:t xml:space="preserve"> R. c. </w:t>
      </w:r>
      <w:proofErr w:type="spellStart"/>
      <w:r w:rsidRPr="00350C36">
        <w:rPr>
          <w:i/>
          <w:lang w:val="fr-CA"/>
        </w:rPr>
        <w:t>Jahelka</w:t>
      </w:r>
      <w:proofErr w:type="spellEnd"/>
      <w:r w:rsidRPr="00350C36">
        <w:rPr>
          <w:i/>
          <w:lang w:val="fr-CA"/>
        </w:rPr>
        <w:t xml:space="preserve"> </w:t>
      </w:r>
      <w:r w:rsidRPr="00350C36">
        <w:rPr>
          <w:lang w:val="fr-CA"/>
        </w:rPr>
        <w:t xml:space="preserve">(1987), 43 D.L.R. (4th) 111 (C.A. </w:t>
      </w:r>
      <w:proofErr w:type="spellStart"/>
      <w:r w:rsidRPr="00350C36">
        <w:rPr>
          <w:lang w:val="fr-CA"/>
        </w:rPr>
        <w:t>Alb</w:t>
      </w:r>
      <w:proofErr w:type="spellEnd"/>
      <w:r w:rsidRPr="00350C36">
        <w:rPr>
          <w:lang w:val="fr-CA"/>
        </w:rPr>
        <w:t>.);</w:t>
      </w:r>
      <w:r w:rsidRPr="00350C36">
        <w:rPr>
          <w:i/>
          <w:lang w:val="fr-CA"/>
        </w:rPr>
        <w:t xml:space="preserve"> R. c. </w:t>
      </w:r>
      <w:proofErr w:type="spellStart"/>
      <w:r w:rsidRPr="00350C36">
        <w:rPr>
          <w:i/>
          <w:lang w:val="fr-CA"/>
        </w:rPr>
        <w:t>Kazelman</w:t>
      </w:r>
      <w:proofErr w:type="spellEnd"/>
      <w:r w:rsidRPr="00350C36">
        <w:rPr>
          <w:lang w:val="fr-CA"/>
        </w:rPr>
        <w:t xml:space="preserve">, [1987] O.J. No. 1931 </w:t>
      </w:r>
      <w:r w:rsidR="000A4D5E" w:rsidRPr="00350C36">
        <w:rPr>
          <w:lang w:val="fr-CA"/>
        </w:rPr>
        <w:t xml:space="preserve">(QL) </w:t>
      </w:r>
      <w:r w:rsidRPr="00350C36">
        <w:rPr>
          <w:lang w:val="fr-CA"/>
        </w:rPr>
        <w:t xml:space="preserve">(C. </w:t>
      </w:r>
      <w:proofErr w:type="spellStart"/>
      <w:r w:rsidRPr="00350C36">
        <w:rPr>
          <w:lang w:val="fr-CA"/>
        </w:rPr>
        <w:t>prov</w:t>
      </w:r>
      <w:proofErr w:type="spellEnd"/>
      <w:r w:rsidRPr="00350C36">
        <w:rPr>
          <w:lang w:val="fr-CA"/>
        </w:rPr>
        <w:t>.);</w:t>
      </w:r>
      <w:r w:rsidRPr="00350C36">
        <w:rPr>
          <w:i/>
          <w:lang w:val="fr-CA"/>
        </w:rPr>
        <w:t xml:space="preserve"> R. c. </w:t>
      </w:r>
      <w:proofErr w:type="spellStart"/>
      <w:r w:rsidRPr="00350C36">
        <w:rPr>
          <w:i/>
          <w:lang w:val="fr-CA"/>
        </w:rPr>
        <w:t>Bavington</w:t>
      </w:r>
      <w:proofErr w:type="spellEnd"/>
      <w:r w:rsidRPr="00350C36">
        <w:rPr>
          <w:lang w:val="fr-CA"/>
        </w:rPr>
        <w:t xml:space="preserve">, </w:t>
      </w:r>
      <w:r w:rsidR="00BC5B70">
        <w:rPr>
          <w:lang w:val="fr-CA"/>
        </w:rPr>
        <w:t xml:space="preserve">[1987] O.J. No. 2728 (QL) </w:t>
      </w:r>
      <w:r w:rsidRPr="00350C36">
        <w:rPr>
          <w:rFonts w:cs="Times New Roman"/>
          <w:lang w:val="fr-CA"/>
        </w:rPr>
        <w:t xml:space="preserve">(C. </w:t>
      </w:r>
      <w:proofErr w:type="spellStart"/>
      <w:r w:rsidRPr="00350C36">
        <w:rPr>
          <w:rFonts w:cs="Times New Roman"/>
          <w:lang w:val="fr-CA"/>
        </w:rPr>
        <w:t>prov</w:t>
      </w:r>
      <w:proofErr w:type="spellEnd"/>
      <w:r w:rsidRPr="00350C36">
        <w:rPr>
          <w:rFonts w:cs="Times New Roman"/>
          <w:lang w:val="fr-CA"/>
        </w:rPr>
        <w:t>.)</w:t>
      </w:r>
      <w:r w:rsidRPr="00350C36">
        <w:rPr>
          <w:lang w:val="fr-CA"/>
        </w:rPr>
        <w:t>;</w:t>
      </w:r>
      <w:r w:rsidRPr="00350C36">
        <w:rPr>
          <w:i/>
          <w:lang w:val="fr-CA"/>
        </w:rPr>
        <w:t xml:space="preserve"> R. c. Cunningham</w:t>
      </w:r>
      <w:r w:rsidRPr="00350C36">
        <w:rPr>
          <w:lang w:val="fr-CA"/>
        </w:rPr>
        <w:t xml:space="preserve"> (</w:t>
      </w:r>
      <w:r w:rsidRPr="00350C36">
        <w:rPr>
          <w:rFonts w:cs="Times New Roman"/>
          <w:lang w:val="fr-CA"/>
        </w:rPr>
        <w:t>1986)</w:t>
      </w:r>
      <w:r w:rsidR="000A4D5E" w:rsidRPr="00350C36">
        <w:rPr>
          <w:rFonts w:cs="Times New Roman"/>
          <w:lang w:val="fr-CA"/>
        </w:rPr>
        <w:t>,</w:t>
      </w:r>
      <w:r w:rsidRPr="00350C36">
        <w:rPr>
          <w:rFonts w:cs="Times New Roman"/>
          <w:lang w:val="fr-CA"/>
        </w:rPr>
        <w:t xml:space="preserve"> 31 C.C.C. (3d) 223 (C. </w:t>
      </w:r>
      <w:proofErr w:type="spellStart"/>
      <w:r w:rsidRPr="00350C36">
        <w:rPr>
          <w:rFonts w:cs="Times New Roman"/>
          <w:lang w:val="fr-CA"/>
        </w:rPr>
        <w:t>prov</w:t>
      </w:r>
      <w:proofErr w:type="spellEnd"/>
      <w:r w:rsidRPr="00350C36">
        <w:rPr>
          <w:rFonts w:cs="Times New Roman"/>
          <w:lang w:val="fr-CA"/>
        </w:rPr>
        <w:t xml:space="preserve">. </w:t>
      </w:r>
      <w:r w:rsidRPr="003068FA">
        <w:rPr>
          <w:rFonts w:cs="Times New Roman"/>
        </w:rPr>
        <w:t>Man.)</w:t>
      </w:r>
      <w:r w:rsidRPr="00461EA7">
        <w:t>;</w:t>
      </w:r>
      <w:r w:rsidRPr="003068FA">
        <w:rPr>
          <w:i/>
        </w:rPr>
        <w:t xml:space="preserve"> R. c</w:t>
      </w:r>
      <w:r>
        <w:rPr>
          <w:i/>
        </w:rPr>
        <w:t>.</w:t>
      </w:r>
      <w:r w:rsidRPr="003068FA">
        <w:rPr>
          <w:i/>
        </w:rPr>
        <w:t xml:space="preserve"> Bear </w:t>
      </w:r>
      <w:r w:rsidRPr="00704443">
        <w:t>(</w:t>
      </w:r>
      <w:r w:rsidRPr="00704443">
        <w:rPr>
          <w:rFonts w:cs="Times New Roman"/>
        </w:rPr>
        <w:t>1</w:t>
      </w:r>
      <w:r w:rsidRPr="003068FA">
        <w:rPr>
          <w:rFonts w:cs="Times New Roman"/>
        </w:rPr>
        <w:t>986</w:t>
      </w:r>
      <w:r>
        <w:rPr>
          <w:rFonts w:cs="Times New Roman"/>
        </w:rPr>
        <w:t>)</w:t>
      </w:r>
      <w:r w:rsidR="000A4D5E">
        <w:rPr>
          <w:rFonts w:cs="Times New Roman"/>
        </w:rPr>
        <w:t>,</w:t>
      </w:r>
      <w:r w:rsidRPr="003068FA">
        <w:rPr>
          <w:rFonts w:cs="Times New Roman"/>
        </w:rPr>
        <w:t xml:space="preserve"> 47 Alta</w:t>
      </w:r>
      <w:r>
        <w:rPr>
          <w:rFonts w:cs="Times New Roman"/>
        </w:rPr>
        <w:t>.</w:t>
      </w:r>
      <w:r w:rsidRPr="003068FA">
        <w:rPr>
          <w:rFonts w:cs="Times New Roman"/>
        </w:rPr>
        <w:t xml:space="preserve"> L</w:t>
      </w:r>
      <w:r>
        <w:rPr>
          <w:rFonts w:cs="Times New Roman"/>
        </w:rPr>
        <w:t>.</w:t>
      </w:r>
      <w:r w:rsidRPr="003068FA">
        <w:rPr>
          <w:rFonts w:cs="Times New Roman"/>
        </w:rPr>
        <w:t>R</w:t>
      </w:r>
      <w:r>
        <w:rPr>
          <w:rFonts w:cs="Times New Roman"/>
        </w:rPr>
        <w:t>.</w:t>
      </w:r>
      <w:r w:rsidRPr="003068FA">
        <w:rPr>
          <w:rFonts w:cs="Times New Roman"/>
        </w:rPr>
        <w:t xml:space="preserve"> (2d) 255 (C. prov.</w:t>
      </w:r>
      <w:r w:rsidRPr="007037C2">
        <w:rPr>
          <w:rFonts w:cs="Times New Roman"/>
        </w:rPr>
        <w:t>)</w:t>
      </w:r>
      <w:r w:rsidRPr="007037C2">
        <w:t>;</w:t>
      </w:r>
      <w:r w:rsidRPr="003068FA">
        <w:rPr>
          <w:i/>
        </w:rPr>
        <w:t xml:space="preserve"> R. c</w:t>
      </w:r>
      <w:r>
        <w:rPr>
          <w:i/>
        </w:rPr>
        <w:t>.</w:t>
      </w:r>
      <w:r w:rsidRPr="003068FA">
        <w:rPr>
          <w:i/>
        </w:rPr>
        <w:t xml:space="preserve"> McLean </w:t>
      </w:r>
      <w:r w:rsidRPr="003068FA">
        <w:rPr>
          <w:rFonts w:cs="Times New Roman"/>
        </w:rPr>
        <w:t>(1986), 2 B.C.L.R. (2d) 232 (C</w:t>
      </w:r>
      <w:r>
        <w:rPr>
          <w:rFonts w:cs="Times New Roman"/>
        </w:rPr>
        <w:t>.</w:t>
      </w:r>
      <w:r w:rsidRPr="003068FA">
        <w:rPr>
          <w:rFonts w:cs="Times New Roman"/>
        </w:rPr>
        <w:t>S</w:t>
      </w:r>
      <w:r>
        <w:rPr>
          <w:rFonts w:cs="Times New Roman"/>
        </w:rPr>
        <w:t>.</w:t>
      </w:r>
      <w:r w:rsidRPr="003068FA">
        <w:rPr>
          <w:rFonts w:cs="Times New Roman"/>
        </w:rPr>
        <w:t>)</w:t>
      </w:r>
      <w:r w:rsidRPr="00461EA7">
        <w:t>;</w:t>
      </w:r>
      <w:r w:rsidRPr="003068FA">
        <w:rPr>
          <w:i/>
        </w:rPr>
        <w:t xml:space="preserve"> R. c</w:t>
      </w:r>
      <w:r>
        <w:rPr>
          <w:i/>
        </w:rPr>
        <w:t>.</w:t>
      </w:r>
      <w:r w:rsidRPr="003068FA">
        <w:rPr>
          <w:i/>
        </w:rPr>
        <w:t xml:space="preserve"> Bailey</w:t>
      </w:r>
      <w:r w:rsidRPr="00704443">
        <w:t>,</w:t>
      </w:r>
      <w:r w:rsidRPr="003068FA">
        <w:rPr>
          <w:i/>
        </w:rPr>
        <w:t xml:space="preserve"> </w:t>
      </w:r>
      <w:r w:rsidRPr="003068FA">
        <w:rPr>
          <w:rFonts w:cs="Times New Roman"/>
        </w:rPr>
        <w:t xml:space="preserve">[1986] O.J. </w:t>
      </w:r>
      <w:r>
        <w:rPr>
          <w:rFonts w:cs="Times New Roman"/>
        </w:rPr>
        <w:t>No. </w:t>
      </w:r>
      <w:r w:rsidRPr="003068FA">
        <w:rPr>
          <w:rFonts w:cs="Times New Roman"/>
        </w:rPr>
        <w:t xml:space="preserve">2795 </w:t>
      </w:r>
      <w:r w:rsidR="000A4D5E" w:rsidRPr="00A2581A">
        <w:rPr>
          <w:rFonts w:cs="Times New Roman"/>
        </w:rPr>
        <w:t>(QL)</w:t>
      </w:r>
      <w:r w:rsidR="000A4D5E" w:rsidRPr="003068FA">
        <w:rPr>
          <w:rFonts w:cs="Times New Roman"/>
        </w:rPr>
        <w:t xml:space="preserve"> </w:t>
      </w:r>
      <w:r w:rsidRPr="003068FA">
        <w:rPr>
          <w:rFonts w:cs="Times New Roman"/>
        </w:rPr>
        <w:t>(C. prov.)</w:t>
      </w:r>
      <w:r w:rsidRPr="00A2581A">
        <w:t>;</w:t>
      </w:r>
      <w:r w:rsidRPr="00A2581A">
        <w:rPr>
          <w:i/>
        </w:rPr>
        <w:t xml:space="preserve"> R. c. Cheeseman</w:t>
      </w:r>
      <w:r w:rsidRPr="00A2581A">
        <w:t>,</w:t>
      </w:r>
      <w:r w:rsidRPr="00A2581A">
        <w:rPr>
          <w:i/>
        </w:rPr>
        <w:t xml:space="preserve"> </w:t>
      </w:r>
      <w:r w:rsidRPr="00A2581A">
        <w:t xml:space="preserve">C. prov. </w:t>
      </w:r>
      <w:r w:rsidR="000A4D5E">
        <w:t>Sask.</w:t>
      </w:r>
      <w:r w:rsidRPr="00704443">
        <w:t>, 19 </w:t>
      </w:r>
      <w:proofErr w:type="spellStart"/>
      <w:r w:rsidRPr="00704443">
        <w:t>juin</w:t>
      </w:r>
      <w:proofErr w:type="spellEnd"/>
      <w:r w:rsidRPr="00704443">
        <w:t> 1986;</w:t>
      </w:r>
      <w:r w:rsidRPr="00704443">
        <w:rPr>
          <w:i/>
        </w:rPr>
        <w:t xml:space="preserve"> R. c. Blais</w:t>
      </w:r>
      <w:r w:rsidRPr="00704443">
        <w:t>,</w:t>
      </w:r>
      <w:r w:rsidRPr="00704443">
        <w:rPr>
          <w:i/>
        </w:rPr>
        <w:t xml:space="preserve"> </w:t>
      </w:r>
      <w:r w:rsidRPr="00704443">
        <w:rPr>
          <w:rFonts w:cs="Times New Roman"/>
        </w:rPr>
        <w:t xml:space="preserve">2008 BCCA 389, 301 D.L.R. (4th) 464.  </w:t>
      </w:r>
      <w:r>
        <w:rPr>
          <w:rFonts w:cs="Times New Roman"/>
          <w:lang w:val="fr-CA"/>
        </w:rPr>
        <w:t xml:space="preserve">La majorité des autres causes ne contestaient qu’une disposition, soit </w:t>
      </w:r>
      <w:r w:rsidR="00921BF5">
        <w:rPr>
          <w:rFonts w:cs="Times New Roman"/>
          <w:lang w:val="fr-CA"/>
        </w:rPr>
        <w:t xml:space="preserve">celle relative au proxénétisme </w:t>
      </w:r>
      <w:r w:rsidRPr="00132F5E">
        <w:rPr>
          <w:rFonts w:cs="Times New Roman"/>
          <w:lang w:val="fr-CA"/>
        </w:rPr>
        <w:t>(</w:t>
      </w:r>
      <w:r>
        <w:rPr>
          <w:rFonts w:cs="Times New Roman"/>
          <w:i/>
          <w:lang w:val="fr-CA"/>
        </w:rPr>
        <w:t>R. c</w:t>
      </w:r>
      <w:r w:rsidRPr="00132F5E">
        <w:rPr>
          <w:rFonts w:cs="Times New Roman"/>
          <w:i/>
          <w:lang w:val="fr-CA"/>
        </w:rPr>
        <w:t xml:space="preserve">. </w:t>
      </w:r>
      <w:proofErr w:type="spellStart"/>
      <w:r w:rsidRPr="00132F5E">
        <w:rPr>
          <w:rFonts w:cs="Times New Roman"/>
          <w:i/>
          <w:lang w:val="fr-CA"/>
        </w:rPr>
        <w:t>Downey</w:t>
      </w:r>
      <w:proofErr w:type="spellEnd"/>
      <w:r w:rsidRPr="00132F5E">
        <w:rPr>
          <w:rFonts w:cs="Times New Roman"/>
          <w:lang w:val="fr-CA"/>
        </w:rPr>
        <w:t xml:space="preserve">, [1992] 2 </w:t>
      </w:r>
      <w:r>
        <w:rPr>
          <w:rFonts w:cs="Times New Roman"/>
          <w:lang w:val="fr-CA"/>
        </w:rPr>
        <w:t>R.C.S.</w:t>
      </w:r>
      <w:r w:rsidRPr="00132F5E">
        <w:rPr>
          <w:rFonts w:cs="Times New Roman"/>
          <w:lang w:val="fr-CA"/>
        </w:rPr>
        <w:t xml:space="preserve"> 10; </w:t>
      </w:r>
      <w:r>
        <w:rPr>
          <w:rFonts w:cs="Times New Roman"/>
          <w:i/>
          <w:lang w:val="fr-CA"/>
        </w:rPr>
        <w:t>R. c</w:t>
      </w:r>
      <w:r w:rsidRPr="00132F5E">
        <w:rPr>
          <w:rFonts w:cs="Times New Roman"/>
          <w:i/>
          <w:lang w:val="fr-CA"/>
        </w:rPr>
        <w:t>. Boston</w:t>
      </w:r>
      <w:r w:rsidRPr="009A6FE7">
        <w:rPr>
          <w:rFonts w:cs="Times New Roman"/>
          <w:lang w:val="fr-CA"/>
        </w:rPr>
        <w:t>,</w:t>
      </w:r>
      <w:r w:rsidRPr="00132F5E">
        <w:rPr>
          <w:rFonts w:cs="Times New Roman"/>
          <w:i/>
          <w:lang w:val="fr-CA"/>
        </w:rPr>
        <w:t xml:space="preserve"> </w:t>
      </w:r>
      <w:r w:rsidRPr="00132F5E">
        <w:rPr>
          <w:rFonts w:cs="Times New Roman"/>
          <w:lang w:val="fr-CA"/>
        </w:rPr>
        <w:t xml:space="preserve">[1988] B.C.J. </w:t>
      </w:r>
      <w:r>
        <w:rPr>
          <w:rFonts w:cs="Times New Roman"/>
          <w:lang w:val="fr-CA"/>
        </w:rPr>
        <w:t>No. </w:t>
      </w:r>
      <w:r w:rsidRPr="00132F5E">
        <w:rPr>
          <w:rFonts w:cs="Times New Roman"/>
          <w:lang w:val="fr-CA"/>
        </w:rPr>
        <w:t>1185</w:t>
      </w:r>
      <w:r w:rsidR="000A4D5E">
        <w:rPr>
          <w:rFonts w:cs="Times New Roman"/>
          <w:lang w:val="fr-CA"/>
        </w:rPr>
        <w:t xml:space="preserve"> </w:t>
      </w:r>
      <w:r w:rsidR="000A4D5E" w:rsidRPr="00132F5E">
        <w:rPr>
          <w:rFonts w:cs="Times New Roman"/>
          <w:lang w:val="fr-CA"/>
        </w:rPr>
        <w:t>(QL)</w:t>
      </w:r>
      <w:r w:rsidRPr="00132F5E">
        <w:rPr>
          <w:rFonts w:cs="Times New Roman"/>
          <w:lang w:val="fr-CA"/>
        </w:rPr>
        <w:t xml:space="preserve"> (C.A.)</w:t>
      </w:r>
      <w:r w:rsidR="002B67E8">
        <w:rPr>
          <w:rFonts w:cs="Times New Roman"/>
          <w:lang w:val="fr-CA"/>
        </w:rPr>
        <w:t>)</w:t>
      </w:r>
      <w:r>
        <w:rPr>
          <w:rFonts w:cs="Times New Roman"/>
          <w:lang w:val="fr-CA"/>
        </w:rPr>
        <w:t xml:space="preserve">, ou celle relative aux maisons de débauche </w:t>
      </w:r>
      <w:r w:rsidRPr="00132F5E">
        <w:rPr>
          <w:rFonts w:cs="Times New Roman"/>
          <w:lang w:val="fr-CA"/>
        </w:rPr>
        <w:t>(</w:t>
      </w:r>
      <w:r>
        <w:rPr>
          <w:rFonts w:cs="Times New Roman"/>
          <w:i/>
          <w:lang w:val="fr-CA"/>
        </w:rPr>
        <w:t>R. c</w:t>
      </w:r>
      <w:r w:rsidRPr="00132F5E">
        <w:rPr>
          <w:rFonts w:cs="Times New Roman"/>
          <w:i/>
          <w:lang w:val="fr-CA"/>
        </w:rPr>
        <w:t xml:space="preserve">. </w:t>
      </w:r>
      <w:proofErr w:type="spellStart"/>
      <w:r w:rsidRPr="00132F5E">
        <w:rPr>
          <w:rFonts w:cs="Times New Roman"/>
          <w:i/>
          <w:lang w:val="fr-CA"/>
        </w:rPr>
        <w:t>DiGiuseppe</w:t>
      </w:r>
      <w:proofErr w:type="spellEnd"/>
      <w:r>
        <w:rPr>
          <w:rFonts w:cs="Times New Roman"/>
          <w:lang w:val="fr-CA"/>
        </w:rPr>
        <w:t xml:space="preserve"> (2002)</w:t>
      </w:r>
      <w:r w:rsidR="000A4D5E">
        <w:rPr>
          <w:rFonts w:cs="Times New Roman"/>
          <w:lang w:val="fr-CA"/>
        </w:rPr>
        <w:t>,</w:t>
      </w:r>
      <w:r>
        <w:rPr>
          <w:rFonts w:cs="Times New Roman"/>
          <w:lang w:val="fr-CA"/>
        </w:rPr>
        <w:t xml:space="preserve"> 161 </w:t>
      </w:r>
      <w:r w:rsidRPr="00132F5E">
        <w:rPr>
          <w:rFonts w:cs="Times New Roman"/>
          <w:lang w:val="fr-CA"/>
        </w:rPr>
        <w:t>C.C.C. (3d) 424 (C.A.</w:t>
      </w:r>
      <w:r>
        <w:rPr>
          <w:rFonts w:cs="Times New Roman"/>
          <w:lang w:val="fr-CA"/>
        </w:rPr>
        <w:t xml:space="preserve"> Ont.</w:t>
      </w:r>
      <w:r w:rsidRPr="00132F5E">
        <w:rPr>
          <w:rFonts w:cs="Times New Roman"/>
          <w:lang w:val="fr-CA"/>
        </w:rPr>
        <w:t>)).</w:t>
      </w:r>
      <w:r>
        <w:rPr>
          <w:rFonts w:cs="Times New Roman"/>
          <w:lang w:val="fr-CA"/>
        </w:rPr>
        <w:t xml:space="preserve"> </w:t>
      </w:r>
      <w:r w:rsidRPr="00132F5E">
        <w:rPr>
          <w:rFonts w:cs="Times New Roman"/>
          <w:lang w:val="fr-CA"/>
        </w:rPr>
        <w:t xml:space="preserve"> </w:t>
      </w:r>
      <w:r>
        <w:rPr>
          <w:rFonts w:cs="Times New Roman"/>
          <w:lang w:val="fr-CA"/>
        </w:rPr>
        <w:t xml:space="preserve">Il appert du dossier que les seules causes criminelles dont la contestation porte sur plus d’une disposition relative à la prostitution ont été intentées </w:t>
      </w:r>
      <w:r>
        <w:rPr>
          <w:rFonts w:cs="Times New Roman"/>
          <w:i/>
          <w:lang w:val="fr-CA"/>
        </w:rPr>
        <w:t xml:space="preserve">après </w:t>
      </w:r>
      <w:r>
        <w:rPr>
          <w:rFonts w:cs="Times New Roman"/>
          <w:lang w:val="fr-CA"/>
        </w:rPr>
        <w:t xml:space="preserve">la présente affaire </w:t>
      </w:r>
      <w:r w:rsidRPr="00132F5E">
        <w:rPr>
          <w:rFonts w:cs="Times New Roman"/>
          <w:lang w:val="fr-CA"/>
        </w:rPr>
        <w:t>(</w:t>
      </w:r>
      <w:r>
        <w:rPr>
          <w:rFonts w:cs="Times New Roman"/>
          <w:lang w:val="fr-CA"/>
        </w:rPr>
        <w:t>a</w:t>
      </w:r>
      <w:r w:rsidRPr="00132F5E">
        <w:rPr>
          <w:rFonts w:cs="Times New Roman"/>
          <w:lang w:val="fr-CA"/>
        </w:rPr>
        <w:t xml:space="preserve">ffidavit </w:t>
      </w:r>
      <w:r>
        <w:rPr>
          <w:rFonts w:cs="Times New Roman"/>
          <w:lang w:val="fr-CA"/>
        </w:rPr>
        <w:t xml:space="preserve">de </w:t>
      </w:r>
      <w:r w:rsidRPr="00132F5E">
        <w:rPr>
          <w:rFonts w:cs="Times New Roman"/>
          <w:lang w:val="fr-CA"/>
        </w:rPr>
        <w:t xml:space="preserve">Karen Howden, </w:t>
      </w:r>
      <w:r>
        <w:rPr>
          <w:rFonts w:cs="Times New Roman"/>
          <w:lang w:val="fr-CA"/>
        </w:rPr>
        <w:t>24 juin 2011, par. 10 (</w:t>
      </w:r>
      <w:r w:rsidRPr="009B71E7">
        <w:rPr>
          <w:rFonts w:cs="Times New Roman"/>
          <w:i/>
          <w:lang w:val="fr-CA"/>
        </w:rPr>
        <w:t xml:space="preserve">R. c. </w:t>
      </w:r>
      <w:proofErr w:type="spellStart"/>
      <w:r w:rsidRPr="009B71E7">
        <w:rPr>
          <w:rFonts w:cs="Times New Roman"/>
          <w:i/>
          <w:lang w:val="fr-CA"/>
        </w:rPr>
        <w:t>Mangat</w:t>
      </w:r>
      <w:proofErr w:type="spellEnd"/>
      <w:r>
        <w:rPr>
          <w:rFonts w:cs="Times New Roman"/>
          <w:lang w:val="fr-CA"/>
        </w:rPr>
        <w:t>)</w:t>
      </w:r>
      <w:r w:rsidRPr="00132F5E">
        <w:rPr>
          <w:rFonts w:cs="Times New Roman"/>
          <w:lang w:val="fr-CA"/>
        </w:rPr>
        <w:t xml:space="preserve"> </w:t>
      </w:r>
      <w:r>
        <w:rPr>
          <w:rFonts w:cs="Times New Roman"/>
          <w:lang w:val="fr-CA"/>
        </w:rPr>
        <w:t>(</w:t>
      </w:r>
      <w:proofErr w:type="gramStart"/>
      <w:r w:rsidR="000A4D5E">
        <w:rPr>
          <w:rFonts w:cs="Times New Roman"/>
          <w:lang w:val="fr-CA"/>
        </w:rPr>
        <w:t>d.a.</w:t>
      </w:r>
      <w:r w:rsidRPr="00132F5E">
        <w:rPr>
          <w:rFonts w:cs="Times New Roman"/>
          <w:lang w:val="fr-CA"/>
        </w:rPr>
        <w:t>,</w:t>
      </w:r>
      <w:proofErr w:type="gramEnd"/>
      <w:r>
        <w:rPr>
          <w:rFonts w:cs="Times New Roman"/>
          <w:lang w:val="fr-CA"/>
        </w:rPr>
        <w:t xml:space="preserve"> vol. V, p. 102;</w:t>
      </w:r>
      <w:r w:rsidRPr="00132F5E">
        <w:rPr>
          <w:rFonts w:cs="Times New Roman"/>
          <w:lang w:val="fr-CA"/>
        </w:rPr>
        <w:t xml:space="preserve"> </w:t>
      </w:r>
      <w:proofErr w:type="gramStart"/>
      <w:r w:rsidR="000A4D5E">
        <w:rPr>
          <w:rFonts w:cs="Times New Roman"/>
          <w:lang w:val="fr-CA"/>
        </w:rPr>
        <w:t>d.a.</w:t>
      </w:r>
      <w:r w:rsidR="00D0078F">
        <w:rPr>
          <w:rFonts w:cs="Times New Roman"/>
          <w:lang w:val="fr-CA"/>
        </w:rPr>
        <w:t>,</w:t>
      </w:r>
      <w:proofErr w:type="gramEnd"/>
      <w:r>
        <w:rPr>
          <w:rFonts w:cs="Times New Roman"/>
          <w:lang w:val="fr-CA"/>
        </w:rPr>
        <w:t xml:space="preserve"> vol. IX, p. 31</w:t>
      </w:r>
      <w:r w:rsidR="00350C36">
        <w:rPr>
          <w:rFonts w:cs="Times New Roman"/>
          <w:lang w:val="fr-CA"/>
        </w:rPr>
        <w:t>-</w:t>
      </w:r>
      <w:r w:rsidRPr="00132F5E">
        <w:rPr>
          <w:rFonts w:cs="Times New Roman"/>
          <w:lang w:val="fr-CA"/>
        </w:rPr>
        <w:t>36</w:t>
      </w:r>
      <w:r>
        <w:rPr>
          <w:rFonts w:cs="Times New Roman"/>
          <w:lang w:val="fr-CA"/>
        </w:rPr>
        <w:t>)</w:t>
      </w:r>
      <w:r w:rsidRPr="00132F5E">
        <w:rPr>
          <w:rFonts w:cs="Times New Roman"/>
          <w:lang w:val="fr-CA"/>
        </w:rPr>
        <w:t xml:space="preserve">; </w:t>
      </w:r>
      <w:r>
        <w:rPr>
          <w:rFonts w:cs="Times New Roman"/>
          <w:lang w:val="fr-CA"/>
        </w:rPr>
        <w:t>par. 4</w:t>
      </w:r>
      <w:r>
        <w:rPr>
          <w:rFonts w:cs="Times New Roman"/>
          <w:lang w:val="fr-CA"/>
        </w:rPr>
        <w:noBreakHyphen/>
        <w:t>5 (</w:t>
      </w:r>
      <w:r>
        <w:rPr>
          <w:rFonts w:cs="Times New Roman"/>
          <w:i/>
          <w:lang w:val="fr-CA"/>
        </w:rPr>
        <w:t>R. c</w:t>
      </w:r>
      <w:r w:rsidRPr="00132F5E">
        <w:rPr>
          <w:rFonts w:cs="Times New Roman"/>
          <w:i/>
          <w:lang w:val="fr-CA"/>
        </w:rPr>
        <w:t>. Cho</w:t>
      </w:r>
      <w:r w:rsidRPr="00704443">
        <w:rPr>
          <w:rFonts w:cs="Times New Roman"/>
          <w:lang w:val="fr-CA"/>
        </w:rPr>
        <w:t>)</w:t>
      </w:r>
      <w:r w:rsidRPr="00132F5E">
        <w:rPr>
          <w:rFonts w:cs="Times New Roman"/>
          <w:lang w:val="fr-CA"/>
        </w:rPr>
        <w:t xml:space="preserve"> </w:t>
      </w:r>
      <w:r w:rsidR="00CA57B1">
        <w:rPr>
          <w:rFonts w:cs="Times New Roman"/>
          <w:lang w:val="fr-CA"/>
        </w:rPr>
        <w:t>(</w:t>
      </w:r>
      <w:proofErr w:type="gramStart"/>
      <w:r w:rsidR="00CA57B1">
        <w:rPr>
          <w:rFonts w:cs="Times New Roman"/>
          <w:lang w:val="fr-CA"/>
        </w:rPr>
        <w:t>d.a.</w:t>
      </w:r>
      <w:r w:rsidRPr="003537B5">
        <w:rPr>
          <w:rFonts w:cs="Times New Roman"/>
          <w:lang w:val="fr-CA"/>
        </w:rPr>
        <w:t>,</w:t>
      </w:r>
      <w:proofErr w:type="gramEnd"/>
      <w:r>
        <w:rPr>
          <w:rFonts w:cs="Times New Roman"/>
          <w:lang w:val="fr-CA"/>
        </w:rPr>
        <w:t xml:space="preserve"> vol. </w:t>
      </w:r>
      <w:r w:rsidRPr="00132F5E">
        <w:rPr>
          <w:rFonts w:cs="Times New Roman"/>
          <w:lang w:val="fr-CA"/>
        </w:rPr>
        <w:t xml:space="preserve">V, </w:t>
      </w:r>
      <w:r>
        <w:rPr>
          <w:rFonts w:cs="Times New Roman"/>
          <w:lang w:val="fr-CA"/>
        </w:rPr>
        <w:t>p. </w:t>
      </w:r>
      <w:r w:rsidRPr="00132F5E">
        <w:rPr>
          <w:rFonts w:cs="Times New Roman"/>
          <w:lang w:val="fr-CA"/>
        </w:rPr>
        <w:t>102</w:t>
      </w:r>
      <w:r>
        <w:rPr>
          <w:rFonts w:cs="Times New Roman"/>
          <w:lang w:val="fr-CA"/>
        </w:rPr>
        <w:t>;</w:t>
      </w:r>
      <w:r w:rsidRPr="00132F5E">
        <w:rPr>
          <w:rFonts w:cs="Times New Roman"/>
          <w:lang w:val="fr-CA"/>
        </w:rPr>
        <w:t xml:space="preserve"> </w:t>
      </w:r>
      <w:proofErr w:type="gramStart"/>
      <w:r w:rsidR="00CA57B1">
        <w:rPr>
          <w:rFonts w:cs="Times New Roman"/>
          <w:lang w:val="fr-CA"/>
        </w:rPr>
        <w:t>d.a.</w:t>
      </w:r>
      <w:r w:rsidRPr="003537B5">
        <w:rPr>
          <w:rFonts w:cs="Times New Roman"/>
          <w:lang w:val="fr-CA"/>
        </w:rPr>
        <w:t>,</w:t>
      </w:r>
      <w:proofErr w:type="gramEnd"/>
      <w:r w:rsidRPr="00132F5E">
        <w:rPr>
          <w:rFonts w:cs="Times New Roman"/>
          <w:lang w:val="fr-CA"/>
        </w:rPr>
        <w:t xml:space="preserve"> </w:t>
      </w:r>
      <w:r>
        <w:rPr>
          <w:rFonts w:cs="Times New Roman"/>
          <w:lang w:val="fr-CA"/>
        </w:rPr>
        <w:t>vol. VIII, p. 163)</w:t>
      </w:r>
      <w:r w:rsidRPr="00132F5E">
        <w:rPr>
          <w:rFonts w:cs="Times New Roman"/>
          <w:lang w:val="fr-CA"/>
        </w:rPr>
        <w:t xml:space="preserve">; </w:t>
      </w:r>
      <w:r>
        <w:rPr>
          <w:rFonts w:cs="Times New Roman"/>
          <w:lang w:val="fr-CA"/>
        </w:rPr>
        <w:t>par. 2 et 11 (</w:t>
      </w:r>
      <w:r>
        <w:rPr>
          <w:rFonts w:cs="Times New Roman"/>
          <w:i/>
          <w:lang w:val="fr-CA"/>
        </w:rPr>
        <w:t>R. c</w:t>
      </w:r>
      <w:r w:rsidRPr="00132F5E">
        <w:rPr>
          <w:rFonts w:cs="Times New Roman"/>
          <w:i/>
          <w:lang w:val="fr-CA"/>
        </w:rPr>
        <w:t>. To</w:t>
      </w:r>
      <w:r w:rsidRPr="00704443">
        <w:rPr>
          <w:rFonts w:cs="Times New Roman"/>
          <w:lang w:val="fr-CA"/>
        </w:rPr>
        <w:t>)</w:t>
      </w:r>
      <w:r>
        <w:rPr>
          <w:rFonts w:cs="Times New Roman"/>
          <w:lang w:val="fr-CA"/>
        </w:rPr>
        <w:t xml:space="preserve"> (</w:t>
      </w:r>
      <w:proofErr w:type="gramStart"/>
      <w:r w:rsidR="00722B3F">
        <w:rPr>
          <w:rFonts w:cs="Times New Roman"/>
          <w:lang w:val="fr-CA"/>
        </w:rPr>
        <w:t>d.a</w:t>
      </w:r>
      <w:r w:rsidRPr="00132F5E">
        <w:rPr>
          <w:rFonts w:cs="Times New Roman"/>
          <w:lang w:val="fr-CA"/>
        </w:rPr>
        <w:t>.,</w:t>
      </w:r>
      <w:proofErr w:type="gramEnd"/>
      <w:r w:rsidRPr="00132F5E">
        <w:rPr>
          <w:rFonts w:cs="Times New Roman"/>
          <w:lang w:val="fr-CA"/>
        </w:rPr>
        <w:t xml:space="preserve"> </w:t>
      </w:r>
      <w:r>
        <w:rPr>
          <w:rFonts w:cs="Times New Roman"/>
          <w:lang w:val="fr-CA"/>
        </w:rPr>
        <w:t>vol. V, p. </w:t>
      </w:r>
      <w:r w:rsidRPr="00132F5E">
        <w:rPr>
          <w:rFonts w:cs="Times New Roman"/>
          <w:lang w:val="fr-CA"/>
        </w:rPr>
        <w:t>101</w:t>
      </w:r>
      <w:r w:rsidR="00722B3F">
        <w:rPr>
          <w:rFonts w:cs="Times New Roman"/>
          <w:lang w:val="fr-CA"/>
        </w:rPr>
        <w:t>-103</w:t>
      </w:r>
      <w:r>
        <w:rPr>
          <w:rFonts w:cs="Times New Roman"/>
          <w:lang w:val="fr-CA"/>
        </w:rPr>
        <w:t xml:space="preserve"> et 104</w:t>
      </w:r>
      <w:r>
        <w:rPr>
          <w:rFonts w:cs="Times New Roman"/>
          <w:lang w:val="fr-CA"/>
        </w:rPr>
        <w:noBreakHyphen/>
      </w:r>
      <w:r w:rsidRPr="00132F5E">
        <w:rPr>
          <w:rFonts w:cs="Times New Roman"/>
          <w:lang w:val="fr-CA"/>
        </w:rPr>
        <w:t xml:space="preserve">112). </w:t>
      </w:r>
      <w:r>
        <w:rPr>
          <w:rFonts w:cs="Times New Roman"/>
          <w:lang w:val="fr-CA"/>
        </w:rPr>
        <w:t xml:space="preserve"> Au moment de rédiger les présents motifs, une affaire avait été rejetée, </w:t>
      </w:r>
      <w:r w:rsidRPr="003F3C55">
        <w:rPr>
          <w:rFonts w:cs="Times New Roman"/>
          <w:lang w:val="fr-CA"/>
        </w:rPr>
        <w:t>une autre</w:t>
      </w:r>
      <w:r>
        <w:rPr>
          <w:rFonts w:cs="Times New Roman"/>
          <w:lang w:val="fr-CA"/>
        </w:rPr>
        <w:t xml:space="preserve"> avait été suspendue en attendant l’issue de la présente affaire et, dans la dernière, une date avait été fixée pour la tenue de l’enquête préliminaire</w:t>
      </w:r>
      <w:r w:rsidRPr="00132F5E">
        <w:rPr>
          <w:rFonts w:cs="Times New Roman"/>
          <w:lang w:val="fr-CA"/>
        </w:rPr>
        <w:t xml:space="preserve">. </w:t>
      </w:r>
    </w:p>
    <w:p w:rsidR="00D867A4" w:rsidRPr="00132F5E" w:rsidRDefault="00D867A4" w:rsidP="00D867A4">
      <w:pPr>
        <w:pStyle w:val="ParaNoNdepar-AltN"/>
        <w:rPr>
          <w:lang w:val="fr-CA"/>
        </w:rPr>
      </w:pPr>
      <w:r>
        <w:rPr>
          <w:rFonts w:cs="Times New Roman"/>
          <w:lang w:val="fr-CA"/>
        </w:rPr>
        <w:t xml:space="preserve">Il va de soi qu’une personne accusée dans une instance en matière criminelle peut toujours soulever une contestation constitutionnelle des dispositions </w:t>
      </w:r>
      <w:r>
        <w:rPr>
          <w:rFonts w:cs="Times New Roman"/>
          <w:lang w:val="fr-CA"/>
        </w:rPr>
        <w:lastRenderedPageBreak/>
        <w:t>en application desquelles elle est accusée.  Mais, cela ne signifie pas que cette éventualité constituera nécessairement une manière plus raisonnable et efficace de soumettre la question à la cour.  L’affaire</w:t>
      </w:r>
      <w:r w:rsidRPr="00132F5E">
        <w:rPr>
          <w:rFonts w:cs="Times New Roman"/>
          <w:lang w:val="fr-CA"/>
        </w:rPr>
        <w:t xml:space="preserve"> </w:t>
      </w:r>
      <w:r w:rsidRPr="00132F5E">
        <w:rPr>
          <w:rFonts w:cs="Times New Roman"/>
          <w:i/>
          <w:lang w:val="fr-CA"/>
        </w:rPr>
        <w:t>Blais</w:t>
      </w:r>
      <w:r>
        <w:rPr>
          <w:rFonts w:cs="Times New Roman"/>
          <w:lang w:val="fr-CA"/>
        </w:rPr>
        <w:t xml:space="preserve"> illustre ce point.  Dans cette affaire, l’accusé, un client, a soulevé une contestation constitutionnelle à l’encontre de la disposition relative à la </w:t>
      </w:r>
      <w:r w:rsidRPr="00993CA4">
        <w:rPr>
          <w:rFonts w:cs="Times New Roman"/>
          <w:lang w:val="fr-CA"/>
        </w:rPr>
        <w:t>communication</w:t>
      </w:r>
      <w:r>
        <w:rPr>
          <w:rFonts w:cs="Times New Roman"/>
          <w:lang w:val="fr-CA"/>
        </w:rPr>
        <w:t xml:space="preserve">, et ce, sans aucune preuve à l’appui.  La </w:t>
      </w:r>
      <w:r w:rsidR="00722B3F">
        <w:rPr>
          <w:rFonts w:cs="Times New Roman"/>
          <w:lang w:val="fr-CA"/>
        </w:rPr>
        <w:t>Cour provinciale de la Colombie-</w:t>
      </w:r>
      <w:r>
        <w:rPr>
          <w:rFonts w:cs="Times New Roman"/>
          <w:lang w:val="fr-CA"/>
        </w:rPr>
        <w:t xml:space="preserve">Britannique a donc rejeté la revendication constitutionnelle sans l’examiner en détail.  De plus, le caractère imprévisible inhérent aux procès criminels rend les choses encore plus difficiles pour une partie soulevant une contestation de la nature de celle engagée en l’espèce.  Par exemple, dans l’affaire </w:t>
      </w:r>
      <w:r>
        <w:rPr>
          <w:rFonts w:cs="Times New Roman"/>
          <w:i/>
          <w:lang w:val="fr-CA"/>
        </w:rPr>
        <w:t>R. c</w:t>
      </w:r>
      <w:r w:rsidRPr="00132F5E">
        <w:rPr>
          <w:rFonts w:cs="Times New Roman"/>
          <w:i/>
          <w:lang w:val="fr-CA"/>
        </w:rPr>
        <w:t>. Hamilton</w:t>
      </w:r>
      <w:r>
        <w:rPr>
          <w:rFonts w:cs="Times New Roman"/>
          <w:lang w:val="fr-CA"/>
        </w:rPr>
        <w:t xml:space="preserve"> (</w:t>
      </w:r>
      <w:r w:rsidR="00722B3F">
        <w:rPr>
          <w:rFonts w:cs="Times New Roman"/>
          <w:lang w:val="fr-CA"/>
        </w:rPr>
        <w:t>a</w:t>
      </w:r>
      <w:r>
        <w:rPr>
          <w:rFonts w:cs="Times New Roman"/>
          <w:lang w:val="fr-CA"/>
        </w:rPr>
        <w:t>ffidavit d’Elizabeth</w:t>
      </w:r>
      <w:r w:rsidRPr="00132F5E">
        <w:rPr>
          <w:rFonts w:cs="Times New Roman"/>
          <w:lang w:val="fr-CA"/>
        </w:rPr>
        <w:t xml:space="preserve"> Campbell, </w:t>
      </w:r>
      <w:r>
        <w:rPr>
          <w:rFonts w:cs="Times New Roman"/>
          <w:lang w:val="fr-CA"/>
        </w:rPr>
        <w:t xml:space="preserve">17 septembre </w:t>
      </w:r>
      <w:r w:rsidRPr="00132F5E">
        <w:rPr>
          <w:rFonts w:cs="Times New Roman"/>
          <w:lang w:val="fr-CA"/>
        </w:rPr>
        <w:t xml:space="preserve">2008, </w:t>
      </w:r>
      <w:r>
        <w:rPr>
          <w:rFonts w:cs="Times New Roman"/>
          <w:lang w:val="fr-CA"/>
        </w:rPr>
        <w:t>par. 6 (</w:t>
      </w:r>
      <w:proofErr w:type="gramStart"/>
      <w:r w:rsidR="00722B3F">
        <w:rPr>
          <w:rFonts w:cs="Times New Roman"/>
          <w:lang w:val="fr-CA"/>
        </w:rPr>
        <w:t>d.a</w:t>
      </w:r>
      <w:r w:rsidRPr="00132F5E">
        <w:rPr>
          <w:rFonts w:cs="Times New Roman"/>
          <w:lang w:val="fr-CA"/>
        </w:rPr>
        <w:t>.,</w:t>
      </w:r>
      <w:proofErr w:type="gramEnd"/>
      <w:r>
        <w:rPr>
          <w:rFonts w:cs="Times New Roman"/>
          <w:lang w:val="fr-CA"/>
        </w:rPr>
        <w:t xml:space="preserve"> vol. II, p. 34</w:t>
      </w:r>
      <w:r w:rsidR="00722B3F">
        <w:rPr>
          <w:rFonts w:cs="Times New Roman"/>
          <w:lang w:val="fr-CA"/>
        </w:rPr>
        <w:t>-</w:t>
      </w:r>
      <w:r>
        <w:rPr>
          <w:rFonts w:cs="Times New Roman"/>
          <w:lang w:val="fr-CA"/>
        </w:rPr>
        <w:t>35</w:t>
      </w:r>
      <w:r w:rsidR="00D0078F">
        <w:rPr>
          <w:rFonts w:cs="Times New Roman"/>
          <w:lang w:val="fr-CA"/>
        </w:rPr>
        <w:t>)</w:t>
      </w:r>
      <w:r w:rsidRPr="00132F5E">
        <w:rPr>
          <w:rFonts w:cs="Times New Roman"/>
          <w:lang w:val="fr-CA"/>
        </w:rPr>
        <w:t>),</w:t>
      </w:r>
      <w:r>
        <w:rPr>
          <w:rFonts w:cs="Times New Roman"/>
          <w:lang w:val="fr-CA"/>
        </w:rPr>
        <w:t xml:space="preserve"> le ministère public a demandé, pour des raisons distinctes, la suspension des procédures à la suite du dépôt par l’accusé d’une contestation constitutionnelle de la disposition concernant les maisons de débauche.  La contestation n’a donc pas pu suivre son cours.</w:t>
      </w:r>
    </w:p>
    <w:p w:rsidR="00D867A4" w:rsidRPr="00132F5E" w:rsidRDefault="00D867A4" w:rsidP="00D867A4">
      <w:pPr>
        <w:pStyle w:val="ParaNoNdepar-AltN"/>
        <w:rPr>
          <w:lang w:val="fr-CA"/>
        </w:rPr>
      </w:pPr>
      <w:r>
        <w:rPr>
          <w:rFonts w:cs="Times New Roman"/>
          <w:lang w:val="fr-CA"/>
        </w:rPr>
        <w:t xml:space="preserve">En outre, le fait que de nombreuses contestations pourraient être ou aient été engagées, ou l’ont été, dans le cadre de poursuites en matière criminelle pourrait en fait corroborer la thèse selon laquelle une demande exhaustive de jugement déclaratoire est en fait une manière plus raisonnable et efficace d’en arriver à un règlement définitif des questions soulevées.  Il pourrait y avoir une multitude de contestations semblables engagées dans le cadre d’une myriade de poursuites criminelles.  En favorisant cette approche, on ne satisferait pas à l’objectif visant à préserver les ressources judiciaires limitées.  En outre, une procédure par voie de </w:t>
      </w:r>
      <w:r>
        <w:rPr>
          <w:rFonts w:cs="Times New Roman"/>
          <w:lang w:val="fr-CA"/>
        </w:rPr>
        <w:lastRenderedPageBreak/>
        <w:t xml:space="preserve">déclaration sommaire de culpabilité ne constitue pas nécessairement un cadre plus approprié pour le traitement d’une contestation constitutionnelle complexe. </w:t>
      </w:r>
    </w:p>
    <w:p w:rsidR="00D867A4" w:rsidRPr="0091159C" w:rsidRDefault="00D867A4" w:rsidP="00D867A4">
      <w:pPr>
        <w:pStyle w:val="ParaNoNdepar-AltN"/>
        <w:rPr>
          <w:b/>
          <w:szCs w:val="24"/>
          <w:lang w:val="fr-CA"/>
        </w:rPr>
      </w:pPr>
      <w:r>
        <w:rPr>
          <w:szCs w:val="24"/>
          <w:lang w:val="fr-CA"/>
        </w:rPr>
        <w:t xml:space="preserve">La troisième préoccupation exposée par le juge en cabinet portait sur le fait qu’il ne pouvait pas s’expliquer comment la vulnérabilité des membres de la Société les empêchait de comparaître en qualité de </w:t>
      </w:r>
      <w:proofErr w:type="spellStart"/>
      <w:r>
        <w:rPr>
          <w:szCs w:val="24"/>
          <w:lang w:val="fr-CA"/>
        </w:rPr>
        <w:t>demanderesses</w:t>
      </w:r>
      <w:proofErr w:type="spellEnd"/>
      <w:r>
        <w:rPr>
          <w:szCs w:val="24"/>
          <w:lang w:val="fr-CA"/>
        </w:rPr>
        <w:t xml:space="preserve">, étant donné qu’elles étaient prêtes à témoigner au procès </w:t>
      </w:r>
      <w:r>
        <w:rPr>
          <w:rFonts w:cs="Times New Roman"/>
          <w:szCs w:val="24"/>
          <w:lang w:val="fr-CA"/>
        </w:rPr>
        <w:t>(par. </w:t>
      </w:r>
      <w:r w:rsidRPr="00132F5E">
        <w:rPr>
          <w:rFonts w:cs="Times New Roman"/>
          <w:szCs w:val="24"/>
          <w:lang w:val="fr-CA"/>
        </w:rPr>
        <w:t>76)</w:t>
      </w:r>
      <w:r>
        <w:rPr>
          <w:rFonts w:cs="Times New Roman"/>
          <w:szCs w:val="24"/>
          <w:lang w:val="fr-CA"/>
        </w:rPr>
        <w:t xml:space="preserve">.  Or, être témoin et être partie à une action sont deux choses bien différentes.  Il appert du dossier en l’espèce qu’aucun travailleur de l’industrie du sexe </w:t>
      </w:r>
      <w:r w:rsidRPr="003F3C55">
        <w:rPr>
          <w:rFonts w:cs="Times New Roman"/>
          <w:szCs w:val="24"/>
          <w:lang w:val="fr-CA"/>
        </w:rPr>
        <w:t xml:space="preserve">du quartier </w:t>
      </w:r>
      <w:proofErr w:type="spellStart"/>
      <w:r w:rsidRPr="003F3C55">
        <w:rPr>
          <w:szCs w:val="24"/>
          <w:lang w:val="fr-CA"/>
        </w:rPr>
        <w:t>Downtown</w:t>
      </w:r>
      <w:proofErr w:type="spellEnd"/>
      <w:r w:rsidRPr="003F3C55">
        <w:rPr>
          <w:szCs w:val="24"/>
          <w:lang w:val="fr-CA"/>
        </w:rPr>
        <w:t xml:space="preserve"> </w:t>
      </w:r>
      <w:proofErr w:type="spellStart"/>
      <w:r w:rsidRPr="003F3C55">
        <w:rPr>
          <w:szCs w:val="24"/>
          <w:lang w:val="fr-CA"/>
        </w:rPr>
        <w:t>Eastside</w:t>
      </w:r>
      <w:proofErr w:type="spellEnd"/>
      <w:r w:rsidRPr="003F3C55">
        <w:rPr>
          <w:szCs w:val="24"/>
          <w:lang w:val="fr-CA"/>
        </w:rPr>
        <w:t xml:space="preserve"> de Vancouver </w:t>
      </w:r>
      <w:r>
        <w:rPr>
          <w:szCs w:val="24"/>
          <w:lang w:val="fr-CA"/>
        </w:rPr>
        <w:t>n’était prêt à intenter une contestation exhaustive.  Ils craignent une atteinte à leur vie privée et à leur sécurité ainsi qu’un accroissement des actes de violence de la part des clients.  De plus, leurs conjoints, leurs amis, les membres de leur famille ou de leur collectivité pourraient ne pas savoir qu’ils travaillent ou ont travaillé dans l’industrie du sexe et qu’ils consomment ou ont consommé des drogues</w:t>
      </w:r>
      <w:r w:rsidRPr="0091159C">
        <w:rPr>
          <w:szCs w:val="24"/>
          <w:lang w:val="fr-CA"/>
        </w:rPr>
        <w:t xml:space="preserve">. </w:t>
      </w:r>
      <w:r>
        <w:rPr>
          <w:szCs w:val="24"/>
          <w:lang w:val="fr-CA"/>
        </w:rPr>
        <w:t xml:space="preserve"> Ils craignent que leurs enfants leur soient retirés par les autorités responsables de la protection des enfants.  Enfin, en engageant une contestation de cette nature, ils craignent de nuire à leurs perspectives, actuelles ou futures, d’études et d’emploi </w:t>
      </w:r>
      <w:r w:rsidRPr="0091159C">
        <w:rPr>
          <w:szCs w:val="24"/>
          <w:lang w:val="fr-CA"/>
        </w:rPr>
        <w:t>(</w:t>
      </w:r>
      <w:r>
        <w:rPr>
          <w:szCs w:val="24"/>
          <w:lang w:val="fr-CA"/>
        </w:rPr>
        <w:t>a</w:t>
      </w:r>
      <w:r w:rsidRPr="0091159C">
        <w:rPr>
          <w:szCs w:val="24"/>
          <w:lang w:val="fr-CA"/>
        </w:rPr>
        <w:t xml:space="preserve">ffidavit </w:t>
      </w:r>
      <w:r>
        <w:rPr>
          <w:szCs w:val="24"/>
          <w:lang w:val="fr-CA"/>
        </w:rPr>
        <w:t xml:space="preserve">de Jill </w:t>
      </w:r>
      <w:proofErr w:type="spellStart"/>
      <w:r w:rsidRPr="0091159C">
        <w:rPr>
          <w:szCs w:val="24"/>
          <w:lang w:val="fr-CA"/>
        </w:rPr>
        <w:t>Chettiar</w:t>
      </w:r>
      <w:proofErr w:type="spellEnd"/>
      <w:r w:rsidRPr="0091159C">
        <w:rPr>
          <w:szCs w:val="24"/>
          <w:lang w:val="fr-CA"/>
        </w:rPr>
        <w:t xml:space="preserve">, </w:t>
      </w:r>
      <w:r w:rsidR="00FE0206">
        <w:rPr>
          <w:szCs w:val="24"/>
          <w:lang w:val="fr-CA"/>
        </w:rPr>
        <w:t>26 septembre 2008, par. 16-</w:t>
      </w:r>
      <w:r w:rsidRPr="0091159C">
        <w:rPr>
          <w:szCs w:val="24"/>
          <w:lang w:val="fr-CA"/>
        </w:rPr>
        <w:t>18</w:t>
      </w:r>
      <w:r w:rsidR="00FE0206">
        <w:rPr>
          <w:szCs w:val="24"/>
          <w:lang w:val="fr-CA"/>
        </w:rPr>
        <w:t xml:space="preserve"> (</w:t>
      </w:r>
      <w:proofErr w:type="gramStart"/>
      <w:r w:rsidR="00FE0206">
        <w:rPr>
          <w:szCs w:val="24"/>
          <w:lang w:val="fr-CA"/>
        </w:rPr>
        <w:t>d.a</w:t>
      </w:r>
      <w:r>
        <w:rPr>
          <w:szCs w:val="24"/>
          <w:lang w:val="fr-CA"/>
        </w:rPr>
        <w:t>.,</w:t>
      </w:r>
      <w:proofErr w:type="gramEnd"/>
      <w:r>
        <w:rPr>
          <w:szCs w:val="24"/>
          <w:lang w:val="fr-CA"/>
        </w:rPr>
        <w:t xml:space="preserve"> vol. IV, p. 184</w:t>
      </w:r>
      <w:r w:rsidR="00FE0206">
        <w:rPr>
          <w:szCs w:val="24"/>
          <w:lang w:val="fr-CA"/>
        </w:rPr>
        <w:t>-1</w:t>
      </w:r>
      <w:r>
        <w:rPr>
          <w:szCs w:val="24"/>
          <w:lang w:val="fr-CA"/>
        </w:rPr>
        <w:t>85)</w:t>
      </w:r>
      <w:r w:rsidR="00FE0206" w:rsidRPr="0091159C">
        <w:rPr>
          <w:szCs w:val="24"/>
          <w:lang w:val="fr-CA"/>
        </w:rPr>
        <w:t>)</w:t>
      </w:r>
      <w:r>
        <w:rPr>
          <w:szCs w:val="24"/>
          <w:lang w:val="fr-CA"/>
        </w:rPr>
        <w:t xml:space="preserve">.  Selon moi, la volonté de bon nombre de ces personnes de souscrire des affidavits ou de comparaître pour témoigner n’affecte en rien la crédibilité de leur témoignage voulant qu’elles ne soient pas prêtes ou capables d’engager en leurs propres noms une contestation de cette nature.  La conduite d’une importante poursuite judiciaire en matière constitutionnelle comporte également des aspects pratiques.  Les avocats </w:t>
      </w:r>
      <w:r>
        <w:rPr>
          <w:szCs w:val="24"/>
          <w:lang w:val="fr-CA"/>
        </w:rPr>
        <w:lastRenderedPageBreak/>
        <w:t xml:space="preserve">doivent être en mesure de communiquer avec leurs clients, et ces derniers doivent être en mesure de fournir </w:t>
      </w:r>
      <w:r w:rsidRPr="003F3C55">
        <w:rPr>
          <w:szCs w:val="24"/>
          <w:lang w:val="fr-CA"/>
        </w:rPr>
        <w:t>en temps opportun des instructions ponctuelles et appropriées.  En outre, dans le cadr</w:t>
      </w:r>
      <w:r>
        <w:rPr>
          <w:szCs w:val="24"/>
          <w:lang w:val="fr-CA"/>
        </w:rPr>
        <w:t xml:space="preserve">e de contestations individuelles, de nombreuses difficultés pourraient surgir compte tenu des éléments de preuve relatifs à la situation de plusieurs des personnes les plus directement touchées par les dispositions contestées. </w:t>
      </w:r>
    </w:p>
    <w:p w:rsidR="00D867A4" w:rsidRPr="00132F5E" w:rsidRDefault="00D867A4" w:rsidP="00D867A4">
      <w:pPr>
        <w:pStyle w:val="ParaNoNdepar-AltN"/>
        <w:rPr>
          <w:szCs w:val="24"/>
          <w:lang w:val="fr-CA"/>
        </w:rPr>
      </w:pPr>
      <w:r>
        <w:rPr>
          <w:szCs w:val="24"/>
          <w:lang w:val="fr-CA"/>
        </w:rPr>
        <w:t xml:space="preserve">Par conséquent, je conclus que ces trois préoccupations décrites par le juge en cabinet ne justifiaient pas qu’il leur accorde le poids déterminant qu’il leur a accordé. </w:t>
      </w:r>
    </w:p>
    <w:p w:rsidR="00D867A4" w:rsidRPr="00132F5E" w:rsidRDefault="00D867A4" w:rsidP="00D867A4">
      <w:pPr>
        <w:pStyle w:val="ParaNoNdepar-AltN"/>
        <w:rPr>
          <w:szCs w:val="24"/>
          <w:lang w:val="fr-CA"/>
        </w:rPr>
      </w:pPr>
      <w:r>
        <w:rPr>
          <w:szCs w:val="24"/>
          <w:lang w:val="fr-CA"/>
        </w:rPr>
        <w:t xml:space="preserve">Je vais maintenant aborder d’autres considérations qui devraient être prises en compte lors de l’examen du facteur relatif aux manières plus raisonnables et efficaces.  La présente affaire constitue un litige d’intérêt public : les intimées ont soulevé des questions d’importance pour le public, des questions qui transcendent leurs intérêts immédiats.  Leur contestation est exhaustive en ce qu’elle vise la presque totalité du régime législatif.  Elle fournit l’occasion d’évaluer, du point de vue du droit constitutionnel, l’effet global de ce régime sur les personnes les plus touchées par ses dispositions.  Une contestation de cette nature est susceptible de prévenir une multiplicité de contestations individuelles engagées dans le cadre de poursuites criminelles.  Il n’y a aucun risque de porter atteinte aux droits d’autres individus ayant un intérêt plus personnel ou plus direct dans la question du fait d’une action trop générale ou mal présentée.  Il est évident que la demande est plaidée </w:t>
      </w:r>
      <w:r w:rsidRPr="00FB1B99">
        <w:rPr>
          <w:szCs w:val="24"/>
          <w:lang w:val="fr-CA"/>
        </w:rPr>
        <w:t>avec rigueur et habileté</w:t>
      </w:r>
      <w:r>
        <w:rPr>
          <w:szCs w:val="24"/>
          <w:lang w:val="fr-CA"/>
        </w:rPr>
        <w:t xml:space="preserve">.  Rien ne laisse croire que d’autres personnes touchées de façon </w:t>
      </w:r>
      <w:r>
        <w:rPr>
          <w:szCs w:val="24"/>
          <w:lang w:val="fr-CA"/>
        </w:rPr>
        <w:lastRenderedPageBreak/>
        <w:t>plus directe ou personnelle aient choisi de plein gré de ne pas contester ces dispositions.  La présence de l’intimée qui agit à titre individuel de même que de la Société garantira que le litige aura une dimension à la fois individuelle et collective.</w:t>
      </w:r>
    </w:p>
    <w:p w:rsidR="00D867A4" w:rsidRPr="00132F5E" w:rsidRDefault="00D867A4" w:rsidP="00D867A4">
      <w:pPr>
        <w:pStyle w:val="ParaNoNdepar-AltN"/>
        <w:rPr>
          <w:szCs w:val="24"/>
          <w:lang w:val="fr-CA"/>
        </w:rPr>
      </w:pPr>
      <w:r>
        <w:rPr>
          <w:lang w:val="fr-CA"/>
        </w:rPr>
        <w:t>Le dossier appuie la position des intimées selon laquelle elles ont la capacité d’engager la présente action.  La Société</w:t>
      </w:r>
      <w:r w:rsidRPr="00132F5E">
        <w:rPr>
          <w:lang w:val="fr-CA"/>
        </w:rPr>
        <w:t xml:space="preserve"> </w:t>
      </w:r>
      <w:r>
        <w:rPr>
          <w:lang w:val="fr-CA"/>
        </w:rPr>
        <w:t>est bien organisée et dotée d’une expertise considérable en ce qui concerne les travailleurs de l’industrie du sexe qui exerce</w:t>
      </w:r>
      <w:r w:rsidR="00FE0206">
        <w:rPr>
          <w:lang w:val="fr-CA"/>
        </w:rPr>
        <w:t>nt</w:t>
      </w:r>
      <w:r>
        <w:rPr>
          <w:lang w:val="fr-CA"/>
        </w:rPr>
        <w:t xml:space="preserve"> leur métier</w:t>
      </w:r>
      <w:r w:rsidRPr="003D4345">
        <w:rPr>
          <w:lang w:val="fr-CA"/>
        </w:rPr>
        <w:t xml:space="preserve"> dans le quartier </w:t>
      </w:r>
      <w:proofErr w:type="spellStart"/>
      <w:r w:rsidRPr="003D4345">
        <w:rPr>
          <w:lang w:val="fr-CA"/>
        </w:rPr>
        <w:t>Downtown</w:t>
      </w:r>
      <w:proofErr w:type="spellEnd"/>
      <w:r w:rsidRPr="003D4345">
        <w:rPr>
          <w:lang w:val="fr-CA"/>
        </w:rPr>
        <w:t xml:space="preserve"> </w:t>
      </w:r>
      <w:proofErr w:type="spellStart"/>
      <w:r w:rsidRPr="003D4345">
        <w:rPr>
          <w:lang w:val="fr-CA"/>
        </w:rPr>
        <w:t>Eastside</w:t>
      </w:r>
      <w:proofErr w:type="spellEnd"/>
      <w:r>
        <w:rPr>
          <w:lang w:val="fr-CA"/>
        </w:rPr>
        <w:t>,</w:t>
      </w:r>
      <w:r w:rsidRPr="003D4345">
        <w:rPr>
          <w:lang w:val="fr-CA"/>
        </w:rPr>
        <w:t xml:space="preserve"> et M</w:t>
      </w:r>
      <w:r w:rsidRPr="003D4345">
        <w:rPr>
          <w:vertAlign w:val="superscript"/>
          <w:lang w:val="fr-CA"/>
        </w:rPr>
        <w:t>me</w:t>
      </w:r>
      <w:r w:rsidRPr="003D4345">
        <w:rPr>
          <w:lang w:val="fr-CA"/>
        </w:rPr>
        <w:t> </w:t>
      </w:r>
      <w:proofErr w:type="spellStart"/>
      <w:r w:rsidRPr="003D4345">
        <w:rPr>
          <w:lang w:val="fr-CA"/>
        </w:rPr>
        <w:t>Kiselbach</w:t>
      </w:r>
      <w:proofErr w:type="spellEnd"/>
      <w:r w:rsidRPr="00132F5E">
        <w:rPr>
          <w:lang w:val="fr-CA"/>
        </w:rPr>
        <w:t xml:space="preserve">, </w:t>
      </w:r>
      <w:r>
        <w:rPr>
          <w:lang w:val="fr-CA"/>
        </w:rPr>
        <w:t>une ancienne travailleuse du sexe dans ce quartier, est soutenue par les ressources de l</w:t>
      </w:r>
      <w:r w:rsidRPr="00132F5E">
        <w:rPr>
          <w:lang w:val="fr-CA"/>
        </w:rPr>
        <w:t xml:space="preserve">a </w:t>
      </w:r>
      <w:r>
        <w:rPr>
          <w:lang w:val="fr-CA"/>
        </w:rPr>
        <w:t>Société.  Elles apportent un contexte factuel concret et représentent les personnes qui sont le plus directement touchées par les dispositions législatives contestées.  À titre d’</w:t>
      </w:r>
      <w:r>
        <w:rPr>
          <w:szCs w:val="24"/>
          <w:lang w:val="fr-CA"/>
        </w:rPr>
        <w:t xml:space="preserve">exemple, la preuve des intimées comprend des affidavits de plus de 90 travailleurs du sexe, actifs ou retirés, du </w:t>
      </w:r>
      <w:r w:rsidRPr="003D4345">
        <w:rPr>
          <w:szCs w:val="24"/>
          <w:lang w:val="fr-CA"/>
        </w:rPr>
        <w:t xml:space="preserve">quartier </w:t>
      </w:r>
      <w:proofErr w:type="spellStart"/>
      <w:r w:rsidRPr="003D4345">
        <w:rPr>
          <w:szCs w:val="24"/>
          <w:lang w:val="fr-CA"/>
        </w:rPr>
        <w:t>Downtown</w:t>
      </w:r>
      <w:proofErr w:type="spellEnd"/>
      <w:r w:rsidRPr="003D4345">
        <w:rPr>
          <w:szCs w:val="24"/>
          <w:lang w:val="fr-CA"/>
        </w:rPr>
        <w:t xml:space="preserve"> </w:t>
      </w:r>
      <w:proofErr w:type="spellStart"/>
      <w:r w:rsidRPr="003D4345">
        <w:rPr>
          <w:szCs w:val="24"/>
          <w:lang w:val="fr-CA"/>
        </w:rPr>
        <w:t>Eastside</w:t>
      </w:r>
      <w:proofErr w:type="spellEnd"/>
      <w:r w:rsidRPr="003D4345">
        <w:rPr>
          <w:szCs w:val="24"/>
          <w:lang w:val="fr-CA"/>
        </w:rPr>
        <w:t xml:space="preserve"> de Vancouver (</w:t>
      </w:r>
      <w:proofErr w:type="gramStart"/>
      <w:r w:rsidRPr="003D4345">
        <w:rPr>
          <w:szCs w:val="24"/>
          <w:lang w:val="fr-CA"/>
        </w:rPr>
        <w:t>m.</w:t>
      </w:r>
      <w:r>
        <w:rPr>
          <w:szCs w:val="24"/>
          <w:lang w:val="fr-CA"/>
        </w:rPr>
        <w:t>i</w:t>
      </w:r>
      <w:r w:rsidRPr="00132F5E">
        <w:rPr>
          <w:szCs w:val="24"/>
          <w:lang w:val="fr-CA"/>
        </w:rPr>
        <w:t>.</w:t>
      </w:r>
      <w:r>
        <w:rPr>
          <w:szCs w:val="24"/>
          <w:lang w:val="fr-CA"/>
        </w:rPr>
        <w:t>,</w:t>
      </w:r>
      <w:proofErr w:type="gramEnd"/>
      <w:r>
        <w:rPr>
          <w:szCs w:val="24"/>
          <w:lang w:val="fr-CA"/>
        </w:rPr>
        <w:t xml:space="preserve"> par. </w:t>
      </w:r>
      <w:r w:rsidRPr="00132F5E">
        <w:rPr>
          <w:szCs w:val="24"/>
          <w:lang w:val="fr-CA"/>
        </w:rPr>
        <w:t>20)</w:t>
      </w:r>
      <w:r>
        <w:rPr>
          <w:szCs w:val="24"/>
          <w:lang w:val="fr-CA"/>
        </w:rPr>
        <w:t>.  De plus, la Société</w:t>
      </w:r>
      <w:r w:rsidRPr="00132F5E">
        <w:rPr>
          <w:szCs w:val="24"/>
          <w:lang w:val="fr-CA"/>
        </w:rPr>
        <w:t xml:space="preserve"> </w:t>
      </w:r>
      <w:r>
        <w:rPr>
          <w:szCs w:val="24"/>
          <w:lang w:val="fr-CA"/>
        </w:rPr>
        <w:t xml:space="preserve">est représentée par des avocats expérimentés en droit de la personne, ainsi que par la </w:t>
      </w:r>
      <w:r w:rsidRPr="00132F5E">
        <w:rPr>
          <w:szCs w:val="24"/>
          <w:lang w:val="fr-CA"/>
        </w:rPr>
        <w:t xml:space="preserve">Pivot </w:t>
      </w:r>
      <w:proofErr w:type="spellStart"/>
      <w:r w:rsidRPr="00132F5E">
        <w:rPr>
          <w:szCs w:val="24"/>
          <w:lang w:val="fr-CA"/>
        </w:rPr>
        <w:t>Legal</w:t>
      </w:r>
      <w:proofErr w:type="spellEnd"/>
      <w:r w:rsidRPr="00132F5E">
        <w:rPr>
          <w:szCs w:val="24"/>
          <w:lang w:val="fr-CA"/>
        </w:rPr>
        <w:t xml:space="preserve"> Society, </w:t>
      </w:r>
      <w:r>
        <w:rPr>
          <w:szCs w:val="24"/>
          <w:lang w:val="fr-CA"/>
        </w:rPr>
        <w:t xml:space="preserve">un organisme sans but lucratif d’intervention juridique qui travaille dans le </w:t>
      </w:r>
      <w:r w:rsidRPr="003D4345">
        <w:rPr>
          <w:szCs w:val="24"/>
          <w:lang w:val="fr-CA"/>
        </w:rPr>
        <w:t>quartier en cause et dont</w:t>
      </w:r>
      <w:r>
        <w:rPr>
          <w:szCs w:val="24"/>
          <w:lang w:val="fr-CA"/>
        </w:rPr>
        <w:t xml:space="preserve"> les activités sont principalement centrées sur les questions juridiques touchant cette collectivité (affidavit de</w:t>
      </w:r>
      <w:r w:rsidRPr="00132F5E">
        <w:rPr>
          <w:szCs w:val="24"/>
          <w:lang w:val="fr-CA"/>
        </w:rPr>
        <w:t xml:space="preserve"> Peter </w:t>
      </w:r>
      <w:proofErr w:type="spellStart"/>
      <w:r w:rsidRPr="00132F5E">
        <w:rPr>
          <w:szCs w:val="24"/>
          <w:lang w:val="fr-CA"/>
        </w:rPr>
        <w:t>Wrinch</w:t>
      </w:r>
      <w:proofErr w:type="spellEnd"/>
      <w:r w:rsidRPr="00132F5E">
        <w:rPr>
          <w:szCs w:val="24"/>
          <w:lang w:val="fr-CA"/>
        </w:rPr>
        <w:t xml:space="preserve">, </w:t>
      </w:r>
      <w:r>
        <w:rPr>
          <w:szCs w:val="24"/>
          <w:lang w:val="fr-CA"/>
        </w:rPr>
        <w:t>30 janvier 2011, par. 3 (</w:t>
      </w:r>
      <w:proofErr w:type="gramStart"/>
      <w:r w:rsidR="00FE0206">
        <w:rPr>
          <w:szCs w:val="24"/>
          <w:lang w:val="fr-CA"/>
        </w:rPr>
        <w:t>d.a</w:t>
      </w:r>
      <w:r>
        <w:rPr>
          <w:szCs w:val="24"/>
          <w:lang w:val="fr-CA"/>
        </w:rPr>
        <w:t>.</w:t>
      </w:r>
      <w:r w:rsidRPr="00132F5E">
        <w:rPr>
          <w:szCs w:val="24"/>
          <w:lang w:val="fr-CA"/>
        </w:rPr>
        <w:t>,</w:t>
      </w:r>
      <w:proofErr w:type="gramEnd"/>
      <w:r w:rsidRPr="00132F5E">
        <w:rPr>
          <w:szCs w:val="24"/>
          <w:lang w:val="fr-CA"/>
        </w:rPr>
        <w:t xml:space="preserve"> </w:t>
      </w:r>
      <w:r>
        <w:rPr>
          <w:szCs w:val="24"/>
          <w:lang w:val="fr-CA"/>
        </w:rPr>
        <w:t>vol. </w:t>
      </w:r>
      <w:r w:rsidR="00FE0206">
        <w:rPr>
          <w:szCs w:val="24"/>
          <w:lang w:val="fr-CA"/>
        </w:rPr>
        <w:t>V</w:t>
      </w:r>
      <w:r w:rsidRPr="00132F5E">
        <w:rPr>
          <w:szCs w:val="24"/>
          <w:lang w:val="fr-CA"/>
        </w:rPr>
        <w:t xml:space="preserve">, </w:t>
      </w:r>
      <w:r>
        <w:rPr>
          <w:szCs w:val="24"/>
          <w:lang w:val="fr-CA"/>
        </w:rPr>
        <w:t>p. </w:t>
      </w:r>
      <w:r w:rsidRPr="00132F5E">
        <w:rPr>
          <w:szCs w:val="24"/>
          <w:lang w:val="fr-CA"/>
        </w:rPr>
        <w:t>137)</w:t>
      </w:r>
      <w:r>
        <w:rPr>
          <w:szCs w:val="24"/>
          <w:lang w:val="fr-CA"/>
        </w:rPr>
        <w:t>).  Cet organisme a effectué des recherches sur le sujet, a produit divers rapports et a présenté les éléments de preuve qu’elle a recueillis à des représentants et à des comités gouvernementaux</w:t>
      </w:r>
      <w:r w:rsidRPr="00132F5E">
        <w:rPr>
          <w:szCs w:val="24"/>
          <w:lang w:val="fr-CA"/>
        </w:rPr>
        <w:t xml:space="preserve"> (</w:t>
      </w:r>
      <w:r>
        <w:rPr>
          <w:szCs w:val="24"/>
          <w:lang w:val="fr-CA"/>
        </w:rPr>
        <w:t xml:space="preserve">voir l’affidavit de </w:t>
      </w:r>
      <w:r w:rsidRPr="00132F5E">
        <w:rPr>
          <w:szCs w:val="24"/>
          <w:lang w:val="fr-CA"/>
        </w:rPr>
        <w:t xml:space="preserve">Peter </w:t>
      </w:r>
      <w:proofErr w:type="spellStart"/>
      <w:r w:rsidRPr="00132F5E">
        <w:rPr>
          <w:szCs w:val="24"/>
          <w:lang w:val="fr-CA"/>
        </w:rPr>
        <w:t>Wrinch</w:t>
      </w:r>
      <w:proofErr w:type="spellEnd"/>
      <w:r w:rsidRPr="00132F5E">
        <w:rPr>
          <w:szCs w:val="24"/>
          <w:lang w:val="fr-CA"/>
        </w:rPr>
        <w:t xml:space="preserve">, </w:t>
      </w:r>
      <w:r>
        <w:rPr>
          <w:szCs w:val="24"/>
          <w:lang w:val="fr-CA"/>
        </w:rPr>
        <w:t>par. 6</w:t>
      </w:r>
      <w:r>
        <w:rPr>
          <w:szCs w:val="24"/>
          <w:lang w:val="fr-CA"/>
        </w:rPr>
        <w:noBreakHyphen/>
        <w:t>21</w:t>
      </w:r>
      <w:r w:rsidR="00FE0206">
        <w:rPr>
          <w:szCs w:val="24"/>
          <w:lang w:val="fr-CA"/>
        </w:rPr>
        <w:t xml:space="preserve"> (</w:t>
      </w:r>
      <w:proofErr w:type="gramStart"/>
      <w:r w:rsidR="00FE0206">
        <w:rPr>
          <w:szCs w:val="24"/>
          <w:lang w:val="fr-CA"/>
        </w:rPr>
        <w:t>d.a.,</w:t>
      </w:r>
      <w:proofErr w:type="gramEnd"/>
      <w:r w:rsidR="00FE0206">
        <w:rPr>
          <w:szCs w:val="24"/>
          <w:lang w:val="fr-CA"/>
        </w:rPr>
        <w:t xml:space="preserve"> vol. V, p. 137-144</w:t>
      </w:r>
      <w:r w:rsidRPr="00132F5E">
        <w:rPr>
          <w:szCs w:val="24"/>
          <w:lang w:val="fr-CA"/>
        </w:rPr>
        <w:t>)</w:t>
      </w:r>
      <w:r w:rsidR="00D0078F">
        <w:rPr>
          <w:szCs w:val="24"/>
          <w:lang w:val="fr-CA"/>
        </w:rPr>
        <w:t>)</w:t>
      </w:r>
      <w:r>
        <w:rPr>
          <w:szCs w:val="24"/>
          <w:lang w:val="fr-CA"/>
        </w:rPr>
        <w:t>.  C</w:t>
      </w:r>
      <w:r>
        <w:rPr>
          <w:lang w:val="fr-CA"/>
        </w:rPr>
        <w:t xml:space="preserve">ela laisse entendre que la présente instance constitue une manière </w:t>
      </w:r>
      <w:r>
        <w:rPr>
          <w:lang w:val="fr-CA"/>
        </w:rPr>
        <w:lastRenderedPageBreak/>
        <w:t>efficace de soumettre la question à la cour en ce sens qu’elle sera présentée dans un contexte qui permettra sa détermination dans un système contradictoire</w:t>
      </w:r>
      <w:r w:rsidRPr="00132F5E">
        <w:rPr>
          <w:lang w:val="fr-CA"/>
        </w:rPr>
        <w:t xml:space="preserve">. </w:t>
      </w:r>
    </w:p>
    <w:p w:rsidR="00D867A4" w:rsidRPr="00132F5E" w:rsidRDefault="00D867A4" w:rsidP="00D867A4">
      <w:pPr>
        <w:pStyle w:val="ParaNoNdepar-AltN"/>
        <w:rPr>
          <w:szCs w:val="24"/>
          <w:lang w:val="fr-CA"/>
        </w:rPr>
      </w:pPr>
      <w:r>
        <w:rPr>
          <w:lang w:val="fr-CA"/>
        </w:rPr>
        <w:t xml:space="preserve">Enfin, d’autres outils de gestion des litiges et d’autres solutions moins catégoriques qu’un déni total de la qualité pour agir peuvent être utilisés pour faire en sorte que le litige projeté constitue une manière raisonnable et efficace de soumettre les questions à la cour. </w:t>
      </w:r>
    </w:p>
    <w:p w:rsidR="00D867A4" w:rsidRPr="00132F5E" w:rsidRDefault="00D867A4" w:rsidP="007A379F">
      <w:pPr>
        <w:pStyle w:val="TitleTitre-AltT"/>
        <w:keepNext/>
        <w:tabs>
          <w:tab w:val="clear" w:pos="360"/>
          <w:tab w:val="left" w:pos="540"/>
        </w:tabs>
        <w:ind w:left="1170" w:hanging="1170"/>
        <w:rPr>
          <w:lang w:val="fr-CA"/>
        </w:rPr>
      </w:pPr>
      <w:r w:rsidRPr="00132F5E">
        <w:rPr>
          <w:lang w:val="fr-CA"/>
        </w:rPr>
        <w:tab/>
        <w:t>(7)</w:t>
      </w:r>
      <w:r>
        <w:rPr>
          <w:lang w:val="fr-CA"/>
        </w:rPr>
        <w:tab/>
      </w:r>
      <w:r w:rsidRPr="00132F5E">
        <w:rPr>
          <w:u w:val="single"/>
          <w:lang w:val="fr-CA"/>
        </w:rPr>
        <w:t xml:space="preserve">Conclusion </w:t>
      </w:r>
      <w:r>
        <w:rPr>
          <w:u w:val="single"/>
          <w:lang w:val="fr-CA"/>
        </w:rPr>
        <w:t>en ce qui concerne la qualité pour agir dans l’intérêt public</w:t>
      </w:r>
    </w:p>
    <w:p w:rsidR="00D867A4" w:rsidRPr="00132F5E" w:rsidRDefault="00D867A4" w:rsidP="00D867A4">
      <w:pPr>
        <w:pStyle w:val="ParaNoNdepar-AltN"/>
        <w:rPr>
          <w:lang w:val="fr-CA"/>
        </w:rPr>
      </w:pPr>
      <w:r>
        <w:rPr>
          <w:lang w:val="fr-CA"/>
        </w:rPr>
        <w:t xml:space="preserve">Appliqués selon une approche téléologique, les trois facteurs militent en faveur de l’exercice du pouvoir discrétionnaire pour reconnaître aux intimées la qualité pour agir dans l’intérêt public afin qu’elles présentent leur demande.  La reconnaissance de cette qualité servira non seulement à renforcer le principe de la légalité en ce qui concerne des questions sérieuses touchant directement certains des membres les plus marginalisés de la société, mais aussi à faire la promotion d’une utilisation efficiente des ressources judiciaires limitées : </w:t>
      </w:r>
      <w:r>
        <w:rPr>
          <w:i/>
          <w:lang w:val="fr-CA"/>
        </w:rPr>
        <w:t>Conseil canadien des Églises</w:t>
      </w:r>
      <w:r w:rsidRPr="00132F5E">
        <w:rPr>
          <w:lang w:val="fr-CA"/>
        </w:rPr>
        <w:t xml:space="preserve">, </w:t>
      </w:r>
      <w:r>
        <w:rPr>
          <w:lang w:val="fr-CA"/>
        </w:rPr>
        <w:t>p. </w:t>
      </w:r>
      <w:r w:rsidRPr="00132F5E">
        <w:rPr>
          <w:lang w:val="fr-CA"/>
        </w:rPr>
        <w:t>252.</w:t>
      </w:r>
    </w:p>
    <w:p w:rsidR="00D867A4" w:rsidRPr="00132F5E" w:rsidRDefault="00D867A4" w:rsidP="007A379F">
      <w:pPr>
        <w:pStyle w:val="TitleTitre-AltT"/>
        <w:keepNext/>
        <w:tabs>
          <w:tab w:val="clear" w:pos="360"/>
          <w:tab w:val="left" w:pos="540"/>
        </w:tabs>
        <w:ind w:left="540" w:hanging="540"/>
        <w:rPr>
          <w:szCs w:val="24"/>
          <w:lang w:val="fr-CA"/>
        </w:rPr>
      </w:pPr>
      <w:r>
        <w:rPr>
          <w:szCs w:val="24"/>
          <w:lang w:val="fr-CA"/>
        </w:rPr>
        <w:lastRenderedPageBreak/>
        <w:t>B.</w:t>
      </w:r>
      <w:r>
        <w:rPr>
          <w:szCs w:val="24"/>
          <w:lang w:val="fr-CA"/>
        </w:rPr>
        <w:tab/>
      </w:r>
      <w:r w:rsidRPr="005238D3">
        <w:rPr>
          <w:i/>
          <w:szCs w:val="24"/>
          <w:lang w:val="fr-CA"/>
        </w:rPr>
        <w:t>Qualité pour agir dans l</w:t>
      </w:r>
      <w:r>
        <w:rPr>
          <w:i/>
          <w:szCs w:val="24"/>
          <w:lang w:val="fr-CA"/>
        </w:rPr>
        <w:t>’</w:t>
      </w:r>
      <w:r w:rsidRPr="005238D3">
        <w:rPr>
          <w:i/>
          <w:szCs w:val="24"/>
          <w:lang w:val="fr-CA"/>
        </w:rPr>
        <w:t>intérêt privé</w:t>
      </w:r>
    </w:p>
    <w:p w:rsidR="00D867A4" w:rsidRPr="00132F5E" w:rsidRDefault="00D867A4" w:rsidP="00D867A4">
      <w:pPr>
        <w:pStyle w:val="ParaNoNdepar-AltN"/>
        <w:rPr>
          <w:szCs w:val="24"/>
          <w:lang w:val="fr-CA"/>
        </w:rPr>
      </w:pPr>
      <w:r>
        <w:rPr>
          <w:szCs w:val="24"/>
          <w:lang w:val="fr-CA"/>
        </w:rPr>
        <w:t>Ayant conclu que les intimées ont la qualité pour agir dans l’intérêt public afin de poursuivre leur action, il n’est pas nécessaire d’aborder la question de savoir si M</w:t>
      </w:r>
      <w:r w:rsidRPr="003D4345">
        <w:rPr>
          <w:szCs w:val="24"/>
          <w:vertAlign w:val="superscript"/>
          <w:lang w:val="fr-CA"/>
        </w:rPr>
        <w:t>me</w:t>
      </w:r>
      <w:r w:rsidR="007A379F">
        <w:rPr>
          <w:szCs w:val="24"/>
          <w:lang w:val="fr-CA"/>
        </w:rPr>
        <w:t> </w:t>
      </w:r>
      <w:proofErr w:type="spellStart"/>
      <w:r w:rsidR="007A379F">
        <w:rPr>
          <w:szCs w:val="24"/>
          <w:lang w:val="fr-CA"/>
        </w:rPr>
        <w:t>Ki</w:t>
      </w:r>
      <w:r>
        <w:rPr>
          <w:szCs w:val="24"/>
          <w:lang w:val="fr-CA"/>
        </w:rPr>
        <w:t>selbach</w:t>
      </w:r>
      <w:proofErr w:type="spellEnd"/>
      <w:r>
        <w:rPr>
          <w:szCs w:val="24"/>
          <w:lang w:val="fr-CA"/>
        </w:rPr>
        <w:t xml:space="preserve"> a </w:t>
      </w:r>
      <w:r w:rsidRPr="00FD30C5">
        <w:rPr>
          <w:szCs w:val="24"/>
          <w:lang w:val="fr-CA"/>
        </w:rPr>
        <w:t>la qualité pour agir dans l</w:t>
      </w:r>
      <w:r>
        <w:rPr>
          <w:szCs w:val="24"/>
          <w:lang w:val="fr-CA"/>
        </w:rPr>
        <w:t>’</w:t>
      </w:r>
      <w:r w:rsidRPr="00FD30C5">
        <w:rPr>
          <w:szCs w:val="24"/>
          <w:lang w:val="fr-CA"/>
        </w:rPr>
        <w:t>intérêt privé</w:t>
      </w:r>
      <w:r>
        <w:rPr>
          <w:szCs w:val="24"/>
          <w:lang w:val="fr-CA"/>
        </w:rPr>
        <w:t>.</w:t>
      </w:r>
    </w:p>
    <w:p w:rsidR="00D867A4" w:rsidRPr="00132F5E" w:rsidRDefault="00D867A4" w:rsidP="007A379F">
      <w:pPr>
        <w:pStyle w:val="TitleTitre-AltT"/>
        <w:keepNext/>
        <w:tabs>
          <w:tab w:val="clear" w:pos="360"/>
          <w:tab w:val="left" w:pos="540"/>
        </w:tabs>
        <w:ind w:left="0" w:firstLine="0"/>
        <w:rPr>
          <w:szCs w:val="24"/>
          <w:lang w:val="fr-CA"/>
        </w:rPr>
      </w:pPr>
      <w:r w:rsidRPr="00132F5E">
        <w:rPr>
          <w:szCs w:val="24"/>
          <w:lang w:val="fr-CA"/>
        </w:rPr>
        <w:t>V.</w:t>
      </w:r>
      <w:r w:rsidRPr="00132F5E">
        <w:rPr>
          <w:szCs w:val="24"/>
          <w:lang w:val="fr-CA"/>
        </w:rPr>
        <w:tab/>
      </w:r>
      <w:r w:rsidRPr="00132F5E">
        <w:rPr>
          <w:szCs w:val="24"/>
          <w:u w:val="single"/>
          <w:lang w:val="fr-CA"/>
        </w:rPr>
        <w:t>Disposi</w:t>
      </w:r>
      <w:r>
        <w:rPr>
          <w:szCs w:val="24"/>
          <w:u w:val="single"/>
          <w:lang w:val="fr-CA"/>
        </w:rPr>
        <w:t>tif</w:t>
      </w:r>
    </w:p>
    <w:p w:rsidR="00D867A4" w:rsidRPr="008264A4" w:rsidRDefault="00D867A4" w:rsidP="00D867A4">
      <w:pPr>
        <w:pStyle w:val="ParaNoNdepar-AltN"/>
        <w:rPr>
          <w:szCs w:val="24"/>
          <w:lang w:val="fr-CA"/>
        </w:rPr>
      </w:pPr>
      <w:r w:rsidRPr="00221E10">
        <w:rPr>
          <w:szCs w:val="24"/>
          <w:lang w:val="fr-CA"/>
        </w:rPr>
        <w:t>Je suis d</w:t>
      </w:r>
      <w:r>
        <w:rPr>
          <w:szCs w:val="24"/>
          <w:lang w:val="fr-CA"/>
        </w:rPr>
        <w:t>’</w:t>
      </w:r>
      <w:r w:rsidRPr="00221E10">
        <w:rPr>
          <w:szCs w:val="24"/>
          <w:lang w:val="fr-CA"/>
        </w:rPr>
        <w:t>avis de rejeter le pourvoi avec dépens</w:t>
      </w:r>
      <w:r>
        <w:rPr>
          <w:szCs w:val="24"/>
          <w:lang w:val="fr-CA"/>
        </w:rPr>
        <w:t>.  Toutefois, je n’accorderai pas</w:t>
      </w:r>
      <w:r w:rsidRPr="00221E10">
        <w:rPr>
          <w:szCs w:val="24"/>
          <w:lang w:val="fr-CA"/>
        </w:rPr>
        <w:t xml:space="preserve"> de dépens spéciaux aux intimées.  La Cour d</w:t>
      </w:r>
      <w:r>
        <w:rPr>
          <w:szCs w:val="24"/>
          <w:lang w:val="fr-CA"/>
        </w:rPr>
        <w:t>’</w:t>
      </w:r>
      <w:r w:rsidRPr="00221E10">
        <w:rPr>
          <w:szCs w:val="24"/>
          <w:lang w:val="fr-CA"/>
        </w:rPr>
        <w:t>appel a refusé de le faire (2011 BCCA 515</w:t>
      </w:r>
      <w:r>
        <w:rPr>
          <w:szCs w:val="24"/>
          <w:lang w:val="fr-CA"/>
        </w:rPr>
        <w:t>, 314 B.C.A.C. 137</w:t>
      </w:r>
      <w:r w:rsidRPr="00221E10">
        <w:rPr>
          <w:szCs w:val="24"/>
          <w:lang w:val="fr-CA"/>
        </w:rPr>
        <w:t>) et nous ne devrions pas nous immiscer dans l</w:t>
      </w:r>
      <w:r>
        <w:rPr>
          <w:szCs w:val="24"/>
          <w:lang w:val="fr-CA"/>
        </w:rPr>
        <w:t>’</w:t>
      </w:r>
      <w:r w:rsidRPr="00221E10">
        <w:rPr>
          <w:szCs w:val="24"/>
          <w:lang w:val="fr-CA"/>
        </w:rPr>
        <w:t xml:space="preserve">exercice de ce pouvoir discrétionnaire à </w:t>
      </w:r>
      <w:r>
        <w:rPr>
          <w:szCs w:val="24"/>
          <w:lang w:val="fr-CA"/>
        </w:rPr>
        <w:t>moins d’avoir des</w:t>
      </w:r>
      <w:r w:rsidRPr="00221E10">
        <w:rPr>
          <w:szCs w:val="24"/>
          <w:lang w:val="fr-CA"/>
        </w:rPr>
        <w:t xml:space="preserve"> motifs clairs et impérieux de le faire, ce qui, à mon avis, n</w:t>
      </w:r>
      <w:r>
        <w:rPr>
          <w:szCs w:val="24"/>
          <w:lang w:val="fr-CA"/>
        </w:rPr>
        <w:t>’</w:t>
      </w:r>
      <w:r w:rsidRPr="00221E10">
        <w:rPr>
          <w:szCs w:val="24"/>
          <w:lang w:val="fr-CA"/>
        </w:rPr>
        <w:t>est pas le cas en l</w:t>
      </w:r>
      <w:r>
        <w:rPr>
          <w:szCs w:val="24"/>
          <w:lang w:val="fr-CA"/>
        </w:rPr>
        <w:t>’</w:t>
      </w:r>
      <w:r w:rsidRPr="00221E10">
        <w:rPr>
          <w:szCs w:val="24"/>
          <w:lang w:val="fr-CA"/>
        </w:rPr>
        <w:t>espèce</w:t>
      </w:r>
      <w:r>
        <w:rPr>
          <w:szCs w:val="24"/>
          <w:lang w:val="fr-CA"/>
        </w:rPr>
        <w:t> :</w:t>
      </w:r>
      <w:r w:rsidRPr="00221E10">
        <w:rPr>
          <w:szCs w:val="24"/>
          <w:lang w:val="fr-CA"/>
        </w:rPr>
        <w:t xml:space="preserve"> </w:t>
      </w:r>
      <w:r w:rsidRPr="00221E10">
        <w:rPr>
          <w:i/>
          <w:szCs w:val="24"/>
          <w:lang w:val="fr-CA"/>
        </w:rPr>
        <w:t xml:space="preserve">Succession </w:t>
      </w:r>
      <w:proofErr w:type="spellStart"/>
      <w:r w:rsidRPr="00221E10">
        <w:rPr>
          <w:i/>
          <w:szCs w:val="24"/>
          <w:lang w:val="fr-CA"/>
        </w:rPr>
        <w:t>Odhavji</w:t>
      </w:r>
      <w:proofErr w:type="spellEnd"/>
      <w:r w:rsidRPr="00221E10">
        <w:rPr>
          <w:i/>
          <w:szCs w:val="24"/>
          <w:lang w:val="fr-CA"/>
        </w:rPr>
        <w:t xml:space="preserve"> c. </w:t>
      </w:r>
      <w:proofErr w:type="spellStart"/>
      <w:r>
        <w:rPr>
          <w:i/>
          <w:szCs w:val="24"/>
          <w:lang w:val="fr-CA"/>
        </w:rPr>
        <w:t>Woodhouse</w:t>
      </w:r>
      <w:proofErr w:type="spellEnd"/>
      <w:r w:rsidRPr="00221E10">
        <w:rPr>
          <w:szCs w:val="24"/>
          <w:lang w:val="fr-CA"/>
        </w:rPr>
        <w:t>,</w:t>
      </w:r>
      <w:r>
        <w:rPr>
          <w:szCs w:val="24"/>
          <w:lang w:val="fr-CA"/>
        </w:rPr>
        <w:t xml:space="preserve"> </w:t>
      </w:r>
      <w:r w:rsidR="007A379F">
        <w:rPr>
          <w:szCs w:val="24"/>
          <w:lang w:val="fr-CA"/>
        </w:rPr>
        <w:t xml:space="preserve">2003 CSC 69, </w:t>
      </w:r>
      <w:r w:rsidRPr="00221E10">
        <w:rPr>
          <w:rFonts w:cs="Times New Roman"/>
          <w:szCs w:val="24"/>
          <w:lang w:val="fr-CA"/>
        </w:rPr>
        <w:t xml:space="preserve">[2003] 3 R.C.S. 263, </w:t>
      </w:r>
      <w:r>
        <w:rPr>
          <w:rFonts w:cs="Times New Roman"/>
          <w:szCs w:val="24"/>
          <w:lang w:val="fr-CA"/>
        </w:rPr>
        <w:t>par. </w:t>
      </w:r>
      <w:r w:rsidRPr="00221E10">
        <w:rPr>
          <w:rFonts w:cs="Times New Roman"/>
          <w:szCs w:val="24"/>
          <w:lang w:val="fr-CA"/>
        </w:rPr>
        <w:t xml:space="preserve">77. </w:t>
      </w:r>
    </w:p>
    <w:p w:rsidR="0033393C" w:rsidRPr="00A24E15" w:rsidRDefault="0033393C" w:rsidP="00DB656D">
      <w:pPr>
        <w:pStyle w:val="SCCNormalDoubleSpacing"/>
        <w:spacing w:after="480"/>
      </w:pPr>
      <w:r w:rsidRPr="00A24E15">
        <w:tab/>
      </w:r>
      <w:r w:rsidR="009F38BC">
        <w:rPr>
          <w:i/>
        </w:rPr>
        <w:t xml:space="preserve">Pourvoi </w:t>
      </w:r>
      <w:r w:rsidR="00080862">
        <w:rPr>
          <w:i/>
        </w:rPr>
        <w:t>rejeté avec dépens</w:t>
      </w:r>
      <w:r w:rsidR="009F38BC">
        <w:rPr>
          <w:i/>
        </w:rPr>
        <w:t>.</w:t>
      </w:r>
    </w:p>
    <w:p w:rsidR="009F38BC" w:rsidRDefault="009F38BC" w:rsidP="00DB656D">
      <w:pPr>
        <w:pStyle w:val="SCCLawFirm"/>
        <w:spacing w:after="480"/>
      </w:pPr>
      <w:r>
        <w:tab/>
        <w:t>Procureur de l’appelant</w:t>
      </w:r>
      <w:r w:rsidR="003F2E88">
        <w:t> :</w:t>
      </w:r>
      <w:r w:rsidR="005C7173">
        <w:t> </w:t>
      </w:r>
      <w:r>
        <w:t>Procureur général du Canada, Vancouver.</w:t>
      </w:r>
    </w:p>
    <w:p w:rsidR="009F38BC" w:rsidRDefault="009F38BC" w:rsidP="00DB656D">
      <w:pPr>
        <w:pStyle w:val="SCCLawFirm"/>
        <w:spacing w:after="480"/>
      </w:pPr>
      <w:r>
        <w:tab/>
        <w:t>Procureurs des intimées</w:t>
      </w:r>
      <w:r w:rsidR="003F2E88">
        <w:t> :</w:t>
      </w:r>
      <w:r w:rsidR="005C7173">
        <w:t> </w:t>
      </w:r>
      <w:proofErr w:type="spellStart"/>
      <w:r>
        <w:t>Arvay</w:t>
      </w:r>
      <w:proofErr w:type="spellEnd"/>
      <w:r>
        <w:t xml:space="preserve"> Finlay, Vancouver; Pivot Legal, Vancouver.</w:t>
      </w:r>
    </w:p>
    <w:p w:rsidR="003746E4" w:rsidRDefault="003746E4" w:rsidP="003746E4">
      <w:pPr>
        <w:pStyle w:val="SCCLawFirm"/>
        <w:spacing w:after="480"/>
      </w:pPr>
      <w:r>
        <w:tab/>
        <w:t>Procureur de l’intervenant le procureur général de l’Ontario</w:t>
      </w:r>
      <w:r w:rsidR="003F2E88">
        <w:t> :</w:t>
      </w:r>
      <w:r>
        <w:t> Procureur général de l’Ontario, Toronto.</w:t>
      </w:r>
    </w:p>
    <w:p w:rsidR="003746E4" w:rsidRDefault="003746E4" w:rsidP="003746E4">
      <w:pPr>
        <w:pStyle w:val="SCCLawFirm"/>
        <w:spacing w:after="480"/>
      </w:pPr>
      <w:r>
        <w:lastRenderedPageBreak/>
        <w:tab/>
        <w:t xml:space="preserve">Procureur de l’intervenante </w:t>
      </w:r>
      <w:proofErr w:type="spellStart"/>
      <w:r>
        <w:t>Community</w:t>
      </w:r>
      <w:proofErr w:type="spellEnd"/>
      <w:r>
        <w:t xml:space="preserve"> </w:t>
      </w:r>
      <w:proofErr w:type="spellStart"/>
      <w:r>
        <w:t>Legal</w:t>
      </w:r>
      <w:proofErr w:type="spellEnd"/>
      <w:r>
        <w:t xml:space="preserve"> Assistance Society</w:t>
      </w:r>
      <w:r w:rsidR="003F2E88">
        <w:t> :</w:t>
      </w:r>
      <w:r>
        <w:t> </w:t>
      </w:r>
      <w:proofErr w:type="spellStart"/>
      <w:r>
        <w:t>Community</w:t>
      </w:r>
      <w:proofErr w:type="spellEnd"/>
      <w:r>
        <w:t xml:space="preserve"> Legal Assistance Society, Vancouver.</w:t>
      </w:r>
    </w:p>
    <w:p w:rsidR="003746E4" w:rsidRDefault="003746E4" w:rsidP="003746E4">
      <w:pPr>
        <w:pStyle w:val="SCCLawFirm"/>
        <w:spacing w:after="480"/>
      </w:pPr>
      <w:r>
        <w:tab/>
        <w:t xml:space="preserve">Procureurs de l’intervenante l’Association des libertés civiles de la </w:t>
      </w:r>
      <w:proofErr w:type="spellStart"/>
      <w:r>
        <w:t>Colombie</w:t>
      </w:r>
      <w:r w:rsidR="003F2E88">
        <w:noBreakHyphen/>
      </w:r>
      <w:r>
        <w:t>Britannique</w:t>
      </w:r>
      <w:proofErr w:type="spellEnd"/>
      <w:r w:rsidR="003F2E88">
        <w:t> :</w:t>
      </w:r>
      <w:r>
        <w:t> </w:t>
      </w:r>
      <w:proofErr w:type="spellStart"/>
      <w:r>
        <w:t>Gratl</w:t>
      </w:r>
      <w:proofErr w:type="spellEnd"/>
      <w:r>
        <w:t xml:space="preserve"> &amp; </w:t>
      </w:r>
      <w:proofErr w:type="spellStart"/>
      <w:r>
        <w:t>Company</w:t>
      </w:r>
      <w:proofErr w:type="spellEnd"/>
      <w:r>
        <w:t xml:space="preserve">, Vancouver; </w:t>
      </w:r>
      <w:r w:rsidRPr="00A07F71">
        <w:t xml:space="preserve">Megan </w:t>
      </w:r>
      <w:proofErr w:type="spellStart"/>
      <w:r w:rsidRPr="00A07F71">
        <w:t>Vis</w:t>
      </w:r>
      <w:r w:rsidR="003F2E88">
        <w:noBreakHyphen/>
      </w:r>
      <w:r w:rsidRPr="00A07F71">
        <w:t>Dunbar</w:t>
      </w:r>
      <w:proofErr w:type="spellEnd"/>
      <w:r>
        <w:t>, Vancouver.</w:t>
      </w:r>
    </w:p>
    <w:p w:rsidR="003746E4" w:rsidRDefault="003746E4" w:rsidP="003746E4">
      <w:pPr>
        <w:pStyle w:val="SCCLawFirm"/>
        <w:spacing w:after="480"/>
      </w:pPr>
      <w:r>
        <w:tab/>
        <w:t xml:space="preserve">Procureur de l’intervenant </w:t>
      </w:r>
      <w:proofErr w:type="spellStart"/>
      <w:r>
        <w:t>Ecojustice</w:t>
      </w:r>
      <w:proofErr w:type="spellEnd"/>
      <w:r>
        <w:t xml:space="preserve"> Canada</w:t>
      </w:r>
      <w:r w:rsidR="003F2E88">
        <w:t> :</w:t>
      </w:r>
      <w:r>
        <w:t> </w:t>
      </w:r>
      <w:proofErr w:type="spellStart"/>
      <w:r>
        <w:t>Ecojustice</w:t>
      </w:r>
      <w:proofErr w:type="spellEnd"/>
      <w:r>
        <w:t xml:space="preserve"> Canada, Toronto.</w:t>
      </w:r>
    </w:p>
    <w:p w:rsidR="003746E4" w:rsidRPr="00DB656D" w:rsidRDefault="003746E4" w:rsidP="003746E4">
      <w:pPr>
        <w:pStyle w:val="SCCLawFirm"/>
        <w:spacing w:after="480"/>
        <w:rPr>
          <w:lang w:val="en-US"/>
        </w:rPr>
      </w:pPr>
      <w:r>
        <w:tab/>
      </w:r>
      <w:proofErr w:type="spellStart"/>
      <w:r w:rsidRPr="00DB656D">
        <w:rPr>
          <w:lang w:val="en-US"/>
        </w:rPr>
        <w:t>Procureur</w:t>
      </w:r>
      <w:r>
        <w:rPr>
          <w:lang w:val="en-US"/>
        </w:rPr>
        <w:t>s</w:t>
      </w:r>
      <w:proofErr w:type="spellEnd"/>
      <w:r w:rsidRPr="00DB656D">
        <w:rPr>
          <w:lang w:val="en-US"/>
        </w:rPr>
        <w:t xml:space="preserve"> de</w:t>
      </w:r>
      <w:r w:rsidR="000A76C2">
        <w:rPr>
          <w:lang w:val="en-US"/>
        </w:rPr>
        <w:t>s</w:t>
      </w:r>
      <w:r w:rsidRPr="00DB656D">
        <w:rPr>
          <w:lang w:val="en-US"/>
        </w:rPr>
        <w:t xml:space="preserve"> </w:t>
      </w:r>
      <w:proofErr w:type="spellStart"/>
      <w:r>
        <w:rPr>
          <w:lang w:val="en-US"/>
        </w:rPr>
        <w:t>intervenant</w:t>
      </w:r>
      <w:r w:rsidR="000A76C2">
        <w:rPr>
          <w:lang w:val="en-US"/>
        </w:rPr>
        <w:t>s</w:t>
      </w:r>
      <w:proofErr w:type="spellEnd"/>
      <w:r w:rsidRPr="00DB656D">
        <w:rPr>
          <w:lang w:val="en-US"/>
        </w:rPr>
        <w:t xml:space="preserve"> Coalition of West Coast Women’s Legal Education and Action Fund (West Coast LEAF), Justice for Children and Youth </w:t>
      </w:r>
      <w:r w:rsidR="00013913">
        <w:rPr>
          <w:lang w:val="en-US"/>
        </w:rPr>
        <w:t>et</w:t>
      </w:r>
      <w:r w:rsidRPr="00DB656D">
        <w:rPr>
          <w:lang w:val="en-US"/>
        </w:rPr>
        <w:t xml:space="preserve"> ARCH Disability Law </w:t>
      </w:r>
      <w:proofErr w:type="gramStart"/>
      <w:r w:rsidRPr="00DB656D">
        <w:rPr>
          <w:lang w:val="en-US"/>
        </w:rPr>
        <w:t>Centre</w:t>
      </w:r>
      <w:r w:rsidR="003F2E88">
        <w:rPr>
          <w:lang w:val="en-US"/>
        </w:rPr>
        <w:t> :</w:t>
      </w:r>
      <w:proofErr w:type="gramEnd"/>
      <w:r>
        <w:rPr>
          <w:lang w:val="en-US"/>
        </w:rPr>
        <w:t> </w:t>
      </w:r>
      <w:r w:rsidRPr="00DB656D">
        <w:rPr>
          <w:lang w:val="en-US"/>
        </w:rPr>
        <w:t>West Coast Women’s Legal Education and Action Fund (West Coast LEAF), Vancouver; Justice for Children and Youth, Toronto; ARCH Disability Law Centre, Toronto.</w:t>
      </w:r>
    </w:p>
    <w:p w:rsidR="003746E4" w:rsidRDefault="003746E4" w:rsidP="003746E4">
      <w:pPr>
        <w:pStyle w:val="SCCLawFirm"/>
        <w:spacing w:after="480"/>
      </w:pPr>
      <w:r w:rsidRPr="00DB656D">
        <w:rPr>
          <w:lang w:val="en-US"/>
        </w:rPr>
        <w:tab/>
      </w:r>
      <w:r>
        <w:t xml:space="preserve">Procureurs de l’intervenant le Conseil scolaire francophone de la </w:t>
      </w:r>
      <w:proofErr w:type="spellStart"/>
      <w:r>
        <w:t>Colombie</w:t>
      </w:r>
      <w:r w:rsidR="003F2E88">
        <w:noBreakHyphen/>
      </w:r>
      <w:r>
        <w:t>Britannique</w:t>
      </w:r>
      <w:proofErr w:type="spellEnd"/>
      <w:r w:rsidR="003F2E88">
        <w:t> :</w:t>
      </w:r>
      <w:r>
        <w:t> </w:t>
      </w:r>
      <w:proofErr w:type="spellStart"/>
      <w:r>
        <w:t>Heenan</w:t>
      </w:r>
      <w:proofErr w:type="spellEnd"/>
      <w:r>
        <w:t xml:space="preserve"> </w:t>
      </w:r>
      <w:proofErr w:type="spellStart"/>
      <w:r>
        <w:t>Blaikie</w:t>
      </w:r>
      <w:proofErr w:type="spellEnd"/>
      <w:r>
        <w:t>, Ottawa.</w:t>
      </w:r>
    </w:p>
    <w:p w:rsidR="003746E4" w:rsidRDefault="003746E4" w:rsidP="003746E4">
      <w:pPr>
        <w:pStyle w:val="SCCLawFirm"/>
        <w:spacing w:after="480"/>
      </w:pPr>
      <w:r>
        <w:tab/>
        <w:t xml:space="preserve">Procureur de l’intervenant David </w:t>
      </w:r>
      <w:proofErr w:type="spellStart"/>
      <w:r>
        <w:t>Asper</w:t>
      </w:r>
      <w:proofErr w:type="spellEnd"/>
      <w:r>
        <w:t xml:space="preserve"> Centre for </w:t>
      </w:r>
      <w:proofErr w:type="spellStart"/>
      <w:r>
        <w:t>Constitutional</w:t>
      </w:r>
      <w:proofErr w:type="spellEnd"/>
      <w:r>
        <w:t xml:space="preserve"> Rights</w:t>
      </w:r>
      <w:r w:rsidR="003F2E88">
        <w:t> :</w:t>
      </w:r>
      <w:r>
        <w:t> Université de Toronto, Toronto.</w:t>
      </w:r>
    </w:p>
    <w:p w:rsidR="003746E4" w:rsidRDefault="003746E4" w:rsidP="003746E4">
      <w:pPr>
        <w:pStyle w:val="SCCLawFirm"/>
        <w:spacing w:after="480"/>
      </w:pPr>
      <w:r>
        <w:lastRenderedPageBreak/>
        <w:tab/>
        <w:t>Procureur de l’intervenante l’Association canadienne des libertés civiles</w:t>
      </w:r>
      <w:r w:rsidR="003F2E88">
        <w:t> :</w:t>
      </w:r>
      <w:r>
        <w:t> Association canadienne des libertés civiles, Toronto.</w:t>
      </w:r>
    </w:p>
    <w:p w:rsidR="003746E4" w:rsidRDefault="003746E4" w:rsidP="003746E4">
      <w:pPr>
        <w:pStyle w:val="SCCLawFirm"/>
        <w:spacing w:after="480"/>
      </w:pPr>
      <w:r>
        <w:tab/>
        <w:t>Procureurs des intervenants l’Association canadienne des avocats et avocates en droit des réfugiés et le Conseil canadien pour les réfugiés</w:t>
      </w:r>
      <w:r w:rsidR="003F2E88">
        <w:t> :</w:t>
      </w:r>
      <w:r>
        <w:t> </w:t>
      </w:r>
      <w:proofErr w:type="spellStart"/>
      <w:r>
        <w:t>Waldman</w:t>
      </w:r>
      <w:proofErr w:type="spellEnd"/>
      <w:r>
        <w:t xml:space="preserve"> &amp; Associates, Toronto.</w:t>
      </w:r>
    </w:p>
    <w:p w:rsidR="0043088E" w:rsidRDefault="003746E4" w:rsidP="00740DE5">
      <w:pPr>
        <w:pStyle w:val="SCCLawFirm"/>
        <w:rPr>
          <w:b/>
          <w:i w:val="0"/>
        </w:rPr>
      </w:pPr>
      <w:r>
        <w:tab/>
        <w:t xml:space="preserve">Procureurs des intervenants le Réseau juridique canadien VIH/sida, HIV &amp; AIDS </w:t>
      </w:r>
      <w:proofErr w:type="spellStart"/>
      <w:r>
        <w:t>Legal</w:t>
      </w:r>
      <w:proofErr w:type="spellEnd"/>
      <w:r>
        <w:t xml:space="preserve"> </w:t>
      </w:r>
      <w:proofErr w:type="spellStart"/>
      <w:r>
        <w:t>Clinic</w:t>
      </w:r>
      <w:proofErr w:type="spellEnd"/>
      <w:r>
        <w:t xml:space="preserve"> Ontario et Positive Living Society of British Columbia</w:t>
      </w:r>
      <w:r w:rsidR="003F2E88">
        <w:t> :</w:t>
      </w:r>
      <w:r>
        <w:t xml:space="preserve"> McCarthy </w:t>
      </w:r>
      <w:proofErr w:type="spellStart"/>
      <w:r>
        <w:t>Tétrault</w:t>
      </w:r>
      <w:proofErr w:type="spellEnd"/>
      <w:r>
        <w:t>, Vancouver.</w:t>
      </w:r>
    </w:p>
    <w:p w:rsidR="00740DE5" w:rsidRDefault="00740DE5" w:rsidP="00740DE5">
      <w:pPr>
        <w:pStyle w:val="SCCNormalDoubleSpacing"/>
      </w:pPr>
    </w:p>
    <w:p w:rsidR="00740DE5" w:rsidRPr="00740DE5" w:rsidRDefault="00740DE5" w:rsidP="00740DE5">
      <w:pPr>
        <w:pStyle w:val="SCCNormalDoubleSpacing"/>
      </w:pPr>
    </w:p>
    <w:sectPr w:rsidR="00740DE5" w:rsidRPr="00740DE5" w:rsidSect="00DD4166">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D33" w:rsidRDefault="00B42D33">
      <w:r>
        <w:separator/>
      </w:r>
    </w:p>
  </w:endnote>
  <w:endnote w:type="continuationSeparator" w:id="0">
    <w:p w:rsidR="00B42D33" w:rsidRDefault="00B42D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D33" w:rsidRDefault="00B42D33">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D33" w:rsidRDefault="00B42D33">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D33" w:rsidRDefault="00B42D33">
      <w:r>
        <w:separator/>
      </w:r>
    </w:p>
  </w:footnote>
  <w:footnote w:type="continuationSeparator" w:id="0">
    <w:p w:rsidR="00B42D33" w:rsidRDefault="00B42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D33" w:rsidRDefault="00B42D33">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7301"/>
      <w:docPartObj>
        <w:docPartGallery w:val="Page Numbers (Top of Page)"/>
        <w:docPartUnique/>
      </w:docPartObj>
    </w:sdtPr>
    <w:sdtContent>
      <w:p w:rsidR="00B42D33" w:rsidRDefault="00B42D33">
        <w:pPr>
          <w:pStyle w:val="Header"/>
          <w:jc w:val="center"/>
        </w:pPr>
        <w:r>
          <w:t xml:space="preserve">- </w:t>
        </w:r>
        <w:fldSimple w:instr=" PAGE   \* MERGEFORMAT ">
          <w:r w:rsidR="00413EDC">
            <w:rPr>
              <w:noProof/>
            </w:rPr>
            <w:t>3</w:t>
          </w:r>
        </w:fldSimple>
        <w:r>
          <w:t xml:space="preserve"> -</w:t>
        </w:r>
      </w:p>
    </w:sdtContent>
  </w:sdt>
  <w:p w:rsidR="00B42D33" w:rsidRDefault="00B42D33" w:rsidP="000C59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1E6D6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673930"/>
    <w:multiLevelType w:val="hybridMultilevel"/>
    <w:tmpl w:val="9D78A2A4"/>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FC40E70"/>
    <w:multiLevelType w:val="hybridMultilevel"/>
    <w:tmpl w:val="1960C560"/>
    <w:lvl w:ilvl="0" w:tplc="040C0001">
      <w:start w:val="1"/>
      <w:numFmt w:val="bullet"/>
      <w:lvlText w:val=""/>
      <w:lvlJc w:val="left"/>
      <w:pPr>
        <w:ind w:left="2332" w:hanging="360"/>
      </w:pPr>
      <w:rPr>
        <w:rFonts w:ascii="Symbol" w:hAnsi="Symbol" w:hint="default"/>
      </w:rPr>
    </w:lvl>
    <w:lvl w:ilvl="1" w:tplc="040C0003" w:tentative="1">
      <w:start w:val="1"/>
      <w:numFmt w:val="bullet"/>
      <w:lvlText w:val="o"/>
      <w:lvlJc w:val="left"/>
      <w:pPr>
        <w:ind w:left="3052" w:hanging="360"/>
      </w:pPr>
      <w:rPr>
        <w:rFonts w:ascii="Courier New" w:hAnsi="Courier New" w:cs="Courier New" w:hint="default"/>
      </w:rPr>
    </w:lvl>
    <w:lvl w:ilvl="2" w:tplc="040C0005" w:tentative="1">
      <w:start w:val="1"/>
      <w:numFmt w:val="bullet"/>
      <w:lvlText w:val=""/>
      <w:lvlJc w:val="left"/>
      <w:pPr>
        <w:ind w:left="3772" w:hanging="360"/>
      </w:pPr>
      <w:rPr>
        <w:rFonts w:ascii="Wingdings" w:hAnsi="Wingdings" w:hint="default"/>
      </w:rPr>
    </w:lvl>
    <w:lvl w:ilvl="3" w:tplc="040C0001" w:tentative="1">
      <w:start w:val="1"/>
      <w:numFmt w:val="bullet"/>
      <w:lvlText w:val=""/>
      <w:lvlJc w:val="left"/>
      <w:pPr>
        <w:ind w:left="4492" w:hanging="360"/>
      </w:pPr>
      <w:rPr>
        <w:rFonts w:ascii="Symbol" w:hAnsi="Symbol" w:hint="default"/>
      </w:rPr>
    </w:lvl>
    <w:lvl w:ilvl="4" w:tplc="040C0003" w:tentative="1">
      <w:start w:val="1"/>
      <w:numFmt w:val="bullet"/>
      <w:lvlText w:val="o"/>
      <w:lvlJc w:val="left"/>
      <w:pPr>
        <w:ind w:left="5212" w:hanging="360"/>
      </w:pPr>
      <w:rPr>
        <w:rFonts w:ascii="Courier New" w:hAnsi="Courier New" w:cs="Courier New" w:hint="default"/>
      </w:rPr>
    </w:lvl>
    <w:lvl w:ilvl="5" w:tplc="040C0005" w:tentative="1">
      <w:start w:val="1"/>
      <w:numFmt w:val="bullet"/>
      <w:lvlText w:val=""/>
      <w:lvlJc w:val="left"/>
      <w:pPr>
        <w:ind w:left="5932" w:hanging="360"/>
      </w:pPr>
      <w:rPr>
        <w:rFonts w:ascii="Wingdings" w:hAnsi="Wingdings" w:hint="default"/>
      </w:rPr>
    </w:lvl>
    <w:lvl w:ilvl="6" w:tplc="040C0001" w:tentative="1">
      <w:start w:val="1"/>
      <w:numFmt w:val="bullet"/>
      <w:lvlText w:val=""/>
      <w:lvlJc w:val="left"/>
      <w:pPr>
        <w:ind w:left="6652" w:hanging="360"/>
      </w:pPr>
      <w:rPr>
        <w:rFonts w:ascii="Symbol" w:hAnsi="Symbol" w:hint="default"/>
      </w:rPr>
    </w:lvl>
    <w:lvl w:ilvl="7" w:tplc="040C0003" w:tentative="1">
      <w:start w:val="1"/>
      <w:numFmt w:val="bullet"/>
      <w:lvlText w:val="o"/>
      <w:lvlJc w:val="left"/>
      <w:pPr>
        <w:ind w:left="7372" w:hanging="360"/>
      </w:pPr>
      <w:rPr>
        <w:rFonts w:ascii="Courier New" w:hAnsi="Courier New" w:cs="Courier New" w:hint="default"/>
      </w:rPr>
    </w:lvl>
    <w:lvl w:ilvl="8" w:tplc="040C0005" w:tentative="1">
      <w:start w:val="1"/>
      <w:numFmt w:val="bullet"/>
      <w:lvlText w:val=""/>
      <w:lvlJc w:val="left"/>
      <w:pPr>
        <w:ind w:left="8092" w:hanging="360"/>
      </w:pPr>
      <w:rPr>
        <w:rFonts w:ascii="Wingdings" w:hAnsi="Wingdings" w:hint="default"/>
      </w:rPr>
    </w:lvl>
  </w:abstractNum>
  <w:abstractNum w:abstractNumId="4">
    <w:nsid w:val="12C847DF"/>
    <w:multiLevelType w:val="hybridMultilevel"/>
    <w:tmpl w:val="2B2A5A7A"/>
    <w:lvl w:ilvl="0" w:tplc="967450CE">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B41473"/>
    <w:multiLevelType w:val="hybridMultilevel"/>
    <w:tmpl w:val="F4EA804C"/>
    <w:lvl w:ilvl="0" w:tplc="10090001">
      <w:start w:val="1"/>
      <w:numFmt w:val="bullet"/>
      <w:lvlText w:val=""/>
      <w:lvlJc w:val="left"/>
      <w:pPr>
        <w:ind w:left="540" w:hanging="360"/>
      </w:pPr>
      <w:rPr>
        <w:rFonts w:ascii="Symbol" w:hAnsi="Symbol" w:hint="default"/>
      </w:rPr>
    </w:lvl>
    <w:lvl w:ilvl="1" w:tplc="10090003">
      <w:start w:val="1"/>
      <w:numFmt w:val="bullet"/>
      <w:lvlText w:val="o"/>
      <w:lvlJc w:val="left"/>
      <w:pPr>
        <w:ind w:left="900" w:hanging="360"/>
      </w:pPr>
      <w:rPr>
        <w:rFonts w:ascii="Courier New" w:hAnsi="Courier New" w:cs="Courier New" w:hint="default"/>
      </w:rPr>
    </w:lvl>
    <w:lvl w:ilvl="2" w:tplc="10090005">
      <w:start w:val="1"/>
      <w:numFmt w:val="bullet"/>
      <w:lvlText w:val=""/>
      <w:lvlJc w:val="left"/>
      <w:pPr>
        <w:ind w:left="1980" w:hanging="360"/>
      </w:pPr>
      <w:rPr>
        <w:rFonts w:ascii="Wingdings" w:hAnsi="Wingdings" w:hint="default"/>
      </w:rPr>
    </w:lvl>
    <w:lvl w:ilvl="3" w:tplc="10090001">
      <w:start w:val="1"/>
      <w:numFmt w:val="bullet"/>
      <w:lvlText w:val=""/>
      <w:lvlJc w:val="left"/>
      <w:pPr>
        <w:ind w:left="2700" w:hanging="360"/>
      </w:pPr>
      <w:rPr>
        <w:rFonts w:ascii="Symbol" w:hAnsi="Symbol" w:hint="default"/>
      </w:rPr>
    </w:lvl>
    <w:lvl w:ilvl="4" w:tplc="10090003">
      <w:start w:val="1"/>
      <w:numFmt w:val="bullet"/>
      <w:lvlText w:val="o"/>
      <w:lvlJc w:val="left"/>
      <w:pPr>
        <w:ind w:left="990" w:hanging="360"/>
      </w:pPr>
      <w:rPr>
        <w:rFonts w:ascii="Courier New" w:hAnsi="Courier New" w:cs="Courier New" w:hint="default"/>
      </w:rPr>
    </w:lvl>
    <w:lvl w:ilvl="5" w:tplc="10090005">
      <w:start w:val="1"/>
      <w:numFmt w:val="bullet"/>
      <w:lvlText w:val=""/>
      <w:lvlJc w:val="left"/>
      <w:pPr>
        <w:ind w:left="198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6">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B510707"/>
    <w:multiLevelType w:val="hybridMultilevel"/>
    <w:tmpl w:val="E46CAA3E"/>
    <w:lvl w:ilvl="0" w:tplc="6F58EA52">
      <w:start w:val="2"/>
      <w:numFmt w:val="upperRoman"/>
      <w:lvlText w:val="(%1)"/>
      <w:lvlJc w:val="left"/>
      <w:pPr>
        <w:ind w:left="2520" w:hanging="720"/>
      </w:pPr>
      <w:rPr>
        <w:rFonts w:hint="default"/>
        <w:color w:val="FF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3F626C1"/>
    <w:multiLevelType w:val="hybridMultilevel"/>
    <w:tmpl w:val="4F4A22F0"/>
    <w:lvl w:ilvl="0" w:tplc="A22E3E4C">
      <w:start w:val="1"/>
      <w:numFmt w:val="lowerLetter"/>
      <w:lvlText w:val="(%1.)"/>
      <w:lvlJc w:val="left"/>
      <w:pPr>
        <w:ind w:left="1176" w:hanging="4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F4009C"/>
    <w:multiLevelType w:val="hybridMultilevel"/>
    <w:tmpl w:val="14F8B796"/>
    <w:lvl w:ilvl="0" w:tplc="10090001">
      <w:start w:val="1"/>
      <w:numFmt w:val="bullet"/>
      <w:lvlText w:val=""/>
      <w:lvlJc w:val="left"/>
      <w:pPr>
        <w:ind w:left="63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45157C54"/>
    <w:multiLevelType w:val="hybridMultilevel"/>
    <w:tmpl w:val="4204EE24"/>
    <w:lvl w:ilvl="0" w:tplc="076C2F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0E51AC"/>
    <w:multiLevelType w:val="hybridMultilevel"/>
    <w:tmpl w:val="055043DA"/>
    <w:lvl w:ilvl="0" w:tplc="A34C2104">
      <w:start w:val="1"/>
      <w:numFmt w:val="bullet"/>
      <w:lvlText w:val="-"/>
      <w:lvlJc w:val="left"/>
      <w:pPr>
        <w:ind w:left="360" w:hanging="360"/>
      </w:pPr>
      <w:rPr>
        <w:rFonts w:ascii="Times New Roman" w:eastAsiaTheme="minorHAnsi" w:hAnsi="Times New Roman"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463513E8"/>
    <w:multiLevelType w:val="hybridMultilevel"/>
    <w:tmpl w:val="A10AAD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4283EE8"/>
    <w:multiLevelType w:val="multilevel"/>
    <w:tmpl w:val="184EBC22"/>
    <w:lvl w:ilvl="0">
      <w:start w:val="1"/>
      <w:numFmt w:val="decimal"/>
      <w:pStyle w:val="ParaNoNdepar-AltN"/>
      <w:lvlText w:val="[%1]"/>
      <w:lvlJc w:val="left"/>
      <w:pPr>
        <w:tabs>
          <w:tab w:val="num" w:pos="1152"/>
        </w:tabs>
        <w:ind w:left="0" w:firstLine="0"/>
      </w:pPr>
      <w:rPr>
        <w:rFonts w:ascii="Times New Roman" w:hAnsi="Times New Roman" w:hint="default"/>
        <w:b w:val="0"/>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i/>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84D5DD8"/>
    <w:multiLevelType w:val="hybridMultilevel"/>
    <w:tmpl w:val="A48072D2"/>
    <w:lvl w:ilvl="0" w:tplc="B05A19B0">
      <w:start w:val="3"/>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14A2A6F"/>
    <w:multiLevelType w:val="hybridMultilevel"/>
    <w:tmpl w:val="E2B4BDD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55B137F"/>
    <w:multiLevelType w:val="hybridMultilevel"/>
    <w:tmpl w:val="FBF6974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AFA4616"/>
    <w:multiLevelType w:val="multilevel"/>
    <w:tmpl w:val="E626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8E1C58"/>
    <w:multiLevelType w:val="hybridMultilevel"/>
    <w:tmpl w:val="1F9031DC"/>
    <w:lvl w:ilvl="0" w:tplc="A34C2104">
      <w:start w:val="1"/>
      <w:numFmt w:val="bullet"/>
      <w:lvlText w:val="-"/>
      <w:lvlJc w:val="left"/>
      <w:pPr>
        <w:ind w:left="771" w:hanging="360"/>
      </w:pPr>
      <w:rPr>
        <w:rFonts w:ascii="Times New Roman" w:eastAsiaTheme="minorHAnsi" w:hAnsi="Times New Roman" w:cs="Times New Roman" w:hint="default"/>
      </w:rPr>
    </w:lvl>
    <w:lvl w:ilvl="1" w:tplc="10090003" w:tentative="1">
      <w:start w:val="1"/>
      <w:numFmt w:val="bullet"/>
      <w:lvlText w:val="o"/>
      <w:lvlJc w:val="left"/>
      <w:pPr>
        <w:ind w:left="1491" w:hanging="360"/>
      </w:pPr>
      <w:rPr>
        <w:rFonts w:ascii="Courier New" w:hAnsi="Courier New" w:cs="Courier New" w:hint="default"/>
      </w:rPr>
    </w:lvl>
    <w:lvl w:ilvl="2" w:tplc="10090005" w:tentative="1">
      <w:start w:val="1"/>
      <w:numFmt w:val="bullet"/>
      <w:lvlText w:val=""/>
      <w:lvlJc w:val="left"/>
      <w:pPr>
        <w:ind w:left="2211" w:hanging="360"/>
      </w:pPr>
      <w:rPr>
        <w:rFonts w:ascii="Wingdings" w:hAnsi="Wingdings" w:hint="default"/>
      </w:rPr>
    </w:lvl>
    <w:lvl w:ilvl="3" w:tplc="10090001" w:tentative="1">
      <w:start w:val="1"/>
      <w:numFmt w:val="bullet"/>
      <w:lvlText w:val=""/>
      <w:lvlJc w:val="left"/>
      <w:pPr>
        <w:ind w:left="2931" w:hanging="360"/>
      </w:pPr>
      <w:rPr>
        <w:rFonts w:ascii="Symbol" w:hAnsi="Symbol" w:hint="default"/>
      </w:rPr>
    </w:lvl>
    <w:lvl w:ilvl="4" w:tplc="10090003" w:tentative="1">
      <w:start w:val="1"/>
      <w:numFmt w:val="bullet"/>
      <w:lvlText w:val="o"/>
      <w:lvlJc w:val="left"/>
      <w:pPr>
        <w:ind w:left="3651" w:hanging="360"/>
      </w:pPr>
      <w:rPr>
        <w:rFonts w:ascii="Courier New" w:hAnsi="Courier New" w:cs="Courier New" w:hint="default"/>
      </w:rPr>
    </w:lvl>
    <w:lvl w:ilvl="5" w:tplc="10090005" w:tentative="1">
      <w:start w:val="1"/>
      <w:numFmt w:val="bullet"/>
      <w:lvlText w:val=""/>
      <w:lvlJc w:val="left"/>
      <w:pPr>
        <w:ind w:left="4371" w:hanging="360"/>
      </w:pPr>
      <w:rPr>
        <w:rFonts w:ascii="Wingdings" w:hAnsi="Wingdings" w:hint="default"/>
      </w:rPr>
    </w:lvl>
    <w:lvl w:ilvl="6" w:tplc="10090001" w:tentative="1">
      <w:start w:val="1"/>
      <w:numFmt w:val="bullet"/>
      <w:lvlText w:val=""/>
      <w:lvlJc w:val="left"/>
      <w:pPr>
        <w:ind w:left="5091" w:hanging="360"/>
      </w:pPr>
      <w:rPr>
        <w:rFonts w:ascii="Symbol" w:hAnsi="Symbol" w:hint="default"/>
      </w:rPr>
    </w:lvl>
    <w:lvl w:ilvl="7" w:tplc="10090003" w:tentative="1">
      <w:start w:val="1"/>
      <w:numFmt w:val="bullet"/>
      <w:lvlText w:val="o"/>
      <w:lvlJc w:val="left"/>
      <w:pPr>
        <w:ind w:left="5811" w:hanging="360"/>
      </w:pPr>
      <w:rPr>
        <w:rFonts w:ascii="Courier New" w:hAnsi="Courier New" w:cs="Courier New" w:hint="default"/>
      </w:rPr>
    </w:lvl>
    <w:lvl w:ilvl="8" w:tplc="10090005" w:tentative="1">
      <w:start w:val="1"/>
      <w:numFmt w:val="bullet"/>
      <w:lvlText w:val=""/>
      <w:lvlJc w:val="left"/>
      <w:pPr>
        <w:ind w:left="6531" w:hanging="360"/>
      </w:pPr>
      <w:rPr>
        <w:rFonts w:ascii="Wingdings" w:hAnsi="Wingdings" w:hint="default"/>
      </w:rPr>
    </w:lvl>
  </w:abstractNum>
  <w:num w:numId="1">
    <w:abstractNumId w:val="15"/>
  </w:num>
  <w:num w:numId="2">
    <w:abstractNumId w:val="19"/>
  </w:num>
  <w:num w:numId="3">
    <w:abstractNumId w:val="6"/>
  </w:num>
  <w:num w:numId="4">
    <w:abstractNumId w:val="2"/>
  </w:num>
  <w:num w:numId="5">
    <w:abstractNumId w:val="13"/>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2"/>
    </w:lvlOverride>
  </w:num>
  <w:num w:numId="8">
    <w:abstractNumId w:val="15"/>
    <w:lvlOverride w:ilvl="0">
      <w:startOverride w:val="1"/>
    </w:lvlOverride>
    <w:lvlOverride w:ilvl="1">
      <w:startOverride w:val="1"/>
    </w:lvlOverride>
    <w:lvlOverride w:ilvl="2">
      <w:startOverride w:val="1"/>
    </w:lvlOverride>
    <w:lvlOverride w:ilvl="3">
      <w:startOverride w:val="3"/>
    </w:lvlOverride>
  </w:num>
  <w:num w:numId="9">
    <w:abstractNumId w:val="15"/>
    <w:lvlOverride w:ilvl="0">
      <w:startOverride w:val="1"/>
    </w:lvlOverride>
    <w:lvlOverride w:ilvl="1">
      <w:startOverride w:val="1"/>
    </w:lvlOverride>
    <w:lvlOverride w:ilvl="2">
      <w:startOverride w:val="1"/>
    </w:lvlOverride>
    <w:lvlOverride w:ilvl="3">
      <w:startOverride w:val="3"/>
    </w:lvlOverride>
  </w:num>
  <w:num w:numId="10">
    <w:abstractNumId w:val="20"/>
  </w:num>
  <w:num w:numId="11">
    <w:abstractNumId w:val="9"/>
  </w:num>
  <w:num w:numId="12">
    <w:abstractNumId w:val="21"/>
  </w:num>
  <w:num w:numId="13">
    <w:abstractNumId w:val="11"/>
  </w:num>
  <w:num w:numId="14">
    <w:abstractNumId w:val="5"/>
  </w:num>
  <w:num w:numId="15">
    <w:abstractNumId w:val="17"/>
  </w:num>
  <w:num w:numId="16">
    <w:abstractNumId w:val="18"/>
  </w:num>
  <w:num w:numId="17">
    <w:abstractNumId w:val="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19">
    <w:abstractNumId w:val="10"/>
  </w:num>
  <w:num w:numId="20">
    <w:abstractNumId w:val="4"/>
  </w:num>
  <w:num w:numId="21">
    <w:abstractNumId w:val="16"/>
  </w:num>
  <w:num w:numId="22">
    <w:abstractNumId w:val="8"/>
  </w:num>
  <w:num w:numId="23">
    <w:abstractNumId w:val="1"/>
  </w:num>
  <w:num w:numId="24">
    <w:abstractNumId w:val="0"/>
  </w:num>
  <w:num w:numId="25">
    <w:abstractNumId w:val="3"/>
  </w:num>
  <w:num w:numId="26">
    <w:abstractNumId w:val="12"/>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7521"/>
  </w:hdrShapeDefaults>
  <w:footnotePr>
    <w:footnote w:id="-1"/>
    <w:footnote w:id="0"/>
  </w:footnotePr>
  <w:endnotePr>
    <w:endnote w:id="-1"/>
    <w:endnote w:id="0"/>
  </w:endnotePr>
  <w:compat/>
  <w:rsids>
    <w:rsidRoot w:val="0031414C"/>
    <w:rsid w:val="00013913"/>
    <w:rsid w:val="00025198"/>
    <w:rsid w:val="000274BD"/>
    <w:rsid w:val="00055A36"/>
    <w:rsid w:val="000578A3"/>
    <w:rsid w:val="00064563"/>
    <w:rsid w:val="000648CC"/>
    <w:rsid w:val="00071748"/>
    <w:rsid w:val="00080862"/>
    <w:rsid w:val="00094DE0"/>
    <w:rsid w:val="000A4D5E"/>
    <w:rsid w:val="000A5321"/>
    <w:rsid w:val="000A76C2"/>
    <w:rsid w:val="000B0184"/>
    <w:rsid w:val="000C59B8"/>
    <w:rsid w:val="000D7792"/>
    <w:rsid w:val="000F325B"/>
    <w:rsid w:val="00111DE2"/>
    <w:rsid w:val="00116B38"/>
    <w:rsid w:val="00121E0A"/>
    <w:rsid w:val="0012657B"/>
    <w:rsid w:val="0013109F"/>
    <w:rsid w:val="00135406"/>
    <w:rsid w:val="00135972"/>
    <w:rsid w:val="00140667"/>
    <w:rsid w:val="001426A9"/>
    <w:rsid w:val="00154D7C"/>
    <w:rsid w:val="001563AB"/>
    <w:rsid w:val="00156D11"/>
    <w:rsid w:val="001570B0"/>
    <w:rsid w:val="00172A04"/>
    <w:rsid w:val="00175A97"/>
    <w:rsid w:val="00185394"/>
    <w:rsid w:val="001A451D"/>
    <w:rsid w:val="001A5A1E"/>
    <w:rsid w:val="001A6640"/>
    <w:rsid w:val="001B33E0"/>
    <w:rsid w:val="001B4573"/>
    <w:rsid w:val="001B70FA"/>
    <w:rsid w:val="001C779F"/>
    <w:rsid w:val="001D0B62"/>
    <w:rsid w:val="001D1434"/>
    <w:rsid w:val="001D2AC1"/>
    <w:rsid w:val="001F7312"/>
    <w:rsid w:val="001F7673"/>
    <w:rsid w:val="00220FC2"/>
    <w:rsid w:val="00224FC0"/>
    <w:rsid w:val="00225EA4"/>
    <w:rsid w:val="00226EAF"/>
    <w:rsid w:val="00231F3A"/>
    <w:rsid w:val="0023512C"/>
    <w:rsid w:val="002406EE"/>
    <w:rsid w:val="002745CC"/>
    <w:rsid w:val="0028172F"/>
    <w:rsid w:val="0028417D"/>
    <w:rsid w:val="002A4710"/>
    <w:rsid w:val="002A6880"/>
    <w:rsid w:val="002B67E8"/>
    <w:rsid w:val="002C2DB0"/>
    <w:rsid w:val="002D39A4"/>
    <w:rsid w:val="002D509D"/>
    <w:rsid w:val="002E6705"/>
    <w:rsid w:val="002E67E6"/>
    <w:rsid w:val="002F696C"/>
    <w:rsid w:val="00302B1B"/>
    <w:rsid w:val="0030329A"/>
    <w:rsid w:val="003051AE"/>
    <w:rsid w:val="00307AFD"/>
    <w:rsid w:val="0031086F"/>
    <w:rsid w:val="00310E05"/>
    <w:rsid w:val="0031414C"/>
    <w:rsid w:val="00314E01"/>
    <w:rsid w:val="0032089D"/>
    <w:rsid w:val="00320FCB"/>
    <w:rsid w:val="0033393C"/>
    <w:rsid w:val="0034770C"/>
    <w:rsid w:val="00350C36"/>
    <w:rsid w:val="00351563"/>
    <w:rsid w:val="0035259D"/>
    <w:rsid w:val="00372D50"/>
    <w:rsid w:val="003746E4"/>
    <w:rsid w:val="003801F5"/>
    <w:rsid w:val="003866EC"/>
    <w:rsid w:val="00394476"/>
    <w:rsid w:val="003A4C70"/>
    <w:rsid w:val="003A4E15"/>
    <w:rsid w:val="003C799C"/>
    <w:rsid w:val="003E1C71"/>
    <w:rsid w:val="003F2E88"/>
    <w:rsid w:val="003F327B"/>
    <w:rsid w:val="004059A7"/>
    <w:rsid w:val="00406166"/>
    <w:rsid w:val="00411300"/>
    <w:rsid w:val="00413EDC"/>
    <w:rsid w:val="004158BE"/>
    <w:rsid w:val="00426659"/>
    <w:rsid w:val="0043088E"/>
    <w:rsid w:val="004439D8"/>
    <w:rsid w:val="00453FD7"/>
    <w:rsid w:val="00465132"/>
    <w:rsid w:val="0047116D"/>
    <w:rsid w:val="0047355E"/>
    <w:rsid w:val="00480C90"/>
    <w:rsid w:val="0048396F"/>
    <w:rsid w:val="00493C18"/>
    <w:rsid w:val="00494CDC"/>
    <w:rsid w:val="004A600C"/>
    <w:rsid w:val="004B67AA"/>
    <w:rsid w:val="004B7433"/>
    <w:rsid w:val="004C478D"/>
    <w:rsid w:val="004E6A2C"/>
    <w:rsid w:val="00521AE8"/>
    <w:rsid w:val="00527180"/>
    <w:rsid w:val="00527929"/>
    <w:rsid w:val="00536719"/>
    <w:rsid w:val="00553DC7"/>
    <w:rsid w:val="005564A7"/>
    <w:rsid w:val="005827FD"/>
    <w:rsid w:val="005A157A"/>
    <w:rsid w:val="005C4BEA"/>
    <w:rsid w:val="005C7173"/>
    <w:rsid w:val="005E4698"/>
    <w:rsid w:val="00625C35"/>
    <w:rsid w:val="00634E1B"/>
    <w:rsid w:val="00641ECB"/>
    <w:rsid w:val="00645057"/>
    <w:rsid w:val="00654858"/>
    <w:rsid w:val="006565F4"/>
    <w:rsid w:val="00670743"/>
    <w:rsid w:val="00681AD1"/>
    <w:rsid w:val="00692359"/>
    <w:rsid w:val="0069639F"/>
    <w:rsid w:val="006A56F1"/>
    <w:rsid w:val="006B5FF5"/>
    <w:rsid w:val="006C5661"/>
    <w:rsid w:val="006D4790"/>
    <w:rsid w:val="006D48DF"/>
    <w:rsid w:val="006F15B3"/>
    <w:rsid w:val="00701759"/>
    <w:rsid w:val="00702C6F"/>
    <w:rsid w:val="00720E26"/>
    <w:rsid w:val="00722B3F"/>
    <w:rsid w:val="00740DE5"/>
    <w:rsid w:val="00747288"/>
    <w:rsid w:val="00747DD3"/>
    <w:rsid w:val="00752F4E"/>
    <w:rsid w:val="007549C8"/>
    <w:rsid w:val="007553EA"/>
    <w:rsid w:val="00762D30"/>
    <w:rsid w:val="00763377"/>
    <w:rsid w:val="00765475"/>
    <w:rsid w:val="00766D14"/>
    <w:rsid w:val="00767A0F"/>
    <w:rsid w:val="00780EBA"/>
    <w:rsid w:val="007834A8"/>
    <w:rsid w:val="007A05F6"/>
    <w:rsid w:val="007A379F"/>
    <w:rsid w:val="007A45B0"/>
    <w:rsid w:val="007B6F4A"/>
    <w:rsid w:val="007C5998"/>
    <w:rsid w:val="007D43A5"/>
    <w:rsid w:val="007E1C47"/>
    <w:rsid w:val="007E337A"/>
    <w:rsid w:val="007E5C70"/>
    <w:rsid w:val="007F0BC6"/>
    <w:rsid w:val="007F2FF5"/>
    <w:rsid w:val="00812674"/>
    <w:rsid w:val="00812FF6"/>
    <w:rsid w:val="00817190"/>
    <w:rsid w:val="00820B49"/>
    <w:rsid w:val="008322BD"/>
    <w:rsid w:val="00846251"/>
    <w:rsid w:val="0085037E"/>
    <w:rsid w:val="00855307"/>
    <w:rsid w:val="008627CE"/>
    <w:rsid w:val="00862CF3"/>
    <w:rsid w:val="00864CF8"/>
    <w:rsid w:val="00874914"/>
    <w:rsid w:val="00875BDE"/>
    <w:rsid w:val="00892E1A"/>
    <w:rsid w:val="008935B4"/>
    <w:rsid w:val="008958F5"/>
    <w:rsid w:val="008A6558"/>
    <w:rsid w:val="008A727C"/>
    <w:rsid w:val="008C01DA"/>
    <w:rsid w:val="008C2D6B"/>
    <w:rsid w:val="008F16D9"/>
    <w:rsid w:val="008F78E9"/>
    <w:rsid w:val="009012A4"/>
    <w:rsid w:val="00902462"/>
    <w:rsid w:val="00910B64"/>
    <w:rsid w:val="00921BF5"/>
    <w:rsid w:val="0093148C"/>
    <w:rsid w:val="0093412B"/>
    <w:rsid w:val="009403F3"/>
    <w:rsid w:val="00957FA2"/>
    <w:rsid w:val="00966913"/>
    <w:rsid w:val="00967374"/>
    <w:rsid w:val="0097543E"/>
    <w:rsid w:val="0098331A"/>
    <w:rsid w:val="00983F3F"/>
    <w:rsid w:val="00985C69"/>
    <w:rsid w:val="0099079B"/>
    <w:rsid w:val="0099185B"/>
    <w:rsid w:val="009A59F9"/>
    <w:rsid w:val="009B2F23"/>
    <w:rsid w:val="009B53E2"/>
    <w:rsid w:val="009B57B3"/>
    <w:rsid w:val="009D5AEB"/>
    <w:rsid w:val="009D7676"/>
    <w:rsid w:val="009E12D0"/>
    <w:rsid w:val="009F383F"/>
    <w:rsid w:val="009F38BC"/>
    <w:rsid w:val="00A05F0E"/>
    <w:rsid w:val="00A0726D"/>
    <w:rsid w:val="00A21107"/>
    <w:rsid w:val="00A21B90"/>
    <w:rsid w:val="00A24E15"/>
    <w:rsid w:val="00A548CB"/>
    <w:rsid w:val="00A61A40"/>
    <w:rsid w:val="00A6242E"/>
    <w:rsid w:val="00A643E7"/>
    <w:rsid w:val="00A67991"/>
    <w:rsid w:val="00A73C38"/>
    <w:rsid w:val="00A752BE"/>
    <w:rsid w:val="00A85020"/>
    <w:rsid w:val="00AA27F3"/>
    <w:rsid w:val="00AA4F45"/>
    <w:rsid w:val="00AC6322"/>
    <w:rsid w:val="00AC6682"/>
    <w:rsid w:val="00AC7437"/>
    <w:rsid w:val="00AC7A44"/>
    <w:rsid w:val="00AF03C5"/>
    <w:rsid w:val="00B000D8"/>
    <w:rsid w:val="00B00F75"/>
    <w:rsid w:val="00B02C39"/>
    <w:rsid w:val="00B04803"/>
    <w:rsid w:val="00B1151B"/>
    <w:rsid w:val="00B145B6"/>
    <w:rsid w:val="00B42D33"/>
    <w:rsid w:val="00B50C81"/>
    <w:rsid w:val="00B557F8"/>
    <w:rsid w:val="00B620C1"/>
    <w:rsid w:val="00B64972"/>
    <w:rsid w:val="00B66DD8"/>
    <w:rsid w:val="00B80BF2"/>
    <w:rsid w:val="00B8145D"/>
    <w:rsid w:val="00B815FC"/>
    <w:rsid w:val="00B825CC"/>
    <w:rsid w:val="00B93FBC"/>
    <w:rsid w:val="00BC5B70"/>
    <w:rsid w:val="00BD2188"/>
    <w:rsid w:val="00BD2768"/>
    <w:rsid w:val="00BF115F"/>
    <w:rsid w:val="00C02092"/>
    <w:rsid w:val="00C057F7"/>
    <w:rsid w:val="00C0663B"/>
    <w:rsid w:val="00C12016"/>
    <w:rsid w:val="00C2009E"/>
    <w:rsid w:val="00C24C8C"/>
    <w:rsid w:val="00C24D91"/>
    <w:rsid w:val="00C37715"/>
    <w:rsid w:val="00C52532"/>
    <w:rsid w:val="00C53F14"/>
    <w:rsid w:val="00C55C2E"/>
    <w:rsid w:val="00C600CF"/>
    <w:rsid w:val="00C6084F"/>
    <w:rsid w:val="00C62A66"/>
    <w:rsid w:val="00C62A6F"/>
    <w:rsid w:val="00C67CA5"/>
    <w:rsid w:val="00C71458"/>
    <w:rsid w:val="00C71F58"/>
    <w:rsid w:val="00C77613"/>
    <w:rsid w:val="00C828E7"/>
    <w:rsid w:val="00C921DD"/>
    <w:rsid w:val="00C9617B"/>
    <w:rsid w:val="00CA4D82"/>
    <w:rsid w:val="00CA57B1"/>
    <w:rsid w:val="00CA6391"/>
    <w:rsid w:val="00CE3171"/>
    <w:rsid w:val="00CF139D"/>
    <w:rsid w:val="00CF1601"/>
    <w:rsid w:val="00CF54BA"/>
    <w:rsid w:val="00D0078F"/>
    <w:rsid w:val="00D16365"/>
    <w:rsid w:val="00D32086"/>
    <w:rsid w:val="00D37A3F"/>
    <w:rsid w:val="00D40DB5"/>
    <w:rsid w:val="00D45FCF"/>
    <w:rsid w:val="00D4667A"/>
    <w:rsid w:val="00D50F4F"/>
    <w:rsid w:val="00D510BB"/>
    <w:rsid w:val="00D52C97"/>
    <w:rsid w:val="00D5435D"/>
    <w:rsid w:val="00D609CA"/>
    <w:rsid w:val="00D74F2E"/>
    <w:rsid w:val="00D83999"/>
    <w:rsid w:val="00D867A4"/>
    <w:rsid w:val="00DA0590"/>
    <w:rsid w:val="00DB656D"/>
    <w:rsid w:val="00DC1788"/>
    <w:rsid w:val="00DD0D8C"/>
    <w:rsid w:val="00DD4166"/>
    <w:rsid w:val="00DE49C0"/>
    <w:rsid w:val="00DF0CA8"/>
    <w:rsid w:val="00DF49A7"/>
    <w:rsid w:val="00E01106"/>
    <w:rsid w:val="00E0564F"/>
    <w:rsid w:val="00E07EE2"/>
    <w:rsid w:val="00E13609"/>
    <w:rsid w:val="00E15A5D"/>
    <w:rsid w:val="00E24573"/>
    <w:rsid w:val="00E377A1"/>
    <w:rsid w:val="00E45109"/>
    <w:rsid w:val="00E54B02"/>
    <w:rsid w:val="00E97830"/>
    <w:rsid w:val="00EA03E5"/>
    <w:rsid w:val="00ED0A66"/>
    <w:rsid w:val="00EE0FAF"/>
    <w:rsid w:val="00EE6F72"/>
    <w:rsid w:val="00F00EB7"/>
    <w:rsid w:val="00F2258E"/>
    <w:rsid w:val="00F33658"/>
    <w:rsid w:val="00F36AB6"/>
    <w:rsid w:val="00F409CE"/>
    <w:rsid w:val="00F51313"/>
    <w:rsid w:val="00F73EA2"/>
    <w:rsid w:val="00F84DF4"/>
    <w:rsid w:val="00F853FB"/>
    <w:rsid w:val="00F85C97"/>
    <w:rsid w:val="00FA2FE1"/>
    <w:rsid w:val="00FB519F"/>
    <w:rsid w:val="00FB6A12"/>
    <w:rsid w:val="00FB6D2A"/>
    <w:rsid w:val="00FC606D"/>
    <w:rsid w:val="00FD068D"/>
    <w:rsid w:val="00FD4F28"/>
    <w:rsid w:val="00FE0206"/>
    <w:rsid w:val="00FE4B4D"/>
    <w:rsid w:val="00FE6784"/>
    <w:rsid w:val="00FF00BD"/>
    <w:rsid w:val="00FF14BD"/>
    <w:rsid w:val="00FF5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0E"/>
    <w:rPr>
      <w:sz w:val="24"/>
      <w:lang w:val="fr-CA"/>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AC6322"/>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AC6322"/>
    <w:rPr>
      <w:sz w:val="24"/>
      <w:lang w:val="fr-CA"/>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ParaNoNdepar-AltN">
    <w:name w:val="Para. No. / Nº de par. - Alt N"/>
    <w:qFormat/>
    <w:rsid w:val="00B02C39"/>
    <w:pPr>
      <w:numPr>
        <w:numId w:val="1"/>
      </w:numPr>
      <w:spacing w:before="480" w:after="480" w:line="480" w:lineRule="auto"/>
      <w:jc w:val="both"/>
    </w:pPr>
    <w:rPr>
      <w:rFonts w:eastAsiaTheme="minorEastAsia" w:cstheme="minorBidi"/>
      <w:sz w:val="24"/>
      <w:szCs w:val="22"/>
      <w:lang w:val="en-US" w:eastAsia="en-US"/>
    </w:rPr>
  </w:style>
  <w:style w:type="paragraph" w:customStyle="1" w:styleId="SCCLsocOtherPartyRoleSeparator">
    <w:name w:val="SCC.Lsoc.OtherPartyRoleSeparator"/>
    <w:basedOn w:val="Normal"/>
    <w:next w:val="Normal"/>
    <w:link w:val="SCCLsocOtherPartyRoleSeparatorChar"/>
    <w:rsid w:val="00D867A4"/>
    <w:pPr>
      <w:spacing w:after="480"/>
    </w:pPr>
    <w:rPr>
      <w:rFonts w:eastAsiaTheme="minorHAnsi" w:cstheme="minorBidi"/>
      <w:szCs w:val="22"/>
      <w:lang w:val="en-CA" w:eastAsia="en-US"/>
    </w:rPr>
  </w:style>
  <w:style w:type="character" w:customStyle="1" w:styleId="SCCLsocOtherPartyRoleSeparatorChar">
    <w:name w:val="SCC.Lsoc.OtherPartyRoleSeparator Char"/>
    <w:basedOn w:val="DefaultParagraphFont"/>
    <w:link w:val="SCCLsocOtherPartyRoleSeparator"/>
    <w:rsid w:val="00D867A4"/>
    <w:rPr>
      <w:rFonts w:eastAsiaTheme="minorHAnsi" w:cstheme="minorBidi"/>
      <w:sz w:val="24"/>
      <w:szCs w:val="22"/>
      <w:lang w:eastAsia="en-US"/>
    </w:rPr>
  </w:style>
  <w:style w:type="character" w:customStyle="1" w:styleId="SCCBanSummaryChar">
    <w:name w:val="SCC.BanSummary Char"/>
    <w:basedOn w:val="DefaultParagraphFont"/>
    <w:link w:val="SCCBanSummary"/>
    <w:rsid w:val="00D867A4"/>
    <w:rPr>
      <w:b/>
      <w:sz w:val="24"/>
      <w:lang w:val="fr-CA"/>
    </w:rPr>
  </w:style>
  <w:style w:type="table" w:styleId="TableGrid">
    <w:name w:val="Table Grid"/>
    <w:basedOn w:val="TableNormal"/>
    <w:uiPriority w:val="59"/>
    <w:rsid w:val="00D867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D867A4"/>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D867A4"/>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D867A4"/>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D867A4"/>
    <w:pPr>
      <w:tabs>
        <w:tab w:val="left" w:pos="360"/>
      </w:tabs>
      <w:spacing w:before="480" w:after="720"/>
      <w:ind w:left="360" w:hanging="360"/>
      <w:jc w:val="both"/>
    </w:pPr>
    <w:rPr>
      <w:rFonts w:eastAsiaTheme="minorHAnsi" w:cstheme="minorBidi"/>
      <w:sz w:val="24"/>
      <w:szCs w:val="22"/>
      <w:lang w:eastAsia="en-US"/>
    </w:rPr>
  </w:style>
  <w:style w:type="paragraph" w:customStyle="1" w:styleId="SCCLowerCourtText">
    <w:name w:val="SCC.LowerCourtText"/>
    <w:basedOn w:val="Normal"/>
    <w:next w:val="Normal"/>
    <w:link w:val="SCCLowerCourtTextChar"/>
    <w:qFormat/>
    <w:rsid w:val="00D867A4"/>
    <w:pPr>
      <w:jc w:val="both"/>
    </w:pPr>
    <w:rPr>
      <w:lang w:val="en-CA"/>
    </w:rPr>
  </w:style>
  <w:style w:type="character" w:customStyle="1" w:styleId="SCCLowerCourtTextChar">
    <w:name w:val="SCC.LowerCourtText Char"/>
    <w:basedOn w:val="DefaultParagraphFont"/>
    <w:link w:val="SCCLowerCourtText"/>
    <w:rsid w:val="00D867A4"/>
    <w:rPr>
      <w:sz w:val="24"/>
    </w:rPr>
  </w:style>
  <w:style w:type="character" w:styleId="CommentReference">
    <w:name w:val="annotation reference"/>
    <w:basedOn w:val="DefaultParagraphFont"/>
    <w:uiPriority w:val="99"/>
    <w:semiHidden/>
    <w:unhideWhenUsed/>
    <w:rsid w:val="00D867A4"/>
    <w:rPr>
      <w:sz w:val="16"/>
      <w:szCs w:val="16"/>
    </w:rPr>
  </w:style>
  <w:style w:type="paragraph" w:styleId="CommentText">
    <w:name w:val="annotation text"/>
    <w:basedOn w:val="Normal"/>
    <w:link w:val="CommentTextChar"/>
    <w:uiPriority w:val="99"/>
    <w:semiHidden/>
    <w:unhideWhenUsed/>
    <w:rsid w:val="00D867A4"/>
    <w:rPr>
      <w:sz w:val="20"/>
      <w:lang w:val="en-CA"/>
    </w:rPr>
  </w:style>
  <w:style w:type="character" w:customStyle="1" w:styleId="CommentTextChar">
    <w:name w:val="Comment Text Char"/>
    <w:basedOn w:val="DefaultParagraphFont"/>
    <w:link w:val="CommentText"/>
    <w:uiPriority w:val="99"/>
    <w:semiHidden/>
    <w:rsid w:val="00D867A4"/>
  </w:style>
  <w:style w:type="paragraph" w:styleId="CommentSubject">
    <w:name w:val="annotation subject"/>
    <w:basedOn w:val="CommentText"/>
    <w:next w:val="CommentText"/>
    <w:link w:val="CommentSubjectChar"/>
    <w:uiPriority w:val="99"/>
    <w:semiHidden/>
    <w:unhideWhenUsed/>
    <w:rsid w:val="00D867A4"/>
    <w:rPr>
      <w:b/>
      <w:bCs/>
    </w:rPr>
  </w:style>
  <w:style w:type="character" w:customStyle="1" w:styleId="CommentSubjectChar">
    <w:name w:val="Comment Subject Char"/>
    <w:basedOn w:val="CommentTextChar"/>
    <w:link w:val="CommentSubject"/>
    <w:uiPriority w:val="99"/>
    <w:semiHidden/>
    <w:rsid w:val="00D867A4"/>
    <w:rPr>
      <w:b/>
      <w:bCs/>
    </w:rPr>
  </w:style>
  <w:style w:type="character" w:styleId="Hyperlink">
    <w:name w:val="Hyperlink"/>
    <w:basedOn w:val="DefaultParagraphFont"/>
    <w:uiPriority w:val="99"/>
    <w:unhideWhenUsed/>
    <w:rsid w:val="00D867A4"/>
    <w:rPr>
      <w:color w:val="0000FF" w:themeColor="hyperlink"/>
      <w:u w:val="single"/>
    </w:rPr>
  </w:style>
  <w:style w:type="paragraph" w:styleId="FootnoteText">
    <w:name w:val="footnote text"/>
    <w:basedOn w:val="Normal"/>
    <w:link w:val="FootnoteTextChar"/>
    <w:uiPriority w:val="99"/>
    <w:unhideWhenUsed/>
    <w:rsid w:val="00D867A4"/>
    <w:rPr>
      <w:rFonts w:eastAsiaTheme="minorHAnsi"/>
      <w:sz w:val="20"/>
      <w:lang w:val="en-CA" w:eastAsia="en-US"/>
    </w:rPr>
  </w:style>
  <w:style w:type="character" w:customStyle="1" w:styleId="FootnoteTextChar">
    <w:name w:val="Footnote Text Char"/>
    <w:basedOn w:val="DefaultParagraphFont"/>
    <w:link w:val="FootnoteText"/>
    <w:uiPriority w:val="99"/>
    <w:rsid w:val="00D867A4"/>
    <w:rPr>
      <w:rFonts w:eastAsiaTheme="minorHAnsi"/>
      <w:lang w:eastAsia="en-US"/>
    </w:rPr>
  </w:style>
  <w:style w:type="character" w:styleId="FootnoteReference">
    <w:name w:val="footnote reference"/>
    <w:basedOn w:val="DefaultParagraphFont"/>
    <w:uiPriority w:val="99"/>
    <w:semiHidden/>
    <w:unhideWhenUsed/>
    <w:rsid w:val="00D867A4"/>
    <w:rPr>
      <w:vertAlign w:val="superscript"/>
    </w:rPr>
  </w:style>
  <w:style w:type="paragraph" w:styleId="ListParagraph">
    <w:name w:val="List Paragraph"/>
    <w:basedOn w:val="Normal"/>
    <w:uiPriority w:val="34"/>
    <w:qFormat/>
    <w:rsid w:val="00D867A4"/>
    <w:pPr>
      <w:spacing w:after="200" w:line="276" w:lineRule="auto"/>
      <w:ind w:left="720"/>
      <w:contextualSpacing/>
    </w:pPr>
    <w:rPr>
      <w:rFonts w:eastAsiaTheme="minorHAnsi"/>
      <w:szCs w:val="24"/>
      <w:lang w:val="en-CA" w:eastAsia="en-US"/>
    </w:rPr>
  </w:style>
  <w:style w:type="paragraph" w:styleId="ListBullet">
    <w:name w:val="List Bullet"/>
    <w:basedOn w:val="Normal"/>
    <w:uiPriority w:val="99"/>
    <w:unhideWhenUsed/>
    <w:rsid w:val="00D867A4"/>
    <w:pPr>
      <w:numPr>
        <w:numId w:val="24"/>
      </w:numPr>
      <w:contextualSpacing/>
    </w:pPr>
    <w:rPr>
      <w:lang w:val="en-CA"/>
    </w:rPr>
  </w:style>
  <w:style w:type="table" w:customStyle="1" w:styleId="TableGrid1">
    <w:name w:val="Table Grid1"/>
    <w:basedOn w:val="TableNormal"/>
    <w:next w:val="TableGrid"/>
    <w:uiPriority w:val="59"/>
    <w:rsid w:val="00413EDC"/>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93492-2347-461B-B294-DD4601FB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15002</Words>
  <Characters>80592</Characters>
  <Application>Microsoft Office Word</Application>
  <DocSecurity>0</DocSecurity>
  <Lines>671</Lines>
  <Paragraphs>190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2012-09-28T18:31:00Z</dcterms:created>
  <dcterms:modified xsi:type="dcterms:W3CDTF">2013-04-08T21:04:00Z</dcterms:modified>
</cp:coreProperties>
</file>