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40" w:rsidRPr="00E92176" w:rsidRDefault="00D86C40" w:rsidP="00D86C40">
      <w:pPr>
        <w:tabs>
          <w:tab w:val="center" w:pos="4680"/>
          <w:tab w:val="right" w:pos="9360"/>
        </w:tabs>
        <w:jc w:val="center"/>
        <w:rPr>
          <w:rFonts w:eastAsiaTheme="minorHAnsi" w:cstheme="minorBidi"/>
          <w:szCs w:val="24"/>
          <w:lang w:eastAsia="en-US"/>
        </w:rPr>
      </w:pPr>
      <w:r w:rsidRPr="00E9217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6945072" r:id="rId8"/>
        </w:object>
      </w:r>
    </w:p>
    <w:p w:rsidR="00D86C40" w:rsidRPr="00E92176" w:rsidRDefault="00D86C40" w:rsidP="00D86C40">
      <w:pPr>
        <w:tabs>
          <w:tab w:val="center" w:pos="4680"/>
          <w:tab w:val="right" w:pos="9360"/>
        </w:tabs>
        <w:rPr>
          <w:rFonts w:eastAsiaTheme="minorHAnsi" w:cstheme="minorBidi"/>
          <w:szCs w:val="24"/>
          <w:lang w:eastAsia="en-US"/>
        </w:rPr>
      </w:pPr>
    </w:p>
    <w:p w:rsidR="00D86C40" w:rsidRPr="00E92176" w:rsidRDefault="00D86C40" w:rsidP="00D86C40">
      <w:pPr>
        <w:jc w:val="center"/>
        <w:rPr>
          <w:rFonts w:eastAsiaTheme="minorHAnsi" w:cstheme="minorBidi"/>
          <w:b/>
          <w:szCs w:val="24"/>
          <w:lang w:eastAsia="en-US"/>
        </w:rPr>
      </w:pPr>
      <w:r w:rsidRPr="00E92176">
        <w:rPr>
          <w:rFonts w:eastAsiaTheme="minorHAnsi" w:cstheme="minorBidi"/>
          <w:b/>
          <w:szCs w:val="24"/>
          <w:lang w:eastAsia="en-US"/>
        </w:rPr>
        <w:t>COUR SUPRÊME DU CANADA</w:t>
      </w:r>
    </w:p>
    <w:p w:rsidR="00D86C40" w:rsidRPr="00E92176" w:rsidRDefault="00D86C40" w:rsidP="00D86C4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86C40" w:rsidRPr="00E92176" w:rsidTr="002F6440">
        <w:trPr>
          <w:cantSplit/>
        </w:trPr>
        <w:tc>
          <w:tcPr>
            <w:tcW w:w="6768" w:type="dxa"/>
          </w:tcPr>
          <w:p w:rsidR="00D86C40" w:rsidRPr="00E92176" w:rsidRDefault="00D86C40" w:rsidP="002F6440">
            <w:r w:rsidRPr="00E92176">
              <w:rPr>
                <w:b/>
                <w:smallCaps/>
              </w:rPr>
              <w:t>Référence :</w:t>
            </w:r>
            <w:r w:rsidRPr="00E92176">
              <w:t xml:space="preserve"> A.B. </w:t>
            </w:r>
            <w:r w:rsidRPr="00E92176">
              <w:rPr>
                <w:b/>
                <w:i/>
              </w:rPr>
              <w:t>c.</w:t>
            </w:r>
            <w:r w:rsidRPr="00E92176">
              <w:rPr>
                <w:b/>
              </w:rPr>
              <w:t xml:space="preserve"> </w:t>
            </w:r>
            <w:r w:rsidRPr="00E92176">
              <w:t xml:space="preserve">Bragg Communications Inc., </w:t>
            </w:r>
            <w:r>
              <w:rPr>
                <w:rStyle w:val="SCCRespondentForIndexChar"/>
                <w:b w:val="0"/>
              </w:rPr>
              <w:t>2012 CSC 46, [2012] 2 R.C.S. 567</w:t>
            </w:r>
          </w:p>
        </w:tc>
        <w:tc>
          <w:tcPr>
            <w:tcW w:w="2808" w:type="dxa"/>
          </w:tcPr>
          <w:p w:rsidR="00D86C40" w:rsidRPr="00E92176" w:rsidRDefault="00D86C40" w:rsidP="002F6440">
            <w:r w:rsidRPr="00E92176">
              <w:rPr>
                <w:b/>
                <w:smallCaps/>
              </w:rPr>
              <w:t>Date :</w:t>
            </w:r>
            <w:r w:rsidRPr="00E92176">
              <w:t xml:space="preserve"> 20120927</w:t>
            </w:r>
          </w:p>
          <w:p w:rsidR="00D86C40" w:rsidRPr="00E92176" w:rsidRDefault="00D86C40" w:rsidP="002F6440">
            <w:r w:rsidRPr="00E92176">
              <w:rPr>
                <w:b/>
                <w:smallCaps/>
              </w:rPr>
              <w:t>Dossier :</w:t>
            </w:r>
            <w:r w:rsidRPr="00E92176">
              <w:t xml:space="preserve"> 34240</w:t>
            </w:r>
          </w:p>
        </w:tc>
      </w:tr>
    </w:tbl>
    <w:p w:rsidR="00D86C40" w:rsidRPr="00E92176" w:rsidRDefault="00D86C40" w:rsidP="00D86C40">
      <w:pPr>
        <w:rPr>
          <w:rFonts w:eastAsiaTheme="minorHAnsi" w:cstheme="minorBidi"/>
          <w:szCs w:val="24"/>
          <w:lang w:eastAsia="en-US"/>
        </w:rPr>
      </w:pPr>
    </w:p>
    <w:p w:rsidR="00D86C40" w:rsidRPr="00E92176" w:rsidRDefault="00D86C40" w:rsidP="00D86C40">
      <w:pPr>
        <w:rPr>
          <w:rFonts w:eastAsiaTheme="minorHAnsi" w:cstheme="minorBidi"/>
          <w:b/>
          <w:smallCaps/>
          <w:szCs w:val="24"/>
          <w:lang w:eastAsia="en-US"/>
        </w:rPr>
      </w:pPr>
      <w:r w:rsidRPr="00E92176">
        <w:rPr>
          <w:rFonts w:eastAsiaTheme="minorHAnsi" w:cstheme="minorBidi"/>
          <w:b/>
          <w:smallCaps/>
          <w:szCs w:val="24"/>
          <w:lang w:eastAsia="en-US"/>
        </w:rPr>
        <w:t>Entre :</w:t>
      </w:r>
    </w:p>
    <w:p w:rsidR="00D86C40" w:rsidRPr="00E92176" w:rsidRDefault="00D86C40" w:rsidP="00D86C40">
      <w:pPr>
        <w:jc w:val="center"/>
        <w:rPr>
          <w:rFonts w:eastAsiaTheme="minorHAnsi" w:cstheme="minorBidi"/>
          <w:b/>
          <w:szCs w:val="24"/>
          <w:lang w:eastAsia="en-US"/>
        </w:rPr>
      </w:pPr>
      <w:r w:rsidRPr="00E92176">
        <w:rPr>
          <w:rFonts w:eastAsiaTheme="minorHAnsi" w:cstheme="minorBidi"/>
          <w:b/>
          <w:szCs w:val="24"/>
          <w:lang w:eastAsia="en-US"/>
        </w:rPr>
        <w:t>A.B. représentée par son tuteur à l’instance, C.D.</w:t>
      </w:r>
    </w:p>
    <w:p w:rsidR="00D86C40" w:rsidRPr="00E92176" w:rsidRDefault="00D86C40" w:rsidP="00D86C40">
      <w:pPr>
        <w:jc w:val="center"/>
        <w:rPr>
          <w:rFonts w:eastAsiaTheme="minorHAnsi" w:cstheme="minorBidi"/>
          <w:szCs w:val="24"/>
          <w:lang w:eastAsia="en-US"/>
        </w:rPr>
      </w:pPr>
      <w:r w:rsidRPr="00E92176">
        <w:rPr>
          <w:rFonts w:eastAsiaTheme="minorHAnsi" w:cstheme="minorBidi"/>
          <w:szCs w:val="24"/>
          <w:lang w:eastAsia="en-US"/>
        </w:rPr>
        <w:t>Appelante</w:t>
      </w:r>
    </w:p>
    <w:p w:rsidR="00D86C40" w:rsidRPr="00E92176" w:rsidRDefault="00D86C40" w:rsidP="00D86C40">
      <w:pPr>
        <w:jc w:val="center"/>
        <w:rPr>
          <w:rFonts w:eastAsiaTheme="minorHAnsi" w:cstheme="minorBidi"/>
          <w:szCs w:val="24"/>
          <w:lang w:eastAsia="en-US"/>
        </w:rPr>
      </w:pPr>
      <w:proofErr w:type="gramStart"/>
      <w:r w:rsidRPr="00E92176">
        <w:rPr>
          <w:rFonts w:eastAsiaTheme="minorHAnsi" w:cstheme="minorBidi"/>
          <w:szCs w:val="24"/>
          <w:lang w:eastAsia="en-US"/>
        </w:rPr>
        <w:t>et</w:t>
      </w:r>
      <w:proofErr w:type="gramEnd"/>
    </w:p>
    <w:p w:rsidR="00D86C40" w:rsidRPr="00E92176" w:rsidRDefault="00D86C40" w:rsidP="00D86C40">
      <w:pPr>
        <w:jc w:val="center"/>
        <w:rPr>
          <w:rFonts w:eastAsiaTheme="minorHAnsi" w:cstheme="minorBidi"/>
          <w:b/>
          <w:szCs w:val="24"/>
          <w:lang w:eastAsia="en-US"/>
        </w:rPr>
      </w:pPr>
      <w:r w:rsidRPr="00E92176">
        <w:rPr>
          <w:rFonts w:eastAsiaTheme="minorHAnsi" w:cstheme="minorBidi"/>
          <w:b/>
          <w:szCs w:val="24"/>
          <w:lang w:eastAsia="en-US"/>
        </w:rPr>
        <w:t xml:space="preserve">Bragg Communications </w:t>
      </w:r>
      <w:proofErr w:type="spellStart"/>
      <w:r w:rsidRPr="00E92176">
        <w:rPr>
          <w:rFonts w:eastAsiaTheme="minorHAnsi" w:cstheme="minorBidi"/>
          <w:b/>
          <w:szCs w:val="24"/>
          <w:lang w:eastAsia="en-US"/>
        </w:rPr>
        <w:t>Incorporated</w:t>
      </w:r>
      <w:proofErr w:type="spellEnd"/>
      <w:r w:rsidRPr="00E92176">
        <w:rPr>
          <w:rFonts w:eastAsiaTheme="minorHAnsi" w:cstheme="minorBidi"/>
          <w:b/>
          <w:szCs w:val="24"/>
          <w:lang w:eastAsia="en-US"/>
        </w:rPr>
        <w:t>, une personne morale, Halifax Herald Limited, une personne morale</w:t>
      </w:r>
    </w:p>
    <w:p w:rsidR="00D86C40" w:rsidRPr="00E92176" w:rsidRDefault="00D86C40" w:rsidP="00D86C40">
      <w:pPr>
        <w:jc w:val="center"/>
        <w:rPr>
          <w:rFonts w:eastAsiaTheme="minorHAnsi" w:cstheme="minorBidi"/>
          <w:szCs w:val="24"/>
          <w:lang w:eastAsia="en-US"/>
        </w:rPr>
      </w:pPr>
      <w:r w:rsidRPr="00E92176">
        <w:rPr>
          <w:rFonts w:eastAsiaTheme="minorHAnsi" w:cstheme="minorBidi"/>
          <w:szCs w:val="24"/>
          <w:lang w:eastAsia="en-US"/>
        </w:rPr>
        <w:t>Intimées</w:t>
      </w:r>
    </w:p>
    <w:p w:rsidR="00D86C40" w:rsidRPr="00E92176" w:rsidRDefault="00D86C40" w:rsidP="00D86C40">
      <w:pPr>
        <w:jc w:val="center"/>
        <w:rPr>
          <w:rFonts w:eastAsiaTheme="minorHAnsi" w:cstheme="minorBidi"/>
          <w:szCs w:val="24"/>
          <w:lang w:eastAsia="en-US"/>
        </w:rPr>
      </w:pPr>
      <w:r w:rsidRPr="00E92176">
        <w:rPr>
          <w:rFonts w:eastAsiaTheme="minorHAnsi" w:cstheme="minorBidi"/>
          <w:szCs w:val="24"/>
          <w:lang w:eastAsia="en-US"/>
        </w:rPr>
        <w:t>- et -</w:t>
      </w:r>
    </w:p>
    <w:p w:rsidR="00D86C40" w:rsidRPr="00E92176" w:rsidRDefault="00D86C40" w:rsidP="00D86C40">
      <w:pPr>
        <w:jc w:val="center"/>
        <w:rPr>
          <w:rFonts w:eastAsiaTheme="minorHAnsi" w:cstheme="minorBidi"/>
          <w:b/>
          <w:szCs w:val="24"/>
          <w:lang w:eastAsia="en-US"/>
        </w:rPr>
      </w:pPr>
      <w:proofErr w:type="spellStart"/>
      <w:r w:rsidRPr="00E92176">
        <w:rPr>
          <w:rFonts w:eastAsiaTheme="minorHAnsi" w:cstheme="minorBidi"/>
          <w:b/>
          <w:szCs w:val="24"/>
          <w:lang w:eastAsia="en-US"/>
        </w:rPr>
        <w:t>BullyingCanada</w:t>
      </w:r>
      <w:proofErr w:type="spellEnd"/>
      <w:r w:rsidRPr="00E92176">
        <w:rPr>
          <w:rFonts w:eastAsiaTheme="minorHAnsi" w:cstheme="minorBidi"/>
          <w:b/>
          <w:szCs w:val="24"/>
          <w:lang w:eastAsia="en-US"/>
        </w:rPr>
        <w:t xml:space="preserve"> Inc., Association des libertés civiles de la </w:t>
      </w:r>
    </w:p>
    <w:p w:rsidR="00D86C40" w:rsidRPr="00E92176" w:rsidRDefault="00D86C40" w:rsidP="00D86C40">
      <w:pPr>
        <w:jc w:val="center"/>
        <w:rPr>
          <w:rFonts w:eastAsiaTheme="minorHAnsi" w:cstheme="minorBidi"/>
          <w:b/>
          <w:szCs w:val="24"/>
          <w:lang w:eastAsia="en-US"/>
        </w:rPr>
      </w:pPr>
      <w:proofErr w:type="spellStart"/>
      <w:r w:rsidRPr="00E92176">
        <w:rPr>
          <w:rFonts w:eastAsiaTheme="minorHAnsi" w:cstheme="minorBidi"/>
          <w:b/>
          <w:szCs w:val="24"/>
          <w:lang w:eastAsia="en-US"/>
        </w:rPr>
        <w:t>Colombie</w:t>
      </w:r>
      <w:r w:rsidRPr="00E92176">
        <w:rPr>
          <w:rFonts w:eastAsiaTheme="minorHAnsi" w:cstheme="minorBidi"/>
          <w:b/>
          <w:szCs w:val="24"/>
          <w:lang w:eastAsia="en-US"/>
        </w:rPr>
        <w:noBreakHyphen/>
        <w:t>Britannique</w:t>
      </w:r>
      <w:proofErr w:type="spellEnd"/>
      <w:r w:rsidRPr="00E92176">
        <w:rPr>
          <w:rFonts w:eastAsiaTheme="minorHAnsi" w:cstheme="minorBidi"/>
          <w:b/>
          <w:szCs w:val="24"/>
          <w:lang w:eastAsia="en-US"/>
        </w:rPr>
        <w:t xml:space="preserve">, Jeunesse J’écoute, Association </w:t>
      </w:r>
    </w:p>
    <w:p w:rsidR="00D86C40" w:rsidRPr="00E92176" w:rsidRDefault="00D86C40" w:rsidP="00D86C40">
      <w:pPr>
        <w:jc w:val="center"/>
        <w:rPr>
          <w:rFonts w:eastAsiaTheme="minorHAnsi" w:cstheme="minorBidi"/>
          <w:b/>
          <w:szCs w:val="24"/>
          <w:lang w:eastAsia="en-US"/>
        </w:rPr>
      </w:pPr>
      <w:proofErr w:type="gramStart"/>
      <w:r w:rsidRPr="00E92176">
        <w:rPr>
          <w:rFonts w:eastAsiaTheme="minorHAnsi" w:cstheme="minorBidi"/>
          <w:b/>
          <w:szCs w:val="24"/>
          <w:lang w:eastAsia="en-US"/>
        </w:rPr>
        <w:t>canadienne</w:t>
      </w:r>
      <w:proofErr w:type="gramEnd"/>
      <w:r w:rsidRPr="00E92176">
        <w:rPr>
          <w:rFonts w:eastAsiaTheme="minorHAnsi" w:cstheme="minorBidi"/>
          <w:b/>
          <w:szCs w:val="24"/>
          <w:lang w:eastAsia="en-US"/>
        </w:rPr>
        <w:t xml:space="preserve"> des libertés civiles, Commissaire à la protection </w:t>
      </w:r>
    </w:p>
    <w:p w:rsidR="00D86C40" w:rsidRPr="00E92176" w:rsidRDefault="00D86C40" w:rsidP="00D86C40">
      <w:pPr>
        <w:jc w:val="center"/>
        <w:rPr>
          <w:rFonts w:eastAsiaTheme="minorHAnsi" w:cstheme="minorBidi"/>
          <w:b/>
          <w:szCs w:val="24"/>
          <w:lang w:eastAsia="en-US"/>
        </w:rPr>
      </w:pPr>
      <w:proofErr w:type="gramStart"/>
      <w:r w:rsidRPr="00E92176">
        <w:rPr>
          <w:rFonts w:eastAsiaTheme="minorHAnsi" w:cstheme="minorBidi"/>
          <w:b/>
          <w:szCs w:val="24"/>
          <w:lang w:eastAsia="en-US"/>
        </w:rPr>
        <w:t>de</w:t>
      </w:r>
      <w:proofErr w:type="gramEnd"/>
      <w:r w:rsidRPr="00E92176">
        <w:rPr>
          <w:rFonts w:eastAsiaTheme="minorHAnsi" w:cstheme="minorBidi"/>
          <w:b/>
          <w:szCs w:val="24"/>
          <w:lang w:eastAsia="en-US"/>
        </w:rPr>
        <w:t xml:space="preserve"> la vie privée du Canada, Journaux canadiens, Ad IDEM/Canadian Media </w:t>
      </w:r>
      <w:proofErr w:type="spellStart"/>
      <w:r w:rsidRPr="00E92176">
        <w:rPr>
          <w:rFonts w:eastAsiaTheme="minorHAnsi" w:cstheme="minorBidi"/>
          <w:b/>
          <w:szCs w:val="24"/>
          <w:lang w:eastAsia="en-US"/>
        </w:rPr>
        <w:t>Lawyers</w:t>
      </w:r>
      <w:proofErr w:type="spellEnd"/>
      <w:r w:rsidRPr="00E92176">
        <w:rPr>
          <w:rFonts w:eastAsiaTheme="minorHAnsi" w:cstheme="minorBidi"/>
          <w:b/>
          <w:szCs w:val="24"/>
          <w:lang w:eastAsia="en-US"/>
        </w:rPr>
        <w:t xml:space="preserve"> Association, Association canadienne des journalistes, Professional </w:t>
      </w:r>
      <w:proofErr w:type="spellStart"/>
      <w:r w:rsidRPr="00E92176">
        <w:rPr>
          <w:rFonts w:eastAsiaTheme="minorHAnsi" w:cstheme="minorBidi"/>
          <w:b/>
          <w:szCs w:val="24"/>
          <w:lang w:eastAsia="en-US"/>
        </w:rPr>
        <w:t>Writers</w:t>
      </w:r>
      <w:proofErr w:type="spellEnd"/>
      <w:r w:rsidRPr="00E92176">
        <w:rPr>
          <w:rFonts w:eastAsiaTheme="minorHAnsi" w:cstheme="minorBidi"/>
          <w:b/>
          <w:szCs w:val="24"/>
          <w:lang w:eastAsia="en-US"/>
        </w:rPr>
        <w:t xml:space="preserve"> Association of Canada, Book and </w:t>
      </w:r>
      <w:proofErr w:type="spellStart"/>
      <w:r w:rsidRPr="00E92176">
        <w:rPr>
          <w:rFonts w:eastAsiaTheme="minorHAnsi" w:cstheme="minorBidi"/>
          <w:b/>
          <w:szCs w:val="24"/>
          <w:lang w:eastAsia="en-US"/>
        </w:rPr>
        <w:t>Periodical</w:t>
      </w:r>
      <w:proofErr w:type="spellEnd"/>
      <w:r w:rsidRPr="00E92176">
        <w:rPr>
          <w:rFonts w:eastAsiaTheme="minorHAnsi" w:cstheme="minorBidi"/>
          <w:b/>
          <w:szCs w:val="24"/>
          <w:lang w:eastAsia="en-US"/>
        </w:rPr>
        <w:t xml:space="preserve"> Council, Clinique d’intérêt public et de </w:t>
      </w:r>
    </w:p>
    <w:p w:rsidR="00D86C40" w:rsidRPr="00E92176" w:rsidRDefault="00D86C40" w:rsidP="00D86C40">
      <w:pPr>
        <w:jc w:val="center"/>
        <w:rPr>
          <w:rFonts w:eastAsiaTheme="minorHAnsi" w:cstheme="minorBidi"/>
          <w:b/>
          <w:szCs w:val="24"/>
          <w:lang w:eastAsia="en-US"/>
        </w:rPr>
      </w:pPr>
      <w:proofErr w:type="gramStart"/>
      <w:r w:rsidRPr="00E92176">
        <w:rPr>
          <w:rFonts w:eastAsiaTheme="minorHAnsi" w:cstheme="minorBidi"/>
          <w:b/>
          <w:szCs w:val="24"/>
          <w:lang w:eastAsia="en-US"/>
        </w:rPr>
        <w:t>politique</w:t>
      </w:r>
      <w:proofErr w:type="gramEnd"/>
      <w:r w:rsidRPr="00E92176">
        <w:rPr>
          <w:rFonts w:eastAsiaTheme="minorHAnsi" w:cstheme="minorBidi"/>
          <w:b/>
          <w:szCs w:val="24"/>
          <w:lang w:eastAsia="en-US"/>
        </w:rPr>
        <w:t xml:space="preserve"> d’internet du Canada </w:t>
      </w:r>
      <w:proofErr w:type="spellStart"/>
      <w:r w:rsidRPr="00E92176">
        <w:rPr>
          <w:rFonts w:eastAsiaTheme="minorHAnsi" w:cstheme="minorBidi"/>
          <w:b/>
          <w:szCs w:val="24"/>
          <w:lang w:eastAsia="en-US"/>
        </w:rPr>
        <w:t>Samuelson</w:t>
      </w:r>
      <w:r w:rsidRPr="00E92176">
        <w:rPr>
          <w:rFonts w:eastAsiaTheme="minorHAnsi" w:cstheme="minorBidi"/>
          <w:b/>
          <w:szCs w:val="24"/>
          <w:lang w:eastAsia="en-US"/>
        </w:rPr>
        <w:noBreakHyphen/>
        <w:t>Glushko</w:t>
      </w:r>
      <w:proofErr w:type="spellEnd"/>
      <w:r w:rsidRPr="00E92176">
        <w:rPr>
          <w:rFonts w:eastAsiaTheme="minorHAnsi" w:cstheme="minorBidi"/>
          <w:b/>
          <w:szCs w:val="24"/>
          <w:lang w:eastAsia="en-US"/>
        </w:rPr>
        <w:t xml:space="preserve">, Comité </w:t>
      </w:r>
    </w:p>
    <w:p w:rsidR="00D86C40" w:rsidRPr="00E92176" w:rsidRDefault="00D86C40" w:rsidP="00D86C40">
      <w:pPr>
        <w:jc w:val="center"/>
        <w:rPr>
          <w:rFonts w:eastAsiaTheme="minorHAnsi" w:cstheme="minorBidi"/>
          <w:b/>
          <w:szCs w:val="24"/>
          <w:lang w:eastAsia="en-US"/>
        </w:rPr>
      </w:pPr>
      <w:r w:rsidRPr="00E92176">
        <w:rPr>
          <w:rFonts w:eastAsiaTheme="minorHAnsi" w:cstheme="minorBidi"/>
          <w:b/>
          <w:szCs w:val="24"/>
          <w:lang w:eastAsia="en-US"/>
        </w:rPr>
        <w:t xml:space="preserve">Unicef Canada, Commissaire à l’information et à la protection </w:t>
      </w:r>
    </w:p>
    <w:p w:rsidR="00D86C40" w:rsidRPr="00E92176" w:rsidRDefault="00D86C40" w:rsidP="00D86C40">
      <w:pPr>
        <w:jc w:val="center"/>
        <w:rPr>
          <w:rFonts w:eastAsiaTheme="minorHAnsi" w:cstheme="minorBidi"/>
          <w:b/>
          <w:szCs w:val="24"/>
          <w:lang w:eastAsia="en-US"/>
        </w:rPr>
      </w:pPr>
      <w:proofErr w:type="gramStart"/>
      <w:r w:rsidRPr="00E92176">
        <w:rPr>
          <w:rFonts w:eastAsiaTheme="minorHAnsi" w:cstheme="minorBidi"/>
          <w:b/>
          <w:szCs w:val="24"/>
          <w:lang w:eastAsia="en-US"/>
        </w:rPr>
        <w:t>de</w:t>
      </w:r>
      <w:proofErr w:type="gramEnd"/>
      <w:r w:rsidRPr="00E92176">
        <w:rPr>
          <w:rFonts w:eastAsiaTheme="minorHAnsi" w:cstheme="minorBidi"/>
          <w:b/>
          <w:szCs w:val="24"/>
          <w:lang w:eastAsia="en-US"/>
        </w:rPr>
        <w:t xml:space="preserve"> la vie privée de l’Ontario et </w:t>
      </w:r>
      <w:proofErr w:type="spellStart"/>
      <w:r w:rsidRPr="00E92176">
        <w:rPr>
          <w:rFonts w:eastAsiaTheme="minorHAnsi" w:cstheme="minorBidi"/>
          <w:b/>
          <w:szCs w:val="24"/>
          <w:lang w:eastAsia="en-US"/>
        </w:rPr>
        <w:t>Au</w:t>
      </w:r>
      <w:r w:rsidRPr="00E92176">
        <w:rPr>
          <w:rFonts w:eastAsiaTheme="minorHAnsi" w:cstheme="minorBidi"/>
          <w:b/>
          <w:szCs w:val="24"/>
          <w:lang w:eastAsia="en-US"/>
        </w:rPr>
        <w:noBreakHyphen/>
        <w:t>delà</w:t>
      </w:r>
      <w:proofErr w:type="spellEnd"/>
      <w:r w:rsidRPr="00E92176">
        <w:rPr>
          <w:rFonts w:eastAsiaTheme="minorHAnsi" w:cstheme="minorBidi"/>
          <w:b/>
          <w:szCs w:val="24"/>
          <w:lang w:eastAsia="en-US"/>
        </w:rPr>
        <w:t xml:space="preserve"> des frontières </w:t>
      </w:r>
      <w:proofErr w:type="spellStart"/>
      <w:r w:rsidRPr="00E92176">
        <w:rPr>
          <w:rFonts w:eastAsiaTheme="minorHAnsi" w:cstheme="minorBidi"/>
          <w:b/>
          <w:szCs w:val="24"/>
          <w:lang w:eastAsia="en-US"/>
        </w:rPr>
        <w:t>inc</w:t>
      </w:r>
      <w:proofErr w:type="spellEnd"/>
      <w:r w:rsidRPr="00E92176">
        <w:rPr>
          <w:rFonts w:eastAsiaTheme="minorHAnsi" w:cstheme="minorBidi"/>
          <w:b/>
          <w:szCs w:val="24"/>
          <w:lang w:eastAsia="en-US"/>
        </w:rPr>
        <w:t>.</w:t>
      </w:r>
    </w:p>
    <w:p w:rsidR="00D86C40" w:rsidRPr="00E92176" w:rsidRDefault="00D86C40" w:rsidP="00D86C40">
      <w:pPr>
        <w:jc w:val="center"/>
        <w:rPr>
          <w:rFonts w:eastAsiaTheme="minorHAnsi" w:cstheme="minorBidi"/>
          <w:szCs w:val="24"/>
          <w:lang w:eastAsia="en-US"/>
        </w:rPr>
      </w:pPr>
      <w:r w:rsidRPr="00E92176">
        <w:rPr>
          <w:rFonts w:eastAsiaTheme="minorHAnsi" w:cstheme="minorBidi"/>
          <w:szCs w:val="24"/>
          <w:lang w:eastAsia="en-US"/>
        </w:rPr>
        <w:t>Intervenants</w:t>
      </w:r>
    </w:p>
    <w:p w:rsidR="00D86C40" w:rsidRPr="00E92176" w:rsidRDefault="00D86C40" w:rsidP="00D86C40">
      <w:pPr>
        <w:rPr>
          <w:rFonts w:eastAsiaTheme="minorHAnsi" w:cstheme="minorBidi"/>
          <w:szCs w:val="24"/>
          <w:lang w:eastAsia="en-US"/>
        </w:rPr>
      </w:pPr>
    </w:p>
    <w:p w:rsidR="00D86C40" w:rsidRPr="00E92176" w:rsidRDefault="00D86C40" w:rsidP="00D86C40">
      <w:pPr>
        <w:jc w:val="center"/>
        <w:rPr>
          <w:rFonts w:eastAsiaTheme="minorHAnsi" w:cstheme="minorBidi"/>
          <w:b/>
          <w:smallCaps/>
          <w:szCs w:val="24"/>
          <w:lang w:eastAsia="en-US"/>
        </w:rPr>
      </w:pPr>
      <w:r w:rsidRPr="00E92176">
        <w:rPr>
          <w:rFonts w:eastAsiaTheme="minorHAnsi" w:cstheme="minorBidi"/>
          <w:b/>
          <w:smallCaps/>
          <w:szCs w:val="24"/>
          <w:lang w:eastAsia="en-US"/>
        </w:rPr>
        <w:t>Traduction française officielle</w:t>
      </w:r>
    </w:p>
    <w:p w:rsidR="00D86C40" w:rsidRPr="00E92176" w:rsidRDefault="00D86C40" w:rsidP="00D86C40">
      <w:pPr>
        <w:rPr>
          <w:rFonts w:eastAsiaTheme="minorHAnsi" w:cstheme="minorBidi"/>
          <w:szCs w:val="24"/>
          <w:lang w:eastAsia="en-US"/>
        </w:rPr>
      </w:pPr>
    </w:p>
    <w:p w:rsidR="00D86C40" w:rsidRPr="00E92176" w:rsidRDefault="00D86C40" w:rsidP="00D86C40">
      <w:pPr>
        <w:rPr>
          <w:rFonts w:eastAsiaTheme="minorHAnsi" w:cstheme="minorBidi"/>
          <w:szCs w:val="24"/>
          <w:lang w:eastAsia="en-US"/>
        </w:rPr>
      </w:pPr>
      <w:r w:rsidRPr="00E92176">
        <w:rPr>
          <w:rFonts w:eastAsiaTheme="minorHAnsi" w:cstheme="minorBidi"/>
          <w:b/>
          <w:smallCaps/>
          <w:szCs w:val="24"/>
          <w:lang w:eastAsia="en-US"/>
        </w:rPr>
        <w:t>Coram :</w:t>
      </w:r>
      <w:r w:rsidRPr="00E92176">
        <w:rPr>
          <w:rFonts w:eastAsiaTheme="minorHAnsi" w:cstheme="minorBidi"/>
          <w:szCs w:val="24"/>
          <w:lang w:eastAsia="en-US"/>
        </w:rPr>
        <w:t xml:space="preserve"> La juge en chef </w:t>
      </w:r>
      <w:proofErr w:type="spellStart"/>
      <w:r w:rsidRPr="00E92176">
        <w:rPr>
          <w:rFonts w:eastAsiaTheme="minorHAnsi" w:cstheme="minorBidi"/>
          <w:szCs w:val="24"/>
          <w:lang w:eastAsia="en-US"/>
        </w:rPr>
        <w:t>McLachlin</w:t>
      </w:r>
      <w:proofErr w:type="spellEnd"/>
      <w:r w:rsidRPr="00E92176">
        <w:rPr>
          <w:rFonts w:eastAsiaTheme="minorHAnsi" w:cstheme="minorBidi"/>
          <w:szCs w:val="24"/>
          <w:lang w:eastAsia="en-US"/>
        </w:rPr>
        <w:t xml:space="preserve"> et les juges </w:t>
      </w:r>
      <w:proofErr w:type="spellStart"/>
      <w:r w:rsidRPr="00E92176">
        <w:rPr>
          <w:rFonts w:eastAsiaTheme="minorHAnsi" w:cstheme="minorBidi"/>
          <w:szCs w:val="24"/>
          <w:lang w:eastAsia="en-US"/>
        </w:rPr>
        <w:t>LeBel</w:t>
      </w:r>
      <w:proofErr w:type="spellEnd"/>
      <w:r w:rsidRPr="00E92176">
        <w:rPr>
          <w:rFonts w:eastAsiaTheme="minorHAnsi" w:cstheme="minorBidi"/>
          <w:szCs w:val="24"/>
          <w:lang w:eastAsia="en-US"/>
        </w:rPr>
        <w:t xml:space="preserve">, Deschamps, Fish, Abella, </w:t>
      </w:r>
      <w:proofErr w:type="spellStart"/>
      <w:r w:rsidRPr="00E92176">
        <w:rPr>
          <w:rFonts w:eastAsiaTheme="minorHAnsi" w:cstheme="minorBidi"/>
          <w:szCs w:val="24"/>
          <w:lang w:eastAsia="en-US"/>
        </w:rPr>
        <w:t>Rothstein</w:t>
      </w:r>
      <w:proofErr w:type="spellEnd"/>
      <w:r w:rsidRPr="00E92176">
        <w:rPr>
          <w:rFonts w:eastAsiaTheme="minorHAnsi" w:cstheme="minorBidi"/>
          <w:szCs w:val="24"/>
          <w:lang w:eastAsia="en-US"/>
        </w:rPr>
        <w:t xml:space="preserve"> et </w:t>
      </w:r>
      <w:proofErr w:type="spellStart"/>
      <w:r w:rsidRPr="00E92176">
        <w:rPr>
          <w:rFonts w:eastAsiaTheme="minorHAnsi" w:cstheme="minorBidi"/>
          <w:szCs w:val="24"/>
          <w:lang w:eastAsia="en-US"/>
        </w:rPr>
        <w:t>Karakatsanis</w:t>
      </w:r>
      <w:proofErr w:type="spellEnd"/>
    </w:p>
    <w:p w:rsidR="00D86C40" w:rsidRPr="00E92176" w:rsidRDefault="00D86C40" w:rsidP="00D86C40">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86C40" w:rsidRPr="00E92176" w:rsidTr="002F6440">
        <w:trPr>
          <w:cantSplit/>
        </w:trPr>
        <w:tc>
          <w:tcPr>
            <w:tcW w:w="3618" w:type="dxa"/>
          </w:tcPr>
          <w:p w:rsidR="00D86C40" w:rsidRPr="00E92176" w:rsidRDefault="00D86C40" w:rsidP="002F6440">
            <w:pPr>
              <w:rPr>
                <w:b/>
                <w:smallCaps/>
              </w:rPr>
            </w:pPr>
            <w:r w:rsidRPr="00E92176">
              <w:rPr>
                <w:b/>
                <w:smallCaps/>
              </w:rPr>
              <w:t>Motifs de jugement :</w:t>
            </w:r>
          </w:p>
          <w:p w:rsidR="00D86C40" w:rsidRPr="00E92176" w:rsidRDefault="00D86C40" w:rsidP="002F6440">
            <w:r w:rsidRPr="00E92176">
              <w:t>(par. 1 à 31)</w:t>
            </w:r>
          </w:p>
        </w:tc>
        <w:tc>
          <w:tcPr>
            <w:tcW w:w="5958" w:type="dxa"/>
          </w:tcPr>
          <w:p w:rsidR="00D86C40" w:rsidRPr="00E92176" w:rsidRDefault="00D86C40" w:rsidP="002F6440">
            <w:r w:rsidRPr="00E92176">
              <w:t xml:space="preserve">La juge Abella (avec l’accord de la juge en chef </w:t>
            </w:r>
            <w:proofErr w:type="spellStart"/>
            <w:r w:rsidRPr="00E92176">
              <w:t>McLachlin</w:t>
            </w:r>
            <w:proofErr w:type="spellEnd"/>
            <w:r w:rsidRPr="00E92176">
              <w:t xml:space="preserve"> et des juges </w:t>
            </w:r>
            <w:proofErr w:type="spellStart"/>
            <w:r w:rsidRPr="00E92176">
              <w:t>LeBel</w:t>
            </w:r>
            <w:proofErr w:type="spellEnd"/>
            <w:r w:rsidRPr="00E92176">
              <w:t xml:space="preserve">, Deschamps, Fish, </w:t>
            </w:r>
            <w:proofErr w:type="spellStart"/>
            <w:r w:rsidRPr="00E92176">
              <w:t>Rothstein</w:t>
            </w:r>
            <w:proofErr w:type="spellEnd"/>
            <w:r w:rsidRPr="00E92176">
              <w:t xml:space="preserve"> et </w:t>
            </w:r>
            <w:proofErr w:type="spellStart"/>
            <w:r w:rsidRPr="00E92176">
              <w:t>Karakatsanis</w:t>
            </w:r>
            <w:proofErr w:type="spellEnd"/>
            <w:r w:rsidRPr="00E92176">
              <w:t>)</w:t>
            </w:r>
          </w:p>
        </w:tc>
      </w:tr>
    </w:tbl>
    <w:p w:rsidR="00D86C40" w:rsidRPr="00E92176" w:rsidRDefault="00D86C40" w:rsidP="00D86C40">
      <w:pPr>
        <w:rPr>
          <w:rFonts w:eastAsiaTheme="minorHAnsi" w:cstheme="minorBidi"/>
          <w:szCs w:val="24"/>
          <w:lang w:eastAsia="en-US"/>
        </w:rPr>
      </w:pPr>
    </w:p>
    <w:p w:rsidR="00D86C40" w:rsidRPr="00E92176" w:rsidRDefault="00D86C40" w:rsidP="00D86C4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86C40" w:rsidRDefault="00D86C40" w:rsidP="00D86C40">
      <w:pPr>
        <w:rPr>
          <w:rStyle w:val="SCCAppellantForRunningHeadChar"/>
        </w:rPr>
      </w:pPr>
      <w:r>
        <w:rPr>
          <w:rStyle w:val="SCCAppellantForRunningHeadChar"/>
        </w:rPr>
        <w:br w:type="page"/>
      </w:r>
    </w:p>
    <w:p w:rsidR="00C12FF7" w:rsidRPr="00C12FF7" w:rsidRDefault="00C12FF7" w:rsidP="00C61D3D">
      <w:pPr>
        <w:spacing w:after="720"/>
        <w:rPr>
          <w:rStyle w:val="SCCRespondentForRunningHeadChar"/>
          <w:b/>
        </w:rPr>
      </w:pPr>
      <w:r w:rsidRPr="00C12FF7">
        <w:rPr>
          <w:rStyle w:val="SCCAppellantForIndexChar"/>
          <w:b w:val="0"/>
        </w:rPr>
        <w:lastRenderedPageBreak/>
        <w:t xml:space="preserve">A.B. </w:t>
      </w:r>
      <w:r w:rsidRPr="00C12FF7">
        <w:rPr>
          <w:i/>
        </w:rPr>
        <w:t>c.</w:t>
      </w:r>
      <w:r w:rsidRPr="00C12FF7">
        <w:rPr>
          <w:b/>
        </w:rPr>
        <w:t xml:space="preserve"> </w:t>
      </w:r>
      <w:r w:rsidRPr="00C12FF7">
        <w:rPr>
          <w:rStyle w:val="SCCRespondentForIndexChar"/>
          <w:b w:val="0"/>
        </w:rPr>
        <w:t>Bragg Communications Inc.</w:t>
      </w:r>
      <w:r>
        <w:rPr>
          <w:rStyle w:val="SCCRespondentForIndexChar"/>
          <w:b w:val="0"/>
        </w:rPr>
        <w:t>, 2012 CSC 46, [2012] 2 R.C.S. 567</w:t>
      </w:r>
    </w:p>
    <w:p w:rsidR="00C12FF7" w:rsidRPr="00FF134F" w:rsidRDefault="00C12FF7" w:rsidP="00C61D3D">
      <w:pPr>
        <w:spacing w:after="720"/>
        <w:rPr>
          <w:rStyle w:val="SCCRespondentForRunningHeadChar"/>
        </w:rPr>
      </w:pPr>
    </w:p>
    <w:p w:rsidR="006830A2" w:rsidRPr="00FF134F" w:rsidRDefault="001B2D17" w:rsidP="006830A2">
      <w:pPr>
        <w:pStyle w:val="SCCLsocParty"/>
        <w:tabs>
          <w:tab w:val="right" w:pos="8280"/>
        </w:tabs>
        <w:spacing w:after="720"/>
        <w:rPr>
          <w:b w:val="0"/>
          <w:i/>
        </w:rPr>
      </w:pPr>
      <w:r w:rsidRPr="00FF134F">
        <w:t>A.B.</w:t>
      </w:r>
      <w:r w:rsidR="00DE1AC5" w:rsidRPr="00FF134F">
        <w:t>,</w:t>
      </w:r>
      <w:r w:rsidRPr="00FF134F">
        <w:t xml:space="preserve"> </w:t>
      </w:r>
      <w:r w:rsidR="00110849" w:rsidRPr="00FF134F">
        <w:t xml:space="preserve">représentée </w:t>
      </w:r>
      <w:r w:rsidRPr="00FF134F">
        <w:t>par son tuteur à l</w:t>
      </w:r>
      <w:r w:rsidR="009856B4" w:rsidRPr="00FF134F">
        <w:t>’</w:t>
      </w:r>
      <w:r w:rsidRPr="00FF134F">
        <w:t>instance, C.D.</w:t>
      </w:r>
      <w:r w:rsidR="00B27B31" w:rsidRPr="00FF134F">
        <w:tab/>
      </w:r>
      <w:r w:rsidRPr="00FF134F">
        <w:rPr>
          <w:b w:val="0"/>
          <w:i/>
        </w:rPr>
        <w:t>Appelant</w:t>
      </w:r>
      <w:r w:rsidR="00985827" w:rsidRPr="00FF134F">
        <w:rPr>
          <w:b w:val="0"/>
          <w:i/>
        </w:rPr>
        <w:t>e</w:t>
      </w:r>
    </w:p>
    <w:p w:rsidR="006830A2" w:rsidRPr="00FF134F" w:rsidRDefault="001B2D17" w:rsidP="006830A2">
      <w:pPr>
        <w:pStyle w:val="SCCLsocVersus"/>
        <w:spacing w:after="720"/>
      </w:pPr>
      <w:proofErr w:type="gramStart"/>
      <w:r w:rsidRPr="00FF134F">
        <w:t>c</w:t>
      </w:r>
      <w:proofErr w:type="gramEnd"/>
      <w:r w:rsidRPr="00FF134F">
        <w:t>.</w:t>
      </w:r>
    </w:p>
    <w:p w:rsidR="00092FE4" w:rsidRPr="00FF134F" w:rsidRDefault="001B2D17">
      <w:pPr>
        <w:pStyle w:val="SCCLsocParty"/>
      </w:pPr>
      <w:r w:rsidRPr="00FF134F">
        <w:t xml:space="preserve">Bragg Communications </w:t>
      </w:r>
      <w:proofErr w:type="spellStart"/>
      <w:r w:rsidRPr="00FF134F">
        <w:t>Incorporated</w:t>
      </w:r>
      <w:proofErr w:type="spellEnd"/>
      <w:r w:rsidRPr="00FF134F">
        <w:t xml:space="preserve">, une personne morale, </w:t>
      </w:r>
    </w:p>
    <w:p w:rsidR="006830A2" w:rsidRPr="00FF134F" w:rsidRDefault="00B27B31" w:rsidP="006830A2">
      <w:pPr>
        <w:pStyle w:val="SCCLsocParty"/>
        <w:tabs>
          <w:tab w:val="right" w:pos="8280"/>
        </w:tabs>
        <w:spacing w:after="720"/>
        <w:rPr>
          <w:b w:val="0"/>
          <w:i/>
        </w:rPr>
      </w:pPr>
      <w:proofErr w:type="gramStart"/>
      <w:r w:rsidRPr="00FF134F">
        <w:t>et</w:t>
      </w:r>
      <w:proofErr w:type="gramEnd"/>
      <w:r w:rsidRPr="00FF134F">
        <w:t xml:space="preserve"> </w:t>
      </w:r>
      <w:r w:rsidR="001B2D17" w:rsidRPr="00FF134F">
        <w:t>Halifax Herald Limited, une personne morale</w:t>
      </w:r>
      <w:r w:rsidRPr="00FF134F">
        <w:tab/>
      </w:r>
      <w:r w:rsidR="001B2D17" w:rsidRPr="00FF134F">
        <w:rPr>
          <w:b w:val="0"/>
          <w:i/>
        </w:rPr>
        <w:t>Intimé</w:t>
      </w:r>
      <w:r w:rsidRPr="00FF134F">
        <w:rPr>
          <w:b w:val="0"/>
          <w:i/>
        </w:rPr>
        <w:t>es</w:t>
      </w:r>
    </w:p>
    <w:p w:rsidR="00B27B31" w:rsidRPr="00FF134F" w:rsidRDefault="00B27B31" w:rsidP="006830A2">
      <w:pPr>
        <w:spacing w:after="720"/>
      </w:pPr>
      <w:proofErr w:type="gramStart"/>
      <w:r w:rsidRPr="00FF134F">
        <w:t>et</w:t>
      </w:r>
      <w:proofErr w:type="gramEnd"/>
    </w:p>
    <w:p w:rsidR="00A27265" w:rsidRPr="00FF134F" w:rsidRDefault="001B2D17" w:rsidP="00302AB5">
      <w:pPr>
        <w:pStyle w:val="SCCLsocParty"/>
      </w:pPr>
      <w:proofErr w:type="spellStart"/>
      <w:r w:rsidRPr="00FF134F">
        <w:t>BullyingCanada</w:t>
      </w:r>
      <w:proofErr w:type="spellEnd"/>
      <w:r w:rsidRPr="00FF134F">
        <w:t xml:space="preserve"> Inc., </w:t>
      </w:r>
      <w:r w:rsidR="00B27B31" w:rsidRPr="00FF134F">
        <w:t xml:space="preserve">Association des libertés civiles de la </w:t>
      </w:r>
    </w:p>
    <w:p w:rsidR="00A27265" w:rsidRPr="00FF134F" w:rsidRDefault="00B27B31" w:rsidP="00302AB5">
      <w:pPr>
        <w:pStyle w:val="SCCLsocParty"/>
      </w:pPr>
      <w:proofErr w:type="spellStart"/>
      <w:r w:rsidRPr="00FF134F">
        <w:t>Colombie</w:t>
      </w:r>
      <w:r w:rsidR="009110BF" w:rsidRPr="00FF134F">
        <w:noBreakHyphen/>
      </w:r>
      <w:r w:rsidRPr="00FF134F">
        <w:t>Britannique</w:t>
      </w:r>
      <w:proofErr w:type="spellEnd"/>
      <w:r w:rsidRPr="00FF134F">
        <w:t>, Jeunesse J’écoute</w:t>
      </w:r>
      <w:r w:rsidR="001B2D17" w:rsidRPr="00FF134F">
        <w:t xml:space="preserve">, </w:t>
      </w:r>
      <w:r w:rsidR="00302AB5" w:rsidRPr="00FF134F">
        <w:t xml:space="preserve">Association </w:t>
      </w:r>
    </w:p>
    <w:p w:rsidR="00A27265" w:rsidRPr="00FF134F" w:rsidRDefault="00302AB5">
      <w:pPr>
        <w:pStyle w:val="SCCLsocParty"/>
      </w:pPr>
      <w:proofErr w:type="gramStart"/>
      <w:r w:rsidRPr="00FF134F">
        <w:t>canadienne</w:t>
      </w:r>
      <w:proofErr w:type="gramEnd"/>
      <w:r w:rsidRPr="00FF134F">
        <w:t xml:space="preserve"> des libertés civiles, </w:t>
      </w:r>
      <w:r w:rsidR="001B2D17" w:rsidRPr="00FF134F">
        <w:t>Commiss</w:t>
      </w:r>
      <w:r w:rsidRPr="00FF134F">
        <w:t xml:space="preserve">aire à la protection </w:t>
      </w:r>
    </w:p>
    <w:p w:rsidR="00315377" w:rsidRDefault="00302AB5">
      <w:pPr>
        <w:pStyle w:val="SCCLsocParty"/>
      </w:pPr>
      <w:proofErr w:type="gramStart"/>
      <w:r w:rsidRPr="00FF134F">
        <w:t>de</w:t>
      </w:r>
      <w:proofErr w:type="gramEnd"/>
      <w:r w:rsidRPr="00FF134F">
        <w:t xml:space="preserve"> la vie privée du </w:t>
      </w:r>
      <w:r w:rsidR="001B2D17" w:rsidRPr="00FF134F">
        <w:t xml:space="preserve">Canada, </w:t>
      </w:r>
      <w:r w:rsidR="00961F45" w:rsidRPr="00FF134F">
        <w:t>Journaux canadiens</w:t>
      </w:r>
      <w:r w:rsidR="001B2D17" w:rsidRPr="00FF134F">
        <w:t>, Ad IDEM/Canadian</w:t>
      </w:r>
      <w:r w:rsidR="00315377">
        <w:t xml:space="preserve"> </w:t>
      </w:r>
    </w:p>
    <w:p w:rsidR="00A27265" w:rsidRPr="00FF134F" w:rsidRDefault="001B2D17">
      <w:pPr>
        <w:pStyle w:val="SCCLsocParty"/>
      </w:pPr>
      <w:r w:rsidRPr="00FF134F">
        <w:t xml:space="preserve">Media </w:t>
      </w:r>
      <w:proofErr w:type="spellStart"/>
      <w:r w:rsidRPr="00FF134F">
        <w:t>Lawyers</w:t>
      </w:r>
      <w:proofErr w:type="spellEnd"/>
      <w:r w:rsidRPr="00FF134F">
        <w:t xml:space="preserve"> Association, Association canadienne </w:t>
      </w:r>
    </w:p>
    <w:p w:rsidR="00A27265" w:rsidRPr="00FF134F" w:rsidRDefault="001B2D17">
      <w:pPr>
        <w:pStyle w:val="SCCLsocParty"/>
      </w:pPr>
      <w:proofErr w:type="gramStart"/>
      <w:r w:rsidRPr="00FF134F">
        <w:t>des</w:t>
      </w:r>
      <w:proofErr w:type="gramEnd"/>
      <w:r w:rsidRPr="00FF134F">
        <w:t xml:space="preserve"> journalistes, Professional </w:t>
      </w:r>
      <w:proofErr w:type="spellStart"/>
      <w:r w:rsidRPr="00FF134F">
        <w:t>Writers</w:t>
      </w:r>
      <w:proofErr w:type="spellEnd"/>
      <w:r w:rsidRPr="00FF134F">
        <w:t xml:space="preserve"> Association of Canada</w:t>
      </w:r>
      <w:r w:rsidR="00961F45" w:rsidRPr="00FF134F">
        <w:t>,</w:t>
      </w:r>
      <w:r w:rsidRPr="00FF134F">
        <w:t xml:space="preserve"> </w:t>
      </w:r>
    </w:p>
    <w:p w:rsidR="00A27265" w:rsidRPr="00FF134F" w:rsidRDefault="001B2D17">
      <w:pPr>
        <w:pStyle w:val="SCCLsocParty"/>
      </w:pPr>
      <w:r w:rsidRPr="00FF134F">
        <w:t xml:space="preserve">Book and </w:t>
      </w:r>
      <w:proofErr w:type="spellStart"/>
      <w:r w:rsidRPr="00FF134F">
        <w:t>Periodical</w:t>
      </w:r>
      <w:proofErr w:type="spellEnd"/>
      <w:r w:rsidRPr="00FF134F">
        <w:t xml:space="preserve"> Council, </w:t>
      </w:r>
      <w:r w:rsidR="00961F45" w:rsidRPr="00FF134F">
        <w:t xml:space="preserve">Clinique d’intérêt public et de </w:t>
      </w:r>
    </w:p>
    <w:p w:rsidR="00A27265" w:rsidRPr="00FF134F" w:rsidRDefault="00961F45">
      <w:pPr>
        <w:pStyle w:val="SCCLsocParty"/>
      </w:pPr>
      <w:proofErr w:type="gramStart"/>
      <w:r w:rsidRPr="00FF134F">
        <w:t>politique</w:t>
      </w:r>
      <w:proofErr w:type="gramEnd"/>
      <w:r w:rsidRPr="00FF134F">
        <w:t xml:space="preserve"> d’internet du Canada </w:t>
      </w:r>
      <w:proofErr w:type="spellStart"/>
      <w:r w:rsidR="001B2D17" w:rsidRPr="00FF134F">
        <w:t>Samuelson</w:t>
      </w:r>
      <w:r w:rsidR="009110BF" w:rsidRPr="00FF134F">
        <w:noBreakHyphen/>
      </w:r>
      <w:r w:rsidR="001B2D17" w:rsidRPr="00FF134F">
        <w:t>Glushko</w:t>
      </w:r>
      <w:proofErr w:type="spellEnd"/>
      <w:r w:rsidR="001B2D17" w:rsidRPr="00FF134F">
        <w:t xml:space="preserve">, </w:t>
      </w:r>
      <w:r w:rsidRPr="00FF134F">
        <w:t xml:space="preserve">Comité </w:t>
      </w:r>
    </w:p>
    <w:p w:rsidR="00A27265" w:rsidRPr="00FF134F" w:rsidRDefault="001B2D17">
      <w:pPr>
        <w:pStyle w:val="SCCLsocParty"/>
      </w:pPr>
      <w:r w:rsidRPr="00FF134F">
        <w:t>Unicef C</w:t>
      </w:r>
      <w:r w:rsidR="00961F45" w:rsidRPr="00FF134F">
        <w:t>anada</w:t>
      </w:r>
      <w:r w:rsidRPr="00FF134F">
        <w:t xml:space="preserve">, </w:t>
      </w:r>
      <w:r w:rsidR="00961F45" w:rsidRPr="00FF134F">
        <w:t>Commissaire à l</w:t>
      </w:r>
      <w:r w:rsidR="00A27265" w:rsidRPr="00FF134F">
        <w:t xml:space="preserve">’information et à la protection </w:t>
      </w:r>
    </w:p>
    <w:p w:rsidR="00092FE4" w:rsidRPr="00FF134F" w:rsidRDefault="00A27265" w:rsidP="006830A2">
      <w:pPr>
        <w:pStyle w:val="SCCLsocParty"/>
        <w:tabs>
          <w:tab w:val="right" w:pos="8280"/>
        </w:tabs>
        <w:spacing w:after="720"/>
      </w:pPr>
      <w:proofErr w:type="gramStart"/>
      <w:r w:rsidRPr="00FF134F">
        <w:t>de</w:t>
      </w:r>
      <w:proofErr w:type="gramEnd"/>
      <w:r w:rsidRPr="00FF134F">
        <w:t xml:space="preserve"> la vie privée de l’</w:t>
      </w:r>
      <w:r w:rsidR="00B41CBD" w:rsidRPr="00FF134F">
        <w:t>Ontario et</w:t>
      </w:r>
      <w:r w:rsidR="001B2D17" w:rsidRPr="00FF134F">
        <w:t xml:space="preserve"> </w:t>
      </w:r>
      <w:r w:rsidRPr="00FF134F">
        <w:t>Au</w:t>
      </w:r>
      <w:r w:rsidR="00315377">
        <w:t>-</w:t>
      </w:r>
      <w:r w:rsidR="00D1644C">
        <w:t>delà des frontières</w:t>
      </w:r>
      <w:r w:rsidR="00444314" w:rsidRPr="00FF134F">
        <w:tab/>
      </w:r>
      <w:r w:rsidR="001B2D17" w:rsidRPr="00FF134F">
        <w:rPr>
          <w:b w:val="0"/>
          <w:i/>
        </w:rPr>
        <w:t>Intervenant</w:t>
      </w:r>
      <w:r w:rsidR="00444314" w:rsidRPr="00FF134F">
        <w:rPr>
          <w:b w:val="0"/>
          <w:i/>
        </w:rPr>
        <w:t>s</w:t>
      </w:r>
    </w:p>
    <w:p w:rsidR="00426659" w:rsidRPr="00FF134F" w:rsidRDefault="0043088E" w:rsidP="006830A2">
      <w:pPr>
        <w:spacing w:after="720"/>
        <w:jc w:val="both"/>
        <w:rPr>
          <w:b/>
        </w:rPr>
      </w:pPr>
      <w:r w:rsidRPr="00FF134F">
        <w:rPr>
          <w:b/>
        </w:rPr>
        <w:t>Répertorié</w:t>
      </w:r>
      <w:r w:rsidR="009110BF" w:rsidRPr="00FF134F">
        <w:rPr>
          <w:b/>
        </w:rPr>
        <w:t> :</w:t>
      </w:r>
      <w:r w:rsidR="00C67CA5" w:rsidRPr="00FF134F">
        <w:rPr>
          <w:b/>
        </w:rPr>
        <w:t> </w:t>
      </w:r>
      <w:r w:rsidRPr="00FF134F">
        <w:rPr>
          <w:rStyle w:val="SCCAppellantForIndexChar"/>
        </w:rPr>
        <w:t xml:space="preserve">A.B. </w:t>
      </w:r>
      <w:r w:rsidR="00645057" w:rsidRPr="00FF134F">
        <w:rPr>
          <w:b/>
          <w:i/>
        </w:rPr>
        <w:t>c</w:t>
      </w:r>
      <w:r w:rsidR="00426659" w:rsidRPr="00FF134F">
        <w:rPr>
          <w:b/>
          <w:i/>
        </w:rPr>
        <w:t>.</w:t>
      </w:r>
      <w:r w:rsidR="00426659" w:rsidRPr="00FF134F">
        <w:rPr>
          <w:b/>
        </w:rPr>
        <w:t xml:space="preserve"> </w:t>
      </w:r>
      <w:r w:rsidRPr="00FF134F">
        <w:rPr>
          <w:rStyle w:val="SCCRespondentForIndexChar"/>
        </w:rPr>
        <w:t>Bragg Communication</w:t>
      </w:r>
      <w:r w:rsidR="004161D5" w:rsidRPr="00FF134F">
        <w:rPr>
          <w:rStyle w:val="SCCRespondentForIndexChar"/>
        </w:rPr>
        <w:t>s Inc.</w:t>
      </w:r>
    </w:p>
    <w:p w:rsidR="00426659" w:rsidRPr="00FF134F" w:rsidRDefault="00C0663B" w:rsidP="006830A2">
      <w:pPr>
        <w:pStyle w:val="SCCSystemYear"/>
        <w:spacing w:after="720"/>
        <w:jc w:val="both"/>
      </w:pPr>
      <w:r w:rsidRPr="00FF134F">
        <w:t>2012</w:t>
      </w:r>
      <w:r w:rsidR="00EE0FAF" w:rsidRPr="00FF134F">
        <w:t xml:space="preserve"> </w:t>
      </w:r>
      <w:r w:rsidR="00C71F58" w:rsidRPr="00FF134F">
        <w:t>C</w:t>
      </w:r>
      <w:r w:rsidR="00323240" w:rsidRPr="00FF134F">
        <w:t>SC 46</w:t>
      </w:r>
    </w:p>
    <w:p w:rsidR="008322BD" w:rsidRPr="00FF134F" w:rsidRDefault="009B57B3" w:rsidP="006830A2">
      <w:pPr>
        <w:spacing w:after="720"/>
        <w:jc w:val="both"/>
      </w:pPr>
      <w:r w:rsidRPr="00FF134F">
        <w:t>N</w:t>
      </w:r>
      <w:r w:rsidRPr="00FF134F">
        <w:rPr>
          <w:vertAlign w:val="superscript"/>
        </w:rPr>
        <w:t>o</w:t>
      </w:r>
      <w:r w:rsidR="0043088E" w:rsidRPr="00FF134F">
        <w:t xml:space="preserve"> du greffe</w:t>
      </w:r>
      <w:r w:rsidR="009110BF" w:rsidRPr="00FF134F">
        <w:t> :</w:t>
      </w:r>
      <w:r w:rsidR="00C67CA5" w:rsidRPr="00FF134F">
        <w:t> </w:t>
      </w:r>
      <w:r w:rsidRPr="00FF134F">
        <w:t>34240.</w:t>
      </w:r>
    </w:p>
    <w:p w:rsidR="008322BD" w:rsidRPr="00FF134F" w:rsidRDefault="00C0663B" w:rsidP="006830A2">
      <w:pPr>
        <w:spacing w:after="720"/>
        <w:jc w:val="both"/>
      </w:pPr>
      <w:r w:rsidRPr="00FF134F">
        <w:lastRenderedPageBreak/>
        <w:t>2012</w:t>
      </w:r>
      <w:r w:rsidR="009110BF" w:rsidRPr="00FF134F">
        <w:t> :</w:t>
      </w:r>
      <w:r w:rsidR="001B6301" w:rsidRPr="00FF134F">
        <w:t> </w:t>
      </w:r>
      <w:r w:rsidR="009110BF" w:rsidRPr="00FF134F">
        <w:t>10 </w:t>
      </w:r>
      <w:r w:rsidRPr="00FF134F">
        <w:t>mai</w:t>
      </w:r>
      <w:r w:rsidR="009B57B3" w:rsidRPr="00FF134F">
        <w:t xml:space="preserve">; </w:t>
      </w:r>
      <w:r w:rsidR="009110BF" w:rsidRPr="00FF134F">
        <w:t>2012 : 27 </w:t>
      </w:r>
      <w:r w:rsidR="00D47EE5" w:rsidRPr="00FF134F">
        <w:t>septembre</w:t>
      </w:r>
      <w:r w:rsidR="009B57B3" w:rsidRPr="00FF134F">
        <w:t>.</w:t>
      </w:r>
    </w:p>
    <w:p w:rsidR="008322BD" w:rsidRPr="00FF134F" w:rsidRDefault="009B57B3" w:rsidP="006830A2">
      <w:pPr>
        <w:spacing w:after="720"/>
        <w:jc w:val="both"/>
      </w:pPr>
      <w:r w:rsidRPr="00FF134F">
        <w:t>Pr</w:t>
      </w:r>
      <w:r w:rsidR="0043088E" w:rsidRPr="00FF134F">
        <w:t>é</w:t>
      </w:r>
      <w:r w:rsidRPr="00FF134F">
        <w:t>sent</w:t>
      </w:r>
      <w:r w:rsidR="008A6558" w:rsidRPr="00FF134F">
        <w:t>s</w:t>
      </w:r>
      <w:r w:rsidR="009110BF" w:rsidRPr="00FF134F">
        <w:t> :</w:t>
      </w:r>
      <w:r w:rsidR="00C67CA5" w:rsidRPr="00FF134F">
        <w:t> </w:t>
      </w:r>
      <w:r w:rsidRPr="00FF134F">
        <w:t xml:space="preserve">La juge en chef </w:t>
      </w:r>
      <w:proofErr w:type="spellStart"/>
      <w:r w:rsidRPr="00FF134F">
        <w:t>McLachlin</w:t>
      </w:r>
      <w:proofErr w:type="spellEnd"/>
      <w:r w:rsidRPr="00FF134F">
        <w:t xml:space="preserve"> et les juges LeBel, Deschamps, Fish, Abella, </w:t>
      </w:r>
      <w:proofErr w:type="spellStart"/>
      <w:r w:rsidRPr="00FF134F">
        <w:t>Rothstein</w:t>
      </w:r>
      <w:proofErr w:type="spellEnd"/>
      <w:r w:rsidRPr="00FF134F">
        <w:t xml:space="preserve"> et </w:t>
      </w:r>
      <w:proofErr w:type="spellStart"/>
      <w:r w:rsidRPr="00FF134F">
        <w:t>Karakatsanis</w:t>
      </w:r>
      <w:proofErr w:type="spellEnd"/>
      <w:r w:rsidRPr="00FF134F">
        <w:t>.</w:t>
      </w:r>
    </w:p>
    <w:p w:rsidR="008322BD" w:rsidRPr="00FF134F" w:rsidRDefault="00AC7437" w:rsidP="006830A2">
      <w:pPr>
        <w:pStyle w:val="SCCLowerCourtNameLowercase"/>
        <w:spacing w:after="720" w:line="240" w:lineRule="auto"/>
      </w:pPr>
      <w:r w:rsidRPr="00FF134F">
        <w:t>e</w:t>
      </w:r>
      <w:r w:rsidR="00855307" w:rsidRPr="00FF134F">
        <w:t>n</w:t>
      </w:r>
      <w:r w:rsidR="00224FC0" w:rsidRPr="00FF134F">
        <w:t xml:space="preserve"> </w:t>
      </w:r>
      <w:r w:rsidR="00855307" w:rsidRPr="00FF134F">
        <w:t>appel</w:t>
      </w:r>
      <w:r w:rsidR="00224FC0" w:rsidRPr="00FF134F">
        <w:t xml:space="preserve"> </w:t>
      </w:r>
      <w:r w:rsidR="00855307" w:rsidRPr="00FF134F">
        <w:t>de</w:t>
      </w:r>
      <w:r w:rsidR="0043088E" w:rsidRPr="00FF134F">
        <w:t xml:space="preserve"> </w:t>
      </w:r>
      <w:r w:rsidR="00855307" w:rsidRPr="00FF134F">
        <w:t>la</w:t>
      </w:r>
      <w:r w:rsidR="00224FC0" w:rsidRPr="00FF134F">
        <w:t xml:space="preserve"> </w:t>
      </w:r>
      <w:r w:rsidR="009B57B3" w:rsidRPr="00FF134F">
        <w:t xml:space="preserve">cour d’appel de la </w:t>
      </w:r>
      <w:proofErr w:type="spellStart"/>
      <w:r w:rsidR="009B57B3" w:rsidRPr="00FF134F">
        <w:t>nouvelle</w:t>
      </w:r>
      <w:r w:rsidR="009110BF" w:rsidRPr="00FF134F">
        <w:noBreakHyphen/>
      </w:r>
      <w:r w:rsidR="009B57B3" w:rsidRPr="00FF134F">
        <w:t>écosse</w:t>
      </w:r>
      <w:proofErr w:type="spellEnd"/>
    </w:p>
    <w:p w:rsidR="008322BD" w:rsidRPr="00FF134F" w:rsidRDefault="009B57B3" w:rsidP="00D80E8D">
      <w:pPr>
        <w:pStyle w:val="SCCNormalDoubleSpacing"/>
        <w:spacing w:after="480"/>
        <w:rPr>
          <w:i/>
        </w:rPr>
      </w:pPr>
      <w:r w:rsidRPr="00FF134F">
        <w:tab/>
      </w:r>
      <w:r w:rsidR="0000689C" w:rsidRPr="00FF134F">
        <w:rPr>
          <w:i/>
        </w:rPr>
        <w:t xml:space="preserve">Tribunaux </w:t>
      </w:r>
      <w:r w:rsidR="009110BF" w:rsidRPr="00FF134F">
        <w:rPr>
          <w:i/>
        </w:rPr>
        <w:t>—</w:t>
      </w:r>
      <w:r w:rsidR="0000689C" w:rsidRPr="00FF134F">
        <w:rPr>
          <w:i/>
        </w:rPr>
        <w:t xml:space="preserve"> Principe de la publicité des débats</w:t>
      </w:r>
      <w:r w:rsidR="009A4B00" w:rsidRPr="00FF134F">
        <w:rPr>
          <w:i/>
        </w:rPr>
        <w:t xml:space="preserve"> judiciaires</w:t>
      </w:r>
      <w:r w:rsidR="0000689C" w:rsidRPr="00FF134F">
        <w:rPr>
          <w:i/>
        </w:rPr>
        <w:t xml:space="preserve"> </w:t>
      </w:r>
      <w:r w:rsidR="009110BF" w:rsidRPr="00FF134F">
        <w:rPr>
          <w:i/>
        </w:rPr>
        <w:t>—</w:t>
      </w:r>
      <w:r w:rsidR="001A0A8F">
        <w:rPr>
          <w:i/>
        </w:rPr>
        <w:t xml:space="preserve">Interdictions de </w:t>
      </w:r>
      <w:r w:rsidR="0000689C" w:rsidRPr="00FF134F">
        <w:rPr>
          <w:i/>
        </w:rPr>
        <w:t xml:space="preserve">publication </w:t>
      </w:r>
      <w:r w:rsidR="009110BF" w:rsidRPr="00FF134F">
        <w:rPr>
          <w:i/>
        </w:rPr>
        <w:t>—</w:t>
      </w:r>
      <w:r w:rsidR="0000689C" w:rsidRPr="00FF134F">
        <w:rPr>
          <w:i/>
        </w:rPr>
        <w:t xml:space="preserve"> Enfants </w:t>
      </w:r>
      <w:r w:rsidR="009110BF" w:rsidRPr="00FF134F">
        <w:rPr>
          <w:i/>
        </w:rPr>
        <w:t>—</w:t>
      </w:r>
      <w:r w:rsidR="0000689C" w:rsidRPr="00FF134F">
        <w:rPr>
          <w:i/>
        </w:rPr>
        <w:t xml:space="preserve"> Demande d’une victime de </w:t>
      </w:r>
      <w:proofErr w:type="spellStart"/>
      <w:r w:rsidR="0000689C" w:rsidRPr="00FF134F">
        <w:rPr>
          <w:i/>
        </w:rPr>
        <w:t>cyberintimidation</w:t>
      </w:r>
      <w:proofErr w:type="spellEnd"/>
      <w:r w:rsidR="0000689C" w:rsidRPr="00FF134F">
        <w:rPr>
          <w:i/>
        </w:rPr>
        <w:t xml:space="preserve"> à caractère sexuel âgée de 15 ans en vue d’obtenir une ordonnance </w:t>
      </w:r>
      <w:r w:rsidR="0000689C" w:rsidRPr="00FF134F">
        <w:rPr>
          <w:i/>
          <w:szCs w:val="24"/>
        </w:rPr>
        <w:t xml:space="preserve">obligeant un fournisseur de services Internet à divulguer l’identité de la personne ou des personnes qui ont utilisé une adresse IP pour publier un </w:t>
      </w:r>
      <w:r w:rsidR="00840B75" w:rsidRPr="00FF134F">
        <w:rPr>
          <w:i/>
          <w:szCs w:val="24"/>
        </w:rPr>
        <w:t xml:space="preserve">faux profil </w:t>
      </w:r>
      <w:proofErr w:type="spellStart"/>
      <w:r w:rsidR="00840B75" w:rsidRPr="00FF134F">
        <w:rPr>
          <w:i/>
          <w:szCs w:val="24"/>
        </w:rPr>
        <w:t>Facebook</w:t>
      </w:r>
      <w:proofErr w:type="spellEnd"/>
      <w:r w:rsidR="0000689C" w:rsidRPr="00FF134F">
        <w:rPr>
          <w:i/>
          <w:szCs w:val="24"/>
        </w:rPr>
        <w:t xml:space="preserve"> </w:t>
      </w:r>
      <w:r w:rsidR="00840B75" w:rsidRPr="00FF134F">
        <w:rPr>
          <w:i/>
          <w:szCs w:val="24"/>
        </w:rPr>
        <w:t xml:space="preserve">censément diffamatoire </w:t>
      </w:r>
      <w:r w:rsidR="009110BF" w:rsidRPr="00FF134F">
        <w:rPr>
          <w:i/>
          <w:szCs w:val="24"/>
        </w:rPr>
        <w:t>—</w:t>
      </w:r>
      <w:r w:rsidR="00840B75" w:rsidRPr="00FF134F">
        <w:rPr>
          <w:i/>
          <w:szCs w:val="24"/>
        </w:rPr>
        <w:t xml:space="preserve"> Demande de la victime en vue de procéder de façon anonyme et d’obtenir une ordonnance de </w:t>
      </w:r>
      <w:proofErr w:type="spellStart"/>
      <w:r w:rsidR="00840B75" w:rsidRPr="00FF134F">
        <w:rPr>
          <w:i/>
          <w:szCs w:val="24"/>
        </w:rPr>
        <w:t>non</w:t>
      </w:r>
      <w:r w:rsidR="009110BF" w:rsidRPr="00FF134F">
        <w:rPr>
          <w:i/>
          <w:szCs w:val="24"/>
        </w:rPr>
        <w:noBreakHyphen/>
      </w:r>
      <w:r w:rsidR="00840B75" w:rsidRPr="00FF134F">
        <w:rPr>
          <w:i/>
          <w:szCs w:val="24"/>
        </w:rPr>
        <w:t>publication</w:t>
      </w:r>
      <w:proofErr w:type="spellEnd"/>
      <w:r w:rsidR="00840B75" w:rsidRPr="00FF134F">
        <w:rPr>
          <w:i/>
          <w:szCs w:val="24"/>
        </w:rPr>
        <w:t xml:space="preserve"> du contenu du faux profil </w:t>
      </w:r>
      <w:r w:rsidR="009110BF" w:rsidRPr="00FF134F">
        <w:rPr>
          <w:i/>
          <w:szCs w:val="24"/>
        </w:rPr>
        <w:t>—</w:t>
      </w:r>
      <w:r w:rsidR="00840B75" w:rsidRPr="00FF134F">
        <w:rPr>
          <w:i/>
          <w:szCs w:val="24"/>
        </w:rPr>
        <w:t xml:space="preserve"> </w:t>
      </w:r>
      <w:r w:rsidR="00CE6BE4" w:rsidRPr="00FF134F">
        <w:rPr>
          <w:i/>
          <w:szCs w:val="24"/>
        </w:rPr>
        <w:t xml:space="preserve">La victime </w:t>
      </w:r>
      <w:proofErr w:type="spellStart"/>
      <w:r w:rsidR="009A4B00" w:rsidRPr="00FF134F">
        <w:rPr>
          <w:i/>
          <w:szCs w:val="24"/>
        </w:rPr>
        <w:t>doi</w:t>
      </w:r>
      <w:r w:rsidR="00CE6BE4" w:rsidRPr="00FF134F">
        <w:rPr>
          <w:i/>
          <w:szCs w:val="24"/>
        </w:rPr>
        <w:t>t</w:t>
      </w:r>
      <w:r w:rsidR="009110BF" w:rsidRPr="00FF134F">
        <w:rPr>
          <w:i/>
          <w:szCs w:val="24"/>
        </w:rPr>
        <w:noBreakHyphen/>
      </w:r>
      <w:r w:rsidR="00CE6BE4" w:rsidRPr="00FF134F">
        <w:rPr>
          <w:i/>
          <w:szCs w:val="24"/>
        </w:rPr>
        <w:t>elle</w:t>
      </w:r>
      <w:proofErr w:type="spellEnd"/>
      <w:r w:rsidR="00CE6BE4" w:rsidRPr="00FF134F">
        <w:rPr>
          <w:i/>
          <w:szCs w:val="24"/>
        </w:rPr>
        <w:t xml:space="preserve"> faire la preuve d’un préjudice particulier</w:t>
      </w:r>
      <w:r w:rsidR="009A4B00" w:rsidRPr="00FF134F">
        <w:rPr>
          <w:i/>
          <w:szCs w:val="24"/>
        </w:rPr>
        <w:t>, ou l</w:t>
      </w:r>
      <w:r w:rsidR="000B1BC2" w:rsidRPr="00FF134F">
        <w:rPr>
          <w:i/>
          <w:szCs w:val="24"/>
        </w:rPr>
        <w:t xml:space="preserve">a Cour </w:t>
      </w:r>
      <w:proofErr w:type="spellStart"/>
      <w:r w:rsidR="000B1BC2" w:rsidRPr="00FF134F">
        <w:rPr>
          <w:i/>
          <w:szCs w:val="24"/>
        </w:rPr>
        <w:t>peut</w:t>
      </w:r>
      <w:r w:rsidR="009110BF" w:rsidRPr="00FF134F">
        <w:rPr>
          <w:i/>
          <w:szCs w:val="24"/>
        </w:rPr>
        <w:noBreakHyphen/>
      </w:r>
      <w:r w:rsidR="000B1BC2" w:rsidRPr="00FF134F">
        <w:rPr>
          <w:i/>
          <w:szCs w:val="24"/>
        </w:rPr>
        <w:t>elle</w:t>
      </w:r>
      <w:proofErr w:type="spellEnd"/>
      <w:r w:rsidR="000B1BC2" w:rsidRPr="00FF134F">
        <w:rPr>
          <w:i/>
          <w:szCs w:val="24"/>
        </w:rPr>
        <w:t xml:space="preserve"> </w:t>
      </w:r>
      <w:r w:rsidR="00CE6BE4" w:rsidRPr="00FF134F">
        <w:rPr>
          <w:i/>
          <w:szCs w:val="24"/>
        </w:rPr>
        <w:t>conclure à l’existence d’un préjudice objectivement discernable?</w:t>
      </w:r>
    </w:p>
    <w:p w:rsidR="008322BD" w:rsidRPr="00FF134F" w:rsidRDefault="009B57B3" w:rsidP="00D80E8D">
      <w:pPr>
        <w:pStyle w:val="SCCNormalDoubleSpacing"/>
        <w:spacing w:after="480"/>
      </w:pPr>
      <w:r w:rsidRPr="00FF134F">
        <w:tab/>
      </w:r>
      <w:r w:rsidR="00CE6BE4" w:rsidRPr="00FF134F">
        <w:rPr>
          <w:szCs w:val="24"/>
        </w:rPr>
        <w:t xml:space="preserve">Une adolescente de 15 ans a découvert que quelqu’un avait affiché sur </w:t>
      </w:r>
      <w:proofErr w:type="spellStart"/>
      <w:r w:rsidR="00CE6BE4" w:rsidRPr="00FF134F">
        <w:rPr>
          <w:szCs w:val="24"/>
        </w:rPr>
        <w:t>Facebook</w:t>
      </w:r>
      <w:proofErr w:type="spellEnd"/>
      <w:r w:rsidR="00CE6BE4" w:rsidRPr="00FF134F">
        <w:rPr>
          <w:szCs w:val="24"/>
        </w:rPr>
        <w:t xml:space="preserve"> un faux profil en utilisant sa photographie, une version légèrement modifiée de son nom et d’autres détails qui l’identifiaient.  À la photographie s’ajoutaient des commentaires désobligeants sur l’apparence physique de l’adolescente ainsi que des allusions sexuellement explicites.  </w:t>
      </w:r>
      <w:r w:rsidR="00F755F7" w:rsidRPr="00FF134F">
        <w:rPr>
          <w:szCs w:val="24"/>
        </w:rPr>
        <w:t xml:space="preserve">Représentée par son père en qualité de tuteur, l’adolescente a demandé une ordonnance obligeant le fournisseur de services Internet à divulguer l’identité de la personne ou des personnes </w:t>
      </w:r>
      <w:r w:rsidR="00F755F7" w:rsidRPr="00FF134F">
        <w:rPr>
          <w:szCs w:val="24"/>
        </w:rPr>
        <w:lastRenderedPageBreak/>
        <w:t xml:space="preserve">qui ont utilisé l’adresse IP pour publier le profil de sorte qu’elle puisse identifier les défendeurs potentiels en vue d’une action en diffamation.  Dans le cadre de sa demande, elle a sollicité la permission de chercher de façon anonyme l’identité de l’auteur du profil ainsi qu’une ordonnance de </w:t>
      </w:r>
      <w:proofErr w:type="spellStart"/>
      <w:r w:rsidR="00F755F7" w:rsidRPr="00FF134F">
        <w:rPr>
          <w:szCs w:val="24"/>
        </w:rPr>
        <w:t>non</w:t>
      </w:r>
      <w:r w:rsidR="009110BF" w:rsidRPr="00FF134F">
        <w:rPr>
          <w:szCs w:val="24"/>
        </w:rPr>
        <w:noBreakHyphen/>
      </w:r>
      <w:r w:rsidR="00F755F7" w:rsidRPr="00FF134F">
        <w:rPr>
          <w:szCs w:val="24"/>
        </w:rPr>
        <w:t>publication</w:t>
      </w:r>
      <w:proofErr w:type="spellEnd"/>
      <w:r w:rsidR="00F755F7" w:rsidRPr="00FF134F">
        <w:rPr>
          <w:szCs w:val="24"/>
        </w:rPr>
        <w:t xml:space="preserve"> visant le contenu du profil.  Deux représentants des médias ont contesté la demande visant le respect de l’anonymat et la </w:t>
      </w:r>
      <w:proofErr w:type="spellStart"/>
      <w:r w:rsidR="00F755F7" w:rsidRPr="00FF134F">
        <w:rPr>
          <w:szCs w:val="24"/>
        </w:rPr>
        <w:t>non</w:t>
      </w:r>
      <w:r w:rsidR="009110BF" w:rsidRPr="00FF134F">
        <w:rPr>
          <w:szCs w:val="24"/>
        </w:rPr>
        <w:noBreakHyphen/>
      </w:r>
      <w:r w:rsidR="00F755F7" w:rsidRPr="00FF134F">
        <w:rPr>
          <w:szCs w:val="24"/>
        </w:rPr>
        <w:t>publication</w:t>
      </w:r>
      <w:proofErr w:type="spellEnd"/>
      <w:r w:rsidR="00F755F7" w:rsidRPr="00FF134F">
        <w:rPr>
          <w:szCs w:val="24"/>
        </w:rPr>
        <w:t xml:space="preserve">.  La Cour suprême de la </w:t>
      </w:r>
      <w:proofErr w:type="spellStart"/>
      <w:r w:rsidR="00F755F7" w:rsidRPr="00FF134F">
        <w:rPr>
          <w:szCs w:val="24"/>
        </w:rPr>
        <w:t>Nouvelle</w:t>
      </w:r>
      <w:r w:rsidR="009110BF" w:rsidRPr="00FF134F">
        <w:rPr>
          <w:szCs w:val="24"/>
        </w:rPr>
        <w:noBreakHyphen/>
      </w:r>
      <w:r w:rsidR="00F755F7" w:rsidRPr="00FF134F">
        <w:rPr>
          <w:szCs w:val="24"/>
        </w:rPr>
        <w:t>Écosse</w:t>
      </w:r>
      <w:proofErr w:type="spellEnd"/>
      <w:r w:rsidR="00F755F7" w:rsidRPr="00FF134F">
        <w:rPr>
          <w:szCs w:val="24"/>
        </w:rPr>
        <w:t xml:space="preserve"> </w:t>
      </w:r>
      <w:r w:rsidR="009A4B00" w:rsidRPr="00FF134F">
        <w:rPr>
          <w:szCs w:val="24"/>
        </w:rPr>
        <w:t>a ordonné</w:t>
      </w:r>
      <w:r w:rsidR="00F755F7" w:rsidRPr="00FF134F">
        <w:rPr>
          <w:szCs w:val="24"/>
        </w:rPr>
        <w:t xml:space="preserve"> </w:t>
      </w:r>
      <w:r w:rsidR="009A4B00" w:rsidRPr="00FF134F">
        <w:rPr>
          <w:szCs w:val="24"/>
        </w:rPr>
        <w:t>au</w:t>
      </w:r>
      <w:r w:rsidR="00F755F7" w:rsidRPr="00FF134F">
        <w:rPr>
          <w:szCs w:val="24"/>
        </w:rPr>
        <w:t xml:space="preserve"> fournisseur de services Internet </w:t>
      </w:r>
      <w:r w:rsidR="009A4B00" w:rsidRPr="00FF134F">
        <w:rPr>
          <w:szCs w:val="24"/>
        </w:rPr>
        <w:t>de</w:t>
      </w:r>
      <w:r w:rsidR="00F755F7" w:rsidRPr="00FF134F">
        <w:rPr>
          <w:szCs w:val="24"/>
        </w:rPr>
        <w:t xml:space="preserve"> communiquer </w:t>
      </w:r>
      <w:r w:rsidR="009A4B00" w:rsidRPr="00FF134F">
        <w:rPr>
          <w:szCs w:val="24"/>
        </w:rPr>
        <w:t>l</w:t>
      </w:r>
      <w:r w:rsidR="00F755F7" w:rsidRPr="00FF134F">
        <w:rPr>
          <w:szCs w:val="24"/>
        </w:rPr>
        <w:t xml:space="preserve">es renseignements au sujet de l’auteur du profil mais a rejeté la demande relative au respect de l’anonymat et à la </w:t>
      </w:r>
      <w:proofErr w:type="spellStart"/>
      <w:r w:rsidR="00F755F7" w:rsidRPr="00FF134F">
        <w:rPr>
          <w:szCs w:val="24"/>
        </w:rPr>
        <w:t>non</w:t>
      </w:r>
      <w:r w:rsidR="009110BF" w:rsidRPr="00FF134F">
        <w:rPr>
          <w:szCs w:val="24"/>
        </w:rPr>
        <w:noBreakHyphen/>
      </w:r>
      <w:r w:rsidR="00F755F7" w:rsidRPr="00FF134F">
        <w:rPr>
          <w:szCs w:val="24"/>
        </w:rPr>
        <w:t>publication</w:t>
      </w:r>
      <w:proofErr w:type="spellEnd"/>
      <w:r w:rsidR="00F755F7" w:rsidRPr="00FF134F">
        <w:rPr>
          <w:szCs w:val="24"/>
        </w:rPr>
        <w:t xml:space="preserve"> </w:t>
      </w:r>
      <w:r w:rsidR="009A4B00" w:rsidRPr="00FF134F">
        <w:rPr>
          <w:szCs w:val="24"/>
        </w:rPr>
        <w:t>en raison de l’in</w:t>
      </w:r>
      <w:r w:rsidR="00F755F7" w:rsidRPr="00FF134F">
        <w:rPr>
          <w:szCs w:val="24"/>
        </w:rPr>
        <w:t>suffisa</w:t>
      </w:r>
      <w:r w:rsidR="009A4B00" w:rsidRPr="00FF134F">
        <w:rPr>
          <w:szCs w:val="24"/>
        </w:rPr>
        <w:t>nc</w:t>
      </w:r>
      <w:r w:rsidR="00F755F7" w:rsidRPr="00FF134F">
        <w:rPr>
          <w:szCs w:val="24"/>
        </w:rPr>
        <w:t xml:space="preserve">e de </w:t>
      </w:r>
      <w:r w:rsidR="009A4B00" w:rsidRPr="00FF134F">
        <w:rPr>
          <w:szCs w:val="24"/>
        </w:rPr>
        <w:t xml:space="preserve">la </w:t>
      </w:r>
      <w:r w:rsidR="00F755F7" w:rsidRPr="00FF134F">
        <w:rPr>
          <w:szCs w:val="24"/>
        </w:rPr>
        <w:t xml:space="preserve">preuve d’un préjudice particulier causé à l’adolescente.  </w:t>
      </w:r>
      <w:r w:rsidR="00261E5A" w:rsidRPr="00FF134F">
        <w:rPr>
          <w:szCs w:val="24"/>
        </w:rPr>
        <w:t xml:space="preserve">Le juge a sursis à l’exécution de cette partie de l’ordonnance obligeant le fournisseur de services Internet à divulguer l’identité de l’auteur jusqu’à ce que l’adolescente obtienne en appel l’autorisation de procéder de façon anonyme ou qu’elle dépose un projet d’ordonnance en utilisant son propre nom et celui de son père.  </w:t>
      </w:r>
      <w:r w:rsidR="00A67704" w:rsidRPr="00FF134F">
        <w:rPr>
          <w:szCs w:val="24"/>
        </w:rPr>
        <w:t xml:space="preserve">La Cour d’appel a confirmé </w:t>
      </w:r>
      <w:r w:rsidR="009A4B00" w:rsidRPr="00FF134F">
        <w:rPr>
          <w:szCs w:val="24"/>
        </w:rPr>
        <w:t>la</w:t>
      </w:r>
      <w:r w:rsidR="00A67704" w:rsidRPr="00FF134F">
        <w:rPr>
          <w:szCs w:val="24"/>
        </w:rPr>
        <w:t xml:space="preserve"> décision pour le motif principal que l’adolescente ne s’était pas acquittée du fardeau de démontrer l’existence d’un préjudice justifiant la restriction de l’accès des médias.  </w:t>
      </w:r>
    </w:p>
    <w:p w:rsidR="008322BD" w:rsidRPr="00FF134F" w:rsidRDefault="009B57B3" w:rsidP="00D80E8D">
      <w:pPr>
        <w:pStyle w:val="SCCNormalDoubleSpacing"/>
        <w:spacing w:after="480"/>
      </w:pPr>
      <w:r w:rsidRPr="00FF134F">
        <w:tab/>
      </w:r>
      <w:r w:rsidR="0043088E" w:rsidRPr="00FF134F">
        <w:rPr>
          <w:i/>
        </w:rPr>
        <w:t>Arrêt</w:t>
      </w:r>
      <w:r w:rsidR="009110BF" w:rsidRPr="00FF134F">
        <w:t> </w:t>
      </w:r>
      <w:r w:rsidR="009110BF" w:rsidRPr="00B25564">
        <w:t>:</w:t>
      </w:r>
      <w:r w:rsidRPr="00FF134F">
        <w:t xml:space="preserve"> </w:t>
      </w:r>
      <w:r w:rsidR="0043088E" w:rsidRPr="00FF134F">
        <w:t>Le pourvoi est</w:t>
      </w:r>
      <w:r w:rsidR="00A67704" w:rsidRPr="00FF134F">
        <w:t xml:space="preserve"> accueilli en partie.</w:t>
      </w:r>
    </w:p>
    <w:p w:rsidR="0023582B" w:rsidRPr="00FF134F" w:rsidRDefault="009B57B3" w:rsidP="00D80E8D">
      <w:pPr>
        <w:pStyle w:val="SCCNormalDoubleSpacing"/>
        <w:spacing w:after="480"/>
        <w:rPr>
          <w:szCs w:val="24"/>
        </w:rPr>
      </w:pPr>
      <w:r w:rsidRPr="00FF134F">
        <w:tab/>
      </w:r>
      <w:r w:rsidR="0023582B" w:rsidRPr="00FF134F">
        <w:rPr>
          <w:szCs w:val="24"/>
        </w:rPr>
        <w:t xml:space="preserve">La jurisprudence a reconnu avec ténacité l’importance cruciale du principe de la publicité des débats judiciaires et de la liberté de la presse.  En l’espèce toutefois, </w:t>
      </w:r>
      <w:r w:rsidR="009A4B00" w:rsidRPr="00FF134F">
        <w:rPr>
          <w:szCs w:val="24"/>
        </w:rPr>
        <w:t xml:space="preserve">la protection de la vie privée et la protection des enfants contre la </w:t>
      </w:r>
      <w:proofErr w:type="spellStart"/>
      <w:r w:rsidR="009A4B00" w:rsidRPr="00FF134F">
        <w:rPr>
          <w:szCs w:val="24"/>
        </w:rPr>
        <w:lastRenderedPageBreak/>
        <w:t>cyberintimidation</w:t>
      </w:r>
      <w:proofErr w:type="spellEnd"/>
      <w:r w:rsidR="009A4B00" w:rsidRPr="00FF134F">
        <w:rPr>
          <w:szCs w:val="24"/>
        </w:rPr>
        <w:t xml:space="preserve"> constituent </w:t>
      </w:r>
      <w:r w:rsidR="0023582B" w:rsidRPr="00FF134F">
        <w:rPr>
          <w:szCs w:val="24"/>
        </w:rPr>
        <w:t xml:space="preserve">des intérêts </w:t>
      </w:r>
      <w:r w:rsidR="009A4B00" w:rsidRPr="00FF134F">
        <w:rPr>
          <w:szCs w:val="24"/>
        </w:rPr>
        <w:t xml:space="preserve">qui </w:t>
      </w:r>
      <w:r w:rsidR="0023582B" w:rsidRPr="00FF134F">
        <w:rPr>
          <w:szCs w:val="24"/>
        </w:rPr>
        <w:t xml:space="preserve">justifient la restriction de l’accès </w:t>
      </w:r>
      <w:r w:rsidR="009A4B00" w:rsidRPr="00FF134F">
        <w:rPr>
          <w:szCs w:val="24"/>
        </w:rPr>
        <w:t>des médias</w:t>
      </w:r>
      <w:r w:rsidR="0023582B" w:rsidRPr="00FF134F">
        <w:rPr>
          <w:szCs w:val="24"/>
        </w:rPr>
        <w:t xml:space="preserve">.  </w:t>
      </w:r>
    </w:p>
    <w:p w:rsidR="006C5661" w:rsidRPr="00FF134F" w:rsidRDefault="0023582B" w:rsidP="00D80E8D">
      <w:pPr>
        <w:pStyle w:val="SCCNormalDoubleSpacing"/>
        <w:spacing w:after="480"/>
        <w:rPr>
          <w:szCs w:val="24"/>
        </w:rPr>
      </w:pPr>
      <w:r w:rsidRPr="00FF134F">
        <w:rPr>
          <w:szCs w:val="24"/>
        </w:rPr>
        <w:tab/>
        <w:t xml:space="preserve">La reconnaissance de la vulnérabilité inhérente des enfants demeure profondément enracinée en droit canadien et elle se manifeste par la protection des droits au respect de la vie privée des jeunes.  Cette protection est fondée sur l’âge et non sur la sensibilité de l’enfant en particulier.  </w:t>
      </w:r>
      <w:r w:rsidR="009A4B00" w:rsidRPr="00FF134F">
        <w:rPr>
          <w:szCs w:val="24"/>
        </w:rPr>
        <w:t>D</w:t>
      </w:r>
      <w:r w:rsidRPr="00FF134F">
        <w:rPr>
          <w:szCs w:val="24"/>
        </w:rPr>
        <w:t xml:space="preserve">ans le cadre d’une demande relative à la </w:t>
      </w:r>
      <w:proofErr w:type="spellStart"/>
      <w:r w:rsidRPr="00FF134F">
        <w:rPr>
          <w:szCs w:val="24"/>
        </w:rPr>
        <w:t>cyberintimidation</w:t>
      </w:r>
      <w:proofErr w:type="spellEnd"/>
      <w:r w:rsidR="009A4B00" w:rsidRPr="00FF134F">
        <w:rPr>
          <w:szCs w:val="24"/>
        </w:rPr>
        <w:t>,</w:t>
      </w:r>
      <w:r w:rsidRPr="00FF134F">
        <w:rPr>
          <w:szCs w:val="24"/>
        </w:rPr>
        <w:t xml:space="preserve"> </w:t>
      </w:r>
      <w:r w:rsidR="009A4B00" w:rsidRPr="00FF134F">
        <w:rPr>
          <w:szCs w:val="24"/>
        </w:rPr>
        <w:t xml:space="preserve">un enfant n’a pas à démontrer </w:t>
      </w:r>
      <w:r w:rsidRPr="00FF134F">
        <w:rPr>
          <w:szCs w:val="24"/>
        </w:rPr>
        <w:t xml:space="preserve">qu’il se conforme à ce paradigme juridique.  Le droit attribue la vulnérabilité accrue en fonction de l’âge et non du tempérament.  </w:t>
      </w:r>
    </w:p>
    <w:p w:rsidR="0023582B" w:rsidRPr="00FF134F" w:rsidRDefault="0023582B" w:rsidP="00D80E8D">
      <w:pPr>
        <w:pStyle w:val="SCCNormalDoubleSpacing"/>
        <w:spacing w:after="480"/>
        <w:rPr>
          <w:szCs w:val="24"/>
        </w:rPr>
      </w:pPr>
      <w:r w:rsidRPr="00FF134F">
        <w:rPr>
          <w:szCs w:val="24"/>
        </w:rPr>
        <w:tab/>
      </w:r>
      <w:r w:rsidR="00225188" w:rsidRPr="00FF134F">
        <w:rPr>
          <w:szCs w:val="24"/>
        </w:rPr>
        <w:t xml:space="preserve">Bien que la preuve des conséquences préjudiciables directes que subirait un demandeur soit pertinente, les tribunaux peuvent aussi conclure à l’existence d’un préjudice objectivement discernable.  </w:t>
      </w:r>
      <w:r w:rsidR="00FE5C54" w:rsidRPr="00FF134F">
        <w:rPr>
          <w:szCs w:val="24"/>
        </w:rPr>
        <w:t xml:space="preserve">Il est logique d’inférer que la </w:t>
      </w:r>
      <w:proofErr w:type="spellStart"/>
      <w:r w:rsidR="00FE5C54" w:rsidRPr="00FF134F">
        <w:rPr>
          <w:szCs w:val="24"/>
        </w:rPr>
        <w:t>cyberintimidation</w:t>
      </w:r>
      <w:proofErr w:type="spellEnd"/>
      <w:r w:rsidR="00FE5C54" w:rsidRPr="00FF134F">
        <w:rPr>
          <w:szCs w:val="24"/>
        </w:rPr>
        <w:t xml:space="preserve"> peut causer un préjudice aux enfants compte tenu de la toxicité psychologique de ce phénomène.  Puisque les enfants ont le droit de se protéger contre l’intimidation, qu’elle se manifeste sur l’Internet ou sous d’autres formes, </w:t>
      </w:r>
      <w:r w:rsidR="004B6617" w:rsidRPr="00FF134F">
        <w:rPr>
          <w:szCs w:val="24"/>
        </w:rPr>
        <w:t xml:space="preserve">ils subissent </w:t>
      </w:r>
      <w:r w:rsidR="009110BF" w:rsidRPr="00FF134F">
        <w:rPr>
          <w:szCs w:val="24"/>
        </w:rPr>
        <w:t>—</w:t>
      </w:r>
      <w:r w:rsidR="004B6617" w:rsidRPr="00FF134F">
        <w:rPr>
          <w:szCs w:val="24"/>
        </w:rPr>
        <w:t xml:space="preserve"> tout comme l’administration de la justice — un</w:t>
      </w:r>
      <w:r w:rsidR="00FE5C54" w:rsidRPr="00FF134F">
        <w:rPr>
          <w:szCs w:val="24"/>
        </w:rPr>
        <w:t xml:space="preserve"> préjudice inévitable s</w:t>
      </w:r>
      <w:r w:rsidR="004B6617" w:rsidRPr="00FF134F">
        <w:rPr>
          <w:szCs w:val="24"/>
        </w:rPr>
        <w:t>’</w:t>
      </w:r>
      <w:r w:rsidR="00FE5C54" w:rsidRPr="00FF134F">
        <w:rPr>
          <w:szCs w:val="24"/>
        </w:rPr>
        <w:t>i</w:t>
      </w:r>
      <w:r w:rsidR="004B6617" w:rsidRPr="00FF134F">
        <w:rPr>
          <w:szCs w:val="24"/>
        </w:rPr>
        <w:t>ls</w:t>
      </w:r>
      <w:r w:rsidR="00FE5C54" w:rsidRPr="00FF134F">
        <w:rPr>
          <w:szCs w:val="24"/>
        </w:rPr>
        <w:t xml:space="preserve"> refusent de prendre des mesures de protection en raison du risque de préjudice supplémentaire découlant de la divulgation publique.  </w:t>
      </w:r>
      <w:r w:rsidR="004B6617" w:rsidRPr="00FF134F">
        <w:rPr>
          <w:szCs w:val="24"/>
        </w:rPr>
        <w:t xml:space="preserve">Comme le bon sens et la preuve </w:t>
      </w:r>
      <w:r w:rsidR="00385C55" w:rsidRPr="00FF134F">
        <w:rPr>
          <w:szCs w:val="24"/>
        </w:rPr>
        <w:t>montrent</w:t>
      </w:r>
      <w:r w:rsidR="004B6617" w:rsidRPr="00FF134F">
        <w:rPr>
          <w:szCs w:val="24"/>
        </w:rPr>
        <w:t xml:space="preserve"> que les jeunes victimes de harcèlement à caractère sexuel sont particulièrement vulnérables au préjudice de la </w:t>
      </w:r>
      <w:proofErr w:type="spellStart"/>
      <w:r w:rsidR="004B6617" w:rsidRPr="00FF134F">
        <w:rPr>
          <w:szCs w:val="24"/>
        </w:rPr>
        <w:t>revictimisation</w:t>
      </w:r>
      <w:proofErr w:type="spellEnd"/>
      <w:r w:rsidR="004B6617" w:rsidRPr="00FF134F">
        <w:rPr>
          <w:szCs w:val="24"/>
        </w:rPr>
        <w:t xml:space="preserve"> consécutive à la publication, </w:t>
      </w:r>
      <w:r w:rsidR="00D2012E" w:rsidRPr="00FF134F">
        <w:rPr>
          <w:szCs w:val="24"/>
        </w:rPr>
        <w:t xml:space="preserve">et </w:t>
      </w:r>
      <w:r w:rsidR="00385C55" w:rsidRPr="00FF134F">
        <w:rPr>
          <w:szCs w:val="24"/>
        </w:rPr>
        <w:t>puis</w:t>
      </w:r>
      <w:r w:rsidR="00D2012E" w:rsidRPr="00FF134F">
        <w:rPr>
          <w:szCs w:val="24"/>
        </w:rPr>
        <w:t>qu</w:t>
      </w:r>
      <w:r w:rsidR="00385C55" w:rsidRPr="00FF134F">
        <w:rPr>
          <w:szCs w:val="24"/>
        </w:rPr>
        <w:t>’</w:t>
      </w:r>
      <w:r w:rsidR="00D2012E" w:rsidRPr="00FF134F">
        <w:rPr>
          <w:szCs w:val="24"/>
        </w:rPr>
        <w:t xml:space="preserve">en l’absence de la protection conférée par l’anonymat, la plupart des enfants </w:t>
      </w:r>
      <w:r w:rsidR="00D2012E" w:rsidRPr="00FF134F">
        <w:rPr>
          <w:szCs w:val="24"/>
        </w:rPr>
        <w:lastRenderedPageBreak/>
        <w:t xml:space="preserve">ne pourront pas se prévaloir du droit à la protection, il </w:t>
      </w:r>
      <w:r w:rsidR="00385C55" w:rsidRPr="00FF134F">
        <w:rPr>
          <w:szCs w:val="24"/>
        </w:rPr>
        <w:t>y a lieu d’</w:t>
      </w:r>
      <w:r w:rsidR="00D2012E" w:rsidRPr="00FF134F">
        <w:rPr>
          <w:szCs w:val="24"/>
        </w:rPr>
        <w:t xml:space="preserve">autoriser l’adolescente à procéder de façon anonyme à la recherche de l’identité de l’auteur de la </w:t>
      </w:r>
      <w:proofErr w:type="spellStart"/>
      <w:r w:rsidR="00D2012E" w:rsidRPr="00FF134F">
        <w:rPr>
          <w:szCs w:val="24"/>
        </w:rPr>
        <w:t>cyberintimidation</w:t>
      </w:r>
      <w:proofErr w:type="spellEnd"/>
      <w:r w:rsidR="00D2012E" w:rsidRPr="00FF134F">
        <w:rPr>
          <w:szCs w:val="24"/>
        </w:rPr>
        <w:t xml:space="preserve">.  </w:t>
      </w:r>
    </w:p>
    <w:p w:rsidR="00D2012E" w:rsidRPr="00FF134F" w:rsidRDefault="00D2012E" w:rsidP="00D80E8D">
      <w:pPr>
        <w:pStyle w:val="SCCNormalDoubleSpacing"/>
        <w:spacing w:after="480"/>
      </w:pPr>
      <w:r w:rsidRPr="00FF134F">
        <w:rPr>
          <w:szCs w:val="24"/>
        </w:rPr>
        <w:tab/>
        <w:t xml:space="preserve">Dans l’arrêt </w:t>
      </w:r>
      <w:r w:rsidRPr="00FF134F">
        <w:rPr>
          <w:bCs/>
          <w:i/>
          <w:szCs w:val="24"/>
        </w:rPr>
        <w:t xml:space="preserve">Canadian </w:t>
      </w:r>
      <w:proofErr w:type="spellStart"/>
      <w:r w:rsidRPr="00FF134F">
        <w:rPr>
          <w:bCs/>
          <w:i/>
          <w:szCs w:val="24"/>
        </w:rPr>
        <w:t>Newspapers</w:t>
      </w:r>
      <w:proofErr w:type="spellEnd"/>
      <w:r w:rsidRPr="00FF134F">
        <w:rPr>
          <w:bCs/>
          <w:i/>
          <w:szCs w:val="24"/>
        </w:rPr>
        <w:t xml:space="preserve"> Co. c. Canada (Procureur général)</w:t>
      </w:r>
      <w:r w:rsidRPr="00FF134F">
        <w:rPr>
          <w:bCs/>
          <w:szCs w:val="24"/>
        </w:rPr>
        <w:t>, [1988] 2 R.C.S. 122, la Cour a jugé que l’</w:t>
      </w:r>
      <w:r w:rsidRPr="00FF134F">
        <w:rPr>
          <w:szCs w:val="24"/>
        </w:rPr>
        <w:t>interdiction</w:t>
      </w:r>
      <w:r w:rsidR="004760FD" w:rsidRPr="00FF134F">
        <w:rPr>
          <w:szCs w:val="24"/>
        </w:rPr>
        <w:t xml:space="preserve"> de</w:t>
      </w:r>
      <w:r w:rsidRPr="00FF134F">
        <w:rPr>
          <w:szCs w:val="24"/>
        </w:rPr>
        <w:t xml:space="preserve"> la divulgation de l’identité du plaignant</w:t>
      </w:r>
      <w:r w:rsidR="004760FD" w:rsidRPr="00FF134F">
        <w:rPr>
          <w:szCs w:val="24"/>
        </w:rPr>
        <w:t xml:space="preserve"> ne causait à la liberté de la presse qu’un préjudice minime.  Par conséquent, le préjudice grave découlant du refus de protéger par l’anonymat les jeunes victimes de la </w:t>
      </w:r>
      <w:proofErr w:type="spellStart"/>
      <w:r w:rsidR="004760FD" w:rsidRPr="00FF134F">
        <w:rPr>
          <w:szCs w:val="24"/>
        </w:rPr>
        <w:t>cyberintimidation</w:t>
      </w:r>
      <w:proofErr w:type="spellEnd"/>
      <w:r w:rsidR="004760FD" w:rsidRPr="00FF134F">
        <w:rPr>
          <w:szCs w:val="24"/>
        </w:rPr>
        <w:t xml:space="preserve"> l’emporte sur ce préjudice minime.  Mais dès lors que l’identité de l’adolescente est protégée par son droit de procéder dans l’anonymat, une ordonnance de </w:t>
      </w:r>
      <w:proofErr w:type="spellStart"/>
      <w:r w:rsidR="004760FD" w:rsidRPr="00FF134F">
        <w:rPr>
          <w:szCs w:val="24"/>
        </w:rPr>
        <w:t>non</w:t>
      </w:r>
      <w:r w:rsidR="009110BF" w:rsidRPr="00FF134F">
        <w:rPr>
          <w:szCs w:val="24"/>
        </w:rPr>
        <w:noBreakHyphen/>
      </w:r>
      <w:r w:rsidR="004760FD" w:rsidRPr="00FF134F">
        <w:rPr>
          <w:szCs w:val="24"/>
        </w:rPr>
        <w:t>publication</w:t>
      </w:r>
      <w:proofErr w:type="spellEnd"/>
      <w:r w:rsidR="004760FD" w:rsidRPr="00FF134F">
        <w:rPr>
          <w:szCs w:val="24"/>
        </w:rPr>
        <w:t xml:space="preserve"> du contenu du profil qui ne permet pas d’identifier l’adolescente semble difficilement justifiable.  La publication de ces renseignements n’entraîne </w:t>
      </w:r>
      <w:r w:rsidR="00385C55" w:rsidRPr="00FF134F">
        <w:rPr>
          <w:szCs w:val="24"/>
        </w:rPr>
        <w:t xml:space="preserve">pour l’adolescente </w:t>
      </w:r>
      <w:r w:rsidR="004760FD" w:rsidRPr="00FF134F">
        <w:rPr>
          <w:szCs w:val="24"/>
        </w:rPr>
        <w:t xml:space="preserve">aucun effet préjudiciable puisque </w:t>
      </w:r>
      <w:proofErr w:type="spellStart"/>
      <w:r w:rsidR="004760FD" w:rsidRPr="00FF134F">
        <w:rPr>
          <w:szCs w:val="24"/>
        </w:rPr>
        <w:t>ceux</w:t>
      </w:r>
      <w:r w:rsidR="009110BF" w:rsidRPr="00FF134F">
        <w:rPr>
          <w:szCs w:val="24"/>
        </w:rPr>
        <w:noBreakHyphen/>
      </w:r>
      <w:r w:rsidR="004760FD" w:rsidRPr="00FF134F">
        <w:rPr>
          <w:szCs w:val="24"/>
        </w:rPr>
        <w:t>ci</w:t>
      </w:r>
      <w:proofErr w:type="spellEnd"/>
      <w:r w:rsidR="004760FD" w:rsidRPr="00FF134F">
        <w:rPr>
          <w:szCs w:val="24"/>
        </w:rPr>
        <w:t xml:space="preserve"> ne révèlent pas </w:t>
      </w:r>
      <w:r w:rsidR="00385C55" w:rsidRPr="00FF134F">
        <w:rPr>
          <w:szCs w:val="24"/>
        </w:rPr>
        <w:t xml:space="preserve">son </w:t>
      </w:r>
      <w:r w:rsidR="004760FD" w:rsidRPr="00FF134F">
        <w:rPr>
          <w:szCs w:val="24"/>
        </w:rPr>
        <w:t xml:space="preserve">identité.  Le droit du public à la publicité des débats judiciaires </w:t>
      </w:r>
      <w:r w:rsidR="00306F4B" w:rsidRPr="00FF134F">
        <w:rPr>
          <w:szCs w:val="24"/>
        </w:rPr>
        <w:t>—</w:t>
      </w:r>
      <w:r w:rsidR="00385C55" w:rsidRPr="00FF134F">
        <w:rPr>
          <w:szCs w:val="24"/>
        </w:rPr>
        <w:t xml:space="preserve"> </w:t>
      </w:r>
      <w:r w:rsidR="004760FD" w:rsidRPr="00FF134F">
        <w:rPr>
          <w:szCs w:val="24"/>
        </w:rPr>
        <w:t xml:space="preserve">et à la liberté de la presse </w:t>
      </w:r>
      <w:r w:rsidR="00306F4B" w:rsidRPr="00FF134F">
        <w:rPr>
          <w:szCs w:val="24"/>
        </w:rPr>
        <w:t>—</w:t>
      </w:r>
      <w:r w:rsidR="00385C55" w:rsidRPr="00FF134F">
        <w:rPr>
          <w:szCs w:val="24"/>
        </w:rPr>
        <w:t xml:space="preserve"> </w:t>
      </w:r>
      <w:r w:rsidR="004760FD" w:rsidRPr="00FF134F">
        <w:rPr>
          <w:szCs w:val="24"/>
        </w:rPr>
        <w:t xml:space="preserve">prévaut donc en ce qui concerne le contenu du profil </w:t>
      </w:r>
      <w:proofErr w:type="spellStart"/>
      <w:r w:rsidR="004760FD" w:rsidRPr="00FF134F">
        <w:rPr>
          <w:szCs w:val="24"/>
        </w:rPr>
        <w:t>Facebook</w:t>
      </w:r>
      <w:proofErr w:type="spellEnd"/>
      <w:r w:rsidR="004760FD" w:rsidRPr="00FF134F">
        <w:rPr>
          <w:szCs w:val="24"/>
        </w:rPr>
        <w:t xml:space="preserve"> qui ne permet </w:t>
      </w:r>
      <w:r w:rsidR="00CC11A2" w:rsidRPr="00FF134F">
        <w:rPr>
          <w:szCs w:val="24"/>
        </w:rPr>
        <w:t>pas d’identifier la victime</w:t>
      </w:r>
      <w:r w:rsidR="004760FD" w:rsidRPr="00FF134F">
        <w:rPr>
          <w:szCs w:val="24"/>
        </w:rPr>
        <w:t>.</w:t>
      </w:r>
    </w:p>
    <w:p w:rsidR="007E1C47" w:rsidRPr="00FF134F" w:rsidRDefault="0043088E" w:rsidP="00D80E8D">
      <w:pPr>
        <w:pStyle w:val="SCCNormalDoubleSpacing"/>
        <w:keepNext/>
        <w:spacing w:after="480"/>
        <w:rPr>
          <w:b/>
        </w:rPr>
      </w:pPr>
      <w:r w:rsidRPr="00FF134F">
        <w:rPr>
          <w:b/>
        </w:rPr>
        <w:t>Jurisprudence</w:t>
      </w:r>
    </w:p>
    <w:p w:rsidR="00191288" w:rsidRPr="00FF134F" w:rsidRDefault="002E6705" w:rsidP="00196212">
      <w:pPr>
        <w:pStyle w:val="SCCNormalDoubleSpacing"/>
        <w:widowControl w:val="0"/>
        <w:spacing w:after="480"/>
      </w:pPr>
      <w:r w:rsidRPr="00FF134F">
        <w:tab/>
      </w:r>
      <w:r w:rsidR="0043088E" w:rsidRPr="00FF134F">
        <w:rPr>
          <w:b/>
        </w:rPr>
        <w:t>Arrêts mentionnés</w:t>
      </w:r>
      <w:r w:rsidR="009110BF" w:rsidRPr="00FF134F">
        <w:rPr>
          <w:b/>
        </w:rPr>
        <w:t> :</w:t>
      </w:r>
      <w:r w:rsidR="00172A04" w:rsidRPr="00FF134F">
        <w:t xml:space="preserve"> </w:t>
      </w:r>
      <w:r w:rsidR="00612D55" w:rsidRPr="00FF134F">
        <w:rPr>
          <w:i/>
        </w:rPr>
        <w:t>Vancouver Sun (</w:t>
      </w:r>
      <w:proofErr w:type="spellStart"/>
      <w:r w:rsidR="00612D55" w:rsidRPr="00FF134F">
        <w:rPr>
          <w:i/>
        </w:rPr>
        <w:t>Re</w:t>
      </w:r>
      <w:proofErr w:type="spellEnd"/>
      <w:r w:rsidR="00612D55" w:rsidRPr="00FF134F">
        <w:rPr>
          <w:i/>
        </w:rPr>
        <w:t>)</w:t>
      </w:r>
      <w:r w:rsidR="00612D55" w:rsidRPr="00FF134F">
        <w:t xml:space="preserve">, 2004 CSC 43, [2004] 2 R.C.S. 332; </w:t>
      </w:r>
      <w:proofErr w:type="spellStart"/>
      <w:r w:rsidR="00191288" w:rsidRPr="00FF134F">
        <w:rPr>
          <w:i/>
        </w:rPr>
        <w:t>Dagenais</w:t>
      </w:r>
      <w:proofErr w:type="spellEnd"/>
      <w:r w:rsidR="00191288" w:rsidRPr="00FF134F">
        <w:rPr>
          <w:i/>
        </w:rPr>
        <w:t xml:space="preserve"> c. Société </w:t>
      </w:r>
      <w:proofErr w:type="spellStart"/>
      <w:r w:rsidR="00191288" w:rsidRPr="00FF134F">
        <w:rPr>
          <w:i/>
        </w:rPr>
        <w:t>Radio</w:t>
      </w:r>
      <w:r w:rsidR="009110BF" w:rsidRPr="00FF134F">
        <w:rPr>
          <w:i/>
        </w:rPr>
        <w:noBreakHyphen/>
      </w:r>
      <w:r w:rsidR="00191288" w:rsidRPr="00FF134F">
        <w:rPr>
          <w:i/>
        </w:rPr>
        <w:t>Canada</w:t>
      </w:r>
      <w:proofErr w:type="spellEnd"/>
      <w:r w:rsidR="00191288" w:rsidRPr="00FF134F">
        <w:t xml:space="preserve">, [1994] 3 R.C.S. 835; </w:t>
      </w:r>
      <w:r w:rsidR="00191288" w:rsidRPr="00FF134F">
        <w:rPr>
          <w:i/>
        </w:rPr>
        <w:t xml:space="preserve">R. c. </w:t>
      </w:r>
      <w:proofErr w:type="spellStart"/>
      <w:r w:rsidR="00191288" w:rsidRPr="00FF134F">
        <w:rPr>
          <w:i/>
        </w:rPr>
        <w:t>Mentuck</w:t>
      </w:r>
      <w:proofErr w:type="spellEnd"/>
      <w:r w:rsidR="00191288" w:rsidRPr="00FF134F">
        <w:t>, 2001 CSC 76, [2001] 3 R.C.S. 442</w:t>
      </w:r>
      <w:r w:rsidR="00334518" w:rsidRPr="00FF134F">
        <w:t xml:space="preserve">; </w:t>
      </w:r>
      <w:r w:rsidR="00DB3712">
        <w:rPr>
          <w:i/>
          <w:szCs w:val="24"/>
        </w:rPr>
        <w:t>Edmonton Journal c</w:t>
      </w:r>
      <w:r w:rsidR="00334518" w:rsidRPr="00FF134F">
        <w:rPr>
          <w:i/>
          <w:szCs w:val="24"/>
        </w:rPr>
        <w:t>. Alberta (Procureur général)</w:t>
      </w:r>
      <w:r w:rsidR="00334518" w:rsidRPr="00FF134F">
        <w:rPr>
          <w:szCs w:val="24"/>
        </w:rPr>
        <w:t xml:space="preserve">, [1989] 2 R.C.S. 1326; </w:t>
      </w:r>
      <w:r w:rsidR="00334518" w:rsidRPr="00FF134F">
        <w:rPr>
          <w:i/>
          <w:szCs w:val="24"/>
        </w:rPr>
        <w:t xml:space="preserve">Procureur général de la </w:t>
      </w:r>
      <w:proofErr w:type="spellStart"/>
      <w:r w:rsidR="00334518" w:rsidRPr="00FF134F">
        <w:rPr>
          <w:i/>
          <w:szCs w:val="24"/>
        </w:rPr>
        <w:t>Nouvelle</w:t>
      </w:r>
      <w:r w:rsidR="009110BF" w:rsidRPr="00FF134F">
        <w:rPr>
          <w:i/>
          <w:szCs w:val="24"/>
        </w:rPr>
        <w:noBreakHyphen/>
      </w:r>
      <w:r w:rsidR="00334518" w:rsidRPr="00FF134F">
        <w:rPr>
          <w:i/>
          <w:szCs w:val="24"/>
        </w:rPr>
        <w:t>Écosse</w:t>
      </w:r>
      <w:proofErr w:type="spellEnd"/>
      <w:r w:rsidR="00334518" w:rsidRPr="00FF134F">
        <w:rPr>
          <w:i/>
          <w:szCs w:val="24"/>
        </w:rPr>
        <w:t xml:space="preserve"> c. </w:t>
      </w:r>
      <w:proofErr w:type="spellStart"/>
      <w:r w:rsidR="00334518" w:rsidRPr="00FF134F">
        <w:rPr>
          <w:i/>
          <w:szCs w:val="24"/>
        </w:rPr>
        <w:t>MacIntyre</w:t>
      </w:r>
      <w:proofErr w:type="spellEnd"/>
      <w:r w:rsidR="00334518" w:rsidRPr="00FF134F">
        <w:rPr>
          <w:szCs w:val="24"/>
        </w:rPr>
        <w:t xml:space="preserve">, [1982] </w:t>
      </w:r>
      <w:r w:rsidR="00334518" w:rsidRPr="00FF134F">
        <w:rPr>
          <w:szCs w:val="24"/>
        </w:rPr>
        <w:lastRenderedPageBreak/>
        <w:t>1 R.C.S. 175</w:t>
      </w:r>
      <w:r w:rsidR="00D4320E" w:rsidRPr="00FF134F">
        <w:rPr>
          <w:szCs w:val="24"/>
        </w:rPr>
        <w:t xml:space="preserve">; </w:t>
      </w:r>
      <w:r w:rsidR="00D4320E" w:rsidRPr="00FF134F">
        <w:rPr>
          <w:i/>
          <w:szCs w:val="24"/>
        </w:rPr>
        <w:t xml:space="preserve">Société </w:t>
      </w:r>
      <w:proofErr w:type="spellStart"/>
      <w:r w:rsidR="00D4320E" w:rsidRPr="00FF134F">
        <w:rPr>
          <w:i/>
          <w:szCs w:val="24"/>
        </w:rPr>
        <w:t>Radio</w:t>
      </w:r>
      <w:r w:rsidR="009110BF" w:rsidRPr="00FF134F">
        <w:rPr>
          <w:i/>
          <w:szCs w:val="24"/>
        </w:rPr>
        <w:noBreakHyphen/>
      </w:r>
      <w:r w:rsidR="00D4320E" w:rsidRPr="00FF134F">
        <w:rPr>
          <w:i/>
          <w:szCs w:val="24"/>
        </w:rPr>
        <w:t>Canada</w:t>
      </w:r>
      <w:proofErr w:type="spellEnd"/>
      <w:r w:rsidR="00D4320E" w:rsidRPr="00FF134F">
        <w:rPr>
          <w:i/>
          <w:szCs w:val="24"/>
        </w:rPr>
        <w:t xml:space="preserve"> c. Canada (Procureur général)</w:t>
      </w:r>
      <w:r w:rsidR="00D4320E" w:rsidRPr="00FF134F">
        <w:rPr>
          <w:szCs w:val="24"/>
        </w:rPr>
        <w:t xml:space="preserve">, 2011 CSC 2, [2011] 1 R.C.S. 19; </w:t>
      </w:r>
      <w:r w:rsidR="00D4320E" w:rsidRPr="00FF134F">
        <w:rPr>
          <w:i/>
          <w:szCs w:val="24"/>
        </w:rPr>
        <w:t xml:space="preserve">Société </w:t>
      </w:r>
      <w:proofErr w:type="spellStart"/>
      <w:r w:rsidR="00D4320E" w:rsidRPr="00FF134F">
        <w:rPr>
          <w:i/>
          <w:szCs w:val="24"/>
        </w:rPr>
        <w:t>Radio</w:t>
      </w:r>
      <w:r w:rsidR="009110BF" w:rsidRPr="00FF134F">
        <w:rPr>
          <w:i/>
          <w:szCs w:val="24"/>
        </w:rPr>
        <w:noBreakHyphen/>
      </w:r>
      <w:r w:rsidR="00D4320E" w:rsidRPr="00FF134F">
        <w:rPr>
          <w:i/>
          <w:szCs w:val="24"/>
        </w:rPr>
        <w:t>Canada</w:t>
      </w:r>
      <w:proofErr w:type="spellEnd"/>
      <w:r w:rsidR="00D4320E" w:rsidRPr="00FF134F">
        <w:rPr>
          <w:i/>
          <w:szCs w:val="24"/>
        </w:rPr>
        <w:t xml:space="preserve"> c. La Reine</w:t>
      </w:r>
      <w:r w:rsidR="00D4320E" w:rsidRPr="00FF134F">
        <w:rPr>
          <w:szCs w:val="24"/>
        </w:rPr>
        <w:t>, 2011 CSC 3, [2011] 1 R.C.S. 65</w:t>
      </w:r>
      <w:r w:rsidR="00727363" w:rsidRPr="00FF134F">
        <w:rPr>
          <w:szCs w:val="24"/>
        </w:rPr>
        <w:t>;</w:t>
      </w:r>
      <w:r w:rsidR="005F6715" w:rsidRPr="00FF134F">
        <w:rPr>
          <w:i/>
          <w:szCs w:val="24"/>
        </w:rPr>
        <w:t xml:space="preserve"> R. c.</w:t>
      </w:r>
      <w:r w:rsidR="005F6715" w:rsidRPr="00FF134F">
        <w:rPr>
          <w:szCs w:val="24"/>
        </w:rPr>
        <w:t xml:space="preserve"> </w:t>
      </w:r>
      <w:proofErr w:type="spellStart"/>
      <w:r w:rsidR="005F6715" w:rsidRPr="00FF134F">
        <w:rPr>
          <w:i/>
          <w:szCs w:val="24"/>
        </w:rPr>
        <w:t>Oakes</w:t>
      </w:r>
      <w:proofErr w:type="spellEnd"/>
      <w:r w:rsidR="005F6715" w:rsidRPr="00FF134F">
        <w:rPr>
          <w:szCs w:val="24"/>
        </w:rPr>
        <w:t>, [1986] 1 R.C.S. 103;</w:t>
      </w:r>
      <w:r w:rsidR="00727363" w:rsidRPr="00FF134F">
        <w:rPr>
          <w:szCs w:val="24"/>
        </w:rPr>
        <w:t xml:space="preserve"> </w:t>
      </w:r>
      <w:proofErr w:type="spellStart"/>
      <w:r w:rsidR="00727363" w:rsidRPr="00FF134F">
        <w:rPr>
          <w:i/>
          <w:szCs w:val="24"/>
        </w:rPr>
        <w:t>RJR</w:t>
      </w:r>
      <w:r w:rsidR="009110BF" w:rsidRPr="00FF134F">
        <w:rPr>
          <w:i/>
          <w:szCs w:val="24"/>
        </w:rPr>
        <w:noBreakHyphen/>
      </w:r>
      <w:r w:rsidR="00727363" w:rsidRPr="00FF134F">
        <w:rPr>
          <w:i/>
          <w:szCs w:val="24"/>
        </w:rPr>
        <w:t>MacDonald</w:t>
      </w:r>
      <w:proofErr w:type="spellEnd"/>
      <w:r w:rsidR="00727363" w:rsidRPr="00FF134F">
        <w:rPr>
          <w:i/>
          <w:szCs w:val="24"/>
        </w:rPr>
        <w:t xml:space="preserve"> Inc. c. Canada (Procureur général)</w:t>
      </w:r>
      <w:r w:rsidR="00727363" w:rsidRPr="00FF134F">
        <w:rPr>
          <w:szCs w:val="24"/>
        </w:rPr>
        <w:t xml:space="preserve">, [1995] 3 R.C.S. 199; </w:t>
      </w:r>
      <w:r w:rsidR="00727363" w:rsidRPr="00FF134F">
        <w:rPr>
          <w:i/>
          <w:szCs w:val="24"/>
        </w:rPr>
        <w:t xml:space="preserve">Thomson </w:t>
      </w:r>
      <w:proofErr w:type="spellStart"/>
      <w:r w:rsidR="00727363" w:rsidRPr="00FF134F">
        <w:rPr>
          <w:i/>
          <w:szCs w:val="24"/>
        </w:rPr>
        <w:t>Newspapers</w:t>
      </w:r>
      <w:proofErr w:type="spellEnd"/>
      <w:r w:rsidR="00727363" w:rsidRPr="00FF134F">
        <w:rPr>
          <w:i/>
          <w:szCs w:val="24"/>
        </w:rPr>
        <w:t xml:space="preserve"> Co. c. Canada (Procureur général)</w:t>
      </w:r>
      <w:r w:rsidR="00727363" w:rsidRPr="00FF134F">
        <w:rPr>
          <w:szCs w:val="24"/>
        </w:rPr>
        <w:t>, [1998] 1 R.C.S. 877</w:t>
      </w:r>
      <w:r w:rsidR="000B3E03" w:rsidRPr="00FF134F">
        <w:rPr>
          <w:szCs w:val="24"/>
        </w:rPr>
        <w:t xml:space="preserve">; </w:t>
      </w:r>
      <w:r w:rsidR="000B3E03" w:rsidRPr="00FF134F">
        <w:rPr>
          <w:bCs/>
          <w:i/>
          <w:szCs w:val="24"/>
        </w:rPr>
        <w:t>R. c. D.B.</w:t>
      </w:r>
      <w:r w:rsidR="000B3E03" w:rsidRPr="00FF134F">
        <w:rPr>
          <w:bCs/>
          <w:szCs w:val="24"/>
        </w:rPr>
        <w:t>, 2008 CSC 25, [2008] 2 R.C.S. 3</w:t>
      </w:r>
      <w:r w:rsidR="000B3E03" w:rsidRPr="00FF134F">
        <w:rPr>
          <w:szCs w:val="24"/>
        </w:rPr>
        <w:t xml:space="preserve">; </w:t>
      </w:r>
      <w:r w:rsidR="000B3E03" w:rsidRPr="00FF134F">
        <w:rPr>
          <w:i/>
          <w:szCs w:val="24"/>
        </w:rPr>
        <w:t>R. c. Sharpe</w:t>
      </w:r>
      <w:r w:rsidR="000B3E03" w:rsidRPr="00FF134F">
        <w:rPr>
          <w:szCs w:val="24"/>
        </w:rPr>
        <w:t>, 2001 CSC 2, [2001] 1 R.C.S. 45</w:t>
      </w:r>
      <w:r w:rsidR="004972C7" w:rsidRPr="00FF134F">
        <w:rPr>
          <w:szCs w:val="24"/>
        </w:rPr>
        <w:t xml:space="preserve">; </w:t>
      </w:r>
      <w:r w:rsidR="004972C7" w:rsidRPr="00FF134F">
        <w:rPr>
          <w:rFonts w:eastAsiaTheme="minorHAnsi"/>
          <w:i/>
          <w:szCs w:val="24"/>
        </w:rPr>
        <w:t xml:space="preserve">Toronto Star </w:t>
      </w:r>
      <w:proofErr w:type="spellStart"/>
      <w:r w:rsidR="004972C7" w:rsidRPr="00FF134F">
        <w:rPr>
          <w:rFonts w:eastAsiaTheme="minorHAnsi"/>
          <w:i/>
          <w:szCs w:val="24"/>
        </w:rPr>
        <w:t>Newspaper</w:t>
      </w:r>
      <w:proofErr w:type="spellEnd"/>
      <w:r w:rsidR="004972C7" w:rsidRPr="00FF134F">
        <w:rPr>
          <w:rFonts w:eastAsiaTheme="minorHAnsi"/>
          <w:i/>
          <w:szCs w:val="24"/>
        </w:rPr>
        <w:t xml:space="preserve"> Ltd. c. Ontario</w:t>
      </w:r>
      <w:r w:rsidR="004972C7" w:rsidRPr="00FF134F">
        <w:rPr>
          <w:rFonts w:eastAsiaTheme="minorHAnsi"/>
          <w:szCs w:val="24"/>
        </w:rPr>
        <w:t>, 2012 ONCJ 27 (</w:t>
      </w:r>
      <w:proofErr w:type="spellStart"/>
      <w:r w:rsidR="004972C7" w:rsidRPr="00FF134F">
        <w:rPr>
          <w:rFonts w:eastAsiaTheme="minorHAnsi"/>
          <w:szCs w:val="24"/>
        </w:rPr>
        <w:t>CanLII</w:t>
      </w:r>
      <w:proofErr w:type="spellEnd"/>
      <w:r w:rsidR="004972C7" w:rsidRPr="00FF134F">
        <w:rPr>
          <w:rFonts w:eastAsiaTheme="minorHAnsi"/>
          <w:szCs w:val="24"/>
        </w:rPr>
        <w:t>)</w:t>
      </w:r>
      <w:r w:rsidR="00F551D8" w:rsidRPr="00FF134F">
        <w:rPr>
          <w:rFonts w:eastAsiaTheme="minorHAnsi"/>
          <w:szCs w:val="24"/>
        </w:rPr>
        <w:t xml:space="preserve">; </w:t>
      </w:r>
      <w:r w:rsidR="00F551D8" w:rsidRPr="00FF134F">
        <w:rPr>
          <w:rFonts w:eastAsiaTheme="minorHAnsi"/>
          <w:i/>
          <w:szCs w:val="24"/>
        </w:rPr>
        <w:t>R. c. L. (D.O.)</w:t>
      </w:r>
      <w:r w:rsidR="00F551D8" w:rsidRPr="00FF134F">
        <w:rPr>
          <w:rFonts w:eastAsiaTheme="minorHAnsi"/>
          <w:szCs w:val="24"/>
        </w:rPr>
        <w:t xml:space="preserve">, [1993] 4 R.C.S. 419; </w:t>
      </w:r>
      <w:proofErr w:type="spellStart"/>
      <w:r w:rsidR="00F551D8" w:rsidRPr="00FF134F">
        <w:rPr>
          <w:i/>
          <w:szCs w:val="24"/>
        </w:rPr>
        <w:t>Doe</w:t>
      </w:r>
      <w:proofErr w:type="spellEnd"/>
      <w:r w:rsidR="00F551D8" w:rsidRPr="00FF134F">
        <w:rPr>
          <w:rFonts w:eastAsiaTheme="minorHAnsi"/>
          <w:i/>
          <w:szCs w:val="24"/>
        </w:rPr>
        <w:t xml:space="preserve"> c. Church of </w:t>
      </w:r>
      <w:proofErr w:type="spellStart"/>
      <w:r w:rsidR="00F551D8" w:rsidRPr="00FF134F">
        <w:rPr>
          <w:rFonts w:eastAsiaTheme="minorHAnsi"/>
          <w:i/>
          <w:szCs w:val="24"/>
        </w:rPr>
        <w:t>Jesus</w:t>
      </w:r>
      <w:proofErr w:type="spellEnd"/>
      <w:r w:rsidR="00F551D8" w:rsidRPr="00FF134F">
        <w:rPr>
          <w:rFonts w:eastAsiaTheme="minorHAnsi"/>
          <w:i/>
          <w:szCs w:val="24"/>
        </w:rPr>
        <w:t xml:space="preserve"> Christ of </w:t>
      </w:r>
      <w:proofErr w:type="spellStart"/>
      <w:r w:rsidR="00F551D8" w:rsidRPr="00FF134F">
        <w:rPr>
          <w:rFonts w:eastAsiaTheme="minorHAnsi"/>
          <w:i/>
          <w:szCs w:val="24"/>
        </w:rPr>
        <w:t>Latter</w:t>
      </w:r>
      <w:r w:rsidR="009110BF" w:rsidRPr="00FF134F">
        <w:rPr>
          <w:rFonts w:eastAsiaTheme="minorHAnsi"/>
          <w:i/>
          <w:szCs w:val="24"/>
        </w:rPr>
        <w:noBreakHyphen/>
      </w:r>
      <w:r w:rsidR="00F551D8" w:rsidRPr="00FF134F">
        <w:rPr>
          <w:rFonts w:eastAsiaTheme="minorHAnsi"/>
          <w:i/>
          <w:szCs w:val="24"/>
        </w:rPr>
        <w:t>Day</w:t>
      </w:r>
      <w:proofErr w:type="spellEnd"/>
      <w:r w:rsidR="00F551D8" w:rsidRPr="00FF134F">
        <w:rPr>
          <w:rFonts w:eastAsiaTheme="minorHAnsi"/>
          <w:i/>
          <w:szCs w:val="24"/>
        </w:rPr>
        <w:t xml:space="preserve"> Saints in Canada</w:t>
      </w:r>
      <w:r w:rsidR="00DC19A1">
        <w:rPr>
          <w:rFonts w:eastAsiaTheme="minorHAnsi"/>
          <w:szCs w:val="24"/>
        </w:rPr>
        <w:t>, 2003 ABQB 794, 341 A.R. 395</w:t>
      </w:r>
      <w:r w:rsidR="00C9148E" w:rsidRPr="00FF134F">
        <w:rPr>
          <w:rFonts w:eastAsiaTheme="minorHAnsi"/>
          <w:szCs w:val="24"/>
        </w:rPr>
        <w:t xml:space="preserve">; </w:t>
      </w:r>
      <w:r w:rsidR="00C9148E" w:rsidRPr="00FF134F">
        <w:rPr>
          <w:i/>
          <w:szCs w:val="24"/>
        </w:rPr>
        <w:t>R. c. R.(W.)</w:t>
      </w:r>
      <w:r w:rsidR="00C9148E" w:rsidRPr="00FF134F">
        <w:rPr>
          <w:szCs w:val="24"/>
        </w:rPr>
        <w:t>, 2010 ONCJ 526 (</w:t>
      </w:r>
      <w:proofErr w:type="spellStart"/>
      <w:r w:rsidR="00C9148E" w:rsidRPr="00FF134F">
        <w:rPr>
          <w:szCs w:val="24"/>
        </w:rPr>
        <w:t>CanLII</w:t>
      </w:r>
      <w:proofErr w:type="spellEnd"/>
      <w:r w:rsidR="00C9148E" w:rsidRPr="00FF134F">
        <w:rPr>
          <w:szCs w:val="24"/>
        </w:rPr>
        <w:t xml:space="preserve">); </w:t>
      </w:r>
      <w:r w:rsidR="00C9148E" w:rsidRPr="00FF134F">
        <w:rPr>
          <w:bCs/>
          <w:i/>
          <w:szCs w:val="24"/>
        </w:rPr>
        <w:t xml:space="preserve">Canadian </w:t>
      </w:r>
      <w:proofErr w:type="spellStart"/>
      <w:r w:rsidR="00C9148E" w:rsidRPr="00FF134F">
        <w:rPr>
          <w:bCs/>
          <w:i/>
          <w:szCs w:val="24"/>
        </w:rPr>
        <w:t>Newspapers</w:t>
      </w:r>
      <w:proofErr w:type="spellEnd"/>
      <w:r w:rsidR="00C9148E" w:rsidRPr="00FF134F">
        <w:rPr>
          <w:bCs/>
          <w:i/>
          <w:szCs w:val="24"/>
        </w:rPr>
        <w:t xml:space="preserve"> Co. c. Canada (Procureur général)</w:t>
      </w:r>
      <w:r w:rsidR="00C9148E" w:rsidRPr="00FF134F">
        <w:rPr>
          <w:bCs/>
          <w:szCs w:val="24"/>
        </w:rPr>
        <w:t>, [1988] 2 R.C.S. 122</w:t>
      </w:r>
      <w:r w:rsidR="00F44D96" w:rsidRPr="00FF134F">
        <w:rPr>
          <w:bCs/>
          <w:szCs w:val="24"/>
        </w:rPr>
        <w:t xml:space="preserve">; </w:t>
      </w:r>
      <w:r w:rsidR="00F44D96" w:rsidRPr="00FF134F">
        <w:rPr>
          <w:bCs/>
          <w:i/>
          <w:szCs w:val="24"/>
        </w:rPr>
        <w:t>R. c. D.H.</w:t>
      </w:r>
      <w:r w:rsidR="00F44D96" w:rsidRPr="00FF134F">
        <w:rPr>
          <w:bCs/>
          <w:szCs w:val="24"/>
        </w:rPr>
        <w:t>, 2002 BCPC 464 (</w:t>
      </w:r>
      <w:proofErr w:type="spellStart"/>
      <w:r w:rsidR="00F44D96" w:rsidRPr="00FF134F">
        <w:rPr>
          <w:bCs/>
          <w:szCs w:val="24"/>
        </w:rPr>
        <w:t>CanLII</w:t>
      </w:r>
      <w:proofErr w:type="spellEnd"/>
      <w:r w:rsidR="00F44D96" w:rsidRPr="00FF134F">
        <w:rPr>
          <w:bCs/>
          <w:szCs w:val="24"/>
        </w:rPr>
        <w:t>)</w:t>
      </w:r>
      <w:r w:rsidR="006759EA" w:rsidRPr="00FF134F">
        <w:rPr>
          <w:bCs/>
          <w:szCs w:val="24"/>
        </w:rPr>
        <w:t xml:space="preserve">; </w:t>
      </w:r>
      <w:r w:rsidR="006759EA" w:rsidRPr="00FF134F">
        <w:rPr>
          <w:i/>
        </w:rPr>
        <w:t>F.N. (</w:t>
      </w:r>
      <w:proofErr w:type="spellStart"/>
      <w:r w:rsidR="006759EA" w:rsidRPr="00FF134F">
        <w:rPr>
          <w:i/>
        </w:rPr>
        <w:t>Re</w:t>
      </w:r>
      <w:proofErr w:type="spellEnd"/>
      <w:r w:rsidR="006759EA" w:rsidRPr="00FF134F">
        <w:rPr>
          <w:i/>
        </w:rPr>
        <w:t>)</w:t>
      </w:r>
      <w:r w:rsidR="006759EA" w:rsidRPr="00FF134F">
        <w:t>, 2000 CSC 35, [2000] 1 R.C.S. 880</w:t>
      </w:r>
      <w:r w:rsidR="00191288" w:rsidRPr="00FF134F">
        <w:t>.</w:t>
      </w:r>
    </w:p>
    <w:p w:rsidR="00231F3A" w:rsidRPr="00FF134F" w:rsidRDefault="0043088E" w:rsidP="00D80E8D">
      <w:pPr>
        <w:pStyle w:val="SCCNormalDoubleSpacing"/>
        <w:keepNext/>
        <w:spacing w:after="480"/>
        <w:rPr>
          <w:b/>
        </w:rPr>
      </w:pPr>
      <w:r w:rsidRPr="00FF134F">
        <w:rPr>
          <w:b/>
        </w:rPr>
        <w:t>Lois</w:t>
      </w:r>
      <w:r w:rsidR="002E6705" w:rsidRPr="00FF134F">
        <w:rPr>
          <w:b/>
        </w:rPr>
        <w:t xml:space="preserve"> </w:t>
      </w:r>
      <w:r w:rsidR="008A6558" w:rsidRPr="00FF134F">
        <w:rPr>
          <w:b/>
        </w:rPr>
        <w:t>et</w:t>
      </w:r>
      <w:r w:rsidR="002E6705" w:rsidRPr="00FF134F">
        <w:rPr>
          <w:b/>
        </w:rPr>
        <w:t xml:space="preserve"> </w:t>
      </w:r>
      <w:r w:rsidRPr="00FF134F">
        <w:rPr>
          <w:b/>
        </w:rPr>
        <w:t>rè</w:t>
      </w:r>
      <w:r w:rsidR="002E6705" w:rsidRPr="00FF134F">
        <w:rPr>
          <w:b/>
        </w:rPr>
        <w:t>gl</w:t>
      </w:r>
      <w:r w:rsidRPr="00FF134F">
        <w:rPr>
          <w:b/>
        </w:rPr>
        <w:t>ements</w:t>
      </w:r>
      <w:r w:rsidR="002E6705" w:rsidRPr="00FF134F">
        <w:rPr>
          <w:b/>
        </w:rPr>
        <w:t xml:space="preserve"> </w:t>
      </w:r>
      <w:r w:rsidRPr="00FF134F">
        <w:rPr>
          <w:b/>
        </w:rPr>
        <w:t>c</w:t>
      </w:r>
      <w:r w:rsidR="002E6705" w:rsidRPr="00FF134F">
        <w:rPr>
          <w:b/>
        </w:rPr>
        <w:t>it</w:t>
      </w:r>
      <w:r w:rsidRPr="00FF134F">
        <w:rPr>
          <w:b/>
        </w:rPr>
        <w:t>és</w:t>
      </w:r>
    </w:p>
    <w:p w:rsidR="009F00F4" w:rsidRPr="00FF134F" w:rsidRDefault="009F00F4" w:rsidP="006830A2">
      <w:pPr>
        <w:pStyle w:val="SCCNormalDoubleSpacing"/>
        <w:spacing w:after="240" w:line="240" w:lineRule="auto"/>
        <w:ind w:left="539" w:hanging="539"/>
      </w:pPr>
      <w:r w:rsidRPr="00FF134F">
        <w:rPr>
          <w:i/>
        </w:rPr>
        <w:t xml:space="preserve">Civil </w:t>
      </w:r>
      <w:proofErr w:type="spellStart"/>
      <w:r w:rsidRPr="00FF134F">
        <w:rPr>
          <w:i/>
        </w:rPr>
        <w:t>Procedure</w:t>
      </w:r>
      <w:proofErr w:type="spellEnd"/>
      <w:r w:rsidRPr="00FF134F">
        <w:rPr>
          <w:i/>
        </w:rPr>
        <w:t xml:space="preserve"> </w:t>
      </w:r>
      <w:proofErr w:type="spellStart"/>
      <w:r w:rsidRPr="00FF134F">
        <w:rPr>
          <w:i/>
        </w:rPr>
        <w:t>Rules</w:t>
      </w:r>
      <w:proofErr w:type="spellEnd"/>
      <w:r w:rsidRPr="00FF134F">
        <w:t>, N.S. Reg. 370/2008.</w:t>
      </w:r>
    </w:p>
    <w:p w:rsidR="00360A96" w:rsidRPr="00FF134F" w:rsidRDefault="00360A96" w:rsidP="006830A2">
      <w:pPr>
        <w:pStyle w:val="SCCNormalDoubleSpacing"/>
        <w:spacing w:after="240" w:line="240" w:lineRule="auto"/>
        <w:ind w:left="539" w:hanging="539"/>
        <w:rPr>
          <w:szCs w:val="24"/>
        </w:rPr>
      </w:pPr>
      <w:r w:rsidRPr="00FF134F">
        <w:rPr>
          <w:i/>
          <w:szCs w:val="24"/>
        </w:rPr>
        <w:t>Code criminel</w:t>
      </w:r>
      <w:r w:rsidRPr="00FF134F">
        <w:rPr>
          <w:szCs w:val="24"/>
        </w:rPr>
        <w:t xml:space="preserve">, L.R.C. 1985, </w:t>
      </w:r>
      <w:r w:rsidR="009110BF" w:rsidRPr="00FF134F">
        <w:rPr>
          <w:szCs w:val="24"/>
        </w:rPr>
        <w:t>ch. </w:t>
      </w:r>
      <w:r w:rsidRPr="00FF134F">
        <w:rPr>
          <w:szCs w:val="24"/>
        </w:rPr>
        <w:t>C</w:t>
      </w:r>
      <w:r w:rsidR="009110BF" w:rsidRPr="00FF134F">
        <w:rPr>
          <w:szCs w:val="24"/>
        </w:rPr>
        <w:noBreakHyphen/>
      </w:r>
      <w:r w:rsidRPr="00FF134F">
        <w:rPr>
          <w:szCs w:val="24"/>
        </w:rPr>
        <w:t xml:space="preserve">46, </w:t>
      </w:r>
      <w:r w:rsidR="009110BF" w:rsidRPr="00FF134F">
        <w:rPr>
          <w:szCs w:val="24"/>
        </w:rPr>
        <w:t>art. </w:t>
      </w:r>
      <w:r w:rsidRPr="00FF134F">
        <w:rPr>
          <w:szCs w:val="24"/>
        </w:rPr>
        <w:t>486.</w:t>
      </w:r>
    </w:p>
    <w:p w:rsidR="00360A96" w:rsidRPr="00FF134F" w:rsidRDefault="00360A96" w:rsidP="006830A2">
      <w:pPr>
        <w:pStyle w:val="SCCNormalDoubleSpacing"/>
        <w:spacing w:after="720" w:line="240" w:lineRule="auto"/>
        <w:ind w:left="540" w:hanging="540"/>
        <w:rPr>
          <w:szCs w:val="24"/>
        </w:rPr>
      </w:pPr>
      <w:r w:rsidRPr="00FF134F">
        <w:rPr>
          <w:i/>
          <w:szCs w:val="24"/>
        </w:rPr>
        <w:t>Loi sur le système de justice pénale pour les adolescents</w:t>
      </w:r>
      <w:r w:rsidR="00D94777">
        <w:rPr>
          <w:szCs w:val="24"/>
        </w:rPr>
        <w:t>, L.C. 2002</w:t>
      </w:r>
      <w:r w:rsidRPr="00FF134F">
        <w:rPr>
          <w:szCs w:val="24"/>
        </w:rPr>
        <w:t xml:space="preserve">, </w:t>
      </w:r>
      <w:r w:rsidR="009110BF" w:rsidRPr="00FF134F">
        <w:rPr>
          <w:szCs w:val="24"/>
        </w:rPr>
        <w:t>ch. </w:t>
      </w:r>
      <w:r w:rsidRPr="00FF134F">
        <w:rPr>
          <w:szCs w:val="24"/>
        </w:rPr>
        <w:t xml:space="preserve">1, </w:t>
      </w:r>
      <w:r w:rsidR="009110BF" w:rsidRPr="00FF134F">
        <w:rPr>
          <w:szCs w:val="24"/>
        </w:rPr>
        <w:t>art. </w:t>
      </w:r>
      <w:r w:rsidRPr="00FF134F">
        <w:rPr>
          <w:szCs w:val="24"/>
        </w:rPr>
        <w:t>1</w:t>
      </w:r>
      <w:r w:rsidR="00D5207E" w:rsidRPr="00FF134F">
        <w:rPr>
          <w:szCs w:val="24"/>
        </w:rPr>
        <w:t>1</w:t>
      </w:r>
      <w:r w:rsidRPr="00FF134F">
        <w:rPr>
          <w:szCs w:val="24"/>
        </w:rPr>
        <w:t>0.</w:t>
      </w:r>
    </w:p>
    <w:p w:rsidR="00360A96" w:rsidRPr="00FF134F" w:rsidRDefault="000D7F1F" w:rsidP="00D80E8D">
      <w:pPr>
        <w:pStyle w:val="SCCNormalDoubleSpacing"/>
        <w:keepNext/>
        <w:spacing w:after="480"/>
        <w:rPr>
          <w:b/>
        </w:rPr>
      </w:pPr>
      <w:r w:rsidRPr="00FF134F">
        <w:rPr>
          <w:b/>
        </w:rPr>
        <w:t>Traités et autres instruments</w:t>
      </w:r>
      <w:r w:rsidR="00360A96" w:rsidRPr="00FF134F">
        <w:rPr>
          <w:b/>
        </w:rPr>
        <w:t xml:space="preserve"> internationaux</w:t>
      </w:r>
    </w:p>
    <w:p w:rsidR="00360A96" w:rsidRPr="00FF134F" w:rsidRDefault="00360A96" w:rsidP="006830A2">
      <w:pPr>
        <w:pStyle w:val="SCCNormalDoubleSpacing"/>
        <w:spacing w:after="720" w:line="240" w:lineRule="auto"/>
        <w:ind w:left="540" w:hanging="540"/>
        <w:rPr>
          <w:szCs w:val="24"/>
        </w:rPr>
      </w:pPr>
      <w:r w:rsidRPr="00FF134F">
        <w:rPr>
          <w:i/>
          <w:szCs w:val="24"/>
        </w:rPr>
        <w:t xml:space="preserve">Convention </w:t>
      </w:r>
      <w:r w:rsidR="00336E95" w:rsidRPr="00FF134F">
        <w:rPr>
          <w:i/>
          <w:szCs w:val="24"/>
        </w:rPr>
        <w:t>relative aux droits de l’enfant</w:t>
      </w:r>
      <w:r w:rsidRPr="00FF134F">
        <w:rPr>
          <w:szCs w:val="24"/>
        </w:rPr>
        <w:t xml:space="preserve">, </w:t>
      </w:r>
      <w:r w:rsidR="00336E95" w:rsidRPr="00FF134F">
        <w:rPr>
          <w:szCs w:val="24"/>
        </w:rPr>
        <w:t xml:space="preserve">R.T. </w:t>
      </w:r>
      <w:r w:rsidRPr="00FF134F">
        <w:rPr>
          <w:szCs w:val="24"/>
        </w:rPr>
        <w:t xml:space="preserve">Can. 1992 </w:t>
      </w:r>
      <w:proofErr w:type="gramStart"/>
      <w:r w:rsidR="00336E95" w:rsidRPr="00FF134F">
        <w:rPr>
          <w:szCs w:val="24"/>
        </w:rPr>
        <w:t>n</w:t>
      </w:r>
      <w:r w:rsidRPr="00FF134F">
        <w:rPr>
          <w:szCs w:val="24"/>
          <w:vertAlign w:val="superscript"/>
        </w:rPr>
        <w:t>o</w:t>
      </w:r>
      <w:proofErr w:type="gramEnd"/>
      <w:r w:rsidR="00486DF7" w:rsidRPr="00FF134F">
        <w:rPr>
          <w:szCs w:val="24"/>
        </w:rPr>
        <w:t> </w:t>
      </w:r>
      <w:r w:rsidRPr="00FF134F">
        <w:rPr>
          <w:szCs w:val="24"/>
        </w:rPr>
        <w:t>3.</w:t>
      </w:r>
    </w:p>
    <w:p w:rsidR="002E6705" w:rsidRPr="00FF134F" w:rsidRDefault="0043088E" w:rsidP="00D80E8D">
      <w:pPr>
        <w:pStyle w:val="SCCNormalDoubleSpacing"/>
        <w:keepNext/>
        <w:spacing w:after="480"/>
        <w:rPr>
          <w:b/>
          <w:lang w:val="en-US"/>
        </w:rPr>
      </w:pPr>
      <w:r w:rsidRPr="00FF134F">
        <w:rPr>
          <w:b/>
          <w:lang w:val="en-US"/>
        </w:rPr>
        <w:lastRenderedPageBreak/>
        <w:t>Doctrine</w:t>
      </w:r>
      <w:r w:rsidR="002E6705" w:rsidRPr="00FF134F">
        <w:rPr>
          <w:b/>
          <w:lang w:val="en-US"/>
        </w:rPr>
        <w:t xml:space="preserve"> </w:t>
      </w:r>
      <w:proofErr w:type="spellStart"/>
      <w:r w:rsidRPr="00FF134F">
        <w:rPr>
          <w:b/>
          <w:lang w:val="en-US"/>
        </w:rPr>
        <w:t>c</w:t>
      </w:r>
      <w:r w:rsidR="002E6705" w:rsidRPr="00FF134F">
        <w:rPr>
          <w:b/>
          <w:lang w:val="en-US"/>
        </w:rPr>
        <w:t>it</w:t>
      </w:r>
      <w:r w:rsidRPr="00FF134F">
        <w:rPr>
          <w:b/>
          <w:lang w:val="en-US"/>
        </w:rPr>
        <w:t>é</w:t>
      </w:r>
      <w:r w:rsidR="002E6705" w:rsidRPr="00FF134F">
        <w:rPr>
          <w:b/>
          <w:lang w:val="en-US"/>
        </w:rPr>
        <w:t>e</w:t>
      </w:r>
      <w:proofErr w:type="spellEnd"/>
    </w:p>
    <w:p w:rsidR="0018247A" w:rsidRPr="00FF134F" w:rsidRDefault="0018247A" w:rsidP="006830A2">
      <w:pPr>
        <w:pStyle w:val="SCCNormalDoubleSpacing"/>
        <w:spacing w:after="240" w:line="240" w:lineRule="auto"/>
        <w:ind w:left="539" w:hanging="539"/>
        <w:rPr>
          <w:szCs w:val="24"/>
          <w:lang w:val="en-US"/>
        </w:rPr>
      </w:pPr>
      <w:r w:rsidRPr="00FF134F">
        <w:rPr>
          <w:szCs w:val="24"/>
          <w:lang w:val="en-US"/>
        </w:rPr>
        <w:t>« </w:t>
      </w:r>
      <w:proofErr w:type="spellStart"/>
      <w:proofErr w:type="gramStart"/>
      <w:r w:rsidRPr="00FF134F">
        <w:rPr>
          <w:szCs w:val="24"/>
          <w:lang w:val="en-US"/>
        </w:rPr>
        <w:t>Cyberbullying</w:t>
      </w:r>
      <w:proofErr w:type="spellEnd"/>
      <w:r w:rsidR="009110BF" w:rsidRPr="00FF134F">
        <w:rPr>
          <w:szCs w:val="24"/>
          <w:lang w:val="en-US"/>
        </w:rPr>
        <w:t> :</w:t>
      </w:r>
      <w:proofErr w:type="gramEnd"/>
      <w:r w:rsidRPr="00FF134F">
        <w:rPr>
          <w:szCs w:val="24"/>
          <w:lang w:val="en-US"/>
        </w:rPr>
        <w:t xml:space="preserve"> A Growing Problem », </w:t>
      </w:r>
      <w:r w:rsidRPr="00FF134F">
        <w:rPr>
          <w:i/>
          <w:szCs w:val="24"/>
          <w:lang w:val="en-US"/>
        </w:rPr>
        <w:t>Science Daily</w:t>
      </w:r>
      <w:r w:rsidR="006830A2" w:rsidRPr="00FF134F">
        <w:rPr>
          <w:szCs w:val="24"/>
          <w:lang w:val="en-US"/>
        </w:rPr>
        <w:t>, February </w:t>
      </w:r>
      <w:r w:rsidRPr="00FF134F">
        <w:rPr>
          <w:szCs w:val="24"/>
          <w:lang w:val="en-US"/>
        </w:rPr>
        <w:t>22, 2010 (online</w:t>
      </w:r>
      <w:r w:rsidR="00315377">
        <w:rPr>
          <w:szCs w:val="24"/>
          <w:lang w:val="en-US"/>
        </w:rPr>
        <w:t xml:space="preserve"> </w:t>
      </w:r>
      <w:r w:rsidRPr="00FF134F">
        <w:rPr>
          <w:szCs w:val="24"/>
          <w:lang w:val="en-US"/>
        </w:rPr>
        <w:t>: www.sciencedaily.com/releases/2010/02/100222104939.htm).</w:t>
      </w:r>
    </w:p>
    <w:p w:rsidR="002D6172" w:rsidRPr="00FF134F" w:rsidRDefault="002D6172" w:rsidP="006830A2">
      <w:pPr>
        <w:pStyle w:val="SCCNormalDoubleSpacing"/>
        <w:spacing w:after="240" w:line="240" w:lineRule="auto"/>
        <w:ind w:left="539" w:hanging="539"/>
        <w:rPr>
          <w:lang w:val="en-US"/>
        </w:rPr>
      </w:pPr>
      <w:proofErr w:type="spellStart"/>
      <w:r w:rsidRPr="00FF134F">
        <w:rPr>
          <w:szCs w:val="24"/>
          <w:lang w:val="en-US"/>
        </w:rPr>
        <w:t>Eltis</w:t>
      </w:r>
      <w:proofErr w:type="spellEnd"/>
      <w:r w:rsidRPr="00FF134F">
        <w:rPr>
          <w:szCs w:val="24"/>
          <w:lang w:val="en-US"/>
        </w:rPr>
        <w:t xml:space="preserve">, Karen.  « The Judicial System in the Digital </w:t>
      </w:r>
      <w:proofErr w:type="gramStart"/>
      <w:r w:rsidRPr="00FF134F">
        <w:rPr>
          <w:szCs w:val="24"/>
          <w:lang w:val="en-US"/>
        </w:rPr>
        <w:t>Age</w:t>
      </w:r>
      <w:r w:rsidR="009110BF" w:rsidRPr="00FF134F">
        <w:rPr>
          <w:szCs w:val="24"/>
          <w:lang w:val="en-US"/>
        </w:rPr>
        <w:t> :</w:t>
      </w:r>
      <w:proofErr w:type="gramEnd"/>
      <w:r w:rsidRPr="00FF134F">
        <w:rPr>
          <w:szCs w:val="24"/>
          <w:lang w:val="en-US"/>
        </w:rPr>
        <w:t xml:space="preserve"> Revisiting the Relationship between Privacy and Accessibility in the Cyber Context » (2011), 56 </w:t>
      </w:r>
      <w:r w:rsidRPr="00FF134F">
        <w:rPr>
          <w:i/>
          <w:szCs w:val="24"/>
          <w:lang w:val="en-US"/>
        </w:rPr>
        <w:t>R.D. McGill</w:t>
      </w:r>
      <w:r w:rsidRPr="00FF134F">
        <w:rPr>
          <w:szCs w:val="24"/>
          <w:lang w:val="en-US"/>
        </w:rPr>
        <w:t xml:space="preserve"> 289.</w:t>
      </w:r>
    </w:p>
    <w:p w:rsidR="0054140D" w:rsidRPr="00FF134F" w:rsidRDefault="006830A2" w:rsidP="006830A2">
      <w:pPr>
        <w:pStyle w:val="SCCNormalDoubleSpacing"/>
        <w:spacing w:after="240" w:line="240" w:lineRule="auto"/>
        <w:ind w:left="539" w:hanging="539"/>
        <w:rPr>
          <w:szCs w:val="24"/>
          <w:lang w:val="en-US"/>
        </w:rPr>
      </w:pPr>
      <w:proofErr w:type="gramStart"/>
      <w:r w:rsidRPr="00FF134F">
        <w:rPr>
          <w:szCs w:val="24"/>
          <w:lang w:val="en-US"/>
        </w:rPr>
        <w:t>Jones, Lisa </w:t>
      </w:r>
      <w:r w:rsidR="0054140D" w:rsidRPr="00FF134F">
        <w:rPr>
          <w:szCs w:val="24"/>
          <w:lang w:val="en-US"/>
        </w:rPr>
        <w:t xml:space="preserve">M., David </w:t>
      </w:r>
      <w:proofErr w:type="spellStart"/>
      <w:r w:rsidR="0054140D" w:rsidRPr="00FF134F">
        <w:rPr>
          <w:szCs w:val="24"/>
          <w:lang w:val="en-US"/>
        </w:rPr>
        <w:t>Finkelhor</w:t>
      </w:r>
      <w:proofErr w:type="spellEnd"/>
      <w:r w:rsidR="0054140D" w:rsidRPr="00FF134F">
        <w:rPr>
          <w:szCs w:val="24"/>
          <w:lang w:val="en-US"/>
        </w:rPr>
        <w:t xml:space="preserve"> and Jessica Beckwith.</w:t>
      </w:r>
      <w:proofErr w:type="gramEnd"/>
      <w:r w:rsidR="0054140D" w:rsidRPr="00FF134F">
        <w:rPr>
          <w:szCs w:val="24"/>
          <w:lang w:val="en-US"/>
        </w:rPr>
        <w:t xml:space="preserve">  « Protecting victims’ identities in press coverage of child victimization » (2010), 11 </w:t>
      </w:r>
      <w:r w:rsidR="0054140D" w:rsidRPr="00FF134F">
        <w:rPr>
          <w:i/>
          <w:szCs w:val="24"/>
          <w:lang w:val="en-US"/>
        </w:rPr>
        <w:t>Journalism</w:t>
      </w:r>
      <w:r w:rsidR="0054140D" w:rsidRPr="00FF134F">
        <w:rPr>
          <w:szCs w:val="24"/>
          <w:lang w:val="en-US"/>
        </w:rPr>
        <w:t xml:space="preserve"> 347.</w:t>
      </w:r>
    </w:p>
    <w:p w:rsidR="0002535E" w:rsidRPr="00FF134F" w:rsidRDefault="0002535E" w:rsidP="006830A2">
      <w:pPr>
        <w:pStyle w:val="SCCNormalDoubleSpacing"/>
        <w:spacing w:after="240" w:line="240" w:lineRule="auto"/>
        <w:ind w:left="539" w:hanging="539"/>
        <w:rPr>
          <w:rFonts w:eastAsiaTheme="minorHAnsi"/>
          <w:szCs w:val="24"/>
        </w:rPr>
      </w:pPr>
      <w:proofErr w:type="spellStart"/>
      <w:proofErr w:type="gramStart"/>
      <w:r w:rsidRPr="00FF134F">
        <w:rPr>
          <w:szCs w:val="24"/>
          <w:lang w:val="en-US"/>
        </w:rPr>
        <w:t>Lucock</w:t>
      </w:r>
      <w:proofErr w:type="spellEnd"/>
      <w:r w:rsidRPr="00FF134F">
        <w:rPr>
          <w:szCs w:val="24"/>
          <w:lang w:val="en-US"/>
        </w:rPr>
        <w:t>, Carole, and Michael Yeo.</w:t>
      </w:r>
      <w:proofErr w:type="gramEnd"/>
      <w:r w:rsidRPr="00FF134F">
        <w:rPr>
          <w:szCs w:val="24"/>
          <w:lang w:val="en-US"/>
        </w:rPr>
        <w:t xml:space="preserve">  « </w:t>
      </w:r>
      <w:r w:rsidRPr="00FF134F">
        <w:rPr>
          <w:rFonts w:eastAsiaTheme="minorHAnsi"/>
          <w:szCs w:val="24"/>
          <w:lang w:val="en-US"/>
        </w:rPr>
        <w:t xml:space="preserve">Naming </w:t>
      </w:r>
      <w:proofErr w:type="gramStart"/>
      <w:r w:rsidRPr="00FF134F">
        <w:rPr>
          <w:rFonts w:eastAsiaTheme="minorHAnsi"/>
          <w:szCs w:val="24"/>
          <w:lang w:val="en-US"/>
        </w:rPr>
        <w:t>Names</w:t>
      </w:r>
      <w:r w:rsidR="009110BF" w:rsidRPr="00FF134F">
        <w:rPr>
          <w:rFonts w:eastAsiaTheme="minorHAnsi"/>
          <w:szCs w:val="24"/>
          <w:lang w:val="en-US"/>
        </w:rPr>
        <w:t> :</w:t>
      </w:r>
      <w:proofErr w:type="gramEnd"/>
      <w:r w:rsidRPr="00FF134F">
        <w:rPr>
          <w:rFonts w:eastAsiaTheme="minorHAnsi"/>
          <w:szCs w:val="24"/>
          <w:lang w:val="en-US"/>
        </w:rPr>
        <w:t xml:space="preserve"> The Pseudonym in the Name of the Law </w:t>
      </w:r>
      <w:r w:rsidRPr="00FF134F">
        <w:rPr>
          <w:szCs w:val="24"/>
          <w:lang w:val="en-US"/>
        </w:rPr>
        <w:t>»</w:t>
      </w:r>
      <w:r w:rsidRPr="00FF134F">
        <w:rPr>
          <w:rFonts w:eastAsiaTheme="minorHAnsi"/>
          <w:szCs w:val="24"/>
          <w:lang w:val="en-US"/>
        </w:rPr>
        <w:t xml:space="preserve"> (2006), 3 </w:t>
      </w:r>
      <w:r w:rsidRPr="00FF134F">
        <w:rPr>
          <w:rFonts w:eastAsiaTheme="minorHAnsi"/>
          <w:i/>
          <w:szCs w:val="24"/>
          <w:lang w:val="en-US"/>
        </w:rPr>
        <w:t>R.</w:t>
      </w:r>
      <w:r w:rsidR="002D6172" w:rsidRPr="00FF134F">
        <w:rPr>
          <w:rFonts w:eastAsiaTheme="minorHAnsi"/>
          <w:i/>
          <w:szCs w:val="24"/>
          <w:lang w:val="en-US"/>
        </w:rPr>
        <w:t>D</w:t>
      </w:r>
      <w:r w:rsidRPr="00FF134F">
        <w:rPr>
          <w:rFonts w:eastAsiaTheme="minorHAnsi"/>
          <w:i/>
          <w:szCs w:val="24"/>
          <w:lang w:val="en-US"/>
        </w:rPr>
        <w:t>. et te</w:t>
      </w:r>
      <w:r w:rsidR="009110BF" w:rsidRPr="00FF134F">
        <w:rPr>
          <w:rFonts w:eastAsiaTheme="minorHAnsi"/>
          <w:i/>
          <w:szCs w:val="24"/>
          <w:lang w:val="en-US"/>
        </w:rPr>
        <w:t>ch. </w:t>
      </w:r>
      <w:r w:rsidRPr="00FF134F">
        <w:rPr>
          <w:rFonts w:eastAsiaTheme="minorHAnsi"/>
          <w:i/>
          <w:szCs w:val="24"/>
        </w:rPr>
        <w:t>U.O.</w:t>
      </w:r>
      <w:r w:rsidRPr="00FF134F">
        <w:rPr>
          <w:rFonts w:eastAsiaTheme="minorHAnsi"/>
          <w:szCs w:val="24"/>
        </w:rPr>
        <w:t xml:space="preserve"> 53.</w:t>
      </w:r>
    </w:p>
    <w:p w:rsidR="0013155E" w:rsidRPr="00FF134F" w:rsidRDefault="0013155E" w:rsidP="006830A2">
      <w:pPr>
        <w:pStyle w:val="SCCNormalDoubleSpacing"/>
        <w:spacing w:after="240" w:line="240" w:lineRule="auto"/>
        <w:ind w:left="539" w:hanging="539"/>
        <w:rPr>
          <w:szCs w:val="24"/>
        </w:rPr>
      </w:pPr>
      <w:proofErr w:type="spellStart"/>
      <w:r w:rsidRPr="00FF134F">
        <w:rPr>
          <w:szCs w:val="24"/>
        </w:rPr>
        <w:t>Nouvelle</w:t>
      </w:r>
      <w:r w:rsidR="009110BF" w:rsidRPr="00FF134F">
        <w:rPr>
          <w:szCs w:val="24"/>
        </w:rPr>
        <w:noBreakHyphen/>
      </w:r>
      <w:r w:rsidRPr="00FF134F">
        <w:rPr>
          <w:szCs w:val="24"/>
        </w:rPr>
        <w:t>Écosse</w:t>
      </w:r>
      <w:proofErr w:type="spellEnd"/>
      <w:r w:rsidRPr="00FF134F">
        <w:rPr>
          <w:szCs w:val="24"/>
        </w:rPr>
        <w:t xml:space="preserve">.  </w:t>
      </w:r>
      <w:r w:rsidR="009E1093" w:rsidRPr="00FF134F">
        <w:rPr>
          <w:szCs w:val="24"/>
        </w:rPr>
        <w:t xml:space="preserve">Commission d’étude sur l’intimidation et la </w:t>
      </w:r>
      <w:proofErr w:type="spellStart"/>
      <w:r w:rsidR="009E1093" w:rsidRPr="00FF134F">
        <w:rPr>
          <w:szCs w:val="24"/>
        </w:rPr>
        <w:t>cyberintimidation</w:t>
      </w:r>
      <w:proofErr w:type="spellEnd"/>
      <w:r w:rsidRPr="00FF134F">
        <w:rPr>
          <w:szCs w:val="24"/>
        </w:rPr>
        <w:t xml:space="preserve">.  </w:t>
      </w:r>
      <w:r w:rsidRPr="00FF134F">
        <w:rPr>
          <w:i/>
          <w:szCs w:val="24"/>
        </w:rPr>
        <w:t>Respect</w:t>
      </w:r>
      <w:r w:rsidR="009E1093" w:rsidRPr="00FF134F">
        <w:rPr>
          <w:i/>
          <w:szCs w:val="24"/>
        </w:rPr>
        <w:t xml:space="preserve"> et responsabilité dans les relation</w:t>
      </w:r>
      <w:r w:rsidRPr="00FF134F">
        <w:rPr>
          <w:i/>
          <w:szCs w:val="24"/>
        </w:rPr>
        <w:t>s</w:t>
      </w:r>
      <w:r w:rsidR="009110BF" w:rsidRPr="00FF134F">
        <w:rPr>
          <w:i/>
          <w:szCs w:val="24"/>
        </w:rPr>
        <w:t> :</w:t>
      </w:r>
      <w:r w:rsidRPr="00FF134F">
        <w:rPr>
          <w:i/>
          <w:szCs w:val="24"/>
        </w:rPr>
        <w:t xml:space="preserve"> </w:t>
      </w:r>
      <w:r w:rsidR="009E1093" w:rsidRPr="00FF134F">
        <w:rPr>
          <w:i/>
          <w:szCs w:val="24"/>
        </w:rPr>
        <w:t>il n’y a pas d’</w:t>
      </w:r>
      <w:proofErr w:type="spellStart"/>
      <w:r w:rsidR="009E1093" w:rsidRPr="00FF134F">
        <w:rPr>
          <w:i/>
          <w:szCs w:val="24"/>
        </w:rPr>
        <w:t>app</w:t>
      </w:r>
      <w:proofErr w:type="spellEnd"/>
      <w:r w:rsidR="009E1093" w:rsidRPr="00FF134F">
        <w:rPr>
          <w:i/>
          <w:szCs w:val="24"/>
        </w:rPr>
        <w:t xml:space="preserve"> pour ça</w:t>
      </w:r>
      <w:r w:rsidR="009110BF" w:rsidRPr="00FF134F">
        <w:rPr>
          <w:i/>
          <w:szCs w:val="24"/>
        </w:rPr>
        <w:t> :</w:t>
      </w:r>
      <w:r w:rsidRPr="00FF134F">
        <w:rPr>
          <w:i/>
          <w:szCs w:val="24"/>
        </w:rPr>
        <w:t xml:space="preserve"> </w:t>
      </w:r>
      <w:r w:rsidR="009E1093" w:rsidRPr="00FF134F">
        <w:rPr>
          <w:i/>
          <w:szCs w:val="24"/>
        </w:rPr>
        <w:t xml:space="preserve">Rapport de la Commission d’étude sur l’intimidation et la </w:t>
      </w:r>
      <w:proofErr w:type="spellStart"/>
      <w:r w:rsidR="009E1093" w:rsidRPr="00FF134F">
        <w:rPr>
          <w:i/>
          <w:szCs w:val="24"/>
        </w:rPr>
        <w:t>cyberintimidation</w:t>
      </w:r>
      <w:proofErr w:type="spellEnd"/>
      <w:r w:rsidRPr="00FF134F">
        <w:rPr>
          <w:szCs w:val="24"/>
        </w:rPr>
        <w:t xml:space="preserve">.  </w:t>
      </w:r>
      <w:proofErr w:type="spellStart"/>
      <w:r w:rsidRPr="00FF134F">
        <w:rPr>
          <w:szCs w:val="24"/>
        </w:rPr>
        <w:t>No</w:t>
      </w:r>
      <w:r w:rsidR="009E1093" w:rsidRPr="00FF134F">
        <w:rPr>
          <w:szCs w:val="24"/>
        </w:rPr>
        <w:t>uvelle</w:t>
      </w:r>
      <w:r w:rsidR="009110BF" w:rsidRPr="00FF134F">
        <w:rPr>
          <w:szCs w:val="24"/>
        </w:rPr>
        <w:noBreakHyphen/>
      </w:r>
      <w:r w:rsidR="009E1093" w:rsidRPr="00FF134F">
        <w:rPr>
          <w:szCs w:val="24"/>
        </w:rPr>
        <w:t>Écosse</w:t>
      </w:r>
      <w:proofErr w:type="spellEnd"/>
      <w:r w:rsidR="009110BF" w:rsidRPr="00FF134F">
        <w:rPr>
          <w:szCs w:val="24"/>
        </w:rPr>
        <w:t> :</w:t>
      </w:r>
      <w:r w:rsidRPr="00FF134F">
        <w:rPr>
          <w:szCs w:val="24"/>
        </w:rPr>
        <w:t xml:space="preserve"> </w:t>
      </w:r>
      <w:r w:rsidR="009E1093" w:rsidRPr="00FF134F">
        <w:rPr>
          <w:szCs w:val="24"/>
        </w:rPr>
        <w:t>La Commission</w:t>
      </w:r>
      <w:r w:rsidRPr="00FF134F">
        <w:rPr>
          <w:szCs w:val="24"/>
        </w:rPr>
        <w:t>, 2012.</w:t>
      </w:r>
    </w:p>
    <w:p w:rsidR="00B2002D" w:rsidRPr="00FF134F" w:rsidRDefault="00B2002D" w:rsidP="006830A2">
      <w:pPr>
        <w:pStyle w:val="SCCNormalDoubleSpacing"/>
        <w:spacing w:after="240" w:line="240" w:lineRule="auto"/>
        <w:ind w:left="539" w:hanging="539"/>
        <w:rPr>
          <w:rFonts w:eastAsiaTheme="minorHAnsi"/>
          <w:iCs/>
          <w:szCs w:val="24"/>
          <w:lang w:val="en-US"/>
        </w:rPr>
      </w:pPr>
      <w:r w:rsidRPr="00FF134F">
        <w:rPr>
          <w:rFonts w:eastAsiaTheme="minorHAnsi"/>
          <w:iCs/>
          <w:szCs w:val="24"/>
        </w:rPr>
        <w:t xml:space="preserve">UNICEF, Centre de recherche </w:t>
      </w:r>
      <w:proofErr w:type="spellStart"/>
      <w:r w:rsidRPr="00FF134F">
        <w:rPr>
          <w:rFonts w:eastAsiaTheme="minorHAnsi"/>
          <w:iCs/>
          <w:szCs w:val="24"/>
        </w:rPr>
        <w:t>Innocenti</w:t>
      </w:r>
      <w:proofErr w:type="spellEnd"/>
      <w:r w:rsidRPr="00FF134F">
        <w:rPr>
          <w:rFonts w:eastAsiaTheme="minorHAnsi"/>
          <w:iCs/>
          <w:szCs w:val="24"/>
        </w:rPr>
        <w:t xml:space="preserve">.  </w:t>
      </w:r>
      <w:r w:rsidRPr="00FF134F">
        <w:rPr>
          <w:rFonts w:eastAsiaTheme="minorHAnsi"/>
          <w:i/>
          <w:iCs/>
          <w:szCs w:val="24"/>
        </w:rPr>
        <w:t>La sécurité des enfants en ligne</w:t>
      </w:r>
      <w:r w:rsidR="009110BF" w:rsidRPr="00FF134F">
        <w:rPr>
          <w:rFonts w:eastAsiaTheme="minorHAnsi"/>
          <w:i/>
          <w:iCs/>
          <w:szCs w:val="24"/>
        </w:rPr>
        <w:t> :</w:t>
      </w:r>
      <w:r w:rsidRPr="00FF134F">
        <w:rPr>
          <w:rFonts w:eastAsiaTheme="minorHAnsi"/>
          <w:i/>
          <w:iCs/>
          <w:szCs w:val="24"/>
        </w:rPr>
        <w:t xml:space="preserve"> Défis et stratégies mondiaux</w:t>
      </w:r>
      <w:r w:rsidRPr="00FF134F">
        <w:rPr>
          <w:rFonts w:eastAsiaTheme="minorHAnsi"/>
          <w:iCs/>
          <w:szCs w:val="24"/>
        </w:rPr>
        <w:t xml:space="preserve">.  </w:t>
      </w:r>
      <w:r w:rsidRPr="00FF134F">
        <w:rPr>
          <w:rFonts w:eastAsiaTheme="minorHAnsi"/>
          <w:iCs/>
          <w:szCs w:val="24"/>
          <w:lang w:val="en-US"/>
        </w:rPr>
        <w:t xml:space="preserve">Florence, </w:t>
      </w:r>
      <w:proofErr w:type="spellStart"/>
      <w:proofErr w:type="gramStart"/>
      <w:r w:rsidRPr="00FF134F">
        <w:rPr>
          <w:rFonts w:eastAsiaTheme="minorHAnsi"/>
          <w:iCs/>
          <w:szCs w:val="24"/>
          <w:lang w:val="en-US"/>
        </w:rPr>
        <w:t>Ital</w:t>
      </w:r>
      <w:r w:rsidR="00BD5A6A" w:rsidRPr="00FF134F">
        <w:rPr>
          <w:rFonts w:eastAsiaTheme="minorHAnsi"/>
          <w:iCs/>
          <w:szCs w:val="24"/>
          <w:lang w:val="en-US"/>
        </w:rPr>
        <w:t>ie</w:t>
      </w:r>
      <w:proofErr w:type="spellEnd"/>
      <w:r w:rsidR="009110BF" w:rsidRPr="00FF134F">
        <w:rPr>
          <w:rFonts w:eastAsiaTheme="minorHAnsi"/>
          <w:iCs/>
          <w:szCs w:val="24"/>
          <w:lang w:val="en-US"/>
        </w:rPr>
        <w:t> :</w:t>
      </w:r>
      <w:proofErr w:type="gramEnd"/>
      <w:r w:rsidRPr="00FF134F">
        <w:rPr>
          <w:rFonts w:eastAsiaTheme="minorHAnsi"/>
          <w:iCs/>
          <w:szCs w:val="24"/>
          <w:lang w:val="en-US"/>
        </w:rPr>
        <w:t xml:space="preserve"> UNICEF, 2011.</w:t>
      </w:r>
    </w:p>
    <w:p w:rsidR="006B7359" w:rsidRPr="00FF134F" w:rsidRDefault="006830A2" w:rsidP="006830A2">
      <w:pPr>
        <w:pStyle w:val="SCCNormalDoubleSpacing"/>
        <w:spacing w:after="720" w:line="240" w:lineRule="auto"/>
        <w:ind w:left="540" w:hanging="540"/>
        <w:rPr>
          <w:szCs w:val="24"/>
          <w:lang w:val="en-US"/>
        </w:rPr>
      </w:pPr>
      <w:r w:rsidRPr="00FF134F">
        <w:rPr>
          <w:szCs w:val="24"/>
          <w:lang w:val="en-US"/>
        </w:rPr>
        <w:t>Winn, Peter </w:t>
      </w:r>
      <w:r w:rsidR="006B7359" w:rsidRPr="00FF134F">
        <w:rPr>
          <w:szCs w:val="24"/>
          <w:lang w:val="en-US"/>
        </w:rPr>
        <w:t xml:space="preserve">A.  « Online Court </w:t>
      </w:r>
      <w:proofErr w:type="gramStart"/>
      <w:r w:rsidR="006B7359" w:rsidRPr="00FF134F">
        <w:rPr>
          <w:szCs w:val="24"/>
          <w:lang w:val="en-US"/>
        </w:rPr>
        <w:t>Records</w:t>
      </w:r>
      <w:r w:rsidR="009110BF" w:rsidRPr="00FF134F">
        <w:rPr>
          <w:szCs w:val="24"/>
          <w:lang w:val="en-US"/>
        </w:rPr>
        <w:t> :</w:t>
      </w:r>
      <w:proofErr w:type="gramEnd"/>
      <w:r w:rsidR="006B7359" w:rsidRPr="00FF134F">
        <w:rPr>
          <w:szCs w:val="24"/>
          <w:lang w:val="en-US"/>
        </w:rPr>
        <w:t xml:space="preserve"> Balancing Judicial Accountability and Privacy in an Age of Electronic Information » (2004), 79 </w:t>
      </w:r>
      <w:r w:rsidR="006B7359" w:rsidRPr="00FF134F">
        <w:rPr>
          <w:i/>
          <w:szCs w:val="24"/>
          <w:lang w:val="en-US"/>
        </w:rPr>
        <w:t xml:space="preserve">Wash. L. Rev. </w:t>
      </w:r>
      <w:r w:rsidR="006B7359" w:rsidRPr="00FF134F">
        <w:rPr>
          <w:szCs w:val="24"/>
          <w:lang w:val="en-US"/>
        </w:rPr>
        <w:t>307.</w:t>
      </w:r>
    </w:p>
    <w:p w:rsidR="00C9347D" w:rsidRPr="00FF134F" w:rsidRDefault="00C9347D" w:rsidP="006830A2">
      <w:pPr>
        <w:pStyle w:val="SCCNormalDoubleSpacing"/>
        <w:spacing w:after="480"/>
      </w:pPr>
      <w:r w:rsidRPr="00FF134F">
        <w:rPr>
          <w:lang w:val="en-US"/>
        </w:rPr>
        <w:tab/>
      </w:r>
      <w:r w:rsidR="009B57B3" w:rsidRPr="00FF134F">
        <w:t>P</w:t>
      </w:r>
      <w:r w:rsidR="0043088E" w:rsidRPr="00FF134F">
        <w:t>OURVOI contre un arrêt de la</w:t>
      </w:r>
      <w:r w:rsidR="009B57B3" w:rsidRPr="00FF134F">
        <w:t xml:space="preserve"> Cour d’appel de la </w:t>
      </w:r>
      <w:proofErr w:type="spellStart"/>
      <w:r w:rsidR="009B57B3" w:rsidRPr="00FF134F">
        <w:t>Nouvelle</w:t>
      </w:r>
      <w:r w:rsidR="009110BF" w:rsidRPr="00FF134F">
        <w:noBreakHyphen/>
      </w:r>
      <w:r w:rsidR="009B57B3" w:rsidRPr="00FF134F">
        <w:t>Écosse</w:t>
      </w:r>
      <w:proofErr w:type="spellEnd"/>
      <w:r w:rsidRPr="00FF134F">
        <w:t xml:space="preserve"> (le juge en chef MacDonald et les juges </w:t>
      </w:r>
      <w:proofErr w:type="spellStart"/>
      <w:r w:rsidRPr="00FF134F">
        <w:t>Saunders</w:t>
      </w:r>
      <w:proofErr w:type="spellEnd"/>
      <w:r w:rsidRPr="00FF134F">
        <w:t xml:space="preserve"> et </w:t>
      </w:r>
      <w:proofErr w:type="spellStart"/>
      <w:r w:rsidRPr="00FF134F">
        <w:t>Oland</w:t>
      </w:r>
      <w:proofErr w:type="spellEnd"/>
      <w:r w:rsidRPr="00FF134F">
        <w:t xml:space="preserve">), 2011 NSCA 26, 301 N.S.R. (2d) 34, 953 A.P.R. 34, 228 C.R.R. (2d) 181, 97 C.P.C. (6th) 54, 80 C.C.L.T. (3d) 180, [2011] N.S.J. </w:t>
      </w:r>
      <w:r w:rsidR="009110BF" w:rsidRPr="00FF134F">
        <w:t>No. </w:t>
      </w:r>
      <w:r w:rsidRPr="00FF134F">
        <w:t xml:space="preserve">113 (QL), 2011 </w:t>
      </w:r>
      <w:proofErr w:type="spellStart"/>
      <w:r w:rsidRPr="00FF134F">
        <w:t>CarswellNS</w:t>
      </w:r>
      <w:proofErr w:type="spellEnd"/>
      <w:r w:rsidRPr="00FF134F">
        <w:t xml:space="preserve"> 135, qui a confirmé une décision du juge </w:t>
      </w:r>
      <w:proofErr w:type="spellStart"/>
      <w:r w:rsidRPr="00FF134F">
        <w:t>LeBlanc</w:t>
      </w:r>
      <w:proofErr w:type="spellEnd"/>
      <w:r w:rsidRPr="00FF134F">
        <w:t xml:space="preserve">, 2010 NSSC 215, 293 N.S.R. (2d) 222, 928 A.P.R. 222, 97 C.P.C. (6th) 24, [2010] N.S.J. </w:t>
      </w:r>
      <w:r w:rsidR="009110BF" w:rsidRPr="00FF134F">
        <w:t>No. </w:t>
      </w:r>
      <w:r w:rsidRPr="00FF134F">
        <w:t xml:space="preserve">360 (QL), 2010 </w:t>
      </w:r>
      <w:proofErr w:type="spellStart"/>
      <w:r w:rsidRPr="00FF134F">
        <w:t>Carswell</w:t>
      </w:r>
      <w:r w:rsidR="00315377">
        <w:t>NS</w:t>
      </w:r>
      <w:proofErr w:type="spellEnd"/>
      <w:r w:rsidRPr="00FF134F">
        <w:t xml:space="preserve"> 397.  Pourvoi accueilli en partie.</w:t>
      </w:r>
    </w:p>
    <w:p w:rsidR="00092FE4" w:rsidRPr="00FF134F" w:rsidRDefault="00642603" w:rsidP="006830A2">
      <w:pPr>
        <w:pStyle w:val="SCCNormalDoubleSpacing"/>
        <w:spacing w:after="480"/>
      </w:pPr>
      <w:r w:rsidRPr="00FF134F">
        <w:rPr>
          <w:rStyle w:val="SCCCounselNameChar"/>
        </w:rPr>
        <w:lastRenderedPageBreak/>
        <w:tab/>
        <w:t>Michelle </w:t>
      </w:r>
      <w:r w:rsidR="00B50097" w:rsidRPr="00FF134F">
        <w:rPr>
          <w:rStyle w:val="SCCCounselNameChar"/>
        </w:rPr>
        <w:t xml:space="preserve">C. </w:t>
      </w:r>
      <w:proofErr w:type="spellStart"/>
      <w:r w:rsidR="001B2D17" w:rsidRPr="00FF134F">
        <w:rPr>
          <w:rStyle w:val="SCCCounselNameChar"/>
        </w:rPr>
        <w:t>Awad</w:t>
      </w:r>
      <w:proofErr w:type="spellEnd"/>
      <w:r w:rsidR="00C5772E" w:rsidRPr="00FF134F">
        <w:rPr>
          <w:rStyle w:val="SCCCounselSeparatorChar"/>
        </w:rPr>
        <w:t xml:space="preserve">, </w:t>
      </w:r>
      <w:proofErr w:type="gramStart"/>
      <w:r w:rsidR="00C5772E" w:rsidRPr="00FF134F">
        <w:rPr>
          <w:rStyle w:val="SCCCounselSeparatorChar"/>
          <w:i/>
        </w:rPr>
        <w:t>c.r.</w:t>
      </w:r>
      <w:r w:rsidR="00C5772E" w:rsidRPr="00FF134F">
        <w:rPr>
          <w:rStyle w:val="SCCCounselSeparatorChar"/>
        </w:rPr>
        <w:t>,</w:t>
      </w:r>
      <w:proofErr w:type="gramEnd"/>
      <w:r w:rsidR="00C5772E" w:rsidRPr="00FF134F">
        <w:rPr>
          <w:rStyle w:val="SCCCounselSeparatorChar"/>
        </w:rPr>
        <w:t xml:space="preserve"> </w:t>
      </w:r>
      <w:r w:rsidR="001B2D17" w:rsidRPr="00FF134F">
        <w:rPr>
          <w:rStyle w:val="SCCCounselSeparatorChar"/>
        </w:rPr>
        <w:t xml:space="preserve">et </w:t>
      </w:r>
      <w:r w:rsidR="001B2D17" w:rsidRPr="00FF134F">
        <w:rPr>
          <w:rStyle w:val="SCCCounselNameChar"/>
        </w:rPr>
        <w:t>Jane O'Neill</w:t>
      </w:r>
      <w:r w:rsidR="001B2D17" w:rsidRPr="00FF134F">
        <w:rPr>
          <w:rStyle w:val="SCCCounselPartyRoleChar"/>
        </w:rPr>
        <w:t>, pour l</w:t>
      </w:r>
      <w:r w:rsidR="00B50097" w:rsidRPr="00FF134F">
        <w:rPr>
          <w:rStyle w:val="SCCCounselPartyRoleChar"/>
        </w:rPr>
        <w:t>’</w:t>
      </w:r>
      <w:r w:rsidR="001B2D17" w:rsidRPr="00FF134F">
        <w:rPr>
          <w:rStyle w:val="SCCCounselPartyRoleChar"/>
        </w:rPr>
        <w:t>appelant</w:t>
      </w:r>
      <w:r w:rsidR="00985827" w:rsidRPr="00FF134F">
        <w:rPr>
          <w:rStyle w:val="SCCCounselPartyRoleChar"/>
        </w:rPr>
        <w:t>e</w:t>
      </w:r>
      <w:r w:rsidR="001B2D17" w:rsidRPr="00FF134F">
        <w:rPr>
          <w:rStyle w:val="SCCCounselPartyRoleChar"/>
        </w:rPr>
        <w:t>.</w:t>
      </w:r>
    </w:p>
    <w:p w:rsidR="00CC7DD3" w:rsidRPr="00FF134F" w:rsidRDefault="00CC7DD3" w:rsidP="006830A2">
      <w:pPr>
        <w:pStyle w:val="SCCNormalDoubleSpacing"/>
        <w:spacing w:after="480"/>
      </w:pPr>
      <w:r w:rsidRPr="00FF134F">
        <w:rPr>
          <w:rStyle w:val="SCCCounselNameChar"/>
        </w:rPr>
        <w:tab/>
      </w:r>
      <w:r w:rsidR="00642603" w:rsidRPr="00FF134F">
        <w:rPr>
          <w:rStyle w:val="SCCCounselNameChar"/>
        </w:rPr>
        <w:t>Daniel </w:t>
      </w:r>
      <w:r w:rsidRPr="00FF134F">
        <w:rPr>
          <w:rStyle w:val="SCCCounselNameChar"/>
        </w:rPr>
        <w:t xml:space="preserve">W. </w:t>
      </w:r>
      <w:proofErr w:type="spellStart"/>
      <w:r w:rsidRPr="00FF134F">
        <w:rPr>
          <w:rStyle w:val="SCCCounselNameChar"/>
        </w:rPr>
        <w:t>Burnett</w:t>
      </w:r>
      <w:proofErr w:type="spellEnd"/>
      <w:r w:rsidRPr="00FF134F">
        <w:rPr>
          <w:rStyle w:val="SCCCounselPartyRoleChar"/>
        </w:rPr>
        <w:t xml:space="preserve"> et </w:t>
      </w:r>
      <w:r w:rsidRPr="00FF134F">
        <w:rPr>
          <w:rStyle w:val="SCCCounselPartyRoleChar"/>
          <w:i/>
        </w:rPr>
        <w:t xml:space="preserve">Paul </w:t>
      </w:r>
      <w:proofErr w:type="spellStart"/>
      <w:r w:rsidRPr="00FF134F">
        <w:rPr>
          <w:rStyle w:val="SCCCounselPartyRoleChar"/>
          <w:i/>
        </w:rPr>
        <w:t>Brackstone</w:t>
      </w:r>
      <w:proofErr w:type="spellEnd"/>
      <w:r w:rsidRPr="00FF134F">
        <w:rPr>
          <w:rStyle w:val="SCCCounselPartyRoleChar"/>
        </w:rPr>
        <w:t>, pour l’</w:t>
      </w:r>
      <w:proofErr w:type="spellStart"/>
      <w:r w:rsidRPr="00FF134F">
        <w:rPr>
          <w:rStyle w:val="SCCCounselPartyRoleChar"/>
          <w:i/>
        </w:rPr>
        <w:t>amicus</w:t>
      </w:r>
      <w:proofErr w:type="spellEnd"/>
      <w:r w:rsidRPr="00FF134F">
        <w:rPr>
          <w:rStyle w:val="SCCCounselPartyRoleChar"/>
          <w:i/>
        </w:rPr>
        <w:t xml:space="preserve"> </w:t>
      </w:r>
      <w:proofErr w:type="spellStart"/>
      <w:r w:rsidRPr="00FF134F">
        <w:rPr>
          <w:rStyle w:val="SCCCounselPartyRoleChar"/>
          <w:i/>
        </w:rPr>
        <w:t>curiae</w:t>
      </w:r>
      <w:proofErr w:type="spellEnd"/>
      <w:r w:rsidRPr="00FF134F">
        <w:rPr>
          <w:rStyle w:val="SCCCounselPartyRoleChar"/>
        </w:rPr>
        <w:t>.</w:t>
      </w:r>
    </w:p>
    <w:p w:rsidR="00092FE4" w:rsidRPr="00FF134F" w:rsidRDefault="00C5772E" w:rsidP="006830A2">
      <w:pPr>
        <w:pStyle w:val="SCCNormalDoubleSpacing"/>
        <w:spacing w:after="480"/>
      </w:pPr>
      <w:r w:rsidRPr="00FF134F">
        <w:rPr>
          <w:rStyle w:val="SCCCounselNameChar"/>
        </w:rPr>
        <w:tab/>
      </w:r>
      <w:r w:rsidRPr="00FF134F">
        <w:rPr>
          <w:rStyle w:val="SCCCounselNameChar"/>
          <w:i w:val="0"/>
        </w:rPr>
        <w:t xml:space="preserve">Argumentation écrite seulement par </w:t>
      </w:r>
      <w:r w:rsidR="00642603" w:rsidRPr="00FF134F">
        <w:rPr>
          <w:rStyle w:val="SCCCounselNameChar"/>
        </w:rPr>
        <w:t>Brian F. </w:t>
      </w:r>
      <w:r w:rsidR="009110BF" w:rsidRPr="00FF134F">
        <w:rPr>
          <w:rStyle w:val="SCCCounselNameChar"/>
        </w:rPr>
        <w:t>P. </w:t>
      </w:r>
      <w:r w:rsidR="001B2D17" w:rsidRPr="00FF134F">
        <w:rPr>
          <w:rStyle w:val="SCCCounselNameChar"/>
        </w:rPr>
        <w:t>Murphy</w:t>
      </w:r>
      <w:r w:rsidR="001B2D17" w:rsidRPr="00FF134F">
        <w:rPr>
          <w:rStyle w:val="SCCCounselSeparatorChar"/>
        </w:rPr>
        <w:t xml:space="preserve"> et </w:t>
      </w:r>
      <w:r w:rsidR="00642603" w:rsidRPr="00FF134F">
        <w:rPr>
          <w:rStyle w:val="SCCCounselNameChar"/>
        </w:rPr>
        <w:t>Wanda </w:t>
      </w:r>
      <w:r w:rsidR="001B2D17" w:rsidRPr="00FF134F">
        <w:rPr>
          <w:rStyle w:val="SCCCounselNameChar"/>
        </w:rPr>
        <w:t xml:space="preserve">M. </w:t>
      </w:r>
      <w:proofErr w:type="spellStart"/>
      <w:r w:rsidR="001B2D17" w:rsidRPr="00FF134F">
        <w:rPr>
          <w:rStyle w:val="SCCCounselNameChar"/>
        </w:rPr>
        <w:t>Severns</w:t>
      </w:r>
      <w:proofErr w:type="spellEnd"/>
      <w:r w:rsidR="001B2D17" w:rsidRPr="00FF134F">
        <w:rPr>
          <w:rStyle w:val="SCCCounselPartyRoleChar"/>
        </w:rPr>
        <w:t>, pour l</w:t>
      </w:r>
      <w:r w:rsidRPr="00FF134F">
        <w:rPr>
          <w:rStyle w:val="SCCCounselPartyRoleChar"/>
        </w:rPr>
        <w:t>’</w:t>
      </w:r>
      <w:r w:rsidR="001B2D17" w:rsidRPr="00FF134F">
        <w:rPr>
          <w:rStyle w:val="SCCCounselPartyRoleChar"/>
        </w:rPr>
        <w:t xml:space="preserve">intervenante </w:t>
      </w:r>
      <w:proofErr w:type="spellStart"/>
      <w:r w:rsidR="001B2D17" w:rsidRPr="00FF134F">
        <w:rPr>
          <w:rStyle w:val="SCCCounselPartyRoleChar"/>
        </w:rPr>
        <w:t>BullyingCanada</w:t>
      </w:r>
      <w:proofErr w:type="spellEnd"/>
      <w:r w:rsidR="001B2D17" w:rsidRPr="00FF134F">
        <w:rPr>
          <w:rStyle w:val="SCCCounselPartyRoleChar"/>
        </w:rPr>
        <w:t xml:space="preserve"> Inc.</w:t>
      </w:r>
    </w:p>
    <w:p w:rsidR="00092FE4" w:rsidRPr="00FF134F" w:rsidRDefault="001B2D17" w:rsidP="006830A2">
      <w:pPr>
        <w:pStyle w:val="SCCNormalDoubleSpacing"/>
        <w:spacing w:after="480"/>
      </w:pPr>
      <w:r w:rsidRPr="00FF134F">
        <w:rPr>
          <w:rStyle w:val="SCCCounselNameChar"/>
        </w:rPr>
        <w:tab/>
        <w:t xml:space="preserve">Marko </w:t>
      </w:r>
      <w:proofErr w:type="spellStart"/>
      <w:r w:rsidRPr="00FF134F">
        <w:rPr>
          <w:rStyle w:val="SCCCounselNameChar"/>
        </w:rPr>
        <w:t>Vesely</w:t>
      </w:r>
      <w:proofErr w:type="spellEnd"/>
      <w:r w:rsidRPr="00FF134F">
        <w:rPr>
          <w:rStyle w:val="SCCCounselSeparatorChar"/>
        </w:rPr>
        <w:t xml:space="preserve"> et </w:t>
      </w:r>
      <w:r w:rsidR="00642603" w:rsidRPr="00FF134F">
        <w:rPr>
          <w:rStyle w:val="SCCCounselNameChar"/>
        </w:rPr>
        <w:t>M. </w:t>
      </w:r>
      <w:proofErr w:type="spellStart"/>
      <w:r w:rsidRPr="00FF134F">
        <w:rPr>
          <w:rStyle w:val="SCCCounselNameChar"/>
        </w:rPr>
        <w:t>Toby</w:t>
      </w:r>
      <w:proofErr w:type="spellEnd"/>
      <w:r w:rsidRPr="00FF134F">
        <w:rPr>
          <w:rStyle w:val="SCCCounselNameChar"/>
        </w:rPr>
        <w:t xml:space="preserve"> Kruger</w:t>
      </w:r>
      <w:r w:rsidRPr="00FF134F">
        <w:rPr>
          <w:rStyle w:val="SCCCounselPartyRoleChar"/>
        </w:rPr>
        <w:t>, pour l</w:t>
      </w:r>
      <w:r w:rsidR="001A4E2B" w:rsidRPr="00FF134F">
        <w:rPr>
          <w:rStyle w:val="SCCCounselPartyRoleChar"/>
        </w:rPr>
        <w:t>’</w:t>
      </w:r>
      <w:r w:rsidRPr="00FF134F">
        <w:rPr>
          <w:rStyle w:val="SCCCounselPartyRoleChar"/>
        </w:rPr>
        <w:t>intervenante</w:t>
      </w:r>
      <w:r w:rsidR="001A4E2B" w:rsidRPr="00FF134F">
        <w:rPr>
          <w:rStyle w:val="SCCCounselPartyRoleChar"/>
        </w:rPr>
        <w:t xml:space="preserve"> l’</w:t>
      </w:r>
      <w:r w:rsidRPr="00FF134F">
        <w:rPr>
          <w:rStyle w:val="SCCCounselPartyRoleChar"/>
        </w:rPr>
        <w:t>Association</w:t>
      </w:r>
      <w:r w:rsidR="001A4E2B" w:rsidRPr="00FF134F">
        <w:rPr>
          <w:rStyle w:val="SCCCounselPartyRoleChar"/>
        </w:rPr>
        <w:t xml:space="preserve"> des libertés civiles de la </w:t>
      </w:r>
      <w:proofErr w:type="spellStart"/>
      <w:r w:rsidR="001A4E2B" w:rsidRPr="00FF134F">
        <w:rPr>
          <w:rStyle w:val="SCCCounselPartyRoleChar"/>
        </w:rPr>
        <w:t>Colombie</w:t>
      </w:r>
      <w:r w:rsidR="009110BF" w:rsidRPr="00FF134F">
        <w:rPr>
          <w:rStyle w:val="SCCCounselPartyRoleChar"/>
        </w:rPr>
        <w:noBreakHyphen/>
      </w:r>
      <w:r w:rsidR="001A4E2B" w:rsidRPr="00FF134F">
        <w:rPr>
          <w:rStyle w:val="SCCCounselPartyRoleChar"/>
        </w:rPr>
        <w:t>Britannique</w:t>
      </w:r>
      <w:proofErr w:type="spellEnd"/>
      <w:r w:rsidRPr="00FF134F">
        <w:rPr>
          <w:rStyle w:val="SCCCounselPartyRoleChar"/>
        </w:rPr>
        <w:t>.</w:t>
      </w:r>
    </w:p>
    <w:p w:rsidR="00092FE4" w:rsidRPr="00FF134F" w:rsidRDefault="001B2D17" w:rsidP="006830A2">
      <w:pPr>
        <w:pStyle w:val="SCCNormalDoubleSpacing"/>
        <w:spacing w:after="480"/>
      </w:pPr>
      <w:r w:rsidRPr="00FF134F">
        <w:rPr>
          <w:rStyle w:val="SCCCounselNameChar"/>
        </w:rPr>
        <w:tab/>
        <w:t>Mahmud Jamal</w:t>
      </w:r>
      <w:r w:rsidRPr="00FF134F">
        <w:rPr>
          <w:rStyle w:val="SCCCounselSeparatorChar"/>
        </w:rPr>
        <w:t xml:space="preserve">, </w:t>
      </w:r>
      <w:r w:rsidRPr="00FF134F">
        <w:rPr>
          <w:rStyle w:val="SCCCounselNameChar"/>
        </w:rPr>
        <w:t xml:space="preserve">Jason </w:t>
      </w:r>
      <w:proofErr w:type="spellStart"/>
      <w:r w:rsidRPr="00FF134F">
        <w:rPr>
          <w:rStyle w:val="SCCCounselNameChar"/>
        </w:rPr>
        <w:t>MacLean</w:t>
      </w:r>
      <w:proofErr w:type="spellEnd"/>
      <w:r w:rsidR="00792C94" w:rsidRPr="00FF134F">
        <w:rPr>
          <w:rStyle w:val="SCCCounselSeparatorChar"/>
        </w:rPr>
        <w:t>,</w:t>
      </w:r>
      <w:r w:rsidRPr="00FF134F">
        <w:rPr>
          <w:rStyle w:val="SCCCounselSeparatorChar"/>
        </w:rPr>
        <w:t xml:space="preserve"> </w:t>
      </w:r>
      <w:r w:rsidRPr="00FF134F">
        <w:rPr>
          <w:rStyle w:val="SCCCounselNameChar"/>
        </w:rPr>
        <w:t xml:space="preserve">Carly </w:t>
      </w:r>
      <w:proofErr w:type="spellStart"/>
      <w:r w:rsidRPr="00FF134F">
        <w:rPr>
          <w:rStyle w:val="SCCCounselNameChar"/>
        </w:rPr>
        <w:t>Fidler</w:t>
      </w:r>
      <w:proofErr w:type="spellEnd"/>
      <w:r w:rsidR="00792C94" w:rsidRPr="00FF134F">
        <w:rPr>
          <w:rStyle w:val="SCCCounselNameChar"/>
          <w:i w:val="0"/>
        </w:rPr>
        <w:t xml:space="preserve"> et </w:t>
      </w:r>
      <w:r w:rsidR="00792C94" w:rsidRPr="00FF134F">
        <w:rPr>
          <w:rStyle w:val="SCCCounselNameChar"/>
        </w:rPr>
        <w:t xml:space="preserve">Steven </w:t>
      </w:r>
      <w:proofErr w:type="spellStart"/>
      <w:r w:rsidR="00792C94" w:rsidRPr="00FF134F">
        <w:rPr>
          <w:rStyle w:val="SCCCounselNameChar"/>
        </w:rPr>
        <w:t>Golick</w:t>
      </w:r>
      <w:proofErr w:type="spellEnd"/>
      <w:r w:rsidR="00792C94" w:rsidRPr="00FF134F">
        <w:rPr>
          <w:rStyle w:val="SCCCounselPartyRoleChar"/>
        </w:rPr>
        <w:t xml:space="preserve">, </w:t>
      </w:r>
      <w:r w:rsidRPr="00FF134F">
        <w:rPr>
          <w:rStyle w:val="SCCCounselPartyRoleChar"/>
        </w:rPr>
        <w:t>pour l</w:t>
      </w:r>
      <w:r w:rsidR="00792C94" w:rsidRPr="00FF134F">
        <w:rPr>
          <w:rStyle w:val="SCCCounselPartyRoleChar"/>
        </w:rPr>
        <w:t>’</w:t>
      </w:r>
      <w:r w:rsidRPr="00FF134F">
        <w:rPr>
          <w:rStyle w:val="SCCCounselPartyRoleChar"/>
        </w:rPr>
        <w:t xml:space="preserve">intervenante </w:t>
      </w:r>
      <w:r w:rsidR="00792C94" w:rsidRPr="00FF134F">
        <w:rPr>
          <w:rStyle w:val="SCCCounselPartyRoleChar"/>
        </w:rPr>
        <w:t>Jeunesse J’écoute</w:t>
      </w:r>
      <w:r w:rsidRPr="00FF134F">
        <w:rPr>
          <w:rStyle w:val="SCCCounselPartyRoleChar"/>
        </w:rPr>
        <w:t>.</w:t>
      </w:r>
    </w:p>
    <w:p w:rsidR="00092FE4" w:rsidRPr="00FF134F" w:rsidRDefault="001B2D17" w:rsidP="006830A2">
      <w:pPr>
        <w:pStyle w:val="SCCNormalDoubleSpacing"/>
        <w:spacing w:after="480"/>
      </w:pPr>
      <w:r w:rsidRPr="00FF134F">
        <w:rPr>
          <w:rStyle w:val="SCCCounselNameChar"/>
        </w:rPr>
        <w:tab/>
        <w:t>Iris Fischer</w:t>
      </w:r>
      <w:r w:rsidR="00792C94" w:rsidRPr="00FF134F">
        <w:rPr>
          <w:rStyle w:val="SCCCounselNameChar"/>
          <w:i w:val="0"/>
        </w:rPr>
        <w:t xml:space="preserve"> et </w:t>
      </w:r>
      <w:r w:rsidR="00792C94" w:rsidRPr="00FF134F">
        <w:rPr>
          <w:rStyle w:val="SCCCounselNameChar"/>
        </w:rPr>
        <w:t xml:space="preserve">Dustin </w:t>
      </w:r>
      <w:proofErr w:type="spellStart"/>
      <w:r w:rsidR="00792C94" w:rsidRPr="00FF134F">
        <w:rPr>
          <w:rStyle w:val="SCCCounselNameChar"/>
        </w:rPr>
        <w:t>Kenall</w:t>
      </w:r>
      <w:proofErr w:type="spellEnd"/>
      <w:r w:rsidRPr="00FF134F">
        <w:rPr>
          <w:rStyle w:val="SCCCounselPartyRoleChar"/>
        </w:rPr>
        <w:t>, pour l</w:t>
      </w:r>
      <w:r w:rsidR="00792C94" w:rsidRPr="00FF134F">
        <w:rPr>
          <w:rStyle w:val="SCCCounselPartyRoleChar"/>
        </w:rPr>
        <w:t>’</w:t>
      </w:r>
      <w:r w:rsidRPr="00FF134F">
        <w:rPr>
          <w:rStyle w:val="SCCCounselPartyRoleChar"/>
        </w:rPr>
        <w:t>intervenante</w:t>
      </w:r>
      <w:r w:rsidR="00792C94" w:rsidRPr="00FF134F">
        <w:rPr>
          <w:rStyle w:val="SCCCounselPartyRoleChar"/>
        </w:rPr>
        <w:t xml:space="preserve"> l’Association canadienne des libertés civiles</w:t>
      </w:r>
      <w:r w:rsidRPr="00FF134F">
        <w:rPr>
          <w:rStyle w:val="SCCCounselPartyRoleChar"/>
        </w:rPr>
        <w:t>.</w:t>
      </w:r>
    </w:p>
    <w:p w:rsidR="00092FE4" w:rsidRPr="00FF134F" w:rsidRDefault="006830A2" w:rsidP="006830A2">
      <w:pPr>
        <w:pStyle w:val="SCCNormalDoubleSpacing"/>
        <w:spacing w:after="480"/>
      </w:pPr>
      <w:r w:rsidRPr="00FF134F">
        <w:rPr>
          <w:rStyle w:val="SCCCounselNameChar"/>
        </w:rPr>
        <w:tab/>
        <w:t>Joseph </w:t>
      </w:r>
      <w:r w:rsidR="001B2D17" w:rsidRPr="00FF134F">
        <w:rPr>
          <w:rStyle w:val="SCCCounselNameChar"/>
        </w:rPr>
        <w:t xml:space="preserve">E. </w:t>
      </w:r>
      <w:proofErr w:type="spellStart"/>
      <w:r w:rsidR="001B2D17" w:rsidRPr="00FF134F">
        <w:rPr>
          <w:rStyle w:val="SCCCounselNameChar"/>
        </w:rPr>
        <w:t>Magnet</w:t>
      </w:r>
      <w:proofErr w:type="spellEnd"/>
      <w:r w:rsidR="004752A0" w:rsidRPr="00FF134F">
        <w:rPr>
          <w:rStyle w:val="SCCCounselNameChar"/>
        </w:rPr>
        <w:t xml:space="preserve"> </w:t>
      </w:r>
      <w:r w:rsidR="004752A0" w:rsidRPr="00FF134F">
        <w:rPr>
          <w:rStyle w:val="SCCCounselSeparatorChar"/>
        </w:rPr>
        <w:t>et</w:t>
      </w:r>
      <w:r w:rsidR="004752A0" w:rsidRPr="00FF134F">
        <w:rPr>
          <w:rStyle w:val="SCCCounselNameChar"/>
        </w:rPr>
        <w:t xml:space="preserve"> Patricia </w:t>
      </w:r>
      <w:proofErr w:type="spellStart"/>
      <w:r w:rsidR="004752A0" w:rsidRPr="00FF134F">
        <w:rPr>
          <w:rStyle w:val="SCCCounselNameChar"/>
        </w:rPr>
        <w:t>Kosseim</w:t>
      </w:r>
      <w:proofErr w:type="spellEnd"/>
      <w:r w:rsidR="001B2D17" w:rsidRPr="00FF134F">
        <w:rPr>
          <w:rStyle w:val="SCCCounselPartyRoleChar"/>
        </w:rPr>
        <w:t>, pour l</w:t>
      </w:r>
      <w:r w:rsidR="004752A0" w:rsidRPr="00FF134F">
        <w:rPr>
          <w:rStyle w:val="SCCCounselPartyRoleChar"/>
        </w:rPr>
        <w:t>’</w:t>
      </w:r>
      <w:r w:rsidR="001B2D17" w:rsidRPr="00FF134F">
        <w:rPr>
          <w:rStyle w:val="SCCCounselPartyRoleChar"/>
        </w:rPr>
        <w:t>intervenant</w:t>
      </w:r>
      <w:r w:rsidR="004752A0" w:rsidRPr="00FF134F">
        <w:rPr>
          <w:rStyle w:val="SCCCounselPartyRoleChar"/>
        </w:rPr>
        <w:t xml:space="preserve"> le Commissaire à la protection de la vie privée du </w:t>
      </w:r>
      <w:r w:rsidR="001B2D17" w:rsidRPr="00FF134F">
        <w:rPr>
          <w:rStyle w:val="SCCCounselPartyRoleChar"/>
        </w:rPr>
        <w:t>Canada.</w:t>
      </w:r>
    </w:p>
    <w:p w:rsidR="00982752" w:rsidRPr="00FF134F" w:rsidRDefault="001B2D17" w:rsidP="006830A2">
      <w:pPr>
        <w:pStyle w:val="SCCNormalDoubleSpacing"/>
        <w:spacing w:after="480"/>
        <w:rPr>
          <w:rStyle w:val="SCCCounselPartyRoleChar"/>
        </w:rPr>
      </w:pPr>
      <w:r w:rsidRPr="00FF134F">
        <w:rPr>
          <w:rStyle w:val="SCCCounselNameChar"/>
        </w:rPr>
        <w:tab/>
      </w:r>
      <w:proofErr w:type="spellStart"/>
      <w:r w:rsidRPr="00FF134F">
        <w:rPr>
          <w:rStyle w:val="SCCCounselNameChar"/>
        </w:rPr>
        <w:t>Ryder</w:t>
      </w:r>
      <w:proofErr w:type="spellEnd"/>
      <w:r w:rsidRPr="00FF134F">
        <w:rPr>
          <w:rStyle w:val="SCCCounselNameChar"/>
        </w:rPr>
        <w:t xml:space="preserve"> </w:t>
      </w:r>
      <w:proofErr w:type="spellStart"/>
      <w:r w:rsidRPr="00FF134F">
        <w:rPr>
          <w:rStyle w:val="SCCCounselNameChar"/>
        </w:rPr>
        <w:t>Gilliland</w:t>
      </w:r>
      <w:proofErr w:type="spellEnd"/>
      <w:r w:rsidRPr="00FF134F">
        <w:rPr>
          <w:rStyle w:val="SCCCounselSeparatorChar"/>
        </w:rPr>
        <w:t xml:space="preserve"> et </w:t>
      </w:r>
      <w:r w:rsidR="00220317" w:rsidRPr="00FF134F">
        <w:rPr>
          <w:rStyle w:val="SCCCounselNameChar"/>
        </w:rPr>
        <w:t xml:space="preserve">Adam </w:t>
      </w:r>
      <w:proofErr w:type="spellStart"/>
      <w:r w:rsidR="00220317" w:rsidRPr="00FF134F">
        <w:rPr>
          <w:rStyle w:val="SCCCounselNameChar"/>
        </w:rPr>
        <w:t>Lazier</w:t>
      </w:r>
      <w:proofErr w:type="spellEnd"/>
      <w:r w:rsidRPr="00FF134F">
        <w:rPr>
          <w:rStyle w:val="SCCCounselPartyRoleChar"/>
        </w:rPr>
        <w:t>, pour l</w:t>
      </w:r>
      <w:r w:rsidR="00220317" w:rsidRPr="00FF134F">
        <w:rPr>
          <w:rStyle w:val="SCCCounselPartyRoleChar"/>
        </w:rPr>
        <w:t xml:space="preserve">es </w:t>
      </w:r>
      <w:r w:rsidRPr="00FF134F">
        <w:rPr>
          <w:rStyle w:val="SCCCounselPartyRoleChar"/>
        </w:rPr>
        <w:t>intervenant</w:t>
      </w:r>
      <w:r w:rsidR="00220317" w:rsidRPr="00FF134F">
        <w:rPr>
          <w:rStyle w:val="SCCCounselPartyRoleChar"/>
        </w:rPr>
        <w:t>s</w:t>
      </w:r>
      <w:r w:rsidRPr="00FF134F">
        <w:rPr>
          <w:rStyle w:val="SCCCounselPartyRoleChar"/>
        </w:rPr>
        <w:t xml:space="preserve"> </w:t>
      </w:r>
      <w:r w:rsidR="00220317" w:rsidRPr="00FF134F">
        <w:rPr>
          <w:rStyle w:val="SCCCounselPartyRoleChar"/>
        </w:rPr>
        <w:t>J</w:t>
      </w:r>
      <w:r w:rsidRPr="00FF134F">
        <w:rPr>
          <w:rStyle w:val="SCCCounselPartyRoleChar"/>
        </w:rPr>
        <w:t>ou</w:t>
      </w:r>
      <w:r w:rsidR="00220317" w:rsidRPr="00FF134F">
        <w:rPr>
          <w:rStyle w:val="SCCCounselPartyRoleChar"/>
        </w:rPr>
        <w:t>r</w:t>
      </w:r>
      <w:r w:rsidRPr="00FF134F">
        <w:rPr>
          <w:rStyle w:val="SCCCounselPartyRoleChar"/>
        </w:rPr>
        <w:t>naux</w:t>
      </w:r>
      <w:r w:rsidR="00220317" w:rsidRPr="00FF134F">
        <w:rPr>
          <w:rStyle w:val="SCCCounselPartyRoleChar"/>
        </w:rPr>
        <w:t xml:space="preserve"> canadiens</w:t>
      </w:r>
      <w:r w:rsidRPr="00FF134F">
        <w:rPr>
          <w:rStyle w:val="SCCCounselPartyRoleChar"/>
        </w:rPr>
        <w:t xml:space="preserve">, Ad IDEM/Canadian Media </w:t>
      </w:r>
      <w:proofErr w:type="spellStart"/>
      <w:r w:rsidRPr="00FF134F">
        <w:rPr>
          <w:rStyle w:val="SCCCounselPartyRoleChar"/>
        </w:rPr>
        <w:t>Lawyers</w:t>
      </w:r>
      <w:proofErr w:type="spellEnd"/>
      <w:r w:rsidRPr="00FF134F">
        <w:rPr>
          <w:rStyle w:val="SCCCounselPartyRoleChar"/>
        </w:rPr>
        <w:t xml:space="preserve"> Association, </w:t>
      </w:r>
      <w:r w:rsidR="006149AA">
        <w:rPr>
          <w:rStyle w:val="SCCCounselPartyRoleChar"/>
        </w:rPr>
        <w:t>l’</w:t>
      </w:r>
      <w:r w:rsidRPr="00FF134F">
        <w:rPr>
          <w:rStyle w:val="SCCCounselPartyRoleChar"/>
        </w:rPr>
        <w:t xml:space="preserve">Association canadienne des journalistes, Professional </w:t>
      </w:r>
      <w:proofErr w:type="spellStart"/>
      <w:r w:rsidRPr="00FF134F">
        <w:rPr>
          <w:rStyle w:val="SCCCounselPartyRoleChar"/>
        </w:rPr>
        <w:t>Writers</w:t>
      </w:r>
      <w:proofErr w:type="spellEnd"/>
      <w:r w:rsidRPr="00FF134F">
        <w:rPr>
          <w:rStyle w:val="SCCCounselPartyRoleChar"/>
        </w:rPr>
        <w:t xml:space="preserve"> Association of Canada et Book and </w:t>
      </w:r>
      <w:proofErr w:type="spellStart"/>
      <w:r w:rsidRPr="00FF134F">
        <w:rPr>
          <w:rStyle w:val="SCCCounselPartyRoleChar"/>
        </w:rPr>
        <w:t>Periodical</w:t>
      </w:r>
      <w:proofErr w:type="spellEnd"/>
      <w:r w:rsidRPr="00FF134F">
        <w:rPr>
          <w:rStyle w:val="SCCCounselPartyRoleChar"/>
        </w:rPr>
        <w:t xml:space="preserve"> Council.</w:t>
      </w:r>
    </w:p>
    <w:p w:rsidR="00092FE4" w:rsidRPr="00FF134F" w:rsidRDefault="00982752" w:rsidP="006830A2">
      <w:pPr>
        <w:pStyle w:val="SCCNormalDoubleSpacing"/>
        <w:spacing w:after="480"/>
      </w:pPr>
      <w:r w:rsidRPr="00FF134F">
        <w:rPr>
          <w:b/>
        </w:rPr>
        <w:lastRenderedPageBreak/>
        <w:tab/>
      </w:r>
      <w:proofErr w:type="spellStart"/>
      <w:r w:rsidR="001B2D17" w:rsidRPr="00FF134F">
        <w:rPr>
          <w:rStyle w:val="SCCCounselNameChar"/>
        </w:rPr>
        <w:t>Tamir</w:t>
      </w:r>
      <w:proofErr w:type="spellEnd"/>
      <w:r w:rsidR="001B2D17" w:rsidRPr="00FF134F">
        <w:rPr>
          <w:rStyle w:val="SCCCounselNameChar"/>
        </w:rPr>
        <w:t xml:space="preserve"> </w:t>
      </w:r>
      <w:proofErr w:type="spellStart"/>
      <w:r w:rsidR="001B2D17" w:rsidRPr="00FF134F">
        <w:rPr>
          <w:rStyle w:val="SCCCounselNameChar"/>
        </w:rPr>
        <w:t>Israel</w:t>
      </w:r>
      <w:proofErr w:type="spellEnd"/>
      <w:r w:rsidR="001B2D17" w:rsidRPr="00FF134F">
        <w:rPr>
          <w:rStyle w:val="SCCCounselPartyRoleChar"/>
        </w:rPr>
        <w:t>, pour l</w:t>
      </w:r>
      <w:r w:rsidR="00220317" w:rsidRPr="00FF134F">
        <w:rPr>
          <w:rStyle w:val="SCCCounselPartyRoleChar"/>
        </w:rPr>
        <w:t>’</w:t>
      </w:r>
      <w:r w:rsidR="001B2D17" w:rsidRPr="00FF134F">
        <w:rPr>
          <w:rStyle w:val="SCCCounselPartyRoleChar"/>
        </w:rPr>
        <w:t>intervenante</w:t>
      </w:r>
      <w:r w:rsidR="00220317" w:rsidRPr="00FF134F">
        <w:rPr>
          <w:rStyle w:val="SCCCounselPartyRoleChar"/>
        </w:rPr>
        <w:t xml:space="preserve"> la Clinique d’intérêt public et de politique internet du Canada</w:t>
      </w:r>
      <w:r w:rsidR="001B2D17" w:rsidRPr="00FF134F">
        <w:rPr>
          <w:rStyle w:val="SCCCounselPartyRoleChar"/>
        </w:rPr>
        <w:t xml:space="preserve"> </w:t>
      </w:r>
      <w:proofErr w:type="spellStart"/>
      <w:r w:rsidR="001B2D17" w:rsidRPr="00FF134F">
        <w:rPr>
          <w:rStyle w:val="SCCCounselPartyRoleChar"/>
        </w:rPr>
        <w:t>Samuelson</w:t>
      </w:r>
      <w:r w:rsidR="009110BF" w:rsidRPr="00FF134F">
        <w:rPr>
          <w:rStyle w:val="SCCCounselPartyRoleChar"/>
        </w:rPr>
        <w:noBreakHyphen/>
      </w:r>
      <w:r w:rsidR="001B2D17" w:rsidRPr="00FF134F">
        <w:rPr>
          <w:rStyle w:val="SCCCounselPartyRoleChar"/>
        </w:rPr>
        <w:t>Glushko</w:t>
      </w:r>
      <w:proofErr w:type="spellEnd"/>
      <w:r w:rsidR="001B2D17" w:rsidRPr="00FF134F">
        <w:rPr>
          <w:rStyle w:val="SCCCounselPartyRoleChar"/>
        </w:rPr>
        <w:t>.</w:t>
      </w:r>
    </w:p>
    <w:p w:rsidR="00092FE4" w:rsidRPr="00FF134F" w:rsidRDefault="001B2D17" w:rsidP="006830A2">
      <w:pPr>
        <w:pStyle w:val="SCCNormalDoubleSpacing"/>
        <w:spacing w:after="480"/>
      </w:pPr>
      <w:r w:rsidRPr="00FF134F">
        <w:rPr>
          <w:rStyle w:val="SCCCounselNameChar"/>
        </w:rPr>
        <w:tab/>
      </w:r>
      <w:r w:rsidR="006830A2" w:rsidRPr="00FF134F">
        <w:rPr>
          <w:rStyle w:val="SCCCounselNameChar"/>
        </w:rPr>
        <w:t>Jeffrey </w:t>
      </w:r>
      <w:r w:rsidRPr="00FF134F">
        <w:rPr>
          <w:rStyle w:val="SCCCounselNameChar"/>
        </w:rPr>
        <w:t xml:space="preserve">S. </w:t>
      </w:r>
      <w:proofErr w:type="spellStart"/>
      <w:r w:rsidRPr="00FF134F">
        <w:rPr>
          <w:rStyle w:val="SCCCounselNameChar"/>
        </w:rPr>
        <w:t>Leon</w:t>
      </w:r>
      <w:proofErr w:type="spellEnd"/>
      <w:r w:rsidRPr="00FF134F">
        <w:rPr>
          <w:rStyle w:val="SCCCounselPartyRoleChar"/>
        </w:rPr>
        <w:t xml:space="preserve">, </w:t>
      </w:r>
      <w:proofErr w:type="spellStart"/>
      <w:r w:rsidR="006830A2" w:rsidRPr="00FF134F">
        <w:rPr>
          <w:rStyle w:val="SCCCounselPartyRoleChar"/>
          <w:i/>
        </w:rPr>
        <w:t>Ranjan</w:t>
      </w:r>
      <w:proofErr w:type="spellEnd"/>
      <w:r w:rsidR="006830A2" w:rsidRPr="00FF134F">
        <w:rPr>
          <w:rStyle w:val="SCCCounselPartyRoleChar"/>
          <w:i/>
        </w:rPr>
        <w:t> </w:t>
      </w:r>
      <w:r w:rsidR="00220317" w:rsidRPr="00FF134F">
        <w:rPr>
          <w:rStyle w:val="SCCCounselPartyRoleChar"/>
          <w:i/>
        </w:rPr>
        <w:t xml:space="preserve">K. </w:t>
      </w:r>
      <w:proofErr w:type="spellStart"/>
      <w:r w:rsidR="00220317" w:rsidRPr="00FF134F">
        <w:rPr>
          <w:rStyle w:val="SCCCounselPartyRoleChar"/>
          <w:i/>
        </w:rPr>
        <w:t>Agarwal</w:t>
      </w:r>
      <w:proofErr w:type="spellEnd"/>
      <w:r w:rsidR="00220317" w:rsidRPr="00FF134F">
        <w:rPr>
          <w:rStyle w:val="SCCCounselPartyRoleChar"/>
          <w:i/>
        </w:rPr>
        <w:t xml:space="preserve"> </w:t>
      </w:r>
      <w:r w:rsidR="00220317" w:rsidRPr="00FF134F">
        <w:rPr>
          <w:rStyle w:val="SCCCounselPartyRoleChar"/>
        </w:rPr>
        <w:t xml:space="preserve">et </w:t>
      </w:r>
      <w:r w:rsidR="00220317" w:rsidRPr="00FF134F">
        <w:rPr>
          <w:rStyle w:val="SCCCounselPartyRoleChar"/>
          <w:i/>
        </w:rPr>
        <w:t>Daniel Holden</w:t>
      </w:r>
      <w:r w:rsidR="00220317" w:rsidRPr="00FF134F">
        <w:rPr>
          <w:rStyle w:val="SCCCounselPartyRoleChar"/>
        </w:rPr>
        <w:t xml:space="preserve">, </w:t>
      </w:r>
      <w:r w:rsidRPr="00FF134F">
        <w:rPr>
          <w:rStyle w:val="SCCCounselPartyRoleChar"/>
        </w:rPr>
        <w:t>pour l</w:t>
      </w:r>
      <w:r w:rsidR="00220317" w:rsidRPr="00FF134F">
        <w:rPr>
          <w:rStyle w:val="SCCCounselPartyRoleChar"/>
        </w:rPr>
        <w:t>’</w:t>
      </w:r>
      <w:r w:rsidRPr="00FF134F">
        <w:rPr>
          <w:rStyle w:val="SCCCounselPartyRoleChar"/>
        </w:rPr>
        <w:t>intervenant</w:t>
      </w:r>
      <w:r w:rsidR="00220317" w:rsidRPr="00FF134F">
        <w:rPr>
          <w:rStyle w:val="SCCCounselPartyRoleChar"/>
        </w:rPr>
        <w:t xml:space="preserve"> le Comité </w:t>
      </w:r>
      <w:r w:rsidRPr="00FF134F">
        <w:rPr>
          <w:rStyle w:val="SCCCounselPartyRoleChar"/>
        </w:rPr>
        <w:t>Unicef C</w:t>
      </w:r>
      <w:r w:rsidR="00220317" w:rsidRPr="00FF134F">
        <w:rPr>
          <w:rStyle w:val="SCCCounselPartyRoleChar"/>
        </w:rPr>
        <w:t>anada</w:t>
      </w:r>
      <w:r w:rsidRPr="00FF134F">
        <w:rPr>
          <w:rStyle w:val="SCCCounselPartyRoleChar"/>
        </w:rPr>
        <w:t>.</w:t>
      </w:r>
    </w:p>
    <w:p w:rsidR="00092FE4" w:rsidRPr="00FF134F" w:rsidRDefault="001B2D17" w:rsidP="006830A2">
      <w:pPr>
        <w:pStyle w:val="SCCNormalDoubleSpacing"/>
        <w:spacing w:after="480"/>
      </w:pPr>
      <w:r w:rsidRPr="00FF134F">
        <w:rPr>
          <w:rStyle w:val="SCCCounselNameChar"/>
        </w:rPr>
        <w:tab/>
      </w:r>
      <w:r w:rsidR="00F813E0" w:rsidRPr="00FF134F">
        <w:rPr>
          <w:rStyle w:val="SCCCounselNameChar"/>
          <w:i w:val="0"/>
        </w:rPr>
        <w:t xml:space="preserve">Argumentation écrite seulement par </w:t>
      </w:r>
      <w:r w:rsidRPr="00FF134F">
        <w:rPr>
          <w:rStyle w:val="SCCCounselNameChar"/>
        </w:rPr>
        <w:t>William</w:t>
      </w:r>
      <w:r w:rsidR="006830A2" w:rsidRPr="00FF134F">
        <w:rPr>
          <w:rStyle w:val="SCCCounselNameChar"/>
        </w:rPr>
        <w:t> </w:t>
      </w:r>
      <w:r w:rsidRPr="00FF134F">
        <w:rPr>
          <w:rStyle w:val="SCCCounselNameChar"/>
        </w:rPr>
        <w:t>S. Challis</w:t>
      </w:r>
      <w:r w:rsidRPr="00FF134F">
        <w:rPr>
          <w:rStyle w:val="SCCCounselSeparatorChar"/>
        </w:rPr>
        <w:t xml:space="preserve"> et </w:t>
      </w:r>
      <w:r w:rsidRPr="00FF134F">
        <w:rPr>
          <w:rStyle w:val="SCCCounselNameChar"/>
        </w:rPr>
        <w:t xml:space="preserve">Stephen </w:t>
      </w:r>
      <w:proofErr w:type="spellStart"/>
      <w:r w:rsidRPr="00FF134F">
        <w:rPr>
          <w:rStyle w:val="SCCCounselNameChar"/>
        </w:rPr>
        <w:t>McCammon</w:t>
      </w:r>
      <w:proofErr w:type="spellEnd"/>
      <w:r w:rsidRPr="00FF134F">
        <w:rPr>
          <w:rStyle w:val="SCCCounselPartyRoleChar"/>
        </w:rPr>
        <w:t>, pour l</w:t>
      </w:r>
      <w:r w:rsidR="00F813E0" w:rsidRPr="00FF134F">
        <w:rPr>
          <w:rStyle w:val="SCCCounselPartyRoleChar"/>
        </w:rPr>
        <w:t>’</w:t>
      </w:r>
      <w:r w:rsidRPr="00FF134F">
        <w:rPr>
          <w:rStyle w:val="SCCCounselPartyRoleChar"/>
        </w:rPr>
        <w:t>intervenant</w:t>
      </w:r>
      <w:r w:rsidR="00F813E0" w:rsidRPr="00FF134F">
        <w:rPr>
          <w:rStyle w:val="SCCCounselPartyRoleChar"/>
        </w:rPr>
        <w:t xml:space="preserve"> le Commissaire à l’information et à la protection de la vie privée de l’Ontario</w:t>
      </w:r>
      <w:r w:rsidRPr="00FF134F">
        <w:rPr>
          <w:rStyle w:val="SCCCounselPartyRoleChar"/>
        </w:rPr>
        <w:t>.</w:t>
      </w:r>
    </w:p>
    <w:p w:rsidR="006847EB" w:rsidRDefault="001B2D17" w:rsidP="00A727C7">
      <w:pPr>
        <w:pStyle w:val="SCCNormalDoubleSpacing"/>
        <w:spacing w:after="480"/>
        <w:rPr>
          <w:rStyle w:val="SCCCounselPartyRoleChar"/>
        </w:rPr>
      </w:pPr>
      <w:r w:rsidRPr="00FF134F">
        <w:rPr>
          <w:rStyle w:val="SCCCounselNameChar"/>
        </w:rPr>
        <w:tab/>
      </w:r>
      <w:r w:rsidR="00F813E0" w:rsidRPr="00FF134F">
        <w:rPr>
          <w:rStyle w:val="SCCCounselNameChar"/>
          <w:i w:val="0"/>
        </w:rPr>
        <w:t xml:space="preserve">Argumentation écrite seulement </w:t>
      </w:r>
      <w:r w:rsidR="00244822" w:rsidRPr="00FF134F">
        <w:rPr>
          <w:rStyle w:val="SCCCounselNameChar"/>
          <w:i w:val="0"/>
        </w:rPr>
        <w:t xml:space="preserve">par </w:t>
      </w:r>
      <w:r w:rsidR="006830A2" w:rsidRPr="00FF134F">
        <w:rPr>
          <w:rStyle w:val="SCCCounselNameChar"/>
        </w:rPr>
        <w:t>Jonathan </w:t>
      </w:r>
      <w:r w:rsidRPr="00FF134F">
        <w:rPr>
          <w:rStyle w:val="SCCCounselNameChar"/>
        </w:rPr>
        <w:t xml:space="preserve">M. </w:t>
      </w:r>
      <w:proofErr w:type="spellStart"/>
      <w:r w:rsidRPr="00FF134F">
        <w:rPr>
          <w:rStyle w:val="SCCCounselNameChar"/>
        </w:rPr>
        <w:t>Rosenthal</w:t>
      </w:r>
      <w:proofErr w:type="spellEnd"/>
      <w:r w:rsidRPr="00FF134F">
        <w:rPr>
          <w:rStyle w:val="SCCCounselPartyRoleChar"/>
        </w:rPr>
        <w:t>, pour l</w:t>
      </w:r>
      <w:r w:rsidR="00244822" w:rsidRPr="00FF134F">
        <w:rPr>
          <w:rStyle w:val="SCCCounselPartyRoleChar"/>
        </w:rPr>
        <w:t>’</w:t>
      </w:r>
      <w:r w:rsidRPr="00FF134F">
        <w:rPr>
          <w:rStyle w:val="SCCCounselPartyRoleChar"/>
        </w:rPr>
        <w:t>intervenant</w:t>
      </w:r>
      <w:r w:rsidR="00CE7D38" w:rsidRPr="00FF134F">
        <w:rPr>
          <w:rStyle w:val="SCCCounselPartyRoleChar"/>
        </w:rPr>
        <w:t>e</w:t>
      </w:r>
      <w:r w:rsidR="00244822" w:rsidRPr="00FF134F">
        <w:rPr>
          <w:rStyle w:val="SCCCounselPartyRoleChar"/>
        </w:rPr>
        <w:t xml:space="preserve"> Au</w:t>
      </w:r>
      <w:r w:rsidR="00FB2912">
        <w:rPr>
          <w:rStyle w:val="SCCCounselPartyRoleChar"/>
        </w:rPr>
        <w:t>-</w:t>
      </w:r>
      <w:r w:rsidR="00244822" w:rsidRPr="00FF134F">
        <w:rPr>
          <w:rStyle w:val="SCCCounselPartyRoleChar"/>
        </w:rPr>
        <w:t>delà des frontières</w:t>
      </w:r>
      <w:r w:rsidR="00BD64C8">
        <w:rPr>
          <w:rStyle w:val="SCCCounselPartyRoleChar"/>
        </w:rPr>
        <w:t>.</w:t>
      </w:r>
      <w:r w:rsidR="00982752" w:rsidRPr="00FF134F">
        <w:rPr>
          <w:rStyle w:val="SCCCounselPartyRoleChar"/>
        </w:rPr>
        <w:t xml:space="preserve"> </w:t>
      </w:r>
    </w:p>
    <w:p w:rsidR="00FB2912" w:rsidRPr="00A727C7" w:rsidRDefault="00FB2912" w:rsidP="00A727C7">
      <w:pPr>
        <w:pStyle w:val="SCCNormalDoubleSpacing"/>
        <w:spacing w:after="480"/>
      </w:pPr>
      <w:r>
        <w:rPr>
          <w:rStyle w:val="SCCCounselPartyRoleChar"/>
        </w:rPr>
        <w:tab/>
        <w:t>Personne n’a comparu pour les intimées.</w:t>
      </w:r>
    </w:p>
    <w:p w:rsidR="00FF31BC" w:rsidRPr="00A727C7" w:rsidRDefault="00FF31BC" w:rsidP="00FF31BC">
      <w:pPr>
        <w:pStyle w:val="JudgeJuge"/>
        <w:spacing w:before="480"/>
        <w:rPr>
          <w:smallCaps w:val="0"/>
          <w:szCs w:val="24"/>
          <w:lang w:val="fr-CA"/>
        </w:rPr>
      </w:pPr>
      <w:r w:rsidRPr="009903BE">
        <w:rPr>
          <w:szCs w:val="24"/>
          <w:lang w:val="fr-CA"/>
        </w:rPr>
        <w:tab/>
      </w:r>
      <w:r w:rsidR="00A727C7">
        <w:rPr>
          <w:smallCaps w:val="0"/>
          <w:szCs w:val="24"/>
          <w:lang w:val="fr-CA"/>
        </w:rPr>
        <w:t>Version française du jugement de la Cour rendu par</w:t>
      </w:r>
    </w:p>
    <w:p w:rsidR="00FF31BC" w:rsidRPr="009903BE" w:rsidRDefault="00A727C7" w:rsidP="00FF31BC">
      <w:pPr>
        <w:pStyle w:val="ParaNoNdepar-AltN"/>
        <w:rPr>
          <w:rFonts w:cs="Times New Roman"/>
          <w:szCs w:val="24"/>
          <w:lang w:val="fr-CA"/>
        </w:rPr>
      </w:pPr>
      <w:r w:rsidRPr="00A727C7">
        <w:rPr>
          <w:smallCaps/>
          <w:szCs w:val="24"/>
          <w:lang w:val="fr-CA"/>
        </w:rPr>
        <w:t>La juge Abella</w:t>
      </w:r>
      <w:r w:rsidRPr="009903BE">
        <w:rPr>
          <w:szCs w:val="24"/>
          <w:lang w:val="fr-CA"/>
        </w:rPr>
        <w:t xml:space="preserve"> — </w:t>
      </w:r>
      <w:r w:rsidR="00FF31BC" w:rsidRPr="009903BE">
        <w:rPr>
          <w:rFonts w:cs="Times New Roman"/>
          <w:szCs w:val="24"/>
          <w:lang w:val="fr-CA"/>
        </w:rPr>
        <w:t xml:space="preserve">Le 4 mars 2010, A.B., une adolescente de 15 ans, a découvert que quelqu’un avait affiché un profil sur </w:t>
      </w:r>
      <w:proofErr w:type="spellStart"/>
      <w:r w:rsidR="00FF31BC" w:rsidRPr="009903BE">
        <w:rPr>
          <w:rFonts w:cs="Times New Roman"/>
          <w:szCs w:val="24"/>
          <w:lang w:val="fr-CA"/>
        </w:rPr>
        <w:t>Facebook</w:t>
      </w:r>
      <w:proofErr w:type="spellEnd"/>
      <w:r w:rsidR="00FF31BC" w:rsidRPr="009903BE">
        <w:rPr>
          <w:rFonts w:cs="Times New Roman"/>
          <w:szCs w:val="24"/>
          <w:lang w:val="fr-CA"/>
        </w:rPr>
        <w:t xml:space="preserve"> en utilisant sa photographie, une version légèrement modifiée de son nom et d’autres détails qui l’identifiaient.  À la photographie s’ajoutaient des commentaires désobligeants sur l’apparence physique de l’adolescente ainsi que des allusions sexuellement explicites.  La page a été supprimée par le fournisseur Internet plus tard ce </w:t>
      </w:r>
      <w:proofErr w:type="spellStart"/>
      <w:r w:rsidR="00FF31BC" w:rsidRPr="009903BE">
        <w:rPr>
          <w:rFonts w:cs="Times New Roman"/>
          <w:szCs w:val="24"/>
          <w:lang w:val="fr-CA"/>
        </w:rPr>
        <w:t>mois</w:t>
      </w:r>
      <w:r w:rsidR="00FF31BC" w:rsidRPr="009903BE">
        <w:rPr>
          <w:rFonts w:cs="Times New Roman"/>
          <w:szCs w:val="24"/>
          <w:lang w:val="fr-CA"/>
        </w:rPr>
        <w:noBreakHyphen/>
        <w:t>là</w:t>
      </w:r>
      <w:proofErr w:type="spellEnd"/>
      <w:r w:rsidR="00FF31BC" w:rsidRPr="009903BE">
        <w:rPr>
          <w:rFonts w:cs="Times New Roman"/>
          <w:szCs w:val="24"/>
          <w:lang w:val="fr-CA"/>
        </w:rPr>
        <w:t>.</w:t>
      </w:r>
    </w:p>
    <w:p w:rsidR="00FF31BC" w:rsidRPr="009903BE" w:rsidRDefault="00FF31BC" w:rsidP="00FF31BC">
      <w:pPr>
        <w:pStyle w:val="ParaNoNdepar-AltN"/>
        <w:rPr>
          <w:rFonts w:cs="Times New Roman"/>
          <w:szCs w:val="24"/>
          <w:lang w:val="fr-CA"/>
        </w:rPr>
      </w:pPr>
      <w:r w:rsidRPr="009903BE">
        <w:rPr>
          <w:rFonts w:cs="Times New Roman"/>
          <w:szCs w:val="24"/>
          <w:lang w:val="fr-CA"/>
        </w:rPr>
        <w:lastRenderedPageBreak/>
        <w:t xml:space="preserve">Une fois avisé de la situation, l’avocat de </w:t>
      </w:r>
      <w:proofErr w:type="spellStart"/>
      <w:r w:rsidRPr="009903BE">
        <w:rPr>
          <w:rFonts w:cs="Times New Roman"/>
          <w:szCs w:val="24"/>
          <w:lang w:val="fr-CA"/>
        </w:rPr>
        <w:t>Facebook</w:t>
      </w:r>
      <w:proofErr w:type="spellEnd"/>
      <w:r w:rsidRPr="009903BE">
        <w:rPr>
          <w:rFonts w:cs="Times New Roman"/>
          <w:szCs w:val="24"/>
          <w:lang w:val="fr-CA"/>
        </w:rPr>
        <w:t xml:space="preserve"> à </w:t>
      </w:r>
      <w:proofErr w:type="spellStart"/>
      <w:r w:rsidRPr="009903BE">
        <w:rPr>
          <w:rFonts w:cs="Times New Roman"/>
          <w:szCs w:val="24"/>
          <w:lang w:val="fr-CA"/>
        </w:rPr>
        <w:t>Palo</w:t>
      </w:r>
      <w:proofErr w:type="spellEnd"/>
      <w:r w:rsidRPr="009903BE">
        <w:rPr>
          <w:rFonts w:cs="Times New Roman"/>
          <w:szCs w:val="24"/>
          <w:lang w:val="fr-CA"/>
        </w:rPr>
        <w:t xml:space="preserve"> Alto, en Californie, a fourni l’adresse IP associée au compte qui aurait été située à Dartmouth, en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xml:space="preserve">.  L’avocate de l’adolescente a établi qu’il s’agissait d’une « adresse </w:t>
      </w:r>
      <w:proofErr w:type="spellStart"/>
      <w:r w:rsidRPr="009903BE">
        <w:rPr>
          <w:rFonts w:cs="Times New Roman"/>
          <w:szCs w:val="24"/>
          <w:lang w:val="fr-CA"/>
        </w:rPr>
        <w:t>Eastlink</w:t>
      </w:r>
      <w:proofErr w:type="spellEnd"/>
      <w:r w:rsidRPr="009903BE">
        <w:rPr>
          <w:rFonts w:cs="Times New Roman"/>
          <w:szCs w:val="24"/>
          <w:lang w:val="fr-CA"/>
        </w:rPr>
        <w:t xml:space="preserve"> » située à Dartmouth, en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Une enquête plus poussée a confirmé que l’intimée Bragg Communications est la propriétaire d’</w:t>
      </w:r>
      <w:proofErr w:type="spellStart"/>
      <w:r w:rsidRPr="009903BE">
        <w:rPr>
          <w:rFonts w:cs="Times New Roman"/>
          <w:szCs w:val="24"/>
          <w:lang w:val="fr-CA"/>
        </w:rPr>
        <w:t>Eastlink</w:t>
      </w:r>
      <w:proofErr w:type="spellEnd"/>
      <w:r w:rsidRPr="009903BE">
        <w:rPr>
          <w:rFonts w:cs="Times New Roman"/>
          <w:szCs w:val="24"/>
          <w:lang w:val="fr-CA"/>
        </w:rPr>
        <w:t xml:space="preserve">, un fournisseur de services Internet et de divertissement au Canada atlantique.  </w:t>
      </w:r>
    </w:p>
    <w:p w:rsidR="00FF31BC" w:rsidRPr="009903BE" w:rsidRDefault="00FF31BC" w:rsidP="00FF31BC">
      <w:pPr>
        <w:pStyle w:val="ParaNoNdepar-AltN"/>
        <w:rPr>
          <w:rFonts w:cs="Times New Roman"/>
          <w:szCs w:val="24"/>
          <w:lang w:val="fr-CA"/>
        </w:rPr>
      </w:pPr>
      <w:proofErr w:type="spellStart"/>
      <w:r w:rsidRPr="009903BE">
        <w:rPr>
          <w:rFonts w:cs="Times New Roman"/>
          <w:szCs w:val="24"/>
          <w:lang w:val="fr-CA"/>
        </w:rPr>
        <w:t>Eastlink</w:t>
      </w:r>
      <w:proofErr w:type="spellEnd"/>
      <w:r w:rsidRPr="009903BE">
        <w:rPr>
          <w:rFonts w:cs="Times New Roman"/>
          <w:szCs w:val="24"/>
          <w:lang w:val="fr-CA"/>
        </w:rPr>
        <w:t xml:space="preserve"> a consenti à donner des renseignements plus précis au sujet de l’adresse si un tribunal l’autorisait à le faire.  Par conséquent, A.B., représentée par son père en qualité de tuteur, a présenté, en vertu des </w:t>
      </w:r>
      <w:r w:rsidRPr="009903BE">
        <w:rPr>
          <w:rFonts w:cs="Times New Roman"/>
          <w:i/>
          <w:szCs w:val="24"/>
          <w:lang w:val="fr-CA"/>
        </w:rPr>
        <w:t xml:space="preserve">Civil </w:t>
      </w:r>
      <w:proofErr w:type="spellStart"/>
      <w:r w:rsidRPr="009903BE">
        <w:rPr>
          <w:rFonts w:cs="Times New Roman"/>
          <w:i/>
          <w:szCs w:val="24"/>
          <w:lang w:val="fr-CA"/>
        </w:rPr>
        <w:t>Procedure</w:t>
      </w:r>
      <w:proofErr w:type="spellEnd"/>
      <w:r w:rsidRPr="009903BE">
        <w:rPr>
          <w:rFonts w:cs="Times New Roman"/>
          <w:i/>
          <w:szCs w:val="24"/>
          <w:lang w:val="fr-CA"/>
        </w:rPr>
        <w:t xml:space="preserve"> </w:t>
      </w:r>
      <w:proofErr w:type="spellStart"/>
      <w:r w:rsidRPr="009903BE">
        <w:rPr>
          <w:rFonts w:cs="Times New Roman"/>
          <w:i/>
          <w:szCs w:val="24"/>
          <w:lang w:val="fr-CA"/>
        </w:rPr>
        <w:t>Rules</w:t>
      </w:r>
      <w:proofErr w:type="spellEnd"/>
      <w:r w:rsidRPr="009903BE">
        <w:rPr>
          <w:rFonts w:cs="Times New Roman"/>
          <w:szCs w:val="24"/>
          <w:lang w:val="fr-CA"/>
        </w:rPr>
        <w:t xml:space="preserve">, N.S. Reg. 370/2008 de la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xml:space="preserve">, une demande préliminaire en vue d’obtenir une ordonnance obligeant </w:t>
      </w:r>
      <w:proofErr w:type="spellStart"/>
      <w:r w:rsidRPr="009903BE">
        <w:rPr>
          <w:rFonts w:cs="Times New Roman"/>
          <w:szCs w:val="24"/>
          <w:lang w:val="fr-CA"/>
        </w:rPr>
        <w:t>Eastlink</w:t>
      </w:r>
      <w:proofErr w:type="spellEnd"/>
      <w:r w:rsidRPr="009903BE">
        <w:rPr>
          <w:rFonts w:cs="Times New Roman"/>
          <w:szCs w:val="24"/>
          <w:lang w:val="fr-CA"/>
        </w:rPr>
        <w:t xml:space="preserve"> à divulguer l’identité de la personne ou des personnes qui ont utilisé l’adresse IP pour publier le profil afin de l’aider à identifier les défendeurs potentiels en vue d’une action en diffamation.  Dans son avis de demande, elle a déclaré qu’elle </w:t>
      </w:r>
      <w:r w:rsidRPr="009903BE">
        <w:rPr>
          <w:rFonts w:cs="Times New Roman"/>
          <w:smallCaps/>
          <w:szCs w:val="24"/>
          <w:lang w:val="fr-CA"/>
        </w:rPr>
        <w:t>[traduction]</w:t>
      </w:r>
      <w:r w:rsidRPr="009903BE">
        <w:rPr>
          <w:rFonts w:cs="Times New Roman"/>
          <w:szCs w:val="24"/>
          <w:lang w:val="fr-CA"/>
        </w:rPr>
        <w:t xml:space="preserve"> « a subi un préjudice et qu’elle cherche à minimiser le risque de préjudice supplémentaire » (</w:t>
      </w:r>
      <w:proofErr w:type="gramStart"/>
      <w:r w:rsidRPr="009903BE">
        <w:rPr>
          <w:rFonts w:cs="Times New Roman"/>
          <w:szCs w:val="24"/>
          <w:lang w:val="fr-CA"/>
        </w:rPr>
        <w:t>d.a.,</w:t>
      </w:r>
      <w:proofErr w:type="gramEnd"/>
      <w:r w:rsidRPr="009903BE">
        <w:rPr>
          <w:rFonts w:cs="Times New Roman"/>
          <w:szCs w:val="24"/>
          <w:lang w:val="fr-CA"/>
        </w:rPr>
        <w:t xml:space="preserve"> p. 98).  Dans le cadre de sa demande, elle a sollicité de la cour la permission de chercher de façon anonyme l’identité de l’auteur du faux profil ainsi qu’une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visant le contenu du faux profil </w:t>
      </w:r>
      <w:proofErr w:type="spellStart"/>
      <w:r w:rsidRPr="009903BE">
        <w:rPr>
          <w:rFonts w:cs="Times New Roman"/>
          <w:szCs w:val="24"/>
          <w:lang w:val="fr-CA"/>
        </w:rPr>
        <w:t>Facebook</w:t>
      </w:r>
      <w:proofErr w:type="spellEnd"/>
      <w:r w:rsidRPr="009903BE">
        <w:rPr>
          <w:rFonts w:cs="Times New Roman"/>
          <w:szCs w:val="24"/>
          <w:lang w:val="fr-CA"/>
        </w:rPr>
        <w:t>.  Elle n’a pas demandé que l’audience soit tenue à huis clos.</w:t>
      </w:r>
    </w:p>
    <w:p w:rsidR="00FF31BC" w:rsidRPr="009903BE" w:rsidRDefault="00FF31BC" w:rsidP="00FF31BC">
      <w:pPr>
        <w:pStyle w:val="ParaNoNdepar-AltN"/>
        <w:rPr>
          <w:rFonts w:cs="Times New Roman"/>
          <w:szCs w:val="24"/>
          <w:lang w:val="fr-CA"/>
        </w:rPr>
      </w:pPr>
      <w:proofErr w:type="spellStart"/>
      <w:r w:rsidRPr="009903BE">
        <w:rPr>
          <w:rFonts w:cs="Times New Roman"/>
          <w:szCs w:val="24"/>
          <w:lang w:val="fr-CA"/>
        </w:rPr>
        <w:lastRenderedPageBreak/>
        <w:t>Eastlink</w:t>
      </w:r>
      <w:proofErr w:type="spellEnd"/>
      <w:r w:rsidRPr="009903BE">
        <w:rPr>
          <w:rFonts w:cs="Times New Roman"/>
          <w:szCs w:val="24"/>
          <w:lang w:val="fr-CA"/>
        </w:rPr>
        <w:t xml:space="preserve"> n’a pas contesté la demande.  Le Halifax Herald et Global </w:t>
      </w:r>
      <w:proofErr w:type="spellStart"/>
      <w:r w:rsidRPr="009903BE">
        <w:rPr>
          <w:rFonts w:cs="Times New Roman"/>
          <w:szCs w:val="24"/>
          <w:lang w:val="fr-CA"/>
        </w:rPr>
        <w:t>Television</w:t>
      </w:r>
      <w:proofErr w:type="spellEnd"/>
      <w:r w:rsidRPr="009903BE">
        <w:rPr>
          <w:rFonts w:cs="Times New Roman"/>
          <w:szCs w:val="24"/>
          <w:lang w:val="fr-CA"/>
        </w:rPr>
        <w:t xml:space="preserve"> ont pris connaissance de la demande de l’adolescente lorsque l’avis de la demande en vue d’obtenir 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a été affiché automatiquement sur le site Web de la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xml:space="preserve"> sur les avis aux médias concernant les ordonnances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Ils ont informé la cour qu’ils contestaient les deux demandes de l’adolescente, soit la demande concernant le droit de procéder de façon anonyme et la demande en vue d’obtenir 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La cour a accordé l’ordonnance obligeant </w:t>
      </w:r>
      <w:proofErr w:type="spellStart"/>
      <w:r w:rsidRPr="009903BE">
        <w:rPr>
          <w:rFonts w:cs="Times New Roman"/>
          <w:szCs w:val="24"/>
          <w:lang w:val="fr-CA"/>
        </w:rPr>
        <w:t>Eastlink</w:t>
      </w:r>
      <w:proofErr w:type="spellEnd"/>
      <w:r w:rsidRPr="009903BE">
        <w:rPr>
          <w:rFonts w:cs="Times New Roman"/>
          <w:szCs w:val="24"/>
          <w:lang w:val="fr-CA"/>
        </w:rPr>
        <w:t xml:space="preserve"> à communiquer des renseignements sur l’auteur du faux profil </w:t>
      </w:r>
      <w:proofErr w:type="spellStart"/>
      <w:r w:rsidRPr="009903BE">
        <w:rPr>
          <w:rFonts w:cs="Times New Roman"/>
          <w:szCs w:val="24"/>
          <w:lang w:val="fr-CA"/>
        </w:rPr>
        <w:t>Facebook</w:t>
      </w:r>
      <w:proofErr w:type="spellEnd"/>
      <w:r w:rsidRPr="009903BE">
        <w:rPr>
          <w:rFonts w:cs="Times New Roman"/>
          <w:szCs w:val="24"/>
          <w:lang w:val="fr-CA"/>
        </w:rPr>
        <w:t xml:space="preserve"> au motif qu’une preuve </w:t>
      </w:r>
      <w:r w:rsidRPr="009903BE">
        <w:rPr>
          <w:rFonts w:cs="Times New Roman"/>
          <w:i/>
          <w:szCs w:val="24"/>
          <w:lang w:val="fr-CA"/>
        </w:rPr>
        <w:t xml:space="preserve">prima </w:t>
      </w:r>
      <w:proofErr w:type="spellStart"/>
      <w:r w:rsidRPr="009903BE">
        <w:rPr>
          <w:rFonts w:cs="Times New Roman"/>
          <w:i/>
          <w:szCs w:val="24"/>
          <w:lang w:val="fr-CA"/>
        </w:rPr>
        <w:t>facie</w:t>
      </w:r>
      <w:proofErr w:type="spellEnd"/>
      <w:r w:rsidRPr="009903BE">
        <w:rPr>
          <w:rFonts w:cs="Times New Roman"/>
          <w:szCs w:val="24"/>
          <w:lang w:val="fr-CA"/>
        </w:rPr>
        <w:t xml:space="preserve"> de diffamation avait été établie et qu’il n’y avait aucun autre moyen pour établir l’identité de la personne qui avait publié la diffamation.  La cour a toutefois refusé la demande de procéder de façon anonyme ainsi que l’ordonnance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parce qu’il n’y avait pas suffisamment d’éléments de preuve d’un préjudice particulier causé à l’adolescente.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 juge a sursis à l’exécution de cette partie de l’ordonnance obligeant </w:t>
      </w:r>
      <w:proofErr w:type="spellStart"/>
      <w:r w:rsidRPr="009903BE">
        <w:rPr>
          <w:rFonts w:cs="Times New Roman"/>
          <w:szCs w:val="24"/>
          <w:lang w:val="fr-CA"/>
        </w:rPr>
        <w:t>Eastlink</w:t>
      </w:r>
      <w:proofErr w:type="spellEnd"/>
      <w:r w:rsidRPr="009903BE">
        <w:rPr>
          <w:rFonts w:cs="Times New Roman"/>
          <w:szCs w:val="24"/>
          <w:lang w:val="fr-CA"/>
        </w:rPr>
        <w:t xml:space="preserve"> à divulguer l’identité de l’auteur jusqu’à ce que l’adolescente obtienne en appel l’autorisation de procéder de façon anonyme ou qu’elle dépose un projet d’ordonnance en utilisant son propre nom et celui de son père.  </w:t>
      </w:r>
    </w:p>
    <w:p w:rsidR="00FF31BC" w:rsidRPr="009903BE" w:rsidRDefault="00FF31BC" w:rsidP="00FF31BC">
      <w:pPr>
        <w:pStyle w:val="ParaNoNdepar-AltN"/>
        <w:rPr>
          <w:rFonts w:cs="Times New Roman"/>
          <w:szCs w:val="24"/>
          <w:lang w:val="fr-CA"/>
        </w:rPr>
      </w:pPr>
      <w:r w:rsidRPr="009903BE">
        <w:rPr>
          <w:rFonts w:cs="Times New Roman"/>
          <w:szCs w:val="24"/>
          <w:lang w:val="fr-CA"/>
        </w:rPr>
        <w:lastRenderedPageBreak/>
        <w:t xml:space="preserve">La Cour d’appel a confirmé cette décision pour le motif principal que l’adolescente ne s’était pas acquittée du fardeau de démontrer l’existence d’un véritable préjudice important justifiant la restriction de l’accès des médias.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Les deux cours ont condamné l’adolescente aux dépens en faveur des deux médias.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Je suis d’avis que les tribunaux inférieurs ont eu tort de ne pas tenir compte du préjudice objectivement discernable causé à A.B.  Je conviens avec cette dernière qu’elle devrait se voir conférer le droit de procéder de façon anonyme, mais une fois son identité protégée, je ne vois aucune raison de rendre une autre ordonnance interdisant la publication du contenu du faux profil </w:t>
      </w:r>
      <w:proofErr w:type="spellStart"/>
      <w:r w:rsidRPr="009903BE">
        <w:rPr>
          <w:rFonts w:cs="Times New Roman"/>
          <w:szCs w:val="24"/>
          <w:lang w:val="fr-CA"/>
        </w:rPr>
        <w:t>Facebook</w:t>
      </w:r>
      <w:proofErr w:type="spellEnd"/>
      <w:r w:rsidRPr="009903BE">
        <w:rPr>
          <w:rFonts w:cs="Times New Roman"/>
          <w:szCs w:val="24"/>
          <w:lang w:val="fr-CA"/>
        </w:rPr>
        <w:t xml:space="preserve"> qui ne permet pas d’identifier A.B.</w:t>
      </w:r>
    </w:p>
    <w:p w:rsidR="00FF31BC" w:rsidRPr="009903BE" w:rsidRDefault="00FF31BC" w:rsidP="00FF31BC">
      <w:pPr>
        <w:pStyle w:val="TitleTitre-AltT"/>
        <w:outlineLvl w:val="0"/>
        <w:rPr>
          <w:u w:val="single"/>
          <w:lang w:val="fr-CA"/>
        </w:rPr>
      </w:pPr>
      <w:r w:rsidRPr="009903BE">
        <w:rPr>
          <w:u w:val="single"/>
          <w:lang w:val="fr-CA"/>
        </w:rPr>
        <w:t>Analyse</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 pourvoi de A.B. devant notre Cour se fonde sur ce qu’elle affirme être l’incapacité des tribunaux inférieurs d’établir un juste équilibre entre les risques concurrentiels en l’espèce, à savoir le préjudice inhérent à la divulgation de son identité par rapport au risque d’atteinte au principe de la publicité des débats judiciaires si A.B. obtient la permission de procéder de façon anonyme et d’être protégée par 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A.B. plaide que si sa vie privée n’est pas protégée, les jeunes qui, comme elle, sont victimes de </w:t>
      </w:r>
      <w:proofErr w:type="spellStart"/>
      <w:r w:rsidRPr="009903BE">
        <w:rPr>
          <w:rFonts w:cs="Times New Roman"/>
          <w:szCs w:val="24"/>
          <w:lang w:val="fr-CA"/>
        </w:rPr>
        <w:t>cyberintimidation</w:t>
      </w:r>
      <w:proofErr w:type="spellEnd"/>
      <w:r w:rsidRPr="009903BE">
        <w:rPr>
          <w:rFonts w:cs="Times New Roman"/>
          <w:szCs w:val="24"/>
          <w:lang w:val="fr-CA"/>
        </w:rPr>
        <w:t xml:space="preserve"> à </w:t>
      </w:r>
      <w:r w:rsidRPr="009903BE">
        <w:rPr>
          <w:rFonts w:cs="Times New Roman"/>
          <w:szCs w:val="24"/>
          <w:lang w:val="fr-CA"/>
        </w:rPr>
        <w:lastRenderedPageBreak/>
        <w:t xml:space="preserve">caractère sexuel refuseront de faire valoir leur droit à une protection et se verront en conséquence refuser l’accès à la justice.  </w:t>
      </w:r>
    </w:p>
    <w:p w:rsidR="00FF31BC" w:rsidRPr="009903BE" w:rsidRDefault="00FF31BC" w:rsidP="00FF31BC">
      <w:pPr>
        <w:pStyle w:val="ParaNoNdepar-AltN"/>
        <w:tabs>
          <w:tab w:val="clear" w:pos="1152"/>
          <w:tab w:val="left" w:pos="1166"/>
        </w:tabs>
        <w:rPr>
          <w:rFonts w:cs="Times New Roman"/>
          <w:szCs w:val="24"/>
          <w:lang w:val="fr-CA"/>
        </w:rPr>
      </w:pPr>
      <w:r w:rsidRPr="009903BE">
        <w:rPr>
          <w:rFonts w:cs="Times New Roman"/>
          <w:szCs w:val="24"/>
          <w:lang w:val="fr-CA"/>
        </w:rPr>
        <w:t>Le principe de la publicité des débats judiciaires exige qu’en règle générale, les procédures judiciaires soient accessibles au public et aux médias.  On a dit de ce principe qu’il est une « caractéristique d’une société démocratique » (</w:t>
      </w:r>
      <w:r w:rsidRPr="009903BE">
        <w:rPr>
          <w:rFonts w:cs="Times New Roman"/>
          <w:i/>
          <w:szCs w:val="24"/>
          <w:lang w:val="fr-CA"/>
        </w:rPr>
        <w:t>Vancouver Sun (</w:t>
      </w:r>
      <w:proofErr w:type="spellStart"/>
      <w:r w:rsidRPr="009903BE">
        <w:rPr>
          <w:rFonts w:cs="Times New Roman"/>
          <w:i/>
          <w:szCs w:val="24"/>
          <w:lang w:val="fr-CA"/>
        </w:rPr>
        <w:t>Re</w:t>
      </w:r>
      <w:proofErr w:type="spellEnd"/>
      <w:r w:rsidRPr="009903BE">
        <w:rPr>
          <w:rFonts w:cs="Times New Roman"/>
          <w:i/>
          <w:szCs w:val="24"/>
          <w:lang w:val="fr-CA"/>
        </w:rPr>
        <w:t>)</w:t>
      </w:r>
      <w:r w:rsidRPr="009903BE">
        <w:rPr>
          <w:rFonts w:cs="Times New Roman"/>
          <w:szCs w:val="24"/>
          <w:lang w:val="fr-CA"/>
        </w:rPr>
        <w:t xml:space="preserve">, [2004] 2 R.C.S. 332, par. 23) et il est inextricablement lié à la liberté d’expression.  A.B. a demandé deux mesures qui restreignent le principe de la publicité des débats judiciaires, à savoir le droit de procéder de façon anonyme et 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visant le contenu du faux profil </w:t>
      </w:r>
      <w:proofErr w:type="spellStart"/>
      <w:r w:rsidRPr="009903BE">
        <w:rPr>
          <w:rFonts w:cs="Times New Roman"/>
          <w:szCs w:val="24"/>
          <w:lang w:val="fr-CA"/>
        </w:rPr>
        <w:t>Facebook</w:t>
      </w:r>
      <w:proofErr w:type="spellEnd"/>
      <w:r w:rsidRPr="009903BE">
        <w:rPr>
          <w:rFonts w:cs="Times New Roman"/>
          <w:szCs w:val="24"/>
          <w:lang w:val="fr-CA"/>
        </w:rPr>
        <w:t xml:space="preserve">.  Il s’agit de déterminer si chacune de ces mesures est nécessaire pour assurer la protection d’un intérêt juridique important et porte le moins possible atteinte à la libre expression.  Si d’autres moyens permettent d’assurer tout aussi efficacement la protection des intérêts en jeu, la restriction est injustifiée.  S’il n’existe pas d’autres moyens d’assurer cette protection, il faut se demander si le juste équilibre a été établi entre le principe de la publicité des débats judiciaires et les droits de l’adolescente en matière de vie privée : </w:t>
      </w:r>
      <w:proofErr w:type="spellStart"/>
      <w:r w:rsidRPr="009903BE">
        <w:rPr>
          <w:rFonts w:cs="Times New Roman"/>
          <w:i/>
          <w:szCs w:val="24"/>
          <w:lang w:val="fr-CA"/>
        </w:rPr>
        <w:t>Dagenais</w:t>
      </w:r>
      <w:proofErr w:type="spellEnd"/>
      <w:r w:rsidRPr="009903BE">
        <w:rPr>
          <w:rFonts w:cs="Times New Roman"/>
          <w:i/>
          <w:szCs w:val="24"/>
          <w:lang w:val="fr-CA"/>
        </w:rPr>
        <w:t xml:space="preserve"> c. Société </w:t>
      </w:r>
      <w:proofErr w:type="spellStart"/>
      <w:r w:rsidRPr="009903BE">
        <w:rPr>
          <w:rFonts w:cs="Times New Roman"/>
          <w:i/>
          <w:szCs w:val="24"/>
          <w:lang w:val="fr-CA"/>
        </w:rPr>
        <w:t>Radio</w:t>
      </w:r>
      <w:r w:rsidRPr="009903BE">
        <w:rPr>
          <w:rFonts w:cs="Times New Roman"/>
          <w:i/>
          <w:szCs w:val="24"/>
          <w:lang w:val="fr-CA"/>
        </w:rPr>
        <w:noBreakHyphen/>
        <w:t>Canada</w:t>
      </w:r>
      <w:proofErr w:type="spellEnd"/>
      <w:r w:rsidRPr="009903BE">
        <w:rPr>
          <w:rFonts w:cs="Times New Roman"/>
          <w:szCs w:val="24"/>
          <w:lang w:val="fr-CA"/>
        </w:rPr>
        <w:t xml:space="preserve">, [1994] 3 R.C.S. 835; </w:t>
      </w:r>
      <w:r w:rsidRPr="009903BE">
        <w:rPr>
          <w:rFonts w:cs="Times New Roman"/>
          <w:i/>
          <w:szCs w:val="24"/>
          <w:lang w:val="fr-CA"/>
        </w:rPr>
        <w:t xml:space="preserve">R. c. </w:t>
      </w:r>
      <w:proofErr w:type="spellStart"/>
      <w:r w:rsidRPr="009903BE">
        <w:rPr>
          <w:rFonts w:cs="Times New Roman"/>
          <w:i/>
          <w:szCs w:val="24"/>
          <w:lang w:val="fr-CA"/>
        </w:rPr>
        <w:t>Mentuck</w:t>
      </w:r>
      <w:proofErr w:type="spellEnd"/>
      <w:r w:rsidRPr="009903BE">
        <w:rPr>
          <w:rFonts w:cs="Times New Roman"/>
          <w:szCs w:val="24"/>
          <w:lang w:val="fr-CA"/>
        </w:rPr>
        <w:t>, [2001] 3 R.C.S. 442.</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 Halifax Herald et Global </w:t>
      </w:r>
      <w:proofErr w:type="spellStart"/>
      <w:r w:rsidRPr="009903BE">
        <w:rPr>
          <w:rFonts w:cs="Times New Roman"/>
          <w:szCs w:val="24"/>
          <w:lang w:val="fr-CA"/>
        </w:rPr>
        <w:t>Television</w:t>
      </w:r>
      <w:proofErr w:type="spellEnd"/>
      <w:r w:rsidRPr="009903BE">
        <w:rPr>
          <w:rFonts w:cs="Times New Roman"/>
          <w:szCs w:val="24"/>
          <w:lang w:val="fr-CA"/>
        </w:rPr>
        <w:t xml:space="preserve"> n’ont pas pris part aux débats devant la Cour.  Leur « position » a toutefois été habilement présentée par un </w:t>
      </w:r>
      <w:proofErr w:type="spellStart"/>
      <w:r w:rsidRPr="009903BE">
        <w:rPr>
          <w:rFonts w:cs="Times New Roman"/>
          <w:i/>
          <w:szCs w:val="24"/>
          <w:lang w:val="fr-CA"/>
        </w:rPr>
        <w:t>amicus</w:t>
      </w:r>
      <w:proofErr w:type="spellEnd"/>
      <w:r w:rsidRPr="009903BE">
        <w:rPr>
          <w:rFonts w:cs="Times New Roman"/>
          <w:i/>
          <w:szCs w:val="24"/>
          <w:lang w:val="fr-CA"/>
        </w:rPr>
        <w:t xml:space="preserve"> </w:t>
      </w:r>
      <w:proofErr w:type="spellStart"/>
      <w:r w:rsidRPr="009903BE">
        <w:rPr>
          <w:rFonts w:cs="Times New Roman"/>
          <w:i/>
          <w:szCs w:val="24"/>
          <w:lang w:val="fr-CA"/>
        </w:rPr>
        <w:t>curiae</w:t>
      </w:r>
      <w:proofErr w:type="spellEnd"/>
      <w:r w:rsidRPr="009903BE">
        <w:rPr>
          <w:rFonts w:cs="Times New Roman"/>
          <w:szCs w:val="24"/>
          <w:lang w:val="fr-CA"/>
        </w:rPr>
        <w:t xml:space="preserve">.  Ce dernier s’est dit d’avis, comme la Cour d’appel, qu’en l’absence d’éléments de preuve d’un préjudice particulier causé à l’adolescente, le simple fait </w:t>
      </w:r>
      <w:r w:rsidRPr="009903BE">
        <w:rPr>
          <w:rFonts w:cs="Times New Roman"/>
          <w:szCs w:val="24"/>
          <w:lang w:val="fr-CA"/>
        </w:rPr>
        <w:lastRenderedPageBreak/>
        <w:t>de l’âge de cette dernière ne supplante pas le principe de la publicité des débats judiciaires ni la liberté de la presse.</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Depuis l’arrêt </w:t>
      </w:r>
      <w:r w:rsidRPr="009903BE">
        <w:rPr>
          <w:rFonts w:cs="Times New Roman"/>
          <w:i/>
          <w:szCs w:val="24"/>
          <w:lang w:val="fr-CA"/>
        </w:rPr>
        <w:t>Edmonton Journal c. Alberta (Procureur général)</w:t>
      </w:r>
      <w:r w:rsidRPr="009903BE">
        <w:rPr>
          <w:rFonts w:cs="Times New Roman"/>
          <w:szCs w:val="24"/>
          <w:lang w:val="fr-CA"/>
        </w:rPr>
        <w:t xml:space="preserve">, [1989] 2 R.C.S. 1326, la jurisprudence a reconnu avec ténacité l’importance cruciale du principe de la publicité des débats judiciaires et de la liberté de la presse et il n’y a pas lieu d’y revenir.  Il convient, par contre, d’examiner les intérêts qui justifieraient la restriction de l’accès aux tribunaux en l’espèce, soit la protection de la vie privée et la protection des enfants contre la </w:t>
      </w:r>
      <w:proofErr w:type="spellStart"/>
      <w:r w:rsidRPr="009903BE">
        <w:rPr>
          <w:rFonts w:cs="Times New Roman"/>
          <w:szCs w:val="24"/>
          <w:lang w:val="fr-CA"/>
        </w:rPr>
        <w:t>cyberintimidation</w:t>
      </w:r>
      <w:proofErr w:type="spellEnd"/>
      <w:r w:rsidRPr="009903BE">
        <w:rPr>
          <w:rFonts w:cs="Times New Roman"/>
          <w:szCs w:val="24"/>
          <w:lang w:val="fr-CA"/>
        </w:rPr>
        <w:t xml:space="preserve">.  Il faut démontrer que le besoin de protéger ces intérêts justifie des restrictions à la liberté de la presse et au droit à la publicité des débats judiciaires.  Comme l’a fait remarquer le juge Dickson dans </w:t>
      </w:r>
      <w:r w:rsidRPr="009903BE">
        <w:rPr>
          <w:rFonts w:cs="Times New Roman"/>
          <w:i/>
          <w:szCs w:val="24"/>
          <w:lang w:val="fr-CA"/>
        </w:rPr>
        <w:t xml:space="preserve">Procureur général de la </w:t>
      </w:r>
      <w:proofErr w:type="spellStart"/>
      <w:r w:rsidRPr="009903BE">
        <w:rPr>
          <w:rFonts w:cs="Times New Roman"/>
          <w:i/>
          <w:szCs w:val="24"/>
          <w:lang w:val="fr-CA"/>
        </w:rPr>
        <w:t>Nouvelle</w:t>
      </w:r>
      <w:r w:rsidRPr="009903BE">
        <w:rPr>
          <w:rFonts w:cs="Times New Roman"/>
          <w:i/>
          <w:szCs w:val="24"/>
          <w:lang w:val="fr-CA"/>
        </w:rPr>
        <w:noBreakHyphen/>
        <w:t>Écosse</w:t>
      </w:r>
      <w:proofErr w:type="spellEnd"/>
      <w:r w:rsidRPr="009903BE">
        <w:rPr>
          <w:rFonts w:cs="Times New Roman"/>
          <w:i/>
          <w:szCs w:val="24"/>
          <w:lang w:val="fr-CA"/>
        </w:rPr>
        <w:t xml:space="preserve"> c. </w:t>
      </w:r>
      <w:proofErr w:type="spellStart"/>
      <w:r w:rsidRPr="009903BE">
        <w:rPr>
          <w:rFonts w:cs="Times New Roman"/>
          <w:i/>
          <w:szCs w:val="24"/>
          <w:lang w:val="fr-CA"/>
        </w:rPr>
        <w:t>MacIntyre</w:t>
      </w:r>
      <w:proofErr w:type="spellEnd"/>
      <w:r w:rsidRPr="009903BE">
        <w:rPr>
          <w:rFonts w:cs="Times New Roman"/>
          <w:szCs w:val="24"/>
          <w:lang w:val="fr-CA"/>
        </w:rPr>
        <w:t>, [1982] 1 R.C.S. 175, dans certains cas, la protection des valeurs sociales doit prévaloir sur la transparence des procédures judiciaires (p. 186</w:t>
      </w:r>
      <w:r w:rsidRPr="009903BE">
        <w:rPr>
          <w:rFonts w:cs="Times New Roman"/>
          <w:szCs w:val="24"/>
          <w:lang w:val="fr-CA"/>
        </w:rPr>
        <w:noBreakHyphen/>
        <w:t>187).</w:t>
      </w:r>
    </w:p>
    <w:p w:rsidR="00FF31BC" w:rsidRPr="009903BE" w:rsidRDefault="00FF31BC" w:rsidP="00FF31BC">
      <w:pPr>
        <w:pStyle w:val="ParaNoNdepar-AltN"/>
        <w:rPr>
          <w:rFonts w:cs="Times New Roman"/>
          <w:szCs w:val="24"/>
          <w:lang w:val="en-US"/>
        </w:rPr>
      </w:pPr>
      <w:r w:rsidRPr="009903BE">
        <w:rPr>
          <w:rFonts w:cs="Times New Roman"/>
          <w:szCs w:val="24"/>
          <w:lang w:val="fr-CA"/>
        </w:rPr>
        <w:t xml:space="preserve">En l’espèce, les intérêts de l’adolescente en matière de vie privée se rattachent à son âge et à la nature de la victimisation contre laquelle elle demande la protection.  Il ne s’agit pas simplement d’une question de protection de sa vie privée, mais de sa protection contre l’humiliation constamment envahissante liée à l’intimidation à caractère sexuel en ligne : Carole </w:t>
      </w:r>
      <w:proofErr w:type="spellStart"/>
      <w:r w:rsidRPr="009903BE">
        <w:rPr>
          <w:rFonts w:cs="Times New Roman"/>
          <w:szCs w:val="24"/>
          <w:lang w:val="fr-CA"/>
        </w:rPr>
        <w:t>Lucock</w:t>
      </w:r>
      <w:proofErr w:type="spellEnd"/>
      <w:r w:rsidRPr="009903BE">
        <w:rPr>
          <w:rFonts w:cs="Times New Roman"/>
          <w:szCs w:val="24"/>
          <w:lang w:val="fr-CA"/>
        </w:rPr>
        <w:t xml:space="preserve"> et Michael Yeo, « </w:t>
      </w:r>
      <w:proofErr w:type="spellStart"/>
      <w:r w:rsidRPr="009903BE">
        <w:rPr>
          <w:rFonts w:eastAsiaTheme="minorHAnsi" w:cs="Times New Roman"/>
          <w:szCs w:val="24"/>
          <w:lang w:val="fr-CA"/>
        </w:rPr>
        <w:t>Naming</w:t>
      </w:r>
      <w:proofErr w:type="spellEnd"/>
      <w:r w:rsidRPr="009903BE">
        <w:rPr>
          <w:rFonts w:eastAsiaTheme="minorHAnsi" w:cs="Times New Roman"/>
          <w:szCs w:val="24"/>
          <w:lang w:val="fr-CA"/>
        </w:rPr>
        <w:t xml:space="preserve"> </w:t>
      </w:r>
      <w:proofErr w:type="spellStart"/>
      <w:r w:rsidRPr="009903BE">
        <w:rPr>
          <w:rFonts w:eastAsiaTheme="minorHAnsi" w:cs="Times New Roman"/>
          <w:szCs w:val="24"/>
          <w:lang w:val="fr-CA"/>
        </w:rPr>
        <w:t>Names</w:t>
      </w:r>
      <w:proofErr w:type="spellEnd"/>
      <w:r w:rsidRPr="009903BE">
        <w:rPr>
          <w:rFonts w:eastAsiaTheme="minorHAnsi" w:cs="Times New Roman"/>
          <w:szCs w:val="24"/>
          <w:lang w:val="fr-CA"/>
        </w:rPr>
        <w:t xml:space="preserve"> : The </w:t>
      </w:r>
      <w:proofErr w:type="spellStart"/>
      <w:r w:rsidRPr="009903BE">
        <w:rPr>
          <w:rFonts w:eastAsiaTheme="minorHAnsi" w:cs="Times New Roman"/>
          <w:szCs w:val="24"/>
          <w:lang w:val="fr-CA"/>
        </w:rPr>
        <w:t>Pseudonym</w:t>
      </w:r>
      <w:proofErr w:type="spellEnd"/>
      <w:r w:rsidRPr="009903BE">
        <w:rPr>
          <w:rFonts w:eastAsiaTheme="minorHAnsi" w:cs="Times New Roman"/>
          <w:szCs w:val="24"/>
          <w:lang w:val="fr-CA"/>
        </w:rPr>
        <w:t xml:space="preserve"> in the Name of the Law » (2006), 3 </w:t>
      </w:r>
      <w:r w:rsidR="00C61D3D">
        <w:rPr>
          <w:rFonts w:eastAsiaTheme="minorHAnsi" w:cs="Times New Roman"/>
          <w:i/>
          <w:szCs w:val="24"/>
          <w:lang w:val="fr-CA"/>
        </w:rPr>
        <w:t>R.</w:t>
      </w:r>
      <w:r w:rsidRPr="009903BE">
        <w:rPr>
          <w:rFonts w:eastAsiaTheme="minorHAnsi" w:cs="Times New Roman"/>
          <w:i/>
          <w:szCs w:val="24"/>
          <w:lang w:val="fr-CA"/>
        </w:rPr>
        <w:t xml:space="preserve">D. et </w:t>
      </w:r>
      <w:proofErr w:type="spellStart"/>
      <w:r w:rsidRPr="009903BE">
        <w:rPr>
          <w:rFonts w:eastAsiaTheme="minorHAnsi" w:cs="Times New Roman"/>
          <w:i/>
          <w:szCs w:val="24"/>
          <w:lang w:val="fr-CA"/>
        </w:rPr>
        <w:t>tech</w:t>
      </w:r>
      <w:proofErr w:type="spellEnd"/>
      <w:r w:rsidRPr="009903BE">
        <w:rPr>
          <w:rFonts w:eastAsiaTheme="minorHAnsi" w:cs="Times New Roman"/>
          <w:i/>
          <w:szCs w:val="24"/>
          <w:lang w:val="fr-CA"/>
        </w:rPr>
        <w:t xml:space="preserve">. </w:t>
      </w:r>
      <w:r w:rsidR="00C61D3D">
        <w:rPr>
          <w:rFonts w:eastAsiaTheme="minorHAnsi" w:cs="Times New Roman"/>
          <w:i/>
          <w:szCs w:val="24"/>
          <w:lang w:val="en-US"/>
        </w:rPr>
        <w:t>U.</w:t>
      </w:r>
      <w:r w:rsidRPr="009903BE">
        <w:rPr>
          <w:rFonts w:eastAsiaTheme="minorHAnsi" w:cs="Times New Roman"/>
          <w:i/>
          <w:szCs w:val="24"/>
          <w:lang w:val="en-US"/>
        </w:rPr>
        <w:t>O.</w:t>
      </w:r>
      <w:r w:rsidRPr="009903BE">
        <w:rPr>
          <w:rFonts w:eastAsiaTheme="minorHAnsi" w:cs="Times New Roman"/>
          <w:szCs w:val="24"/>
          <w:lang w:val="en-US"/>
        </w:rPr>
        <w:t xml:space="preserve"> 53, p. </w:t>
      </w:r>
      <w:r w:rsidRPr="009903BE">
        <w:rPr>
          <w:rFonts w:cs="Times New Roman"/>
          <w:szCs w:val="24"/>
          <w:lang w:val="en-US"/>
        </w:rPr>
        <w:t>72</w:t>
      </w:r>
      <w:r w:rsidRPr="009903BE">
        <w:rPr>
          <w:rFonts w:cs="Times New Roman"/>
          <w:szCs w:val="24"/>
          <w:lang w:val="en-US"/>
        </w:rPr>
        <w:noBreakHyphen/>
        <w:t xml:space="preserve">73; Karen </w:t>
      </w:r>
      <w:proofErr w:type="spellStart"/>
      <w:r w:rsidRPr="009903BE">
        <w:rPr>
          <w:rFonts w:cs="Times New Roman"/>
          <w:szCs w:val="24"/>
          <w:lang w:val="en-US"/>
        </w:rPr>
        <w:t>Eltis</w:t>
      </w:r>
      <w:proofErr w:type="spellEnd"/>
      <w:r w:rsidRPr="009903BE">
        <w:rPr>
          <w:rFonts w:cs="Times New Roman"/>
          <w:szCs w:val="24"/>
          <w:lang w:val="en-US"/>
        </w:rPr>
        <w:t>,</w:t>
      </w:r>
      <w:r w:rsidRPr="009903BE">
        <w:rPr>
          <w:rFonts w:cs="Times New Roman"/>
          <w:i/>
          <w:szCs w:val="24"/>
          <w:lang w:val="en-US"/>
        </w:rPr>
        <w:t xml:space="preserve"> </w:t>
      </w:r>
      <w:r w:rsidRPr="009903BE">
        <w:rPr>
          <w:rFonts w:cs="Times New Roman"/>
          <w:szCs w:val="24"/>
          <w:lang w:val="en-US"/>
        </w:rPr>
        <w:t xml:space="preserve">« The Judicial System in the Digital </w:t>
      </w:r>
      <w:proofErr w:type="gramStart"/>
      <w:r w:rsidRPr="009903BE">
        <w:rPr>
          <w:rFonts w:cs="Times New Roman"/>
          <w:szCs w:val="24"/>
          <w:lang w:val="en-US"/>
        </w:rPr>
        <w:t>Age</w:t>
      </w:r>
      <w:r w:rsidR="001609A4">
        <w:rPr>
          <w:rFonts w:cs="Times New Roman"/>
          <w:szCs w:val="24"/>
          <w:lang w:val="en-US"/>
        </w:rPr>
        <w:t> :</w:t>
      </w:r>
      <w:proofErr w:type="gramEnd"/>
      <w:r w:rsidR="001609A4">
        <w:rPr>
          <w:rFonts w:cs="Times New Roman"/>
          <w:szCs w:val="24"/>
          <w:lang w:val="en-US"/>
        </w:rPr>
        <w:t xml:space="preserve"> Revisiting the </w:t>
      </w:r>
      <w:r w:rsidR="001609A4">
        <w:rPr>
          <w:rFonts w:cs="Times New Roman"/>
          <w:szCs w:val="24"/>
          <w:lang w:val="en-US"/>
        </w:rPr>
        <w:lastRenderedPageBreak/>
        <w:t>Relationship b</w:t>
      </w:r>
      <w:r w:rsidRPr="009903BE">
        <w:rPr>
          <w:rFonts w:cs="Times New Roman"/>
          <w:szCs w:val="24"/>
          <w:lang w:val="en-US"/>
        </w:rPr>
        <w:t>etween Privacy and Accessibility in</w:t>
      </w:r>
      <w:r w:rsidR="00C77ECB">
        <w:rPr>
          <w:rFonts w:cs="Times New Roman"/>
          <w:szCs w:val="24"/>
          <w:lang w:val="en-US"/>
        </w:rPr>
        <w:t xml:space="preserve"> the Cyber Context » (2011), 56</w:t>
      </w:r>
      <w:r w:rsidRPr="009903BE">
        <w:rPr>
          <w:rFonts w:cs="Times New Roman"/>
          <w:szCs w:val="24"/>
          <w:lang w:val="en-US"/>
        </w:rPr>
        <w:t xml:space="preserve"> </w:t>
      </w:r>
      <w:r w:rsidR="00C77ECB">
        <w:rPr>
          <w:rFonts w:cs="Times New Roman"/>
          <w:i/>
          <w:szCs w:val="24"/>
          <w:lang w:val="en-US"/>
        </w:rPr>
        <w:t>R.</w:t>
      </w:r>
      <w:r w:rsidRPr="009903BE">
        <w:rPr>
          <w:rFonts w:cs="Times New Roman"/>
          <w:i/>
          <w:szCs w:val="24"/>
          <w:lang w:val="en-US"/>
        </w:rPr>
        <w:t>D. McGill</w:t>
      </w:r>
      <w:r w:rsidRPr="009903BE">
        <w:rPr>
          <w:rFonts w:cs="Times New Roman"/>
          <w:szCs w:val="24"/>
          <w:lang w:val="en-US"/>
        </w:rPr>
        <w:t xml:space="preserve"> 289, p. 302.</w:t>
      </w:r>
    </w:p>
    <w:p w:rsidR="00FF31BC" w:rsidRPr="009903BE" w:rsidRDefault="00FF31BC" w:rsidP="00FF31BC">
      <w:pPr>
        <w:pStyle w:val="ParaNoNdepar-AltN"/>
        <w:rPr>
          <w:rFonts w:cs="Times New Roman"/>
          <w:szCs w:val="24"/>
          <w:lang w:val="fr-CA"/>
        </w:rPr>
      </w:pPr>
      <w:r w:rsidRPr="009903BE">
        <w:rPr>
          <w:rFonts w:cs="Times New Roman"/>
          <w:szCs w:val="24"/>
          <w:lang w:val="fr-CA"/>
        </w:rPr>
        <w:t>L’</w:t>
      </w:r>
      <w:proofErr w:type="spellStart"/>
      <w:r w:rsidRPr="009903BE">
        <w:rPr>
          <w:rFonts w:cs="Times New Roman"/>
          <w:i/>
          <w:szCs w:val="24"/>
          <w:lang w:val="fr-CA"/>
        </w:rPr>
        <w:t>amicus</w:t>
      </w:r>
      <w:proofErr w:type="spellEnd"/>
      <w:r w:rsidRPr="009903BE">
        <w:rPr>
          <w:rFonts w:cs="Times New Roman"/>
          <w:i/>
          <w:szCs w:val="24"/>
          <w:lang w:val="fr-CA"/>
        </w:rPr>
        <w:t xml:space="preserve"> </w:t>
      </w:r>
      <w:proofErr w:type="spellStart"/>
      <w:r w:rsidRPr="009903BE">
        <w:rPr>
          <w:rFonts w:cs="Times New Roman"/>
          <w:i/>
          <w:szCs w:val="24"/>
          <w:lang w:val="fr-CA"/>
        </w:rPr>
        <w:t>curiae</w:t>
      </w:r>
      <w:proofErr w:type="spellEnd"/>
      <w:r w:rsidRPr="009903BE">
        <w:rPr>
          <w:rFonts w:cs="Times New Roman"/>
          <w:szCs w:val="24"/>
          <w:lang w:val="fr-CA"/>
        </w:rPr>
        <w:t xml:space="preserve"> a souligné que l’adolescente n’avait fourni aucune preuve de préjudice concernant sa vulnérabilité émotive.  Or, bien que la preuve des conséquences préjudiciables directes que subirait un demandeur soit pertinente, les tribunaux peuvent aussi conclure à l’existence d’un préjudice objectivement discernable.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Notre Cour a conclu à l’existence d’un préjudice objectif, par exemple, lorsqu’elle a confirmé la constitutionnalité des </w:t>
      </w:r>
      <w:r w:rsidRPr="009903BE">
        <w:rPr>
          <w:rFonts w:cs="Times New Roman"/>
          <w:i/>
          <w:szCs w:val="24"/>
          <w:lang w:val="fr-CA"/>
        </w:rPr>
        <w:t>Règles de procédure</w:t>
      </w:r>
      <w:r w:rsidRPr="009903BE">
        <w:rPr>
          <w:rFonts w:cs="Times New Roman"/>
          <w:szCs w:val="24"/>
          <w:lang w:val="fr-CA"/>
        </w:rPr>
        <w:t xml:space="preserve"> du Québec qui limitaient la capacité des médias de prendre des images et de tenir des entrevues concernant une instance judiciaire (dans</w:t>
      </w:r>
      <w:r w:rsidRPr="009903BE">
        <w:rPr>
          <w:rFonts w:cs="Times New Roman"/>
          <w:i/>
          <w:szCs w:val="24"/>
          <w:lang w:val="fr-CA"/>
        </w:rPr>
        <w:t xml:space="preserve"> Société </w:t>
      </w:r>
      <w:proofErr w:type="spellStart"/>
      <w:r w:rsidRPr="009903BE">
        <w:rPr>
          <w:rFonts w:cs="Times New Roman"/>
          <w:i/>
          <w:szCs w:val="24"/>
          <w:lang w:val="fr-CA"/>
        </w:rPr>
        <w:t>Radio</w:t>
      </w:r>
      <w:r w:rsidRPr="009903BE">
        <w:rPr>
          <w:rFonts w:cs="Times New Roman"/>
          <w:i/>
          <w:szCs w:val="24"/>
          <w:lang w:val="fr-CA"/>
        </w:rPr>
        <w:noBreakHyphen/>
        <w:t>Canada</w:t>
      </w:r>
      <w:proofErr w:type="spellEnd"/>
      <w:r w:rsidRPr="009903BE">
        <w:rPr>
          <w:rFonts w:cs="Times New Roman"/>
          <w:i/>
          <w:szCs w:val="24"/>
          <w:lang w:val="fr-CA"/>
        </w:rPr>
        <w:t xml:space="preserve"> c. Canada (Procureur général)</w:t>
      </w:r>
      <w:r w:rsidRPr="009903BE">
        <w:rPr>
          <w:rFonts w:cs="Times New Roman"/>
          <w:szCs w:val="24"/>
          <w:lang w:val="fr-CA"/>
        </w:rPr>
        <w:t>, [2011] 1 R.C.S. 19) et lorsqu’elle a interdit aux médias de diffuser un enregistrement vidéo déposé en preuve (dans</w:t>
      </w:r>
      <w:r w:rsidRPr="009903BE">
        <w:rPr>
          <w:rFonts w:cs="Times New Roman"/>
          <w:i/>
          <w:szCs w:val="24"/>
          <w:lang w:val="fr-CA"/>
        </w:rPr>
        <w:t xml:space="preserve"> Société </w:t>
      </w:r>
      <w:proofErr w:type="spellStart"/>
      <w:r w:rsidRPr="009903BE">
        <w:rPr>
          <w:rFonts w:cs="Times New Roman"/>
          <w:i/>
          <w:szCs w:val="24"/>
          <w:lang w:val="fr-CA"/>
        </w:rPr>
        <w:t>Radio</w:t>
      </w:r>
      <w:r w:rsidRPr="009903BE">
        <w:rPr>
          <w:rFonts w:cs="Times New Roman"/>
          <w:i/>
          <w:szCs w:val="24"/>
          <w:lang w:val="fr-CA"/>
        </w:rPr>
        <w:noBreakHyphen/>
        <w:t>Canada</w:t>
      </w:r>
      <w:proofErr w:type="spellEnd"/>
      <w:r w:rsidRPr="009903BE">
        <w:rPr>
          <w:rFonts w:cs="Times New Roman"/>
          <w:i/>
          <w:szCs w:val="24"/>
          <w:lang w:val="fr-CA"/>
        </w:rPr>
        <w:t xml:space="preserve"> c. La Reine</w:t>
      </w:r>
      <w:r w:rsidRPr="009903BE">
        <w:rPr>
          <w:rFonts w:cs="Times New Roman"/>
          <w:szCs w:val="24"/>
          <w:lang w:val="fr-CA"/>
        </w:rPr>
        <w:t xml:space="preserve">, [2011] 1 R.C.S. 65).  Dans le premier arrêt, la juge Deschamps a estimé (au par. 56) que la norme des arrêts </w:t>
      </w:r>
      <w:proofErr w:type="spellStart"/>
      <w:r w:rsidRPr="009903BE">
        <w:rPr>
          <w:rFonts w:cs="Times New Roman"/>
          <w:i/>
          <w:szCs w:val="24"/>
          <w:lang w:val="fr-CA"/>
        </w:rPr>
        <w:t>Dagenais</w:t>
      </w:r>
      <w:proofErr w:type="spellEnd"/>
      <w:r w:rsidRPr="009903BE">
        <w:rPr>
          <w:rFonts w:cs="Times New Roman"/>
          <w:i/>
          <w:szCs w:val="24"/>
          <w:lang w:val="fr-CA"/>
        </w:rPr>
        <w:t xml:space="preserve"> </w:t>
      </w:r>
      <w:r w:rsidRPr="009903BE">
        <w:rPr>
          <w:rFonts w:cs="Times New Roman"/>
          <w:szCs w:val="24"/>
          <w:lang w:val="fr-CA"/>
        </w:rPr>
        <w:t>et</w:t>
      </w:r>
      <w:r w:rsidRPr="009903BE">
        <w:rPr>
          <w:rFonts w:cs="Times New Roman"/>
          <w:i/>
          <w:szCs w:val="24"/>
          <w:lang w:val="fr-CA"/>
        </w:rPr>
        <w:t xml:space="preserve"> </w:t>
      </w:r>
      <w:proofErr w:type="spellStart"/>
      <w:r w:rsidRPr="009903BE">
        <w:rPr>
          <w:rFonts w:cs="Times New Roman"/>
          <w:i/>
          <w:szCs w:val="24"/>
          <w:lang w:val="fr-CA"/>
        </w:rPr>
        <w:t>Mentuck</w:t>
      </w:r>
      <w:proofErr w:type="spellEnd"/>
      <w:r w:rsidRPr="009903BE">
        <w:rPr>
          <w:rFonts w:cs="Times New Roman"/>
          <w:szCs w:val="24"/>
          <w:lang w:val="fr-CA"/>
        </w:rPr>
        <w:t xml:space="preserve"> n’est ni plus exigeante ni moins exigeante que celle de l’arrêt </w:t>
      </w:r>
      <w:r w:rsidRPr="009903BE">
        <w:rPr>
          <w:rFonts w:cs="Times New Roman"/>
          <w:i/>
          <w:szCs w:val="24"/>
          <w:lang w:val="fr-CA"/>
        </w:rPr>
        <w:t xml:space="preserve">R. c. </w:t>
      </w:r>
      <w:proofErr w:type="spellStart"/>
      <w:r w:rsidRPr="009903BE">
        <w:rPr>
          <w:rFonts w:cs="Times New Roman"/>
          <w:i/>
          <w:szCs w:val="24"/>
          <w:lang w:val="fr-CA"/>
        </w:rPr>
        <w:t>Oakes</w:t>
      </w:r>
      <w:proofErr w:type="spellEnd"/>
      <w:r w:rsidRPr="009903BE">
        <w:rPr>
          <w:rFonts w:cs="Times New Roman"/>
          <w:szCs w:val="24"/>
          <w:lang w:val="fr-CA"/>
        </w:rPr>
        <w:t xml:space="preserve">, [1986] 1 R.C.S. 103.  En d’autres termes, en l’absence d’une preuve scientifique ou empirique de la nécessité de restreindre l’accès, la cour peut déduire le préjudice en appliquant la logique et la raison : </w:t>
      </w:r>
      <w:proofErr w:type="spellStart"/>
      <w:r w:rsidRPr="009903BE">
        <w:rPr>
          <w:i/>
          <w:lang w:val="fr-CA"/>
        </w:rPr>
        <w:t>RJR</w:t>
      </w:r>
      <w:r w:rsidRPr="009903BE">
        <w:rPr>
          <w:i/>
          <w:lang w:val="fr-CA"/>
        </w:rPr>
        <w:noBreakHyphen/>
        <w:t>MacDonald</w:t>
      </w:r>
      <w:proofErr w:type="spellEnd"/>
      <w:r w:rsidRPr="009903BE">
        <w:rPr>
          <w:i/>
          <w:lang w:val="fr-CA"/>
        </w:rPr>
        <w:t xml:space="preserve"> Inc. c. Canada (Procureur général)</w:t>
      </w:r>
      <w:r w:rsidRPr="009903BE">
        <w:rPr>
          <w:lang w:val="fr-CA"/>
        </w:rPr>
        <w:t xml:space="preserve">, [1995] 3 R.C.S. 199, par. 72; </w:t>
      </w:r>
      <w:r w:rsidRPr="009903BE">
        <w:rPr>
          <w:i/>
          <w:lang w:val="fr-CA"/>
        </w:rPr>
        <w:t xml:space="preserve">Thomson </w:t>
      </w:r>
      <w:proofErr w:type="spellStart"/>
      <w:r w:rsidRPr="009903BE">
        <w:rPr>
          <w:i/>
          <w:lang w:val="fr-CA"/>
        </w:rPr>
        <w:t>Newspapers</w:t>
      </w:r>
      <w:proofErr w:type="spellEnd"/>
      <w:r w:rsidRPr="009903BE">
        <w:rPr>
          <w:i/>
          <w:lang w:val="fr-CA"/>
        </w:rPr>
        <w:t xml:space="preserve"> Co. c. Canada (Procureur général)</w:t>
      </w:r>
      <w:r w:rsidRPr="009903BE">
        <w:rPr>
          <w:lang w:val="fr-CA"/>
        </w:rPr>
        <w:t>, [1998] 1 R.C.S. 877, par. 91</w:t>
      </w:r>
      <w:r w:rsidRPr="009903BE">
        <w:rPr>
          <w:rFonts w:cs="Times New Roman"/>
          <w:szCs w:val="24"/>
          <w:lang w:val="fr-CA"/>
        </w:rPr>
        <w:t xml:space="preserve">.  </w:t>
      </w:r>
    </w:p>
    <w:p w:rsidR="00FF31BC" w:rsidRPr="009903BE" w:rsidRDefault="00FF31BC" w:rsidP="00FF31BC">
      <w:pPr>
        <w:pStyle w:val="ParaNoNdepar-AltN"/>
        <w:rPr>
          <w:rFonts w:cs="Times New Roman"/>
          <w:szCs w:val="24"/>
          <w:lang w:val="fr-CA"/>
        </w:rPr>
      </w:pPr>
      <w:r w:rsidRPr="009903BE">
        <w:rPr>
          <w:rFonts w:cs="Times New Roman"/>
          <w:szCs w:val="24"/>
          <w:lang w:val="fr-CA"/>
        </w:rPr>
        <w:lastRenderedPageBreak/>
        <w:t xml:space="preserve">La reconnaissance du principe de la vulnérabilité </w:t>
      </w:r>
      <w:r w:rsidRPr="009903BE">
        <w:rPr>
          <w:rFonts w:cs="Times New Roman"/>
          <w:i/>
          <w:szCs w:val="24"/>
          <w:lang w:val="fr-CA"/>
        </w:rPr>
        <w:t>inhérente</w:t>
      </w:r>
      <w:r w:rsidRPr="009903BE">
        <w:rPr>
          <w:rFonts w:cs="Times New Roman"/>
          <w:szCs w:val="24"/>
          <w:lang w:val="fr-CA"/>
        </w:rPr>
        <w:t xml:space="preserve"> des enfants demeure profondément enracinée en droit canadien.  Ainsi, la vie privée des jeunes est protégée en vertu du </w:t>
      </w:r>
      <w:r w:rsidRPr="009903BE">
        <w:rPr>
          <w:rFonts w:cs="Times New Roman"/>
          <w:i/>
          <w:szCs w:val="24"/>
          <w:lang w:val="fr-CA"/>
        </w:rPr>
        <w:t>Code criminel</w:t>
      </w:r>
      <w:r w:rsidRPr="009903BE">
        <w:rPr>
          <w:rFonts w:cs="Times New Roman"/>
          <w:szCs w:val="24"/>
          <w:lang w:val="fr-CA"/>
        </w:rPr>
        <w:t>, L.R.C. 1985, ch. C</w:t>
      </w:r>
      <w:r w:rsidRPr="009903BE">
        <w:rPr>
          <w:rFonts w:cs="Times New Roman"/>
          <w:szCs w:val="24"/>
          <w:lang w:val="fr-CA"/>
        </w:rPr>
        <w:noBreakHyphen/>
        <w:t xml:space="preserve">46 (art. 486), de la </w:t>
      </w:r>
      <w:r w:rsidRPr="009903BE">
        <w:rPr>
          <w:rFonts w:cs="Times New Roman"/>
          <w:i/>
          <w:szCs w:val="24"/>
          <w:lang w:val="fr-CA"/>
        </w:rPr>
        <w:t>Loi sur le système de justice pénale pour les adolescents</w:t>
      </w:r>
      <w:r w:rsidRPr="009903BE">
        <w:rPr>
          <w:rFonts w:cs="Times New Roman"/>
          <w:szCs w:val="24"/>
          <w:lang w:val="fr-CA"/>
        </w:rPr>
        <w:t>, L.C. 2002, ch. 1</w:t>
      </w:r>
      <w:r w:rsidRPr="009903BE">
        <w:rPr>
          <w:rFonts w:cs="Times New Roman"/>
          <w:i/>
          <w:szCs w:val="24"/>
          <w:lang w:val="fr-CA"/>
        </w:rPr>
        <w:t xml:space="preserve"> </w:t>
      </w:r>
      <w:r w:rsidRPr="009903BE">
        <w:rPr>
          <w:rFonts w:cs="Times New Roman"/>
          <w:szCs w:val="24"/>
          <w:lang w:val="fr-CA"/>
        </w:rPr>
        <w:t xml:space="preserve">(art. 110), et de la législation en matière de protection de l’enfance, sans oublier les ententes internationales comme la </w:t>
      </w:r>
      <w:r w:rsidRPr="009903BE">
        <w:rPr>
          <w:rFonts w:cs="Times New Roman"/>
          <w:i/>
          <w:szCs w:val="24"/>
          <w:lang w:val="fr-CA"/>
        </w:rPr>
        <w:t>Convention relative aux droits de l’enfant</w:t>
      </w:r>
      <w:r w:rsidRPr="009903BE">
        <w:rPr>
          <w:rFonts w:cs="Times New Roman"/>
          <w:szCs w:val="24"/>
          <w:lang w:val="fr-CA"/>
        </w:rPr>
        <w:t>, R.T. Can. 1992 n</w:t>
      </w:r>
      <w:r w:rsidRPr="009903BE">
        <w:rPr>
          <w:rFonts w:cs="Times New Roman"/>
          <w:szCs w:val="24"/>
          <w:vertAlign w:val="superscript"/>
          <w:lang w:val="fr-CA"/>
        </w:rPr>
        <w:t>o</w:t>
      </w:r>
      <w:r w:rsidRPr="009903BE">
        <w:rPr>
          <w:rFonts w:cs="Times New Roman"/>
          <w:szCs w:val="24"/>
          <w:lang w:val="fr-CA"/>
        </w:rPr>
        <w:t xml:space="preserve"> 3, et cette protection est fondée entièrement sur l’âge et non sur la sensibilité de l’enfant en particulier.  Par conséquent, un enfant n’a pas à démontrer dans le cadre d’une demande relative à la </w:t>
      </w:r>
      <w:proofErr w:type="spellStart"/>
      <w:r w:rsidRPr="009903BE">
        <w:rPr>
          <w:rFonts w:cs="Times New Roman"/>
          <w:szCs w:val="24"/>
          <w:lang w:val="fr-CA"/>
        </w:rPr>
        <w:t>cyberintimidation</w:t>
      </w:r>
      <w:proofErr w:type="spellEnd"/>
      <w:r w:rsidRPr="009903BE">
        <w:rPr>
          <w:rFonts w:cs="Times New Roman"/>
          <w:szCs w:val="24"/>
          <w:lang w:val="fr-CA"/>
        </w:rPr>
        <w:t xml:space="preserve"> à caractère sexuel qu’il se conforme à ce paradigme juridique.  Le droit attribue la vulnérabilité accrue en fonction de l’âge et non du tempérament : voir </w:t>
      </w:r>
      <w:r w:rsidRPr="009903BE">
        <w:rPr>
          <w:rFonts w:cs="Times New Roman"/>
          <w:bCs/>
          <w:i/>
          <w:szCs w:val="24"/>
          <w:lang w:val="fr-CA"/>
        </w:rPr>
        <w:t>R. c. D.B.</w:t>
      </w:r>
      <w:r w:rsidRPr="009903BE">
        <w:rPr>
          <w:rFonts w:cs="Times New Roman"/>
          <w:bCs/>
          <w:szCs w:val="24"/>
          <w:lang w:val="fr-CA"/>
        </w:rPr>
        <w:t xml:space="preserve">, [2008] 2 R.C.S. 3, </w:t>
      </w:r>
      <w:r w:rsidRPr="009903BE">
        <w:rPr>
          <w:rFonts w:cs="Times New Roman"/>
          <w:szCs w:val="24"/>
          <w:lang w:val="fr-CA"/>
        </w:rPr>
        <w:t>par. 41, 61 et 84</w:t>
      </w:r>
      <w:r w:rsidR="00715321">
        <w:rPr>
          <w:rFonts w:cs="Times New Roman"/>
          <w:szCs w:val="24"/>
          <w:lang w:val="fr-CA"/>
        </w:rPr>
        <w:t>-</w:t>
      </w:r>
      <w:r w:rsidRPr="009903BE">
        <w:rPr>
          <w:rFonts w:cs="Times New Roman"/>
          <w:szCs w:val="24"/>
          <w:lang w:val="fr-CA"/>
        </w:rPr>
        <w:t xml:space="preserve">87; </w:t>
      </w:r>
      <w:r w:rsidRPr="009903BE">
        <w:rPr>
          <w:rFonts w:cs="Times New Roman"/>
          <w:i/>
          <w:szCs w:val="24"/>
          <w:lang w:val="fr-CA"/>
        </w:rPr>
        <w:t>R. c. Sharpe</w:t>
      </w:r>
      <w:r w:rsidRPr="009903BE">
        <w:rPr>
          <w:rFonts w:cs="Times New Roman"/>
          <w:szCs w:val="24"/>
          <w:lang w:val="fr-CA"/>
        </w:rPr>
        <w:t>, [2001] 1 R.C.S. 45, par. 170</w:t>
      </w:r>
      <w:r w:rsidRPr="009903BE">
        <w:rPr>
          <w:rFonts w:cs="Times New Roman"/>
          <w:szCs w:val="24"/>
          <w:lang w:val="fr-CA"/>
        </w:rPr>
        <w:noBreakHyphen/>
        <w:t>174.</w:t>
      </w:r>
    </w:p>
    <w:p w:rsidR="00FF31BC" w:rsidRPr="009903BE" w:rsidRDefault="00FF31BC" w:rsidP="00FF31BC">
      <w:pPr>
        <w:pStyle w:val="ParaNoNdepar-AltN"/>
        <w:rPr>
          <w:rFonts w:eastAsiaTheme="minorHAnsi" w:cs="Times New Roman"/>
          <w:szCs w:val="24"/>
          <w:lang w:val="fr-CA"/>
        </w:rPr>
      </w:pPr>
      <w:r w:rsidRPr="009903BE">
        <w:rPr>
          <w:rFonts w:eastAsiaTheme="minorHAnsi" w:cs="Times New Roman"/>
          <w:szCs w:val="24"/>
          <w:lang w:val="fr-CA"/>
        </w:rPr>
        <w:t xml:space="preserve">C’est qui a incité la juge Cohen à expliquer, dans </w:t>
      </w:r>
      <w:r w:rsidRPr="009903BE">
        <w:rPr>
          <w:rFonts w:eastAsiaTheme="minorHAnsi" w:cs="Times New Roman"/>
          <w:i/>
          <w:szCs w:val="24"/>
          <w:lang w:val="fr-CA"/>
        </w:rPr>
        <w:t xml:space="preserve">Toronto Star </w:t>
      </w:r>
      <w:proofErr w:type="spellStart"/>
      <w:r w:rsidRPr="009903BE">
        <w:rPr>
          <w:rFonts w:eastAsiaTheme="minorHAnsi" w:cs="Times New Roman"/>
          <w:i/>
          <w:szCs w:val="24"/>
          <w:lang w:val="fr-CA"/>
        </w:rPr>
        <w:t>Newspaper</w:t>
      </w:r>
      <w:proofErr w:type="spellEnd"/>
      <w:r w:rsidRPr="009903BE">
        <w:rPr>
          <w:rFonts w:eastAsiaTheme="minorHAnsi" w:cs="Times New Roman"/>
          <w:i/>
          <w:szCs w:val="24"/>
          <w:lang w:val="fr-CA"/>
        </w:rPr>
        <w:t xml:space="preserve"> Ltd. c. Ontario</w:t>
      </w:r>
      <w:r w:rsidRPr="009903BE">
        <w:rPr>
          <w:rFonts w:eastAsiaTheme="minorHAnsi" w:cs="Times New Roman"/>
          <w:szCs w:val="24"/>
          <w:lang w:val="fr-CA"/>
        </w:rPr>
        <w:t>, 2012 ONCJ 27 (</w:t>
      </w:r>
      <w:proofErr w:type="spellStart"/>
      <w:r w:rsidRPr="009903BE">
        <w:rPr>
          <w:rFonts w:eastAsiaTheme="minorHAnsi" w:cs="Times New Roman"/>
          <w:szCs w:val="24"/>
          <w:lang w:val="fr-CA"/>
        </w:rPr>
        <w:t>CanLII</w:t>
      </w:r>
      <w:proofErr w:type="spellEnd"/>
      <w:r w:rsidRPr="009903BE">
        <w:rPr>
          <w:rFonts w:eastAsiaTheme="minorHAnsi" w:cs="Times New Roman"/>
          <w:szCs w:val="24"/>
          <w:lang w:val="fr-CA"/>
        </w:rPr>
        <w:t>), l’importance de la protection de la vie privée dans le contexte particulier des jeunes participant au système de justice :</w:t>
      </w:r>
    </w:p>
    <w:p w:rsidR="00FF31BC" w:rsidRPr="009903BE" w:rsidRDefault="00FF31BC" w:rsidP="00FF31BC">
      <w:pPr>
        <w:pStyle w:val="Citation-AltC"/>
        <w:tabs>
          <w:tab w:val="left" w:pos="1620"/>
        </w:tabs>
        <w:spacing w:after="240"/>
        <w:ind w:hanging="1166"/>
        <w:contextualSpacing w:val="0"/>
        <w:rPr>
          <w:rFonts w:eastAsiaTheme="minorHAnsi"/>
          <w:szCs w:val="24"/>
          <w:lang w:val="fr-CA"/>
        </w:rPr>
      </w:pPr>
      <w:r w:rsidRPr="009903BE">
        <w:rPr>
          <w:rFonts w:eastAsiaTheme="minorHAnsi"/>
          <w:smallCaps/>
          <w:szCs w:val="24"/>
          <w:lang w:val="fr-CA"/>
        </w:rPr>
        <w:tab/>
      </w:r>
      <w:r w:rsidRPr="009903BE">
        <w:rPr>
          <w:rFonts w:eastAsiaTheme="minorHAnsi"/>
          <w:smallCaps/>
          <w:szCs w:val="24"/>
          <w:lang w:val="fr-CA"/>
        </w:rPr>
        <w:tab/>
        <w:t>[traduction]</w:t>
      </w:r>
      <w:r w:rsidRPr="009903BE">
        <w:rPr>
          <w:rFonts w:eastAsiaTheme="minorHAnsi"/>
          <w:szCs w:val="24"/>
          <w:lang w:val="fr-CA"/>
        </w:rPr>
        <w:t xml:space="preserve">  Le souci d’éviter l’étiquetage et la stigmatisation est essentiel pour comprendre la raison pour laquelle la </w:t>
      </w:r>
      <w:r w:rsidRPr="009903BE">
        <w:rPr>
          <w:rFonts w:eastAsiaTheme="minorHAnsi"/>
          <w:i/>
          <w:szCs w:val="24"/>
          <w:lang w:val="fr-CA"/>
        </w:rPr>
        <w:t>Loi</w:t>
      </w:r>
      <w:r w:rsidRPr="009903BE">
        <w:rPr>
          <w:rFonts w:eastAsiaTheme="minorHAnsi"/>
          <w:szCs w:val="24"/>
          <w:lang w:val="fr-CA"/>
        </w:rPr>
        <w:t xml:space="preserve"> accorde tant de valeur à la protection de la vie privée.  Or, ce n’est pas la seule explication.  La valeur conférée à la protection de la vie privée des jeunes en vertu de la </w:t>
      </w:r>
      <w:r w:rsidRPr="009903BE">
        <w:rPr>
          <w:rFonts w:eastAsiaTheme="minorHAnsi"/>
          <w:i/>
          <w:szCs w:val="24"/>
          <w:lang w:val="fr-CA"/>
        </w:rPr>
        <w:t>Loi</w:t>
      </w:r>
      <w:r w:rsidRPr="009903BE">
        <w:rPr>
          <w:rFonts w:eastAsiaTheme="minorHAnsi"/>
          <w:szCs w:val="24"/>
          <w:lang w:val="fr-CA"/>
        </w:rPr>
        <w:t xml:space="preserve"> a des racines plus profondes que les considérations exclusivement pratiques le laisseraient croire.  Il nous faut également examiner la Charte, parce que la protection de la vie privée des jeunes porte une signification constitutionnelle incontestable.</w:t>
      </w:r>
    </w:p>
    <w:p w:rsidR="00FF31BC" w:rsidRPr="009903BE" w:rsidRDefault="00FF31BC" w:rsidP="00FF31BC">
      <w:pPr>
        <w:pStyle w:val="Citation-AltC"/>
        <w:tabs>
          <w:tab w:val="left" w:pos="1620"/>
        </w:tabs>
        <w:spacing w:after="240"/>
        <w:ind w:hanging="1166"/>
        <w:contextualSpacing w:val="0"/>
        <w:rPr>
          <w:rFonts w:eastAsiaTheme="minorHAnsi"/>
          <w:szCs w:val="24"/>
          <w:lang w:val="fr-CA"/>
        </w:rPr>
      </w:pPr>
      <w:r w:rsidRPr="009903BE">
        <w:rPr>
          <w:rFonts w:eastAsiaTheme="minorHAnsi"/>
          <w:szCs w:val="24"/>
          <w:lang w:val="fr-CA"/>
        </w:rPr>
        <w:tab/>
      </w:r>
      <w:r w:rsidRPr="009903BE">
        <w:rPr>
          <w:rFonts w:eastAsiaTheme="minorHAnsi"/>
          <w:szCs w:val="24"/>
          <w:lang w:val="fr-CA"/>
        </w:rPr>
        <w:tab/>
        <w:t xml:space="preserve">La jurisprudence constitutionnelle canadienne reconnaît que le droit à la vie privée suppose des intérêts en matière de liberté et de sécurité.  </w:t>
      </w:r>
      <w:r w:rsidRPr="009903BE">
        <w:rPr>
          <w:rFonts w:eastAsiaTheme="minorHAnsi"/>
          <w:szCs w:val="24"/>
          <w:lang w:val="fr-CA"/>
        </w:rPr>
        <w:lastRenderedPageBreak/>
        <w:t xml:space="preserve">Dans l’arrêt </w:t>
      </w:r>
      <w:proofErr w:type="spellStart"/>
      <w:r w:rsidRPr="009903BE">
        <w:rPr>
          <w:rFonts w:eastAsiaTheme="minorHAnsi"/>
          <w:i/>
          <w:szCs w:val="24"/>
          <w:lang w:val="fr-CA"/>
        </w:rPr>
        <w:t>Dyment</w:t>
      </w:r>
      <w:proofErr w:type="spellEnd"/>
      <w:r w:rsidRPr="009903BE">
        <w:rPr>
          <w:rFonts w:eastAsiaTheme="minorHAnsi"/>
          <w:szCs w:val="24"/>
          <w:lang w:val="fr-CA"/>
        </w:rPr>
        <w:t xml:space="preserve">, la Cour a statué que la notion de vie privée mérite une protection constitutionnelle parce qu’elle est « fondée sur l’autonomie morale et physique de la personne », qu’elle est « essentielle à son </w:t>
      </w:r>
      <w:proofErr w:type="spellStart"/>
      <w:r w:rsidRPr="009903BE">
        <w:rPr>
          <w:rFonts w:eastAsiaTheme="minorHAnsi"/>
          <w:szCs w:val="24"/>
          <w:lang w:val="fr-CA"/>
        </w:rPr>
        <w:t>bien</w:t>
      </w:r>
      <w:r w:rsidRPr="009903BE">
        <w:rPr>
          <w:rFonts w:eastAsiaTheme="minorHAnsi"/>
          <w:szCs w:val="24"/>
          <w:lang w:val="fr-CA"/>
        </w:rPr>
        <w:noBreakHyphen/>
        <w:t>être</w:t>
      </w:r>
      <w:proofErr w:type="spellEnd"/>
      <w:r w:rsidRPr="009903BE">
        <w:rPr>
          <w:rFonts w:eastAsiaTheme="minorHAnsi"/>
          <w:szCs w:val="24"/>
          <w:lang w:val="fr-CA"/>
        </w:rPr>
        <w:t> », et qu’elle « est au c</w:t>
      </w:r>
      <w:r w:rsidR="008111C0">
        <w:rPr>
          <w:rFonts w:eastAsiaTheme="minorHAnsi"/>
          <w:szCs w:val="24"/>
          <w:lang w:val="fr-CA"/>
        </w:rPr>
        <w:t>œ</w:t>
      </w:r>
      <w:r w:rsidRPr="009903BE">
        <w:rPr>
          <w:rFonts w:eastAsiaTheme="minorHAnsi"/>
          <w:szCs w:val="24"/>
          <w:lang w:val="fr-CA"/>
        </w:rPr>
        <w:t xml:space="preserve">ur de [la notion] de la liberté dans un État moderne » (par. 17).  </w:t>
      </w:r>
      <w:r w:rsidRPr="009903BE">
        <w:rPr>
          <w:rFonts w:eastAsiaTheme="minorHAnsi"/>
          <w:i/>
          <w:szCs w:val="24"/>
          <w:lang w:val="fr-CA"/>
        </w:rPr>
        <w:t>Ces considérations s’appliquent tout autant, voire davantage, dans le cas des jeunes.</w:t>
      </w:r>
      <w:r w:rsidRPr="009903BE">
        <w:rPr>
          <w:rFonts w:eastAsiaTheme="minorHAnsi"/>
          <w:szCs w:val="24"/>
          <w:lang w:val="fr-CA"/>
        </w:rPr>
        <w:t xml:space="preserve">  De plus, la protection constitutionnelle de la vie privée englobe le droit à la vie privée des jeunes, non seulement par rapport aux droits garantis par </w:t>
      </w:r>
      <w:proofErr w:type="gramStart"/>
      <w:r w:rsidRPr="009903BE">
        <w:rPr>
          <w:rFonts w:eastAsiaTheme="minorHAnsi"/>
          <w:szCs w:val="24"/>
          <w:lang w:val="fr-CA"/>
        </w:rPr>
        <w:t>les art</w:t>
      </w:r>
      <w:proofErr w:type="gramEnd"/>
      <w:r w:rsidRPr="009903BE">
        <w:rPr>
          <w:rFonts w:eastAsiaTheme="minorHAnsi"/>
          <w:szCs w:val="24"/>
          <w:lang w:val="fr-CA"/>
        </w:rPr>
        <w:t xml:space="preserve">. 7 et 8 de la Charte, mais aussi en raison de la présomption de culpabilité morale moins élevée, qui a été reconnue à titre de principe de justice fondamentale garanti par la </w:t>
      </w:r>
      <w:r w:rsidRPr="009903BE">
        <w:rPr>
          <w:rFonts w:eastAsiaTheme="minorHAnsi"/>
          <w:i/>
          <w:szCs w:val="24"/>
          <w:lang w:val="fr-CA"/>
        </w:rPr>
        <w:t>Charte</w:t>
      </w:r>
      <w:r w:rsidRPr="009903BE">
        <w:rPr>
          <w:rFonts w:eastAsiaTheme="minorHAnsi"/>
          <w:szCs w:val="24"/>
          <w:lang w:val="fr-CA"/>
        </w:rPr>
        <w:t>.</w:t>
      </w:r>
    </w:p>
    <w:p w:rsidR="00FF31BC" w:rsidRPr="009903BE" w:rsidRDefault="003A662F" w:rsidP="00FF31BC">
      <w:pPr>
        <w:pStyle w:val="Citation-AltC"/>
        <w:tabs>
          <w:tab w:val="left" w:pos="1620"/>
        </w:tabs>
        <w:spacing w:after="240"/>
        <w:ind w:hanging="1166"/>
        <w:contextualSpacing w:val="0"/>
        <w:jc w:val="center"/>
        <w:rPr>
          <w:rFonts w:eastAsiaTheme="minorHAnsi"/>
          <w:szCs w:val="24"/>
          <w:lang w:val="fr-CA"/>
        </w:rPr>
      </w:pPr>
      <w:r>
        <w:rPr>
          <w:rFonts w:eastAsiaTheme="minorHAnsi"/>
          <w:szCs w:val="24"/>
          <w:lang w:val="fr-CA"/>
        </w:rPr>
        <w:tab/>
        <w:t>. . .</w:t>
      </w:r>
    </w:p>
    <w:p w:rsidR="00FF31BC" w:rsidRPr="009903BE" w:rsidRDefault="00715321" w:rsidP="00715321">
      <w:pPr>
        <w:pStyle w:val="Citation-AltC"/>
        <w:tabs>
          <w:tab w:val="left" w:pos="1620"/>
        </w:tabs>
        <w:ind w:hanging="1166"/>
        <w:rPr>
          <w:szCs w:val="24"/>
          <w:lang w:val="fr-CA"/>
        </w:rPr>
      </w:pPr>
      <w:r>
        <w:rPr>
          <w:rFonts w:eastAsiaTheme="minorHAnsi"/>
          <w:szCs w:val="24"/>
          <w:lang w:val="fr-CA"/>
        </w:rPr>
        <w:tab/>
      </w:r>
      <w:r>
        <w:rPr>
          <w:rFonts w:eastAsiaTheme="minorHAnsi"/>
          <w:szCs w:val="24"/>
          <w:lang w:val="fr-CA"/>
        </w:rPr>
        <w:tab/>
      </w:r>
      <w:r w:rsidR="003A662F">
        <w:rPr>
          <w:rFonts w:eastAsiaTheme="minorHAnsi"/>
          <w:szCs w:val="24"/>
          <w:lang w:val="fr-CA"/>
        </w:rPr>
        <w:t xml:space="preserve">. . . </w:t>
      </w:r>
      <w:r w:rsidR="00FF31BC" w:rsidRPr="009903BE">
        <w:rPr>
          <w:rFonts w:eastAsiaTheme="minorHAnsi"/>
          <w:szCs w:val="24"/>
          <w:lang w:val="fr-CA"/>
        </w:rPr>
        <w:t>[L]</w:t>
      </w:r>
      <w:proofErr w:type="gramStart"/>
      <w:r w:rsidR="00FF31BC" w:rsidRPr="009903BE">
        <w:rPr>
          <w:rFonts w:eastAsiaTheme="minorHAnsi"/>
          <w:szCs w:val="24"/>
          <w:lang w:val="fr-CA"/>
        </w:rPr>
        <w:t>a</w:t>
      </w:r>
      <w:proofErr w:type="gramEnd"/>
      <w:r w:rsidR="00FF31BC" w:rsidRPr="009903BE">
        <w:rPr>
          <w:rFonts w:eastAsiaTheme="minorHAnsi"/>
          <w:szCs w:val="24"/>
          <w:lang w:val="fr-CA"/>
        </w:rPr>
        <w:t xml:space="preserve"> protection de la vie privée des jeunes favorise le respect de leur dignité, de leur intégrité personnelle et de leur autonomie. </w:t>
      </w:r>
      <w:r w:rsidR="00FF31BC" w:rsidRPr="009903BE">
        <w:rPr>
          <w:szCs w:val="24"/>
          <w:lang w:val="fr-CA"/>
        </w:rPr>
        <w:t xml:space="preserve"> [Italiques ajoutés</w:t>
      </w:r>
      <w:r w:rsidR="00EF3869">
        <w:rPr>
          <w:szCs w:val="24"/>
          <w:lang w:val="fr-CA"/>
        </w:rPr>
        <w:t>;</w:t>
      </w:r>
      <w:r w:rsidR="00FF31BC" w:rsidRPr="009903BE">
        <w:rPr>
          <w:szCs w:val="24"/>
          <w:lang w:val="fr-CA"/>
        </w:rPr>
        <w:t xml:space="preserve"> par. 40, 41 et 44.]</w:t>
      </w:r>
    </w:p>
    <w:p w:rsidR="00FF31BC" w:rsidRPr="009903BE" w:rsidRDefault="00FF31BC" w:rsidP="00FF31BC">
      <w:pPr>
        <w:pStyle w:val="ParaNoNdepar-AltN"/>
        <w:rPr>
          <w:rFonts w:cs="Times New Roman"/>
          <w:szCs w:val="24"/>
          <w:lang w:val="fr-CA"/>
        </w:rPr>
      </w:pPr>
      <w:r w:rsidRPr="009903BE">
        <w:rPr>
          <w:rFonts w:eastAsiaTheme="minorHAnsi" w:cs="Times New Roman"/>
          <w:szCs w:val="24"/>
          <w:lang w:val="fr-CA"/>
        </w:rPr>
        <w:t xml:space="preserve">Et dans </w:t>
      </w:r>
      <w:r w:rsidRPr="009903BE">
        <w:rPr>
          <w:rFonts w:eastAsiaTheme="minorHAnsi" w:cs="Times New Roman"/>
          <w:i/>
          <w:szCs w:val="24"/>
          <w:lang w:val="fr-CA"/>
        </w:rPr>
        <w:t>R. c. L. (D.O.)</w:t>
      </w:r>
      <w:r w:rsidRPr="009903BE">
        <w:rPr>
          <w:rFonts w:eastAsiaTheme="minorHAnsi" w:cs="Times New Roman"/>
          <w:szCs w:val="24"/>
          <w:lang w:val="fr-CA"/>
        </w:rPr>
        <w:t xml:space="preserve">, [1993] 4 R.C.S. 419, la juge </w:t>
      </w:r>
      <w:r w:rsidRPr="009903BE">
        <w:rPr>
          <w:rFonts w:cs="Times New Roman"/>
          <w:szCs w:val="24"/>
          <w:lang w:val="fr-CA"/>
        </w:rPr>
        <w:t>L’</w:t>
      </w:r>
      <w:proofErr w:type="spellStart"/>
      <w:r w:rsidRPr="009903BE">
        <w:rPr>
          <w:rFonts w:cs="Times New Roman"/>
          <w:szCs w:val="24"/>
          <w:lang w:val="fr-CA"/>
        </w:rPr>
        <w:t>Heureux</w:t>
      </w:r>
      <w:r w:rsidRPr="009903BE">
        <w:rPr>
          <w:rFonts w:cs="Times New Roman"/>
          <w:szCs w:val="24"/>
          <w:lang w:val="fr-CA"/>
        </w:rPr>
        <w:noBreakHyphen/>
        <w:t>Dubé</w:t>
      </w:r>
      <w:proofErr w:type="spellEnd"/>
      <w:r w:rsidRPr="009903BE">
        <w:rPr>
          <w:rFonts w:eastAsiaTheme="minorHAnsi" w:cs="Times New Roman"/>
          <w:szCs w:val="24"/>
          <w:lang w:val="fr-CA"/>
        </w:rPr>
        <w:t xml:space="preserve"> a confirmé la constitutionnalité des dispositions du </w:t>
      </w:r>
      <w:r w:rsidRPr="009903BE">
        <w:rPr>
          <w:rFonts w:eastAsiaTheme="minorHAnsi" w:cs="Times New Roman"/>
          <w:i/>
          <w:szCs w:val="24"/>
          <w:lang w:val="fr-CA"/>
        </w:rPr>
        <w:t xml:space="preserve">Code criminel </w:t>
      </w:r>
      <w:r w:rsidRPr="009903BE">
        <w:rPr>
          <w:rFonts w:eastAsiaTheme="minorHAnsi" w:cs="Times New Roman"/>
          <w:szCs w:val="24"/>
          <w:lang w:val="fr-CA"/>
        </w:rPr>
        <w:t>qui permettaient l’utilisation du témoignage sur bande vidéo des enfants plaignants dans des affaires d’agression sexuelle, en raison de la nécessité de diminuer le stress et le traumatisme que subissent les enfants dans le système de justice pénale : p. 445</w:t>
      </w:r>
      <w:r w:rsidRPr="009903BE">
        <w:rPr>
          <w:rFonts w:eastAsiaTheme="minorHAnsi" w:cs="Times New Roman"/>
          <w:szCs w:val="24"/>
          <w:lang w:val="fr-CA"/>
        </w:rPr>
        <w:noBreakHyphen/>
        <w:t>446; voir</w:t>
      </w:r>
      <w:r w:rsidR="007066DE">
        <w:rPr>
          <w:rFonts w:eastAsiaTheme="minorHAnsi" w:cs="Times New Roman"/>
          <w:szCs w:val="24"/>
          <w:lang w:val="fr-CA"/>
        </w:rPr>
        <w:t xml:space="preserve"> également</w:t>
      </w:r>
      <w:r w:rsidRPr="009903BE">
        <w:rPr>
          <w:rFonts w:eastAsiaTheme="minorHAnsi" w:cs="Times New Roman"/>
          <w:szCs w:val="24"/>
          <w:lang w:val="fr-CA"/>
        </w:rPr>
        <w:t xml:space="preserve"> </w:t>
      </w:r>
      <w:proofErr w:type="spellStart"/>
      <w:r w:rsidRPr="009903BE">
        <w:rPr>
          <w:rFonts w:cs="Times New Roman"/>
          <w:i/>
          <w:szCs w:val="24"/>
          <w:lang w:val="fr-CA"/>
        </w:rPr>
        <w:t>Doe</w:t>
      </w:r>
      <w:proofErr w:type="spellEnd"/>
      <w:r w:rsidRPr="009903BE">
        <w:rPr>
          <w:rFonts w:eastAsiaTheme="minorHAnsi" w:cs="Times New Roman"/>
          <w:i/>
          <w:szCs w:val="24"/>
          <w:lang w:val="fr-CA"/>
        </w:rPr>
        <w:t xml:space="preserve"> c. Church of </w:t>
      </w:r>
      <w:proofErr w:type="spellStart"/>
      <w:r w:rsidRPr="009903BE">
        <w:rPr>
          <w:rFonts w:eastAsiaTheme="minorHAnsi" w:cs="Times New Roman"/>
          <w:i/>
          <w:szCs w:val="24"/>
          <w:lang w:val="fr-CA"/>
        </w:rPr>
        <w:t>Jesus</w:t>
      </w:r>
      <w:proofErr w:type="spellEnd"/>
      <w:r w:rsidRPr="009903BE">
        <w:rPr>
          <w:rFonts w:eastAsiaTheme="minorHAnsi" w:cs="Times New Roman"/>
          <w:i/>
          <w:szCs w:val="24"/>
          <w:lang w:val="fr-CA"/>
        </w:rPr>
        <w:t xml:space="preserve"> Christ of </w:t>
      </w:r>
      <w:proofErr w:type="spellStart"/>
      <w:r w:rsidRPr="009903BE">
        <w:rPr>
          <w:rFonts w:eastAsiaTheme="minorHAnsi" w:cs="Times New Roman"/>
          <w:i/>
          <w:szCs w:val="24"/>
          <w:lang w:val="fr-CA"/>
        </w:rPr>
        <w:t>Latter</w:t>
      </w:r>
      <w:r w:rsidRPr="009903BE">
        <w:rPr>
          <w:rFonts w:eastAsiaTheme="minorHAnsi" w:cs="Times New Roman"/>
          <w:i/>
          <w:szCs w:val="24"/>
          <w:lang w:val="fr-CA"/>
        </w:rPr>
        <w:noBreakHyphen/>
        <w:t>Day</w:t>
      </w:r>
      <w:proofErr w:type="spellEnd"/>
      <w:r w:rsidRPr="009903BE">
        <w:rPr>
          <w:rFonts w:eastAsiaTheme="minorHAnsi" w:cs="Times New Roman"/>
          <w:i/>
          <w:szCs w:val="24"/>
          <w:lang w:val="fr-CA"/>
        </w:rPr>
        <w:t xml:space="preserve"> Saints in Canada</w:t>
      </w:r>
      <w:r w:rsidRPr="009903BE">
        <w:rPr>
          <w:rFonts w:eastAsiaTheme="minorHAnsi" w:cs="Times New Roman"/>
          <w:szCs w:val="24"/>
          <w:lang w:val="fr-CA"/>
        </w:rPr>
        <w:t xml:space="preserve">, 2003 ABQB 794, 341 A.R. 395, par. 9.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Il est logique d’inférer que la </w:t>
      </w:r>
      <w:proofErr w:type="spellStart"/>
      <w:r w:rsidRPr="009903BE">
        <w:rPr>
          <w:rFonts w:cs="Times New Roman"/>
          <w:szCs w:val="24"/>
          <w:lang w:val="fr-CA"/>
        </w:rPr>
        <w:t>cyberintimidation</w:t>
      </w:r>
      <w:proofErr w:type="spellEnd"/>
      <w:r w:rsidRPr="009903BE">
        <w:rPr>
          <w:rFonts w:cs="Times New Roman"/>
          <w:szCs w:val="24"/>
          <w:lang w:val="fr-CA"/>
        </w:rPr>
        <w:t xml:space="preserve"> peut causer un préjudice aux enfants.  Cette conclusion est compatible avec la toxicité psychologique de ce phénomène décrit dans le rapport de la Commission d’étude sur l’intimidation et la </w:t>
      </w:r>
      <w:proofErr w:type="spellStart"/>
      <w:r w:rsidRPr="009903BE">
        <w:rPr>
          <w:rFonts w:cs="Times New Roman"/>
          <w:szCs w:val="24"/>
          <w:lang w:val="fr-CA"/>
        </w:rPr>
        <w:t>cyberintimidation</w:t>
      </w:r>
      <w:proofErr w:type="spellEnd"/>
      <w:r w:rsidRPr="009903BE">
        <w:rPr>
          <w:rFonts w:cs="Times New Roman"/>
          <w:szCs w:val="24"/>
          <w:lang w:val="fr-CA"/>
        </w:rPr>
        <w:t xml:space="preserve"> de la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xml:space="preserve"> présidée par le professeur A. Wayne </w:t>
      </w:r>
      <w:proofErr w:type="spellStart"/>
      <w:r w:rsidRPr="009903BE">
        <w:rPr>
          <w:rFonts w:cs="Times New Roman"/>
          <w:szCs w:val="24"/>
          <w:lang w:val="fr-CA"/>
        </w:rPr>
        <w:t>MacKay</w:t>
      </w:r>
      <w:proofErr w:type="spellEnd"/>
      <w:r w:rsidRPr="009903BE">
        <w:rPr>
          <w:rFonts w:cs="Times New Roman"/>
          <w:szCs w:val="24"/>
          <w:lang w:val="fr-CA"/>
        </w:rPr>
        <w:t xml:space="preserve">, la première commission provinciale qui a examiné l’intimidation en ligne </w:t>
      </w:r>
      <w:r w:rsidRPr="009903BE">
        <w:rPr>
          <w:rFonts w:cs="Times New Roman"/>
          <w:szCs w:val="24"/>
          <w:lang w:val="fr-CA"/>
        </w:rPr>
        <w:lastRenderedPageBreak/>
        <w:t>(</w:t>
      </w:r>
      <w:r w:rsidRPr="009903BE">
        <w:rPr>
          <w:rFonts w:cs="Times New Roman"/>
          <w:i/>
          <w:szCs w:val="24"/>
          <w:lang w:val="fr-CA"/>
        </w:rPr>
        <w:t>Respect et responsabilité dans les relations : il n’y a pas d’</w:t>
      </w:r>
      <w:proofErr w:type="spellStart"/>
      <w:r w:rsidRPr="009903BE">
        <w:rPr>
          <w:rFonts w:cs="Times New Roman"/>
          <w:i/>
          <w:szCs w:val="24"/>
          <w:lang w:val="fr-CA"/>
        </w:rPr>
        <w:t>app</w:t>
      </w:r>
      <w:proofErr w:type="spellEnd"/>
      <w:r w:rsidRPr="009903BE">
        <w:rPr>
          <w:rFonts w:cs="Times New Roman"/>
          <w:i/>
          <w:szCs w:val="24"/>
          <w:lang w:val="fr-CA"/>
        </w:rPr>
        <w:t xml:space="preserve"> pour ça : Rapport de la Commission d’étude sur l’intimidation et la </w:t>
      </w:r>
      <w:proofErr w:type="spellStart"/>
      <w:r w:rsidRPr="009903BE">
        <w:rPr>
          <w:rFonts w:cs="Times New Roman"/>
          <w:i/>
          <w:szCs w:val="24"/>
          <w:lang w:val="fr-CA"/>
        </w:rPr>
        <w:t>cyberintimidation</w:t>
      </w:r>
      <w:proofErr w:type="spellEnd"/>
      <w:r w:rsidRPr="009903BE">
        <w:rPr>
          <w:rFonts w:cs="Times New Roman"/>
          <w:szCs w:val="24"/>
          <w:lang w:val="fr-CA"/>
        </w:rPr>
        <w:t xml:space="preserve"> de la </w:t>
      </w:r>
      <w:proofErr w:type="spellStart"/>
      <w:r w:rsidRPr="009903BE">
        <w:rPr>
          <w:rFonts w:cs="Times New Roman"/>
          <w:szCs w:val="24"/>
          <w:lang w:val="fr-CA"/>
        </w:rPr>
        <w:t>Nouvelle</w:t>
      </w:r>
      <w:r w:rsidRPr="009903BE">
        <w:rPr>
          <w:rFonts w:cs="Times New Roman"/>
          <w:szCs w:val="24"/>
          <w:lang w:val="fr-CA"/>
        </w:rPr>
        <w:noBreakHyphen/>
        <w:t>Écosse</w:t>
      </w:r>
      <w:proofErr w:type="spellEnd"/>
      <w:r w:rsidRPr="009903BE">
        <w:rPr>
          <w:rFonts w:cs="Times New Roman"/>
          <w:szCs w:val="24"/>
          <w:lang w:val="fr-CA"/>
        </w:rPr>
        <w:t xml:space="preserve"> (2012)).  La commission d’étude a été mise sur pied à la suite d’une « série tragique de suicides de jeunes » (p. 4).  </w:t>
      </w:r>
    </w:p>
    <w:p w:rsidR="00FF31BC" w:rsidRPr="009903BE" w:rsidRDefault="00FF31BC" w:rsidP="00FF31BC">
      <w:pPr>
        <w:pStyle w:val="ParaNoNdepar-AltN"/>
        <w:rPr>
          <w:rFonts w:cs="Times New Roman"/>
          <w:szCs w:val="24"/>
          <w:lang w:val="fr-CA"/>
        </w:rPr>
      </w:pPr>
      <w:r w:rsidRPr="009903BE">
        <w:rPr>
          <w:rFonts w:cs="Times New Roman"/>
          <w:szCs w:val="24"/>
          <w:lang w:val="fr-CA"/>
        </w:rPr>
        <w:t>Le rapport a défini ainsi l’intimidation :</w:t>
      </w:r>
    </w:p>
    <w:p w:rsidR="00FF31BC" w:rsidRPr="009903BE" w:rsidRDefault="00FF31BC" w:rsidP="00FF31BC">
      <w:pPr>
        <w:pStyle w:val="Citation-AltC"/>
        <w:ind w:hanging="1166"/>
        <w:rPr>
          <w:szCs w:val="24"/>
          <w:lang w:val="fr-CA"/>
        </w:rPr>
      </w:pPr>
      <w:r w:rsidRPr="009903BE">
        <w:rPr>
          <w:szCs w:val="24"/>
          <w:lang w:val="fr-CA"/>
        </w:rPr>
        <w:tab/>
      </w:r>
      <w:r w:rsidR="001C4F7C">
        <w:rPr>
          <w:szCs w:val="24"/>
          <w:lang w:val="fr-CA"/>
        </w:rPr>
        <w:t xml:space="preserve">. . . </w:t>
      </w:r>
      <w:r w:rsidRPr="009903BE">
        <w:rPr>
          <w:szCs w:val="24"/>
          <w:lang w:val="fr-CA"/>
        </w:rPr>
        <w:t xml:space="preserve">comportement répété  qui a pour intention de causer — ou dont on devrait savoir qu’il va causer — un sentiment de peur, d’humiliation, de détresse ou d’autres formes de préjudices à une autre personne en ce qui a trait à sa condition physique, ses sentiments, son estime de soi, sa réputation ou ses biens.  L’intimidation peut être directe ou indirecte et peut se dérouler sous forme écrite, orale, physique ou électronique ou par tout autre moyen d’expression.  [p. 46]  </w:t>
      </w:r>
    </w:p>
    <w:p w:rsidR="00FF31BC" w:rsidRPr="009903BE" w:rsidRDefault="00FF31BC" w:rsidP="00FF31BC">
      <w:pPr>
        <w:pStyle w:val="ContinueParaSuitedupar-AltP"/>
        <w:rPr>
          <w:rFonts w:cs="Times New Roman"/>
          <w:szCs w:val="24"/>
          <w:lang w:val="fr-CA"/>
        </w:rPr>
      </w:pPr>
      <w:r w:rsidRPr="009903BE">
        <w:rPr>
          <w:rFonts w:cs="Times New Roman"/>
          <w:szCs w:val="24"/>
          <w:lang w:val="fr-CA"/>
        </w:rPr>
        <w:t xml:space="preserve">Les conséquences préjudiciables de l’intimidation sont qualifiées de « profondes » et comprennent la perte d’estime de soi, l’anxiété, la peur et l’abandon des études (p. 4).  En outre, les victimes d’intimidation sont, deux fois plus que les jeunes qui n’en ont pas été victimes, susceptibles de signaler qu’elles ont tenté de se suicider (p. 93); voir également </w:t>
      </w:r>
      <w:r w:rsidRPr="009903BE">
        <w:rPr>
          <w:rFonts w:cs="Times New Roman"/>
          <w:i/>
          <w:szCs w:val="24"/>
          <w:lang w:val="fr-CA"/>
        </w:rPr>
        <w:t>R. c. R</w:t>
      </w:r>
      <w:proofErr w:type="gramStart"/>
      <w:r w:rsidRPr="009903BE">
        <w:rPr>
          <w:rFonts w:cs="Times New Roman"/>
          <w:i/>
          <w:szCs w:val="24"/>
          <w:lang w:val="fr-CA"/>
        </w:rPr>
        <w:t>.(</w:t>
      </w:r>
      <w:proofErr w:type="gramEnd"/>
      <w:r w:rsidRPr="009903BE">
        <w:rPr>
          <w:rFonts w:cs="Times New Roman"/>
          <w:i/>
          <w:szCs w:val="24"/>
          <w:lang w:val="fr-CA"/>
        </w:rPr>
        <w:t>W.)</w:t>
      </w:r>
      <w:r w:rsidRPr="009903BE">
        <w:rPr>
          <w:rFonts w:cs="Times New Roman"/>
          <w:szCs w:val="24"/>
          <w:lang w:val="fr-CA"/>
        </w:rPr>
        <w:t>, 2010 ONCJ 526 (</w:t>
      </w:r>
      <w:proofErr w:type="spellStart"/>
      <w:r w:rsidRPr="009903BE">
        <w:rPr>
          <w:rFonts w:cs="Times New Roman"/>
          <w:szCs w:val="24"/>
          <w:lang w:val="fr-CA"/>
        </w:rPr>
        <w:t>CanLII</w:t>
      </w:r>
      <w:proofErr w:type="spellEnd"/>
      <w:r w:rsidRPr="009903BE">
        <w:rPr>
          <w:rFonts w:cs="Times New Roman"/>
          <w:szCs w:val="24"/>
          <w:lang w:val="fr-CA"/>
        </w:rPr>
        <w:t>), par. 11 et 16, et « </w:t>
      </w:r>
      <w:proofErr w:type="spellStart"/>
      <w:r w:rsidRPr="009903BE">
        <w:rPr>
          <w:rFonts w:cs="Times New Roman"/>
          <w:szCs w:val="24"/>
          <w:lang w:val="fr-CA"/>
        </w:rPr>
        <w:t>Cyberbullying</w:t>
      </w:r>
      <w:proofErr w:type="spellEnd"/>
      <w:r w:rsidRPr="009903BE">
        <w:rPr>
          <w:rFonts w:cs="Times New Roman"/>
          <w:szCs w:val="24"/>
          <w:lang w:val="fr-CA"/>
        </w:rPr>
        <w:t xml:space="preserve"> : A </w:t>
      </w:r>
      <w:proofErr w:type="spellStart"/>
      <w:r w:rsidRPr="009903BE">
        <w:rPr>
          <w:rFonts w:cs="Times New Roman"/>
          <w:szCs w:val="24"/>
          <w:lang w:val="fr-CA"/>
        </w:rPr>
        <w:t>Growing</w:t>
      </w:r>
      <w:proofErr w:type="spellEnd"/>
      <w:r w:rsidRPr="009903BE">
        <w:rPr>
          <w:rFonts w:cs="Times New Roman"/>
          <w:szCs w:val="24"/>
          <w:lang w:val="fr-CA"/>
        </w:rPr>
        <w:t xml:space="preserve"> </w:t>
      </w:r>
      <w:proofErr w:type="spellStart"/>
      <w:r w:rsidRPr="009903BE">
        <w:rPr>
          <w:rFonts w:cs="Times New Roman"/>
          <w:szCs w:val="24"/>
          <w:lang w:val="fr-CA"/>
        </w:rPr>
        <w:t>Problem</w:t>
      </w:r>
      <w:proofErr w:type="spellEnd"/>
      <w:r w:rsidRPr="009903BE">
        <w:rPr>
          <w:rFonts w:cs="Times New Roman"/>
          <w:szCs w:val="24"/>
          <w:lang w:val="fr-CA"/>
        </w:rPr>
        <w:t xml:space="preserve"> », </w:t>
      </w:r>
      <w:r w:rsidRPr="009903BE">
        <w:rPr>
          <w:rFonts w:cs="Times New Roman"/>
          <w:i/>
          <w:szCs w:val="24"/>
          <w:lang w:val="fr-CA"/>
        </w:rPr>
        <w:t>Science Daily</w:t>
      </w:r>
      <w:r w:rsidRPr="009903BE">
        <w:rPr>
          <w:rFonts w:cs="Times New Roman"/>
          <w:szCs w:val="24"/>
          <w:lang w:val="fr-CA"/>
        </w:rPr>
        <w:t xml:space="preserve"> (22 février 2010, en ligne).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 rapport indiquait également que la </w:t>
      </w:r>
      <w:proofErr w:type="spellStart"/>
      <w:r w:rsidRPr="009903BE">
        <w:rPr>
          <w:rFonts w:cs="Times New Roman"/>
          <w:szCs w:val="24"/>
          <w:lang w:val="fr-CA"/>
        </w:rPr>
        <w:t>cyberintimidation</w:t>
      </w:r>
      <w:proofErr w:type="spellEnd"/>
      <w:r w:rsidRPr="009903BE">
        <w:rPr>
          <w:rFonts w:cs="Times New Roman"/>
          <w:szCs w:val="24"/>
          <w:lang w:val="fr-CA"/>
        </w:rPr>
        <w:t xml:space="preserve"> peut avoir un effet particulièrement préjudiciable parce que sa teneur peut être diffusée sur une grande échelle, très rapidement et dans l’anonymat :</w:t>
      </w:r>
    </w:p>
    <w:p w:rsidR="00FF31BC" w:rsidRPr="009903BE" w:rsidRDefault="00FF31BC" w:rsidP="00FF31BC">
      <w:pPr>
        <w:pStyle w:val="Citation-AltC"/>
        <w:spacing w:after="240"/>
        <w:ind w:hanging="1166"/>
        <w:contextualSpacing w:val="0"/>
        <w:rPr>
          <w:szCs w:val="24"/>
          <w:lang w:val="fr-CA"/>
        </w:rPr>
      </w:pPr>
      <w:r w:rsidRPr="009903BE">
        <w:rPr>
          <w:szCs w:val="24"/>
          <w:lang w:val="fr-CA"/>
        </w:rPr>
        <w:lastRenderedPageBreak/>
        <w:tab/>
      </w:r>
      <w:r w:rsidR="00B15FB8">
        <w:rPr>
          <w:szCs w:val="24"/>
          <w:lang w:val="fr-CA"/>
        </w:rPr>
        <w:t xml:space="preserve">. . . </w:t>
      </w:r>
      <w:r w:rsidRPr="009903BE">
        <w:rPr>
          <w:szCs w:val="24"/>
          <w:lang w:val="fr-CA"/>
        </w:rPr>
        <w:t>Le caractère immédiat et omniprésent de la technologie électronique moderne fait que l’intimidation est plus facile, plus rapide, plus répan</w:t>
      </w:r>
      <w:r w:rsidR="00B15FB8">
        <w:rPr>
          <w:szCs w:val="24"/>
          <w:lang w:val="fr-CA"/>
        </w:rPr>
        <w:t>due et plus cruelle que jamais. . .</w:t>
      </w:r>
    </w:p>
    <w:p w:rsidR="00FF31BC" w:rsidRPr="009903BE" w:rsidRDefault="00FF31BC" w:rsidP="00FF31BC">
      <w:pPr>
        <w:pStyle w:val="Citation-AltC"/>
        <w:spacing w:after="240"/>
        <w:ind w:hanging="1166"/>
        <w:contextualSpacing w:val="0"/>
        <w:rPr>
          <w:szCs w:val="24"/>
          <w:lang w:val="fr-CA"/>
        </w:rPr>
      </w:pPr>
      <w:r w:rsidRPr="009903BE">
        <w:rPr>
          <w:szCs w:val="24"/>
          <w:lang w:val="fr-CA"/>
        </w:rPr>
        <w:tab/>
      </w:r>
      <w:r w:rsidR="00B15FB8">
        <w:rPr>
          <w:szCs w:val="24"/>
          <w:lang w:val="fr-CA"/>
        </w:rPr>
        <w:t xml:space="preserve">. . . </w:t>
      </w:r>
      <w:r w:rsidR="00725A5D">
        <w:rPr>
          <w:szCs w:val="24"/>
          <w:lang w:val="fr-CA"/>
        </w:rPr>
        <w:t>e</w:t>
      </w:r>
      <w:r w:rsidRPr="009903BE">
        <w:rPr>
          <w:szCs w:val="24"/>
          <w:lang w:val="fr-CA"/>
        </w:rPr>
        <w:t xml:space="preserve">lle vous suit à la maison et dans votre chambre à coucher : vous ne vous sentez jamais à l’abri, l’intimidation est constante.  [. . .] [L]a </w:t>
      </w:r>
      <w:proofErr w:type="spellStart"/>
      <w:r w:rsidRPr="009903BE">
        <w:rPr>
          <w:szCs w:val="24"/>
          <w:lang w:val="fr-CA"/>
        </w:rPr>
        <w:t>cyberintimidation</w:t>
      </w:r>
      <w:proofErr w:type="spellEnd"/>
      <w:r w:rsidRPr="009903BE">
        <w:rPr>
          <w:szCs w:val="24"/>
          <w:lang w:val="fr-CA"/>
        </w:rPr>
        <w:t xml:space="preserve"> est tout particulièrement insidieuse parce qu’elle envahit le domicile de l’enfant, qui est un endroit où il se sent normalement en sécurité, qu’elle est constante et qu’on ne peut y échapper, parce que la victime peut être rejointe </w:t>
      </w:r>
      <w:r w:rsidR="00F72FB2">
        <w:rPr>
          <w:szCs w:val="24"/>
          <w:lang w:val="fr-CA"/>
        </w:rPr>
        <w:t>en tout temps et en tout lieu. . .</w:t>
      </w:r>
    </w:p>
    <w:p w:rsidR="00FF31BC" w:rsidRPr="009903BE" w:rsidRDefault="00FF31BC" w:rsidP="00FF31BC">
      <w:pPr>
        <w:pStyle w:val="Citation-AltC"/>
        <w:spacing w:after="240"/>
        <w:ind w:hanging="1166"/>
        <w:contextualSpacing w:val="0"/>
        <w:rPr>
          <w:szCs w:val="24"/>
          <w:lang w:val="fr-CA"/>
        </w:rPr>
      </w:pPr>
      <w:r w:rsidRPr="009903BE">
        <w:rPr>
          <w:szCs w:val="24"/>
          <w:lang w:val="fr-CA"/>
        </w:rPr>
        <w:tab/>
        <w:t>Le</w:t>
      </w:r>
      <w:r w:rsidR="004406B4">
        <w:rPr>
          <w:szCs w:val="24"/>
          <w:lang w:val="fr-CA"/>
        </w:rPr>
        <w:t xml:space="preserve"> fait que les auteurs des </w:t>
      </w:r>
      <w:proofErr w:type="spellStart"/>
      <w:r w:rsidR="004406B4">
        <w:rPr>
          <w:szCs w:val="24"/>
          <w:lang w:val="fr-CA"/>
        </w:rPr>
        <w:t>cyber</w:t>
      </w:r>
      <w:r w:rsidRPr="009903BE">
        <w:rPr>
          <w:szCs w:val="24"/>
          <w:lang w:val="fr-CA"/>
        </w:rPr>
        <w:t>intimidations</w:t>
      </w:r>
      <w:proofErr w:type="spellEnd"/>
      <w:r w:rsidRPr="009903BE">
        <w:rPr>
          <w:szCs w:val="24"/>
          <w:lang w:val="fr-CA"/>
        </w:rPr>
        <w:t xml:space="preserve"> peuvent rester anonymes complique encore davantage la situation, parce qu’il élimine l’exigence traditionnelle d’un déséquilibre dans le rapport de force entre l’auteur et la victime et qu’elle fait qu’il est difficile de prouver l’identité de l’auteur.  L’anonymat permet à des gens qui n’oseraient pas sinon se livrer à des comportements intimidants de le faire en courant peu de risqu</w:t>
      </w:r>
      <w:r w:rsidR="003D1A00">
        <w:rPr>
          <w:szCs w:val="24"/>
          <w:lang w:val="fr-CA"/>
        </w:rPr>
        <w:t>es de subir des répercussions. . .</w:t>
      </w:r>
    </w:p>
    <w:p w:rsidR="00FF31BC" w:rsidRPr="009903BE" w:rsidRDefault="00FF31BC" w:rsidP="00FF31BC">
      <w:pPr>
        <w:pStyle w:val="Citation-AltC"/>
        <w:ind w:hanging="1166"/>
        <w:contextualSpacing w:val="0"/>
        <w:rPr>
          <w:szCs w:val="24"/>
          <w:lang w:val="fr-CA"/>
        </w:rPr>
      </w:pPr>
      <w:r w:rsidRPr="009903BE">
        <w:rPr>
          <w:szCs w:val="24"/>
          <w:lang w:val="fr-CA"/>
        </w:rPr>
        <w:tab/>
      </w:r>
      <w:r w:rsidR="00F37C1D">
        <w:rPr>
          <w:szCs w:val="24"/>
          <w:lang w:val="fr-CA"/>
        </w:rPr>
        <w:t xml:space="preserve">. . . </w:t>
      </w:r>
      <w:r w:rsidRPr="009903BE">
        <w:rPr>
          <w:szCs w:val="24"/>
          <w:lang w:val="fr-CA"/>
        </w:rPr>
        <w:t>Le monde virtuel offre aux auteurs des intimidations un vaste terrain d</w:t>
      </w:r>
      <w:r w:rsidR="00CF6542">
        <w:rPr>
          <w:szCs w:val="24"/>
          <w:lang w:val="fr-CA"/>
        </w:rPr>
        <w:t xml:space="preserve">e jeu public sans </w:t>
      </w:r>
      <w:proofErr w:type="gramStart"/>
      <w:r w:rsidR="00CF6542">
        <w:rPr>
          <w:szCs w:val="24"/>
          <w:lang w:val="fr-CA"/>
        </w:rPr>
        <w:t>surveillance</w:t>
      </w:r>
      <w:r w:rsidR="00020418">
        <w:rPr>
          <w:szCs w:val="24"/>
          <w:lang w:val="fr-CA"/>
        </w:rPr>
        <w:t xml:space="preserve"> </w:t>
      </w:r>
      <w:r w:rsidR="00CF6542">
        <w:rPr>
          <w:szCs w:val="24"/>
          <w:lang w:val="fr-CA"/>
        </w:rPr>
        <w:t>.</w:t>
      </w:r>
      <w:proofErr w:type="gramEnd"/>
      <w:r w:rsidR="00CF6542">
        <w:rPr>
          <w:szCs w:val="24"/>
          <w:lang w:val="fr-CA"/>
        </w:rPr>
        <w:t xml:space="preserve"> . . </w:t>
      </w:r>
      <w:r w:rsidRPr="009903BE">
        <w:rPr>
          <w:szCs w:val="24"/>
          <w:lang w:val="fr-CA"/>
        </w:rPr>
        <w:t>[p. 12</w:t>
      </w:r>
      <w:r w:rsidRPr="009903BE">
        <w:rPr>
          <w:szCs w:val="24"/>
          <w:lang w:val="fr-CA"/>
        </w:rPr>
        <w:noBreakHyphen/>
        <w:t>13]</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Outre le préjudice psychologique de la </w:t>
      </w:r>
      <w:proofErr w:type="spellStart"/>
      <w:r w:rsidRPr="009903BE">
        <w:rPr>
          <w:rFonts w:cs="Times New Roman"/>
          <w:szCs w:val="24"/>
          <w:lang w:val="fr-CA"/>
        </w:rPr>
        <w:t>cyberintimidation</w:t>
      </w:r>
      <w:proofErr w:type="spellEnd"/>
      <w:r w:rsidRPr="009903BE">
        <w:rPr>
          <w:rFonts w:cs="Times New Roman"/>
          <w:szCs w:val="24"/>
          <w:lang w:val="fr-CA"/>
        </w:rPr>
        <w:t xml:space="preserve">, nous devons examiner le préjudice inévitable qu’elle cause à l’enfant — et à l’administration de la justice — si ces derniers refusent de prendre des mesures de protection en raison du risque de préjudice supplémentaire découlant de la divulgation publique.  </w:t>
      </w:r>
    </w:p>
    <w:p w:rsidR="00FF31BC" w:rsidRPr="009903BE" w:rsidRDefault="00FF31BC" w:rsidP="00FF31BC">
      <w:pPr>
        <w:pStyle w:val="ParaNoNdepar-AltN"/>
        <w:rPr>
          <w:rFonts w:eastAsiaTheme="minorHAnsi" w:cs="Times New Roman"/>
          <w:szCs w:val="24"/>
          <w:lang w:val="fr-CA"/>
        </w:rPr>
      </w:pPr>
      <w:r w:rsidRPr="009903BE">
        <w:rPr>
          <w:rFonts w:cs="Times New Roman"/>
          <w:szCs w:val="24"/>
          <w:lang w:val="fr-CA"/>
        </w:rPr>
        <w:t xml:space="preserve">Le rapport du professeur </w:t>
      </w:r>
      <w:proofErr w:type="spellStart"/>
      <w:r w:rsidRPr="009903BE">
        <w:rPr>
          <w:rFonts w:cs="Times New Roman"/>
          <w:szCs w:val="24"/>
          <w:lang w:val="fr-CA"/>
        </w:rPr>
        <w:t>MacKay</w:t>
      </w:r>
      <w:proofErr w:type="spellEnd"/>
      <w:r w:rsidRPr="009903BE">
        <w:rPr>
          <w:rFonts w:cs="Times New Roman"/>
          <w:szCs w:val="24"/>
          <w:lang w:val="fr-CA"/>
        </w:rPr>
        <w:t xml:space="preserve"> permet d’inférer que, si on lui refuse l’anonymat, l’enfant intimidé pourra s’abstenir d’engager une poursuite.  Selon l’auteur, la moitié des incidents d’intimidation ne sont pas signalés, dans une large mesure par crainte que le signalement n’apportera pas les solutions ni la compréhension suffisantes pour surmonter la peur des représailles : p. 10</w:t>
      </w:r>
      <w:r w:rsidRPr="009903BE">
        <w:rPr>
          <w:rFonts w:cs="Times New Roman"/>
          <w:szCs w:val="24"/>
          <w:lang w:val="fr-CA"/>
        </w:rPr>
        <w:noBreakHyphen/>
        <w:t>11</w:t>
      </w:r>
      <w:r w:rsidRPr="009903BE">
        <w:rPr>
          <w:rFonts w:eastAsiaTheme="minorHAnsi" w:cs="Times New Roman"/>
          <w:szCs w:val="24"/>
          <w:lang w:val="fr-CA"/>
        </w:rPr>
        <w:t xml:space="preserve">.  Par conséquent, </w:t>
      </w:r>
      <w:r w:rsidRPr="009903BE">
        <w:rPr>
          <w:rFonts w:cs="Times New Roman"/>
          <w:szCs w:val="24"/>
          <w:lang w:val="fr-CA"/>
        </w:rPr>
        <w:t xml:space="preserve">l’une des recommandations formulées portait sur l’établissement de </w:t>
      </w:r>
      <w:r w:rsidRPr="009903BE">
        <w:rPr>
          <w:rFonts w:cs="Times New Roman"/>
          <w:szCs w:val="24"/>
          <w:lang w:val="fr-CA"/>
        </w:rPr>
        <w:lastRenderedPageBreak/>
        <w:t xml:space="preserve">mécanismes de signalement </w:t>
      </w:r>
      <w:r w:rsidRPr="009903BE">
        <w:rPr>
          <w:rFonts w:cs="Times New Roman"/>
          <w:i/>
          <w:szCs w:val="24"/>
          <w:lang w:val="fr-CA"/>
        </w:rPr>
        <w:t>anonyme</w:t>
      </w:r>
      <w:r w:rsidRPr="009903BE">
        <w:rPr>
          <w:rFonts w:cs="Times New Roman"/>
          <w:szCs w:val="24"/>
          <w:lang w:val="fr-CA"/>
        </w:rPr>
        <w:t xml:space="preserve"> de la </w:t>
      </w:r>
      <w:proofErr w:type="spellStart"/>
      <w:r w:rsidRPr="009903BE">
        <w:rPr>
          <w:rFonts w:cs="Times New Roman"/>
          <w:szCs w:val="24"/>
          <w:lang w:val="fr-CA"/>
        </w:rPr>
        <w:t>cyberintimidation</w:t>
      </w:r>
      <w:proofErr w:type="spellEnd"/>
      <w:r w:rsidRPr="009903BE">
        <w:rPr>
          <w:rFonts w:cs="Times New Roman"/>
          <w:szCs w:val="24"/>
          <w:lang w:val="fr-CA"/>
        </w:rPr>
        <w:t xml:space="preserve"> (annexe E</w:t>
      </w:r>
      <w:r w:rsidR="00FA1DBE">
        <w:rPr>
          <w:rFonts w:cs="Times New Roman"/>
          <w:szCs w:val="24"/>
          <w:lang w:val="fr-CA"/>
        </w:rPr>
        <w:t>,</w:t>
      </w:r>
      <w:r w:rsidRPr="009903BE">
        <w:rPr>
          <w:rFonts w:cs="Times New Roman"/>
          <w:szCs w:val="24"/>
          <w:lang w:val="fr-CA"/>
        </w:rPr>
        <w:t xml:space="preserve"> p. 10; voir également, Peter A. </w:t>
      </w:r>
      <w:proofErr w:type="spellStart"/>
      <w:r w:rsidRPr="009903BE">
        <w:rPr>
          <w:rFonts w:cs="Times New Roman"/>
          <w:szCs w:val="24"/>
          <w:lang w:val="fr-CA"/>
        </w:rPr>
        <w:t>Winn</w:t>
      </w:r>
      <w:proofErr w:type="spellEnd"/>
      <w:r w:rsidRPr="009903BE">
        <w:rPr>
          <w:rFonts w:cs="Times New Roman"/>
          <w:szCs w:val="24"/>
          <w:lang w:val="fr-CA"/>
        </w:rPr>
        <w:t xml:space="preserve">, « Online Court Records : </w:t>
      </w:r>
      <w:proofErr w:type="spellStart"/>
      <w:r w:rsidRPr="009903BE">
        <w:rPr>
          <w:rFonts w:cs="Times New Roman"/>
          <w:szCs w:val="24"/>
          <w:lang w:val="fr-CA"/>
        </w:rPr>
        <w:t>Balancing</w:t>
      </w:r>
      <w:proofErr w:type="spellEnd"/>
      <w:r w:rsidRPr="009903BE">
        <w:rPr>
          <w:rFonts w:cs="Times New Roman"/>
          <w:szCs w:val="24"/>
          <w:lang w:val="fr-CA"/>
        </w:rPr>
        <w:t xml:space="preserve"> </w:t>
      </w:r>
      <w:proofErr w:type="spellStart"/>
      <w:r w:rsidRPr="009903BE">
        <w:rPr>
          <w:rFonts w:cs="Times New Roman"/>
          <w:szCs w:val="24"/>
          <w:lang w:val="fr-CA"/>
        </w:rPr>
        <w:t>Judicial</w:t>
      </w:r>
      <w:proofErr w:type="spellEnd"/>
      <w:r w:rsidRPr="009903BE">
        <w:rPr>
          <w:rFonts w:cs="Times New Roman"/>
          <w:szCs w:val="24"/>
          <w:lang w:val="fr-CA"/>
        </w:rPr>
        <w:t xml:space="preserve"> </w:t>
      </w:r>
      <w:proofErr w:type="spellStart"/>
      <w:r w:rsidRPr="009903BE">
        <w:rPr>
          <w:rFonts w:cs="Times New Roman"/>
          <w:szCs w:val="24"/>
          <w:lang w:val="fr-CA"/>
        </w:rPr>
        <w:t>Accountability</w:t>
      </w:r>
      <w:proofErr w:type="spellEnd"/>
      <w:r w:rsidRPr="009903BE">
        <w:rPr>
          <w:rFonts w:cs="Times New Roman"/>
          <w:szCs w:val="24"/>
          <w:lang w:val="fr-CA"/>
        </w:rPr>
        <w:t xml:space="preserve"> and </w:t>
      </w:r>
      <w:proofErr w:type="spellStart"/>
      <w:r w:rsidRPr="009903BE">
        <w:rPr>
          <w:rFonts w:cs="Times New Roman"/>
          <w:szCs w:val="24"/>
          <w:lang w:val="fr-CA"/>
        </w:rPr>
        <w:t>Privacy</w:t>
      </w:r>
      <w:proofErr w:type="spellEnd"/>
      <w:r w:rsidRPr="009903BE">
        <w:rPr>
          <w:rFonts w:cs="Times New Roman"/>
          <w:szCs w:val="24"/>
          <w:lang w:val="fr-CA"/>
        </w:rPr>
        <w:t xml:space="preserve"> in an Age of </w:t>
      </w:r>
      <w:proofErr w:type="spellStart"/>
      <w:r w:rsidRPr="009903BE">
        <w:rPr>
          <w:rFonts w:cs="Times New Roman"/>
          <w:szCs w:val="24"/>
          <w:lang w:val="fr-CA"/>
        </w:rPr>
        <w:t>Electronic</w:t>
      </w:r>
      <w:proofErr w:type="spellEnd"/>
      <w:r w:rsidRPr="009903BE">
        <w:rPr>
          <w:rFonts w:cs="Times New Roman"/>
          <w:szCs w:val="24"/>
          <w:lang w:val="fr-CA"/>
        </w:rPr>
        <w:t xml:space="preserve"> Information » (2004), 79 </w:t>
      </w:r>
      <w:r w:rsidRPr="009903BE">
        <w:rPr>
          <w:rFonts w:cs="Times New Roman"/>
          <w:i/>
          <w:szCs w:val="24"/>
          <w:lang w:val="fr-CA"/>
        </w:rPr>
        <w:t xml:space="preserve">Wash. L. </w:t>
      </w:r>
      <w:proofErr w:type="spellStart"/>
      <w:r w:rsidRPr="009903BE">
        <w:rPr>
          <w:rFonts w:cs="Times New Roman"/>
          <w:i/>
          <w:szCs w:val="24"/>
          <w:lang w:val="fr-CA"/>
        </w:rPr>
        <w:t>Rev</w:t>
      </w:r>
      <w:proofErr w:type="spellEnd"/>
      <w:r w:rsidRPr="009903BE">
        <w:rPr>
          <w:rFonts w:cs="Times New Roman"/>
          <w:i/>
          <w:szCs w:val="24"/>
          <w:lang w:val="fr-CA"/>
        </w:rPr>
        <w:t xml:space="preserve">. </w:t>
      </w:r>
      <w:r w:rsidR="00CB55A1">
        <w:rPr>
          <w:rFonts w:cs="Times New Roman"/>
          <w:szCs w:val="24"/>
          <w:lang w:val="fr-CA"/>
        </w:rPr>
        <w:t>307, p.</w:t>
      </w:r>
      <w:r w:rsidRPr="009903BE">
        <w:rPr>
          <w:rFonts w:cs="Times New Roman"/>
          <w:szCs w:val="24"/>
          <w:lang w:val="fr-CA"/>
        </w:rPr>
        <w:t xml:space="preserve"> 328).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Dans le contexte d’une agression sexuelle, notre Cour a déjà reconnu que la protection de la vie privée d’une victime favorise la dénonciation : </w:t>
      </w:r>
      <w:r w:rsidRPr="009903BE">
        <w:rPr>
          <w:rFonts w:cs="Times New Roman"/>
          <w:bCs/>
          <w:i/>
          <w:szCs w:val="24"/>
          <w:lang w:val="fr-CA"/>
        </w:rPr>
        <w:t xml:space="preserve">Canadian </w:t>
      </w:r>
      <w:proofErr w:type="spellStart"/>
      <w:r w:rsidRPr="009903BE">
        <w:rPr>
          <w:rFonts w:cs="Times New Roman"/>
          <w:bCs/>
          <w:i/>
          <w:szCs w:val="24"/>
          <w:lang w:val="fr-CA"/>
        </w:rPr>
        <w:t>Newspapers</w:t>
      </w:r>
      <w:proofErr w:type="spellEnd"/>
      <w:r w:rsidRPr="009903BE">
        <w:rPr>
          <w:rFonts w:cs="Times New Roman"/>
          <w:bCs/>
          <w:i/>
          <w:szCs w:val="24"/>
          <w:lang w:val="fr-CA"/>
        </w:rPr>
        <w:t xml:space="preserve"> Co. c. Canada (Procureur général)</w:t>
      </w:r>
      <w:r w:rsidRPr="009903BE">
        <w:rPr>
          <w:rFonts w:cs="Times New Roman"/>
          <w:bCs/>
          <w:szCs w:val="24"/>
          <w:lang w:val="fr-CA"/>
        </w:rPr>
        <w:t>, [1988] 2 R.C.S. 122</w:t>
      </w:r>
      <w:r w:rsidRPr="009903BE">
        <w:rPr>
          <w:rFonts w:cs="Times New Roman"/>
          <w:szCs w:val="24"/>
          <w:lang w:val="fr-CA"/>
        </w:rPr>
        <w:t xml:space="preserve">.  Il n’est pas nécessaire de recourir à une analyse approfondie pour conclure que la probabilité qu’un enfant se protège contre l’intimidation sera grandement favorisée s’il peut demander la protection de façon anonyme.  Comme l’indique de façon constructive le mémoire de Jeunesse J’écoute (au par. 16), la protection de l’anonymat des enfants pourrait faire en sorte que </w:t>
      </w:r>
      <w:proofErr w:type="spellStart"/>
      <w:r w:rsidRPr="009903BE">
        <w:rPr>
          <w:rFonts w:cs="Times New Roman"/>
          <w:szCs w:val="24"/>
          <w:lang w:val="fr-CA"/>
        </w:rPr>
        <w:t>ceux</w:t>
      </w:r>
      <w:r w:rsidRPr="009903BE">
        <w:rPr>
          <w:rFonts w:cs="Times New Roman"/>
          <w:szCs w:val="24"/>
          <w:lang w:val="fr-CA"/>
        </w:rPr>
        <w:noBreakHyphen/>
        <w:t>ci</w:t>
      </w:r>
      <w:proofErr w:type="spellEnd"/>
      <w:r w:rsidRPr="009903BE">
        <w:rPr>
          <w:rFonts w:cs="Times New Roman"/>
          <w:szCs w:val="24"/>
          <w:lang w:val="fr-CA"/>
        </w:rPr>
        <w:t xml:space="preserve"> demandent une assistance thérapeutique et d’autres mesures correctives, notamment des mesures prévues par le droit s’il y a lieu.  Plus particulièrement, </w:t>
      </w:r>
      <w:r w:rsidRPr="009903BE">
        <w:rPr>
          <w:rFonts w:cs="Times New Roman"/>
          <w:smallCaps/>
          <w:szCs w:val="24"/>
          <w:lang w:val="fr-CA"/>
        </w:rPr>
        <w:t>[traduction]</w:t>
      </w:r>
      <w:r w:rsidRPr="009903BE">
        <w:rPr>
          <w:rFonts w:cs="Times New Roman"/>
          <w:szCs w:val="24"/>
          <w:lang w:val="fr-CA"/>
        </w:rPr>
        <w:t xml:space="preserve"> « [b]</w:t>
      </w:r>
      <w:proofErr w:type="spellStart"/>
      <w:r w:rsidRPr="009903BE">
        <w:rPr>
          <w:rFonts w:cs="Times New Roman"/>
          <w:szCs w:val="24"/>
          <w:lang w:val="fr-CA"/>
        </w:rPr>
        <w:t>ien</w:t>
      </w:r>
      <w:proofErr w:type="spellEnd"/>
      <w:r w:rsidRPr="009903BE">
        <w:rPr>
          <w:rFonts w:cs="Times New Roman"/>
          <w:szCs w:val="24"/>
          <w:lang w:val="fr-CA"/>
        </w:rPr>
        <w:t xml:space="preserve"> que la couverture médiatique soit susceptible d’avoir un effet négatif  sur toutes les victimes, il y a lieu de porter en particulier l’attention sur les enfants victimes.  [. . .]  Les enfants victimes doivent être en mesure de compter que leur vie privée sera protégée le mieux possible par les personnes auxquelles ils se sont adressés pour obtenir de l’aide » : Lisa M. Jones, David </w:t>
      </w:r>
      <w:proofErr w:type="spellStart"/>
      <w:r w:rsidRPr="009903BE">
        <w:rPr>
          <w:rFonts w:cs="Times New Roman"/>
          <w:szCs w:val="24"/>
          <w:lang w:val="fr-CA"/>
        </w:rPr>
        <w:t>Finkelhor</w:t>
      </w:r>
      <w:proofErr w:type="spellEnd"/>
      <w:r w:rsidRPr="009903BE">
        <w:rPr>
          <w:rFonts w:cs="Times New Roman"/>
          <w:szCs w:val="24"/>
          <w:lang w:val="fr-CA"/>
        </w:rPr>
        <w:t xml:space="preserve"> et Jessica </w:t>
      </w:r>
      <w:proofErr w:type="spellStart"/>
      <w:r w:rsidRPr="009903BE">
        <w:rPr>
          <w:rFonts w:cs="Times New Roman"/>
          <w:szCs w:val="24"/>
          <w:lang w:val="fr-CA"/>
        </w:rPr>
        <w:t>Beckwith</w:t>
      </w:r>
      <w:proofErr w:type="spellEnd"/>
      <w:r w:rsidRPr="009903BE">
        <w:rPr>
          <w:rFonts w:cs="Times New Roman"/>
          <w:szCs w:val="24"/>
          <w:lang w:val="fr-CA"/>
        </w:rPr>
        <w:t>, « </w:t>
      </w:r>
      <w:proofErr w:type="spellStart"/>
      <w:r w:rsidRPr="009903BE">
        <w:rPr>
          <w:rFonts w:cs="Times New Roman"/>
          <w:szCs w:val="24"/>
          <w:lang w:val="fr-CA"/>
        </w:rPr>
        <w:t>Protecting</w:t>
      </w:r>
      <w:proofErr w:type="spellEnd"/>
      <w:r w:rsidRPr="009903BE">
        <w:rPr>
          <w:rFonts w:cs="Times New Roman"/>
          <w:szCs w:val="24"/>
          <w:lang w:val="fr-CA"/>
        </w:rPr>
        <w:t xml:space="preserve"> </w:t>
      </w:r>
      <w:proofErr w:type="spellStart"/>
      <w:r w:rsidRPr="009903BE">
        <w:rPr>
          <w:rFonts w:cs="Times New Roman"/>
          <w:szCs w:val="24"/>
          <w:lang w:val="fr-CA"/>
        </w:rPr>
        <w:t>victims</w:t>
      </w:r>
      <w:proofErr w:type="spellEnd"/>
      <w:r w:rsidRPr="009903BE">
        <w:rPr>
          <w:rFonts w:cs="Times New Roman"/>
          <w:szCs w:val="24"/>
          <w:lang w:val="fr-CA"/>
        </w:rPr>
        <w:t xml:space="preserve">’ </w:t>
      </w:r>
      <w:proofErr w:type="spellStart"/>
      <w:r w:rsidRPr="009903BE">
        <w:rPr>
          <w:rFonts w:cs="Times New Roman"/>
          <w:szCs w:val="24"/>
          <w:lang w:val="fr-CA"/>
        </w:rPr>
        <w:t>identities</w:t>
      </w:r>
      <w:proofErr w:type="spellEnd"/>
      <w:r w:rsidRPr="009903BE">
        <w:rPr>
          <w:rFonts w:cs="Times New Roman"/>
          <w:szCs w:val="24"/>
          <w:lang w:val="fr-CA"/>
        </w:rPr>
        <w:t xml:space="preserve"> in </w:t>
      </w:r>
      <w:proofErr w:type="spellStart"/>
      <w:r w:rsidRPr="009903BE">
        <w:rPr>
          <w:rFonts w:cs="Times New Roman"/>
          <w:szCs w:val="24"/>
          <w:lang w:val="fr-CA"/>
        </w:rPr>
        <w:t>press</w:t>
      </w:r>
      <w:proofErr w:type="spellEnd"/>
      <w:r w:rsidRPr="009903BE">
        <w:rPr>
          <w:rFonts w:cs="Times New Roman"/>
          <w:szCs w:val="24"/>
          <w:lang w:val="fr-CA"/>
        </w:rPr>
        <w:t xml:space="preserve"> </w:t>
      </w:r>
      <w:proofErr w:type="spellStart"/>
      <w:r w:rsidRPr="009903BE">
        <w:rPr>
          <w:rFonts w:cs="Times New Roman"/>
          <w:szCs w:val="24"/>
          <w:lang w:val="fr-CA"/>
        </w:rPr>
        <w:t>coverage</w:t>
      </w:r>
      <w:proofErr w:type="spellEnd"/>
      <w:r w:rsidRPr="009903BE">
        <w:rPr>
          <w:rFonts w:cs="Times New Roman"/>
          <w:szCs w:val="24"/>
          <w:lang w:val="fr-CA"/>
        </w:rPr>
        <w:t xml:space="preserve"> of </w:t>
      </w:r>
      <w:proofErr w:type="spellStart"/>
      <w:r w:rsidRPr="009903BE">
        <w:rPr>
          <w:rFonts w:cs="Times New Roman"/>
          <w:szCs w:val="24"/>
          <w:lang w:val="fr-CA"/>
        </w:rPr>
        <w:t>child</w:t>
      </w:r>
      <w:proofErr w:type="spellEnd"/>
      <w:r w:rsidRPr="009903BE">
        <w:rPr>
          <w:rFonts w:cs="Times New Roman"/>
          <w:szCs w:val="24"/>
          <w:lang w:val="fr-CA"/>
        </w:rPr>
        <w:t xml:space="preserve"> </w:t>
      </w:r>
      <w:proofErr w:type="spellStart"/>
      <w:r w:rsidRPr="009903BE">
        <w:rPr>
          <w:rFonts w:cs="Times New Roman"/>
          <w:szCs w:val="24"/>
          <w:lang w:val="fr-CA"/>
        </w:rPr>
        <w:t>victimization</w:t>
      </w:r>
      <w:proofErr w:type="spellEnd"/>
      <w:r w:rsidRPr="009903BE">
        <w:rPr>
          <w:rFonts w:cs="Times New Roman"/>
          <w:szCs w:val="24"/>
          <w:lang w:val="fr-CA"/>
        </w:rPr>
        <w:t xml:space="preserve"> » (2010), 11 </w:t>
      </w:r>
      <w:proofErr w:type="spellStart"/>
      <w:r w:rsidRPr="009903BE">
        <w:rPr>
          <w:rFonts w:cs="Times New Roman"/>
          <w:i/>
          <w:szCs w:val="24"/>
          <w:lang w:val="fr-CA"/>
        </w:rPr>
        <w:t>Journalism</w:t>
      </w:r>
      <w:proofErr w:type="spellEnd"/>
      <w:r w:rsidRPr="009903BE">
        <w:rPr>
          <w:rFonts w:cs="Times New Roman"/>
          <w:szCs w:val="24"/>
          <w:lang w:val="fr-CA"/>
        </w:rPr>
        <w:t xml:space="preserve"> 347, </w:t>
      </w:r>
      <w:r w:rsidR="001458A5">
        <w:rPr>
          <w:rFonts w:cs="Times New Roman"/>
          <w:szCs w:val="24"/>
          <w:lang w:val="fr-CA"/>
        </w:rPr>
        <w:t>p.</w:t>
      </w:r>
      <w:r w:rsidRPr="009903BE">
        <w:rPr>
          <w:rFonts w:cs="Times New Roman"/>
          <w:szCs w:val="24"/>
          <w:lang w:val="fr-CA"/>
        </w:rPr>
        <w:t> 349</w:t>
      </w:r>
      <w:r w:rsidRPr="009903BE">
        <w:rPr>
          <w:rFonts w:cs="Times New Roman"/>
          <w:szCs w:val="24"/>
          <w:lang w:val="fr-CA"/>
        </w:rPr>
        <w:noBreakHyphen/>
        <w:t xml:space="preserve">350. </w:t>
      </w:r>
    </w:p>
    <w:p w:rsidR="00FF31BC" w:rsidRPr="009903BE" w:rsidRDefault="00FF31BC" w:rsidP="00FF31BC">
      <w:pPr>
        <w:pStyle w:val="ParaNoNdepar-AltN"/>
        <w:rPr>
          <w:rFonts w:cs="Times New Roman"/>
          <w:szCs w:val="24"/>
          <w:lang w:val="fr-CA"/>
        </w:rPr>
      </w:pPr>
      <w:r w:rsidRPr="009903BE">
        <w:rPr>
          <w:rFonts w:cs="Times New Roman"/>
          <w:szCs w:val="24"/>
          <w:lang w:val="fr-CA"/>
        </w:rPr>
        <w:lastRenderedPageBreak/>
        <w:t>Des études ont confirmé que le fait d’autoriser les médias à diffuser les noms des enfants victimes et d’autres renseignements permettant de les identifier peut aggraver le traumatisme subi, compliquer le rétablissement, dissuader les dénonciations futures et faire obstacle à la collaboration avec les autorités</w:t>
      </w:r>
      <w:r w:rsidRPr="009903BE">
        <w:rPr>
          <w:rFonts w:eastAsiaTheme="minorHAnsi" w:cs="Times New Roman"/>
          <w:iCs/>
          <w:szCs w:val="24"/>
          <w:lang w:val="fr-CA"/>
        </w:rPr>
        <w:t xml:space="preserve">.  </w:t>
      </w:r>
      <w:r w:rsidRPr="009903BE">
        <w:rPr>
          <w:rFonts w:cs="Times New Roman"/>
          <w:szCs w:val="24"/>
          <w:lang w:val="fr-CA"/>
        </w:rPr>
        <w:t xml:space="preserve">(Voir, par exemple, Centre de recherche </w:t>
      </w:r>
      <w:proofErr w:type="spellStart"/>
      <w:r w:rsidRPr="009903BE">
        <w:rPr>
          <w:rFonts w:cs="Times New Roman"/>
          <w:szCs w:val="24"/>
          <w:lang w:val="fr-CA"/>
        </w:rPr>
        <w:t>Innocenti</w:t>
      </w:r>
      <w:proofErr w:type="spellEnd"/>
      <w:r w:rsidRPr="009903BE">
        <w:rPr>
          <w:rFonts w:cs="Times New Roman"/>
          <w:szCs w:val="24"/>
          <w:lang w:val="fr-CA"/>
        </w:rPr>
        <w:t xml:space="preserve"> de l’</w:t>
      </w:r>
      <w:r w:rsidRPr="009903BE">
        <w:rPr>
          <w:rFonts w:eastAsiaTheme="minorHAnsi" w:cs="Times New Roman"/>
          <w:iCs/>
          <w:szCs w:val="24"/>
          <w:lang w:val="fr-CA"/>
        </w:rPr>
        <w:t xml:space="preserve">UNICEF, </w:t>
      </w:r>
      <w:r w:rsidRPr="009903BE">
        <w:rPr>
          <w:rFonts w:eastAsiaTheme="minorHAnsi" w:cs="Times New Roman"/>
          <w:i/>
          <w:iCs/>
          <w:szCs w:val="24"/>
          <w:lang w:val="fr-CA"/>
        </w:rPr>
        <w:t>La sécurité des enfants en ligne :</w:t>
      </w:r>
      <w:r w:rsidRPr="009903BE">
        <w:rPr>
          <w:rFonts w:eastAsiaTheme="minorHAnsi" w:cs="Times New Roman"/>
          <w:iCs/>
          <w:szCs w:val="24"/>
          <w:lang w:val="fr-CA"/>
        </w:rPr>
        <w:t xml:space="preserve"> </w:t>
      </w:r>
      <w:r w:rsidR="00EC757A">
        <w:rPr>
          <w:rFonts w:eastAsiaTheme="minorHAnsi" w:cs="Times New Roman"/>
          <w:i/>
          <w:iCs/>
          <w:szCs w:val="24"/>
          <w:lang w:val="fr-CA"/>
        </w:rPr>
        <w:t>D</w:t>
      </w:r>
      <w:r w:rsidRPr="009903BE">
        <w:rPr>
          <w:rFonts w:eastAsiaTheme="minorHAnsi" w:cs="Times New Roman"/>
          <w:i/>
          <w:iCs/>
          <w:szCs w:val="24"/>
          <w:lang w:val="fr-CA"/>
        </w:rPr>
        <w:t>éfis et stratégies mondiaux</w:t>
      </w:r>
      <w:r w:rsidRPr="009903BE">
        <w:rPr>
          <w:rFonts w:eastAsiaTheme="minorHAnsi" w:cs="Times New Roman"/>
          <w:iCs/>
          <w:szCs w:val="24"/>
          <w:lang w:val="fr-CA"/>
        </w:rPr>
        <w:t xml:space="preserve"> (2011), p. 15</w:t>
      </w:r>
      <w:r w:rsidRPr="009903BE">
        <w:rPr>
          <w:rFonts w:eastAsiaTheme="minorHAnsi" w:cs="Times New Roman"/>
          <w:iCs/>
          <w:szCs w:val="24"/>
          <w:lang w:val="fr-CA"/>
        </w:rPr>
        <w:noBreakHyphen/>
        <w:t>16</w:t>
      </w:r>
      <w:r w:rsidRPr="009903BE">
        <w:rPr>
          <w:rFonts w:cs="Times New Roman"/>
          <w:szCs w:val="24"/>
          <w:lang w:val="fr-CA"/>
        </w:rPr>
        <w:t xml:space="preserve">; et </w:t>
      </w:r>
      <w:r w:rsidRPr="009903BE">
        <w:rPr>
          <w:rFonts w:cs="Times New Roman"/>
          <w:i/>
          <w:szCs w:val="24"/>
          <w:lang w:val="fr-CA"/>
        </w:rPr>
        <w:t>R. c. D.H.</w:t>
      </w:r>
      <w:r w:rsidRPr="009903BE">
        <w:rPr>
          <w:rFonts w:cs="Times New Roman"/>
          <w:szCs w:val="24"/>
          <w:lang w:val="fr-CA"/>
        </w:rPr>
        <w:t>, 2002 BCPC 464 (</w:t>
      </w:r>
      <w:proofErr w:type="spellStart"/>
      <w:r w:rsidRPr="009903BE">
        <w:rPr>
          <w:rFonts w:cs="Times New Roman"/>
          <w:szCs w:val="24"/>
          <w:lang w:val="fr-CA"/>
        </w:rPr>
        <w:t>CanLII</w:t>
      </w:r>
      <w:proofErr w:type="spellEnd"/>
      <w:r w:rsidRPr="009903BE">
        <w:rPr>
          <w:rFonts w:cs="Times New Roman"/>
          <w:szCs w:val="24"/>
          <w:lang w:val="fr-CA"/>
        </w:rPr>
        <w:t>), par. 8).</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Si nous attachons de l’importance au droit des enfants de se protéger contre l’intimidation, qu’elle se manifeste sur l’Internet ou sous d’autres formes, si le bon sens et la preuve nous persuadent que les jeunes victimes de harcèlement à caractère sexuel sont particulièrement vulnérables au préjudice de la </w:t>
      </w:r>
      <w:proofErr w:type="spellStart"/>
      <w:r w:rsidRPr="009903BE">
        <w:rPr>
          <w:rFonts w:cs="Times New Roman"/>
          <w:szCs w:val="24"/>
          <w:lang w:val="fr-CA"/>
        </w:rPr>
        <w:t>revictimisation</w:t>
      </w:r>
      <w:proofErr w:type="spellEnd"/>
      <w:r w:rsidRPr="009903BE">
        <w:rPr>
          <w:rFonts w:cs="Times New Roman"/>
          <w:szCs w:val="24"/>
          <w:lang w:val="fr-CA"/>
        </w:rPr>
        <w:t xml:space="preserve"> consécutive à la publication, et si nous admettons que, en l’absence de la protection conférée par l’anonymat, la plupart des enfants ne pourront pas se prévaloir du droit à la protection, nous sommes fortement portés en l’espèce à autoriser A.B. à procéder de façon anonyme à la recherche de l’identité de l’auteur de la </w:t>
      </w:r>
      <w:proofErr w:type="spellStart"/>
      <w:r w:rsidRPr="009903BE">
        <w:rPr>
          <w:rFonts w:cs="Times New Roman"/>
          <w:szCs w:val="24"/>
          <w:lang w:val="fr-CA"/>
        </w:rPr>
        <w:t>cyberintimidation</w:t>
      </w:r>
      <w:proofErr w:type="spellEnd"/>
      <w:r w:rsidRPr="009903BE">
        <w:rPr>
          <w:rFonts w:cs="Times New Roman"/>
          <w:szCs w:val="24"/>
          <w:lang w:val="fr-CA"/>
        </w:rPr>
        <w:t xml:space="preserve">.  </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La question relative à l’autre aspect de la pondération des effets — les effets préjudiciables au principe de la publicité des débats judiciaires et à la liberté de la presse — a déjà été tranchée par notre Cour dans </w:t>
      </w:r>
      <w:r w:rsidRPr="009903BE">
        <w:rPr>
          <w:rFonts w:cs="Times New Roman"/>
          <w:bCs/>
          <w:i/>
          <w:szCs w:val="24"/>
          <w:lang w:val="fr-CA"/>
        </w:rPr>
        <w:t xml:space="preserve">Canadian </w:t>
      </w:r>
      <w:proofErr w:type="spellStart"/>
      <w:r w:rsidRPr="009903BE">
        <w:rPr>
          <w:rFonts w:cs="Times New Roman"/>
          <w:bCs/>
          <w:i/>
          <w:szCs w:val="24"/>
          <w:lang w:val="fr-CA"/>
        </w:rPr>
        <w:t>Newspapers</w:t>
      </w:r>
      <w:proofErr w:type="spellEnd"/>
      <w:r w:rsidRPr="009903BE">
        <w:rPr>
          <w:rFonts w:cs="Times New Roman"/>
          <w:szCs w:val="24"/>
          <w:lang w:val="fr-CA"/>
        </w:rPr>
        <w:t xml:space="preserve">.  Dans cette affaire, la constitutionnalité de la disposition du </w:t>
      </w:r>
      <w:r w:rsidRPr="009903BE">
        <w:rPr>
          <w:rFonts w:cs="Times New Roman"/>
          <w:i/>
          <w:szCs w:val="24"/>
          <w:lang w:val="fr-CA"/>
        </w:rPr>
        <w:t>Code criminel</w:t>
      </w:r>
      <w:r w:rsidRPr="009903BE">
        <w:rPr>
          <w:rFonts w:cs="Times New Roman"/>
          <w:b/>
          <w:szCs w:val="24"/>
          <w:lang w:val="fr-CA"/>
        </w:rPr>
        <w:t xml:space="preserve"> </w:t>
      </w:r>
      <w:r w:rsidRPr="009903BE">
        <w:rPr>
          <w:rFonts w:cs="Times New Roman"/>
          <w:szCs w:val="24"/>
          <w:lang w:val="fr-CA"/>
        </w:rPr>
        <w:t xml:space="preserve">interdisant la divulgation de l’identité du plaignant dans une affaire d’agression sexuelle était contestée au motif que son caractère impératif restreignait indûment la liberté de la </w:t>
      </w:r>
      <w:r w:rsidRPr="009903BE">
        <w:rPr>
          <w:rFonts w:cs="Times New Roman"/>
          <w:szCs w:val="24"/>
          <w:lang w:val="fr-CA"/>
        </w:rPr>
        <w:lastRenderedPageBreak/>
        <w:t>presse.  En confirmant la validité de cette disposition, le juge Lamer a fait remarquer ce qui suit :</w:t>
      </w:r>
    </w:p>
    <w:p w:rsidR="00FF31BC" w:rsidRPr="009903BE" w:rsidRDefault="00FF31BC" w:rsidP="00FF31BC">
      <w:pPr>
        <w:pStyle w:val="Citation-AltC"/>
        <w:ind w:hanging="1166"/>
        <w:rPr>
          <w:lang w:val="fr-CA"/>
        </w:rPr>
      </w:pPr>
      <w:r w:rsidRPr="009903BE">
        <w:rPr>
          <w:lang w:val="fr-CA"/>
        </w:rPr>
        <w:tab/>
      </w:r>
      <w:r w:rsidRPr="009903BE">
        <w:rPr>
          <w:lang w:val="fr-CA"/>
        </w:rPr>
        <w:tab/>
        <w:t xml:space="preserve">La liberté de la presse représente néanmoins une valeur importante dans notre société démocratique, et on ne doit pas y toucher à la légère.  Il faut toutefois reconnaître que les limites imposées aux droits des médias par [l’interdiction de divulguer l’identité] sont </w:t>
      </w:r>
      <w:r w:rsidRPr="009903BE">
        <w:rPr>
          <w:i/>
          <w:lang w:val="fr-CA"/>
        </w:rPr>
        <w:t>minimes</w:t>
      </w:r>
      <w:r w:rsidRPr="009903BE">
        <w:rPr>
          <w:lang w:val="fr-CA"/>
        </w:rPr>
        <w:t xml:space="preserve">.  [. . .] Rien n’empêche les médias d’assister à l’audience et de relater les faits de l’affaire ainsi que le déroulement du procès.  Les seuls renseignements cachés au public sont ceux qui risqueraient de révéler l’identité du plaignant.  [Italiques ajoutés; p. 133.]  </w:t>
      </w:r>
    </w:p>
    <w:p w:rsidR="00FF31BC" w:rsidRPr="009903BE" w:rsidRDefault="00FF31BC" w:rsidP="00FF31BC">
      <w:pPr>
        <w:pStyle w:val="ContinueParaSuitedupar-AltP"/>
        <w:rPr>
          <w:lang w:val="fr-CA"/>
        </w:rPr>
      </w:pPr>
      <w:r w:rsidRPr="009903BE">
        <w:rPr>
          <w:lang w:val="fr-CA"/>
        </w:rPr>
        <w:t xml:space="preserve">En d’autres termes, le préjudice a été jugé « minime ».  Ce point de vue concernant l’insignifiance relative de la connaissance de l’identité d’une partie a été confirmée par le juge Binnie dans </w:t>
      </w:r>
      <w:r w:rsidRPr="009903BE">
        <w:rPr>
          <w:i/>
          <w:lang w:val="fr-CA"/>
        </w:rPr>
        <w:t>F.N.</w:t>
      </w:r>
      <w:r w:rsidRPr="009903BE">
        <w:rPr>
          <w:lang w:val="fr-CA"/>
        </w:rPr>
        <w:t xml:space="preserve"> où, dans le contexte de la législation relative aux jeunes contrevenants, il a qualifié de simple « parcelle d’information » les renseignements concernant l’identité : </w:t>
      </w:r>
      <w:r w:rsidRPr="009903BE">
        <w:rPr>
          <w:i/>
          <w:lang w:val="fr-CA"/>
        </w:rPr>
        <w:t>F.N. (</w:t>
      </w:r>
      <w:proofErr w:type="spellStart"/>
      <w:r w:rsidRPr="009903BE">
        <w:rPr>
          <w:i/>
          <w:lang w:val="fr-CA"/>
        </w:rPr>
        <w:t>Re</w:t>
      </w:r>
      <w:proofErr w:type="spellEnd"/>
      <w:r w:rsidRPr="009903BE">
        <w:rPr>
          <w:i/>
          <w:lang w:val="fr-CA"/>
        </w:rPr>
        <w:t>)</w:t>
      </w:r>
      <w:r w:rsidRPr="009903BE">
        <w:rPr>
          <w:lang w:val="fr-CA"/>
        </w:rPr>
        <w:t>, [2000] 1 R.C.S. 880, par. 12.</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Le fait de reconnaître que l’identité des victimes d’agression sexuelle a relativement peu d’importance répond complètement à l’argument selon lequel la </w:t>
      </w:r>
      <w:proofErr w:type="spellStart"/>
      <w:r w:rsidRPr="009903BE">
        <w:rPr>
          <w:rFonts w:cs="Times New Roman"/>
          <w:szCs w:val="24"/>
          <w:lang w:val="fr-CA"/>
        </w:rPr>
        <w:t>non</w:t>
      </w:r>
      <w:r w:rsidRPr="009903BE">
        <w:rPr>
          <w:rFonts w:cs="Times New Roman"/>
          <w:szCs w:val="24"/>
          <w:lang w:val="fr-CA"/>
        </w:rPr>
        <w:noBreakHyphen/>
        <w:t>divulgation</w:t>
      </w:r>
      <w:proofErr w:type="spellEnd"/>
      <w:r w:rsidRPr="009903BE">
        <w:rPr>
          <w:rFonts w:cs="Times New Roman"/>
          <w:szCs w:val="24"/>
          <w:lang w:val="fr-CA"/>
        </w:rPr>
        <w:t xml:space="preserve"> de l’identité d’une jeune victime d’intimidation à caractère sexuel en ligne est préjudiciable à l’exercice de la liberté de la presse ou au principe de la publicité des débats judiciaires.  L’arrêt </w:t>
      </w:r>
      <w:r w:rsidRPr="009903BE">
        <w:rPr>
          <w:rFonts w:cs="Times New Roman"/>
          <w:i/>
          <w:szCs w:val="24"/>
          <w:lang w:val="fr-CA"/>
        </w:rPr>
        <w:t xml:space="preserve">Canadian </w:t>
      </w:r>
      <w:proofErr w:type="spellStart"/>
      <w:r w:rsidRPr="009903BE">
        <w:rPr>
          <w:rFonts w:cs="Times New Roman"/>
          <w:i/>
          <w:szCs w:val="24"/>
          <w:lang w:val="fr-CA"/>
        </w:rPr>
        <w:t>Newspapers</w:t>
      </w:r>
      <w:proofErr w:type="spellEnd"/>
      <w:r w:rsidRPr="009903BE">
        <w:rPr>
          <w:rFonts w:cs="Times New Roman"/>
          <w:i/>
          <w:szCs w:val="24"/>
          <w:lang w:val="fr-CA"/>
        </w:rPr>
        <w:t xml:space="preserve"> </w:t>
      </w:r>
      <w:r w:rsidRPr="009903BE">
        <w:rPr>
          <w:rFonts w:cs="Times New Roman"/>
          <w:szCs w:val="24"/>
          <w:lang w:val="fr-CA"/>
        </w:rPr>
        <w:t xml:space="preserve">établit clairement que les avantages de la protection de ces victimes au moyen de l’anonymat l’emportent sur le risque pour le principe de la publicité des débats.  </w:t>
      </w:r>
    </w:p>
    <w:p w:rsidR="00FF31BC" w:rsidRPr="009903BE" w:rsidRDefault="00FF31BC" w:rsidP="00FF31BC">
      <w:pPr>
        <w:pStyle w:val="ParaNoNdepar-AltN"/>
        <w:rPr>
          <w:rFonts w:cs="Times New Roman"/>
          <w:szCs w:val="24"/>
          <w:lang w:val="fr-CA"/>
        </w:rPr>
      </w:pPr>
      <w:r w:rsidRPr="009903BE">
        <w:rPr>
          <w:rFonts w:cs="Times New Roman"/>
          <w:szCs w:val="24"/>
          <w:lang w:val="fr-CA"/>
        </w:rPr>
        <w:lastRenderedPageBreak/>
        <w:t xml:space="preserve">Par contre, tout comme dans </w:t>
      </w:r>
      <w:r w:rsidRPr="009903BE">
        <w:rPr>
          <w:rFonts w:cs="Times New Roman"/>
          <w:i/>
          <w:szCs w:val="24"/>
          <w:lang w:val="fr-CA"/>
        </w:rPr>
        <w:t xml:space="preserve">Canadian </w:t>
      </w:r>
      <w:proofErr w:type="spellStart"/>
      <w:r w:rsidRPr="009903BE">
        <w:rPr>
          <w:rFonts w:cs="Times New Roman"/>
          <w:i/>
          <w:szCs w:val="24"/>
          <w:lang w:val="fr-CA"/>
        </w:rPr>
        <w:t>Newspapers</w:t>
      </w:r>
      <w:proofErr w:type="spellEnd"/>
      <w:r w:rsidRPr="009903BE">
        <w:rPr>
          <w:rFonts w:cs="Times New Roman"/>
          <w:szCs w:val="24"/>
          <w:lang w:val="fr-CA"/>
        </w:rPr>
        <w:t xml:space="preserve">, dès lors que l’identité </w:t>
      </w:r>
      <w:proofErr w:type="gramStart"/>
      <w:r w:rsidRPr="009903BE">
        <w:rPr>
          <w:rFonts w:cs="Times New Roman"/>
          <w:szCs w:val="24"/>
          <w:lang w:val="fr-CA"/>
        </w:rPr>
        <w:t>de A.B</w:t>
      </w:r>
      <w:proofErr w:type="gramEnd"/>
      <w:r w:rsidRPr="009903BE">
        <w:rPr>
          <w:rFonts w:cs="Times New Roman"/>
          <w:szCs w:val="24"/>
          <w:lang w:val="fr-CA"/>
        </w:rPr>
        <w:t xml:space="preserve">. est protégée par son droit de procéder dans l’anonymat, une ordonnance de </w:t>
      </w:r>
      <w:proofErr w:type="spellStart"/>
      <w:r w:rsidRPr="009903BE">
        <w:rPr>
          <w:rFonts w:cs="Times New Roman"/>
          <w:szCs w:val="24"/>
          <w:lang w:val="fr-CA"/>
        </w:rPr>
        <w:t>non</w:t>
      </w:r>
      <w:r w:rsidRPr="009903BE">
        <w:rPr>
          <w:rFonts w:cs="Times New Roman"/>
          <w:szCs w:val="24"/>
          <w:lang w:val="fr-CA"/>
        </w:rPr>
        <w:noBreakHyphen/>
        <w:t>publication</w:t>
      </w:r>
      <w:proofErr w:type="spellEnd"/>
      <w:r w:rsidRPr="009903BE">
        <w:rPr>
          <w:rFonts w:cs="Times New Roman"/>
          <w:szCs w:val="24"/>
          <w:lang w:val="fr-CA"/>
        </w:rPr>
        <w:t xml:space="preserve"> du contenu du faux profil </w:t>
      </w:r>
      <w:proofErr w:type="spellStart"/>
      <w:r w:rsidRPr="009903BE">
        <w:rPr>
          <w:rFonts w:cs="Times New Roman"/>
          <w:szCs w:val="24"/>
          <w:lang w:val="fr-CA"/>
        </w:rPr>
        <w:t>Facebook</w:t>
      </w:r>
      <w:proofErr w:type="spellEnd"/>
      <w:r w:rsidRPr="009903BE">
        <w:rPr>
          <w:rFonts w:cs="Times New Roman"/>
          <w:szCs w:val="24"/>
          <w:lang w:val="fr-CA"/>
        </w:rPr>
        <w:t xml:space="preserve"> qui ne permet pas d’identifier A.B. me semble difficilement justifiable.  La publication de ces renseignements n’entraîne aucun effet préjudiciable puisque </w:t>
      </w:r>
      <w:proofErr w:type="spellStart"/>
      <w:r w:rsidRPr="009903BE">
        <w:rPr>
          <w:rFonts w:cs="Times New Roman"/>
          <w:szCs w:val="24"/>
          <w:lang w:val="fr-CA"/>
        </w:rPr>
        <w:t>ceux</w:t>
      </w:r>
      <w:r w:rsidRPr="009903BE">
        <w:rPr>
          <w:rFonts w:cs="Times New Roman"/>
          <w:szCs w:val="24"/>
          <w:lang w:val="fr-CA"/>
        </w:rPr>
        <w:noBreakHyphen/>
        <w:t>ci</w:t>
      </w:r>
      <w:proofErr w:type="spellEnd"/>
      <w:r w:rsidRPr="009903BE">
        <w:rPr>
          <w:rFonts w:cs="Times New Roman"/>
          <w:szCs w:val="24"/>
          <w:lang w:val="fr-CA"/>
        </w:rPr>
        <w:t xml:space="preserve"> ne révèlent pas l’identité de A.B.  Le droit du public à la publicité des débats judiciaires et à la liberté de la presse prévaut donc en ce qui concerne le contenu du profil </w:t>
      </w:r>
      <w:proofErr w:type="spellStart"/>
      <w:r w:rsidRPr="009903BE">
        <w:rPr>
          <w:rFonts w:cs="Times New Roman"/>
          <w:szCs w:val="24"/>
          <w:lang w:val="fr-CA"/>
        </w:rPr>
        <w:t>Facebook</w:t>
      </w:r>
      <w:proofErr w:type="spellEnd"/>
      <w:r w:rsidRPr="009903BE">
        <w:rPr>
          <w:rFonts w:cs="Times New Roman"/>
          <w:szCs w:val="24"/>
          <w:lang w:val="fr-CA"/>
        </w:rPr>
        <w:t xml:space="preserve"> qui ne permet pas d’identifier A.B.</w:t>
      </w:r>
    </w:p>
    <w:p w:rsidR="00FF31BC" w:rsidRPr="009903BE" w:rsidRDefault="00FF31BC" w:rsidP="00FF31BC">
      <w:pPr>
        <w:pStyle w:val="ParaNoNdepar-AltN"/>
        <w:rPr>
          <w:rFonts w:cs="Times New Roman"/>
          <w:szCs w:val="24"/>
          <w:lang w:val="fr-CA"/>
        </w:rPr>
      </w:pPr>
      <w:r w:rsidRPr="009903BE">
        <w:rPr>
          <w:rFonts w:cs="Times New Roman"/>
          <w:szCs w:val="24"/>
          <w:lang w:val="fr-CA"/>
        </w:rPr>
        <w:t xml:space="preserve">Je suis d’avis d’accueillir le pourvoi en partie et de permettre à A.B. de procéder de façon anonyme dans le cadre de sa demande d’une ordonnance obligeant </w:t>
      </w:r>
      <w:proofErr w:type="spellStart"/>
      <w:r w:rsidRPr="009903BE">
        <w:rPr>
          <w:rFonts w:cs="Times New Roman"/>
          <w:szCs w:val="24"/>
          <w:lang w:val="fr-CA"/>
        </w:rPr>
        <w:t>Eastlink</w:t>
      </w:r>
      <w:proofErr w:type="spellEnd"/>
      <w:r w:rsidRPr="009903BE">
        <w:rPr>
          <w:rFonts w:cs="Times New Roman"/>
          <w:szCs w:val="24"/>
          <w:lang w:val="fr-CA"/>
        </w:rPr>
        <w:t xml:space="preserve"> à divulguer l’identité de l’utilisateur ou des utilisateurs de l’adresse IP.  Toutefois, je n’imposerais pas une ordonnance de publication concernant la partie du faux profil </w:t>
      </w:r>
      <w:proofErr w:type="spellStart"/>
      <w:r w:rsidRPr="009903BE">
        <w:rPr>
          <w:rFonts w:cs="Times New Roman"/>
          <w:szCs w:val="24"/>
          <w:lang w:val="fr-CA"/>
        </w:rPr>
        <w:t>Facebook</w:t>
      </w:r>
      <w:proofErr w:type="spellEnd"/>
      <w:r w:rsidRPr="009903BE">
        <w:rPr>
          <w:rFonts w:cs="Times New Roman"/>
          <w:szCs w:val="24"/>
          <w:lang w:val="fr-CA"/>
        </w:rPr>
        <w:t xml:space="preserve"> qui ne contient pas de renseignements permettant d’établir l’identité </w:t>
      </w:r>
      <w:proofErr w:type="gramStart"/>
      <w:r w:rsidRPr="009903BE">
        <w:rPr>
          <w:rFonts w:cs="Times New Roman"/>
          <w:szCs w:val="24"/>
          <w:lang w:val="fr-CA"/>
        </w:rPr>
        <w:t>de A.B</w:t>
      </w:r>
      <w:proofErr w:type="gramEnd"/>
      <w:r w:rsidRPr="009903BE">
        <w:rPr>
          <w:rFonts w:cs="Times New Roman"/>
          <w:szCs w:val="24"/>
          <w:lang w:val="fr-CA"/>
        </w:rPr>
        <w:t xml:space="preserve">.  Je suis d’avis d’annuler les ordonnances relatives aux dépens rendues contre A.B. dans les instances antérieures, mais de ne pas adjuger les dépens dans notre Cour. </w:t>
      </w:r>
    </w:p>
    <w:p w:rsidR="0033393C" w:rsidRPr="00FF134F" w:rsidRDefault="007710AE" w:rsidP="006830A2">
      <w:pPr>
        <w:pStyle w:val="SCCNormalDoubleSpacing"/>
        <w:spacing w:after="480"/>
      </w:pPr>
      <w:r w:rsidRPr="00FF134F">
        <w:tab/>
      </w:r>
      <w:r w:rsidR="00000123" w:rsidRPr="00FF134F">
        <w:rPr>
          <w:i/>
        </w:rPr>
        <w:t>Pourvoi accueilli en partie</w:t>
      </w:r>
      <w:r w:rsidRPr="00FF134F">
        <w:rPr>
          <w:i/>
        </w:rPr>
        <w:t>.</w:t>
      </w:r>
    </w:p>
    <w:p w:rsidR="007710AE" w:rsidRPr="00FF134F" w:rsidRDefault="007710AE" w:rsidP="006830A2">
      <w:pPr>
        <w:pStyle w:val="SCCLawFirm"/>
        <w:spacing w:after="480"/>
      </w:pPr>
      <w:r w:rsidRPr="00FF134F">
        <w:tab/>
        <w:t>Procureurs de l’appelant</w:t>
      </w:r>
      <w:r w:rsidR="00985827" w:rsidRPr="00FF134F">
        <w:t>e</w:t>
      </w:r>
      <w:r w:rsidR="009110BF" w:rsidRPr="00FF134F">
        <w:t> :</w:t>
      </w:r>
      <w:r w:rsidR="006830A2" w:rsidRPr="00FF134F">
        <w:t> </w:t>
      </w:r>
      <w:r w:rsidRPr="00FF134F">
        <w:t>McInnes Cooper, Halifax.</w:t>
      </w:r>
    </w:p>
    <w:p w:rsidR="007710AE" w:rsidRPr="00FF134F" w:rsidRDefault="007710AE" w:rsidP="006830A2">
      <w:pPr>
        <w:pStyle w:val="SCCLawFirm"/>
        <w:spacing w:after="480"/>
      </w:pPr>
      <w:r w:rsidRPr="00FF134F">
        <w:lastRenderedPageBreak/>
        <w:tab/>
        <w:t>Procureurs</w:t>
      </w:r>
      <w:r w:rsidR="00EC17E1">
        <w:t xml:space="preserve"> nommés par la Cour en qualité d’</w:t>
      </w:r>
      <w:proofErr w:type="spellStart"/>
      <w:r w:rsidRPr="00FF134F">
        <w:t>amicus</w:t>
      </w:r>
      <w:proofErr w:type="spellEnd"/>
      <w:r w:rsidRPr="00FF134F">
        <w:t xml:space="preserve"> </w:t>
      </w:r>
      <w:proofErr w:type="spellStart"/>
      <w:r w:rsidRPr="00FF134F">
        <w:t>curiae</w:t>
      </w:r>
      <w:proofErr w:type="spellEnd"/>
      <w:r w:rsidR="009110BF" w:rsidRPr="00FF134F">
        <w:t> :</w:t>
      </w:r>
      <w:r w:rsidR="006830A2" w:rsidRPr="00FF134F">
        <w:t> </w:t>
      </w:r>
      <w:r w:rsidRPr="00FF134F">
        <w:t xml:space="preserve">Owen </w:t>
      </w:r>
      <w:proofErr w:type="spellStart"/>
      <w:r w:rsidRPr="00FF134F">
        <w:t>Bird</w:t>
      </w:r>
      <w:proofErr w:type="spellEnd"/>
      <w:r w:rsidRPr="00FF134F">
        <w:t xml:space="preserve"> Law Corporation, Vancouver.</w:t>
      </w:r>
    </w:p>
    <w:p w:rsidR="007710AE" w:rsidRPr="00FF134F" w:rsidRDefault="007710AE" w:rsidP="006830A2">
      <w:pPr>
        <w:pStyle w:val="SCCLawFirm"/>
        <w:spacing w:after="480"/>
      </w:pPr>
      <w:r w:rsidRPr="00FF134F">
        <w:tab/>
        <w:t xml:space="preserve">Procureurs de l’intervenante </w:t>
      </w:r>
      <w:proofErr w:type="spellStart"/>
      <w:r w:rsidRPr="00FF134F">
        <w:t>BullyingCanada</w:t>
      </w:r>
      <w:proofErr w:type="spellEnd"/>
      <w:r w:rsidRPr="00FF134F">
        <w:t xml:space="preserve"> Inc.</w:t>
      </w:r>
      <w:r w:rsidR="009110BF" w:rsidRPr="00FF134F">
        <w:t> :</w:t>
      </w:r>
      <w:r w:rsidR="006830A2" w:rsidRPr="00FF134F">
        <w:t> </w:t>
      </w:r>
      <w:r w:rsidRPr="00FF134F">
        <w:t>Murphy Group, Moncton.</w:t>
      </w:r>
    </w:p>
    <w:p w:rsidR="007710AE" w:rsidRPr="00FF134F" w:rsidRDefault="007710AE" w:rsidP="006830A2">
      <w:pPr>
        <w:pStyle w:val="SCCNormalDoubleSpacing"/>
        <w:spacing w:after="480"/>
        <w:rPr>
          <w:i/>
        </w:rPr>
      </w:pPr>
      <w:r w:rsidRPr="00FF134F">
        <w:rPr>
          <w:i/>
        </w:rPr>
        <w:tab/>
        <w:t xml:space="preserve">Procureurs de l’intervenante </w:t>
      </w:r>
      <w:r w:rsidRPr="00FF134F">
        <w:rPr>
          <w:rStyle w:val="SCCCounselPartyRoleChar"/>
          <w:i/>
        </w:rPr>
        <w:t xml:space="preserve">l’Association des libertés civiles de la </w:t>
      </w:r>
      <w:proofErr w:type="spellStart"/>
      <w:r w:rsidRPr="00FF134F">
        <w:rPr>
          <w:rStyle w:val="SCCCounselPartyRoleChar"/>
          <w:i/>
        </w:rPr>
        <w:t>Colombie</w:t>
      </w:r>
      <w:r w:rsidR="009110BF" w:rsidRPr="00FF134F">
        <w:rPr>
          <w:rStyle w:val="SCCCounselPartyRoleChar"/>
          <w:i/>
        </w:rPr>
        <w:noBreakHyphen/>
      </w:r>
      <w:r w:rsidRPr="00FF134F">
        <w:rPr>
          <w:rStyle w:val="SCCCounselPartyRoleChar"/>
          <w:i/>
        </w:rPr>
        <w:t>Britannique</w:t>
      </w:r>
      <w:proofErr w:type="spellEnd"/>
      <w:r w:rsidR="009110BF" w:rsidRPr="00FF134F">
        <w:rPr>
          <w:i/>
        </w:rPr>
        <w:t> :</w:t>
      </w:r>
      <w:r w:rsidR="006830A2" w:rsidRPr="00FF134F">
        <w:rPr>
          <w:i/>
        </w:rPr>
        <w:t> </w:t>
      </w:r>
      <w:r w:rsidRPr="00FF134F">
        <w:rPr>
          <w:i/>
        </w:rPr>
        <w:t xml:space="preserve">Lawson </w:t>
      </w:r>
      <w:proofErr w:type="spellStart"/>
      <w:r w:rsidRPr="00FF134F">
        <w:rPr>
          <w:i/>
        </w:rPr>
        <w:t>Lundell</w:t>
      </w:r>
      <w:proofErr w:type="spellEnd"/>
      <w:r w:rsidRPr="00FF134F">
        <w:rPr>
          <w:i/>
        </w:rPr>
        <w:t>, Vancouver.</w:t>
      </w:r>
    </w:p>
    <w:p w:rsidR="007710AE" w:rsidRPr="00FF134F" w:rsidRDefault="007710AE" w:rsidP="006830A2">
      <w:pPr>
        <w:pStyle w:val="SCCLawFirm"/>
        <w:spacing w:after="480"/>
      </w:pPr>
      <w:r w:rsidRPr="00FF134F">
        <w:tab/>
        <w:t>Procureurs de l’intervenante Jeunesse J’écoute</w:t>
      </w:r>
      <w:r w:rsidR="009110BF" w:rsidRPr="00FF134F">
        <w:t> :</w:t>
      </w:r>
      <w:r w:rsidR="006830A2" w:rsidRPr="00FF134F">
        <w:t> </w:t>
      </w:r>
      <w:r w:rsidRPr="00FF134F">
        <w:t xml:space="preserve">Osler, </w:t>
      </w:r>
      <w:proofErr w:type="spellStart"/>
      <w:r w:rsidRPr="00FF134F">
        <w:t>Hoskin</w:t>
      </w:r>
      <w:proofErr w:type="spellEnd"/>
      <w:r w:rsidRPr="00FF134F">
        <w:t xml:space="preserve"> &amp; Harcourt, Toronto.</w:t>
      </w:r>
    </w:p>
    <w:p w:rsidR="007710AE" w:rsidRPr="00FF134F" w:rsidRDefault="007710AE" w:rsidP="006830A2">
      <w:pPr>
        <w:pStyle w:val="SCCLawFirm"/>
        <w:spacing w:after="480"/>
      </w:pPr>
      <w:r w:rsidRPr="00FF134F">
        <w:tab/>
        <w:t>Procureurs de l’intervenante l’Association canadienne des libertés civiles</w:t>
      </w:r>
      <w:r w:rsidR="009110BF" w:rsidRPr="00FF134F">
        <w:t> :</w:t>
      </w:r>
      <w:r w:rsidR="006830A2" w:rsidRPr="00FF134F">
        <w:t> </w:t>
      </w:r>
      <w:r w:rsidRPr="00FF134F">
        <w:t xml:space="preserve">Blake, </w:t>
      </w:r>
      <w:proofErr w:type="spellStart"/>
      <w:r w:rsidRPr="00FF134F">
        <w:t>Cassels</w:t>
      </w:r>
      <w:proofErr w:type="spellEnd"/>
      <w:r w:rsidRPr="00FF134F">
        <w:t xml:space="preserve"> &amp; </w:t>
      </w:r>
      <w:proofErr w:type="spellStart"/>
      <w:r w:rsidRPr="00FF134F">
        <w:t>Graydon</w:t>
      </w:r>
      <w:proofErr w:type="spellEnd"/>
      <w:r w:rsidRPr="00FF134F">
        <w:t>, Toronto.</w:t>
      </w:r>
    </w:p>
    <w:p w:rsidR="007710AE" w:rsidRPr="00FF134F" w:rsidRDefault="007710AE" w:rsidP="006830A2">
      <w:pPr>
        <w:pStyle w:val="SCCLawFirm"/>
        <w:spacing w:after="480"/>
      </w:pPr>
      <w:r w:rsidRPr="00FF134F">
        <w:tab/>
        <w:t>Procureurs de l’intervenant le Commissaire à la protection de la vie privée du Canada</w:t>
      </w:r>
      <w:r w:rsidR="009110BF" w:rsidRPr="00FF134F">
        <w:t> :</w:t>
      </w:r>
      <w:r w:rsidR="006830A2" w:rsidRPr="00FF134F">
        <w:t> </w:t>
      </w:r>
      <w:r w:rsidRPr="00FF134F">
        <w:t>Commissariat à la protection de la vie privée du Canada, Ottawa; Université d’Ottawa, Ottawa.</w:t>
      </w:r>
    </w:p>
    <w:p w:rsidR="007710AE" w:rsidRPr="00FF134F" w:rsidRDefault="007710AE" w:rsidP="006830A2">
      <w:pPr>
        <w:pStyle w:val="SCCLawFirm"/>
        <w:spacing w:after="480"/>
      </w:pPr>
      <w:r w:rsidRPr="00FF134F">
        <w:tab/>
        <w:t xml:space="preserve">Procureurs des intervenants Journaux canadiens, Ad IDEM/Canadian Media </w:t>
      </w:r>
      <w:proofErr w:type="spellStart"/>
      <w:r w:rsidRPr="00FF134F">
        <w:t>Lawyers</w:t>
      </w:r>
      <w:proofErr w:type="spellEnd"/>
      <w:r w:rsidRPr="00FF134F">
        <w:t xml:space="preserve"> Association, </w:t>
      </w:r>
      <w:r w:rsidR="0059745A">
        <w:t>l’</w:t>
      </w:r>
      <w:r w:rsidRPr="00FF134F">
        <w:t xml:space="preserve">Association canadienne des journalistes, Professional </w:t>
      </w:r>
      <w:proofErr w:type="spellStart"/>
      <w:r w:rsidRPr="00FF134F">
        <w:t>Writers</w:t>
      </w:r>
      <w:proofErr w:type="spellEnd"/>
      <w:r w:rsidRPr="00FF134F">
        <w:t xml:space="preserve"> Association of Canada et Book and </w:t>
      </w:r>
      <w:proofErr w:type="spellStart"/>
      <w:r w:rsidRPr="00FF134F">
        <w:t>Periodical</w:t>
      </w:r>
      <w:proofErr w:type="spellEnd"/>
      <w:r w:rsidRPr="00FF134F">
        <w:t xml:space="preserve"> Council</w:t>
      </w:r>
      <w:r w:rsidR="009110BF" w:rsidRPr="00FF134F">
        <w:t> :</w:t>
      </w:r>
      <w:r w:rsidR="006830A2" w:rsidRPr="00FF134F">
        <w:t> </w:t>
      </w:r>
      <w:r w:rsidRPr="00FF134F">
        <w:t xml:space="preserve">Blake, </w:t>
      </w:r>
      <w:proofErr w:type="spellStart"/>
      <w:r w:rsidRPr="00FF134F">
        <w:t>Cassels</w:t>
      </w:r>
      <w:proofErr w:type="spellEnd"/>
      <w:r w:rsidRPr="00FF134F">
        <w:t xml:space="preserve"> &amp; </w:t>
      </w:r>
      <w:proofErr w:type="spellStart"/>
      <w:r w:rsidRPr="00FF134F">
        <w:t>Graydon</w:t>
      </w:r>
      <w:proofErr w:type="spellEnd"/>
      <w:r w:rsidRPr="00FF134F">
        <w:t>, Toronto.</w:t>
      </w:r>
    </w:p>
    <w:p w:rsidR="007710AE" w:rsidRPr="00FF134F" w:rsidRDefault="007710AE" w:rsidP="006830A2">
      <w:pPr>
        <w:pStyle w:val="SCCLawFirm"/>
        <w:spacing w:after="480"/>
      </w:pPr>
      <w:r w:rsidRPr="00FF134F">
        <w:lastRenderedPageBreak/>
        <w:tab/>
        <w:t xml:space="preserve">Procureur de l’intervenante la Clinique d’intérêt public et de politique internet du Canada </w:t>
      </w:r>
      <w:proofErr w:type="spellStart"/>
      <w:r w:rsidRPr="00FF134F">
        <w:t>Samuelson</w:t>
      </w:r>
      <w:r w:rsidR="009110BF" w:rsidRPr="00FF134F">
        <w:noBreakHyphen/>
      </w:r>
      <w:r w:rsidRPr="00FF134F">
        <w:t>Glushko</w:t>
      </w:r>
      <w:proofErr w:type="spellEnd"/>
      <w:r w:rsidR="009110BF" w:rsidRPr="00FF134F">
        <w:t> :</w:t>
      </w:r>
      <w:r w:rsidR="006830A2" w:rsidRPr="00FF134F">
        <w:t> </w:t>
      </w:r>
      <w:r w:rsidRPr="00FF134F">
        <w:t>Université d’Ottawa, Ottawa.</w:t>
      </w:r>
    </w:p>
    <w:p w:rsidR="007710AE" w:rsidRPr="00FF134F" w:rsidRDefault="007710AE" w:rsidP="006830A2">
      <w:pPr>
        <w:pStyle w:val="SCCLawFirm"/>
        <w:spacing w:after="480"/>
      </w:pPr>
      <w:r w:rsidRPr="00FF134F">
        <w:tab/>
        <w:t>Procureurs de l’intervenant le Comité Unicef Canada</w:t>
      </w:r>
      <w:r w:rsidR="009110BF" w:rsidRPr="00FF134F">
        <w:t> :</w:t>
      </w:r>
      <w:r w:rsidR="006830A2" w:rsidRPr="00FF134F">
        <w:t> </w:t>
      </w:r>
      <w:r w:rsidRPr="00FF134F">
        <w:t>Bennett Jones, Toronto.</w:t>
      </w:r>
    </w:p>
    <w:p w:rsidR="007710AE" w:rsidRPr="00FF134F" w:rsidRDefault="007710AE" w:rsidP="006830A2">
      <w:pPr>
        <w:pStyle w:val="SCCLawFirm"/>
        <w:spacing w:after="480"/>
      </w:pPr>
      <w:r w:rsidRPr="00FF134F">
        <w:tab/>
        <w:t>Procureur de l’intervenant le Commissaire à l’information et à la protection de la vie privée de l’Ontario</w:t>
      </w:r>
      <w:r w:rsidR="009110BF" w:rsidRPr="00FF134F">
        <w:t> :</w:t>
      </w:r>
      <w:r w:rsidR="006830A2" w:rsidRPr="00FF134F">
        <w:t> </w:t>
      </w:r>
      <w:r w:rsidRPr="00FF134F">
        <w:t>Commissaire à l’information et à la protection de la vie privée de l’Ontario, Toronto.</w:t>
      </w:r>
    </w:p>
    <w:p w:rsidR="0043088E" w:rsidRPr="001A0A8F" w:rsidRDefault="007710AE" w:rsidP="00FF31BC">
      <w:pPr>
        <w:pStyle w:val="SCCLawFirm"/>
      </w:pPr>
      <w:r w:rsidRPr="00FF134F">
        <w:tab/>
        <w:t>Procureur de l’intervenant</w:t>
      </w:r>
      <w:r w:rsidR="00CE7D38" w:rsidRPr="00FF134F">
        <w:t>e</w:t>
      </w:r>
      <w:r w:rsidRPr="00FF134F">
        <w:t xml:space="preserve"> </w:t>
      </w:r>
      <w:proofErr w:type="spellStart"/>
      <w:r w:rsidRPr="00FF134F">
        <w:t>Au</w:t>
      </w:r>
      <w:r w:rsidR="009110BF" w:rsidRPr="00FF134F">
        <w:noBreakHyphen/>
      </w:r>
      <w:r w:rsidRPr="00FF134F">
        <w:t>delà</w:t>
      </w:r>
      <w:proofErr w:type="spellEnd"/>
      <w:r w:rsidRPr="00FF134F">
        <w:t xml:space="preserve"> des frontières</w:t>
      </w:r>
      <w:r w:rsidR="009110BF" w:rsidRPr="00FF134F">
        <w:t> :</w:t>
      </w:r>
      <w:r w:rsidR="006830A2" w:rsidRPr="00FF134F">
        <w:t> Jonathan </w:t>
      </w:r>
      <w:r w:rsidRPr="00FF134F">
        <w:t xml:space="preserve">M. </w:t>
      </w:r>
      <w:proofErr w:type="spellStart"/>
      <w:r w:rsidRPr="00FF134F">
        <w:t>Rosenthal</w:t>
      </w:r>
      <w:proofErr w:type="spellEnd"/>
      <w:r w:rsidRPr="00FF134F">
        <w:t>, Toronto.</w:t>
      </w:r>
      <w:r w:rsidR="00FF31BC">
        <w:rPr>
          <w:b/>
          <w:i w:val="0"/>
        </w:rPr>
        <w:t xml:space="preserve"> </w:t>
      </w:r>
    </w:p>
    <w:sectPr w:rsidR="0043088E" w:rsidRPr="001A0A8F" w:rsidSect="00F17FF8">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F7" w:rsidRDefault="00C12FF7">
      <w:r>
        <w:separator/>
      </w:r>
    </w:p>
  </w:endnote>
  <w:endnote w:type="continuationSeparator" w:id="0">
    <w:p w:rsidR="00C12FF7" w:rsidRDefault="00C1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7" w:rsidRDefault="00C12FF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7" w:rsidRDefault="00C12FF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F7" w:rsidRDefault="00C12FF7">
      <w:r>
        <w:separator/>
      </w:r>
    </w:p>
  </w:footnote>
  <w:footnote w:type="continuationSeparator" w:id="0">
    <w:p w:rsidR="00C12FF7" w:rsidRDefault="00C1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7" w:rsidRDefault="00C12FF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04"/>
      <w:docPartObj>
        <w:docPartGallery w:val="Page Numbers (Top of Page)"/>
        <w:docPartUnique/>
      </w:docPartObj>
    </w:sdtPr>
    <w:sdtContent>
      <w:p w:rsidR="00C12FF7" w:rsidRDefault="00C12FF7">
        <w:pPr>
          <w:pStyle w:val="Header"/>
          <w:jc w:val="center"/>
        </w:pPr>
        <w:r>
          <w:t xml:space="preserve">- </w:t>
        </w:r>
        <w:fldSimple w:instr=" PAGE   \* MERGEFORMAT ">
          <w:r w:rsidR="00D86C40">
            <w:rPr>
              <w:noProof/>
            </w:rPr>
            <w:t>3</w:t>
          </w:r>
        </w:fldSimple>
        <w:r>
          <w:t xml:space="preserve"> -</w:t>
        </w:r>
      </w:p>
    </w:sdtContent>
  </w:sdt>
  <w:p w:rsidR="00C12FF7" w:rsidRDefault="00C12FF7"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CC"/>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1E6762"/>
    <w:multiLevelType w:val="hybridMultilevel"/>
    <w:tmpl w:val="ED568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CA76B8"/>
    <w:multiLevelType w:val="hybridMultilevel"/>
    <w:tmpl w:val="8E20E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rsids>
    <w:rsidRoot w:val="0031414C"/>
    <w:rsid w:val="00000123"/>
    <w:rsid w:val="0000689C"/>
    <w:rsid w:val="00011EB8"/>
    <w:rsid w:val="00020418"/>
    <w:rsid w:val="00025198"/>
    <w:rsid w:val="0002535E"/>
    <w:rsid w:val="00055A36"/>
    <w:rsid w:val="000578A3"/>
    <w:rsid w:val="00064563"/>
    <w:rsid w:val="000648CC"/>
    <w:rsid w:val="00092FE4"/>
    <w:rsid w:val="00094DE0"/>
    <w:rsid w:val="000A28E4"/>
    <w:rsid w:val="000A5321"/>
    <w:rsid w:val="000B1BC2"/>
    <w:rsid w:val="000B3E03"/>
    <w:rsid w:val="000C59B8"/>
    <w:rsid w:val="000D7F1F"/>
    <w:rsid w:val="00110849"/>
    <w:rsid w:val="00111DE2"/>
    <w:rsid w:val="00116B38"/>
    <w:rsid w:val="0013109F"/>
    <w:rsid w:val="0013155E"/>
    <w:rsid w:val="00135406"/>
    <w:rsid w:val="00135972"/>
    <w:rsid w:val="00140667"/>
    <w:rsid w:val="001426A9"/>
    <w:rsid w:val="001458A5"/>
    <w:rsid w:val="00154D7C"/>
    <w:rsid w:val="001570B0"/>
    <w:rsid w:val="001609A4"/>
    <w:rsid w:val="00167580"/>
    <w:rsid w:val="00172A04"/>
    <w:rsid w:val="00174B88"/>
    <w:rsid w:val="00175A97"/>
    <w:rsid w:val="00176835"/>
    <w:rsid w:val="0018247A"/>
    <w:rsid w:val="00185394"/>
    <w:rsid w:val="00191288"/>
    <w:rsid w:val="00194A68"/>
    <w:rsid w:val="00196212"/>
    <w:rsid w:val="001A0A8F"/>
    <w:rsid w:val="001A451D"/>
    <w:rsid w:val="001A4E2B"/>
    <w:rsid w:val="001B2D17"/>
    <w:rsid w:val="001B33E0"/>
    <w:rsid w:val="001B4573"/>
    <w:rsid w:val="001B6301"/>
    <w:rsid w:val="001C4F7C"/>
    <w:rsid w:val="001C779F"/>
    <w:rsid w:val="001D2AC1"/>
    <w:rsid w:val="001F6409"/>
    <w:rsid w:val="001F7673"/>
    <w:rsid w:val="00205B99"/>
    <w:rsid w:val="00220317"/>
    <w:rsid w:val="00220FC2"/>
    <w:rsid w:val="00224FC0"/>
    <w:rsid w:val="00225188"/>
    <w:rsid w:val="00225EA4"/>
    <w:rsid w:val="00226EAF"/>
    <w:rsid w:val="00231F3A"/>
    <w:rsid w:val="0023582B"/>
    <w:rsid w:val="002406EE"/>
    <w:rsid w:val="00244822"/>
    <w:rsid w:val="002456F8"/>
    <w:rsid w:val="00261E5A"/>
    <w:rsid w:val="002745CC"/>
    <w:rsid w:val="002D39A4"/>
    <w:rsid w:val="002D6172"/>
    <w:rsid w:val="002E6705"/>
    <w:rsid w:val="002F696C"/>
    <w:rsid w:val="00302AB5"/>
    <w:rsid w:val="0030329A"/>
    <w:rsid w:val="00306F4B"/>
    <w:rsid w:val="00307AFD"/>
    <w:rsid w:val="003105C5"/>
    <w:rsid w:val="0031086F"/>
    <w:rsid w:val="00310E05"/>
    <w:rsid w:val="0031414C"/>
    <w:rsid w:val="00314E01"/>
    <w:rsid w:val="00315377"/>
    <w:rsid w:val="0032089D"/>
    <w:rsid w:val="00323240"/>
    <w:rsid w:val="0033393C"/>
    <w:rsid w:val="00334518"/>
    <w:rsid w:val="00336E95"/>
    <w:rsid w:val="0034770C"/>
    <w:rsid w:val="0035259D"/>
    <w:rsid w:val="00360A96"/>
    <w:rsid w:val="00385C55"/>
    <w:rsid w:val="003866EC"/>
    <w:rsid w:val="00394476"/>
    <w:rsid w:val="003A4C70"/>
    <w:rsid w:val="003A4E15"/>
    <w:rsid w:val="003A662F"/>
    <w:rsid w:val="003C799C"/>
    <w:rsid w:val="003D1A00"/>
    <w:rsid w:val="003E1C71"/>
    <w:rsid w:val="003F1C1F"/>
    <w:rsid w:val="003F327B"/>
    <w:rsid w:val="004059A7"/>
    <w:rsid w:val="00406166"/>
    <w:rsid w:val="00411300"/>
    <w:rsid w:val="004139EB"/>
    <w:rsid w:val="004161D5"/>
    <w:rsid w:val="00426659"/>
    <w:rsid w:val="0043088E"/>
    <w:rsid w:val="004406B4"/>
    <w:rsid w:val="004439D8"/>
    <w:rsid w:val="00444314"/>
    <w:rsid w:val="00465132"/>
    <w:rsid w:val="004655F3"/>
    <w:rsid w:val="004729EB"/>
    <w:rsid w:val="004752A0"/>
    <w:rsid w:val="004760FD"/>
    <w:rsid w:val="00480C90"/>
    <w:rsid w:val="0048396F"/>
    <w:rsid w:val="00486DF7"/>
    <w:rsid w:val="00493C18"/>
    <w:rsid w:val="00494CDC"/>
    <w:rsid w:val="004972C7"/>
    <w:rsid w:val="004A600C"/>
    <w:rsid w:val="004B6617"/>
    <w:rsid w:val="004C478D"/>
    <w:rsid w:val="004E6A2C"/>
    <w:rsid w:val="00521AE8"/>
    <w:rsid w:val="00527180"/>
    <w:rsid w:val="00536719"/>
    <w:rsid w:val="0054140D"/>
    <w:rsid w:val="005564A7"/>
    <w:rsid w:val="00590A76"/>
    <w:rsid w:val="0059745A"/>
    <w:rsid w:val="005E4698"/>
    <w:rsid w:val="005F6715"/>
    <w:rsid w:val="00612D55"/>
    <w:rsid w:val="006149AA"/>
    <w:rsid w:val="00625C35"/>
    <w:rsid w:val="00634E1B"/>
    <w:rsid w:val="00642603"/>
    <w:rsid w:val="00645057"/>
    <w:rsid w:val="00654858"/>
    <w:rsid w:val="006565F4"/>
    <w:rsid w:val="006759EA"/>
    <w:rsid w:val="00681AD1"/>
    <w:rsid w:val="006830A2"/>
    <w:rsid w:val="006847EB"/>
    <w:rsid w:val="006A4F99"/>
    <w:rsid w:val="006A56F1"/>
    <w:rsid w:val="006B2B9E"/>
    <w:rsid w:val="006B5FF5"/>
    <w:rsid w:val="006B7359"/>
    <w:rsid w:val="006C5661"/>
    <w:rsid w:val="006D4790"/>
    <w:rsid w:val="00701759"/>
    <w:rsid w:val="00702C6F"/>
    <w:rsid w:val="00702F86"/>
    <w:rsid w:val="007066DE"/>
    <w:rsid w:val="00715321"/>
    <w:rsid w:val="00722D51"/>
    <w:rsid w:val="00725A5D"/>
    <w:rsid w:val="00727363"/>
    <w:rsid w:val="00747288"/>
    <w:rsid w:val="00747DD3"/>
    <w:rsid w:val="00752F4E"/>
    <w:rsid w:val="007549C8"/>
    <w:rsid w:val="00762D30"/>
    <w:rsid w:val="00763377"/>
    <w:rsid w:val="00766D14"/>
    <w:rsid w:val="00767A0F"/>
    <w:rsid w:val="007710AE"/>
    <w:rsid w:val="007834A8"/>
    <w:rsid w:val="00792C94"/>
    <w:rsid w:val="007978CD"/>
    <w:rsid w:val="007A05F6"/>
    <w:rsid w:val="007B6F4A"/>
    <w:rsid w:val="007E1C47"/>
    <w:rsid w:val="007E337A"/>
    <w:rsid w:val="007E5C70"/>
    <w:rsid w:val="007F2FF5"/>
    <w:rsid w:val="008111C0"/>
    <w:rsid w:val="00817190"/>
    <w:rsid w:val="008322BD"/>
    <w:rsid w:val="00840B75"/>
    <w:rsid w:val="00855307"/>
    <w:rsid w:val="00862CF3"/>
    <w:rsid w:val="00864CF8"/>
    <w:rsid w:val="00874914"/>
    <w:rsid w:val="00892E1A"/>
    <w:rsid w:val="008958F5"/>
    <w:rsid w:val="008A6558"/>
    <w:rsid w:val="008A727C"/>
    <w:rsid w:val="008C01DA"/>
    <w:rsid w:val="008F16D9"/>
    <w:rsid w:val="008F78E9"/>
    <w:rsid w:val="00902462"/>
    <w:rsid w:val="009110BF"/>
    <w:rsid w:val="0091359F"/>
    <w:rsid w:val="009403F3"/>
    <w:rsid w:val="00957FA2"/>
    <w:rsid w:val="00961F45"/>
    <w:rsid w:val="00966913"/>
    <w:rsid w:val="00967374"/>
    <w:rsid w:val="0097543E"/>
    <w:rsid w:val="00982752"/>
    <w:rsid w:val="00983F3F"/>
    <w:rsid w:val="009856B4"/>
    <w:rsid w:val="00985827"/>
    <w:rsid w:val="00985C69"/>
    <w:rsid w:val="0099079B"/>
    <w:rsid w:val="009A4B00"/>
    <w:rsid w:val="009B0794"/>
    <w:rsid w:val="009B2F23"/>
    <w:rsid w:val="009B53E2"/>
    <w:rsid w:val="009B57B3"/>
    <w:rsid w:val="009D5AEB"/>
    <w:rsid w:val="009E1093"/>
    <w:rsid w:val="009F00F4"/>
    <w:rsid w:val="009F383F"/>
    <w:rsid w:val="00A05F0E"/>
    <w:rsid w:val="00A16AD8"/>
    <w:rsid w:val="00A21107"/>
    <w:rsid w:val="00A21B90"/>
    <w:rsid w:val="00A24E15"/>
    <w:rsid w:val="00A27265"/>
    <w:rsid w:val="00A548CB"/>
    <w:rsid w:val="00A6242E"/>
    <w:rsid w:val="00A643E7"/>
    <w:rsid w:val="00A67704"/>
    <w:rsid w:val="00A727C7"/>
    <w:rsid w:val="00A73C38"/>
    <w:rsid w:val="00AA0E21"/>
    <w:rsid w:val="00AC6322"/>
    <w:rsid w:val="00AC7437"/>
    <w:rsid w:val="00AC7A44"/>
    <w:rsid w:val="00AF03C5"/>
    <w:rsid w:val="00B000D8"/>
    <w:rsid w:val="00B00F75"/>
    <w:rsid w:val="00B145B6"/>
    <w:rsid w:val="00B15FB8"/>
    <w:rsid w:val="00B2002D"/>
    <w:rsid w:val="00B23A56"/>
    <w:rsid w:val="00B25564"/>
    <w:rsid w:val="00B27B31"/>
    <w:rsid w:val="00B41CBD"/>
    <w:rsid w:val="00B50097"/>
    <w:rsid w:val="00B50C81"/>
    <w:rsid w:val="00B52B94"/>
    <w:rsid w:val="00B557F8"/>
    <w:rsid w:val="00B64972"/>
    <w:rsid w:val="00B66DD8"/>
    <w:rsid w:val="00B8145D"/>
    <w:rsid w:val="00B815FC"/>
    <w:rsid w:val="00B8365D"/>
    <w:rsid w:val="00B93FBC"/>
    <w:rsid w:val="00BD5A6A"/>
    <w:rsid w:val="00BD64C8"/>
    <w:rsid w:val="00BE548B"/>
    <w:rsid w:val="00C01516"/>
    <w:rsid w:val="00C02092"/>
    <w:rsid w:val="00C057F7"/>
    <w:rsid w:val="00C0663B"/>
    <w:rsid w:val="00C12FF7"/>
    <w:rsid w:val="00C24C8C"/>
    <w:rsid w:val="00C24D91"/>
    <w:rsid w:val="00C52532"/>
    <w:rsid w:val="00C53F14"/>
    <w:rsid w:val="00C55C2E"/>
    <w:rsid w:val="00C5772E"/>
    <w:rsid w:val="00C600CF"/>
    <w:rsid w:val="00C6084F"/>
    <w:rsid w:val="00C61D3D"/>
    <w:rsid w:val="00C62A66"/>
    <w:rsid w:val="00C62A6F"/>
    <w:rsid w:val="00C67CA5"/>
    <w:rsid w:val="00C71458"/>
    <w:rsid w:val="00C71F58"/>
    <w:rsid w:val="00C77613"/>
    <w:rsid w:val="00C77ECB"/>
    <w:rsid w:val="00C828E7"/>
    <w:rsid w:val="00C9148E"/>
    <w:rsid w:val="00C921DD"/>
    <w:rsid w:val="00C9347D"/>
    <w:rsid w:val="00CA4D82"/>
    <w:rsid w:val="00CA6391"/>
    <w:rsid w:val="00CA7BFF"/>
    <w:rsid w:val="00CB55A1"/>
    <w:rsid w:val="00CB7325"/>
    <w:rsid w:val="00CC11A2"/>
    <w:rsid w:val="00CC7DD3"/>
    <w:rsid w:val="00CE3171"/>
    <w:rsid w:val="00CE6BE4"/>
    <w:rsid w:val="00CE7D38"/>
    <w:rsid w:val="00CF1601"/>
    <w:rsid w:val="00CF6542"/>
    <w:rsid w:val="00D141E9"/>
    <w:rsid w:val="00D1644C"/>
    <w:rsid w:val="00D2012E"/>
    <w:rsid w:val="00D32086"/>
    <w:rsid w:val="00D37A3F"/>
    <w:rsid w:val="00D40C02"/>
    <w:rsid w:val="00D4320E"/>
    <w:rsid w:val="00D45FCF"/>
    <w:rsid w:val="00D4667A"/>
    <w:rsid w:val="00D47EE5"/>
    <w:rsid w:val="00D510BB"/>
    <w:rsid w:val="00D5207E"/>
    <w:rsid w:val="00D5435D"/>
    <w:rsid w:val="00D64D4F"/>
    <w:rsid w:val="00D74F2E"/>
    <w:rsid w:val="00D80E8D"/>
    <w:rsid w:val="00D86C40"/>
    <w:rsid w:val="00D94777"/>
    <w:rsid w:val="00DA0590"/>
    <w:rsid w:val="00DB3712"/>
    <w:rsid w:val="00DC1788"/>
    <w:rsid w:val="00DC19A1"/>
    <w:rsid w:val="00DD1AF4"/>
    <w:rsid w:val="00DD6896"/>
    <w:rsid w:val="00DE1AC5"/>
    <w:rsid w:val="00DF0CA8"/>
    <w:rsid w:val="00DF49A7"/>
    <w:rsid w:val="00E01106"/>
    <w:rsid w:val="00E07EE2"/>
    <w:rsid w:val="00E210F8"/>
    <w:rsid w:val="00E24573"/>
    <w:rsid w:val="00E377A1"/>
    <w:rsid w:val="00E45109"/>
    <w:rsid w:val="00E514F1"/>
    <w:rsid w:val="00E54B02"/>
    <w:rsid w:val="00E97830"/>
    <w:rsid w:val="00EA03E5"/>
    <w:rsid w:val="00EC17E1"/>
    <w:rsid w:val="00EC757A"/>
    <w:rsid w:val="00EE0FAF"/>
    <w:rsid w:val="00EF013C"/>
    <w:rsid w:val="00EF3869"/>
    <w:rsid w:val="00F00EB7"/>
    <w:rsid w:val="00F07AEE"/>
    <w:rsid w:val="00F105FE"/>
    <w:rsid w:val="00F17FF8"/>
    <w:rsid w:val="00F21BE6"/>
    <w:rsid w:val="00F2258E"/>
    <w:rsid w:val="00F33658"/>
    <w:rsid w:val="00F36AB6"/>
    <w:rsid w:val="00F37C1D"/>
    <w:rsid w:val="00F409CE"/>
    <w:rsid w:val="00F44D96"/>
    <w:rsid w:val="00F551D8"/>
    <w:rsid w:val="00F72FB2"/>
    <w:rsid w:val="00F755F7"/>
    <w:rsid w:val="00F813E0"/>
    <w:rsid w:val="00F84DF4"/>
    <w:rsid w:val="00F853FB"/>
    <w:rsid w:val="00F85C97"/>
    <w:rsid w:val="00FA1DBE"/>
    <w:rsid w:val="00FA2FE1"/>
    <w:rsid w:val="00FB2912"/>
    <w:rsid w:val="00FB7C2F"/>
    <w:rsid w:val="00FC606D"/>
    <w:rsid w:val="00FD068D"/>
    <w:rsid w:val="00FD4F28"/>
    <w:rsid w:val="00FE1899"/>
    <w:rsid w:val="00FE4B4D"/>
    <w:rsid w:val="00FE5C54"/>
    <w:rsid w:val="00FE6784"/>
    <w:rsid w:val="00FF134F"/>
    <w:rsid w:val="00FF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Hyperlink">
    <w:name w:val="Hyperlink"/>
    <w:basedOn w:val="DefaultParagraphFont"/>
    <w:uiPriority w:val="99"/>
    <w:unhideWhenUsed/>
    <w:rsid w:val="0018247A"/>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FF31BC"/>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FF31BC"/>
    <w:rPr>
      <w:rFonts w:eastAsiaTheme="minorHAnsi" w:cstheme="minorBidi"/>
      <w:sz w:val="24"/>
      <w:szCs w:val="22"/>
      <w:lang w:eastAsia="en-US"/>
    </w:rPr>
  </w:style>
  <w:style w:type="character" w:customStyle="1" w:styleId="SCCBanSummaryChar">
    <w:name w:val="SCC.BanSummary Char"/>
    <w:basedOn w:val="DefaultParagraphFont"/>
    <w:link w:val="SCCBanSummary"/>
    <w:rsid w:val="00FF31BC"/>
    <w:rPr>
      <w:b/>
      <w:sz w:val="24"/>
      <w:lang w:val="fr-CA"/>
    </w:rPr>
  </w:style>
  <w:style w:type="table" w:styleId="TableGrid">
    <w:name w:val="Table Grid"/>
    <w:basedOn w:val="TableNormal"/>
    <w:uiPriority w:val="59"/>
    <w:rsid w:val="00FF3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F31B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F31B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F31BC"/>
    <w:pPr>
      <w:tabs>
        <w:tab w:val="left" w:pos="1166"/>
      </w:tabs>
      <w:spacing w:after="480" w:line="480" w:lineRule="auto"/>
    </w:pPr>
    <w:rPr>
      <w:smallCaps/>
      <w:sz w:val="24"/>
    </w:rPr>
  </w:style>
  <w:style w:type="paragraph" w:customStyle="1" w:styleId="ParaNoNdepar-AltN">
    <w:name w:val="Para. No. / Nº de par. - Alt N"/>
    <w:qFormat/>
    <w:rsid w:val="00FF31BC"/>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F31BC"/>
    <w:pPr>
      <w:keepNext/>
      <w:tabs>
        <w:tab w:val="left" w:pos="360"/>
      </w:tabs>
      <w:spacing w:after="720"/>
      <w:ind w:left="357" w:hanging="357"/>
      <w:jc w:val="both"/>
    </w:pPr>
    <w:rPr>
      <w:rFonts w:eastAsiaTheme="minorHAnsi" w:cstheme="minorBidi"/>
      <w:sz w:val="24"/>
      <w:szCs w:val="22"/>
      <w:lang w:eastAsia="en-US"/>
    </w:rPr>
  </w:style>
  <w:style w:type="character" w:styleId="SubtleEmphasis">
    <w:name w:val="Subtle Emphasis"/>
    <w:uiPriority w:val="19"/>
    <w:qFormat/>
    <w:rsid w:val="00FF31BC"/>
    <w:rPr>
      <w:i/>
      <w:iCs/>
    </w:rPr>
  </w:style>
  <w:style w:type="paragraph" w:styleId="ListParagraph">
    <w:name w:val="List Paragraph"/>
    <w:basedOn w:val="Normal"/>
    <w:uiPriority w:val="34"/>
    <w:qFormat/>
    <w:rsid w:val="00FF31BC"/>
    <w:pPr>
      <w:spacing w:after="200" w:line="276" w:lineRule="auto"/>
      <w:ind w:left="720"/>
      <w:contextualSpacing/>
    </w:pPr>
    <w:rPr>
      <w:rFonts w:asciiTheme="minorHAnsi" w:eastAsiaTheme="minorHAnsi" w:hAnsiTheme="minorHAnsi" w:cstheme="minorBidi"/>
      <w:sz w:val="22"/>
      <w:szCs w:val="22"/>
      <w:lang w:val="en-CA" w:eastAsia="en-US"/>
    </w:rPr>
  </w:style>
  <w:style w:type="paragraph" w:customStyle="1" w:styleId="SCCLowerCourtText">
    <w:name w:val="SCC.LowerCourtText"/>
    <w:basedOn w:val="Normal"/>
    <w:next w:val="Normal"/>
    <w:uiPriority w:val="99"/>
    <w:qFormat/>
    <w:rsid w:val="00FF31BC"/>
    <w:pPr>
      <w:jc w:val="both"/>
    </w:pPr>
    <w:rPr>
      <w:lang w:val="en-CA"/>
    </w:rPr>
  </w:style>
  <w:style w:type="paragraph" w:styleId="DocumentMap">
    <w:name w:val="Document Map"/>
    <w:basedOn w:val="Normal"/>
    <w:link w:val="DocumentMapChar"/>
    <w:uiPriority w:val="99"/>
    <w:semiHidden/>
    <w:unhideWhenUsed/>
    <w:rsid w:val="00FF31BC"/>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FF31BC"/>
    <w:rPr>
      <w:rFonts w:ascii="Tahoma" w:hAnsi="Tahoma" w:cs="Tahoma"/>
      <w:sz w:val="16"/>
      <w:szCs w:val="16"/>
    </w:rPr>
  </w:style>
  <w:style w:type="table" w:customStyle="1" w:styleId="TableGrid1">
    <w:name w:val="Table Grid1"/>
    <w:basedOn w:val="TableNormal"/>
    <w:next w:val="TableGrid"/>
    <w:uiPriority w:val="59"/>
    <w:rsid w:val="00D86C4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5731</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2012-09-28T18:14:00Z</dcterms:created>
  <dcterms:modified xsi:type="dcterms:W3CDTF">2013-04-08T20:50:00Z</dcterms:modified>
</cp:coreProperties>
</file>