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40" w:rsidRPr="005B4C3C" w:rsidRDefault="00DE0B40" w:rsidP="00DE0B40">
      <w:pPr>
        <w:tabs>
          <w:tab w:val="center" w:pos="4680"/>
          <w:tab w:val="right" w:pos="9360"/>
        </w:tabs>
        <w:jc w:val="center"/>
        <w:rPr>
          <w:rFonts w:eastAsiaTheme="minorHAnsi" w:cstheme="minorBidi"/>
          <w:szCs w:val="24"/>
          <w:lang w:eastAsia="en-US"/>
        </w:rPr>
      </w:pPr>
      <w:r w:rsidRPr="005B4C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7023489" r:id="rId8"/>
        </w:object>
      </w:r>
    </w:p>
    <w:p w:rsidR="00DE0B40" w:rsidRPr="005B4C3C" w:rsidRDefault="00DE0B40" w:rsidP="00DE0B40">
      <w:pPr>
        <w:tabs>
          <w:tab w:val="center" w:pos="4680"/>
          <w:tab w:val="right" w:pos="9360"/>
        </w:tabs>
        <w:rPr>
          <w:rFonts w:eastAsiaTheme="minorHAnsi" w:cstheme="minorBidi"/>
          <w:szCs w:val="24"/>
          <w:lang w:eastAsia="en-US"/>
        </w:rPr>
      </w:pPr>
    </w:p>
    <w:p w:rsidR="00DE0B40" w:rsidRPr="005B4C3C" w:rsidRDefault="00DE0B40" w:rsidP="00DE0B40">
      <w:pPr>
        <w:jc w:val="center"/>
        <w:rPr>
          <w:rFonts w:eastAsiaTheme="minorHAnsi" w:cstheme="minorBidi"/>
          <w:b/>
          <w:szCs w:val="24"/>
          <w:lang w:eastAsia="en-US"/>
        </w:rPr>
      </w:pPr>
      <w:r w:rsidRPr="005B4C3C">
        <w:rPr>
          <w:rFonts w:eastAsiaTheme="minorHAnsi" w:cstheme="minorBidi"/>
          <w:b/>
          <w:szCs w:val="24"/>
          <w:lang w:eastAsia="en-US"/>
        </w:rPr>
        <w:t>COUR SUPRÊME DU CANADA</w:t>
      </w:r>
    </w:p>
    <w:p w:rsidR="00DE0B40" w:rsidRPr="005B4C3C" w:rsidRDefault="00DE0B40" w:rsidP="00DE0B4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E0B40" w:rsidRPr="005B4C3C" w:rsidTr="002F6440">
        <w:trPr>
          <w:cantSplit/>
        </w:trPr>
        <w:tc>
          <w:tcPr>
            <w:tcW w:w="6768" w:type="dxa"/>
          </w:tcPr>
          <w:p w:rsidR="00DE0B40" w:rsidRPr="005B4C3C" w:rsidRDefault="00DE0B40" w:rsidP="002F6440">
            <w:r w:rsidRPr="005B4C3C">
              <w:rPr>
                <w:b/>
                <w:smallCaps/>
              </w:rPr>
              <w:t>Référence :</w:t>
            </w:r>
            <w:r w:rsidRPr="005B4C3C">
              <w:t xml:space="preserve"> R. </w:t>
            </w:r>
            <w:r w:rsidRPr="00A974DB">
              <w:rPr>
                <w:i/>
              </w:rPr>
              <w:t>c</w:t>
            </w:r>
            <w:r w:rsidRPr="005B4C3C">
              <w:t xml:space="preserve">. </w:t>
            </w:r>
            <w:r>
              <w:t>Picot, 2012</w:t>
            </w:r>
            <w:r w:rsidRPr="005B4C3C">
              <w:t xml:space="preserve"> CSC </w:t>
            </w:r>
            <w:r>
              <w:t>54, [2012] 3 R.C.S. 74</w:t>
            </w:r>
          </w:p>
        </w:tc>
        <w:tc>
          <w:tcPr>
            <w:tcW w:w="2808" w:type="dxa"/>
          </w:tcPr>
          <w:p w:rsidR="00DE0B40" w:rsidRPr="005B4C3C" w:rsidRDefault="00DE0B40" w:rsidP="002F6440">
            <w:r w:rsidRPr="005B4C3C">
              <w:rPr>
                <w:b/>
                <w:smallCaps/>
              </w:rPr>
              <w:t>Date :</w:t>
            </w:r>
            <w:r>
              <w:t xml:space="preserve"> 20121</w:t>
            </w:r>
            <w:r w:rsidRPr="005B4C3C">
              <w:t>01</w:t>
            </w:r>
            <w:r>
              <w:t>9</w:t>
            </w:r>
          </w:p>
          <w:p w:rsidR="00DE0B40" w:rsidRPr="005B4C3C" w:rsidRDefault="00DE0B40" w:rsidP="002F6440">
            <w:r w:rsidRPr="005B4C3C">
              <w:rPr>
                <w:b/>
                <w:smallCaps/>
              </w:rPr>
              <w:t>Dossier :</w:t>
            </w:r>
            <w:r w:rsidRPr="005B4C3C">
              <w:t xml:space="preserve"> 34</w:t>
            </w:r>
            <w:r>
              <w:t>499</w:t>
            </w:r>
          </w:p>
        </w:tc>
      </w:tr>
    </w:tbl>
    <w:p w:rsidR="00DE0B40" w:rsidRPr="005B4C3C" w:rsidRDefault="00DE0B40" w:rsidP="00DE0B40">
      <w:pPr>
        <w:rPr>
          <w:rFonts w:eastAsiaTheme="minorHAnsi" w:cstheme="minorBidi"/>
          <w:szCs w:val="24"/>
          <w:lang w:eastAsia="en-US"/>
        </w:rPr>
      </w:pPr>
    </w:p>
    <w:p w:rsidR="00DE0B40" w:rsidRPr="005B4C3C" w:rsidRDefault="00DE0B40" w:rsidP="00DE0B40">
      <w:pPr>
        <w:rPr>
          <w:rFonts w:eastAsiaTheme="minorHAnsi" w:cstheme="minorBidi"/>
          <w:b/>
          <w:smallCaps/>
          <w:szCs w:val="24"/>
          <w:lang w:eastAsia="en-US"/>
        </w:rPr>
      </w:pPr>
      <w:r w:rsidRPr="005B4C3C">
        <w:rPr>
          <w:rFonts w:eastAsiaTheme="minorHAnsi" w:cstheme="minorBidi"/>
          <w:b/>
          <w:smallCaps/>
          <w:szCs w:val="24"/>
          <w:lang w:eastAsia="en-US"/>
        </w:rPr>
        <w:t>Entre :</w:t>
      </w:r>
    </w:p>
    <w:p w:rsidR="00DE0B40" w:rsidRPr="003773ED" w:rsidRDefault="00DE0B40" w:rsidP="00DE0B40">
      <w:pPr>
        <w:jc w:val="center"/>
        <w:rPr>
          <w:rFonts w:eastAsiaTheme="minorHAnsi" w:cstheme="minorBidi"/>
          <w:b/>
          <w:szCs w:val="24"/>
          <w:lang w:eastAsia="en-US"/>
        </w:rPr>
      </w:pPr>
      <w:r w:rsidRPr="003773ED">
        <w:rPr>
          <w:rFonts w:eastAsiaTheme="minorHAnsi" w:cstheme="minorBidi"/>
          <w:b/>
          <w:szCs w:val="24"/>
          <w:lang w:eastAsia="en-US"/>
        </w:rPr>
        <w:t>Charles Picot</w:t>
      </w:r>
    </w:p>
    <w:p w:rsidR="00DE0B40" w:rsidRPr="005B4C3C" w:rsidRDefault="00DE0B40" w:rsidP="00DE0B40">
      <w:pPr>
        <w:jc w:val="center"/>
        <w:rPr>
          <w:rFonts w:eastAsiaTheme="minorHAnsi" w:cstheme="minorBidi"/>
          <w:szCs w:val="24"/>
          <w:lang w:eastAsia="en-US"/>
        </w:rPr>
      </w:pPr>
      <w:r>
        <w:rPr>
          <w:rFonts w:eastAsiaTheme="minorHAnsi" w:cstheme="minorBidi"/>
          <w:szCs w:val="24"/>
          <w:lang w:eastAsia="en-US"/>
        </w:rPr>
        <w:t>Appelant</w:t>
      </w:r>
    </w:p>
    <w:p w:rsidR="00DE0B40" w:rsidRPr="005B4C3C" w:rsidRDefault="00DE0B40" w:rsidP="00DE0B40">
      <w:pPr>
        <w:jc w:val="center"/>
        <w:rPr>
          <w:rFonts w:eastAsiaTheme="minorHAnsi" w:cstheme="minorBidi"/>
          <w:szCs w:val="24"/>
          <w:lang w:eastAsia="en-US"/>
        </w:rPr>
      </w:pPr>
      <w:proofErr w:type="gramStart"/>
      <w:r w:rsidRPr="005B4C3C">
        <w:rPr>
          <w:rFonts w:eastAsiaTheme="minorHAnsi" w:cstheme="minorBidi"/>
          <w:szCs w:val="24"/>
          <w:lang w:eastAsia="en-US"/>
        </w:rPr>
        <w:t>et</w:t>
      </w:r>
      <w:proofErr w:type="gramEnd"/>
    </w:p>
    <w:p w:rsidR="00DE0B40" w:rsidRPr="005B4C3C" w:rsidRDefault="00DE0B40" w:rsidP="00DE0B40">
      <w:pPr>
        <w:jc w:val="center"/>
        <w:rPr>
          <w:rFonts w:eastAsiaTheme="minorHAnsi" w:cstheme="minorBidi"/>
          <w:b/>
          <w:szCs w:val="24"/>
          <w:lang w:eastAsia="en-US"/>
        </w:rPr>
      </w:pPr>
      <w:r w:rsidRPr="005B4C3C">
        <w:rPr>
          <w:rFonts w:eastAsiaTheme="minorHAnsi" w:cstheme="minorBidi"/>
          <w:b/>
          <w:szCs w:val="24"/>
          <w:lang w:eastAsia="en-US"/>
        </w:rPr>
        <w:t>Sa Majesté la Reine</w:t>
      </w:r>
    </w:p>
    <w:p w:rsidR="00DE0B40" w:rsidRPr="005B4C3C" w:rsidRDefault="00DE0B40" w:rsidP="00DE0B40">
      <w:pPr>
        <w:jc w:val="center"/>
        <w:rPr>
          <w:rFonts w:eastAsiaTheme="minorHAnsi" w:cstheme="minorBidi"/>
          <w:szCs w:val="24"/>
          <w:lang w:eastAsia="en-US"/>
        </w:rPr>
      </w:pPr>
      <w:r w:rsidRPr="005B4C3C">
        <w:rPr>
          <w:rFonts w:eastAsiaTheme="minorHAnsi" w:cstheme="minorBidi"/>
          <w:szCs w:val="24"/>
          <w:lang w:eastAsia="en-US"/>
        </w:rPr>
        <w:t>Intimé</w:t>
      </w:r>
      <w:r>
        <w:rPr>
          <w:rFonts w:eastAsiaTheme="minorHAnsi" w:cstheme="minorBidi"/>
          <w:szCs w:val="24"/>
          <w:lang w:eastAsia="en-US"/>
        </w:rPr>
        <w:t>e</w:t>
      </w:r>
    </w:p>
    <w:p w:rsidR="00DE0B40" w:rsidRPr="005B4C3C" w:rsidRDefault="00DE0B40" w:rsidP="00DE0B40">
      <w:pPr>
        <w:jc w:val="center"/>
        <w:rPr>
          <w:rFonts w:eastAsiaTheme="minorHAnsi" w:cstheme="minorBidi"/>
          <w:szCs w:val="24"/>
          <w:lang w:eastAsia="en-US"/>
        </w:rPr>
      </w:pPr>
    </w:p>
    <w:p w:rsidR="00DE0B40" w:rsidRPr="005B4C3C" w:rsidRDefault="00DE0B40" w:rsidP="00DE0B40">
      <w:pPr>
        <w:rPr>
          <w:rFonts w:eastAsiaTheme="minorHAnsi" w:cstheme="minorBidi"/>
          <w:szCs w:val="24"/>
          <w:lang w:eastAsia="en-US"/>
        </w:rPr>
      </w:pPr>
    </w:p>
    <w:p w:rsidR="00DE0B40" w:rsidRPr="005B4C3C" w:rsidRDefault="00DE0B40" w:rsidP="00DE0B40">
      <w:pPr>
        <w:rPr>
          <w:rFonts w:eastAsiaTheme="minorHAnsi" w:cstheme="minorBidi"/>
          <w:szCs w:val="24"/>
          <w:lang w:eastAsia="en-US"/>
        </w:rPr>
      </w:pPr>
      <w:r w:rsidRPr="005B4C3C">
        <w:rPr>
          <w:rFonts w:eastAsiaTheme="minorHAnsi" w:cstheme="minorBidi"/>
          <w:b/>
          <w:smallCaps/>
          <w:szCs w:val="24"/>
          <w:lang w:eastAsia="en-US"/>
        </w:rPr>
        <w:t>Coram :</w:t>
      </w:r>
      <w:r w:rsidRPr="005B4C3C">
        <w:rPr>
          <w:rFonts w:eastAsiaTheme="minorHAnsi" w:cstheme="minorBidi"/>
          <w:szCs w:val="24"/>
          <w:lang w:eastAsia="en-US"/>
        </w:rPr>
        <w:t xml:space="preserve"> Les juges </w:t>
      </w:r>
      <w:proofErr w:type="spellStart"/>
      <w:r>
        <w:rPr>
          <w:rFonts w:eastAsiaTheme="minorHAnsi" w:cstheme="minorBidi"/>
          <w:szCs w:val="24"/>
          <w:lang w:eastAsia="en-US"/>
        </w:rPr>
        <w:t>LeBel</w:t>
      </w:r>
      <w:proofErr w:type="spellEnd"/>
      <w:r>
        <w:rPr>
          <w:rFonts w:eastAsiaTheme="minorHAnsi" w:cstheme="minorBidi"/>
          <w:szCs w:val="24"/>
          <w:lang w:eastAsia="en-US"/>
        </w:rPr>
        <w:t xml:space="preserve">, </w:t>
      </w:r>
      <w:r w:rsidRPr="005B4C3C">
        <w:rPr>
          <w:rFonts w:eastAsiaTheme="minorHAnsi" w:cstheme="minorBidi"/>
          <w:szCs w:val="24"/>
          <w:lang w:eastAsia="en-US"/>
        </w:rPr>
        <w:t>Fi</w:t>
      </w:r>
      <w:r>
        <w:rPr>
          <w:rFonts w:eastAsiaTheme="minorHAnsi" w:cstheme="minorBidi"/>
          <w:szCs w:val="24"/>
          <w:lang w:eastAsia="en-US"/>
        </w:rPr>
        <w:t xml:space="preserve">sh, </w:t>
      </w:r>
      <w:proofErr w:type="spellStart"/>
      <w:r>
        <w:rPr>
          <w:rFonts w:eastAsiaTheme="minorHAnsi" w:cstheme="minorBidi"/>
          <w:szCs w:val="24"/>
          <w:lang w:eastAsia="en-US"/>
        </w:rPr>
        <w:t>Rothstein</w:t>
      </w:r>
      <w:proofErr w:type="spellEnd"/>
      <w:r>
        <w:rPr>
          <w:rFonts w:eastAsiaTheme="minorHAnsi" w:cstheme="minorBidi"/>
          <w:szCs w:val="24"/>
          <w:lang w:eastAsia="en-US"/>
        </w:rPr>
        <w:t>, Cromwell et</w:t>
      </w:r>
      <w:r w:rsidRPr="005B4C3C">
        <w:rPr>
          <w:rFonts w:eastAsiaTheme="minorHAnsi" w:cstheme="minorBidi"/>
          <w:szCs w:val="24"/>
          <w:lang w:eastAsia="en-US"/>
        </w:rPr>
        <w:t xml:space="preserve"> </w:t>
      </w:r>
      <w:proofErr w:type="spellStart"/>
      <w:r>
        <w:rPr>
          <w:rFonts w:eastAsiaTheme="minorHAnsi" w:cstheme="minorBidi"/>
          <w:szCs w:val="24"/>
          <w:lang w:eastAsia="en-US"/>
        </w:rPr>
        <w:t>Karakatsanis</w:t>
      </w:r>
      <w:proofErr w:type="spellEnd"/>
      <w:r>
        <w:rPr>
          <w:rFonts w:eastAsiaTheme="minorHAnsi" w:cstheme="minorBidi"/>
          <w:szCs w:val="24"/>
          <w:lang w:eastAsia="en-US"/>
        </w:rPr>
        <w:t>.</w:t>
      </w:r>
    </w:p>
    <w:p w:rsidR="00DE0B40" w:rsidRPr="005B4C3C" w:rsidRDefault="00DE0B40" w:rsidP="00DE0B4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E0B40" w:rsidRPr="005B4C3C" w:rsidTr="002F6440">
        <w:trPr>
          <w:cantSplit/>
        </w:trPr>
        <w:tc>
          <w:tcPr>
            <w:tcW w:w="3618" w:type="dxa"/>
          </w:tcPr>
          <w:p w:rsidR="00DE0B40" w:rsidRPr="005B4C3C" w:rsidRDefault="00DE0B40" w:rsidP="002F6440">
            <w:pPr>
              <w:rPr>
                <w:b/>
                <w:smallCaps/>
              </w:rPr>
            </w:pPr>
            <w:r w:rsidRPr="005B4C3C">
              <w:rPr>
                <w:b/>
                <w:smallCaps/>
              </w:rPr>
              <w:t>Motifs de jugement :</w:t>
            </w:r>
          </w:p>
          <w:p w:rsidR="00DE0B40" w:rsidRPr="005B4C3C" w:rsidRDefault="00DE0B40" w:rsidP="002F6440">
            <w:pPr>
              <w:rPr>
                <w:b/>
                <w:smallCaps/>
              </w:rPr>
            </w:pPr>
            <w:r>
              <w:t>(par. 1</w:t>
            </w:r>
            <w:r w:rsidRPr="005B4C3C">
              <w:t>):</w:t>
            </w:r>
          </w:p>
          <w:p w:rsidR="00DE0B40" w:rsidRPr="005B4C3C" w:rsidRDefault="00DE0B40" w:rsidP="002F6440"/>
        </w:tc>
        <w:tc>
          <w:tcPr>
            <w:tcW w:w="5958" w:type="dxa"/>
          </w:tcPr>
          <w:p w:rsidR="00DE0B40" w:rsidRPr="005B4C3C" w:rsidRDefault="00DE0B40" w:rsidP="002F6440">
            <w:r w:rsidRPr="005B4C3C">
              <w:t>Le juge</w:t>
            </w:r>
            <w:r>
              <w:t xml:space="preserve"> </w:t>
            </w:r>
            <w:proofErr w:type="spellStart"/>
            <w:r>
              <w:t>LeBel</w:t>
            </w:r>
            <w:proofErr w:type="spellEnd"/>
            <w:r w:rsidRPr="005B4C3C">
              <w:t xml:space="preserve"> (avec </w:t>
            </w:r>
            <w:r>
              <w:t>l’accord des</w:t>
            </w:r>
            <w:r w:rsidRPr="005B4C3C">
              <w:t xml:space="preserve"> juges</w:t>
            </w:r>
            <w:r>
              <w:t xml:space="preserve"> Fish, </w:t>
            </w:r>
            <w:proofErr w:type="spellStart"/>
            <w:r>
              <w:t>Rothstein</w:t>
            </w:r>
            <w:proofErr w:type="spellEnd"/>
            <w:r>
              <w:t>, Cromwell et</w:t>
            </w:r>
            <w:r w:rsidRPr="005B4C3C">
              <w:t xml:space="preserve"> </w:t>
            </w:r>
            <w:proofErr w:type="spellStart"/>
            <w:r>
              <w:t>Karakatsanis</w:t>
            </w:r>
            <w:proofErr w:type="spellEnd"/>
            <w:r w:rsidRPr="005B4C3C">
              <w:t>)</w:t>
            </w:r>
          </w:p>
          <w:p w:rsidR="00DE0B40" w:rsidRPr="005B4C3C" w:rsidRDefault="00DE0B40" w:rsidP="002F6440"/>
          <w:p w:rsidR="00DE0B40" w:rsidRPr="005B4C3C" w:rsidRDefault="00DE0B40" w:rsidP="002F6440"/>
        </w:tc>
      </w:tr>
    </w:tbl>
    <w:p w:rsidR="00DE0B40" w:rsidRPr="005B4C3C" w:rsidRDefault="00DE0B40" w:rsidP="00DE0B40">
      <w:pPr>
        <w:rPr>
          <w:rFonts w:eastAsiaTheme="minorHAnsi" w:cstheme="minorBidi"/>
          <w:szCs w:val="24"/>
          <w:lang w:eastAsia="en-US"/>
        </w:rPr>
      </w:pPr>
    </w:p>
    <w:p w:rsidR="00DE0B40" w:rsidRPr="005B4C3C" w:rsidRDefault="00E24A9F" w:rsidP="00DE0B40">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DE0B40" w:rsidRDefault="00DE0B40" w:rsidP="00DE0B40">
      <w:pPr>
        <w:rPr>
          <w:smallCaps/>
        </w:rPr>
      </w:pPr>
    </w:p>
    <w:p w:rsidR="00DE0B40" w:rsidRPr="00DE0B40" w:rsidRDefault="00DE0B40"/>
    <w:p w:rsidR="00DE0B40" w:rsidRPr="002D4E92" w:rsidRDefault="00DE0B40">
      <w:r w:rsidRPr="002D4E92">
        <w:br w:type="page"/>
      </w:r>
    </w:p>
    <w:p w:rsidR="00F21E25" w:rsidRPr="00DE0B40" w:rsidRDefault="00620509" w:rsidP="00F21E25">
      <w:pPr>
        <w:spacing w:line="480" w:lineRule="auto"/>
        <w:jc w:val="both"/>
        <w:rPr>
          <w:rStyle w:val="SCCRespondentForRunningHeadChar"/>
          <w:lang w:val="en-US"/>
        </w:rPr>
      </w:pPr>
      <w:r w:rsidRPr="00DE0B40">
        <w:rPr>
          <w:lang w:val="en-US"/>
        </w:rPr>
        <w:lastRenderedPageBreak/>
        <w:t>R</w:t>
      </w:r>
      <w:r w:rsidR="00F21E25" w:rsidRPr="00DE0B40">
        <w:rPr>
          <w:lang w:val="en-US"/>
        </w:rPr>
        <w:t>.</w:t>
      </w:r>
      <w:r w:rsidR="00F21E25" w:rsidRPr="00DE0B40">
        <w:rPr>
          <w:i/>
          <w:lang w:val="en-US"/>
        </w:rPr>
        <w:t xml:space="preserve"> c.</w:t>
      </w:r>
      <w:r w:rsidR="00F21E25" w:rsidRPr="00DE0B40">
        <w:rPr>
          <w:lang w:val="en-US"/>
        </w:rPr>
        <w:t xml:space="preserve"> </w:t>
      </w:r>
      <w:r w:rsidRPr="00DE0B40">
        <w:rPr>
          <w:lang w:val="en-US"/>
        </w:rPr>
        <w:t>P</w:t>
      </w:r>
      <w:r w:rsidR="0015774C" w:rsidRPr="00DE0B40">
        <w:rPr>
          <w:lang w:val="en-US"/>
        </w:rPr>
        <w:t>icot</w:t>
      </w:r>
      <w:r w:rsidRPr="00DE0B40">
        <w:rPr>
          <w:lang w:val="en-US"/>
        </w:rPr>
        <w:t xml:space="preserve">, 2012 CSC 54, [2012] </w:t>
      </w:r>
      <w:r w:rsidR="002D4E92">
        <w:rPr>
          <w:lang w:val="en-US"/>
        </w:rPr>
        <w:t>3</w:t>
      </w:r>
      <w:r w:rsidRPr="00DE0B40">
        <w:rPr>
          <w:lang w:val="en-US"/>
        </w:rPr>
        <w:t xml:space="preserve"> R.C.S. 74</w:t>
      </w:r>
    </w:p>
    <w:p w:rsidR="00F21E25" w:rsidRPr="00DE0B40" w:rsidRDefault="00F21E25" w:rsidP="00F21E25">
      <w:pPr>
        <w:spacing w:line="480" w:lineRule="auto"/>
        <w:jc w:val="both"/>
        <w:rPr>
          <w:rStyle w:val="SCCRespondentForRunningHeadChar"/>
          <w:lang w:val="en-US"/>
        </w:rPr>
      </w:pPr>
    </w:p>
    <w:p w:rsidR="00F21E25" w:rsidRDefault="0015774C" w:rsidP="00F21E25">
      <w:pPr>
        <w:pStyle w:val="SCCLsocParty"/>
        <w:tabs>
          <w:tab w:val="right" w:pos="8280"/>
        </w:tabs>
        <w:spacing w:line="480" w:lineRule="auto"/>
      </w:pPr>
      <w:r>
        <w:rPr>
          <w:lang w:val="fr-FR"/>
        </w:rPr>
        <w:t>Charles Picot</w:t>
      </w:r>
      <w:r w:rsidR="00F21E25">
        <w:rPr>
          <w:lang w:val="fr-FR"/>
        </w:rPr>
        <w:tab/>
      </w:r>
      <w:r w:rsidR="00F21E25">
        <w:rPr>
          <w:b w:val="0"/>
          <w:i/>
          <w:lang w:val="fr-FR"/>
        </w:rPr>
        <w:t>Appelant</w:t>
      </w:r>
    </w:p>
    <w:p w:rsidR="00F21E25" w:rsidRDefault="00F21E25" w:rsidP="00F21E25">
      <w:pPr>
        <w:pStyle w:val="SCCLsocParty"/>
        <w:tabs>
          <w:tab w:val="right" w:pos="8280"/>
        </w:tabs>
        <w:spacing w:line="480" w:lineRule="auto"/>
        <w:rPr>
          <w:lang w:val="fr-FR"/>
        </w:rPr>
      </w:pPr>
    </w:p>
    <w:p w:rsidR="00F21E25" w:rsidRDefault="00F21E25" w:rsidP="00F21E25">
      <w:pPr>
        <w:pStyle w:val="SCCLsocVersus"/>
        <w:spacing w:line="480" w:lineRule="auto"/>
        <w:rPr>
          <w:lang w:val="fr-FR"/>
        </w:rPr>
      </w:pPr>
      <w:proofErr w:type="gramStart"/>
      <w:r>
        <w:rPr>
          <w:lang w:val="fr-FR"/>
        </w:rPr>
        <w:t>c</w:t>
      </w:r>
      <w:proofErr w:type="gramEnd"/>
      <w:r>
        <w:rPr>
          <w:lang w:val="fr-FR"/>
        </w:rPr>
        <w:t>.</w:t>
      </w:r>
    </w:p>
    <w:p w:rsidR="00F21E25" w:rsidRDefault="00F21E25" w:rsidP="00F21E25">
      <w:pPr>
        <w:pStyle w:val="SCCLsocVersus"/>
        <w:spacing w:line="480" w:lineRule="auto"/>
        <w:rPr>
          <w:lang w:val="fr-FR"/>
        </w:rPr>
      </w:pPr>
    </w:p>
    <w:p w:rsidR="00F21E25" w:rsidRDefault="00F21E25" w:rsidP="00F21E25">
      <w:pPr>
        <w:pStyle w:val="SCCLsocParty"/>
        <w:tabs>
          <w:tab w:val="right" w:pos="8280"/>
        </w:tabs>
        <w:spacing w:line="480" w:lineRule="auto"/>
        <w:rPr>
          <w:lang w:val="fr-FR"/>
        </w:rPr>
      </w:pPr>
      <w:r>
        <w:rPr>
          <w:lang w:val="fr-FR"/>
        </w:rPr>
        <w:t>Sa Majesté la Reine</w:t>
      </w:r>
      <w:r>
        <w:rPr>
          <w:i/>
          <w:lang w:val="fr-FR"/>
        </w:rPr>
        <w:tab/>
      </w:r>
      <w:r>
        <w:rPr>
          <w:b w:val="0"/>
          <w:i/>
          <w:lang w:val="fr-FR"/>
        </w:rPr>
        <w:t>Intimée</w:t>
      </w:r>
    </w:p>
    <w:p w:rsidR="00F21E25" w:rsidRDefault="00F21E25" w:rsidP="00F21E25">
      <w:pPr>
        <w:spacing w:line="480" w:lineRule="auto"/>
        <w:jc w:val="both"/>
        <w:rPr>
          <w:lang w:val="fr-FR"/>
        </w:rPr>
      </w:pPr>
    </w:p>
    <w:p w:rsidR="00F21E25" w:rsidRDefault="00F21E25" w:rsidP="00F21E25">
      <w:pPr>
        <w:jc w:val="both"/>
        <w:rPr>
          <w:b/>
          <w:lang w:val="fr-FR"/>
        </w:rPr>
      </w:pPr>
      <w:r>
        <w:rPr>
          <w:b/>
        </w:rPr>
        <w:t xml:space="preserve">Répertorié : R. </w:t>
      </w:r>
      <w:r w:rsidRPr="00D423CE">
        <w:rPr>
          <w:b/>
          <w:i/>
        </w:rPr>
        <w:t>c.</w:t>
      </w:r>
      <w:r>
        <w:rPr>
          <w:b/>
        </w:rPr>
        <w:t xml:space="preserve"> </w:t>
      </w:r>
      <w:r w:rsidR="0015774C">
        <w:rPr>
          <w:b/>
        </w:rPr>
        <w:t>Picot</w:t>
      </w:r>
    </w:p>
    <w:p w:rsidR="00F21E25" w:rsidRDefault="00F21E25" w:rsidP="00F21E25">
      <w:pPr>
        <w:spacing w:line="480" w:lineRule="auto"/>
        <w:jc w:val="both"/>
        <w:rPr>
          <w:lang w:val="fr-FR"/>
        </w:rPr>
      </w:pPr>
    </w:p>
    <w:p w:rsidR="00F21E25" w:rsidRDefault="00F21E25" w:rsidP="00F21E25">
      <w:pPr>
        <w:pStyle w:val="SCCSystemYear"/>
        <w:spacing w:line="480" w:lineRule="auto"/>
        <w:jc w:val="both"/>
        <w:rPr>
          <w:lang w:val="fr-FR"/>
        </w:rPr>
      </w:pPr>
      <w:r>
        <w:rPr>
          <w:lang w:val="fr-FR"/>
        </w:rPr>
        <w:t>2012 CSC </w:t>
      </w:r>
      <w:r w:rsidR="00C17B3E">
        <w:rPr>
          <w:lang w:val="fr-FR"/>
        </w:rPr>
        <w:t>54</w:t>
      </w:r>
    </w:p>
    <w:p w:rsidR="00F21E25" w:rsidRDefault="00F21E25" w:rsidP="00F21E25">
      <w:pPr>
        <w:spacing w:line="480" w:lineRule="auto"/>
        <w:jc w:val="both"/>
        <w:rPr>
          <w:lang w:val="fr-FR"/>
        </w:rPr>
      </w:pPr>
    </w:p>
    <w:p w:rsidR="00F21E25" w:rsidRDefault="00F21E25" w:rsidP="00F21E25">
      <w:pPr>
        <w:spacing w:line="480" w:lineRule="auto"/>
        <w:jc w:val="both"/>
        <w:rPr>
          <w:lang w:val="fr-FR"/>
        </w:rPr>
      </w:pPr>
      <w:r>
        <w:t>N</w:t>
      </w:r>
      <w:r>
        <w:rPr>
          <w:vertAlign w:val="superscript"/>
        </w:rPr>
        <w:t>o</w:t>
      </w:r>
      <w:r>
        <w:t xml:space="preserve"> du greffe : </w:t>
      </w:r>
      <w:r>
        <w:rPr>
          <w:lang w:val="fr-FR"/>
        </w:rPr>
        <w:t>34</w:t>
      </w:r>
      <w:r w:rsidR="00C17B3E">
        <w:rPr>
          <w:lang w:val="fr-FR"/>
        </w:rPr>
        <w:t>499</w:t>
      </w:r>
      <w:r>
        <w:rPr>
          <w:lang w:val="fr-FR"/>
        </w:rPr>
        <w:t>.</w:t>
      </w:r>
    </w:p>
    <w:p w:rsidR="00F21E25" w:rsidRDefault="00F21E25" w:rsidP="00F21E25">
      <w:pPr>
        <w:spacing w:line="480" w:lineRule="auto"/>
        <w:jc w:val="both"/>
        <w:rPr>
          <w:lang w:val="fr-FR"/>
        </w:rPr>
      </w:pPr>
    </w:p>
    <w:p w:rsidR="00F21E25" w:rsidRDefault="00F21E25" w:rsidP="00F21E25">
      <w:pPr>
        <w:spacing w:line="480" w:lineRule="auto"/>
        <w:jc w:val="both"/>
        <w:rPr>
          <w:lang w:val="fr-FR"/>
        </w:rPr>
      </w:pPr>
      <w:r>
        <w:rPr>
          <w:lang w:val="fr-FR"/>
        </w:rPr>
        <w:t>2012 : </w:t>
      </w:r>
      <w:r w:rsidR="00C17B3E">
        <w:rPr>
          <w:lang w:val="fr-FR"/>
        </w:rPr>
        <w:t>19 octobre</w:t>
      </w:r>
      <w:r>
        <w:rPr>
          <w:lang w:val="fr-FR"/>
        </w:rPr>
        <w:t>.</w:t>
      </w:r>
    </w:p>
    <w:p w:rsidR="00F21E25" w:rsidRDefault="00F21E25" w:rsidP="00F21E25">
      <w:pPr>
        <w:spacing w:line="480" w:lineRule="auto"/>
        <w:jc w:val="both"/>
        <w:rPr>
          <w:lang w:val="fr-FR"/>
        </w:rPr>
      </w:pPr>
    </w:p>
    <w:p w:rsidR="00F21E25" w:rsidRDefault="00F21E25" w:rsidP="00F21E25">
      <w:pPr>
        <w:jc w:val="both"/>
        <w:rPr>
          <w:lang w:val="fr-FR"/>
        </w:rPr>
      </w:pPr>
      <w:r>
        <w:rPr>
          <w:lang w:val="fr-FR"/>
        </w:rPr>
        <w:t xml:space="preserve">Présents :  </w:t>
      </w:r>
      <w:r w:rsidR="0053018E">
        <w:rPr>
          <w:lang w:val="fr-FR"/>
        </w:rPr>
        <w:t>L</w:t>
      </w:r>
      <w:r>
        <w:rPr>
          <w:lang w:val="fr-FR"/>
        </w:rPr>
        <w:t xml:space="preserve">es juges </w:t>
      </w:r>
      <w:proofErr w:type="spellStart"/>
      <w:r>
        <w:rPr>
          <w:lang w:val="fr-FR"/>
        </w:rPr>
        <w:t>LeBel</w:t>
      </w:r>
      <w:proofErr w:type="spellEnd"/>
      <w:r>
        <w:rPr>
          <w:lang w:val="fr-FR"/>
        </w:rPr>
        <w:t xml:space="preserve">, Fish, </w:t>
      </w:r>
      <w:proofErr w:type="spellStart"/>
      <w:r>
        <w:rPr>
          <w:lang w:val="fr-FR"/>
        </w:rPr>
        <w:t>Rothstein</w:t>
      </w:r>
      <w:proofErr w:type="spellEnd"/>
      <w:r>
        <w:rPr>
          <w:lang w:val="fr-FR"/>
        </w:rPr>
        <w:t xml:space="preserve">, </w:t>
      </w:r>
      <w:r w:rsidR="0053018E">
        <w:rPr>
          <w:lang w:val="fr-FR"/>
        </w:rPr>
        <w:t>C</w:t>
      </w:r>
      <w:r>
        <w:rPr>
          <w:lang w:val="fr-FR"/>
        </w:rPr>
        <w:t>r</w:t>
      </w:r>
      <w:r w:rsidR="0053018E">
        <w:rPr>
          <w:lang w:val="fr-FR"/>
        </w:rPr>
        <w:t>omwell</w:t>
      </w:r>
      <w:r>
        <w:rPr>
          <w:lang w:val="fr-FR"/>
        </w:rPr>
        <w:t xml:space="preserve"> et </w:t>
      </w:r>
      <w:proofErr w:type="spellStart"/>
      <w:r>
        <w:rPr>
          <w:lang w:val="fr-FR"/>
        </w:rPr>
        <w:t>Karakatsanis</w:t>
      </w:r>
      <w:proofErr w:type="spellEnd"/>
      <w:r>
        <w:rPr>
          <w:lang w:val="fr-FR"/>
        </w:rPr>
        <w:t>.</w:t>
      </w:r>
    </w:p>
    <w:p w:rsidR="00F21E25" w:rsidRDefault="00F21E25" w:rsidP="00F21E25">
      <w:pPr>
        <w:spacing w:line="480" w:lineRule="auto"/>
        <w:jc w:val="both"/>
        <w:rPr>
          <w:szCs w:val="24"/>
          <w:lang w:val="fr-FR"/>
        </w:rPr>
      </w:pPr>
    </w:p>
    <w:p w:rsidR="00F21E25" w:rsidRDefault="00F21E25" w:rsidP="00F21E25">
      <w:pPr>
        <w:spacing w:line="480" w:lineRule="auto"/>
        <w:jc w:val="both"/>
        <w:rPr>
          <w:smallCaps/>
          <w:szCs w:val="24"/>
          <w:lang w:val="fr-FR"/>
        </w:rPr>
      </w:pPr>
      <w:r>
        <w:rPr>
          <w:smallCaps/>
          <w:szCs w:val="24"/>
        </w:rPr>
        <w:t xml:space="preserve">en appel de la cour d’appel du </w:t>
      </w:r>
      <w:proofErr w:type="spellStart"/>
      <w:r w:rsidR="00E75D4E">
        <w:rPr>
          <w:smallCaps/>
          <w:szCs w:val="24"/>
        </w:rPr>
        <w:t>nouveau-brunswick</w:t>
      </w:r>
      <w:proofErr w:type="spellEnd"/>
    </w:p>
    <w:p w:rsidR="00F21E25" w:rsidRDefault="00F21E25" w:rsidP="00F21E25">
      <w:pPr>
        <w:pStyle w:val="SCCNormalDoubleSpacing"/>
        <w:rPr>
          <w:szCs w:val="24"/>
        </w:rPr>
      </w:pPr>
    </w:p>
    <w:p w:rsidR="001B283E" w:rsidRPr="00EB2380" w:rsidRDefault="001B283E" w:rsidP="001B283E">
      <w:pPr>
        <w:pStyle w:val="SCCNormalDoubleSpacing"/>
        <w:tabs>
          <w:tab w:val="left" w:pos="1170"/>
        </w:tabs>
        <w:spacing w:after="480"/>
        <w:rPr>
          <w:i/>
          <w:szCs w:val="24"/>
        </w:rPr>
      </w:pPr>
      <w:r>
        <w:rPr>
          <w:szCs w:val="24"/>
        </w:rPr>
        <w:tab/>
      </w:r>
      <w:r w:rsidRPr="00EB2380">
        <w:rPr>
          <w:i/>
          <w:szCs w:val="24"/>
        </w:rPr>
        <w:t xml:space="preserve">Droit criminel — Appels — Preuve — Accusé </w:t>
      </w:r>
      <w:r>
        <w:rPr>
          <w:i/>
          <w:szCs w:val="24"/>
        </w:rPr>
        <w:t xml:space="preserve">acquitté </w:t>
      </w:r>
      <w:r w:rsidRPr="00EB2380">
        <w:rPr>
          <w:i/>
          <w:szCs w:val="24"/>
        </w:rPr>
        <w:t>au procès, sur la base d’un doute raisonnable, de l’accusation d’avoir commis un attentat à la pudeur en 1975 — L’omission du juge du proc</w:t>
      </w:r>
      <w:r>
        <w:rPr>
          <w:i/>
          <w:szCs w:val="24"/>
        </w:rPr>
        <w:t xml:space="preserve">ès de tenir compte d’un témoignage relatif à des questions incidentes </w:t>
      </w:r>
      <w:r>
        <w:rPr>
          <w:i/>
          <w:szCs w:val="24"/>
        </w:rPr>
        <w:lastRenderedPageBreak/>
        <w:t>et qui aurait pu étayer la crédibilité du plaignant ne constitue pas une erreur de droit</w:t>
      </w:r>
      <w:r w:rsidRPr="00EB2380">
        <w:rPr>
          <w:i/>
          <w:szCs w:val="24"/>
        </w:rPr>
        <w:t xml:space="preserve"> — Code</w:t>
      </w:r>
      <w:r>
        <w:rPr>
          <w:i/>
          <w:szCs w:val="24"/>
        </w:rPr>
        <w:t xml:space="preserve"> criminel, L.R.</w:t>
      </w:r>
      <w:r w:rsidRPr="00EB2380">
        <w:rPr>
          <w:i/>
          <w:szCs w:val="24"/>
        </w:rPr>
        <w:t>C. 1985, c</w:t>
      </w:r>
      <w:r>
        <w:rPr>
          <w:i/>
          <w:szCs w:val="24"/>
        </w:rPr>
        <w:t>h</w:t>
      </w:r>
      <w:r w:rsidRPr="00EB2380">
        <w:rPr>
          <w:i/>
          <w:szCs w:val="24"/>
        </w:rPr>
        <w:t>.</w:t>
      </w:r>
      <w:r>
        <w:rPr>
          <w:i/>
          <w:szCs w:val="24"/>
        </w:rPr>
        <w:t> </w:t>
      </w:r>
      <w:r w:rsidRPr="00EB2380">
        <w:rPr>
          <w:i/>
          <w:szCs w:val="24"/>
        </w:rPr>
        <w:t xml:space="preserve">C-46, </w:t>
      </w:r>
      <w:r>
        <w:rPr>
          <w:i/>
          <w:szCs w:val="24"/>
        </w:rPr>
        <w:t>art</w:t>
      </w:r>
      <w:r w:rsidR="00E21CC5">
        <w:rPr>
          <w:i/>
          <w:szCs w:val="24"/>
        </w:rPr>
        <w:t>.</w:t>
      </w:r>
      <w:r>
        <w:rPr>
          <w:i/>
          <w:szCs w:val="24"/>
        </w:rPr>
        <w:t> </w:t>
      </w:r>
      <w:r w:rsidRPr="00EB2380">
        <w:rPr>
          <w:i/>
          <w:szCs w:val="24"/>
        </w:rPr>
        <w:t>676(1)a).</w:t>
      </w:r>
    </w:p>
    <w:p w:rsidR="004A4EDE" w:rsidRDefault="004A4EDE" w:rsidP="004A4EDE">
      <w:pPr>
        <w:pStyle w:val="SCCNormalDoubleSpacing"/>
        <w:tabs>
          <w:tab w:val="left" w:pos="1170"/>
        </w:tabs>
        <w:spacing w:after="480"/>
        <w:rPr>
          <w:lang w:val="fr-FR"/>
        </w:rPr>
      </w:pPr>
      <w:r>
        <w:tab/>
        <w:t xml:space="preserve">POURVOI contre un arrêt de la Cour d’appel du Nouveau-Brunswick </w:t>
      </w:r>
      <w:r>
        <w:rPr>
          <w:lang w:val="fr-FR"/>
        </w:rPr>
        <w:t xml:space="preserve">(les juges Richard, Bell et </w:t>
      </w:r>
      <w:proofErr w:type="spellStart"/>
      <w:r>
        <w:rPr>
          <w:lang w:val="fr-FR"/>
        </w:rPr>
        <w:t>Quigg</w:t>
      </w:r>
      <w:proofErr w:type="spellEnd"/>
      <w:r>
        <w:rPr>
          <w:lang w:val="fr-FR"/>
        </w:rPr>
        <w:t xml:space="preserve">), </w:t>
      </w:r>
      <w:r>
        <w:t xml:space="preserve">2011 NBCA 70, </w:t>
      </w:r>
      <w:r w:rsidR="00E21CC5">
        <w:t xml:space="preserve">395 </w:t>
      </w:r>
      <w:r w:rsidR="00180E33">
        <w:t>R.N.-B.</w:t>
      </w:r>
      <w:r w:rsidR="00E21CC5">
        <w:t xml:space="preserve"> (2</w:t>
      </w:r>
      <w:r w:rsidR="00180E33" w:rsidRPr="00180E33">
        <w:rPr>
          <w:vertAlign w:val="superscript"/>
        </w:rPr>
        <w:t>e</w:t>
      </w:r>
      <w:r w:rsidR="00E21CC5">
        <w:t xml:space="preserve">) 29, </w:t>
      </w:r>
      <w:r>
        <w:t xml:space="preserve">[2011] </w:t>
      </w:r>
      <w:r w:rsidR="00E21CC5">
        <w:t>A.N.-B.</w:t>
      </w:r>
      <w:r>
        <w:t xml:space="preserve"> </w:t>
      </w:r>
      <w:r w:rsidR="00E21CC5">
        <w:t>n</w:t>
      </w:r>
      <w:r w:rsidR="00E21CC5" w:rsidRPr="00E21CC5">
        <w:rPr>
          <w:vertAlign w:val="superscript"/>
        </w:rPr>
        <w:t>o</w:t>
      </w:r>
      <w:r>
        <w:t xml:space="preserve"> 516 (QL), </w:t>
      </w:r>
      <w:r w:rsidR="00E21CC5">
        <w:t xml:space="preserve">2011 </w:t>
      </w:r>
      <w:proofErr w:type="spellStart"/>
      <w:r w:rsidR="00E21CC5">
        <w:t>CarswellNB</w:t>
      </w:r>
      <w:proofErr w:type="spellEnd"/>
      <w:r w:rsidR="00E21CC5">
        <w:t xml:space="preserve"> 807, </w:t>
      </w:r>
      <w:r>
        <w:t>qui a écarté l’acquittement de l’accusé et ordonné la tenue d’un nouveau procès à l’égard d’une accusation d’attentat à la pudeur.  Pourvoi accueilli.</w:t>
      </w:r>
    </w:p>
    <w:p w:rsidR="00F21E25" w:rsidRDefault="00F21E25" w:rsidP="00F21E25">
      <w:pPr>
        <w:pStyle w:val="SCCNormalDoubleSpacing"/>
        <w:tabs>
          <w:tab w:val="left" w:pos="1170"/>
        </w:tabs>
        <w:spacing w:after="480"/>
        <w:rPr>
          <w:rStyle w:val="SCCCounselPartyRoleChar"/>
          <w:lang w:val="fr-FR"/>
        </w:rPr>
      </w:pPr>
      <w:r>
        <w:rPr>
          <w:rStyle w:val="SCCCounselNameChar"/>
          <w:lang w:val="fr-FR"/>
        </w:rPr>
        <w:tab/>
      </w:r>
      <w:r w:rsidR="008C23EF">
        <w:rPr>
          <w:rStyle w:val="SCCCounselNameChar"/>
          <w:lang w:val="fr-FR"/>
        </w:rPr>
        <w:t>Charles M. Gibson</w:t>
      </w:r>
      <w:r w:rsidR="00D02491">
        <w:rPr>
          <w:rStyle w:val="SCCCounselNameChar"/>
          <w:i w:val="0"/>
          <w:lang w:val="fr-FR"/>
        </w:rPr>
        <w:t xml:space="preserve"> et</w:t>
      </w:r>
      <w:r w:rsidR="008C23EF" w:rsidRPr="008C23EF">
        <w:rPr>
          <w:rStyle w:val="SCCCounselNameChar"/>
          <w:i w:val="0"/>
          <w:lang w:val="fr-FR"/>
        </w:rPr>
        <w:t xml:space="preserve"> </w:t>
      </w:r>
      <w:r w:rsidR="008C23EF">
        <w:rPr>
          <w:rStyle w:val="SCCCounselNameChar"/>
          <w:lang w:val="fr-FR"/>
        </w:rPr>
        <w:t>Ian B. Houle</w:t>
      </w:r>
      <w:r>
        <w:rPr>
          <w:rStyle w:val="SCCCounselPartyRoleChar"/>
          <w:lang w:val="fr-FR"/>
        </w:rPr>
        <w:t xml:space="preserve">, </w:t>
      </w:r>
      <w:r>
        <w:rPr>
          <w:rStyle w:val="SCCCounselPartyRoleChar"/>
        </w:rPr>
        <w:t>pour l’appelant</w:t>
      </w:r>
      <w:r>
        <w:rPr>
          <w:rStyle w:val="SCCCounselPartyRoleChar"/>
          <w:lang w:val="fr-FR"/>
        </w:rPr>
        <w:t>.</w:t>
      </w:r>
    </w:p>
    <w:p w:rsidR="00F21E25" w:rsidRDefault="00F21E25" w:rsidP="00F21E25">
      <w:pPr>
        <w:pStyle w:val="SCCNormalDoubleSpacing"/>
        <w:tabs>
          <w:tab w:val="left" w:pos="1170"/>
        </w:tabs>
        <w:spacing w:after="480"/>
        <w:rPr>
          <w:rStyle w:val="SCCCounselPartyRoleChar"/>
          <w:lang w:val="fr-FR"/>
        </w:rPr>
      </w:pPr>
      <w:r>
        <w:rPr>
          <w:rStyle w:val="SCCCounselPartyRoleChar"/>
          <w:lang w:val="fr-FR"/>
        </w:rPr>
        <w:tab/>
      </w:r>
      <w:r w:rsidR="008C23EF" w:rsidRPr="008C23EF">
        <w:rPr>
          <w:rStyle w:val="SCCCounselPartyRoleChar"/>
          <w:i/>
          <w:lang w:val="fr-FR"/>
        </w:rPr>
        <w:t>François Doucet</w:t>
      </w:r>
      <w:r w:rsidR="008C23EF">
        <w:rPr>
          <w:rStyle w:val="SCCCounselPartyRoleChar"/>
          <w:lang w:val="fr-FR"/>
        </w:rPr>
        <w:t xml:space="preserve">, </w:t>
      </w:r>
      <w:proofErr w:type="gramStart"/>
      <w:r w:rsidR="008C23EF" w:rsidRPr="008C23EF">
        <w:rPr>
          <w:rStyle w:val="SCCCounselPartyRoleChar"/>
          <w:i/>
          <w:lang w:val="fr-FR"/>
        </w:rPr>
        <w:t>c.r.</w:t>
      </w:r>
      <w:r w:rsidR="008C23EF">
        <w:rPr>
          <w:rStyle w:val="SCCCounselPartyRoleChar"/>
          <w:lang w:val="fr-FR"/>
        </w:rPr>
        <w:t>,</w:t>
      </w:r>
      <w:proofErr w:type="gramEnd"/>
      <w:r w:rsidR="008C23EF">
        <w:rPr>
          <w:rStyle w:val="SCCCounselPartyRoleChar"/>
          <w:lang w:val="fr-FR"/>
        </w:rPr>
        <w:t xml:space="preserve"> et </w:t>
      </w:r>
      <w:r w:rsidR="008C23EF" w:rsidRPr="008C23EF">
        <w:rPr>
          <w:rStyle w:val="SCCCounselPartyRoleChar"/>
          <w:i/>
          <w:lang w:val="fr-FR"/>
        </w:rPr>
        <w:t>Pierre F. Roussel</w:t>
      </w:r>
      <w:r w:rsidR="008C23EF">
        <w:rPr>
          <w:rStyle w:val="SCCCounselPartyRoleChar"/>
          <w:lang w:val="fr-FR"/>
        </w:rPr>
        <w:t xml:space="preserve">, </w:t>
      </w:r>
      <w:r w:rsidR="008C23EF" w:rsidRPr="008C23EF">
        <w:rPr>
          <w:rStyle w:val="SCCCounselPartyRoleChar"/>
          <w:i/>
          <w:lang w:val="fr-FR"/>
        </w:rPr>
        <w:t>c.r.</w:t>
      </w:r>
      <w:r>
        <w:rPr>
          <w:rStyle w:val="SCCCounselPartyRoleChar"/>
          <w:lang w:val="fr-FR"/>
        </w:rPr>
        <w:t xml:space="preserve">, </w:t>
      </w:r>
      <w:r>
        <w:rPr>
          <w:rStyle w:val="SCCCounselPartyRoleChar"/>
        </w:rPr>
        <w:t>pour l’intimée</w:t>
      </w:r>
      <w:r>
        <w:rPr>
          <w:rStyle w:val="SCCCounselPartyRoleChar"/>
          <w:lang w:val="fr-FR"/>
        </w:rPr>
        <w:t>.</w:t>
      </w:r>
    </w:p>
    <w:p w:rsidR="00F21E25" w:rsidRDefault="00F21E25" w:rsidP="00F21E25">
      <w:pPr>
        <w:pStyle w:val="SCCNormalDoubleSpacing"/>
        <w:tabs>
          <w:tab w:val="left" w:pos="1170"/>
        </w:tabs>
        <w:spacing w:after="480"/>
        <w:rPr>
          <w:szCs w:val="24"/>
        </w:rPr>
      </w:pPr>
      <w:r>
        <w:rPr>
          <w:szCs w:val="24"/>
        </w:rPr>
        <w:tab/>
      </w:r>
      <w:r w:rsidR="00DD2122">
        <w:rPr>
          <w:szCs w:val="24"/>
        </w:rPr>
        <w:t xml:space="preserve">Le jugement de la Cour a été rendu oralement par </w:t>
      </w:r>
    </w:p>
    <w:p w:rsidR="00F21E25" w:rsidRPr="00774E06" w:rsidRDefault="007E0ED9" w:rsidP="00F21E25">
      <w:pPr>
        <w:pStyle w:val="ParaNoNdepar-AltN"/>
        <w:tabs>
          <w:tab w:val="clear" w:pos="1512"/>
          <w:tab w:val="num" w:pos="1152"/>
        </w:tabs>
        <w:ind w:left="0"/>
        <w:rPr>
          <w:i/>
          <w:lang w:val="fr-FR"/>
        </w:rPr>
      </w:pPr>
      <w:r w:rsidRPr="007E0ED9">
        <w:rPr>
          <w:smallCaps/>
          <w:lang w:val="fr-CA"/>
        </w:rPr>
        <w:t>Le juge LeBel</w:t>
      </w:r>
      <w:r w:rsidRPr="007E0ED9">
        <w:rPr>
          <w:lang w:val="fr-CA"/>
        </w:rPr>
        <w:t xml:space="preserve"> — Nous sommes d’accord avec le juge Richard, dissident en Cour d’appel, pour dire que le juge de première instance avait acquitté l’accusé sur la base d’un doute raisonnable et qu’il n’avait commis aucune erreur de droit déterminante en concluant ainsi. Pour ces motifs, nous accueillons le pourvoi de l’appelant Picot, nous cassons l’arrêt de la Cour d’appel du Nouveau-Brunswick ordonnant un nouveau procès et nous rétablissons le verdict d’acquittement de l’appelant prononcé par le juge Ouellette de la Cour du Banc de la Reine du Nouveau-Brunswick.</w:t>
      </w:r>
    </w:p>
    <w:p w:rsidR="00F21E25" w:rsidRPr="00774E06" w:rsidRDefault="00F21E25" w:rsidP="00F21E25">
      <w:pPr>
        <w:pStyle w:val="ParaNoNdepar-AltN"/>
        <w:numPr>
          <w:ilvl w:val="0"/>
          <w:numId w:val="0"/>
        </w:numPr>
        <w:tabs>
          <w:tab w:val="left" w:pos="1170"/>
        </w:tabs>
        <w:rPr>
          <w:rStyle w:val="SCCCounselPartyRoleChar"/>
          <w:i/>
          <w:lang w:val="fr-FR"/>
        </w:rPr>
      </w:pPr>
      <w:r w:rsidRPr="00774E06">
        <w:rPr>
          <w:i/>
          <w:lang w:val="fr-FR"/>
        </w:rPr>
        <w:tab/>
      </w:r>
      <w:r w:rsidRPr="000E2D69">
        <w:rPr>
          <w:i/>
          <w:lang w:val="fr-CA"/>
        </w:rPr>
        <w:t>Jugement en conséquence</w:t>
      </w:r>
      <w:r w:rsidRPr="00E120C4">
        <w:rPr>
          <w:i/>
          <w:lang w:val="fr-CA"/>
        </w:rPr>
        <w:t>.</w:t>
      </w:r>
    </w:p>
    <w:p w:rsidR="00F21E25" w:rsidRPr="004B29F7" w:rsidRDefault="00F21E25" w:rsidP="00F21E25">
      <w:pPr>
        <w:pStyle w:val="SCCNormalDoubleSpacing"/>
        <w:tabs>
          <w:tab w:val="left" w:pos="1170"/>
        </w:tabs>
        <w:spacing w:after="480"/>
      </w:pPr>
      <w:r>
        <w:rPr>
          <w:lang w:val="fr-FR"/>
        </w:rPr>
        <w:lastRenderedPageBreak/>
        <w:tab/>
      </w:r>
      <w:r w:rsidRPr="004B29F7">
        <w:rPr>
          <w:i/>
        </w:rPr>
        <w:t>Procureur</w:t>
      </w:r>
      <w:r w:rsidR="006D2B09">
        <w:rPr>
          <w:i/>
        </w:rPr>
        <w:t>s</w:t>
      </w:r>
      <w:r w:rsidRPr="004B29F7">
        <w:rPr>
          <w:i/>
        </w:rPr>
        <w:t xml:space="preserve"> de l’appelant : </w:t>
      </w:r>
      <w:r w:rsidR="006D2B09">
        <w:rPr>
          <w:i/>
        </w:rPr>
        <w:t xml:space="preserve">Vincent </w:t>
      </w:r>
      <w:proofErr w:type="spellStart"/>
      <w:r w:rsidR="006D2B09">
        <w:rPr>
          <w:i/>
        </w:rPr>
        <w:t>Dagenais</w:t>
      </w:r>
      <w:proofErr w:type="spellEnd"/>
      <w:r w:rsidR="006D2B09">
        <w:rPr>
          <w:i/>
        </w:rPr>
        <w:t xml:space="preserve"> Gibson</w:t>
      </w:r>
      <w:r w:rsidRPr="004B29F7">
        <w:rPr>
          <w:i/>
        </w:rPr>
        <w:t xml:space="preserve">, </w:t>
      </w:r>
      <w:r w:rsidR="006D2B09">
        <w:rPr>
          <w:i/>
        </w:rPr>
        <w:t>Ottawa</w:t>
      </w:r>
      <w:r w:rsidRPr="004B29F7">
        <w:rPr>
          <w:i/>
        </w:rPr>
        <w:t>.</w:t>
      </w:r>
    </w:p>
    <w:p w:rsidR="00F21E25" w:rsidRPr="006102A9" w:rsidRDefault="00F21E25" w:rsidP="00F21E25">
      <w:pPr>
        <w:pStyle w:val="SCCNormalDoubleSpacing"/>
        <w:tabs>
          <w:tab w:val="left" w:pos="1170"/>
        </w:tabs>
        <w:spacing w:after="480"/>
        <w:rPr>
          <w:i/>
        </w:rPr>
      </w:pPr>
      <w:r w:rsidRPr="004B29F7">
        <w:tab/>
      </w:r>
      <w:r w:rsidRPr="0045555D">
        <w:rPr>
          <w:i/>
        </w:rPr>
        <w:t xml:space="preserve">Procureur de l’intimée : Procureur </w:t>
      </w:r>
      <w:r>
        <w:rPr>
          <w:i/>
        </w:rPr>
        <w:t>géné</w:t>
      </w:r>
      <w:r w:rsidRPr="0045555D">
        <w:rPr>
          <w:i/>
        </w:rPr>
        <w:t xml:space="preserve">ral du </w:t>
      </w:r>
      <w:r w:rsidR="00645CF3">
        <w:rPr>
          <w:i/>
        </w:rPr>
        <w:t>Nouveau-Brunswick</w:t>
      </w:r>
      <w:r w:rsidRPr="0045555D">
        <w:rPr>
          <w:i/>
        </w:rPr>
        <w:t xml:space="preserve">, </w:t>
      </w:r>
      <w:r w:rsidR="00645CF3">
        <w:rPr>
          <w:i/>
        </w:rPr>
        <w:t>Campbellton</w:t>
      </w:r>
      <w:r w:rsidRPr="0045555D">
        <w:rPr>
          <w:i/>
        </w:rPr>
        <w:t>.</w:t>
      </w:r>
    </w:p>
    <w:p w:rsidR="00E005E9" w:rsidRDefault="00E005E9"/>
    <w:sectPr w:rsidR="00E005E9" w:rsidSect="00693F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C0" w:rsidRDefault="008B6FC0" w:rsidP="000B50B2">
      <w:r>
        <w:separator/>
      </w:r>
    </w:p>
  </w:endnote>
  <w:endnote w:type="continuationSeparator" w:id="0">
    <w:p w:rsidR="008B6FC0" w:rsidRDefault="008B6FC0" w:rsidP="000B5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0" w:rsidRDefault="008B6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0" w:rsidRDefault="008B6F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0" w:rsidRDefault="008B6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C0" w:rsidRDefault="008B6FC0" w:rsidP="000B50B2">
      <w:r>
        <w:separator/>
      </w:r>
    </w:p>
  </w:footnote>
  <w:footnote w:type="continuationSeparator" w:id="0">
    <w:p w:rsidR="008B6FC0" w:rsidRDefault="008B6FC0" w:rsidP="000B5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0" w:rsidRDefault="008B6F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32"/>
      <w:docPartObj>
        <w:docPartGallery w:val="Page Numbers (Top of Page)"/>
        <w:docPartUnique/>
      </w:docPartObj>
    </w:sdtPr>
    <w:sdtContent>
      <w:p w:rsidR="008B6FC0" w:rsidRDefault="008B6FC0">
        <w:pPr>
          <w:pStyle w:val="Header"/>
          <w:jc w:val="center"/>
        </w:pPr>
        <w:r>
          <w:t xml:space="preserve">- </w:t>
        </w:r>
        <w:fldSimple w:instr=" PAGE   \* MERGEFORMAT ">
          <w:r w:rsidR="002D4E92">
            <w:rPr>
              <w:noProof/>
            </w:rPr>
            <w:t>2</w:t>
          </w:r>
        </w:fldSimple>
        <w:r>
          <w:t xml:space="preserve"> -</w:t>
        </w:r>
      </w:p>
    </w:sdtContent>
  </w:sdt>
  <w:p w:rsidR="008B6FC0" w:rsidRDefault="008B6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0" w:rsidRDefault="008B6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rsids>
    <w:rsidRoot w:val="00F21E25"/>
    <w:rsid w:val="000A767C"/>
    <w:rsid w:val="000B50B2"/>
    <w:rsid w:val="00145655"/>
    <w:rsid w:val="00150E8F"/>
    <w:rsid w:val="0015774C"/>
    <w:rsid w:val="00180E33"/>
    <w:rsid w:val="001B283E"/>
    <w:rsid w:val="001E54E4"/>
    <w:rsid w:val="00211875"/>
    <w:rsid w:val="00217496"/>
    <w:rsid w:val="00293A64"/>
    <w:rsid w:val="00295F78"/>
    <w:rsid w:val="002A0198"/>
    <w:rsid w:val="002D4E92"/>
    <w:rsid w:val="0030585A"/>
    <w:rsid w:val="00406986"/>
    <w:rsid w:val="00432FF2"/>
    <w:rsid w:val="004A4EDE"/>
    <w:rsid w:val="0053018E"/>
    <w:rsid w:val="005C73DF"/>
    <w:rsid w:val="00620509"/>
    <w:rsid w:val="0064473E"/>
    <w:rsid w:val="00645CF3"/>
    <w:rsid w:val="00693FF2"/>
    <w:rsid w:val="00697D41"/>
    <w:rsid w:val="006B20A1"/>
    <w:rsid w:val="006D2B09"/>
    <w:rsid w:val="007E0ED9"/>
    <w:rsid w:val="00825940"/>
    <w:rsid w:val="008A660E"/>
    <w:rsid w:val="008B221D"/>
    <w:rsid w:val="008B6FC0"/>
    <w:rsid w:val="008C23EF"/>
    <w:rsid w:val="008E6D14"/>
    <w:rsid w:val="00A4533B"/>
    <w:rsid w:val="00A643D4"/>
    <w:rsid w:val="00B81720"/>
    <w:rsid w:val="00C078BF"/>
    <w:rsid w:val="00C17B3E"/>
    <w:rsid w:val="00C55D7F"/>
    <w:rsid w:val="00CB54FB"/>
    <w:rsid w:val="00D02491"/>
    <w:rsid w:val="00DD2122"/>
    <w:rsid w:val="00DE0B40"/>
    <w:rsid w:val="00E005E9"/>
    <w:rsid w:val="00E21CC5"/>
    <w:rsid w:val="00E23DE9"/>
    <w:rsid w:val="00E24A9F"/>
    <w:rsid w:val="00E75D4E"/>
    <w:rsid w:val="00EE3FC6"/>
    <w:rsid w:val="00F1312C"/>
    <w:rsid w:val="00F21E25"/>
    <w:rsid w:val="00F63E92"/>
    <w:rsid w:val="00F66EF0"/>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25"/>
    <w:rPr>
      <w:sz w:val="24"/>
      <w:lang w:val="fr-CA"/>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SCCNormalDoubleSpacingChar">
    <w:name w:val="SCC.Normal.DoubleSpacing Char"/>
    <w:basedOn w:val="DefaultParagraphFont"/>
    <w:link w:val="SCCNormalDoubleSpacing"/>
    <w:locked/>
    <w:rsid w:val="00F21E25"/>
    <w:rPr>
      <w:sz w:val="24"/>
      <w:lang w:val="fr-CA"/>
    </w:rPr>
  </w:style>
  <w:style w:type="paragraph" w:customStyle="1" w:styleId="SCCNormalDoubleSpacing">
    <w:name w:val="SCC.Normal.DoubleSpacing"/>
    <w:basedOn w:val="Normal"/>
    <w:link w:val="SCCNormalDoubleSpacingChar"/>
    <w:rsid w:val="00F21E25"/>
    <w:pPr>
      <w:spacing w:line="480" w:lineRule="auto"/>
      <w:jc w:val="both"/>
    </w:pPr>
  </w:style>
  <w:style w:type="character" w:customStyle="1" w:styleId="SCCLsocPartyChar">
    <w:name w:val="SCC.Lsoc.Party Char"/>
    <w:basedOn w:val="DefaultParagraphFont"/>
    <w:link w:val="SCCLsocParty"/>
    <w:locked/>
    <w:rsid w:val="00F21E25"/>
    <w:rPr>
      <w:b/>
      <w:sz w:val="24"/>
      <w:lang w:val="fr-CA"/>
    </w:rPr>
  </w:style>
  <w:style w:type="paragraph" w:customStyle="1" w:styleId="SCCLsocParty">
    <w:name w:val="SCC.Lsoc.Party"/>
    <w:basedOn w:val="Normal"/>
    <w:next w:val="Normal"/>
    <w:link w:val="SCCLsocPartyChar"/>
    <w:rsid w:val="00F21E25"/>
    <w:pPr>
      <w:jc w:val="both"/>
    </w:pPr>
    <w:rPr>
      <w:b/>
    </w:rPr>
  </w:style>
  <w:style w:type="character" w:customStyle="1" w:styleId="SCCLsocVersusChar">
    <w:name w:val="SCC.Lsoc.Versus Char"/>
    <w:basedOn w:val="DefaultParagraphFont"/>
    <w:link w:val="SCCLsocVersus"/>
    <w:locked/>
    <w:rsid w:val="00F21E25"/>
    <w:rPr>
      <w:i/>
      <w:sz w:val="24"/>
      <w:lang w:val="fr-CA"/>
    </w:rPr>
  </w:style>
  <w:style w:type="paragraph" w:customStyle="1" w:styleId="SCCLsocVersus">
    <w:name w:val="SCC.Lsoc.Versus"/>
    <w:basedOn w:val="Normal"/>
    <w:next w:val="Normal"/>
    <w:link w:val="SCCLsocVersusChar"/>
    <w:rsid w:val="00F21E25"/>
    <w:rPr>
      <w:i/>
    </w:rPr>
  </w:style>
  <w:style w:type="character" w:customStyle="1" w:styleId="SCCRespondentForRunningHeadChar">
    <w:name w:val="SCC.RespondentForRunningHead Char"/>
    <w:basedOn w:val="DefaultParagraphFont"/>
    <w:link w:val="SCCRespondentForRunningHead"/>
    <w:locked/>
    <w:rsid w:val="00F21E25"/>
    <w:rPr>
      <w:smallCaps/>
      <w:sz w:val="24"/>
      <w:lang w:val="fr-CA"/>
    </w:rPr>
  </w:style>
  <w:style w:type="paragraph" w:customStyle="1" w:styleId="SCCRespondentForRunningHead">
    <w:name w:val="SCC.RespondentForRunningHead"/>
    <w:basedOn w:val="Normal"/>
    <w:next w:val="Normal"/>
    <w:link w:val="SCCRespondentForRunningHeadChar"/>
    <w:rsid w:val="00F21E25"/>
    <w:rPr>
      <w:smallCaps/>
    </w:rPr>
  </w:style>
  <w:style w:type="character" w:customStyle="1" w:styleId="SCCSystemYearChar">
    <w:name w:val="SCC.SystemYear Char"/>
    <w:basedOn w:val="DefaultParagraphFont"/>
    <w:link w:val="SCCSystemYear"/>
    <w:locked/>
    <w:rsid w:val="00F21E25"/>
    <w:rPr>
      <w:b/>
      <w:sz w:val="24"/>
      <w:lang w:val="fr-CA"/>
    </w:rPr>
  </w:style>
  <w:style w:type="paragraph" w:customStyle="1" w:styleId="SCCSystemYear">
    <w:name w:val="SCC.SystemYear"/>
    <w:basedOn w:val="Normal"/>
    <w:next w:val="Normal"/>
    <w:link w:val="SCCSystemYearChar"/>
    <w:rsid w:val="00F21E25"/>
    <w:rPr>
      <w:b/>
    </w:rPr>
  </w:style>
  <w:style w:type="character" w:customStyle="1" w:styleId="SCCCounselNameChar">
    <w:name w:val="SCC.CounselName Char"/>
    <w:basedOn w:val="SCCNormalDoubleSpacingChar"/>
    <w:link w:val="SCCCounselName"/>
    <w:locked/>
    <w:rsid w:val="00F21E25"/>
    <w:rPr>
      <w:i/>
    </w:rPr>
  </w:style>
  <w:style w:type="paragraph" w:customStyle="1" w:styleId="SCCCounselName">
    <w:name w:val="SCC.CounselName"/>
    <w:basedOn w:val="SCCNormalDoubleSpacing"/>
    <w:next w:val="SCCNormalDoubleSpacing"/>
    <w:link w:val="SCCCounselNameChar"/>
    <w:rsid w:val="00F21E25"/>
    <w:rPr>
      <w:i/>
    </w:rPr>
  </w:style>
  <w:style w:type="character" w:customStyle="1" w:styleId="SCCCounselPartyRoleChar">
    <w:name w:val="SCC.CounselPartyRole Char"/>
    <w:basedOn w:val="SCCNormalDoubleSpacingChar"/>
    <w:link w:val="SCCCounselPartyRole"/>
    <w:locked/>
    <w:rsid w:val="00F21E25"/>
  </w:style>
  <w:style w:type="paragraph" w:customStyle="1" w:styleId="SCCCounselPartyRole">
    <w:name w:val="SCC.CounselPartyRole"/>
    <w:basedOn w:val="SCCNormalDoubleSpacing"/>
    <w:next w:val="SCCNormalDoubleSpacing"/>
    <w:link w:val="SCCCounselPartyRoleChar"/>
    <w:rsid w:val="00F21E25"/>
  </w:style>
  <w:style w:type="paragraph" w:customStyle="1" w:styleId="ParaNoNdepar-AltN">
    <w:name w:val="Para. No. / Nº de par. - Alt N"/>
    <w:qFormat/>
    <w:rsid w:val="00F21E25"/>
    <w:pPr>
      <w:numPr>
        <w:numId w:val="1"/>
      </w:numPr>
      <w:spacing w:before="480" w:after="480" w:line="480" w:lineRule="auto"/>
      <w:jc w:val="both"/>
    </w:pPr>
    <w:rPr>
      <w:rFonts w:eastAsiaTheme="minorEastAsia" w:cstheme="minorBidi"/>
      <w:sz w:val="24"/>
      <w:szCs w:val="22"/>
      <w:lang w:eastAsia="en-US"/>
    </w:rPr>
  </w:style>
  <w:style w:type="paragraph" w:styleId="Header">
    <w:name w:val="header"/>
    <w:basedOn w:val="Normal"/>
    <w:link w:val="HeaderChar"/>
    <w:uiPriority w:val="99"/>
    <w:unhideWhenUsed/>
    <w:rsid w:val="00F21E25"/>
    <w:pPr>
      <w:tabs>
        <w:tab w:val="center" w:pos="4680"/>
        <w:tab w:val="right" w:pos="9360"/>
      </w:tabs>
    </w:pPr>
  </w:style>
  <w:style w:type="character" w:customStyle="1" w:styleId="HeaderChar">
    <w:name w:val="Header Char"/>
    <w:basedOn w:val="DefaultParagraphFont"/>
    <w:link w:val="Header"/>
    <w:uiPriority w:val="99"/>
    <w:rsid w:val="00F21E25"/>
    <w:rPr>
      <w:sz w:val="24"/>
      <w:lang w:val="fr-CA"/>
    </w:rPr>
  </w:style>
  <w:style w:type="paragraph" w:styleId="Footer">
    <w:name w:val="footer"/>
    <w:basedOn w:val="Normal"/>
    <w:link w:val="FooterChar"/>
    <w:uiPriority w:val="99"/>
    <w:semiHidden/>
    <w:unhideWhenUsed/>
    <w:rsid w:val="00D02491"/>
    <w:pPr>
      <w:tabs>
        <w:tab w:val="center" w:pos="4680"/>
        <w:tab w:val="right" w:pos="9360"/>
      </w:tabs>
    </w:pPr>
  </w:style>
  <w:style w:type="character" w:customStyle="1" w:styleId="FooterChar">
    <w:name w:val="Footer Char"/>
    <w:basedOn w:val="DefaultParagraphFont"/>
    <w:link w:val="Footer"/>
    <w:uiPriority w:val="99"/>
    <w:semiHidden/>
    <w:rsid w:val="00D02491"/>
    <w:rPr>
      <w:sz w:val="24"/>
      <w:lang w:val="fr-CA"/>
    </w:rPr>
  </w:style>
  <w:style w:type="table" w:styleId="TableGrid">
    <w:name w:val="Table Grid"/>
    <w:basedOn w:val="TableNormal"/>
    <w:uiPriority w:val="59"/>
    <w:rsid w:val="00DE0B4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363</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21</cp:revision>
  <cp:lastPrinted>2013-02-21T19:38:00Z</cp:lastPrinted>
  <dcterms:created xsi:type="dcterms:W3CDTF">2012-10-31T14:29:00Z</dcterms:created>
  <dcterms:modified xsi:type="dcterms:W3CDTF">2013-04-09T18:38:00Z</dcterms:modified>
</cp:coreProperties>
</file>