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601" w:rsidRPr="00391736" w:rsidRDefault="00823601" w:rsidP="00823601">
      <w:pPr>
        <w:tabs>
          <w:tab w:val="center" w:pos="4680"/>
          <w:tab w:val="right" w:pos="9360"/>
        </w:tabs>
        <w:jc w:val="center"/>
        <w:rPr>
          <w:rFonts w:eastAsiaTheme="minorHAnsi" w:cstheme="minorBidi"/>
          <w:szCs w:val="24"/>
          <w:lang w:val="fr-CA" w:eastAsia="en-US"/>
        </w:rPr>
      </w:pPr>
      <w:r w:rsidRPr="00391736">
        <w:rPr>
          <w:rFonts w:eastAsiaTheme="minorHAnsi" w:cstheme="minorBidi"/>
          <w:szCs w:val="24"/>
          <w:lang w:val="fr-CA" w:eastAsia="en-US"/>
        </w:rPr>
        <w:object w:dxaOrig="1365" w:dyaOrig="1440">
          <v:shape id="_x0000_i1027" type="#_x0000_t75" style="width:61.8pt;height:64.8pt" o:ole="">
            <v:imagedata r:id="rId8" o:title=""/>
          </v:shape>
          <o:OLEObject Type="Embed" ProgID="Presentations.Drawing.13" ShapeID="_x0000_i1027" DrawAspect="Content" ObjectID="_1436356054" r:id="rId9"/>
        </w:object>
      </w:r>
    </w:p>
    <w:p w:rsidR="00823601" w:rsidRPr="00391736" w:rsidRDefault="00823601" w:rsidP="00823601">
      <w:pPr>
        <w:tabs>
          <w:tab w:val="center" w:pos="4680"/>
          <w:tab w:val="right" w:pos="9360"/>
        </w:tabs>
        <w:rPr>
          <w:rFonts w:eastAsiaTheme="minorHAnsi" w:cstheme="minorBidi"/>
          <w:szCs w:val="24"/>
          <w:lang w:val="fr-CA" w:eastAsia="en-US"/>
        </w:rPr>
      </w:pPr>
    </w:p>
    <w:p w:rsidR="00823601" w:rsidRPr="00391736" w:rsidRDefault="00823601" w:rsidP="00823601">
      <w:pPr>
        <w:jc w:val="center"/>
        <w:rPr>
          <w:rFonts w:eastAsiaTheme="minorHAnsi" w:cstheme="minorBidi"/>
          <w:b/>
          <w:szCs w:val="24"/>
          <w:lang w:val="fr-CA" w:eastAsia="en-US"/>
        </w:rPr>
      </w:pPr>
      <w:r w:rsidRPr="00391736">
        <w:rPr>
          <w:rFonts w:eastAsiaTheme="minorHAnsi" w:cstheme="minorBidi"/>
          <w:b/>
          <w:szCs w:val="24"/>
          <w:lang w:val="fr-CA" w:eastAsia="en-US"/>
        </w:rPr>
        <w:t>COUR SUPRÊME DU CANADA</w:t>
      </w:r>
    </w:p>
    <w:p w:rsidR="00823601" w:rsidRPr="00391736" w:rsidRDefault="00823601" w:rsidP="00823601">
      <w:pPr>
        <w:rPr>
          <w:rFonts w:eastAsiaTheme="minorHAnsi" w:cstheme="minorBidi"/>
          <w:szCs w:val="24"/>
          <w:lang w:val="fr-CA" w:eastAsia="en-US"/>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823601" w:rsidRPr="00391736" w:rsidTr="004B1F24">
        <w:trPr>
          <w:cantSplit/>
        </w:trPr>
        <w:tc>
          <w:tcPr>
            <w:tcW w:w="6768" w:type="dxa"/>
          </w:tcPr>
          <w:p w:rsidR="00823601" w:rsidRPr="00391736" w:rsidRDefault="00823601" w:rsidP="004B1F24">
            <w:pPr>
              <w:rPr>
                <w:lang w:val="fr-CA"/>
              </w:rPr>
            </w:pPr>
            <w:r w:rsidRPr="00391736">
              <w:rPr>
                <w:b/>
                <w:smallCaps/>
                <w:lang w:val="fr-CA"/>
              </w:rPr>
              <w:t>Référence :</w:t>
            </w:r>
            <w:r w:rsidRPr="00391736">
              <w:rPr>
                <w:lang w:val="fr-CA"/>
              </w:rPr>
              <w:t xml:space="preserve"> Institut professionnel de la fonction publique du Canada </w:t>
            </w:r>
            <w:r w:rsidRPr="00391736">
              <w:rPr>
                <w:i/>
                <w:lang w:val="fr-CA"/>
              </w:rPr>
              <w:t>c.</w:t>
            </w:r>
            <w:r w:rsidRPr="00391736">
              <w:rPr>
                <w:lang w:val="fr-CA"/>
              </w:rPr>
              <w:t xml:space="preserve"> Canada (</w:t>
            </w:r>
            <w:r w:rsidRPr="0003412F">
              <w:rPr>
                <w:lang w:val="fr-CA"/>
              </w:rPr>
              <w:t xml:space="preserve">Procureur général), </w:t>
            </w:r>
            <w:r w:rsidRPr="00180731">
              <w:rPr>
                <w:lang w:val="fr-CA"/>
              </w:rPr>
              <w:t>2012 CSC 71, [2012] 3 R.C.S. 660</w:t>
            </w:r>
          </w:p>
        </w:tc>
        <w:tc>
          <w:tcPr>
            <w:tcW w:w="2808" w:type="dxa"/>
          </w:tcPr>
          <w:p w:rsidR="00823601" w:rsidRPr="00391736" w:rsidRDefault="00823601" w:rsidP="004B1F24">
            <w:pPr>
              <w:rPr>
                <w:lang w:val="fr-CA"/>
              </w:rPr>
            </w:pPr>
            <w:r w:rsidRPr="00391736">
              <w:rPr>
                <w:b/>
                <w:smallCaps/>
                <w:lang w:val="fr-CA"/>
              </w:rPr>
              <w:t>Date :</w:t>
            </w:r>
            <w:r w:rsidRPr="00391736">
              <w:rPr>
                <w:lang w:val="fr-CA"/>
              </w:rPr>
              <w:t xml:space="preserve"> 20121219</w:t>
            </w:r>
          </w:p>
          <w:p w:rsidR="00823601" w:rsidRPr="00391736" w:rsidRDefault="00823601" w:rsidP="004B1F24">
            <w:pPr>
              <w:rPr>
                <w:lang w:val="fr-CA"/>
              </w:rPr>
            </w:pPr>
            <w:r w:rsidRPr="00391736">
              <w:rPr>
                <w:b/>
                <w:smallCaps/>
                <w:lang w:val="fr-CA"/>
              </w:rPr>
              <w:t>Dossier :</w:t>
            </w:r>
            <w:r w:rsidRPr="00391736">
              <w:rPr>
                <w:lang w:val="fr-CA"/>
              </w:rPr>
              <w:t xml:space="preserve"> 33968</w:t>
            </w:r>
          </w:p>
        </w:tc>
      </w:tr>
    </w:tbl>
    <w:p w:rsidR="00823601" w:rsidRPr="00391736" w:rsidRDefault="00823601" w:rsidP="00823601">
      <w:pPr>
        <w:rPr>
          <w:rFonts w:eastAsiaTheme="minorHAnsi" w:cstheme="minorBidi"/>
          <w:szCs w:val="24"/>
          <w:lang w:val="fr-CA" w:eastAsia="en-US"/>
        </w:rPr>
      </w:pPr>
    </w:p>
    <w:p w:rsidR="00823601" w:rsidRPr="00391736" w:rsidRDefault="00823601" w:rsidP="00823601">
      <w:pPr>
        <w:rPr>
          <w:rFonts w:eastAsiaTheme="minorHAnsi" w:cstheme="minorBidi"/>
          <w:b/>
          <w:smallCaps/>
          <w:szCs w:val="24"/>
          <w:lang w:val="fr-CA" w:eastAsia="en-US"/>
        </w:rPr>
      </w:pPr>
      <w:r w:rsidRPr="00391736">
        <w:rPr>
          <w:rFonts w:eastAsiaTheme="minorHAnsi" w:cstheme="minorBidi"/>
          <w:b/>
          <w:smallCaps/>
          <w:szCs w:val="24"/>
          <w:lang w:val="fr-CA" w:eastAsia="en-US"/>
        </w:rPr>
        <w:t>Entre :</w:t>
      </w:r>
    </w:p>
    <w:p w:rsidR="00823601" w:rsidRPr="00391736" w:rsidRDefault="00823601" w:rsidP="00823601">
      <w:pPr>
        <w:jc w:val="center"/>
        <w:rPr>
          <w:rFonts w:eastAsiaTheme="minorHAnsi" w:cstheme="minorBidi"/>
          <w:b/>
          <w:szCs w:val="24"/>
          <w:lang w:val="fr-CA" w:eastAsia="en-US"/>
        </w:rPr>
      </w:pPr>
      <w:r w:rsidRPr="00391736">
        <w:rPr>
          <w:rFonts w:eastAsiaTheme="minorHAnsi" w:cstheme="minorBidi"/>
          <w:b/>
          <w:szCs w:val="24"/>
          <w:lang w:val="fr-CA" w:eastAsia="en-US"/>
        </w:rPr>
        <w:t>Institut professionnel de la fonction publique du Canada, Guilde de la Marine Marchande du Canada, Conseil des métiers et du travail des chantiers maritimes du gouvernement fédéral (est), Fraternité internationale des ouvriers en électricité, Association des chefs d’équipes des chantiers maritimes du gouvernement fédéral, Association des employés du Conseil de recherches, Association des gestionnaires financiers de la fonction publique, Association professionnelle des agents du Service extérieur, Conseil des métiers et du travail des chantiers maritimes du gouvernement fédéral (ouest), Association canadienne des professionnels de l’exploitation radio, Association canadienne du contrôle du trafic aérien, Association des professeurs(es) des collèges militaires du Canada et Association nationale des retraités fédéraux</w:t>
      </w:r>
    </w:p>
    <w:p w:rsidR="00823601" w:rsidRPr="00391736" w:rsidRDefault="00823601" w:rsidP="00823601">
      <w:pPr>
        <w:jc w:val="center"/>
        <w:rPr>
          <w:rFonts w:eastAsiaTheme="minorHAnsi" w:cstheme="minorBidi"/>
          <w:szCs w:val="24"/>
          <w:lang w:val="fr-CA" w:eastAsia="en-US"/>
        </w:rPr>
      </w:pPr>
      <w:r w:rsidRPr="00391736">
        <w:rPr>
          <w:rFonts w:eastAsiaTheme="minorHAnsi" w:cstheme="minorBidi"/>
          <w:szCs w:val="24"/>
          <w:lang w:val="fr-CA" w:eastAsia="en-US"/>
        </w:rPr>
        <w:t>Appelants</w:t>
      </w:r>
    </w:p>
    <w:p w:rsidR="00823601" w:rsidRPr="00391736" w:rsidRDefault="00823601" w:rsidP="00823601">
      <w:pPr>
        <w:jc w:val="center"/>
        <w:rPr>
          <w:rFonts w:eastAsiaTheme="minorHAnsi" w:cstheme="minorBidi"/>
          <w:szCs w:val="24"/>
          <w:lang w:val="fr-CA" w:eastAsia="en-US"/>
        </w:rPr>
      </w:pPr>
      <w:proofErr w:type="gramStart"/>
      <w:r w:rsidRPr="00391736">
        <w:rPr>
          <w:rFonts w:eastAsiaTheme="minorHAnsi" w:cstheme="minorBidi"/>
          <w:szCs w:val="24"/>
          <w:lang w:val="fr-CA" w:eastAsia="en-US"/>
        </w:rPr>
        <w:t>et</w:t>
      </w:r>
      <w:proofErr w:type="gramEnd"/>
    </w:p>
    <w:p w:rsidR="00823601" w:rsidRPr="00391736" w:rsidRDefault="00823601" w:rsidP="00823601">
      <w:pPr>
        <w:jc w:val="center"/>
        <w:rPr>
          <w:rFonts w:eastAsiaTheme="minorHAnsi" w:cstheme="minorBidi"/>
          <w:b/>
          <w:szCs w:val="24"/>
          <w:lang w:val="fr-CA" w:eastAsia="en-US"/>
        </w:rPr>
      </w:pPr>
      <w:r w:rsidRPr="00391736">
        <w:rPr>
          <w:rFonts w:eastAsiaTheme="minorHAnsi" w:cstheme="minorBidi"/>
          <w:b/>
          <w:szCs w:val="24"/>
          <w:lang w:val="fr-CA" w:eastAsia="en-US"/>
        </w:rPr>
        <w:t>Procureur général du Canada</w:t>
      </w:r>
    </w:p>
    <w:p w:rsidR="00823601" w:rsidRPr="00391736" w:rsidRDefault="00823601" w:rsidP="00823601">
      <w:pPr>
        <w:jc w:val="center"/>
        <w:rPr>
          <w:rFonts w:eastAsiaTheme="minorHAnsi" w:cstheme="minorBidi"/>
          <w:szCs w:val="24"/>
          <w:lang w:val="fr-CA" w:eastAsia="en-US"/>
        </w:rPr>
      </w:pPr>
      <w:r w:rsidRPr="00391736">
        <w:rPr>
          <w:rFonts w:eastAsiaTheme="minorHAnsi" w:cstheme="minorBidi"/>
          <w:szCs w:val="24"/>
          <w:lang w:val="fr-CA" w:eastAsia="en-US"/>
        </w:rPr>
        <w:t>Intimé</w:t>
      </w:r>
    </w:p>
    <w:p w:rsidR="00823601" w:rsidRPr="00391736" w:rsidRDefault="00823601" w:rsidP="00823601">
      <w:pPr>
        <w:rPr>
          <w:rFonts w:eastAsiaTheme="minorHAnsi" w:cstheme="minorBidi"/>
          <w:b/>
          <w:smallCaps/>
          <w:szCs w:val="24"/>
          <w:lang w:val="fr-CA" w:eastAsia="en-US"/>
        </w:rPr>
      </w:pPr>
      <w:r w:rsidRPr="00391736">
        <w:rPr>
          <w:rFonts w:eastAsiaTheme="minorHAnsi" w:cstheme="minorBidi"/>
          <w:b/>
          <w:smallCaps/>
          <w:szCs w:val="24"/>
          <w:lang w:val="fr-CA" w:eastAsia="en-US"/>
        </w:rPr>
        <w:t>ET ENTRE :</w:t>
      </w:r>
    </w:p>
    <w:p w:rsidR="00823601" w:rsidRPr="00391736" w:rsidRDefault="00823601" w:rsidP="00823601">
      <w:pPr>
        <w:jc w:val="center"/>
        <w:rPr>
          <w:rFonts w:eastAsiaTheme="minorHAnsi" w:cstheme="minorBidi"/>
          <w:b/>
          <w:szCs w:val="24"/>
          <w:lang w:val="fr-CA" w:eastAsia="en-US"/>
        </w:rPr>
      </w:pPr>
      <w:r w:rsidRPr="00391736">
        <w:rPr>
          <w:rFonts w:eastAsiaTheme="minorHAnsi" w:cstheme="minorBidi"/>
          <w:b/>
          <w:szCs w:val="24"/>
          <w:lang w:val="fr-CA" w:eastAsia="en-US"/>
        </w:rPr>
        <w:t>Alliance de la Fonction publique du Canada</w:t>
      </w:r>
    </w:p>
    <w:p w:rsidR="00823601" w:rsidRPr="00391736" w:rsidRDefault="00823601" w:rsidP="00823601">
      <w:pPr>
        <w:jc w:val="center"/>
        <w:rPr>
          <w:rFonts w:eastAsiaTheme="minorHAnsi" w:cstheme="minorBidi"/>
          <w:szCs w:val="24"/>
          <w:lang w:val="fr-CA" w:eastAsia="en-US"/>
        </w:rPr>
      </w:pPr>
      <w:r w:rsidRPr="00391736">
        <w:rPr>
          <w:rFonts w:eastAsiaTheme="minorHAnsi" w:cstheme="minorBidi"/>
          <w:szCs w:val="24"/>
          <w:lang w:val="fr-CA" w:eastAsia="en-US"/>
        </w:rPr>
        <w:t>Appelante</w:t>
      </w:r>
    </w:p>
    <w:p w:rsidR="00823601" w:rsidRPr="00391736" w:rsidRDefault="00823601" w:rsidP="00823601">
      <w:pPr>
        <w:jc w:val="center"/>
        <w:rPr>
          <w:rFonts w:eastAsiaTheme="minorHAnsi" w:cstheme="minorBidi"/>
          <w:szCs w:val="24"/>
          <w:lang w:val="fr-CA" w:eastAsia="en-US"/>
        </w:rPr>
      </w:pPr>
      <w:proofErr w:type="gramStart"/>
      <w:r w:rsidRPr="00391736">
        <w:rPr>
          <w:rFonts w:eastAsiaTheme="minorHAnsi" w:cstheme="minorBidi"/>
          <w:szCs w:val="24"/>
          <w:lang w:val="fr-CA" w:eastAsia="en-US"/>
        </w:rPr>
        <w:t>et</w:t>
      </w:r>
      <w:proofErr w:type="gramEnd"/>
    </w:p>
    <w:p w:rsidR="00823601" w:rsidRPr="00391736" w:rsidRDefault="00823601" w:rsidP="00823601">
      <w:pPr>
        <w:jc w:val="center"/>
        <w:rPr>
          <w:rFonts w:eastAsiaTheme="minorHAnsi" w:cstheme="minorBidi"/>
          <w:b/>
          <w:szCs w:val="24"/>
          <w:lang w:val="fr-CA" w:eastAsia="en-US"/>
        </w:rPr>
      </w:pPr>
      <w:r w:rsidRPr="00391736">
        <w:rPr>
          <w:rFonts w:eastAsiaTheme="minorHAnsi" w:cstheme="minorBidi"/>
          <w:b/>
          <w:szCs w:val="24"/>
          <w:lang w:val="fr-CA" w:eastAsia="en-US"/>
        </w:rPr>
        <w:t>Procureur général du Canada</w:t>
      </w:r>
    </w:p>
    <w:p w:rsidR="00823601" w:rsidRPr="00391736" w:rsidRDefault="00823601" w:rsidP="00823601">
      <w:pPr>
        <w:jc w:val="center"/>
        <w:rPr>
          <w:rFonts w:eastAsiaTheme="minorHAnsi" w:cstheme="minorBidi"/>
          <w:szCs w:val="24"/>
          <w:lang w:val="fr-CA" w:eastAsia="en-US"/>
        </w:rPr>
      </w:pPr>
      <w:r w:rsidRPr="00391736">
        <w:rPr>
          <w:rFonts w:eastAsiaTheme="minorHAnsi" w:cstheme="minorBidi"/>
          <w:szCs w:val="24"/>
          <w:lang w:val="fr-CA" w:eastAsia="en-US"/>
        </w:rPr>
        <w:t>Intimé</w:t>
      </w:r>
    </w:p>
    <w:p w:rsidR="00823601" w:rsidRPr="00391736" w:rsidRDefault="00823601" w:rsidP="00823601">
      <w:pPr>
        <w:rPr>
          <w:rFonts w:eastAsiaTheme="minorHAnsi" w:cstheme="minorBidi"/>
          <w:b/>
          <w:smallCaps/>
          <w:szCs w:val="24"/>
          <w:lang w:val="fr-CA" w:eastAsia="en-US"/>
        </w:rPr>
      </w:pPr>
      <w:r w:rsidRPr="00391736">
        <w:rPr>
          <w:rFonts w:eastAsiaTheme="minorHAnsi" w:cstheme="minorBidi"/>
          <w:b/>
          <w:smallCaps/>
          <w:szCs w:val="24"/>
          <w:lang w:val="fr-CA" w:eastAsia="en-US"/>
        </w:rPr>
        <w:t>ET ENTRE :</w:t>
      </w:r>
    </w:p>
    <w:p w:rsidR="00823601" w:rsidRPr="00391736" w:rsidRDefault="00823601" w:rsidP="00823601">
      <w:pPr>
        <w:jc w:val="center"/>
        <w:rPr>
          <w:rFonts w:eastAsiaTheme="minorHAnsi" w:cstheme="minorBidi"/>
          <w:b/>
          <w:szCs w:val="24"/>
          <w:lang w:val="fr-CA" w:eastAsia="en-US"/>
        </w:rPr>
      </w:pPr>
      <w:r w:rsidRPr="00391736">
        <w:rPr>
          <w:rFonts w:eastAsiaTheme="minorHAnsi" w:cstheme="minorBidi"/>
          <w:b/>
          <w:szCs w:val="24"/>
          <w:lang w:val="fr-CA" w:eastAsia="en-US"/>
        </w:rPr>
        <w:t xml:space="preserve">Association canadienne des pensionnés et rentiers militaires, Association des Membres de la Police Montée du Québec, British Columbia </w:t>
      </w:r>
      <w:proofErr w:type="spellStart"/>
      <w:r w:rsidRPr="00391736">
        <w:rPr>
          <w:rFonts w:eastAsiaTheme="minorHAnsi" w:cstheme="minorBidi"/>
          <w:b/>
          <w:szCs w:val="24"/>
          <w:lang w:val="fr-CA" w:eastAsia="en-US"/>
        </w:rPr>
        <w:t>Mounted</w:t>
      </w:r>
      <w:proofErr w:type="spellEnd"/>
      <w:r w:rsidRPr="00391736">
        <w:rPr>
          <w:rFonts w:eastAsiaTheme="minorHAnsi" w:cstheme="minorBidi"/>
          <w:b/>
          <w:szCs w:val="24"/>
          <w:lang w:val="fr-CA" w:eastAsia="en-US"/>
        </w:rPr>
        <w:t xml:space="preserve"> Police Professional Association, Association de la police montée de l’Ontario et Association canadienne des employés professionnels</w:t>
      </w:r>
    </w:p>
    <w:p w:rsidR="00823601" w:rsidRPr="00391736" w:rsidRDefault="00823601" w:rsidP="00823601">
      <w:pPr>
        <w:jc w:val="center"/>
        <w:rPr>
          <w:rFonts w:eastAsiaTheme="minorHAnsi" w:cstheme="minorBidi"/>
          <w:szCs w:val="24"/>
          <w:lang w:val="fr-CA" w:eastAsia="en-US"/>
        </w:rPr>
      </w:pPr>
      <w:r w:rsidRPr="00391736">
        <w:rPr>
          <w:rFonts w:eastAsiaTheme="minorHAnsi" w:cstheme="minorBidi"/>
          <w:szCs w:val="24"/>
          <w:lang w:val="fr-CA" w:eastAsia="en-US"/>
        </w:rPr>
        <w:t>Appelantes</w:t>
      </w:r>
    </w:p>
    <w:p w:rsidR="00823601" w:rsidRPr="00391736" w:rsidRDefault="00823601" w:rsidP="00823601">
      <w:pPr>
        <w:jc w:val="center"/>
        <w:rPr>
          <w:rFonts w:eastAsiaTheme="minorHAnsi" w:cstheme="minorBidi"/>
          <w:szCs w:val="24"/>
          <w:lang w:val="fr-CA" w:eastAsia="en-US"/>
        </w:rPr>
      </w:pPr>
      <w:proofErr w:type="gramStart"/>
      <w:r w:rsidRPr="00391736">
        <w:rPr>
          <w:rFonts w:eastAsiaTheme="minorHAnsi" w:cstheme="minorBidi"/>
          <w:szCs w:val="24"/>
          <w:lang w:val="fr-CA" w:eastAsia="en-US"/>
        </w:rPr>
        <w:t>et</w:t>
      </w:r>
      <w:proofErr w:type="gramEnd"/>
    </w:p>
    <w:p w:rsidR="00823601" w:rsidRPr="00391736" w:rsidRDefault="00823601" w:rsidP="00823601">
      <w:pPr>
        <w:jc w:val="center"/>
        <w:rPr>
          <w:rFonts w:eastAsiaTheme="minorHAnsi" w:cstheme="minorBidi"/>
          <w:b/>
          <w:szCs w:val="24"/>
          <w:lang w:val="fr-CA" w:eastAsia="en-US"/>
        </w:rPr>
      </w:pPr>
      <w:r w:rsidRPr="00391736">
        <w:rPr>
          <w:rFonts w:eastAsiaTheme="minorHAnsi" w:cstheme="minorBidi"/>
          <w:b/>
          <w:szCs w:val="24"/>
          <w:lang w:val="fr-CA" w:eastAsia="en-US"/>
        </w:rPr>
        <w:t>Procureur général du Canada</w:t>
      </w:r>
    </w:p>
    <w:p w:rsidR="00823601" w:rsidRPr="00391736" w:rsidRDefault="00823601" w:rsidP="00823601">
      <w:pPr>
        <w:jc w:val="center"/>
        <w:rPr>
          <w:rFonts w:eastAsiaTheme="minorHAnsi" w:cstheme="minorBidi"/>
          <w:szCs w:val="24"/>
          <w:lang w:val="fr-CA" w:eastAsia="en-US"/>
        </w:rPr>
      </w:pPr>
      <w:r w:rsidRPr="00391736">
        <w:rPr>
          <w:rFonts w:eastAsiaTheme="minorHAnsi" w:cstheme="minorBidi"/>
          <w:szCs w:val="24"/>
          <w:lang w:val="fr-CA" w:eastAsia="en-US"/>
        </w:rPr>
        <w:t>Intimé</w:t>
      </w:r>
    </w:p>
    <w:p w:rsidR="00823601" w:rsidRPr="00391736" w:rsidRDefault="00823601" w:rsidP="00823601">
      <w:pPr>
        <w:jc w:val="center"/>
        <w:rPr>
          <w:rFonts w:eastAsiaTheme="minorHAnsi" w:cstheme="minorBidi"/>
          <w:szCs w:val="24"/>
          <w:lang w:val="fr-CA" w:eastAsia="en-US"/>
        </w:rPr>
      </w:pPr>
      <w:r w:rsidRPr="00391736">
        <w:rPr>
          <w:rFonts w:eastAsiaTheme="minorHAnsi" w:cstheme="minorBidi"/>
          <w:szCs w:val="24"/>
          <w:lang w:val="fr-CA" w:eastAsia="en-US"/>
        </w:rPr>
        <w:t>- et -</w:t>
      </w:r>
    </w:p>
    <w:p w:rsidR="00823601" w:rsidRPr="00391736" w:rsidRDefault="00823601" w:rsidP="00823601">
      <w:pPr>
        <w:jc w:val="center"/>
        <w:rPr>
          <w:rFonts w:eastAsiaTheme="minorHAnsi" w:cstheme="minorBidi"/>
          <w:b/>
          <w:szCs w:val="24"/>
          <w:lang w:val="fr-CA" w:eastAsia="en-US"/>
        </w:rPr>
      </w:pPr>
      <w:r w:rsidRPr="00391736">
        <w:rPr>
          <w:rFonts w:eastAsiaTheme="minorHAnsi" w:cstheme="minorBidi"/>
          <w:b/>
          <w:szCs w:val="24"/>
          <w:lang w:val="fr-CA" w:eastAsia="en-US"/>
        </w:rPr>
        <w:t>Procureur général de la Colombie-Britannique</w:t>
      </w:r>
    </w:p>
    <w:p w:rsidR="00823601" w:rsidRPr="00391736" w:rsidRDefault="00823601" w:rsidP="00823601">
      <w:pPr>
        <w:jc w:val="center"/>
        <w:rPr>
          <w:rFonts w:eastAsiaTheme="minorHAnsi" w:cstheme="minorBidi"/>
          <w:szCs w:val="24"/>
          <w:lang w:val="fr-CA" w:eastAsia="en-US"/>
        </w:rPr>
      </w:pPr>
      <w:r w:rsidRPr="00391736">
        <w:rPr>
          <w:rFonts w:eastAsiaTheme="minorHAnsi" w:cstheme="minorBidi"/>
          <w:szCs w:val="24"/>
          <w:lang w:val="fr-CA" w:eastAsia="en-US"/>
        </w:rPr>
        <w:t>Intervenant</w:t>
      </w:r>
    </w:p>
    <w:p w:rsidR="00823601" w:rsidRPr="00391736" w:rsidRDefault="00823601" w:rsidP="00823601">
      <w:pPr>
        <w:rPr>
          <w:rFonts w:eastAsiaTheme="minorHAnsi" w:cstheme="minorBidi"/>
          <w:szCs w:val="24"/>
          <w:lang w:val="fr-CA" w:eastAsia="en-US"/>
        </w:rPr>
      </w:pPr>
    </w:p>
    <w:p w:rsidR="00823601" w:rsidRPr="00391736" w:rsidRDefault="00823601" w:rsidP="00823601">
      <w:pPr>
        <w:rPr>
          <w:rFonts w:eastAsiaTheme="minorHAnsi" w:cstheme="minorBidi"/>
          <w:szCs w:val="24"/>
          <w:lang w:val="fr-CA" w:eastAsia="en-US"/>
        </w:rPr>
      </w:pPr>
    </w:p>
    <w:p w:rsidR="00823601" w:rsidRPr="00391736" w:rsidRDefault="00823601" w:rsidP="00823601">
      <w:pPr>
        <w:jc w:val="center"/>
        <w:rPr>
          <w:rFonts w:eastAsiaTheme="minorHAnsi" w:cstheme="minorBidi"/>
          <w:b/>
          <w:smallCaps/>
          <w:szCs w:val="24"/>
          <w:lang w:val="fr-CA" w:eastAsia="en-US"/>
        </w:rPr>
      </w:pPr>
      <w:r w:rsidRPr="00391736">
        <w:rPr>
          <w:rFonts w:eastAsiaTheme="minorHAnsi" w:cstheme="minorBidi"/>
          <w:b/>
          <w:smallCaps/>
          <w:szCs w:val="24"/>
          <w:lang w:val="fr-CA" w:eastAsia="en-US"/>
        </w:rPr>
        <w:t>Traduction française officielle</w:t>
      </w:r>
    </w:p>
    <w:p w:rsidR="00823601" w:rsidRPr="00391736" w:rsidRDefault="00823601" w:rsidP="00823601">
      <w:pPr>
        <w:rPr>
          <w:rFonts w:eastAsiaTheme="minorHAnsi" w:cstheme="minorBidi"/>
          <w:szCs w:val="24"/>
          <w:lang w:val="fr-CA" w:eastAsia="en-US"/>
        </w:rPr>
      </w:pPr>
    </w:p>
    <w:p w:rsidR="00823601" w:rsidRPr="00391736" w:rsidRDefault="00823601" w:rsidP="00823601">
      <w:pPr>
        <w:rPr>
          <w:rFonts w:eastAsiaTheme="minorHAnsi" w:cstheme="minorBidi"/>
          <w:szCs w:val="24"/>
          <w:lang w:val="fr-CA" w:eastAsia="en-US"/>
        </w:rPr>
      </w:pPr>
      <w:r w:rsidRPr="00391736">
        <w:rPr>
          <w:rFonts w:eastAsiaTheme="minorHAnsi" w:cstheme="minorBidi"/>
          <w:b/>
          <w:smallCaps/>
          <w:szCs w:val="24"/>
          <w:lang w:val="fr-CA" w:eastAsia="en-US"/>
        </w:rPr>
        <w:lastRenderedPageBreak/>
        <w:t>Coram :</w:t>
      </w:r>
      <w:r w:rsidRPr="00391736">
        <w:rPr>
          <w:rFonts w:eastAsiaTheme="minorHAnsi" w:cstheme="minorBidi"/>
          <w:szCs w:val="24"/>
          <w:lang w:val="fr-CA" w:eastAsia="en-US"/>
        </w:rPr>
        <w:t xml:space="preserve"> La juge en chef </w:t>
      </w:r>
      <w:proofErr w:type="spellStart"/>
      <w:r w:rsidRPr="00391736">
        <w:rPr>
          <w:rFonts w:eastAsiaTheme="minorHAnsi" w:cstheme="minorBidi"/>
          <w:szCs w:val="24"/>
          <w:lang w:val="fr-CA" w:eastAsia="en-US"/>
        </w:rPr>
        <w:t>McLachlin</w:t>
      </w:r>
      <w:proofErr w:type="spellEnd"/>
      <w:r w:rsidRPr="00391736">
        <w:rPr>
          <w:rFonts w:eastAsiaTheme="minorHAnsi" w:cstheme="minorBidi"/>
          <w:szCs w:val="24"/>
          <w:lang w:val="fr-CA" w:eastAsia="en-US"/>
        </w:rPr>
        <w:t xml:space="preserve"> et les juges </w:t>
      </w:r>
      <w:proofErr w:type="spellStart"/>
      <w:r w:rsidRPr="00391736">
        <w:rPr>
          <w:rFonts w:eastAsiaTheme="minorHAnsi" w:cstheme="minorBidi"/>
          <w:szCs w:val="24"/>
          <w:lang w:val="fr-CA" w:eastAsia="en-US"/>
        </w:rPr>
        <w:t>LeBel</w:t>
      </w:r>
      <w:proofErr w:type="spellEnd"/>
      <w:r w:rsidRPr="00391736">
        <w:rPr>
          <w:rFonts w:eastAsiaTheme="minorHAnsi" w:cstheme="minorBidi"/>
          <w:szCs w:val="24"/>
          <w:lang w:val="fr-CA" w:eastAsia="en-US"/>
        </w:rPr>
        <w:t xml:space="preserve">, Deschamps, Fish, Abella, </w:t>
      </w:r>
      <w:proofErr w:type="spellStart"/>
      <w:r w:rsidRPr="00391736">
        <w:rPr>
          <w:rFonts w:eastAsiaTheme="minorHAnsi" w:cstheme="minorBidi"/>
          <w:szCs w:val="24"/>
          <w:lang w:val="fr-CA" w:eastAsia="en-US"/>
        </w:rPr>
        <w:t>Rothstein</w:t>
      </w:r>
      <w:proofErr w:type="spellEnd"/>
      <w:r w:rsidRPr="00391736">
        <w:rPr>
          <w:rFonts w:eastAsiaTheme="minorHAnsi" w:cstheme="minorBidi"/>
          <w:szCs w:val="24"/>
          <w:lang w:val="fr-CA" w:eastAsia="en-US"/>
        </w:rPr>
        <w:t xml:space="preserve">, Cromwell, </w:t>
      </w:r>
      <w:proofErr w:type="spellStart"/>
      <w:r w:rsidRPr="00391736">
        <w:rPr>
          <w:rFonts w:eastAsiaTheme="minorHAnsi" w:cstheme="minorBidi"/>
          <w:szCs w:val="24"/>
          <w:lang w:val="fr-CA" w:eastAsia="en-US"/>
        </w:rPr>
        <w:t>Moldaver</w:t>
      </w:r>
      <w:proofErr w:type="spellEnd"/>
      <w:r w:rsidRPr="00391736">
        <w:rPr>
          <w:rFonts w:eastAsiaTheme="minorHAnsi" w:cstheme="minorBidi"/>
          <w:szCs w:val="24"/>
          <w:lang w:val="fr-CA" w:eastAsia="en-US"/>
        </w:rPr>
        <w:t xml:space="preserve"> et </w:t>
      </w:r>
      <w:proofErr w:type="spellStart"/>
      <w:r w:rsidRPr="00391736">
        <w:rPr>
          <w:rFonts w:eastAsiaTheme="minorHAnsi" w:cstheme="minorBidi"/>
          <w:szCs w:val="24"/>
          <w:lang w:val="fr-CA" w:eastAsia="en-US"/>
        </w:rPr>
        <w:t>Karakatsanis</w:t>
      </w:r>
      <w:proofErr w:type="spellEnd"/>
    </w:p>
    <w:p w:rsidR="00823601" w:rsidRPr="00391736" w:rsidRDefault="00823601" w:rsidP="00823601">
      <w:pPr>
        <w:rPr>
          <w:rFonts w:eastAsiaTheme="minorHAnsi" w:cstheme="minorBidi"/>
          <w:szCs w:val="24"/>
          <w:lang w:val="fr-CA"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823601" w:rsidRPr="00823601" w:rsidTr="004B1F24">
        <w:trPr>
          <w:cantSplit/>
        </w:trPr>
        <w:tc>
          <w:tcPr>
            <w:tcW w:w="3618" w:type="dxa"/>
          </w:tcPr>
          <w:p w:rsidR="00823601" w:rsidRPr="00391736" w:rsidRDefault="00823601" w:rsidP="004B1F24">
            <w:pPr>
              <w:rPr>
                <w:b/>
                <w:smallCaps/>
                <w:lang w:val="fr-CA"/>
              </w:rPr>
            </w:pPr>
            <w:r w:rsidRPr="00391736">
              <w:rPr>
                <w:b/>
                <w:smallCaps/>
                <w:lang w:val="fr-CA"/>
              </w:rPr>
              <w:t>Motifs de jugement :</w:t>
            </w:r>
          </w:p>
          <w:p w:rsidR="00823601" w:rsidRPr="00391736" w:rsidRDefault="00823601" w:rsidP="004B1F24">
            <w:pPr>
              <w:rPr>
                <w:lang w:val="fr-CA"/>
              </w:rPr>
            </w:pPr>
            <w:r w:rsidRPr="00391736">
              <w:rPr>
                <w:lang w:val="fr-CA"/>
              </w:rPr>
              <w:t>(par. 1 à 165)</w:t>
            </w:r>
          </w:p>
        </w:tc>
        <w:tc>
          <w:tcPr>
            <w:tcW w:w="5958" w:type="dxa"/>
          </w:tcPr>
          <w:p w:rsidR="00823601" w:rsidRPr="00391736" w:rsidRDefault="00823601" w:rsidP="004B1F24">
            <w:pPr>
              <w:rPr>
                <w:lang w:val="fr-CA"/>
              </w:rPr>
            </w:pPr>
            <w:r w:rsidRPr="00391736">
              <w:rPr>
                <w:lang w:val="fr-CA"/>
              </w:rPr>
              <w:t xml:space="preserve">Le juge </w:t>
            </w:r>
            <w:proofErr w:type="spellStart"/>
            <w:r w:rsidRPr="00391736">
              <w:rPr>
                <w:lang w:val="fr-CA"/>
              </w:rPr>
              <w:t>Rothstein</w:t>
            </w:r>
            <w:proofErr w:type="spellEnd"/>
            <w:r w:rsidRPr="00391736">
              <w:rPr>
                <w:lang w:val="fr-CA"/>
              </w:rPr>
              <w:t xml:space="preserve"> (avec l’accord de la juge en chef </w:t>
            </w:r>
            <w:proofErr w:type="spellStart"/>
            <w:r w:rsidRPr="00391736">
              <w:rPr>
                <w:lang w:val="fr-CA"/>
              </w:rPr>
              <w:t>McLachlin</w:t>
            </w:r>
            <w:proofErr w:type="spellEnd"/>
            <w:r w:rsidRPr="00391736">
              <w:rPr>
                <w:lang w:val="fr-CA"/>
              </w:rPr>
              <w:t xml:space="preserve"> et des juges </w:t>
            </w:r>
            <w:proofErr w:type="spellStart"/>
            <w:r w:rsidRPr="00391736">
              <w:rPr>
                <w:lang w:val="fr-CA"/>
              </w:rPr>
              <w:t>LeBel</w:t>
            </w:r>
            <w:proofErr w:type="spellEnd"/>
            <w:r w:rsidRPr="00391736">
              <w:rPr>
                <w:lang w:val="fr-CA"/>
              </w:rPr>
              <w:t xml:space="preserve">, Deschamps, Fish, Abella, Cromwell, </w:t>
            </w:r>
            <w:proofErr w:type="spellStart"/>
            <w:r w:rsidRPr="00391736">
              <w:rPr>
                <w:lang w:val="fr-CA"/>
              </w:rPr>
              <w:t>Moldaver</w:t>
            </w:r>
            <w:proofErr w:type="spellEnd"/>
            <w:r w:rsidRPr="00391736">
              <w:rPr>
                <w:lang w:val="fr-CA"/>
              </w:rPr>
              <w:t xml:space="preserve"> et </w:t>
            </w:r>
            <w:proofErr w:type="spellStart"/>
            <w:r w:rsidRPr="00391736">
              <w:rPr>
                <w:lang w:val="fr-CA"/>
              </w:rPr>
              <w:t>Karakatsanis</w:t>
            </w:r>
            <w:proofErr w:type="spellEnd"/>
            <w:r w:rsidRPr="00391736">
              <w:rPr>
                <w:lang w:val="fr-CA"/>
              </w:rPr>
              <w:t>)</w:t>
            </w:r>
          </w:p>
        </w:tc>
      </w:tr>
    </w:tbl>
    <w:p w:rsidR="00823601" w:rsidRPr="00391736" w:rsidRDefault="00823601" w:rsidP="00823601">
      <w:pPr>
        <w:rPr>
          <w:rFonts w:eastAsiaTheme="minorHAnsi" w:cstheme="minorBidi"/>
          <w:szCs w:val="24"/>
          <w:lang w:val="fr-CA" w:eastAsia="en-US"/>
        </w:rPr>
      </w:pPr>
    </w:p>
    <w:p w:rsidR="00823601" w:rsidRPr="00391736" w:rsidRDefault="00823601" w:rsidP="00823601">
      <w:pPr>
        <w:rPr>
          <w:rFonts w:eastAsiaTheme="minorHAnsi" w:cstheme="minorBidi"/>
          <w:szCs w:val="24"/>
          <w:lang w:val="fr-CA" w:eastAsia="en-US"/>
        </w:rPr>
      </w:pPr>
    </w:p>
    <w:p w:rsidR="00823601" w:rsidRPr="00391736" w:rsidRDefault="00823601" w:rsidP="00823601">
      <w:pPr>
        <w:rPr>
          <w:rFonts w:eastAsiaTheme="minorHAnsi" w:cstheme="minorBidi"/>
          <w:szCs w:val="24"/>
          <w:lang w:val="fr-CA" w:eastAsia="en-US"/>
        </w:rPr>
      </w:pPr>
      <w:r>
        <w:rPr>
          <w:rFonts w:eastAsiaTheme="minorHAnsi" w:cstheme="minorBidi"/>
          <w:noProof/>
          <w:szCs w:val="24"/>
          <w:lang w:val="fr-CA" w:eastAsia="en-US"/>
        </w:rPr>
        <w:pict>
          <v:shapetype id="_x0000_t32" coordsize="21600,21600" o:spt="32" o:oned="t" path="m,l21600,21600e" filled="f">
            <v:path arrowok="t" fillok="f" o:connecttype="none"/>
            <o:lock v:ext="edit" shapetype="t"/>
          </v:shapetype>
          <v:shape id="_x0000_s1028" type="#_x0000_t32" style="position:absolute;margin-left:126.75pt;margin-top:14.5pt;width:197.25pt;height:0;z-index:251658240" o:connectortype="straight"/>
        </w:pict>
      </w:r>
    </w:p>
    <w:p w:rsidR="00823601" w:rsidRPr="0003412F" w:rsidRDefault="00823601" w:rsidP="00823601">
      <w:pPr>
        <w:rPr>
          <w:smallCaps/>
          <w:lang w:val="fr-CA"/>
        </w:rPr>
      </w:pPr>
      <w:r w:rsidRPr="0003412F">
        <w:rPr>
          <w:smallCaps/>
          <w:lang w:val="fr-CA"/>
        </w:rPr>
        <w:br w:type="page"/>
      </w:r>
    </w:p>
    <w:p w:rsidR="00180731" w:rsidRPr="00180731" w:rsidRDefault="00180731" w:rsidP="00180731">
      <w:pPr>
        <w:spacing w:after="720"/>
        <w:jc w:val="both"/>
        <w:rPr>
          <w:lang w:val="fr-CA"/>
        </w:rPr>
      </w:pPr>
      <w:r w:rsidRPr="00180731">
        <w:rPr>
          <w:lang w:val="fr-CA"/>
        </w:rPr>
        <w:lastRenderedPageBreak/>
        <w:t xml:space="preserve">Institut professionnel de la fonction publique du Canada </w:t>
      </w:r>
      <w:r w:rsidRPr="00180731">
        <w:rPr>
          <w:i/>
          <w:lang w:val="fr-CA"/>
        </w:rPr>
        <w:t>c.</w:t>
      </w:r>
      <w:r w:rsidRPr="00180731">
        <w:rPr>
          <w:lang w:val="fr-CA"/>
        </w:rPr>
        <w:t xml:space="preserve"> Canada (Procureur général), 2012 CSC 71, [2012] 3 R.C.S. 660</w:t>
      </w:r>
    </w:p>
    <w:p w:rsidR="00426B03" w:rsidRPr="002037D2" w:rsidRDefault="00181BB2">
      <w:pPr>
        <w:pStyle w:val="SCCLsocParty"/>
        <w:rPr>
          <w:lang w:val="fr-CA"/>
        </w:rPr>
      </w:pPr>
      <w:r w:rsidRPr="002037D2">
        <w:rPr>
          <w:lang w:val="fr-CA"/>
        </w:rPr>
        <w:t>Institut professionnel de la fonction publique du Canada,</w:t>
      </w:r>
    </w:p>
    <w:p w:rsidR="0096002F" w:rsidRPr="002037D2" w:rsidRDefault="00181BB2">
      <w:pPr>
        <w:pStyle w:val="SCCLsocParty"/>
        <w:rPr>
          <w:lang w:val="fr-CA"/>
        </w:rPr>
      </w:pPr>
      <w:r w:rsidRPr="002037D2">
        <w:rPr>
          <w:lang w:val="fr-CA"/>
        </w:rPr>
        <w:t>Guilde de la Marine Marchande du Canada, Conseil des métiers et du travail d</w:t>
      </w:r>
      <w:r w:rsidR="004C71DF" w:rsidRPr="002037D2">
        <w:rPr>
          <w:lang w:val="fr-CA"/>
        </w:rPr>
        <w:t>es</w:t>
      </w:r>
      <w:r w:rsidRPr="002037D2">
        <w:rPr>
          <w:lang w:val="fr-CA"/>
        </w:rPr>
        <w:t xml:space="preserve"> chantier</w:t>
      </w:r>
      <w:r w:rsidR="004C71DF" w:rsidRPr="002037D2">
        <w:rPr>
          <w:lang w:val="fr-CA"/>
        </w:rPr>
        <w:t>s</w:t>
      </w:r>
      <w:r w:rsidRPr="002037D2">
        <w:rPr>
          <w:lang w:val="fr-CA"/>
        </w:rPr>
        <w:t xml:space="preserve"> maritime</w:t>
      </w:r>
      <w:r w:rsidR="004C71DF" w:rsidRPr="002037D2">
        <w:rPr>
          <w:lang w:val="fr-CA"/>
        </w:rPr>
        <w:t>s</w:t>
      </w:r>
      <w:r w:rsidRPr="002037D2">
        <w:rPr>
          <w:lang w:val="fr-CA"/>
        </w:rPr>
        <w:t xml:space="preserve"> du gouvernement fédéral </w:t>
      </w:r>
      <w:r w:rsidR="004C71DF" w:rsidRPr="002037D2">
        <w:rPr>
          <w:lang w:val="fr-CA"/>
        </w:rPr>
        <w:t>(</w:t>
      </w:r>
      <w:r w:rsidR="0096002F" w:rsidRPr="002037D2">
        <w:rPr>
          <w:lang w:val="fr-CA"/>
        </w:rPr>
        <w:t>est</w:t>
      </w:r>
      <w:r w:rsidR="004C71DF" w:rsidRPr="002037D2">
        <w:rPr>
          <w:lang w:val="fr-CA"/>
        </w:rPr>
        <w:t>)</w:t>
      </w:r>
      <w:r w:rsidR="0096002F" w:rsidRPr="002037D2">
        <w:rPr>
          <w:lang w:val="fr-CA"/>
        </w:rPr>
        <w:t>,</w:t>
      </w:r>
    </w:p>
    <w:p w:rsidR="00426B03" w:rsidRPr="002037D2" w:rsidRDefault="00181BB2">
      <w:pPr>
        <w:pStyle w:val="SCCLsocParty"/>
        <w:rPr>
          <w:lang w:val="fr-CA"/>
        </w:rPr>
      </w:pPr>
      <w:r w:rsidRPr="002037D2">
        <w:rPr>
          <w:lang w:val="fr-CA"/>
        </w:rPr>
        <w:t>Fraternité internationale des ouvriers en électricité,</w:t>
      </w:r>
    </w:p>
    <w:p w:rsidR="00426B03" w:rsidRPr="002037D2" w:rsidRDefault="0096002F">
      <w:pPr>
        <w:pStyle w:val="SCCLsocParty"/>
        <w:rPr>
          <w:lang w:val="fr-CA"/>
        </w:rPr>
      </w:pPr>
      <w:r w:rsidRPr="002037D2">
        <w:rPr>
          <w:lang w:val="fr-CA"/>
        </w:rPr>
        <w:t>Association des chefs d’</w:t>
      </w:r>
      <w:r w:rsidR="00181BB2" w:rsidRPr="002037D2">
        <w:rPr>
          <w:lang w:val="fr-CA"/>
        </w:rPr>
        <w:t>équipe des chantiers maritimes du gouvernement fédéral, Association des employés du Conseil de recherches,</w:t>
      </w:r>
    </w:p>
    <w:p w:rsidR="0096002F" w:rsidRPr="002037D2" w:rsidRDefault="00C501D2">
      <w:pPr>
        <w:pStyle w:val="SCCLsocParty"/>
        <w:rPr>
          <w:lang w:val="fr-CA"/>
        </w:rPr>
      </w:pPr>
      <w:r w:rsidRPr="002037D2">
        <w:rPr>
          <w:lang w:val="fr-CA"/>
        </w:rPr>
        <w:t>Association des gestionnaires financiers de la fonction publique</w:t>
      </w:r>
      <w:r w:rsidR="00181BB2" w:rsidRPr="002037D2">
        <w:rPr>
          <w:lang w:val="fr-CA"/>
        </w:rPr>
        <w:t>, Association professionnelle des agents du Service extérieur, Cons</w:t>
      </w:r>
      <w:r w:rsidR="004C71DF" w:rsidRPr="002037D2">
        <w:rPr>
          <w:lang w:val="fr-CA"/>
        </w:rPr>
        <w:t>eil des métiers et du travail des</w:t>
      </w:r>
      <w:r w:rsidR="00181BB2" w:rsidRPr="002037D2">
        <w:rPr>
          <w:lang w:val="fr-CA"/>
        </w:rPr>
        <w:t xml:space="preserve"> chantier</w:t>
      </w:r>
      <w:r w:rsidR="004C71DF" w:rsidRPr="002037D2">
        <w:rPr>
          <w:lang w:val="fr-CA"/>
        </w:rPr>
        <w:t>s</w:t>
      </w:r>
      <w:r w:rsidR="00181BB2" w:rsidRPr="002037D2">
        <w:rPr>
          <w:lang w:val="fr-CA"/>
        </w:rPr>
        <w:t xml:space="preserve"> maritime</w:t>
      </w:r>
      <w:r w:rsidR="004C71DF" w:rsidRPr="002037D2">
        <w:rPr>
          <w:lang w:val="fr-CA"/>
        </w:rPr>
        <w:t>s</w:t>
      </w:r>
      <w:r w:rsidR="0096002F" w:rsidRPr="002037D2">
        <w:rPr>
          <w:lang w:val="fr-CA"/>
        </w:rPr>
        <w:t xml:space="preserve"> du gouvernement fédéral </w:t>
      </w:r>
      <w:r w:rsidR="004C71DF" w:rsidRPr="002037D2">
        <w:rPr>
          <w:lang w:val="fr-CA"/>
        </w:rPr>
        <w:t>(</w:t>
      </w:r>
      <w:r w:rsidR="0096002F" w:rsidRPr="002037D2">
        <w:rPr>
          <w:lang w:val="fr-CA"/>
        </w:rPr>
        <w:t>ouest</w:t>
      </w:r>
      <w:r w:rsidR="004C71DF" w:rsidRPr="002037D2">
        <w:rPr>
          <w:lang w:val="fr-CA"/>
        </w:rPr>
        <w:t>)</w:t>
      </w:r>
      <w:r w:rsidR="0096002F" w:rsidRPr="002037D2">
        <w:rPr>
          <w:lang w:val="fr-CA"/>
        </w:rPr>
        <w:t>,</w:t>
      </w:r>
    </w:p>
    <w:p w:rsidR="00426B03" w:rsidRPr="002037D2" w:rsidRDefault="00181BB2">
      <w:pPr>
        <w:pStyle w:val="SCCLsocParty"/>
        <w:rPr>
          <w:lang w:val="fr-CA"/>
        </w:rPr>
      </w:pPr>
      <w:r w:rsidRPr="002037D2">
        <w:rPr>
          <w:lang w:val="fr-CA"/>
        </w:rPr>
        <w:t>Association can</w:t>
      </w:r>
      <w:r w:rsidR="0096002F" w:rsidRPr="002037D2">
        <w:rPr>
          <w:lang w:val="fr-CA"/>
        </w:rPr>
        <w:t>adienne des professionnels de l’</w:t>
      </w:r>
      <w:r w:rsidRPr="002037D2">
        <w:rPr>
          <w:lang w:val="fr-CA"/>
        </w:rPr>
        <w:t>exploitation ra</w:t>
      </w:r>
      <w:r w:rsidR="0096002F" w:rsidRPr="002037D2">
        <w:rPr>
          <w:lang w:val="fr-CA"/>
        </w:rPr>
        <w:t>dio</w:t>
      </w:r>
      <w:r w:rsidRPr="002037D2">
        <w:rPr>
          <w:lang w:val="fr-CA"/>
        </w:rPr>
        <w:t>,</w:t>
      </w:r>
    </w:p>
    <w:p w:rsidR="002037D2" w:rsidRDefault="00181BB2" w:rsidP="002037D2">
      <w:pPr>
        <w:pStyle w:val="SCCLsocLastPartyInRole"/>
        <w:spacing w:after="0"/>
        <w:rPr>
          <w:lang w:val="fr-CA"/>
        </w:rPr>
      </w:pPr>
      <w:r w:rsidRPr="002037D2">
        <w:rPr>
          <w:lang w:val="fr-CA"/>
        </w:rPr>
        <w:t>Association canadienne du contrôle du trafic aérien, Association des professeurs</w:t>
      </w:r>
      <w:r w:rsidR="008C6AFB">
        <w:rPr>
          <w:lang w:val="fr-CA"/>
        </w:rPr>
        <w:t>(es)</w:t>
      </w:r>
      <w:r w:rsidRPr="002037D2">
        <w:rPr>
          <w:lang w:val="fr-CA"/>
        </w:rPr>
        <w:t xml:space="preserve"> des collèges militaires du Canada et </w:t>
      </w:r>
    </w:p>
    <w:p w:rsidR="00426B03" w:rsidRPr="002037D2" w:rsidRDefault="00181BB2">
      <w:pPr>
        <w:pStyle w:val="SCCLsocLastPartyInRole"/>
        <w:rPr>
          <w:lang w:val="fr-CA"/>
        </w:rPr>
      </w:pPr>
      <w:r w:rsidRPr="002037D2">
        <w:rPr>
          <w:lang w:val="fr-CA"/>
        </w:rPr>
        <w:t>Association nationale des retraités fédéraux</w:t>
      </w:r>
      <w:r w:rsidRPr="002037D2">
        <w:rPr>
          <w:rStyle w:val="SCCLsocPartyRole"/>
          <w:lang w:val="fr-CA"/>
        </w:rPr>
        <w:tab/>
        <w:t>Appelants</w:t>
      </w:r>
    </w:p>
    <w:p w:rsidR="00426B03" w:rsidRPr="002037D2" w:rsidRDefault="00181BB2">
      <w:pPr>
        <w:pStyle w:val="SCCLsocVersus"/>
        <w:rPr>
          <w:lang w:val="fr-CA"/>
        </w:rPr>
      </w:pPr>
      <w:proofErr w:type="gramStart"/>
      <w:r w:rsidRPr="002037D2">
        <w:rPr>
          <w:lang w:val="fr-CA"/>
        </w:rPr>
        <w:t>c</w:t>
      </w:r>
      <w:proofErr w:type="gramEnd"/>
      <w:r w:rsidRPr="002037D2">
        <w:rPr>
          <w:lang w:val="fr-CA"/>
        </w:rPr>
        <w:t>.</w:t>
      </w:r>
    </w:p>
    <w:p w:rsidR="00426B03" w:rsidRPr="002037D2" w:rsidRDefault="00181BB2">
      <w:pPr>
        <w:pStyle w:val="SCCLsocLastPartyInRole"/>
        <w:rPr>
          <w:lang w:val="fr-CA"/>
        </w:rPr>
      </w:pPr>
      <w:r w:rsidRPr="002037D2">
        <w:rPr>
          <w:lang w:val="fr-CA"/>
        </w:rPr>
        <w:t>Procureur général du Canada</w:t>
      </w:r>
      <w:r w:rsidRPr="002037D2">
        <w:rPr>
          <w:rStyle w:val="SCCLsocPartyRole"/>
          <w:lang w:val="fr-CA"/>
        </w:rPr>
        <w:tab/>
        <w:t>Intimé</w:t>
      </w:r>
    </w:p>
    <w:p w:rsidR="00426B03" w:rsidRPr="002037D2" w:rsidRDefault="002037D2">
      <w:pPr>
        <w:pStyle w:val="SCCLsocSubfileSeparator"/>
        <w:rPr>
          <w:lang w:val="fr-CA"/>
        </w:rPr>
      </w:pPr>
      <w:r>
        <w:rPr>
          <w:lang w:val="fr-CA"/>
        </w:rPr>
        <w:noBreakHyphen/>
      </w:r>
      <w:r w:rsidR="00181BB2" w:rsidRPr="002037D2">
        <w:rPr>
          <w:lang w:val="fr-CA"/>
        </w:rPr>
        <w:t xml:space="preserve"> </w:t>
      </w:r>
      <w:proofErr w:type="gramStart"/>
      <w:r w:rsidR="00181BB2" w:rsidRPr="002037D2">
        <w:rPr>
          <w:lang w:val="fr-CA"/>
        </w:rPr>
        <w:t>et</w:t>
      </w:r>
      <w:proofErr w:type="gramEnd"/>
      <w:r w:rsidR="00181BB2" w:rsidRPr="002037D2">
        <w:rPr>
          <w:lang w:val="fr-CA"/>
        </w:rPr>
        <w:t xml:space="preserve"> </w:t>
      </w:r>
      <w:r>
        <w:rPr>
          <w:lang w:val="fr-CA"/>
        </w:rPr>
        <w:noBreakHyphen/>
      </w:r>
    </w:p>
    <w:p w:rsidR="00426B03" w:rsidRPr="002037D2" w:rsidRDefault="00181BB2">
      <w:pPr>
        <w:pStyle w:val="SCCLsocLastPartyInRole"/>
        <w:rPr>
          <w:lang w:val="fr-CA"/>
        </w:rPr>
      </w:pPr>
      <w:r w:rsidRPr="002037D2">
        <w:rPr>
          <w:lang w:val="fr-CA"/>
        </w:rPr>
        <w:t>Alliance de la Fonction publique du Canada</w:t>
      </w:r>
      <w:r w:rsidRPr="002037D2">
        <w:rPr>
          <w:rStyle w:val="SCCLsocPartyRole"/>
          <w:lang w:val="fr-CA"/>
        </w:rPr>
        <w:tab/>
        <w:t>Appelante</w:t>
      </w:r>
    </w:p>
    <w:p w:rsidR="00426B03" w:rsidRPr="002037D2" w:rsidRDefault="00181BB2">
      <w:pPr>
        <w:pStyle w:val="SCCLsocVersus"/>
        <w:rPr>
          <w:lang w:val="fr-CA"/>
        </w:rPr>
      </w:pPr>
      <w:proofErr w:type="gramStart"/>
      <w:r w:rsidRPr="002037D2">
        <w:rPr>
          <w:lang w:val="fr-CA"/>
        </w:rPr>
        <w:t>c</w:t>
      </w:r>
      <w:proofErr w:type="gramEnd"/>
      <w:r w:rsidRPr="002037D2">
        <w:rPr>
          <w:lang w:val="fr-CA"/>
        </w:rPr>
        <w:t>.</w:t>
      </w:r>
    </w:p>
    <w:p w:rsidR="00426B03" w:rsidRPr="002037D2" w:rsidRDefault="00181BB2">
      <w:pPr>
        <w:pStyle w:val="SCCLsocLastPartyInRole"/>
        <w:rPr>
          <w:lang w:val="fr-CA"/>
        </w:rPr>
      </w:pPr>
      <w:r w:rsidRPr="002037D2">
        <w:rPr>
          <w:lang w:val="fr-CA"/>
        </w:rPr>
        <w:t>Procureur général du Canada</w:t>
      </w:r>
      <w:r w:rsidRPr="002037D2">
        <w:rPr>
          <w:rStyle w:val="SCCLsocPartyRole"/>
          <w:lang w:val="fr-CA"/>
        </w:rPr>
        <w:tab/>
        <w:t>Intimé</w:t>
      </w:r>
    </w:p>
    <w:p w:rsidR="00426B03" w:rsidRPr="002037D2" w:rsidRDefault="002037D2">
      <w:pPr>
        <w:pStyle w:val="SCCLsocSubfileSeparator"/>
        <w:rPr>
          <w:lang w:val="fr-CA"/>
        </w:rPr>
      </w:pPr>
      <w:r>
        <w:rPr>
          <w:lang w:val="fr-CA"/>
        </w:rPr>
        <w:noBreakHyphen/>
      </w:r>
      <w:r w:rsidR="00181BB2" w:rsidRPr="002037D2">
        <w:rPr>
          <w:lang w:val="fr-CA"/>
        </w:rPr>
        <w:t xml:space="preserve"> </w:t>
      </w:r>
      <w:proofErr w:type="gramStart"/>
      <w:r w:rsidR="00181BB2" w:rsidRPr="002037D2">
        <w:rPr>
          <w:lang w:val="fr-CA"/>
        </w:rPr>
        <w:t>et</w:t>
      </w:r>
      <w:proofErr w:type="gramEnd"/>
      <w:r w:rsidR="00181BB2" w:rsidRPr="002037D2">
        <w:rPr>
          <w:lang w:val="fr-CA"/>
        </w:rPr>
        <w:t xml:space="preserve"> </w:t>
      </w:r>
      <w:r>
        <w:rPr>
          <w:lang w:val="fr-CA"/>
        </w:rPr>
        <w:noBreakHyphen/>
      </w:r>
    </w:p>
    <w:p w:rsidR="00426B03" w:rsidRPr="002037D2" w:rsidRDefault="00181BB2">
      <w:pPr>
        <w:pStyle w:val="SCCLsocParty"/>
        <w:rPr>
          <w:lang w:val="fr-CA"/>
        </w:rPr>
      </w:pPr>
      <w:r w:rsidRPr="002037D2">
        <w:rPr>
          <w:lang w:val="fr-CA"/>
        </w:rPr>
        <w:lastRenderedPageBreak/>
        <w:t xml:space="preserve">Association </w:t>
      </w:r>
      <w:r w:rsidR="00ED5777" w:rsidRPr="002037D2">
        <w:rPr>
          <w:lang w:val="fr-CA"/>
        </w:rPr>
        <w:t xml:space="preserve">canadienne </w:t>
      </w:r>
      <w:r w:rsidRPr="002037D2">
        <w:rPr>
          <w:lang w:val="fr-CA"/>
        </w:rPr>
        <w:t>des pensionnés et rentiers militaires,</w:t>
      </w:r>
    </w:p>
    <w:p w:rsidR="00426B03" w:rsidRPr="002037D2" w:rsidRDefault="00181BB2">
      <w:pPr>
        <w:pStyle w:val="SCCLsocLastPartyInRole"/>
        <w:rPr>
          <w:lang w:val="fr-CA"/>
        </w:rPr>
      </w:pPr>
      <w:r w:rsidRPr="002037D2">
        <w:rPr>
          <w:lang w:val="fr-CA"/>
        </w:rPr>
        <w:t xml:space="preserve">Association des Membres de la Police Montée du Québec, British Columbia </w:t>
      </w:r>
      <w:proofErr w:type="spellStart"/>
      <w:r w:rsidRPr="002037D2">
        <w:rPr>
          <w:lang w:val="fr-CA"/>
        </w:rPr>
        <w:t>Mounted</w:t>
      </w:r>
      <w:proofErr w:type="spellEnd"/>
      <w:r w:rsidRPr="002037D2">
        <w:rPr>
          <w:lang w:val="fr-CA"/>
        </w:rPr>
        <w:t xml:space="preserve"> Police Professional Association, Association de la police montée de l’Ontario et Association canadienne des employés professionnels</w:t>
      </w:r>
      <w:r w:rsidRPr="002037D2">
        <w:rPr>
          <w:rStyle w:val="SCCLsocPartyRole"/>
          <w:lang w:val="fr-CA"/>
        </w:rPr>
        <w:tab/>
        <w:t>Appelantes</w:t>
      </w:r>
    </w:p>
    <w:p w:rsidR="00426B03" w:rsidRPr="002037D2" w:rsidRDefault="00181BB2">
      <w:pPr>
        <w:pStyle w:val="SCCLsocVersus"/>
        <w:rPr>
          <w:lang w:val="fr-CA"/>
        </w:rPr>
      </w:pPr>
      <w:proofErr w:type="gramStart"/>
      <w:r w:rsidRPr="002037D2">
        <w:rPr>
          <w:lang w:val="fr-CA"/>
        </w:rPr>
        <w:t>c</w:t>
      </w:r>
      <w:proofErr w:type="gramEnd"/>
      <w:r w:rsidRPr="002037D2">
        <w:rPr>
          <w:lang w:val="fr-CA"/>
        </w:rPr>
        <w:t>.</w:t>
      </w:r>
    </w:p>
    <w:p w:rsidR="00426B03" w:rsidRPr="002037D2" w:rsidRDefault="00181BB2">
      <w:pPr>
        <w:pStyle w:val="SCCLsocLastPartyInRole"/>
        <w:rPr>
          <w:lang w:val="fr-CA"/>
        </w:rPr>
      </w:pPr>
      <w:r w:rsidRPr="002037D2">
        <w:rPr>
          <w:lang w:val="fr-CA"/>
        </w:rPr>
        <w:t>Procureur général du Canada</w:t>
      </w:r>
      <w:r w:rsidRPr="002037D2">
        <w:rPr>
          <w:rStyle w:val="SCCLsocPartyRole"/>
          <w:lang w:val="fr-CA"/>
        </w:rPr>
        <w:tab/>
        <w:t>Intimé</w:t>
      </w:r>
    </w:p>
    <w:p w:rsidR="00426B03" w:rsidRPr="002037D2" w:rsidRDefault="00181BB2">
      <w:pPr>
        <w:pStyle w:val="SCCLsocOtherPartySeparator"/>
        <w:rPr>
          <w:lang w:val="fr-CA"/>
        </w:rPr>
      </w:pPr>
      <w:proofErr w:type="gramStart"/>
      <w:r w:rsidRPr="002037D2">
        <w:rPr>
          <w:lang w:val="fr-CA"/>
        </w:rPr>
        <w:t>et</w:t>
      </w:r>
      <w:proofErr w:type="gramEnd"/>
    </w:p>
    <w:p w:rsidR="00426B03" w:rsidRPr="002037D2" w:rsidRDefault="00181BB2">
      <w:pPr>
        <w:pStyle w:val="SCCLsocLastPartyInRole"/>
        <w:rPr>
          <w:lang w:val="fr-CA"/>
        </w:rPr>
      </w:pPr>
      <w:r w:rsidRPr="002037D2">
        <w:rPr>
          <w:lang w:val="fr-CA"/>
        </w:rPr>
        <w:t xml:space="preserve">Procureur général de </w:t>
      </w:r>
      <w:r w:rsidR="00865BD8" w:rsidRPr="002037D2">
        <w:rPr>
          <w:lang w:val="fr-CA"/>
        </w:rPr>
        <w:t xml:space="preserve">la </w:t>
      </w:r>
      <w:proofErr w:type="spellStart"/>
      <w:r w:rsidRPr="002037D2">
        <w:rPr>
          <w:lang w:val="fr-CA"/>
        </w:rPr>
        <w:t>Colombie</w:t>
      </w:r>
      <w:r w:rsidR="002037D2">
        <w:rPr>
          <w:lang w:val="fr-CA"/>
        </w:rPr>
        <w:noBreakHyphen/>
      </w:r>
      <w:r w:rsidRPr="002037D2">
        <w:rPr>
          <w:lang w:val="fr-CA"/>
        </w:rPr>
        <w:t>Britannique</w:t>
      </w:r>
      <w:proofErr w:type="spellEnd"/>
      <w:r w:rsidRPr="002037D2">
        <w:rPr>
          <w:rStyle w:val="SCCLsocPartyRole"/>
          <w:lang w:val="fr-CA"/>
        </w:rPr>
        <w:tab/>
        <w:t>Intervenant</w:t>
      </w:r>
    </w:p>
    <w:p w:rsidR="004D7D95" w:rsidRPr="002037D2" w:rsidRDefault="004D7D95" w:rsidP="002037D2">
      <w:pPr>
        <w:spacing w:after="720"/>
        <w:jc w:val="both"/>
        <w:rPr>
          <w:b/>
          <w:lang w:val="fr-CA"/>
        </w:rPr>
      </w:pPr>
      <w:r w:rsidRPr="00BB4C92">
        <w:rPr>
          <w:b/>
          <w:lang w:val="fr-CA"/>
        </w:rPr>
        <w:t>Répertorié</w:t>
      </w:r>
      <w:r w:rsidR="002037D2">
        <w:rPr>
          <w:b/>
          <w:lang w:val="fr-CA"/>
        </w:rPr>
        <w:t> :</w:t>
      </w:r>
      <w:r w:rsidRPr="00BB4C92">
        <w:rPr>
          <w:b/>
          <w:lang w:val="fr-CA"/>
        </w:rPr>
        <w:t> </w:t>
      </w:r>
      <w:r w:rsidR="0096002F" w:rsidRPr="0096002F">
        <w:rPr>
          <w:b/>
          <w:lang w:val="fr-CA"/>
        </w:rPr>
        <w:t>Institut professionnel de la fonction publique du Canada</w:t>
      </w:r>
      <w:r w:rsidRPr="00BB4C92">
        <w:rPr>
          <w:b/>
          <w:lang w:val="fr-CA"/>
        </w:rPr>
        <w:t xml:space="preserve"> </w:t>
      </w:r>
      <w:r w:rsidRPr="00BB4C92">
        <w:rPr>
          <w:b/>
          <w:i/>
          <w:lang w:val="fr-CA"/>
        </w:rPr>
        <w:t>c.</w:t>
      </w:r>
      <w:r w:rsidRPr="00BB4C92">
        <w:rPr>
          <w:b/>
          <w:lang w:val="fr-CA"/>
        </w:rPr>
        <w:t xml:space="preserve"> </w:t>
      </w:r>
      <w:r w:rsidR="0096002F">
        <w:rPr>
          <w:b/>
          <w:lang w:val="fr-CA"/>
        </w:rPr>
        <w:t>Canada (</w:t>
      </w:r>
      <w:r w:rsidRPr="00445B05">
        <w:rPr>
          <w:b/>
          <w:lang w:val="fr-CA"/>
        </w:rPr>
        <w:t>Procureur général</w:t>
      </w:r>
      <w:r w:rsidR="0096002F" w:rsidRPr="00445B05">
        <w:rPr>
          <w:b/>
          <w:lang w:val="fr-CA"/>
        </w:rPr>
        <w:t>)</w:t>
      </w:r>
    </w:p>
    <w:p w:rsidR="004D7D95" w:rsidRPr="002037D2" w:rsidRDefault="00F62639" w:rsidP="002037D2">
      <w:pPr>
        <w:pStyle w:val="SCCSystemYear"/>
        <w:spacing w:after="720"/>
        <w:jc w:val="both"/>
        <w:rPr>
          <w:lang w:val="fr-CA"/>
        </w:rPr>
      </w:pPr>
      <w:r w:rsidRPr="002037D2">
        <w:rPr>
          <w:lang w:val="fr-CA"/>
        </w:rPr>
        <w:t>2012</w:t>
      </w:r>
      <w:r w:rsidR="00CF2106" w:rsidRPr="002037D2">
        <w:rPr>
          <w:lang w:val="fr-CA"/>
        </w:rPr>
        <w:t xml:space="preserve"> CSC 71</w:t>
      </w:r>
    </w:p>
    <w:p w:rsidR="004D7D95" w:rsidRPr="002037D2" w:rsidRDefault="004D7D95" w:rsidP="002037D2">
      <w:pPr>
        <w:spacing w:after="720"/>
        <w:jc w:val="both"/>
        <w:rPr>
          <w:lang w:val="fr-CA"/>
        </w:rPr>
      </w:pPr>
      <w:r w:rsidRPr="002037D2">
        <w:rPr>
          <w:lang w:val="fr-CA"/>
        </w:rPr>
        <w:t>N</w:t>
      </w:r>
      <w:r w:rsidRPr="002037D2">
        <w:rPr>
          <w:vertAlign w:val="superscript"/>
          <w:lang w:val="fr-CA"/>
        </w:rPr>
        <w:t>o</w:t>
      </w:r>
      <w:r w:rsidRPr="002037D2">
        <w:rPr>
          <w:lang w:val="fr-CA"/>
        </w:rPr>
        <w:t xml:space="preserve"> du greffe</w:t>
      </w:r>
      <w:r w:rsidR="002037D2">
        <w:rPr>
          <w:lang w:val="fr-CA"/>
        </w:rPr>
        <w:t> :</w:t>
      </w:r>
      <w:r w:rsidRPr="002037D2">
        <w:rPr>
          <w:lang w:val="fr-CA"/>
        </w:rPr>
        <w:t> 33968.</w:t>
      </w:r>
    </w:p>
    <w:p w:rsidR="004D7D95" w:rsidRPr="002037D2" w:rsidRDefault="00F62639" w:rsidP="002037D2">
      <w:pPr>
        <w:spacing w:after="720"/>
        <w:jc w:val="both"/>
        <w:rPr>
          <w:lang w:val="fr-CA"/>
        </w:rPr>
      </w:pPr>
      <w:r w:rsidRPr="002037D2">
        <w:rPr>
          <w:lang w:val="fr-CA"/>
        </w:rPr>
        <w:t>2012</w:t>
      </w:r>
      <w:r w:rsidR="002037D2">
        <w:rPr>
          <w:lang w:val="fr-CA"/>
        </w:rPr>
        <w:t> :</w:t>
      </w:r>
      <w:r w:rsidR="0096002F" w:rsidRPr="002037D2">
        <w:rPr>
          <w:lang w:val="fr-CA"/>
        </w:rPr>
        <w:t> </w:t>
      </w:r>
      <w:r w:rsidR="006C0314">
        <w:rPr>
          <w:lang w:val="fr-CA"/>
        </w:rPr>
        <w:t>9</w:t>
      </w:r>
      <w:r w:rsidR="002037D2">
        <w:rPr>
          <w:lang w:val="fr-CA"/>
        </w:rPr>
        <w:t> </w:t>
      </w:r>
      <w:r w:rsidR="006C0314">
        <w:rPr>
          <w:lang w:val="fr-CA"/>
        </w:rPr>
        <w:t>f</w:t>
      </w:r>
      <w:r w:rsidRPr="002037D2">
        <w:rPr>
          <w:lang w:val="fr-CA"/>
        </w:rPr>
        <w:t>évrier</w:t>
      </w:r>
      <w:r w:rsidR="002037D2">
        <w:rPr>
          <w:lang w:val="fr-CA"/>
        </w:rPr>
        <w:t>; 2012 : 19 </w:t>
      </w:r>
      <w:r w:rsidR="00CF2106" w:rsidRPr="002037D2">
        <w:rPr>
          <w:lang w:val="fr-CA"/>
        </w:rPr>
        <w:t>décembre</w:t>
      </w:r>
      <w:r w:rsidR="004D7D95" w:rsidRPr="002037D2">
        <w:rPr>
          <w:lang w:val="fr-CA"/>
        </w:rPr>
        <w:t>.</w:t>
      </w:r>
    </w:p>
    <w:p w:rsidR="004D7D95" w:rsidRPr="002037D2" w:rsidRDefault="004D7D95" w:rsidP="002037D2">
      <w:pPr>
        <w:spacing w:after="720"/>
        <w:jc w:val="both"/>
        <w:rPr>
          <w:lang w:val="fr-CA"/>
        </w:rPr>
      </w:pPr>
      <w:r w:rsidRPr="002037D2">
        <w:rPr>
          <w:lang w:val="fr-CA"/>
        </w:rPr>
        <w:t>Présents</w:t>
      </w:r>
      <w:r w:rsidR="002037D2">
        <w:rPr>
          <w:lang w:val="fr-CA"/>
        </w:rPr>
        <w:t> :</w:t>
      </w:r>
      <w:r w:rsidRPr="002037D2">
        <w:rPr>
          <w:lang w:val="fr-CA"/>
        </w:rPr>
        <w:t xml:space="preserve"> La juge en chef </w:t>
      </w:r>
      <w:proofErr w:type="spellStart"/>
      <w:r w:rsidRPr="002037D2">
        <w:rPr>
          <w:lang w:val="fr-CA"/>
        </w:rPr>
        <w:t>McLachlin</w:t>
      </w:r>
      <w:proofErr w:type="spellEnd"/>
      <w:r w:rsidRPr="002037D2">
        <w:rPr>
          <w:lang w:val="fr-CA"/>
        </w:rPr>
        <w:t xml:space="preserve"> et les juges LeBel, Deschamps, Fish, Abella, </w:t>
      </w:r>
      <w:proofErr w:type="spellStart"/>
      <w:r w:rsidRPr="002037D2">
        <w:rPr>
          <w:lang w:val="fr-CA"/>
        </w:rPr>
        <w:t>Rothstein</w:t>
      </w:r>
      <w:proofErr w:type="spellEnd"/>
      <w:r w:rsidRPr="002037D2">
        <w:rPr>
          <w:lang w:val="fr-CA"/>
        </w:rPr>
        <w:t xml:space="preserve">, Cromwell, </w:t>
      </w:r>
      <w:proofErr w:type="spellStart"/>
      <w:r w:rsidRPr="002037D2">
        <w:rPr>
          <w:lang w:val="fr-CA"/>
        </w:rPr>
        <w:t>Moldaver</w:t>
      </w:r>
      <w:proofErr w:type="spellEnd"/>
      <w:r w:rsidRPr="002037D2">
        <w:rPr>
          <w:lang w:val="fr-CA"/>
        </w:rPr>
        <w:t xml:space="preserve"> et </w:t>
      </w:r>
      <w:proofErr w:type="spellStart"/>
      <w:r w:rsidRPr="002037D2">
        <w:rPr>
          <w:lang w:val="fr-CA"/>
        </w:rPr>
        <w:t>Karakatsanis</w:t>
      </w:r>
      <w:proofErr w:type="spellEnd"/>
      <w:r w:rsidRPr="002037D2">
        <w:rPr>
          <w:lang w:val="fr-CA"/>
        </w:rPr>
        <w:t>.</w:t>
      </w:r>
    </w:p>
    <w:p w:rsidR="004D7D95" w:rsidRPr="00BB4C92" w:rsidRDefault="004D7D95" w:rsidP="002037D2">
      <w:pPr>
        <w:spacing w:after="720"/>
        <w:jc w:val="both"/>
        <w:rPr>
          <w:lang w:val="fr-CA"/>
        </w:rPr>
      </w:pPr>
      <w:r w:rsidRPr="0096002F">
        <w:rPr>
          <w:smallCaps/>
          <w:lang w:val="fr-CA"/>
        </w:rPr>
        <w:t xml:space="preserve">en appel de la </w:t>
      </w:r>
      <w:r w:rsidRPr="002037D2">
        <w:rPr>
          <w:smallCaps/>
          <w:lang w:val="fr-CA"/>
        </w:rPr>
        <w:t>cour d’appel de l’</w:t>
      </w:r>
      <w:proofErr w:type="spellStart"/>
      <w:r w:rsidRPr="002037D2">
        <w:rPr>
          <w:smallCaps/>
          <w:lang w:val="fr-CA"/>
        </w:rPr>
        <w:t>ontario</w:t>
      </w:r>
      <w:proofErr w:type="spellEnd"/>
    </w:p>
    <w:p w:rsidR="0077444C" w:rsidRPr="00D35EA5" w:rsidRDefault="004D7D95" w:rsidP="002037D2">
      <w:pPr>
        <w:pStyle w:val="SCCNormalDoubleSpacing"/>
        <w:spacing w:after="480"/>
        <w:rPr>
          <w:lang w:val="fr-CA"/>
        </w:rPr>
      </w:pPr>
      <w:r w:rsidRPr="00BB4C92">
        <w:rPr>
          <w:lang w:val="fr-CA"/>
        </w:rPr>
        <w:lastRenderedPageBreak/>
        <w:tab/>
      </w:r>
      <w:r w:rsidR="0077444C" w:rsidRPr="00D35EA5">
        <w:rPr>
          <w:i/>
          <w:lang w:val="fr-CA"/>
        </w:rPr>
        <w:t>Pensions ― Régimes de pension ― Surplus ― Régimes de pension du secteur public administrés par le gouvernemen</w:t>
      </w:r>
      <w:r w:rsidR="0077444C">
        <w:rPr>
          <w:i/>
          <w:lang w:val="fr-CA"/>
        </w:rPr>
        <w:t>t</w:t>
      </w:r>
      <w:r w:rsidR="0077444C" w:rsidRPr="00D35EA5">
        <w:rPr>
          <w:i/>
          <w:lang w:val="fr-CA"/>
        </w:rPr>
        <w:t xml:space="preserve"> ― Amortissement par le gouvernement de surplus actuariels dans les comptes de pension de retraite ― Lois sur les pensions modifiées par de nouvelles dispositions législatives entrées en vigueur le 1</w:t>
      </w:r>
      <w:r w:rsidR="0077444C" w:rsidRPr="002037D2">
        <w:rPr>
          <w:i/>
          <w:vertAlign w:val="superscript"/>
          <w:lang w:val="fr-CA"/>
        </w:rPr>
        <w:t>er</w:t>
      </w:r>
      <w:r w:rsidR="002037D2">
        <w:rPr>
          <w:i/>
          <w:lang w:val="fr-CA"/>
        </w:rPr>
        <w:t> </w:t>
      </w:r>
      <w:r w:rsidR="0077444C" w:rsidRPr="00D35EA5">
        <w:rPr>
          <w:i/>
          <w:lang w:val="fr-CA"/>
        </w:rPr>
        <w:t>avril 2000 ― Gouvernement ayant porté plus de 28</w:t>
      </w:r>
      <w:r w:rsidR="002037D2">
        <w:rPr>
          <w:i/>
          <w:lang w:val="fr-CA"/>
        </w:rPr>
        <w:t> </w:t>
      </w:r>
      <w:r w:rsidR="0077444C" w:rsidRPr="00D35EA5">
        <w:rPr>
          <w:i/>
          <w:lang w:val="fr-CA"/>
        </w:rPr>
        <w:t>milliards de dollars directement au débit des comptes de pension de retraite en application des nouvelles dispositions ― Les comp</w:t>
      </w:r>
      <w:r w:rsidR="0077444C">
        <w:rPr>
          <w:i/>
          <w:lang w:val="fr-CA"/>
        </w:rPr>
        <w:t xml:space="preserve">tes de pension de retraite </w:t>
      </w:r>
      <w:proofErr w:type="spellStart"/>
      <w:r w:rsidR="0077444C">
        <w:rPr>
          <w:i/>
          <w:lang w:val="fr-CA"/>
        </w:rPr>
        <w:t>contienn</w:t>
      </w:r>
      <w:r w:rsidR="0077444C" w:rsidRPr="00D35EA5">
        <w:rPr>
          <w:i/>
          <w:lang w:val="fr-CA"/>
        </w:rPr>
        <w:t>ent</w:t>
      </w:r>
      <w:r w:rsidR="002037D2">
        <w:rPr>
          <w:i/>
          <w:lang w:val="fr-CA"/>
        </w:rPr>
        <w:noBreakHyphen/>
        <w:t>ils</w:t>
      </w:r>
      <w:proofErr w:type="spellEnd"/>
      <w:r w:rsidR="002037D2">
        <w:rPr>
          <w:i/>
          <w:lang w:val="fr-CA"/>
        </w:rPr>
        <w:t xml:space="preserve"> des éléments d’actif</w:t>
      </w:r>
      <w:r w:rsidR="0077444C" w:rsidRPr="00D35EA5">
        <w:rPr>
          <w:i/>
          <w:lang w:val="fr-CA"/>
        </w:rPr>
        <w:t xml:space="preserve">? ― Le gouvernement </w:t>
      </w:r>
      <w:proofErr w:type="spellStart"/>
      <w:r w:rsidR="0077444C" w:rsidRPr="00D35EA5">
        <w:rPr>
          <w:i/>
          <w:lang w:val="fr-CA"/>
        </w:rPr>
        <w:t>a</w:t>
      </w:r>
      <w:r w:rsidR="002037D2">
        <w:rPr>
          <w:i/>
          <w:lang w:val="fr-CA"/>
        </w:rPr>
        <w:noBreakHyphen/>
      </w:r>
      <w:r w:rsidR="0077444C">
        <w:rPr>
          <w:i/>
          <w:lang w:val="fr-CA"/>
        </w:rPr>
        <w:t>t</w:t>
      </w:r>
      <w:r w:rsidR="002037D2">
        <w:rPr>
          <w:i/>
          <w:lang w:val="fr-CA"/>
        </w:rPr>
        <w:noBreakHyphen/>
      </w:r>
      <w:r w:rsidR="0077444C" w:rsidRPr="00D35EA5">
        <w:rPr>
          <w:i/>
          <w:lang w:val="fr-CA"/>
        </w:rPr>
        <w:t>il</w:t>
      </w:r>
      <w:proofErr w:type="spellEnd"/>
      <w:r w:rsidR="0077444C" w:rsidRPr="00D35EA5">
        <w:rPr>
          <w:i/>
          <w:lang w:val="fr-CA"/>
        </w:rPr>
        <w:t xml:space="preserve"> une obligation fiduciaire</w:t>
      </w:r>
      <w:r w:rsidR="002037D2">
        <w:rPr>
          <w:i/>
          <w:lang w:val="fr-CA"/>
        </w:rPr>
        <w:t xml:space="preserve"> envers les membres des régimes</w:t>
      </w:r>
      <w:r w:rsidR="0077444C" w:rsidRPr="00D35EA5">
        <w:rPr>
          <w:i/>
          <w:lang w:val="fr-CA"/>
        </w:rPr>
        <w:t>?</w:t>
      </w:r>
      <w:r w:rsidR="002037D2">
        <w:rPr>
          <w:i/>
          <w:lang w:val="fr-CA"/>
        </w:rPr>
        <w:t xml:space="preserve"> </w:t>
      </w:r>
      <w:r w:rsidR="0077444C" w:rsidRPr="00D35EA5">
        <w:rPr>
          <w:i/>
          <w:lang w:val="fr-CA"/>
        </w:rPr>
        <w:t xml:space="preserve">― Une fiducie par interprétation </w:t>
      </w:r>
      <w:proofErr w:type="spellStart"/>
      <w:r w:rsidR="0077444C" w:rsidRPr="00D35EA5">
        <w:rPr>
          <w:i/>
          <w:lang w:val="fr-CA"/>
        </w:rPr>
        <w:t>devrait</w:t>
      </w:r>
      <w:r w:rsidR="002037D2">
        <w:rPr>
          <w:i/>
          <w:lang w:val="fr-CA"/>
        </w:rPr>
        <w:noBreakHyphen/>
      </w:r>
      <w:r w:rsidR="0077444C" w:rsidRPr="00D35EA5">
        <w:rPr>
          <w:i/>
          <w:lang w:val="fr-CA"/>
        </w:rPr>
        <w:t>elle</w:t>
      </w:r>
      <w:proofErr w:type="spellEnd"/>
      <w:r w:rsidR="0077444C" w:rsidRPr="00D35EA5">
        <w:rPr>
          <w:i/>
          <w:lang w:val="fr-CA"/>
        </w:rPr>
        <w:t xml:space="preserve"> être imposée relativement aux soldes des compt</w:t>
      </w:r>
      <w:r w:rsidR="002037D2">
        <w:rPr>
          <w:i/>
          <w:lang w:val="fr-CA"/>
        </w:rPr>
        <w:t>es de pension de retraite au 31 </w:t>
      </w:r>
      <w:r w:rsidR="0077444C" w:rsidRPr="00D35EA5">
        <w:rPr>
          <w:i/>
          <w:lang w:val="fr-CA"/>
        </w:rPr>
        <w:t xml:space="preserve">mars 2000? ― Les nouvelles dispositions législatives </w:t>
      </w:r>
      <w:proofErr w:type="spellStart"/>
      <w:r w:rsidR="0077444C" w:rsidRPr="00D35EA5">
        <w:rPr>
          <w:i/>
          <w:lang w:val="fr-CA"/>
        </w:rPr>
        <w:t>autorisaient</w:t>
      </w:r>
      <w:r w:rsidR="002037D2">
        <w:rPr>
          <w:i/>
          <w:lang w:val="fr-CA"/>
        </w:rPr>
        <w:noBreakHyphen/>
      </w:r>
      <w:r w:rsidR="0077444C" w:rsidRPr="00D35EA5">
        <w:rPr>
          <w:i/>
          <w:lang w:val="fr-CA"/>
        </w:rPr>
        <w:t>elles</w:t>
      </w:r>
      <w:proofErr w:type="spellEnd"/>
      <w:r w:rsidR="0077444C" w:rsidRPr="00D35EA5">
        <w:rPr>
          <w:i/>
          <w:lang w:val="fr-CA"/>
        </w:rPr>
        <w:t xml:space="preserve"> le gouvernement à porter les surplus actuariels au débit des</w:t>
      </w:r>
      <w:r w:rsidR="002037D2">
        <w:rPr>
          <w:i/>
          <w:lang w:val="fr-CA"/>
        </w:rPr>
        <w:t xml:space="preserve"> comptes de pension de retraite</w:t>
      </w:r>
      <w:r w:rsidR="0077444C" w:rsidRPr="00D35EA5">
        <w:rPr>
          <w:i/>
          <w:lang w:val="fr-CA"/>
        </w:rPr>
        <w:t>? ―</w:t>
      </w:r>
      <w:r w:rsidR="0077444C" w:rsidRPr="00D35EA5">
        <w:rPr>
          <w:i/>
          <w:szCs w:val="24"/>
          <w:lang w:val="fr-CA"/>
        </w:rPr>
        <w:t xml:space="preserve"> </w:t>
      </w:r>
      <w:r w:rsidR="0077444C" w:rsidRPr="00D35EA5">
        <w:rPr>
          <w:i/>
          <w:lang w:val="fr-CA"/>
        </w:rPr>
        <w:t xml:space="preserve">Loi sur la pension de la fonction publique, L.R.C. 1985, </w:t>
      </w:r>
      <w:r w:rsidR="002037D2">
        <w:rPr>
          <w:i/>
          <w:lang w:val="fr-CA"/>
        </w:rPr>
        <w:t>ch. </w:t>
      </w:r>
      <w:r w:rsidR="00337D23">
        <w:rPr>
          <w:i/>
          <w:lang w:val="fr-CA"/>
        </w:rPr>
        <w:t>P-</w:t>
      </w:r>
      <w:r w:rsidR="0077444C" w:rsidRPr="00D35EA5">
        <w:rPr>
          <w:i/>
          <w:lang w:val="fr-CA"/>
        </w:rPr>
        <w:t>36 ―</w:t>
      </w:r>
      <w:r w:rsidR="0077444C" w:rsidRPr="00D35EA5">
        <w:rPr>
          <w:i/>
          <w:szCs w:val="24"/>
          <w:lang w:val="fr-CA"/>
        </w:rPr>
        <w:t xml:space="preserve"> Loi sur la pension de retraite des Forces canadiennes, L.R.C. 1985, </w:t>
      </w:r>
      <w:r w:rsidR="002037D2">
        <w:rPr>
          <w:i/>
          <w:szCs w:val="24"/>
          <w:lang w:val="fr-CA"/>
        </w:rPr>
        <w:t>ch. </w:t>
      </w:r>
      <w:r w:rsidR="00337D23">
        <w:rPr>
          <w:i/>
          <w:szCs w:val="24"/>
          <w:lang w:val="fr-CA"/>
        </w:rPr>
        <w:t>C-</w:t>
      </w:r>
      <w:r w:rsidR="0077444C" w:rsidRPr="00D35EA5">
        <w:rPr>
          <w:i/>
          <w:szCs w:val="24"/>
          <w:lang w:val="fr-CA"/>
        </w:rPr>
        <w:t xml:space="preserve">17 </w:t>
      </w:r>
      <w:r w:rsidR="0077444C" w:rsidRPr="00D35EA5">
        <w:rPr>
          <w:i/>
          <w:lang w:val="fr-CA"/>
        </w:rPr>
        <w:t xml:space="preserve">― </w:t>
      </w:r>
      <w:r w:rsidR="0077444C" w:rsidRPr="00D35EA5">
        <w:rPr>
          <w:i/>
          <w:szCs w:val="24"/>
          <w:lang w:val="fr-CA"/>
        </w:rPr>
        <w:t xml:space="preserve">Loi sur la pension de retraite de la Gendarmerie royale du Canada, L.R.C. 1985, </w:t>
      </w:r>
      <w:r w:rsidR="002037D2">
        <w:rPr>
          <w:i/>
          <w:szCs w:val="24"/>
          <w:lang w:val="fr-CA"/>
        </w:rPr>
        <w:t>ch. </w:t>
      </w:r>
      <w:r w:rsidR="00337D23">
        <w:rPr>
          <w:i/>
          <w:szCs w:val="24"/>
          <w:lang w:val="fr-CA"/>
        </w:rPr>
        <w:t>R-</w:t>
      </w:r>
      <w:r w:rsidR="0077444C" w:rsidRPr="00D35EA5">
        <w:rPr>
          <w:i/>
          <w:szCs w:val="24"/>
          <w:lang w:val="fr-CA"/>
        </w:rPr>
        <w:t xml:space="preserve">11 </w:t>
      </w:r>
      <w:r w:rsidR="0077444C" w:rsidRPr="00D35EA5">
        <w:rPr>
          <w:i/>
          <w:lang w:val="fr-CA"/>
        </w:rPr>
        <w:t xml:space="preserve">― Loi sur l’Office d’investissement des régimes de pensions du secteur public, L.C. 1999, </w:t>
      </w:r>
      <w:r w:rsidR="002037D2">
        <w:rPr>
          <w:i/>
          <w:lang w:val="fr-CA"/>
        </w:rPr>
        <w:t>ch. </w:t>
      </w:r>
      <w:r w:rsidR="0077444C" w:rsidRPr="00D35EA5">
        <w:rPr>
          <w:i/>
          <w:lang w:val="fr-CA"/>
        </w:rPr>
        <w:t>34.</w:t>
      </w:r>
    </w:p>
    <w:p w:rsidR="0077444C" w:rsidRPr="00B12009" w:rsidRDefault="0077444C" w:rsidP="002037D2">
      <w:pPr>
        <w:pStyle w:val="SCCNormalDoubleSpacing"/>
        <w:spacing w:after="480"/>
        <w:rPr>
          <w:szCs w:val="24"/>
          <w:lang w:val="fr-FR"/>
        </w:rPr>
      </w:pPr>
      <w:r>
        <w:rPr>
          <w:szCs w:val="24"/>
          <w:lang w:val="fr-CA"/>
        </w:rPr>
        <w:tab/>
      </w:r>
      <w:r w:rsidRPr="00D35EA5">
        <w:rPr>
          <w:szCs w:val="24"/>
          <w:lang w:val="fr-CA"/>
        </w:rPr>
        <w:t>Trois régimes de pension sont en cause</w:t>
      </w:r>
      <w:r>
        <w:rPr>
          <w:szCs w:val="24"/>
          <w:lang w:val="fr-CA"/>
        </w:rPr>
        <w:t xml:space="preserve"> dans le pourvoi</w:t>
      </w:r>
      <w:r w:rsidRPr="00D35EA5">
        <w:rPr>
          <w:szCs w:val="24"/>
          <w:lang w:val="fr-CA"/>
        </w:rPr>
        <w:t xml:space="preserve"> (les « régimes »).  Ils ont été créés par le législateur pour chacun des trois groupes suivants</w:t>
      </w:r>
      <w:r w:rsidR="002037D2">
        <w:rPr>
          <w:szCs w:val="24"/>
          <w:lang w:val="fr-CA"/>
        </w:rPr>
        <w:t> :</w:t>
      </w:r>
      <w:r w:rsidRPr="00D35EA5">
        <w:rPr>
          <w:szCs w:val="24"/>
          <w:lang w:val="fr-CA"/>
        </w:rPr>
        <w:t xml:space="preserve"> essentiellement tous les membres de la fonction publique fédérale; les membres de la GRC; les membres de la force régulière des Forces canadiennes</w:t>
      </w:r>
      <w:r w:rsidR="00337D23">
        <w:rPr>
          <w:szCs w:val="24"/>
          <w:lang w:val="fr-CA"/>
        </w:rPr>
        <w:t xml:space="preserve"> (les « membres des régimes »)</w:t>
      </w:r>
      <w:r w:rsidRPr="00D35EA5">
        <w:rPr>
          <w:szCs w:val="24"/>
          <w:lang w:val="fr-CA"/>
        </w:rPr>
        <w:t xml:space="preserve">.  </w:t>
      </w:r>
      <w:r w:rsidRPr="00D35EA5">
        <w:rPr>
          <w:lang w:val="fr-CA"/>
        </w:rPr>
        <w:t xml:space="preserve">Les trois régimes sont administrés par le gouvernement du Canada et sont des régimes contributifs à prestations déterminées.  Les lois régissant ces </w:t>
      </w:r>
      <w:r w:rsidRPr="00D35EA5">
        <w:rPr>
          <w:lang w:val="fr-CA"/>
        </w:rPr>
        <w:lastRenderedPageBreak/>
        <w:t>régimes prévoient pour chacun la constitution d’un « compte de pension de retraite », où sont inscrits les montants versés dans le régime et ceux qui en sont retir</w:t>
      </w:r>
      <w:r w:rsidR="002037D2">
        <w:rPr>
          <w:lang w:val="fr-CA"/>
        </w:rPr>
        <w:t xml:space="preserve">és. </w:t>
      </w:r>
      <w:r w:rsidRPr="00D35EA5">
        <w:rPr>
          <w:lang w:val="fr-CA"/>
        </w:rPr>
        <w:t xml:space="preserve"> </w:t>
      </w:r>
      <w:r w:rsidRPr="00113198">
        <w:rPr>
          <w:lang w:val="fr-CA"/>
        </w:rPr>
        <w:t xml:space="preserve">Pendant les années 1990, </w:t>
      </w:r>
      <w:r>
        <w:rPr>
          <w:lang w:val="fr-CA"/>
        </w:rPr>
        <w:t>ces comptes ont commencé à afficher des surplus actuariels (c’est</w:t>
      </w:r>
      <w:r w:rsidR="002037D2">
        <w:rPr>
          <w:lang w:val="fr-CA"/>
        </w:rPr>
        <w:noBreakHyphen/>
      </w:r>
      <w:proofErr w:type="spellStart"/>
      <w:r>
        <w:rPr>
          <w:lang w:val="fr-CA"/>
        </w:rPr>
        <w:t>à</w:t>
      </w:r>
      <w:r w:rsidR="002037D2">
        <w:rPr>
          <w:lang w:val="fr-CA"/>
        </w:rPr>
        <w:noBreakHyphen/>
      </w:r>
      <w:r>
        <w:rPr>
          <w:lang w:val="fr-CA"/>
        </w:rPr>
        <w:t>dire</w:t>
      </w:r>
      <w:proofErr w:type="spellEnd"/>
      <w:r>
        <w:rPr>
          <w:lang w:val="fr-CA"/>
        </w:rPr>
        <w:t xml:space="preserve"> que les montants portés à leur crédit excédaient les coûts estimatifs du versement des prestations)</w:t>
      </w:r>
      <w:r w:rsidRPr="00113198">
        <w:rPr>
          <w:lang w:val="fr-CA"/>
        </w:rPr>
        <w:t xml:space="preserve">.  </w:t>
      </w:r>
      <w:r>
        <w:rPr>
          <w:lang w:val="fr-CA"/>
        </w:rPr>
        <w:t>Au mois de mars 1999, le total des surplus accumulés par les trois régimes atteignait plus ou moins 30,9 milliards de dollars</w:t>
      </w:r>
      <w:r w:rsidRPr="00113198">
        <w:rPr>
          <w:lang w:val="fr-FR"/>
        </w:rPr>
        <w:t xml:space="preserve">.  </w:t>
      </w:r>
      <w:r>
        <w:rPr>
          <w:szCs w:val="24"/>
          <w:lang w:val="fr-CA"/>
        </w:rPr>
        <w:t>Deux périodes sont visées par le pourvoi</w:t>
      </w:r>
      <w:r w:rsidRPr="00113198">
        <w:rPr>
          <w:szCs w:val="24"/>
          <w:lang w:val="fr-FR"/>
        </w:rPr>
        <w:t xml:space="preserve">. </w:t>
      </w:r>
      <w:r w:rsidR="002037D2">
        <w:rPr>
          <w:szCs w:val="24"/>
          <w:lang w:val="fr-FR"/>
        </w:rPr>
        <w:t xml:space="preserve"> </w:t>
      </w:r>
      <w:r w:rsidR="00895D2F">
        <w:rPr>
          <w:szCs w:val="24"/>
          <w:lang w:val="fr-CA"/>
        </w:rPr>
        <w:t xml:space="preserve">La première va jusqu’au 31 mars </w:t>
      </w:r>
      <w:r>
        <w:rPr>
          <w:szCs w:val="24"/>
          <w:lang w:val="fr-CA"/>
        </w:rPr>
        <w:t xml:space="preserve">2000 inclusivement, soit la période précédant l’entrée en vigueur </w:t>
      </w:r>
      <w:r>
        <w:rPr>
          <w:szCs w:val="24"/>
          <w:lang w:val="fr-FR"/>
        </w:rPr>
        <w:t>de la</w:t>
      </w:r>
      <w:r w:rsidRPr="00113198">
        <w:rPr>
          <w:szCs w:val="24"/>
          <w:lang w:val="fr-FR"/>
        </w:rPr>
        <w:t xml:space="preserve"> </w:t>
      </w:r>
      <w:r>
        <w:rPr>
          <w:i/>
          <w:lang w:val="fr-CA"/>
        </w:rPr>
        <w:t>Loi sur l’Office d’investissement des régimes de pensions du secteur public</w:t>
      </w:r>
      <w:r>
        <w:rPr>
          <w:lang w:val="fr-FR"/>
        </w:rPr>
        <w:t>, L</w:t>
      </w:r>
      <w:r w:rsidRPr="00901B64">
        <w:rPr>
          <w:lang w:val="fr-FR"/>
        </w:rPr>
        <w:t xml:space="preserve">.C. 1999, </w:t>
      </w:r>
      <w:r w:rsidR="002037D2">
        <w:rPr>
          <w:lang w:val="fr-FR"/>
        </w:rPr>
        <w:t>ch. </w:t>
      </w:r>
      <w:r w:rsidRPr="00901B64">
        <w:rPr>
          <w:lang w:val="fr-FR"/>
        </w:rPr>
        <w:t xml:space="preserve">34 </w:t>
      </w:r>
      <w:r>
        <w:rPr>
          <w:lang w:val="fr-FR"/>
        </w:rPr>
        <w:t>(le « projet de loi</w:t>
      </w:r>
      <w:r>
        <w:rPr>
          <w:szCs w:val="24"/>
          <w:lang w:val="fr-FR"/>
        </w:rPr>
        <w:t xml:space="preserve"> C</w:t>
      </w:r>
      <w:r w:rsidR="002037D2">
        <w:rPr>
          <w:szCs w:val="24"/>
          <w:lang w:val="fr-FR"/>
        </w:rPr>
        <w:noBreakHyphen/>
      </w:r>
      <w:r>
        <w:rPr>
          <w:szCs w:val="24"/>
          <w:lang w:val="fr-FR"/>
        </w:rPr>
        <w:t>78 »</w:t>
      </w:r>
      <w:r w:rsidRPr="00901B64">
        <w:rPr>
          <w:szCs w:val="24"/>
          <w:lang w:val="fr-FR"/>
        </w:rPr>
        <w:t xml:space="preserve">), </w:t>
      </w:r>
      <w:r>
        <w:rPr>
          <w:szCs w:val="24"/>
          <w:lang w:val="fr-FR"/>
        </w:rPr>
        <w:t>qui a modifié les lois sur les pensions</w:t>
      </w:r>
      <w:r w:rsidRPr="00901B64">
        <w:rPr>
          <w:szCs w:val="24"/>
          <w:lang w:val="fr-FR"/>
        </w:rPr>
        <w:t xml:space="preserve"> </w:t>
      </w:r>
      <w:r w:rsidRPr="00901B64">
        <w:rPr>
          <w:lang w:val="fr-FR"/>
        </w:rPr>
        <w:t>(</w:t>
      </w:r>
      <w:r w:rsidRPr="000B4893">
        <w:rPr>
          <w:i/>
          <w:lang w:val="fr-FR"/>
        </w:rPr>
        <w:t>LPFP</w:t>
      </w:r>
      <w:r>
        <w:rPr>
          <w:lang w:val="fr-FR"/>
        </w:rPr>
        <w:t xml:space="preserve">; </w:t>
      </w:r>
      <w:r w:rsidRPr="000B4893">
        <w:rPr>
          <w:i/>
          <w:szCs w:val="24"/>
          <w:lang w:val="fr-CA"/>
        </w:rPr>
        <w:t>LPRFC</w:t>
      </w:r>
      <w:r>
        <w:rPr>
          <w:szCs w:val="24"/>
          <w:lang w:val="fr-FR"/>
        </w:rPr>
        <w:t xml:space="preserve"> et</w:t>
      </w:r>
      <w:r w:rsidRPr="00901B64">
        <w:rPr>
          <w:szCs w:val="24"/>
          <w:lang w:val="fr-FR"/>
        </w:rPr>
        <w:t xml:space="preserve"> </w:t>
      </w:r>
      <w:r w:rsidRPr="000B4893">
        <w:rPr>
          <w:i/>
          <w:szCs w:val="24"/>
          <w:lang w:val="fr-CA"/>
        </w:rPr>
        <w:t>LPRGRC</w:t>
      </w:r>
      <w:r w:rsidRPr="00901B64">
        <w:rPr>
          <w:szCs w:val="24"/>
          <w:lang w:val="fr-FR"/>
        </w:rPr>
        <w:t xml:space="preserve">) </w:t>
      </w:r>
      <w:r>
        <w:rPr>
          <w:szCs w:val="24"/>
          <w:lang w:val="fr-CA"/>
        </w:rPr>
        <w:t>et, par conséquent, les régimes</w:t>
      </w:r>
      <w:r w:rsidRPr="00901B64">
        <w:rPr>
          <w:szCs w:val="24"/>
          <w:lang w:val="fr-FR"/>
        </w:rPr>
        <w:t xml:space="preserve">. </w:t>
      </w:r>
      <w:r>
        <w:rPr>
          <w:szCs w:val="24"/>
          <w:lang w:val="fr-CA"/>
        </w:rPr>
        <w:t>La seconde commence le 1</w:t>
      </w:r>
      <w:r>
        <w:rPr>
          <w:szCs w:val="24"/>
          <w:vertAlign w:val="superscript"/>
          <w:lang w:val="fr-CA"/>
        </w:rPr>
        <w:t>er</w:t>
      </w:r>
      <w:r>
        <w:rPr>
          <w:szCs w:val="24"/>
          <w:lang w:val="fr-CA"/>
        </w:rPr>
        <w:t> avril</w:t>
      </w:r>
      <w:r w:rsidR="002037D2">
        <w:rPr>
          <w:szCs w:val="24"/>
          <w:lang w:val="fr-CA"/>
        </w:rPr>
        <w:t xml:space="preserve"> </w:t>
      </w:r>
      <w:r>
        <w:rPr>
          <w:szCs w:val="24"/>
          <w:lang w:val="fr-CA"/>
        </w:rPr>
        <w:t>2000, date d’entrée en vigueur du projet de loi C</w:t>
      </w:r>
      <w:r w:rsidR="002037D2">
        <w:rPr>
          <w:szCs w:val="24"/>
          <w:lang w:val="fr-CA"/>
        </w:rPr>
        <w:noBreakHyphen/>
      </w:r>
      <w:r>
        <w:rPr>
          <w:szCs w:val="24"/>
          <w:lang w:val="fr-CA"/>
        </w:rPr>
        <w:t>78.</w:t>
      </w:r>
      <w:r w:rsidRPr="00901B64">
        <w:rPr>
          <w:szCs w:val="24"/>
          <w:lang w:val="fr-FR"/>
        </w:rPr>
        <w:t xml:space="preserve"> </w:t>
      </w:r>
    </w:p>
    <w:p w:rsidR="0077444C" w:rsidRPr="00901B64" w:rsidRDefault="00895D2F" w:rsidP="002037D2">
      <w:pPr>
        <w:pStyle w:val="SCCNormalDoubleSpacing"/>
        <w:spacing w:after="480"/>
        <w:rPr>
          <w:szCs w:val="24"/>
          <w:lang w:val="fr-FR"/>
        </w:rPr>
      </w:pPr>
      <w:r>
        <w:rPr>
          <w:lang w:val="fr-CA"/>
        </w:rPr>
        <w:tab/>
      </w:r>
      <w:r w:rsidR="0077444C">
        <w:rPr>
          <w:lang w:val="fr-CA"/>
        </w:rPr>
        <w:t>Dans les Comptes publics (les rapports financiers annuels du Canada) de 1990</w:t>
      </w:r>
      <w:r w:rsidR="002037D2">
        <w:rPr>
          <w:lang w:val="fr-CA"/>
        </w:rPr>
        <w:noBreakHyphen/>
      </w:r>
      <w:r w:rsidR="0077444C">
        <w:rPr>
          <w:lang w:val="fr-CA"/>
        </w:rPr>
        <w:t>1991, le gouvernement a commencé à « amortir » les surplus actuariels des comptes de pension de retraite.</w:t>
      </w:r>
      <w:r w:rsidR="002037D2">
        <w:rPr>
          <w:lang w:val="fr-CA"/>
        </w:rPr>
        <w:t xml:space="preserve"> </w:t>
      </w:r>
      <w:r w:rsidR="0077444C" w:rsidRPr="00901B64">
        <w:rPr>
          <w:lang w:val="fr-FR"/>
        </w:rPr>
        <w:t xml:space="preserve"> </w:t>
      </w:r>
      <w:r w:rsidR="0077444C">
        <w:rPr>
          <w:szCs w:val="24"/>
          <w:lang w:val="fr-CA"/>
        </w:rPr>
        <w:t>Cet « amortissement » a eu un double effet</w:t>
      </w:r>
      <w:r w:rsidR="002037D2">
        <w:rPr>
          <w:szCs w:val="24"/>
          <w:lang w:val="fr-CA"/>
        </w:rPr>
        <w:t> :</w:t>
      </w:r>
      <w:r w:rsidR="0077444C">
        <w:rPr>
          <w:szCs w:val="24"/>
          <w:lang w:val="fr-CA"/>
        </w:rPr>
        <w:t xml:space="preserve"> il a réduit le déficit budgétaire annuel du gouvernement (ou accru le surplus budgétaire annuel), en abaissant les charges de retraite annuelles, et il a ramené à un niveau inférieur la dette nette du gouvernement en rabaissant le montant net du passif au titre des pensions de retraite à un niveau plus près des estimations actuarielles des engagements à venir du gouvernement au titre des pensions</w:t>
      </w:r>
      <w:r w:rsidR="0077444C" w:rsidRPr="00901B64">
        <w:rPr>
          <w:szCs w:val="24"/>
          <w:lang w:val="fr-FR"/>
        </w:rPr>
        <w:t xml:space="preserve">. </w:t>
      </w:r>
    </w:p>
    <w:p w:rsidR="0077444C" w:rsidRPr="00B27119" w:rsidRDefault="00895D2F" w:rsidP="002037D2">
      <w:pPr>
        <w:pStyle w:val="SCCNormalDoubleSpacing"/>
        <w:spacing w:after="480"/>
        <w:rPr>
          <w:szCs w:val="24"/>
          <w:lang w:val="fr-FR"/>
        </w:rPr>
      </w:pPr>
      <w:r>
        <w:rPr>
          <w:szCs w:val="24"/>
          <w:lang w:val="fr-CA"/>
        </w:rPr>
        <w:lastRenderedPageBreak/>
        <w:tab/>
      </w:r>
      <w:r w:rsidR="0077444C">
        <w:rPr>
          <w:szCs w:val="24"/>
          <w:lang w:val="fr-CA"/>
        </w:rPr>
        <w:t>En 1999, le gouvernement a présenté le projet de loi C</w:t>
      </w:r>
      <w:r w:rsidR="002037D2">
        <w:rPr>
          <w:szCs w:val="24"/>
          <w:lang w:val="fr-CA"/>
        </w:rPr>
        <w:noBreakHyphen/>
      </w:r>
      <w:r w:rsidR="0077444C">
        <w:rPr>
          <w:szCs w:val="24"/>
          <w:lang w:val="fr-CA"/>
        </w:rPr>
        <w:t>78</w:t>
      </w:r>
      <w:r w:rsidR="0077444C" w:rsidRPr="00901B64">
        <w:rPr>
          <w:szCs w:val="24"/>
          <w:lang w:val="fr-FR"/>
        </w:rPr>
        <w:t xml:space="preserve">, </w:t>
      </w:r>
      <w:r w:rsidR="0077444C">
        <w:rPr>
          <w:szCs w:val="24"/>
          <w:lang w:val="fr-FR"/>
        </w:rPr>
        <w:t>entré en vigueur le 1</w:t>
      </w:r>
      <w:r w:rsidR="0077444C" w:rsidRPr="00901B64">
        <w:rPr>
          <w:szCs w:val="24"/>
          <w:vertAlign w:val="superscript"/>
          <w:lang w:val="fr-FR"/>
        </w:rPr>
        <w:t>er</w:t>
      </w:r>
      <w:r>
        <w:rPr>
          <w:szCs w:val="24"/>
          <w:lang w:val="fr-FR"/>
        </w:rPr>
        <w:t> </w:t>
      </w:r>
      <w:r w:rsidR="0077444C">
        <w:rPr>
          <w:szCs w:val="24"/>
          <w:lang w:val="fr-FR"/>
        </w:rPr>
        <w:t xml:space="preserve">avril 2000, qui a </w:t>
      </w:r>
      <w:r w:rsidR="0077444C">
        <w:rPr>
          <w:szCs w:val="24"/>
          <w:lang w:val="fr-CA"/>
        </w:rPr>
        <w:t>apporté des changements substantiels aux lois sur les pensions et changé</w:t>
      </w:r>
      <w:r w:rsidR="0077444C" w:rsidRPr="00901B64">
        <w:rPr>
          <w:lang w:val="fr-CA"/>
        </w:rPr>
        <w:t xml:space="preserve"> </w:t>
      </w:r>
      <w:r w:rsidR="0077444C">
        <w:rPr>
          <w:lang w:val="fr-CA"/>
        </w:rPr>
        <w:t>le mode de perception, de gestion et de distribution des contributions aux régimes</w:t>
      </w:r>
      <w:r w:rsidR="0077444C">
        <w:rPr>
          <w:szCs w:val="24"/>
          <w:lang w:val="fr-FR"/>
        </w:rPr>
        <w:t xml:space="preserve">.  </w:t>
      </w:r>
      <w:r w:rsidR="0077444C">
        <w:rPr>
          <w:szCs w:val="24"/>
          <w:lang w:val="fr-CA"/>
        </w:rPr>
        <w:t>En remplacement de chacun des comptes de pension de retraite prévus par les lois sur les pensions, il a établi une caisse de retraite à l’égard du service postérieur au 31 mars</w:t>
      </w:r>
      <w:r w:rsidR="00E77C1F">
        <w:rPr>
          <w:szCs w:val="24"/>
          <w:lang w:val="fr-CA"/>
        </w:rPr>
        <w:t xml:space="preserve"> </w:t>
      </w:r>
      <w:r w:rsidR="0077444C">
        <w:rPr>
          <w:szCs w:val="24"/>
          <w:lang w:val="fr-CA"/>
        </w:rPr>
        <w:t>2000</w:t>
      </w:r>
      <w:r w:rsidR="0077444C" w:rsidRPr="00B27119">
        <w:rPr>
          <w:szCs w:val="24"/>
          <w:lang w:val="fr-FR"/>
        </w:rPr>
        <w:t xml:space="preserve">.  </w:t>
      </w:r>
      <w:r w:rsidR="0077444C">
        <w:rPr>
          <w:szCs w:val="24"/>
          <w:lang w:val="fr-CA"/>
        </w:rPr>
        <w:t>Depuis le 1</w:t>
      </w:r>
      <w:r w:rsidR="0077444C">
        <w:rPr>
          <w:szCs w:val="24"/>
          <w:vertAlign w:val="superscript"/>
          <w:lang w:val="fr-CA"/>
        </w:rPr>
        <w:t>er</w:t>
      </w:r>
      <w:r w:rsidR="00E77C1F">
        <w:rPr>
          <w:szCs w:val="24"/>
          <w:lang w:val="fr-CA"/>
        </w:rPr>
        <w:t xml:space="preserve"> avril </w:t>
      </w:r>
      <w:r w:rsidR="0077444C">
        <w:rPr>
          <w:szCs w:val="24"/>
          <w:lang w:val="fr-CA"/>
        </w:rPr>
        <w:t>2000, les contributions des employés et du gouvernement relativement au service courant sont versées aux caisses de retraite.</w:t>
      </w:r>
      <w:r w:rsidR="0077444C" w:rsidRPr="00B27119">
        <w:rPr>
          <w:szCs w:val="24"/>
          <w:lang w:val="fr-FR"/>
        </w:rPr>
        <w:t xml:space="preserve"> </w:t>
      </w:r>
      <w:r>
        <w:rPr>
          <w:szCs w:val="24"/>
          <w:lang w:val="fr-FR"/>
        </w:rPr>
        <w:t xml:space="preserve"> </w:t>
      </w:r>
      <w:r w:rsidR="0077444C">
        <w:rPr>
          <w:szCs w:val="24"/>
          <w:lang w:val="fr-CA"/>
        </w:rPr>
        <w:t>Les prestations afférentes au service ouvrant droit à pension antérieur au 1</w:t>
      </w:r>
      <w:r w:rsidR="0077444C">
        <w:rPr>
          <w:szCs w:val="24"/>
          <w:vertAlign w:val="superscript"/>
          <w:lang w:val="fr-CA"/>
        </w:rPr>
        <w:t>er</w:t>
      </w:r>
      <w:r w:rsidR="0077444C">
        <w:rPr>
          <w:szCs w:val="24"/>
          <w:lang w:val="fr-CA"/>
        </w:rPr>
        <w:t> avril 2000 sont payées sur le compte de pension de retraite approprié, mais les prestations afférentes au service postérieur à cette date sont imputées à la caisse de retraite appropriée</w:t>
      </w:r>
      <w:r w:rsidR="0077444C" w:rsidRPr="00B27119">
        <w:rPr>
          <w:szCs w:val="24"/>
          <w:lang w:val="fr-FR"/>
        </w:rPr>
        <w:t>.  Le projet de loi</w:t>
      </w:r>
      <w:r w:rsidR="0077444C" w:rsidRPr="00B27119">
        <w:rPr>
          <w:lang w:val="fr-FR"/>
        </w:rPr>
        <w:t xml:space="preserve"> C</w:t>
      </w:r>
      <w:r w:rsidR="002037D2">
        <w:rPr>
          <w:lang w:val="fr-FR"/>
        </w:rPr>
        <w:noBreakHyphen/>
      </w:r>
      <w:r w:rsidR="0077444C" w:rsidRPr="00B27119">
        <w:rPr>
          <w:lang w:val="fr-FR"/>
        </w:rPr>
        <w:t xml:space="preserve">78 obligeait </w:t>
      </w:r>
      <w:r w:rsidR="0077444C">
        <w:rPr>
          <w:lang w:val="fr-CA"/>
        </w:rPr>
        <w:t>le ministre à débiter les comptes de pension de retraite de certains montants excédant le plafond établi pour les surplus actuariels</w:t>
      </w:r>
      <w:r w:rsidR="0077444C" w:rsidRPr="00B27119">
        <w:rPr>
          <w:lang w:val="fr-FR"/>
        </w:rPr>
        <w:t xml:space="preserve">.  </w:t>
      </w:r>
      <w:r w:rsidR="0077444C">
        <w:rPr>
          <w:lang w:val="fr-CA"/>
        </w:rPr>
        <w:t>En application du projet de loi C</w:t>
      </w:r>
      <w:r w:rsidR="002037D2">
        <w:rPr>
          <w:lang w:val="fr-CA"/>
        </w:rPr>
        <w:noBreakHyphen/>
      </w:r>
      <w:r w:rsidR="0077444C">
        <w:rPr>
          <w:lang w:val="fr-CA"/>
        </w:rPr>
        <w:t>78, qui produisait des effets différents de la méthode d’amortissement antérieure, le gouvernement a porté plus de 28 milliards de dollars directement au débit des comptes de pension de retraite, réduisant ainsi leurs surplus actuariels</w:t>
      </w:r>
      <w:r w:rsidR="0077444C" w:rsidRPr="00B27119">
        <w:rPr>
          <w:lang w:val="fr-FR"/>
        </w:rPr>
        <w:t xml:space="preserve">.  </w:t>
      </w:r>
    </w:p>
    <w:p w:rsidR="0077444C" w:rsidRPr="00975DC6" w:rsidRDefault="00895D2F" w:rsidP="002037D2">
      <w:pPr>
        <w:pStyle w:val="SCCNormalDoubleSpacing"/>
        <w:spacing w:after="480"/>
        <w:rPr>
          <w:szCs w:val="24"/>
          <w:lang w:val="fr-FR"/>
        </w:rPr>
      </w:pPr>
      <w:r>
        <w:rPr>
          <w:lang w:val="fr-FR"/>
        </w:rPr>
        <w:tab/>
      </w:r>
      <w:r w:rsidR="0077444C">
        <w:rPr>
          <w:lang w:val="fr-FR"/>
        </w:rPr>
        <w:t xml:space="preserve">Des syndicats et des associations </w:t>
      </w:r>
      <w:r w:rsidR="0077444C">
        <w:rPr>
          <w:lang w:val="fr-CA"/>
        </w:rPr>
        <w:t>ont poursuivi le gouvernement pour obtenir la restitution des 28 milliards de dollars aux régimes de pension</w:t>
      </w:r>
      <w:r w:rsidR="0077444C" w:rsidRPr="00B27119">
        <w:rPr>
          <w:lang w:val="fr-FR"/>
        </w:rPr>
        <w:t xml:space="preserve">.  </w:t>
      </w:r>
      <w:r w:rsidR="0077444C">
        <w:rPr>
          <w:lang w:val="fr-CA"/>
        </w:rPr>
        <w:t>Le juge de première instance a rejeté leurs demandes et la Cour d’appel de l’Ontario a confirmé sa décision</w:t>
      </w:r>
      <w:r w:rsidR="0077444C" w:rsidRPr="00B27119">
        <w:rPr>
          <w:lang w:val="fr-FR"/>
        </w:rPr>
        <w:t xml:space="preserve">. </w:t>
      </w:r>
      <w:r w:rsidR="002037D2">
        <w:rPr>
          <w:lang w:val="fr-FR"/>
        </w:rPr>
        <w:t xml:space="preserve"> </w:t>
      </w:r>
      <w:r w:rsidR="00E77C1F">
        <w:rPr>
          <w:lang w:val="fr-FR"/>
        </w:rPr>
        <w:t>Dans leur pourv</w:t>
      </w:r>
      <w:r w:rsidR="0077444C">
        <w:rPr>
          <w:lang w:val="fr-FR"/>
        </w:rPr>
        <w:t xml:space="preserve">oi, ils </w:t>
      </w:r>
      <w:r w:rsidR="0077444C">
        <w:rPr>
          <w:szCs w:val="24"/>
          <w:lang w:val="fr-CA"/>
        </w:rPr>
        <w:t xml:space="preserve">demandent à notre Cour de rendre un jugement déclaratoire portant que les membres des régimes possèdent un intérêt en </w:t>
      </w:r>
      <w:proofErr w:type="spellStart"/>
      <w:r w:rsidR="0077444C">
        <w:rPr>
          <w:szCs w:val="24"/>
          <w:lang w:val="fr-CA"/>
        </w:rPr>
        <w:t>equity</w:t>
      </w:r>
      <w:proofErr w:type="spellEnd"/>
      <w:r w:rsidR="0077444C">
        <w:rPr>
          <w:szCs w:val="24"/>
          <w:lang w:val="fr-CA"/>
        </w:rPr>
        <w:t xml:space="preserve"> dans le solde des comptes de</w:t>
      </w:r>
      <w:r w:rsidR="002037D2">
        <w:rPr>
          <w:szCs w:val="24"/>
          <w:lang w:val="fr-CA"/>
        </w:rPr>
        <w:t xml:space="preserve"> pension de retraite au 31 mars </w:t>
      </w:r>
      <w:r w:rsidR="0077444C">
        <w:rPr>
          <w:szCs w:val="24"/>
          <w:lang w:val="fr-CA"/>
        </w:rPr>
        <w:t>2000</w:t>
      </w:r>
      <w:r w:rsidR="0077444C" w:rsidRPr="00B27119">
        <w:rPr>
          <w:szCs w:val="24"/>
          <w:lang w:val="fr-FR"/>
        </w:rPr>
        <w:t xml:space="preserve">.  </w:t>
      </w:r>
      <w:r w:rsidR="0077444C" w:rsidRPr="00975DC6">
        <w:rPr>
          <w:szCs w:val="24"/>
          <w:lang w:val="fr-FR"/>
        </w:rPr>
        <w:t xml:space="preserve">Ils demandent </w:t>
      </w:r>
      <w:r w:rsidR="0077444C" w:rsidRPr="00975DC6">
        <w:rPr>
          <w:szCs w:val="24"/>
          <w:lang w:val="fr-FR"/>
        </w:rPr>
        <w:lastRenderedPageBreak/>
        <w:t>également à la Cour d</w:t>
      </w:r>
      <w:r w:rsidR="002037D2">
        <w:rPr>
          <w:szCs w:val="24"/>
          <w:lang w:val="fr-FR"/>
        </w:rPr>
        <w:t>e déclarer que le projet de loi </w:t>
      </w:r>
      <w:r w:rsidR="0077444C" w:rsidRPr="00975DC6">
        <w:rPr>
          <w:szCs w:val="24"/>
          <w:lang w:val="fr-FR"/>
        </w:rPr>
        <w:t>C</w:t>
      </w:r>
      <w:r w:rsidR="002037D2">
        <w:rPr>
          <w:szCs w:val="24"/>
          <w:lang w:val="fr-FR"/>
        </w:rPr>
        <w:noBreakHyphen/>
      </w:r>
      <w:r w:rsidR="0077444C" w:rsidRPr="00975DC6">
        <w:rPr>
          <w:szCs w:val="24"/>
          <w:lang w:val="fr-FR"/>
        </w:rPr>
        <w:t>78 ne permet pas de</w:t>
      </w:r>
      <w:r w:rsidR="0077444C" w:rsidRPr="00975DC6">
        <w:rPr>
          <w:szCs w:val="24"/>
          <w:lang w:val="fr-CA"/>
        </w:rPr>
        <w:t xml:space="preserve"> </w:t>
      </w:r>
      <w:r w:rsidR="0077444C">
        <w:rPr>
          <w:szCs w:val="24"/>
          <w:lang w:val="fr-CA"/>
        </w:rPr>
        <w:t xml:space="preserve">réduire sans indemnisation quelque montant que ce soit des comptes de pension de retraite dans lequel les membres des </w:t>
      </w:r>
      <w:r w:rsidR="00337D23">
        <w:rPr>
          <w:szCs w:val="24"/>
          <w:lang w:val="fr-CA"/>
        </w:rPr>
        <w:t>régimes</w:t>
      </w:r>
      <w:r w:rsidR="0077444C">
        <w:rPr>
          <w:szCs w:val="24"/>
          <w:lang w:val="fr-CA"/>
        </w:rPr>
        <w:t xml:space="preserve"> ont un intérêt en </w:t>
      </w:r>
      <w:proofErr w:type="spellStart"/>
      <w:r w:rsidR="0077444C">
        <w:rPr>
          <w:szCs w:val="24"/>
          <w:lang w:val="fr-CA"/>
        </w:rPr>
        <w:t>equity</w:t>
      </w:r>
      <w:proofErr w:type="spellEnd"/>
      <w:r w:rsidR="0077444C" w:rsidRPr="00975DC6">
        <w:rPr>
          <w:szCs w:val="24"/>
          <w:lang w:val="fr-FR"/>
        </w:rPr>
        <w:t>.</w:t>
      </w:r>
      <w:r w:rsidR="0077444C">
        <w:rPr>
          <w:szCs w:val="24"/>
          <w:lang w:val="fr-FR"/>
        </w:rPr>
        <w:t xml:space="preserve">  </w:t>
      </w:r>
      <w:r w:rsidR="0077444C">
        <w:rPr>
          <w:szCs w:val="24"/>
          <w:lang w:val="fr-CA"/>
        </w:rPr>
        <w:t xml:space="preserve">Ils demandent aussi que soient portés au crédit des comptes de pension de retraite tout montant dans lequel les membres des régimes ont un intérêt en </w:t>
      </w:r>
      <w:proofErr w:type="spellStart"/>
      <w:r w:rsidR="0077444C">
        <w:rPr>
          <w:szCs w:val="24"/>
          <w:lang w:val="fr-CA"/>
        </w:rPr>
        <w:t>equity</w:t>
      </w:r>
      <w:proofErr w:type="spellEnd"/>
      <w:r w:rsidR="0077444C">
        <w:rPr>
          <w:szCs w:val="24"/>
          <w:lang w:val="fr-CA"/>
        </w:rPr>
        <w:t xml:space="preserve"> et qui en a été retiré à la suite du projet de loi C</w:t>
      </w:r>
      <w:r w:rsidR="002037D2">
        <w:rPr>
          <w:szCs w:val="24"/>
          <w:lang w:val="fr-CA"/>
        </w:rPr>
        <w:noBreakHyphen/>
      </w:r>
      <w:r w:rsidR="0077444C">
        <w:rPr>
          <w:szCs w:val="24"/>
          <w:lang w:val="fr-CA"/>
        </w:rPr>
        <w:t>78, ainsi que les intérêts y afférents</w:t>
      </w:r>
      <w:r w:rsidR="0077444C" w:rsidRPr="00975DC6">
        <w:rPr>
          <w:szCs w:val="24"/>
          <w:lang w:val="fr-FR"/>
        </w:rPr>
        <w:t xml:space="preserve">. </w:t>
      </w:r>
    </w:p>
    <w:p w:rsidR="0077444C" w:rsidRPr="00B7335B" w:rsidRDefault="00895D2F" w:rsidP="00895D2F">
      <w:pPr>
        <w:pStyle w:val="SCCNormalDoubleSpacing"/>
        <w:spacing w:after="480"/>
        <w:rPr>
          <w:lang w:val="fr-FR"/>
        </w:rPr>
      </w:pPr>
      <w:r>
        <w:rPr>
          <w:i/>
          <w:lang w:val="fr-FR"/>
        </w:rPr>
        <w:tab/>
      </w:r>
      <w:r w:rsidR="0077444C" w:rsidRPr="00B7335B">
        <w:rPr>
          <w:i/>
          <w:lang w:val="fr-FR"/>
        </w:rPr>
        <w:t>Arrêt</w:t>
      </w:r>
      <w:r w:rsidR="002037D2">
        <w:rPr>
          <w:i/>
          <w:lang w:val="fr-FR"/>
        </w:rPr>
        <w:t> </w:t>
      </w:r>
      <w:r w:rsidR="002037D2" w:rsidRPr="001D1AD7">
        <w:rPr>
          <w:lang w:val="fr-FR"/>
        </w:rPr>
        <w:t>:</w:t>
      </w:r>
      <w:r w:rsidR="0077444C" w:rsidRPr="00B7335B">
        <w:rPr>
          <w:lang w:val="fr-FR"/>
        </w:rPr>
        <w:t xml:space="preserve"> Le pourvoi est rejet</w:t>
      </w:r>
      <w:r w:rsidR="001D1AD7">
        <w:rPr>
          <w:lang w:val="fr-FR"/>
        </w:rPr>
        <w:t>é</w:t>
      </w:r>
      <w:r w:rsidR="0077444C" w:rsidRPr="00B7335B">
        <w:rPr>
          <w:lang w:val="fr-FR"/>
        </w:rPr>
        <w:t>.</w:t>
      </w:r>
    </w:p>
    <w:p w:rsidR="0077444C" w:rsidRPr="00B7335B" w:rsidRDefault="00895D2F" w:rsidP="002037D2">
      <w:pPr>
        <w:pStyle w:val="SCCNormalDoubleSpacing"/>
        <w:spacing w:after="480"/>
        <w:rPr>
          <w:lang w:val="fr-FR"/>
        </w:rPr>
      </w:pPr>
      <w:r>
        <w:rPr>
          <w:szCs w:val="24"/>
          <w:lang w:val="fr-CA"/>
        </w:rPr>
        <w:tab/>
      </w:r>
      <w:r w:rsidR="0077444C">
        <w:rPr>
          <w:szCs w:val="24"/>
          <w:lang w:val="fr-CA"/>
        </w:rPr>
        <w:t xml:space="preserve">Les comptes de pension de retraite </w:t>
      </w:r>
      <w:r w:rsidR="00337D23">
        <w:rPr>
          <w:szCs w:val="24"/>
          <w:lang w:val="fr-CA"/>
        </w:rPr>
        <w:t>sont</w:t>
      </w:r>
      <w:r w:rsidR="0077444C">
        <w:rPr>
          <w:szCs w:val="24"/>
          <w:lang w:val="fr-CA"/>
        </w:rPr>
        <w:t xml:space="preserve"> des livres comptables prescrits par la loi, et ils ne cont</w:t>
      </w:r>
      <w:r w:rsidR="00337D23">
        <w:rPr>
          <w:szCs w:val="24"/>
          <w:lang w:val="fr-CA"/>
        </w:rPr>
        <w:t>ienn</w:t>
      </w:r>
      <w:r w:rsidR="0077444C">
        <w:rPr>
          <w:szCs w:val="24"/>
          <w:lang w:val="fr-CA"/>
        </w:rPr>
        <w:t xml:space="preserve">ent pas </w:t>
      </w:r>
      <w:r w:rsidR="0077444C">
        <w:rPr>
          <w:lang w:val="fr-CA"/>
        </w:rPr>
        <w:t>d’éléments d’actif</w:t>
      </w:r>
      <w:r w:rsidR="0077444C">
        <w:rPr>
          <w:szCs w:val="24"/>
          <w:lang w:val="fr-CA"/>
        </w:rPr>
        <w:t xml:space="preserve"> dans lesquels les appelants </w:t>
      </w:r>
      <w:r w:rsidR="00337D23">
        <w:rPr>
          <w:szCs w:val="24"/>
          <w:lang w:val="fr-CA"/>
        </w:rPr>
        <w:t>poss</w:t>
      </w:r>
      <w:r w:rsidR="00F822DF">
        <w:rPr>
          <w:szCs w:val="24"/>
          <w:lang w:val="fr-CA"/>
        </w:rPr>
        <w:t>è</w:t>
      </w:r>
      <w:r w:rsidR="00337D23">
        <w:rPr>
          <w:szCs w:val="24"/>
          <w:lang w:val="fr-CA"/>
        </w:rPr>
        <w:t>deraient</w:t>
      </w:r>
      <w:r w:rsidR="0077444C">
        <w:rPr>
          <w:szCs w:val="24"/>
          <w:lang w:val="fr-CA"/>
        </w:rPr>
        <w:t xml:space="preserve"> un intérêt en </w:t>
      </w:r>
      <w:proofErr w:type="spellStart"/>
      <w:r w:rsidR="0077444C">
        <w:rPr>
          <w:szCs w:val="24"/>
          <w:lang w:val="fr-CA"/>
        </w:rPr>
        <w:t>common</w:t>
      </w:r>
      <w:proofErr w:type="spellEnd"/>
      <w:r w:rsidR="0077444C">
        <w:rPr>
          <w:szCs w:val="24"/>
          <w:lang w:val="fr-CA"/>
        </w:rPr>
        <w:t xml:space="preserve"> </w:t>
      </w:r>
      <w:proofErr w:type="spellStart"/>
      <w:r w:rsidR="0077444C">
        <w:rPr>
          <w:szCs w:val="24"/>
          <w:lang w:val="fr-CA"/>
        </w:rPr>
        <w:t>law</w:t>
      </w:r>
      <w:proofErr w:type="spellEnd"/>
      <w:r w:rsidR="0077444C">
        <w:rPr>
          <w:szCs w:val="24"/>
          <w:lang w:val="fr-CA"/>
        </w:rPr>
        <w:t xml:space="preserve"> ou en </w:t>
      </w:r>
      <w:proofErr w:type="spellStart"/>
      <w:r w:rsidR="0077444C">
        <w:rPr>
          <w:szCs w:val="24"/>
          <w:lang w:val="fr-CA"/>
        </w:rPr>
        <w:t>equity</w:t>
      </w:r>
      <w:proofErr w:type="spellEnd"/>
      <w:r w:rsidR="0077444C" w:rsidRPr="00B7335B">
        <w:rPr>
          <w:szCs w:val="24"/>
          <w:lang w:val="fr-FR"/>
        </w:rPr>
        <w:t xml:space="preserve">.  </w:t>
      </w:r>
      <w:r w:rsidR="0077444C">
        <w:rPr>
          <w:szCs w:val="24"/>
          <w:lang w:val="fr-CA"/>
        </w:rPr>
        <w:t xml:space="preserve">L’intérêt des membres des régimes ne va pas </w:t>
      </w:r>
      <w:proofErr w:type="spellStart"/>
      <w:r w:rsidR="0077444C">
        <w:rPr>
          <w:szCs w:val="24"/>
          <w:lang w:val="fr-CA"/>
        </w:rPr>
        <w:t>au</w:t>
      </w:r>
      <w:r w:rsidR="002037D2">
        <w:rPr>
          <w:szCs w:val="24"/>
          <w:lang w:val="fr-CA"/>
        </w:rPr>
        <w:noBreakHyphen/>
      </w:r>
      <w:r w:rsidR="0077444C">
        <w:rPr>
          <w:szCs w:val="24"/>
          <w:lang w:val="fr-CA"/>
        </w:rPr>
        <w:t>delà</w:t>
      </w:r>
      <w:proofErr w:type="spellEnd"/>
      <w:r w:rsidR="0077444C">
        <w:rPr>
          <w:szCs w:val="24"/>
          <w:lang w:val="fr-CA"/>
        </w:rPr>
        <w:t xml:space="preserve"> de leur droit aux prestations déterminées prévues par les régimes</w:t>
      </w:r>
      <w:r w:rsidR="0077444C" w:rsidRPr="00B7335B">
        <w:rPr>
          <w:szCs w:val="24"/>
          <w:lang w:val="fr-FR"/>
        </w:rPr>
        <w:t>.</w:t>
      </w:r>
      <w:r>
        <w:rPr>
          <w:szCs w:val="24"/>
          <w:lang w:val="fr-FR"/>
        </w:rPr>
        <w:t xml:space="preserve"> </w:t>
      </w:r>
      <w:r w:rsidR="0077444C" w:rsidRPr="00B7335B">
        <w:rPr>
          <w:szCs w:val="24"/>
          <w:lang w:val="fr-FR"/>
        </w:rPr>
        <w:t xml:space="preserve"> </w:t>
      </w:r>
      <w:r w:rsidR="0077444C">
        <w:rPr>
          <w:lang w:val="fr-CA"/>
        </w:rPr>
        <w:t xml:space="preserve">Les lois sur les pensions ont établi ces comptes pour suivre les opérations effectuées dans le Trésor à l’égard des régimes et </w:t>
      </w:r>
      <w:r w:rsidR="00337D23">
        <w:rPr>
          <w:lang w:val="fr-CA"/>
        </w:rPr>
        <w:t>pour estimer les</w:t>
      </w:r>
      <w:r w:rsidR="0077444C">
        <w:rPr>
          <w:lang w:val="fr-CA"/>
        </w:rPr>
        <w:t xml:space="preserve"> engagements du gouvernement envers les membres des régimes au titre des pensions</w:t>
      </w:r>
      <w:r w:rsidR="0077444C" w:rsidRPr="00B7335B">
        <w:rPr>
          <w:lang w:val="fr-FR"/>
        </w:rPr>
        <w:t xml:space="preserve">. </w:t>
      </w:r>
      <w:r w:rsidR="00AE7F2D">
        <w:rPr>
          <w:lang w:val="fr-FR"/>
        </w:rPr>
        <w:t xml:space="preserve"> </w:t>
      </w:r>
      <w:r w:rsidR="0077444C">
        <w:rPr>
          <w:lang w:val="fr-FR"/>
        </w:rPr>
        <w:t xml:space="preserve">Ils constituent donc des </w:t>
      </w:r>
      <w:r w:rsidR="0077444C">
        <w:rPr>
          <w:lang w:val="fr-CA"/>
        </w:rPr>
        <w:t>documents comptables, et non de</w:t>
      </w:r>
      <w:r w:rsidR="00337D23">
        <w:rPr>
          <w:lang w:val="fr-CA"/>
        </w:rPr>
        <w:t>s</w:t>
      </w:r>
      <w:r w:rsidR="0077444C">
        <w:rPr>
          <w:lang w:val="fr-CA"/>
        </w:rPr>
        <w:t xml:space="preserve"> portefeuilles d’éléments d’actif capitalisés et distincts</w:t>
      </w:r>
      <w:r w:rsidR="0077444C" w:rsidRPr="00B7335B">
        <w:rPr>
          <w:lang w:val="fr-FR"/>
        </w:rPr>
        <w:t xml:space="preserve">. </w:t>
      </w:r>
      <w:r w:rsidR="00AE7F2D">
        <w:rPr>
          <w:lang w:val="fr-FR"/>
        </w:rPr>
        <w:t xml:space="preserve"> </w:t>
      </w:r>
      <w:r w:rsidR="0077444C">
        <w:rPr>
          <w:lang w:val="fr-CA"/>
        </w:rPr>
        <w:t>Le mot « actif », employé dans les dispositions législatives à l’égard des comptes de pension de retraite, s’entend simplement du solde créditeur des comptes, et non d’une chose de valeur dans laquelle les appelants pourraient posséder un intérêt</w:t>
      </w:r>
      <w:r w:rsidR="0077444C" w:rsidRPr="00B7335B">
        <w:rPr>
          <w:lang w:val="fr-FR"/>
        </w:rPr>
        <w:t xml:space="preserve">. </w:t>
      </w:r>
      <w:r w:rsidR="00AE7F2D">
        <w:rPr>
          <w:lang w:val="fr-FR"/>
        </w:rPr>
        <w:t xml:space="preserve"> </w:t>
      </w:r>
      <w:r w:rsidR="0077444C">
        <w:rPr>
          <w:lang w:val="fr-FR"/>
        </w:rPr>
        <w:t>M</w:t>
      </w:r>
      <w:proofErr w:type="spellStart"/>
      <w:r w:rsidR="0077444C">
        <w:rPr>
          <w:lang w:val="fr-CA"/>
        </w:rPr>
        <w:t>ême</w:t>
      </w:r>
      <w:proofErr w:type="spellEnd"/>
      <w:r w:rsidR="0077444C">
        <w:rPr>
          <w:lang w:val="fr-CA"/>
        </w:rPr>
        <w:t xml:space="preserve"> si le recours à des moyens extrinsèques était approprié pour déterminer si, en l’espèce, les comptes de pension de retraite contiennent des éléments d’actif, la preuve extrinsèque n’est pas concluante</w:t>
      </w:r>
      <w:r w:rsidR="0077444C" w:rsidRPr="00B7335B">
        <w:rPr>
          <w:lang w:val="fr-FR"/>
        </w:rPr>
        <w:t xml:space="preserve">.  Elle ne nous éclaire pas </w:t>
      </w:r>
      <w:r w:rsidR="0077444C" w:rsidRPr="00B7335B">
        <w:rPr>
          <w:lang w:val="fr-FR"/>
        </w:rPr>
        <w:lastRenderedPageBreak/>
        <w:t>non plus</w:t>
      </w:r>
      <w:r w:rsidR="0077444C" w:rsidRPr="00B7335B">
        <w:rPr>
          <w:lang w:val="fr-CA"/>
        </w:rPr>
        <w:t xml:space="preserve"> </w:t>
      </w:r>
      <w:r w:rsidR="0077444C">
        <w:rPr>
          <w:lang w:val="fr-CA"/>
        </w:rPr>
        <w:t>sur l’intention que poursuivait le législateur en créant les comptes de pension de retraite</w:t>
      </w:r>
      <w:r w:rsidR="0077444C" w:rsidRPr="00B7335B">
        <w:rPr>
          <w:lang w:val="fr-FR"/>
        </w:rPr>
        <w:t xml:space="preserve">.  </w:t>
      </w:r>
    </w:p>
    <w:p w:rsidR="0077444C" w:rsidRPr="004E2D3C" w:rsidRDefault="00895D2F" w:rsidP="002037D2">
      <w:pPr>
        <w:pStyle w:val="SCCNormalDoubleSpacing"/>
        <w:spacing w:after="480"/>
        <w:rPr>
          <w:lang w:val="fr-FR"/>
        </w:rPr>
      </w:pPr>
      <w:r>
        <w:rPr>
          <w:lang w:val="fr-CA"/>
        </w:rPr>
        <w:tab/>
      </w:r>
      <w:r w:rsidR="0077444C">
        <w:rPr>
          <w:lang w:val="fr-CA"/>
        </w:rPr>
        <w:t xml:space="preserve">C’est à bon droit que les juridictions inférieures ont rejeté la théorie selon laquelle le gouvernement avait emprunté aux comptes contre des promesses de remboursement (les éléments d’actif censés s’y trouver). </w:t>
      </w:r>
      <w:r w:rsidR="0077444C" w:rsidRPr="00FF4A47">
        <w:rPr>
          <w:lang w:val="fr-FR"/>
        </w:rPr>
        <w:t xml:space="preserve"> </w:t>
      </w:r>
      <w:r w:rsidR="0077444C">
        <w:rPr>
          <w:lang w:val="fr-CA"/>
        </w:rPr>
        <w:t>Cette théorie ne cadre pas avec les dispositions législatives, car elle postule que le gouvernement était tenu de contribuer aux comptes en y plaçant des biens</w:t>
      </w:r>
      <w:r w:rsidR="0077444C" w:rsidRPr="00FF4A47">
        <w:rPr>
          <w:lang w:val="fr-FR"/>
        </w:rPr>
        <w:t xml:space="preserve">. </w:t>
      </w:r>
      <w:r w:rsidR="00337D23">
        <w:rPr>
          <w:lang w:val="fr-CA"/>
        </w:rPr>
        <w:t>L</w:t>
      </w:r>
      <w:r w:rsidR="0077444C">
        <w:rPr>
          <w:lang w:val="fr-CA"/>
        </w:rPr>
        <w:t>es comptes n’étant que des documents comptables, cela aurait été impossible</w:t>
      </w:r>
      <w:r w:rsidR="0077444C" w:rsidRPr="00FF4A47">
        <w:rPr>
          <w:lang w:val="fr-FR"/>
        </w:rPr>
        <w:t xml:space="preserve">. </w:t>
      </w:r>
      <w:r w:rsidR="00AE7F2D">
        <w:rPr>
          <w:lang w:val="fr-FR"/>
        </w:rPr>
        <w:t xml:space="preserve"> </w:t>
      </w:r>
      <w:r w:rsidR="0077444C">
        <w:rPr>
          <w:lang w:val="fr-CA"/>
        </w:rPr>
        <w:t>Avant le 1</w:t>
      </w:r>
      <w:r w:rsidR="0077444C">
        <w:rPr>
          <w:vertAlign w:val="superscript"/>
          <w:lang w:val="fr-CA"/>
        </w:rPr>
        <w:t>er</w:t>
      </w:r>
      <w:r w:rsidR="00AE7F2D">
        <w:rPr>
          <w:lang w:val="fr-CA"/>
        </w:rPr>
        <w:t xml:space="preserve"> avril </w:t>
      </w:r>
      <w:r w:rsidR="0077444C">
        <w:rPr>
          <w:lang w:val="fr-CA"/>
        </w:rPr>
        <w:t>2000, les fonds réels liés au système de pension du gouvernement étaient indistinctement incorporés au Trésor, jusqu’au paiement — sur le Trésor — des prestations aux membres des régimes</w:t>
      </w:r>
      <w:r w:rsidR="0077444C" w:rsidRPr="00FF4A47">
        <w:rPr>
          <w:lang w:val="fr-FR"/>
        </w:rPr>
        <w:t xml:space="preserve">.  </w:t>
      </w:r>
      <w:r w:rsidR="0077444C">
        <w:rPr>
          <w:lang w:val="fr-CA"/>
        </w:rPr>
        <w:t>On ne peut parler d’« emprunt interne » à l’égard du régime de pension qu’au sens où le régime, tel qu’il est conçu, évite le recours aux emprunts externes qui seraient autrement nécessaires pour financer les obligations du gouvernement au titre des pensions</w:t>
      </w:r>
      <w:r w:rsidR="0077444C" w:rsidRPr="00FF4A47">
        <w:rPr>
          <w:lang w:val="fr-FR"/>
        </w:rPr>
        <w:t xml:space="preserve">. </w:t>
      </w:r>
      <w:r w:rsidR="00AE7F2D">
        <w:rPr>
          <w:lang w:val="fr-FR"/>
        </w:rPr>
        <w:t xml:space="preserve"> </w:t>
      </w:r>
      <w:r w:rsidR="0077444C" w:rsidRPr="004E2D3C">
        <w:rPr>
          <w:lang w:val="fr-FR"/>
        </w:rPr>
        <w:t xml:space="preserve">Les comptes de pension de retraite </w:t>
      </w:r>
      <w:r w:rsidR="0077444C">
        <w:rPr>
          <w:lang w:val="fr-CA"/>
        </w:rPr>
        <w:t xml:space="preserve">ne sont que des </w:t>
      </w:r>
      <w:r w:rsidR="00337D23">
        <w:rPr>
          <w:lang w:val="fr-CA"/>
        </w:rPr>
        <w:t>documents</w:t>
      </w:r>
      <w:r w:rsidR="0077444C">
        <w:rPr>
          <w:lang w:val="fr-CA"/>
        </w:rPr>
        <w:t xml:space="preserve"> comptables et non des caisses et ils ne s’« apparente[nt] » pas à des fiducies, de sorte qu’il n’est pas possible d’emprunter à ces comptes</w:t>
      </w:r>
      <w:r w:rsidR="0077444C" w:rsidRPr="004E2D3C">
        <w:rPr>
          <w:lang w:val="fr-FR"/>
        </w:rPr>
        <w:t>.</w:t>
      </w:r>
    </w:p>
    <w:p w:rsidR="0077444C" w:rsidRPr="00B12009" w:rsidRDefault="00895D2F" w:rsidP="002037D2">
      <w:pPr>
        <w:pStyle w:val="SCCNormalDoubleSpacing"/>
        <w:spacing w:after="480"/>
        <w:rPr>
          <w:szCs w:val="24"/>
          <w:lang w:val="fr-FR"/>
        </w:rPr>
      </w:pPr>
      <w:r>
        <w:rPr>
          <w:szCs w:val="24"/>
          <w:lang w:val="fr-FR"/>
        </w:rPr>
        <w:tab/>
      </w:r>
      <w:r w:rsidR="0077444C" w:rsidRPr="004E2D3C">
        <w:rPr>
          <w:szCs w:val="24"/>
          <w:lang w:val="fr-FR"/>
        </w:rPr>
        <w:t xml:space="preserve">Comme les comptes de pension de retraite ne contiennent pas d’éléments d’actif, </w:t>
      </w:r>
      <w:r w:rsidR="0077444C">
        <w:rPr>
          <w:szCs w:val="24"/>
          <w:lang w:val="fr-CA"/>
        </w:rPr>
        <w:t xml:space="preserve">il n’existait aucun bien dans lequel les membres des régimes </w:t>
      </w:r>
      <w:r w:rsidR="00337D23">
        <w:rPr>
          <w:szCs w:val="24"/>
          <w:lang w:val="fr-CA"/>
        </w:rPr>
        <w:t>peuvent</w:t>
      </w:r>
      <w:r w:rsidR="0077444C">
        <w:rPr>
          <w:szCs w:val="24"/>
          <w:lang w:val="fr-CA"/>
        </w:rPr>
        <w:t xml:space="preserve"> avoir un intérêt en </w:t>
      </w:r>
      <w:proofErr w:type="spellStart"/>
      <w:r w:rsidR="0077444C">
        <w:rPr>
          <w:szCs w:val="24"/>
          <w:lang w:val="fr-CA"/>
        </w:rPr>
        <w:t>common</w:t>
      </w:r>
      <w:proofErr w:type="spellEnd"/>
      <w:r w:rsidR="0077444C">
        <w:rPr>
          <w:szCs w:val="24"/>
          <w:lang w:val="fr-CA"/>
        </w:rPr>
        <w:t xml:space="preserve"> </w:t>
      </w:r>
      <w:proofErr w:type="spellStart"/>
      <w:r w:rsidR="0077444C">
        <w:rPr>
          <w:szCs w:val="24"/>
          <w:lang w:val="fr-CA"/>
        </w:rPr>
        <w:t>law</w:t>
      </w:r>
      <w:proofErr w:type="spellEnd"/>
      <w:r w:rsidR="0077444C">
        <w:rPr>
          <w:szCs w:val="24"/>
          <w:lang w:val="fr-CA"/>
        </w:rPr>
        <w:t xml:space="preserve"> ou en </w:t>
      </w:r>
      <w:proofErr w:type="spellStart"/>
      <w:r w:rsidR="0077444C">
        <w:rPr>
          <w:szCs w:val="24"/>
          <w:lang w:val="fr-CA"/>
        </w:rPr>
        <w:t>equity</w:t>
      </w:r>
      <w:proofErr w:type="spellEnd"/>
      <w:r w:rsidR="0077444C" w:rsidRPr="004E2D3C">
        <w:rPr>
          <w:szCs w:val="24"/>
          <w:lang w:val="fr-FR"/>
        </w:rPr>
        <w:t xml:space="preserve">.  </w:t>
      </w:r>
      <w:r w:rsidR="0077444C">
        <w:rPr>
          <w:szCs w:val="24"/>
          <w:lang w:val="fr-FR"/>
        </w:rPr>
        <w:t xml:space="preserve">Toutefois, </w:t>
      </w:r>
      <w:r w:rsidR="0077444C">
        <w:rPr>
          <w:szCs w:val="24"/>
          <w:lang w:val="fr-CA"/>
        </w:rPr>
        <w:t xml:space="preserve">même en supposant que les comptes contiennent des </w:t>
      </w:r>
      <w:r w:rsidR="0077444C">
        <w:rPr>
          <w:lang w:val="fr-CA"/>
        </w:rPr>
        <w:t>éléments d’actif</w:t>
      </w:r>
      <w:r w:rsidR="0077444C">
        <w:rPr>
          <w:szCs w:val="24"/>
          <w:lang w:val="fr-CA"/>
        </w:rPr>
        <w:t xml:space="preserve">, il n’a pas été établi que les membres des régimes </w:t>
      </w:r>
      <w:r w:rsidR="005437DE">
        <w:rPr>
          <w:szCs w:val="24"/>
          <w:lang w:val="fr-CA"/>
        </w:rPr>
        <w:t>ont</w:t>
      </w:r>
      <w:r w:rsidR="0077444C">
        <w:rPr>
          <w:szCs w:val="24"/>
          <w:lang w:val="fr-CA"/>
        </w:rPr>
        <w:t xml:space="preserve"> un intérêt </w:t>
      </w:r>
      <w:proofErr w:type="spellStart"/>
      <w:r w:rsidR="0077444C">
        <w:rPr>
          <w:szCs w:val="24"/>
          <w:lang w:val="fr-CA"/>
        </w:rPr>
        <w:t>propriétal</w:t>
      </w:r>
      <w:proofErr w:type="spellEnd"/>
      <w:r w:rsidR="0077444C">
        <w:rPr>
          <w:szCs w:val="24"/>
          <w:lang w:val="fr-CA"/>
        </w:rPr>
        <w:t xml:space="preserve"> dans les contributions qu’ils ont versées ou les crédits </w:t>
      </w:r>
      <w:r w:rsidR="0077444C">
        <w:rPr>
          <w:szCs w:val="24"/>
          <w:lang w:val="fr-CA"/>
        </w:rPr>
        <w:lastRenderedPageBreak/>
        <w:t>gouvernementaux prévus par les lois sur les pensions</w:t>
      </w:r>
      <w:r w:rsidR="0077444C" w:rsidRPr="004E2D3C">
        <w:rPr>
          <w:szCs w:val="24"/>
          <w:lang w:val="fr-FR"/>
        </w:rPr>
        <w:t>.</w:t>
      </w:r>
      <w:r w:rsidR="0077444C" w:rsidRPr="004E2D3C">
        <w:rPr>
          <w:lang w:val="fr-FR"/>
        </w:rPr>
        <w:t xml:space="preserve"> </w:t>
      </w:r>
      <w:r>
        <w:rPr>
          <w:lang w:val="fr-FR"/>
        </w:rPr>
        <w:t xml:space="preserve"> </w:t>
      </w:r>
      <w:r w:rsidR="0077444C">
        <w:rPr>
          <w:szCs w:val="24"/>
          <w:lang w:val="fr-CA"/>
        </w:rPr>
        <w:t xml:space="preserve">Selon le sens ordinaire des lois sur les pensions, </w:t>
      </w:r>
      <w:proofErr w:type="spellStart"/>
      <w:r w:rsidR="0077444C">
        <w:rPr>
          <w:szCs w:val="24"/>
          <w:lang w:val="fr-CA"/>
        </w:rPr>
        <w:t>celles</w:t>
      </w:r>
      <w:r w:rsidR="002037D2">
        <w:rPr>
          <w:szCs w:val="24"/>
          <w:lang w:val="fr-CA"/>
        </w:rPr>
        <w:noBreakHyphen/>
      </w:r>
      <w:r w:rsidR="0077444C">
        <w:rPr>
          <w:szCs w:val="24"/>
          <w:lang w:val="fr-CA"/>
        </w:rPr>
        <w:t>ci</w:t>
      </w:r>
      <w:proofErr w:type="spellEnd"/>
      <w:r w:rsidR="0077444C">
        <w:rPr>
          <w:szCs w:val="24"/>
          <w:lang w:val="fr-CA"/>
        </w:rPr>
        <w:t xml:space="preserve"> n’indiquent pas que les membres des régimes possèdent un intérêt </w:t>
      </w:r>
      <w:proofErr w:type="spellStart"/>
      <w:r w:rsidR="0077444C">
        <w:rPr>
          <w:szCs w:val="24"/>
          <w:lang w:val="fr-CA"/>
        </w:rPr>
        <w:t>propriétal</w:t>
      </w:r>
      <w:proofErr w:type="spellEnd"/>
      <w:r w:rsidR="0077444C">
        <w:rPr>
          <w:szCs w:val="24"/>
          <w:lang w:val="fr-CA"/>
        </w:rPr>
        <w:t xml:space="preserve"> dans leurs contributions. </w:t>
      </w:r>
      <w:r w:rsidR="0077444C" w:rsidRPr="004E2D3C">
        <w:rPr>
          <w:szCs w:val="24"/>
          <w:lang w:val="fr-FR"/>
        </w:rPr>
        <w:t xml:space="preserve"> </w:t>
      </w:r>
      <w:r w:rsidR="00337D23">
        <w:rPr>
          <w:szCs w:val="24"/>
          <w:lang w:val="fr-CA"/>
        </w:rPr>
        <w:t xml:space="preserve">Les fonctionnaires qui ont contribué aux régimes ne peuvent revendiquer aucun intérêt </w:t>
      </w:r>
      <w:proofErr w:type="spellStart"/>
      <w:r w:rsidR="00337D23">
        <w:rPr>
          <w:szCs w:val="24"/>
          <w:lang w:val="fr-CA"/>
        </w:rPr>
        <w:t>propriétal</w:t>
      </w:r>
      <w:proofErr w:type="spellEnd"/>
      <w:r w:rsidR="00337D23">
        <w:rPr>
          <w:szCs w:val="24"/>
          <w:lang w:val="fr-CA"/>
        </w:rPr>
        <w:t xml:space="preserve"> toujours existant dans ces montants.  </w:t>
      </w:r>
      <w:r w:rsidR="0077444C">
        <w:rPr>
          <w:szCs w:val="24"/>
          <w:lang w:val="fr-CA"/>
        </w:rPr>
        <w:t xml:space="preserve">En contrepartie de leurs contributions, et de chacune de leurs années de service ouvrant droit à pension, ils acquièrent le droit à des prestations futures.  </w:t>
      </w:r>
      <w:r w:rsidR="0077444C" w:rsidRPr="004D5710">
        <w:rPr>
          <w:szCs w:val="24"/>
          <w:lang w:val="fr-FR"/>
        </w:rPr>
        <w:t xml:space="preserve">On a soutenu </w:t>
      </w:r>
      <w:r w:rsidR="0077444C">
        <w:rPr>
          <w:szCs w:val="24"/>
          <w:lang w:val="fr-CA"/>
        </w:rPr>
        <w:t>que les employés possèdent un intérêt dans leurs contributions et celles de l’employeur, ainsi que dans les intérêts qu’elles produisent, car ces sommes font partie de leur rémunération totale</w:t>
      </w:r>
      <w:r w:rsidR="0077444C" w:rsidRPr="004D5710">
        <w:rPr>
          <w:szCs w:val="24"/>
          <w:lang w:val="fr-FR"/>
        </w:rPr>
        <w:t xml:space="preserve">.  </w:t>
      </w:r>
      <w:r w:rsidR="0077444C">
        <w:rPr>
          <w:szCs w:val="24"/>
          <w:lang w:val="fr-CA"/>
        </w:rPr>
        <w:t>Même en supposant qu’un tel intérêt existe à la date où les employés doivent toucher leur salaire, il ne saurait survivre à l’exigence établie dans les lois sur les pensions que ces contributions soient versées au Trésor et portées au crédit des comptes</w:t>
      </w:r>
      <w:r w:rsidR="0077444C" w:rsidRPr="004D5710">
        <w:rPr>
          <w:szCs w:val="24"/>
          <w:lang w:val="fr-FR"/>
        </w:rPr>
        <w:t xml:space="preserve">. </w:t>
      </w:r>
      <w:r w:rsidR="00AE7F2D">
        <w:rPr>
          <w:szCs w:val="24"/>
          <w:lang w:val="fr-FR"/>
        </w:rPr>
        <w:t xml:space="preserve"> </w:t>
      </w:r>
      <w:r w:rsidR="0077444C">
        <w:rPr>
          <w:szCs w:val="24"/>
          <w:lang w:val="fr-CA"/>
        </w:rPr>
        <w:t xml:space="preserve">En fait, les contributions représentent le « coût » assumé par les employés pour leur droit futur aux prestations déterminées prévues par la loi.  Les lois sur les pensions n’établissent pas non plus que les employés ont un intérêt en </w:t>
      </w:r>
      <w:proofErr w:type="spellStart"/>
      <w:r w:rsidR="0077444C">
        <w:rPr>
          <w:szCs w:val="24"/>
          <w:lang w:val="fr-CA"/>
        </w:rPr>
        <w:t>equity</w:t>
      </w:r>
      <w:proofErr w:type="spellEnd"/>
      <w:r w:rsidR="0077444C">
        <w:rPr>
          <w:szCs w:val="24"/>
          <w:lang w:val="fr-CA"/>
        </w:rPr>
        <w:t xml:space="preserve"> dans les sommes portées au crédit des comptes. </w:t>
      </w:r>
      <w:r w:rsidR="0077444C" w:rsidRPr="004D5710">
        <w:rPr>
          <w:szCs w:val="24"/>
          <w:lang w:val="fr-CA"/>
        </w:rPr>
        <w:t xml:space="preserve"> </w:t>
      </w:r>
      <w:r w:rsidR="0077444C">
        <w:rPr>
          <w:szCs w:val="24"/>
          <w:lang w:val="fr-CA"/>
        </w:rPr>
        <w:t>Elles confèrent uniquement un droit aux prestations déterminées qui y sont prévues</w:t>
      </w:r>
      <w:r w:rsidR="0077444C" w:rsidRPr="004D5710">
        <w:rPr>
          <w:szCs w:val="24"/>
          <w:lang w:val="fr-FR"/>
        </w:rPr>
        <w:t xml:space="preserve">.  </w:t>
      </w:r>
    </w:p>
    <w:p w:rsidR="0077444C" w:rsidRPr="00FA4995" w:rsidRDefault="00895D2F" w:rsidP="002037D2">
      <w:pPr>
        <w:pStyle w:val="SCCNormalDoubleSpacing"/>
        <w:spacing w:after="480"/>
        <w:rPr>
          <w:lang w:val="fr-FR"/>
        </w:rPr>
      </w:pPr>
      <w:r>
        <w:rPr>
          <w:szCs w:val="24"/>
          <w:lang w:val="fr-FR"/>
        </w:rPr>
        <w:tab/>
      </w:r>
      <w:r w:rsidR="0077444C" w:rsidRPr="001C23AD">
        <w:rPr>
          <w:szCs w:val="24"/>
          <w:lang w:val="fr-FR"/>
        </w:rPr>
        <w:t>Le</w:t>
      </w:r>
      <w:r w:rsidR="0077444C" w:rsidRPr="001C23AD">
        <w:rPr>
          <w:lang w:val="fr-FR"/>
        </w:rPr>
        <w:t xml:space="preserve"> gouvernement n’avait aucune obligation fiduciaire envers les membres des régimes à l’égard des surplus actuariels.  </w:t>
      </w:r>
      <w:r w:rsidR="0077444C">
        <w:rPr>
          <w:lang w:val="fr-CA"/>
        </w:rPr>
        <w:t xml:space="preserve">La relation en cause en l’espèce ne fait partie d’aucune des catégories de relations fiduciaires par nature.  </w:t>
      </w:r>
      <w:r w:rsidR="0077444C" w:rsidRPr="001C23AD">
        <w:rPr>
          <w:lang w:val="fr-CA"/>
        </w:rPr>
        <w:t xml:space="preserve">On affirme </w:t>
      </w:r>
      <w:r w:rsidR="0077444C">
        <w:rPr>
          <w:lang w:val="fr-CA"/>
        </w:rPr>
        <w:t>que le gouvernement, en tant qu’administrateur des régimes, exerce des fonctions fiduciaires reconnues</w:t>
      </w:r>
      <w:r w:rsidR="0077444C">
        <w:rPr>
          <w:lang w:val="fr-FR"/>
        </w:rPr>
        <w:t>.</w:t>
      </w:r>
      <w:r w:rsidR="0077444C" w:rsidRPr="001C23AD">
        <w:rPr>
          <w:lang w:val="fr-FR"/>
        </w:rPr>
        <w:t xml:space="preserve"> </w:t>
      </w:r>
      <w:r w:rsidR="002037D2">
        <w:rPr>
          <w:lang w:val="fr-FR"/>
        </w:rPr>
        <w:t xml:space="preserve"> </w:t>
      </w:r>
      <w:r w:rsidR="0077444C">
        <w:rPr>
          <w:szCs w:val="24"/>
          <w:lang w:val="fr-CA"/>
        </w:rPr>
        <w:t xml:space="preserve">Il n’est toutefois pas nécessaire de déterminer quelle serait l’étendue précise d’une obligation fiduciaire susceptible d’exister entre le </w:t>
      </w:r>
      <w:r w:rsidR="0077444C">
        <w:rPr>
          <w:szCs w:val="24"/>
          <w:lang w:val="fr-CA"/>
        </w:rPr>
        <w:lastRenderedPageBreak/>
        <w:t>gouvernement, en qualité d’administrateur des régimes de pension, et les bénéficiaires des régimes, ni si leur relation emporte intrinsèquement certaines obligations fiduciaires</w:t>
      </w:r>
      <w:r w:rsidR="0077444C" w:rsidRPr="001C23AD">
        <w:rPr>
          <w:szCs w:val="24"/>
          <w:lang w:val="fr-FR"/>
        </w:rPr>
        <w:t xml:space="preserve">.  </w:t>
      </w:r>
      <w:r w:rsidR="0077444C" w:rsidRPr="00FA4995">
        <w:rPr>
          <w:szCs w:val="24"/>
          <w:lang w:val="fr-FR"/>
        </w:rPr>
        <w:t>I</w:t>
      </w:r>
      <w:r w:rsidR="0077444C">
        <w:rPr>
          <w:szCs w:val="24"/>
          <w:lang w:val="fr-CA"/>
        </w:rPr>
        <w:t>l est clair que le gouvernement n’avait aucune obligation fiduciaire envers les membres des régimes à l’égard des surplus actuariels</w:t>
      </w:r>
      <w:r w:rsidR="0077444C" w:rsidRPr="00FA4995">
        <w:rPr>
          <w:szCs w:val="24"/>
          <w:lang w:val="fr-FR"/>
        </w:rPr>
        <w:t xml:space="preserve">.  </w:t>
      </w:r>
      <w:r w:rsidR="0077444C">
        <w:rPr>
          <w:szCs w:val="24"/>
          <w:lang w:val="fr-FR"/>
        </w:rPr>
        <w:t xml:space="preserve">Il </w:t>
      </w:r>
      <w:r w:rsidR="0077444C">
        <w:rPr>
          <w:lang w:val="fr-CA"/>
        </w:rPr>
        <w:t xml:space="preserve">n’existait pas de relation fiduciaire </w:t>
      </w:r>
      <w:r w:rsidR="0077444C">
        <w:rPr>
          <w:i/>
          <w:lang w:val="fr-CA"/>
        </w:rPr>
        <w:t>ad hoc</w:t>
      </w:r>
      <w:r w:rsidR="0077444C">
        <w:rPr>
          <w:lang w:val="fr-CA"/>
        </w:rPr>
        <w:t xml:space="preserve"> entre le gouvernement et les membres des régimes à l’égard des surplus actuariels qu’affichaient les comptes de pension de retraite</w:t>
      </w:r>
      <w:r w:rsidR="0077444C" w:rsidRPr="00FA4995">
        <w:rPr>
          <w:lang w:val="fr-FR"/>
        </w:rPr>
        <w:t xml:space="preserve">.  </w:t>
      </w:r>
      <w:r w:rsidR="0077444C">
        <w:rPr>
          <w:lang w:val="fr-CA"/>
        </w:rPr>
        <w:t>Point plus important, le gouvernement ne s’est pas engagé, de façon expresse ni implicite, à agir dans l’intérêt des membres relativement aux surplus actuariels</w:t>
      </w:r>
      <w:r w:rsidR="0077444C" w:rsidRPr="00FA4995">
        <w:rPr>
          <w:lang w:val="fr-FR"/>
        </w:rPr>
        <w:t xml:space="preserve">. </w:t>
      </w:r>
      <w:r w:rsidR="002037D2">
        <w:rPr>
          <w:lang w:val="fr-FR"/>
        </w:rPr>
        <w:t xml:space="preserve"> </w:t>
      </w:r>
      <w:r w:rsidR="0077444C">
        <w:rPr>
          <w:lang w:val="fr-CA"/>
        </w:rPr>
        <w:t>Le devoir du gouvernement, en l’absence d’un tel engagement de loyauté envers ce groupe particulier, consistait à agir dans l’intérêt de la société en général, ce qui n’est pas compatible avec l’existence d’une obligation fiduciaire</w:t>
      </w:r>
      <w:r w:rsidR="0077444C" w:rsidRPr="00FA4995">
        <w:rPr>
          <w:lang w:val="fr-FR"/>
        </w:rPr>
        <w:t xml:space="preserve">. </w:t>
      </w:r>
      <w:r w:rsidR="002037D2">
        <w:rPr>
          <w:lang w:val="fr-FR"/>
        </w:rPr>
        <w:t xml:space="preserve"> </w:t>
      </w:r>
      <w:r w:rsidR="0077444C">
        <w:rPr>
          <w:lang w:val="fr-CA"/>
        </w:rPr>
        <w:t>De plus, bien que le gouvernement ait exercé un pouvoir discrétionnaire à l’égard du traitement comptable des surplus des comptes de pension de retraite, les membres des régimes n’étaient pas en position de vulnérabilité face à ce pouvoir et ils n’avaient aucun intérêt juridique ou pratique en jeu</w:t>
      </w:r>
      <w:r w:rsidR="0077444C" w:rsidRPr="00FA4995">
        <w:rPr>
          <w:lang w:val="fr-FR"/>
        </w:rPr>
        <w:t xml:space="preserve">. </w:t>
      </w:r>
      <w:r w:rsidR="002037D2">
        <w:rPr>
          <w:lang w:val="fr-FR"/>
        </w:rPr>
        <w:t xml:space="preserve"> </w:t>
      </w:r>
      <w:r w:rsidR="0077444C">
        <w:rPr>
          <w:lang w:val="fr-CA"/>
        </w:rPr>
        <w:t>L’amortissement avait pour effet de présenter avec plus d’exactitude à combien se chiffraient les engagements réels du Canada au titre des pensions, et non de modifier les droits conférés par la loi aux membres des régimes</w:t>
      </w:r>
      <w:r w:rsidR="0077444C" w:rsidRPr="00FA4995">
        <w:rPr>
          <w:lang w:val="fr-FR"/>
        </w:rPr>
        <w:t>.</w:t>
      </w:r>
    </w:p>
    <w:p w:rsidR="0077444C" w:rsidRPr="00811751" w:rsidRDefault="00895D2F" w:rsidP="002037D2">
      <w:pPr>
        <w:pStyle w:val="SCCNormalDoubleSpacing"/>
        <w:spacing w:after="480"/>
        <w:rPr>
          <w:lang w:val="fr-FR"/>
        </w:rPr>
      </w:pPr>
      <w:r>
        <w:rPr>
          <w:szCs w:val="24"/>
          <w:lang w:val="fr-FR"/>
        </w:rPr>
        <w:tab/>
      </w:r>
      <w:r w:rsidR="0077444C">
        <w:rPr>
          <w:szCs w:val="24"/>
          <w:lang w:val="fr-FR"/>
        </w:rPr>
        <w:t xml:space="preserve">De plus, il n’y a pas </w:t>
      </w:r>
      <w:r w:rsidR="0077444C" w:rsidRPr="00811751">
        <w:rPr>
          <w:szCs w:val="24"/>
          <w:lang w:val="fr-FR"/>
        </w:rPr>
        <w:t>lieu d’imposer une fiducie par interprétation relativement aux soldes des compt</w:t>
      </w:r>
      <w:r w:rsidR="00AE7F2D">
        <w:rPr>
          <w:szCs w:val="24"/>
          <w:lang w:val="fr-FR"/>
        </w:rPr>
        <w:t>es de pension de retraite au 31 </w:t>
      </w:r>
      <w:r w:rsidR="0077444C" w:rsidRPr="00811751">
        <w:rPr>
          <w:szCs w:val="24"/>
          <w:lang w:val="fr-FR"/>
        </w:rPr>
        <w:t xml:space="preserve">mars 2000.  </w:t>
      </w:r>
      <w:r w:rsidR="0077444C">
        <w:rPr>
          <w:szCs w:val="24"/>
          <w:lang w:val="fr-FR"/>
        </w:rPr>
        <w:t xml:space="preserve">Il n’y a pas eu </w:t>
      </w:r>
      <w:r w:rsidR="0077444C">
        <w:rPr>
          <w:szCs w:val="24"/>
          <w:lang w:val="fr-CA"/>
        </w:rPr>
        <w:t xml:space="preserve">enrichissement et appauvrissement corrélatif, et la preuve </w:t>
      </w:r>
      <w:r w:rsidR="0077444C">
        <w:rPr>
          <w:i/>
          <w:szCs w:val="24"/>
          <w:lang w:val="fr-CA"/>
        </w:rPr>
        <w:t xml:space="preserve">prima </w:t>
      </w:r>
      <w:proofErr w:type="spellStart"/>
      <w:r w:rsidR="0077444C">
        <w:rPr>
          <w:i/>
          <w:szCs w:val="24"/>
          <w:lang w:val="fr-CA"/>
        </w:rPr>
        <w:t>facie</w:t>
      </w:r>
      <w:proofErr w:type="spellEnd"/>
      <w:r w:rsidR="0077444C">
        <w:rPr>
          <w:i/>
          <w:szCs w:val="24"/>
          <w:lang w:val="fr-CA"/>
        </w:rPr>
        <w:t xml:space="preserve"> </w:t>
      </w:r>
      <w:r w:rsidR="0077444C">
        <w:rPr>
          <w:szCs w:val="24"/>
          <w:lang w:val="fr-CA"/>
        </w:rPr>
        <w:t>de l’enrichissement injustifié n’a pas été établie.</w:t>
      </w:r>
      <w:r w:rsidR="0077444C" w:rsidRPr="00811751">
        <w:rPr>
          <w:szCs w:val="24"/>
          <w:lang w:val="fr-FR"/>
        </w:rPr>
        <w:t xml:space="preserve"> </w:t>
      </w:r>
      <w:r w:rsidR="00AE7F2D">
        <w:rPr>
          <w:szCs w:val="24"/>
          <w:lang w:val="fr-FR"/>
        </w:rPr>
        <w:t xml:space="preserve"> </w:t>
      </w:r>
      <w:r w:rsidR="0077444C">
        <w:rPr>
          <w:szCs w:val="24"/>
          <w:lang w:val="fr-CA"/>
        </w:rPr>
        <w:t>Les comptes de pension de retraite étant de simples documents comptables qui ne contiennent pas d’</w:t>
      </w:r>
      <w:r w:rsidR="0077444C">
        <w:rPr>
          <w:lang w:val="fr-CA"/>
        </w:rPr>
        <w:t>éléments d’actif</w:t>
      </w:r>
      <w:r w:rsidR="0077444C">
        <w:rPr>
          <w:szCs w:val="24"/>
          <w:lang w:val="fr-CA"/>
        </w:rPr>
        <w:t xml:space="preserve"> </w:t>
      </w:r>
      <w:r w:rsidR="0077444C">
        <w:rPr>
          <w:szCs w:val="24"/>
          <w:lang w:val="fr-CA"/>
        </w:rPr>
        <w:lastRenderedPageBreak/>
        <w:t>dans lesquels les appelants pour</w:t>
      </w:r>
      <w:r w:rsidR="002037D2">
        <w:rPr>
          <w:szCs w:val="24"/>
          <w:lang w:val="fr-CA"/>
        </w:rPr>
        <w:t>raient avoir un intérêt, ni (1) </w:t>
      </w:r>
      <w:r w:rsidR="0077444C">
        <w:rPr>
          <w:szCs w:val="24"/>
          <w:lang w:val="fr-CA"/>
        </w:rPr>
        <w:t>la décision prise par le gouvernement avant le 1</w:t>
      </w:r>
      <w:r w:rsidR="0077444C">
        <w:rPr>
          <w:szCs w:val="24"/>
          <w:vertAlign w:val="superscript"/>
          <w:lang w:val="fr-CA"/>
        </w:rPr>
        <w:t>er</w:t>
      </w:r>
      <w:r w:rsidR="00AE7F2D">
        <w:rPr>
          <w:szCs w:val="24"/>
          <w:lang w:val="fr-CA"/>
        </w:rPr>
        <w:t xml:space="preserve"> avril </w:t>
      </w:r>
      <w:r w:rsidR="0077444C">
        <w:rPr>
          <w:szCs w:val="24"/>
          <w:lang w:val="fr-CA"/>
        </w:rPr>
        <w:t>2000 d’amortir les surplus à des fins comptables, ni (2)</w:t>
      </w:r>
      <w:r w:rsidR="002037D2">
        <w:rPr>
          <w:szCs w:val="24"/>
          <w:lang w:val="fr-CA"/>
        </w:rPr>
        <w:t> </w:t>
      </w:r>
      <w:r w:rsidR="0077444C">
        <w:rPr>
          <w:szCs w:val="24"/>
          <w:lang w:val="fr-CA"/>
        </w:rPr>
        <w:t>la décision du législateur d’édicter le projet de loi C</w:t>
      </w:r>
      <w:r w:rsidR="002037D2">
        <w:rPr>
          <w:szCs w:val="24"/>
          <w:lang w:val="fr-CA"/>
        </w:rPr>
        <w:noBreakHyphen/>
      </w:r>
      <w:r w:rsidR="0077444C">
        <w:rPr>
          <w:szCs w:val="24"/>
          <w:lang w:val="fr-CA"/>
        </w:rPr>
        <w:t>78 exigeant qu’une partie des surplus soit portée directement au débit des comptes ne peuvent donner lieu à un enrichissement et à un appauvrissement corrélatif</w:t>
      </w:r>
      <w:r w:rsidR="0077444C" w:rsidRPr="00811751">
        <w:rPr>
          <w:szCs w:val="24"/>
          <w:lang w:val="fr-FR"/>
        </w:rPr>
        <w:t>.</w:t>
      </w:r>
    </w:p>
    <w:p w:rsidR="004D7D95" w:rsidRPr="004D7D95" w:rsidRDefault="00895D2F" w:rsidP="002037D2">
      <w:pPr>
        <w:pStyle w:val="SCCNormalDoubleSpacing"/>
        <w:spacing w:after="480"/>
        <w:rPr>
          <w:lang w:val="fr-CA"/>
        </w:rPr>
      </w:pPr>
      <w:r>
        <w:rPr>
          <w:lang w:val="fr-CA"/>
        </w:rPr>
        <w:tab/>
      </w:r>
      <w:r w:rsidR="00AE7F2D">
        <w:rPr>
          <w:lang w:val="fr-CA"/>
        </w:rPr>
        <w:t>Le projet de loi </w:t>
      </w:r>
      <w:r w:rsidR="0077444C" w:rsidRPr="00E14E61">
        <w:rPr>
          <w:lang w:val="fr-CA"/>
        </w:rPr>
        <w:t>C</w:t>
      </w:r>
      <w:r w:rsidR="002037D2">
        <w:rPr>
          <w:lang w:val="fr-CA"/>
        </w:rPr>
        <w:noBreakHyphen/>
      </w:r>
      <w:r w:rsidR="0077444C" w:rsidRPr="00E14E61">
        <w:rPr>
          <w:lang w:val="fr-CA"/>
        </w:rPr>
        <w:t>78 autorisait le gouvernement à porter les surplus actuariels au débit des comptes de pension de retraite</w:t>
      </w:r>
      <w:r w:rsidR="0077444C">
        <w:rPr>
          <w:szCs w:val="24"/>
          <w:lang w:val="fr-FR"/>
        </w:rPr>
        <w:t>.</w:t>
      </w:r>
      <w:r w:rsidR="0077444C" w:rsidRPr="00E14E61">
        <w:rPr>
          <w:szCs w:val="24"/>
          <w:lang w:val="fr-FR"/>
        </w:rPr>
        <w:t xml:space="preserve"> </w:t>
      </w:r>
      <w:r w:rsidR="00AE7F2D">
        <w:rPr>
          <w:szCs w:val="24"/>
          <w:lang w:val="fr-FR"/>
        </w:rPr>
        <w:t xml:space="preserve"> </w:t>
      </w:r>
      <w:r w:rsidR="0077444C">
        <w:rPr>
          <w:szCs w:val="24"/>
          <w:lang w:val="fr-FR"/>
        </w:rPr>
        <w:t>Les</w:t>
      </w:r>
      <w:r w:rsidR="0077444C" w:rsidRPr="00E14E61">
        <w:rPr>
          <w:lang w:val="fr-CA"/>
        </w:rPr>
        <w:t xml:space="preserve"> </w:t>
      </w:r>
      <w:r w:rsidR="0077444C">
        <w:rPr>
          <w:lang w:val="fr-CA"/>
        </w:rPr>
        <w:t xml:space="preserve">juridictions inférieures n’ont pas commis d’erreur en statuant que les membres des régimes n’avaient pas d’intérêt en </w:t>
      </w:r>
      <w:proofErr w:type="spellStart"/>
      <w:r w:rsidR="0077444C">
        <w:rPr>
          <w:lang w:val="fr-CA"/>
        </w:rPr>
        <w:t>equity</w:t>
      </w:r>
      <w:proofErr w:type="spellEnd"/>
      <w:r w:rsidR="0077444C">
        <w:rPr>
          <w:lang w:val="fr-CA"/>
        </w:rPr>
        <w:t xml:space="preserve"> dans les surplus des comptes de pension de retraite</w:t>
      </w:r>
      <w:r w:rsidR="0077444C" w:rsidRPr="00E14E61">
        <w:rPr>
          <w:lang w:val="fr-FR"/>
        </w:rPr>
        <w:t xml:space="preserve">.  </w:t>
      </w:r>
      <w:r w:rsidR="0077444C">
        <w:rPr>
          <w:lang w:val="fr-CA"/>
        </w:rPr>
        <w:t>Il s’ensuit que le projet de loi C</w:t>
      </w:r>
      <w:r w:rsidR="002037D2">
        <w:rPr>
          <w:lang w:val="fr-CA"/>
        </w:rPr>
        <w:noBreakHyphen/>
      </w:r>
      <w:r w:rsidR="0077444C">
        <w:rPr>
          <w:lang w:val="fr-CA"/>
        </w:rPr>
        <w:t>78 ne peut avoir exproprié les membres d’un bien</w:t>
      </w:r>
      <w:r w:rsidR="0077444C" w:rsidRPr="00E14E61">
        <w:rPr>
          <w:lang w:val="fr-FR"/>
        </w:rPr>
        <w:t xml:space="preserve">.  En outre, les lois sur les pensions </w:t>
      </w:r>
      <w:r w:rsidR="0077444C">
        <w:rPr>
          <w:rFonts w:cstheme="minorHAnsi"/>
          <w:szCs w:val="24"/>
          <w:lang w:val="fr-CA"/>
        </w:rPr>
        <w:t xml:space="preserve">établissent de façon non équivoque que le ministre </w:t>
      </w:r>
      <w:r w:rsidR="0077444C">
        <w:rPr>
          <w:rFonts w:cstheme="minorHAnsi"/>
          <w:i/>
          <w:szCs w:val="24"/>
          <w:lang w:val="fr-CA"/>
        </w:rPr>
        <w:t>peut</w:t>
      </w:r>
      <w:r w:rsidR="0077444C">
        <w:rPr>
          <w:rFonts w:cstheme="minorHAnsi"/>
          <w:szCs w:val="24"/>
          <w:lang w:val="fr-CA"/>
        </w:rPr>
        <w:t xml:space="preserve"> porter un surplus actuariel au débit des comptes et qu’il </w:t>
      </w:r>
      <w:r w:rsidR="0077444C">
        <w:rPr>
          <w:rFonts w:cstheme="minorHAnsi"/>
          <w:i/>
          <w:szCs w:val="24"/>
          <w:lang w:val="fr-CA"/>
        </w:rPr>
        <w:t>doit</w:t>
      </w:r>
      <w:r w:rsidR="0077444C">
        <w:rPr>
          <w:rFonts w:cstheme="minorHAnsi"/>
          <w:szCs w:val="24"/>
          <w:lang w:val="fr-CA"/>
        </w:rPr>
        <w:t xml:space="preserve"> porter au débit </w:t>
      </w:r>
      <w:r w:rsidR="002037D2">
        <w:rPr>
          <w:rFonts w:cstheme="minorHAnsi"/>
          <w:szCs w:val="24"/>
          <w:lang w:val="fr-CA"/>
        </w:rPr>
        <w:t>tout montant dépassant 110 pour </w:t>
      </w:r>
      <w:r w:rsidR="0077444C">
        <w:rPr>
          <w:rFonts w:cstheme="minorHAnsi"/>
          <w:szCs w:val="24"/>
          <w:lang w:val="fr-CA"/>
        </w:rPr>
        <w:t>100 du passif estimatif au titre des pensions</w:t>
      </w:r>
      <w:r w:rsidR="0077444C" w:rsidRPr="00E14E61">
        <w:rPr>
          <w:rFonts w:cstheme="minorHAnsi"/>
          <w:szCs w:val="24"/>
          <w:lang w:val="fr-FR"/>
        </w:rPr>
        <w:t>.</w:t>
      </w:r>
      <w:r w:rsidR="0077444C" w:rsidRPr="00E14E61">
        <w:rPr>
          <w:lang w:val="fr-FR"/>
        </w:rPr>
        <w:t xml:space="preserve">  </w:t>
      </w:r>
      <w:r w:rsidR="0077444C">
        <w:rPr>
          <w:lang w:val="fr-FR"/>
        </w:rPr>
        <w:t xml:space="preserve">Qui plus est, </w:t>
      </w:r>
      <w:r w:rsidR="0077444C">
        <w:rPr>
          <w:szCs w:val="24"/>
          <w:lang w:val="fr-CA"/>
        </w:rPr>
        <w:t>il est « très clair » que le législateur ne prévoyait pas que ces débits, qu’ils constituent ou non une expropriation, donnent lieu au versement d’une indemnité aux membres des régimes</w:t>
      </w:r>
      <w:r w:rsidR="00AE7F2D">
        <w:rPr>
          <w:szCs w:val="24"/>
          <w:lang w:val="fr-CA"/>
        </w:rPr>
        <w:t xml:space="preserve">. </w:t>
      </w:r>
      <w:r w:rsidR="0077444C" w:rsidRPr="00432423">
        <w:rPr>
          <w:szCs w:val="24"/>
          <w:lang w:val="fr-CA"/>
        </w:rPr>
        <w:t xml:space="preserve"> </w:t>
      </w:r>
      <w:r w:rsidR="0077444C">
        <w:rPr>
          <w:szCs w:val="24"/>
          <w:lang w:val="fr-CA"/>
        </w:rPr>
        <w:t xml:space="preserve">Il serait absurde de </w:t>
      </w:r>
      <w:r w:rsidR="00AE7F2D">
        <w:rPr>
          <w:szCs w:val="24"/>
          <w:lang w:val="fr-CA"/>
        </w:rPr>
        <w:t>considérer que le projet de loi </w:t>
      </w:r>
      <w:r w:rsidR="0077444C">
        <w:rPr>
          <w:szCs w:val="24"/>
          <w:lang w:val="fr-CA"/>
        </w:rPr>
        <w:t>C</w:t>
      </w:r>
      <w:r w:rsidR="002037D2">
        <w:rPr>
          <w:szCs w:val="24"/>
          <w:lang w:val="fr-CA"/>
        </w:rPr>
        <w:noBreakHyphen/>
      </w:r>
      <w:r w:rsidR="0077444C">
        <w:rPr>
          <w:szCs w:val="24"/>
          <w:lang w:val="fr-CA"/>
        </w:rPr>
        <w:t>78 exige que le gouvernement porte les sommes excédentaires au débit des comptes et lui impose ensuite de verser une indemnité aux membres des régimes pour les montants ainsi débités</w:t>
      </w:r>
      <w:r w:rsidR="0077444C" w:rsidRPr="00432423">
        <w:rPr>
          <w:szCs w:val="24"/>
          <w:lang w:val="fr-FR"/>
        </w:rPr>
        <w:t>.</w:t>
      </w:r>
      <w:r w:rsidR="00AE7F2D">
        <w:rPr>
          <w:szCs w:val="24"/>
          <w:lang w:val="fr-FR"/>
        </w:rPr>
        <w:t xml:space="preserve"> </w:t>
      </w:r>
      <w:r w:rsidR="0077444C" w:rsidRPr="00432423">
        <w:rPr>
          <w:szCs w:val="24"/>
          <w:lang w:val="fr-FR"/>
        </w:rPr>
        <w:t xml:space="preserve"> </w:t>
      </w:r>
      <w:r w:rsidR="0077444C">
        <w:rPr>
          <w:szCs w:val="24"/>
          <w:lang w:val="fr-CA"/>
        </w:rPr>
        <w:t>Une telle interprétation convertirait les dispositions pertinentes du projet de loi C</w:t>
      </w:r>
      <w:r w:rsidR="002037D2">
        <w:rPr>
          <w:szCs w:val="24"/>
          <w:lang w:val="fr-CA"/>
        </w:rPr>
        <w:noBreakHyphen/>
      </w:r>
      <w:r w:rsidR="0077444C">
        <w:rPr>
          <w:szCs w:val="24"/>
          <w:lang w:val="fr-CA"/>
        </w:rPr>
        <w:t>78 en un mécanisme de distribution — pourvoyant à la réduction des surplus et à une forme d’indemnisation des membres des régimes pour remplacer les surplus — alors que cela n’était clairement pas l’intention du législateur</w:t>
      </w:r>
      <w:r w:rsidR="002037D2">
        <w:rPr>
          <w:szCs w:val="24"/>
          <w:lang w:val="fr-FR"/>
        </w:rPr>
        <w:t>.</w:t>
      </w:r>
    </w:p>
    <w:p w:rsidR="004D7D95" w:rsidRPr="004D7D95" w:rsidRDefault="004D7D95" w:rsidP="002037D2">
      <w:pPr>
        <w:pStyle w:val="SCCNormalDoubleSpacing"/>
        <w:keepNext/>
        <w:spacing w:after="720" w:line="240" w:lineRule="auto"/>
        <w:rPr>
          <w:b/>
          <w:lang w:val="fr-CA"/>
        </w:rPr>
      </w:pPr>
      <w:r w:rsidRPr="004D7D95">
        <w:rPr>
          <w:b/>
          <w:lang w:val="fr-CA"/>
        </w:rPr>
        <w:lastRenderedPageBreak/>
        <w:t>Jurisprudence</w:t>
      </w:r>
    </w:p>
    <w:p w:rsidR="004D7D95" w:rsidRPr="004D7D95" w:rsidRDefault="004D7D95" w:rsidP="002037D2">
      <w:pPr>
        <w:pStyle w:val="SCCNormalDoubleSpacing"/>
        <w:spacing w:after="480"/>
        <w:rPr>
          <w:b/>
          <w:lang w:val="fr-CA"/>
        </w:rPr>
      </w:pPr>
      <w:r w:rsidRPr="004D7D95">
        <w:rPr>
          <w:lang w:val="fr-CA"/>
        </w:rPr>
        <w:tab/>
      </w:r>
      <w:r w:rsidR="00AF2870" w:rsidRPr="004D7D95">
        <w:rPr>
          <w:b/>
          <w:lang w:val="fr-CA"/>
        </w:rPr>
        <w:t xml:space="preserve">Arrêt </w:t>
      </w:r>
      <w:r w:rsidR="00AF2870" w:rsidRPr="002037D2">
        <w:rPr>
          <w:b/>
          <w:szCs w:val="24"/>
          <w:lang w:val="fr-CA"/>
        </w:rPr>
        <w:t>appliqué</w:t>
      </w:r>
      <w:r w:rsidR="002037D2">
        <w:rPr>
          <w:b/>
          <w:szCs w:val="24"/>
          <w:lang w:val="fr-CA"/>
        </w:rPr>
        <w:t> :</w:t>
      </w:r>
      <w:r w:rsidR="00AF2870" w:rsidRPr="002037D2">
        <w:rPr>
          <w:szCs w:val="24"/>
          <w:lang w:val="fr-CA"/>
        </w:rPr>
        <w:t xml:space="preserve"> </w:t>
      </w:r>
      <w:r w:rsidR="00AF2870" w:rsidRPr="002037D2">
        <w:rPr>
          <w:i/>
          <w:lang w:val="fr-CA"/>
        </w:rPr>
        <w:t xml:space="preserve">Alberta c. Elder </w:t>
      </w:r>
      <w:proofErr w:type="spellStart"/>
      <w:r w:rsidR="00AF2870" w:rsidRPr="002037D2">
        <w:rPr>
          <w:i/>
          <w:lang w:val="fr-CA"/>
        </w:rPr>
        <w:t>Advocates</w:t>
      </w:r>
      <w:proofErr w:type="spellEnd"/>
      <w:r w:rsidR="00AF2870" w:rsidRPr="002037D2">
        <w:rPr>
          <w:i/>
          <w:lang w:val="fr-CA"/>
        </w:rPr>
        <w:t xml:space="preserve"> of Alberta Society</w:t>
      </w:r>
      <w:r w:rsidR="00AF2870" w:rsidRPr="002037D2">
        <w:rPr>
          <w:lang w:val="fr-CA"/>
        </w:rPr>
        <w:t xml:space="preserve">, 2011 CSC 24, [2011] 2 R.C.S. 261; </w:t>
      </w:r>
      <w:r w:rsidR="00AF2870" w:rsidRPr="00AF2870">
        <w:rPr>
          <w:b/>
          <w:szCs w:val="24"/>
          <w:lang w:val="fr-CA"/>
        </w:rPr>
        <w:t>distinction d’avec les arrêts</w:t>
      </w:r>
      <w:r w:rsidR="002037D2">
        <w:rPr>
          <w:b/>
          <w:szCs w:val="24"/>
          <w:lang w:val="fr-CA"/>
        </w:rPr>
        <w:t> :</w:t>
      </w:r>
      <w:r w:rsidR="00AF2870">
        <w:rPr>
          <w:szCs w:val="24"/>
          <w:lang w:val="fr-CA"/>
        </w:rPr>
        <w:t xml:space="preserve"> </w:t>
      </w:r>
      <w:r w:rsidR="00AF2870" w:rsidRPr="002037D2">
        <w:rPr>
          <w:i/>
          <w:lang w:val="fr-CA"/>
        </w:rPr>
        <w:t>Burke c. Cie de la Baie d’Hudson</w:t>
      </w:r>
      <w:r w:rsidR="00AF2870" w:rsidRPr="002037D2">
        <w:rPr>
          <w:lang w:val="fr-CA"/>
        </w:rPr>
        <w:t xml:space="preserve">, 2010 CSC 34, [2010] 2 R.C.S. 273; </w:t>
      </w:r>
      <w:r w:rsidR="00AF2870" w:rsidRPr="002037D2">
        <w:rPr>
          <w:i/>
          <w:lang w:val="fr-CA"/>
        </w:rPr>
        <w:t>Bande et nation indiennes d’</w:t>
      </w:r>
      <w:proofErr w:type="spellStart"/>
      <w:r w:rsidR="00AF2870" w:rsidRPr="002037D2">
        <w:rPr>
          <w:i/>
          <w:lang w:val="fr-CA"/>
        </w:rPr>
        <w:t>Ermineskin</w:t>
      </w:r>
      <w:proofErr w:type="spellEnd"/>
      <w:r w:rsidR="00AF2870" w:rsidRPr="002037D2">
        <w:rPr>
          <w:i/>
          <w:lang w:val="fr-CA"/>
        </w:rPr>
        <w:t xml:space="preserve"> c. Canada</w:t>
      </w:r>
      <w:r w:rsidR="00AF2870" w:rsidRPr="002037D2">
        <w:rPr>
          <w:lang w:val="fr-CA"/>
        </w:rPr>
        <w:t xml:space="preserve">, 2009 CSC 9, [2009] 1 R.C.S. 222; </w:t>
      </w:r>
      <w:r w:rsidR="00AF2870">
        <w:rPr>
          <w:b/>
          <w:lang w:val="fr-CA"/>
        </w:rPr>
        <w:t>a</w:t>
      </w:r>
      <w:r w:rsidRPr="004D7D95">
        <w:rPr>
          <w:b/>
          <w:lang w:val="fr-CA"/>
        </w:rPr>
        <w:t>rrêts mentionnés</w:t>
      </w:r>
      <w:r w:rsidR="002037D2">
        <w:rPr>
          <w:b/>
          <w:lang w:val="fr-CA"/>
        </w:rPr>
        <w:t> :</w:t>
      </w:r>
      <w:r w:rsidR="00AE7F2D">
        <w:rPr>
          <w:lang w:val="fr-CA"/>
        </w:rPr>
        <w:t> </w:t>
      </w:r>
      <w:r w:rsidR="00D80391" w:rsidRPr="002037D2">
        <w:rPr>
          <w:i/>
          <w:lang w:val="fr-CA"/>
        </w:rPr>
        <w:t xml:space="preserve">Schmidt c. Air </w:t>
      </w:r>
      <w:proofErr w:type="spellStart"/>
      <w:r w:rsidR="00D80391" w:rsidRPr="002037D2">
        <w:rPr>
          <w:i/>
          <w:lang w:val="fr-CA"/>
        </w:rPr>
        <w:t>Products</w:t>
      </w:r>
      <w:proofErr w:type="spellEnd"/>
      <w:r w:rsidR="00D80391" w:rsidRPr="002037D2">
        <w:rPr>
          <w:i/>
          <w:lang w:val="fr-CA"/>
        </w:rPr>
        <w:t xml:space="preserve"> Canada Ltd.</w:t>
      </w:r>
      <w:r w:rsidR="00D80391" w:rsidRPr="002037D2">
        <w:rPr>
          <w:lang w:val="fr-CA"/>
        </w:rPr>
        <w:t xml:space="preserve">, [1994] 2 R.C.S. 611; </w:t>
      </w:r>
      <w:r w:rsidR="00D80391" w:rsidRPr="002037D2">
        <w:rPr>
          <w:i/>
          <w:lang w:val="fr-CA"/>
        </w:rPr>
        <w:t>Nolan c. Kerry (Canada) Inc.</w:t>
      </w:r>
      <w:r w:rsidR="00D80391" w:rsidRPr="002037D2">
        <w:rPr>
          <w:lang w:val="fr-CA"/>
        </w:rPr>
        <w:t xml:space="preserve">, 2009 CSC 39, [2009] 2 R.C.S. 678; </w:t>
      </w:r>
      <w:r w:rsidR="00D80391" w:rsidRPr="002037D2">
        <w:rPr>
          <w:i/>
          <w:lang w:val="fr-CA"/>
        </w:rPr>
        <w:t>Monsanto Canada Inc. c. Ontario (Surintendant des services financiers)</w:t>
      </w:r>
      <w:r w:rsidR="00D80391" w:rsidRPr="002037D2">
        <w:rPr>
          <w:lang w:val="fr-CA"/>
        </w:rPr>
        <w:t xml:space="preserve">, 2004 CSC 54, [2004] 3 R.C.S. 152; </w:t>
      </w:r>
      <w:r w:rsidR="00D80391" w:rsidRPr="002037D2">
        <w:rPr>
          <w:i/>
          <w:lang w:val="fr-CA"/>
        </w:rPr>
        <w:t xml:space="preserve">Bell </w:t>
      </w:r>
      <w:proofErr w:type="spellStart"/>
      <w:r w:rsidR="00D80391" w:rsidRPr="002037D2">
        <w:rPr>
          <w:i/>
          <w:lang w:val="fr-CA"/>
        </w:rPr>
        <w:t>ExpressVu</w:t>
      </w:r>
      <w:proofErr w:type="spellEnd"/>
      <w:r w:rsidR="00D80391" w:rsidRPr="002037D2">
        <w:rPr>
          <w:i/>
          <w:lang w:val="fr-CA"/>
        </w:rPr>
        <w:t xml:space="preserve"> Limited </w:t>
      </w:r>
      <w:proofErr w:type="spellStart"/>
      <w:r w:rsidR="00D80391" w:rsidRPr="002037D2">
        <w:rPr>
          <w:i/>
          <w:lang w:val="fr-CA"/>
        </w:rPr>
        <w:t>Partnership</w:t>
      </w:r>
      <w:proofErr w:type="spellEnd"/>
      <w:r w:rsidR="00D80391" w:rsidRPr="002037D2">
        <w:rPr>
          <w:i/>
          <w:lang w:val="fr-CA"/>
        </w:rPr>
        <w:t xml:space="preserve"> c. Rex</w:t>
      </w:r>
      <w:r w:rsidR="00D80391" w:rsidRPr="002037D2">
        <w:rPr>
          <w:lang w:val="fr-CA"/>
        </w:rPr>
        <w:t xml:space="preserve">, 2002 CSC 42, [2002] 2 R.C.S. 559; </w:t>
      </w:r>
      <w:proofErr w:type="spellStart"/>
      <w:r w:rsidR="00D80391" w:rsidRPr="002037D2">
        <w:rPr>
          <w:i/>
          <w:lang w:val="fr-CA"/>
        </w:rPr>
        <w:t>CanadianOxy</w:t>
      </w:r>
      <w:proofErr w:type="spellEnd"/>
      <w:r w:rsidR="00D80391" w:rsidRPr="002037D2">
        <w:rPr>
          <w:i/>
          <w:lang w:val="fr-CA"/>
        </w:rPr>
        <w:t xml:space="preserve"> </w:t>
      </w:r>
      <w:proofErr w:type="spellStart"/>
      <w:r w:rsidR="00D80391" w:rsidRPr="002037D2">
        <w:rPr>
          <w:i/>
          <w:lang w:val="fr-CA"/>
        </w:rPr>
        <w:t>Chemicals</w:t>
      </w:r>
      <w:proofErr w:type="spellEnd"/>
      <w:r w:rsidR="00D80391" w:rsidRPr="002037D2">
        <w:rPr>
          <w:i/>
          <w:lang w:val="fr-CA"/>
        </w:rPr>
        <w:t xml:space="preserve"> Ltd. c. Canada (Procureur général)</w:t>
      </w:r>
      <w:r w:rsidR="00D80391" w:rsidRPr="002037D2">
        <w:rPr>
          <w:lang w:val="fr-CA"/>
        </w:rPr>
        <w:t xml:space="preserve">, [1999] 1 R.C.S. 743; </w:t>
      </w:r>
      <w:proofErr w:type="spellStart"/>
      <w:r w:rsidR="00D80391" w:rsidRPr="002037D2">
        <w:rPr>
          <w:i/>
          <w:lang w:val="fr-CA"/>
        </w:rPr>
        <w:t>États</w:t>
      </w:r>
      <w:r w:rsidR="002037D2">
        <w:rPr>
          <w:i/>
          <w:lang w:val="fr-CA"/>
        </w:rPr>
        <w:noBreakHyphen/>
      </w:r>
      <w:r w:rsidR="00D80391" w:rsidRPr="002037D2">
        <w:rPr>
          <w:i/>
          <w:lang w:val="fr-CA"/>
        </w:rPr>
        <w:t>Unis</w:t>
      </w:r>
      <w:proofErr w:type="spellEnd"/>
      <w:r w:rsidR="00D80391" w:rsidRPr="002037D2">
        <w:rPr>
          <w:i/>
          <w:lang w:val="fr-CA"/>
        </w:rPr>
        <w:t xml:space="preserve"> d’Amérique c. </w:t>
      </w:r>
      <w:proofErr w:type="spellStart"/>
      <w:r w:rsidR="00D80391" w:rsidRPr="002037D2">
        <w:rPr>
          <w:i/>
          <w:lang w:val="fr-CA"/>
        </w:rPr>
        <w:t>Dynar</w:t>
      </w:r>
      <w:proofErr w:type="spellEnd"/>
      <w:r w:rsidR="00D80391" w:rsidRPr="002037D2">
        <w:rPr>
          <w:lang w:val="fr-CA"/>
        </w:rPr>
        <w:t xml:space="preserve">, [1997] 2 R.C.S. 462; </w:t>
      </w:r>
      <w:proofErr w:type="spellStart"/>
      <w:r w:rsidR="00D80391" w:rsidRPr="002037D2">
        <w:rPr>
          <w:i/>
          <w:lang w:val="fr-CA"/>
        </w:rPr>
        <w:t>Galambos</w:t>
      </w:r>
      <w:proofErr w:type="spellEnd"/>
      <w:r w:rsidR="00D80391" w:rsidRPr="002037D2">
        <w:rPr>
          <w:i/>
          <w:lang w:val="fr-CA"/>
        </w:rPr>
        <w:t xml:space="preserve"> c. Perez</w:t>
      </w:r>
      <w:r w:rsidR="00D80391" w:rsidRPr="002037D2">
        <w:rPr>
          <w:lang w:val="fr-CA"/>
        </w:rPr>
        <w:t xml:space="preserve">, 2009 CSC 48, [2009] 3 R.C.S. 247; </w:t>
      </w:r>
      <w:proofErr w:type="spellStart"/>
      <w:r w:rsidR="00D80391" w:rsidRPr="002037D2">
        <w:rPr>
          <w:i/>
          <w:lang w:val="fr-CA"/>
        </w:rPr>
        <w:t>Guerin</w:t>
      </w:r>
      <w:proofErr w:type="spellEnd"/>
      <w:r w:rsidR="00D80391" w:rsidRPr="002037D2">
        <w:rPr>
          <w:i/>
          <w:lang w:val="fr-CA"/>
        </w:rPr>
        <w:t xml:space="preserve"> c. La Reine</w:t>
      </w:r>
      <w:r w:rsidR="00D80391" w:rsidRPr="002037D2">
        <w:rPr>
          <w:lang w:val="fr-CA"/>
        </w:rPr>
        <w:t xml:space="preserve">, [1984] 2 R.C.S. 335; </w:t>
      </w:r>
      <w:r w:rsidR="00D80391" w:rsidRPr="002037D2">
        <w:rPr>
          <w:i/>
          <w:lang w:val="fr-CA"/>
        </w:rPr>
        <w:t>Bande indienne</w:t>
      </w:r>
      <w:r w:rsidR="00D80391" w:rsidRPr="002037D2">
        <w:rPr>
          <w:lang w:val="fr-CA"/>
        </w:rPr>
        <w:t xml:space="preserve"> </w:t>
      </w:r>
      <w:proofErr w:type="spellStart"/>
      <w:r w:rsidR="00D80391" w:rsidRPr="002037D2">
        <w:rPr>
          <w:i/>
          <w:lang w:val="fr-CA"/>
        </w:rPr>
        <w:t>Wewaykum</w:t>
      </w:r>
      <w:proofErr w:type="spellEnd"/>
      <w:r w:rsidR="00D80391" w:rsidRPr="002037D2">
        <w:rPr>
          <w:i/>
          <w:lang w:val="fr-CA"/>
        </w:rPr>
        <w:t xml:space="preserve"> c. Canada</w:t>
      </w:r>
      <w:r w:rsidR="00D80391" w:rsidRPr="002037D2">
        <w:rPr>
          <w:lang w:val="fr-CA"/>
        </w:rPr>
        <w:t xml:space="preserve">, 2002 CSC 79, [2002] 4 R.C.S. 245; </w:t>
      </w:r>
      <w:r w:rsidR="00D80391" w:rsidRPr="002037D2">
        <w:rPr>
          <w:i/>
          <w:lang w:val="fr-CA"/>
        </w:rPr>
        <w:t>Frame c. Smith</w:t>
      </w:r>
      <w:r w:rsidR="00D80391" w:rsidRPr="002037D2">
        <w:rPr>
          <w:lang w:val="fr-CA"/>
        </w:rPr>
        <w:t xml:space="preserve">, [1987] 2 R.C.S. 99; </w:t>
      </w:r>
      <w:proofErr w:type="spellStart"/>
      <w:r w:rsidR="00D80391" w:rsidRPr="002037D2">
        <w:rPr>
          <w:i/>
          <w:lang w:val="fr-CA"/>
        </w:rPr>
        <w:t>Hodgkinson</w:t>
      </w:r>
      <w:proofErr w:type="spellEnd"/>
      <w:r w:rsidR="00D80391" w:rsidRPr="002037D2">
        <w:rPr>
          <w:i/>
          <w:lang w:val="fr-CA"/>
        </w:rPr>
        <w:t xml:space="preserve"> c. </w:t>
      </w:r>
      <w:proofErr w:type="spellStart"/>
      <w:r w:rsidR="00D80391" w:rsidRPr="002037D2">
        <w:rPr>
          <w:i/>
          <w:lang w:val="fr-CA"/>
        </w:rPr>
        <w:t>Simms</w:t>
      </w:r>
      <w:proofErr w:type="spellEnd"/>
      <w:r w:rsidR="00D80391" w:rsidRPr="002037D2">
        <w:rPr>
          <w:lang w:val="fr-CA"/>
        </w:rPr>
        <w:t xml:space="preserve">, [1994] 3 R.C.S. 377; </w:t>
      </w:r>
      <w:r w:rsidR="00D80391" w:rsidRPr="002037D2">
        <w:rPr>
          <w:i/>
          <w:lang w:val="fr-CA"/>
        </w:rPr>
        <w:t>Gladstone c. Canada (Procureur général)</w:t>
      </w:r>
      <w:r w:rsidR="00D80391" w:rsidRPr="002037D2">
        <w:rPr>
          <w:lang w:val="fr-CA"/>
        </w:rPr>
        <w:t xml:space="preserve">, 2005 CSC 21, [2005] 1 R.C.S. 325; </w:t>
      </w:r>
      <w:proofErr w:type="spellStart"/>
      <w:r w:rsidR="00D80391" w:rsidRPr="002037D2">
        <w:rPr>
          <w:i/>
          <w:lang w:val="fr-CA"/>
        </w:rPr>
        <w:t>Soulos</w:t>
      </w:r>
      <w:proofErr w:type="spellEnd"/>
      <w:r w:rsidR="00D80391" w:rsidRPr="002037D2">
        <w:rPr>
          <w:i/>
          <w:lang w:val="fr-CA"/>
        </w:rPr>
        <w:t xml:space="preserve"> c. </w:t>
      </w:r>
      <w:proofErr w:type="spellStart"/>
      <w:r w:rsidR="00D80391" w:rsidRPr="002037D2">
        <w:rPr>
          <w:i/>
          <w:lang w:val="fr-CA"/>
        </w:rPr>
        <w:t>Korkontzilas</w:t>
      </w:r>
      <w:proofErr w:type="spellEnd"/>
      <w:r w:rsidR="00D80391" w:rsidRPr="002037D2">
        <w:rPr>
          <w:lang w:val="fr-CA"/>
        </w:rPr>
        <w:t xml:space="preserve">, [1997] 2 R.C.S. 217; </w:t>
      </w:r>
      <w:r w:rsidR="00D80391" w:rsidRPr="002037D2">
        <w:rPr>
          <w:i/>
          <w:lang w:val="fr-CA"/>
        </w:rPr>
        <w:t xml:space="preserve">Pacific National </w:t>
      </w:r>
      <w:proofErr w:type="spellStart"/>
      <w:r w:rsidR="00D80391" w:rsidRPr="002037D2">
        <w:rPr>
          <w:i/>
          <w:lang w:val="fr-CA"/>
        </w:rPr>
        <w:t>Investments</w:t>
      </w:r>
      <w:proofErr w:type="spellEnd"/>
      <w:r w:rsidR="00D80391" w:rsidRPr="002037D2">
        <w:rPr>
          <w:i/>
          <w:lang w:val="fr-CA"/>
        </w:rPr>
        <w:t xml:space="preserve"> Ltd. c. Victoria (Ville)</w:t>
      </w:r>
      <w:r w:rsidR="00D80391" w:rsidRPr="002037D2">
        <w:rPr>
          <w:lang w:val="fr-CA"/>
        </w:rPr>
        <w:t xml:space="preserve">, 2004 CSC 75, [2004] 3 R.C.S. 575; </w:t>
      </w:r>
      <w:r w:rsidR="00D80391" w:rsidRPr="002037D2">
        <w:rPr>
          <w:i/>
          <w:lang w:val="fr-CA"/>
        </w:rPr>
        <w:t xml:space="preserve">Peter c. </w:t>
      </w:r>
      <w:proofErr w:type="spellStart"/>
      <w:r w:rsidR="00D80391" w:rsidRPr="002037D2">
        <w:rPr>
          <w:i/>
          <w:lang w:val="fr-CA"/>
        </w:rPr>
        <w:t>Beblow</w:t>
      </w:r>
      <w:proofErr w:type="spellEnd"/>
      <w:r w:rsidR="00D80391" w:rsidRPr="002037D2">
        <w:rPr>
          <w:lang w:val="fr-CA"/>
        </w:rPr>
        <w:t>, [1993] 1 R.C.S. 980;</w:t>
      </w:r>
      <w:r w:rsidR="000B4893">
        <w:rPr>
          <w:lang w:val="fr-CA"/>
        </w:rPr>
        <w:t xml:space="preserve"> </w:t>
      </w:r>
      <w:proofErr w:type="spellStart"/>
      <w:r w:rsidR="000B4893" w:rsidRPr="000B4893">
        <w:rPr>
          <w:i/>
          <w:lang w:val="fr-CA"/>
        </w:rPr>
        <w:t>Sorochan</w:t>
      </w:r>
      <w:proofErr w:type="spellEnd"/>
      <w:r w:rsidR="000B4893" w:rsidRPr="000B4893">
        <w:rPr>
          <w:i/>
          <w:lang w:val="fr-CA"/>
        </w:rPr>
        <w:t xml:space="preserve"> c. </w:t>
      </w:r>
      <w:proofErr w:type="spellStart"/>
      <w:r w:rsidR="000B4893" w:rsidRPr="000B4893">
        <w:rPr>
          <w:i/>
          <w:lang w:val="fr-CA"/>
        </w:rPr>
        <w:t>Sorochan</w:t>
      </w:r>
      <w:proofErr w:type="spellEnd"/>
      <w:r w:rsidR="000B4893">
        <w:rPr>
          <w:lang w:val="fr-CA"/>
        </w:rPr>
        <w:t>, [1986] 2 R.C.S. 38;</w:t>
      </w:r>
      <w:r w:rsidR="00D80391" w:rsidRPr="002037D2">
        <w:rPr>
          <w:lang w:val="fr-CA"/>
        </w:rPr>
        <w:t xml:space="preserve"> </w:t>
      </w:r>
      <w:r w:rsidR="00D80391" w:rsidRPr="002037D2">
        <w:rPr>
          <w:i/>
          <w:lang w:val="fr-CA"/>
        </w:rPr>
        <w:t xml:space="preserve">Pacific National </w:t>
      </w:r>
      <w:proofErr w:type="spellStart"/>
      <w:r w:rsidR="00D80391" w:rsidRPr="002037D2">
        <w:rPr>
          <w:i/>
          <w:lang w:val="fr-CA"/>
        </w:rPr>
        <w:t>Investments</w:t>
      </w:r>
      <w:proofErr w:type="spellEnd"/>
      <w:r w:rsidR="00D80391" w:rsidRPr="002037D2">
        <w:rPr>
          <w:i/>
          <w:lang w:val="fr-CA"/>
        </w:rPr>
        <w:t xml:space="preserve"> Ltd. c. Victoria (Ville)</w:t>
      </w:r>
      <w:r w:rsidR="00D80391" w:rsidRPr="002037D2">
        <w:rPr>
          <w:lang w:val="fr-CA"/>
        </w:rPr>
        <w:t>, 2000 CSC 64, [2000] 2 R.C.S. 919.</w:t>
      </w:r>
    </w:p>
    <w:p w:rsidR="004D7D95" w:rsidRPr="004D7D95" w:rsidRDefault="004D7D95" w:rsidP="002037D2">
      <w:pPr>
        <w:pStyle w:val="SCCNormalDoubleSpacing"/>
        <w:keepNext/>
        <w:spacing w:after="720" w:line="240" w:lineRule="auto"/>
        <w:rPr>
          <w:b/>
          <w:lang w:val="fr-CA"/>
        </w:rPr>
      </w:pPr>
      <w:r w:rsidRPr="004D7D95">
        <w:rPr>
          <w:b/>
          <w:lang w:val="fr-CA"/>
        </w:rPr>
        <w:lastRenderedPageBreak/>
        <w:t>Lois et règlements cités</w:t>
      </w:r>
    </w:p>
    <w:p w:rsidR="00881979" w:rsidRPr="002037D2" w:rsidRDefault="00881979" w:rsidP="002037D2">
      <w:pPr>
        <w:pStyle w:val="SCCNormalDoubleSpacing"/>
        <w:spacing w:after="240" w:line="240" w:lineRule="auto"/>
        <w:ind w:left="540" w:hanging="540"/>
        <w:rPr>
          <w:lang w:val="fr-CA"/>
        </w:rPr>
      </w:pPr>
      <w:r w:rsidRPr="002037D2">
        <w:rPr>
          <w:i/>
          <w:lang w:val="fr-CA"/>
        </w:rPr>
        <w:t>Loi de 1985 sur les normes de prestation de pension</w:t>
      </w:r>
      <w:r w:rsidRPr="002037D2">
        <w:rPr>
          <w:lang w:val="fr-CA"/>
        </w:rPr>
        <w:t xml:space="preserve">, L.R.C. 1985, </w:t>
      </w:r>
      <w:r w:rsidR="002037D2">
        <w:rPr>
          <w:lang w:val="fr-CA"/>
        </w:rPr>
        <w:t>ch. </w:t>
      </w:r>
      <w:r w:rsidRPr="002037D2">
        <w:rPr>
          <w:lang w:val="fr-CA"/>
        </w:rPr>
        <w:t>32 (2</w:t>
      </w:r>
      <w:r w:rsidRPr="002037D2">
        <w:rPr>
          <w:vertAlign w:val="superscript"/>
          <w:lang w:val="fr-CA"/>
        </w:rPr>
        <w:t>e</w:t>
      </w:r>
      <w:r w:rsidRPr="002037D2">
        <w:rPr>
          <w:lang w:val="fr-CA"/>
        </w:rPr>
        <w:t xml:space="preserve"> suppl.), </w:t>
      </w:r>
      <w:r w:rsidR="002037D2">
        <w:rPr>
          <w:lang w:val="fr-CA"/>
        </w:rPr>
        <w:t>art. </w:t>
      </w:r>
      <w:r w:rsidRPr="002037D2">
        <w:rPr>
          <w:lang w:val="fr-CA"/>
        </w:rPr>
        <w:t>4.</w:t>
      </w:r>
    </w:p>
    <w:p w:rsidR="00B47511" w:rsidRPr="002037D2" w:rsidRDefault="007F736F" w:rsidP="002037D2">
      <w:pPr>
        <w:pStyle w:val="SCCNormalDoubleSpacing"/>
        <w:spacing w:after="240" w:line="240" w:lineRule="auto"/>
        <w:ind w:left="540" w:hanging="540"/>
        <w:rPr>
          <w:lang w:val="fr-CA"/>
        </w:rPr>
      </w:pPr>
      <w:r w:rsidRPr="002037D2">
        <w:rPr>
          <w:i/>
          <w:lang w:val="fr-CA"/>
        </w:rPr>
        <w:t>Loi modifiant la Loi de la pension du service civil</w:t>
      </w:r>
      <w:r w:rsidR="00B47511" w:rsidRPr="002037D2">
        <w:rPr>
          <w:lang w:val="fr-CA"/>
        </w:rPr>
        <w:t>, S.C. 1944</w:t>
      </w:r>
      <w:r w:rsidR="002037D2">
        <w:rPr>
          <w:lang w:val="fr-CA"/>
        </w:rPr>
        <w:noBreakHyphen/>
      </w:r>
      <w:r w:rsidR="00B47511" w:rsidRPr="002037D2">
        <w:rPr>
          <w:lang w:val="fr-CA"/>
        </w:rPr>
        <w:t xml:space="preserve">45, </w:t>
      </w:r>
      <w:r w:rsidR="002037D2">
        <w:rPr>
          <w:lang w:val="fr-CA"/>
        </w:rPr>
        <w:t>ch. </w:t>
      </w:r>
      <w:r w:rsidR="00B47511" w:rsidRPr="002037D2">
        <w:rPr>
          <w:lang w:val="fr-CA"/>
        </w:rPr>
        <w:t xml:space="preserve">34, </w:t>
      </w:r>
      <w:r w:rsidR="002037D2">
        <w:rPr>
          <w:lang w:val="fr-CA"/>
        </w:rPr>
        <w:t>art. </w:t>
      </w:r>
      <w:r w:rsidR="00B47511" w:rsidRPr="002037D2">
        <w:rPr>
          <w:lang w:val="fr-CA"/>
        </w:rPr>
        <w:t>6.</w:t>
      </w:r>
    </w:p>
    <w:p w:rsidR="00881979" w:rsidRPr="002037D2" w:rsidRDefault="00881979" w:rsidP="002037D2">
      <w:pPr>
        <w:pStyle w:val="SCCNormalDoubleSpacing"/>
        <w:spacing w:after="240" w:line="240" w:lineRule="auto"/>
        <w:ind w:left="540" w:hanging="540"/>
        <w:rPr>
          <w:lang w:val="fr-CA"/>
        </w:rPr>
      </w:pPr>
      <w:r w:rsidRPr="002037D2">
        <w:rPr>
          <w:i/>
          <w:lang w:val="fr-CA"/>
        </w:rPr>
        <w:t>Loi modifiant la Loi de la Royale gendarmerie à cheval du Canada</w:t>
      </w:r>
      <w:r w:rsidRPr="002037D2">
        <w:rPr>
          <w:lang w:val="fr-CA"/>
        </w:rPr>
        <w:t>, S.C. 1947</w:t>
      </w:r>
      <w:r w:rsidR="002037D2">
        <w:rPr>
          <w:lang w:val="fr-CA"/>
        </w:rPr>
        <w:noBreakHyphen/>
      </w:r>
      <w:r w:rsidRPr="002037D2">
        <w:rPr>
          <w:lang w:val="fr-CA"/>
        </w:rPr>
        <w:t xml:space="preserve">48, </w:t>
      </w:r>
      <w:r w:rsidR="002037D2">
        <w:rPr>
          <w:lang w:val="fr-CA"/>
        </w:rPr>
        <w:t>ch. </w:t>
      </w:r>
      <w:r w:rsidRPr="002037D2">
        <w:rPr>
          <w:lang w:val="fr-CA"/>
        </w:rPr>
        <w:t xml:space="preserve">28, </w:t>
      </w:r>
      <w:r w:rsidR="002037D2">
        <w:rPr>
          <w:lang w:val="fr-CA"/>
        </w:rPr>
        <w:t>art. </w:t>
      </w:r>
      <w:r w:rsidRPr="002037D2">
        <w:rPr>
          <w:lang w:val="fr-CA"/>
        </w:rPr>
        <w:t>10.</w:t>
      </w:r>
    </w:p>
    <w:p w:rsidR="00B47511" w:rsidRPr="002037D2" w:rsidRDefault="007F736F" w:rsidP="002037D2">
      <w:pPr>
        <w:pStyle w:val="SCCNormalDoubleSpacing"/>
        <w:spacing w:after="240" w:line="240" w:lineRule="auto"/>
        <w:ind w:left="540" w:hanging="540"/>
        <w:rPr>
          <w:lang w:val="fr-CA"/>
        </w:rPr>
      </w:pPr>
      <w:r w:rsidRPr="002037D2">
        <w:rPr>
          <w:i/>
          <w:lang w:val="fr-CA"/>
        </w:rPr>
        <w:t xml:space="preserve">Loi modifiant la </w:t>
      </w:r>
      <w:r w:rsidR="00210502" w:rsidRPr="002037D2">
        <w:rPr>
          <w:i/>
          <w:lang w:val="fr-CA"/>
        </w:rPr>
        <w:t>Loi des pensions de la milice</w:t>
      </w:r>
      <w:r w:rsidR="00B47511" w:rsidRPr="002037D2">
        <w:rPr>
          <w:lang w:val="fr-CA"/>
        </w:rPr>
        <w:t xml:space="preserve">, S.C. 1946, </w:t>
      </w:r>
      <w:r w:rsidR="002037D2">
        <w:rPr>
          <w:lang w:val="fr-CA"/>
        </w:rPr>
        <w:t>ch. </w:t>
      </w:r>
      <w:r w:rsidR="00B47511" w:rsidRPr="002037D2">
        <w:rPr>
          <w:lang w:val="fr-CA"/>
        </w:rPr>
        <w:t xml:space="preserve">59, </w:t>
      </w:r>
      <w:r w:rsidR="002037D2">
        <w:rPr>
          <w:lang w:val="fr-CA"/>
        </w:rPr>
        <w:t>art. </w:t>
      </w:r>
      <w:r w:rsidR="00B47511" w:rsidRPr="002037D2">
        <w:rPr>
          <w:lang w:val="fr-CA"/>
        </w:rPr>
        <w:t>6.</w:t>
      </w:r>
    </w:p>
    <w:p w:rsidR="00881979" w:rsidRPr="002037D2" w:rsidRDefault="00881979" w:rsidP="002037D2">
      <w:pPr>
        <w:pStyle w:val="SCCNormalDoubleSpacing"/>
        <w:spacing w:after="240" w:line="240" w:lineRule="auto"/>
        <w:ind w:left="540" w:hanging="540"/>
        <w:rPr>
          <w:lang w:val="fr-CA"/>
        </w:rPr>
      </w:pPr>
      <w:r w:rsidRPr="002037D2">
        <w:rPr>
          <w:i/>
          <w:lang w:val="fr-CA"/>
        </w:rPr>
        <w:t>Loi sur l’administration financière</w:t>
      </w:r>
      <w:r w:rsidRPr="002037D2">
        <w:rPr>
          <w:lang w:val="fr-CA"/>
        </w:rPr>
        <w:t xml:space="preserve">, S.C. 1951, </w:t>
      </w:r>
      <w:r w:rsidR="002037D2">
        <w:rPr>
          <w:lang w:val="fr-CA"/>
        </w:rPr>
        <w:t>ch. </w:t>
      </w:r>
      <w:r w:rsidRPr="002037D2">
        <w:rPr>
          <w:lang w:val="fr-CA"/>
        </w:rPr>
        <w:t xml:space="preserve">12, </w:t>
      </w:r>
      <w:r w:rsidR="002037D2">
        <w:rPr>
          <w:lang w:val="fr-CA"/>
        </w:rPr>
        <w:t>art. </w:t>
      </w:r>
      <w:r w:rsidRPr="002037D2">
        <w:rPr>
          <w:lang w:val="fr-CA"/>
        </w:rPr>
        <w:t>2</w:t>
      </w:r>
      <w:r w:rsidRPr="002037D2">
        <w:rPr>
          <w:i/>
          <w:lang w:val="fr-CA"/>
        </w:rPr>
        <w:t>e</w:t>
      </w:r>
      <w:r w:rsidRPr="002037D2">
        <w:rPr>
          <w:lang w:val="fr-CA"/>
        </w:rPr>
        <w:t>) « Fonds du revenu consolidé ».</w:t>
      </w:r>
    </w:p>
    <w:p w:rsidR="00881979" w:rsidRPr="002037D2" w:rsidRDefault="00881979" w:rsidP="002037D2">
      <w:pPr>
        <w:pStyle w:val="SCCNormalDoubleSpacing"/>
        <w:spacing w:after="240" w:line="240" w:lineRule="auto"/>
        <w:ind w:left="540" w:hanging="540"/>
        <w:rPr>
          <w:lang w:val="fr-CA"/>
        </w:rPr>
      </w:pPr>
      <w:r w:rsidRPr="002037D2">
        <w:rPr>
          <w:i/>
          <w:lang w:val="fr-CA"/>
        </w:rPr>
        <w:t>Loi sur l’Office d’investissement des régimes de pensions du secteur public</w:t>
      </w:r>
      <w:r w:rsidRPr="002037D2">
        <w:rPr>
          <w:lang w:val="fr-CA"/>
        </w:rPr>
        <w:t xml:space="preserve">, L.C. 1999, </w:t>
      </w:r>
      <w:r w:rsidR="002037D2">
        <w:rPr>
          <w:lang w:val="fr-CA"/>
        </w:rPr>
        <w:t>ch. </w:t>
      </w:r>
      <w:r w:rsidRPr="002037D2">
        <w:rPr>
          <w:lang w:val="fr-CA"/>
        </w:rPr>
        <w:t xml:space="preserve">34, </w:t>
      </w:r>
      <w:r w:rsidR="002037D2">
        <w:rPr>
          <w:lang w:val="fr-CA"/>
        </w:rPr>
        <w:t>art. </w:t>
      </w:r>
      <w:r w:rsidRPr="002037D2">
        <w:rPr>
          <w:lang w:val="fr-CA"/>
        </w:rPr>
        <w:t>4.</w:t>
      </w:r>
    </w:p>
    <w:p w:rsidR="00881979" w:rsidRPr="002037D2" w:rsidRDefault="00881979" w:rsidP="002037D2">
      <w:pPr>
        <w:pStyle w:val="SCCNormalDoubleSpacing"/>
        <w:spacing w:after="240" w:line="240" w:lineRule="auto"/>
        <w:ind w:left="540" w:hanging="540"/>
        <w:rPr>
          <w:lang w:val="fr-CA"/>
        </w:rPr>
      </w:pPr>
      <w:r w:rsidRPr="002037D2">
        <w:rPr>
          <w:i/>
          <w:lang w:val="fr-CA"/>
        </w:rPr>
        <w:t>Loi sur la Gendarmerie royale du Canada</w:t>
      </w:r>
      <w:r w:rsidRPr="002037D2">
        <w:rPr>
          <w:lang w:val="fr-CA"/>
        </w:rPr>
        <w:t xml:space="preserve">, S.R.C. 1952, </w:t>
      </w:r>
      <w:r w:rsidR="002037D2">
        <w:rPr>
          <w:lang w:val="fr-CA"/>
        </w:rPr>
        <w:t>ch. </w:t>
      </w:r>
      <w:r w:rsidRPr="002037D2">
        <w:rPr>
          <w:lang w:val="fr-CA"/>
        </w:rPr>
        <w:t>241.</w:t>
      </w:r>
    </w:p>
    <w:p w:rsidR="00881979" w:rsidRPr="002037D2" w:rsidRDefault="00881979" w:rsidP="002037D2">
      <w:pPr>
        <w:pStyle w:val="SCCNormalDoubleSpacing"/>
        <w:spacing w:after="240" w:line="240" w:lineRule="auto"/>
        <w:ind w:left="540" w:hanging="540"/>
        <w:rPr>
          <w:lang w:val="fr-CA"/>
        </w:rPr>
      </w:pPr>
      <w:r w:rsidRPr="002037D2">
        <w:rPr>
          <w:i/>
          <w:lang w:val="fr-CA"/>
        </w:rPr>
        <w:t>Loi sur la gestion des finances publiques</w:t>
      </w:r>
      <w:r w:rsidRPr="002037D2">
        <w:rPr>
          <w:lang w:val="fr-CA"/>
        </w:rPr>
        <w:t xml:space="preserve">, L.R.C. 1985, </w:t>
      </w:r>
      <w:r w:rsidR="002037D2">
        <w:rPr>
          <w:lang w:val="fr-CA"/>
        </w:rPr>
        <w:t>ch. </w:t>
      </w:r>
      <w:r w:rsidRPr="002037D2">
        <w:rPr>
          <w:lang w:val="fr-CA"/>
        </w:rPr>
        <w:t>F</w:t>
      </w:r>
      <w:r w:rsidR="002037D2">
        <w:rPr>
          <w:lang w:val="fr-CA"/>
        </w:rPr>
        <w:noBreakHyphen/>
      </w:r>
      <w:r w:rsidRPr="002037D2">
        <w:rPr>
          <w:lang w:val="fr-CA"/>
        </w:rPr>
        <w:t xml:space="preserve">11, </w:t>
      </w:r>
      <w:r w:rsidR="002037D2">
        <w:rPr>
          <w:lang w:val="fr-CA"/>
        </w:rPr>
        <w:t>art. </w:t>
      </w:r>
      <w:r w:rsidRPr="002037D2">
        <w:rPr>
          <w:lang w:val="fr-CA"/>
        </w:rPr>
        <w:t>2 « effet de commerce », « fonds », « fonds publics », « Trésor », 17, 63, 64.</w:t>
      </w:r>
    </w:p>
    <w:p w:rsidR="00B45AE6" w:rsidRPr="002037D2" w:rsidRDefault="00B45AE6" w:rsidP="00B45AE6">
      <w:pPr>
        <w:pStyle w:val="SCCNormalDoubleSpacing"/>
        <w:spacing w:after="240" w:line="240" w:lineRule="auto"/>
        <w:ind w:left="540" w:hanging="540"/>
        <w:rPr>
          <w:lang w:val="fr-CA"/>
        </w:rPr>
      </w:pPr>
      <w:r w:rsidRPr="00FD6851">
        <w:rPr>
          <w:i/>
          <w:szCs w:val="24"/>
          <w:lang w:val="fr-CA"/>
        </w:rPr>
        <w:t>Loi sur la modernisation de la fonction publique</w:t>
      </w:r>
      <w:r w:rsidRPr="00FD6851">
        <w:rPr>
          <w:szCs w:val="24"/>
          <w:lang w:val="fr-CA"/>
        </w:rPr>
        <w:t xml:space="preserve">, L.C. 2003, </w:t>
      </w:r>
      <w:r>
        <w:rPr>
          <w:szCs w:val="24"/>
          <w:lang w:val="fr-CA"/>
        </w:rPr>
        <w:t>ch. </w:t>
      </w:r>
      <w:r w:rsidRPr="00FD6851">
        <w:rPr>
          <w:szCs w:val="24"/>
          <w:lang w:val="fr-CA"/>
        </w:rPr>
        <w:t xml:space="preserve">22, </w:t>
      </w:r>
      <w:r>
        <w:rPr>
          <w:szCs w:val="24"/>
          <w:lang w:val="fr-CA"/>
        </w:rPr>
        <w:t>art. </w:t>
      </w:r>
      <w:r w:rsidRPr="00FD6851">
        <w:rPr>
          <w:szCs w:val="24"/>
          <w:lang w:val="fr-CA"/>
        </w:rPr>
        <w:t>2</w:t>
      </w:r>
      <w:r>
        <w:rPr>
          <w:szCs w:val="24"/>
          <w:lang w:val="fr-CA"/>
        </w:rPr>
        <w:t>.</w:t>
      </w:r>
    </w:p>
    <w:p w:rsidR="007B7B9E" w:rsidRPr="002037D2" w:rsidRDefault="007B7B9E" w:rsidP="002037D2">
      <w:pPr>
        <w:pStyle w:val="SCCNormalDoubleSpacing"/>
        <w:spacing w:after="240" w:line="240" w:lineRule="auto"/>
        <w:ind w:left="540" w:hanging="540"/>
        <w:rPr>
          <w:lang w:val="fr-CA"/>
        </w:rPr>
      </w:pPr>
      <w:r w:rsidRPr="002037D2">
        <w:rPr>
          <w:i/>
          <w:lang w:val="fr-CA"/>
        </w:rPr>
        <w:t>Loi sur la pension de la fonction publique</w:t>
      </w:r>
      <w:r w:rsidRPr="002037D2">
        <w:rPr>
          <w:lang w:val="fr-CA"/>
        </w:rPr>
        <w:t xml:space="preserve">, L.R.C. 1985, </w:t>
      </w:r>
      <w:r w:rsidR="002037D2">
        <w:rPr>
          <w:lang w:val="fr-CA"/>
        </w:rPr>
        <w:t>ch. </w:t>
      </w:r>
      <w:r w:rsidRPr="002037D2">
        <w:rPr>
          <w:lang w:val="fr-CA"/>
        </w:rPr>
        <w:t>P</w:t>
      </w:r>
      <w:r w:rsidR="002037D2">
        <w:rPr>
          <w:lang w:val="fr-CA"/>
        </w:rPr>
        <w:noBreakHyphen/>
      </w:r>
      <w:r w:rsidRPr="002037D2">
        <w:rPr>
          <w:lang w:val="fr-CA"/>
        </w:rPr>
        <w:t xml:space="preserve">36, </w:t>
      </w:r>
      <w:r w:rsidR="002037D2">
        <w:rPr>
          <w:lang w:val="fr-CA"/>
        </w:rPr>
        <w:t>art. </w:t>
      </w:r>
      <w:r w:rsidRPr="002037D2">
        <w:rPr>
          <w:lang w:val="fr-CA"/>
        </w:rPr>
        <w:t>3(1)</w:t>
      </w:r>
      <w:r w:rsidR="00AF2870" w:rsidRPr="002037D2">
        <w:rPr>
          <w:lang w:val="fr-CA"/>
        </w:rPr>
        <w:t xml:space="preserve"> « </w:t>
      </w:r>
      <w:r w:rsidR="00AF2870" w:rsidRPr="002037D2">
        <w:rPr>
          <w:i/>
          <w:lang w:val="fr-CA"/>
        </w:rPr>
        <w:t>Loi sur la pension de retraite</w:t>
      </w:r>
      <w:r w:rsidR="00AF2870" w:rsidRPr="002037D2">
        <w:rPr>
          <w:lang w:val="fr-CA"/>
        </w:rPr>
        <w:t> »</w:t>
      </w:r>
      <w:r w:rsidRPr="002037D2">
        <w:rPr>
          <w:lang w:val="fr-CA"/>
        </w:rPr>
        <w:t>, 4, 43, 44</w:t>
      </w:r>
      <w:r w:rsidR="00AF2870" w:rsidRPr="002037D2">
        <w:rPr>
          <w:lang w:val="fr-CA"/>
        </w:rPr>
        <w:t>, 45</w:t>
      </w:r>
      <w:r w:rsidRPr="002037D2">
        <w:rPr>
          <w:lang w:val="fr-CA"/>
        </w:rPr>
        <w:t>.</w:t>
      </w:r>
    </w:p>
    <w:p w:rsidR="007B7B9E" w:rsidRPr="002037D2" w:rsidRDefault="007B7B9E" w:rsidP="002037D2">
      <w:pPr>
        <w:pStyle w:val="SCCNormalDoubleSpacing"/>
        <w:spacing w:after="240" w:line="240" w:lineRule="auto"/>
        <w:ind w:left="540" w:hanging="540"/>
        <w:rPr>
          <w:lang w:val="fr-CA"/>
        </w:rPr>
      </w:pPr>
      <w:r w:rsidRPr="002037D2">
        <w:rPr>
          <w:i/>
          <w:lang w:val="fr-CA"/>
        </w:rPr>
        <w:t>Loi sur la pension de retraite de la Gendarmerie royale du Canada</w:t>
      </w:r>
      <w:r w:rsidRPr="002037D2">
        <w:rPr>
          <w:lang w:val="fr-CA"/>
        </w:rPr>
        <w:t xml:space="preserve">, L.R.C. 1985, </w:t>
      </w:r>
      <w:r w:rsidR="002037D2">
        <w:rPr>
          <w:lang w:val="fr-CA"/>
        </w:rPr>
        <w:t>ch. </w:t>
      </w:r>
      <w:r w:rsidRPr="002037D2">
        <w:rPr>
          <w:lang w:val="fr-CA"/>
        </w:rPr>
        <w:t>R</w:t>
      </w:r>
      <w:r w:rsidR="002037D2">
        <w:rPr>
          <w:lang w:val="fr-CA"/>
        </w:rPr>
        <w:noBreakHyphen/>
      </w:r>
      <w:r w:rsidRPr="002037D2">
        <w:rPr>
          <w:lang w:val="fr-CA"/>
        </w:rPr>
        <w:t xml:space="preserve">11, </w:t>
      </w:r>
      <w:r w:rsidR="002037D2">
        <w:rPr>
          <w:lang w:val="fr-CA"/>
        </w:rPr>
        <w:t>art. </w:t>
      </w:r>
      <w:r w:rsidR="00CB71CA" w:rsidRPr="002037D2">
        <w:rPr>
          <w:lang w:val="fr-CA"/>
        </w:rPr>
        <w:t>29</w:t>
      </w:r>
      <w:r w:rsidRPr="002037D2">
        <w:rPr>
          <w:lang w:val="fr-CA"/>
        </w:rPr>
        <w:t>(9) à (13).</w:t>
      </w:r>
    </w:p>
    <w:p w:rsidR="003224A3" w:rsidRPr="002037D2" w:rsidRDefault="003224A3" w:rsidP="002037D2">
      <w:pPr>
        <w:pStyle w:val="SCCNormalDoubleSpacing"/>
        <w:spacing w:after="240" w:line="240" w:lineRule="auto"/>
        <w:ind w:left="540" w:hanging="540"/>
        <w:rPr>
          <w:lang w:val="fr-CA"/>
        </w:rPr>
      </w:pPr>
      <w:r w:rsidRPr="002037D2">
        <w:rPr>
          <w:i/>
          <w:lang w:val="fr-CA"/>
        </w:rPr>
        <w:t>Loi sur la pension de retraite de la Gendarmerie royale du Canada</w:t>
      </w:r>
      <w:r w:rsidRPr="002037D2">
        <w:rPr>
          <w:lang w:val="fr-CA"/>
        </w:rPr>
        <w:t xml:space="preserve">, S.C. 1959, </w:t>
      </w:r>
      <w:r w:rsidR="002037D2">
        <w:rPr>
          <w:lang w:val="fr-CA"/>
        </w:rPr>
        <w:t>ch. </w:t>
      </w:r>
      <w:r w:rsidRPr="002037D2">
        <w:rPr>
          <w:lang w:val="fr-CA"/>
        </w:rPr>
        <w:t>34.</w:t>
      </w:r>
    </w:p>
    <w:p w:rsidR="00B47511" w:rsidRPr="002037D2" w:rsidRDefault="007F736F" w:rsidP="002037D2">
      <w:pPr>
        <w:pStyle w:val="SCCNormalDoubleSpacing"/>
        <w:spacing w:after="240" w:line="240" w:lineRule="auto"/>
        <w:ind w:left="540" w:hanging="540"/>
        <w:rPr>
          <w:lang w:val="fr-CA"/>
        </w:rPr>
      </w:pPr>
      <w:r w:rsidRPr="002037D2">
        <w:rPr>
          <w:i/>
          <w:lang w:val="fr-CA"/>
        </w:rPr>
        <w:t>Loi sur la pension de retraite des Forces canadiennes</w:t>
      </w:r>
      <w:r w:rsidR="00B47511" w:rsidRPr="002037D2">
        <w:rPr>
          <w:lang w:val="fr-CA"/>
        </w:rPr>
        <w:t xml:space="preserve">, L.R.C. 1985, </w:t>
      </w:r>
      <w:r w:rsidR="002037D2">
        <w:rPr>
          <w:lang w:val="fr-CA"/>
        </w:rPr>
        <w:t>ch. </w:t>
      </w:r>
      <w:r w:rsidR="00B47511" w:rsidRPr="002037D2">
        <w:rPr>
          <w:lang w:val="fr-CA"/>
        </w:rPr>
        <w:t>C</w:t>
      </w:r>
      <w:r w:rsidR="002037D2">
        <w:rPr>
          <w:lang w:val="fr-CA"/>
        </w:rPr>
        <w:noBreakHyphen/>
      </w:r>
      <w:r w:rsidR="00B47511" w:rsidRPr="002037D2">
        <w:rPr>
          <w:lang w:val="fr-CA"/>
        </w:rPr>
        <w:t xml:space="preserve">17, </w:t>
      </w:r>
      <w:r w:rsidR="002037D2">
        <w:rPr>
          <w:lang w:val="fr-CA"/>
        </w:rPr>
        <w:t>art. </w:t>
      </w:r>
      <w:r w:rsidR="00CB71CA" w:rsidRPr="002037D2">
        <w:rPr>
          <w:lang w:val="fr-CA"/>
        </w:rPr>
        <w:t>55</w:t>
      </w:r>
      <w:r w:rsidR="00B47511" w:rsidRPr="002037D2">
        <w:rPr>
          <w:lang w:val="fr-CA"/>
        </w:rPr>
        <w:t>(9) à (13).</w:t>
      </w:r>
    </w:p>
    <w:p w:rsidR="003224A3" w:rsidRPr="002037D2" w:rsidRDefault="003224A3" w:rsidP="002037D2">
      <w:pPr>
        <w:pStyle w:val="SCCNormalDoubleSpacing"/>
        <w:spacing w:after="240" w:line="240" w:lineRule="auto"/>
        <w:ind w:left="540" w:hanging="540"/>
        <w:rPr>
          <w:lang w:val="fr-CA"/>
        </w:rPr>
      </w:pPr>
      <w:r w:rsidRPr="002037D2">
        <w:rPr>
          <w:i/>
          <w:lang w:val="fr-CA"/>
        </w:rPr>
        <w:t>Loi sur la pension de retraite des forces canadiennes</w:t>
      </w:r>
      <w:r w:rsidRPr="002037D2">
        <w:rPr>
          <w:lang w:val="fr-CA"/>
        </w:rPr>
        <w:t xml:space="preserve">, S.C. 1959, </w:t>
      </w:r>
      <w:r w:rsidR="002037D2">
        <w:rPr>
          <w:lang w:val="fr-CA"/>
        </w:rPr>
        <w:t>ch. </w:t>
      </w:r>
      <w:r w:rsidRPr="002037D2">
        <w:rPr>
          <w:lang w:val="fr-CA"/>
        </w:rPr>
        <w:t>21.</w:t>
      </w:r>
    </w:p>
    <w:p w:rsidR="00B47511" w:rsidRPr="002037D2" w:rsidRDefault="00377114" w:rsidP="002037D2">
      <w:pPr>
        <w:pStyle w:val="SCCNormalDoubleSpacing"/>
        <w:spacing w:after="240" w:line="240" w:lineRule="auto"/>
        <w:ind w:left="540" w:hanging="540"/>
        <w:rPr>
          <w:lang w:val="fr-CA"/>
        </w:rPr>
      </w:pPr>
      <w:r w:rsidRPr="002037D2">
        <w:rPr>
          <w:i/>
          <w:lang w:val="fr-CA"/>
        </w:rPr>
        <w:t>Loi sur la pension du service c</w:t>
      </w:r>
      <w:r w:rsidR="00B47511" w:rsidRPr="002037D2">
        <w:rPr>
          <w:i/>
          <w:lang w:val="fr-CA"/>
        </w:rPr>
        <w:t>ivil</w:t>
      </w:r>
      <w:r w:rsidR="00B47511" w:rsidRPr="002037D2">
        <w:rPr>
          <w:lang w:val="fr-CA"/>
        </w:rPr>
        <w:t xml:space="preserve">, </w:t>
      </w:r>
      <w:r w:rsidRPr="002037D2">
        <w:rPr>
          <w:lang w:val="fr-CA"/>
        </w:rPr>
        <w:t>S</w:t>
      </w:r>
      <w:r w:rsidR="00B47511" w:rsidRPr="002037D2">
        <w:rPr>
          <w:lang w:val="fr-CA"/>
        </w:rPr>
        <w:t xml:space="preserve">.R.C. 1952, </w:t>
      </w:r>
      <w:r w:rsidR="002037D2">
        <w:rPr>
          <w:lang w:val="fr-CA"/>
        </w:rPr>
        <w:t>ch. </w:t>
      </w:r>
      <w:r w:rsidR="00B47511" w:rsidRPr="002037D2">
        <w:rPr>
          <w:lang w:val="fr-CA"/>
        </w:rPr>
        <w:t xml:space="preserve">50, </w:t>
      </w:r>
      <w:r w:rsidR="002037D2">
        <w:rPr>
          <w:lang w:val="fr-CA"/>
        </w:rPr>
        <w:t>art. </w:t>
      </w:r>
      <w:r w:rsidR="00B47511" w:rsidRPr="002037D2">
        <w:rPr>
          <w:lang w:val="fr-CA"/>
        </w:rPr>
        <w:t>21.</w:t>
      </w:r>
    </w:p>
    <w:p w:rsidR="003224A3" w:rsidRPr="002037D2" w:rsidRDefault="003224A3" w:rsidP="002037D2">
      <w:pPr>
        <w:pStyle w:val="SCCNormalDoubleSpacing"/>
        <w:spacing w:after="240" w:line="240" w:lineRule="auto"/>
        <w:ind w:left="540" w:hanging="540"/>
        <w:rPr>
          <w:lang w:val="fr-CA"/>
        </w:rPr>
      </w:pPr>
      <w:r w:rsidRPr="002037D2">
        <w:rPr>
          <w:i/>
          <w:lang w:val="fr-CA"/>
        </w:rPr>
        <w:t>Loi sur la pension du service public</w:t>
      </w:r>
      <w:r w:rsidRPr="002037D2">
        <w:rPr>
          <w:lang w:val="fr-CA"/>
        </w:rPr>
        <w:t>, S.C. 1952</w:t>
      </w:r>
      <w:r w:rsidR="002037D2">
        <w:rPr>
          <w:lang w:val="fr-CA"/>
        </w:rPr>
        <w:noBreakHyphen/>
      </w:r>
      <w:r w:rsidRPr="002037D2">
        <w:rPr>
          <w:lang w:val="fr-CA"/>
        </w:rPr>
        <w:t xml:space="preserve">53, </w:t>
      </w:r>
      <w:r w:rsidR="002037D2">
        <w:rPr>
          <w:lang w:val="fr-CA"/>
        </w:rPr>
        <w:t>ch. </w:t>
      </w:r>
      <w:r w:rsidRPr="002037D2">
        <w:rPr>
          <w:lang w:val="fr-CA"/>
        </w:rPr>
        <w:t xml:space="preserve">47, </w:t>
      </w:r>
      <w:r w:rsidR="002037D2">
        <w:rPr>
          <w:lang w:val="fr-CA"/>
        </w:rPr>
        <w:t>art. </w:t>
      </w:r>
      <w:r w:rsidRPr="002037D2">
        <w:rPr>
          <w:lang w:val="fr-CA"/>
        </w:rPr>
        <w:t>33.</w:t>
      </w:r>
    </w:p>
    <w:p w:rsidR="00B47511" w:rsidRPr="002037D2" w:rsidRDefault="00210502" w:rsidP="002037D2">
      <w:pPr>
        <w:pStyle w:val="SCCNormalDoubleSpacing"/>
        <w:spacing w:after="240" w:line="240" w:lineRule="auto"/>
        <w:ind w:left="540" w:hanging="540"/>
        <w:rPr>
          <w:lang w:val="fr-CA"/>
        </w:rPr>
      </w:pPr>
      <w:r w:rsidRPr="002037D2">
        <w:rPr>
          <w:i/>
          <w:lang w:val="fr-CA"/>
        </w:rPr>
        <w:t>Loi sur les pêches</w:t>
      </w:r>
      <w:r w:rsidR="00B47511" w:rsidRPr="002037D2">
        <w:rPr>
          <w:lang w:val="fr-CA"/>
        </w:rPr>
        <w:t xml:space="preserve">, L.R.C. 1985, </w:t>
      </w:r>
      <w:r w:rsidR="002037D2">
        <w:rPr>
          <w:lang w:val="fr-CA"/>
        </w:rPr>
        <w:t>ch. </w:t>
      </w:r>
      <w:r w:rsidR="00B47511" w:rsidRPr="002037D2">
        <w:rPr>
          <w:lang w:val="fr-CA"/>
        </w:rPr>
        <w:t>F</w:t>
      </w:r>
      <w:r w:rsidR="002037D2">
        <w:rPr>
          <w:lang w:val="fr-CA"/>
        </w:rPr>
        <w:noBreakHyphen/>
      </w:r>
      <w:r w:rsidR="00B47511" w:rsidRPr="002037D2">
        <w:rPr>
          <w:lang w:val="fr-CA"/>
        </w:rPr>
        <w:t>14.</w:t>
      </w:r>
    </w:p>
    <w:p w:rsidR="00881979" w:rsidRPr="002037D2" w:rsidRDefault="00881979" w:rsidP="002037D2">
      <w:pPr>
        <w:pStyle w:val="SCCNormalDoubleSpacing"/>
        <w:spacing w:after="240" w:line="240" w:lineRule="auto"/>
        <w:ind w:left="540" w:hanging="540"/>
        <w:rPr>
          <w:lang w:val="fr-CA"/>
        </w:rPr>
      </w:pPr>
      <w:r w:rsidRPr="002037D2">
        <w:rPr>
          <w:i/>
          <w:lang w:val="fr-CA"/>
        </w:rPr>
        <w:t>Loi sur les pensions des services de défense</w:t>
      </w:r>
      <w:r w:rsidRPr="002037D2">
        <w:rPr>
          <w:lang w:val="fr-CA"/>
        </w:rPr>
        <w:t xml:space="preserve">, S.R.C. 1952, </w:t>
      </w:r>
      <w:r w:rsidR="002037D2">
        <w:rPr>
          <w:lang w:val="fr-CA"/>
        </w:rPr>
        <w:t>ch. </w:t>
      </w:r>
      <w:r w:rsidRPr="002037D2">
        <w:rPr>
          <w:lang w:val="fr-CA"/>
        </w:rPr>
        <w:t>63.</w:t>
      </w:r>
    </w:p>
    <w:p w:rsidR="00B47511" w:rsidRPr="002037D2" w:rsidRDefault="00210502" w:rsidP="002037D2">
      <w:pPr>
        <w:pStyle w:val="SCCNormalDoubleSpacing"/>
        <w:spacing w:after="240" w:line="240" w:lineRule="auto"/>
        <w:ind w:left="540" w:hanging="540"/>
        <w:rPr>
          <w:lang w:val="fr-CA"/>
        </w:rPr>
      </w:pPr>
      <w:r w:rsidRPr="002037D2">
        <w:rPr>
          <w:i/>
          <w:lang w:val="fr-CA"/>
        </w:rPr>
        <w:lastRenderedPageBreak/>
        <w:t>Loi sur les rapports relatifs aux pensions publiques</w:t>
      </w:r>
      <w:r w:rsidR="00B47511" w:rsidRPr="002037D2">
        <w:rPr>
          <w:lang w:val="fr-CA"/>
        </w:rPr>
        <w:t xml:space="preserve">, L.R.C. 1985, </w:t>
      </w:r>
      <w:r w:rsidR="002037D2">
        <w:rPr>
          <w:lang w:val="fr-CA"/>
        </w:rPr>
        <w:t>ch. </w:t>
      </w:r>
      <w:r w:rsidR="00B47511" w:rsidRPr="002037D2">
        <w:rPr>
          <w:lang w:val="fr-CA"/>
        </w:rPr>
        <w:t>13 (2</w:t>
      </w:r>
      <w:r w:rsidR="00B47511" w:rsidRPr="002037D2">
        <w:rPr>
          <w:vertAlign w:val="superscript"/>
          <w:lang w:val="fr-CA"/>
        </w:rPr>
        <w:t>e</w:t>
      </w:r>
      <w:r w:rsidR="00895D2F">
        <w:rPr>
          <w:lang w:val="fr-CA"/>
        </w:rPr>
        <w:t> </w:t>
      </w:r>
      <w:r w:rsidR="00B47511" w:rsidRPr="002037D2">
        <w:rPr>
          <w:lang w:val="fr-CA"/>
        </w:rPr>
        <w:t xml:space="preserve">suppl.), </w:t>
      </w:r>
      <w:r w:rsidR="002037D2">
        <w:rPr>
          <w:lang w:val="fr-CA"/>
        </w:rPr>
        <w:t>art. </w:t>
      </w:r>
      <w:r w:rsidR="00AF2870" w:rsidRPr="002037D2">
        <w:rPr>
          <w:lang w:val="fr-CA"/>
        </w:rPr>
        <w:t xml:space="preserve">5, </w:t>
      </w:r>
      <w:r w:rsidR="00B47511" w:rsidRPr="002037D2">
        <w:rPr>
          <w:lang w:val="fr-CA"/>
        </w:rPr>
        <w:t>7, 8, 9(1).</w:t>
      </w:r>
    </w:p>
    <w:p w:rsidR="00B47511" w:rsidRPr="002037D2" w:rsidRDefault="00602875" w:rsidP="002037D2">
      <w:pPr>
        <w:pStyle w:val="SCCNormalDoubleSpacing"/>
        <w:spacing w:after="240" w:line="240" w:lineRule="auto"/>
        <w:ind w:left="540" w:hanging="540"/>
        <w:rPr>
          <w:lang w:val="fr-CA"/>
        </w:rPr>
      </w:pPr>
      <w:r w:rsidRPr="002037D2">
        <w:rPr>
          <w:i/>
          <w:lang w:val="fr-CA"/>
        </w:rPr>
        <w:t>Loi sur les relations de travail dans la fonction publique</w:t>
      </w:r>
      <w:r w:rsidR="00B47511" w:rsidRPr="002037D2">
        <w:rPr>
          <w:lang w:val="fr-CA"/>
        </w:rPr>
        <w:t xml:space="preserve">, L.C. 2003, </w:t>
      </w:r>
      <w:r w:rsidR="002037D2">
        <w:rPr>
          <w:lang w:val="fr-CA"/>
        </w:rPr>
        <w:t>ch. </w:t>
      </w:r>
      <w:r w:rsidR="00B47511" w:rsidRPr="002037D2">
        <w:rPr>
          <w:lang w:val="fr-CA"/>
        </w:rPr>
        <w:t>22</w:t>
      </w:r>
      <w:r w:rsidR="00AF2870" w:rsidRPr="002037D2">
        <w:rPr>
          <w:lang w:val="fr-CA"/>
        </w:rPr>
        <w:t xml:space="preserve"> [</w:t>
      </w:r>
      <w:r w:rsidR="00AF2870" w:rsidRPr="00FD6851">
        <w:rPr>
          <w:szCs w:val="24"/>
          <w:lang w:val="fr-CA"/>
        </w:rPr>
        <w:t>éd</w:t>
      </w:r>
      <w:r w:rsidR="00C83500">
        <w:rPr>
          <w:szCs w:val="24"/>
          <w:lang w:val="fr-CA"/>
        </w:rPr>
        <w:t xml:space="preserve">. </w:t>
      </w:r>
      <w:r w:rsidR="00AF2870" w:rsidRPr="00FD6851">
        <w:rPr>
          <w:szCs w:val="24"/>
          <w:lang w:val="fr-CA"/>
        </w:rPr>
        <w:t xml:space="preserve">par la </w:t>
      </w:r>
      <w:r w:rsidR="00AF2870" w:rsidRPr="00FD6851">
        <w:rPr>
          <w:i/>
          <w:szCs w:val="24"/>
          <w:lang w:val="fr-CA"/>
        </w:rPr>
        <w:t>Loi sur la modernisation de la fonction publique</w:t>
      </w:r>
      <w:r w:rsidR="00AF2870" w:rsidRPr="00FD6851">
        <w:rPr>
          <w:szCs w:val="24"/>
          <w:lang w:val="fr-CA"/>
        </w:rPr>
        <w:t xml:space="preserve">, L.C. 2003, </w:t>
      </w:r>
      <w:r w:rsidR="002037D2">
        <w:rPr>
          <w:szCs w:val="24"/>
          <w:lang w:val="fr-CA"/>
        </w:rPr>
        <w:t>ch. </w:t>
      </w:r>
      <w:r w:rsidR="00AF2870" w:rsidRPr="00FD6851">
        <w:rPr>
          <w:szCs w:val="24"/>
          <w:lang w:val="fr-CA"/>
        </w:rPr>
        <w:t xml:space="preserve">22, </w:t>
      </w:r>
      <w:r w:rsidR="002037D2">
        <w:rPr>
          <w:szCs w:val="24"/>
          <w:lang w:val="fr-CA"/>
        </w:rPr>
        <w:t>art. </w:t>
      </w:r>
      <w:r w:rsidR="00AF2870" w:rsidRPr="00FD6851">
        <w:rPr>
          <w:szCs w:val="24"/>
          <w:lang w:val="fr-CA"/>
        </w:rPr>
        <w:t>2</w:t>
      </w:r>
      <w:r w:rsidR="00AF2870">
        <w:rPr>
          <w:szCs w:val="24"/>
          <w:lang w:val="fr-CA"/>
        </w:rPr>
        <w:t>]</w:t>
      </w:r>
      <w:r w:rsidR="00B47511" w:rsidRPr="002037D2">
        <w:rPr>
          <w:lang w:val="fr-CA"/>
        </w:rPr>
        <w:t xml:space="preserve"> </w:t>
      </w:r>
      <w:r w:rsidR="002037D2">
        <w:rPr>
          <w:lang w:val="fr-CA"/>
        </w:rPr>
        <w:t>art. </w:t>
      </w:r>
      <w:r w:rsidR="00B47511" w:rsidRPr="002037D2">
        <w:rPr>
          <w:lang w:val="fr-CA"/>
        </w:rPr>
        <w:t xml:space="preserve">2(1) </w:t>
      </w:r>
      <w:r w:rsidRPr="002037D2">
        <w:rPr>
          <w:lang w:val="fr-CA"/>
        </w:rPr>
        <w:t xml:space="preserve">« fonction publique », </w:t>
      </w:r>
      <w:r w:rsidR="00C73F54" w:rsidRPr="002037D2">
        <w:rPr>
          <w:lang w:val="fr-CA"/>
        </w:rPr>
        <w:t>« </w:t>
      </w:r>
      <w:r w:rsidRPr="002037D2">
        <w:rPr>
          <w:lang w:val="fr-CA"/>
        </w:rPr>
        <w:t>fonctionnaire</w:t>
      </w:r>
      <w:r w:rsidR="00C73F54" w:rsidRPr="002037D2">
        <w:rPr>
          <w:lang w:val="fr-CA"/>
        </w:rPr>
        <w:t> »</w:t>
      </w:r>
      <w:r w:rsidR="00C81A83" w:rsidRPr="002037D2">
        <w:rPr>
          <w:lang w:val="fr-CA"/>
        </w:rPr>
        <w:t>, 113.</w:t>
      </w:r>
    </w:p>
    <w:p w:rsidR="00B47511" w:rsidRPr="002037D2" w:rsidRDefault="00602875" w:rsidP="002037D2">
      <w:pPr>
        <w:pStyle w:val="SCCNormalDoubleSpacing"/>
        <w:spacing w:after="720" w:line="240" w:lineRule="auto"/>
        <w:ind w:left="547" w:hanging="547"/>
        <w:rPr>
          <w:lang w:val="fr-CA"/>
        </w:rPr>
      </w:pPr>
      <w:r w:rsidRPr="002037D2">
        <w:rPr>
          <w:i/>
          <w:lang w:val="fr-CA"/>
        </w:rPr>
        <w:t>Loi sur les relations de travail dans la fonction publique</w:t>
      </w:r>
      <w:r w:rsidR="00B47511" w:rsidRPr="002037D2">
        <w:rPr>
          <w:lang w:val="fr-CA"/>
        </w:rPr>
        <w:t xml:space="preserve">, L.R.C. 1985, </w:t>
      </w:r>
      <w:r w:rsidR="002037D2">
        <w:rPr>
          <w:lang w:val="fr-CA"/>
        </w:rPr>
        <w:t>ch. </w:t>
      </w:r>
      <w:r w:rsidR="00B47511" w:rsidRPr="002037D2">
        <w:rPr>
          <w:lang w:val="fr-CA"/>
        </w:rPr>
        <w:t>P</w:t>
      </w:r>
      <w:r w:rsidR="00C83500">
        <w:rPr>
          <w:lang w:val="fr-CA"/>
        </w:rPr>
        <w:t>-</w:t>
      </w:r>
      <w:r w:rsidR="000F1C6B">
        <w:rPr>
          <w:lang w:val="fr-CA"/>
        </w:rPr>
        <w:t>35 [</w:t>
      </w:r>
      <w:proofErr w:type="spellStart"/>
      <w:r w:rsidR="000F1C6B">
        <w:rPr>
          <w:lang w:val="fr-CA"/>
        </w:rPr>
        <w:t>abr</w:t>
      </w:r>
      <w:proofErr w:type="spellEnd"/>
      <w:r w:rsidR="000F1C6B">
        <w:rPr>
          <w:lang w:val="fr-CA"/>
        </w:rPr>
        <w:t xml:space="preserve">. </w:t>
      </w:r>
      <w:r w:rsidR="00B47511" w:rsidRPr="002037D2">
        <w:rPr>
          <w:lang w:val="fr-CA"/>
        </w:rPr>
        <w:t xml:space="preserve">2003, </w:t>
      </w:r>
      <w:r w:rsidR="002037D2">
        <w:rPr>
          <w:lang w:val="fr-CA"/>
        </w:rPr>
        <w:t>ch. </w:t>
      </w:r>
      <w:r w:rsidR="00B47511" w:rsidRPr="002037D2">
        <w:rPr>
          <w:lang w:val="fr-CA"/>
        </w:rPr>
        <w:t xml:space="preserve">22, </w:t>
      </w:r>
      <w:r w:rsidR="002037D2">
        <w:rPr>
          <w:lang w:val="fr-CA"/>
        </w:rPr>
        <w:t>art. </w:t>
      </w:r>
      <w:r w:rsidR="00B47511" w:rsidRPr="002037D2">
        <w:rPr>
          <w:lang w:val="fr-CA"/>
        </w:rPr>
        <w:t xml:space="preserve">285], </w:t>
      </w:r>
      <w:r w:rsidR="002037D2">
        <w:rPr>
          <w:lang w:val="fr-CA"/>
        </w:rPr>
        <w:t>art. </w:t>
      </w:r>
      <w:r w:rsidR="00C81A83" w:rsidRPr="002037D2">
        <w:rPr>
          <w:lang w:val="fr-CA"/>
        </w:rPr>
        <w:t xml:space="preserve">2 « fonctionnaire », </w:t>
      </w:r>
      <w:r w:rsidR="00B47511" w:rsidRPr="002037D2">
        <w:rPr>
          <w:lang w:val="fr-CA"/>
        </w:rPr>
        <w:t>57.</w:t>
      </w:r>
    </w:p>
    <w:p w:rsidR="004D7D95" w:rsidRPr="004D7D95" w:rsidRDefault="004D7D95" w:rsidP="002037D2">
      <w:pPr>
        <w:pStyle w:val="SCCNormalDoubleSpacing"/>
        <w:keepNext/>
        <w:spacing w:after="720" w:line="240" w:lineRule="auto"/>
        <w:rPr>
          <w:b/>
          <w:lang w:val="fr-CA"/>
        </w:rPr>
      </w:pPr>
      <w:r w:rsidRPr="004D7D95">
        <w:rPr>
          <w:b/>
          <w:lang w:val="fr-CA"/>
        </w:rPr>
        <w:t>Doctrine et autres documents cités</w:t>
      </w:r>
    </w:p>
    <w:p w:rsidR="002336D3" w:rsidRPr="002037D2" w:rsidRDefault="002336D3" w:rsidP="002037D2">
      <w:pPr>
        <w:pStyle w:val="SCCNormalDoubleSpacing"/>
        <w:spacing w:after="240" w:line="240" w:lineRule="auto"/>
        <w:ind w:left="540" w:hanging="540"/>
        <w:rPr>
          <w:lang w:val="fr-CA"/>
        </w:rPr>
      </w:pPr>
      <w:r w:rsidRPr="002037D2">
        <w:rPr>
          <w:lang w:val="fr-CA"/>
        </w:rPr>
        <w:t xml:space="preserve">Canada.  Chambre des communes.  </w:t>
      </w:r>
      <w:r w:rsidRPr="002037D2">
        <w:rPr>
          <w:i/>
          <w:lang w:val="fr-CA"/>
        </w:rPr>
        <w:t>Débats de la Chambre des communes</w:t>
      </w:r>
      <w:r w:rsidRPr="002037D2">
        <w:rPr>
          <w:lang w:val="fr-CA"/>
        </w:rPr>
        <w:t xml:space="preserve">, </w:t>
      </w:r>
      <w:r w:rsidR="002037D2">
        <w:rPr>
          <w:lang w:val="fr-CA"/>
        </w:rPr>
        <w:t>vol. </w:t>
      </w:r>
      <w:r w:rsidRPr="002037D2">
        <w:rPr>
          <w:lang w:val="fr-CA"/>
        </w:rPr>
        <w:t>VI, 3</w:t>
      </w:r>
      <w:r w:rsidRPr="002037D2">
        <w:rPr>
          <w:vertAlign w:val="superscript"/>
          <w:lang w:val="fr-CA"/>
        </w:rPr>
        <w:t>e</w:t>
      </w:r>
      <w:r w:rsidRPr="002037D2">
        <w:rPr>
          <w:lang w:val="fr-CA"/>
        </w:rPr>
        <w:t xml:space="preserve"> </w:t>
      </w:r>
      <w:proofErr w:type="spellStart"/>
      <w:proofErr w:type="gramStart"/>
      <w:r w:rsidRPr="002037D2">
        <w:rPr>
          <w:lang w:val="fr-CA"/>
        </w:rPr>
        <w:t>sess</w:t>
      </w:r>
      <w:proofErr w:type="spellEnd"/>
      <w:r w:rsidRPr="002037D2">
        <w:rPr>
          <w:lang w:val="fr-CA"/>
        </w:rPr>
        <w:t>.,</w:t>
      </w:r>
      <w:proofErr w:type="gramEnd"/>
      <w:r w:rsidRPr="002037D2">
        <w:rPr>
          <w:lang w:val="fr-CA"/>
        </w:rPr>
        <w:t xml:space="preserve"> 34</w:t>
      </w:r>
      <w:r w:rsidRPr="002037D2">
        <w:rPr>
          <w:vertAlign w:val="superscript"/>
          <w:lang w:val="fr-CA"/>
        </w:rPr>
        <w:t>e</w:t>
      </w:r>
      <w:r w:rsidRPr="002037D2">
        <w:rPr>
          <w:lang w:val="fr-CA"/>
        </w:rPr>
        <w:t xml:space="preserve"> </w:t>
      </w:r>
      <w:proofErr w:type="spellStart"/>
      <w:r w:rsidRPr="002037D2">
        <w:rPr>
          <w:lang w:val="fr-CA"/>
        </w:rPr>
        <w:t>lég</w:t>
      </w:r>
      <w:proofErr w:type="spellEnd"/>
      <w:r w:rsidRPr="002037D2">
        <w:rPr>
          <w:lang w:val="fr-CA"/>
        </w:rPr>
        <w:t>., 24</w:t>
      </w:r>
      <w:r w:rsidR="002037D2">
        <w:rPr>
          <w:lang w:val="fr-CA"/>
        </w:rPr>
        <w:t> </w:t>
      </w:r>
      <w:r w:rsidRPr="002037D2">
        <w:rPr>
          <w:lang w:val="fr-CA"/>
        </w:rPr>
        <w:t xml:space="preserve">février 1992, </w:t>
      </w:r>
      <w:r w:rsidR="002037D2">
        <w:rPr>
          <w:lang w:val="fr-CA"/>
        </w:rPr>
        <w:t>p. </w:t>
      </w:r>
      <w:r w:rsidRPr="002037D2">
        <w:rPr>
          <w:lang w:val="fr-CA"/>
        </w:rPr>
        <w:t>7486.</w:t>
      </w:r>
    </w:p>
    <w:p w:rsidR="00EB3513" w:rsidRPr="002037D2" w:rsidRDefault="00EB3513" w:rsidP="002037D2">
      <w:pPr>
        <w:pStyle w:val="SCCNormalDoubleSpacing"/>
        <w:spacing w:after="240" w:line="240" w:lineRule="auto"/>
        <w:ind w:left="540" w:hanging="540"/>
        <w:rPr>
          <w:lang w:val="fr-CA"/>
        </w:rPr>
      </w:pPr>
      <w:r w:rsidRPr="002037D2">
        <w:rPr>
          <w:lang w:val="fr-CA"/>
        </w:rPr>
        <w:t xml:space="preserve">Canada.  Receveur général du Canada.  </w:t>
      </w:r>
      <w:r w:rsidRPr="002037D2">
        <w:rPr>
          <w:i/>
          <w:lang w:val="fr-CA"/>
        </w:rPr>
        <w:t>Comptes publics du Canada 1996</w:t>
      </w:r>
      <w:r w:rsidRPr="002037D2">
        <w:rPr>
          <w:lang w:val="fr-CA"/>
        </w:rPr>
        <w:t xml:space="preserve">, </w:t>
      </w:r>
      <w:r w:rsidR="002037D2">
        <w:rPr>
          <w:lang w:val="fr-CA"/>
        </w:rPr>
        <w:t>vol. </w:t>
      </w:r>
      <w:r w:rsidRPr="002037D2">
        <w:rPr>
          <w:lang w:val="fr-CA"/>
        </w:rPr>
        <w:t xml:space="preserve">I, </w:t>
      </w:r>
      <w:r w:rsidRPr="002037D2">
        <w:rPr>
          <w:i/>
          <w:lang w:val="fr-CA"/>
        </w:rPr>
        <w:t>Revue et États financiers</w:t>
      </w:r>
      <w:r w:rsidRPr="002037D2">
        <w:rPr>
          <w:lang w:val="fr-CA"/>
        </w:rPr>
        <w:t>.  Ottawa</w:t>
      </w:r>
      <w:r w:rsidR="002037D2">
        <w:rPr>
          <w:lang w:val="fr-CA"/>
        </w:rPr>
        <w:t> :</w:t>
      </w:r>
      <w:r w:rsidRPr="002037D2">
        <w:rPr>
          <w:lang w:val="fr-CA"/>
        </w:rPr>
        <w:t xml:space="preserve"> Conseil du Trésor, 1996.</w:t>
      </w:r>
    </w:p>
    <w:p w:rsidR="00EB3513" w:rsidRPr="002037D2" w:rsidRDefault="00EB3513" w:rsidP="002037D2">
      <w:pPr>
        <w:pStyle w:val="SCCNormalDoubleSpacing"/>
        <w:spacing w:after="240" w:line="240" w:lineRule="auto"/>
        <w:ind w:left="540" w:hanging="540"/>
        <w:rPr>
          <w:lang w:val="fr-CA"/>
        </w:rPr>
      </w:pPr>
      <w:r w:rsidRPr="002037D2">
        <w:rPr>
          <w:lang w:val="fr-CA"/>
        </w:rPr>
        <w:t xml:space="preserve">Canada.  Receveur général du Canada.  </w:t>
      </w:r>
      <w:r w:rsidRPr="002037D2">
        <w:rPr>
          <w:i/>
          <w:lang w:val="fr-CA"/>
        </w:rPr>
        <w:t>Comptes publics du Canada 1997</w:t>
      </w:r>
      <w:r w:rsidRPr="002037D2">
        <w:rPr>
          <w:lang w:val="fr-CA"/>
        </w:rPr>
        <w:t xml:space="preserve">, </w:t>
      </w:r>
      <w:r w:rsidR="002037D2">
        <w:rPr>
          <w:lang w:val="fr-CA"/>
        </w:rPr>
        <w:t>vol. </w:t>
      </w:r>
      <w:r w:rsidRPr="002037D2">
        <w:rPr>
          <w:lang w:val="fr-CA"/>
        </w:rPr>
        <w:t xml:space="preserve">I, </w:t>
      </w:r>
      <w:r w:rsidRPr="002037D2">
        <w:rPr>
          <w:i/>
          <w:lang w:val="fr-CA"/>
        </w:rPr>
        <w:t>Revue et États financiers</w:t>
      </w:r>
      <w:r w:rsidRPr="002037D2">
        <w:rPr>
          <w:lang w:val="fr-CA"/>
        </w:rPr>
        <w:t>.  Ottawa</w:t>
      </w:r>
      <w:r w:rsidR="002037D2">
        <w:rPr>
          <w:lang w:val="fr-CA"/>
        </w:rPr>
        <w:t> :</w:t>
      </w:r>
      <w:r w:rsidRPr="002037D2">
        <w:rPr>
          <w:lang w:val="fr-CA"/>
        </w:rPr>
        <w:t xml:space="preserve"> Conseil du Trésor, 1997.</w:t>
      </w:r>
    </w:p>
    <w:p w:rsidR="002336D3" w:rsidRPr="002037D2" w:rsidRDefault="002336D3" w:rsidP="002037D2">
      <w:pPr>
        <w:pStyle w:val="SCCNormalDoubleSpacing"/>
        <w:spacing w:after="720" w:line="240" w:lineRule="auto"/>
        <w:ind w:left="547" w:hanging="547"/>
        <w:rPr>
          <w:lang w:val="fr-CA"/>
        </w:rPr>
      </w:pPr>
      <w:r w:rsidRPr="008C6AFB">
        <w:rPr>
          <w:lang w:val="en-US"/>
        </w:rPr>
        <w:t xml:space="preserve">Sullivan, Ruth.  </w:t>
      </w:r>
      <w:r w:rsidRPr="005E6E8F">
        <w:rPr>
          <w:i/>
        </w:rPr>
        <w:t>Sullivan on the Construction of Statutes</w:t>
      </w:r>
      <w:r>
        <w:t xml:space="preserve">, 5th </w:t>
      </w:r>
      <w:proofErr w:type="gramStart"/>
      <w:r>
        <w:t>ed</w:t>
      </w:r>
      <w:proofErr w:type="gramEnd"/>
      <w:r>
        <w:t xml:space="preserve">.  </w:t>
      </w:r>
      <w:r w:rsidRPr="002037D2">
        <w:rPr>
          <w:lang w:val="fr-CA"/>
        </w:rPr>
        <w:t>Markham, Ont.</w:t>
      </w:r>
      <w:r w:rsidR="002037D2">
        <w:rPr>
          <w:lang w:val="fr-CA"/>
        </w:rPr>
        <w:t> :</w:t>
      </w:r>
      <w:r w:rsidRPr="002037D2">
        <w:rPr>
          <w:lang w:val="fr-CA"/>
        </w:rPr>
        <w:t xml:space="preserve"> </w:t>
      </w:r>
      <w:proofErr w:type="spellStart"/>
      <w:r w:rsidRPr="002037D2">
        <w:rPr>
          <w:lang w:val="fr-CA"/>
        </w:rPr>
        <w:t>LexisNexis</w:t>
      </w:r>
      <w:proofErr w:type="spellEnd"/>
      <w:r w:rsidRPr="002037D2">
        <w:rPr>
          <w:lang w:val="fr-CA"/>
        </w:rPr>
        <w:t>, 2008.</w:t>
      </w:r>
    </w:p>
    <w:p w:rsidR="004D7D95" w:rsidRPr="004D7D95" w:rsidRDefault="0096002F" w:rsidP="002037D2">
      <w:pPr>
        <w:pStyle w:val="SCCNormalDoubleSpacing"/>
        <w:spacing w:after="480"/>
        <w:rPr>
          <w:lang w:val="fr-CA"/>
        </w:rPr>
      </w:pPr>
      <w:r>
        <w:rPr>
          <w:lang w:val="fr-CA"/>
        </w:rPr>
        <w:tab/>
      </w:r>
      <w:r w:rsidR="004D7D95" w:rsidRPr="004D7D95">
        <w:rPr>
          <w:lang w:val="fr-CA"/>
        </w:rPr>
        <w:t xml:space="preserve">POURVOI contre un arrêt de la </w:t>
      </w:r>
      <w:r w:rsidR="004D7D95" w:rsidRPr="002037D2">
        <w:rPr>
          <w:lang w:val="fr-CA"/>
        </w:rPr>
        <w:t>Cour d’appel de l’Ontario</w:t>
      </w:r>
      <w:r w:rsidR="00C4348E" w:rsidRPr="002037D2">
        <w:rPr>
          <w:lang w:val="fr-CA"/>
        </w:rPr>
        <w:t xml:space="preserve"> (les juges </w:t>
      </w:r>
      <w:proofErr w:type="spellStart"/>
      <w:r w:rsidR="00C4348E" w:rsidRPr="002037D2">
        <w:rPr>
          <w:lang w:val="fr-CA"/>
        </w:rPr>
        <w:t>Laskin</w:t>
      </w:r>
      <w:proofErr w:type="spellEnd"/>
      <w:r w:rsidR="00C4348E" w:rsidRPr="002037D2">
        <w:rPr>
          <w:lang w:val="fr-CA"/>
        </w:rPr>
        <w:t xml:space="preserve">, </w:t>
      </w:r>
      <w:proofErr w:type="spellStart"/>
      <w:r w:rsidR="00C4348E" w:rsidRPr="002037D2">
        <w:rPr>
          <w:lang w:val="fr-CA"/>
        </w:rPr>
        <w:t>Gillese</w:t>
      </w:r>
      <w:proofErr w:type="spellEnd"/>
      <w:r w:rsidR="00C4348E" w:rsidRPr="002037D2">
        <w:rPr>
          <w:lang w:val="fr-CA"/>
        </w:rPr>
        <w:t xml:space="preserve"> et </w:t>
      </w:r>
      <w:proofErr w:type="spellStart"/>
      <w:r w:rsidR="00C4348E" w:rsidRPr="002037D2">
        <w:rPr>
          <w:lang w:val="fr-CA"/>
        </w:rPr>
        <w:t>Juriansz</w:t>
      </w:r>
      <w:proofErr w:type="spellEnd"/>
      <w:r w:rsidR="00C4348E" w:rsidRPr="002037D2">
        <w:rPr>
          <w:lang w:val="fr-CA"/>
        </w:rPr>
        <w:t xml:space="preserve">), 2010 ONCA 657, 102 O.R. (3d) 241, 275 O.A.C. 40, 84 C.C.P.B. 161, [2010] O.J. </w:t>
      </w:r>
      <w:r w:rsidR="002037D2">
        <w:rPr>
          <w:lang w:val="fr-CA"/>
        </w:rPr>
        <w:t>No. </w:t>
      </w:r>
      <w:r w:rsidR="00C4348E" w:rsidRPr="002037D2">
        <w:rPr>
          <w:lang w:val="fr-CA"/>
        </w:rPr>
        <w:t xml:space="preserve">4248 (QL), 2010 </w:t>
      </w:r>
      <w:proofErr w:type="spellStart"/>
      <w:r w:rsidR="00C4348E" w:rsidRPr="002037D2">
        <w:rPr>
          <w:lang w:val="fr-CA"/>
        </w:rPr>
        <w:t>CarswellOnt</w:t>
      </w:r>
      <w:proofErr w:type="spellEnd"/>
      <w:r w:rsidR="00C4348E" w:rsidRPr="002037D2">
        <w:rPr>
          <w:lang w:val="fr-CA"/>
        </w:rPr>
        <w:t xml:space="preserve"> 7532, qui a confirmé une décision du juge </w:t>
      </w:r>
      <w:proofErr w:type="spellStart"/>
      <w:r w:rsidR="00C4348E" w:rsidRPr="002037D2">
        <w:rPr>
          <w:lang w:val="fr-CA"/>
        </w:rPr>
        <w:t>Panet</w:t>
      </w:r>
      <w:proofErr w:type="spellEnd"/>
      <w:r w:rsidR="00C4348E" w:rsidRPr="002037D2">
        <w:rPr>
          <w:lang w:val="fr-CA"/>
        </w:rPr>
        <w:t xml:space="preserve"> (2007), 66 C.C.P.B. 54, </w:t>
      </w:r>
      <w:r w:rsidR="005A1AB9" w:rsidRPr="002037D2">
        <w:rPr>
          <w:lang w:val="fr-CA"/>
        </w:rPr>
        <w:t xml:space="preserve">2007 </w:t>
      </w:r>
      <w:proofErr w:type="spellStart"/>
      <w:r w:rsidR="005A1AB9" w:rsidRPr="002037D2">
        <w:rPr>
          <w:lang w:val="fr-CA"/>
        </w:rPr>
        <w:t>CanLII</w:t>
      </w:r>
      <w:proofErr w:type="spellEnd"/>
      <w:r w:rsidR="005A1AB9" w:rsidRPr="002037D2">
        <w:rPr>
          <w:lang w:val="fr-CA"/>
        </w:rPr>
        <w:t xml:space="preserve"> 50603, </w:t>
      </w:r>
      <w:r w:rsidR="00C4348E" w:rsidRPr="002037D2">
        <w:rPr>
          <w:lang w:val="fr-CA"/>
        </w:rPr>
        <w:t xml:space="preserve">[2007] O.J. </w:t>
      </w:r>
      <w:r w:rsidR="002037D2">
        <w:rPr>
          <w:lang w:val="fr-CA"/>
        </w:rPr>
        <w:t>No. </w:t>
      </w:r>
      <w:r w:rsidR="00C4348E" w:rsidRPr="002037D2">
        <w:rPr>
          <w:lang w:val="fr-CA"/>
        </w:rPr>
        <w:t xml:space="preserve">4577 (QL), 2007 </w:t>
      </w:r>
      <w:proofErr w:type="spellStart"/>
      <w:r w:rsidR="00C4348E" w:rsidRPr="002037D2">
        <w:rPr>
          <w:lang w:val="fr-CA"/>
        </w:rPr>
        <w:t>CarswellOnt</w:t>
      </w:r>
      <w:proofErr w:type="spellEnd"/>
      <w:r w:rsidR="00C4348E" w:rsidRPr="002037D2">
        <w:rPr>
          <w:lang w:val="fr-CA"/>
        </w:rPr>
        <w:t xml:space="preserve"> 7541</w:t>
      </w:r>
      <w:r>
        <w:rPr>
          <w:lang w:val="fr-CA"/>
        </w:rPr>
        <w:t>.</w:t>
      </w:r>
      <w:r w:rsidR="00C4348E">
        <w:rPr>
          <w:lang w:val="fr-CA"/>
        </w:rPr>
        <w:t xml:space="preserve"> </w:t>
      </w:r>
      <w:r>
        <w:rPr>
          <w:lang w:val="fr-CA"/>
        </w:rPr>
        <w:t xml:space="preserve"> Pourvoi </w:t>
      </w:r>
      <w:r w:rsidR="005A3A36">
        <w:rPr>
          <w:lang w:val="fr-CA"/>
        </w:rPr>
        <w:t>rejeté</w:t>
      </w:r>
      <w:r>
        <w:rPr>
          <w:lang w:val="fr-CA"/>
        </w:rPr>
        <w:t>.</w:t>
      </w:r>
    </w:p>
    <w:p w:rsidR="00426B03" w:rsidRPr="002037D2" w:rsidRDefault="002037D2" w:rsidP="002037D2">
      <w:pPr>
        <w:pStyle w:val="SCCNormalDoubleSpacing"/>
        <w:spacing w:after="480"/>
        <w:rPr>
          <w:lang w:val="fr-CA"/>
        </w:rPr>
      </w:pPr>
      <w:r w:rsidRPr="00445B05">
        <w:rPr>
          <w:i/>
          <w:lang w:val="fr-CA"/>
        </w:rPr>
        <w:tab/>
        <w:t>Paul </w:t>
      </w:r>
      <w:r w:rsidR="00181BB2" w:rsidRPr="00445B05">
        <w:rPr>
          <w:i/>
          <w:lang w:val="fr-CA"/>
        </w:rPr>
        <w:t>J.</w:t>
      </w:r>
      <w:r w:rsidR="0096002F" w:rsidRPr="00445B05">
        <w:rPr>
          <w:i/>
          <w:lang w:val="fr-CA"/>
        </w:rPr>
        <w:t> </w:t>
      </w:r>
      <w:r w:rsidR="00181BB2" w:rsidRPr="00445B05">
        <w:rPr>
          <w:i/>
          <w:lang w:val="fr-CA"/>
        </w:rPr>
        <w:t xml:space="preserve">J. </w:t>
      </w:r>
      <w:proofErr w:type="spellStart"/>
      <w:r w:rsidR="00181BB2" w:rsidRPr="00445B05">
        <w:rPr>
          <w:i/>
          <w:lang w:val="fr-CA"/>
        </w:rPr>
        <w:t>Cavalluzzo</w:t>
      </w:r>
      <w:proofErr w:type="spellEnd"/>
      <w:r w:rsidR="00181BB2" w:rsidRPr="002037D2">
        <w:rPr>
          <w:lang w:val="fr-CA"/>
        </w:rPr>
        <w:t xml:space="preserve">, </w:t>
      </w:r>
      <w:r w:rsidR="00181BB2" w:rsidRPr="00445B05">
        <w:rPr>
          <w:i/>
          <w:lang w:val="fr-CA"/>
        </w:rPr>
        <w:t xml:space="preserve">Hugh </w:t>
      </w:r>
      <w:proofErr w:type="spellStart"/>
      <w:r w:rsidR="00181BB2" w:rsidRPr="00445B05">
        <w:rPr>
          <w:i/>
          <w:lang w:val="fr-CA"/>
        </w:rPr>
        <w:t>O</w:t>
      </w:r>
      <w:r w:rsidR="0096002F" w:rsidRPr="00445B05">
        <w:rPr>
          <w:i/>
          <w:lang w:val="fr-CA"/>
        </w:rPr>
        <w:t>’</w:t>
      </w:r>
      <w:r w:rsidR="00181BB2" w:rsidRPr="00445B05">
        <w:rPr>
          <w:i/>
          <w:lang w:val="fr-CA"/>
        </w:rPr>
        <w:t>Reilly</w:t>
      </w:r>
      <w:proofErr w:type="spellEnd"/>
      <w:r w:rsidR="00181BB2" w:rsidRPr="002037D2">
        <w:rPr>
          <w:lang w:val="fr-CA"/>
        </w:rPr>
        <w:t xml:space="preserve"> et </w:t>
      </w:r>
      <w:r w:rsidR="00181BB2" w:rsidRPr="00445B05">
        <w:rPr>
          <w:i/>
          <w:lang w:val="fr-CA"/>
        </w:rPr>
        <w:t xml:space="preserve">Amanda </w:t>
      </w:r>
      <w:proofErr w:type="spellStart"/>
      <w:r w:rsidR="00181BB2" w:rsidRPr="00445B05">
        <w:rPr>
          <w:i/>
          <w:lang w:val="fr-CA"/>
        </w:rPr>
        <w:t>Darrach</w:t>
      </w:r>
      <w:proofErr w:type="spellEnd"/>
      <w:r w:rsidR="0096002F" w:rsidRPr="002037D2">
        <w:rPr>
          <w:lang w:val="fr-CA"/>
        </w:rPr>
        <w:t xml:space="preserve">, pour les </w:t>
      </w:r>
      <w:r w:rsidR="00181BB2" w:rsidRPr="002037D2">
        <w:rPr>
          <w:lang w:val="fr-CA"/>
        </w:rPr>
        <w:t>appelant</w:t>
      </w:r>
      <w:r w:rsidR="0096002F" w:rsidRPr="002037D2">
        <w:rPr>
          <w:lang w:val="fr-CA"/>
        </w:rPr>
        <w:t>s l’Institut professionnel de la fonction publique du Canada et autres</w:t>
      </w:r>
      <w:r w:rsidR="00181BB2" w:rsidRPr="002037D2">
        <w:rPr>
          <w:lang w:val="fr-CA"/>
        </w:rPr>
        <w:t>.</w:t>
      </w:r>
    </w:p>
    <w:p w:rsidR="00426B03" w:rsidRPr="002037D2" w:rsidRDefault="00181BB2" w:rsidP="002037D2">
      <w:pPr>
        <w:pStyle w:val="SCCNormalDoubleSpacing"/>
        <w:spacing w:after="480"/>
        <w:rPr>
          <w:lang w:val="fr-CA"/>
        </w:rPr>
      </w:pPr>
      <w:r w:rsidRPr="00445B05">
        <w:rPr>
          <w:i/>
          <w:lang w:val="fr-CA"/>
        </w:rPr>
        <w:lastRenderedPageBreak/>
        <w:tab/>
      </w:r>
      <w:r w:rsidR="0096002F" w:rsidRPr="00445B05">
        <w:rPr>
          <w:i/>
          <w:lang w:val="fr-CA"/>
        </w:rPr>
        <w:t>James Cameron</w:t>
      </w:r>
      <w:r w:rsidR="0096002F" w:rsidRPr="002037D2">
        <w:rPr>
          <w:lang w:val="fr-CA"/>
        </w:rPr>
        <w:t xml:space="preserve">, </w:t>
      </w:r>
      <w:r w:rsidR="0096002F" w:rsidRPr="00445B05">
        <w:rPr>
          <w:i/>
          <w:lang w:val="fr-CA"/>
        </w:rPr>
        <w:t xml:space="preserve">Andrew </w:t>
      </w:r>
      <w:proofErr w:type="spellStart"/>
      <w:r w:rsidR="0096002F" w:rsidRPr="00445B05">
        <w:rPr>
          <w:i/>
          <w:lang w:val="fr-CA"/>
        </w:rPr>
        <w:t>Raven</w:t>
      </w:r>
      <w:proofErr w:type="spellEnd"/>
      <w:r w:rsidRPr="002037D2">
        <w:rPr>
          <w:lang w:val="fr-CA"/>
        </w:rPr>
        <w:t xml:space="preserve"> et </w:t>
      </w:r>
      <w:r w:rsidRPr="00445B05">
        <w:rPr>
          <w:i/>
          <w:lang w:val="fr-CA"/>
        </w:rPr>
        <w:t xml:space="preserve">Andrew </w:t>
      </w:r>
      <w:proofErr w:type="spellStart"/>
      <w:r w:rsidRPr="00445B05">
        <w:rPr>
          <w:i/>
          <w:lang w:val="fr-CA"/>
        </w:rPr>
        <w:t>Astritis</w:t>
      </w:r>
      <w:proofErr w:type="spellEnd"/>
      <w:r w:rsidR="0096002F" w:rsidRPr="002037D2">
        <w:rPr>
          <w:lang w:val="fr-CA"/>
        </w:rPr>
        <w:t xml:space="preserve">, pour les </w:t>
      </w:r>
      <w:r w:rsidRPr="002037D2">
        <w:rPr>
          <w:lang w:val="fr-CA"/>
        </w:rPr>
        <w:t>appelante</w:t>
      </w:r>
      <w:r w:rsidR="00865BD8" w:rsidRPr="002037D2">
        <w:rPr>
          <w:lang w:val="fr-CA"/>
        </w:rPr>
        <w:t xml:space="preserve">s l’Alliance de la Fonction publique du Canada, l’Association </w:t>
      </w:r>
      <w:r w:rsidR="005F57B2" w:rsidRPr="002037D2">
        <w:rPr>
          <w:lang w:val="fr-CA"/>
        </w:rPr>
        <w:t xml:space="preserve">canadienne </w:t>
      </w:r>
      <w:r w:rsidR="00865BD8" w:rsidRPr="002037D2">
        <w:rPr>
          <w:lang w:val="fr-CA"/>
        </w:rPr>
        <w:t>des pensionnés et rentiers militaires et autres</w:t>
      </w:r>
      <w:r w:rsidRPr="002037D2">
        <w:rPr>
          <w:lang w:val="fr-CA"/>
        </w:rPr>
        <w:t>.</w:t>
      </w:r>
    </w:p>
    <w:p w:rsidR="00426B03" w:rsidRPr="002037D2" w:rsidRDefault="00181BB2" w:rsidP="002037D2">
      <w:pPr>
        <w:pStyle w:val="SCCNormalDoubleSpacing"/>
        <w:spacing w:after="480"/>
        <w:rPr>
          <w:lang w:val="fr-CA"/>
        </w:rPr>
      </w:pPr>
      <w:r w:rsidRPr="00445B05">
        <w:rPr>
          <w:i/>
          <w:lang w:val="fr-CA"/>
        </w:rPr>
        <w:tab/>
      </w:r>
      <w:r w:rsidR="00865BD8" w:rsidRPr="00445B05">
        <w:rPr>
          <w:i/>
          <w:lang w:val="fr-CA"/>
        </w:rPr>
        <w:t>Peter Southey</w:t>
      </w:r>
      <w:r w:rsidR="00865BD8" w:rsidRPr="002037D2">
        <w:rPr>
          <w:lang w:val="fr-CA"/>
        </w:rPr>
        <w:t xml:space="preserve">, </w:t>
      </w:r>
      <w:r w:rsidR="00865BD8" w:rsidRPr="00445B05">
        <w:rPr>
          <w:i/>
          <w:lang w:val="fr-CA"/>
        </w:rPr>
        <w:t xml:space="preserve">Dale </w:t>
      </w:r>
      <w:proofErr w:type="spellStart"/>
      <w:r w:rsidR="00865BD8" w:rsidRPr="00445B05">
        <w:rPr>
          <w:i/>
          <w:lang w:val="fr-CA"/>
        </w:rPr>
        <w:t>Yurka</w:t>
      </w:r>
      <w:proofErr w:type="spellEnd"/>
      <w:r w:rsidR="00865BD8" w:rsidRPr="002037D2">
        <w:rPr>
          <w:lang w:val="fr-CA"/>
        </w:rPr>
        <w:t xml:space="preserve"> et </w:t>
      </w:r>
      <w:r w:rsidR="00865BD8" w:rsidRPr="00445B05">
        <w:rPr>
          <w:i/>
          <w:lang w:val="fr-CA"/>
        </w:rPr>
        <w:t xml:space="preserve">Christine </w:t>
      </w:r>
      <w:proofErr w:type="spellStart"/>
      <w:r w:rsidR="00865BD8" w:rsidRPr="00445B05">
        <w:rPr>
          <w:i/>
          <w:lang w:val="fr-CA"/>
        </w:rPr>
        <w:t>Mohr</w:t>
      </w:r>
      <w:proofErr w:type="spellEnd"/>
      <w:r w:rsidR="00865BD8" w:rsidRPr="002037D2">
        <w:rPr>
          <w:lang w:val="fr-CA"/>
        </w:rPr>
        <w:t>, pour l’</w:t>
      </w:r>
      <w:r w:rsidRPr="002037D2">
        <w:rPr>
          <w:lang w:val="fr-CA"/>
        </w:rPr>
        <w:t>intimé.</w:t>
      </w:r>
    </w:p>
    <w:p w:rsidR="00426B03" w:rsidRPr="002037D2" w:rsidRDefault="00181BB2" w:rsidP="002037D2">
      <w:pPr>
        <w:pStyle w:val="SCCNormalDoubleSpacing"/>
        <w:spacing w:after="480"/>
        <w:rPr>
          <w:lang w:val="fr-CA"/>
        </w:rPr>
      </w:pPr>
      <w:r w:rsidRPr="00445B05">
        <w:rPr>
          <w:i/>
          <w:lang w:val="fr-CA"/>
        </w:rPr>
        <w:tab/>
      </w:r>
      <w:r w:rsidR="00865BD8" w:rsidRPr="001D1AD7">
        <w:rPr>
          <w:lang w:val="fr-CA"/>
        </w:rPr>
        <w:t xml:space="preserve">Argumentation écrite seulement par </w:t>
      </w:r>
      <w:r w:rsidRPr="00445B05">
        <w:rPr>
          <w:i/>
          <w:lang w:val="fr-CA"/>
        </w:rPr>
        <w:t>J.</w:t>
      </w:r>
      <w:r w:rsidR="00865BD8" w:rsidRPr="00445B05">
        <w:rPr>
          <w:i/>
          <w:lang w:val="fr-CA"/>
        </w:rPr>
        <w:t> </w:t>
      </w:r>
      <w:r w:rsidRPr="00445B05">
        <w:rPr>
          <w:i/>
          <w:lang w:val="fr-CA"/>
        </w:rPr>
        <w:t>Gareth Morley</w:t>
      </w:r>
      <w:r w:rsidRPr="002037D2">
        <w:rPr>
          <w:lang w:val="fr-CA"/>
        </w:rPr>
        <w:t>, pour l</w:t>
      </w:r>
      <w:r w:rsidR="00865BD8" w:rsidRPr="002037D2">
        <w:rPr>
          <w:lang w:val="fr-CA"/>
        </w:rPr>
        <w:t>’</w:t>
      </w:r>
      <w:r w:rsidRPr="002037D2">
        <w:rPr>
          <w:lang w:val="fr-CA"/>
        </w:rPr>
        <w:t>intervenant.</w:t>
      </w:r>
    </w:p>
    <w:p w:rsidR="000F48EC" w:rsidRDefault="004D7204" w:rsidP="002037D2">
      <w:pPr>
        <w:pStyle w:val="SCCNormalDoubleSpacing"/>
        <w:spacing w:after="480"/>
        <w:rPr>
          <w:lang w:val="fr-CA"/>
        </w:rPr>
      </w:pPr>
      <w:r>
        <w:rPr>
          <w:lang w:val="fr-CA"/>
        </w:rPr>
        <w:tab/>
        <w:t>Version française du jugement de la Cour rendu par</w:t>
      </w:r>
    </w:p>
    <w:p w:rsidR="000F48EC" w:rsidRPr="001E7CB3" w:rsidRDefault="000F48EC" w:rsidP="000F48EC">
      <w:pPr>
        <w:pStyle w:val="JudgeJuge"/>
        <w:rPr>
          <w:szCs w:val="24"/>
          <w:lang w:val="fr-CA"/>
        </w:rPr>
      </w:pPr>
      <w:r w:rsidRPr="001E7CB3">
        <w:rPr>
          <w:szCs w:val="24"/>
          <w:lang w:val="fr-CA"/>
        </w:rPr>
        <w:tab/>
        <w:t xml:space="preserve">Le juge </w:t>
      </w:r>
      <w:proofErr w:type="spellStart"/>
      <w:r w:rsidRPr="001E7CB3">
        <w:rPr>
          <w:szCs w:val="24"/>
          <w:lang w:val="fr-CA"/>
        </w:rPr>
        <w:t>Rothstein</w:t>
      </w:r>
      <w:proofErr w:type="spellEnd"/>
      <w:r w:rsidRPr="001E7CB3">
        <w:rPr>
          <w:szCs w:val="24"/>
          <w:lang w:val="fr-CA"/>
        </w:rPr>
        <w:t xml:space="preserve"> — </w:t>
      </w:r>
    </w:p>
    <w:p w:rsidR="000F48EC" w:rsidRPr="001E7CB3" w:rsidRDefault="000F48EC" w:rsidP="00E46B5B">
      <w:pPr>
        <w:pStyle w:val="TitleTitre-AltT"/>
        <w:keepNext/>
        <w:numPr>
          <w:ilvl w:val="0"/>
          <w:numId w:val="2"/>
        </w:numPr>
        <w:tabs>
          <w:tab w:val="clear" w:pos="360"/>
          <w:tab w:val="left" w:pos="540"/>
        </w:tabs>
        <w:ind w:left="540" w:hanging="540"/>
        <w:rPr>
          <w:szCs w:val="24"/>
          <w:u w:val="single"/>
          <w:lang w:val="fr-CA"/>
        </w:rPr>
      </w:pPr>
      <w:r>
        <w:rPr>
          <w:szCs w:val="24"/>
          <w:u w:val="single"/>
          <w:lang w:val="fr-CA"/>
        </w:rPr>
        <w:t>Introduction</w:t>
      </w:r>
    </w:p>
    <w:p w:rsidR="000F48EC" w:rsidRPr="001E7CB3" w:rsidRDefault="000F48EC" w:rsidP="000F48EC">
      <w:pPr>
        <w:pStyle w:val="ParaNoNdepar-AltN"/>
        <w:rPr>
          <w:lang w:val="fr-CA"/>
        </w:rPr>
      </w:pPr>
      <w:r w:rsidRPr="001E7CB3">
        <w:rPr>
          <w:lang w:val="fr-CA"/>
        </w:rPr>
        <w:t>Le pourvoi concerne trois régimes de pension du secteur public</w:t>
      </w:r>
      <w:r>
        <w:rPr>
          <w:lang w:val="fr-CA"/>
        </w:rPr>
        <w:t>,</w:t>
      </w:r>
      <w:r w:rsidRPr="001E7CB3">
        <w:rPr>
          <w:lang w:val="fr-CA"/>
        </w:rPr>
        <w:t xml:space="preserve"> </w:t>
      </w:r>
      <w:r>
        <w:rPr>
          <w:lang w:val="fr-CA"/>
        </w:rPr>
        <w:t>établi</w:t>
      </w:r>
      <w:r w:rsidRPr="001E7CB3">
        <w:rPr>
          <w:lang w:val="fr-CA"/>
        </w:rPr>
        <w:t xml:space="preserve">s par </w:t>
      </w:r>
      <w:r>
        <w:rPr>
          <w:lang w:val="fr-CA"/>
        </w:rPr>
        <w:t>une</w:t>
      </w:r>
      <w:r w:rsidRPr="001E7CB3">
        <w:rPr>
          <w:lang w:val="fr-CA"/>
        </w:rPr>
        <w:t xml:space="preserve"> loi, dont les participants sont des fonctionnaires fédéraux et des membres des Forces canadiennes ou de la GRC.  Les trois régimes sont administrés par le gouvernement</w:t>
      </w:r>
      <w:r>
        <w:rPr>
          <w:lang w:val="fr-CA"/>
        </w:rPr>
        <w:t xml:space="preserve"> du Canada</w:t>
      </w:r>
      <w:r w:rsidRPr="001E7CB3">
        <w:rPr>
          <w:lang w:val="fr-CA"/>
        </w:rPr>
        <w:t xml:space="preserve"> et sont des régimes contributifs à prestations déterminées.</w:t>
      </w:r>
    </w:p>
    <w:p w:rsidR="000F48EC" w:rsidRPr="001E7CB3" w:rsidRDefault="000F48EC" w:rsidP="000F48EC">
      <w:pPr>
        <w:pStyle w:val="ParaNoNdepar-AltN"/>
        <w:rPr>
          <w:lang w:val="fr-CA"/>
        </w:rPr>
      </w:pPr>
      <w:r w:rsidRPr="001E7CB3">
        <w:rPr>
          <w:lang w:val="fr-CA"/>
        </w:rPr>
        <w:t>Les lois régissant ces régimes prévoient pour chacun la constitution d’un « compte de pensio</w:t>
      </w:r>
      <w:r>
        <w:rPr>
          <w:lang w:val="fr-CA"/>
        </w:rPr>
        <w:t>n de retraite », où sont inscrit</w:t>
      </w:r>
      <w:r w:rsidRPr="001E7CB3">
        <w:rPr>
          <w:lang w:val="fr-CA"/>
        </w:rPr>
        <w:t xml:space="preserve">s les </w:t>
      </w:r>
      <w:r>
        <w:rPr>
          <w:lang w:val="fr-CA"/>
        </w:rPr>
        <w:t>montants versés dans le régime et ceux qui en sont retirés</w:t>
      </w:r>
      <w:r w:rsidRPr="001E7CB3">
        <w:rPr>
          <w:lang w:val="fr-CA"/>
        </w:rPr>
        <w:t>.  Pendant les années 1990, ces comptes ont commencé à afficher des surplus actuariels (c’est</w:t>
      </w:r>
      <w:r>
        <w:rPr>
          <w:lang w:val="fr-CA"/>
        </w:rPr>
        <w:noBreakHyphen/>
      </w:r>
      <w:proofErr w:type="spellStart"/>
      <w:r w:rsidRPr="001E7CB3">
        <w:rPr>
          <w:lang w:val="fr-CA"/>
        </w:rPr>
        <w:t>à</w:t>
      </w:r>
      <w:r>
        <w:rPr>
          <w:lang w:val="fr-CA"/>
        </w:rPr>
        <w:noBreakHyphen/>
      </w:r>
      <w:r w:rsidRPr="001E7CB3">
        <w:rPr>
          <w:lang w:val="fr-CA"/>
        </w:rPr>
        <w:t>dire</w:t>
      </w:r>
      <w:proofErr w:type="spellEnd"/>
      <w:r w:rsidRPr="001E7CB3">
        <w:rPr>
          <w:lang w:val="fr-CA"/>
        </w:rPr>
        <w:t xml:space="preserve"> que les montants portés à leur crédit excédaient les coûts estimatifs du versement des</w:t>
      </w:r>
      <w:r>
        <w:rPr>
          <w:lang w:val="fr-CA"/>
        </w:rPr>
        <w:t xml:space="preserve"> prestations).  Au mois de mars </w:t>
      </w:r>
      <w:r w:rsidRPr="001E7CB3">
        <w:rPr>
          <w:lang w:val="fr-CA"/>
        </w:rPr>
        <w:t xml:space="preserve">1999, </w:t>
      </w:r>
      <w:r w:rsidRPr="001E7CB3">
        <w:rPr>
          <w:lang w:val="fr-CA"/>
        </w:rPr>
        <w:lastRenderedPageBreak/>
        <w:t xml:space="preserve">le total des surplus accumulés par les trois régimes atteignait plus ou moins 30,9 milliards de dollars. </w:t>
      </w:r>
    </w:p>
    <w:p w:rsidR="000F48EC" w:rsidRPr="001E7CB3" w:rsidRDefault="000F48EC" w:rsidP="000F48EC">
      <w:pPr>
        <w:pStyle w:val="ParaNoNdepar-AltN"/>
        <w:rPr>
          <w:lang w:val="fr-CA"/>
        </w:rPr>
      </w:pPr>
      <w:r w:rsidRPr="001E7CB3">
        <w:rPr>
          <w:lang w:val="fr-CA"/>
        </w:rPr>
        <w:t>Dans les Comptes publics (les rapports financiers annuels du Canada) de 1990</w:t>
      </w:r>
      <w:r>
        <w:rPr>
          <w:lang w:val="fr-CA"/>
        </w:rPr>
        <w:noBreakHyphen/>
      </w:r>
      <w:r w:rsidRPr="001E7CB3">
        <w:rPr>
          <w:lang w:val="fr-CA"/>
        </w:rPr>
        <w:t>1991, le gouvernement a commencé à « amortir » les surplus actuariels des comptes de pension de retraite.  Le 1</w:t>
      </w:r>
      <w:r w:rsidRPr="001E7CB3">
        <w:rPr>
          <w:vertAlign w:val="superscript"/>
          <w:lang w:val="fr-CA"/>
        </w:rPr>
        <w:t>er</w:t>
      </w:r>
      <w:r w:rsidRPr="001E7CB3">
        <w:rPr>
          <w:lang w:val="fr-CA"/>
        </w:rPr>
        <w:t> </w:t>
      </w:r>
      <w:r>
        <w:rPr>
          <w:lang w:val="fr-CA"/>
        </w:rPr>
        <w:t xml:space="preserve">avril </w:t>
      </w:r>
      <w:r w:rsidRPr="001E7CB3">
        <w:rPr>
          <w:lang w:val="fr-CA"/>
        </w:rPr>
        <w:t xml:space="preserve">2000, la </w:t>
      </w:r>
      <w:r w:rsidRPr="001E7CB3">
        <w:rPr>
          <w:i/>
          <w:lang w:val="fr-CA"/>
        </w:rPr>
        <w:t>Loi sur l’Office d’investissement des régimes de pensions du secteur public</w:t>
      </w:r>
      <w:r>
        <w:rPr>
          <w:lang w:val="fr-CA"/>
        </w:rPr>
        <w:t>, L.C. 1999, ch. 34 (</w:t>
      </w:r>
      <w:r w:rsidRPr="001E7CB3">
        <w:rPr>
          <w:lang w:val="fr-CA"/>
        </w:rPr>
        <w:t xml:space="preserve">le </w:t>
      </w:r>
      <w:r>
        <w:rPr>
          <w:lang w:val="fr-CA"/>
        </w:rPr>
        <w:t>« </w:t>
      </w:r>
      <w:r w:rsidRPr="001E7CB3">
        <w:rPr>
          <w:lang w:val="fr-CA"/>
        </w:rPr>
        <w:t>projet de loi C</w:t>
      </w:r>
      <w:r>
        <w:rPr>
          <w:lang w:val="fr-CA"/>
        </w:rPr>
        <w:noBreakHyphen/>
        <w:t>78 »)</w:t>
      </w:r>
      <w:r w:rsidR="00C83500">
        <w:rPr>
          <w:lang w:val="fr-CA"/>
        </w:rPr>
        <w:t>,</w:t>
      </w:r>
      <w:r w:rsidRPr="001E7CB3">
        <w:rPr>
          <w:lang w:val="fr-CA"/>
        </w:rPr>
        <w:t xml:space="preserve"> est entrée en vigueur.  Ce projet de loi changeait le mode de perception, de gestion et de distribution des contributions</w:t>
      </w:r>
      <w:r>
        <w:rPr>
          <w:lang w:val="fr-CA"/>
        </w:rPr>
        <w:t>.  Il obligeait aussi le</w:t>
      </w:r>
      <w:r w:rsidRPr="001E7CB3">
        <w:rPr>
          <w:lang w:val="fr-CA"/>
        </w:rPr>
        <w:t xml:space="preserve"> ministre </w:t>
      </w:r>
      <w:r>
        <w:rPr>
          <w:lang w:val="fr-CA"/>
        </w:rPr>
        <w:t>à</w:t>
      </w:r>
      <w:r w:rsidRPr="001E7CB3">
        <w:rPr>
          <w:lang w:val="fr-CA"/>
        </w:rPr>
        <w:t xml:space="preserve"> </w:t>
      </w:r>
      <w:r>
        <w:rPr>
          <w:lang w:val="fr-CA"/>
        </w:rPr>
        <w:t>débiter les</w:t>
      </w:r>
      <w:r w:rsidRPr="001E7CB3">
        <w:rPr>
          <w:lang w:val="fr-CA"/>
        </w:rPr>
        <w:t xml:space="preserve"> comptes</w:t>
      </w:r>
      <w:r>
        <w:rPr>
          <w:lang w:val="fr-CA"/>
        </w:rPr>
        <w:t xml:space="preserve"> de pension de retraite de certains</w:t>
      </w:r>
      <w:r w:rsidRPr="001E7CB3">
        <w:rPr>
          <w:lang w:val="fr-CA"/>
        </w:rPr>
        <w:t xml:space="preserve"> montants excédant le plafond établi pour les surplus actuariels. </w:t>
      </w:r>
      <w:r>
        <w:rPr>
          <w:lang w:val="fr-CA"/>
        </w:rPr>
        <w:t xml:space="preserve"> </w:t>
      </w:r>
      <w:r w:rsidRPr="001E7CB3">
        <w:rPr>
          <w:lang w:val="fr-CA"/>
        </w:rPr>
        <w:t>En application du projet de loi C</w:t>
      </w:r>
      <w:r>
        <w:rPr>
          <w:lang w:val="fr-CA"/>
        </w:rPr>
        <w:noBreakHyphen/>
      </w:r>
      <w:r w:rsidRPr="001E7CB3">
        <w:rPr>
          <w:lang w:val="fr-CA"/>
        </w:rPr>
        <w:t xml:space="preserve">78, qui produisait des effets différents de la méthode d’amortissement antérieure, le gouvernement a </w:t>
      </w:r>
      <w:r>
        <w:rPr>
          <w:lang w:val="fr-CA"/>
        </w:rPr>
        <w:t>porté</w:t>
      </w:r>
      <w:r w:rsidRPr="001E7CB3">
        <w:rPr>
          <w:lang w:val="fr-CA"/>
        </w:rPr>
        <w:t xml:space="preserve"> </w:t>
      </w:r>
      <w:r>
        <w:rPr>
          <w:lang w:val="fr-CA"/>
        </w:rPr>
        <w:t xml:space="preserve">plus de </w:t>
      </w:r>
      <w:r w:rsidRPr="001E7CB3">
        <w:rPr>
          <w:lang w:val="fr-CA"/>
        </w:rPr>
        <w:t>28 milliards de dollars</w:t>
      </w:r>
      <w:r>
        <w:rPr>
          <w:lang w:val="fr-CA"/>
        </w:rPr>
        <w:t xml:space="preserve"> au débit d</w:t>
      </w:r>
      <w:r w:rsidRPr="001E7CB3">
        <w:rPr>
          <w:lang w:val="fr-CA"/>
        </w:rPr>
        <w:t xml:space="preserve">es comptes de pension de retraite, réduisant ainsi leurs surplus actuariels.  </w:t>
      </w:r>
    </w:p>
    <w:p w:rsidR="000F48EC" w:rsidRPr="001E7CB3" w:rsidRDefault="000F48EC" w:rsidP="000F48EC">
      <w:pPr>
        <w:pStyle w:val="ParaNoNdepar-AltN"/>
        <w:rPr>
          <w:lang w:val="fr-CA"/>
        </w:rPr>
      </w:pPr>
      <w:r w:rsidRPr="001E7CB3">
        <w:rPr>
          <w:lang w:val="fr-CA"/>
        </w:rPr>
        <w:t>Les appelants (des syndicats et des associations d’employés ou de retraités) ont poursuivi le gouvernement pour obtenir la restitution des 28 milliards</w:t>
      </w:r>
      <w:r>
        <w:rPr>
          <w:lang w:val="fr-CA"/>
        </w:rPr>
        <w:t xml:space="preserve"> de dollars</w:t>
      </w:r>
      <w:r w:rsidRPr="001E7CB3">
        <w:rPr>
          <w:lang w:val="fr-CA"/>
        </w:rPr>
        <w:t xml:space="preserve"> aux régimes de pension.  Le juge de première instance a rejeté leur</w:t>
      </w:r>
      <w:r>
        <w:rPr>
          <w:lang w:val="fr-CA"/>
        </w:rPr>
        <w:t>s</w:t>
      </w:r>
      <w:r w:rsidRPr="001E7CB3">
        <w:rPr>
          <w:lang w:val="fr-CA"/>
        </w:rPr>
        <w:t xml:space="preserve"> </w:t>
      </w:r>
      <w:r>
        <w:rPr>
          <w:lang w:val="fr-CA"/>
        </w:rPr>
        <w:t>demandes</w:t>
      </w:r>
      <w:r w:rsidRPr="001E7CB3">
        <w:rPr>
          <w:lang w:val="fr-CA"/>
        </w:rPr>
        <w:t>, et la Cour d’appel de l’Ontario a confirmé sa décision</w:t>
      </w:r>
      <w:r>
        <w:rPr>
          <w:lang w:val="fr-CA"/>
        </w:rPr>
        <w:t xml:space="preserve"> ((2007), 66 C.C.P.B. 54 (C.S.J. Ont.), </w:t>
      </w:r>
      <w:proofErr w:type="spellStart"/>
      <w:r>
        <w:rPr>
          <w:lang w:val="fr-CA"/>
        </w:rPr>
        <w:t>conf</w:t>
      </w:r>
      <w:proofErr w:type="spellEnd"/>
      <w:r>
        <w:rPr>
          <w:lang w:val="fr-CA"/>
        </w:rPr>
        <w:t>. par 2010 ONCA 657, 102 O.R. (3d) 241)</w:t>
      </w:r>
      <w:r w:rsidRPr="001E7CB3">
        <w:rPr>
          <w:lang w:val="fr-CA"/>
        </w:rPr>
        <w:t xml:space="preserve">. </w:t>
      </w:r>
    </w:p>
    <w:p w:rsidR="000F48EC" w:rsidRPr="001E7CB3" w:rsidRDefault="000F48EC" w:rsidP="000F48EC">
      <w:pPr>
        <w:pStyle w:val="ParaNoNdepar-AltN"/>
        <w:rPr>
          <w:lang w:val="fr-CA"/>
        </w:rPr>
      </w:pPr>
      <w:r w:rsidRPr="001E7CB3">
        <w:rPr>
          <w:lang w:val="fr-CA"/>
        </w:rPr>
        <w:t xml:space="preserve">Pour obtenir gain de cause, les membres des régimes doivent établir </w:t>
      </w:r>
      <w:r>
        <w:rPr>
          <w:lang w:val="fr-CA"/>
        </w:rPr>
        <w:t>qu’ils ont un</w:t>
      </w:r>
      <w:r w:rsidRPr="001E7CB3">
        <w:rPr>
          <w:lang w:val="fr-CA"/>
        </w:rPr>
        <w:t xml:space="preserve"> droit en </w:t>
      </w:r>
      <w:proofErr w:type="spellStart"/>
      <w:r w:rsidRPr="001E7CB3">
        <w:rPr>
          <w:lang w:val="fr-CA"/>
        </w:rPr>
        <w:t>equity</w:t>
      </w:r>
      <w:proofErr w:type="spellEnd"/>
      <w:r w:rsidRPr="001E7CB3">
        <w:rPr>
          <w:lang w:val="fr-CA"/>
        </w:rPr>
        <w:t xml:space="preserve"> sur les surplus actuariels, sinon leur droit se limite </w:t>
      </w:r>
      <w:r>
        <w:rPr>
          <w:lang w:val="fr-CA"/>
        </w:rPr>
        <w:t>aux</w:t>
      </w:r>
      <w:r w:rsidRPr="001E7CB3">
        <w:rPr>
          <w:lang w:val="fr-CA"/>
        </w:rPr>
        <w:t xml:space="preserve"> prestation</w:t>
      </w:r>
      <w:r>
        <w:rPr>
          <w:lang w:val="fr-CA"/>
        </w:rPr>
        <w:t>s</w:t>
      </w:r>
      <w:r w:rsidRPr="001E7CB3">
        <w:rPr>
          <w:lang w:val="fr-CA"/>
        </w:rPr>
        <w:t xml:space="preserve"> déterminée</w:t>
      </w:r>
      <w:r>
        <w:rPr>
          <w:lang w:val="fr-CA"/>
        </w:rPr>
        <w:t>s</w:t>
      </w:r>
      <w:r w:rsidRPr="001E7CB3">
        <w:rPr>
          <w:lang w:val="fr-CA"/>
        </w:rPr>
        <w:t xml:space="preserve"> prévue</w:t>
      </w:r>
      <w:r>
        <w:rPr>
          <w:lang w:val="fr-CA"/>
        </w:rPr>
        <w:t>s</w:t>
      </w:r>
      <w:r w:rsidRPr="001E7CB3">
        <w:rPr>
          <w:lang w:val="fr-CA"/>
        </w:rPr>
        <w:t xml:space="preserve"> par les lois applicables.  À cet égard, la question de la </w:t>
      </w:r>
      <w:r w:rsidRPr="001E7CB3">
        <w:rPr>
          <w:lang w:val="fr-CA"/>
        </w:rPr>
        <w:lastRenderedPageBreak/>
        <w:t xml:space="preserve">nature des comptes de pension de retraite revêt une importance capitale.  Les appelants ont soutenu que ces comptes étaient des </w:t>
      </w:r>
      <w:r w:rsidRPr="000A14B9">
        <w:rPr>
          <w:lang w:val="fr-CA"/>
        </w:rPr>
        <w:t>caisses</w:t>
      </w:r>
      <w:r w:rsidRPr="001E7CB3">
        <w:rPr>
          <w:lang w:val="fr-CA"/>
        </w:rPr>
        <w:t xml:space="preserve"> </w:t>
      </w:r>
      <w:r>
        <w:rPr>
          <w:lang w:val="fr-CA"/>
        </w:rPr>
        <w:t>conten</w:t>
      </w:r>
      <w:r w:rsidRPr="001E7CB3">
        <w:rPr>
          <w:lang w:val="fr-CA"/>
        </w:rPr>
        <w:t xml:space="preserve">ant des </w:t>
      </w:r>
      <w:r>
        <w:rPr>
          <w:lang w:val="fr-CA"/>
        </w:rPr>
        <w:t>éléments d’</w:t>
      </w:r>
      <w:r w:rsidRPr="001E7CB3">
        <w:rPr>
          <w:lang w:val="fr-CA"/>
        </w:rPr>
        <w:t xml:space="preserve">actif </w:t>
      </w:r>
      <w:r>
        <w:rPr>
          <w:lang w:val="fr-CA"/>
        </w:rPr>
        <w:t>dans</w:t>
      </w:r>
      <w:r w:rsidRPr="001E7CB3">
        <w:rPr>
          <w:lang w:val="fr-CA"/>
        </w:rPr>
        <w:t xml:space="preserve"> lesquels </w:t>
      </w:r>
      <w:r>
        <w:rPr>
          <w:lang w:val="fr-CA"/>
        </w:rPr>
        <w:t xml:space="preserve">ils pouvaient revendiquer </w:t>
      </w:r>
      <w:r w:rsidRPr="001E7CB3">
        <w:rPr>
          <w:lang w:val="fr-CA"/>
        </w:rPr>
        <w:t xml:space="preserve">un intérêt en </w:t>
      </w:r>
      <w:proofErr w:type="spellStart"/>
      <w:r w:rsidRPr="001E7CB3">
        <w:rPr>
          <w:lang w:val="fr-CA"/>
        </w:rPr>
        <w:t>equity</w:t>
      </w:r>
      <w:proofErr w:type="spellEnd"/>
      <w:r>
        <w:rPr>
          <w:lang w:val="fr-CA"/>
        </w:rPr>
        <w:t xml:space="preserve">.  Ils affirment que leur intérêt en </w:t>
      </w:r>
      <w:proofErr w:type="spellStart"/>
      <w:r>
        <w:rPr>
          <w:lang w:val="fr-CA"/>
        </w:rPr>
        <w:t>equity</w:t>
      </w:r>
      <w:proofErr w:type="spellEnd"/>
      <w:r>
        <w:rPr>
          <w:lang w:val="fr-CA"/>
        </w:rPr>
        <w:t xml:space="preserve"> est</w:t>
      </w:r>
      <w:r w:rsidRPr="001E7CB3">
        <w:rPr>
          <w:lang w:val="fr-CA"/>
        </w:rPr>
        <w:t xml:space="preserve"> protégé par </w:t>
      </w:r>
      <w:r>
        <w:rPr>
          <w:lang w:val="fr-CA"/>
        </w:rPr>
        <w:t>un devoir</w:t>
      </w:r>
      <w:r w:rsidRPr="001E7CB3">
        <w:rPr>
          <w:lang w:val="fr-CA"/>
        </w:rPr>
        <w:t xml:space="preserve"> </w:t>
      </w:r>
      <w:r w:rsidRPr="00A25FAD">
        <w:rPr>
          <w:lang w:val="fr-CA"/>
        </w:rPr>
        <w:t xml:space="preserve">fiduciaire du gouvernement ou, subsidiairement, par une fiducie </w:t>
      </w:r>
      <w:r>
        <w:rPr>
          <w:lang w:val="fr-CA"/>
        </w:rPr>
        <w:t xml:space="preserve">par interprétation </w:t>
      </w:r>
      <w:r w:rsidRPr="001E7CB3">
        <w:rPr>
          <w:lang w:val="fr-CA"/>
        </w:rPr>
        <w:t xml:space="preserve">résultant d’un enrichissement injustifié.  Le gouvernement </w:t>
      </w:r>
      <w:r>
        <w:rPr>
          <w:lang w:val="fr-CA"/>
        </w:rPr>
        <w:t>rétorque</w:t>
      </w:r>
      <w:r w:rsidRPr="001E7CB3">
        <w:rPr>
          <w:lang w:val="fr-CA"/>
        </w:rPr>
        <w:t xml:space="preserve"> que les comptes de pension de retraite sont de simples documents comptables ne </w:t>
      </w:r>
      <w:r>
        <w:rPr>
          <w:lang w:val="fr-CA"/>
        </w:rPr>
        <w:t>conten</w:t>
      </w:r>
      <w:r w:rsidRPr="001E7CB3">
        <w:rPr>
          <w:lang w:val="fr-CA"/>
        </w:rPr>
        <w:t>ant aucun</w:t>
      </w:r>
      <w:r>
        <w:rPr>
          <w:lang w:val="fr-CA"/>
        </w:rPr>
        <w:t xml:space="preserve"> élément d’</w:t>
      </w:r>
      <w:r w:rsidRPr="001E7CB3">
        <w:rPr>
          <w:lang w:val="fr-CA"/>
        </w:rPr>
        <w:t xml:space="preserve">actif susceptible d’être grevé d’un intérêt en </w:t>
      </w:r>
      <w:proofErr w:type="spellStart"/>
      <w:r w:rsidRPr="001E7CB3">
        <w:rPr>
          <w:lang w:val="fr-CA"/>
        </w:rPr>
        <w:t>equity</w:t>
      </w:r>
      <w:proofErr w:type="spellEnd"/>
      <w:r w:rsidRPr="001E7CB3">
        <w:rPr>
          <w:lang w:val="fr-CA"/>
        </w:rPr>
        <w:t xml:space="preserve">.  </w:t>
      </w:r>
      <w:r>
        <w:rPr>
          <w:lang w:val="fr-CA"/>
        </w:rPr>
        <w:t>L</w:t>
      </w:r>
      <w:r w:rsidRPr="001E7CB3">
        <w:rPr>
          <w:lang w:val="fr-CA"/>
        </w:rPr>
        <w:t>e pourvoi soulève en outre la question de savoir si</w:t>
      </w:r>
      <w:r>
        <w:rPr>
          <w:lang w:val="fr-CA"/>
        </w:rPr>
        <w:t xml:space="preserve">, dans le cas où </w:t>
      </w:r>
      <w:r w:rsidRPr="001E7CB3">
        <w:rPr>
          <w:lang w:val="fr-CA"/>
        </w:rPr>
        <w:t xml:space="preserve">les membres des régimes </w:t>
      </w:r>
      <w:r>
        <w:rPr>
          <w:lang w:val="fr-CA"/>
        </w:rPr>
        <w:t xml:space="preserve">auraient effectivement eu </w:t>
      </w:r>
      <w:r w:rsidRPr="001E7CB3">
        <w:rPr>
          <w:lang w:val="fr-CA"/>
        </w:rPr>
        <w:t>un intérêt dans les surplus actuariels, le projet de loi C</w:t>
      </w:r>
      <w:r>
        <w:rPr>
          <w:lang w:val="fr-CA"/>
        </w:rPr>
        <w:noBreakHyphen/>
      </w:r>
      <w:r w:rsidRPr="001E7CB3">
        <w:rPr>
          <w:lang w:val="fr-CA"/>
        </w:rPr>
        <w:t>78 a éteint cet intérêt.</w:t>
      </w:r>
    </w:p>
    <w:p w:rsidR="000F48EC" w:rsidRPr="001E7CB3" w:rsidRDefault="000F48EC" w:rsidP="000F48EC">
      <w:pPr>
        <w:pStyle w:val="ParaNoNdepar-AltN"/>
        <w:rPr>
          <w:lang w:val="fr-CA"/>
        </w:rPr>
      </w:pPr>
      <w:r w:rsidRPr="001E7CB3">
        <w:rPr>
          <w:lang w:val="fr-CA"/>
        </w:rPr>
        <w:t xml:space="preserve">C’est à bon droit, selon moi, que les juridictions inférieures ont conclu que les comptes de pension de retraite n’étaient pas des caisses distinctes </w:t>
      </w:r>
      <w:r>
        <w:rPr>
          <w:lang w:val="fr-CA"/>
        </w:rPr>
        <w:t>conten</w:t>
      </w:r>
      <w:r w:rsidRPr="001E7CB3">
        <w:rPr>
          <w:lang w:val="fr-CA"/>
        </w:rPr>
        <w:t xml:space="preserve">ant des </w:t>
      </w:r>
      <w:r>
        <w:rPr>
          <w:lang w:val="fr-CA"/>
        </w:rPr>
        <w:t>éléments d’</w:t>
      </w:r>
      <w:r w:rsidRPr="001E7CB3">
        <w:rPr>
          <w:lang w:val="fr-CA"/>
        </w:rPr>
        <w:t xml:space="preserve">actif, mais plutôt des </w:t>
      </w:r>
      <w:r>
        <w:rPr>
          <w:lang w:val="fr-CA"/>
        </w:rPr>
        <w:t>livre</w:t>
      </w:r>
      <w:r w:rsidRPr="001E7CB3">
        <w:rPr>
          <w:lang w:val="fr-CA"/>
        </w:rPr>
        <w:t xml:space="preserve">s comptables servant au suivi des paiements relatifs aux pensions et à l’estimation du passif futur au titre des pensions dans les Comptes publics.  Le droit des membres des régimes se limite donc aux prestations déterminées définies dans les lois </w:t>
      </w:r>
      <w:r>
        <w:rPr>
          <w:lang w:val="fr-CA"/>
        </w:rPr>
        <w:t>sur les pension</w:t>
      </w:r>
      <w:r w:rsidRPr="001E7CB3">
        <w:rPr>
          <w:lang w:val="fr-CA"/>
        </w:rPr>
        <w:t xml:space="preserve">s. </w:t>
      </w:r>
    </w:p>
    <w:p w:rsidR="000F48EC" w:rsidRPr="001E7CB3" w:rsidRDefault="000F48EC" w:rsidP="000F48EC">
      <w:pPr>
        <w:pStyle w:val="ParaNoNdepar-AltN"/>
        <w:rPr>
          <w:rFonts w:cs="Times New Roman"/>
          <w:szCs w:val="24"/>
          <w:lang w:val="fr-CA"/>
        </w:rPr>
      </w:pPr>
      <w:r w:rsidRPr="001E7CB3">
        <w:rPr>
          <w:lang w:val="fr-CA"/>
        </w:rPr>
        <w:t>J’estime également que le gouvernement n’</w:t>
      </w:r>
      <w:r>
        <w:rPr>
          <w:lang w:val="fr-CA"/>
        </w:rPr>
        <w:t>av</w:t>
      </w:r>
      <w:r w:rsidRPr="001E7CB3">
        <w:rPr>
          <w:lang w:val="fr-CA"/>
        </w:rPr>
        <w:t xml:space="preserve">ait </w:t>
      </w:r>
      <w:r>
        <w:rPr>
          <w:lang w:val="fr-CA"/>
        </w:rPr>
        <w:t>aucune</w:t>
      </w:r>
      <w:r w:rsidRPr="001E7CB3">
        <w:rPr>
          <w:lang w:val="fr-CA"/>
        </w:rPr>
        <w:t xml:space="preserve"> obligation </w:t>
      </w:r>
      <w:r w:rsidRPr="00A25FAD">
        <w:rPr>
          <w:lang w:val="fr-CA"/>
        </w:rPr>
        <w:t>fiduciaire</w:t>
      </w:r>
      <w:r w:rsidRPr="001E7CB3">
        <w:rPr>
          <w:lang w:val="fr-CA"/>
        </w:rPr>
        <w:t xml:space="preserve"> </w:t>
      </w:r>
      <w:r>
        <w:rPr>
          <w:lang w:val="fr-CA"/>
        </w:rPr>
        <w:t>envers les</w:t>
      </w:r>
      <w:r w:rsidRPr="001E7CB3">
        <w:rPr>
          <w:lang w:val="fr-CA"/>
        </w:rPr>
        <w:t xml:space="preserve"> membres des régimes</w:t>
      </w:r>
      <w:r>
        <w:rPr>
          <w:lang w:val="fr-CA"/>
        </w:rPr>
        <w:t xml:space="preserve"> à l’égard des surplus actuariels</w:t>
      </w:r>
      <w:r w:rsidRPr="001E7CB3">
        <w:rPr>
          <w:lang w:val="fr-CA"/>
        </w:rPr>
        <w:t xml:space="preserve">.  Rien dans les lois </w:t>
      </w:r>
      <w:r>
        <w:rPr>
          <w:lang w:val="fr-CA"/>
        </w:rPr>
        <w:t>sur les pensions,</w:t>
      </w:r>
      <w:r w:rsidRPr="001E7CB3">
        <w:rPr>
          <w:lang w:val="fr-CA"/>
        </w:rPr>
        <w:t xml:space="preserve"> </w:t>
      </w:r>
      <w:r>
        <w:rPr>
          <w:lang w:val="fr-CA"/>
        </w:rPr>
        <w:t>ni</w:t>
      </w:r>
      <w:r w:rsidRPr="001E7CB3">
        <w:rPr>
          <w:lang w:val="fr-CA"/>
        </w:rPr>
        <w:t xml:space="preserve"> dans </w:t>
      </w:r>
      <w:r>
        <w:rPr>
          <w:lang w:val="fr-CA"/>
        </w:rPr>
        <w:t>quelque</w:t>
      </w:r>
      <w:r w:rsidRPr="001E7CB3">
        <w:rPr>
          <w:lang w:val="fr-CA"/>
        </w:rPr>
        <w:t xml:space="preserve"> autre loi </w:t>
      </w:r>
      <w:r>
        <w:rPr>
          <w:lang w:val="fr-CA"/>
        </w:rPr>
        <w:t xml:space="preserve">que ce soit, </w:t>
      </w:r>
      <w:r w:rsidRPr="001E7CB3">
        <w:rPr>
          <w:lang w:val="fr-CA"/>
        </w:rPr>
        <w:t>ne permet d’affirmer que le gouvernement s’est engagé</w:t>
      </w:r>
      <w:r>
        <w:rPr>
          <w:lang w:val="fr-CA"/>
        </w:rPr>
        <w:t>, relativement à ces surplus actuariels,</w:t>
      </w:r>
      <w:r w:rsidRPr="001E7CB3">
        <w:rPr>
          <w:lang w:val="fr-CA"/>
        </w:rPr>
        <w:t xml:space="preserve"> à renoncer aux intérêts de toutes les autres parties </w:t>
      </w:r>
      <w:r w:rsidRPr="001E7CB3">
        <w:rPr>
          <w:rFonts w:cs="Times New Roman"/>
          <w:szCs w:val="24"/>
          <w:lang w:val="fr-CA"/>
        </w:rPr>
        <w:t>(</w:t>
      </w:r>
      <w:r>
        <w:rPr>
          <w:rFonts w:cs="Times New Roman"/>
          <w:szCs w:val="24"/>
          <w:lang w:val="fr-CA"/>
        </w:rPr>
        <w:t>et notamment d</w:t>
      </w:r>
      <w:r w:rsidRPr="001E7CB3">
        <w:rPr>
          <w:rFonts w:cs="Times New Roman"/>
          <w:szCs w:val="24"/>
          <w:lang w:val="fr-CA"/>
        </w:rPr>
        <w:t xml:space="preserve">es contribuables) en faveur de </w:t>
      </w:r>
      <w:r w:rsidRPr="001E7CB3">
        <w:rPr>
          <w:rFonts w:cs="Times New Roman"/>
          <w:szCs w:val="24"/>
          <w:lang w:val="fr-CA"/>
        </w:rPr>
        <w:lastRenderedPageBreak/>
        <w:t>ceux des membres des régimes.  Il n’y a pas eu non plus d’enrichissement injustifié</w:t>
      </w:r>
      <w:r>
        <w:rPr>
          <w:rFonts w:cs="Times New Roman"/>
          <w:szCs w:val="24"/>
          <w:lang w:val="fr-CA"/>
        </w:rPr>
        <w:t xml:space="preserve"> et, partant, il n’existe aucun fondement à</w:t>
      </w:r>
      <w:r w:rsidRPr="001E7CB3">
        <w:rPr>
          <w:rFonts w:cs="Times New Roman"/>
          <w:szCs w:val="24"/>
          <w:lang w:val="fr-CA"/>
        </w:rPr>
        <w:t xml:space="preserve"> une fiducie </w:t>
      </w:r>
      <w:r>
        <w:rPr>
          <w:rFonts w:cs="Times New Roman"/>
          <w:szCs w:val="24"/>
          <w:lang w:val="fr-CA"/>
        </w:rPr>
        <w:t>par interprétation</w:t>
      </w:r>
      <w:r w:rsidRPr="001E7CB3">
        <w:rPr>
          <w:rFonts w:cs="Times New Roman"/>
          <w:szCs w:val="24"/>
          <w:lang w:val="fr-CA"/>
        </w:rPr>
        <w:t xml:space="preserve">.  Les comptes de pension de retraite ne </w:t>
      </w:r>
      <w:r>
        <w:rPr>
          <w:lang w:val="fr-CA"/>
        </w:rPr>
        <w:t>conten</w:t>
      </w:r>
      <w:r w:rsidRPr="001E7CB3">
        <w:rPr>
          <w:lang w:val="fr-CA"/>
        </w:rPr>
        <w:t xml:space="preserve">ant </w:t>
      </w:r>
      <w:r w:rsidRPr="001E7CB3">
        <w:rPr>
          <w:rFonts w:cs="Times New Roman"/>
          <w:szCs w:val="24"/>
          <w:lang w:val="fr-CA"/>
        </w:rPr>
        <w:t>pas d’</w:t>
      </w:r>
      <w:r>
        <w:rPr>
          <w:rFonts w:cs="Times New Roman"/>
          <w:szCs w:val="24"/>
          <w:lang w:val="fr-CA"/>
        </w:rPr>
        <w:t>éléments d’</w:t>
      </w:r>
      <w:r w:rsidRPr="001E7CB3">
        <w:rPr>
          <w:rFonts w:cs="Times New Roman"/>
          <w:szCs w:val="24"/>
          <w:lang w:val="fr-CA"/>
        </w:rPr>
        <w:t xml:space="preserve">actif </w:t>
      </w:r>
      <w:r>
        <w:rPr>
          <w:rFonts w:cs="Times New Roman"/>
          <w:szCs w:val="24"/>
          <w:lang w:val="fr-CA"/>
        </w:rPr>
        <w:t>dans lesquels les</w:t>
      </w:r>
      <w:r w:rsidRPr="001E7CB3">
        <w:rPr>
          <w:rFonts w:cs="Times New Roman"/>
          <w:szCs w:val="24"/>
          <w:lang w:val="fr-CA"/>
        </w:rPr>
        <w:t xml:space="preserve"> appelants</w:t>
      </w:r>
      <w:r>
        <w:rPr>
          <w:rFonts w:cs="Times New Roman"/>
          <w:szCs w:val="24"/>
          <w:lang w:val="fr-CA"/>
        </w:rPr>
        <w:t xml:space="preserve"> avaient un intérêt</w:t>
      </w:r>
      <w:r w:rsidRPr="001E7CB3">
        <w:rPr>
          <w:rFonts w:cs="Times New Roman"/>
          <w:szCs w:val="24"/>
          <w:lang w:val="fr-CA"/>
        </w:rPr>
        <w:t xml:space="preserve">, le traitement comptable appliqué à </w:t>
      </w:r>
      <w:r>
        <w:rPr>
          <w:rFonts w:cs="Times New Roman"/>
          <w:szCs w:val="24"/>
          <w:lang w:val="fr-CA"/>
        </w:rPr>
        <w:t>ces comptes</w:t>
      </w:r>
      <w:r w:rsidRPr="001E7CB3">
        <w:rPr>
          <w:rFonts w:cs="Times New Roman"/>
          <w:szCs w:val="24"/>
          <w:lang w:val="fr-CA"/>
        </w:rPr>
        <w:t xml:space="preserve"> par le gouvernement n’a pas appauvri les appelants.  Pour la même raison, le projet de loi C</w:t>
      </w:r>
      <w:r>
        <w:rPr>
          <w:rFonts w:cs="Times New Roman"/>
          <w:szCs w:val="24"/>
          <w:lang w:val="fr-CA"/>
        </w:rPr>
        <w:noBreakHyphen/>
      </w:r>
      <w:r w:rsidRPr="001E7CB3">
        <w:rPr>
          <w:rFonts w:cs="Times New Roman"/>
          <w:szCs w:val="24"/>
          <w:lang w:val="fr-CA"/>
        </w:rPr>
        <w:t xml:space="preserve">78 n’a pas eu pour effet d’exproprier </w:t>
      </w:r>
      <w:r>
        <w:rPr>
          <w:rFonts w:cs="Times New Roman"/>
          <w:szCs w:val="24"/>
          <w:lang w:val="fr-CA"/>
        </w:rPr>
        <w:t>quelque</w:t>
      </w:r>
      <w:r w:rsidRPr="001E7CB3">
        <w:rPr>
          <w:rFonts w:cs="Times New Roman"/>
          <w:szCs w:val="24"/>
          <w:lang w:val="fr-CA"/>
        </w:rPr>
        <w:t xml:space="preserve"> bien </w:t>
      </w:r>
      <w:r>
        <w:rPr>
          <w:rFonts w:cs="Times New Roman"/>
          <w:szCs w:val="24"/>
          <w:lang w:val="fr-CA"/>
        </w:rPr>
        <w:t xml:space="preserve">que ce soit </w:t>
      </w:r>
      <w:r w:rsidRPr="001E7CB3">
        <w:rPr>
          <w:rFonts w:cs="Times New Roman"/>
          <w:szCs w:val="24"/>
          <w:lang w:val="fr-CA"/>
        </w:rPr>
        <w:t xml:space="preserve">des membres des régimes.  Je </w:t>
      </w:r>
      <w:r>
        <w:rPr>
          <w:rFonts w:cs="Times New Roman"/>
          <w:szCs w:val="24"/>
          <w:lang w:val="fr-CA"/>
        </w:rPr>
        <w:t>suis donc d’avis de rejeter</w:t>
      </w:r>
      <w:r w:rsidRPr="001E7CB3">
        <w:rPr>
          <w:rFonts w:cs="Times New Roman"/>
          <w:szCs w:val="24"/>
          <w:lang w:val="fr-CA"/>
        </w:rPr>
        <w:t xml:space="preserve"> le pourvoi. </w:t>
      </w:r>
    </w:p>
    <w:p w:rsidR="000F48EC" w:rsidRPr="001E7CB3" w:rsidRDefault="000F48EC" w:rsidP="008B50EA">
      <w:pPr>
        <w:pStyle w:val="TitleTitre-AltT"/>
        <w:keepNext/>
        <w:numPr>
          <w:ilvl w:val="0"/>
          <w:numId w:val="2"/>
        </w:numPr>
        <w:tabs>
          <w:tab w:val="clear" w:pos="360"/>
          <w:tab w:val="left" w:pos="540"/>
        </w:tabs>
        <w:ind w:left="540" w:hanging="540"/>
        <w:rPr>
          <w:szCs w:val="24"/>
          <w:lang w:val="fr-CA"/>
        </w:rPr>
      </w:pPr>
      <w:r w:rsidRPr="001E7CB3">
        <w:rPr>
          <w:szCs w:val="24"/>
          <w:u w:val="single"/>
          <w:lang w:val="fr-CA"/>
        </w:rPr>
        <w:t>Les faits</w:t>
      </w:r>
    </w:p>
    <w:p w:rsidR="000F48EC" w:rsidRPr="003B1EFD" w:rsidRDefault="000F48EC" w:rsidP="008B50EA">
      <w:pPr>
        <w:pStyle w:val="TitleTitre-AltT"/>
        <w:keepNext/>
        <w:numPr>
          <w:ilvl w:val="1"/>
          <w:numId w:val="2"/>
        </w:numPr>
        <w:tabs>
          <w:tab w:val="clear" w:pos="360"/>
          <w:tab w:val="left" w:pos="540"/>
        </w:tabs>
        <w:ind w:left="540" w:hanging="540"/>
        <w:rPr>
          <w:i/>
          <w:szCs w:val="24"/>
          <w:lang w:val="fr-CA"/>
        </w:rPr>
      </w:pPr>
      <w:r w:rsidRPr="003B1EFD">
        <w:rPr>
          <w:i/>
          <w:szCs w:val="24"/>
          <w:lang w:val="fr-CA"/>
        </w:rPr>
        <w:t>Les régimes de pension</w:t>
      </w:r>
    </w:p>
    <w:p w:rsidR="000F48EC" w:rsidRPr="001E7CB3" w:rsidRDefault="000F48EC" w:rsidP="000F48EC">
      <w:pPr>
        <w:pStyle w:val="ParaNoNdepar-AltN"/>
        <w:rPr>
          <w:szCs w:val="24"/>
          <w:lang w:val="fr-CA"/>
        </w:rPr>
      </w:pPr>
      <w:r>
        <w:rPr>
          <w:szCs w:val="24"/>
          <w:lang w:val="fr-CA"/>
        </w:rPr>
        <w:t xml:space="preserve">Le résumé des faits qui suit correspond étroitement aux conclusions tirées par la Cour d’appel.  </w:t>
      </w:r>
      <w:r w:rsidRPr="001E7CB3">
        <w:rPr>
          <w:szCs w:val="24"/>
          <w:lang w:val="fr-CA"/>
        </w:rPr>
        <w:t xml:space="preserve">Trois régimes de pension (les </w:t>
      </w:r>
      <w:r>
        <w:rPr>
          <w:szCs w:val="24"/>
          <w:lang w:val="fr-CA"/>
        </w:rPr>
        <w:t>« </w:t>
      </w:r>
      <w:r w:rsidRPr="001E7CB3">
        <w:rPr>
          <w:szCs w:val="24"/>
          <w:lang w:val="fr-CA"/>
        </w:rPr>
        <w:t>régimes</w:t>
      </w:r>
      <w:r>
        <w:rPr>
          <w:szCs w:val="24"/>
          <w:lang w:val="fr-CA"/>
        </w:rPr>
        <w:t> »</w:t>
      </w:r>
      <w:r w:rsidRPr="001E7CB3">
        <w:rPr>
          <w:szCs w:val="24"/>
          <w:lang w:val="fr-CA"/>
        </w:rPr>
        <w:t xml:space="preserve">) sont en cause.  </w:t>
      </w:r>
      <w:r>
        <w:rPr>
          <w:szCs w:val="24"/>
          <w:lang w:val="fr-CA"/>
        </w:rPr>
        <w:t>Ils</w:t>
      </w:r>
      <w:r w:rsidRPr="001E7CB3">
        <w:rPr>
          <w:szCs w:val="24"/>
          <w:lang w:val="fr-CA"/>
        </w:rPr>
        <w:t xml:space="preserve"> ont été créés par le législateur pour chacun des </w:t>
      </w:r>
      <w:r>
        <w:rPr>
          <w:szCs w:val="24"/>
          <w:lang w:val="fr-CA"/>
        </w:rPr>
        <w:t xml:space="preserve">trois </w:t>
      </w:r>
      <w:r w:rsidRPr="001E7CB3">
        <w:rPr>
          <w:szCs w:val="24"/>
          <w:lang w:val="fr-CA"/>
        </w:rPr>
        <w:t>groupes concernés</w:t>
      </w:r>
      <w:r>
        <w:rPr>
          <w:szCs w:val="24"/>
          <w:lang w:val="fr-CA"/>
        </w:rPr>
        <w:t> :</w:t>
      </w:r>
      <w:r w:rsidRPr="001E7CB3">
        <w:rPr>
          <w:szCs w:val="24"/>
          <w:lang w:val="fr-CA"/>
        </w:rPr>
        <w:t xml:space="preserve"> </w:t>
      </w:r>
      <w:r>
        <w:rPr>
          <w:szCs w:val="24"/>
          <w:lang w:val="fr-CA"/>
        </w:rPr>
        <w:t>essentiellement tous</w:t>
      </w:r>
      <w:r w:rsidRPr="001E7CB3">
        <w:rPr>
          <w:szCs w:val="24"/>
          <w:lang w:val="fr-CA"/>
        </w:rPr>
        <w:t xml:space="preserve"> les membres de la fonction publique fédérale, de la GRC et de la force régulière des Forces canadiennes</w:t>
      </w:r>
      <w:r>
        <w:rPr>
          <w:szCs w:val="24"/>
          <w:lang w:val="fr-CA"/>
        </w:rPr>
        <w:t xml:space="preserve"> (les « membres des régimes »)</w:t>
      </w:r>
      <w:r w:rsidRPr="001E7CB3">
        <w:rPr>
          <w:szCs w:val="24"/>
          <w:lang w:val="fr-CA"/>
        </w:rPr>
        <w:t xml:space="preserve">.  Les lois applicables sont la </w:t>
      </w:r>
      <w:r w:rsidRPr="001E7CB3">
        <w:rPr>
          <w:i/>
          <w:szCs w:val="24"/>
          <w:lang w:val="fr-CA"/>
        </w:rPr>
        <w:t>Loi sur la pension de la fonction publique</w:t>
      </w:r>
      <w:r w:rsidRPr="001E7CB3">
        <w:rPr>
          <w:szCs w:val="24"/>
          <w:lang w:val="fr-CA"/>
        </w:rPr>
        <w:t>,</w:t>
      </w:r>
      <w:r w:rsidRPr="001E7CB3">
        <w:rPr>
          <w:i/>
          <w:szCs w:val="24"/>
          <w:lang w:val="fr-CA"/>
        </w:rPr>
        <w:t xml:space="preserve"> </w:t>
      </w:r>
      <w:r w:rsidRPr="001E7CB3">
        <w:rPr>
          <w:szCs w:val="24"/>
          <w:lang w:val="fr-CA"/>
        </w:rPr>
        <w:t xml:space="preserve">L.R.C. 1985, </w:t>
      </w:r>
      <w:r>
        <w:rPr>
          <w:szCs w:val="24"/>
          <w:lang w:val="fr-CA"/>
        </w:rPr>
        <w:t>ch. </w:t>
      </w:r>
      <w:r w:rsidRPr="001E7CB3">
        <w:rPr>
          <w:szCs w:val="24"/>
          <w:lang w:val="fr-CA"/>
        </w:rPr>
        <w:t>P</w:t>
      </w:r>
      <w:r>
        <w:rPr>
          <w:szCs w:val="24"/>
          <w:lang w:val="fr-CA"/>
        </w:rPr>
        <w:noBreakHyphen/>
      </w:r>
      <w:r w:rsidRPr="001E7CB3">
        <w:rPr>
          <w:szCs w:val="24"/>
          <w:lang w:val="fr-CA"/>
        </w:rPr>
        <w:t>36 (</w:t>
      </w:r>
      <w:r>
        <w:rPr>
          <w:szCs w:val="24"/>
          <w:lang w:val="fr-CA"/>
        </w:rPr>
        <w:t>« </w:t>
      </w:r>
      <w:r w:rsidRPr="001D5386">
        <w:rPr>
          <w:i/>
          <w:szCs w:val="24"/>
          <w:lang w:val="fr-CA"/>
        </w:rPr>
        <w:t>LPFP</w:t>
      </w:r>
      <w:r>
        <w:rPr>
          <w:szCs w:val="24"/>
          <w:lang w:val="fr-CA"/>
        </w:rPr>
        <w:t> »</w:t>
      </w:r>
      <w:r w:rsidRPr="001E7CB3">
        <w:rPr>
          <w:szCs w:val="24"/>
          <w:lang w:val="fr-CA"/>
        </w:rPr>
        <w:t xml:space="preserve">); la </w:t>
      </w:r>
      <w:r w:rsidRPr="001E7CB3">
        <w:rPr>
          <w:i/>
          <w:szCs w:val="24"/>
          <w:lang w:val="fr-CA"/>
        </w:rPr>
        <w:t>Loi sur la pension de retraite des Forces canadiennes</w:t>
      </w:r>
      <w:r w:rsidRPr="005F118B">
        <w:rPr>
          <w:szCs w:val="24"/>
          <w:lang w:val="fr-CA"/>
        </w:rPr>
        <w:t>,</w:t>
      </w:r>
      <w:r w:rsidRPr="001E7CB3">
        <w:rPr>
          <w:szCs w:val="24"/>
          <w:lang w:val="fr-CA"/>
        </w:rPr>
        <w:t xml:space="preserve"> L.R.C. 1985, </w:t>
      </w:r>
      <w:r>
        <w:rPr>
          <w:szCs w:val="24"/>
          <w:lang w:val="fr-CA"/>
        </w:rPr>
        <w:t>ch. </w:t>
      </w:r>
      <w:r w:rsidRPr="001E7CB3">
        <w:rPr>
          <w:szCs w:val="24"/>
          <w:lang w:val="fr-CA"/>
        </w:rPr>
        <w:t>C</w:t>
      </w:r>
      <w:r>
        <w:rPr>
          <w:szCs w:val="24"/>
          <w:lang w:val="fr-CA"/>
        </w:rPr>
        <w:noBreakHyphen/>
      </w:r>
      <w:r w:rsidRPr="001E7CB3">
        <w:rPr>
          <w:szCs w:val="24"/>
          <w:lang w:val="fr-CA"/>
        </w:rPr>
        <w:t>17 (</w:t>
      </w:r>
      <w:r>
        <w:rPr>
          <w:szCs w:val="24"/>
          <w:lang w:val="fr-CA"/>
        </w:rPr>
        <w:t>« </w:t>
      </w:r>
      <w:r w:rsidRPr="001D5386">
        <w:rPr>
          <w:i/>
          <w:szCs w:val="24"/>
          <w:lang w:val="fr-CA"/>
        </w:rPr>
        <w:t>LPRFC</w:t>
      </w:r>
      <w:r>
        <w:rPr>
          <w:szCs w:val="24"/>
          <w:lang w:val="fr-CA"/>
        </w:rPr>
        <w:t> »</w:t>
      </w:r>
      <w:r w:rsidRPr="001E7CB3">
        <w:rPr>
          <w:szCs w:val="24"/>
          <w:lang w:val="fr-CA"/>
        </w:rPr>
        <w:t>)</w:t>
      </w:r>
      <w:r w:rsidR="005A1B8D">
        <w:rPr>
          <w:szCs w:val="24"/>
          <w:lang w:val="fr-CA"/>
        </w:rPr>
        <w:t>;</w:t>
      </w:r>
      <w:r w:rsidRPr="001E7CB3">
        <w:rPr>
          <w:szCs w:val="24"/>
          <w:lang w:val="fr-CA"/>
        </w:rPr>
        <w:t xml:space="preserve"> et la </w:t>
      </w:r>
      <w:r w:rsidRPr="001E7CB3">
        <w:rPr>
          <w:i/>
          <w:szCs w:val="24"/>
          <w:lang w:val="fr-CA"/>
        </w:rPr>
        <w:t>Loi sur la pension de retraite de la Gendarmerie royale du Canada</w:t>
      </w:r>
      <w:r w:rsidRPr="005F118B">
        <w:rPr>
          <w:szCs w:val="24"/>
          <w:lang w:val="fr-CA"/>
        </w:rPr>
        <w:t>,</w:t>
      </w:r>
      <w:r w:rsidRPr="001E7CB3">
        <w:rPr>
          <w:szCs w:val="24"/>
          <w:lang w:val="fr-CA"/>
        </w:rPr>
        <w:t xml:space="preserve"> L.R.C. 1985, </w:t>
      </w:r>
      <w:r>
        <w:rPr>
          <w:szCs w:val="24"/>
          <w:lang w:val="fr-CA"/>
        </w:rPr>
        <w:t>ch. </w:t>
      </w:r>
      <w:r w:rsidRPr="001E7CB3">
        <w:rPr>
          <w:szCs w:val="24"/>
          <w:lang w:val="fr-CA"/>
        </w:rPr>
        <w:t>R</w:t>
      </w:r>
      <w:r>
        <w:rPr>
          <w:szCs w:val="24"/>
          <w:lang w:val="fr-CA"/>
        </w:rPr>
        <w:noBreakHyphen/>
      </w:r>
      <w:r w:rsidRPr="001E7CB3">
        <w:rPr>
          <w:szCs w:val="24"/>
          <w:lang w:val="fr-CA"/>
        </w:rPr>
        <w:t>11 (</w:t>
      </w:r>
      <w:r>
        <w:rPr>
          <w:szCs w:val="24"/>
          <w:lang w:val="fr-CA"/>
        </w:rPr>
        <w:t>« </w:t>
      </w:r>
      <w:r w:rsidRPr="001D5386">
        <w:rPr>
          <w:i/>
          <w:szCs w:val="24"/>
          <w:lang w:val="fr-CA"/>
        </w:rPr>
        <w:t>LPRGRC</w:t>
      </w:r>
      <w:r>
        <w:rPr>
          <w:szCs w:val="24"/>
          <w:lang w:val="fr-CA"/>
        </w:rPr>
        <w:t> »</w:t>
      </w:r>
      <w:r w:rsidRPr="001E7CB3">
        <w:rPr>
          <w:szCs w:val="24"/>
          <w:lang w:val="fr-CA"/>
        </w:rPr>
        <w:t>) (</w:t>
      </w:r>
      <w:r>
        <w:rPr>
          <w:szCs w:val="24"/>
          <w:lang w:val="fr-CA"/>
        </w:rPr>
        <w:t xml:space="preserve">désignées </w:t>
      </w:r>
      <w:r w:rsidRPr="00F25695">
        <w:rPr>
          <w:szCs w:val="24"/>
          <w:lang w:val="fr-CA"/>
        </w:rPr>
        <w:t>collectivement comme</w:t>
      </w:r>
      <w:r>
        <w:rPr>
          <w:szCs w:val="24"/>
          <w:lang w:val="fr-CA"/>
        </w:rPr>
        <w:t xml:space="preserve"> </w:t>
      </w:r>
      <w:r w:rsidRPr="001E7CB3">
        <w:rPr>
          <w:szCs w:val="24"/>
          <w:lang w:val="fr-CA"/>
        </w:rPr>
        <w:t xml:space="preserve">les </w:t>
      </w:r>
      <w:r>
        <w:rPr>
          <w:szCs w:val="24"/>
          <w:lang w:val="fr-CA"/>
        </w:rPr>
        <w:t>« </w:t>
      </w:r>
      <w:r w:rsidRPr="001E7CB3">
        <w:rPr>
          <w:szCs w:val="24"/>
          <w:lang w:val="fr-CA"/>
        </w:rPr>
        <w:t>lois sur les pensions</w:t>
      </w:r>
      <w:r>
        <w:rPr>
          <w:szCs w:val="24"/>
          <w:lang w:val="fr-CA"/>
        </w:rPr>
        <w:t> »</w:t>
      </w:r>
      <w:r w:rsidRPr="001E7CB3">
        <w:rPr>
          <w:szCs w:val="24"/>
          <w:lang w:val="fr-CA"/>
        </w:rPr>
        <w:t>).</w:t>
      </w:r>
    </w:p>
    <w:p w:rsidR="000F48EC" w:rsidRPr="001E7CB3" w:rsidRDefault="000F48EC" w:rsidP="000F48EC">
      <w:pPr>
        <w:pStyle w:val="ParaNoNdepar-AltN"/>
        <w:rPr>
          <w:szCs w:val="24"/>
          <w:lang w:val="fr-CA"/>
        </w:rPr>
      </w:pPr>
      <w:r w:rsidRPr="001E7CB3">
        <w:rPr>
          <w:szCs w:val="24"/>
          <w:lang w:val="fr-CA"/>
        </w:rPr>
        <w:lastRenderedPageBreak/>
        <w:t>Chacune des lois sur les pensions procède d’une lignée de lois remontant à la fin du 19</w:t>
      </w:r>
      <w:r w:rsidRPr="001E7CB3">
        <w:rPr>
          <w:szCs w:val="24"/>
          <w:vertAlign w:val="superscript"/>
          <w:lang w:val="fr-CA"/>
        </w:rPr>
        <w:t>e</w:t>
      </w:r>
      <w:r w:rsidRPr="001E7CB3">
        <w:rPr>
          <w:szCs w:val="24"/>
          <w:lang w:val="fr-CA"/>
        </w:rPr>
        <w:t xml:space="preserve"> ou au début du 20</w:t>
      </w:r>
      <w:r w:rsidRPr="001E7CB3">
        <w:rPr>
          <w:szCs w:val="24"/>
          <w:vertAlign w:val="superscript"/>
          <w:lang w:val="fr-CA"/>
        </w:rPr>
        <w:t>e</w:t>
      </w:r>
      <w:r w:rsidRPr="001E7CB3">
        <w:rPr>
          <w:szCs w:val="24"/>
          <w:lang w:val="fr-CA"/>
        </w:rPr>
        <w:t xml:space="preserve"> siècle.  Sous leur forme actuelle, elles datent de leur entrée en vigueur respective — le 1</w:t>
      </w:r>
      <w:r w:rsidRPr="001E7CB3">
        <w:rPr>
          <w:szCs w:val="24"/>
          <w:vertAlign w:val="superscript"/>
          <w:lang w:val="fr-CA"/>
        </w:rPr>
        <w:t>er</w:t>
      </w:r>
      <w:r w:rsidRPr="001E7CB3">
        <w:rPr>
          <w:szCs w:val="24"/>
          <w:lang w:val="fr-CA"/>
        </w:rPr>
        <w:t> janvier</w:t>
      </w:r>
      <w:r>
        <w:rPr>
          <w:szCs w:val="24"/>
          <w:lang w:val="fr-CA"/>
        </w:rPr>
        <w:t xml:space="preserve"> </w:t>
      </w:r>
      <w:r w:rsidRPr="001E7CB3">
        <w:rPr>
          <w:szCs w:val="24"/>
          <w:lang w:val="fr-CA"/>
        </w:rPr>
        <w:t>1954</w:t>
      </w:r>
      <w:r w:rsidR="001D5386">
        <w:rPr>
          <w:szCs w:val="24"/>
          <w:lang w:val="fr-CA"/>
        </w:rPr>
        <w:t>,</w:t>
      </w:r>
      <w:r w:rsidRPr="001E7CB3">
        <w:rPr>
          <w:szCs w:val="24"/>
          <w:lang w:val="fr-CA"/>
        </w:rPr>
        <w:t xml:space="preserve"> pour la </w:t>
      </w:r>
      <w:r w:rsidRPr="001D5386">
        <w:rPr>
          <w:i/>
          <w:szCs w:val="24"/>
          <w:lang w:val="fr-CA"/>
        </w:rPr>
        <w:t>LPFP</w:t>
      </w:r>
      <w:r>
        <w:rPr>
          <w:szCs w:val="24"/>
          <w:lang w:val="fr-CA"/>
        </w:rPr>
        <w:t>, S.C. 1952</w:t>
      </w:r>
      <w:r>
        <w:rPr>
          <w:szCs w:val="24"/>
          <w:lang w:val="fr-CA"/>
        </w:rPr>
        <w:noBreakHyphen/>
        <w:t>53, ch. 47 (« </w:t>
      </w:r>
      <w:r w:rsidRPr="001D5386">
        <w:rPr>
          <w:i/>
          <w:szCs w:val="24"/>
          <w:lang w:val="fr-CA"/>
        </w:rPr>
        <w:t>LPFP</w:t>
      </w:r>
      <w:r>
        <w:rPr>
          <w:szCs w:val="24"/>
          <w:lang w:val="fr-CA"/>
        </w:rPr>
        <w:t xml:space="preserve"> de 1954 »)</w:t>
      </w:r>
      <w:r w:rsidRPr="001E7CB3">
        <w:rPr>
          <w:szCs w:val="24"/>
          <w:lang w:val="fr-CA"/>
        </w:rPr>
        <w:t>, le 1</w:t>
      </w:r>
      <w:r w:rsidRPr="001E7CB3">
        <w:rPr>
          <w:szCs w:val="24"/>
          <w:vertAlign w:val="superscript"/>
          <w:lang w:val="fr-CA"/>
        </w:rPr>
        <w:t>er</w:t>
      </w:r>
      <w:r w:rsidRPr="001E7CB3">
        <w:rPr>
          <w:szCs w:val="24"/>
          <w:lang w:val="fr-CA"/>
        </w:rPr>
        <w:t> mars</w:t>
      </w:r>
      <w:r>
        <w:rPr>
          <w:szCs w:val="24"/>
          <w:lang w:val="fr-CA"/>
        </w:rPr>
        <w:t xml:space="preserve"> </w:t>
      </w:r>
      <w:r w:rsidRPr="001E7CB3">
        <w:rPr>
          <w:szCs w:val="24"/>
          <w:lang w:val="fr-CA"/>
        </w:rPr>
        <w:t>1960</w:t>
      </w:r>
      <w:r w:rsidR="001D5386">
        <w:rPr>
          <w:szCs w:val="24"/>
          <w:lang w:val="fr-CA"/>
        </w:rPr>
        <w:t>,</w:t>
      </w:r>
      <w:r w:rsidRPr="001E7CB3">
        <w:rPr>
          <w:szCs w:val="24"/>
          <w:lang w:val="fr-CA"/>
        </w:rPr>
        <w:t xml:space="preserve"> pour la </w:t>
      </w:r>
      <w:r w:rsidRPr="001D5386">
        <w:rPr>
          <w:i/>
          <w:szCs w:val="24"/>
          <w:lang w:val="fr-CA"/>
        </w:rPr>
        <w:t>LPRFC</w:t>
      </w:r>
      <w:r>
        <w:rPr>
          <w:szCs w:val="24"/>
          <w:lang w:val="fr-CA"/>
        </w:rPr>
        <w:t>, S.C. 1959, ch. 21</w:t>
      </w:r>
      <w:r w:rsidR="001D5386">
        <w:rPr>
          <w:szCs w:val="24"/>
          <w:lang w:val="fr-CA"/>
        </w:rPr>
        <w:t>;</w:t>
      </w:r>
      <w:r w:rsidRPr="001E7CB3">
        <w:rPr>
          <w:szCs w:val="24"/>
          <w:lang w:val="fr-CA"/>
        </w:rPr>
        <w:t xml:space="preserve"> et le 1</w:t>
      </w:r>
      <w:r w:rsidRPr="001E7CB3">
        <w:rPr>
          <w:szCs w:val="24"/>
          <w:vertAlign w:val="superscript"/>
          <w:lang w:val="fr-CA"/>
        </w:rPr>
        <w:t>er</w:t>
      </w:r>
      <w:r w:rsidRPr="001E7CB3">
        <w:rPr>
          <w:szCs w:val="24"/>
          <w:lang w:val="fr-CA"/>
        </w:rPr>
        <w:t> </w:t>
      </w:r>
      <w:r>
        <w:rPr>
          <w:szCs w:val="24"/>
          <w:lang w:val="fr-CA"/>
        </w:rPr>
        <w:t xml:space="preserve">avril </w:t>
      </w:r>
      <w:r w:rsidRPr="001E7CB3">
        <w:rPr>
          <w:szCs w:val="24"/>
          <w:lang w:val="fr-CA"/>
        </w:rPr>
        <w:t>1960</w:t>
      </w:r>
      <w:r w:rsidR="001D5386">
        <w:rPr>
          <w:szCs w:val="24"/>
          <w:lang w:val="fr-CA"/>
        </w:rPr>
        <w:t>,</w:t>
      </w:r>
      <w:r w:rsidRPr="001E7CB3">
        <w:rPr>
          <w:szCs w:val="24"/>
          <w:lang w:val="fr-CA"/>
        </w:rPr>
        <w:t xml:space="preserve"> pour la </w:t>
      </w:r>
      <w:r w:rsidRPr="001D5386">
        <w:rPr>
          <w:i/>
          <w:szCs w:val="24"/>
          <w:lang w:val="fr-CA"/>
        </w:rPr>
        <w:t>LPRGRC</w:t>
      </w:r>
      <w:r>
        <w:rPr>
          <w:szCs w:val="24"/>
          <w:lang w:val="fr-CA"/>
        </w:rPr>
        <w:t>, S.C. 1959, ch. 34</w:t>
      </w:r>
      <w:r w:rsidRPr="001E7CB3">
        <w:rPr>
          <w:szCs w:val="24"/>
          <w:lang w:val="fr-CA"/>
        </w:rPr>
        <w:t>.</w:t>
      </w:r>
    </w:p>
    <w:p w:rsidR="000F48EC" w:rsidRPr="001E7CB3" w:rsidRDefault="000F48EC" w:rsidP="000F48EC">
      <w:pPr>
        <w:pStyle w:val="ParaNoNdepar-AltN"/>
        <w:rPr>
          <w:szCs w:val="24"/>
          <w:lang w:val="fr-CA"/>
        </w:rPr>
      </w:pPr>
      <w:r w:rsidRPr="001E7CB3">
        <w:rPr>
          <w:szCs w:val="24"/>
          <w:lang w:val="fr-CA"/>
        </w:rPr>
        <w:t>Les régimes sont identiques pour tous les points pertinents en l’espèce.  P</w:t>
      </w:r>
      <w:r>
        <w:rPr>
          <w:szCs w:val="24"/>
          <w:lang w:val="fr-CA"/>
        </w:rPr>
        <w:t xml:space="preserve">ar souci de commodité, </w:t>
      </w:r>
      <w:r w:rsidRPr="001E7CB3">
        <w:rPr>
          <w:szCs w:val="24"/>
          <w:lang w:val="fr-CA"/>
        </w:rPr>
        <w:t xml:space="preserve"> </w:t>
      </w:r>
      <w:r>
        <w:rPr>
          <w:szCs w:val="24"/>
          <w:lang w:val="fr-CA"/>
        </w:rPr>
        <w:t>je mentionnerai</w:t>
      </w:r>
      <w:r w:rsidRPr="001E7CB3">
        <w:rPr>
          <w:szCs w:val="24"/>
          <w:lang w:val="fr-CA"/>
        </w:rPr>
        <w:t xml:space="preserve"> généralement la </w:t>
      </w:r>
      <w:r w:rsidRPr="001D5386">
        <w:rPr>
          <w:i/>
          <w:szCs w:val="24"/>
          <w:lang w:val="fr-CA"/>
        </w:rPr>
        <w:t>LPFP</w:t>
      </w:r>
      <w:r w:rsidRPr="001E7CB3">
        <w:rPr>
          <w:szCs w:val="24"/>
          <w:lang w:val="fr-CA"/>
        </w:rPr>
        <w:t xml:space="preserve">, </w:t>
      </w:r>
      <w:r>
        <w:rPr>
          <w:szCs w:val="24"/>
          <w:lang w:val="fr-CA"/>
        </w:rPr>
        <w:t>mais mon analyse et m</w:t>
      </w:r>
      <w:r w:rsidRPr="001E7CB3">
        <w:rPr>
          <w:szCs w:val="24"/>
          <w:lang w:val="fr-CA"/>
        </w:rPr>
        <w:t xml:space="preserve">es conclusions s’appliquent aussi bien à la </w:t>
      </w:r>
      <w:r w:rsidRPr="001D5386">
        <w:rPr>
          <w:i/>
          <w:szCs w:val="24"/>
          <w:lang w:val="fr-CA"/>
        </w:rPr>
        <w:t>LPRFC</w:t>
      </w:r>
      <w:r w:rsidRPr="001E7CB3">
        <w:rPr>
          <w:szCs w:val="24"/>
          <w:lang w:val="fr-CA"/>
        </w:rPr>
        <w:t xml:space="preserve"> et la </w:t>
      </w:r>
      <w:r w:rsidRPr="001D5386">
        <w:rPr>
          <w:i/>
          <w:szCs w:val="24"/>
          <w:lang w:val="fr-CA"/>
        </w:rPr>
        <w:t>LPRGRC</w:t>
      </w:r>
      <w:r w:rsidRPr="001E7CB3">
        <w:rPr>
          <w:szCs w:val="24"/>
          <w:lang w:val="fr-CA"/>
        </w:rPr>
        <w:t>.</w:t>
      </w:r>
    </w:p>
    <w:p w:rsidR="000F48EC" w:rsidRPr="001E7CB3" w:rsidRDefault="000F48EC" w:rsidP="000F48EC">
      <w:pPr>
        <w:pStyle w:val="ParaNoNdepar-AltN"/>
        <w:rPr>
          <w:szCs w:val="24"/>
          <w:lang w:val="fr-CA"/>
        </w:rPr>
      </w:pPr>
      <w:r w:rsidRPr="001E7CB3">
        <w:rPr>
          <w:szCs w:val="24"/>
          <w:lang w:val="fr-CA"/>
        </w:rPr>
        <w:t xml:space="preserve">Les lois sur les pensions définissent les modalités des régimes.  Elles </w:t>
      </w:r>
      <w:r>
        <w:rPr>
          <w:szCs w:val="24"/>
          <w:lang w:val="fr-CA"/>
        </w:rPr>
        <w:t>établissent</w:t>
      </w:r>
      <w:r w:rsidRPr="001E7CB3">
        <w:rPr>
          <w:szCs w:val="24"/>
          <w:lang w:val="fr-CA"/>
        </w:rPr>
        <w:t xml:space="preserve"> des régimes contributifs à prestations déterminées.  Les fonctionnaires, les membres de la force régulière des Forces canadiennes et les membres de la GRC admissibles sont tous tenus d’y adhérer. </w:t>
      </w:r>
    </w:p>
    <w:p w:rsidR="000F48EC" w:rsidRPr="001E7CB3" w:rsidRDefault="000F48EC" w:rsidP="000F48EC">
      <w:pPr>
        <w:pStyle w:val="ParaNoNdepar-AltN"/>
        <w:rPr>
          <w:szCs w:val="24"/>
          <w:lang w:val="fr-CA"/>
        </w:rPr>
      </w:pPr>
      <w:r w:rsidRPr="001E7CB3">
        <w:rPr>
          <w:szCs w:val="24"/>
          <w:lang w:val="fr-CA"/>
        </w:rPr>
        <w:t xml:space="preserve">Deux périodes sont visées par le pourvoi.  </w:t>
      </w:r>
      <w:r>
        <w:rPr>
          <w:szCs w:val="24"/>
          <w:lang w:val="fr-CA"/>
        </w:rPr>
        <w:t xml:space="preserve">La première va jusqu’au 31 mars </w:t>
      </w:r>
      <w:r w:rsidRPr="001E7CB3">
        <w:rPr>
          <w:szCs w:val="24"/>
          <w:lang w:val="fr-CA"/>
        </w:rPr>
        <w:t>2000 inclusivement, soit la période précédant l’entrée en vigueur du projet de loi C</w:t>
      </w:r>
      <w:r>
        <w:rPr>
          <w:szCs w:val="24"/>
          <w:lang w:val="fr-CA"/>
        </w:rPr>
        <w:noBreakHyphen/>
      </w:r>
      <w:r w:rsidRPr="001E7CB3">
        <w:rPr>
          <w:szCs w:val="24"/>
          <w:lang w:val="fr-CA"/>
        </w:rPr>
        <w:t>78</w:t>
      </w:r>
      <w:r>
        <w:rPr>
          <w:szCs w:val="24"/>
          <w:lang w:val="fr-CA"/>
        </w:rPr>
        <w:t xml:space="preserve"> </w:t>
      </w:r>
      <w:r w:rsidRPr="001E7CB3">
        <w:rPr>
          <w:szCs w:val="24"/>
          <w:lang w:val="fr-CA"/>
        </w:rPr>
        <w:t xml:space="preserve">qui a modifié les lois sur les pensions et, par </w:t>
      </w:r>
      <w:r>
        <w:rPr>
          <w:szCs w:val="24"/>
          <w:lang w:val="fr-CA"/>
        </w:rPr>
        <w:t>conséquent</w:t>
      </w:r>
      <w:r w:rsidRPr="001E7CB3">
        <w:rPr>
          <w:szCs w:val="24"/>
          <w:lang w:val="fr-CA"/>
        </w:rPr>
        <w:t>, les régimes.  La seconde commence le 1</w:t>
      </w:r>
      <w:r w:rsidRPr="001E7CB3">
        <w:rPr>
          <w:szCs w:val="24"/>
          <w:vertAlign w:val="superscript"/>
          <w:lang w:val="fr-CA"/>
        </w:rPr>
        <w:t>er</w:t>
      </w:r>
      <w:r w:rsidRPr="001E7CB3">
        <w:rPr>
          <w:szCs w:val="24"/>
          <w:lang w:val="fr-CA"/>
        </w:rPr>
        <w:t> avril</w:t>
      </w:r>
      <w:r>
        <w:rPr>
          <w:szCs w:val="24"/>
          <w:lang w:val="fr-CA"/>
        </w:rPr>
        <w:t xml:space="preserve"> </w:t>
      </w:r>
      <w:r w:rsidRPr="001E7CB3">
        <w:rPr>
          <w:szCs w:val="24"/>
          <w:lang w:val="fr-CA"/>
        </w:rPr>
        <w:t>2000, date d’entrée en vigueur du projet de loi C</w:t>
      </w:r>
      <w:r>
        <w:rPr>
          <w:szCs w:val="24"/>
          <w:lang w:val="fr-CA"/>
        </w:rPr>
        <w:noBreakHyphen/>
      </w:r>
      <w:r w:rsidRPr="001E7CB3">
        <w:rPr>
          <w:szCs w:val="24"/>
          <w:lang w:val="fr-CA"/>
        </w:rPr>
        <w:t>78.</w:t>
      </w:r>
    </w:p>
    <w:p w:rsidR="000F48EC" w:rsidRPr="001E7CB3" w:rsidRDefault="000F48EC" w:rsidP="000F48EC">
      <w:pPr>
        <w:pStyle w:val="ParaNoNdepar-AltN"/>
        <w:rPr>
          <w:szCs w:val="24"/>
          <w:lang w:val="fr-CA"/>
        </w:rPr>
      </w:pPr>
      <w:r w:rsidRPr="001E7CB3">
        <w:rPr>
          <w:szCs w:val="24"/>
          <w:lang w:val="fr-CA"/>
        </w:rPr>
        <w:t>Les employés sont tenus de contribuer à leur régime</w:t>
      </w:r>
      <w:r>
        <w:rPr>
          <w:szCs w:val="24"/>
          <w:lang w:val="fr-CA"/>
        </w:rPr>
        <w:t xml:space="preserve"> </w:t>
      </w:r>
      <w:r w:rsidRPr="005F118B">
        <w:rPr>
          <w:szCs w:val="24"/>
          <w:lang w:val="fr-CA"/>
        </w:rPr>
        <w:t>respectif par</w:t>
      </w:r>
      <w:r w:rsidRPr="001E7CB3">
        <w:rPr>
          <w:szCs w:val="24"/>
          <w:lang w:val="fr-CA"/>
        </w:rPr>
        <w:t xml:space="preserve"> </w:t>
      </w:r>
      <w:r>
        <w:rPr>
          <w:szCs w:val="24"/>
          <w:lang w:val="fr-CA"/>
        </w:rPr>
        <w:t xml:space="preserve">des </w:t>
      </w:r>
      <w:r w:rsidRPr="001E7CB3">
        <w:rPr>
          <w:szCs w:val="24"/>
          <w:lang w:val="fr-CA"/>
        </w:rPr>
        <w:t xml:space="preserve">retenues salariales.  Les taux de contribution varient, mais ils se situent en général entre 5 et </w:t>
      </w:r>
      <w:r>
        <w:rPr>
          <w:szCs w:val="24"/>
          <w:lang w:val="fr-CA"/>
        </w:rPr>
        <w:t>7</w:t>
      </w:r>
      <w:r w:rsidRPr="001E7CB3">
        <w:rPr>
          <w:szCs w:val="24"/>
          <w:lang w:val="fr-CA"/>
        </w:rPr>
        <w:t>,5 </w:t>
      </w:r>
      <w:r>
        <w:rPr>
          <w:szCs w:val="24"/>
          <w:lang w:val="fr-CA"/>
        </w:rPr>
        <w:t>pour 100</w:t>
      </w:r>
      <w:r w:rsidRPr="001E7CB3">
        <w:rPr>
          <w:szCs w:val="24"/>
          <w:lang w:val="fr-CA"/>
        </w:rPr>
        <w:t xml:space="preserve"> du salaire.</w:t>
      </w:r>
    </w:p>
    <w:p w:rsidR="000F48EC" w:rsidRPr="001E7CB3" w:rsidRDefault="000F48EC" w:rsidP="000F48EC">
      <w:pPr>
        <w:pStyle w:val="ParaNoNdepar-AltN"/>
        <w:rPr>
          <w:szCs w:val="24"/>
          <w:lang w:val="fr-CA"/>
        </w:rPr>
      </w:pPr>
      <w:r w:rsidRPr="001E7CB3">
        <w:rPr>
          <w:szCs w:val="24"/>
          <w:lang w:val="fr-CA"/>
        </w:rPr>
        <w:lastRenderedPageBreak/>
        <w:t xml:space="preserve">La prestation déterminée à laquelle un employé a droit à la retraite est établie au moyen d’une formule.  La pension de base correspond à </w:t>
      </w:r>
      <w:r>
        <w:rPr>
          <w:szCs w:val="24"/>
          <w:lang w:val="fr-CA"/>
        </w:rPr>
        <w:t>2 pour 100</w:t>
      </w:r>
      <w:r w:rsidRPr="001E7CB3">
        <w:rPr>
          <w:szCs w:val="24"/>
          <w:lang w:val="fr-CA"/>
        </w:rPr>
        <w:t xml:space="preserve"> </w:t>
      </w:r>
      <w:r>
        <w:rPr>
          <w:szCs w:val="24"/>
          <w:lang w:val="fr-CA"/>
        </w:rPr>
        <w:t>du</w:t>
      </w:r>
      <w:r w:rsidRPr="00657895">
        <w:rPr>
          <w:color w:val="000000"/>
          <w:szCs w:val="19"/>
          <w:lang w:val="fr-CA"/>
        </w:rPr>
        <w:t xml:space="preserve"> </w:t>
      </w:r>
      <w:r w:rsidRPr="001E7CB3">
        <w:rPr>
          <w:color w:val="000000"/>
          <w:szCs w:val="19"/>
          <w:lang w:val="fr-CA"/>
        </w:rPr>
        <w:t>salaire moyen des cinq années consécutives les mieux payées</w:t>
      </w:r>
      <w:r w:rsidRPr="001E7CB3">
        <w:rPr>
          <w:szCs w:val="24"/>
          <w:lang w:val="fr-CA"/>
        </w:rPr>
        <w:t xml:space="preserve"> </w:t>
      </w:r>
      <w:r>
        <w:rPr>
          <w:szCs w:val="24"/>
          <w:lang w:val="fr-CA"/>
        </w:rPr>
        <w:t>pour chaque</w:t>
      </w:r>
      <w:r w:rsidRPr="001E7CB3">
        <w:rPr>
          <w:szCs w:val="24"/>
          <w:lang w:val="fr-CA"/>
        </w:rPr>
        <w:t xml:space="preserve"> année de service ouvrant droit à pension (jusqu’à concurrence de 35 ans de service).</w:t>
      </w:r>
    </w:p>
    <w:p w:rsidR="000F48EC" w:rsidRPr="001E7CB3" w:rsidRDefault="000F48EC" w:rsidP="000F48EC">
      <w:pPr>
        <w:pStyle w:val="ParaNoNdepar-AltN"/>
        <w:rPr>
          <w:szCs w:val="24"/>
          <w:lang w:val="fr-CA"/>
        </w:rPr>
      </w:pPr>
      <w:r w:rsidRPr="001E7CB3">
        <w:rPr>
          <w:szCs w:val="24"/>
          <w:lang w:val="fr-CA"/>
        </w:rPr>
        <w:t xml:space="preserve">Les modalités des régimes ne sont pas soumises à la négociation collective.  Le régime institué par la </w:t>
      </w:r>
      <w:r w:rsidRPr="001D5386">
        <w:rPr>
          <w:i/>
          <w:szCs w:val="24"/>
          <w:lang w:val="fr-CA"/>
        </w:rPr>
        <w:t>L</w:t>
      </w:r>
      <w:r w:rsidRPr="001D5386">
        <w:rPr>
          <w:rFonts w:cs="Times New Roman"/>
          <w:i/>
          <w:iCs/>
          <w:szCs w:val="24"/>
          <w:lang w:val="fr-CA"/>
        </w:rPr>
        <w:t>PFP</w:t>
      </w:r>
      <w:r w:rsidRPr="001E7CB3">
        <w:rPr>
          <w:rFonts w:cs="Times New Roman"/>
          <w:szCs w:val="24"/>
          <w:lang w:val="fr-CA"/>
        </w:rPr>
        <w:t xml:space="preserve"> en est exclu aux termes de l’</w:t>
      </w:r>
      <w:r>
        <w:rPr>
          <w:rFonts w:cs="Times New Roman"/>
          <w:szCs w:val="24"/>
          <w:lang w:val="fr-CA"/>
        </w:rPr>
        <w:t>al. </w:t>
      </w:r>
      <w:r w:rsidRPr="001E7CB3">
        <w:rPr>
          <w:rFonts w:cs="Times New Roman"/>
          <w:szCs w:val="24"/>
          <w:lang w:val="fr-CA"/>
        </w:rPr>
        <w:t>113</w:t>
      </w:r>
      <w:r w:rsidRPr="001E7CB3">
        <w:rPr>
          <w:rFonts w:cs="Times New Roman"/>
          <w:i/>
          <w:szCs w:val="24"/>
          <w:lang w:val="fr-CA"/>
        </w:rPr>
        <w:t>b</w:t>
      </w:r>
      <w:r w:rsidRPr="001E7CB3">
        <w:rPr>
          <w:rFonts w:cs="Times New Roman"/>
          <w:szCs w:val="24"/>
          <w:lang w:val="fr-CA"/>
        </w:rPr>
        <w:t xml:space="preserve">) de la </w:t>
      </w:r>
      <w:r w:rsidRPr="001E7CB3">
        <w:rPr>
          <w:rFonts w:cs="Times New Roman"/>
          <w:i/>
          <w:iCs/>
          <w:szCs w:val="24"/>
          <w:lang w:val="fr-CA"/>
        </w:rPr>
        <w:t>Loi sur les relations de travail dans la fonction publique</w:t>
      </w:r>
      <w:r w:rsidRPr="001E7CB3">
        <w:rPr>
          <w:rFonts w:cs="Times New Roman"/>
          <w:szCs w:val="24"/>
          <w:lang w:val="fr-CA"/>
        </w:rPr>
        <w:t xml:space="preserve">, </w:t>
      </w:r>
      <w:r w:rsidRPr="005F118B">
        <w:rPr>
          <w:rFonts w:cs="Times New Roman"/>
          <w:szCs w:val="24"/>
          <w:lang w:val="fr-CA"/>
        </w:rPr>
        <w:t xml:space="preserve">édictée par la </w:t>
      </w:r>
      <w:r w:rsidRPr="005F118B">
        <w:rPr>
          <w:rFonts w:cs="Times New Roman"/>
          <w:i/>
          <w:szCs w:val="24"/>
          <w:lang w:val="fr-CA"/>
        </w:rPr>
        <w:t>Loi sur la modernisation de la fonction publique</w:t>
      </w:r>
      <w:r w:rsidRPr="005F118B">
        <w:rPr>
          <w:rFonts w:cs="Times New Roman"/>
          <w:szCs w:val="24"/>
          <w:lang w:val="fr-CA"/>
        </w:rPr>
        <w:t>,</w:t>
      </w:r>
      <w:r w:rsidRPr="000A14B9">
        <w:rPr>
          <w:rFonts w:cs="Times New Roman"/>
          <w:szCs w:val="24"/>
          <w:lang w:val="fr-CA"/>
        </w:rPr>
        <w:t xml:space="preserve"> </w:t>
      </w:r>
      <w:r w:rsidRPr="001E7CB3">
        <w:rPr>
          <w:rFonts w:cs="Times New Roman"/>
          <w:szCs w:val="24"/>
          <w:lang w:val="fr-CA"/>
        </w:rPr>
        <w:t>L</w:t>
      </w:r>
      <w:r>
        <w:rPr>
          <w:rFonts w:cs="Times New Roman"/>
          <w:szCs w:val="24"/>
          <w:lang w:val="fr-CA"/>
        </w:rPr>
        <w:t xml:space="preserve">.C. </w:t>
      </w:r>
      <w:r w:rsidRPr="001E7CB3">
        <w:rPr>
          <w:rFonts w:cs="Times New Roman"/>
          <w:szCs w:val="24"/>
          <w:lang w:val="fr-CA"/>
        </w:rPr>
        <w:t xml:space="preserve">2003, </w:t>
      </w:r>
      <w:r>
        <w:rPr>
          <w:rFonts w:cs="Times New Roman"/>
          <w:szCs w:val="24"/>
          <w:lang w:val="fr-CA"/>
        </w:rPr>
        <w:t>ch. </w:t>
      </w:r>
      <w:r w:rsidRPr="001E7CB3">
        <w:rPr>
          <w:rFonts w:cs="Times New Roman"/>
          <w:szCs w:val="24"/>
          <w:lang w:val="fr-CA"/>
        </w:rPr>
        <w:t>22</w:t>
      </w:r>
      <w:r>
        <w:rPr>
          <w:rFonts w:cs="Times New Roman"/>
          <w:szCs w:val="24"/>
          <w:lang w:val="fr-CA"/>
        </w:rPr>
        <w:t>, art. 2</w:t>
      </w:r>
      <w:r w:rsidRPr="001E7CB3">
        <w:rPr>
          <w:rFonts w:cs="Times New Roman"/>
          <w:szCs w:val="24"/>
          <w:lang w:val="fr-CA"/>
        </w:rPr>
        <w:t xml:space="preserve"> (</w:t>
      </w:r>
      <w:r>
        <w:rPr>
          <w:rFonts w:cs="Times New Roman"/>
          <w:szCs w:val="24"/>
          <w:lang w:val="fr-CA"/>
        </w:rPr>
        <w:t>« </w:t>
      </w:r>
      <w:r w:rsidRPr="001D5386">
        <w:rPr>
          <w:rFonts w:cs="Times New Roman"/>
          <w:i/>
          <w:szCs w:val="24"/>
          <w:lang w:val="fr-CA"/>
        </w:rPr>
        <w:t>LRTFP</w:t>
      </w:r>
      <w:r>
        <w:rPr>
          <w:rFonts w:cs="Times New Roman"/>
          <w:szCs w:val="24"/>
          <w:lang w:val="fr-CA"/>
        </w:rPr>
        <w:t> »</w:t>
      </w:r>
      <w:r w:rsidRPr="001E7CB3">
        <w:rPr>
          <w:rFonts w:cs="Times New Roman"/>
          <w:szCs w:val="24"/>
          <w:lang w:val="fr-CA"/>
        </w:rPr>
        <w:t>) (</w:t>
      </w:r>
      <w:r>
        <w:rPr>
          <w:rFonts w:cs="Times New Roman"/>
          <w:szCs w:val="24"/>
          <w:lang w:val="fr-CA"/>
        </w:rPr>
        <w:t>auparavant l’al. </w:t>
      </w:r>
      <w:r w:rsidRPr="001E7CB3">
        <w:rPr>
          <w:rFonts w:cs="Times New Roman"/>
          <w:szCs w:val="24"/>
          <w:lang w:val="fr-CA"/>
        </w:rPr>
        <w:t>57(2</w:t>
      </w:r>
      <w:proofErr w:type="gramStart"/>
      <w:r w:rsidRPr="001E7CB3">
        <w:rPr>
          <w:rFonts w:cs="Times New Roman"/>
          <w:szCs w:val="24"/>
          <w:lang w:val="fr-CA"/>
        </w:rPr>
        <w:t>)</w:t>
      </w:r>
      <w:r w:rsidRPr="005F118B">
        <w:rPr>
          <w:rFonts w:cs="Times New Roman"/>
          <w:i/>
          <w:szCs w:val="24"/>
          <w:lang w:val="fr-CA"/>
        </w:rPr>
        <w:t>b</w:t>
      </w:r>
      <w:proofErr w:type="gramEnd"/>
      <w:r w:rsidRPr="005F118B">
        <w:rPr>
          <w:rFonts w:cs="Times New Roman"/>
          <w:szCs w:val="24"/>
          <w:lang w:val="fr-CA"/>
        </w:rPr>
        <w:t>)</w:t>
      </w:r>
      <w:r w:rsidRPr="001E7CB3">
        <w:rPr>
          <w:rFonts w:cs="Times New Roman"/>
          <w:szCs w:val="24"/>
          <w:lang w:val="fr-CA"/>
        </w:rPr>
        <w:t xml:space="preserve"> de</w:t>
      </w:r>
      <w:r w:rsidR="001D5386">
        <w:rPr>
          <w:rFonts w:cs="Times New Roman"/>
          <w:szCs w:val="24"/>
          <w:lang w:val="fr-CA"/>
        </w:rPr>
        <w:t xml:space="preserve"> la </w:t>
      </w:r>
      <w:r w:rsidR="001D5386" w:rsidRPr="001D5386">
        <w:rPr>
          <w:rFonts w:cs="Times New Roman"/>
          <w:i/>
          <w:szCs w:val="24"/>
          <w:lang w:val="fr-CA"/>
        </w:rPr>
        <w:t>Loi sur les relations de travail dans la fonction publique</w:t>
      </w:r>
      <w:r w:rsidRPr="001E7CB3">
        <w:rPr>
          <w:rFonts w:cs="Times New Roman"/>
          <w:szCs w:val="24"/>
          <w:lang w:val="fr-CA"/>
        </w:rPr>
        <w:t xml:space="preserve">, L.R.C. 1985, </w:t>
      </w:r>
      <w:r>
        <w:rPr>
          <w:rFonts w:cs="Times New Roman"/>
          <w:szCs w:val="24"/>
          <w:lang w:val="fr-CA"/>
        </w:rPr>
        <w:t>ch. </w:t>
      </w:r>
      <w:r w:rsidRPr="001E7CB3">
        <w:rPr>
          <w:rFonts w:cs="Times New Roman"/>
          <w:szCs w:val="24"/>
          <w:lang w:val="fr-CA"/>
        </w:rPr>
        <w:t>P</w:t>
      </w:r>
      <w:r>
        <w:rPr>
          <w:rFonts w:cs="Times New Roman"/>
          <w:szCs w:val="24"/>
          <w:lang w:val="fr-CA"/>
        </w:rPr>
        <w:noBreakHyphen/>
      </w:r>
      <w:r w:rsidRPr="001E7CB3">
        <w:rPr>
          <w:rFonts w:cs="Times New Roman"/>
          <w:szCs w:val="24"/>
          <w:lang w:val="fr-CA"/>
        </w:rPr>
        <w:t>35</w:t>
      </w:r>
      <w:r w:rsidR="001D5386">
        <w:rPr>
          <w:rFonts w:cs="Times New Roman"/>
          <w:szCs w:val="24"/>
          <w:lang w:val="fr-CA"/>
        </w:rPr>
        <w:t xml:space="preserve"> (</w:t>
      </w:r>
      <w:r>
        <w:rPr>
          <w:rFonts w:cs="Times New Roman"/>
          <w:szCs w:val="24"/>
          <w:lang w:val="fr-CA"/>
        </w:rPr>
        <w:t>abrogée par L.C., 2003, ch. 22, art. 285</w:t>
      </w:r>
      <w:r w:rsidR="001D5386">
        <w:rPr>
          <w:rFonts w:cs="Times New Roman"/>
          <w:szCs w:val="24"/>
          <w:lang w:val="fr-CA"/>
        </w:rPr>
        <w:t>)</w:t>
      </w:r>
      <w:r w:rsidRPr="001E7CB3">
        <w:rPr>
          <w:rFonts w:cs="Times New Roman"/>
          <w:szCs w:val="24"/>
          <w:lang w:val="fr-CA"/>
        </w:rPr>
        <w:t xml:space="preserve">).  Le régime institué par la </w:t>
      </w:r>
      <w:r w:rsidRPr="001D5386">
        <w:rPr>
          <w:rFonts w:cs="Times New Roman"/>
          <w:i/>
          <w:iCs/>
          <w:szCs w:val="24"/>
          <w:lang w:val="fr-CA"/>
        </w:rPr>
        <w:t>LPRGRC</w:t>
      </w:r>
      <w:r w:rsidRPr="001E7CB3">
        <w:rPr>
          <w:rFonts w:cs="Times New Roman"/>
          <w:szCs w:val="24"/>
          <w:lang w:val="fr-CA"/>
        </w:rPr>
        <w:t xml:space="preserve"> n’est pas soumis à la négociation collective, </w:t>
      </w:r>
      <w:r>
        <w:rPr>
          <w:rFonts w:cs="Times New Roman"/>
          <w:szCs w:val="24"/>
          <w:lang w:val="fr-CA"/>
        </w:rPr>
        <w:t xml:space="preserve">car </w:t>
      </w:r>
      <w:r w:rsidRPr="001E7CB3">
        <w:rPr>
          <w:rFonts w:cs="Times New Roman"/>
          <w:szCs w:val="24"/>
          <w:lang w:val="fr-CA"/>
        </w:rPr>
        <w:t xml:space="preserve">les membres de la GRC </w:t>
      </w:r>
      <w:r>
        <w:rPr>
          <w:rFonts w:cs="Times New Roman"/>
          <w:szCs w:val="24"/>
          <w:lang w:val="fr-CA"/>
        </w:rPr>
        <w:t>sont</w:t>
      </w:r>
      <w:r w:rsidRPr="001E7CB3">
        <w:rPr>
          <w:rFonts w:cs="Times New Roman"/>
          <w:szCs w:val="24"/>
          <w:lang w:val="fr-CA"/>
        </w:rPr>
        <w:t xml:space="preserve"> </w:t>
      </w:r>
      <w:r>
        <w:rPr>
          <w:rFonts w:cs="Times New Roman"/>
          <w:szCs w:val="24"/>
          <w:lang w:val="fr-CA"/>
        </w:rPr>
        <w:t xml:space="preserve">expressément </w:t>
      </w:r>
      <w:r w:rsidRPr="001E7CB3">
        <w:rPr>
          <w:rFonts w:cs="Times New Roman"/>
          <w:szCs w:val="24"/>
          <w:lang w:val="fr-CA"/>
        </w:rPr>
        <w:t>exclus</w:t>
      </w:r>
      <w:r>
        <w:rPr>
          <w:rFonts w:cs="Times New Roman"/>
          <w:szCs w:val="24"/>
          <w:lang w:val="fr-CA"/>
        </w:rPr>
        <w:t xml:space="preserve"> </w:t>
      </w:r>
      <w:r w:rsidRPr="005F118B">
        <w:rPr>
          <w:rFonts w:cs="Times New Roman"/>
          <w:szCs w:val="24"/>
          <w:lang w:val="fr-CA"/>
        </w:rPr>
        <w:t>à l’</w:t>
      </w:r>
      <w:r>
        <w:rPr>
          <w:rFonts w:cs="Times New Roman"/>
          <w:szCs w:val="24"/>
          <w:lang w:val="fr-CA"/>
        </w:rPr>
        <w:t>al. </w:t>
      </w:r>
      <w:r w:rsidRPr="005F118B">
        <w:rPr>
          <w:rFonts w:cs="Times New Roman"/>
          <w:i/>
          <w:szCs w:val="24"/>
          <w:lang w:val="fr-CA"/>
        </w:rPr>
        <w:t>d</w:t>
      </w:r>
      <w:r w:rsidRPr="005F118B">
        <w:rPr>
          <w:rFonts w:cs="Times New Roman"/>
          <w:szCs w:val="24"/>
          <w:lang w:val="fr-CA"/>
        </w:rPr>
        <w:t>) de la définition</w:t>
      </w:r>
      <w:r w:rsidRPr="001E7CB3">
        <w:rPr>
          <w:rFonts w:cs="Times New Roman"/>
          <w:szCs w:val="24"/>
          <w:lang w:val="fr-CA"/>
        </w:rPr>
        <w:t xml:space="preserve"> d</w:t>
      </w:r>
      <w:r>
        <w:rPr>
          <w:rFonts w:cs="Times New Roman"/>
          <w:szCs w:val="24"/>
          <w:lang w:val="fr-CA"/>
        </w:rPr>
        <w:t>u terme</w:t>
      </w:r>
      <w:r w:rsidRPr="001E7CB3">
        <w:rPr>
          <w:rFonts w:cs="Times New Roman"/>
          <w:szCs w:val="24"/>
          <w:lang w:val="fr-CA"/>
        </w:rPr>
        <w:t xml:space="preserve"> « fonctionnaire » </w:t>
      </w:r>
      <w:r>
        <w:rPr>
          <w:rFonts w:cs="Times New Roman"/>
          <w:szCs w:val="24"/>
          <w:lang w:val="fr-CA"/>
        </w:rPr>
        <w:t>au par. </w:t>
      </w:r>
      <w:r w:rsidRPr="001E7CB3">
        <w:rPr>
          <w:rFonts w:cs="Times New Roman"/>
          <w:szCs w:val="24"/>
          <w:lang w:val="fr-CA"/>
        </w:rPr>
        <w:t xml:space="preserve">2(l) de la </w:t>
      </w:r>
      <w:r w:rsidRPr="001D5386">
        <w:rPr>
          <w:rFonts w:cs="Times New Roman"/>
          <w:i/>
          <w:iCs/>
          <w:szCs w:val="24"/>
          <w:lang w:val="fr-CA"/>
        </w:rPr>
        <w:t>LRTFP</w:t>
      </w:r>
      <w:r w:rsidRPr="001E7CB3">
        <w:rPr>
          <w:rFonts w:cs="Times New Roman"/>
          <w:szCs w:val="24"/>
          <w:lang w:val="fr-CA"/>
        </w:rPr>
        <w:t xml:space="preserve"> (</w:t>
      </w:r>
      <w:r>
        <w:rPr>
          <w:rFonts w:cs="Times New Roman"/>
          <w:szCs w:val="24"/>
          <w:lang w:val="fr-CA"/>
        </w:rPr>
        <w:t>auparavant l’al. </w:t>
      </w:r>
      <w:r w:rsidRPr="00D641DC">
        <w:rPr>
          <w:rFonts w:cs="Times New Roman"/>
          <w:i/>
          <w:szCs w:val="24"/>
          <w:lang w:val="fr-CA"/>
        </w:rPr>
        <w:t>e</w:t>
      </w:r>
      <w:r w:rsidRPr="00D641DC">
        <w:rPr>
          <w:rFonts w:cs="Times New Roman"/>
          <w:szCs w:val="24"/>
          <w:lang w:val="fr-CA"/>
        </w:rPr>
        <w:t>)</w:t>
      </w:r>
      <w:r w:rsidRPr="001E7CB3">
        <w:rPr>
          <w:rFonts w:cs="Times New Roman"/>
          <w:szCs w:val="24"/>
          <w:lang w:val="fr-CA"/>
        </w:rPr>
        <w:t xml:space="preserve"> </w:t>
      </w:r>
      <w:r>
        <w:rPr>
          <w:rFonts w:cs="Times New Roman"/>
          <w:szCs w:val="24"/>
          <w:lang w:val="fr-CA"/>
        </w:rPr>
        <w:t>de la définition de ce terme au par. 2(1) de</w:t>
      </w:r>
      <w:r w:rsidRPr="001E7CB3">
        <w:rPr>
          <w:rFonts w:cs="Times New Roman"/>
          <w:szCs w:val="24"/>
          <w:lang w:val="fr-CA"/>
        </w:rPr>
        <w:t xml:space="preserve"> l’ancienne </w:t>
      </w:r>
      <w:r w:rsidRPr="001D5386">
        <w:rPr>
          <w:rFonts w:cs="Times New Roman"/>
          <w:i/>
          <w:szCs w:val="24"/>
          <w:lang w:val="fr-CA"/>
        </w:rPr>
        <w:t>LRTFP</w:t>
      </w:r>
      <w:r w:rsidRPr="001E7CB3">
        <w:rPr>
          <w:rFonts w:cs="Times New Roman"/>
          <w:szCs w:val="24"/>
          <w:lang w:val="fr-CA"/>
        </w:rPr>
        <w:t xml:space="preserve">) </w:t>
      </w:r>
      <w:r>
        <w:rPr>
          <w:rFonts w:cs="Times New Roman"/>
          <w:szCs w:val="24"/>
          <w:lang w:val="fr-CA"/>
        </w:rPr>
        <w:t>et ne jouisse</w:t>
      </w:r>
      <w:r w:rsidRPr="001E7CB3">
        <w:rPr>
          <w:rFonts w:cs="Times New Roman"/>
          <w:szCs w:val="24"/>
          <w:lang w:val="fr-CA"/>
        </w:rPr>
        <w:t xml:space="preserve">nt donc pas de droits de négociation collective.  Le régime institué par la </w:t>
      </w:r>
      <w:r w:rsidRPr="001D5386">
        <w:rPr>
          <w:rFonts w:cs="Times New Roman"/>
          <w:i/>
          <w:iCs/>
          <w:szCs w:val="24"/>
          <w:lang w:val="fr-CA"/>
        </w:rPr>
        <w:t>LPRFC</w:t>
      </w:r>
      <w:r w:rsidRPr="001E7CB3">
        <w:rPr>
          <w:rFonts w:cs="Times New Roman"/>
          <w:szCs w:val="24"/>
          <w:lang w:val="fr-CA"/>
        </w:rPr>
        <w:t xml:space="preserve"> n’est pas non plus soumis à la négociation collective parce que les membres des Forces canadiennes ne sont pas des employés de l’État et qu’ils ne font pas non plus partie de la fonction publique au sens de la </w:t>
      </w:r>
      <w:r w:rsidRPr="001D5386">
        <w:rPr>
          <w:rFonts w:cs="Times New Roman"/>
          <w:i/>
          <w:iCs/>
          <w:szCs w:val="24"/>
          <w:lang w:val="fr-CA"/>
        </w:rPr>
        <w:t>LRTFP</w:t>
      </w:r>
      <w:r w:rsidRPr="001E7CB3">
        <w:rPr>
          <w:rFonts w:cs="Times New Roman"/>
          <w:iCs/>
          <w:szCs w:val="24"/>
          <w:lang w:val="fr-CA"/>
        </w:rPr>
        <w:t xml:space="preserve">, de sorte qu’ils ne possèdent pas de droits de négociation collective.  Les régimes ne sont pas non plus assujettis à la </w:t>
      </w:r>
      <w:r w:rsidRPr="001E7CB3">
        <w:rPr>
          <w:i/>
          <w:szCs w:val="24"/>
          <w:lang w:val="fr-CA"/>
        </w:rPr>
        <w:t>Loi de 1985 sur les normes de prestation de pension</w:t>
      </w:r>
      <w:r w:rsidRPr="001E7CB3">
        <w:rPr>
          <w:szCs w:val="24"/>
          <w:lang w:val="fr-CA"/>
        </w:rPr>
        <w:t xml:space="preserve">, L.R.C. 1985, </w:t>
      </w:r>
      <w:r>
        <w:rPr>
          <w:szCs w:val="24"/>
          <w:lang w:val="fr-CA"/>
        </w:rPr>
        <w:t>ch. </w:t>
      </w:r>
      <w:r w:rsidRPr="001E7CB3">
        <w:rPr>
          <w:szCs w:val="24"/>
          <w:lang w:val="fr-CA"/>
        </w:rPr>
        <w:t>32 (2</w:t>
      </w:r>
      <w:r w:rsidRPr="001E7CB3">
        <w:rPr>
          <w:szCs w:val="24"/>
          <w:vertAlign w:val="superscript"/>
          <w:lang w:val="fr-CA"/>
        </w:rPr>
        <w:t>e</w:t>
      </w:r>
      <w:r w:rsidRPr="001E7CB3">
        <w:rPr>
          <w:szCs w:val="24"/>
          <w:lang w:val="fr-CA"/>
        </w:rPr>
        <w:t xml:space="preserve"> suppl.) </w:t>
      </w:r>
      <w:r>
        <w:rPr>
          <w:szCs w:val="24"/>
          <w:lang w:val="fr-CA"/>
        </w:rPr>
        <w:t>(voir l’art. </w:t>
      </w:r>
      <w:r w:rsidRPr="001E7CB3">
        <w:rPr>
          <w:szCs w:val="24"/>
          <w:lang w:val="fr-CA"/>
        </w:rPr>
        <w:t>4</w:t>
      </w:r>
      <w:r>
        <w:rPr>
          <w:szCs w:val="24"/>
          <w:lang w:val="fr-CA"/>
        </w:rPr>
        <w:t>)</w:t>
      </w:r>
      <w:r w:rsidRPr="001E7CB3">
        <w:rPr>
          <w:szCs w:val="24"/>
          <w:lang w:val="fr-CA"/>
        </w:rPr>
        <w:t>.</w:t>
      </w:r>
    </w:p>
    <w:p w:rsidR="000F48EC" w:rsidRPr="001E7CB3" w:rsidRDefault="000F48EC" w:rsidP="000F48EC">
      <w:pPr>
        <w:pStyle w:val="ParaNoNdepar-AltN"/>
        <w:rPr>
          <w:szCs w:val="24"/>
          <w:lang w:val="fr-CA"/>
        </w:rPr>
      </w:pPr>
      <w:r w:rsidRPr="001E7CB3">
        <w:rPr>
          <w:szCs w:val="24"/>
          <w:lang w:val="fr-CA"/>
        </w:rPr>
        <w:lastRenderedPageBreak/>
        <w:t>Les contributions des employés aux régimes devaient être versées au Trésor, défini comme le « t</w:t>
      </w:r>
      <w:r w:rsidRPr="001E7CB3">
        <w:rPr>
          <w:lang w:val="fr-CA"/>
        </w:rPr>
        <w:t xml:space="preserve">otal des fonds publics en dépôt au crédit du receveur général » dans la </w:t>
      </w:r>
      <w:r w:rsidRPr="001E7CB3">
        <w:rPr>
          <w:i/>
          <w:lang w:val="fr-CA"/>
        </w:rPr>
        <w:t>Loi sur la gestion des finances publiques</w:t>
      </w:r>
      <w:r w:rsidRPr="001E7CB3">
        <w:rPr>
          <w:lang w:val="fr-CA"/>
        </w:rPr>
        <w:t>, L.R.C. 1985</w:t>
      </w:r>
      <w:r>
        <w:rPr>
          <w:lang w:val="fr-CA"/>
        </w:rPr>
        <w:t>,</w:t>
      </w:r>
      <w:r w:rsidRPr="001E7CB3">
        <w:rPr>
          <w:lang w:val="fr-CA"/>
        </w:rPr>
        <w:t xml:space="preserve"> </w:t>
      </w:r>
      <w:r>
        <w:rPr>
          <w:lang w:val="fr-CA"/>
        </w:rPr>
        <w:t>ch. </w:t>
      </w:r>
      <w:r w:rsidRPr="001E7CB3">
        <w:rPr>
          <w:lang w:val="fr-CA"/>
        </w:rPr>
        <w:t>F</w:t>
      </w:r>
      <w:r>
        <w:rPr>
          <w:lang w:val="fr-CA"/>
        </w:rPr>
        <w:noBreakHyphen/>
      </w:r>
      <w:r w:rsidRPr="001E7CB3">
        <w:rPr>
          <w:lang w:val="fr-CA"/>
        </w:rPr>
        <w:t>11</w:t>
      </w:r>
      <w:r>
        <w:rPr>
          <w:lang w:val="fr-CA"/>
        </w:rPr>
        <w:t xml:space="preserve"> </w:t>
      </w:r>
      <w:r w:rsidRPr="001E7CB3">
        <w:rPr>
          <w:lang w:val="fr-CA"/>
        </w:rPr>
        <w:t>(</w:t>
      </w:r>
      <w:r>
        <w:rPr>
          <w:lang w:val="fr-CA"/>
        </w:rPr>
        <w:t>« </w:t>
      </w:r>
      <w:r w:rsidRPr="001D5386">
        <w:rPr>
          <w:i/>
          <w:lang w:val="fr-CA"/>
        </w:rPr>
        <w:t>LGFP</w:t>
      </w:r>
      <w:r>
        <w:rPr>
          <w:lang w:val="fr-CA"/>
        </w:rPr>
        <w:t> »</w:t>
      </w:r>
      <w:r w:rsidRPr="001E7CB3">
        <w:rPr>
          <w:lang w:val="fr-CA"/>
        </w:rPr>
        <w:t xml:space="preserve">), </w:t>
      </w:r>
      <w:r>
        <w:rPr>
          <w:lang w:val="fr-CA"/>
        </w:rPr>
        <w:t>art. </w:t>
      </w:r>
      <w:r w:rsidRPr="001E7CB3">
        <w:rPr>
          <w:lang w:val="fr-CA"/>
        </w:rPr>
        <w:t>2.  Avant le 1</w:t>
      </w:r>
      <w:r w:rsidRPr="001E7CB3">
        <w:rPr>
          <w:vertAlign w:val="superscript"/>
          <w:lang w:val="fr-CA"/>
        </w:rPr>
        <w:t>er</w:t>
      </w:r>
      <w:r w:rsidRPr="001E7CB3">
        <w:rPr>
          <w:lang w:val="fr-CA"/>
        </w:rPr>
        <w:t> </w:t>
      </w:r>
      <w:r>
        <w:rPr>
          <w:lang w:val="fr-CA"/>
        </w:rPr>
        <w:t xml:space="preserve">avril </w:t>
      </w:r>
      <w:r w:rsidRPr="001E7CB3">
        <w:rPr>
          <w:szCs w:val="24"/>
          <w:lang w:val="fr-CA"/>
        </w:rPr>
        <w:t xml:space="preserve">2000, les </w:t>
      </w:r>
      <w:r>
        <w:rPr>
          <w:szCs w:val="24"/>
          <w:lang w:val="fr-CA"/>
        </w:rPr>
        <w:t>contribu</w:t>
      </w:r>
      <w:r w:rsidRPr="001E7CB3">
        <w:rPr>
          <w:szCs w:val="24"/>
          <w:lang w:val="fr-CA"/>
        </w:rPr>
        <w:t xml:space="preserve">tions </w:t>
      </w:r>
      <w:r>
        <w:rPr>
          <w:szCs w:val="24"/>
          <w:lang w:val="fr-CA"/>
        </w:rPr>
        <w:t xml:space="preserve">aux régimes </w:t>
      </w:r>
      <w:r w:rsidRPr="001E7CB3">
        <w:rPr>
          <w:szCs w:val="24"/>
          <w:lang w:val="fr-CA"/>
        </w:rPr>
        <w:t>figuraient au crédit des « comptes de pension de retraite</w:t>
      </w:r>
      <w:r>
        <w:rPr>
          <w:szCs w:val="24"/>
          <w:lang w:val="fr-CA"/>
        </w:rPr>
        <w:t> » (ou « comptes ») créés par la loi</w:t>
      </w:r>
      <w:r w:rsidRPr="001E7CB3">
        <w:rPr>
          <w:szCs w:val="24"/>
          <w:lang w:val="fr-CA"/>
        </w:rPr>
        <w:t xml:space="preserve"> pour chaque régime.  Les fonds payables en application des lois sur les pensions (</w:t>
      </w:r>
      <w:r>
        <w:rPr>
          <w:szCs w:val="24"/>
          <w:lang w:val="fr-CA"/>
        </w:rPr>
        <w:t xml:space="preserve">les </w:t>
      </w:r>
      <w:r w:rsidRPr="001E7CB3">
        <w:rPr>
          <w:szCs w:val="24"/>
          <w:lang w:val="fr-CA"/>
        </w:rPr>
        <w:t xml:space="preserve">prestations de retraite) étaient prélevés sur le Trésor et </w:t>
      </w:r>
      <w:r>
        <w:rPr>
          <w:szCs w:val="24"/>
          <w:lang w:val="fr-CA"/>
        </w:rPr>
        <w:t>portés</w:t>
      </w:r>
      <w:r w:rsidRPr="001E7CB3">
        <w:rPr>
          <w:szCs w:val="24"/>
          <w:lang w:val="fr-CA"/>
        </w:rPr>
        <w:t xml:space="preserve"> au débit du compte de pension de retraite visé.</w:t>
      </w:r>
    </w:p>
    <w:p w:rsidR="000F48EC" w:rsidRPr="001E7CB3" w:rsidRDefault="000F48EC" w:rsidP="000F48EC">
      <w:pPr>
        <w:pStyle w:val="ParaNoNdepar-AltN"/>
        <w:rPr>
          <w:lang w:val="fr-CA"/>
        </w:rPr>
      </w:pPr>
      <w:r w:rsidRPr="001E7CB3">
        <w:rPr>
          <w:lang w:val="fr-CA"/>
        </w:rPr>
        <w:t xml:space="preserve">Outre les contributions des </w:t>
      </w:r>
      <w:r>
        <w:rPr>
          <w:lang w:val="fr-CA"/>
        </w:rPr>
        <w:t>membres des régimes</w:t>
      </w:r>
      <w:r w:rsidRPr="001E7CB3">
        <w:rPr>
          <w:lang w:val="fr-CA"/>
        </w:rPr>
        <w:t>, les fonds qui devaient être portés au crédit des comptes de pension de retraite conformément à la loi, avant le 1</w:t>
      </w:r>
      <w:r w:rsidRPr="001E7CB3">
        <w:rPr>
          <w:vertAlign w:val="superscript"/>
          <w:lang w:val="fr-CA"/>
        </w:rPr>
        <w:t>er </w:t>
      </w:r>
      <w:r>
        <w:rPr>
          <w:lang w:val="fr-CA"/>
        </w:rPr>
        <w:t xml:space="preserve">avril </w:t>
      </w:r>
      <w:r w:rsidRPr="001E7CB3">
        <w:rPr>
          <w:lang w:val="fr-CA"/>
        </w:rPr>
        <w:t>2000, étaient</w:t>
      </w:r>
      <w:r>
        <w:rPr>
          <w:lang w:val="fr-CA"/>
        </w:rPr>
        <w:t> : (1) </w:t>
      </w:r>
      <w:r w:rsidRPr="001E7CB3">
        <w:rPr>
          <w:lang w:val="fr-CA"/>
        </w:rPr>
        <w:t>les contributions des organismes de la fonction publique,</w:t>
      </w:r>
      <w:r>
        <w:rPr>
          <w:lang w:val="fr-CA"/>
        </w:rPr>
        <w:t xml:space="preserve"> (2) </w:t>
      </w:r>
      <w:r w:rsidRPr="001E7CB3">
        <w:rPr>
          <w:lang w:val="fr-CA"/>
        </w:rPr>
        <w:t>les contributions du gouvernement,</w:t>
      </w:r>
      <w:r>
        <w:rPr>
          <w:lang w:val="fr-CA"/>
        </w:rPr>
        <w:t xml:space="preserve"> (3) </w:t>
      </w:r>
      <w:r w:rsidRPr="001E7CB3">
        <w:rPr>
          <w:lang w:val="fr-CA"/>
        </w:rPr>
        <w:t>les fonds supplémentaires afférents au passif actuariel (pour couvrir ce passif),</w:t>
      </w:r>
      <w:r>
        <w:rPr>
          <w:lang w:val="fr-CA"/>
        </w:rPr>
        <w:t xml:space="preserve"> (4) </w:t>
      </w:r>
      <w:r w:rsidRPr="001E7CB3">
        <w:rPr>
          <w:lang w:val="fr-CA"/>
        </w:rPr>
        <w:t>les fonds transférés d’autres régimes et de comptes de prestations de retraite supplémentaires</w:t>
      </w:r>
      <w:r w:rsidR="001D5386">
        <w:rPr>
          <w:lang w:val="fr-CA"/>
        </w:rPr>
        <w:t>,</w:t>
      </w:r>
      <w:r w:rsidRPr="001E7CB3">
        <w:rPr>
          <w:lang w:val="fr-CA"/>
        </w:rPr>
        <w:t xml:space="preserve"> et </w:t>
      </w:r>
      <w:r>
        <w:rPr>
          <w:lang w:val="fr-CA"/>
        </w:rPr>
        <w:t>(5) </w:t>
      </w:r>
      <w:r w:rsidRPr="001E7CB3">
        <w:rPr>
          <w:lang w:val="fr-CA"/>
        </w:rPr>
        <w:t>l’intérêt sur le solde des comptes de pension de retraite, au taux réglementaire applicable.</w:t>
      </w:r>
    </w:p>
    <w:p w:rsidR="000F48EC" w:rsidRPr="001E7CB3" w:rsidRDefault="000F48EC" w:rsidP="000F48EC">
      <w:pPr>
        <w:pStyle w:val="ParaNoNdepar-AltN"/>
        <w:rPr>
          <w:lang w:val="fr-CA"/>
        </w:rPr>
      </w:pPr>
      <w:r w:rsidRPr="001E7CB3">
        <w:rPr>
          <w:lang w:val="fr-CA"/>
        </w:rPr>
        <w:t xml:space="preserve">Les contributions du gouvernement à porter au crédit des comptes de pension de retraite ont varié.  S’agissant du compte </w:t>
      </w:r>
      <w:r>
        <w:rPr>
          <w:lang w:val="fr-CA"/>
        </w:rPr>
        <w:t>créé</w:t>
      </w:r>
      <w:r w:rsidRPr="001E7CB3">
        <w:rPr>
          <w:lang w:val="fr-CA"/>
        </w:rPr>
        <w:t xml:space="preserve"> pour le régime </w:t>
      </w:r>
      <w:r>
        <w:rPr>
          <w:lang w:val="fr-CA"/>
        </w:rPr>
        <w:t>établi</w:t>
      </w:r>
      <w:r w:rsidRPr="001E7CB3">
        <w:rPr>
          <w:lang w:val="fr-CA"/>
        </w:rPr>
        <w:t xml:space="preserve"> par la </w:t>
      </w:r>
      <w:r w:rsidRPr="001D5386">
        <w:rPr>
          <w:i/>
          <w:lang w:val="fr-CA"/>
        </w:rPr>
        <w:t>LPFP</w:t>
      </w:r>
      <w:r w:rsidRPr="001E7CB3">
        <w:rPr>
          <w:lang w:val="fr-CA"/>
        </w:rPr>
        <w:t xml:space="preserve">, par exemple, le gouvernement devait verser </w:t>
      </w:r>
      <w:r>
        <w:rPr>
          <w:lang w:val="fr-CA"/>
        </w:rPr>
        <w:t>un montant</w:t>
      </w:r>
      <w:r w:rsidRPr="001E7CB3">
        <w:rPr>
          <w:lang w:val="fr-CA"/>
        </w:rPr>
        <w:t xml:space="preserve"> correspondant aux contributions des employés pour la période de service courant</w:t>
      </w:r>
      <w:r>
        <w:rPr>
          <w:lang w:val="fr-CA"/>
        </w:rPr>
        <w:t> :</w:t>
      </w:r>
      <w:r w:rsidRPr="001E7CB3">
        <w:rPr>
          <w:lang w:val="fr-CA"/>
        </w:rPr>
        <w:t xml:space="preserve"> </w:t>
      </w:r>
      <w:r>
        <w:rPr>
          <w:lang w:val="fr-CA"/>
        </w:rPr>
        <w:t>selon le montant versé l’année précédente</w:t>
      </w:r>
      <w:r w:rsidRPr="001E7CB3">
        <w:rPr>
          <w:lang w:val="fr-CA"/>
        </w:rPr>
        <w:t xml:space="preserve"> pour les années 1954 à 1991, et </w:t>
      </w:r>
      <w:r>
        <w:rPr>
          <w:lang w:val="fr-CA"/>
        </w:rPr>
        <w:t>mensuellement</w:t>
      </w:r>
      <w:r w:rsidRPr="001E7CB3">
        <w:rPr>
          <w:lang w:val="fr-CA"/>
        </w:rPr>
        <w:t xml:space="preserve"> pour les années 1991 à 2000.  Des </w:t>
      </w:r>
      <w:r>
        <w:rPr>
          <w:lang w:val="fr-CA"/>
        </w:rPr>
        <w:t>montant</w:t>
      </w:r>
      <w:r w:rsidRPr="001E7CB3">
        <w:rPr>
          <w:lang w:val="fr-CA"/>
        </w:rPr>
        <w:t xml:space="preserve">s supplémentaires étaient exigés pour le service </w:t>
      </w:r>
      <w:r w:rsidRPr="001E7CB3">
        <w:rPr>
          <w:lang w:val="fr-CA"/>
        </w:rPr>
        <w:lastRenderedPageBreak/>
        <w:t xml:space="preserve">passé ou « rachat » de service, et pour couvrir le coût des prestations acquises </w:t>
      </w:r>
      <w:r>
        <w:rPr>
          <w:lang w:val="fr-CA"/>
        </w:rPr>
        <w:t>au cours du mois au titre du</w:t>
      </w:r>
      <w:r w:rsidRPr="001E7CB3">
        <w:rPr>
          <w:lang w:val="fr-CA"/>
        </w:rPr>
        <w:t xml:space="preserve"> service </w:t>
      </w:r>
      <w:r>
        <w:rPr>
          <w:lang w:val="fr-CA"/>
        </w:rPr>
        <w:t>courant.</w:t>
      </w:r>
    </w:p>
    <w:p w:rsidR="000F48EC" w:rsidRPr="001E7CB3" w:rsidRDefault="000F48EC" w:rsidP="000F48EC">
      <w:pPr>
        <w:pStyle w:val="ParaNoNdepar-AltN"/>
        <w:rPr>
          <w:szCs w:val="24"/>
          <w:lang w:val="fr-CA"/>
        </w:rPr>
      </w:pPr>
      <w:r w:rsidRPr="001E7CB3">
        <w:rPr>
          <w:szCs w:val="24"/>
          <w:lang w:val="fr-CA"/>
        </w:rPr>
        <w:t xml:space="preserve">Les rapports relatifs au passif des régimes de retraite administrés par le gouvernement sont régis par la </w:t>
      </w:r>
      <w:r w:rsidRPr="001D5386">
        <w:rPr>
          <w:i/>
          <w:szCs w:val="24"/>
          <w:lang w:val="fr-CA"/>
        </w:rPr>
        <w:t>LGFP</w:t>
      </w:r>
      <w:r w:rsidRPr="00FA2381">
        <w:rPr>
          <w:szCs w:val="24"/>
          <w:lang w:val="fr-CA"/>
        </w:rPr>
        <w:t xml:space="preserve">, </w:t>
      </w:r>
      <w:r w:rsidRPr="001E7CB3">
        <w:rPr>
          <w:szCs w:val="24"/>
          <w:lang w:val="fr-CA"/>
        </w:rPr>
        <w:t xml:space="preserve">la loi sur les pensions applicable et la </w:t>
      </w:r>
      <w:r w:rsidRPr="001E7CB3">
        <w:rPr>
          <w:i/>
          <w:szCs w:val="24"/>
          <w:lang w:val="fr-CA"/>
        </w:rPr>
        <w:t>Loi sur les rapports relatifs aux pensions publiques</w:t>
      </w:r>
      <w:r w:rsidRPr="001E7CB3">
        <w:rPr>
          <w:szCs w:val="24"/>
          <w:lang w:val="fr-CA"/>
        </w:rPr>
        <w:t xml:space="preserve">, L.R.C. 1985, </w:t>
      </w:r>
      <w:r>
        <w:rPr>
          <w:szCs w:val="24"/>
          <w:lang w:val="fr-CA"/>
        </w:rPr>
        <w:t>ch. </w:t>
      </w:r>
      <w:r w:rsidRPr="001E7CB3">
        <w:rPr>
          <w:szCs w:val="24"/>
          <w:lang w:val="fr-CA"/>
        </w:rPr>
        <w:t>13 (2</w:t>
      </w:r>
      <w:r w:rsidRPr="001E7CB3">
        <w:rPr>
          <w:szCs w:val="24"/>
          <w:vertAlign w:val="superscript"/>
          <w:lang w:val="fr-CA"/>
        </w:rPr>
        <w:t>e</w:t>
      </w:r>
      <w:r w:rsidRPr="001E7CB3">
        <w:rPr>
          <w:szCs w:val="24"/>
          <w:lang w:val="fr-CA"/>
        </w:rPr>
        <w:t> suppl.</w:t>
      </w:r>
      <w:r>
        <w:rPr>
          <w:szCs w:val="24"/>
          <w:lang w:val="fr-CA"/>
        </w:rPr>
        <w:t>) (« </w:t>
      </w:r>
      <w:r w:rsidRPr="001D5386">
        <w:rPr>
          <w:i/>
          <w:szCs w:val="24"/>
          <w:lang w:val="fr-CA"/>
        </w:rPr>
        <w:t>LRRPP</w:t>
      </w:r>
      <w:r>
        <w:rPr>
          <w:szCs w:val="24"/>
          <w:lang w:val="fr-CA"/>
        </w:rPr>
        <w:t> »)</w:t>
      </w:r>
      <w:r w:rsidRPr="001E7CB3">
        <w:rPr>
          <w:szCs w:val="24"/>
          <w:lang w:val="fr-CA"/>
        </w:rPr>
        <w:t>.  Suivant l’</w:t>
      </w:r>
      <w:r>
        <w:rPr>
          <w:szCs w:val="24"/>
          <w:lang w:val="fr-CA"/>
        </w:rPr>
        <w:t>art. </w:t>
      </w:r>
      <w:r w:rsidRPr="001E7CB3">
        <w:rPr>
          <w:szCs w:val="24"/>
          <w:lang w:val="fr-CA"/>
        </w:rPr>
        <w:t xml:space="preserve">64 de la </w:t>
      </w:r>
      <w:r w:rsidRPr="001D5386">
        <w:rPr>
          <w:i/>
          <w:szCs w:val="24"/>
          <w:lang w:val="fr-CA"/>
        </w:rPr>
        <w:t>LGFP</w:t>
      </w:r>
      <w:r w:rsidRPr="001E7CB3">
        <w:rPr>
          <w:szCs w:val="24"/>
          <w:lang w:val="fr-CA"/>
        </w:rPr>
        <w:t xml:space="preserve">, le receveur général établit pour chaque exercice un rapport, appelé « Comptes publics », que le président du Conseil du Trésor dépose devant la Chambre des communes et qui présente la valeur de l’actif et du passif de </w:t>
      </w:r>
      <w:r>
        <w:rPr>
          <w:szCs w:val="24"/>
          <w:lang w:val="fr-CA"/>
        </w:rPr>
        <w:t>Sa Majesté du chef du Canada</w:t>
      </w:r>
      <w:r w:rsidRPr="001E7CB3">
        <w:rPr>
          <w:szCs w:val="24"/>
          <w:lang w:val="fr-CA"/>
        </w:rPr>
        <w:t>.  Il s’agit du principal document d’information financière du gouvernement</w:t>
      </w:r>
      <w:r>
        <w:rPr>
          <w:szCs w:val="24"/>
          <w:lang w:val="fr-CA"/>
        </w:rPr>
        <w:t xml:space="preserve"> du Canada</w:t>
      </w:r>
      <w:r w:rsidRPr="001E7CB3">
        <w:rPr>
          <w:szCs w:val="24"/>
          <w:lang w:val="fr-CA"/>
        </w:rPr>
        <w:t xml:space="preserve">.  </w:t>
      </w:r>
    </w:p>
    <w:p w:rsidR="000F48EC" w:rsidRPr="001E7CB3" w:rsidRDefault="000F48EC" w:rsidP="000F48EC">
      <w:pPr>
        <w:pStyle w:val="ParaNoNdepar-AltN"/>
        <w:rPr>
          <w:szCs w:val="24"/>
          <w:lang w:val="fr-CA"/>
        </w:rPr>
      </w:pPr>
      <w:r w:rsidRPr="001E7CB3">
        <w:rPr>
          <w:szCs w:val="24"/>
          <w:lang w:val="fr-CA"/>
        </w:rPr>
        <w:t xml:space="preserve">Les deux principaux états des Comptes publics sont l’état </w:t>
      </w:r>
      <w:r>
        <w:rPr>
          <w:szCs w:val="24"/>
          <w:lang w:val="fr-CA"/>
        </w:rPr>
        <w:t xml:space="preserve">de </w:t>
      </w:r>
      <w:r w:rsidRPr="001E7CB3">
        <w:rPr>
          <w:szCs w:val="24"/>
          <w:lang w:val="fr-CA"/>
        </w:rPr>
        <w:t xml:space="preserve">la situation financière, qui présente l’actif et le passif du gouvernement, et l’état des résultats et du déficit accumulé, qui présente ses recettes et dépenses. </w:t>
      </w:r>
    </w:p>
    <w:p w:rsidR="000F48EC" w:rsidRPr="001E7CB3" w:rsidRDefault="000F48EC" w:rsidP="000F48EC">
      <w:pPr>
        <w:pStyle w:val="ParaNoNdepar-AltN"/>
        <w:rPr>
          <w:szCs w:val="24"/>
          <w:lang w:val="fr-CA"/>
        </w:rPr>
      </w:pPr>
      <w:r w:rsidRPr="001E7CB3">
        <w:rPr>
          <w:szCs w:val="24"/>
          <w:lang w:val="fr-CA"/>
        </w:rPr>
        <w:t>Les opérations effectuées dans les comptes de pension de retraite et leurs soldes sont présentés annuellement dans les Comptes publics.  Les sommes annuellement portées au crédit de ces comptes par le gouvernement en application des lois sur les pensions sont inscrites comme dépenses à l’état des résultats et du déficit accumulé du gouvernement,</w:t>
      </w:r>
      <w:r>
        <w:rPr>
          <w:szCs w:val="24"/>
          <w:lang w:val="fr-CA"/>
        </w:rPr>
        <w:t xml:space="preserve"> </w:t>
      </w:r>
      <w:r w:rsidRPr="001E7CB3">
        <w:rPr>
          <w:szCs w:val="24"/>
          <w:lang w:val="fr-CA"/>
        </w:rPr>
        <w:t>et les sommes figurant aux comptes de pension de retraite sont inscrites comme passif à l’état de la situation financière du gouvernement.  Depuis l’exercice 1980</w:t>
      </w:r>
      <w:r>
        <w:rPr>
          <w:szCs w:val="24"/>
          <w:lang w:val="fr-CA"/>
        </w:rPr>
        <w:noBreakHyphen/>
      </w:r>
      <w:r w:rsidRPr="001E7CB3">
        <w:rPr>
          <w:szCs w:val="24"/>
          <w:lang w:val="fr-CA"/>
        </w:rPr>
        <w:t xml:space="preserve">1981, les comptes de pension de retraite sont </w:t>
      </w:r>
      <w:r w:rsidRPr="001E7CB3">
        <w:rPr>
          <w:szCs w:val="24"/>
          <w:lang w:val="fr-CA"/>
        </w:rPr>
        <w:lastRenderedPageBreak/>
        <w:t xml:space="preserve">classés comme « comptes à fins déterminées » dans la section du passif de l’état de la situation financière. </w:t>
      </w:r>
    </w:p>
    <w:p w:rsidR="000F48EC" w:rsidRPr="001E7CB3" w:rsidRDefault="000F48EC" w:rsidP="000F48EC">
      <w:pPr>
        <w:pStyle w:val="ParaNoNdepar-AltN"/>
        <w:rPr>
          <w:szCs w:val="24"/>
          <w:lang w:val="fr-CA"/>
        </w:rPr>
      </w:pPr>
      <w:r w:rsidRPr="001E7CB3">
        <w:rPr>
          <w:szCs w:val="24"/>
          <w:lang w:val="fr-CA"/>
        </w:rPr>
        <w:t xml:space="preserve">Comme l’exigent les lois sur les pensions et la </w:t>
      </w:r>
      <w:r w:rsidRPr="001D5386">
        <w:rPr>
          <w:i/>
          <w:szCs w:val="24"/>
          <w:lang w:val="fr-CA"/>
        </w:rPr>
        <w:t>LRRPP</w:t>
      </w:r>
      <w:r w:rsidRPr="001E7CB3">
        <w:rPr>
          <w:szCs w:val="24"/>
          <w:lang w:val="fr-CA"/>
        </w:rPr>
        <w:t xml:space="preserve">, des rapports actuariels ont </w:t>
      </w:r>
      <w:r>
        <w:rPr>
          <w:szCs w:val="24"/>
          <w:lang w:val="fr-CA"/>
        </w:rPr>
        <w:t xml:space="preserve">été </w:t>
      </w:r>
      <w:r w:rsidRPr="001E7CB3">
        <w:rPr>
          <w:szCs w:val="24"/>
          <w:lang w:val="fr-CA"/>
        </w:rPr>
        <w:t>pré</w:t>
      </w:r>
      <w:r>
        <w:rPr>
          <w:szCs w:val="24"/>
          <w:lang w:val="fr-CA"/>
        </w:rPr>
        <w:t>sent</w:t>
      </w:r>
      <w:r w:rsidRPr="001E7CB3">
        <w:rPr>
          <w:szCs w:val="24"/>
          <w:lang w:val="fr-CA"/>
        </w:rPr>
        <w:t>és</w:t>
      </w:r>
      <w:r>
        <w:rPr>
          <w:szCs w:val="24"/>
          <w:lang w:val="fr-CA"/>
        </w:rPr>
        <w:t>,</w:t>
      </w:r>
      <w:r w:rsidRPr="001E7CB3">
        <w:rPr>
          <w:szCs w:val="24"/>
          <w:lang w:val="fr-CA"/>
        </w:rPr>
        <w:t xml:space="preserve"> </w:t>
      </w:r>
      <w:r>
        <w:rPr>
          <w:szCs w:val="24"/>
          <w:lang w:val="fr-CA"/>
        </w:rPr>
        <w:t xml:space="preserve">à différents moments, </w:t>
      </w:r>
      <w:r w:rsidRPr="001E7CB3">
        <w:rPr>
          <w:szCs w:val="24"/>
          <w:lang w:val="fr-CA"/>
        </w:rPr>
        <w:t xml:space="preserve">pour chacun des régimes.  Suivant la </w:t>
      </w:r>
      <w:r w:rsidRPr="001D5386">
        <w:rPr>
          <w:i/>
          <w:szCs w:val="24"/>
          <w:lang w:val="fr-CA"/>
        </w:rPr>
        <w:t>LRRPP</w:t>
      </w:r>
      <w:r w:rsidRPr="001E7CB3">
        <w:rPr>
          <w:szCs w:val="24"/>
          <w:lang w:val="fr-CA"/>
        </w:rPr>
        <w:t xml:space="preserve">, </w:t>
      </w:r>
      <w:r w:rsidRPr="00F25695">
        <w:rPr>
          <w:szCs w:val="24"/>
          <w:lang w:val="fr-CA"/>
        </w:rPr>
        <w:t>l’actuaire en chef du Bureau du surintendant des institutions financières</w:t>
      </w:r>
      <w:r w:rsidRPr="001E7CB3">
        <w:rPr>
          <w:szCs w:val="24"/>
          <w:lang w:val="fr-CA"/>
        </w:rPr>
        <w:t xml:space="preserve"> doit procéder à une </w:t>
      </w:r>
      <w:r>
        <w:rPr>
          <w:szCs w:val="24"/>
          <w:lang w:val="fr-CA"/>
        </w:rPr>
        <w:t>estimation</w:t>
      </w:r>
      <w:r w:rsidRPr="001E7CB3">
        <w:rPr>
          <w:szCs w:val="24"/>
          <w:lang w:val="fr-CA"/>
        </w:rPr>
        <w:t xml:space="preserve"> périodique du coût des engagements à venir du gouvernement au titre des pensions et </w:t>
      </w:r>
      <w:r>
        <w:rPr>
          <w:szCs w:val="24"/>
          <w:lang w:val="fr-CA"/>
        </w:rPr>
        <w:t>faire « certifier</w:t>
      </w:r>
      <w:r w:rsidRPr="001E7CB3">
        <w:rPr>
          <w:szCs w:val="24"/>
          <w:lang w:val="fr-CA"/>
        </w:rPr>
        <w:t xml:space="preserve"> l’actif » des régimes</w:t>
      </w:r>
      <w:r>
        <w:rPr>
          <w:szCs w:val="24"/>
          <w:lang w:val="fr-CA"/>
        </w:rPr>
        <w:t xml:space="preserve"> (art. </w:t>
      </w:r>
      <w:r w:rsidRPr="003B577E">
        <w:rPr>
          <w:szCs w:val="24"/>
          <w:lang w:val="fr-CA"/>
        </w:rPr>
        <w:t xml:space="preserve">5, </w:t>
      </w:r>
      <w:r>
        <w:rPr>
          <w:szCs w:val="24"/>
          <w:lang w:val="fr-CA"/>
        </w:rPr>
        <w:t>par. </w:t>
      </w:r>
      <w:r w:rsidRPr="003B577E">
        <w:rPr>
          <w:szCs w:val="24"/>
          <w:lang w:val="fr-CA"/>
        </w:rPr>
        <w:t>8(1) et 9(1)</w:t>
      </w:r>
      <w:r>
        <w:rPr>
          <w:szCs w:val="24"/>
          <w:lang w:val="fr-CA"/>
        </w:rPr>
        <w:t>)</w:t>
      </w:r>
      <w:r w:rsidRPr="001E7CB3">
        <w:rPr>
          <w:szCs w:val="24"/>
          <w:lang w:val="fr-CA"/>
        </w:rPr>
        <w:t xml:space="preserve">.  Lorsque le coût estimatif des engagements </w:t>
      </w:r>
      <w:r>
        <w:rPr>
          <w:szCs w:val="24"/>
          <w:lang w:val="fr-CA"/>
        </w:rPr>
        <w:t xml:space="preserve">au titre des pensions </w:t>
      </w:r>
      <w:r w:rsidRPr="001E7CB3">
        <w:rPr>
          <w:szCs w:val="24"/>
          <w:lang w:val="fr-CA"/>
        </w:rPr>
        <w:t xml:space="preserve">est supérieur à la valeur certifiée de l’actif figurant aux comptes de pension de retraite, il y a « déficit actuariel ».  À l’inverse, lorsque la valeur certifiée de l’actif </w:t>
      </w:r>
      <w:r>
        <w:rPr>
          <w:szCs w:val="24"/>
          <w:lang w:val="fr-CA"/>
        </w:rPr>
        <w:t xml:space="preserve">inscrit aux comptes de pension de retraite </w:t>
      </w:r>
      <w:r w:rsidRPr="001E7CB3">
        <w:rPr>
          <w:szCs w:val="24"/>
          <w:lang w:val="fr-CA"/>
        </w:rPr>
        <w:t xml:space="preserve">excède le </w:t>
      </w:r>
      <w:r>
        <w:rPr>
          <w:szCs w:val="24"/>
          <w:lang w:val="fr-CA"/>
        </w:rPr>
        <w:t>montant estimatif des engagements au titre des pensions</w:t>
      </w:r>
      <w:r w:rsidRPr="001E7CB3">
        <w:rPr>
          <w:szCs w:val="24"/>
          <w:lang w:val="fr-CA"/>
        </w:rPr>
        <w:t xml:space="preserve">, il y a « surplus actuariel ». </w:t>
      </w:r>
    </w:p>
    <w:p w:rsidR="000F48EC" w:rsidRPr="001E7CB3" w:rsidRDefault="000F48EC" w:rsidP="000F48EC">
      <w:pPr>
        <w:pStyle w:val="ParaNoNdepar-AltN"/>
        <w:rPr>
          <w:szCs w:val="24"/>
          <w:lang w:val="fr-CA"/>
        </w:rPr>
      </w:pPr>
      <w:r w:rsidRPr="001E7CB3">
        <w:rPr>
          <w:szCs w:val="24"/>
          <w:lang w:val="fr-CA"/>
        </w:rPr>
        <w:t>Dans les années 1990, les rapports d’évaluation</w:t>
      </w:r>
      <w:r>
        <w:rPr>
          <w:szCs w:val="24"/>
          <w:lang w:val="fr-CA"/>
        </w:rPr>
        <w:t xml:space="preserve"> actuarielle</w:t>
      </w:r>
      <w:r w:rsidRPr="001E7CB3">
        <w:rPr>
          <w:szCs w:val="24"/>
          <w:lang w:val="fr-CA"/>
        </w:rPr>
        <w:t xml:space="preserve"> indiquaient que le coût estimatif des obligations actuelles et à venir au titre de chacun des trois régimes était inférieur au total des montants figurant aux comptes de pension de retraite.  Ces surplus résultaient d’une combinaison de facteurs, dont une faible inflation, des taux d’intérêt élevés, des restrictions salariales imposées par le gouvernement, l’établissement d’un plafond d’indexation des prestations dans les années 1980 et la modification des hypothèses de calcul du passif actuariel des régimes.  Le surplus des trois comptes de pension de retraite s’établissait à </w:t>
      </w:r>
      <w:r w:rsidRPr="001E7CB3">
        <w:rPr>
          <w:szCs w:val="24"/>
          <w:lang w:val="fr-CA"/>
        </w:rPr>
        <w:lastRenderedPageBreak/>
        <w:t>16,6 m</w:t>
      </w:r>
      <w:r>
        <w:rPr>
          <w:szCs w:val="24"/>
          <w:lang w:val="fr-CA"/>
        </w:rPr>
        <w:t xml:space="preserve">illiards de dollars en décembre </w:t>
      </w:r>
      <w:r w:rsidRPr="001E7CB3">
        <w:rPr>
          <w:szCs w:val="24"/>
          <w:lang w:val="fr-CA"/>
        </w:rPr>
        <w:t xml:space="preserve">1992, et il </w:t>
      </w:r>
      <w:r>
        <w:rPr>
          <w:szCs w:val="24"/>
          <w:lang w:val="fr-CA"/>
        </w:rPr>
        <w:t>a atteint</w:t>
      </w:r>
      <w:r w:rsidRPr="001E7CB3">
        <w:rPr>
          <w:szCs w:val="24"/>
          <w:lang w:val="fr-CA"/>
        </w:rPr>
        <w:t xml:space="preserve"> 23,4 milliards de dolla</w:t>
      </w:r>
      <w:r>
        <w:rPr>
          <w:szCs w:val="24"/>
          <w:lang w:val="fr-CA"/>
        </w:rPr>
        <w:t xml:space="preserve">rs en mars </w:t>
      </w:r>
      <w:r w:rsidRPr="001E7CB3">
        <w:rPr>
          <w:szCs w:val="24"/>
          <w:lang w:val="fr-CA"/>
        </w:rPr>
        <w:t>1996 et 30,9</w:t>
      </w:r>
      <w:r>
        <w:rPr>
          <w:szCs w:val="24"/>
          <w:lang w:val="fr-CA"/>
        </w:rPr>
        <w:t xml:space="preserve"> milliards de dollars en mars </w:t>
      </w:r>
      <w:r w:rsidRPr="001E7CB3">
        <w:rPr>
          <w:szCs w:val="24"/>
          <w:lang w:val="fr-CA"/>
        </w:rPr>
        <w:t>1999.</w:t>
      </w:r>
    </w:p>
    <w:p w:rsidR="000F48EC" w:rsidRPr="0097412A" w:rsidRDefault="000F48EC" w:rsidP="001D5386">
      <w:pPr>
        <w:pStyle w:val="TitleTitre-AltT"/>
        <w:keepNext/>
        <w:numPr>
          <w:ilvl w:val="1"/>
          <w:numId w:val="2"/>
        </w:numPr>
        <w:tabs>
          <w:tab w:val="clear" w:pos="360"/>
          <w:tab w:val="left" w:pos="540"/>
        </w:tabs>
        <w:ind w:left="540" w:hanging="540"/>
        <w:rPr>
          <w:i/>
          <w:szCs w:val="24"/>
          <w:lang w:val="fr-CA"/>
        </w:rPr>
      </w:pPr>
      <w:r w:rsidRPr="0097412A">
        <w:rPr>
          <w:i/>
          <w:szCs w:val="24"/>
          <w:lang w:val="fr-CA"/>
        </w:rPr>
        <w:t>Amortissement du surplus actuariel</w:t>
      </w:r>
    </w:p>
    <w:p w:rsidR="000F48EC" w:rsidRPr="001E7CB3" w:rsidRDefault="000F48EC" w:rsidP="000F48EC">
      <w:pPr>
        <w:pStyle w:val="ParaNoNdepar-AltN"/>
        <w:rPr>
          <w:szCs w:val="24"/>
          <w:lang w:val="fr-CA"/>
        </w:rPr>
      </w:pPr>
      <w:r w:rsidRPr="001E7CB3">
        <w:rPr>
          <w:rFonts w:cs="Times New Roman"/>
          <w:szCs w:val="24"/>
          <w:lang w:val="fr-CA"/>
        </w:rPr>
        <w:t xml:space="preserve">Durant </w:t>
      </w:r>
      <w:r>
        <w:rPr>
          <w:rFonts w:cs="Times New Roman"/>
          <w:szCs w:val="24"/>
          <w:lang w:val="fr-CA"/>
        </w:rPr>
        <w:t>l’exercice financier</w:t>
      </w:r>
      <w:r w:rsidRPr="001E7CB3">
        <w:rPr>
          <w:rFonts w:cs="Times New Roman"/>
          <w:szCs w:val="24"/>
          <w:lang w:val="fr-CA"/>
        </w:rPr>
        <w:t xml:space="preserve"> 1990</w:t>
      </w:r>
      <w:r>
        <w:rPr>
          <w:rFonts w:cs="Times New Roman"/>
          <w:szCs w:val="24"/>
          <w:lang w:val="fr-CA"/>
        </w:rPr>
        <w:noBreakHyphen/>
      </w:r>
      <w:r w:rsidRPr="001E7CB3">
        <w:rPr>
          <w:rFonts w:cs="Times New Roman"/>
          <w:szCs w:val="24"/>
          <w:lang w:val="fr-CA"/>
        </w:rPr>
        <w:t>1991, le gouverne</w:t>
      </w:r>
      <w:r>
        <w:rPr>
          <w:rFonts w:cs="Times New Roman"/>
          <w:szCs w:val="24"/>
          <w:lang w:val="fr-CA"/>
        </w:rPr>
        <w:t xml:space="preserve">ment a commencé à « amortir » le </w:t>
      </w:r>
      <w:r w:rsidRPr="001E7CB3">
        <w:rPr>
          <w:rFonts w:cs="Times New Roman"/>
          <w:szCs w:val="24"/>
          <w:lang w:val="fr-CA"/>
        </w:rPr>
        <w:t xml:space="preserve">surplus actuariel </w:t>
      </w:r>
      <w:r>
        <w:rPr>
          <w:rFonts w:cs="Times New Roman"/>
          <w:szCs w:val="24"/>
          <w:lang w:val="fr-CA"/>
        </w:rPr>
        <w:t>des</w:t>
      </w:r>
      <w:r w:rsidRPr="001E7CB3">
        <w:rPr>
          <w:rFonts w:cs="Times New Roman"/>
          <w:szCs w:val="24"/>
          <w:lang w:val="fr-CA"/>
        </w:rPr>
        <w:t xml:space="preserve"> comptes de pension de retraite. </w:t>
      </w:r>
      <w:r>
        <w:rPr>
          <w:rFonts w:cs="Times New Roman"/>
          <w:szCs w:val="24"/>
          <w:lang w:val="fr-CA"/>
        </w:rPr>
        <w:t xml:space="preserve"> L</w:t>
      </w:r>
      <w:r w:rsidRPr="001E7CB3">
        <w:rPr>
          <w:rFonts w:cs="Times New Roman"/>
          <w:szCs w:val="24"/>
          <w:lang w:val="fr-CA"/>
        </w:rPr>
        <w:t xml:space="preserve">e terme « amortir » </w:t>
      </w:r>
      <w:r>
        <w:rPr>
          <w:rFonts w:cs="Times New Roman"/>
          <w:szCs w:val="24"/>
          <w:lang w:val="fr-CA"/>
        </w:rPr>
        <w:t xml:space="preserve">est employé en l’espèce </w:t>
      </w:r>
      <w:r w:rsidRPr="001E7CB3">
        <w:rPr>
          <w:rFonts w:cs="Times New Roman"/>
          <w:szCs w:val="24"/>
          <w:lang w:val="fr-CA"/>
        </w:rPr>
        <w:t xml:space="preserve">pour décrire </w:t>
      </w:r>
      <w:r>
        <w:rPr>
          <w:rFonts w:cs="Times New Roman"/>
          <w:szCs w:val="24"/>
          <w:lang w:val="fr-CA"/>
        </w:rPr>
        <w:t>les mesures, échelonnées sur plusieurs années, prises par le gouvernement pour réduire progressivement les répercussions</w:t>
      </w:r>
      <w:r w:rsidRPr="001E7CB3">
        <w:rPr>
          <w:rFonts w:cs="Times New Roman"/>
          <w:szCs w:val="24"/>
          <w:lang w:val="fr-CA"/>
        </w:rPr>
        <w:t xml:space="preserve"> d</w:t>
      </w:r>
      <w:r>
        <w:rPr>
          <w:rFonts w:cs="Times New Roman"/>
          <w:szCs w:val="24"/>
          <w:lang w:val="fr-CA"/>
        </w:rPr>
        <w:t xml:space="preserve">es </w:t>
      </w:r>
      <w:r w:rsidRPr="001E7CB3">
        <w:rPr>
          <w:rFonts w:cs="Times New Roman"/>
          <w:szCs w:val="24"/>
          <w:lang w:val="fr-CA"/>
        </w:rPr>
        <w:t>surplus</w:t>
      </w:r>
      <w:r>
        <w:rPr>
          <w:rFonts w:cs="Times New Roman"/>
          <w:szCs w:val="24"/>
          <w:lang w:val="fr-CA"/>
        </w:rPr>
        <w:t xml:space="preserve"> actuariels sur les C</w:t>
      </w:r>
      <w:r w:rsidRPr="001E7CB3">
        <w:rPr>
          <w:rFonts w:cs="Times New Roman"/>
          <w:szCs w:val="24"/>
          <w:lang w:val="fr-CA"/>
        </w:rPr>
        <w:t>omptes publics</w:t>
      </w:r>
      <w:r>
        <w:rPr>
          <w:rFonts w:cs="Times New Roman"/>
          <w:szCs w:val="24"/>
          <w:lang w:val="fr-CA"/>
        </w:rPr>
        <w:t xml:space="preserve">.  </w:t>
      </w:r>
      <w:r w:rsidRPr="001E7CB3">
        <w:rPr>
          <w:rFonts w:cs="Times New Roman"/>
          <w:szCs w:val="24"/>
          <w:lang w:val="fr-CA"/>
        </w:rPr>
        <w:t xml:space="preserve">L’amortissement a </w:t>
      </w:r>
      <w:r>
        <w:rPr>
          <w:rFonts w:cs="Times New Roman"/>
          <w:szCs w:val="24"/>
          <w:lang w:val="fr-CA"/>
        </w:rPr>
        <w:t xml:space="preserve">pris la forme des </w:t>
      </w:r>
      <w:r w:rsidRPr="001E7CB3">
        <w:rPr>
          <w:rFonts w:cs="Times New Roman"/>
          <w:szCs w:val="24"/>
          <w:lang w:val="fr-CA"/>
        </w:rPr>
        <w:t>opérations suivantes</w:t>
      </w:r>
      <w:r>
        <w:rPr>
          <w:rFonts w:cs="Times New Roman"/>
          <w:szCs w:val="24"/>
          <w:lang w:val="fr-CA"/>
        </w:rPr>
        <w:t> :</w:t>
      </w:r>
      <w:r w:rsidRPr="001E7CB3">
        <w:rPr>
          <w:rFonts w:cs="Times New Roman"/>
          <w:szCs w:val="24"/>
          <w:lang w:val="fr-CA"/>
        </w:rPr>
        <w:t xml:space="preserve"> le gouvernement a continué de </w:t>
      </w:r>
      <w:r>
        <w:rPr>
          <w:rFonts w:cs="Times New Roman"/>
          <w:szCs w:val="24"/>
          <w:lang w:val="fr-CA"/>
        </w:rPr>
        <w:t>porter</w:t>
      </w:r>
      <w:r w:rsidRPr="001E7CB3">
        <w:rPr>
          <w:rFonts w:cs="Times New Roman"/>
          <w:szCs w:val="24"/>
          <w:lang w:val="fr-CA"/>
        </w:rPr>
        <w:t xml:space="preserve"> ses contributions au</w:t>
      </w:r>
      <w:r>
        <w:rPr>
          <w:rFonts w:cs="Times New Roman"/>
          <w:szCs w:val="24"/>
          <w:lang w:val="fr-CA"/>
        </w:rPr>
        <w:t xml:space="preserve"> crédit des</w:t>
      </w:r>
      <w:r w:rsidRPr="001E7CB3">
        <w:rPr>
          <w:rFonts w:cs="Times New Roman"/>
          <w:szCs w:val="24"/>
          <w:lang w:val="fr-CA"/>
        </w:rPr>
        <w:t xml:space="preserve"> comptes de pension de retraite conformément aux lois sur les pensions, mais le montant des charges de retraite annuelles nettes inscrit dans les </w:t>
      </w:r>
      <w:r>
        <w:rPr>
          <w:rFonts w:cs="Times New Roman"/>
          <w:szCs w:val="24"/>
          <w:lang w:val="fr-CA"/>
        </w:rPr>
        <w:t>C</w:t>
      </w:r>
      <w:r w:rsidRPr="001E7CB3">
        <w:rPr>
          <w:rFonts w:cs="Times New Roman"/>
          <w:szCs w:val="24"/>
          <w:lang w:val="fr-CA"/>
        </w:rPr>
        <w:t xml:space="preserve">omptes publics était </w:t>
      </w:r>
      <w:r>
        <w:rPr>
          <w:rFonts w:cs="Times New Roman"/>
          <w:szCs w:val="24"/>
          <w:lang w:val="fr-CA"/>
        </w:rPr>
        <w:t>réduit</w:t>
      </w:r>
      <w:r w:rsidRPr="001E7CB3">
        <w:rPr>
          <w:rFonts w:cs="Times New Roman"/>
          <w:szCs w:val="24"/>
          <w:lang w:val="fr-CA"/>
        </w:rPr>
        <w:t xml:space="preserve">. </w:t>
      </w:r>
      <w:r>
        <w:rPr>
          <w:rFonts w:cs="Times New Roman"/>
          <w:szCs w:val="24"/>
          <w:lang w:val="fr-CA"/>
        </w:rPr>
        <w:t xml:space="preserve"> </w:t>
      </w:r>
      <w:r w:rsidRPr="001E7CB3">
        <w:rPr>
          <w:rFonts w:cs="Times New Roman"/>
          <w:szCs w:val="24"/>
          <w:lang w:val="fr-CA"/>
        </w:rPr>
        <w:t xml:space="preserve">Pour </w:t>
      </w:r>
      <w:r>
        <w:rPr>
          <w:rFonts w:cs="Times New Roman"/>
          <w:szCs w:val="24"/>
          <w:lang w:val="fr-CA"/>
        </w:rPr>
        <w:t>réaliser cet objectif</w:t>
      </w:r>
      <w:r w:rsidRPr="001E7CB3">
        <w:rPr>
          <w:rFonts w:cs="Times New Roman"/>
          <w:szCs w:val="24"/>
          <w:lang w:val="fr-CA"/>
        </w:rPr>
        <w:t>, le gouvernement a inscri</w:t>
      </w:r>
      <w:r>
        <w:rPr>
          <w:rFonts w:cs="Times New Roman"/>
          <w:szCs w:val="24"/>
          <w:lang w:val="fr-CA"/>
        </w:rPr>
        <w:t>t dans les C</w:t>
      </w:r>
      <w:r w:rsidRPr="001E7CB3">
        <w:rPr>
          <w:rFonts w:cs="Times New Roman"/>
          <w:szCs w:val="24"/>
          <w:lang w:val="fr-CA"/>
        </w:rPr>
        <w:t>omptes publics des charges négatives qui correspondaient au montant d</w:t>
      </w:r>
      <w:r>
        <w:rPr>
          <w:rFonts w:cs="Times New Roman"/>
          <w:szCs w:val="24"/>
          <w:lang w:val="fr-CA"/>
        </w:rPr>
        <w:t xml:space="preserve">u </w:t>
      </w:r>
      <w:r w:rsidRPr="001E7CB3">
        <w:rPr>
          <w:rFonts w:cs="Times New Roman"/>
          <w:szCs w:val="24"/>
          <w:lang w:val="fr-CA"/>
        </w:rPr>
        <w:t xml:space="preserve">surplus amorti durant l’exercice, ce qui a eu pour effet de réduire le total des charges de retraite du gouvernement. </w:t>
      </w:r>
      <w:r>
        <w:rPr>
          <w:rFonts w:cs="Times New Roman"/>
          <w:szCs w:val="24"/>
          <w:lang w:val="fr-CA"/>
        </w:rPr>
        <w:t xml:space="preserve"> Il a donc fallu</w:t>
      </w:r>
      <w:r w:rsidRPr="001E7CB3">
        <w:rPr>
          <w:rFonts w:cs="Times New Roman"/>
          <w:szCs w:val="24"/>
          <w:lang w:val="fr-CA"/>
        </w:rPr>
        <w:t xml:space="preserve"> rajuster à la baisse le montant total du passif au titre des pensions de retraite dans l’état de la situation financière du gouvernement pour tenir compte de ces rajustements négatifs et faire en sorte que les livres s’équilibrent. </w:t>
      </w:r>
      <w:r>
        <w:rPr>
          <w:rFonts w:cs="Times New Roman"/>
          <w:szCs w:val="24"/>
          <w:lang w:val="fr-CA"/>
        </w:rPr>
        <w:t xml:space="preserve"> </w:t>
      </w:r>
      <w:r w:rsidRPr="001E7CB3">
        <w:rPr>
          <w:rFonts w:cs="Times New Roman"/>
          <w:szCs w:val="24"/>
          <w:lang w:val="fr-CA"/>
        </w:rPr>
        <w:t xml:space="preserve">Pour ce faire, on a inscrit les </w:t>
      </w:r>
      <w:r>
        <w:rPr>
          <w:rFonts w:cs="Times New Roman"/>
          <w:szCs w:val="24"/>
          <w:lang w:val="fr-CA"/>
        </w:rPr>
        <w:t>montants</w:t>
      </w:r>
      <w:r w:rsidRPr="001E7CB3">
        <w:rPr>
          <w:rFonts w:cs="Times New Roman"/>
          <w:szCs w:val="24"/>
          <w:lang w:val="fr-CA"/>
        </w:rPr>
        <w:t xml:space="preserve"> amortis chaque année au débit des comptes de sens contraire passif (c’est</w:t>
      </w:r>
      <w:r>
        <w:rPr>
          <w:rFonts w:cs="Times New Roman"/>
          <w:szCs w:val="24"/>
          <w:lang w:val="fr-CA"/>
        </w:rPr>
        <w:noBreakHyphen/>
      </w:r>
      <w:proofErr w:type="spellStart"/>
      <w:r w:rsidRPr="001E7CB3">
        <w:rPr>
          <w:rFonts w:cs="Times New Roman"/>
          <w:szCs w:val="24"/>
          <w:lang w:val="fr-CA"/>
        </w:rPr>
        <w:t>à</w:t>
      </w:r>
      <w:r>
        <w:rPr>
          <w:rFonts w:cs="Times New Roman"/>
          <w:szCs w:val="24"/>
          <w:lang w:val="fr-CA"/>
        </w:rPr>
        <w:noBreakHyphen/>
      </w:r>
      <w:r w:rsidRPr="001E7CB3">
        <w:rPr>
          <w:rFonts w:cs="Times New Roman"/>
          <w:szCs w:val="24"/>
          <w:lang w:val="fr-CA"/>
        </w:rPr>
        <w:t>dire</w:t>
      </w:r>
      <w:proofErr w:type="spellEnd"/>
      <w:r w:rsidRPr="001E7CB3">
        <w:rPr>
          <w:rFonts w:cs="Times New Roman"/>
          <w:szCs w:val="24"/>
          <w:lang w:val="fr-CA"/>
        </w:rPr>
        <w:t xml:space="preserve"> des comptes de passif ayant un </w:t>
      </w:r>
      <w:r>
        <w:rPr>
          <w:rFonts w:cs="Times New Roman"/>
          <w:szCs w:val="24"/>
          <w:lang w:val="fr-CA"/>
        </w:rPr>
        <w:t>solde débiteur) créés dans les C</w:t>
      </w:r>
      <w:r w:rsidRPr="001E7CB3">
        <w:rPr>
          <w:rFonts w:cs="Times New Roman"/>
          <w:szCs w:val="24"/>
          <w:lang w:val="fr-CA"/>
        </w:rPr>
        <w:t xml:space="preserve">omptes publics. </w:t>
      </w:r>
      <w:r>
        <w:rPr>
          <w:rFonts w:cs="Times New Roman"/>
          <w:szCs w:val="24"/>
          <w:lang w:val="fr-CA"/>
        </w:rPr>
        <w:t xml:space="preserve"> </w:t>
      </w:r>
      <w:r w:rsidRPr="001E7CB3">
        <w:rPr>
          <w:rFonts w:cs="Times New Roman"/>
          <w:szCs w:val="24"/>
          <w:lang w:val="fr-CA"/>
        </w:rPr>
        <w:t>Ces comptes ont eu différentes appellations au fil des ans</w:t>
      </w:r>
      <w:r>
        <w:rPr>
          <w:rFonts w:cs="Times New Roman"/>
          <w:szCs w:val="24"/>
          <w:lang w:val="fr-CA"/>
        </w:rPr>
        <w:t xml:space="preserve"> —</w:t>
      </w:r>
      <w:r w:rsidRPr="001E7CB3">
        <w:rPr>
          <w:rFonts w:cs="Times New Roman"/>
          <w:szCs w:val="24"/>
          <w:lang w:val="fr-CA"/>
        </w:rPr>
        <w:t xml:space="preserve"> par exemple</w:t>
      </w:r>
      <w:r>
        <w:rPr>
          <w:rFonts w:cs="Times New Roman"/>
          <w:szCs w:val="24"/>
          <w:lang w:val="fr-CA"/>
        </w:rPr>
        <w:t>, « </w:t>
      </w:r>
      <w:r w:rsidRPr="00B31947">
        <w:rPr>
          <w:rFonts w:cs="Times New Roman"/>
          <w:szCs w:val="24"/>
          <w:lang w:val="fr-CA"/>
        </w:rPr>
        <w:t xml:space="preserve">provision pour redressement au titre des </w:t>
      </w:r>
      <w:r w:rsidRPr="00B31947">
        <w:rPr>
          <w:rFonts w:cs="Times New Roman"/>
          <w:szCs w:val="24"/>
          <w:lang w:val="fr-CA"/>
        </w:rPr>
        <w:lastRenderedPageBreak/>
        <w:t>régimes de retraite</w:t>
      </w:r>
      <w:r>
        <w:rPr>
          <w:rFonts w:cs="Times New Roman"/>
          <w:szCs w:val="24"/>
          <w:lang w:val="fr-CA"/>
        </w:rPr>
        <w:t> » —</w:t>
      </w:r>
      <w:r w:rsidRPr="001E7CB3">
        <w:rPr>
          <w:rFonts w:cs="Times New Roman"/>
          <w:szCs w:val="24"/>
          <w:lang w:val="fr-CA"/>
        </w:rPr>
        <w:t xml:space="preserve"> mais leur fonction a toujours été la même, à savoir permettre au gouvernement de réduire le montant net du passif au titre des pension</w:t>
      </w:r>
      <w:r>
        <w:rPr>
          <w:rFonts w:cs="Times New Roman"/>
          <w:szCs w:val="24"/>
          <w:lang w:val="fr-CA"/>
        </w:rPr>
        <w:t>s de retraite inscrit dans les C</w:t>
      </w:r>
      <w:r w:rsidRPr="001E7CB3">
        <w:rPr>
          <w:rFonts w:cs="Times New Roman"/>
          <w:szCs w:val="24"/>
          <w:lang w:val="fr-CA"/>
        </w:rPr>
        <w:t>omptes publics d’un montant équivalent à l’amortissement</w:t>
      </w:r>
      <w:r>
        <w:rPr>
          <w:rFonts w:cs="Times New Roman"/>
          <w:szCs w:val="24"/>
          <w:lang w:val="fr-CA"/>
        </w:rPr>
        <w:t>,</w:t>
      </w:r>
      <w:r w:rsidRPr="001E7CB3">
        <w:rPr>
          <w:rFonts w:cs="Times New Roman"/>
          <w:szCs w:val="24"/>
          <w:lang w:val="fr-CA"/>
        </w:rPr>
        <w:t xml:space="preserve"> sans débiter les comptes de pension de retraite </w:t>
      </w:r>
      <w:proofErr w:type="spellStart"/>
      <w:r>
        <w:rPr>
          <w:rFonts w:cs="Times New Roman"/>
          <w:szCs w:val="24"/>
          <w:lang w:val="fr-CA"/>
        </w:rPr>
        <w:t>eux</w:t>
      </w:r>
      <w:r>
        <w:rPr>
          <w:rFonts w:cs="Times New Roman"/>
          <w:szCs w:val="24"/>
          <w:lang w:val="fr-CA"/>
        </w:rPr>
        <w:noBreakHyphen/>
        <w:t>mêmes</w:t>
      </w:r>
      <w:proofErr w:type="spellEnd"/>
      <w:r w:rsidRPr="001E7CB3">
        <w:rPr>
          <w:rFonts w:cs="Times New Roman"/>
          <w:szCs w:val="24"/>
          <w:lang w:val="fr-CA"/>
        </w:rPr>
        <w:t>.</w:t>
      </w:r>
      <w:r>
        <w:rPr>
          <w:rFonts w:cs="Times New Roman"/>
          <w:szCs w:val="24"/>
          <w:lang w:val="fr-CA"/>
        </w:rPr>
        <w:t xml:space="preserve"> </w:t>
      </w:r>
      <w:r w:rsidRPr="001E7CB3">
        <w:rPr>
          <w:rFonts w:cs="Times New Roman"/>
          <w:szCs w:val="24"/>
          <w:lang w:val="fr-CA"/>
        </w:rPr>
        <w:t xml:space="preserve"> </w:t>
      </w:r>
      <w:proofErr w:type="spellStart"/>
      <w:r w:rsidRPr="001E7CB3">
        <w:rPr>
          <w:rFonts w:cs="Times New Roman"/>
          <w:szCs w:val="24"/>
          <w:lang w:val="fr-CA"/>
        </w:rPr>
        <w:t>Ceux</w:t>
      </w:r>
      <w:r>
        <w:rPr>
          <w:rFonts w:cs="Times New Roman"/>
          <w:szCs w:val="24"/>
          <w:lang w:val="fr-CA"/>
        </w:rPr>
        <w:noBreakHyphen/>
      </w:r>
      <w:r w:rsidRPr="001E7CB3">
        <w:rPr>
          <w:rFonts w:cs="Times New Roman"/>
          <w:szCs w:val="24"/>
          <w:lang w:val="fr-CA"/>
        </w:rPr>
        <w:t>ci</w:t>
      </w:r>
      <w:proofErr w:type="spellEnd"/>
      <w:r w:rsidRPr="001E7CB3">
        <w:rPr>
          <w:rFonts w:cs="Times New Roman"/>
          <w:szCs w:val="24"/>
          <w:lang w:val="fr-CA"/>
        </w:rPr>
        <w:t xml:space="preserve"> conservaient leur solde créditeur, qui n’était pas affecté par l’amortissement, tandis que les soldes débiteurs des comptes de provision distincts compensaient partiellement </w:t>
      </w:r>
      <w:r>
        <w:rPr>
          <w:rFonts w:cs="Times New Roman"/>
          <w:szCs w:val="24"/>
          <w:lang w:val="fr-CA"/>
        </w:rPr>
        <w:t>ces soldes créditeurs dans les C</w:t>
      </w:r>
      <w:r w:rsidRPr="001E7CB3">
        <w:rPr>
          <w:rFonts w:cs="Times New Roman"/>
          <w:szCs w:val="24"/>
          <w:lang w:val="fr-CA"/>
        </w:rPr>
        <w:t xml:space="preserve">omptes publics. Ainsi, le montant net du passif au titre des pensions de retraite </w:t>
      </w:r>
      <w:r>
        <w:rPr>
          <w:rFonts w:cs="Times New Roman"/>
          <w:szCs w:val="24"/>
          <w:lang w:val="fr-CA"/>
        </w:rPr>
        <w:t xml:space="preserve">inscrit dans les états financiers </w:t>
      </w:r>
      <w:r w:rsidRPr="001E7CB3">
        <w:rPr>
          <w:rFonts w:cs="Times New Roman"/>
          <w:szCs w:val="24"/>
          <w:lang w:val="fr-CA"/>
        </w:rPr>
        <w:t>du gouvernement s’est rapproché graduellement de l’évaluation actuarielle du passif du régime (c’est</w:t>
      </w:r>
      <w:r>
        <w:rPr>
          <w:rFonts w:cs="Times New Roman"/>
          <w:szCs w:val="24"/>
          <w:lang w:val="fr-CA"/>
        </w:rPr>
        <w:noBreakHyphen/>
      </w:r>
      <w:proofErr w:type="spellStart"/>
      <w:r w:rsidRPr="001E7CB3">
        <w:rPr>
          <w:rFonts w:cs="Times New Roman"/>
          <w:szCs w:val="24"/>
          <w:lang w:val="fr-CA"/>
        </w:rPr>
        <w:t>à</w:t>
      </w:r>
      <w:r>
        <w:rPr>
          <w:rFonts w:cs="Times New Roman"/>
          <w:szCs w:val="24"/>
          <w:lang w:val="fr-CA"/>
        </w:rPr>
        <w:noBreakHyphen/>
      </w:r>
      <w:r w:rsidRPr="001E7CB3">
        <w:rPr>
          <w:rFonts w:cs="Times New Roman"/>
          <w:szCs w:val="24"/>
          <w:lang w:val="fr-CA"/>
        </w:rPr>
        <w:t>dire</w:t>
      </w:r>
      <w:proofErr w:type="spellEnd"/>
      <w:r w:rsidRPr="001E7CB3">
        <w:rPr>
          <w:rFonts w:cs="Times New Roman"/>
          <w:szCs w:val="24"/>
          <w:lang w:val="fr-CA"/>
        </w:rPr>
        <w:t xml:space="preserve"> que l</w:t>
      </w:r>
      <w:r>
        <w:rPr>
          <w:rFonts w:cs="Times New Roman"/>
          <w:szCs w:val="24"/>
          <w:lang w:val="fr-CA"/>
        </w:rPr>
        <w:t xml:space="preserve">e </w:t>
      </w:r>
      <w:r w:rsidRPr="001E7CB3">
        <w:rPr>
          <w:rFonts w:cs="Times New Roman"/>
          <w:szCs w:val="24"/>
          <w:lang w:val="fr-CA"/>
        </w:rPr>
        <w:t>surplus a diminué graduellement)</w:t>
      </w:r>
      <w:r>
        <w:rPr>
          <w:rFonts w:cs="Times New Roman"/>
          <w:szCs w:val="24"/>
          <w:lang w:val="fr-CA"/>
        </w:rPr>
        <w:t>,</w:t>
      </w:r>
      <w:r w:rsidRPr="001E7CB3">
        <w:rPr>
          <w:rFonts w:cs="Times New Roman"/>
          <w:szCs w:val="24"/>
          <w:lang w:val="fr-CA"/>
        </w:rPr>
        <w:t xml:space="preserve"> sans que les soldes des comptes de pension de retraite ne soient affectés.</w:t>
      </w:r>
    </w:p>
    <w:p w:rsidR="000F48EC" w:rsidRPr="001E7CB3" w:rsidRDefault="000F48EC" w:rsidP="000F48EC">
      <w:pPr>
        <w:pStyle w:val="ParaNoNdepar-AltN"/>
        <w:rPr>
          <w:szCs w:val="24"/>
          <w:lang w:val="fr-CA"/>
        </w:rPr>
      </w:pPr>
      <w:r w:rsidRPr="001E7CB3">
        <w:rPr>
          <w:rFonts w:cs="Times New Roman"/>
          <w:szCs w:val="24"/>
          <w:lang w:val="fr-CA"/>
        </w:rPr>
        <w:t>Cet « amortissement » a donc eu un double effet</w:t>
      </w:r>
      <w:r>
        <w:rPr>
          <w:rFonts w:cs="Times New Roman"/>
          <w:szCs w:val="24"/>
          <w:lang w:val="fr-CA"/>
        </w:rPr>
        <w:t> :</w:t>
      </w:r>
      <w:r w:rsidRPr="001E7CB3">
        <w:rPr>
          <w:rFonts w:cs="Times New Roman"/>
          <w:szCs w:val="24"/>
          <w:lang w:val="fr-CA"/>
        </w:rPr>
        <w:t xml:space="preserve"> il a réduit le déficit budgétaire annuel du gouvernement (ou accru le surplus budgétaire annuel) en abaissant les charges de retraite annuelles, et il a ramené à un niveau inférieur la dette nette du gouvernement en rabaissant le montant net du passif au titre des pensions de retraite à un niveau plus près des estimations actuarielles des </w:t>
      </w:r>
      <w:r>
        <w:rPr>
          <w:rFonts w:cs="Times New Roman"/>
          <w:szCs w:val="24"/>
          <w:lang w:val="fr-CA"/>
        </w:rPr>
        <w:t>engagements à venir</w:t>
      </w:r>
      <w:r w:rsidRPr="001E7CB3">
        <w:rPr>
          <w:rFonts w:cs="Times New Roman"/>
          <w:szCs w:val="24"/>
          <w:lang w:val="fr-CA"/>
        </w:rPr>
        <w:t xml:space="preserve"> du gouvernement </w:t>
      </w:r>
      <w:r>
        <w:rPr>
          <w:rFonts w:cs="Times New Roman"/>
          <w:szCs w:val="24"/>
          <w:lang w:val="fr-CA"/>
        </w:rPr>
        <w:t xml:space="preserve">au titre des </w:t>
      </w:r>
      <w:r w:rsidRPr="001E7CB3">
        <w:rPr>
          <w:rFonts w:cs="Times New Roman"/>
          <w:szCs w:val="24"/>
          <w:lang w:val="fr-CA"/>
        </w:rPr>
        <w:t>pension</w:t>
      </w:r>
      <w:r>
        <w:rPr>
          <w:rFonts w:cs="Times New Roman"/>
          <w:szCs w:val="24"/>
          <w:lang w:val="fr-CA"/>
        </w:rPr>
        <w:t>s</w:t>
      </w:r>
      <w:r w:rsidRPr="001E7CB3">
        <w:rPr>
          <w:rFonts w:cs="Times New Roman"/>
          <w:szCs w:val="24"/>
          <w:lang w:val="fr-CA"/>
        </w:rPr>
        <w:t>.</w:t>
      </w:r>
    </w:p>
    <w:p w:rsidR="000F48EC" w:rsidRPr="001E7CB3" w:rsidRDefault="000F48EC" w:rsidP="000F48EC">
      <w:pPr>
        <w:pStyle w:val="ParaNoNdepar-AltN"/>
        <w:rPr>
          <w:szCs w:val="24"/>
          <w:lang w:val="fr-CA"/>
        </w:rPr>
      </w:pPr>
      <w:r w:rsidRPr="001E7CB3">
        <w:rPr>
          <w:rFonts w:cs="Times New Roman"/>
          <w:szCs w:val="24"/>
          <w:lang w:val="fr-CA"/>
        </w:rPr>
        <w:t>Au cours de la décennie 1990, le gouvernement a amorti au total un montant de 18,6 milliards de dollars; des sommes additionnelles ont été amorties après l’an 2000.</w:t>
      </w:r>
    </w:p>
    <w:p w:rsidR="000F48EC" w:rsidRPr="0097412A" w:rsidRDefault="000F48EC" w:rsidP="001D5386">
      <w:pPr>
        <w:pStyle w:val="TitleTitre-AltT"/>
        <w:keepNext/>
        <w:numPr>
          <w:ilvl w:val="1"/>
          <w:numId w:val="2"/>
        </w:numPr>
        <w:tabs>
          <w:tab w:val="clear" w:pos="360"/>
          <w:tab w:val="left" w:pos="540"/>
        </w:tabs>
        <w:ind w:left="540" w:hanging="540"/>
        <w:rPr>
          <w:i/>
          <w:szCs w:val="24"/>
          <w:lang w:val="fr-CA"/>
        </w:rPr>
      </w:pPr>
      <w:r w:rsidRPr="0097412A">
        <w:rPr>
          <w:i/>
          <w:szCs w:val="24"/>
          <w:lang w:val="fr-CA"/>
        </w:rPr>
        <w:lastRenderedPageBreak/>
        <w:t>Le projet de loi C</w:t>
      </w:r>
      <w:r w:rsidR="002B1F7F">
        <w:rPr>
          <w:i/>
          <w:szCs w:val="24"/>
          <w:lang w:val="fr-CA"/>
        </w:rPr>
        <w:t>-</w:t>
      </w:r>
      <w:r w:rsidRPr="0097412A">
        <w:rPr>
          <w:i/>
          <w:szCs w:val="24"/>
          <w:lang w:val="fr-CA"/>
        </w:rPr>
        <w:t>78</w:t>
      </w:r>
    </w:p>
    <w:p w:rsidR="000F48EC" w:rsidRPr="001E7CB3" w:rsidRDefault="000F48EC" w:rsidP="000F48EC">
      <w:pPr>
        <w:pStyle w:val="ParaNoNdepar-AltN"/>
        <w:rPr>
          <w:szCs w:val="24"/>
          <w:lang w:val="fr-CA"/>
        </w:rPr>
      </w:pPr>
      <w:r w:rsidRPr="001E7CB3">
        <w:rPr>
          <w:szCs w:val="24"/>
          <w:lang w:val="fr-CA"/>
        </w:rPr>
        <w:t>En 1999, le gouvernement a présenté le projet de loi</w:t>
      </w:r>
      <w:r>
        <w:rPr>
          <w:szCs w:val="24"/>
          <w:lang w:val="fr-CA"/>
        </w:rPr>
        <w:t> </w:t>
      </w:r>
      <w:r w:rsidRPr="001E7CB3">
        <w:rPr>
          <w:szCs w:val="24"/>
          <w:lang w:val="fr-CA"/>
        </w:rPr>
        <w:t>C</w:t>
      </w:r>
      <w:r w:rsidR="002B1F7F">
        <w:rPr>
          <w:szCs w:val="24"/>
          <w:lang w:val="fr-CA"/>
        </w:rPr>
        <w:t>-</w:t>
      </w:r>
      <w:r w:rsidRPr="001E7CB3">
        <w:rPr>
          <w:szCs w:val="24"/>
          <w:lang w:val="fr-CA"/>
        </w:rPr>
        <w:t>78</w:t>
      </w:r>
      <w:r>
        <w:rPr>
          <w:szCs w:val="24"/>
          <w:lang w:val="fr-CA"/>
        </w:rPr>
        <w:t xml:space="preserve">.  Ce projet de loi, </w:t>
      </w:r>
      <w:r w:rsidRPr="001E7CB3">
        <w:rPr>
          <w:szCs w:val="24"/>
          <w:lang w:val="fr-CA"/>
        </w:rPr>
        <w:t>entré en vigueur le 1</w:t>
      </w:r>
      <w:r w:rsidRPr="001E7CB3">
        <w:rPr>
          <w:szCs w:val="24"/>
          <w:vertAlign w:val="superscript"/>
          <w:lang w:val="fr-CA"/>
        </w:rPr>
        <w:t>er</w:t>
      </w:r>
      <w:r>
        <w:rPr>
          <w:szCs w:val="24"/>
          <w:lang w:val="fr-CA"/>
        </w:rPr>
        <w:t xml:space="preserve"> avril </w:t>
      </w:r>
      <w:r w:rsidRPr="001E7CB3">
        <w:rPr>
          <w:szCs w:val="24"/>
          <w:lang w:val="fr-CA"/>
        </w:rPr>
        <w:t xml:space="preserve">2000, </w:t>
      </w:r>
      <w:r>
        <w:rPr>
          <w:szCs w:val="24"/>
          <w:lang w:val="fr-CA"/>
        </w:rPr>
        <w:t>a apporté</w:t>
      </w:r>
      <w:r w:rsidRPr="001E7CB3">
        <w:rPr>
          <w:szCs w:val="24"/>
          <w:lang w:val="fr-CA"/>
        </w:rPr>
        <w:t xml:space="preserve"> des changements substantiels aux lois sur les pensions.  </w:t>
      </w:r>
      <w:r>
        <w:rPr>
          <w:szCs w:val="24"/>
          <w:lang w:val="fr-CA"/>
        </w:rPr>
        <w:t>En remplacement de chacun des</w:t>
      </w:r>
      <w:r w:rsidRPr="001E7CB3">
        <w:rPr>
          <w:szCs w:val="24"/>
          <w:lang w:val="fr-CA"/>
        </w:rPr>
        <w:t xml:space="preserve"> comptes de pension de retraite </w:t>
      </w:r>
      <w:r>
        <w:rPr>
          <w:szCs w:val="24"/>
          <w:lang w:val="fr-CA"/>
        </w:rPr>
        <w:t>prévus par les lois sur les pensions, i</w:t>
      </w:r>
      <w:r w:rsidRPr="001E7CB3">
        <w:rPr>
          <w:szCs w:val="24"/>
          <w:lang w:val="fr-CA"/>
        </w:rPr>
        <w:t>l a établi une caisse de retraite</w:t>
      </w:r>
      <w:r>
        <w:rPr>
          <w:szCs w:val="24"/>
          <w:lang w:val="fr-CA"/>
        </w:rPr>
        <w:t xml:space="preserve"> </w:t>
      </w:r>
      <w:r w:rsidRPr="001E7CB3">
        <w:rPr>
          <w:szCs w:val="24"/>
          <w:lang w:val="fr-CA"/>
        </w:rPr>
        <w:t>à l’égard d</w:t>
      </w:r>
      <w:r>
        <w:rPr>
          <w:szCs w:val="24"/>
          <w:lang w:val="fr-CA"/>
        </w:rPr>
        <w:t xml:space="preserve">u service postérieur au 31 mars </w:t>
      </w:r>
      <w:r w:rsidRPr="001E7CB3">
        <w:rPr>
          <w:szCs w:val="24"/>
          <w:lang w:val="fr-CA"/>
        </w:rPr>
        <w:t>2000</w:t>
      </w:r>
      <w:r>
        <w:rPr>
          <w:szCs w:val="24"/>
          <w:lang w:val="fr-CA"/>
        </w:rPr>
        <w:t xml:space="preserve"> (les « caisses de retraite »)</w:t>
      </w:r>
      <w:r w:rsidRPr="001E7CB3">
        <w:rPr>
          <w:szCs w:val="24"/>
          <w:lang w:val="fr-CA"/>
        </w:rPr>
        <w:t>.  Depuis le 1</w:t>
      </w:r>
      <w:r w:rsidRPr="001E7CB3">
        <w:rPr>
          <w:szCs w:val="24"/>
          <w:vertAlign w:val="superscript"/>
          <w:lang w:val="fr-CA"/>
        </w:rPr>
        <w:t>er</w:t>
      </w:r>
      <w:r>
        <w:rPr>
          <w:szCs w:val="24"/>
          <w:lang w:val="fr-CA"/>
        </w:rPr>
        <w:t xml:space="preserve"> avril </w:t>
      </w:r>
      <w:r w:rsidRPr="001E7CB3">
        <w:rPr>
          <w:szCs w:val="24"/>
          <w:lang w:val="fr-CA"/>
        </w:rPr>
        <w:t xml:space="preserve">2000, les contributions des employés et du gouvernement relativement au service courant sont versées aux caisses de retraite. </w:t>
      </w:r>
    </w:p>
    <w:p w:rsidR="000F48EC" w:rsidRPr="001E7CB3" w:rsidRDefault="000F48EC" w:rsidP="000F48EC">
      <w:pPr>
        <w:pStyle w:val="ParaNoNdepar-AltN"/>
        <w:rPr>
          <w:szCs w:val="24"/>
          <w:lang w:val="fr-CA"/>
        </w:rPr>
      </w:pPr>
      <w:r w:rsidRPr="001E7CB3">
        <w:rPr>
          <w:szCs w:val="24"/>
          <w:lang w:val="fr-CA"/>
        </w:rPr>
        <w:t>Sous le régime du projet de loi C</w:t>
      </w:r>
      <w:r>
        <w:rPr>
          <w:szCs w:val="24"/>
          <w:lang w:val="fr-CA"/>
        </w:rPr>
        <w:noBreakHyphen/>
      </w:r>
      <w:r w:rsidRPr="001E7CB3">
        <w:rPr>
          <w:szCs w:val="24"/>
          <w:lang w:val="fr-CA"/>
        </w:rPr>
        <w:t xml:space="preserve">78, les fonds des caisses de retraite sont investis sur le marché externe, et un office </w:t>
      </w:r>
      <w:r>
        <w:rPr>
          <w:szCs w:val="24"/>
          <w:lang w:val="fr-CA"/>
        </w:rPr>
        <w:t>a été</w:t>
      </w:r>
      <w:r w:rsidRPr="001E7CB3">
        <w:rPr>
          <w:szCs w:val="24"/>
          <w:lang w:val="fr-CA"/>
        </w:rPr>
        <w:t xml:space="preserve"> créé pour gérer l’actif des caisses de retraite.  L’Office d’investissement a notamment pour mission de gérer les sommes qui lui sont transférées en application des lois </w:t>
      </w:r>
      <w:r>
        <w:rPr>
          <w:szCs w:val="24"/>
          <w:lang w:val="fr-CA"/>
        </w:rPr>
        <w:t xml:space="preserve">sur les pensions ainsi </w:t>
      </w:r>
      <w:r w:rsidRPr="001E7CB3">
        <w:rPr>
          <w:szCs w:val="24"/>
          <w:lang w:val="fr-CA"/>
        </w:rPr>
        <w:t xml:space="preserve">modifiées « dans l’intérêt des contributeurs et des bénéficiaires des régimes en cause » </w:t>
      </w:r>
      <w:r>
        <w:rPr>
          <w:szCs w:val="24"/>
          <w:lang w:val="fr-CA"/>
        </w:rPr>
        <w:t>(al. </w:t>
      </w:r>
      <w:r w:rsidRPr="001E7CB3">
        <w:rPr>
          <w:szCs w:val="24"/>
          <w:lang w:val="fr-CA"/>
        </w:rPr>
        <w:t>4(1</w:t>
      </w:r>
      <w:proofErr w:type="gramStart"/>
      <w:r w:rsidRPr="001E7CB3">
        <w:rPr>
          <w:szCs w:val="24"/>
          <w:lang w:val="fr-CA"/>
        </w:rPr>
        <w:t>)</w:t>
      </w:r>
      <w:r w:rsidRPr="001E7CB3">
        <w:rPr>
          <w:i/>
          <w:szCs w:val="24"/>
          <w:lang w:val="fr-CA"/>
        </w:rPr>
        <w:t>a</w:t>
      </w:r>
      <w:proofErr w:type="gramEnd"/>
      <w:r>
        <w:rPr>
          <w:szCs w:val="24"/>
          <w:lang w:val="fr-CA"/>
        </w:rPr>
        <w:t>))</w:t>
      </w:r>
      <w:r w:rsidRPr="001E7CB3">
        <w:rPr>
          <w:szCs w:val="24"/>
          <w:lang w:val="fr-CA"/>
        </w:rPr>
        <w:t>.</w:t>
      </w:r>
    </w:p>
    <w:p w:rsidR="000F48EC" w:rsidRPr="001E7CB3" w:rsidRDefault="000F48EC" w:rsidP="000F48EC">
      <w:pPr>
        <w:pStyle w:val="ParaNoNdepar-AltN"/>
        <w:rPr>
          <w:szCs w:val="24"/>
          <w:lang w:val="fr-CA"/>
        </w:rPr>
      </w:pPr>
      <w:r w:rsidRPr="001E7CB3">
        <w:rPr>
          <w:szCs w:val="24"/>
          <w:lang w:val="fr-CA"/>
        </w:rPr>
        <w:t xml:space="preserve">Le projet de </w:t>
      </w:r>
      <w:r>
        <w:rPr>
          <w:szCs w:val="24"/>
          <w:lang w:val="fr-CA"/>
        </w:rPr>
        <w:t>loi </w:t>
      </w:r>
      <w:r w:rsidRPr="001E7CB3">
        <w:rPr>
          <w:szCs w:val="24"/>
          <w:lang w:val="fr-CA"/>
        </w:rPr>
        <w:t>C</w:t>
      </w:r>
      <w:r>
        <w:rPr>
          <w:szCs w:val="24"/>
          <w:lang w:val="fr-CA"/>
        </w:rPr>
        <w:noBreakHyphen/>
      </w:r>
      <w:r w:rsidRPr="001E7CB3">
        <w:rPr>
          <w:szCs w:val="24"/>
          <w:lang w:val="fr-CA"/>
        </w:rPr>
        <w:t xml:space="preserve">78 a ajouté les </w:t>
      </w:r>
      <w:r>
        <w:rPr>
          <w:szCs w:val="24"/>
          <w:lang w:val="fr-CA"/>
        </w:rPr>
        <w:t>par. </w:t>
      </w:r>
      <w:r w:rsidRPr="001E7CB3">
        <w:rPr>
          <w:szCs w:val="24"/>
          <w:lang w:val="fr-CA"/>
        </w:rPr>
        <w:t xml:space="preserve">44(9) à (13) à la </w:t>
      </w:r>
      <w:r w:rsidRPr="001D5386">
        <w:rPr>
          <w:i/>
          <w:szCs w:val="24"/>
          <w:lang w:val="fr-CA"/>
        </w:rPr>
        <w:t>LPFP</w:t>
      </w:r>
      <w:r>
        <w:rPr>
          <w:szCs w:val="24"/>
          <w:lang w:val="fr-CA"/>
        </w:rPr>
        <w:t xml:space="preserve">. </w:t>
      </w:r>
      <w:r w:rsidRPr="001E7CB3">
        <w:rPr>
          <w:szCs w:val="24"/>
          <w:lang w:val="fr-CA"/>
        </w:rPr>
        <w:t xml:space="preserve"> </w:t>
      </w:r>
      <w:r>
        <w:rPr>
          <w:szCs w:val="24"/>
          <w:lang w:val="fr-CA"/>
        </w:rPr>
        <w:t xml:space="preserve">En gros, </w:t>
      </w:r>
      <w:r w:rsidRPr="001E7CB3">
        <w:rPr>
          <w:szCs w:val="24"/>
          <w:lang w:val="fr-CA"/>
        </w:rPr>
        <w:t>ces dispositions confèrent</w:t>
      </w:r>
      <w:r>
        <w:rPr>
          <w:szCs w:val="24"/>
          <w:lang w:val="fr-CA"/>
        </w:rPr>
        <w:t xml:space="preserve"> au </w:t>
      </w:r>
      <w:r w:rsidRPr="001E7CB3">
        <w:rPr>
          <w:szCs w:val="24"/>
          <w:lang w:val="fr-CA"/>
        </w:rPr>
        <w:t>ministre</w:t>
      </w:r>
      <w:r>
        <w:rPr>
          <w:szCs w:val="24"/>
          <w:lang w:val="fr-CA"/>
        </w:rPr>
        <w:t xml:space="preserve"> à la fois</w:t>
      </w:r>
      <w:r w:rsidRPr="001E7CB3">
        <w:rPr>
          <w:szCs w:val="24"/>
          <w:lang w:val="fr-CA"/>
        </w:rPr>
        <w:t xml:space="preserve"> le pouvoir discrétionnaire </w:t>
      </w:r>
      <w:r>
        <w:rPr>
          <w:szCs w:val="24"/>
          <w:lang w:val="fr-CA"/>
        </w:rPr>
        <w:t>et l’obligation de débiter</w:t>
      </w:r>
      <w:r w:rsidRPr="001E7CB3">
        <w:rPr>
          <w:szCs w:val="24"/>
          <w:lang w:val="fr-CA"/>
        </w:rPr>
        <w:t xml:space="preserve"> </w:t>
      </w:r>
      <w:r>
        <w:rPr>
          <w:szCs w:val="24"/>
          <w:lang w:val="fr-CA"/>
        </w:rPr>
        <w:t xml:space="preserve">les </w:t>
      </w:r>
      <w:r w:rsidRPr="001E7CB3">
        <w:rPr>
          <w:szCs w:val="24"/>
          <w:lang w:val="fr-CA"/>
        </w:rPr>
        <w:t xml:space="preserve">comptes de pension de retraite </w:t>
      </w:r>
      <w:r>
        <w:rPr>
          <w:szCs w:val="24"/>
          <w:lang w:val="fr-CA"/>
        </w:rPr>
        <w:t>afin de réduire le surplus actuariel</w:t>
      </w:r>
      <w:r w:rsidRPr="001E7CB3">
        <w:rPr>
          <w:szCs w:val="24"/>
          <w:lang w:val="fr-CA"/>
        </w:rPr>
        <w:t xml:space="preserve">.  </w:t>
      </w:r>
      <w:r>
        <w:rPr>
          <w:szCs w:val="24"/>
          <w:lang w:val="fr-CA"/>
        </w:rPr>
        <w:t>En effet, le</w:t>
      </w:r>
      <w:r w:rsidRPr="001E7CB3">
        <w:rPr>
          <w:szCs w:val="24"/>
          <w:lang w:val="fr-CA"/>
        </w:rPr>
        <w:t xml:space="preserve"> ministre </w:t>
      </w:r>
      <w:r>
        <w:rPr>
          <w:szCs w:val="24"/>
          <w:lang w:val="fr-CA"/>
        </w:rPr>
        <w:t>a le</w:t>
      </w:r>
      <w:r w:rsidRPr="001E7CB3">
        <w:rPr>
          <w:szCs w:val="24"/>
          <w:lang w:val="fr-CA"/>
        </w:rPr>
        <w:t xml:space="preserve"> pouvoir discrétionnaire de porter au débit de ces comptes tout surp</w:t>
      </w:r>
      <w:r>
        <w:rPr>
          <w:szCs w:val="24"/>
          <w:lang w:val="fr-CA"/>
        </w:rPr>
        <w:t>lus se situant entre 100 et 110 pour 100</w:t>
      </w:r>
      <w:r w:rsidRPr="001E7CB3">
        <w:rPr>
          <w:szCs w:val="24"/>
          <w:lang w:val="fr-CA"/>
        </w:rPr>
        <w:t xml:space="preserve"> du montant estimatif nécessaire pour couvrir le coût des prestations payables, établi par les rapports actuariels, </w:t>
      </w:r>
      <w:r>
        <w:rPr>
          <w:szCs w:val="24"/>
          <w:lang w:val="fr-CA"/>
        </w:rPr>
        <w:t>mais i</w:t>
      </w:r>
      <w:r w:rsidRPr="001E7CB3">
        <w:rPr>
          <w:szCs w:val="24"/>
          <w:lang w:val="fr-CA"/>
        </w:rPr>
        <w:t>l est tenu de débit</w:t>
      </w:r>
      <w:r>
        <w:rPr>
          <w:szCs w:val="24"/>
          <w:lang w:val="fr-CA"/>
        </w:rPr>
        <w:t>er</w:t>
      </w:r>
      <w:r w:rsidRPr="001E7CB3">
        <w:rPr>
          <w:szCs w:val="24"/>
          <w:lang w:val="fr-CA"/>
        </w:rPr>
        <w:t xml:space="preserve"> ces comptes </w:t>
      </w:r>
      <w:r>
        <w:rPr>
          <w:szCs w:val="24"/>
          <w:lang w:val="fr-CA"/>
        </w:rPr>
        <w:t>lorsqu’un</w:t>
      </w:r>
      <w:r w:rsidRPr="001E7CB3">
        <w:rPr>
          <w:szCs w:val="24"/>
          <w:lang w:val="fr-CA"/>
        </w:rPr>
        <w:t xml:space="preserve"> surplus actuariel </w:t>
      </w:r>
      <w:r>
        <w:rPr>
          <w:szCs w:val="24"/>
          <w:lang w:val="fr-CA"/>
        </w:rPr>
        <w:t>dépasse 110 pour </w:t>
      </w:r>
      <w:r w:rsidR="001D5386">
        <w:rPr>
          <w:szCs w:val="24"/>
          <w:lang w:val="fr-CA"/>
        </w:rPr>
        <w:t>100</w:t>
      </w:r>
      <w:r w:rsidRPr="001E7CB3">
        <w:rPr>
          <w:szCs w:val="24"/>
          <w:lang w:val="fr-CA"/>
        </w:rPr>
        <w:t xml:space="preserve"> des sommes requises pour payer les prestations futures. </w:t>
      </w:r>
    </w:p>
    <w:p w:rsidR="000F48EC" w:rsidRPr="001E7CB3" w:rsidRDefault="000F48EC" w:rsidP="000F48EC">
      <w:pPr>
        <w:pStyle w:val="ParaNoNdepar-AltN"/>
        <w:rPr>
          <w:szCs w:val="24"/>
          <w:lang w:val="fr-CA"/>
        </w:rPr>
      </w:pPr>
      <w:r>
        <w:rPr>
          <w:szCs w:val="24"/>
          <w:lang w:val="fr-CA"/>
        </w:rPr>
        <w:lastRenderedPageBreak/>
        <w:t>Le projet de loi </w:t>
      </w:r>
      <w:r w:rsidRPr="001E7CB3">
        <w:rPr>
          <w:szCs w:val="24"/>
          <w:lang w:val="fr-CA"/>
        </w:rPr>
        <w:t>C</w:t>
      </w:r>
      <w:r>
        <w:rPr>
          <w:szCs w:val="24"/>
          <w:lang w:val="fr-CA"/>
        </w:rPr>
        <w:noBreakHyphen/>
      </w:r>
      <w:r w:rsidRPr="001E7CB3">
        <w:rPr>
          <w:szCs w:val="24"/>
          <w:lang w:val="fr-CA"/>
        </w:rPr>
        <w:t>78 prévoyait qu’après le 1</w:t>
      </w:r>
      <w:r w:rsidRPr="001E7CB3">
        <w:rPr>
          <w:szCs w:val="24"/>
          <w:vertAlign w:val="superscript"/>
          <w:lang w:val="fr-CA"/>
        </w:rPr>
        <w:t>er</w:t>
      </w:r>
      <w:r w:rsidRPr="001E7CB3">
        <w:rPr>
          <w:szCs w:val="24"/>
          <w:lang w:val="fr-CA"/>
        </w:rPr>
        <w:t> janvier</w:t>
      </w:r>
      <w:r>
        <w:rPr>
          <w:szCs w:val="24"/>
          <w:lang w:val="fr-CA"/>
        </w:rPr>
        <w:t xml:space="preserve"> </w:t>
      </w:r>
      <w:r w:rsidRPr="001E7CB3">
        <w:rPr>
          <w:szCs w:val="24"/>
          <w:lang w:val="fr-CA"/>
        </w:rPr>
        <w:t xml:space="preserve">2004, le taux de </w:t>
      </w:r>
      <w:r>
        <w:rPr>
          <w:szCs w:val="24"/>
          <w:lang w:val="fr-CA"/>
        </w:rPr>
        <w:t>contribution</w:t>
      </w:r>
      <w:r w:rsidRPr="001E7CB3">
        <w:rPr>
          <w:szCs w:val="24"/>
          <w:lang w:val="fr-CA"/>
        </w:rPr>
        <w:t xml:space="preserve"> des employés ne serait plus établi par l</w:t>
      </w:r>
      <w:r>
        <w:rPr>
          <w:szCs w:val="24"/>
          <w:lang w:val="fr-CA"/>
        </w:rPr>
        <w:t xml:space="preserve">e législateur, mais relèverait du pouvoir discrétionnaire du </w:t>
      </w:r>
      <w:r w:rsidRPr="001E7CB3">
        <w:rPr>
          <w:szCs w:val="24"/>
          <w:lang w:val="fr-CA"/>
        </w:rPr>
        <w:t xml:space="preserve">Conseil du Trésor, sous réserve de certaines restrictions.  De 2000 à 2003, le taux de </w:t>
      </w:r>
      <w:r>
        <w:rPr>
          <w:szCs w:val="24"/>
          <w:lang w:val="fr-CA"/>
        </w:rPr>
        <w:t>contribution</w:t>
      </w:r>
      <w:r w:rsidRPr="001E7CB3">
        <w:rPr>
          <w:szCs w:val="24"/>
          <w:lang w:val="fr-CA"/>
        </w:rPr>
        <w:t xml:space="preserve"> des employés, établi par la loi, a connu des augmentations de 15 à 33</w:t>
      </w:r>
      <w:r>
        <w:rPr>
          <w:szCs w:val="24"/>
          <w:lang w:val="fr-CA"/>
        </w:rPr>
        <w:t> pour 100</w:t>
      </w:r>
      <w:r w:rsidRPr="001E7CB3">
        <w:rPr>
          <w:szCs w:val="24"/>
          <w:lang w:val="fr-CA"/>
        </w:rPr>
        <w:t>.  En 2005, le Conseil du Trésor a annoncé d’autres augmentations.</w:t>
      </w:r>
    </w:p>
    <w:p w:rsidR="000F48EC" w:rsidRPr="001E7CB3" w:rsidRDefault="000F48EC" w:rsidP="000F48EC">
      <w:pPr>
        <w:pStyle w:val="ParaNoNdepar-AltN"/>
        <w:rPr>
          <w:szCs w:val="24"/>
          <w:lang w:val="fr-CA"/>
        </w:rPr>
      </w:pPr>
      <w:r w:rsidRPr="001E7CB3">
        <w:rPr>
          <w:szCs w:val="24"/>
          <w:lang w:val="fr-CA"/>
        </w:rPr>
        <w:t>Le projet de loi</w:t>
      </w:r>
      <w:r>
        <w:rPr>
          <w:szCs w:val="24"/>
          <w:lang w:val="fr-CA"/>
        </w:rPr>
        <w:t> </w:t>
      </w:r>
      <w:r w:rsidRPr="001E7CB3">
        <w:rPr>
          <w:szCs w:val="24"/>
          <w:lang w:val="fr-CA"/>
        </w:rPr>
        <w:t>C</w:t>
      </w:r>
      <w:r>
        <w:rPr>
          <w:szCs w:val="24"/>
          <w:lang w:val="fr-CA"/>
        </w:rPr>
        <w:noBreakHyphen/>
      </w:r>
      <w:r w:rsidRPr="001E7CB3">
        <w:rPr>
          <w:szCs w:val="24"/>
          <w:lang w:val="fr-CA"/>
        </w:rPr>
        <w:t>78 a également modifié l</w:t>
      </w:r>
      <w:r>
        <w:rPr>
          <w:szCs w:val="24"/>
          <w:lang w:val="fr-CA"/>
        </w:rPr>
        <w:t xml:space="preserve">a façon d’établir la </w:t>
      </w:r>
      <w:r w:rsidRPr="001E7CB3">
        <w:rPr>
          <w:szCs w:val="24"/>
          <w:lang w:val="fr-CA"/>
        </w:rPr>
        <w:t>contribution</w:t>
      </w:r>
      <w:r>
        <w:rPr>
          <w:szCs w:val="24"/>
          <w:lang w:val="fr-CA"/>
        </w:rPr>
        <w:t xml:space="preserve"> annuelle</w:t>
      </w:r>
      <w:r w:rsidRPr="001E7CB3">
        <w:rPr>
          <w:szCs w:val="24"/>
          <w:lang w:val="fr-CA"/>
        </w:rPr>
        <w:t xml:space="preserve"> du gouvernement.  Le gouvernement n’a plus à égaler les contributions </w:t>
      </w:r>
      <w:r>
        <w:rPr>
          <w:szCs w:val="24"/>
          <w:lang w:val="fr-CA"/>
        </w:rPr>
        <w:t>d</w:t>
      </w:r>
      <w:r w:rsidRPr="001E7CB3">
        <w:rPr>
          <w:szCs w:val="24"/>
          <w:lang w:val="fr-CA"/>
        </w:rPr>
        <w:t>es employés; c’est le président du Conseil du Trésor qui détermin</w:t>
      </w:r>
      <w:r>
        <w:rPr>
          <w:szCs w:val="24"/>
          <w:lang w:val="fr-CA"/>
        </w:rPr>
        <w:t>e à présent</w:t>
      </w:r>
      <w:r w:rsidRPr="001E7CB3">
        <w:rPr>
          <w:szCs w:val="24"/>
          <w:lang w:val="fr-CA"/>
        </w:rPr>
        <w:t xml:space="preserve"> </w:t>
      </w:r>
      <w:r>
        <w:rPr>
          <w:szCs w:val="24"/>
          <w:lang w:val="fr-CA"/>
        </w:rPr>
        <w:t>les contributions</w:t>
      </w:r>
      <w:r w:rsidRPr="001E7CB3">
        <w:rPr>
          <w:szCs w:val="24"/>
          <w:lang w:val="fr-CA"/>
        </w:rPr>
        <w:t xml:space="preserve"> qu</w:t>
      </w:r>
      <w:r>
        <w:rPr>
          <w:szCs w:val="24"/>
          <w:lang w:val="fr-CA"/>
        </w:rPr>
        <w:t>’il doit verser</w:t>
      </w:r>
      <w:r w:rsidRPr="001E7CB3">
        <w:rPr>
          <w:szCs w:val="24"/>
          <w:lang w:val="fr-CA"/>
        </w:rPr>
        <w:t>, en fonction du rapport d’évaluation actuarielle de chaque régime.</w:t>
      </w:r>
    </w:p>
    <w:p w:rsidR="000F48EC" w:rsidRPr="001E7CB3" w:rsidRDefault="000F48EC" w:rsidP="000F48EC">
      <w:pPr>
        <w:pStyle w:val="ParaNoNdepar-AltN"/>
        <w:rPr>
          <w:szCs w:val="24"/>
          <w:lang w:val="fr-CA"/>
        </w:rPr>
      </w:pPr>
      <w:r w:rsidRPr="001E7CB3">
        <w:rPr>
          <w:szCs w:val="24"/>
          <w:lang w:val="fr-CA"/>
        </w:rPr>
        <w:t>Les prestations afférentes au service ouvrant droit à pension antérieur au 1</w:t>
      </w:r>
      <w:r w:rsidRPr="001E7CB3">
        <w:rPr>
          <w:szCs w:val="24"/>
          <w:vertAlign w:val="superscript"/>
          <w:lang w:val="fr-CA"/>
        </w:rPr>
        <w:t>er</w:t>
      </w:r>
      <w:r>
        <w:rPr>
          <w:szCs w:val="24"/>
          <w:lang w:val="fr-CA"/>
        </w:rPr>
        <w:t xml:space="preserve"> avril </w:t>
      </w:r>
      <w:r w:rsidRPr="001E7CB3">
        <w:rPr>
          <w:szCs w:val="24"/>
          <w:lang w:val="fr-CA"/>
        </w:rPr>
        <w:t xml:space="preserve">2000 </w:t>
      </w:r>
      <w:r>
        <w:rPr>
          <w:szCs w:val="24"/>
          <w:lang w:val="fr-CA"/>
        </w:rPr>
        <w:t>sont</w:t>
      </w:r>
      <w:r w:rsidRPr="001E7CB3">
        <w:rPr>
          <w:szCs w:val="24"/>
          <w:lang w:val="fr-CA"/>
        </w:rPr>
        <w:t xml:space="preserve"> payées sur le compte de pension de retraite </w:t>
      </w:r>
      <w:r>
        <w:rPr>
          <w:szCs w:val="24"/>
          <w:lang w:val="fr-CA"/>
        </w:rPr>
        <w:t>approprié</w:t>
      </w:r>
      <w:r w:rsidRPr="001E7CB3">
        <w:rPr>
          <w:szCs w:val="24"/>
          <w:lang w:val="fr-CA"/>
        </w:rPr>
        <w:t xml:space="preserve">, mais les prestations </w:t>
      </w:r>
      <w:r>
        <w:rPr>
          <w:szCs w:val="24"/>
          <w:lang w:val="fr-CA"/>
        </w:rPr>
        <w:t xml:space="preserve">afférentes au service </w:t>
      </w:r>
      <w:r w:rsidRPr="001E7CB3">
        <w:rPr>
          <w:szCs w:val="24"/>
          <w:lang w:val="fr-CA"/>
        </w:rPr>
        <w:t>postérieur</w:t>
      </w:r>
      <w:r>
        <w:rPr>
          <w:szCs w:val="24"/>
          <w:lang w:val="fr-CA"/>
        </w:rPr>
        <w:t xml:space="preserve"> à cette date</w:t>
      </w:r>
      <w:r w:rsidRPr="001E7CB3">
        <w:rPr>
          <w:szCs w:val="24"/>
          <w:lang w:val="fr-CA"/>
        </w:rPr>
        <w:t xml:space="preserve"> </w:t>
      </w:r>
      <w:r>
        <w:rPr>
          <w:szCs w:val="24"/>
          <w:lang w:val="fr-CA"/>
        </w:rPr>
        <w:t>sont</w:t>
      </w:r>
      <w:r w:rsidRPr="001E7CB3">
        <w:rPr>
          <w:szCs w:val="24"/>
          <w:lang w:val="fr-CA"/>
        </w:rPr>
        <w:t xml:space="preserve"> </w:t>
      </w:r>
      <w:r>
        <w:rPr>
          <w:szCs w:val="24"/>
          <w:lang w:val="fr-CA"/>
        </w:rPr>
        <w:t>imputées à</w:t>
      </w:r>
      <w:r w:rsidRPr="001E7CB3">
        <w:rPr>
          <w:szCs w:val="24"/>
          <w:lang w:val="fr-CA"/>
        </w:rPr>
        <w:t xml:space="preserve"> la caisse de retraite </w:t>
      </w:r>
      <w:r>
        <w:rPr>
          <w:szCs w:val="24"/>
          <w:lang w:val="fr-CA"/>
        </w:rPr>
        <w:t>appropriée</w:t>
      </w:r>
      <w:r w:rsidRPr="001E7CB3">
        <w:rPr>
          <w:szCs w:val="24"/>
          <w:lang w:val="fr-CA"/>
        </w:rPr>
        <w:t>.</w:t>
      </w:r>
    </w:p>
    <w:p w:rsidR="000F48EC" w:rsidRPr="001E7CB3" w:rsidRDefault="000F48EC" w:rsidP="000F48EC">
      <w:pPr>
        <w:pStyle w:val="ParaNoNdepar-AltN"/>
        <w:rPr>
          <w:szCs w:val="24"/>
          <w:lang w:val="fr-CA"/>
        </w:rPr>
      </w:pPr>
      <w:r w:rsidRPr="001E7CB3">
        <w:rPr>
          <w:szCs w:val="24"/>
          <w:lang w:val="fr-CA"/>
        </w:rPr>
        <w:t>Entre 2001 et 2004, le gouvernement a porté plus de 28 milliards de dollars au débit des comptes de pension de retraite en application du projet de loi C</w:t>
      </w:r>
      <w:r>
        <w:rPr>
          <w:szCs w:val="24"/>
          <w:lang w:val="fr-CA"/>
        </w:rPr>
        <w:noBreakHyphen/>
      </w:r>
      <w:r w:rsidRPr="001E7CB3">
        <w:rPr>
          <w:szCs w:val="24"/>
          <w:lang w:val="fr-CA"/>
        </w:rPr>
        <w:t>78.  Étant donné que l’amortissement antérieur avait eu pour effet de réduire le déficit annuel ou d’accroître le surplus annuel, et de réduire la dette nette du gouvernement, l’inscription au débit de tout montant déjà amorti n’avait aucun effet sur la situation financière du Canada.</w:t>
      </w:r>
    </w:p>
    <w:p w:rsidR="000F48EC" w:rsidRPr="0097412A" w:rsidRDefault="000F48EC" w:rsidP="001D5386">
      <w:pPr>
        <w:pStyle w:val="TitleTitre-AltT"/>
        <w:keepNext/>
        <w:numPr>
          <w:ilvl w:val="1"/>
          <w:numId w:val="2"/>
        </w:numPr>
        <w:tabs>
          <w:tab w:val="clear" w:pos="360"/>
          <w:tab w:val="left" w:pos="540"/>
        </w:tabs>
        <w:ind w:left="540" w:hanging="540"/>
        <w:rPr>
          <w:i/>
          <w:szCs w:val="24"/>
          <w:lang w:val="fr-CA"/>
        </w:rPr>
      </w:pPr>
      <w:r w:rsidRPr="0097412A">
        <w:rPr>
          <w:i/>
          <w:szCs w:val="24"/>
          <w:lang w:val="fr-CA"/>
        </w:rPr>
        <w:lastRenderedPageBreak/>
        <w:t xml:space="preserve">L’action des appelants </w:t>
      </w:r>
    </w:p>
    <w:p w:rsidR="000F48EC" w:rsidRPr="001E7CB3" w:rsidRDefault="000F48EC" w:rsidP="000F48EC">
      <w:pPr>
        <w:pStyle w:val="ParaNoNdepar-AltN"/>
        <w:rPr>
          <w:szCs w:val="24"/>
          <w:lang w:val="fr-CA"/>
        </w:rPr>
      </w:pPr>
      <w:r w:rsidRPr="001E7CB3">
        <w:rPr>
          <w:szCs w:val="24"/>
          <w:lang w:val="fr-CA"/>
        </w:rPr>
        <w:t>Les appelants ont intenté une action pour obtenir la re</w:t>
      </w:r>
      <w:r>
        <w:rPr>
          <w:szCs w:val="24"/>
          <w:lang w:val="fr-CA"/>
        </w:rPr>
        <w:t>stitution</w:t>
      </w:r>
      <w:r w:rsidRPr="001E7CB3">
        <w:rPr>
          <w:szCs w:val="24"/>
          <w:lang w:val="fr-CA"/>
        </w:rPr>
        <w:t xml:space="preserve"> des surplus actuariels </w:t>
      </w:r>
      <w:r>
        <w:rPr>
          <w:szCs w:val="24"/>
          <w:lang w:val="fr-CA"/>
        </w:rPr>
        <w:t xml:space="preserve">des </w:t>
      </w:r>
      <w:r w:rsidRPr="001E7CB3">
        <w:rPr>
          <w:szCs w:val="24"/>
          <w:lang w:val="fr-CA"/>
        </w:rPr>
        <w:t>comptes de pension de retraite, soutenant que le gouvernement avait manqué à s</w:t>
      </w:r>
      <w:r>
        <w:rPr>
          <w:szCs w:val="24"/>
          <w:lang w:val="fr-CA"/>
        </w:rPr>
        <w:t xml:space="preserve">es obligations </w:t>
      </w:r>
      <w:r w:rsidRPr="00A25FAD">
        <w:rPr>
          <w:szCs w:val="24"/>
          <w:lang w:val="fr-CA"/>
        </w:rPr>
        <w:t>fiduciaires et à ses devoirs relativement à une fiducie</w:t>
      </w:r>
      <w:r w:rsidRPr="001E7CB3">
        <w:rPr>
          <w:szCs w:val="24"/>
          <w:lang w:val="fr-CA"/>
        </w:rPr>
        <w:t xml:space="preserve"> en amortissant </w:t>
      </w:r>
      <w:r>
        <w:rPr>
          <w:szCs w:val="24"/>
          <w:lang w:val="fr-CA"/>
        </w:rPr>
        <w:t xml:space="preserve">et en débitant </w:t>
      </w:r>
      <w:r w:rsidRPr="001E7CB3">
        <w:rPr>
          <w:szCs w:val="24"/>
          <w:lang w:val="fr-CA"/>
        </w:rPr>
        <w:t>les surplus.  Ils ont affirmé en outre que le projet de loi C</w:t>
      </w:r>
      <w:r>
        <w:rPr>
          <w:szCs w:val="24"/>
          <w:lang w:val="fr-CA"/>
        </w:rPr>
        <w:noBreakHyphen/>
      </w:r>
      <w:r w:rsidRPr="001E7CB3">
        <w:rPr>
          <w:szCs w:val="24"/>
          <w:lang w:val="fr-CA"/>
        </w:rPr>
        <w:t>78 n’avait pas éteint l</w:t>
      </w:r>
      <w:r>
        <w:rPr>
          <w:szCs w:val="24"/>
          <w:lang w:val="fr-CA"/>
        </w:rPr>
        <w:t xml:space="preserve">’intérêt </w:t>
      </w:r>
      <w:r w:rsidRPr="001E7CB3">
        <w:rPr>
          <w:szCs w:val="24"/>
          <w:lang w:val="fr-CA"/>
        </w:rPr>
        <w:t xml:space="preserve">des membres des régimes </w:t>
      </w:r>
      <w:r>
        <w:rPr>
          <w:szCs w:val="24"/>
          <w:lang w:val="fr-CA"/>
        </w:rPr>
        <w:t xml:space="preserve">dans les </w:t>
      </w:r>
      <w:r w:rsidRPr="001E7CB3">
        <w:rPr>
          <w:szCs w:val="24"/>
          <w:lang w:val="fr-CA"/>
        </w:rPr>
        <w:t>surplus</w:t>
      </w:r>
      <w:r>
        <w:rPr>
          <w:szCs w:val="24"/>
          <w:lang w:val="fr-CA"/>
        </w:rPr>
        <w:t>,</w:t>
      </w:r>
      <w:r w:rsidRPr="001E7CB3">
        <w:rPr>
          <w:szCs w:val="24"/>
          <w:lang w:val="fr-CA"/>
        </w:rPr>
        <w:t xml:space="preserve"> car il n</w:t>
      </w:r>
      <w:r>
        <w:rPr>
          <w:szCs w:val="24"/>
          <w:lang w:val="fr-CA"/>
        </w:rPr>
        <w:t>e s’en dégageait pas d’</w:t>
      </w:r>
      <w:r w:rsidRPr="001E7CB3">
        <w:rPr>
          <w:szCs w:val="24"/>
          <w:lang w:val="fr-CA"/>
        </w:rPr>
        <w:t>intention non équivoque d’expropri</w:t>
      </w:r>
      <w:r>
        <w:rPr>
          <w:szCs w:val="24"/>
          <w:lang w:val="fr-CA"/>
        </w:rPr>
        <w:t>ation</w:t>
      </w:r>
      <w:r w:rsidRPr="001E7CB3">
        <w:rPr>
          <w:szCs w:val="24"/>
          <w:lang w:val="fr-CA"/>
        </w:rPr>
        <w:t xml:space="preserve"> sans indemnisation.  Les appelants ont été déboutés en première instance, et la Cour d’appel a rejeté leur appel. </w:t>
      </w:r>
    </w:p>
    <w:p w:rsidR="000F48EC" w:rsidRPr="001E7CB3" w:rsidRDefault="000F48EC" w:rsidP="000F48EC">
      <w:pPr>
        <w:pStyle w:val="ParaNoNdepar-AltN"/>
        <w:rPr>
          <w:szCs w:val="24"/>
          <w:lang w:val="fr-CA"/>
        </w:rPr>
      </w:pPr>
      <w:r w:rsidRPr="001E7CB3">
        <w:rPr>
          <w:szCs w:val="24"/>
          <w:lang w:val="fr-CA"/>
        </w:rPr>
        <w:t xml:space="preserve">Dans le présent pourvoi, les appelants demandent à notre Cour de rendre un jugement déclaratoire portant que les membres des régimes possèdent un intérêt en </w:t>
      </w:r>
      <w:proofErr w:type="spellStart"/>
      <w:r w:rsidRPr="001E7CB3">
        <w:rPr>
          <w:szCs w:val="24"/>
          <w:lang w:val="fr-CA"/>
        </w:rPr>
        <w:t>equity</w:t>
      </w:r>
      <w:proofErr w:type="spellEnd"/>
      <w:r w:rsidRPr="001E7CB3">
        <w:rPr>
          <w:szCs w:val="24"/>
          <w:lang w:val="fr-CA"/>
        </w:rPr>
        <w:t xml:space="preserve"> </w:t>
      </w:r>
      <w:r>
        <w:rPr>
          <w:szCs w:val="24"/>
          <w:lang w:val="fr-CA"/>
        </w:rPr>
        <w:t>dans le</w:t>
      </w:r>
      <w:r w:rsidRPr="001E7CB3">
        <w:rPr>
          <w:szCs w:val="24"/>
          <w:lang w:val="fr-CA"/>
        </w:rPr>
        <w:t xml:space="preserve"> solde des comptes de pension de retraite au 31 mars</w:t>
      </w:r>
      <w:r>
        <w:rPr>
          <w:szCs w:val="24"/>
          <w:lang w:val="fr-CA"/>
        </w:rPr>
        <w:t xml:space="preserve"> </w:t>
      </w:r>
      <w:r w:rsidRPr="001E7CB3">
        <w:rPr>
          <w:szCs w:val="24"/>
          <w:lang w:val="fr-CA"/>
        </w:rPr>
        <w:t>2000</w:t>
      </w:r>
      <w:r>
        <w:rPr>
          <w:szCs w:val="24"/>
          <w:lang w:val="fr-CA"/>
        </w:rPr>
        <w:t>.  Selon eux, cet</w:t>
      </w:r>
      <w:r w:rsidRPr="001E7CB3">
        <w:rPr>
          <w:szCs w:val="24"/>
          <w:lang w:val="fr-CA"/>
        </w:rPr>
        <w:t xml:space="preserve"> intérêt </w:t>
      </w:r>
      <w:r>
        <w:rPr>
          <w:szCs w:val="24"/>
          <w:lang w:val="fr-CA"/>
        </w:rPr>
        <w:t xml:space="preserve">en </w:t>
      </w:r>
      <w:proofErr w:type="spellStart"/>
      <w:r>
        <w:rPr>
          <w:szCs w:val="24"/>
          <w:lang w:val="fr-CA"/>
        </w:rPr>
        <w:t>equity</w:t>
      </w:r>
      <w:proofErr w:type="spellEnd"/>
      <w:r>
        <w:rPr>
          <w:szCs w:val="24"/>
          <w:lang w:val="fr-CA"/>
        </w:rPr>
        <w:t xml:space="preserve"> </w:t>
      </w:r>
      <w:r w:rsidRPr="001E7CB3">
        <w:rPr>
          <w:szCs w:val="24"/>
          <w:lang w:val="fr-CA"/>
        </w:rPr>
        <w:t xml:space="preserve">comprend le droit à ce que la totalité des fonds de ces comptes </w:t>
      </w:r>
      <w:r>
        <w:rPr>
          <w:szCs w:val="24"/>
          <w:lang w:val="fr-CA"/>
        </w:rPr>
        <w:t>serve</w:t>
      </w:r>
      <w:r w:rsidRPr="001E7CB3">
        <w:rPr>
          <w:szCs w:val="24"/>
          <w:lang w:val="fr-CA"/>
        </w:rPr>
        <w:t xml:space="preserve"> exclusivement </w:t>
      </w:r>
      <w:r>
        <w:rPr>
          <w:szCs w:val="24"/>
          <w:lang w:val="fr-CA"/>
        </w:rPr>
        <w:t>au versement de</w:t>
      </w:r>
      <w:r w:rsidRPr="001E7CB3">
        <w:rPr>
          <w:szCs w:val="24"/>
          <w:lang w:val="fr-CA"/>
        </w:rPr>
        <w:t xml:space="preserve"> prestations aux membres.  À titre subsidiaire, ils demandent un jugement déclaratoire portant que l’intérêt en </w:t>
      </w:r>
      <w:proofErr w:type="spellStart"/>
      <w:r w:rsidRPr="001E7CB3">
        <w:rPr>
          <w:szCs w:val="24"/>
          <w:lang w:val="fr-CA"/>
        </w:rPr>
        <w:t>equity</w:t>
      </w:r>
      <w:proofErr w:type="spellEnd"/>
      <w:r w:rsidRPr="001E7CB3">
        <w:rPr>
          <w:szCs w:val="24"/>
          <w:lang w:val="fr-CA"/>
        </w:rPr>
        <w:t xml:space="preserve"> des membres des régimes consiste en un droit à ce qu’une part du surplus actuariel </w:t>
      </w:r>
      <w:r>
        <w:rPr>
          <w:szCs w:val="24"/>
          <w:lang w:val="fr-CA"/>
        </w:rPr>
        <w:t>des</w:t>
      </w:r>
      <w:r w:rsidRPr="001E7CB3">
        <w:rPr>
          <w:szCs w:val="24"/>
          <w:lang w:val="fr-CA"/>
        </w:rPr>
        <w:t xml:space="preserve"> comptes de pension de retraite serve au </w:t>
      </w:r>
      <w:r>
        <w:rPr>
          <w:szCs w:val="24"/>
          <w:lang w:val="fr-CA"/>
        </w:rPr>
        <w:t>versement</w:t>
      </w:r>
      <w:r w:rsidRPr="001E7CB3">
        <w:rPr>
          <w:szCs w:val="24"/>
          <w:lang w:val="fr-CA"/>
        </w:rPr>
        <w:t xml:space="preserve"> de prestations aux membres.  </w:t>
      </w:r>
      <w:r>
        <w:rPr>
          <w:szCs w:val="24"/>
          <w:lang w:val="fr-CA"/>
        </w:rPr>
        <w:t>Ils ont établi l</w:t>
      </w:r>
      <w:r w:rsidRPr="001E7CB3">
        <w:rPr>
          <w:szCs w:val="24"/>
          <w:lang w:val="fr-CA"/>
        </w:rPr>
        <w:t xml:space="preserve">a part ainsi demandée </w:t>
      </w:r>
      <w:r>
        <w:rPr>
          <w:szCs w:val="24"/>
          <w:lang w:val="fr-CA"/>
        </w:rPr>
        <w:t>au prorata d</w:t>
      </w:r>
      <w:r w:rsidRPr="001E7CB3">
        <w:rPr>
          <w:szCs w:val="24"/>
          <w:lang w:val="fr-CA"/>
        </w:rPr>
        <w:t xml:space="preserve">es contributions </w:t>
      </w:r>
      <w:r>
        <w:rPr>
          <w:szCs w:val="24"/>
          <w:lang w:val="fr-CA"/>
        </w:rPr>
        <w:t xml:space="preserve">respectives </w:t>
      </w:r>
      <w:r w:rsidRPr="001E7CB3">
        <w:rPr>
          <w:szCs w:val="24"/>
          <w:lang w:val="fr-CA"/>
        </w:rPr>
        <w:t>des employ</w:t>
      </w:r>
      <w:r>
        <w:rPr>
          <w:szCs w:val="24"/>
          <w:lang w:val="fr-CA"/>
        </w:rPr>
        <w:t xml:space="preserve">és et de l’employeur au 31 mars </w:t>
      </w:r>
      <w:r w:rsidRPr="001E7CB3">
        <w:rPr>
          <w:szCs w:val="24"/>
          <w:lang w:val="fr-CA"/>
        </w:rPr>
        <w:t xml:space="preserve">2000. </w:t>
      </w:r>
      <w:r>
        <w:rPr>
          <w:szCs w:val="24"/>
          <w:lang w:val="fr-CA"/>
        </w:rPr>
        <w:t xml:space="preserve"> </w:t>
      </w:r>
      <w:r w:rsidRPr="001E7CB3">
        <w:rPr>
          <w:szCs w:val="24"/>
          <w:lang w:val="fr-CA"/>
        </w:rPr>
        <w:t xml:space="preserve">Les contributions des membres des régimes </w:t>
      </w:r>
      <w:r>
        <w:rPr>
          <w:szCs w:val="24"/>
          <w:lang w:val="fr-CA"/>
        </w:rPr>
        <w:t>équivalaient à 42,2 pour 100</w:t>
      </w:r>
      <w:r w:rsidRPr="001E7CB3">
        <w:rPr>
          <w:szCs w:val="24"/>
          <w:lang w:val="fr-CA"/>
        </w:rPr>
        <w:t xml:space="preserve"> des surplus actuariels à cette date.  Les appelants demandent également un jugement déclaratoire portant que les </w:t>
      </w:r>
      <w:r>
        <w:rPr>
          <w:szCs w:val="24"/>
          <w:lang w:val="fr-CA"/>
        </w:rPr>
        <w:t>par. </w:t>
      </w:r>
      <w:r w:rsidRPr="001E7CB3">
        <w:rPr>
          <w:szCs w:val="24"/>
          <w:lang w:val="fr-CA"/>
        </w:rPr>
        <w:t>44(9) et 44(</w:t>
      </w:r>
      <w:r>
        <w:rPr>
          <w:szCs w:val="24"/>
          <w:lang w:val="fr-CA"/>
        </w:rPr>
        <w:t>10</w:t>
      </w:r>
      <w:r w:rsidRPr="001E7CB3">
        <w:rPr>
          <w:szCs w:val="24"/>
          <w:lang w:val="fr-CA"/>
        </w:rPr>
        <w:t xml:space="preserve">) du </w:t>
      </w:r>
      <w:r w:rsidRPr="001E7CB3">
        <w:rPr>
          <w:szCs w:val="24"/>
          <w:lang w:val="fr-CA"/>
        </w:rPr>
        <w:lastRenderedPageBreak/>
        <w:t>projet de loi C</w:t>
      </w:r>
      <w:r>
        <w:rPr>
          <w:szCs w:val="24"/>
          <w:lang w:val="fr-CA"/>
        </w:rPr>
        <w:noBreakHyphen/>
      </w:r>
      <w:r w:rsidRPr="001E7CB3">
        <w:rPr>
          <w:szCs w:val="24"/>
          <w:lang w:val="fr-CA"/>
        </w:rPr>
        <w:t xml:space="preserve">78 ne permettent pas </w:t>
      </w:r>
      <w:r>
        <w:rPr>
          <w:szCs w:val="24"/>
          <w:lang w:val="fr-CA"/>
        </w:rPr>
        <w:t>de réduire</w:t>
      </w:r>
      <w:r w:rsidRPr="001E7CB3">
        <w:rPr>
          <w:szCs w:val="24"/>
          <w:lang w:val="fr-CA"/>
        </w:rPr>
        <w:t xml:space="preserve"> sans </w:t>
      </w:r>
      <w:r>
        <w:rPr>
          <w:szCs w:val="24"/>
          <w:lang w:val="fr-CA"/>
        </w:rPr>
        <w:t>indemni</w:t>
      </w:r>
      <w:r w:rsidRPr="001E7CB3">
        <w:rPr>
          <w:szCs w:val="24"/>
          <w:lang w:val="fr-CA"/>
        </w:rPr>
        <w:t xml:space="preserve">sation </w:t>
      </w:r>
      <w:r>
        <w:rPr>
          <w:szCs w:val="24"/>
          <w:lang w:val="fr-CA"/>
        </w:rPr>
        <w:t>quelque montant que ce soit d</w:t>
      </w:r>
      <w:r w:rsidRPr="001E7CB3">
        <w:rPr>
          <w:szCs w:val="24"/>
          <w:lang w:val="fr-CA"/>
        </w:rPr>
        <w:t xml:space="preserve">es comptes de pension de retraite </w:t>
      </w:r>
      <w:r>
        <w:rPr>
          <w:szCs w:val="24"/>
          <w:lang w:val="fr-CA"/>
        </w:rPr>
        <w:t xml:space="preserve">dans lequel les membres des régimes ont </w:t>
      </w:r>
      <w:r w:rsidRPr="001E7CB3">
        <w:rPr>
          <w:szCs w:val="24"/>
          <w:lang w:val="fr-CA"/>
        </w:rPr>
        <w:t xml:space="preserve">un intérêt en </w:t>
      </w:r>
      <w:proofErr w:type="spellStart"/>
      <w:r w:rsidRPr="001E7CB3">
        <w:rPr>
          <w:szCs w:val="24"/>
          <w:lang w:val="fr-CA"/>
        </w:rPr>
        <w:t>equity</w:t>
      </w:r>
      <w:proofErr w:type="spellEnd"/>
      <w:r w:rsidRPr="001E7CB3">
        <w:rPr>
          <w:szCs w:val="24"/>
          <w:lang w:val="fr-CA"/>
        </w:rPr>
        <w:t xml:space="preserve">.  Ils </w:t>
      </w:r>
      <w:r>
        <w:rPr>
          <w:szCs w:val="24"/>
          <w:lang w:val="fr-CA"/>
        </w:rPr>
        <w:t xml:space="preserve">sollicitent aussi </w:t>
      </w:r>
      <w:r w:rsidRPr="001E7CB3">
        <w:rPr>
          <w:szCs w:val="24"/>
          <w:lang w:val="fr-CA"/>
        </w:rPr>
        <w:t xml:space="preserve">une ordonnance prescrivant de porter au crédit des comptes de pension de retraite tout montant </w:t>
      </w:r>
      <w:r>
        <w:rPr>
          <w:szCs w:val="24"/>
          <w:lang w:val="fr-CA"/>
        </w:rPr>
        <w:t>dans lequel l</w:t>
      </w:r>
      <w:r w:rsidRPr="001E7CB3">
        <w:rPr>
          <w:szCs w:val="24"/>
          <w:lang w:val="fr-CA"/>
        </w:rPr>
        <w:t xml:space="preserve">es membres des régimes </w:t>
      </w:r>
      <w:r>
        <w:rPr>
          <w:szCs w:val="24"/>
          <w:lang w:val="fr-CA"/>
        </w:rPr>
        <w:t xml:space="preserve">ont </w:t>
      </w:r>
      <w:r w:rsidRPr="001E7CB3">
        <w:rPr>
          <w:szCs w:val="24"/>
          <w:lang w:val="fr-CA"/>
        </w:rPr>
        <w:t xml:space="preserve">un intérêt en </w:t>
      </w:r>
      <w:proofErr w:type="spellStart"/>
      <w:r w:rsidRPr="001E7CB3">
        <w:rPr>
          <w:szCs w:val="24"/>
          <w:lang w:val="fr-CA"/>
        </w:rPr>
        <w:t>equity</w:t>
      </w:r>
      <w:proofErr w:type="spellEnd"/>
      <w:r w:rsidRPr="001E7CB3">
        <w:rPr>
          <w:szCs w:val="24"/>
          <w:lang w:val="fr-CA"/>
        </w:rPr>
        <w:t xml:space="preserve"> </w:t>
      </w:r>
      <w:r>
        <w:rPr>
          <w:szCs w:val="24"/>
          <w:lang w:val="fr-CA"/>
        </w:rPr>
        <w:t xml:space="preserve">et </w:t>
      </w:r>
      <w:r w:rsidRPr="001E7CB3">
        <w:rPr>
          <w:szCs w:val="24"/>
          <w:lang w:val="fr-CA"/>
        </w:rPr>
        <w:t>qui en a été retiré à la suite du projet de loi C</w:t>
      </w:r>
      <w:r>
        <w:rPr>
          <w:szCs w:val="24"/>
          <w:lang w:val="fr-CA"/>
        </w:rPr>
        <w:noBreakHyphen/>
      </w:r>
      <w:r w:rsidRPr="001E7CB3">
        <w:rPr>
          <w:szCs w:val="24"/>
          <w:lang w:val="fr-CA"/>
        </w:rPr>
        <w:t>78</w:t>
      </w:r>
      <w:r>
        <w:rPr>
          <w:szCs w:val="24"/>
          <w:lang w:val="fr-CA"/>
        </w:rPr>
        <w:t>,</w:t>
      </w:r>
      <w:r w:rsidRPr="001E7CB3">
        <w:rPr>
          <w:szCs w:val="24"/>
          <w:lang w:val="fr-CA"/>
        </w:rPr>
        <w:t xml:space="preserve"> ainsi que les intérêts y afférents.</w:t>
      </w:r>
    </w:p>
    <w:p w:rsidR="000F48EC" w:rsidRPr="008615E5" w:rsidRDefault="000F48EC" w:rsidP="001D5386">
      <w:pPr>
        <w:pStyle w:val="TitleTitre-AltT"/>
        <w:keepNext/>
        <w:numPr>
          <w:ilvl w:val="1"/>
          <w:numId w:val="2"/>
        </w:numPr>
        <w:tabs>
          <w:tab w:val="clear" w:pos="360"/>
          <w:tab w:val="left" w:pos="540"/>
        </w:tabs>
        <w:ind w:left="540" w:hanging="540"/>
        <w:rPr>
          <w:i/>
          <w:lang w:val="fr-CA"/>
        </w:rPr>
      </w:pPr>
      <w:r w:rsidRPr="008615E5">
        <w:rPr>
          <w:i/>
          <w:lang w:val="fr-CA"/>
        </w:rPr>
        <w:t xml:space="preserve">Les </w:t>
      </w:r>
      <w:r w:rsidRPr="008615E5">
        <w:rPr>
          <w:i/>
          <w:szCs w:val="24"/>
          <w:lang w:val="fr-CA"/>
        </w:rPr>
        <w:t>dispositions</w:t>
      </w:r>
      <w:r w:rsidRPr="008615E5">
        <w:rPr>
          <w:i/>
          <w:lang w:val="fr-CA"/>
        </w:rPr>
        <w:t xml:space="preserve"> législatives applicables</w:t>
      </w:r>
    </w:p>
    <w:p w:rsidR="000F48EC" w:rsidRPr="001E7CB3" w:rsidRDefault="000F48EC" w:rsidP="000F48EC">
      <w:pPr>
        <w:pStyle w:val="ParaNoNdepar-AltN"/>
        <w:rPr>
          <w:lang w:val="fr-CA"/>
        </w:rPr>
      </w:pPr>
      <w:r w:rsidRPr="001E7CB3">
        <w:rPr>
          <w:lang w:val="fr-CA"/>
        </w:rPr>
        <w:t xml:space="preserve">Les dispositions législatives applicables sont reproduites </w:t>
      </w:r>
      <w:r>
        <w:rPr>
          <w:lang w:val="fr-CA"/>
        </w:rPr>
        <w:t>dans l’Annexe à la fin des</w:t>
      </w:r>
      <w:r w:rsidRPr="001E7CB3">
        <w:rPr>
          <w:lang w:val="fr-CA"/>
        </w:rPr>
        <w:t xml:space="preserve"> présents motifs. </w:t>
      </w:r>
    </w:p>
    <w:p w:rsidR="000F48EC" w:rsidRPr="001E7CB3" w:rsidRDefault="000F48EC" w:rsidP="001D5386">
      <w:pPr>
        <w:pStyle w:val="TitleTitre-AltT"/>
        <w:keepNext/>
        <w:numPr>
          <w:ilvl w:val="0"/>
          <w:numId w:val="2"/>
        </w:numPr>
        <w:tabs>
          <w:tab w:val="clear" w:pos="360"/>
          <w:tab w:val="left" w:pos="540"/>
        </w:tabs>
        <w:ind w:left="540" w:hanging="540"/>
        <w:rPr>
          <w:szCs w:val="24"/>
          <w:u w:val="single"/>
          <w:lang w:val="fr-CA"/>
        </w:rPr>
      </w:pPr>
      <w:r w:rsidRPr="001E7CB3">
        <w:rPr>
          <w:szCs w:val="24"/>
          <w:u w:val="single"/>
          <w:lang w:val="fr-CA"/>
        </w:rPr>
        <w:t>Les décisions des juridictions inférieures</w:t>
      </w:r>
    </w:p>
    <w:p w:rsidR="000F48EC" w:rsidRPr="008615E5" w:rsidRDefault="000F48EC" w:rsidP="001D5386">
      <w:pPr>
        <w:pStyle w:val="TitleTitre-AltT"/>
        <w:keepNext/>
        <w:tabs>
          <w:tab w:val="clear" w:pos="360"/>
          <w:tab w:val="left" w:pos="540"/>
        </w:tabs>
        <w:ind w:left="540" w:hanging="540"/>
        <w:rPr>
          <w:i/>
          <w:szCs w:val="24"/>
          <w:lang w:val="fr-CA"/>
        </w:rPr>
      </w:pPr>
      <w:r w:rsidRPr="0095105B">
        <w:rPr>
          <w:szCs w:val="24"/>
          <w:lang w:val="fr-CA"/>
        </w:rPr>
        <w:t>A</w:t>
      </w:r>
      <w:r w:rsidR="001D5386">
        <w:rPr>
          <w:szCs w:val="24"/>
          <w:lang w:val="fr-CA"/>
        </w:rPr>
        <w:t>.</w:t>
      </w:r>
      <w:r>
        <w:rPr>
          <w:i/>
          <w:szCs w:val="24"/>
          <w:lang w:val="fr-CA"/>
        </w:rPr>
        <w:tab/>
      </w:r>
      <w:r w:rsidRPr="008615E5">
        <w:rPr>
          <w:i/>
          <w:szCs w:val="24"/>
          <w:lang w:val="fr-CA"/>
        </w:rPr>
        <w:t xml:space="preserve">La Cour </w:t>
      </w:r>
      <w:r w:rsidRPr="008615E5">
        <w:rPr>
          <w:i/>
          <w:lang w:val="fr-CA"/>
        </w:rPr>
        <w:t>supérieure</w:t>
      </w:r>
      <w:r w:rsidRPr="008615E5">
        <w:rPr>
          <w:i/>
          <w:szCs w:val="24"/>
          <w:lang w:val="fr-CA"/>
        </w:rPr>
        <w:t xml:space="preserve"> de justice de l’Ontario (</w:t>
      </w:r>
      <w:r w:rsidR="00FA2381">
        <w:rPr>
          <w:i/>
          <w:szCs w:val="24"/>
          <w:lang w:val="fr-CA"/>
        </w:rPr>
        <w:t xml:space="preserve">le </w:t>
      </w:r>
      <w:r w:rsidRPr="008615E5">
        <w:rPr>
          <w:i/>
          <w:szCs w:val="24"/>
          <w:lang w:val="fr-CA"/>
        </w:rPr>
        <w:t xml:space="preserve">juge </w:t>
      </w:r>
      <w:proofErr w:type="spellStart"/>
      <w:r w:rsidRPr="008615E5">
        <w:rPr>
          <w:i/>
          <w:szCs w:val="24"/>
          <w:lang w:val="fr-CA"/>
        </w:rPr>
        <w:t>Panet</w:t>
      </w:r>
      <w:proofErr w:type="spellEnd"/>
      <w:r w:rsidRPr="008615E5">
        <w:rPr>
          <w:i/>
          <w:szCs w:val="24"/>
          <w:lang w:val="fr-CA"/>
        </w:rPr>
        <w:t>)</w:t>
      </w:r>
      <w:r w:rsidR="001D5386" w:rsidRPr="001D5386">
        <w:rPr>
          <w:szCs w:val="24"/>
          <w:lang w:val="fr-CA"/>
        </w:rPr>
        <w:t xml:space="preserve"> (2007), 66 C.C.P.B. 54</w:t>
      </w:r>
    </w:p>
    <w:p w:rsidR="000F48EC" w:rsidRPr="001E7CB3" w:rsidRDefault="000F48EC" w:rsidP="000F48EC">
      <w:pPr>
        <w:pStyle w:val="ParaNoNdepar-AltN"/>
        <w:rPr>
          <w:szCs w:val="24"/>
          <w:lang w:val="fr-CA"/>
        </w:rPr>
      </w:pPr>
      <w:r w:rsidRPr="001E7CB3">
        <w:rPr>
          <w:szCs w:val="24"/>
          <w:lang w:val="fr-CA"/>
        </w:rPr>
        <w:t xml:space="preserve">Les appelants ont intenté une action pour </w:t>
      </w:r>
      <w:r w:rsidRPr="00A25FAD">
        <w:rPr>
          <w:szCs w:val="24"/>
          <w:lang w:val="fr-CA"/>
        </w:rPr>
        <w:t>violation de fiducie</w:t>
      </w:r>
      <w:r>
        <w:rPr>
          <w:szCs w:val="24"/>
          <w:lang w:val="fr-CA"/>
        </w:rPr>
        <w:t xml:space="preserve"> et pour </w:t>
      </w:r>
      <w:r w:rsidRPr="001E7CB3">
        <w:rPr>
          <w:szCs w:val="24"/>
          <w:lang w:val="fr-CA"/>
        </w:rPr>
        <w:t xml:space="preserve">manquement à une obligation </w:t>
      </w:r>
      <w:r w:rsidRPr="00A25FAD">
        <w:rPr>
          <w:szCs w:val="24"/>
          <w:lang w:val="fr-CA"/>
        </w:rPr>
        <w:t>fiduciaire</w:t>
      </w:r>
      <w:r w:rsidRPr="001E7CB3">
        <w:rPr>
          <w:szCs w:val="24"/>
          <w:lang w:val="fr-CA"/>
        </w:rPr>
        <w:t xml:space="preserve"> </w:t>
      </w:r>
      <w:r>
        <w:rPr>
          <w:szCs w:val="24"/>
          <w:lang w:val="fr-CA"/>
        </w:rPr>
        <w:t>relativement au</w:t>
      </w:r>
      <w:r w:rsidRPr="001E7CB3">
        <w:rPr>
          <w:szCs w:val="24"/>
          <w:lang w:val="fr-CA"/>
        </w:rPr>
        <w:t xml:space="preserve"> solde des comptes de pension de retraite au 31 mars</w:t>
      </w:r>
      <w:r>
        <w:rPr>
          <w:szCs w:val="24"/>
          <w:lang w:val="fr-CA"/>
        </w:rPr>
        <w:t xml:space="preserve"> </w:t>
      </w:r>
      <w:r w:rsidRPr="001E7CB3">
        <w:rPr>
          <w:szCs w:val="24"/>
          <w:lang w:val="fr-CA"/>
        </w:rPr>
        <w:t>2000.</w:t>
      </w:r>
    </w:p>
    <w:p w:rsidR="000F48EC" w:rsidRPr="001E7CB3" w:rsidRDefault="000F48EC" w:rsidP="000F48EC">
      <w:pPr>
        <w:pStyle w:val="ParaNoNdepar-AltN"/>
        <w:rPr>
          <w:szCs w:val="24"/>
          <w:lang w:val="fr-CA"/>
        </w:rPr>
      </w:pPr>
      <w:r w:rsidRPr="001E7CB3">
        <w:rPr>
          <w:szCs w:val="24"/>
          <w:lang w:val="fr-CA"/>
        </w:rPr>
        <w:t xml:space="preserve">Après </w:t>
      </w:r>
      <w:r>
        <w:rPr>
          <w:szCs w:val="24"/>
          <w:lang w:val="fr-CA"/>
        </w:rPr>
        <w:t xml:space="preserve">avoir </w:t>
      </w:r>
      <w:r w:rsidRPr="001E7CB3">
        <w:rPr>
          <w:szCs w:val="24"/>
          <w:lang w:val="fr-CA"/>
        </w:rPr>
        <w:t>exam</w:t>
      </w:r>
      <w:r>
        <w:rPr>
          <w:szCs w:val="24"/>
          <w:lang w:val="fr-CA"/>
        </w:rPr>
        <w:t>iné l</w:t>
      </w:r>
      <w:r w:rsidRPr="001E7CB3">
        <w:rPr>
          <w:szCs w:val="24"/>
          <w:lang w:val="fr-CA"/>
        </w:rPr>
        <w:t xml:space="preserve">es lois et d’autres documents, le juge </w:t>
      </w:r>
      <w:proofErr w:type="spellStart"/>
      <w:r w:rsidRPr="001E7CB3">
        <w:rPr>
          <w:szCs w:val="24"/>
          <w:lang w:val="fr-CA"/>
        </w:rPr>
        <w:t>Panet</w:t>
      </w:r>
      <w:proofErr w:type="spellEnd"/>
      <w:r w:rsidRPr="001E7CB3">
        <w:rPr>
          <w:szCs w:val="24"/>
          <w:lang w:val="fr-CA"/>
        </w:rPr>
        <w:t xml:space="preserve"> a conclu </w:t>
      </w:r>
      <w:r>
        <w:rPr>
          <w:szCs w:val="24"/>
          <w:lang w:val="fr-CA"/>
        </w:rPr>
        <w:t>que la certitude d</w:t>
      </w:r>
      <w:r w:rsidRPr="001E7CB3">
        <w:rPr>
          <w:szCs w:val="24"/>
          <w:lang w:val="fr-CA"/>
        </w:rPr>
        <w:t xml:space="preserve">’intention nécessaire pour qu’il </w:t>
      </w:r>
      <w:r>
        <w:rPr>
          <w:szCs w:val="24"/>
          <w:lang w:val="fr-CA"/>
        </w:rPr>
        <w:t>existe une</w:t>
      </w:r>
      <w:r w:rsidRPr="001E7CB3">
        <w:rPr>
          <w:szCs w:val="24"/>
          <w:lang w:val="fr-CA"/>
        </w:rPr>
        <w:t xml:space="preserve"> fiducie</w:t>
      </w:r>
      <w:r>
        <w:rPr>
          <w:szCs w:val="24"/>
          <w:lang w:val="fr-CA"/>
        </w:rPr>
        <w:t xml:space="preserve"> faisait défaut.  Il a tiré la même conclusion relativement à la certitude de </w:t>
      </w:r>
      <w:r w:rsidRPr="001E7CB3">
        <w:rPr>
          <w:szCs w:val="24"/>
          <w:lang w:val="fr-CA"/>
        </w:rPr>
        <w:t xml:space="preserve">matière.  </w:t>
      </w:r>
      <w:r>
        <w:rPr>
          <w:szCs w:val="24"/>
          <w:lang w:val="fr-CA"/>
        </w:rPr>
        <w:t xml:space="preserve">Selon lui, </w:t>
      </w:r>
      <w:r w:rsidRPr="001E7CB3">
        <w:rPr>
          <w:szCs w:val="24"/>
          <w:lang w:val="fr-CA"/>
        </w:rPr>
        <w:t xml:space="preserve">il n’existait pas de caisse distincte ou séparée.  Il a </w:t>
      </w:r>
      <w:r>
        <w:rPr>
          <w:szCs w:val="24"/>
          <w:lang w:val="fr-CA"/>
        </w:rPr>
        <w:t xml:space="preserve">par ailleurs </w:t>
      </w:r>
      <w:r w:rsidRPr="001E7CB3">
        <w:rPr>
          <w:szCs w:val="24"/>
          <w:lang w:val="fr-CA"/>
        </w:rPr>
        <w:t xml:space="preserve">rejeté </w:t>
      </w:r>
      <w:r>
        <w:rPr>
          <w:szCs w:val="24"/>
          <w:lang w:val="fr-CA"/>
        </w:rPr>
        <w:t xml:space="preserve">le moyen du manquement à </w:t>
      </w:r>
      <w:r>
        <w:rPr>
          <w:szCs w:val="24"/>
          <w:lang w:val="fr-CA"/>
        </w:rPr>
        <w:lastRenderedPageBreak/>
        <w:t xml:space="preserve">une </w:t>
      </w:r>
      <w:r w:rsidRPr="001E7CB3">
        <w:rPr>
          <w:szCs w:val="24"/>
          <w:lang w:val="fr-CA"/>
        </w:rPr>
        <w:t xml:space="preserve">obligation </w:t>
      </w:r>
      <w:r w:rsidRPr="00A25FAD">
        <w:rPr>
          <w:szCs w:val="24"/>
          <w:lang w:val="fr-CA"/>
        </w:rPr>
        <w:t>fiduciaire</w:t>
      </w:r>
      <w:r w:rsidRPr="001E7CB3">
        <w:rPr>
          <w:szCs w:val="24"/>
          <w:lang w:val="fr-CA"/>
        </w:rPr>
        <w:t xml:space="preserve"> </w:t>
      </w:r>
      <w:r>
        <w:rPr>
          <w:szCs w:val="24"/>
          <w:lang w:val="fr-CA"/>
        </w:rPr>
        <w:t>vu</w:t>
      </w:r>
      <w:r w:rsidRPr="001E7CB3">
        <w:rPr>
          <w:szCs w:val="24"/>
          <w:lang w:val="fr-CA"/>
        </w:rPr>
        <w:t xml:space="preserve"> l’absence </w:t>
      </w:r>
      <w:r>
        <w:rPr>
          <w:szCs w:val="24"/>
          <w:lang w:val="fr-CA"/>
        </w:rPr>
        <w:t xml:space="preserve">d’un élément nécessaire à l’existence d’une relation </w:t>
      </w:r>
      <w:r w:rsidRPr="00A25FAD">
        <w:rPr>
          <w:szCs w:val="24"/>
          <w:lang w:val="fr-CA"/>
        </w:rPr>
        <w:t>fiduciaire</w:t>
      </w:r>
      <w:r>
        <w:rPr>
          <w:szCs w:val="24"/>
          <w:lang w:val="fr-CA"/>
        </w:rPr>
        <w:t>, soit la possibilité d’exercer un certain</w:t>
      </w:r>
      <w:r w:rsidRPr="001E7CB3">
        <w:rPr>
          <w:szCs w:val="24"/>
          <w:lang w:val="fr-CA"/>
        </w:rPr>
        <w:t xml:space="preserve"> pouvoir discrétionnaire.  Le</w:t>
      </w:r>
      <w:r>
        <w:rPr>
          <w:szCs w:val="24"/>
          <w:lang w:val="fr-CA"/>
        </w:rPr>
        <w:t xml:space="preserve"> juge </w:t>
      </w:r>
      <w:proofErr w:type="spellStart"/>
      <w:r>
        <w:rPr>
          <w:szCs w:val="24"/>
          <w:lang w:val="fr-CA"/>
        </w:rPr>
        <w:t>Panet</w:t>
      </w:r>
      <w:proofErr w:type="spellEnd"/>
      <w:r>
        <w:rPr>
          <w:szCs w:val="24"/>
          <w:lang w:val="fr-CA"/>
        </w:rPr>
        <w:t xml:space="preserve"> a conclu que le</w:t>
      </w:r>
      <w:r w:rsidRPr="001E7CB3">
        <w:rPr>
          <w:szCs w:val="24"/>
          <w:lang w:val="fr-CA"/>
        </w:rPr>
        <w:t xml:space="preserve"> gouvernement </w:t>
      </w:r>
      <w:r>
        <w:rPr>
          <w:szCs w:val="24"/>
          <w:lang w:val="fr-CA"/>
        </w:rPr>
        <w:t>n’avait aucun</w:t>
      </w:r>
      <w:r w:rsidRPr="001E7CB3">
        <w:rPr>
          <w:szCs w:val="24"/>
          <w:lang w:val="fr-CA"/>
        </w:rPr>
        <w:t xml:space="preserve"> pouvoir discrétionnaire, parce que la </w:t>
      </w:r>
      <w:r w:rsidRPr="001D5386">
        <w:rPr>
          <w:i/>
          <w:szCs w:val="24"/>
          <w:lang w:val="fr-CA"/>
        </w:rPr>
        <w:t>LPFP</w:t>
      </w:r>
      <w:r w:rsidRPr="001E7CB3">
        <w:rPr>
          <w:szCs w:val="24"/>
          <w:lang w:val="fr-CA"/>
        </w:rPr>
        <w:t xml:space="preserve"> établissait un code </w:t>
      </w:r>
      <w:r>
        <w:rPr>
          <w:szCs w:val="24"/>
          <w:lang w:val="fr-CA"/>
        </w:rPr>
        <w:t>exhaustif</w:t>
      </w:r>
      <w:r w:rsidRPr="001E7CB3">
        <w:rPr>
          <w:szCs w:val="24"/>
          <w:lang w:val="fr-CA"/>
        </w:rPr>
        <w:t>.</w:t>
      </w:r>
    </w:p>
    <w:p w:rsidR="000F48EC" w:rsidRDefault="000F48EC" w:rsidP="000F48EC">
      <w:pPr>
        <w:pStyle w:val="ParaNoNdepar-AltN"/>
        <w:rPr>
          <w:szCs w:val="24"/>
          <w:lang w:val="fr-CA"/>
        </w:rPr>
      </w:pPr>
      <w:r w:rsidRPr="001E7CB3">
        <w:rPr>
          <w:szCs w:val="24"/>
          <w:lang w:val="fr-CA"/>
        </w:rPr>
        <w:t>Les appelants contestaient également l’amo</w:t>
      </w:r>
      <w:r>
        <w:rPr>
          <w:szCs w:val="24"/>
          <w:lang w:val="fr-CA"/>
        </w:rPr>
        <w:t xml:space="preserve">rtissement du surplus.  Le juge </w:t>
      </w:r>
      <w:proofErr w:type="spellStart"/>
      <w:r w:rsidRPr="001E7CB3">
        <w:rPr>
          <w:szCs w:val="24"/>
          <w:lang w:val="fr-CA"/>
        </w:rPr>
        <w:t>Panet</w:t>
      </w:r>
      <w:proofErr w:type="spellEnd"/>
      <w:r w:rsidRPr="001E7CB3">
        <w:rPr>
          <w:szCs w:val="24"/>
          <w:lang w:val="fr-CA"/>
        </w:rPr>
        <w:t xml:space="preserve"> </w:t>
      </w:r>
      <w:r>
        <w:rPr>
          <w:szCs w:val="24"/>
          <w:lang w:val="fr-CA"/>
        </w:rPr>
        <w:t>n’</w:t>
      </w:r>
      <w:r w:rsidRPr="001E7CB3">
        <w:rPr>
          <w:szCs w:val="24"/>
          <w:lang w:val="fr-CA"/>
        </w:rPr>
        <w:t xml:space="preserve">a </w:t>
      </w:r>
      <w:r>
        <w:rPr>
          <w:szCs w:val="24"/>
          <w:lang w:val="fr-CA"/>
        </w:rPr>
        <w:t>pas retenu cet argument</w:t>
      </w:r>
      <w:r w:rsidRPr="001E7CB3">
        <w:rPr>
          <w:szCs w:val="24"/>
          <w:lang w:val="fr-CA"/>
        </w:rPr>
        <w:t xml:space="preserve">, </w:t>
      </w:r>
      <w:r>
        <w:rPr>
          <w:szCs w:val="24"/>
          <w:lang w:val="fr-CA"/>
        </w:rPr>
        <w:t xml:space="preserve">parce que </w:t>
      </w:r>
      <w:r w:rsidRPr="001E7CB3">
        <w:rPr>
          <w:szCs w:val="24"/>
          <w:lang w:val="fr-CA"/>
        </w:rPr>
        <w:t xml:space="preserve">le régime de pension </w:t>
      </w:r>
      <w:r>
        <w:rPr>
          <w:szCs w:val="24"/>
          <w:lang w:val="fr-CA"/>
        </w:rPr>
        <w:t>de la fonction publique n’étai</w:t>
      </w:r>
      <w:r w:rsidRPr="001E7CB3">
        <w:rPr>
          <w:szCs w:val="24"/>
          <w:lang w:val="fr-CA"/>
        </w:rPr>
        <w:t xml:space="preserve">t pas un régime </w:t>
      </w:r>
      <w:r>
        <w:rPr>
          <w:szCs w:val="24"/>
          <w:lang w:val="fr-CA"/>
        </w:rPr>
        <w:t>par capitalisation</w:t>
      </w:r>
      <w:r w:rsidRPr="001E7CB3">
        <w:rPr>
          <w:szCs w:val="24"/>
          <w:lang w:val="fr-CA"/>
        </w:rPr>
        <w:t xml:space="preserve"> et que les </w:t>
      </w:r>
      <w:r>
        <w:rPr>
          <w:szCs w:val="24"/>
          <w:lang w:val="fr-CA"/>
        </w:rPr>
        <w:t xml:space="preserve">montants </w:t>
      </w:r>
      <w:r w:rsidRPr="001E7CB3">
        <w:rPr>
          <w:szCs w:val="24"/>
          <w:lang w:val="fr-CA"/>
        </w:rPr>
        <w:t xml:space="preserve">amortis n’étaient pas des </w:t>
      </w:r>
      <w:r>
        <w:rPr>
          <w:szCs w:val="24"/>
          <w:lang w:val="fr-CA"/>
        </w:rPr>
        <w:t>éléments d’</w:t>
      </w:r>
      <w:r w:rsidRPr="001E7CB3">
        <w:rPr>
          <w:szCs w:val="24"/>
          <w:lang w:val="fr-CA"/>
        </w:rPr>
        <w:t xml:space="preserve">actif </w:t>
      </w:r>
      <w:r>
        <w:rPr>
          <w:szCs w:val="24"/>
          <w:lang w:val="fr-CA"/>
        </w:rPr>
        <w:t xml:space="preserve">qui avaient été </w:t>
      </w:r>
      <w:r w:rsidRPr="001E7CB3">
        <w:rPr>
          <w:szCs w:val="24"/>
          <w:lang w:val="fr-CA"/>
        </w:rPr>
        <w:t xml:space="preserve">retirés </w:t>
      </w:r>
      <w:r>
        <w:rPr>
          <w:szCs w:val="24"/>
          <w:lang w:val="fr-CA"/>
        </w:rPr>
        <w:t>des comptes de pension de retraite</w:t>
      </w:r>
      <w:r w:rsidRPr="001E7CB3">
        <w:rPr>
          <w:szCs w:val="24"/>
          <w:lang w:val="fr-CA"/>
        </w:rPr>
        <w:t xml:space="preserve">. </w:t>
      </w:r>
    </w:p>
    <w:p w:rsidR="000F48EC" w:rsidRPr="00C52F44" w:rsidRDefault="000F48EC" w:rsidP="000F48EC">
      <w:pPr>
        <w:pStyle w:val="ParaNoNdepar-AltN"/>
        <w:rPr>
          <w:szCs w:val="24"/>
          <w:lang w:val="fr-CA"/>
        </w:rPr>
      </w:pPr>
      <w:r w:rsidRPr="00C52F44">
        <w:rPr>
          <w:lang w:val="fr-CA"/>
        </w:rPr>
        <w:t xml:space="preserve">Selon le juge </w:t>
      </w:r>
      <w:proofErr w:type="spellStart"/>
      <w:r w:rsidRPr="00C52F44">
        <w:rPr>
          <w:lang w:val="fr-CA"/>
        </w:rPr>
        <w:t>Panet</w:t>
      </w:r>
      <w:proofErr w:type="spellEnd"/>
      <w:r w:rsidRPr="00C52F44">
        <w:rPr>
          <w:lang w:val="fr-CA"/>
        </w:rPr>
        <w:t xml:space="preserve">, les comptes de pension de retraite ne </w:t>
      </w:r>
      <w:r>
        <w:rPr>
          <w:lang w:val="fr-CA"/>
        </w:rPr>
        <w:t>contenaient</w:t>
      </w:r>
      <w:r w:rsidRPr="00C52F44">
        <w:rPr>
          <w:lang w:val="fr-CA"/>
        </w:rPr>
        <w:t xml:space="preserve"> </w:t>
      </w:r>
      <w:r>
        <w:rPr>
          <w:lang w:val="fr-CA"/>
        </w:rPr>
        <w:t>aucun élément</w:t>
      </w:r>
      <w:r w:rsidRPr="00C52F44">
        <w:rPr>
          <w:lang w:val="fr-CA"/>
        </w:rPr>
        <w:t xml:space="preserve"> d’actif.  Il s’agissait plutôt de comptes tenus par le gouvernement conformément à la </w:t>
      </w:r>
      <w:r w:rsidRPr="001D5386">
        <w:rPr>
          <w:i/>
          <w:lang w:val="fr-CA"/>
        </w:rPr>
        <w:t>LGFP</w:t>
      </w:r>
      <w:r w:rsidRPr="00C52F44">
        <w:rPr>
          <w:lang w:val="fr-CA"/>
        </w:rPr>
        <w:t>, pour comptabiliser et divulguer le passif estimatif au titre des pensions (le coût des engagements à ce titre).</w:t>
      </w:r>
    </w:p>
    <w:p w:rsidR="000F48EC" w:rsidRPr="001E7CB3" w:rsidRDefault="000F48EC" w:rsidP="000F48EC">
      <w:pPr>
        <w:pStyle w:val="ParaNoNdepar-AltN"/>
        <w:rPr>
          <w:lang w:val="fr-CA"/>
        </w:rPr>
      </w:pPr>
      <w:r w:rsidRPr="001E7CB3">
        <w:rPr>
          <w:lang w:val="fr-CA"/>
        </w:rPr>
        <w:t xml:space="preserve">Le juge </w:t>
      </w:r>
      <w:proofErr w:type="spellStart"/>
      <w:r w:rsidRPr="001E7CB3">
        <w:rPr>
          <w:lang w:val="fr-CA"/>
        </w:rPr>
        <w:t>Panet</w:t>
      </w:r>
      <w:proofErr w:type="spellEnd"/>
      <w:r w:rsidRPr="001E7CB3">
        <w:rPr>
          <w:lang w:val="fr-CA"/>
        </w:rPr>
        <w:t xml:space="preserve"> a examiné si le gouvernement avait emprunté </w:t>
      </w:r>
      <w:r>
        <w:rPr>
          <w:lang w:val="fr-CA"/>
        </w:rPr>
        <w:t>aux</w:t>
      </w:r>
      <w:r w:rsidRPr="001E7CB3">
        <w:rPr>
          <w:lang w:val="fr-CA"/>
        </w:rPr>
        <w:t xml:space="preserve"> comptes de pension de retraite la différence entre le</w:t>
      </w:r>
      <w:r>
        <w:rPr>
          <w:lang w:val="fr-CA"/>
        </w:rPr>
        <w:t xml:space="preserve"> montant de</w:t>
      </w:r>
      <w:r w:rsidRPr="001E7CB3">
        <w:rPr>
          <w:lang w:val="fr-CA"/>
        </w:rPr>
        <w:t>s contributions au</w:t>
      </w:r>
      <w:r>
        <w:rPr>
          <w:lang w:val="fr-CA"/>
        </w:rPr>
        <w:t>x régimes, majoré des intérêts,</w:t>
      </w:r>
      <w:r w:rsidRPr="001E7CB3">
        <w:rPr>
          <w:lang w:val="fr-CA"/>
        </w:rPr>
        <w:t xml:space="preserve"> et </w:t>
      </w:r>
      <w:r>
        <w:rPr>
          <w:lang w:val="fr-CA"/>
        </w:rPr>
        <w:t xml:space="preserve">celui </w:t>
      </w:r>
      <w:r w:rsidRPr="001E7CB3">
        <w:rPr>
          <w:lang w:val="fr-CA"/>
        </w:rPr>
        <w:t>de</w:t>
      </w:r>
      <w:r>
        <w:rPr>
          <w:lang w:val="fr-CA"/>
        </w:rPr>
        <w:t>s</w:t>
      </w:r>
      <w:r w:rsidRPr="001E7CB3">
        <w:rPr>
          <w:lang w:val="fr-CA"/>
        </w:rPr>
        <w:t xml:space="preserve"> prestations </w:t>
      </w:r>
      <w:r>
        <w:rPr>
          <w:lang w:val="fr-CA"/>
        </w:rPr>
        <w:t>prélevées sur les régimes.  I</w:t>
      </w:r>
      <w:r w:rsidRPr="001E7CB3">
        <w:rPr>
          <w:lang w:val="fr-CA"/>
        </w:rPr>
        <w:t xml:space="preserve">l a jugé que le gouvernement n’était débiteur </w:t>
      </w:r>
      <w:r>
        <w:rPr>
          <w:lang w:val="fr-CA"/>
        </w:rPr>
        <w:t xml:space="preserve">d’aucun montant </w:t>
      </w:r>
      <w:r w:rsidRPr="001E7CB3">
        <w:rPr>
          <w:lang w:val="fr-CA"/>
        </w:rPr>
        <w:t>envers ces comptes</w:t>
      </w:r>
      <w:r>
        <w:rPr>
          <w:lang w:val="fr-CA"/>
        </w:rPr>
        <w:t>.</w:t>
      </w:r>
    </w:p>
    <w:p w:rsidR="000F48EC" w:rsidRPr="001E7CB3" w:rsidRDefault="000F48EC" w:rsidP="000F48EC">
      <w:pPr>
        <w:pStyle w:val="ParaNoNdepar-AltN"/>
        <w:rPr>
          <w:lang w:val="fr-CA"/>
        </w:rPr>
      </w:pPr>
      <w:r w:rsidRPr="001E7CB3">
        <w:rPr>
          <w:lang w:val="fr-CA"/>
        </w:rPr>
        <w:t>Selon lui, l’obligation du gouvernement au titre des pensions</w:t>
      </w:r>
      <w:r>
        <w:rPr>
          <w:lang w:val="fr-CA"/>
        </w:rPr>
        <w:t xml:space="preserve"> tire son origine des lois sur les pensions et non des comptes.  Les</w:t>
      </w:r>
      <w:r w:rsidRPr="001E7CB3">
        <w:rPr>
          <w:lang w:val="fr-CA"/>
        </w:rPr>
        <w:t xml:space="preserve"> comptes de pension de retraite sont en fait une estimation des coûts d</w:t>
      </w:r>
      <w:r>
        <w:rPr>
          <w:lang w:val="fr-CA"/>
        </w:rPr>
        <w:t xml:space="preserve">e l’engagement du gouvernement </w:t>
      </w:r>
      <w:r w:rsidRPr="001E7CB3">
        <w:rPr>
          <w:lang w:val="fr-CA"/>
        </w:rPr>
        <w:t xml:space="preserve">au titre des pensions.  </w:t>
      </w:r>
      <w:r>
        <w:rPr>
          <w:lang w:val="fr-CA"/>
        </w:rPr>
        <w:t xml:space="preserve">Le juge </w:t>
      </w:r>
      <w:proofErr w:type="spellStart"/>
      <w:r>
        <w:rPr>
          <w:lang w:val="fr-CA"/>
        </w:rPr>
        <w:t>Panet</w:t>
      </w:r>
      <w:proofErr w:type="spellEnd"/>
      <w:r w:rsidRPr="001E7CB3">
        <w:rPr>
          <w:lang w:val="fr-CA"/>
        </w:rPr>
        <w:t xml:space="preserve"> a examiné les rapports actuariels périodiques soumis </w:t>
      </w:r>
      <w:r w:rsidRPr="001E7CB3">
        <w:rPr>
          <w:lang w:val="fr-CA"/>
        </w:rPr>
        <w:lastRenderedPageBreak/>
        <w:t xml:space="preserve">au Parlement, </w:t>
      </w:r>
      <w:r>
        <w:rPr>
          <w:lang w:val="fr-CA"/>
        </w:rPr>
        <w:t>qui font</w:t>
      </w:r>
      <w:r w:rsidRPr="001E7CB3">
        <w:rPr>
          <w:lang w:val="fr-CA"/>
        </w:rPr>
        <w:t xml:space="preserve"> mention de l’actif et du passif des régimes, mais il a jugé que l’utilisation du mot « </w:t>
      </w:r>
      <w:r>
        <w:rPr>
          <w:lang w:val="fr-CA"/>
        </w:rPr>
        <w:t>actif</w:t>
      </w:r>
      <w:r w:rsidRPr="001E7CB3">
        <w:rPr>
          <w:lang w:val="fr-CA"/>
        </w:rPr>
        <w:t> »</w:t>
      </w:r>
      <w:r>
        <w:rPr>
          <w:lang w:val="fr-CA"/>
        </w:rPr>
        <w:t xml:space="preserve"> </w:t>
      </w:r>
      <w:r w:rsidRPr="001E7CB3">
        <w:rPr>
          <w:lang w:val="fr-CA"/>
        </w:rPr>
        <w:t>dans ces rapports ne correspondait pas au sens ordinaire de ce mot</w:t>
      </w:r>
      <w:r>
        <w:rPr>
          <w:lang w:val="fr-CA"/>
        </w:rPr>
        <w:t>.  Le terme « actif » était employé</w:t>
      </w:r>
      <w:r w:rsidRPr="001E7CB3">
        <w:rPr>
          <w:lang w:val="fr-CA"/>
        </w:rPr>
        <w:t xml:space="preserve"> pour désigner le montant des contributions des employés et du gouvernement</w:t>
      </w:r>
      <w:r w:rsidR="001D5386">
        <w:rPr>
          <w:lang w:val="fr-CA"/>
        </w:rPr>
        <w:t>,</w:t>
      </w:r>
      <w:r w:rsidRPr="001E7CB3">
        <w:rPr>
          <w:lang w:val="fr-CA"/>
        </w:rPr>
        <w:t xml:space="preserve"> réduit des prestations versées, </w:t>
      </w:r>
      <w:r>
        <w:rPr>
          <w:lang w:val="fr-CA"/>
        </w:rPr>
        <w:t xml:space="preserve">inscrit dans les états financiers, </w:t>
      </w:r>
      <w:r w:rsidRPr="001E7CB3">
        <w:rPr>
          <w:lang w:val="fr-CA"/>
        </w:rPr>
        <w:t>c’est</w:t>
      </w:r>
      <w:r>
        <w:rPr>
          <w:lang w:val="fr-CA"/>
        </w:rPr>
        <w:noBreakHyphen/>
      </w:r>
      <w:proofErr w:type="spellStart"/>
      <w:r w:rsidRPr="001E7CB3">
        <w:rPr>
          <w:lang w:val="fr-CA"/>
        </w:rPr>
        <w:t>à</w:t>
      </w:r>
      <w:r>
        <w:rPr>
          <w:lang w:val="fr-CA"/>
        </w:rPr>
        <w:noBreakHyphen/>
      </w:r>
      <w:r w:rsidRPr="001E7CB3">
        <w:rPr>
          <w:lang w:val="fr-CA"/>
        </w:rPr>
        <w:t>dire</w:t>
      </w:r>
      <w:proofErr w:type="spellEnd"/>
      <w:r w:rsidRPr="001E7CB3">
        <w:rPr>
          <w:lang w:val="fr-CA"/>
        </w:rPr>
        <w:t xml:space="preserve"> le solde des</w:t>
      </w:r>
      <w:r w:rsidR="001D5386">
        <w:rPr>
          <w:lang w:val="fr-CA"/>
        </w:rPr>
        <w:t xml:space="preserve"> comptes de pension de retraite</w:t>
      </w:r>
      <w:r w:rsidRPr="001E7CB3">
        <w:rPr>
          <w:lang w:val="fr-CA"/>
        </w:rPr>
        <w:t xml:space="preserve">. </w:t>
      </w:r>
    </w:p>
    <w:p w:rsidR="000F48EC" w:rsidRPr="001E7CB3" w:rsidRDefault="000F48EC" w:rsidP="000F48EC">
      <w:pPr>
        <w:pStyle w:val="ParaNoNdepar-AltN"/>
        <w:rPr>
          <w:szCs w:val="24"/>
          <w:lang w:val="fr-CA"/>
        </w:rPr>
      </w:pPr>
      <w:r w:rsidRPr="001E7CB3">
        <w:rPr>
          <w:szCs w:val="24"/>
          <w:lang w:val="fr-CA"/>
        </w:rPr>
        <w:t xml:space="preserve">En dépit de sa conclusion que les comptes de pension de retraite ne </w:t>
      </w:r>
      <w:r>
        <w:rPr>
          <w:lang w:val="fr-CA"/>
        </w:rPr>
        <w:t>contenaient</w:t>
      </w:r>
      <w:r w:rsidRPr="00C52F44">
        <w:rPr>
          <w:lang w:val="fr-CA"/>
        </w:rPr>
        <w:t xml:space="preserve"> </w:t>
      </w:r>
      <w:r w:rsidRPr="001E7CB3">
        <w:rPr>
          <w:szCs w:val="24"/>
          <w:lang w:val="fr-CA"/>
        </w:rPr>
        <w:t>pas d’</w:t>
      </w:r>
      <w:r>
        <w:rPr>
          <w:szCs w:val="24"/>
          <w:lang w:val="fr-CA"/>
        </w:rPr>
        <w:t>éléments d’</w:t>
      </w:r>
      <w:r w:rsidRPr="001E7CB3">
        <w:rPr>
          <w:szCs w:val="24"/>
          <w:lang w:val="fr-CA"/>
        </w:rPr>
        <w:t xml:space="preserve">actif, le juge </w:t>
      </w:r>
      <w:proofErr w:type="spellStart"/>
      <w:r w:rsidRPr="001E7CB3">
        <w:rPr>
          <w:szCs w:val="24"/>
          <w:lang w:val="fr-CA"/>
        </w:rPr>
        <w:t>Panet</w:t>
      </w:r>
      <w:proofErr w:type="spellEnd"/>
      <w:r w:rsidRPr="001E7CB3">
        <w:rPr>
          <w:szCs w:val="24"/>
          <w:lang w:val="fr-CA"/>
        </w:rPr>
        <w:t xml:space="preserve"> a examiné </w:t>
      </w:r>
      <w:r>
        <w:rPr>
          <w:szCs w:val="24"/>
          <w:lang w:val="fr-CA"/>
        </w:rPr>
        <w:t xml:space="preserve">la question de savoir </w:t>
      </w:r>
      <w:r w:rsidRPr="001E7CB3">
        <w:rPr>
          <w:szCs w:val="24"/>
          <w:lang w:val="fr-CA"/>
        </w:rPr>
        <w:t>si le projet de loi C</w:t>
      </w:r>
      <w:r>
        <w:rPr>
          <w:szCs w:val="24"/>
          <w:lang w:val="fr-CA"/>
        </w:rPr>
        <w:noBreakHyphen/>
      </w:r>
      <w:r w:rsidRPr="001E7CB3">
        <w:rPr>
          <w:szCs w:val="24"/>
          <w:lang w:val="fr-CA"/>
        </w:rPr>
        <w:t xml:space="preserve">78 avait exproprié un </w:t>
      </w:r>
      <w:r>
        <w:rPr>
          <w:szCs w:val="24"/>
          <w:lang w:val="fr-CA"/>
        </w:rPr>
        <w:t>intérêt</w:t>
      </w:r>
      <w:r w:rsidRPr="001E7CB3">
        <w:rPr>
          <w:szCs w:val="24"/>
          <w:lang w:val="fr-CA"/>
        </w:rPr>
        <w:t xml:space="preserve"> </w:t>
      </w:r>
      <w:r>
        <w:rPr>
          <w:szCs w:val="24"/>
          <w:lang w:val="fr-CA"/>
        </w:rPr>
        <w:t xml:space="preserve">quelconque </w:t>
      </w:r>
      <w:r w:rsidRPr="001E7CB3">
        <w:rPr>
          <w:szCs w:val="24"/>
          <w:lang w:val="fr-CA"/>
        </w:rPr>
        <w:t xml:space="preserve">des membres des régimes </w:t>
      </w:r>
      <w:r>
        <w:rPr>
          <w:szCs w:val="24"/>
          <w:lang w:val="fr-CA"/>
        </w:rPr>
        <w:t>dans</w:t>
      </w:r>
      <w:r w:rsidRPr="001E7CB3">
        <w:rPr>
          <w:szCs w:val="24"/>
          <w:lang w:val="fr-CA"/>
        </w:rPr>
        <w:t xml:space="preserve"> les surplus.  Il a estimé que le projet de loi </w:t>
      </w:r>
      <w:r>
        <w:rPr>
          <w:szCs w:val="24"/>
          <w:lang w:val="fr-CA"/>
        </w:rPr>
        <w:t>obligeait le</w:t>
      </w:r>
      <w:r w:rsidRPr="001E7CB3">
        <w:rPr>
          <w:szCs w:val="24"/>
          <w:lang w:val="fr-CA"/>
        </w:rPr>
        <w:t xml:space="preserve"> ministre</w:t>
      </w:r>
      <w:r>
        <w:rPr>
          <w:szCs w:val="24"/>
          <w:lang w:val="fr-CA"/>
        </w:rPr>
        <w:t>,</w:t>
      </w:r>
      <w:r w:rsidRPr="00B2643C">
        <w:rPr>
          <w:szCs w:val="24"/>
          <w:lang w:val="fr-CA"/>
        </w:rPr>
        <w:t xml:space="preserve"> </w:t>
      </w:r>
      <w:r w:rsidRPr="001E7CB3">
        <w:rPr>
          <w:szCs w:val="24"/>
          <w:lang w:val="fr-CA"/>
        </w:rPr>
        <w:t xml:space="preserve">en </w:t>
      </w:r>
      <w:r>
        <w:rPr>
          <w:szCs w:val="24"/>
          <w:lang w:val="fr-CA"/>
        </w:rPr>
        <w:t>termes clairs et non équivoques,</w:t>
      </w:r>
      <w:r w:rsidRPr="001E7CB3">
        <w:rPr>
          <w:szCs w:val="24"/>
          <w:lang w:val="fr-CA"/>
        </w:rPr>
        <w:t xml:space="preserve"> </w:t>
      </w:r>
      <w:r>
        <w:rPr>
          <w:szCs w:val="24"/>
          <w:lang w:val="fr-CA"/>
        </w:rPr>
        <w:t>à</w:t>
      </w:r>
      <w:r w:rsidRPr="001E7CB3">
        <w:rPr>
          <w:szCs w:val="24"/>
          <w:lang w:val="fr-CA"/>
        </w:rPr>
        <w:t xml:space="preserve"> porter au débit des comptes de pension de retraite tout </w:t>
      </w:r>
      <w:r>
        <w:rPr>
          <w:szCs w:val="24"/>
          <w:lang w:val="fr-CA"/>
        </w:rPr>
        <w:t>montant excédant</w:t>
      </w:r>
      <w:r w:rsidRPr="001E7CB3">
        <w:rPr>
          <w:szCs w:val="24"/>
          <w:lang w:val="fr-CA"/>
        </w:rPr>
        <w:t xml:space="preserve"> </w:t>
      </w:r>
      <w:r>
        <w:rPr>
          <w:szCs w:val="24"/>
          <w:lang w:val="fr-CA"/>
        </w:rPr>
        <w:t>110 pour 100</w:t>
      </w:r>
      <w:r w:rsidRPr="001E7CB3">
        <w:rPr>
          <w:szCs w:val="24"/>
          <w:lang w:val="fr-CA"/>
        </w:rPr>
        <w:t xml:space="preserve"> du montant estimatif nécessaire </w:t>
      </w:r>
      <w:r>
        <w:rPr>
          <w:szCs w:val="24"/>
          <w:lang w:val="fr-CA"/>
        </w:rPr>
        <w:t xml:space="preserve">à l’exécution des obligations </w:t>
      </w:r>
      <w:r w:rsidRPr="001E7CB3">
        <w:rPr>
          <w:szCs w:val="24"/>
          <w:lang w:val="fr-CA"/>
        </w:rPr>
        <w:t>au titre des pensions et qu</w:t>
      </w:r>
      <w:r>
        <w:rPr>
          <w:szCs w:val="24"/>
          <w:lang w:val="fr-CA"/>
        </w:rPr>
        <w:t xml:space="preserve">’il lui conférait le </w:t>
      </w:r>
      <w:r w:rsidRPr="001E7CB3">
        <w:rPr>
          <w:szCs w:val="24"/>
          <w:lang w:val="fr-CA"/>
        </w:rPr>
        <w:t xml:space="preserve">pouvoir discrétionnaire de </w:t>
      </w:r>
      <w:r>
        <w:rPr>
          <w:szCs w:val="24"/>
          <w:lang w:val="fr-CA"/>
        </w:rPr>
        <w:t xml:space="preserve">débiter </w:t>
      </w:r>
      <w:r w:rsidRPr="001E7CB3">
        <w:rPr>
          <w:szCs w:val="24"/>
          <w:lang w:val="fr-CA"/>
        </w:rPr>
        <w:t xml:space="preserve">tout </w:t>
      </w:r>
      <w:r>
        <w:rPr>
          <w:szCs w:val="24"/>
          <w:lang w:val="fr-CA"/>
        </w:rPr>
        <w:t xml:space="preserve">autre </w:t>
      </w:r>
      <w:r w:rsidRPr="001E7CB3">
        <w:rPr>
          <w:szCs w:val="24"/>
          <w:lang w:val="fr-CA"/>
        </w:rPr>
        <w:t>surplus de</w:t>
      </w:r>
      <w:r>
        <w:rPr>
          <w:szCs w:val="24"/>
          <w:lang w:val="fr-CA"/>
        </w:rPr>
        <w:t xml:space="preserve"> ce</w:t>
      </w:r>
      <w:r w:rsidRPr="001E7CB3">
        <w:rPr>
          <w:szCs w:val="24"/>
          <w:lang w:val="fr-CA"/>
        </w:rPr>
        <w:t xml:space="preserve">s comptes. </w:t>
      </w:r>
    </w:p>
    <w:p w:rsidR="000F48EC" w:rsidRPr="001E7CB3" w:rsidRDefault="000F48EC" w:rsidP="000F48EC">
      <w:pPr>
        <w:pStyle w:val="ParaNoNdepar-AltN"/>
        <w:rPr>
          <w:szCs w:val="24"/>
          <w:lang w:val="fr-CA"/>
        </w:rPr>
      </w:pPr>
      <w:r w:rsidRPr="001E7CB3">
        <w:rPr>
          <w:szCs w:val="24"/>
          <w:lang w:val="fr-CA"/>
        </w:rPr>
        <w:t xml:space="preserve">Enfin, le juge </w:t>
      </w:r>
      <w:proofErr w:type="spellStart"/>
      <w:r w:rsidRPr="001E7CB3">
        <w:rPr>
          <w:szCs w:val="24"/>
          <w:lang w:val="fr-CA"/>
        </w:rPr>
        <w:t>Panet</w:t>
      </w:r>
      <w:proofErr w:type="spellEnd"/>
      <w:r w:rsidRPr="001E7CB3">
        <w:rPr>
          <w:szCs w:val="24"/>
          <w:lang w:val="fr-CA"/>
        </w:rPr>
        <w:t xml:space="preserve"> a </w:t>
      </w:r>
      <w:r>
        <w:rPr>
          <w:szCs w:val="24"/>
          <w:lang w:val="fr-CA"/>
        </w:rPr>
        <w:t>écarté</w:t>
      </w:r>
      <w:r w:rsidRPr="001E7CB3">
        <w:rPr>
          <w:szCs w:val="24"/>
          <w:lang w:val="fr-CA"/>
        </w:rPr>
        <w:t xml:space="preserve"> </w:t>
      </w:r>
      <w:r>
        <w:rPr>
          <w:szCs w:val="24"/>
          <w:lang w:val="fr-CA"/>
        </w:rPr>
        <w:t>la prétention</w:t>
      </w:r>
      <w:r w:rsidRPr="001E7CB3">
        <w:rPr>
          <w:szCs w:val="24"/>
          <w:lang w:val="fr-CA"/>
        </w:rPr>
        <w:t xml:space="preserve"> des appelants que le projet de loi C</w:t>
      </w:r>
      <w:r>
        <w:rPr>
          <w:szCs w:val="24"/>
          <w:lang w:val="fr-CA"/>
        </w:rPr>
        <w:noBreakHyphen/>
      </w:r>
      <w:r w:rsidRPr="001E7CB3">
        <w:rPr>
          <w:szCs w:val="24"/>
          <w:lang w:val="fr-CA"/>
        </w:rPr>
        <w:t xml:space="preserve">78 </w:t>
      </w:r>
      <w:r>
        <w:rPr>
          <w:szCs w:val="24"/>
          <w:lang w:val="fr-CA"/>
        </w:rPr>
        <w:t>portait atteinte aux</w:t>
      </w:r>
      <w:r w:rsidRPr="001E7CB3">
        <w:rPr>
          <w:szCs w:val="24"/>
          <w:lang w:val="fr-CA"/>
        </w:rPr>
        <w:t xml:space="preserve"> droits des membres des </w:t>
      </w:r>
      <w:r>
        <w:rPr>
          <w:szCs w:val="24"/>
          <w:lang w:val="fr-CA"/>
        </w:rPr>
        <w:t>régimes</w:t>
      </w:r>
      <w:r w:rsidRPr="001E7CB3">
        <w:rPr>
          <w:szCs w:val="24"/>
          <w:lang w:val="fr-CA"/>
        </w:rPr>
        <w:t xml:space="preserve"> garantis par la </w:t>
      </w:r>
      <w:r w:rsidRPr="001E7CB3">
        <w:rPr>
          <w:i/>
          <w:szCs w:val="24"/>
          <w:lang w:val="fr-CA"/>
        </w:rPr>
        <w:t>Charte</w:t>
      </w:r>
      <w:r w:rsidRPr="001E7CB3">
        <w:rPr>
          <w:szCs w:val="24"/>
          <w:lang w:val="fr-CA"/>
        </w:rPr>
        <w:t xml:space="preserve">.  </w:t>
      </w:r>
    </w:p>
    <w:p w:rsidR="000F48EC" w:rsidRPr="001E7CB3" w:rsidRDefault="000F48EC" w:rsidP="000F48EC">
      <w:pPr>
        <w:pStyle w:val="ParaNoNdepar-AltN"/>
        <w:rPr>
          <w:szCs w:val="24"/>
          <w:lang w:val="fr-CA"/>
        </w:rPr>
      </w:pPr>
      <w:r w:rsidRPr="001E7CB3">
        <w:rPr>
          <w:szCs w:val="24"/>
          <w:lang w:val="fr-CA"/>
        </w:rPr>
        <w:t xml:space="preserve">Le juge </w:t>
      </w:r>
      <w:proofErr w:type="spellStart"/>
      <w:r w:rsidRPr="001E7CB3">
        <w:rPr>
          <w:szCs w:val="24"/>
          <w:lang w:val="fr-CA"/>
        </w:rPr>
        <w:t>Panet</w:t>
      </w:r>
      <w:proofErr w:type="spellEnd"/>
      <w:r w:rsidRPr="001E7CB3">
        <w:rPr>
          <w:szCs w:val="24"/>
          <w:lang w:val="fr-CA"/>
        </w:rPr>
        <w:t xml:space="preserve"> a conclu qu’il n’y avait pas lieu de rendre le jugement déclaratoire demandé. </w:t>
      </w:r>
    </w:p>
    <w:p w:rsidR="000F48EC" w:rsidRPr="00B212BD" w:rsidRDefault="000F48EC" w:rsidP="001D5386">
      <w:pPr>
        <w:pStyle w:val="TitleTitre-AltT"/>
        <w:keepNext/>
        <w:tabs>
          <w:tab w:val="clear" w:pos="360"/>
          <w:tab w:val="left" w:pos="540"/>
        </w:tabs>
        <w:ind w:left="540" w:hanging="540"/>
        <w:rPr>
          <w:i/>
          <w:szCs w:val="24"/>
          <w:lang w:val="fr-CA"/>
        </w:rPr>
      </w:pPr>
      <w:r w:rsidRPr="0095105B">
        <w:rPr>
          <w:szCs w:val="24"/>
          <w:lang w:val="fr-CA"/>
        </w:rPr>
        <w:lastRenderedPageBreak/>
        <w:t>B.</w:t>
      </w:r>
      <w:r>
        <w:rPr>
          <w:i/>
          <w:szCs w:val="24"/>
          <w:lang w:val="fr-CA"/>
        </w:rPr>
        <w:tab/>
      </w:r>
      <w:r w:rsidRPr="00B212BD">
        <w:rPr>
          <w:i/>
          <w:szCs w:val="24"/>
          <w:lang w:val="fr-CA"/>
        </w:rPr>
        <w:t xml:space="preserve">La Cour </w:t>
      </w:r>
      <w:r w:rsidRPr="00B212BD">
        <w:rPr>
          <w:i/>
          <w:lang w:val="fr-CA"/>
        </w:rPr>
        <w:t>d’appel</w:t>
      </w:r>
      <w:r w:rsidRPr="00B212BD">
        <w:rPr>
          <w:i/>
          <w:szCs w:val="24"/>
          <w:lang w:val="fr-CA"/>
        </w:rPr>
        <w:t xml:space="preserve"> de l’Ontario (la juge </w:t>
      </w:r>
      <w:proofErr w:type="spellStart"/>
      <w:r w:rsidRPr="00B212BD">
        <w:rPr>
          <w:i/>
          <w:szCs w:val="24"/>
          <w:lang w:val="fr-CA"/>
        </w:rPr>
        <w:t>Gillese</w:t>
      </w:r>
      <w:proofErr w:type="spellEnd"/>
      <w:r w:rsidRPr="00B212BD">
        <w:rPr>
          <w:i/>
          <w:szCs w:val="24"/>
          <w:lang w:val="fr-CA"/>
        </w:rPr>
        <w:t xml:space="preserve">, </w:t>
      </w:r>
      <w:r>
        <w:rPr>
          <w:i/>
          <w:szCs w:val="24"/>
          <w:lang w:val="fr-CA"/>
        </w:rPr>
        <w:t>avec l’accord d</w:t>
      </w:r>
      <w:r w:rsidRPr="00B212BD">
        <w:rPr>
          <w:i/>
          <w:szCs w:val="24"/>
          <w:lang w:val="fr-CA"/>
        </w:rPr>
        <w:t xml:space="preserve">es juges </w:t>
      </w:r>
      <w:proofErr w:type="spellStart"/>
      <w:r w:rsidRPr="00B212BD">
        <w:rPr>
          <w:i/>
          <w:szCs w:val="24"/>
          <w:lang w:val="fr-CA"/>
        </w:rPr>
        <w:t>Laskin</w:t>
      </w:r>
      <w:proofErr w:type="spellEnd"/>
      <w:r w:rsidRPr="00B212BD">
        <w:rPr>
          <w:i/>
          <w:szCs w:val="24"/>
          <w:lang w:val="fr-CA"/>
        </w:rPr>
        <w:t xml:space="preserve"> et </w:t>
      </w:r>
      <w:proofErr w:type="spellStart"/>
      <w:r w:rsidRPr="00B212BD">
        <w:rPr>
          <w:i/>
          <w:szCs w:val="24"/>
          <w:lang w:val="fr-CA"/>
        </w:rPr>
        <w:t>Juriansz</w:t>
      </w:r>
      <w:proofErr w:type="spellEnd"/>
      <w:r w:rsidRPr="00B212BD">
        <w:rPr>
          <w:i/>
          <w:szCs w:val="24"/>
          <w:lang w:val="fr-CA"/>
        </w:rPr>
        <w:t>)</w:t>
      </w:r>
      <w:r w:rsidR="001D5386" w:rsidRPr="001D5386">
        <w:rPr>
          <w:szCs w:val="24"/>
          <w:lang w:val="fr-CA"/>
        </w:rPr>
        <w:t>, 2010 ONCA 657, 102 O.R. (3d) 241</w:t>
      </w:r>
    </w:p>
    <w:p w:rsidR="000F48EC" w:rsidRPr="001E7CB3" w:rsidRDefault="000F48EC" w:rsidP="000F48EC">
      <w:pPr>
        <w:pStyle w:val="ParaNoNdepar-AltN"/>
        <w:rPr>
          <w:szCs w:val="24"/>
          <w:lang w:val="fr-CA"/>
        </w:rPr>
      </w:pPr>
      <w:r w:rsidRPr="001E7CB3">
        <w:rPr>
          <w:szCs w:val="24"/>
          <w:lang w:val="fr-CA"/>
        </w:rPr>
        <w:t xml:space="preserve">La juge </w:t>
      </w:r>
      <w:proofErr w:type="spellStart"/>
      <w:r w:rsidRPr="001E7CB3">
        <w:rPr>
          <w:szCs w:val="24"/>
          <w:lang w:val="fr-CA"/>
        </w:rPr>
        <w:t>Gillese</w:t>
      </w:r>
      <w:proofErr w:type="spellEnd"/>
      <w:r w:rsidRPr="001E7CB3">
        <w:rPr>
          <w:szCs w:val="24"/>
          <w:lang w:val="fr-CA"/>
        </w:rPr>
        <w:t xml:space="preserve"> a estimé qu</w:t>
      </w:r>
      <w:r>
        <w:rPr>
          <w:szCs w:val="24"/>
          <w:lang w:val="fr-CA"/>
        </w:rPr>
        <w:t>’</w:t>
      </w:r>
      <w:r w:rsidRPr="001E7CB3">
        <w:rPr>
          <w:szCs w:val="24"/>
          <w:lang w:val="fr-CA"/>
        </w:rPr>
        <w:t xml:space="preserve">en dépit de l’emploi du mot </w:t>
      </w:r>
      <w:r>
        <w:rPr>
          <w:szCs w:val="24"/>
          <w:lang w:val="fr-CA"/>
        </w:rPr>
        <w:t>« </w:t>
      </w:r>
      <w:r w:rsidRPr="001E7CB3">
        <w:rPr>
          <w:szCs w:val="24"/>
          <w:lang w:val="fr-CA"/>
        </w:rPr>
        <w:t xml:space="preserve">actif » dans la </w:t>
      </w:r>
      <w:r w:rsidRPr="001D5386">
        <w:rPr>
          <w:i/>
          <w:szCs w:val="24"/>
          <w:lang w:val="fr-CA"/>
        </w:rPr>
        <w:t>LPFP</w:t>
      </w:r>
      <w:r>
        <w:rPr>
          <w:szCs w:val="24"/>
          <w:lang w:val="fr-CA"/>
        </w:rPr>
        <w:t>,</w:t>
      </w:r>
      <w:r w:rsidRPr="001E7CB3">
        <w:rPr>
          <w:szCs w:val="24"/>
          <w:lang w:val="fr-CA"/>
        </w:rPr>
        <w:t xml:space="preserve"> le juge de première instance n’avait pas fait erreur en affirmant que les comptes de pension de retraite ne </w:t>
      </w:r>
      <w:r>
        <w:rPr>
          <w:lang w:val="fr-CA"/>
        </w:rPr>
        <w:t>contenaient</w:t>
      </w:r>
      <w:r w:rsidRPr="00C52F44">
        <w:rPr>
          <w:lang w:val="fr-CA"/>
        </w:rPr>
        <w:t xml:space="preserve"> </w:t>
      </w:r>
      <w:r w:rsidRPr="001E7CB3">
        <w:rPr>
          <w:szCs w:val="24"/>
          <w:lang w:val="fr-CA"/>
        </w:rPr>
        <w:t>pas d’</w:t>
      </w:r>
      <w:r>
        <w:rPr>
          <w:szCs w:val="24"/>
          <w:lang w:val="fr-CA"/>
        </w:rPr>
        <w:t>éléments d’</w:t>
      </w:r>
      <w:r w:rsidRPr="001E7CB3">
        <w:rPr>
          <w:szCs w:val="24"/>
          <w:lang w:val="fr-CA"/>
        </w:rPr>
        <w:t>actif.  Selon elle, ces comptes étaient des [</w:t>
      </w:r>
      <w:r w:rsidRPr="00B2643C">
        <w:rPr>
          <w:smallCaps/>
          <w:szCs w:val="24"/>
          <w:lang w:val="fr-CA"/>
        </w:rPr>
        <w:t>traduction</w:t>
      </w:r>
      <w:r w:rsidRPr="001E7CB3">
        <w:rPr>
          <w:szCs w:val="24"/>
          <w:lang w:val="fr-CA"/>
        </w:rPr>
        <w:t xml:space="preserve">] « livres comptables prescrits par la loi », </w:t>
      </w:r>
      <w:r>
        <w:rPr>
          <w:szCs w:val="24"/>
          <w:lang w:val="fr-CA"/>
        </w:rPr>
        <w:t>servant</w:t>
      </w:r>
      <w:r w:rsidRPr="001E7CB3">
        <w:rPr>
          <w:szCs w:val="24"/>
          <w:lang w:val="fr-CA"/>
        </w:rPr>
        <w:t xml:space="preserve"> à co</w:t>
      </w:r>
      <w:r>
        <w:rPr>
          <w:szCs w:val="24"/>
          <w:lang w:val="fr-CA"/>
        </w:rPr>
        <w:t>mptabiliser</w:t>
      </w:r>
      <w:r w:rsidRPr="001E7CB3">
        <w:rPr>
          <w:szCs w:val="24"/>
          <w:lang w:val="fr-CA"/>
        </w:rPr>
        <w:t xml:space="preserve"> les montants portés au crédit des régimes et </w:t>
      </w:r>
      <w:r>
        <w:rPr>
          <w:szCs w:val="24"/>
          <w:lang w:val="fr-CA"/>
        </w:rPr>
        <w:t xml:space="preserve">le passif estimatif afférent </w:t>
      </w:r>
      <w:r w:rsidRPr="001E7CB3">
        <w:rPr>
          <w:szCs w:val="24"/>
          <w:lang w:val="fr-CA"/>
        </w:rPr>
        <w:t>au versement des prestations aux membres des régimes.  Les [</w:t>
      </w:r>
      <w:r w:rsidRPr="00B2643C">
        <w:rPr>
          <w:smallCaps/>
          <w:szCs w:val="24"/>
          <w:lang w:val="fr-CA"/>
        </w:rPr>
        <w:t>traduction</w:t>
      </w:r>
      <w:r w:rsidRPr="001E7CB3">
        <w:rPr>
          <w:szCs w:val="24"/>
          <w:lang w:val="fr-CA"/>
        </w:rPr>
        <w:t>] «</w:t>
      </w:r>
      <w:r>
        <w:rPr>
          <w:szCs w:val="24"/>
          <w:lang w:val="fr-CA"/>
        </w:rPr>
        <w:t> fonds</w:t>
      </w:r>
      <w:r w:rsidRPr="001E7CB3">
        <w:rPr>
          <w:szCs w:val="24"/>
          <w:lang w:val="fr-CA"/>
        </w:rPr>
        <w:t xml:space="preserve"> réels » retenus sur le salaire des employés étaient déposés (conservés) au Trésor et devenaient partie intégrante des fonds publics, tandis qu’une inscription correspondante était portée au crédit du compte de pension de retraite concerné</w:t>
      </w:r>
      <w:r>
        <w:rPr>
          <w:szCs w:val="24"/>
          <w:lang w:val="fr-CA"/>
        </w:rPr>
        <w:t xml:space="preserve"> (par. 49 à 52)</w:t>
      </w:r>
      <w:r w:rsidRPr="001E7CB3">
        <w:rPr>
          <w:szCs w:val="24"/>
          <w:lang w:val="fr-CA"/>
        </w:rPr>
        <w:t xml:space="preserve">.  </w:t>
      </w:r>
    </w:p>
    <w:p w:rsidR="000F48EC" w:rsidRPr="001E7CB3" w:rsidRDefault="000F48EC" w:rsidP="000F48EC">
      <w:pPr>
        <w:pStyle w:val="ParaNoNdepar-AltN"/>
        <w:rPr>
          <w:szCs w:val="24"/>
          <w:lang w:val="fr-CA"/>
        </w:rPr>
      </w:pPr>
      <w:r>
        <w:rPr>
          <w:szCs w:val="24"/>
          <w:lang w:val="fr-CA"/>
        </w:rPr>
        <w:t>Selon l</w:t>
      </w:r>
      <w:r w:rsidRPr="001E7CB3">
        <w:rPr>
          <w:szCs w:val="24"/>
          <w:lang w:val="fr-CA"/>
        </w:rPr>
        <w:t>a juge</w:t>
      </w:r>
      <w:r w:rsidRPr="009C4B38">
        <w:rPr>
          <w:szCs w:val="24"/>
          <w:lang w:val="fr-CA"/>
        </w:rPr>
        <w:t xml:space="preserve"> </w:t>
      </w:r>
      <w:proofErr w:type="spellStart"/>
      <w:r w:rsidRPr="001E7CB3">
        <w:rPr>
          <w:szCs w:val="24"/>
          <w:lang w:val="fr-CA"/>
        </w:rPr>
        <w:t>Gillese</w:t>
      </w:r>
      <w:proofErr w:type="spellEnd"/>
      <w:r w:rsidRPr="001E7CB3">
        <w:rPr>
          <w:szCs w:val="24"/>
          <w:lang w:val="fr-CA"/>
        </w:rPr>
        <w:t xml:space="preserve">, bien que des documents gouvernementaux </w:t>
      </w:r>
      <w:r>
        <w:rPr>
          <w:szCs w:val="24"/>
          <w:lang w:val="fr-CA"/>
        </w:rPr>
        <w:t xml:space="preserve">fassent état de régimes à </w:t>
      </w:r>
      <w:r w:rsidRPr="001E7CB3">
        <w:rPr>
          <w:szCs w:val="24"/>
          <w:lang w:val="fr-CA"/>
        </w:rPr>
        <w:t>[</w:t>
      </w:r>
      <w:r w:rsidRPr="00B2643C">
        <w:rPr>
          <w:smallCaps/>
          <w:szCs w:val="24"/>
          <w:lang w:val="fr-CA"/>
        </w:rPr>
        <w:t>traduction</w:t>
      </w:r>
      <w:r w:rsidRPr="001E7CB3">
        <w:rPr>
          <w:szCs w:val="24"/>
          <w:lang w:val="fr-CA"/>
        </w:rPr>
        <w:t>] « </w:t>
      </w:r>
      <w:r>
        <w:rPr>
          <w:szCs w:val="24"/>
          <w:lang w:val="fr-CA"/>
        </w:rPr>
        <w:t>capitalisation intégrale</w:t>
      </w:r>
      <w:r w:rsidRPr="001E7CB3">
        <w:rPr>
          <w:szCs w:val="24"/>
          <w:lang w:val="fr-CA"/>
        </w:rPr>
        <w:t> », ces mots signifi</w:t>
      </w:r>
      <w:r>
        <w:rPr>
          <w:szCs w:val="24"/>
          <w:lang w:val="fr-CA"/>
        </w:rPr>
        <w:t>ai</w:t>
      </w:r>
      <w:r w:rsidRPr="001E7CB3">
        <w:rPr>
          <w:szCs w:val="24"/>
          <w:lang w:val="fr-CA"/>
        </w:rPr>
        <w:t xml:space="preserve">ent simplement, dans le contexte, que la valeur des contributions </w:t>
      </w:r>
      <w:r>
        <w:rPr>
          <w:szCs w:val="24"/>
          <w:lang w:val="fr-CA"/>
        </w:rPr>
        <w:t>portées</w:t>
      </w:r>
      <w:r w:rsidRPr="001E7CB3">
        <w:rPr>
          <w:szCs w:val="24"/>
          <w:lang w:val="fr-CA"/>
        </w:rPr>
        <w:t xml:space="preserve"> au crédit des comptes de pension de retraite </w:t>
      </w:r>
      <w:r>
        <w:rPr>
          <w:szCs w:val="24"/>
          <w:lang w:val="fr-CA"/>
        </w:rPr>
        <w:t>étai</w:t>
      </w:r>
      <w:r w:rsidRPr="001E7CB3">
        <w:rPr>
          <w:szCs w:val="24"/>
          <w:lang w:val="fr-CA"/>
        </w:rPr>
        <w:t xml:space="preserve">t suffisante pour permettre au gouvernement de s’acquitter de son </w:t>
      </w:r>
      <w:r>
        <w:rPr>
          <w:szCs w:val="24"/>
          <w:lang w:val="fr-CA"/>
        </w:rPr>
        <w:t>engagement au titre des</w:t>
      </w:r>
      <w:r w:rsidRPr="001E7CB3">
        <w:rPr>
          <w:szCs w:val="24"/>
          <w:lang w:val="fr-CA"/>
        </w:rPr>
        <w:t xml:space="preserve"> prestations promises</w:t>
      </w:r>
      <w:r>
        <w:rPr>
          <w:szCs w:val="24"/>
          <w:lang w:val="fr-CA"/>
        </w:rPr>
        <w:t xml:space="preserve"> (par. 55)</w:t>
      </w:r>
      <w:r w:rsidRPr="001E7CB3">
        <w:rPr>
          <w:szCs w:val="24"/>
          <w:lang w:val="fr-CA"/>
        </w:rPr>
        <w:t xml:space="preserve">.  </w:t>
      </w:r>
    </w:p>
    <w:p w:rsidR="000F48EC" w:rsidRPr="001E7CB3" w:rsidRDefault="000F48EC" w:rsidP="000F48EC">
      <w:pPr>
        <w:pStyle w:val="ParaNoNdepar-AltN"/>
        <w:rPr>
          <w:szCs w:val="24"/>
          <w:lang w:val="fr-CA"/>
        </w:rPr>
      </w:pPr>
      <w:r>
        <w:rPr>
          <w:szCs w:val="24"/>
          <w:lang w:val="fr-CA"/>
        </w:rPr>
        <w:t>La juge</w:t>
      </w:r>
      <w:r w:rsidRPr="009C4B38">
        <w:rPr>
          <w:szCs w:val="24"/>
          <w:lang w:val="fr-CA"/>
        </w:rPr>
        <w:t xml:space="preserve"> </w:t>
      </w:r>
      <w:proofErr w:type="spellStart"/>
      <w:r w:rsidRPr="001E7CB3">
        <w:rPr>
          <w:szCs w:val="24"/>
          <w:lang w:val="fr-CA"/>
        </w:rPr>
        <w:t>Gillese</w:t>
      </w:r>
      <w:proofErr w:type="spellEnd"/>
      <w:r w:rsidRPr="001E7CB3">
        <w:rPr>
          <w:szCs w:val="24"/>
          <w:lang w:val="fr-CA"/>
        </w:rPr>
        <w:t xml:space="preserve"> a cependant conclu que le juge de première instance avait </w:t>
      </w:r>
      <w:r>
        <w:rPr>
          <w:szCs w:val="24"/>
          <w:lang w:val="fr-CA"/>
        </w:rPr>
        <w:t>commis une erreur en considérant</w:t>
      </w:r>
      <w:r w:rsidRPr="001E7CB3">
        <w:rPr>
          <w:szCs w:val="24"/>
          <w:lang w:val="fr-CA"/>
        </w:rPr>
        <w:t xml:space="preserve"> la </w:t>
      </w:r>
      <w:r w:rsidRPr="001D5386">
        <w:rPr>
          <w:i/>
          <w:szCs w:val="24"/>
          <w:lang w:val="fr-CA"/>
        </w:rPr>
        <w:t>LPFP</w:t>
      </w:r>
      <w:r w:rsidRPr="001E7CB3">
        <w:rPr>
          <w:i/>
          <w:szCs w:val="24"/>
          <w:lang w:val="fr-CA"/>
        </w:rPr>
        <w:t xml:space="preserve"> </w:t>
      </w:r>
      <w:r w:rsidRPr="001E7CB3">
        <w:rPr>
          <w:szCs w:val="24"/>
          <w:lang w:val="fr-CA"/>
        </w:rPr>
        <w:t xml:space="preserve">comme un code </w:t>
      </w:r>
      <w:r>
        <w:rPr>
          <w:szCs w:val="24"/>
          <w:lang w:val="fr-CA"/>
        </w:rPr>
        <w:t>exhaustif</w:t>
      </w:r>
      <w:r w:rsidRPr="001E7CB3">
        <w:rPr>
          <w:szCs w:val="24"/>
          <w:lang w:val="fr-CA"/>
        </w:rPr>
        <w:t xml:space="preserve">.  </w:t>
      </w:r>
      <w:r>
        <w:rPr>
          <w:szCs w:val="24"/>
          <w:lang w:val="fr-CA"/>
        </w:rPr>
        <w:t>Certes,</w:t>
      </w:r>
      <w:r w:rsidRPr="001E7CB3">
        <w:rPr>
          <w:szCs w:val="24"/>
          <w:lang w:val="fr-CA"/>
        </w:rPr>
        <w:t xml:space="preserve"> </w:t>
      </w:r>
      <w:r>
        <w:rPr>
          <w:szCs w:val="24"/>
          <w:lang w:val="fr-CA"/>
        </w:rPr>
        <w:t xml:space="preserve">cette loi </w:t>
      </w:r>
      <w:r w:rsidRPr="001E7CB3">
        <w:rPr>
          <w:szCs w:val="24"/>
          <w:lang w:val="fr-CA"/>
        </w:rPr>
        <w:t>énumér</w:t>
      </w:r>
      <w:r>
        <w:rPr>
          <w:szCs w:val="24"/>
          <w:lang w:val="fr-CA"/>
        </w:rPr>
        <w:t>ai</w:t>
      </w:r>
      <w:r w:rsidRPr="001E7CB3">
        <w:rPr>
          <w:szCs w:val="24"/>
          <w:lang w:val="fr-CA"/>
        </w:rPr>
        <w:t>t maints droits et obligations des parties</w:t>
      </w:r>
      <w:r>
        <w:rPr>
          <w:szCs w:val="24"/>
          <w:lang w:val="fr-CA"/>
        </w:rPr>
        <w:t xml:space="preserve">, </w:t>
      </w:r>
      <w:r w:rsidRPr="001E7CB3">
        <w:rPr>
          <w:szCs w:val="24"/>
          <w:lang w:val="fr-CA"/>
        </w:rPr>
        <w:t>avant le 1</w:t>
      </w:r>
      <w:r w:rsidRPr="001E7CB3">
        <w:rPr>
          <w:szCs w:val="24"/>
          <w:vertAlign w:val="superscript"/>
          <w:lang w:val="fr-CA"/>
        </w:rPr>
        <w:t>er </w:t>
      </w:r>
      <w:r>
        <w:rPr>
          <w:szCs w:val="24"/>
          <w:lang w:val="fr-CA"/>
        </w:rPr>
        <w:t xml:space="preserve">avril </w:t>
      </w:r>
      <w:r w:rsidRPr="001E7CB3">
        <w:rPr>
          <w:szCs w:val="24"/>
          <w:lang w:val="fr-CA"/>
        </w:rPr>
        <w:t xml:space="preserve">2000, </w:t>
      </w:r>
      <w:r>
        <w:rPr>
          <w:szCs w:val="24"/>
          <w:lang w:val="fr-CA"/>
        </w:rPr>
        <w:t xml:space="preserve">mais </w:t>
      </w:r>
      <w:r w:rsidRPr="001E7CB3">
        <w:rPr>
          <w:szCs w:val="24"/>
          <w:lang w:val="fr-CA"/>
        </w:rPr>
        <w:t xml:space="preserve">elle ne traitait pas des surplus actuariels des comptes de pension de retraite et, de ce fait, </w:t>
      </w:r>
      <w:r w:rsidRPr="001E7CB3">
        <w:rPr>
          <w:szCs w:val="24"/>
          <w:lang w:val="fr-CA"/>
        </w:rPr>
        <w:lastRenderedPageBreak/>
        <w:t xml:space="preserve">elle ne constituait pas un code </w:t>
      </w:r>
      <w:r>
        <w:rPr>
          <w:szCs w:val="24"/>
          <w:lang w:val="fr-CA"/>
        </w:rPr>
        <w:t>exhaustif</w:t>
      </w:r>
      <w:r w:rsidRPr="001E7CB3">
        <w:rPr>
          <w:szCs w:val="24"/>
          <w:lang w:val="fr-CA"/>
        </w:rPr>
        <w:t xml:space="preserve"> avant l’entrée en vigueur du projet de loi</w:t>
      </w:r>
      <w:r>
        <w:rPr>
          <w:szCs w:val="24"/>
          <w:lang w:val="fr-CA"/>
        </w:rPr>
        <w:t> </w:t>
      </w:r>
      <w:r w:rsidRPr="001E7CB3">
        <w:rPr>
          <w:szCs w:val="24"/>
          <w:lang w:val="fr-CA"/>
        </w:rPr>
        <w:t>C</w:t>
      </w:r>
      <w:r>
        <w:rPr>
          <w:szCs w:val="24"/>
          <w:lang w:val="fr-CA"/>
        </w:rPr>
        <w:noBreakHyphen/>
      </w:r>
      <w:r w:rsidRPr="001E7CB3">
        <w:rPr>
          <w:szCs w:val="24"/>
          <w:lang w:val="fr-CA"/>
        </w:rPr>
        <w:t>78.</w:t>
      </w:r>
    </w:p>
    <w:p w:rsidR="000F48EC" w:rsidRPr="001E7CB3" w:rsidRDefault="000F48EC" w:rsidP="000F48EC">
      <w:pPr>
        <w:pStyle w:val="ParaNoNdepar-AltN"/>
        <w:rPr>
          <w:szCs w:val="24"/>
          <w:lang w:val="fr-CA"/>
        </w:rPr>
      </w:pPr>
      <w:r w:rsidRPr="001E7CB3">
        <w:rPr>
          <w:szCs w:val="24"/>
          <w:lang w:val="fr-CA"/>
        </w:rPr>
        <w:t xml:space="preserve">Cette conclusion n’impliquait pas cependant que les membres des régimes jouissaient de droits en </w:t>
      </w:r>
      <w:proofErr w:type="spellStart"/>
      <w:r w:rsidRPr="001E7CB3">
        <w:rPr>
          <w:szCs w:val="24"/>
          <w:lang w:val="fr-CA"/>
        </w:rPr>
        <w:t>equity</w:t>
      </w:r>
      <w:proofErr w:type="spellEnd"/>
      <w:r w:rsidRPr="001E7CB3">
        <w:rPr>
          <w:szCs w:val="24"/>
          <w:lang w:val="fr-CA"/>
        </w:rPr>
        <w:t xml:space="preserve"> sur le</w:t>
      </w:r>
      <w:r>
        <w:rPr>
          <w:szCs w:val="24"/>
          <w:lang w:val="fr-CA"/>
        </w:rPr>
        <w:t>s</w:t>
      </w:r>
      <w:r w:rsidRPr="001E7CB3">
        <w:rPr>
          <w:szCs w:val="24"/>
          <w:lang w:val="fr-CA"/>
        </w:rPr>
        <w:t xml:space="preserve"> surplus actuariel</w:t>
      </w:r>
      <w:r>
        <w:rPr>
          <w:szCs w:val="24"/>
          <w:lang w:val="fr-CA"/>
        </w:rPr>
        <w:t>s</w:t>
      </w:r>
      <w:r w:rsidRPr="001E7CB3">
        <w:rPr>
          <w:szCs w:val="24"/>
          <w:lang w:val="fr-CA"/>
        </w:rPr>
        <w:t xml:space="preserve">.  </w:t>
      </w:r>
      <w:r>
        <w:rPr>
          <w:szCs w:val="24"/>
          <w:lang w:val="fr-CA"/>
        </w:rPr>
        <w:t xml:space="preserve">Ils ne pouvaient prétendre à aucun intérêt dans les surplus, que ce soit en raison de </w:t>
      </w:r>
      <w:r w:rsidRPr="001E7CB3">
        <w:rPr>
          <w:szCs w:val="24"/>
          <w:lang w:val="fr-CA"/>
        </w:rPr>
        <w:t xml:space="preserve">la </w:t>
      </w:r>
      <w:r w:rsidRPr="0067022E">
        <w:rPr>
          <w:i/>
          <w:szCs w:val="24"/>
          <w:lang w:val="fr-CA"/>
        </w:rPr>
        <w:t>LPFP</w:t>
      </w:r>
      <w:r w:rsidRPr="001E7CB3">
        <w:rPr>
          <w:szCs w:val="24"/>
          <w:lang w:val="fr-CA"/>
        </w:rPr>
        <w:t xml:space="preserve">, </w:t>
      </w:r>
      <w:r>
        <w:rPr>
          <w:szCs w:val="24"/>
          <w:lang w:val="fr-CA"/>
        </w:rPr>
        <w:t>de</w:t>
      </w:r>
      <w:r w:rsidRPr="001E7CB3">
        <w:rPr>
          <w:szCs w:val="24"/>
          <w:lang w:val="fr-CA"/>
        </w:rPr>
        <w:t xml:space="preserve"> la relation d’emploi, </w:t>
      </w:r>
      <w:r>
        <w:rPr>
          <w:szCs w:val="24"/>
          <w:lang w:val="fr-CA"/>
        </w:rPr>
        <w:t>d</w:t>
      </w:r>
      <w:r w:rsidRPr="001E7CB3">
        <w:rPr>
          <w:szCs w:val="24"/>
          <w:lang w:val="fr-CA"/>
        </w:rPr>
        <w:t xml:space="preserve">es principes en matière de fiducie ou </w:t>
      </w:r>
      <w:r>
        <w:rPr>
          <w:szCs w:val="24"/>
          <w:lang w:val="fr-CA"/>
        </w:rPr>
        <w:t>d</w:t>
      </w:r>
      <w:r w:rsidRPr="001E7CB3">
        <w:rPr>
          <w:szCs w:val="24"/>
          <w:lang w:val="fr-CA"/>
        </w:rPr>
        <w:t xml:space="preserve">es obligations </w:t>
      </w:r>
      <w:r w:rsidRPr="00A25FAD">
        <w:rPr>
          <w:szCs w:val="24"/>
          <w:lang w:val="fr-CA"/>
        </w:rPr>
        <w:t>fiduciaires</w:t>
      </w:r>
      <w:r w:rsidRPr="001E7CB3">
        <w:rPr>
          <w:szCs w:val="24"/>
          <w:lang w:val="fr-CA"/>
        </w:rPr>
        <w:t xml:space="preserve"> du gouvernement en </w:t>
      </w:r>
      <w:r>
        <w:rPr>
          <w:szCs w:val="24"/>
          <w:lang w:val="fr-CA"/>
        </w:rPr>
        <w:t>qualité d</w:t>
      </w:r>
      <w:r w:rsidRPr="001E7CB3">
        <w:rPr>
          <w:szCs w:val="24"/>
          <w:lang w:val="fr-CA"/>
        </w:rPr>
        <w:t>’administrateur des régimes.</w:t>
      </w:r>
    </w:p>
    <w:p w:rsidR="000F48EC" w:rsidRPr="001E7CB3" w:rsidRDefault="000F48EC" w:rsidP="000F48EC">
      <w:pPr>
        <w:pStyle w:val="ParaNoNdepar-AltN"/>
        <w:rPr>
          <w:szCs w:val="24"/>
          <w:lang w:val="fr-CA"/>
        </w:rPr>
      </w:pPr>
      <w:r w:rsidRPr="001E7CB3">
        <w:rPr>
          <w:szCs w:val="24"/>
          <w:lang w:val="fr-CA"/>
        </w:rPr>
        <w:t xml:space="preserve">Selon la juge </w:t>
      </w:r>
      <w:proofErr w:type="spellStart"/>
      <w:r w:rsidRPr="001E7CB3">
        <w:rPr>
          <w:szCs w:val="24"/>
          <w:lang w:val="fr-CA"/>
        </w:rPr>
        <w:t>Gillese</w:t>
      </w:r>
      <w:proofErr w:type="spellEnd"/>
      <w:r w:rsidRPr="001E7CB3">
        <w:rPr>
          <w:szCs w:val="24"/>
          <w:lang w:val="fr-CA"/>
        </w:rPr>
        <w:t>, avant le 1</w:t>
      </w:r>
      <w:r w:rsidRPr="001E7CB3">
        <w:rPr>
          <w:szCs w:val="24"/>
          <w:vertAlign w:val="superscript"/>
          <w:lang w:val="fr-CA"/>
        </w:rPr>
        <w:t>er</w:t>
      </w:r>
      <w:r>
        <w:rPr>
          <w:szCs w:val="24"/>
          <w:lang w:val="fr-CA"/>
        </w:rPr>
        <w:t xml:space="preserve"> avril </w:t>
      </w:r>
      <w:r w:rsidRPr="001E7CB3">
        <w:rPr>
          <w:szCs w:val="24"/>
          <w:lang w:val="fr-CA"/>
        </w:rPr>
        <w:t>2000</w:t>
      </w:r>
      <w:r>
        <w:rPr>
          <w:szCs w:val="24"/>
          <w:lang w:val="fr-CA"/>
        </w:rPr>
        <w:t>, le</w:t>
      </w:r>
      <w:r w:rsidRPr="009C2EC7">
        <w:rPr>
          <w:szCs w:val="24"/>
          <w:lang w:val="fr-CA"/>
        </w:rPr>
        <w:t xml:space="preserve"> </w:t>
      </w:r>
      <w:r w:rsidRPr="001E7CB3">
        <w:rPr>
          <w:szCs w:val="24"/>
          <w:lang w:val="fr-CA"/>
        </w:rPr>
        <w:t xml:space="preserve">gouvernement </w:t>
      </w:r>
      <w:r w:rsidRPr="00A25FAD">
        <w:rPr>
          <w:szCs w:val="24"/>
          <w:lang w:val="fr-CA"/>
        </w:rPr>
        <w:t>n’était pas</w:t>
      </w:r>
      <w:r>
        <w:rPr>
          <w:szCs w:val="24"/>
          <w:lang w:val="fr-CA"/>
        </w:rPr>
        <w:t xml:space="preserve"> un</w:t>
      </w:r>
      <w:r w:rsidRPr="00A25FAD">
        <w:rPr>
          <w:szCs w:val="24"/>
          <w:lang w:val="fr-CA"/>
        </w:rPr>
        <w:t xml:space="preserve"> fiduciaire</w:t>
      </w:r>
      <w:r>
        <w:rPr>
          <w:szCs w:val="24"/>
          <w:lang w:val="fr-CA"/>
        </w:rPr>
        <w:t xml:space="preserve"> en s</w:t>
      </w:r>
      <w:r w:rsidRPr="001E7CB3">
        <w:rPr>
          <w:szCs w:val="24"/>
          <w:lang w:val="fr-CA"/>
        </w:rPr>
        <w:t>a qualité d’administrateur de</w:t>
      </w:r>
      <w:r>
        <w:rPr>
          <w:szCs w:val="24"/>
          <w:lang w:val="fr-CA"/>
        </w:rPr>
        <w:t>s</w:t>
      </w:r>
      <w:r w:rsidRPr="001E7CB3">
        <w:rPr>
          <w:szCs w:val="24"/>
          <w:lang w:val="fr-CA"/>
        </w:rPr>
        <w:t xml:space="preserve"> régimes.  Elle a toutefois estimé que </w:t>
      </w:r>
      <w:r>
        <w:rPr>
          <w:szCs w:val="24"/>
          <w:lang w:val="fr-CA"/>
        </w:rPr>
        <w:t>la conclusion du</w:t>
      </w:r>
      <w:r w:rsidRPr="001E7CB3">
        <w:rPr>
          <w:szCs w:val="24"/>
          <w:lang w:val="fr-CA"/>
        </w:rPr>
        <w:t xml:space="preserve"> juge de première instance </w:t>
      </w:r>
      <w:r>
        <w:rPr>
          <w:szCs w:val="24"/>
          <w:lang w:val="fr-CA"/>
        </w:rPr>
        <w:t>selon laquelle</w:t>
      </w:r>
      <w:r w:rsidRPr="001E7CB3">
        <w:rPr>
          <w:szCs w:val="24"/>
          <w:lang w:val="fr-CA"/>
        </w:rPr>
        <w:t xml:space="preserve"> le gouvernement ne disposait d’aucun pouvoir discrétionnaire pouvant </w:t>
      </w:r>
      <w:r>
        <w:rPr>
          <w:szCs w:val="24"/>
          <w:lang w:val="fr-CA"/>
        </w:rPr>
        <w:t>donner naissance à</w:t>
      </w:r>
      <w:r w:rsidRPr="001E7CB3">
        <w:rPr>
          <w:szCs w:val="24"/>
          <w:lang w:val="fr-CA"/>
        </w:rPr>
        <w:t xml:space="preserve"> une obligation </w:t>
      </w:r>
      <w:r w:rsidRPr="00A25FAD">
        <w:rPr>
          <w:szCs w:val="24"/>
          <w:lang w:val="fr-CA"/>
        </w:rPr>
        <w:t>fiduciaire</w:t>
      </w:r>
      <w:r>
        <w:rPr>
          <w:szCs w:val="24"/>
          <w:lang w:val="fr-CA"/>
        </w:rPr>
        <w:t xml:space="preserve"> était erronée</w:t>
      </w:r>
      <w:r w:rsidRPr="001E7CB3">
        <w:rPr>
          <w:szCs w:val="24"/>
          <w:lang w:val="fr-CA"/>
        </w:rPr>
        <w:t xml:space="preserve">.  Le gouvernement possédait selon elle un pouvoir discrétionnaire </w:t>
      </w:r>
      <w:r>
        <w:rPr>
          <w:szCs w:val="24"/>
          <w:lang w:val="fr-CA"/>
        </w:rPr>
        <w:t>dans la</w:t>
      </w:r>
      <w:r w:rsidRPr="001E7CB3">
        <w:rPr>
          <w:szCs w:val="24"/>
          <w:lang w:val="fr-CA"/>
        </w:rPr>
        <w:t xml:space="preserve"> gestion des montants portés au crédit des comptes de pension de retraite</w:t>
      </w:r>
      <w:r>
        <w:rPr>
          <w:szCs w:val="24"/>
          <w:lang w:val="fr-CA"/>
        </w:rPr>
        <w:t xml:space="preserve">.  </w:t>
      </w:r>
      <w:r w:rsidRPr="00773C9A">
        <w:rPr>
          <w:szCs w:val="24"/>
          <w:lang w:val="fr-CA"/>
        </w:rPr>
        <w:t>Et le gouvernement a, en fait, exercé ce pouvoir discrétionnaire lorsqu’il a décidé de gérer les surplus actuariels en les amortissant.</w:t>
      </w:r>
      <w:r w:rsidRPr="001E7CB3">
        <w:rPr>
          <w:szCs w:val="24"/>
          <w:lang w:val="fr-CA"/>
        </w:rPr>
        <w:t xml:space="preserve"> </w:t>
      </w:r>
    </w:p>
    <w:p w:rsidR="000F48EC" w:rsidRPr="001E7CB3" w:rsidRDefault="000F48EC" w:rsidP="000F48EC">
      <w:pPr>
        <w:pStyle w:val="ParaNoNdepar-AltN"/>
        <w:rPr>
          <w:lang w:val="fr-CA"/>
        </w:rPr>
      </w:pPr>
      <w:r w:rsidRPr="001E7CB3">
        <w:rPr>
          <w:lang w:val="fr-CA"/>
        </w:rPr>
        <w:t xml:space="preserve">La juge </w:t>
      </w:r>
      <w:proofErr w:type="spellStart"/>
      <w:r w:rsidRPr="001E7CB3">
        <w:rPr>
          <w:lang w:val="fr-CA"/>
        </w:rPr>
        <w:t>Gillese</w:t>
      </w:r>
      <w:proofErr w:type="spellEnd"/>
      <w:r w:rsidRPr="001E7CB3">
        <w:rPr>
          <w:lang w:val="fr-CA"/>
        </w:rPr>
        <w:t xml:space="preserve"> a statué que l’exercice du pouvoir discrétionnaire </w:t>
      </w:r>
      <w:r>
        <w:rPr>
          <w:lang w:val="fr-CA"/>
        </w:rPr>
        <w:t xml:space="preserve">du </w:t>
      </w:r>
      <w:r w:rsidRPr="001E7CB3">
        <w:rPr>
          <w:lang w:val="fr-CA"/>
        </w:rPr>
        <w:t xml:space="preserve">gouvernement n’avait pas eu d’effet sur un bien </w:t>
      </w:r>
      <w:r>
        <w:rPr>
          <w:lang w:val="fr-CA"/>
        </w:rPr>
        <w:t xml:space="preserve">quelconque </w:t>
      </w:r>
      <w:r w:rsidRPr="001E7CB3">
        <w:rPr>
          <w:lang w:val="fr-CA"/>
        </w:rPr>
        <w:t>appartenant aux membres des régimes</w:t>
      </w:r>
      <w:r>
        <w:rPr>
          <w:lang w:val="fr-CA"/>
        </w:rPr>
        <w:t>,</w:t>
      </w:r>
      <w:r w:rsidRPr="001E7CB3">
        <w:rPr>
          <w:lang w:val="fr-CA"/>
        </w:rPr>
        <w:t xml:space="preserve"> mais qu’il en avait eu sur les intérêts pratiques des membres</w:t>
      </w:r>
      <w:r>
        <w:rPr>
          <w:lang w:val="fr-CA"/>
        </w:rPr>
        <w:t>,</w:t>
      </w:r>
      <w:r w:rsidRPr="001E7CB3">
        <w:rPr>
          <w:lang w:val="fr-CA"/>
        </w:rPr>
        <w:t xml:space="preserve"> car il avait entraîné une augmentation de leur contribution au coût des pensions.  Toutefois, la question fondamentale en cause, selon elle, était</w:t>
      </w:r>
      <w:r>
        <w:rPr>
          <w:lang w:val="fr-CA"/>
        </w:rPr>
        <w:t xml:space="preserve"> de savoir</w:t>
      </w:r>
      <w:r w:rsidRPr="001E7CB3">
        <w:rPr>
          <w:lang w:val="fr-CA"/>
        </w:rPr>
        <w:t xml:space="preserve"> si</w:t>
      </w:r>
      <w:r>
        <w:rPr>
          <w:lang w:val="fr-CA"/>
        </w:rPr>
        <w:t>,</w:t>
      </w:r>
      <w:r w:rsidRPr="001E7CB3">
        <w:rPr>
          <w:lang w:val="fr-CA"/>
        </w:rPr>
        <w:t xml:space="preserve"> [</w:t>
      </w:r>
      <w:r w:rsidRPr="00B2643C">
        <w:rPr>
          <w:smallCaps/>
          <w:lang w:val="fr-CA"/>
        </w:rPr>
        <w:t>traduction</w:t>
      </w:r>
      <w:r w:rsidRPr="001E7CB3">
        <w:rPr>
          <w:lang w:val="fr-CA"/>
        </w:rPr>
        <w:t xml:space="preserve">] « compte tenu de l’ensemble des circonstances, il était raisonnable </w:t>
      </w:r>
      <w:r w:rsidRPr="001E7CB3">
        <w:rPr>
          <w:lang w:val="fr-CA"/>
        </w:rPr>
        <w:lastRenderedPageBreak/>
        <w:t>pour une partie de s’attendre à ce que ses intérêts guident la conduite de l’autre partie</w:t>
      </w:r>
      <w:r>
        <w:rPr>
          <w:lang w:val="fr-CA"/>
        </w:rPr>
        <w:t> »</w:t>
      </w:r>
      <w:r w:rsidRPr="001E7CB3">
        <w:rPr>
          <w:lang w:val="fr-CA"/>
        </w:rPr>
        <w:t xml:space="preserve"> </w:t>
      </w:r>
      <w:r>
        <w:rPr>
          <w:lang w:val="fr-CA"/>
        </w:rPr>
        <w:t>(par. </w:t>
      </w:r>
      <w:r w:rsidRPr="001E7CB3">
        <w:rPr>
          <w:lang w:val="fr-CA"/>
        </w:rPr>
        <w:t>94</w:t>
      </w:r>
      <w:r>
        <w:rPr>
          <w:lang w:val="fr-CA"/>
        </w:rPr>
        <w:t>)</w:t>
      </w:r>
      <w:r w:rsidRPr="001E7CB3">
        <w:rPr>
          <w:lang w:val="fr-CA"/>
        </w:rPr>
        <w:t xml:space="preserve">.  Elle a estimé </w:t>
      </w:r>
      <w:r>
        <w:rPr>
          <w:lang w:val="fr-CA"/>
        </w:rPr>
        <w:t xml:space="preserve">que </w:t>
      </w:r>
      <w:r w:rsidRPr="001E7CB3">
        <w:rPr>
          <w:lang w:val="fr-CA"/>
        </w:rPr>
        <w:t xml:space="preserve">les membres des régimes </w:t>
      </w:r>
      <w:r w:rsidRPr="00A55497">
        <w:rPr>
          <w:i/>
          <w:lang w:val="fr-CA"/>
        </w:rPr>
        <w:t>ne</w:t>
      </w:r>
      <w:r w:rsidRPr="001E7CB3">
        <w:rPr>
          <w:lang w:val="fr-CA"/>
        </w:rPr>
        <w:t xml:space="preserve"> pouvaient </w:t>
      </w:r>
      <w:r w:rsidRPr="00A55497">
        <w:rPr>
          <w:i/>
          <w:lang w:val="fr-CA"/>
        </w:rPr>
        <w:t>pas</w:t>
      </w:r>
      <w:r>
        <w:rPr>
          <w:lang w:val="fr-CA"/>
        </w:rPr>
        <w:t xml:space="preserve"> </w:t>
      </w:r>
      <w:r w:rsidRPr="001E7CB3">
        <w:rPr>
          <w:lang w:val="fr-CA"/>
        </w:rPr>
        <w:t>raisonnablement s’attend</w:t>
      </w:r>
      <w:r>
        <w:rPr>
          <w:lang w:val="fr-CA"/>
        </w:rPr>
        <w:t>r</w:t>
      </w:r>
      <w:r w:rsidRPr="001E7CB3">
        <w:rPr>
          <w:lang w:val="fr-CA"/>
        </w:rPr>
        <w:t>e</w:t>
      </w:r>
      <w:r>
        <w:rPr>
          <w:lang w:val="fr-CA"/>
        </w:rPr>
        <w:t xml:space="preserve">, </w:t>
      </w:r>
      <w:r w:rsidRPr="001E7CB3">
        <w:rPr>
          <w:lang w:val="fr-CA"/>
        </w:rPr>
        <w:t>en l’espèce</w:t>
      </w:r>
      <w:r>
        <w:rPr>
          <w:lang w:val="fr-CA"/>
        </w:rPr>
        <w:t>,</w:t>
      </w:r>
      <w:r w:rsidRPr="001E7CB3">
        <w:rPr>
          <w:lang w:val="fr-CA"/>
        </w:rPr>
        <w:t xml:space="preserve"> à ce que le gouvernement exerce son pouvoir discrétionnaire en fonction de leur intérêt.  Il était peu probable qu’</w:t>
      </w:r>
      <w:r>
        <w:rPr>
          <w:lang w:val="fr-CA"/>
        </w:rPr>
        <w:t>il existe un</w:t>
      </w:r>
      <w:r w:rsidRPr="001E7CB3">
        <w:rPr>
          <w:lang w:val="fr-CA"/>
        </w:rPr>
        <w:t xml:space="preserve"> </w:t>
      </w:r>
      <w:r>
        <w:rPr>
          <w:lang w:val="fr-CA"/>
        </w:rPr>
        <w:t>devoir</w:t>
      </w:r>
      <w:r w:rsidRPr="001E7CB3">
        <w:rPr>
          <w:lang w:val="fr-CA"/>
        </w:rPr>
        <w:t xml:space="preserve"> </w:t>
      </w:r>
      <w:r w:rsidRPr="00A25FAD">
        <w:rPr>
          <w:lang w:val="fr-CA"/>
        </w:rPr>
        <w:t>fiduciaire</w:t>
      </w:r>
      <w:r>
        <w:rPr>
          <w:lang w:val="fr-CA"/>
        </w:rPr>
        <w:t>, car</w:t>
      </w:r>
      <w:r w:rsidRPr="001E7CB3">
        <w:rPr>
          <w:lang w:val="fr-CA"/>
        </w:rPr>
        <w:t xml:space="preserve"> l’État</w:t>
      </w:r>
      <w:r>
        <w:rPr>
          <w:lang w:val="fr-CA"/>
        </w:rPr>
        <w:t xml:space="preserve"> serait placé dans une situation de conflit entre son </w:t>
      </w:r>
      <w:r w:rsidRPr="001E7CB3">
        <w:rPr>
          <w:lang w:val="fr-CA"/>
        </w:rPr>
        <w:t xml:space="preserve">obligation d’agir dans l’intérêt des bénéficiaires </w:t>
      </w:r>
      <w:r>
        <w:rPr>
          <w:lang w:val="fr-CA"/>
        </w:rPr>
        <w:t>et</w:t>
      </w:r>
      <w:r w:rsidRPr="001E7CB3">
        <w:rPr>
          <w:lang w:val="fr-CA"/>
        </w:rPr>
        <w:t xml:space="preserve"> sa responsabilité d’agir dans l’intérêt public.</w:t>
      </w:r>
    </w:p>
    <w:p w:rsidR="000F48EC" w:rsidRPr="001E7CB3" w:rsidRDefault="000F48EC" w:rsidP="000F48EC">
      <w:pPr>
        <w:pStyle w:val="ParaNoNdepar-AltN"/>
        <w:rPr>
          <w:szCs w:val="24"/>
          <w:lang w:val="fr-CA"/>
        </w:rPr>
      </w:pPr>
      <w:r w:rsidRPr="001E7CB3">
        <w:rPr>
          <w:szCs w:val="24"/>
          <w:lang w:val="fr-CA"/>
        </w:rPr>
        <w:t xml:space="preserve">La juge </w:t>
      </w:r>
      <w:proofErr w:type="spellStart"/>
      <w:r w:rsidRPr="001E7CB3">
        <w:rPr>
          <w:szCs w:val="24"/>
          <w:lang w:val="fr-CA"/>
        </w:rPr>
        <w:t>Gillese</w:t>
      </w:r>
      <w:proofErr w:type="spellEnd"/>
      <w:r w:rsidRPr="001E7CB3">
        <w:rPr>
          <w:szCs w:val="24"/>
          <w:lang w:val="fr-CA"/>
        </w:rPr>
        <w:t xml:space="preserve"> a statué également qu’il n’y avait pas lieu d’imposer une fiducie </w:t>
      </w:r>
      <w:r>
        <w:rPr>
          <w:szCs w:val="24"/>
          <w:lang w:val="fr-CA"/>
        </w:rPr>
        <w:t xml:space="preserve">par interprétation.  À son avis, </w:t>
      </w:r>
      <w:r w:rsidRPr="001E7CB3">
        <w:rPr>
          <w:szCs w:val="24"/>
          <w:lang w:val="fr-CA"/>
        </w:rPr>
        <w:t>il n</w:t>
      </w:r>
      <w:r>
        <w:rPr>
          <w:szCs w:val="24"/>
          <w:lang w:val="fr-CA"/>
        </w:rPr>
        <w:t>’était pas nécessaire d’</w:t>
      </w:r>
      <w:r w:rsidRPr="001E7CB3">
        <w:rPr>
          <w:szCs w:val="24"/>
          <w:lang w:val="fr-CA"/>
        </w:rPr>
        <w:t xml:space="preserve">appliquer cette doctrine </w:t>
      </w:r>
      <w:r>
        <w:rPr>
          <w:szCs w:val="24"/>
          <w:lang w:val="fr-CA"/>
        </w:rPr>
        <w:t xml:space="preserve">pour satisfaire à l’exigence </w:t>
      </w:r>
      <w:r w:rsidRPr="001E7CB3">
        <w:rPr>
          <w:szCs w:val="24"/>
          <w:lang w:val="fr-CA"/>
        </w:rPr>
        <w:t>de la bonne conscience</w:t>
      </w:r>
      <w:r>
        <w:rPr>
          <w:szCs w:val="24"/>
          <w:lang w:val="fr-CA"/>
        </w:rPr>
        <w:t>,</w:t>
      </w:r>
      <w:r w:rsidRPr="001E7CB3">
        <w:rPr>
          <w:szCs w:val="24"/>
          <w:lang w:val="fr-CA"/>
        </w:rPr>
        <w:t xml:space="preserve"> compte tenu de l’absence d’obligation du gouvernement en </w:t>
      </w:r>
      <w:proofErr w:type="spellStart"/>
      <w:r w:rsidRPr="001E7CB3">
        <w:rPr>
          <w:szCs w:val="24"/>
          <w:lang w:val="fr-CA"/>
        </w:rPr>
        <w:t>equity</w:t>
      </w:r>
      <w:proofErr w:type="spellEnd"/>
      <w:r w:rsidRPr="001E7CB3">
        <w:rPr>
          <w:szCs w:val="24"/>
          <w:lang w:val="fr-CA"/>
        </w:rPr>
        <w:t>.  En outre, l’amortissement et le retrait d</w:t>
      </w:r>
      <w:r>
        <w:rPr>
          <w:szCs w:val="24"/>
          <w:lang w:val="fr-CA"/>
        </w:rPr>
        <w:t>es</w:t>
      </w:r>
      <w:r w:rsidRPr="001E7CB3">
        <w:rPr>
          <w:szCs w:val="24"/>
          <w:lang w:val="fr-CA"/>
        </w:rPr>
        <w:t xml:space="preserve"> surplus actuariel</w:t>
      </w:r>
      <w:r>
        <w:rPr>
          <w:szCs w:val="24"/>
          <w:lang w:val="fr-CA"/>
        </w:rPr>
        <w:t>s</w:t>
      </w:r>
      <w:r w:rsidRPr="001E7CB3">
        <w:rPr>
          <w:szCs w:val="24"/>
          <w:lang w:val="fr-CA"/>
        </w:rPr>
        <w:t xml:space="preserve"> (en application du projet de loi C</w:t>
      </w:r>
      <w:r>
        <w:rPr>
          <w:szCs w:val="24"/>
          <w:lang w:val="fr-CA"/>
        </w:rPr>
        <w:noBreakHyphen/>
      </w:r>
      <w:r w:rsidRPr="001E7CB3">
        <w:rPr>
          <w:szCs w:val="24"/>
          <w:lang w:val="fr-CA"/>
        </w:rPr>
        <w:t>78) n’avai</w:t>
      </w:r>
      <w:r>
        <w:rPr>
          <w:szCs w:val="24"/>
          <w:lang w:val="fr-CA"/>
        </w:rPr>
        <w:t>en</w:t>
      </w:r>
      <w:r w:rsidRPr="001E7CB3">
        <w:rPr>
          <w:szCs w:val="24"/>
          <w:lang w:val="fr-CA"/>
        </w:rPr>
        <w:t xml:space="preserve">t pas enrichi le gouvernement.  Selon elle, </w:t>
      </w:r>
      <w:r>
        <w:rPr>
          <w:szCs w:val="24"/>
          <w:lang w:val="fr-CA"/>
        </w:rPr>
        <w:t>si</w:t>
      </w:r>
      <w:r w:rsidRPr="001E7CB3">
        <w:rPr>
          <w:szCs w:val="24"/>
          <w:lang w:val="fr-CA"/>
        </w:rPr>
        <w:t xml:space="preserve"> l’amortissement</w:t>
      </w:r>
      <w:r>
        <w:rPr>
          <w:szCs w:val="24"/>
          <w:lang w:val="fr-CA"/>
        </w:rPr>
        <w:t xml:space="preserve"> avait produit un avantage, </w:t>
      </w:r>
      <w:proofErr w:type="spellStart"/>
      <w:r>
        <w:rPr>
          <w:szCs w:val="24"/>
          <w:lang w:val="fr-CA"/>
        </w:rPr>
        <w:t>celui</w:t>
      </w:r>
      <w:r>
        <w:rPr>
          <w:szCs w:val="24"/>
          <w:lang w:val="fr-CA"/>
        </w:rPr>
        <w:noBreakHyphen/>
        <w:t>ci</w:t>
      </w:r>
      <w:proofErr w:type="spellEnd"/>
      <w:r w:rsidRPr="001E7CB3">
        <w:rPr>
          <w:szCs w:val="24"/>
          <w:lang w:val="fr-CA"/>
        </w:rPr>
        <w:t xml:space="preserve"> avait </w:t>
      </w:r>
      <w:r>
        <w:rPr>
          <w:szCs w:val="24"/>
          <w:lang w:val="fr-CA"/>
        </w:rPr>
        <w:t>profité</w:t>
      </w:r>
      <w:r w:rsidRPr="001E7CB3">
        <w:rPr>
          <w:szCs w:val="24"/>
          <w:lang w:val="fr-CA"/>
        </w:rPr>
        <w:t xml:space="preserve"> à tous les contribuables canadiens et, de toute manière, le projet de loi</w:t>
      </w:r>
      <w:r>
        <w:rPr>
          <w:szCs w:val="24"/>
          <w:lang w:val="fr-CA"/>
        </w:rPr>
        <w:t> </w:t>
      </w:r>
      <w:r w:rsidRPr="001E7CB3">
        <w:rPr>
          <w:szCs w:val="24"/>
          <w:lang w:val="fr-CA"/>
        </w:rPr>
        <w:t>C</w:t>
      </w:r>
      <w:r>
        <w:rPr>
          <w:szCs w:val="24"/>
          <w:lang w:val="fr-CA"/>
        </w:rPr>
        <w:noBreakHyphen/>
      </w:r>
      <w:r w:rsidRPr="001E7CB3">
        <w:rPr>
          <w:szCs w:val="24"/>
          <w:lang w:val="fr-CA"/>
        </w:rPr>
        <w:t xml:space="preserve">78 constituait un motif juridique justifiant tout retrait. </w:t>
      </w:r>
    </w:p>
    <w:p w:rsidR="000F48EC" w:rsidRPr="001E7CB3" w:rsidRDefault="000F48EC" w:rsidP="000F48EC">
      <w:pPr>
        <w:pStyle w:val="ParaNoNdepar-AltN"/>
        <w:rPr>
          <w:szCs w:val="24"/>
          <w:lang w:val="fr-CA"/>
        </w:rPr>
      </w:pPr>
      <w:r w:rsidRPr="001E7CB3">
        <w:rPr>
          <w:szCs w:val="24"/>
          <w:lang w:val="fr-CA"/>
        </w:rPr>
        <w:t xml:space="preserve">La juge </w:t>
      </w:r>
      <w:proofErr w:type="spellStart"/>
      <w:r w:rsidRPr="001E7CB3">
        <w:rPr>
          <w:szCs w:val="24"/>
          <w:lang w:val="fr-CA"/>
        </w:rPr>
        <w:t>Gillese</w:t>
      </w:r>
      <w:proofErr w:type="spellEnd"/>
      <w:r w:rsidRPr="001E7CB3">
        <w:rPr>
          <w:szCs w:val="24"/>
          <w:lang w:val="fr-CA"/>
        </w:rPr>
        <w:t xml:space="preserve"> </w:t>
      </w:r>
      <w:r>
        <w:rPr>
          <w:szCs w:val="24"/>
          <w:lang w:val="fr-CA"/>
        </w:rPr>
        <w:t>a donc rejeté l’appel. L</w:t>
      </w:r>
      <w:r w:rsidRPr="001E7CB3">
        <w:rPr>
          <w:szCs w:val="24"/>
          <w:lang w:val="fr-CA"/>
        </w:rPr>
        <w:t xml:space="preserve">es juges </w:t>
      </w:r>
      <w:proofErr w:type="spellStart"/>
      <w:r w:rsidRPr="001E7CB3">
        <w:rPr>
          <w:szCs w:val="24"/>
          <w:lang w:val="fr-CA"/>
        </w:rPr>
        <w:t>Laskin</w:t>
      </w:r>
      <w:proofErr w:type="spellEnd"/>
      <w:r w:rsidRPr="001E7CB3">
        <w:rPr>
          <w:szCs w:val="24"/>
          <w:lang w:val="fr-CA"/>
        </w:rPr>
        <w:t xml:space="preserve"> et </w:t>
      </w:r>
      <w:proofErr w:type="spellStart"/>
      <w:r w:rsidRPr="001E7CB3">
        <w:rPr>
          <w:szCs w:val="24"/>
          <w:lang w:val="fr-CA"/>
        </w:rPr>
        <w:t>Juriansz</w:t>
      </w:r>
      <w:proofErr w:type="spellEnd"/>
      <w:r w:rsidRPr="001E7CB3">
        <w:rPr>
          <w:szCs w:val="24"/>
          <w:lang w:val="fr-CA"/>
        </w:rPr>
        <w:t xml:space="preserve"> </w:t>
      </w:r>
      <w:r>
        <w:rPr>
          <w:szCs w:val="24"/>
          <w:lang w:val="fr-CA"/>
        </w:rPr>
        <w:t xml:space="preserve">ont </w:t>
      </w:r>
      <w:r w:rsidRPr="001E7CB3">
        <w:rPr>
          <w:szCs w:val="24"/>
          <w:lang w:val="fr-CA"/>
        </w:rPr>
        <w:t xml:space="preserve">souscrit à ses motifs. </w:t>
      </w:r>
    </w:p>
    <w:p w:rsidR="000F48EC" w:rsidRPr="001E7CB3" w:rsidRDefault="000F48EC" w:rsidP="0067022E">
      <w:pPr>
        <w:pStyle w:val="TitleTitre-AltT"/>
        <w:keepNext/>
        <w:numPr>
          <w:ilvl w:val="0"/>
          <w:numId w:val="2"/>
        </w:numPr>
        <w:tabs>
          <w:tab w:val="clear" w:pos="360"/>
          <w:tab w:val="left" w:pos="540"/>
        </w:tabs>
        <w:ind w:left="540" w:hanging="540"/>
        <w:rPr>
          <w:u w:val="single"/>
          <w:lang w:val="fr-CA"/>
        </w:rPr>
      </w:pPr>
      <w:r w:rsidRPr="001E7CB3">
        <w:rPr>
          <w:u w:val="single"/>
          <w:lang w:val="fr-CA"/>
        </w:rPr>
        <w:t xml:space="preserve">Les </w:t>
      </w:r>
      <w:r w:rsidRPr="00E32791">
        <w:rPr>
          <w:szCs w:val="24"/>
          <w:u w:val="single"/>
          <w:lang w:val="fr-CA"/>
        </w:rPr>
        <w:t>questions</w:t>
      </w:r>
      <w:r w:rsidRPr="001E7CB3">
        <w:rPr>
          <w:u w:val="single"/>
          <w:lang w:val="fr-CA"/>
        </w:rPr>
        <w:t xml:space="preserve"> en </w:t>
      </w:r>
      <w:r>
        <w:rPr>
          <w:u w:val="single"/>
          <w:lang w:val="fr-CA"/>
        </w:rPr>
        <w:t>litig</w:t>
      </w:r>
      <w:r w:rsidRPr="001E7CB3">
        <w:rPr>
          <w:u w:val="single"/>
          <w:lang w:val="fr-CA"/>
        </w:rPr>
        <w:t>e</w:t>
      </w:r>
    </w:p>
    <w:p w:rsidR="000F48EC" w:rsidRPr="001E7CB3" w:rsidRDefault="000F48EC" w:rsidP="000F48EC">
      <w:pPr>
        <w:pStyle w:val="ParaNoNdepar-AltN"/>
        <w:rPr>
          <w:szCs w:val="24"/>
          <w:lang w:val="fr-CA"/>
        </w:rPr>
      </w:pPr>
      <w:r w:rsidRPr="001E7CB3">
        <w:rPr>
          <w:szCs w:val="24"/>
          <w:lang w:val="fr-CA"/>
        </w:rPr>
        <w:t>Le pourvoi soulève les questions suivantes</w:t>
      </w:r>
      <w:r>
        <w:rPr>
          <w:szCs w:val="24"/>
          <w:lang w:val="fr-CA"/>
        </w:rPr>
        <w:t xml:space="preserve"> :  </w:t>
      </w:r>
    </w:p>
    <w:p w:rsidR="000F48EC" w:rsidRPr="001E7CB3" w:rsidRDefault="000F48EC" w:rsidP="0067022E">
      <w:pPr>
        <w:pStyle w:val="Citation-AltC"/>
        <w:spacing w:after="240" w:line="480" w:lineRule="auto"/>
        <w:ind w:left="720" w:hanging="720"/>
        <w:contextualSpacing w:val="0"/>
        <w:rPr>
          <w:lang w:val="fr-CA"/>
        </w:rPr>
      </w:pPr>
      <w:r>
        <w:rPr>
          <w:lang w:val="fr-CA"/>
        </w:rPr>
        <w:t>a.</w:t>
      </w:r>
      <w:r>
        <w:rPr>
          <w:lang w:val="fr-CA"/>
        </w:rPr>
        <w:tab/>
      </w:r>
      <w:r w:rsidRPr="001E7CB3">
        <w:rPr>
          <w:lang w:val="fr-CA"/>
        </w:rPr>
        <w:t xml:space="preserve">Les </w:t>
      </w:r>
      <w:proofErr w:type="gramStart"/>
      <w:r w:rsidRPr="001E7CB3">
        <w:rPr>
          <w:lang w:val="fr-CA"/>
        </w:rPr>
        <w:t>comptes</w:t>
      </w:r>
      <w:proofErr w:type="gramEnd"/>
      <w:r w:rsidRPr="001E7CB3">
        <w:rPr>
          <w:lang w:val="fr-CA"/>
        </w:rPr>
        <w:t xml:space="preserve"> de pension de retraite </w:t>
      </w:r>
      <w:proofErr w:type="spellStart"/>
      <w:r>
        <w:rPr>
          <w:lang w:val="fr-CA"/>
        </w:rPr>
        <w:t>conten</w:t>
      </w:r>
      <w:r w:rsidRPr="001E7CB3">
        <w:rPr>
          <w:lang w:val="fr-CA"/>
        </w:rPr>
        <w:t>aient</w:t>
      </w:r>
      <w:r>
        <w:rPr>
          <w:lang w:val="fr-CA"/>
        </w:rPr>
        <w:noBreakHyphen/>
      </w:r>
      <w:r w:rsidRPr="001E7CB3">
        <w:rPr>
          <w:lang w:val="fr-CA"/>
        </w:rPr>
        <w:t>ils</w:t>
      </w:r>
      <w:proofErr w:type="spellEnd"/>
      <w:r w:rsidRPr="001E7CB3">
        <w:rPr>
          <w:lang w:val="fr-CA"/>
        </w:rPr>
        <w:t xml:space="preserve"> des </w:t>
      </w:r>
      <w:r>
        <w:rPr>
          <w:lang w:val="fr-CA"/>
        </w:rPr>
        <w:t>éléments d’</w:t>
      </w:r>
      <w:r w:rsidRPr="001E7CB3">
        <w:rPr>
          <w:lang w:val="fr-CA"/>
        </w:rPr>
        <w:t>actif?</w:t>
      </w:r>
    </w:p>
    <w:p w:rsidR="000F48EC" w:rsidRPr="001E7CB3" w:rsidRDefault="000F48EC" w:rsidP="0067022E">
      <w:pPr>
        <w:pStyle w:val="Citation-AltC"/>
        <w:spacing w:after="240" w:line="480" w:lineRule="auto"/>
        <w:ind w:left="720" w:hanging="720"/>
        <w:contextualSpacing w:val="0"/>
        <w:rPr>
          <w:lang w:val="fr-CA"/>
        </w:rPr>
      </w:pPr>
      <w:r>
        <w:rPr>
          <w:lang w:val="fr-CA"/>
        </w:rPr>
        <w:lastRenderedPageBreak/>
        <w:t>b.</w:t>
      </w:r>
      <w:r>
        <w:rPr>
          <w:lang w:val="fr-CA"/>
        </w:rPr>
        <w:tab/>
      </w:r>
      <w:r w:rsidRPr="001E7CB3">
        <w:rPr>
          <w:lang w:val="fr-CA"/>
        </w:rPr>
        <w:t xml:space="preserve">Le gouvernement </w:t>
      </w:r>
      <w:proofErr w:type="spellStart"/>
      <w:r>
        <w:rPr>
          <w:lang w:val="fr-CA"/>
        </w:rPr>
        <w:t>av</w:t>
      </w:r>
      <w:r w:rsidRPr="001E7CB3">
        <w:rPr>
          <w:lang w:val="fr-CA"/>
        </w:rPr>
        <w:t>ait</w:t>
      </w:r>
      <w:r>
        <w:rPr>
          <w:lang w:val="fr-CA"/>
        </w:rPr>
        <w:noBreakHyphen/>
      </w:r>
      <w:r w:rsidRPr="001E7CB3">
        <w:rPr>
          <w:lang w:val="fr-CA"/>
        </w:rPr>
        <w:t>il</w:t>
      </w:r>
      <w:proofErr w:type="spellEnd"/>
      <w:r w:rsidRPr="001E7CB3">
        <w:rPr>
          <w:lang w:val="fr-CA"/>
        </w:rPr>
        <w:t xml:space="preserve"> une obligation fiducia</w:t>
      </w:r>
      <w:r>
        <w:rPr>
          <w:lang w:val="fr-CA"/>
        </w:rPr>
        <w:t>ir</w:t>
      </w:r>
      <w:r w:rsidRPr="001E7CB3">
        <w:rPr>
          <w:lang w:val="fr-CA"/>
        </w:rPr>
        <w:t>e envers les membres des régimes?</w:t>
      </w:r>
    </w:p>
    <w:p w:rsidR="000F48EC" w:rsidRPr="001E7CB3" w:rsidRDefault="000F48EC" w:rsidP="0067022E">
      <w:pPr>
        <w:pStyle w:val="Citation-AltC"/>
        <w:spacing w:after="240" w:line="480" w:lineRule="auto"/>
        <w:ind w:left="720" w:hanging="720"/>
        <w:contextualSpacing w:val="0"/>
        <w:rPr>
          <w:lang w:val="fr-CA"/>
        </w:rPr>
      </w:pPr>
      <w:r>
        <w:rPr>
          <w:lang w:val="fr-CA"/>
        </w:rPr>
        <w:t>c.</w:t>
      </w:r>
      <w:r>
        <w:rPr>
          <w:lang w:val="fr-CA"/>
        </w:rPr>
        <w:tab/>
        <w:t>U</w:t>
      </w:r>
      <w:r w:rsidRPr="001E7CB3">
        <w:rPr>
          <w:lang w:val="fr-CA"/>
        </w:rPr>
        <w:t xml:space="preserve">ne fiducie </w:t>
      </w:r>
      <w:r>
        <w:rPr>
          <w:lang w:val="fr-CA"/>
        </w:rPr>
        <w:t>par interprétation</w:t>
      </w:r>
      <w:r w:rsidRPr="001E7CB3">
        <w:rPr>
          <w:lang w:val="fr-CA"/>
        </w:rPr>
        <w:t xml:space="preserve"> </w:t>
      </w:r>
      <w:proofErr w:type="spellStart"/>
      <w:r>
        <w:rPr>
          <w:lang w:val="fr-CA"/>
        </w:rPr>
        <w:t>devrait</w:t>
      </w:r>
      <w:r>
        <w:rPr>
          <w:lang w:val="fr-CA"/>
        </w:rPr>
        <w:noBreakHyphen/>
        <w:t>elle</w:t>
      </w:r>
      <w:proofErr w:type="spellEnd"/>
      <w:r>
        <w:rPr>
          <w:lang w:val="fr-CA"/>
        </w:rPr>
        <w:t xml:space="preserve"> être imposée relativement aux</w:t>
      </w:r>
      <w:r w:rsidRPr="001E7CB3">
        <w:rPr>
          <w:lang w:val="fr-CA"/>
        </w:rPr>
        <w:t xml:space="preserve"> soldes des comptes de pension de retraite au 31 mars</w:t>
      </w:r>
      <w:r>
        <w:rPr>
          <w:lang w:val="fr-CA"/>
        </w:rPr>
        <w:t xml:space="preserve"> </w:t>
      </w:r>
      <w:r w:rsidRPr="001E7CB3">
        <w:rPr>
          <w:lang w:val="fr-CA"/>
        </w:rPr>
        <w:t>2000?</w:t>
      </w:r>
    </w:p>
    <w:p w:rsidR="000F48EC" w:rsidRPr="001E7CB3" w:rsidRDefault="000F48EC" w:rsidP="0067022E">
      <w:pPr>
        <w:pStyle w:val="Citation-AltC"/>
        <w:spacing w:line="480" w:lineRule="auto"/>
        <w:ind w:left="720" w:hanging="720"/>
        <w:rPr>
          <w:lang w:val="fr-CA"/>
        </w:rPr>
      </w:pPr>
      <w:r>
        <w:rPr>
          <w:lang w:val="fr-CA"/>
        </w:rPr>
        <w:t>d.</w:t>
      </w:r>
      <w:r>
        <w:rPr>
          <w:lang w:val="fr-CA"/>
        </w:rPr>
        <w:tab/>
        <w:t>Le projet de loi </w:t>
      </w:r>
      <w:r w:rsidRPr="001E7CB3">
        <w:rPr>
          <w:lang w:val="fr-CA"/>
        </w:rPr>
        <w:t>C</w:t>
      </w:r>
      <w:r>
        <w:rPr>
          <w:lang w:val="fr-CA"/>
        </w:rPr>
        <w:noBreakHyphen/>
      </w:r>
      <w:r w:rsidRPr="001E7CB3">
        <w:rPr>
          <w:lang w:val="fr-CA"/>
        </w:rPr>
        <w:t>78</w:t>
      </w:r>
      <w:r>
        <w:rPr>
          <w:lang w:val="fr-CA"/>
        </w:rPr>
        <w:t xml:space="preserve"> </w:t>
      </w:r>
      <w:proofErr w:type="spellStart"/>
      <w:r>
        <w:rPr>
          <w:lang w:val="fr-CA"/>
        </w:rPr>
        <w:t>autorisai</w:t>
      </w:r>
      <w:r w:rsidRPr="001E7CB3">
        <w:rPr>
          <w:lang w:val="fr-CA"/>
        </w:rPr>
        <w:t>t</w:t>
      </w:r>
      <w:r>
        <w:rPr>
          <w:lang w:val="fr-CA"/>
        </w:rPr>
        <w:noBreakHyphen/>
      </w:r>
      <w:r w:rsidRPr="001E7CB3">
        <w:rPr>
          <w:lang w:val="fr-CA"/>
        </w:rPr>
        <w:t>il</w:t>
      </w:r>
      <w:proofErr w:type="spellEnd"/>
      <w:r w:rsidRPr="001E7CB3">
        <w:rPr>
          <w:lang w:val="fr-CA"/>
        </w:rPr>
        <w:t xml:space="preserve"> le gouvernement à porter les surplus actuariels au débit des comptes de pension de retraite?</w:t>
      </w:r>
    </w:p>
    <w:p w:rsidR="000F48EC" w:rsidRPr="001E7CB3" w:rsidRDefault="000F48EC" w:rsidP="000F48EC">
      <w:pPr>
        <w:pStyle w:val="TitleTitre-AltT"/>
        <w:keepNext/>
        <w:numPr>
          <w:ilvl w:val="0"/>
          <w:numId w:val="2"/>
        </w:numPr>
        <w:rPr>
          <w:szCs w:val="24"/>
          <w:u w:val="single"/>
          <w:lang w:val="fr-CA"/>
        </w:rPr>
      </w:pPr>
      <w:r w:rsidRPr="001E7CB3">
        <w:rPr>
          <w:szCs w:val="24"/>
          <w:u w:val="single"/>
          <w:lang w:val="fr-CA"/>
        </w:rPr>
        <w:t>Analyse</w:t>
      </w:r>
    </w:p>
    <w:p w:rsidR="000F48EC" w:rsidRPr="001E7CB3" w:rsidRDefault="000F48EC" w:rsidP="000F48EC">
      <w:pPr>
        <w:pStyle w:val="ParaNoNdepar-AltN"/>
        <w:rPr>
          <w:szCs w:val="24"/>
          <w:lang w:val="fr-CA"/>
        </w:rPr>
      </w:pPr>
      <w:r w:rsidRPr="001E7CB3">
        <w:rPr>
          <w:lang w:val="fr-CA"/>
        </w:rPr>
        <w:t xml:space="preserve">Notre Cour a examiné plusieurs </w:t>
      </w:r>
      <w:r>
        <w:rPr>
          <w:lang w:val="fr-CA"/>
        </w:rPr>
        <w:t>fois le</w:t>
      </w:r>
      <w:r w:rsidRPr="001E7CB3">
        <w:rPr>
          <w:lang w:val="fr-CA"/>
        </w:rPr>
        <w:t xml:space="preserve"> droit applicable </w:t>
      </w:r>
      <w:r>
        <w:rPr>
          <w:lang w:val="fr-CA"/>
        </w:rPr>
        <w:t>aux</w:t>
      </w:r>
      <w:r w:rsidRPr="001E7CB3">
        <w:rPr>
          <w:lang w:val="fr-CA"/>
        </w:rPr>
        <w:t xml:space="preserve"> surplus de régime</w:t>
      </w:r>
      <w:r>
        <w:rPr>
          <w:lang w:val="fr-CA"/>
        </w:rPr>
        <w:t>s</w:t>
      </w:r>
      <w:r w:rsidRPr="001E7CB3">
        <w:rPr>
          <w:lang w:val="fr-CA"/>
        </w:rPr>
        <w:t xml:space="preserve"> de pension, mais toujours dans le contexte de régimes du secteur privé.  En l’espèce, </w:t>
      </w:r>
      <w:r>
        <w:rPr>
          <w:lang w:val="fr-CA"/>
        </w:rPr>
        <w:t>elle doit les analyser</w:t>
      </w:r>
      <w:r w:rsidRPr="001E7CB3">
        <w:rPr>
          <w:lang w:val="fr-CA"/>
        </w:rPr>
        <w:t xml:space="preserve"> dans le contexte de régimes du secteur public </w:t>
      </w:r>
      <w:r>
        <w:rPr>
          <w:lang w:val="fr-CA"/>
        </w:rPr>
        <w:t xml:space="preserve">établis par une </w:t>
      </w:r>
      <w:r w:rsidRPr="001E7CB3">
        <w:rPr>
          <w:lang w:val="fr-CA"/>
        </w:rPr>
        <w:t xml:space="preserve">loi. </w:t>
      </w:r>
    </w:p>
    <w:p w:rsidR="000F48EC" w:rsidRPr="001E7CB3" w:rsidRDefault="000F48EC" w:rsidP="000F48EC">
      <w:pPr>
        <w:pStyle w:val="ParaNoNdepar-AltN"/>
        <w:rPr>
          <w:lang w:val="fr-CA"/>
        </w:rPr>
      </w:pPr>
      <w:r w:rsidRPr="001E7CB3">
        <w:rPr>
          <w:lang w:val="fr-CA"/>
        </w:rPr>
        <w:t>L’arrêt de principe en matière de surplus d</w:t>
      </w:r>
      <w:r>
        <w:rPr>
          <w:lang w:val="fr-CA"/>
        </w:rPr>
        <w:t>’un</w:t>
      </w:r>
      <w:r w:rsidRPr="001E7CB3">
        <w:rPr>
          <w:lang w:val="fr-CA"/>
        </w:rPr>
        <w:t xml:space="preserve"> régime de pension est </w:t>
      </w:r>
      <w:r w:rsidRPr="001E7CB3">
        <w:rPr>
          <w:i/>
          <w:lang w:val="fr-CA"/>
        </w:rPr>
        <w:t xml:space="preserve">Schmidt c. Air </w:t>
      </w:r>
      <w:proofErr w:type="spellStart"/>
      <w:r w:rsidRPr="001E7CB3">
        <w:rPr>
          <w:i/>
          <w:lang w:val="fr-CA"/>
        </w:rPr>
        <w:t>Products</w:t>
      </w:r>
      <w:proofErr w:type="spellEnd"/>
      <w:r w:rsidRPr="001E7CB3">
        <w:rPr>
          <w:i/>
          <w:lang w:val="fr-CA"/>
        </w:rPr>
        <w:t xml:space="preserve"> Canada Ltd.</w:t>
      </w:r>
      <w:r w:rsidRPr="001E7CB3">
        <w:rPr>
          <w:lang w:val="fr-CA"/>
        </w:rPr>
        <w:t xml:space="preserve">, [1994] 2 R.C.S. 611.  Il pose qu’en l’absence de dispositions législatives contraires, la première étape à entreprendre pour statuer sur </w:t>
      </w:r>
      <w:r>
        <w:rPr>
          <w:lang w:val="fr-CA"/>
        </w:rPr>
        <w:t xml:space="preserve">des </w:t>
      </w:r>
      <w:r w:rsidRPr="001E7CB3">
        <w:rPr>
          <w:lang w:val="fr-CA"/>
        </w:rPr>
        <w:t xml:space="preserve">revendications opposées </w:t>
      </w:r>
      <w:r>
        <w:rPr>
          <w:lang w:val="fr-CA"/>
        </w:rPr>
        <w:t>relativement à un</w:t>
      </w:r>
      <w:r w:rsidRPr="001E7CB3">
        <w:rPr>
          <w:lang w:val="fr-CA"/>
        </w:rPr>
        <w:t xml:space="preserve"> surplus consiste à déterminer si la caisse de retraite est assujettie à une fiducie</w:t>
      </w:r>
      <w:r>
        <w:rPr>
          <w:lang w:val="fr-CA"/>
        </w:rPr>
        <w:t>, conformément aux principes ordinaires</w:t>
      </w:r>
      <w:r w:rsidRPr="001E7CB3">
        <w:rPr>
          <w:lang w:val="fr-CA"/>
        </w:rPr>
        <w:t xml:space="preserve"> </w:t>
      </w:r>
      <w:r>
        <w:rPr>
          <w:lang w:val="fr-CA"/>
        </w:rPr>
        <w:t>du droit des fiducies</w:t>
      </w:r>
      <w:r w:rsidRPr="001E7CB3">
        <w:rPr>
          <w:lang w:val="fr-CA"/>
        </w:rPr>
        <w:t xml:space="preserve">.  S’il y a fiducie, </w:t>
      </w:r>
      <w:proofErr w:type="spellStart"/>
      <w:r>
        <w:rPr>
          <w:lang w:val="fr-CA"/>
        </w:rPr>
        <w:t>celle</w:t>
      </w:r>
      <w:r>
        <w:rPr>
          <w:lang w:val="fr-CA"/>
        </w:rPr>
        <w:noBreakHyphen/>
        <w:t>ci</w:t>
      </w:r>
      <w:proofErr w:type="spellEnd"/>
      <w:r w:rsidRPr="001E7CB3">
        <w:rPr>
          <w:lang w:val="fr-CA"/>
        </w:rPr>
        <w:t xml:space="preserve"> est soumise à tous les principes applicables du droit des fiducies</w:t>
      </w:r>
      <w:r>
        <w:rPr>
          <w:lang w:val="fr-CA"/>
        </w:rPr>
        <w:t xml:space="preserve">. </w:t>
      </w:r>
      <w:r w:rsidRPr="001E7CB3">
        <w:rPr>
          <w:lang w:val="fr-CA"/>
        </w:rPr>
        <w:t xml:space="preserve"> </w:t>
      </w:r>
      <w:r>
        <w:rPr>
          <w:lang w:val="fr-CA"/>
        </w:rPr>
        <w:t>Dans le cas contraire</w:t>
      </w:r>
      <w:r w:rsidRPr="001E7CB3">
        <w:rPr>
          <w:lang w:val="fr-CA"/>
        </w:rPr>
        <w:t xml:space="preserve">, le droit au surplus </w:t>
      </w:r>
      <w:r>
        <w:rPr>
          <w:lang w:val="fr-CA"/>
        </w:rPr>
        <w:t>est déterminé</w:t>
      </w:r>
      <w:r w:rsidRPr="001E7CB3">
        <w:rPr>
          <w:lang w:val="fr-CA"/>
        </w:rPr>
        <w:t xml:space="preserve"> en fonction des principe</w:t>
      </w:r>
      <w:r>
        <w:rPr>
          <w:lang w:val="fr-CA"/>
        </w:rPr>
        <w:t>s d’interprétation des contrats</w:t>
      </w:r>
      <w:r w:rsidRPr="001E7CB3">
        <w:rPr>
          <w:lang w:val="fr-CA"/>
        </w:rPr>
        <w:t>.</w:t>
      </w:r>
    </w:p>
    <w:p w:rsidR="000F48EC" w:rsidRPr="001E7CB3" w:rsidRDefault="000F48EC" w:rsidP="000F48EC">
      <w:pPr>
        <w:pStyle w:val="ParaNoNdepar-AltN"/>
        <w:rPr>
          <w:lang w:val="fr-CA"/>
        </w:rPr>
      </w:pPr>
      <w:r w:rsidRPr="001E7CB3">
        <w:rPr>
          <w:lang w:val="fr-CA"/>
        </w:rPr>
        <w:lastRenderedPageBreak/>
        <w:t xml:space="preserve">Dans </w:t>
      </w:r>
      <w:r w:rsidRPr="001E7CB3">
        <w:rPr>
          <w:i/>
          <w:lang w:val="fr-CA"/>
        </w:rPr>
        <w:t xml:space="preserve">Burke c. </w:t>
      </w:r>
      <w:r w:rsidR="00995D1F">
        <w:rPr>
          <w:i/>
          <w:lang w:val="fr-CA"/>
        </w:rPr>
        <w:t>Cie de la Baie d’</w:t>
      </w:r>
      <w:r w:rsidRPr="001E7CB3">
        <w:rPr>
          <w:i/>
          <w:lang w:val="fr-CA"/>
        </w:rPr>
        <w:t>Hudson</w:t>
      </w:r>
      <w:r w:rsidR="00995D1F" w:rsidRPr="00995D1F">
        <w:rPr>
          <w:lang w:val="fr-CA"/>
        </w:rPr>
        <w:t xml:space="preserve">, </w:t>
      </w:r>
      <w:r w:rsidRPr="001E7CB3">
        <w:rPr>
          <w:lang w:val="fr-CA"/>
        </w:rPr>
        <w:t xml:space="preserve">2010 CSC 34, [2010] 2 R.C.S. 273, notre Cour a confirmé l’arrêt </w:t>
      </w:r>
      <w:r w:rsidRPr="001E7CB3">
        <w:rPr>
          <w:i/>
          <w:lang w:val="fr-CA"/>
        </w:rPr>
        <w:t>Schmidt</w:t>
      </w:r>
      <w:r w:rsidRPr="001E7CB3">
        <w:rPr>
          <w:lang w:val="fr-CA"/>
        </w:rPr>
        <w:t xml:space="preserve">, ainsi que les arrêts </w:t>
      </w:r>
      <w:r w:rsidRPr="001E7CB3">
        <w:rPr>
          <w:i/>
          <w:lang w:val="fr-CA"/>
        </w:rPr>
        <w:t>Nolan c. Kerry (Canada) Inc.</w:t>
      </w:r>
      <w:r w:rsidRPr="001E7CB3">
        <w:rPr>
          <w:lang w:val="fr-CA"/>
        </w:rPr>
        <w:t xml:space="preserve">, 2009 CSC 39, [2009] 2 R.C.S. 678, et </w:t>
      </w:r>
      <w:r w:rsidRPr="001E7CB3">
        <w:rPr>
          <w:i/>
          <w:lang w:val="fr-CA"/>
        </w:rPr>
        <w:t>Monsanto Canada Inc. c. Ontario (Surintendant des services financiers)</w:t>
      </w:r>
      <w:r w:rsidRPr="001E7CB3">
        <w:rPr>
          <w:lang w:val="fr-CA"/>
        </w:rPr>
        <w:t xml:space="preserve">, 2004 CSC 54, [2004] 3 R.C.S. 152, </w:t>
      </w:r>
      <w:r>
        <w:rPr>
          <w:lang w:val="fr-CA"/>
        </w:rPr>
        <w:t>selon lesquels</w:t>
      </w:r>
      <w:r w:rsidRPr="001E7CB3">
        <w:rPr>
          <w:lang w:val="fr-CA"/>
        </w:rPr>
        <w:t xml:space="preserve"> le droit </w:t>
      </w:r>
      <w:r>
        <w:rPr>
          <w:lang w:val="fr-CA"/>
        </w:rPr>
        <w:t xml:space="preserve">au </w:t>
      </w:r>
      <w:r w:rsidRPr="001E7CB3">
        <w:rPr>
          <w:lang w:val="fr-CA"/>
        </w:rPr>
        <w:t>surplus</w:t>
      </w:r>
      <w:r>
        <w:rPr>
          <w:lang w:val="fr-CA"/>
        </w:rPr>
        <w:t xml:space="preserve"> d’un régime de pension</w:t>
      </w:r>
      <w:r w:rsidRPr="001E7CB3">
        <w:rPr>
          <w:lang w:val="fr-CA"/>
        </w:rPr>
        <w:t xml:space="preserve"> est « déterminé en fonction du libellé des documents pertinents, des principes du droit des contrats et du droit des fiducies et des textes législatifs applicables »</w:t>
      </w:r>
      <w:r>
        <w:rPr>
          <w:lang w:val="fr-CA"/>
        </w:rPr>
        <w:t xml:space="preserve"> (par. 26).</w:t>
      </w:r>
    </w:p>
    <w:p w:rsidR="000F48EC" w:rsidRPr="001E7CB3" w:rsidRDefault="000F48EC" w:rsidP="000F48EC">
      <w:pPr>
        <w:pStyle w:val="ParaNoNdepar-AltN"/>
        <w:rPr>
          <w:lang w:val="fr-CA"/>
        </w:rPr>
      </w:pPr>
      <w:r w:rsidRPr="001E7CB3">
        <w:rPr>
          <w:szCs w:val="24"/>
          <w:lang w:val="fr-CA"/>
        </w:rPr>
        <w:t xml:space="preserve">En première instance, les appelants ont </w:t>
      </w:r>
      <w:r>
        <w:rPr>
          <w:szCs w:val="24"/>
          <w:lang w:val="fr-CA"/>
        </w:rPr>
        <w:t>fait valoir</w:t>
      </w:r>
      <w:r w:rsidRPr="001E7CB3">
        <w:rPr>
          <w:szCs w:val="24"/>
          <w:lang w:val="fr-CA"/>
        </w:rPr>
        <w:t xml:space="preserve"> que les lois sur les pensions ont </w:t>
      </w:r>
      <w:r>
        <w:rPr>
          <w:szCs w:val="24"/>
          <w:lang w:val="fr-CA"/>
        </w:rPr>
        <w:t>créé</w:t>
      </w:r>
      <w:r w:rsidRPr="001E7CB3">
        <w:rPr>
          <w:szCs w:val="24"/>
          <w:lang w:val="fr-CA"/>
        </w:rPr>
        <w:t xml:space="preserve"> des fiducies expresses au profit des membres des régimes, mais le juge a écarté c</w:t>
      </w:r>
      <w:r>
        <w:rPr>
          <w:szCs w:val="24"/>
          <w:lang w:val="fr-CA"/>
        </w:rPr>
        <w:t>et argument</w:t>
      </w:r>
      <w:r w:rsidRPr="001E7CB3">
        <w:rPr>
          <w:szCs w:val="24"/>
          <w:lang w:val="fr-CA"/>
        </w:rPr>
        <w:t xml:space="preserve"> et les appelants ne l’ont pas invoqué en appel.</w:t>
      </w:r>
      <w:r w:rsidRPr="001E7CB3">
        <w:rPr>
          <w:lang w:val="fr-CA"/>
        </w:rPr>
        <w:t xml:space="preserve"> </w:t>
      </w:r>
    </w:p>
    <w:p w:rsidR="000F48EC" w:rsidRPr="001E7CB3" w:rsidRDefault="000F48EC" w:rsidP="000F48EC">
      <w:pPr>
        <w:pStyle w:val="ParaNoNdepar-AltN"/>
        <w:rPr>
          <w:lang w:val="fr-CA"/>
        </w:rPr>
      </w:pPr>
      <w:r w:rsidRPr="001E7CB3">
        <w:rPr>
          <w:lang w:val="fr-CA"/>
        </w:rPr>
        <w:t xml:space="preserve">Dans le présent pourvoi, les appelants n’invoquent pas la fiducie expresse mais la fiducie </w:t>
      </w:r>
      <w:r>
        <w:rPr>
          <w:lang w:val="fr-CA"/>
        </w:rPr>
        <w:t>par interprétation</w:t>
      </w:r>
      <w:r w:rsidRPr="001E7CB3">
        <w:rPr>
          <w:lang w:val="fr-CA"/>
        </w:rPr>
        <w:t xml:space="preserve">.  Ils soutiennent que les comptes de pension de retraite </w:t>
      </w:r>
      <w:r>
        <w:rPr>
          <w:lang w:val="fr-CA"/>
        </w:rPr>
        <w:t>contienn</w:t>
      </w:r>
      <w:r w:rsidRPr="001E7CB3">
        <w:rPr>
          <w:lang w:val="fr-CA"/>
        </w:rPr>
        <w:t xml:space="preserve">ent des </w:t>
      </w:r>
      <w:r>
        <w:rPr>
          <w:lang w:val="fr-CA"/>
        </w:rPr>
        <w:t>éléments d’</w:t>
      </w:r>
      <w:r w:rsidRPr="001E7CB3">
        <w:rPr>
          <w:lang w:val="fr-CA"/>
        </w:rPr>
        <w:t>actif</w:t>
      </w:r>
      <w:r>
        <w:rPr>
          <w:lang w:val="fr-CA"/>
        </w:rPr>
        <w:t xml:space="preserve"> et que</w:t>
      </w:r>
      <w:r w:rsidRPr="001E7CB3">
        <w:rPr>
          <w:lang w:val="fr-CA"/>
        </w:rPr>
        <w:t xml:space="preserve"> le gouvernement </w:t>
      </w:r>
      <w:r>
        <w:rPr>
          <w:lang w:val="fr-CA"/>
        </w:rPr>
        <w:t>a</w:t>
      </w:r>
      <w:r w:rsidRPr="001E7CB3">
        <w:rPr>
          <w:lang w:val="fr-CA"/>
        </w:rPr>
        <w:t xml:space="preserve"> une obligation en </w:t>
      </w:r>
      <w:proofErr w:type="spellStart"/>
      <w:r w:rsidRPr="001E7CB3">
        <w:rPr>
          <w:lang w:val="fr-CA"/>
        </w:rPr>
        <w:t>equity</w:t>
      </w:r>
      <w:proofErr w:type="spellEnd"/>
      <w:r w:rsidRPr="001E7CB3">
        <w:rPr>
          <w:lang w:val="fr-CA"/>
        </w:rPr>
        <w:t xml:space="preserve"> (</w:t>
      </w:r>
      <w:r w:rsidRPr="00A25FAD">
        <w:rPr>
          <w:lang w:val="fr-CA"/>
        </w:rPr>
        <w:t>fiduciaire</w:t>
      </w:r>
      <w:r w:rsidRPr="001E7CB3">
        <w:rPr>
          <w:lang w:val="fr-CA"/>
        </w:rPr>
        <w:t>)</w:t>
      </w:r>
      <w:r>
        <w:rPr>
          <w:lang w:val="fr-CA"/>
        </w:rPr>
        <w:t xml:space="preserve"> relativement à leur gestion.  Selon eux, le</w:t>
      </w:r>
      <w:r w:rsidRPr="001E7CB3">
        <w:rPr>
          <w:lang w:val="fr-CA"/>
        </w:rPr>
        <w:t xml:space="preserve"> gouvernement a manqué </w:t>
      </w:r>
      <w:r>
        <w:rPr>
          <w:lang w:val="fr-CA"/>
        </w:rPr>
        <w:t xml:space="preserve">à son obligation </w:t>
      </w:r>
      <w:r w:rsidRPr="00A25FAD">
        <w:rPr>
          <w:lang w:val="fr-CA"/>
        </w:rPr>
        <w:t>fiduciaire</w:t>
      </w:r>
      <w:r>
        <w:rPr>
          <w:lang w:val="fr-CA"/>
        </w:rPr>
        <w:t xml:space="preserve"> en amortissant les surplus et il en a résulté une fiducie par interprétation en faveur des membres des régimes relativement à l’actif d</w:t>
      </w:r>
      <w:r w:rsidRPr="001E7CB3">
        <w:rPr>
          <w:lang w:val="fr-CA"/>
        </w:rPr>
        <w:t xml:space="preserve">es comptes de pension de retraite.  Ils affirment en outre qu’une fiducie </w:t>
      </w:r>
      <w:r>
        <w:rPr>
          <w:lang w:val="fr-CA"/>
        </w:rPr>
        <w:t xml:space="preserve">par interprétation devrait être imposée </w:t>
      </w:r>
      <w:r w:rsidRPr="001E7CB3">
        <w:rPr>
          <w:lang w:val="fr-CA"/>
        </w:rPr>
        <w:t xml:space="preserve">sur le fondement de l’enrichissement injustifié.  </w:t>
      </w:r>
      <w:r>
        <w:rPr>
          <w:lang w:val="fr-CA"/>
        </w:rPr>
        <w:t xml:space="preserve">Rappelons que ces deux arguments sont fondamentalement liés à la question de savoir si les comptes de pension de retraite contenaient des éléments d’actif; s’ils n’en contenaient pas, il ne pouvait exister ni intérêt en </w:t>
      </w:r>
      <w:proofErr w:type="spellStart"/>
      <w:r>
        <w:rPr>
          <w:lang w:val="fr-CA"/>
        </w:rPr>
        <w:t>equity</w:t>
      </w:r>
      <w:proofErr w:type="spellEnd"/>
      <w:r>
        <w:rPr>
          <w:lang w:val="fr-CA"/>
        </w:rPr>
        <w:t xml:space="preserve"> à l’égard duquel il aurait existé un devoir </w:t>
      </w:r>
      <w:r w:rsidRPr="00A25FAD">
        <w:rPr>
          <w:lang w:val="fr-CA"/>
        </w:rPr>
        <w:lastRenderedPageBreak/>
        <w:t>fiduciaire</w:t>
      </w:r>
      <w:r>
        <w:rPr>
          <w:lang w:val="fr-CA"/>
        </w:rPr>
        <w:t xml:space="preserve">, ni enrichissement injustifié sur lequel fonder une fiducie par interprétation.  </w:t>
      </w:r>
      <w:r w:rsidRPr="001E7CB3">
        <w:rPr>
          <w:lang w:val="fr-CA"/>
        </w:rPr>
        <w:t xml:space="preserve">Il faut donc </w:t>
      </w:r>
      <w:r>
        <w:rPr>
          <w:lang w:val="fr-CA"/>
        </w:rPr>
        <w:t>déterminer</w:t>
      </w:r>
      <w:r w:rsidRPr="001E7CB3">
        <w:rPr>
          <w:lang w:val="fr-CA"/>
        </w:rPr>
        <w:t xml:space="preserve"> </w:t>
      </w:r>
      <w:r>
        <w:rPr>
          <w:lang w:val="fr-CA"/>
        </w:rPr>
        <w:t>d’abord</w:t>
      </w:r>
      <w:r w:rsidRPr="001E7CB3">
        <w:rPr>
          <w:lang w:val="fr-CA"/>
        </w:rPr>
        <w:t xml:space="preserve"> si les comptes de pension de retraite </w:t>
      </w:r>
      <w:r>
        <w:rPr>
          <w:lang w:val="fr-CA"/>
        </w:rPr>
        <w:t>conten</w:t>
      </w:r>
      <w:r w:rsidRPr="001E7CB3">
        <w:rPr>
          <w:lang w:val="fr-CA"/>
        </w:rPr>
        <w:t>aient des</w:t>
      </w:r>
      <w:r>
        <w:rPr>
          <w:lang w:val="fr-CA"/>
        </w:rPr>
        <w:t xml:space="preserve"> éléments d’actif</w:t>
      </w:r>
      <w:r w:rsidRPr="001E7CB3">
        <w:rPr>
          <w:lang w:val="fr-CA"/>
        </w:rPr>
        <w:t>.</w:t>
      </w:r>
    </w:p>
    <w:p w:rsidR="000F48EC" w:rsidRPr="005A694E" w:rsidRDefault="000F48EC" w:rsidP="00995D1F">
      <w:pPr>
        <w:pStyle w:val="TitleTitre-AltT"/>
        <w:keepNext/>
        <w:numPr>
          <w:ilvl w:val="1"/>
          <w:numId w:val="2"/>
        </w:numPr>
        <w:tabs>
          <w:tab w:val="clear" w:pos="360"/>
          <w:tab w:val="left" w:pos="540"/>
        </w:tabs>
        <w:ind w:left="540" w:hanging="540"/>
        <w:rPr>
          <w:i/>
          <w:lang w:val="fr-CA"/>
        </w:rPr>
      </w:pPr>
      <w:r w:rsidRPr="005A694E">
        <w:rPr>
          <w:i/>
          <w:lang w:val="fr-CA"/>
        </w:rPr>
        <w:t xml:space="preserve">Les comptes de pension de retraite </w:t>
      </w:r>
      <w:proofErr w:type="spellStart"/>
      <w:r>
        <w:rPr>
          <w:i/>
          <w:lang w:val="fr-CA"/>
        </w:rPr>
        <w:t>conten</w:t>
      </w:r>
      <w:r w:rsidRPr="005A694E">
        <w:rPr>
          <w:i/>
          <w:lang w:val="fr-CA"/>
        </w:rPr>
        <w:t>aient</w:t>
      </w:r>
      <w:r>
        <w:rPr>
          <w:i/>
          <w:lang w:val="fr-CA"/>
        </w:rPr>
        <w:noBreakHyphen/>
      </w:r>
      <w:r w:rsidRPr="005A694E">
        <w:rPr>
          <w:i/>
          <w:lang w:val="fr-CA"/>
        </w:rPr>
        <w:t>ils</w:t>
      </w:r>
      <w:proofErr w:type="spellEnd"/>
      <w:r w:rsidRPr="005A694E">
        <w:rPr>
          <w:i/>
          <w:lang w:val="fr-CA"/>
        </w:rPr>
        <w:t xml:space="preserve"> des </w:t>
      </w:r>
      <w:r w:rsidRPr="006D4178">
        <w:rPr>
          <w:i/>
          <w:lang w:val="fr-CA"/>
        </w:rPr>
        <w:t>éléments d’actif?</w:t>
      </w:r>
      <w:r w:rsidRPr="005A694E">
        <w:rPr>
          <w:i/>
          <w:lang w:val="fr-CA"/>
        </w:rPr>
        <w:t xml:space="preserve"> </w:t>
      </w:r>
    </w:p>
    <w:p w:rsidR="000F48EC" w:rsidRPr="001E7CB3" w:rsidRDefault="000F48EC" w:rsidP="000F48EC">
      <w:pPr>
        <w:pStyle w:val="ParaNoNdepar-AltN"/>
        <w:rPr>
          <w:lang w:val="fr-CA"/>
        </w:rPr>
      </w:pPr>
      <w:r w:rsidRPr="001E7CB3">
        <w:rPr>
          <w:lang w:val="fr-CA"/>
        </w:rPr>
        <w:t xml:space="preserve">Les deux juridictions inférieures ont conclu qu’aucun </w:t>
      </w:r>
      <w:r>
        <w:rPr>
          <w:lang w:val="fr-CA"/>
        </w:rPr>
        <w:t>élément d’actif</w:t>
      </w:r>
      <w:r w:rsidRPr="001E7CB3">
        <w:rPr>
          <w:lang w:val="fr-CA"/>
        </w:rPr>
        <w:t xml:space="preserve"> n’était détenu dans les comptes de pension de retraite.  Le juge </w:t>
      </w:r>
      <w:proofErr w:type="spellStart"/>
      <w:r w:rsidRPr="001E7CB3">
        <w:rPr>
          <w:lang w:val="fr-CA"/>
        </w:rPr>
        <w:t>Panet</w:t>
      </w:r>
      <w:proofErr w:type="spellEnd"/>
      <w:r w:rsidRPr="001E7CB3">
        <w:rPr>
          <w:lang w:val="fr-CA"/>
        </w:rPr>
        <w:t xml:space="preserve">, en première instance, a rejeté le témoignage d’expert présenté par les appelants, selon lequel </w:t>
      </w:r>
      <w:r>
        <w:rPr>
          <w:lang w:val="fr-CA"/>
        </w:rPr>
        <w:t xml:space="preserve">le principal élément d’actif de </w:t>
      </w:r>
      <w:r w:rsidRPr="001E7CB3">
        <w:rPr>
          <w:lang w:val="fr-CA"/>
        </w:rPr>
        <w:t xml:space="preserve">chaque compte </w:t>
      </w:r>
      <w:r>
        <w:rPr>
          <w:lang w:val="fr-CA"/>
        </w:rPr>
        <w:t>est</w:t>
      </w:r>
      <w:r w:rsidRPr="001E7CB3">
        <w:rPr>
          <w:lang w:val="fr-CA"/>
        </w:rPr>
        <w:t xml:space="preserve"> une créance sur le gouvernement, estimant que le gouvernement n’avait pas emprunté </w:t>
      </w:r>
      <w:r>
        <w:rPr>
          <w:lang w:val="fr-CA"/>
        </w:rPr>
        <w:t>aux</w:t>
      </w:r>
      <w:r w:rsidRPr="001E7CB3">
        <w:rPr>
          <w:lang w:val="fr-CA"/>
        </w:rPr>
        <w:t xml:space="preserve"> comptes de pension de retraite et qu’il n’avait aucune dette </w:t>
      </w:r>
      <w:r>
        <w:rPr>
          <w:lang w:val="fr-CA"/>
        </w:rPr>
        <w:t>envers</w:t>
      </w:r>
      <w:r w:rsidRPr="001E7CB3">
        <w:rPr>
          <w:lang w:val="fr-CA"/>
        </w:rPr>
        <w:t xml:space="preserve"> ces comptes.  Les comptes de pension de retraite servaient simplement à co</w:t>
      </w:r>
      <w:r>
        <w:rPr>
          <w:lang w:val="fr-CA"/>
        </w:rPr>
        <w:t>mptabiliser</w:t>
      </w:r>
      <w:r w:rsidRPr="001E7CB3">
        <w:rPr>
          <w:lang w:val="fr-CA"/>
        </w:rPr>
        <w:t xml:space="preserve"> et </w:t>
      </w:r>
      <w:r>
        <w:rPr>
          <w:lang w:val="fr-CA"/>
        </w:rPr>
        <w:t xml:space="preserve">à </w:t>
      </w:r>
      <w:r w:rsidRPr="001E7CB3">
        <w:rPr>
          <w:lang w:val="fr-CA"/>
        </w:rPr>
        <w:t xml:space="preserve">divulguer le passif </w:t>
      </w:r>
      <w:r>
        <w:rPr>
          <w:lang w:val="fr-CA"/>
        </w:rPr>
        <w:t xml:space="preserve">estimatif </w:t>
      </w:r>
      <w:r w:rsidRPr="001E7CB3">
        <w:rPr>
          <w:lang w:val="fr-CA"/>
        </w:rPr>
        <w:t xml:space="preserve">au titre des </w:t>
      </w:r>
      <w:r>
        <w:rPr>
          <w:lang w:val="fr-CA"/>
        </w:rPr>
        <w:t>pensions</w:t>
      </w:r>
      <w:r w:rsidRPr="001E7CB3">
        <w:rPr>
          <w:lang w:val="fr-CA"/>
        </w:rPr>
        <w:t xml:space="preserve">.  En appel, la juge </w:t>
      </w:r>
      <w:proofErr w:type="spellStart"/>
      <w:r w:rsidRPr="001E7CB3">
        <w:rPr>
          <w:lang w:val="fr-CA"/>
        </w:rPr>
        <w:t>Gillese</w:t>
      </w:r>
      <w:proofErr w:type="spellEnd"/>
      <w:r w:rsidRPr="001E7CB3">
        <w:rPr>
          <w:lang w:val="fr-CA"/>
        </w:rPr>
        <w:t xml:space="preserve"> n’a relevé aucune erreur dans cette conclusion, estimant que [</w:t>
      </w:r>
      <w:r w:rsidRPr="00B2643C">
        <w:rPr>
          <w:smallCaps/>
          <w:lang w:val="fr-CA"/>
        </w:rPr>
        <w:t>traduction</w:t>
      </w:r>
      <w:r w:rsidRPr="001E7CB3">
        <w:rPr>
          <w:lang w:val="fr-CA"/>
        </w:rPr>
        <w:t xml:space="preserve">] « [l]es comptes de pension de retraite sont essentiellement des </w:t>
      </w:r>
      <w:r w:rsidRPr="001E7CB3">
        <w:rPr>
          <w:szCs w:val="24"/>
          <w:lang w:val="fr-CA"/>
        </w:rPr>
        <w:t>livres comptables prescrits par la loi</w:t>
      </w:r>
      <w:r w:rsidRPr="001E7CB3">
        <w:rPr>
          <w:lang w:val="fr-CA"/>
        </w:rPr>
        <w:t> »</w:t>
      </w:r>
      <w:r>
        <w:rPr>
          <w:lang w:val="fr-CA"/>
        </w:rPr>
        <w:t xml:space="preserve"> (par. </w:t>
      </w:r>
      <w:r w:rsidRPr="001E7CB3">
        <w:rPr>
          <w:lang w:val="fr-CA"/>
        </w:rPr>
        <w:t>50</w:t>
      </w:r>
      <w:r>
        <w:rPr>
          <w:lang w:val="fr-CA"/>
        </w:rPr>
        <w:t>)</w:t>
      </w:r>
      <w:r w:rsidRPr="001E7CB3">
        <w:rPr>
          <w:lang w:val="fr-CA"/>
        </w:rPr>
        <w:t>.</w:t>
      </w:r>
    </w:p>
    <w:p w:rsidR="000F48EC" w:rsidRPr="001E7CB3" w:rsidRDefault="000F48EC" w:rsidP="000F48EC">
      <w:pPr>
        <w:pStyle w:val="ParaNoNdepar-AltN"/>
        <w:rPr>
          <w:lang w:val="fr-CA"/>
        </w:rPr>
      </w:pPr>
      <w:r>
        <w:rPr>
          <w:lang w:val="fr-CA"/>
        </w:rPr>
        <w:t>Bien qu’il ne fasse aucun doute</w:t>
      </w:r>
      <w:r w:rsidRPr="001E7CB3">
        <w:rPr>
          <w:lang w:val="fr-CA"/>
        </w:rPr>
        <w:t xml:space="preserve"> que les comptes de pension de retraite ne sont pas des </w:t>
      </w:r>
      <w:r>
        <w:rPr>
          <w:lang w:val="fr-CA"/>
        </w:rPr>
        <w:t>portefeuilles</w:t>
      </w:r>
      <w:r w:rsidRPr="001E7CB3">
        <w:rPr>
          <w:lang w:val="fr-CA"/>
        </w:rPr>
        <w:t xml:space="preserve"> de titres négociables, les appelants affirment qu’il était erroné, pour les juridictions inférieures, de ne pas conclure que les comptes </w:t>
      </w:r>
      <w:r>
        <w:rPr>
          <w:lang w:val="fr-CA"/>
        </w:rPr>
        <w:t>contienn</w:t>
      </w:r>
      <w:r w:rsidRPr="001E7CB3">
        <w:rPr>
          <w:lang w:val="fr-CA"/>
        </w:rPr>
        <w:t xml:space="preserve">ent des </w:t>
      </w:r>
      <w:r>
        <w:rPr>
          <w:lang w:val="fr-CA"/>
        </w:rPr>
        <w:t>éléments d’actif</w:t>
      </w:r>
      <w:r w:rsidRPr="001E7CB3">
        <w:rPr>
          <w:lang w:val="fr-CA"/>
        </w:rPr>
        <w:t xml:space="preserve">, à savoir des </w:t>
      </w:r>
      <w:r>
        <w:rPr>
          <w:lang w:val="fr-CA"/>
        </w:rPr>
        <w:t>créances sur le</w:t>
      </w:r>
      <w:r w:rsidRPr="001E7CB3">
        <w:rPr>
          <w:lang w:val="fr-CA"/>
        </w:rPr>
        <w:t xml:space="preserve"> gouvernement.  Ils soutiennent que des fonds réels étaient versés aux comptes chaque année</w:t>
      </w:r>
      <w:r>
        <w:rPr>
          <w:lang w:val="fr-CA"/>
        </w:rPr>
        <w:t>,</w:t>
      </w:r>
      <w:r w:rsidRPr="001E7CB3">
        <w:rPr>
          <w:lang w:val="fr-CA"/>
        </w:rPr>
        <w:t xml:space="preserve"> mais que</w:t>
      </w:r>
      <w:r>
        <w:rPr>
          <w:lang w:val="fr-CA"/>
        </w:rPr>
        <w:t xml:space="preserve"> le gouvernement</w:t>
      </w:r>
      <w:r w:rsidRPr="001E7CB3">
        <w:rPr>
          <w:lang w:val="fr-CA"/>
        </w:rPr>
        <w:t>, parce qu</w:t>
      </w:r>
      <w:r>
        <w:rPr>
          <w:lang w:val="fr-CA"/>
        </w:rPr>
        <w:t xml:space="preserve">’il ne les plaçait pas </w:t>
      </w:r>
      <w:r w:rsidRPr="001E7CB3">
        <w:rPr>
          <w:lang w:val="fr-CA"/>
        </w:rPr>
        <w:t>sur le marché externe, emprunt</w:t>
      </w:r>
      <w:r>
        <w:rPr>
          <w:lang w:val="fr-CA"/>
        </w:rPr>
        <w:t xml:space="preserve">ait en fait de ces </w:t>
      </w:r>
      <w:r w:rsidRPr="001E7CB3">
        <w:rPr>
          <w:lang w:val="fr-CA"/>
        </w:rPr>
        <w:t xml:space="preserve">comptes pour son propre usage — </w:t>
      </w:r>
      <w:r>
        <w:rPr>
          <w:lang w:val="fr-CA"/>
        </w:rPr>
        <w:t>y</w:t>
      </w:r>
      <w:r w:rsidRPr="001E7CB3">
        <w:rPr>
          <w:lang w:val="fr-CA"/>
        </w:rPr>
        <w:t xml:space="preserve"> laissant des promesses de paiement</w:t>
      </w:r>
      <w:r>
        <w:rPr>
          <w:lang w:val="fr-CA"/>
        </w:rPr>
        <w:t xml:space="preserve">.  </w:t>
      </w:r>
      <w:r>
        <w:rPr>
          <w:lang w:val="fr-CA"/>
        </w:rPr>
        <w:lastRenderedPageBreak/>
        <w:t>Selon eux, ces promesses constituent</w:t>
      </w:r>
      <w:r w:rsidRPr="001E7CB3">
        <w:rPr>
          <w:lang w:val="fr-CA"/>
        </w:rPr>
        <w:t xml:space="preserve"> </w:t>
      </w:r>
      <w:r>
        <w:rPr>
          <w:lang w:val="fr-CA"/>
        </w:rPr>
        <w:t>des éléments d’actif</w:t>
      </w:r>
      <w:r w:rsidRPr="001E7CB3">
        <w:rPr>
          <w:lang w:val="fr-CA"/>
        </w:rPr>
        <w:t xml:space="preserve">, </w:t>
      </w:r>
      <w:r>
        <w:rPr>
          <w:lang w:val="fr-CA"/>
        </w:rPr>
        <w:t>qui s’apparente</w:t>
      </w:r>
      <w:r w:rsidRPr="001E7CB3">
        <w:rPr>
          <w:lang w:val="fr-CA"/>
        </w:rPr>
        <w:t xml:space="preserve">nt aux obligations </w:t>
      </w:r>
      <w:r w:rsidRPr="00CB6547">
        <w:rPr>
          <w:lang w:val="fr-CA"/>
        </w:rPr>
        <w:t>négociables</w:t>
      </w:r>
      <w:r>
        <w:rPr>
          <w:lang w:val="fr-CA"/>
        </w:rPr>
        <w:t xml:space="preserve"> </w:t>
      </w:r>
      <w:r w:rsidRPr="001E7CB3">
        <w:rPr>
          <w:lang w:val="fr-CA"/>
        </w:rPr>
        <w:t xml:space="preserve">du Canada. </w:t>
      </w:r>
    </w:p>
    <w:p w:rsidR="000F48EC" w:rsidRPr="001E7CB3" w:rsidRDefault="000F48EC" w:rsidP="000F48EC">
      <w:pPr>
        <w:pStyle w:val="ParaNoNdepar-AltN"/>
        <w:rPr>
          <w:lang w:val="fr-CA"/>
        </w:rPr>
      </w:pPr>
      <w:r w:rsidRPr="001E7CB3">
        <w:rPr>
          <w:lang w:val="fr-CA"/>
        </w:rPr>
        <w:t>Comme je l’exp</w:t>
      </w:r>
      <w:r>
        <w:rPr>
          <w:lang w:val="fr-CA"/>
        </w:rPr>
        <w:t>liqu</w:t>
      </w:r>
      <w:r w:rsidRPr="001E7CB3">
        <w:rPr>
          <w:lang w:val="fr-CA"/>
        </w:rPr>
        <w:t>erai</w:t>
      </w:r>
      <w:r>
        <w:rPr>
          <w:lang w:val="fr-CA"/>
        </w:rPr>
        <w:t xml:space="preserve"> maintenant</w:t>
      </w:r>
      <w:r w:rsidRPr="001E7CB3">
        <w:rPr>
          <w:lang w:val="fr-CA"/>
        </w:rPr>
        <w:t xml:space="preserve">, je partage l’opinion de l’intimé et des juridictions inférieures que les comptes de pension de retraite ne </w:t>
      </w:r>
      <w:r>
        <w:rPr>
          <w:lang w:val="fr-CA"/>
        </w:rPr>
        <w:t>contienn</w:t>
      </w:r>
      <w:r w:rsidRPr="001E7CB3">
        <w:rPr>
          <w:lang w:val="fr-CA"/>
        </w:rPr>
        <w:t>ent pas d’</w:t>
      </w:r>
      <w:r>
        <w:rPr>
          <w:lang w:val="fr-CA"/>
        </w:rPr>
        <w:t>éléments d’actif</w:t>
      </w:r>
      <w:r w:rsidRPr="001E7CB3">
        <w:rPr>
          <w:lang w:val="fr-CA"/>
        </w:rPr>
        <w:t>.  Ces comptes ne sont que des documents comptables visant à suivre le fonctionnement des régimes et à estimer le</w:t>
      </w:r>
      <w:r>
        <w:rPr>
          <w:lang w:val="fr-CA"/>
        </w:rPr>
        <w:t>s engagements à venir</w:t>
      </w:r>
      <w:r w:rsidRPr="001E7CB3">
        <w:rPr>
          <w:lang w:val="fr-CA"/>
        </w:rPr>
        <w:t xml:space="preserve"> du gouvernement </w:t>
      </w:r>
      <w:r>
        <w:rPr>
          <w:lang w:val="fr-CA"/>
        </w:rPr>
        <w:t>au titre des</w:t>
      </w:r>
      <w:r w:rsidRPr="001E7CB3">
        <w:rPr>
          <w:lang w:val="fr-CA"/>
        </w:rPr>
        <w:t xml:space="preserve"> pensions. </w:t>
      </w:r>
    </w:p>
    <w:p w:rsidR="000F48EC" w:rsidRPr="00F23719" w:rsidRDefault="000F48EC" w:rsidP="00995D1F">
      <w:pPr>
        <w:pStyle w:val="TitleTitre-AltT"/>
        <w:keepNext/>
        <w:tabs>
          <w:tab w:val="clear" w:pos="360"/>
          <w:tab w:val="left" w:pos="540"/>
        </w:tabs>
        <w:ind w:left="1170" w:hanging="1170"/>
        <w:rPr>
          <w:u w:val="single"/>
          <w:lang w:val="fr-CA"/>
        </w:rPr>
      </w:pPr>
      <w:r w:rsidRPr="00DE3830">
        <w:rPr>
          <w:lang w:val="fr-CA"/>
        </w:rPr>
        <w:tab/>
        <w:t>(1)</w:t>
      </w:r>
      <w:r w:rsidRPr="00DE3830">
        <w:rPr>
          <w:lang w:val="fr-CA"/>
        </w:rPr>
        <w:tab/>
      </w:r>
      <w:r w:rsidRPr="00F23719">
        <w:rPr>
          <w:u w:val="single"/>
          <w:lang w:val="fr-CA"/>
        </w:rPr>
        <w:t>Les lois sur les pensions</w:t>
      </w:r>
    </w:p>
    <w:p w:rsidR="000F48EC" w:rsidRPr="001E7CB3" w:rsidRDefault="000F48EC" w:rsidP="000F48EC">
      <w:pPr>
        <w:pStyle w:val="ParaNoNdepar-AltN"/>
        <w:rPr>
          <w:lang w:val="fr-CA"/>
        </w:rPr>
      </w:pPr>
      <w:r w:rsidRPr="001E7CB3">
        <w:rPr>
          <w:lang w:val="fr-CA"/>
        </w:rPr>
        <w:t xml:space="preserve">Les comptes de pension de retraite étant </w:t>
      </w:r>
      <w:r>
        <w:rPr>
          <w:lang w:val="fr-CA"/>
        </w:rPr>
        <w:t xml:space="preserve">tous </w:t>
      </w:r>
      <w:r w:rsidRPr="001E7CB3">
        <w:rPr>
          <w:lang w:val="fr-CA"/>
        </w:rPr>
        <w:t>d’origine législative, l’analyse de leur nature doit partir des textes de loi.  L’actuel compte</w:t>
      </w:r>
      <w:r>
        <w:rPr>
          <w:lang w:val="fr-CA"/>
        </w:rPr>
        <w:t xml:space="preserve"> du régime</w:t>
      </w:r>
      <w:r w:rsidRPr="001E7CB3">
        <w:rPr>
          <w:lang w:val="fr-CA"/>
        </w:rPr>
        <w:t xml:space="preserve"> de pension de retraite d</w:t>
      </w:r>
      <w:r>
        <w:rPr>
          <w:lang w:val="fr-CA"/>
        </w:rPr>
        <w:t>e la fonction publique</w:t>
      </w:r>
      <w:r w:rsidRPr="001E7CB3">
        <w:rPr>
          <w:lang w:val="fr-CA"/>
        </w:rPr>
        <w:t xml:space="preserve"> </w:t>
      </w:r>
      <w:r>
        <w:rPr>
          <w:lang w:val="fr-CA"/>
        </w:rPr>
        <w:t>est le prolongement du</w:t>
      </w:r>
      <w:r w:rsidRPr="001E7CB3">
        <w:rPr>
          <w:lang w:val="fr-CA"/>
        </w:rPr>
        <w:t xml:space="preserve"> compte établi lors de la révision</w:t>
      </w:r>
      <w:r>
        <w:rPr>
          <w:lang w:val="fr-CA"/>
        </w:rPr>
        <w:t>,</w:t>
      </w:r>
      <w:r w:rsidRPr="001A3E91">
        <w:rPr>
          <w:lang w:val="fr-CA"/>
        </w:rPr>
        <w:t xml:space="preserve"> </w:t>
      </w:r>
      <w:r w:rsidRPr="001E7CB3">
        <w:rPr>
          <w:lang w:val="fr-CA"/>
        </w:rPr>
        <w:t xml:space="preserve">en </w:t>
      </w:r>
      <w:r>
        <w:rPr>
          <w:lang w:val="fr-CA"/>
        </w:rPr>
        <w:t>1952,</w:t>
      </w:r>
      <w:r w:rsidRPr="001E7CB3">
        <w:rPr>
          <w:lang w:val="fr-CA"/>
        </w:rPr>
        <w:t xml:space="preserve"> de la </w:t>
      </w:r>
      <w:r w:rsidRPr="001E7CB3">
        <w:rPr>
          <w:i/>
          <w:lang w:val="fr-CA"/>
        </w:rPr>
        <w:t>Loi sur la pension du service civil</w:t>
      </w:r>
      <w:r>
        <w:rPr>
          <w:lang w:val="fr-CA"/>
        </w:rPr>
        <w:t>,</w:t>
      </w:r>
      <w:r w:rsidRPr="001E7CB3">
        <w:rPr>
          <w:lang w:val="fr-CA"/>
        </w:rPr>
        <w:t xml:space="preserve"> </w:t>
      </w:r>
      <w:r w:rsidRPr="00CB6547">
        <w:rPr>
          <w:lang w:val="fr-CA"/>
        </w:rPr>
        <w:t xml:space="preserve">S.R.C. 1952, </w:t>
      </w:r>
      <w:r>
        <w:rPr>
          <w:lang w:val="fr-CA"/>
        </w:rPr>
        <w:t>ch. </w:t>
      </w:r>
      <w:r w:rsidRPr="00CB6547">
        <w:rPr>
          <w:lang w:val="fr-CA"/>
        </w:rPr>
        <w:t>50</w:t>
      </w:r>
      <w:r>
        <w:rPr>
          <w:color w:val="FF0000"/>
          <w:lang w:val="fr-CA"/>
        </w:rPr>
        <w:t xml:space="preserve"> </w:t>
      </w:r>
      <w:r w:rsidRPr="00CB6547">
        <w:rPr>
          <w:lang w:val="fr-CA"/>
        </w:rPr>
        <w:t>(</w:t>
      </w:r>
      <w:r w:rsidRPr="00995D1F">
        <w:rPr>
          <w:i/>
          <w:lang w:val="fr-CA"/>
        </w:rPr>
        <w:t>LPFP</w:t>
      </w:r>
      <w:r w:rsidRPr="00CB6547">
        <w:rPr>
          <w:lang w:val="fr-CA"/>
        </w:rPr>
        <w:t xml:space="preserve">, </w:t>
      </w:r>
      <w:r>
        <w:rPr>
          <w:lang w:val="fr-CA"/>
        </w:rPr>
        <w:t>définition de « </w:t>
      </w:r>
      <w:r w:rsidRPr="00186731">
        <w:rPr>
          <w:i/>
          <w:lang w:val="fr-CA"/>
        </w:rPr>
        <w:t>Loi sur la pension de retraite</w:t>
      </w:r>
      <w:r>
        <w:rPr>
          <w:lang w:val="fr-CA"/>
        </w:rPr>
        <w:t> », par. </w:t>
      </w:r>
      <w:r w:rsidRPr="00CB6547">
        <w:rPr>
          <w:lang w:val="fr-CA"/>
        </w:rPr>
        <w:t>3(1) et 4(</w:t>
      </w:r>
      <w:r w:rsidRPr="001E7CB3">
        <w:rPr>
          <w:lang w:val="fr-CA"/>
        </w:rPr>
        <w:t>2)</w:t>
      </w:r>
      <w:r>
        <w:rPr>
          <w:lang w:val="fr-CA"/>
        </w:rPr>
        <w:t>)</w:t>
      </w:r>
      <w:r w:rsidRPr="001E7CB3">
        <w:rPr>
          <w:lang w:val="fr-CA"/>
        </w:rPr>
        <w:t xml:space="preserve">.  Les Statuts révisés </w:t>
      </w:r>
      <w:r>
        <w:rPr>
          <w:lang w:val="fr-CA"/>
        </w:rPr>
        <w:t xml:space="preserve">du Canada </w:t>
      </w:r>
      <w:r w:rsidRPr="001E7CB3">
        <w:rPr>
          <w:lang w:val="fr-CA"/>
        </w:rPr>
        <w:t>de</w:t>
      </w:r>
      <w:r>
        <w:rPr>
          <w:lang w:val="fr-CA"/>
        </w:rPr>
        <w:t xml:space="preserve"> </w:t>
      </w:r>
      <w:r w:rsidRPr="001E7CB3">
        <w:rPr>
          <w:lang w:val="fr-CA"/>
        </w:rPr>
        <w:t>1952 édictaient de nouveau</w:t>
      </w:r>
      <w:r>
        <w:rPr>
          <w:lang w:val="fr-CA"/>
        </w:rPr>
        <w:t xml:space="preserve"> une disposition qui figurait initialement dans </w:t>
      </w:r>
      <w:r w:rsidRPr="001E7CB3">
        <w:rPr>
          <w:lang w:val="fr-CA"/>
        </w:rPr>
        <w:t xml:space="preserve">la </w:t>
      </w:r>
      <w:r w:rsidRPr="001E7CB3">
        <w:rPr>
          <w:i/>
          <w:lang w:val="fr-CA"/>
        </w:rPr>
        <w:t>Loi modifiant la Loi de la pension du service civil,</w:t>
      </w:r>
      <w:r w:rsidRPr="001E7CB3">
        <w:rPr>
          <w:lang w:val="fr-CA"/>
        </w:rPr>
        <w:t xml:space="preserve"> </w:t>
      </w:r>
      <w:r>
        <w:rPr>
          <w:lang w:val="fr-CA"/>
        </w:rPr>
        <w:t>S.C. </w:t>
      </w:r>
      <w:r w:rsidRPr="001E7CB3">
        <w:rPr>
          <w:lang w:val="fr-CA"/>
        </w:rPr>
        <w:t>1944</w:t>
      </w:r>
      <w:r w:rsidR="00AC55FF">
        <w:rPr>
          <w:lang w:val="fr-CA"/>
        </w:rPr>
        <w:t>-</w:t>
      </w:r>
      <w:r w:rsidRPr="001E7CB3">
        <w:rPr>
          <w:lang w:val="fr-CA"/>
        </w:rPr>
        <w:t xml:space="preserve">45, </w:t>
      </w:r>
      <w:r>
        <w:rPr>
          <w:lang w:val="fr-CA"/>
        </w:rPr>
        <w:t>ch. 34, art. </w:t>
      </w:r>
      <w:r w:rsidRPr="001E7CB3">
        <w:rPr>
          <w:lang w:val="fr-CA"/>
        </w:rPr>
        <w:t>6, édictée en 1944.</w:t>
      </w:r>
    </w:p>
    <w:p w:rsidR="000F48EC" w:rsidRPr="001E7CB3" w:rsidRDefault="000F48EC" w:rsidP="000F48EC">
      <w:pPr>
        <w:pStyle w:val="ParaNoNdepar-AltN"/>
        <w:rPr>
          <w:lang w:val="fr-CA"/>
        </w:rPr>
      </w:pPr>
      <w:r w:rsidRPr="001E7CB3">
        <w:rPr>
          <w:lang w:val="fr-CA"/>
        </w:rPr>
        <w:t>L</w:t>
      </w:r>
      <w:r>
        <w:rPr>
          <w:lang w:val="fr-CA"/>
        </w:rPr>
        <w:t xml:space="preserve">’article 21 de la </w:t>
      </w:r>
      <w:r w:rsidRPr="001E7CB3">
        <w:rPr>
          <w:i/>
          <w:lang w:val="fr-CA"/>
        </w:rPr>
        <w:t>Loi sur la pension du service civil</w:t>
      </w:r>
      <w:r w:rsidRPr="001E7CB3">
        <w:rPr>
          <w:lang w:val="fr-CA"/>
        </w:rPr>
        <w:t xml:space="preserve"> </w:t>
      </w:r>
      <w:r>
        <w:rPr>
          <w:lang w:val="fr-CA"/>
        </w:rPr>
        <w:t>prévoy</w:t>
      </w:r>
      <w:r w:rsidRPr="001E7CB3">
        <w:rPr>
          <w:lang w:val="fr-CA"/>
        </w:rPr>
        <w:t>ait que les sommes perçues en application de cette loi étaient versées au Trésor (alors le Fonds du revenu consolidé (</w:t>
      </w:r>
      <w:r w:rsidR="005B08BF">
        <w:rPr>
          <w:rFonts w:cs="Times New Roman"/>
          <w:lang w:val="fr-CA"/>
        </w:rPr>
        <w:t>«</w:t>
      </w:r>
      <w:r w:rsidR="005B08BF">
        <w:rPr>
          <w:lang w:val="fr-CA"/>
        </w:rPr>
        <w:t> </w:t>
      </w:r>
      <w:r w:rsidRPr="001E7CB3">
        <w:rPr>
          <w:lang w:val="fr-CA"/>
        </w:rPr>
        <w:t>FRC</w:t>
      </w:r>
      <w:r w:rsidR="005B08BF">
        <w:rPr>
          <w:lang w:val="fr-CA"/>
        </w:rPr>
        <w:t> </w:t>
      </w:r>
      <w:r w:rsidR="005B08BF">
        <w:rPr>
          <w:rFonts w:cs="Times New Roman"/>
          <w:lang w:val="fr-CA"/>
        </w:rPr>
        <w:t>»</w:t>
      </w:r>
      <w:r w:rsidRPr="001E7CB3">
        <w:rPr>
          <w:lang w:val="fr-CA"/>
        </w:rPr>
        <w:t>)), sur lequel étaient également payées les sommes exigibles</w:t>
      </w:r>
      <w:r>
        <w:rPr>
          <w:lang w:val="fr-CA"/>
        </w:rPr>
        <w:t> :</w:t>
      </w:r>
      <w:r w:rsidRPr="001E7CB3">
        <w:rPr>
          <w:lang w:val="fr-CA"/>
        </w:rPr>
        <w:t xml:space="preserve"> </w:t>
      </w:r>
    </w:p>
    <w:p w:rsidR="000F48EC" w:rsidRDefault="000F48EC" w:rsidP="000F48EC">
      <w:pPr>
        <w:pStyle w:val="Citation-AltC"/>
        <w:tabs>
          <w:tab w:val="left" w:pos="1440"/>
          <w:tab w:val="left" w:pos="2250"/>
        </w:tabs>
        <w:ind w:hanging="1166"/>
        <w:contextualSpacing w:val="0"/>
        <w:rPr>
          <w:lang w:val="fr-CA"/>
        </w:rPr>
      </w:pPr>
      <w:r>
        <w:rPr>
          <w:b/>
          <w:lang w:val="fr-CA"/>
        </w:rPr>
        <w:lastRenderedPageBreak/>
        <w:tab/>
      </w:r>
      <w:r>
        <w:rPr>
          <w:b/>
          <w:lang w:val="fr-CA"/>
        </w:rPr>
        <w:tab/>
      </w:r>
      <w:r w:rsidRPr="008A4DF4">
        <w:rPr>
          <w:b/>
          <w:lang w:val="fr-CA"/>
        </w:rPr>
        <w:t>21.</w:t>
      </w:r>
      <w:r w:rsidR="008446CC" w:rsidRPr="008446CC">
        <w:rPr>
          <w:lang w:val="fr-CA"/>
        </w:rPr>
        <w:t xml:space="preserve"> </w:t>
      </w:r>
      <w:r w:rsidR="005B08BF">
        <w:rPr>
          <w:lang w:val="fr-CA"/>
        </w:rPr>
        <w:t>(1) </w:t>
      </w:r>
      <w:r w:rsidRPr="001E7CB3">
        <w:rPr>
          <w:lang w:val="fr-CA"/>
        </w:rPr>
        <w:t>Les deniers reçus sous le régime des dispositions de la présente loi font partie du Fonds du revenu consolidé</w:t>
      </w:r>
      <w:r w:rsidR="005B08BF">
        <w:rPr>
          <w:lang w:val="fr-CA"/>
        </w:rPr>
        <w:t>,</w:t>
      </w:r>
      <w:r w:rsidRPr="001E7CB3">
        <w:rPr>
          <w:lang w:val="fr-CA"/>
        </w:rPr>
        <w:t xml:space="preserve"> et les deniers payables en vertu desdites dispositions sont payables à même ledit Fonds du revenu consolidé. </w:t>
      </w:r>
    </w:p>
    <w:p w:rsidR="000F48EC" w:rsidRPr="00C52F44" w:rsidRDefault="000F48EC" w:rsidP="000F48EC">
      <w:pPr>
        <w:pStyle w:val="ParaNoNdepar-AltN"/>
        <w:numPr>
          <w:ilvl w:val="0"/>
          <w:numId w:val="0"/>
        </w:numPr>
        <w:rPr>
          <w:lang w:val="fr-CA"/>
        </w:rPr>
      </w:pPr>
      <w:r>
        <w:rPr>
          <w:lang w:val="fr-CA"/>
        </w:rPr>
        <w:t>À l’époque pertinente, l</w:t>
      </w:r>
      <w:r w:rsidRPr="001E7CB3">
        <w:rPr>
          <w:lang w:val="fr-CA"/>
        </w:rPr>
        <w:t xml:space="preserve">a </w:t>
      </w:r>
      <w:r>
        <w:rPr>
          <w:i/>
          <w:lang w:val="fr-CA"/>
        </w:rPr>
        <w:t>Loi sur l’administration financière</w:t>
      </w:r>
      <w:r w:rsidRPr="001E7CB3">
        <w:rPr>
          <w:lang w:val="fr-CA"/>
        </w:rPr>
        <w:t xml:space="preserve">, </w:t>
      </w:r>
      <w:r>
        <w:rPr>
          <w:lang w:val="fr-CA"/>
        </w:rPr>
        <w:t>S.C. </w:t>
      </w:r>
      <w:r w:rsidRPr="001E7CB3">
        <w:rPr>
          <w:lang w:val="fr-CA"/>
        </w:rPr>
        <w:t>1951</w:t>
      </w:r>
      <w:r>
        <w:rPr>
          <w:lang w:val="fr-CA"/>
        </w:rPr>
        <w:t xml:space="preserve"> (2</w:t>
      </w:r>
      <w:r w:rsidRPr="00CB6547">
        <w:rPr>
          <w:vertAlign w:val="superscript"/>
          <w:lang w:val="fr-CA"/>
        </w:rPr>
        <w:t>e</w:t>
      </w:r>
      <w:r>
        <w:rPr>
          <w:lang w:val="fr-CA"/>
        </w:rPr>
        <w:t xml:space="preserve"> </w:t>
      </w:r>
      <w:proofErr w:type="spellStart"/>
      <w:r>
        <w:rPr>
          <w:lang w:val="fr-CA"/>
        </w:rPr>
        <w:t>sess</w:t>
      </w:r>
      <w:proofErr w:type="spellEnd"/>
      <w:r>
        <w:rPr>
          <w:lang w:val="fr-CA"/>
        </w:rPr>
        <w:t>.)</w:t>
      </w:r>
      <w:r w:rsidRPr="001E7CB3">
        <w:rPr>
          <w:lang w:val="fr-CA"/>
        </w:rPr>
        <w:t xml:space="preserve">, </w:t>
      </w:r>
      <w:r>
        <w:rPr>
          <w:lang w:val="fr-CA"/>
        </w:rPr>
        <w:t>ch. </w:t>
      </w:r>
      <w:r w:rsidRPr="001E7CB3">
        <w:rPr>
          <w:lang w:val="fr-CA"/>
        </w:rPr>
        <w:t xml:space="preserve">12, </w:t>
      </w:r>
      <w:r>
        <w:rPr>
          <w:lang w:val="fr-CA"/>
        </w:rPr>
        <w:t>al. </w:t>
      </w:r>
      <w:r w:rsidRPr="001E7CB3">
        <w:rPr>
          <w:lang w:val="fr-CA"/>
        </w:rPr>
        <w:t>2</w:t>
      </w:r>
      <w:r w:rsidRPr="008A4DF4">
        <w:rPr>
          <w:i/>
          <w:lang w:val="fr-CA"/>
        </w:rPr>
        <w:t>e</w:t>
      </w:r>
      <w:r w:rsidRPr="008A4DF4">
        <w:rPr>
          <w:lang w:val="fr-CA"/>
        </w:rPr>
        <w:t>)</w:t>
      </w:r>
      <w:r w:rsidRPr="001E7CB3">
        <w:rPr>
          <w:lang w:val="fr-CA"/>
        </w:rPr>
        <w:t>,</w:t>
      </w:r>
      <w:r>
        <w:rPr>
          <w:lang w:val="fr-CA"/>
        </w:rPr>
        <w:t xml:space="preserve"> sanctionnée le 21 décembre 1951,</w:t>
      </w:r>
      <w:r w:rsidRPr="001E7CB3">
        <w:rPr>
          <w:lang w:val="fr-CA"/>
        </w:rPr>
        <w:t xml:space="preserve"> définissait ainsi le FRC</w:t>
      </w:r>
      <w:r>
        <w:rPr>
          <w:lang w:val="fr-CA"/>
        </w:rPr>
        <w:t> :</w:t>
      </w:r>
      <w:r w:rsidRPr="001E7CB3">
        <w:rPr>
          <w:lang w:val="fr-CA"/>
        </w:rPr>
        <w:t xml:space="preserve"> « </w:t>
      </w:r>
      <w:r w:rsidR="001D3900">
        <w:rPr>
          <w:lang w:val="fr-CA"/>
        </w:rPr>
        <w:t xml:space="preserve">. . . </w:t>
      </w:r>
      <w:r w:rsidRPr="001E7CB3">
        <w:rPr>
          <w:lang w:val="fr-CA"/>
        </w:rPr>
        <w:t>l’ensemble de tous les deniers publics qui sont en dépôt au crédit du receveur général ».</w:t>
      </w:r>
      <w:r>
        <w:rPr>
          <w:lang w:val="fr-CA"/>
        </w:rPr>
        <w:t xml:space="preserve">  L’article 21 de la </w:t>
      </w:r>
      <w:r w:rsidRPr="001E7CB3">
        <w:rPr>
          <w:i/>
          <w:lang w:val="fr-CA"/>
        </w:rPr>
        <w:t>Loi sur la pension du service civil</w:t>
      </w:r>
      <w:r>
        <w:rPr>
          <w:lang w:val="fr-CA"/>
        </w:rPr>
        <w:t xml:space="preserve"> prévoyait en outre la tenue d’un compte spécial dans le FRC, appelé le compte de pension, réservé aux deniers reçus ou payables sous le régime de la Loi :</w:t>
      </w:r>
    </w:p>
    <w:p w:rsidR="000F48EC" w:rsidRPr="001E7CB3" w:rsidRDefault="005B08BF" w:rsidP="000F48EC">
      <w:pPr>
        <w:pStyle w:val="Citation-AltC"/>
        <w:tabs>
          <w:tab w:val="left" w:pos="1440"/>
          <w:tab w:val="left" w:pos="1800"/>
        </w:tabs>
        <w:ind w:hanging="1166"/>
        <w:contextualSpacing w:val="0"/>
        <w:rPr>
          <w:lang w:val="fr-CA"/>
        </w:rPr>
      </w:pPr>
      <w:r>
        <w:rPr>
          <w:lang w:val="fr-CA"/>
        </w:rPr>
        <w:tab/>
      </w:r>
      <w:r>
        <w:rPr>
          <w:lang w:val="fr-CA"/>
        </w:rPr>
        <w:tab/>
        <w:t>(2) </w:t>
      </w:r>
      <w:r w:rsidR="000F48EC" w:rsidRPr="001E7CB3">
        <w:rPr>
          <w:lang w:val="fr-CA"/>
        </w:rPr>
        <w:t>Est tenu au Fonds du revenu consolidé un compte spécial</w:t>
      </w:r>
      <w:r>
        <w:rPr>
          <w:lang w:val="fr-CA"/>
        </w:rPr>
        <w:t>,</w:t>
      </w:r>
      <w:r w:rsidR="000F48EC" w:rsidRPr="001E7CB3">
        <w:rPr>
          <w:lang w:val="fr-CA"/>
        </w:rPr>
        <w:t xml:space="preserve"> appelé le compte de pension, de tous les deniers ainsi reçus ou payables, et il doit être ajouté chaque année audit compte un montant représentant l’intérêt, au taux et calculé de la manière que le gouverneur en conseil peut prescrire par règlement, sur le montant au crédit dudit compte.</w:t>
      </w:r>
    </w:p>
    <w:p w:rsidR="000F48EC" w:rsidRDefault="000F48EC" w:rsidP="000F48EC">
      <w:pPr>
        <w:pStyle w:val="ParaNoNdepar-AltN"/>
        <w:rPr>
          <w:lang w:val="fr-CA"/>
        </w:rPr>
      </w:pPr>
      <w:r w:rsidRPr="001E7CB3">
        <w:rPr>
          <w:lang w:val="fr-CA"/>
        </w:rPr>
        <w:t>La description du compte de pension comme un « compte spécial</w:t>
      </w:r>
      <w:r>
        <w:rPr>
          <w:lang w:val="fr-CA"/>
        </w:rPr>
        <w:t> », « tenu au Fonds du revenu consolidé »,</w:t>
      </w:r>
      <w:r w:rsidRPr="001E7CB3">
        <w:rPr>
          <w:lang w:val="fr-CA"/>
        </w:rPr>
        <w:t xml:space="preserve"> </w:t>
      </w:r>
      <w:r>
        <w:rPr>
          <w:lang w:val="fr-CA"/>
        </w:rPr>
        <w:t>« </w:t>
      </w:r>
      <w:r w:rsidRPr="001E7CB3">
        <w:rPr>
          <w:lang w:val="fr-CA"/>
        </w:rPr>
        <w:t xml:space="preserve">de tous les deniers ainsi </w:t>
      </w:r>
      <w:r w:rsidRPr="005B08BF">
        <w:rPr>
          <w:u w:val="single"/>
          <w:lang w:val="fr-CA"/>
        </w:rPr>
        <w:t>reçus</w:t>
      </w:r>
      <w:r w:rsidRPr="001E7CB3">
        <w:rPr>
          <w:lang w:val="fr-CA"/>
        </w:rPr>
        <w:t xml:space="preserve"> ou </w:t>
      </w:r>
      <w:r w:rsidRPr="005B08BF">
        <w:rPr>
          <w:u w:val="single"/>
          <w:lang w:val="fr-CA"/>
        </w:rPr>
        <w:t>payables</w:t>
      </w:r>
      <w:r w:rsidRPr="001E7CB3">
        <w:rPr>
          <w:lang w:val="fr-CA"/>
        </w:rPr>
        <w:t> »</w:t>
      </w:r>
      <w:r>
        <w:rPr>
          <w:lang w:val="fr-CA"/>
        </w:rPr>
        <w:t xml:space="preserve"> </w:t>
      </w:r>
      <w:r w:rsidRPr="001E7CB3">
        <w:rPr>
          <w:lang w:val="fr-CA"/>
        </w:rPr>
        <w:t>dé</w:t>
      </w:r>
      <w:r>
        <w:rPr>
          <w:lang w:val="fr-CA"/>
        </w:rPr>
        <w:t>cr</w:t>
      </w:r>
      <w:r w:rsidRPr="001E7CB3">
        <w:rPr>
          <w:lang w:val="fr-CA"/>
        </w:rPr>
        <w:t xml:space="preserve">it des écritures comptables — </w:t>
      </w:r>
      <w:r>
        <w:rPr>
          <w:lang w:val="fr-CA"/>
        </w:rPr>
        <w:t xml:space="preserve">l’enregistrement </w:t>
      </w:r>
      <w:r w:rsidRPr="001E7CB3">
        <w:rPr>
          <w:lang w:val="fr-CA"/>
        </w:rPr>
        <w:t xml:space="preserve">des opérations se rapportant aux régimes de pension gouvernementaux </w:t>
      </w:r>
      <w:r>
        <w:rPr>
          <w:lang w:val="fr-CA"/>
        </w:rPr>
        <w:t>sous forme de</w:t>
      </w:r>
      <w:r w:rsidRPr="001E7CB3">
        <w:rPr>
          <w:lang w:val="fr-CA"/>
        </w:rPr>
        <w:t xml:space="preserve"> crédit</w:t>
      </w:r>
      <w:r>
        <w:rPr>
          <w:lang w:val="fr-CA"/>
        </w:rPr>
        <w:t>s</w:t>
      </w:r>
      <w:r w:rsidRPr="001E7CB3">
        <w:rPr>
          <w:lang w:val="fr-CA"/>
        </w:rPr>
        <w:t xml:space="preserve"> et </w:t>
      </w:r>
      <w:r>
        <w:rPr>
          <w:lang w:val="fr-CA"/>
        </w:rPr>
        <w:t xml:space="preserve">de </w:t>
      </w:r>
      <w:r w:rsidRPr="001E7CB3">
        <w:rPr>
          <w:lang w:val="fr-CA"/>
        </w:rPr>
        <w:t>débit</w:t>
      </w:r>
      <w:r>
        <w:rPr>
          <w:lang w:val="fr-CA"/>
        </w:rPr>
        <w:t>s</w:t>
      </w:r>
      <w:r w:rsidRPr="001E7CB3">
        <w:rPr>
          <w:lang w:val="fr-CA"/>
        </w:rPr>
        <w:t xml:space="preserve">.  </w:t>
      </w:r>
      <w:r>
        <w:rPr>
          <w:lang w:val="fr-CA"/>
        </w:rPr>
        <w:t>Le</w:t>
      </w:r>
      <w:r w:rsidRPr="001E7CB3">
        <w:rPr>
          <w:lang w:val="fr-CA"/>
        </w:rPr>
        <w:t xml:space="preserve"> libellé de la loi </w:t>
      </w:r>
      <w:r>
        <w:rPr>
          <w:lang w:val="fr-CA"/>
        </w:rPr>
        <w:t xml:space="preserve">indique </w:t>
      </w:r>
      <w:r w:rsidRPr="001E7CB3">
        <w:rPr>
          <w:lang w:val="fr-CA"/>
        </w:rPr>
        <w:t>que</w:t>
      </w:r>
      <w:r>
        <w:rPr>
          <w:lang w:val="fr-CA"/>
        </w:rPr>
        <w:t xml:space="preserve">, dans l’esprit du </w:t>
      </w:r>
      <w:r w:rsidRPr="001E7CB3">
        <w:rPr>
          <w:lang w:val="fr-CA"/>
        </w:rPr>
        <w:t>législateur</w:t>
      </w:r>
      <w:r>
        <w:rPr>
          <w:lang w:val="fr-CA"/>
        </w:rPr>
        <w:t>,</w:t>
      </w:r>
      <w:r w:rsidRPr="001E7CB3">
        <w:rPr>
          <w:lang w:val="fr-CA"/>
        </w:rPr>
        <w:t xml:space="preserve"> le compte </w:t>
      </w:r>
      <w:r>
        <w:rPr>
          <w:lang w:val="fr-CA"/>
        </w:rPr>
        <w:t xml:space="preserve">devait faire état </w:t>
      </w:r>
      <w:r w:rsidRPr="001E7CB3">
        <w:rPr>
          <w:lang w:val="fr-CA"/>
        </w:rPr>
        <w:t xml:space="preserve">des </w:t>
      </w:r>
      <w:r>
        <w:rPr>
          <w:lang w:val="fr-CA"/>
        </w:rPr>
        <w:t xml:space="preserve">opérations </w:t>
      </w:r>
      <w:r>
        <w:rPr>
          <w:rFonts w:cs="Times New Roman"/>
          <w:lang w:val="fr-CA"/>
        </w:rPr>
        <w:t xml:space="preserve">― versements et prélèvements — </w:t>
      </w:r>
      <w:r>
        <w:rPr>
          <w:lang w:val="fr-CA"/>
        </w:rPr>
        <w:t>reliées au régime qui étaient effectuées sur le FRC.  C</w:t>
      </w:r>
      <w:r w:rsidRPr="001E7CB3">
        <w:rPr>
          <w:lang w:val="fr-CA"/>
        </w:rPr>
        <w:t xml:space="preserve">onsidéré avec la </w:t>
      </w:r>
      <w:r>
        <w:rPr>
          <w:lang w:val="fr-CA"/>
        </w:rPr>
        <w:t>directive de verser</w:t>
      </w:r>
      <w:r w:rsidRPr="001E7CB3">
        <w:rPr>
          <w:lang w:val="fr-CA"/>
        </w:rPr>
        <w:t xml:space="preserve"> les contributions au FRC et </w:t>
      </w:r>
      <w:r>
        <w:rPr>
          <w:lang w:val="fr-CA"/>
        </w:rPr>
        <w:t xml:space="preserve">de payer </w:t>
      </w:r>
      <w:r w:rsidRPr="001E7CB3">
        <w:rPr>
          <w:lang w:val="fr-CA"/>
        </w:rPr>
        <w:t xml:space="preserve">les pensions sur </w:t>
      </w:r>
      <w:r>
        <w:rPr>
          <w:lang w:val="fr-CA"/>
        </w:rPr>
        <w:t xml:space="preserve">le </w:t>
      </w:r>
      <w:r w:rsidRPr="001E7CB3">
        <w:rPr>
          <w:lang w:val="fr-CA"/>
        </w:rPr>
        <w:t xml:space="preserve">FRC, </w:t>
      </w:r>
      <w:r>
        <w:rPr>
          <w:lang w:val="fr-CA"/>
        </w:rPr>
        <w:t>ce libellé correspond à la notion</w:t>
      </w:r>
      <w:r w:rsidRPr="001E7CB3">
        <w:rPr>
          <w:lang w:val="fr-CA"/>
        </w:rPr>
        <w:t xml:space="preserve"> d’écritures </w:t>
      </w:r>
      <w:r w:rsidRPr="001E7CB3">
        <w:rPr>
          <w:lang w:val="fr-CA"/>
        </w:rPr>
        <w:lastRenderedPageBreak/>
        <w:t>comptables</w:t>
      </w:r>
      <w:r>
        <w:rPr>
          <w:lang w:val="fr-CA"/>
        </w:rPr>
        <w:t>,</w:t>
      </w:r>
      <w:r w:rsidRPr="001E7CB3">
        <w:rPr>
          <w:lang w:val="fr-CA"/>
        </w:rPr>
        <w:t xml:space="preserve"> </w:t>
      </w:r>
      <w:r>
        <w:rPr>
          <w:lang w:val="fr-CA"/>
        </w:rPr>
        <w:t xml:space="preserve">et </w:t>
      </w:r>
      <w:r w:rsidRPr="001E7CB3">
        <w:rPr>
          <w:lang w:val="fr-CA"/>
        </w:rPr>
        <w:t xml:space="preserve">non </w:t>
      </w:r>
      <w:r>
        <w:rPr>
          <w:lang w:val="fr-CA"/>
        </w:rPr>
        <w:t xml:space="preserve">à </w:t>
      </w:r>
      <w:r w:rsidRPr="001E7CB3">
        <w:rPr>
          <w:lang w:val="fr-CA"/>
        </w:rPr>
        <w:t xml:space="preserve">une directive </w:t>
      </w:r>
      <w:r>
        <w:rPr>
          <w:lang w:val="fr-CA"/>
        </w:rPr>
        <w:t xml:space="preserve">selon laquelle des éléments d’actif devaient être conservés dans une caisse </w:t>
      </w:r>
      <w:r w:rsidRPr="001E7CB3">
        <w:rPr>
          <w:lang w:val="fr-CA"/>
        </w:rPr>
        <w:t>distinct</w:t>
      </w:r>
      <w:r>
        <w:rPr>
          <w:lang w:val="fr-CA"/>
        </w:rPr>
        <w:t xml:space="preserve">e et </w:t>
      </w:r>
      <w:r w:rsidRPr="001E7CB3">
        <w:rPr>
          <w:lang w:val="fr-CA"/>
        </w:rPr>
        <w:t xml:space="preserve">identifiable. </w:t>
      </w:r>
    </w:p>
    <w:p w:rsidR="000F48EC" w:rsidRDefault="000F48EC" w:rsidP="000F48EC">
      <w:pPr>
        <w:pStyle w:val="ParaNoNdepar-AltN"/>
        <w:rPr>
          <w:lang w:val="fr-CA"/>
        </w:rPr>
      </w:pPr>
      <w:r w:rsidRPr="003546F3">
        <w:rPr>
          <w:lang w:val="fr-CA"/>
        </w:rPr>
        <w:t xml:space="preserve">Puisque le compte de pension de retraite actuel </w:t>
      </w:r>
      <w:r>
        <w:rPr>
          <w:lang w:val="fr-CA"/>
        </w:rPr>
        <w:t>est le prolongement du</w:t>
      </w:r>
      <w:r w:rsidRPr="003546F3">
        <w:rPr>
          <w:lang w:val="fr-CA"/>
        </w:rPr>
        <w:t xml:space="preserve"> compte établi par les Statuts révisés </w:t>
      </w:r>
      <w:r>
        <w:rPr>
          <w:lang w:val="fr-CA"/>
        </w:rPr>
        <w:t xml:space="preserve">du Canada </w:t>
      </w:r>
      <w:r w:rsidRPr="003546F3">
        <w:rPr>
          <w:lang w:val="fr-CA"/>
        </w:rPr>
        <w:t xml:space="preserve">de 1952 (initialement créé par le législateur en 1944), il continue d’être un registre comptable </w:t>
      </w:r>
      <w:r>
        <w:rPr>
          <w:lang w:val="fr-CA"/>
        </w:rPr>
        <w:t xml:space="preserve">faisant état, sous forme de crédits et de débits, des opérations reliées au régime de retraite effectuées sur le Trésor. </w:t>
      </w:r>
    </w:p>
    <w:p w:rsidR="000F48EC" w:rsidRDefault="000F48EC" w:rsidP="000F48EC">
      <w:pPr>
        <w:pStyle w:val="ParaNoNdepar-AltN"/>
        <w:rPr>
          <w:lang w:val="fr-CA"/>
        </w:rPr>
      </w:pPr>
      <w:r w:rsidRPr="003546F3">
        <w:rPr>
          <w:lang w:val="fr-CA"/>
        </w:rPr>
        <w:t xml:space="preserve">Je rappelle, à cet égard, que </w:t>
      </w:r>
      <w:r>
        <w:rPr>
          <w:lang w:val="fr-CA"/>
        </w:rPr>
        <w:t xml:space="preserve">le compte de pension de retraite existe toujours, malgré </w:t>
      </w:r>
      <w:r w:rsidRPr="003546F3">
        <w:rPr>
          <w:lang w:val="fr-CA"/>
        </w:rPr>
        <w:t xml:space="preserve">la création de la caisse de retraite </w:t>
      </w:r>
      <w:r>
        <w:rPr>
          <w:lang w:val="fr-CA"/>
        </w:rPr>
        <w:t>par le</w:t>
      </w:r>
      <w:r w:rsidRPr="003546F3">
        <w:rPr>
          <w:lang w:val="fr-CA"/>
        </w:rPr>
        <w:t xml:space="preserve"> projet de loi C</w:t>
      </w:r>
      <w:r>
        <w:rPr>
          <w:lang w:val="fr-CA"/>
        </w:rPr>
        <w:noBreakHyphen/>
      </w:r>
      <w:r w:rsidRPr="003546F3">
        <w:rPr>
          <w:lang w:val="fr-CA"/>
        </w:rPr>
        <w:t>78</w:t>
      </w:r>
      <w:r>
        <w:rPr>
          <w:lang w:val="fr-CA"/>
        </w:rPr>
        <w:t>, en 2000</w:t>
      </w:r>
      <w:r w:rsidRPr="003546F3">
        <w:rPr>
          <w:lang w:val="fr-CA"/>
        </w:rPr>
        <w:t>.  Les prestations se rapportant au service ouvrant droit à pension antérieur au 1</w:t>
      </w:r>
      <w:r w:rsidRPr="003546F3">
        <w:rPr>
          <w:vertAlign w:val="superscript"/>
          <w:lang w:val="fr-CA"/>
        </w:rPr>
        <w:t>er</w:t>
      </w:r>
      <w:r>
        <w:rPr>
          <w:lang w:val="fr-CA"/>
        </w:rPr>
        <w:t xml:space="preserve"> avril </w:t>
      </w:r>
      <w:r w:rsidRPr="003546F3">
        <w:rPr>
          <w:lang w:val="fr-CA"/>
        </w:rPr>
        <w:t xml:space="preserve">2000 sont généralement imputées au compte de pension de retraite </w:t>
      </w:r>
      <w:r>
        <w:rPr>
          <w:lang w:val="fr-CA"/>
        </w:rPr>
        <w:t xml:space="preserve">et </w:t>
      </w:r>
      <w:r w:rsidRPr="003546F3">
        <w:rPr>
          <w:lang w:val="fr-CA"/>
        </w:rPr>
        <w:t>payées sur le Trésor (</w:t>
      </w:r>
      <w:r w:rsidRPr="005B08BF">
        <w:rPr>
          <w:i/>
          <w:lang w:val="fr-CA"/>
        </w:rPr>
        <w:t>LPFP</w:t>
      </w:r>
      <w:r w:rsidRPr="003546F3">
        <w:rPr>
          <w:lang w:val="fr-CA"/>
        </w:rPr>
        <w:t xml:space="preserve">, </w:t>
      </w:r>
      <w:r>
        <w:rPr>
          <w:lang w:val="fr-CA"/>
        </w:rPr>
        <w:t>art. </w:t>
      </w:r>
      <w:r w:rsidRPr="003546F3">
        <w:rPr>
          <w:lang w:val="fr-CA"/>
        </w:rPr>
        <w:t>43).</w:t>
      </w:r>
    </w:p>
    <w:p w:rsidR="000F48EC" w:rsidRDefault="000F48EC" w:rsidP="000F48EC">
      <w:pPr>
        <w:pStyle w:val="ParaNoNdepar-AltN"/>
        <w:rPr>
          <w:lang w:val="fr-CA"/>
        </w:rPr>
      </w:pPr>
      <w:r w:rsidRPr="003546F3">
        <w:rPr>
          <w:lang w:val="fr-CA"/>
        </w:rPr>
        <w:t xml:space="preserve">La </w:t>
      </w:r>
      <w:r w:rsidRPr="005B08BF">
        <w:rPr>
          <w:i/>
          <w:lang w:val="fr-CA"/>
        </w:rPr>
        <w:t>LGFP</w:t>
      </w:r>
      <w:r w:rsidRPr="003546F3">
        <w:rPr>
          <w:lang w:val="fr-CA"/>
        </w:rPr>
        <w:t xml:space="preserve"> actuelle étaye la position </w:t>
      </w:r>
      <w:r>
        <w:rPr>
          <w:lang w:val="fr-CA"/>
        </w:rPr>
        <w:t xml:space="preserve">selon laquelle toutes </w:t>
      </w:r>
      <w:r w:rsidRPr="003546F3">
        <w:rPr>
          <w:lang w:val="fr-CA"/>
        </w:rPr>
        <w:t xml:space="preserve">les opérations </w:t>
      </w:r>
      <w:r>
        <w:rPr>
          <w:lang w:val="fr-CA"/>
        </w:rPr>
        <w:t>relatives aux</w:t>
      </w:r>
      <w:r w:rsidRPr="003546F3">
        <w:rPr>
          <w:lang w:val="fr-CA"/>
        </w:rPr>
        <w:t xml:space="preserve"> pension</w:t>
      </w:r>
      <w:r>
        <w:rPr>
          <w:lang w:val="fr-CA"/>
        </w:rPr>
        <w:t>s</w:t>
      </w:r>
      <w:r w:rsidRPr="003546F3">
        <w:rPr>
          <w:lang w:val="fr-CA"/>
        </w:rPr>
        <w:t xml:space="preserve"> sont effectuées sur le Trésor, et qu’aucun</w:t>
      </w:r>
      <w:r>
        <w:rPr>
          <w:lang w:val="fr-CA"/>
        </w:rPr>
        <w:t xml:space="preserve"> montant n’est déposé dans</w:t>
      </w:r>
      <w:r w:rsidRPr="003546F3">
        <w:rPr>
          <w:lang w:val="fr-CA"/>
        </w:rPr>
        <w:t xml:space="preserve"> les comptes de pension de retraite </w:t>
      </w:r>
      <w:proofErr w:type="spellStart"/>
      <w:r w:rsidRPr="003546F3">
        <w:rPr>
          <w:lang w:val="fr-CA"/>
        </w:rPr>
        <w:t>eux</w:t>
      </w:r>
      <w:r>
        <w:rPr>
          <w:lang w:val="fr-CA"/>
        </w:rPr>
        <w:noBreakHyphen/>
      </w:r>
      <w:r w:rsidRPr="003546F3">
        <w:rPr>
          <w:lang w:val="fr-CA"/>
        </w:rPr>
        <w:t>mêmes</w:t>
      </w:r>
      <w:proofErr w:type="spellEnd"/>
      <w:r>
        <w:rPr>
          <w:lang w:val="fr-CA"/>
        </w:rPr>
        <w:t>, ni prélevé sur ces comptes</w:t>
      </w:r>
      <w:r w:rsidRPr="003546F3">
        <w:rPr>
          <w:lang w:val="fr-CA"/>
        </w:rPr>
        <w:t xml:space="preserve">.  La </w:t>
      </w:r>
      <w:r w:rsidRPr="005B08BF">
        <w:rPr>
          <w:i/>
          <w:lang w:val="fr-CA"/>
        </w:rPr>
        <w:t>LGFP</w:t>
      </w:r>
      <w:r w:rsidRPr="003546F3">
        <w:rPr>
          <w:lang w:val="fr-CA"/>
        </w:rPr>
        <w:t xml:space="preserve"> </w:t>
      </w:r>
      <w:r>
        <w:rPr>
          <w:lang w:val="fr-CA"/>
        </w:rPr>
        <w:t>prévoit</w:t>
      </w:r>
      <w:r w:rsidRPr="003546F3">
        <w:rPr>
          <w:lang w:val="fr-CA"/>
        </w:rPr>
        <w:t xml:space="preserve"> que « les fonds publics sont déposés au crédit du receveur général » et la définition de</w:t>
      </w:r>
      <w:r>
        <w:rPr>
          <w:lang w:val="fr-CA"/>
        </w:rPr>
        <w:t>s</w:t>
      </w:r>
      <w:r w:rsidRPr="003546F3">
        <w:rPr>
          <w:lang w:val="fr-CA"/>
        </w:rPr>
        <w:t xml:space="preserve"> « fonds publics » qui y figure </w:t>
      </w:r>
      <w:r>
        <w:rPr>
          <w:lang w:val="fr-CA"/>
        </w:rPr>
        <w:t>inclut</w:t>
      </w:r>
      <w:r w:rsidRPr="003546F3">
        <w:rPr>
          <w:lang w:val="fr-CA"/>
        </w:rPr>
        <w:t xml:space="preserve"> « les fonds perçus ou reçus par un fonctionnaire public sous le régime [</w:t>
      </w:r>
      <w:r>
        <w:rPr>
          <w:lang w:val="fr-CA"/>
        </w:rPr>
        <w:t>. . .</w:t>
      </w:r>
      <w:r w:rsidRPr="003546F3">
        <w:rPr>
          <w:lang w:val="fr-CA"/>
        </w:rPr>
        <w:t>] d’une loi [</w:t>
      </w:r>
      <w:r>
        <w:rPr>
          <w:lang w:val="fr-CA"/>
        </w:rPr>
        <w:t>. . .</w:t>
      </w:r>
      <w:r w:rsidRPr="003546F3">
        <w:rPr>
          <w:lang w:val="fr-CA"/>
        </w:rPr>
        <w:t xml:space="preserve">] et affectés à une fin particulière précisée dans l’acte en question ou conformément à </w:t>
      </w:r>
      <w:proofErr w:type="spellStart"/>
      <w:r w:rsidRPr="003546F3">
        <w:rPr>
          <w:lang w:val="fr-CA"/>
        </w:rPr>
        <w:t>celui</w:t>
      </w:r>
      <w:r>
        <w:rPr>
          <w:lang w:val="fr-CA"/>
        </w:rPr>
        <w:noBreakHyphen/>
      </w:r>
      <w:r w:rsidRPr="003546F3">
        <w:rPr>
          <w:lang w:val="fr-CA"/>
        </w:rPr>
        <w:t>ci</w:t>
      </w:r>
      <w:proofErr w:type="spellEnd"/>
      <w:r w:rsidRPr="003546F3">
        <w:rPr>
          <w:lang w:val="fr-CA"/>
        </w:rPr>
        <w:t xml:space="preserve"> » </w:t>
      </w:r>
      <w:r>
        <w:rPr>
          <w:lang w:val="fr-CA"/>
        </w:rPr>
        <w:t>(art. 17</w:t>
      </w:r>
      <w:r w:rsidRPr="003546F3">
        <w:rPr>
          <w:lang w:val="fr-CA"/>
        </w:rPr>
        <w:t xml:space="preserve"> et</w:t>
      </w:r>
      <w:r>
        <w:rPr>
          <w:lang w:val="fr-CA"/>
        </w:rPr>
        <w:t xml:space="preserve"> 2)</w:t>
      </w:r>
      <w:r w:rsidRPr="003546F3">
        <w:rPr>
          <w:lang w:val="fr-CA"/>
        </w:rPr>
        <w:t xml:space="preserve">.  Ainsi, bien que la </w:t>
      </w:r>
      <w:r w:rsidRPr="005B2EB9">
        <w:rPr>
          <w:i/>
          <w:lang w:val="fr-CA"/>
        </w:rPr>
        <w:t>LPFP</w:t>
      </w:r>
      <w:r w:rsidRPr="003546F3">
        <w:rPr>
          <w:lang w:val="fr-CA"/>
        </w:rPr>
        <w:t xml:space="preserve"> n’énonce plus expressément que le compte de pension de retraite est un compte du Trésor, </w:t>
      </w:r>
      <w:r>
        <w:rPr>
          <w:lang w:val="fr-CA"/>
        </w:rPr>
        <w:t xml:space="preserve">la </w:t>
      </w:r>
      <w:r w:rsidRPr="008446CC">
        <w:rPr>
          <w:i/>
          <w:lang w:val="fr-CA"/>
        </w:rPr>
        <w:t>LGFP</w:t>
      </w:r>
      <w:r w:rsidRPr="003546F3">
        <w:rPr>
          <w:lang w:val="fr-CA"/>
        </w:rPr>
        <w:t xml:space="preserve"> prévoit que les fonds perçus conformément </w:t>
      </w:r>
      <w:r>
        <w:rPr>
          <w:lang w:val="fr-CA"/>
        </w:rPr>
        <w:lastRenderedPageBreak/>
        <w:t>aux</w:t>
      </w:r>
      <w:r w:rsidRPr="003546F3">
        <w:rPr>
          <w:lang w:val="fr-CA"/>
        </w:rPr>
        <w:t xml:space="preserve"> dispositions</w:t>
      </w:r>
      <w:r>
        <w:rPr>
          <w:lang w:val="fr-CA"/>
        </w:rPr>
        <w:t xml:space="preserve"> de la </w:t>
      </w:r>
      <w:r w:rsidRPr="005B2EB9">
        <w:rPr>
          <w:i/>
          <w:lang w:val="fr-CA"/>
        </w:rPr>
        <w:t>LPFP</w:t>
      </w:r>
      <w:r w:rsidRPr="003546F3">
        <w:rPr>
          <w:lang w:val="fr-CA"/>
        </w:rPr>
        <w:t xml:space="preserve"> font partie du Trésor.  Par conséquent, le maintien du compte de pension créé en 1944, un compte du FRC, concorde avec les dispositions législatives </w:t>
      </w:r>
      <w:r>
        <w:rPr>
          <w:lang w:val="fr-CA"/>
        </w:rPr>
        <w:t xml:space="preserve">actuellement </w:t>
      </w:r>
      <w:r w:rsidRPr="003546F3">
        <w:rPr>
          <w:lang w:val="fr-CA"/>
        </w:rPr>
        <w:t>en vigueur en matière de gestion financière.</w:t>
      </w:r>
    </w:p>
    <w:p w:rsidR="000F48EC" w:rsidRDefault="000F48EC" w:rsidP="000F48EC">
      <w:pPr>
        <w:pStyle w:val="ParaNoNdepar-AltN"/>
        <w:rPr>
          <w:lang w:val="fr-CA"/>
        </w:rPr>
      </w:pPr>
      <w:r>
        <w:rPr>
          <w:lang w:val="fr-CA"/>
        </w:rPr>
        <w:t>Lorsqu’il a institué</w:t>
      </w:r>
      <w:r w:rsidRPr="001E7CB3">
        <w:rPr>
          <w:lang w:val="fr-CA"/>
        </w:rPr>
        <w:t xml:space="preserve"> le compte de pension, le législateur </w:t>
      </w:r>
      <w:r>
        <w:rPr>
          <w:lang w:val="fr-CA"/>
        </w:rPr>
        <w:t>a voulu</w:t>
      </w:r>
      <w:r w:rsidRPr="001E7CB3">
        <w:rPr>
          <w:lang w:val="fr-CA"/>
        </w:rPr>
        <w:t xml:space="preserve"> créer un </w:t>
      </w:r>
      <w:r>
        <w:rPr>
          <w:lang w:val="fr-CA"/>
        </w:rPr>
        <w:t>livre</w:t>
      </w:r>
      <w:r w:rsidRPr="001E7CB3">
        <w:rPr>
          <w:lang w:val="fr-CA"/>
        </w:rPr>
        <w:t xml:space="preserve"> comptable pour suivre le</w:t>
      </w:r>
      <w:r>
        <w:rPr>
          <w:lang w:val="fr-CA"/>
        </w:rPr>
        <w:t xml:space="preserve">s opérations liées au </w:t>
      </w:r>
      <w:r w:rsidRPr="001E7CB3">
        <w:rPr>
          <w:lang w:val="fr-CA"/>
        </w:rPr>
        <w:t xml:space="preserve">régime de pension.  Non seulement </w:t>
      </w:r>
      <w:r>
        <w:rPr>
          <w:lang w:val="fr-CA"/>
        </w:rPr>
        <w:t xml:space="preserve">les sommes versées dans le Trésor et prélevées sur le Trésor sont inscrites dans </w:t>
      </w:r>
      <w:r w:rsidRPr="001E7CB3">
        <w:rPr>
          <w:lang w:val="fr-CA"/>
        </w:rPr>
        <w:t xml:space="preserve">le compte, comme je l’ai expliqué, mais le solde créditeur qui y est inscrit représente le montant estimatif </w:t>
      </w:r>
      <w:r>
        <w:rPr>
          <w:lang w:val="fr-CA"/>
        </w:rPr>
        <w:t>de l’engagement à venir</w:t>
      </w:r>
      <w:r w:rsidRPr="001E7CB3">
        <w:rPr>
          <w:lang w:val="fr-CA"/>
        </w:rPr>
        <w:t xml:space="preserve"> d</w:t>
      </w:r>
      <w:r>
        <w:rPr>
          <w:lang w:val="fr-CA"/>
        </w:rPr>
        <w:t>u Canada</w:t>
      </w:r>
      <w:r w:rsidRPr="001E7CB3">
        <w:rPr>
          <w:lang w:val="fr-CA"/>
        </w:rPr>
        <w:t xml:space="preserve"> au titre des pensions sous le régime de la </w:t>
      </w:r>
      <w:r w:rsidRPr="005B2EB9">
        <w:rPr>
          <w:i/>
          <w:lang w:val="fr-CA"/>
        </w:rPr>
        <w:t>LPFP</w:t>
      </w:r>
      <w:r>
        <w:rPr>
          <w:lang w:val="fr-CA"/>
        </w:rPr>
        <w:t>. </w:t>
      </w:r>
      <w:r w:rsidRPr="001E7CB3">
        <w:rPr>
          <w:lang w:val="fr-CA"/>
        </w:rPr>
        <w:t xml:space="preserve"> En atteste le fait qu</w:t>
      </w:r>
      <w:r>
        <w:rPr>
          <w:lang w:val="fr-CA"/>
        </w:rPr>
        <w:t xml:space="preserve">e, </w:t>
      </w:r>
      <w:r w:rsidRPr="001E7CB3">
        <w:rPr>
          <w:lang w:val="fr-CA"/>
        </w:rPr>
        <w:t>en cas de déficit du compte (</w:t>
      </w:r>
      <w:r w:rsidR="005B2EB9">
        <w:rPr>
          <w:lang w:val="fr-CA"/>
        </w:rPr>
        <w:t>c’est-à-dire</w:t>
      </w:r>
      <w:r w:rsidRPr="001E7CB3">
        <w:rPr>
          <w:lang w:val="fr-CA"/>
        </w:rPr>
        <w:t xml:space="preserve"> </w:t>
      </w:r>
      <w:r>
        <w:rPr>
          <w:lang w:val="fr-CA"/>
        </w:rPr>
        <w:t xml:space="preserve">si son </w:t>
      </w:r>
      <w:r w:rsidRPr="001E7CB3">
        <w:rPr>
          <w:lang w:val="fr-CA"/>
        </w:rPr>
        <w:t>solde</w:t>
      </w:r>
      <w:r>
        <w:rPr>
          <w:lang w:val="fr-CA"/>
        </w:rPr>
        <w:t xml:space="preserve"> est</w:t>
      </w:r>
      <w:r w:rsidRPr="001E7CB3">
        <w:rPr>
          <w:lang w:val="fr-CA"/>
        </w:rPr>
        <w:t xml:space="preserve"> inférieur à l’estimation actuarielle du passif au titre des pensions), la </w:t>
      </w:r>
      <w:r w:rsidRPr="005B2EB9">
        <w:rPr>
          <w:i/>
          <w:lang w:val="fr-CA"/>
        </w:rPr>
        <w:t>LPFP</w:t>
      </w:r>
      <w:r w:rsidRPr="001E7CB3">
        <w:rPr>
          <w:lang w:val="fr-CA"/>
        </w:rPr>
        <w:t xml:space="preserve"> </w:t>
      </w:r>
      <w:r>
        <w:rPr>
          <w:lang w:val="fr-CA"/>
        </w:rPr>
        <w:t>oblige le</w:t>
      </w:r>
      <w:r w:rsidRPr="001E7CB3">
        <w:rPr>
          <w:lang w:val="fr-CA"/>
        </w:rPr>
        <w:t xml:space="preserve"> gouvernement </w:t>
      </w:r>
      <w:r>
        <w:rPr>
          <w:lang w:val="fr-CA"/>
        </w:rPr>
        <w:t>à</w:t>
      </w:r>
      <w:r w:rsidRPr="001E7CB3">
        <w:rPr>
          <w:lang w:val="fr-CA"/>
        </w:rPr>
        <w:t xml:space="preserve"> porter au crédit du compte — au moyen de versements annuels, pour échelonner les répercussions sur les Comptes publics — les montants nécessaires pour </w:t>
      </w:r>
      <w:r>
        <w:rPr>
          <w:lang w:val="fr-CA"/>
        </w:rPr>
        <w:t>ramener son solde créditeur</w:t>
      </w:r>
      <w:r w:rsidRPr="001E7CB3">
        <w:rPr>
          <w:lang w:val="fr-CA"/>
        </w:rPr>
        <w:t xml:space="preserve"> </w:t>
      </w:r>
      <w:r>
        <w:rPr>
          <w:lang w:val="fr-CA"/>
        </w:rPr>
        <w:t>au niveau de</w:t>
      </w:r>
      <w:r w:rsidRPr="001E7CB3">
        <w:rPr>
          <w:lang w:val="fr-CA"/>
        </w:rPr>
        <w:t xml:space="preserve"> l’estimation actuarielle du passif futur</w:t>
      </w:r>
      <w:r>
        <w:rPr>
          <w:lang w:val="fr-CA"/>
        </w:rPr>
        <w:t xml:space="preserve"> au titre des pensions (</w:t>
      </w:r>
      <w:r w:rsidRPr="005B2EB9">
        <w:rPr>
          <w:i/>
          <w:lang w:val="fr-CA"/>
        </w:rPr>
        <w:t>LPFP</w:t>
      </w:r>
      <w:r>
        <w:rPr>
          <w:lang w:val="fr-CA"/>
        </w:rPr>
        <w:t xml:space="preserve">, par. 44(6) </w:t>
      </w:r>
      <w:r w:rsidRPr="002A0B46">
        <w:rPr>
          <w:lang w:val="fr-CA"/>
        </w:rPr>
        <w:t>à</w:t>
      </w:r>
      <w:r>
        <w:rPr>
          <w:lang w:val="fr-CA"/>
        </w:rPr>
        <w:t xml:space="preserve"> </w:t>
      </w:r>
      <w:r w:rsidRPr="001E7CB3">
        <w:rPr>
          <w:lang w:val="fr-CA"/>
        </w:rPr>
        <w:t>(8)).  De cette façon, l</w:t>
      </w:r>
      <w:r>
        <w:rPr>
          <w:lang w:val="fr-CA"/>
        </w:rPr>
        <w:t>’utilité du</w:t>
      </w:r>
      <w:r w:rsidRPr="001E7CB3">
        <w:rPr>
          <w:lang w:val="fr-CA"/>
        </w:rPr>
        <w:t xml:space="preserve"> compte de pension de retraite </w:t>
      </w:r>
      <w:r>
        <w:rPr>
          <w:lang w:val="fr-CA"/>
        </w:rPr>
        <w:t>s’inscrit</w:t>
      </w:r>
      <w:r w:rsidRPr="001E7CB3">
        <w:rPr>
          <w:lang w:val="fr-CA"/>
        </w:rPr>
        <w:t xml:space="preserve"> dans une perspective d’information financi</w:t>
      </w:r>
      <w:r>
        <w:rPr>
          <w:lang w:val="fr-CA"/>
        </w:rPr>
        <w:t>ère.  Et cela explique pourquoi</w:t>
      </w:r>
      <w:r w:rsidRPr="001E7CB3">
        <w:rPr>
          <w:lang w:val="fr-CA"/>
        </w:rPr>
        <w:t xml:space="preserve"> il figure en tant que passif aux Comptes publics.</w:t>
      </w:r>
    </w:p>
    <w:p w:rsidR="000F48EC" w:rsidRPr="003546F3" w:rsidRDefault="000F48EC" w:rsidP="000F48EC">
      <w:pPr>
        <w:pStyle w:val="ParaNoNdepar-AltN"/>
        <w:rPr>
          <w:lang w:val="fr-CA"/>
        </w:rPr>
      </w:pPr>
      <w:r w:rsidRPr="001E7CB3">
        <w:rPr>
          <w:lang w:val="fr-CA"/>
        </w:rPr>
        <w:t xml:space="preserve">Bien que cette analyse se rapporte au compte de pension de retraite du régime de pension de la fonction publique, ses conclusions valent également pour les deux autres régimes en cause.  Le compte de pension de retraite des Forces canadiennes </w:t>
      </w:r>
      <w:r>
        <w:rPr>
          <w:lang w:val="fr-CA"/>
        </w:rPr>
        <w:t>est le prolongement du</w:t>
      </w:r>
      <w:r w:rsidRPr="001E7CB3">
        <w:rPr>
          <w:lang w:val="fr-CA"/>
        </w:rPr>
        <w:t xml:space="preserve"> Compte de pension des services permanents </w:t>
      </w:r>
      <w:r w:rsidRPr="001E7CB3">
        <w:rPr>
          <w:lang w:val="fr-CA"/>
        </w:rPr>
        <w:lastRenderedPageBreak/>
        <w:t xml:space="preserve">établi </w:t>
      </w:r>
      <w:r>
        <w:rPr>
          <w:lang w:val="fr-CA"/>
        </w:rPr>
        <w:t>dans l</w:t>
      </w:r>
      <w:r w:rsidRPr="001E7CB3">
        <w:rPr>
          <w:lang w:val="fr-CA"/>
        </w:rPr>
        <w:t xml:space="preserve">es comptes du Canada en application de la </w:t>
      </w:r>
      <w:r w:rsidRPr="001E7CB3">
        <w:rPr>
          <w:i/>
          <w:lang w:val="fr-CA"/>
        </w:rPr>
        <w:t>Loi sur les pensions des services de défense</w:t>
      </w:r>
      <w:r w:rsidRPr="001E7CB3">
        <w:rPr>
          <w:lang w:val="fr-CA"/>
        </w:rPr>
        <w:t xml:space="preserve">, S.R.C. 1952, </w:t>
      </w:r>
      <w:r>
        <w:rPr>
          <w:lang w:val="fr-CA"/>
        </w:rPr>
        <w:t>ch. </w:t>
      </w:r>
      <w:r w:rsidRPr="001E7CB3">
        <w:rPr>
          <w:lang w:val="fr-CA"/>
        </w:rPr>
        <w:t xml:space="preserve">63, </w:t>
      </w:r>
      <w:r w:rsidRPr="002A0B46">
        <w:rPr>
          <w:lang w:val="fr-CA"/>
        </w:rPr>
        <w:t>dans sa version antérieure au 1</w:t>
      </w:r>
      <w:r w:rsidRPr="002A0B46">
        <w:rPr>
          <w:vertAlign w:val="superscript"/>
          <w:lang w:val="fr-CA"/>
        </w:rPr>
        <w:t>er</w:t>
      </w:r>
      <w:r w:rsidRPr="002A0B46">
        <w:rPr>
          <w:lang w:val="fr-CA"/>
        </w:rPr>
        <w:t> mars 1960</w:t>
      </w:r>
      <w:r w:rsidRPr="001E7CB3">
        <w:rPr>
          <w:lang w:val="fr-CA"/>
        </w:rPr>
        <w:t xml:space="preserve">.  </w:t>
      </w:r>
      <w:r>
        <w:rPr>
          <w:lang w:val="fr-CA"/>
        </w:rPr>
        <w:t xml:space="preserve">Le </w:t>
      </w:r>
      <w:r w:rsidRPr="001E7CB3">
        <w:rPr>
          <w:lang w:val="fr-CA"/>
        </w:rPr>
        <w:t xml:space="preserve">Compte de pension des services permanents avait initialement été créé par la </w:t>
      </w:r>
      <w:r>
        <w:rPr>
          <w:i/>
          <w:lang w:val="fr-CA"/>
        </w:rPr>
        <w:t>Loi modifiant la Loi des pensions de la milice</w:t>
      </w:r>
      <w:r w:rsidRPr="001E7CB3">
        <w:rPr>
          <w:lang w:val="fr-CA"/>
        </w:rPr>
        <w:t>, S.C.</w:t>
      </w:r>
      <w:r>
        <w:rPr>
          <w:lang w:val="fr-CA"/>
        </w:rPr>
        <w:t xml:space="preserve"> </w:t>
      </w:r>
      <w:r w:rsidRPr="001E7CB3">
        <w:rPr>
          <w:lang w:val="fr-CA"/>
        </w:rPr>
        <w:t xml:space="preserve">1946, </w:t>
      </w:r>
      <w:r>
        <w:rPr>
          <w:lang w:val="fr-CA"/>
        </w:rPr>
        <w:t>ch. </w:t>
      </w:r>
      <w:r w:rsidRPr="001E7CB3">
        <w:rPr>
          <w:lang w:val="fr-CA"/>
        </w:rPr>
        <w:t xml:space="preserve">59, </w:t>
      </w:r>
      <w:r>
        <w:rPr>
          <w:lang w:val="fr-CA"/>
        </w:rPr>
        <w:t>art. </w:t>
      </w:r>
      <w:r w:rsidRPr="001E7CB3">
        <w:rPr>
          <w:lang w:val="fr-CA"/>
        </w:rPr>
        <w:t xml:space="preserve">6, où il était décrit comme </w:t>
      </w:r>
      <w:r>
        <w:rPr>
          <w:lang w:val="fr-CA"/>
        </w:rPr>
        <w:t xml:space="preserve">un </w:t>
      </w:r>
      <w:r w:rsidRPr="001E7CB3">
        <w:rPr>
          <w:lang w:val="fr-CA"/>
        </w:rPr>
        <w:t>« </w:t>
      </w:r>
      <w:r>
        <w:rPr>
          <w:lang w:val="fr-CA"/>
        </w:rPr>
        <w:t>compte spécial », « tenu au Fonds du revenu consolidé »</w:t>
      </w:r>
      <w:r w:rsidRPr="001E7CB3">
        <w:rPr>
          <w:lang w:val="fr-CA"/>
        </w:rPr>
        <w:t xml:space="preserve">.  De la même façon le compte de pension de retraite de la GRC </w:t>
      </w:r>
      <w:r>
        <w:rPr>
          <w:lang w:val="fr-CA"/>
        </w:rPr>
        <w:t>est le prolongement du</w:t>
      </w:r>
      <w:r w:rsidRPr="001E7CB3">
        <w:rPr>
          <w:lang w:val="fr-CA"/>
        </w:rPr>
        <w:t xml:space="preserve"> Compte de pension de la </w:t>
      </w:r>
      <w:r>
        <w:rPr>
          <w:lang w:val="fr-CA"/>
        </w:rPr>
        <w:t>Gendarmerie royale du Canada</w:t>
      </w:r>
      <w:r w:rsidRPr="001E7CB3">
        <w:rPr>
          <w:lang w:val="fr-CA"/>
        </w:rPr>
        <w:t xml:space="preserve"> établi dans les comptes du Canada en application de la </w:t>
      </w:r>
      <w:r w:rsidRPr="001E7CB3">
        <w:rPr>
          <w:i/>
          <w:lang w:val="fr-CA"/>
        </w:rPr>
        <w:t>Loi sur la Gendarmerie royale du Canada</w:t>
      </w:r>
      <w:r>
        <w:rPr>
          <w:lang w:val="fr-CA"/>
        </w:rPr>
        <w:t xml:space="preserve">, S.R.C. </w:t>
      </w:r>
      <w:r w:rsidRPr="001E7CB3">
        <w:rPr>
          <w:lang w:val="fr-CA"/>
        </w:rPr>
        <w:t xml:space="preserve">1952, </w:t>
      </w:r>
      <w:r>
        <w:rPr>
          <w:lang w:val="fr-CA"/>
        </w:rPr>
        <w:t>ch. </w:t>
      </w:r>
      <w:r w:rsidRPr="001E7CB3">
        <w:rPr>
          <w:lang w:val="fr-CA"/>
        </w:rPr>
        <w:t xml:space="preserve">241, </w:t>
      </w:r>
      <w:r w:rsidRPr="002A0B46">
        <w:rPr>
          <w:lang w:val="fr-CA"/>
        </w:rPr>
        <w:t>dans sa version antérieure au 1</w:t>
      </w:r>
      <w:r w:rsidRPr="002A0B46">
        <w:rPr>
          <w:vertAlign w:val="superscript"/>
          <w:lang w:val="fr-CA"/>
        </w:rPr>
        <w:t>er</w:t>
      </w:r>
      <w:r w:rsidRPr="002A0B46">
        <w:rPr>
          <w:lang w:val="fr-CA"/>
        </w:rPr>
        <w:t xml:space="preserve"> avril 1960</w:t>
      </w:r>
      <w:r w:rsidRPr="001E7CB3">
        <w:rPr>
          <w:lang w:val="fr-CA"/>
        </w:rPr>
        <w:t xml:space="preserve">.  Ce compte avait initialement été créé par la </w:t>
      </w:r>
      <w:r>
        <w:rPr>
          <w:i/>
          <w:lang w:val="fr-CA"/>
        </w:rPr>
        <w:t>Loi modifiant la Loi de la Royale gendarmerie à cheval du Canada</w:t>
      </w:r>
      <w:r w:rsidRPr="001E7CB3">
        <w:rPr>
          <w:lang w:val="fr-CA"/>
        </w:rPr>
        <w:t>, S.C.</w:t>
      </w:r>
      <w:r>
        <w:rPr>
          <w:lang w:val="fr-CA"/>
        </w:rPr>
        <w:t xml:space="preserve"> 1947</w:t>
      </w:r>
      <w:r>
        <w:rPr>
          <w:lang w:val="fr-CA"/>
        </w:rPr>
        <w:noBreakHyphen/>
      </w:r>
      <w:r w:rsidRPr="001E7CB3">
        <w:rPr>
          <w:lang w:val="fr-CA"/>
        </w:rPr>
        <w:t xml:space="preserve">48, </w:t>
      </w:r>
      <w:r>
        <w:rPr>
          <w:lang w:val="fr-CA"/>
        </w:rPr>
        <w:t>ch. </w:t>
      </w:r>
      <w:r w:rsidRPr="001E7CB3">
        <w:rPr>
          <w:lang w:val="fr-CA"/>
        </w:rPr>
        <w:t xml:space="preserve">28, </w:t>
      </w:r>
      <w:r>
        <w:rPr>
          <w:lang w:val="fr-CA"/>
        </w:rPr>
        <w:t>art. </w:t>
      </w:r>
      <w:r w:rsidRPr="001E7CB3">
        <w:rPr>
          <w:lang w:val="fr-CA"/>
        </w:rPr>
        <w:t xml:space="preserve">10, </w:t>
      </w:r>
      <w:r>
        <w:rPr>
          <w:lang w:val="fr-CA"/>
        </w:rPr>
        <w:t>qui</w:t>
      </w:r>
      <w:r w:rsidRPr="001E7CB3">
        <w:rPr>
          <w:lang w:val="fr-CA"/>
        </w:rPr>
        <w:t xml:space="preserve"> le </w:t>
      </w:r>
      <w:proofErr w:type="gramStart"/>
      <w:r w:rsidRPr="001E7CB3">
        <w:rPr>
          <w:lang w:val="fr-CA"/>
        </w:rPr>
        <w:t>décrivait</w:t>
      </w:r>
      <w:proofErr w:type="gramEnd"/>
      <w:r w:rsidRPr="001E7CB3">
        <w:rPr>
          <w:lang w:val="fr-CA"/>
        </w:rPr>
        <w:t xml:space="preserve"> également comme </w:t>
      </w:r>
      <w:r>
        <w:rPr>
          <w:lang w:val="fr-CA"/>
        </w:rPr>
        <w:t xml:space="preserve">un </w:t>
      </w:r>
      <w:r w:rsidRPr="001E7CB3">
        <w:rPr>
          <w:lang w:val="fr-CA"/>
        </w:rPr>
        <w:t>« </w:t>
      </w:r>
      <w:r>
        <w:rPr>
          <w:lang w:val="fr-CA"/>
        </w:rPr>
        <w:t>compte spécial », « tenu au Fonds du revenu consolidé »</w:t>
      </w:r>
      <w:r w:rsidRPr="001E7CB3">
        <w:rPr>
          <w:lang w:val="fr-CA"/>
        </w:rPr>
        <w:t>.</w:t>
      </w:r>
    </w:p>
    <w:p w:rsidR="000F48EC" w:rsidRPr="001E7CB3" w:rsidRDefault="000F48EC" w:rsidP="000F48EC">
      <w:pPr>
        <w:pStyle w:val="ParaNoNdepar-AltN"/>
        <w:rPr>
          <w:lang w:val="fr-CA"/>
        </w:rPr>
      </w:pPr>
      <w:r w:rsidRPr="001E7CB3">
        <w:rPr>
          <w:lang w:val="fr-CA"/>
        </w:rPr>
        <w:t xml:space="preserve">Les textes de loi étayent la conclusion que les comptes de pension de retraite sont des écritures comptables et non des portefeuilles capitalisés d’actifs. </w:t>
      </w:r>
    </w:p>
    <w:p w:rsidR="000F48EC" w:rsidRPr="001D084F" w:rsidRDefault="000F48EC" w:rsidP="000956A0">
      <w:pPr>
        <w:pStyle w:val="TitleTitre-AltT"/>
        <w:keepNext/>
        <w:tabs>
          <w:tab w:val="clear" w:pos="360"/>
          <w:tab w:val="left" w:pos="540"/>
        </w:tabs>
        <w:ind w:left="1170" w:hanging="1170"/>
        <w:rPr>
          <w:szCs w:val="24"/>
          <w:u w:val="single"/>
          <w:lang w:val="fr-CA"/>
        </w:rPr>
      </w:pPr>
      <w:r>
        <w:rPr>
          <w:szCs w:val="24"/>
          <w:lang w:val="fr-CA"/>
        </w:rPr>
        <w:tab/>
        <w:t>(2)</w:t>
      </w:r>
      <w:r>
        <w:rPr>
          <w:szCs w:val="24"/>
          <w:lang w:val="fr-CA"/>
        </w:rPr>
        <w:tab/>
      </w:r>
      <w:r w:rsidRPr="001D084F">
        <w:rPr>
          <w:szCs w:val="24"/>
          <w:u w:val="single"/>
          <w:lang w:val="fr-CA"/>
        </w:rPr>
        <w:t xml:space="preserve">La « théorie de l’emprunt » </w:t>
      </w:r>
    </w:p>
    <w:p w:rsidR="000F48EC" w:rsidRPr="001E7CB3" w:rsidRDefault="000F48EC" w:rsidP="000F48EC">
      <w:pPr>
        <w:pStyle w:val="ParaNoNdepar-AltN"/>
        <w:rPr>
          <w:lang w:val="fr-CA"/>
        </w:rPr>
      </w:pPr>
      <w:r w:rsidRPr="001E7CB3">
        <w:rPr>
          <w:lang w:val="fr-CA"/>
        </w:rPr>
        <w:t xml:space="preserve">L’argument des appelants selon lequel le compte de pension de retraite </w:t>
      </w:r>
      <w:r>
        <w:rPr>
          <w:lang w:val="fr-CA"/>
        </w:rPr>
        <w:t>conten</w:t>
      </w:r>
      <w:r w:rsidRPr="001E7CB3">
        <w:rPr>
          <w:lang w:val="fr-CA"/>
        </w:rPr>
        <w:t xml:space="preserve">ait des </w:t>
      </w:r>
      <w:r>
        <w:rPr>
          <w:lang w:val="fr-CA"/>
        </w:rPr>
        <w:t>éléments d’actif</w:t>
      </w:r>
      <w:r w:rsidRPr="001E7CB3">
        <w:rPr>
          <w:lang w:val="fr-CA"/>
        </w:rPr>
        <w:t xml:space="preserve"> ne repose pas sur </w:t>
      </w:r>
      <w:r>
        <w:rPr>
          <w:lang w:val="fr-CA"/>
        </w:rPr>
        <w:t>la prétention</w:t>
      </w:r>
      <w:r w:rsidRPr="001E7CB3">
        <w:rPr>
          <w:lang w:val="fr-CA"/>
        </w:rPr>
        <w:t xml:space="preserve"> que des biens identifiables pouvant être liquidé</w:t>
      </w:r>
      <w:r>
        <w:rPr>
          <w:lang w:val="fr-CA"/>
        </w:rPr>
        <w:t>s</w:t>
      </w:r>
      <w:r w:rsidRPr="001E7CB3">
        <w:rPr>
          <w:lang w:val="fr-CA"/>
        </w:rPr>
        <w:t xml:space="preserve"> ou vendu</w:t>
      </w:r>
      <w:r>
        <w:rPr>
          <w:lang w:val="fr-CA"/>
        </w:rPr>
        <w:t>s</w:t>
      </w:r>
      <w:r w:rsidRPr="001E7CB3">
        <w:rPr>
          <w:lang w:val="fr-CA"/>
        </w:rPr>
        <w:t xml:space="preserve"> étaient détenus dans le compte</w:t>
      </w:r>
      <w:r>
        <w:rPr>
          <w:lang w:val="fr-CA"/>
        </w:rPr>
        <w:t>. (L</w:t>
      </w:r>
      <w:r w:rsidRPr="001E7CB3">
        <w:rPr>
          <w:lang w:val="fr-CA"/>
        </w:rPr>
        <w:t>e témoin expert</w:t>
      </w:r>
      <w:r>
        <w:rPr>
          <w:lang w:val="fr-CA"/>
        </w:rPr>
        <w:t xml:space="preserve"> des appelants,</w:t>
      </w:r>
      <w:r w:rsidRPr="001E7CB3">
        <w:rPr>
          <w:lang w:val="fr-CA"/>
        </w:rPr>
        <w:t xml:space="preserve"> John</w:t>
      </w:r>
      <w:r>
        <w:rPr>
          <w:lang w:val="fr-CA"/>
        </w:rPr>
        <w:t xml:space="preserve"> </w:t>
      </w:r>
      <w:r w:rsidRPr="001E7CB3">
        <w:rPr>
          <w:lang w:val="fr-CA"/>
        </w:rPr>
        <w:t>Christie</w:t>
      </w:r>
      <w:r>
        <w:rPr>
          <w:lang w:val="fr-CA"/>
        </w:rPr>
        <w:t>,</w:t>
      </w:r>
      <w:r w:rsidRPr="001E7CB3">
        <w:rPr>
          <w:lang w:val="fr-CA"/>
        </w:rPr>
        <w:t xml:space="preserve"> a reconnu</w:t>
      </w:r>
      <w:r>
        <w:rPr>
          <w:lang w:val="fr-CA"/>
        </w:rPr>
        <w:t xml:space="preserve"> à tout le moins</w:t>
      </w:r>
      <w:r w:rsidRPr="001E7CB3">
        <w:rPr>
          <w:lang w:val="fr-CA"/>
        </w:rPr>
        <w:t xml:space="preserve"> </w:t>
      </w:r>
      <w:r>
        <w:rPr>
          <w:lang w:val="fr-CA"/>
        </w:rPr>
        <w:t xml:space="preserve">cela </w:t>
      </w:r>
      <w:r w:rsidRPr="001E7CB3">
        <w:rPr>
          <w:lang w:val="fr-CA"/>
        </w:rPr>
        <w:t xml:space="preserve">en </w:t>
      </w:r>
      <w:proofErr w:type="spellStart"/>
      <w:r w:rsidRPr="001E7CB3">
        <w:rPr>
          <w:lang w:val="fr-CA"/>
        </w:rPr>
        <w:t>contre</w:t>
      </w:r>
      <w:r>
        <w:rPr>
          <w:lang w:val="fr-CA"/>
        </w:rPr>
        <w:noBreakHyphen/>
      </w:r>
      <w:r w:rsidRPr="001E7CB3">
        <w:rPr>
          <w:lang w:val="fr-CA"/>
        </w:rPr>
        <w:t>interrogatoire</w:t>
      </w:r>
      <w:proofErr w:type="spellEnd"/>
      <w:r>
        <w:rPr>
          <w:lang w:val="fr-CA"/>
        </w:rPr>
        <w:t xml:space="preserve"> au procès :</w:t>
      </w:r>
      <w:r w:rsidRPr="001E7CB3">
        <w:rPr>
          <w:lang w:val="fr-CA"/>
        </w:rPr>
        <w:t xml:space="preserve"> </w:t>
      </w:r>
      <w:proofErr w:type="gramStart"/>
      <w:r w:rsidR="000956A0">
        <w:rPr>
          <w:lang w:val="fr-CA"/>
        </w:rPr>
        <w:t>d</w:t>
      </w:r>
      <w:r w:rsidRPr="001E7CB3">
        <w:rPr>
          <w:lang w:val="fr-CA"/>
        </w:rPr>
        <w:t>.</w:t>
      </w:r>
      <w:r w:rsidR="000956A0">
        <w:rPr>
          <w:lang w:val="fr-CA"/>
        </w:rPr>
        <w:t>a</w:t>
      </w:r>
      <w:r w:rsidRPr="001E7CB3">
        <w:rPr>
          <w:lang w:val="fr-CA"/>
        </w:rPr>
        <w:t>.,</w:t>
      </w:r>
      <w:proofErr w:type="gramEnd"/>
      <w:r w:rsidRPr="001E7CB3">
        <w:rPr>
          <w:lang w:val="fr-CA"/>
        </w:rPr>
        <w:t xml:space="preserve"> </w:t>
      </w:r>
      <w:r>
        <w:rPr>
          <w:lang w:val="fr-CA"/>
        </w:rPr>
        <w:t>vol. </w:t>
      </w:r>
      <w:r w:rsidRPr="002A0B46">
        <w:rPr>
          <w:lang w:val="fr-CA"/>
        </w:rPr>
        <w:t>III</w:t>
      </w:r>
      <w:r w:rsidRPr="001E7CB3">
        <w:rPr>
          <w:lang w:val="fr-CA"/>
        </w:rPr>
        <w:t xml:space="preserve">, </w:t>
      </w:r>
      <w:r>
        <w:rPr>
          <w:lang w:val="fr-CA"/>
        </w:rPr>
        <w:t>p. 142</w:t>
      </w:r>
      <w:r w:rsidR="000956A0">
        <w:rPr>
          <w:lang w:val="fr-CA"/>
        </w:rPr>
        <w:t>.</w:t>
      </w:r>
      <w:r w:rsidRPr="001E7CB3">
        <w:rPr>
          <w:lang w:val="fr-CA"/>
        </w:rPr>
        <w:t xml:space="preserve">)  La thèse de ce témoin (la </w:t>
      </w:r>
      <w:r>
        <w:rPr>
          <w:lang w:val="fr-CA"/>
        </w:rPr>
        <w:t>« </w:t>
      </w:r>
      <w:r w:rsidRPr="001E7CB3">
        <w:rPr>
          <w:lang w:val="fr-CA"/>
        </w:rPr>
        <w:t>théorie de l’emprunt</w:t>
      </w:r>
      <w:r>
        <w:rPr>
          <w:lang w:val="fr-CA"/>
        </w:rPr>
        <w:t> »</w:t>
      </w:r>
      <w:r w:rsidRPr="001E7CB3">
        <w:rPr>
          <w:lang w:val="fr-CA"/>
        </w:rPr>
        <w:t>) était plutôt que [</w:t>
      </w:r>
      <w:r w:rsidRPr="00B2643C">
        <w:rPr>
          <w:smallCaps/>
          <w:lang w:val="fr-CA"/>
        </w:rPr>
        <w:t>traduction</w:t>
      </w:r>
      <w:r w:rsidRPr="001E7CB3">
        <w:rPr>
          <w:lang w:val="fr-CA"/>
        </w:rPr>
        <w:t>] « </w:t>
      </w:r>
      <w:r w:rsidR="000956A0">
        <w:rPr>
          <w:lang w:val="fr-CA"/>
        </w:rPr>
        <w:t>[</w:t>
      </w:r>
      <w:r w:rsidRPr="001E7CB3">
        <w:rPr>
          <w:lang w:val="fr-CA"/>
        </w:rPr>
        <w:t>l’</w:t>
      </w:r>
      <w:proofErr w:type="gramStart"/>
      <w:r w:rsidR="000956A0">
        <w:rPr>
          <w:lang w:val="fr-CA"/>
        </w:rPr>
        <w:t>]</w:t>
      </w:r>
      <w:r w:rsidRPr="001E7CB3">
        <w:rPr>
          <w:lang w:val="fr-CA"/>
        </w:rPr>
        <w:t>actif</w:t>
      </w:r>
      <w:proofErr w:type="gramEnd"/>
      <w:r w:rsidRPr="001E7CB3">
        <w:rPr>
          <w:lang w:val="fr-CA"/>
        </w:rPr>
        <w:t xml:space="preserve"> du régime </w:t>
      </w:r>
      <w:r>
        <w:rPr>
          <w:lang w:val="fr-CA"/>
        </w:rPr>
        <w:t>est</w:t>
      </w:r>
      <w:r w:rsidRPr="001E7CB3">
        <w:rPr>
          <w:lang w:val="fr-CA"/>
        </w:rPr>
        <w:t xml:space="preserve"> une </w:t>
      </w:r>
      <w:r w:rsidRPr="001E7CB3">
        <w:rPr>
          <w:lang w:val="fr-CA"/>
        </w:rPr>
        <w:lastRenderedPageBreak/>
        <w:t>promesse du gouvernement du Canada de payer u</w:t>
      </w:r>
      <w:r w:rsidR="00345213">
        <w:rPr>
          <w:lang w:val="fr-CA"/>
        </w:rPr>
        <w:t>ne dette qu’il a contractée » (</w:t>
      </w:r>
      <w:r w:rsidR="000956A0">
        <w:rPr>
          <w:lang w:val="fr-CA"/>
        </w:rPr>
        <w:t>d.a.</w:t>
      </w:r>
      <w:r w:rsidR="001366DD">
        <w:rPr>
          <w:lang w:val="fr-CA"/>
        </w:rPr>
        <w:t>,</w:t>
      </w:r>
      <w:r w:rsidRPr="001E7CB3">
        <w:rPr>
          <w:lang w:val="fr-CA"/>
        </w:rPr>
        <w:t xml:space="preserve"> </w:t>
      </w:r>
      <w:r>
        <w:rPr>
          <w:lang w:val="fr-CA"/>
        </w:rPr>
        <w:t>vol. III</w:t>
      </w:r>
      <w:r w:rsidRPr="001E7CB3">
        <w:rPr>
          <w:lang w:val="fr-CA"/>
        </w:rPr>
        <w:t xml:space="preserve">, </w:t>
      </w:r>
      <w:r>
        <w:rPr>
          <w:lang w:val="fr-CA"/>
        </w:rPr>
        <w:t>p. </w:t>
      </w:r>
      <w:r w:rsidRPr="001E7CB3">
        <w:rPr>
          <w:lang w:val="fr-CA"/>
        </w:rPr>
        <w:t>142</w:t>
      </w:r>
      <w:r>
        <w:rPr>
          <w:lang w:val="fr-CA"/>
        </w:rPr>
        <w:noBreakHyphen/>
      </w:r>
      <w:r w:rsidR="00345213">
        <w:rPr>
          <w:lang w:val="fr-CA"/>
        </w:rPr>
        <w:t>143)</w:t>
      </w:r>
      <w:r w:rsidRPr="001E7CB3">
        <w:rPr>
          <w:lang w:val="fr-CA"/>
        </w:rPr>
        <w:t xml:space="preserve">.  </w:t>
      </w:r>
      <w:r>
        <w:rPr>
          <w:lang w:val="fr-CA"/>
        </w:rPr>
        <w:t>Selon lui, l’actif consiste en la [</w:t>
      </w:r>
      <w:r w:rsidRPr="00B04CAC">
        <w:rPr>
          <w:smallCaps/>
          <w:lang w:val="fr-CA"/>
        </w:rPr>
        <w:t>traduction</w:t>
      </w:r>
      <w:r>
        <w:rPr>
          <w:lang w:val="fr-CA"/>
        </w:rPr>
        <w:t>] « promesse de verser au compte le montant que lui doit le gouvernement du Canada » (p. </w:t>
      </w:r>
      <w:r w:rsidRPr="001E7CB3">
        <w:rPr>
          <w:lang w:val="fr-CA"/>
        </w:rPr>
        <w:t>14</w:t>
      </w:r>
      <w:r>
        <w:rPr>
          <w:lang w:val="fr-CA"/>
        </w:rPr>
        <w:t>7)</w:t>
      </w:r>
      <w:r w:rsidRPr="001E7CB3">
        <w:rPr>
          <w:lang w:val="fr-CA"/>
        </w:rPr>
        <w:t>.</w:t>
      </w:r>
    </w:p>
    <w:p w:rsidR="000F48EC" w:rsidRPr="001E7CB3" w:rsidRDefault="000F48EC" w:rsidP="000F48EC">
      <w:pPr>
        <w:pStyle w:val="ParaNoNdepar-AltN"/>
        <w:rPr>
          <w:lang w:val="fr-CA"/>
        </w:rPr>
      </w:pPr>
      <w:r w:rsidRPr="001E7CB3">
        <w:rPr>
          <w:lang w:val="fr-CA"/>
        </w:rPr>
        <w:t xml:space="preserve">M. Scott </w:t>
      </w:r>
      <w:proofErr w:type="spellStart"/>
      <w:r w:rsidRPr="001E7CB3">
        <w:rPr>
          <w:lang w:val="fr-CA"/>
        </w:rPr>
        <w:t>Milne</w:t>
      </w:r>
      <w:proofErr w:type="spellEnd"/>
      <w:r w:rsidRPr="001E7CB3">
        <w:rPr>
          <w:lang w:val="fr-CA"/>
        </w:rPr>
        <w:t xml:space="preserve"> (le comptable des appelants) a </w:t>
      </w:r>
      <w:r>
        <w:rPr>
          <w:lang w:val="fr-CA"/>
        </w:rPr>
        <w:t>exprimé</w:t>
      </w:r>
      <w:r w:rsidRPr="001E7CB3">
        <w:rPr>
          <w:lang w:val="fr-CA"/>
        </w:rPr>
        <w:t xml:space="preserve"> une </w:t>
      </w:r>
      <w:r>
        <w:rPr>
          <w:lang w:val="fr-CA"/>
        </w:rPr>
        <w:t>opin</w:t>
      </w:r>
      <w:r w:rsidRPr="001E7CB3">
        <w:rPr>
          <w:lang w:val="fr-CA"/>
        </w:rPr>
        <w:t>ion analogue</w:t>
      </w:r>
      <w:r>
        <w:rPr>
          <w:lang w:val="fr-CA"/>
        </w:rPr>
        <w:t>.  Il a affirmé</w:t>
      </w:r>
      <w:r w:rsidRPr="001E7CB3">
        <w:rPr>
          <w:lang w:val="fr-CA"/>
        </w:rPr>
        <w:t xml:space="preserve"> </w:t>
      </w:r>
      <w:r>
        <w:rPr>
          <w:lang w:val="fr-CA"/>
        </w:rPr>
        <w:t xml:space="preserve">au procès </w:t>
      </w:r>
      <w:r w:rsidRPr="001E7CB3">
        <w:rPr>
          <w:lang w:val="fr-CA"/>
        </w:rPr>
        <w:t>que le gouvernement a</w:t>
      </w:r>
    </w:p>
    <w:p w:rsidR="000F48EC" w:rsidRPr="001E7CB3" w:rsidRDefault="000F48EC" w:rsidP="000F48EC">
      <w:pPr>
        <w:pStyle w:val="Citation-AltC"/>
        <w:ind w:hanging="1166"/>
        <w:rPr>
          <w:lang w:val="fr-CA"/>
        </w:rPr>
      </w:pPr>
      <w:r>
        <w:rPr>
          <w:lang w:val="fr-CA"/>
        </w:rPr>
        <w:tab/>
      </w:r>
      <w:r w:rsidRPr="001E7CB3">
        <w:rPr>
          <w:lang w:val="fr-CA"/>
        </w:rPr>
        <w:t>[</w:t>
      </w:r>
      <w:r w:rsidRPr="00B2643C">
        <w:rPr>
          <w:smallCaps/>
          <w:lang w:val="fr-CA"/>
        </w:rPr>
        <w:t>traduction</w:t>
      </w:r>
      <w:r w:rsidRPr="001E7CB3">
        <w:rPr>
          <w:lang w:val="fr-CA"/>
        </w:rPr>
        <w:t>] effectivement versé l’argent dans le compte et l’a ensuite emprunté.  Cela a pour résultat [</w:t>
      </w:r>
      <w:r>
        <w:rPr>
          <w:lang w:val="fr-CA"/>
        </w:rPr>
        <w:t>. . .</w:t>
      </w:r>
      <w:r w:rsidRPr="001E7CB3">
        <w:rPr>
          <w:lang w:val="fr-CA"/>
        </w:rPr>
        <w:t xml:space="preserve">] que le compte de pension </w:t>
      </w:r>
      <w:r>
        <w:rPr>
          <w:lang w:val="fr-CA"/>
        </w:rPr>
        <w:t>comporte</w:t>
      </w:r>
      <w:r w:rsidRPr="001E7CB3">
        <w:rPr>
          <w:lang w:val="fr-CA"/>
        </w:rPr>
        <w:t xml:space="preserve"> une créance sur le gouvernement et que le gouvernement a une dette </w:t>
      </w:r>
      <w:r>
        <w:rPr>
          <w:lang w:val="fr-CA"/>
        </w:rPr>
        <w:t>envers le</w:t>
      </w:r>
      <w:r w:rsidRPr="001E7CB3">
        <w:rPr>
          <w:lang w:val="fr-CA"/>
        </w:rPr>
        <w:t xml:space="preserve"> compte de pension</w:t>
      </w:r>
      <w:r>
        <w:rPr>
          <w:lang w:val="fr-CA"/>
        </w:rPr>
        <w:t xml:space="preserve">. </w:t>
      </w:r>
      <w:r w:rsidRPr="001E7CB3">
        <w:rPr>
          <w:lang w:val="fr-CA"/>
        </w:rPr>
        <w:t xml:space="preserve"> [</w:t>
      </w:r>
      <w:proofErr w:type="gramStart"/>
      <w:r w:rsidR="001366DD">
        <w:rPr>
          <w:lang w:val="fr-CA"/>
        </w:rPr>
        <w:t>d.a.,</w:t>
      </w:r>
      <w:proofErr w:type="gramEnd"/>
      <w:r w:rsidRPr="001E7CB3">
        <w:rPr>
          <w:lang w:val="fr-CA"/>
        </w:rPr>
        <w:t xml:space="preserve"> </w:t>
      </w:r>
      <w:r>
        <w:rPr>
          <w:lang w:val="fr-CA"/>
        </w:rPr>
        <w:t>vol. IV</w:t>
      </w:r>
      <w:r w:rsidRPr="001E7CB3">
        <w:rPr>
          <w:lang w:val="fr-CA"/>
        </w:rPr>
        <w:t xml:space="preserve">, </w:t>
      </w:r>
      <w:r>
        <w:rPr>
          <w:lang w:val="fr-CA"/>
        </w:rPr>
        <w:t>p. </w:t>
      </w:r>
      <w:r w:rsidRPr="001E7CB3">
        <w:rPr>
          <w:lang w:val="fr-CA"/>
        </w:rPr>
        <w:t>48]</w:t>
      </w:r>
    </w:p>
    <w:p w:rsidR="000F48EC" w:rsidRPr="001E7CB3" w:rsidRDefault="000F48EC" w:rsidP="000F48EC">
      <w:pPr>
        <w:pStyle w:val="ParaNoNdepar-AltN"/>
        <w:rPr>
          <w:lang w:val="fr-CA"/>
        </w:rPr>
      </w:pPr>
      <w:r w:rsidRPr="001E7CB3">
        <w:rPr>
          <w:lang w:val="fr-CA"/>
        </w:rPr>
        <w:t xml:space="preserve">Le juge de première instance n’a pas retenu les témoignages d’expert présentés à l’appui de la théorie de l’emprunt, et la Cour d’appel lui a donné raison.  Je ne vois rien qui justifie </w:t>
      </w:r>
      <w:r>
        <w:rPr>
          <w:lang w:val="fr-CA"/>
        </w:rPr>
        <w:t>de modifier</w:t>
      </w:r>
      <w:r w:rsidRPr="001E7CB3">
        <w:rPr>
          <w:lang w:val="fr-CA"/>
        </w:rPr>
        <w:t xml:space="preserve"> cette conclusion.</w:t>
      </w:r>
    </w:p>
    <w:p w:rsidR="000F48EC" w:rsidRPr="001E7CB3" w:rsidRDefault="000F48EC" w:rsidP="000F48EC">
      <w:pPr>
        <w:pStyle w:val="ParaNoNdepar-AltN"/>
        <w:rPr>
          <w:lang w:val="fr-CA"/>
        </w:rPr>
      </w:pPr>
      <w:r w:rsidRPr="001E7CB3">
        <w:rPr>
          <w:lang w:val="fr-CA"/>
        </w:rPr>
        <w:t>Les appelants soutiennent, à tort selon moi, que [</w:t>
      </w:r>
      <w:r w:rsidRPr="00B2643C">
        <w:rPr>
          <w:smallCaps/>
          <w:lang w:val="fr-CA"/>
        </w:rPr>
        <w:t>traduction</w:t>
      </w:r>
      <w:r w:rsidRPr="001E7CB3">
        <w:rPr>
          <w:lang w:val="fr-CA"/>
        </w:rPr>
        <w:t xml:space="preserve">] </w:t>
      </w:r>
      <w:r>
        <w:rPr>
          <w:lang w:val="fr-CA"/>
        </w:rPr>
        <w:t>« </w:t>
      </w:r>
      <w:r w:rsidRPr="001E7CB3">
        <w:rPr>
          <w:lang w:val="fr-CA"/>
        </w:rPr>
        <w:t xml:space="preserve">si le gouvernement n’a pas emprunté les fonds </w:t>
      </w:r>
      <w:r>
        <w:rPr>
          <w:lang w:val="fr-CA"/>
        </w:rPr>
        <w:t>aux</w:t>
      </w:r>
      <w:r w:rsidRPr="001E7CB3">
        <w:rPr>
          <w:lang w:val="fr-CA"/>
        </w:rPr>
        <w:t xml:space="preserve"> comptes de pension de retraite, la seule conclusion possible est qu’il a contrevenu à la </w:t>
      </w:r>
      <w:r w:rsidRPr="001366DD">
        <w:rPr>
          <w:i/>
          <w:lang w:val="fr-CA"/>
        </w:rPr>
        <w:t>LPFP</w:t>
      </w:r>
      <w:r w:rsidRPr="001E7CB3">
        <w:rPr>
          <w:i/>
          <w:lang w:val="fr-CA"/>
        </w:rPr>
        <w:t xml:space="preserve"> </w:t>
      </w:r>
      <w:r w:rsidRPr="001E7CB3">
        <w:rPr>
          <w:lang w:val="fr-CA"/>
        </w:rPr>
        <w:t xml:space="preserve">en omettant de contribuer </w:t>
      </w:r>
      <w:r>
        <w:rPr>
          <w:lang w:val="fr-CA"/>
        </w:rPr>
        <w:t xml:space="preserve">en fait </w:t>
      </w:r>
      <w:r w:rsidRPr="001E7CB3">
        <w:rPr>
          <w:lang w:val="fr-CA"/>
        </w:rPr>
        <w:t xml:space="preserve">aux comptes » </w:t>
      </w:r>
      <w:r>
        <w:rPr>
          <w:lang w:val="fr-CA"/>
        </w:rPr>
        <w:t>(</w:t>
      </w:r>
      <w:proofErr w:type="gramStart"/>
      <w:r w:rsidR="001366DD">
        <w:rPr>
          <w:lang w:val="fr-CA"/>
        </w:rPr>
        <w:t>m.a</w:t>
      </w:r>
      <w:r w:rsidRPr="001E7CB3">
        <w:rPr>
          <w:lang w:val="fr-CA"/>
        </w:rPr>
        <w:t>.,</w:t>
      </w:r>
      <w:proofErr w:type="gramEnd"/>
      <w:r w:rsidRPr="001E7CB3">
        <w:rPr>
          <w:lang w:val="fr-CA"/>
        </w:rPr>
        <w:t xml:space="preserve"> </w:t>
      </w:r>
      <w:r>
        <w:rPr>
          <w:lang w:val="fr-CA"/>
        </w:rPr>
        <w:t>par. </w:t>
      </w:r>
      <w:r w:rsidRPr="001E7CB3">
        <w:rPr>
          <w:lang w:val="fr-CA"/>
        </w:rPr>
        <w:t>57</w:t>
      </w:r>
      <w:r>
        <w:rPr>
          <w:lang w:val="fr-CA"/>
        </w:rPr>
        <w:t>)</w:t>
      </w:r>
      <w:r w:rsidRPr="001E7CB3">
        <w:rPr>
          <w:lang w:val="fr-CA"/>
        </w:rPr>
        <w:t xml:space="preserve">.  </w:t>
      </w:r>
      <w:r>
        <w:rPr>
          <w:lang w:val="fr-CA"/>
        </w:rPr>
        <w:t>Ils affirment que, selon le</w:t>
      </w:r>
      <w:r w:rsidRPr="001E7CB3">
        <w:rPr>
          <w:lang w:val="fr-CA"/>
        </w:rPr>
        <w:t xml:space="preserve"> témoignage d</w:t>
      </w:r>
      <w:r>
        <w:rPr>
          <w:lang w:val="fr-CA"/>
        </w:rPr>
        <w:t xml:space="preserve">es </w:t>
      </w:r>
      <w:r w:rsidRPr="001E7CB3">
        <w:rPr>
          <w:lang w:val="fr-CA"/>
        </w:rPr>
        <w:t>experts</w:t>
      </w:r>
      <w:r>
        <w:rPr>
          <w:lang w:val="fr-CA"/>
        </w:rPr>
        <w:t>,</w:t>
      </w:r>
      <w:r w:rsidRPr="001E7CB3">
        <w:rPr>
          <w:lang w:val="fr-CA"/>
        </w:rPr>
        <w:t xml:space="preserve"> </w:t>
      </w:r>
      <w:r>
        <w:rPr>
          <w:lang w:val="fr-CA"/>
        </w:rPr>
        <w:t xml:space="preserve">seule la </w:t>
      </w:r>
      <w:r w:rsidRPr="001E7CB3">
        <w:rPr>
          <w:lang w:val="fr-CA"/>
        </w:rPr>
        <w:t>théorie de l’emprunt permet de conclure</w:t>
      </w:r>
      <w:r>
        <w:rPr>
          <w:lang w:val="fr-CA"/>
        </w:rPr>
        <w:t>,</w:t>
      </w:r>
      <w:r w:rsidRPr="001E20ED">
        <w:rPr>
          <w:lang w:val="fr-CA"/>
        </w:rPr>
        <w:t xml:space="preserve"> </w:t>
      </w:r>
      <w:r w:rsidRPr="001E7CB3">
        <w:rPr>
          <w:lang w:val="fr-CA"/>
        </w:rPr>
        <w:t>en l’absence de transfert effectif de fonds aux comptes</w:t>
      </w:r>
      <w:r>
        <w:rPr>
          <w:lang w:val="fr-CA"/>
        </w:rPr>
        <w:t>,</w:t>
      </w:r>
      <w:r w:rsidRPr="001E7CB3">
        <w:rPr>
          <w:lang w:val="fr-CA"/>
        </w:rPr>
        <w:t xml:space="preserve"> que le gouvernement s’est acquitté de son obligation légale.  Cet argument procède toutefois d’une interprétation erronée des dispositions législatives applicables.  Comme on l’a vu, les comptes de pension de retraite étaient — et sont — des livres comptables prescrits par la loi pour le suivi des </w:t>
      </w:r>
      <w:r>
        <w:rPr>
          <w:lang w:val="fr-CA"/>
        </w:rPr>
        <w:t xml:space="preserve">opérations relatives aux </w:t>
      </w:r>
      <w:r>
        <w:rPr>
          <w:lang w:val="fr-CA"/>
        </w:rPr>
        <w:lastRenderedPageBreak/>
        <w:t>régimes dans le</w:t>
      </w:r>
      <w:r w:rsidRPr="001E7CB3">
        <w:rPr>
          <w:lang w:val="fr-CA"/>
        </w:rPr>
        <w:t xml:space="preserve"> Trésor et pour l’estimation des </w:t>
      </w:r>
      <w:r>
        <w:rPr>
          <w:lang w:val="fr-CA"/>
        </w:rPr>
        <w:t>engagements</w:t>
      </w:r>
      <w:r w:rsidRPr="001E7CB3">
        <w:rPr>
          <w:lang w:val="fr-CA"/>
        </w:rPr>
        <w:t xml:space="preserve"> du gouvernement envers les membres des régimes au titre des pensions.  </w:t>
      </w:r>
      <w:r>
        <w:rPr>
          <w:lang w:val="fr-CA"/>
        </w:rPr>
        <w:t>Bref</w:t>
      </w:r>
      <w:r w:rsidRPr="001E7CB3">
        <w:rPr>
          <w:lang w:val="fr-CA"/>
        </w:rPr>
        <w:t>, ces comptes sont des documents comptables — c’est</w:t>
      </w:r>
      <w:r>
        <w:rPr>
          <w:lang w:val="fr-CA"/>
        </w:rPr>
        <w:noBreakHyphen/>
      </w:r>
      <w:proofErr w:type="spellStart"/>
      <w:r w:rsidRPr="001E7CB3">
        <w:rPr>
          <w:lang w:val="fr-CA"/>
        </w:rPr>
        <w:t>à</w:t>
      </w:r>
      <w:r>
        <w:rPr>
          <w:lang w:val="fr-CA"/>
        </w:rPr>
        <w:noBreakHyphen/>
      </w:r>
      <w:r w:rsidRPr="001E7CB3">
        <w:rPr>
          <w:lang w:val="fr-CA"/>
        </w:rPr>
        <w:t>dire</w:t>
      </w:r>
      <w:proofErr w:type="spellEnd"/>
      <w:r w:rsidRPr="001E7CB3">
        <w:rPr>
          <w:lang w:val="fr-CA"/>
        </w:rPr>
        <w:t xml:space="preserve"> de</w:t>
      </w:r>
      <w:r>
        <w:rPr>
          <w:lang w:val="fr-CA"/>
        </w:rPr>
        <w:t>s</w:t>
      </w:r>
      <w:r w:rsidRPr="001E7CB3">
        <w:rPr>
          <w:lang w:val="fr-CA"/>
        </w:rPr>
        <w:t xml:space="preserve"> </w:t>
      </w:r>
      <w:r w:rsidRPr="00532028">
        <w:rPr>
          <w:i/>
          <w:lang w:val="fr-CA"/>
        </w:rPr>
        <w:t>renseignements</w:t>
      </w:r>
      <w:r w:rsidRPr="001E7CB3">
        <w:rPr>
          <w:i/>
          <w:lang w:val="fr-CA"/>
        </w:rPr>
        <w:t xml:space="preserve"> </w:t>
      </w:r>
      <w:r w:rsidRPr="001E7CB3">
        <w:rPr>
          <w:lang w:val="fr-CA"/>
        </w:rPr>
        <w:t>—</w:t>
      </w:r>
      <w:r>
        <w:rPr>
          <w:lang w:val="fr-CA"/>
        </w:rPr>
        <w:t>, et</w:t>
      </w:r>
      <w:r w:rsidRPr="001E7CB3">
        <w:rPr>
          <w:lang w:val="fr-CA"/>
        </w:rPr>
        <w:t xml:space="preserve"> non des </w:t>
      </w:r>
      <w:r>
        <w:rPr>
          <w:lang w:val="fr-CA"/>
        </w:rPr>
        <w:t>réserve</w:t>
      </w:r>
      <w:r w:rsidRPr="001E7CB3">
        <w:rPr>
          <w:lang w:val="fr-CA"/>
        </w:rPr>
        <w:t>s d’</w:t>
      </w:r>
      <w:r>
        <w:rPr>
          <w:lang w:val="fr-CA"/>
        </w:rPr>
        <w:t>éléments d’</w:t>
      </w:r>
      <w:r w:rsidRPr="001E7CB3">
        <w:rPr>
          <w:lang w:val="fr-CA"/>
        </w:rPr>
        <w:t xml:space="preserve">actif </w:t>
      </w:r>
      <w:r>
        <w:rPr>
          <w:lang w:val="fr-CA"/>
        </w:rPr>
        <w:t>dans lesquels des biens peuvent être détenus</w:t>
      </w:r>
      <w:r w:rsidRPr="001E7CB3">
        <w:rPr>
          <w:lang w:val="fr-CA"/>
        </w:rPr>
        <w:t xml:space="preserve">. </w:t>
      </w:r>
    </w:p>
    <w:p w:rsidR="000F48EC" w:rsidRPr="001E7CB3" w:rsidRDefault="000F48EC" w:rsidP="000F48EC">
      <w:pPr>
        <w:pStyle w:val="ParaNoNdepar-AltN"/>
        <w:rPr>
          <w:lang w:val="fr-CA"/>
        </w:rPr>
      </w:pPr>
      <w:r w:rsidRPr="001E7CB3">
        <w:rPr>
          <w:lang w:val="fr-CA"/>
        </w:rPr>
        <w:t>Pour que la théorie de l’emprunt avancée par les appelants tienne, il</w:t>
      </w:r>
      <w:r>
        <w:rPr>
          <w:lang w:val="fr-CA"/>
        </w:rPr>
        <w:t xml:space="preserve"> faut </w:t>
      </w:r>
      <w:r w:rsidRPr="001E7CB3">
        <w:rPr>
          <w:lang w:val="fr-CA"/>
        </w:rPr>
        <w:t xml:space="preserve">pouvoir affirmer que le gouvernement </w:t>
      </w:r>
      <w:r>
        <w:rPr>
          <w:lang w:val="fr-CA"/>
        </w:rPr>
        <w:t xml:space="preserve">était tenu de faire un </w:t>
      </w:r>
      <w:r w:rsidRPr="001E7CB3">
        <w:rPr>
          <w:lang w:val="fr-CA"/>
        </w:rPr>
        <w:t xml:space="preserve">apport </w:t>
      </w:r>
      <w:r>
        <w:rPr>
          <w:lang w:val="fr-CA"/>
        </w:rPr>
        <w:t xml:space="preserve">en biens </w:t>
      </w:r>
      <w:r w:rsidRPr="001E7CB3">
        <w:rPr>
          <w:lang w:val="fr-CA"/>
        </w:rPr>
        <w:t xml:space="preserve">aux comptes de pension de retraite et qu’il a, en fait, emprunté </w:t>
      </w:r>
      <w:r>
        <w:rPr>
          <w:lang w:val="fr-CA"/>
        </w:rPr>
        <w:t>les biens apportés</w:t>
      </w:r>
      <w:r w:rsidRPr="001E7CB3">
        <w:rPr>
          <w:lang w:val="fr-CA"/>
        </w:rPr>
        <w:t xml:space="preserve"> </w:t>
      </w:r>
      <w:r>
        <w:rPr>
          <w:lang w:val="fr-CA"/>
        </w:rPr>
        <w:t>pour les déposer dans le</w:t>
      </w:r>
      <w:r w:rsidRPr="001E7CB3">
        <w:rPr>
          <w:lang w:val="fr-CA"/>
        </w:rPr>
        <w:t xml:space="preserve"> Trésor à des fins publiques.  Toutefois, si les comptes de pension de retraite sont des </w:t>
      </w:r>
      <w:r>
        <w:rPr>
          <w:lang w:val="fr-CA"/>
        </w:rPr>
        <w:t>registres comptables informatifs</w:t>
      </w:r>
      <w:r w:rsidRPr="001E7CB3">
        <w:rPr>
          <w:lang w:val="fr-CA"/>
        </w:rPr>
        <w:t xml:space="preserve">, ainsi que je l’ai conclu, cela est </w:t>
      </w:r>
      <w:r>
        <w:rPr>
          <w:lang w:val="fr-CA"/>
        </w:rPr>
        <w:t xml:space="preserve">évidemment </w:t>
      </w:r>
      <w:r w:rsidRPr="001E7CB3">
        <w:rPr>
          <w:lang w:val="fr-CA"/>
        </w:rPr>
        <w:t>impossible.  Aucun bie</w:t>
      </w:r>
      <w:r>
        <w:rPr>
          <w:lang w:val="fr-CA"/>
        </w:rPr>
        <w:t>n</w:t>
      </w:r>
      <w:r w:rsidRPr="001E7CB3">
        <w:rPr>
          <w:lang w:val="fr-CA"/>
        </w:rPr>
        <w:t xml:space="preserve"> ne peut être </w:t>
      </w:r>
      <w:r>
        <w:rPr>
          <w:lang w:val="fr-CA"/>
        </w:rPr>
        <w:t xml:space="preserve">réellement </w:t>
      </w:r>
      <w:r w:rsidRPr="001E7CB3">
        <w:rPr>
          <w:lang w:val="fr-CA"/>
        </w:rPr>
        <w:t xml:space="preserve">transféré </w:t>
      </w:r>
      <w:r>
        <w:rPr>
          <w:rFonts w:cs="Times New Roman"/>
          <w:lang w:val="fr-CA"/>
        </w:rPr>
        <w:t>—</w:t>
      </w:r>
      <w:r>
        <w:rPr>
          <w:lang w:val="fr-CA"/>
        </w:rPr>
        <w:t xml:space="preserve"> ni emprunté </w:t>
      </w:r>
      <w:r>
        <w:rPr>
          <w:rFonts w:cs="Times New Roman"/>
          <w:lang w:val="fr-CA"/>
        </w:rPr>
        <w:t>—</w:t>
      </w:r>
      <w:r>
        <w:rPr>
          <w:lang w:val="fr-CA"/>
        </w:rPr>
        <w:t xml:space="preserve"> </w:t>
      </w:r>
      <w:r w:rsidRPr="001E7CB3">
        <w:rPr>
          <w:lang w:val="fr-CA"/>
        </w:rPr>
        <w:t xml:space="preserve">à un document </w:t>
      </w:r>
      <w:r>
        <w:rPr>
          <w:lang w:val="fr-CA"/>
        </w:rPr>
        <w:t>informatif</w:t>
      </w:r>
      <w:r w:rsidRPr="001E7CB3">
        <w:rPr>
          <w:lang w:val="fr-CA"/>
        </w:rPr>
        <w:t>.  Les biens so</w:t>
      </w:r>
      <w:r>
        <w:rPr>
          <w:lang w:val="fr-CA"/>
        </w:rPr>
        <w:t>nt et ont toujours été ailleurs : a</w:t>
      </w:r>
      <w:r w:rsidRPr="001E7CB3">
        <w:rPr>
          <w:lang w:val="fr-CA"/>
        </w:rPr>
        <w:t>vant le 1</w:t>
      </w:r>
      <w:r w:rsidRPr="001E7CB3">
        <w:rPr>
          <w:vertAlign w:val="superscript"/>
          <w:lang w:val="fr-CA"/>
        </w:rPr>
        <w:t>er</w:t>
      </w:r>
      <w:r>
        <w:rPr>
          <w:lang w:val="fr-CA"/>
        </w:rPr>
        <w:t> </w:t>
      </w:r>
      <w:r w:rsidRPr="001E7CB3">
        <w:rPr>
          <w:lang w:val="fr-CA"/>
        </w:rPr>
        <w:t xml:space="preserve">avril 2000, </w:t>
      </w:r>
      <w:r>
        <w:rPr>
          <w:lang w:val="fr-CA"/>
        </w:rPr>
        <w:t xml:space="preserve">la loi exigeait que tous </w:t>
      </w:r>
      <w:r w:rsidRPr="001E7CB3">
        <w:rPr>
          <w:lang w:val="fr-CA"/>
        </w:rPr>
        <w:t xml:space="preserve">les biens liés au fonctionnement des régimes </w:t>
      </w:r>
      <w:r>
        <w:rPr>
          <w:lang w:val="fr-CA"/>
        </w:rPr>
        <w:t>so</w:t>
      </w:r>
      <w:r w:rsidRPr="001E7CB3">
        <w:rPr>
          <w:lang w:val="fr-CA"/>
        </w:rPr>
        <w:t>ient</w:t>
      </w:r>
      <w:r>
        <w:rPr>
          <w:lang w:val="fr-CA"/>
        </w:rPr>
        <w:t xml:space="preserve"> conservés dans le Trésor et prélevés sur le Trésor</w:t>
      </w:r>
      <w:r w:rsidRPr="001E7CB3">
        <w:rPr>
          <w:lang w:val="fr-CA"/>
        </w:rPr>
        <w:t>.  Pendant toute la période d’activité des comptes de pension de retraite, aucune étape intermédiaire ne faisait en sorte que des biens y étaient transférés pour être aussitôt empruntés par le gouvernement.  Non seulement les textes de loi ne prévoyaient pas de tels [</w:t>
      </w:r>
      <w:r w:rsidRPr="00B2643C">
        <w:rPr>
          <w:smallCaps/>
          <w:lang w:val="fr-CA"/>
        </w:rPr>
        <w:t>traduction</w:t>
      </w:r>
      <w:r w:rsidRPr="001E7CB3">
        <w:rPr>
          <w:lang w:val="fr-CA"/>
        </w:rPr>
        <w:t>] «</w:t>
      </w:r>
      <w:r>
        <w:rPr>
          <w:lang w:val="fr-CA"/>
        </w:rPr>
        <w:t> </w:t>
      </w:r>
      <w:r w:rsidRPr="001E7CB3">
        <w:rPr>
          <w:lang w:val="fr-CA"/>
        </w:rPr>
        <w:t xml:space="preserve">chèques de compensation » </w:t>
      </w:r>
      <w:r>
        <w:rPr>
          <w:lang w:val="fr-CA"/>
        </w:rPr>
        <w:t>(</w:t>
      </w:r>
      <w:proofErr w:type="gramStart"/>
      <w:r w:rsidR="0036471F">
        <w:rPr>
          <w:lang w:val="fr-CA"/>
        </w:rPr>
        <w:t>d.a.</w:t>
      </w:r>
      <w:r w:rsidRPr="001E7CB3">
        <w:rPr>
          <w:lang w:val="fr-CA"/>
        </w:rPr>
        <w:t>,</w:t>
      </w:r>
      <w:proofErr w:type="gramEnd"/>
      <w:r w:rsidRPr="001E7CB3">
        <w:rPr>
          <w:lang w:val="fr-CA"/>
        </w:rPr>
        <w:t xml:space="preserve"> </w:t>
      </w:r>
      <w:r>
        <w:rPr>
          <w:lang w:val="fr-CA"/>
        </w:rPr>
        <w:t>vol. IV</w:t>
      </w:r>
      <w:r w:rsidRPr="001E7CB3">
        <w:rPr>
          <w:lang w:val="fr-CA"/>
        </w:rPr>
        <w:t xml:space="preserve">, </w:t>
      </w:r>
      <w:r>
        <w:rPr>
          <w:lang w:val="fr-CA"/>
        </w:rPr>
        <w:t>p. </w:t>
      </w:r>
      <w:r w:rsidRPr="001E7CB3">
        <w:rPr>
          <w:lang w:val="fr-CA"/>
        </w:rPr>
        <w:t>51</w:t>
      </w:r>
      <w:r>
        <w:rPr>
          <w:lang w:val="fr-CA"/>
        </w:rPr>
        <w:t>)</w:t>
      </w:r>
      <w:r w:rsidRPr="001E7CB3">
        <w:rPr>
          <w:lang w:val="fr-CA"/>
        </w:rPr>
        <w:t xml:space="preserve">, mais le juge de première instance a aussi tiré la conclusion factuelle que ce n’était pas ainsi que le gouvernement </w:t>
      </w:r>
      <w:r>
        <w:rPr>
          <w:lang w:val="fr-CA"/>
        </w:rPr>
        <w:t>utilis</w:t>
      </w:r>
      <w:r w:rsidRPr="001E7CB3">
        <w:rPr>
          <w:lang w:val="fr-CA"/>
        </w:rPr>
        <w:t xml:space="preserve">ait les comptes.  </w:t>
      </w:r>
      <w:r>
        <w:rPr>
          <w:lang w:val="fr-CA"/>
        </w:rPr>
        <w:t>Selon</w:t>
      </w:r>
      <w:r w:rsidRPr="001E7CB3">
        <w:rPr>
          <w:lang w:val="fr-CA"/>
        </w:rPr>
        <w:t xml:space="preserve"> la loi, les comptes étaient des documents </w:t>
      </w:r>
      <w:r>
        <w:rPr>
          <w:lang w:val="fr-CA"/>
        </w:rPr>
        <w:t>informatifs</w:t>
      </w:r>
      <w:r w:rsidRPr="001E7CB3">
        <w:rPr>
          <w:lang w:val="fr-CA"/>
        </w:rPr>
        <w:t xml:space="preserve"> </w:t>
      </w:r>
      <w:r>
        <w:rPr>
          <w:lang w:val="fr-CA"/>
        </w:rPr>
        <w:t xml:space="preserve">qui </w:t>
      </w:r>
      <w:r w:rsidRPr="001E7CB3">
        <w:rPr>
          <w:lang w:val="fr-CA"/>
        </w:rPr>
        <w:t>ne pouva</w:t>
      </w:r>
      <w:r>
        <w:rPr>
          <w:lang w:val="fr-CA"/>
        </w:rPr>
        <w:t>ie</w:t>
      </w:r>
      <w:r w:rsidRPr="001E7CB3">
        <w:rPr>
          <w:lang w:val="fr-CA"/>
        </w:rPr>
        <w:t xml:space="preserve">nt </w:t>
      </w:r>
      <w:r>
        <w:rPr>
          <w:lang w:val="fr-CA"/>
        </w:rPr>
        <w:t>renfermer des éléments d’actif</w:t>
      </w:r>
      <w:r w:rsidRPr="001E7CB3">
        <w:rPr>
          <w:lang w:val="fr-CA"/>
        </w:rPr>
        <w:t xml:space="preserve">, et c’est ainsi qu’ils étaient traités en pratique.  </w:t>
      </w:r>
      <w:r>
        <w:rPr>
          <w:lang w:val="fr-CA"/>
        </w:rPr>
        <w:t>Aucun emprunt n’était effectué sur ces comptes;</w:t>
      </w:r>
      <w:r w:rsidRPr="001E7CB3">
        <w:rPr>
          <w:lang w:val="fr-CA"/>
        </w:rPr>
        <w:t xml:space="preserve"> rien ne leur était dû; ils ne </w:t>
      </w:r>
      <w:r>
        <w:rPr>
          <w:lang w:val="fr-CA"/>
        </w:rPr>
        <w:t xml:space="preserve">contenaient </w:t>
      </w:r>
      <w:r w:rsidRPr="001E7CB3">
        <w:rPr>
          <w:lang w:val="fr-CA"/>
        </w:rPr>
        <w:t xml:space="preserve">aucun bien. </w:t>
      </w:r>
    </w:p>
    <w:p w:rsidR="000F48EC" w:rsidRPr="001E7CB3" w:rsidRDefault="000F48EC" w:rsidP="000F48EC">
      <w:pPr>
        <w:pStyle w:val="ParaNoNdepar-AltN"/>
        <w:rPr>
          <w:lang w:val="fr-CA"/>
        </w:rPr>
      </w:pPr>
      <w:r w:rsidRPr="001E7CB3">
        <w:rPr>
          <w:lang w:val="fr-CA"/>
        </w:rPr>
        <w:lastRenderedPageBreak/>
        <w:t xml:space="preserve">Comme je l’ai indiqué, les lois sur les pensions obligeaient le gouvernement à </w:t>
      </w:r>
      <w:r>
        <w:rPr>
          <w:lang w:val="fr-CA"/>
        </w:rPr>
        <w:t>enregistrer les crédits et les débits comptables</w:t>
      </w:r>
      <w:r w:rsidRPr="001E7CB3">
        <w:rPr>
          <w:lang w:val="fr-CA"/>
        </w:rPr>
        <w:t xml:space="preserve"> </w:t>
      </w:r>
      <w:r>
        <w:rPr>
          <w:lang w:val="fr-CA"/>
        </w:rPr>
        <w:t>pour suivre le</w:t>
      </w:r>
      <w:r w:rsidRPr="001E7CB3">
        <w:rPr>
          <w:lang w:val="fr-CA"/>
        </w:rPr>
        <w:t xml:space="preserve"> fonctionnement des régimes, et à payer sur le Trésor les prestations </w:t>
      </w:r>
      <w:r>
        <w:rPr>
          <w:lang w:val="fr-CA"/>
        </w:rPr>
        <w:t xml:space="preserve">déterminées </w:t>
      </w:r>
      <w:r w:rsidRPr="001E7CB3">
        <w:rPr>
          <w:lang w:val="fr-CA"/>
        </w:rPr>
        <w:t>prévues par la loi</w:t>
      </w:r>
      <w:r>
        <w:rPr>
          <w:lang w:val="fr-CA"/>
        </w:rPr>
        <w:t>.  Par contre,</w:t>
      </w:r>
      <w:r w:rsidRPr="001E7CB3">
        <w:rPr>
          <w:lang w:val="fr-CA"/>
        </w:rPr>
        <w:t xml:space="preserve"> elles </w:t>
      </w:r>
      <w:r w:rsidRPr="007E2ACD">
        <w:rPr>
          <w:i/>
          <w:lang w:val="fr-CA"/>
        </w:rPr>
        <w:t>n</w:t>
      </w:r>
      <w:r w:rsidRPr="007E2ACD">
        <w:rPr>
          <w:lang w:val="fr-CA"/>
        </w:rPr>
        <w:t>’exigeaient</w:t>
      </w:r>
      <w:r w:rsidRPr="007E2ACD">
        <w:rPr>
          <w:i/>
          <w:lang w:val="fr-CA"/>
        </w:rPr>
        <w:t xml:space="preserve"> pas</w:t>
      </w:r>
      <w:r w:rsidRPr="001E7CB3">
        <w:rPr>
          <w:lang w:val="fr-CA"/>
        </w:rPr>
        <w:t xml:space="preserve"> que le gouvernement transfère des </w:t>
      </w:r>
      <w:r>
        <w:rPr>
          <w:lang w:val="fr-CA"/>
        </w:rPr>
        <w:t>éléments d’</w:t>
      </w:r>
      <w:r w:rsidRPr="001E7CB3">
        <w:rPr>
          <w:lang w:val="fr-CA"/>
        </w:rPr>
        <w:t>actif aux comptes</w:t>
      </w:r>
      <w:r>
        <w:rPr>
          <w:lang w:val="fr-CA"/>
        </w:rPr>
        <w:t>,</w:t>
      </w:r>
      <w:r w:rsidRPr="001E7CB3">
        <w:rPr>
          <w:lang w:val="fr-CA"/>
        </w:rPr>
        <w:t xml:space="preserve"> ni qu’il « emprunte » </w:t>
      </w:r>
      <w:r>
        <w:rPr>
          <w:lang w:val="fr-CA"/>
        </w:rPr>
        <w:t>sur l</w:t>
      </w:r>
      <w:r w:rsidRPr="001E7CB3">
        <w:rPr>
          <w:lang w:val="fr-CA"/>
        </w:rPr>
        <w:t>es comptes ou qu’il y inscrive</w:t>
      </w:r>
      <w:r>
        <w:rPr>
          <w:lang w:val="fr-CA"/>
        </w:rPr>
        <w:t xml:space="preserve">, </w:t>
      </w:r>
      <w:r w:rsidRPr="001E7CB3">
        <w:rPr>
          <w:lang w:val="fr-CA"/>
        </w:rPr>
        <w:t>pour refléter cet « emprunt »</w:t>
      </w:r>
      <w:r>
        <w:rPr>
          <w:lang w:val="fr-CA"/>
        </w:rPr>
        <w:t>,</w:t>
      </w:r>
      <w:r w:rsidRPr="001E7CB3">
        <w:rPr>
          <w:lang w:val="fr-CA"/>
        </w:rPr>
        <w:t xml:space="preserve"> des créances sur le gouvernement non étayées par des pièces justificatives.  </w:t>
      </w:r>
      <w:r>
        <w:rPr>
          <w:lang w:val="fr-CA"/>
        </w:rPr>
        <w:t xml:space="preserve">Aucune de ces supposées </w:t>
      </w:r>
      <w:r w:rsidRPr="001E7CB3">
        <w:rPr>
          <w:lang w:val="fr-CA"/>
        </w:rPr>
        <w:t xml:space="preserve">exigences </w:t>
      </w:r>
      <w:r>
        <w:rPr>
          <w:lang w:val="fr-CA"/>
        </w:rPr>
        <w:t xml:space="preserve">imposées par la loi </w:t>
      </w:r>
      <w:r w:rsidRPr="001E7CB3">
        <w:rPr>
          <w:lang w:val="fr-CA"/>
        </w:rPr>
        <w:t>n</w:t>
      </w:r>
      <w:r>
        <w:rPr>
          <w:lang w:val="fr-CA"/>
        </w:rPr>
        <w:t xml:space="preserve">e se retrouve dans la législation pertinente.  </w:t>
      </w:r>
      <w:r w:rsidRPr="001E7CB3">
        <w:rPr>
          <w:lang w:val="fr-CA"/>
        </w:rPr>
        <w:t xml:space="preserve">Les comptes de pension de retraite </w:t>
      </w:r>
      <w:r>
        <w:rPr>
          <w:lang w:val="fr-CA"/>
        </w:rPr>
        <w:t xml:space="preserve">étaient censés </w:t>
      </w:r>
      <w:r w:rsidRPr="001E7CB3">
        <w:rPr>
          <w:lang w:val="fr-CA"/>
        </w:rPr>
        <w:t xml:space="preserve">faire partie </w:t>
      </w:r>
      <w:r>
        <w:rPr>
          <w:lang w:val="fr-CA"/>
        </w:rPr>
        <w:t xml:space="preserve">et faisaient partie </w:t>
      </w:r>
      <w:r w:rsidRPr="001E7CB3">
        <w:rPr>
          <w:lang w:val="fr-CA"/>
        </w:rPr>
        <w:t xml:space="preserve">du système comptable du gouvernement.  Contrairement à ce que soutiennent les appelants, ils ne pouvaient </w:t>
      </w:r>
      <w:r>
        <w:rPr>
          <w:lang w:val="fr-CA"/>
        </w:rPr>
        <w:t>renfermer des éléments d’actif</w:t>
      </w:r>
      <w:r w:rsidRPr="001E7CB3">
        <w:rPr>
          <w:lang w:val="fr-CA"/>
        </w:rPr>
        <w:t xml:space="preserve">. </w:t>
      </w:r>
    </w:p>
    <w:p w:rsidR="000F48EC" w:rsidRPr="001E7CB3" w:rsidRDefault="000F48EC" w:rsidP="000F48EC">
      <w:pPr>
        <w:pStyle w:val="ParaNoNdepar-AltN"/>
        <w:rPr>
          <w:lang w:val="fr-CA"/>
        </w:rPr>
      </w:pPr>
      <w:r w:rsidRPr="001E7CB3">
        <w:rPr>
          <w:lang w:val="fr-CA"/>
        </w:rPr>
        <w:t>Les appelants ont soumis à la Cour divers documents et rapports gouvernementaux faisant état d’</w:t>
      </w:r>
      <w:r>
        <w:rPr>
          <w:lang w:val="fr-CA"/>
        </w:rPr>
        <w:t>« </w:t>
      </w:r>
      <w:r w:rsidRPr="001E7CB3">
        <w:rPr>
          <w:lang w:val="fr-CA"/>
        </w:rPr>
        <w:t>emprunt</w:t>
      </w:r>
      <w:r>
        <w:rPr>
          <w:lang w:val="fr-CA"/>
        </w:rPr>
        <w:t>s</w:t>
      </w:r>
      <w:r w:rsidRPr="001E7CB3">
        <w:rPr>
          <w:lang w:val="fr-CA"/>
        </w:rPr>
        <w:t xml:space="preserve"> » aux comptes de pension de retraite.  On peut ainsi lire dans le rapport </w:t>
      </w:r>
      <w:r>
        <w:rPr>
          <w:lang w:val="fr-CA"/>
        </w:rPr>
        <w:t>du vérificateur</w:t>
      </w:r>
      <w:r w:rsidRPr="001E7CB3">
        <w:rPr>
          <w:lang w:val="fr-CA"/>
        </w:rPr>
        <w:t xml:space="preserve"> général présenté à la Chambre des communes en 1991 qu’une</w:t>
      </w:r>
      <w:r>
        <w:rPr>
          <w:lang w:val="fr-CA"/>
        </w:rPr>
        <w:t> </w:t>
      </w:r>
    </w:p>
    <w:p w:rsidR="000F48EC" w:rsidRPr="001E7CB3" w:rsidRDefault="000F48EC" w:rsidP="000F48EC">
      <w:pPr>
        <w:pStyle w:val="Citation-AltC"/>
        <w:ind w:hanging="1166"/>
        <w:rPr>
          <w:lang w:val="fr-CA"/>
        </w:rPr>
      </w:pPr>
      <w:r>
        <w:rPr>
          <w:lang w:val="fr-CA"/>
        </w:rPr>
        <w:tab/>
      </w:r>
      <w:proofErr w:type="gramStart"/>
      <w:r w:rsidRPr="001E7CB3">
        <w:rPr>
          <w:lang w:val="fr-CA"/>
        </w:rPr>
        <w:t>partie</w:t>
      </w:r>
      <w:proofErr w:type="gramEnd"/>
      <w:r w:rsidRPr="001E7CB3">
        <w:rPr>
          <w:lang w:val="fr-CA"/>
        </w:rPr>
        <w:t xml:space="preserve"> importante du déficit budgétaire du gouvernement est financée au moyen d</w:t>
      </w:r>
      <w:r>
        <w:rPr>
          <w:lang w:val="fr-CA"/>
        </w:rPr>
        <w:t>’</w:t>
      </w:r>
      <w:r w:rsidRPr="001E7CB3">
        <w:rPr>
          <w:lang w:val="fr-CA"/>
        </w:rPr>
        <w:t>emprunts internes hors caisse sur les comptes à fins déterminées</w:t>
      </w:r>
      <w:r w:rsidR="0037436E">
        <w:rPr>
          <w:lang w:val="fr-CA"/>
        </w:rPr>
        <w:t>.</w:t>
      </w:r>
      <w:r w:rsidRPr="001E7CB3">
        <w:rPr>
          <w:lang w:val="fr-CA"/>
        </w:rPr>
        <w:t xml:space="preserve"> </w:t>
      </w:r>
      <w:r>
        <w:rPr>
          <w:lang w:val="fr-CA"/>
        </w:rPr>
        <w:t>[. . .]</w:t>
      </w:r>
      <w:r w:rsidRPr="001E7CB3">
        <w:rPr>
          <w:lang w:val="fr-CA"/>
        </w:rPr>
        <w:t xml:space="preserve"> Ces emprunts ne sont pas en liquidités, mais constituent plutôt un report du paiement des contributions et des intérêts dus par le gouvernement à des tiers pour le compte desquels les comptes à fins déterminées sont administrés.  [</w:t>
      </w:r>
      <w:proofErr w:type="gramStart"/>
      <w:r w:rsidR="007043FB">
        <w:rPr>
          <w:lang w:val="fr-CA"/>
        </w:rPr>
        <w:t>d.a.</w:t>
      </w:r>
      <w:r w:rsidRPr="001E7CB3">
        <w:rPr>
          <w:lang w:val="fr-CA"/>
        </w:rPr>
        <w:t>,</w:t>
      </w:r>
      <w:proofErr w:type="gramEnd"/>
      <w:r w:rsidRPr="001E7CB3">
        <w:rPr>
          <w:lang w:val="fr-CA"/>
        </w:rPr>
        <w:t xml:space="preserve"> </w:t>
      </w:r>
      <w:r>
        <w:rPr>
          <w:lang w:val="fr-CA"/>
        </w:rPr>
        <w:t>vol. IV</w:t>
      </w:r>
      <w:r w:rsidRPr="001E7CB3">
        <w:rPr>
          <w:lang w:val="fr-CA"/>
        </w:rPr>
        <w:t xml:space="preserve">, </w:t>
      </w:r>
      <w:r>
        <w:rPr>
          <w:lang w:val="fr-CA"/>
        </w:rPr>
        <w:t>p. </w:t>
      </w:r>
      <w:r w:rsidRPr="001E7CB3">
        <w:rPr>
          <w:lang w:val="fr-CA"/>
        </w:rPr>
        <w:t>233]</w:t>
      </w:r>
    </w:p>
    <w:p w:rsidR="000F48EC" w:rsidRPr="001E7CB3" w:rsidRDefault="000F48EC" w:rsidP="000F48EC">
      <w:pPr>
        <w:pStyle w:val="ParaNoNdepar-AltN"/>
        <w:rPr>
          <w:lang w:val="fr-CA"/>
        </w:rPr>
      </w:pPr>
      <w:r w:rsidRPr="001E7CB3">
        <w:rPr>
          <w:lang w:val="fr-CA"/>
        </w:rPr>
        <w:t xml:space="preserve">On peut également lire dans </w:t>
      </w:r>
      <w:r>
        <w:rPr>
          <w:lang w:val="fr-CA"/>
        </w:rPr>
        <w:t>un</w:t>
      </w:r>
      <w:r w:rsidRPr="001E7CB3">
        <w:rPr>
          <w:lang w:val="fr-CA"/>
        </w:rPr>
        <w:t xml:space="preserve"> rapport préparé en 1994 </w:t>
      </w:r>
      <w:r>
        <w:rPr>
          <w:lang w:val="fr-CA"/>
        </w:rPr>
        <w:t>par la Division de l’analyse et des prévisions économiques</w:t>
      </w:r>
      <w:r w:rsidRPr="001E7CB3">
        <w:rPr>
          <w:lang w:val="fr-CA"/>
        </w:rPr>
        <w:t xml:space="preserve">, intitulé </w:t>
      </w:r>
      <w:r>
        <w:rPr>
          <w:lang w:val="fr-CA"/>
        </w:rPr>
        <w:t>« </w:t>
      </w:r>
      <w:r w:rsidRPr="00296C7A">
        <w:rPr>
          <w:lang w:val="fr-CA"/>
        </w:rPr>
        <w:t xml:space="preserve">Public Service Pension </w:t>
      </w:r>
      <w:proofErr w:type="spellStart"/>
      <w:r w:rsidRPr="00296C7A">
        <w:rPr>
          <w:lang w:val="fr-CA"/>
        </w:rPr>
        <w:t>Review</w:t>
      </w:r>
      <w:proofErr w:type="spellEnd"/>
      <w:r>
        <w:rPr>
          <w:lang w:val="fr-CA"/>
        </w:rPr>
        <w:t> :</w:t>
      </w:r>
      <w:r w:rsidRPr="00296C7A">
        <w:rPr>
          <w:lang w:val="fr-CA"/>
        </w:rPr>
        <w:t xml:space="preserve"> </w:t>
      </w:r>
      <w:r w:rsidRPr="00296C7A">
        <w:rPr>
          <w:lang w:val="fr-CA"/>
        </w:rPr>
        <w:lastRenderedPageBreak/>
        <w:t xml:space="preserve">The </w:t>
      </w:r>
      <w:proofErr w:type="spellStart"/>
      <w:r w:rsidRPr="00296C7A">
        <w:rPr>
          <w:lang w:val="fr-CA"/>
        </w:rPr>
        <w:t>Macroeconomic</w:t>
      </w:r>
      <w:proofErr w:type="spellEnd"/>
      <w:r w:rsidRPr="00296C7A">
        <w:rPr>
          <w:lang w:val="fr-CA"/>
        </w:rPr>
        <w:t xml:space="preserve"> Impacts of </w:t>
      </w:r>
      <w:proofErr w:type="spellStart"/>
      <w:r w:rsidRPr="00296C7A">
        <w:rPr>
          <w:lang w:val="fr-CA"/>
        </w:rPr>
        <w:t>Investing</w:t>
      </w:r>
      <w:proofErr w:type="spellEnd"/>
      <w:r w:rsidRPr="00296C7A">
        <w:rPr>
          <w:lang w:val="fr-CA"/>
        </w:rPr>
        <w:t xml:space="preserve"> in </w:t>
      </w:r>
      <w:r>
        <w:rPr>
          <w:lang w:val="fr-CA"/>
        </w:rPr>
        <w:t>A</w:t>
      </w:r>
      <w:r w:rsidRPr="00296C7A">
        <w:rPr>
          <w:lang w:val="fr-CA"/>
        </w:rPr>
        <w:t xml:space="preserve"> </w:t>
      </w:r>
      <w:proofErr w:type="spellStart"/>
      <w:r w:rsidRPr="00296C7A">
        <w:rPr>
          <w:lang w:val="fr-CA"/>
        </w:rPr>
        <w:t>Diversified</w:t>
      </w:r>
      <w:proofErr w:type="spellEnd"/>
      <w:r w:rsidRPr="00296C7A">
        <w:rPr>
          <w:lang w:val="fr-CA"/>
        </w:rPr>
        <w:t xml:space="preserve"> Portfolio of </w:t>
      </w:r>
      <w:proofErr w:type="spellStart"/>
      <w:r w:rsidRPr="00296C7A">
        <w:rPr>
          <w:lang w:val="fr-CA"/>
        </w:rPr>
        <w:t>Market</w:t>
      </w:r>
      <w:proofErr w:type="spellEnd"/>
      <w:r w:rsidRPr="00296C7A">
        <w:rPr>
          <w:lang w:val="fr-CA"/>
        </w:rPr>
        <w:t xml:space="preserve"> </w:t>
      </w:r>
      <w:proofErr w:type="spellStart"/>
      <w:r w:rsidRPr="00296C7A">
        <w:rPr>
          <w:lang w:val="fr-CA"/>
        </w:rPr>
        <w:t>Assets</w:t>
      </w:r>
      <w:proofErr w:type="spellEnd"/>
      <w:r>
        <w:rPr>
          <w:lang w:val="fr-CA"/>
        </w:rPr>
        <w:t> » :</w:t>
      </w:r>
    </w:p>
    <w:p w:rsidR="000F48EC" w:rsidRPr="001E7CB3" w:rsidRDefault="000F48EC" w:rsidP="000F48EC">
      <w:pPr>
        <w:pStyle w:val="Citation-AltC"/>
        <w:ind w:hanging="1166"/>
        <w:rPr>
          <w:szCs w:val="22"/>
          <w:lang w:val="fr-CA"/>
        </w:rPr>
      </w:pPr>
      <w:r>
        <w:rPr>
          <w:lang w:val="fr-CA"/>
        </w:rPr>
        <w:tab/>
        <w:t>[</w:t>
      </w:r>
      <w:r w:rsidRPr="00B26F97">
        <w:rPr>
          <w:smallCaps/>
          <w:lang w:val="fr-CA"/>
        </w:rPr>
        <w:t>traduction</w:t>
      </w:r>
      <w:r>
        <w:rPr>
          <w:lang w:val="fr-CA"/>
        </w:rPr>
        <w:t>]  À l’heure actuelle, les caisses de retraite sont détachées des marchés financiers.  Elles constituent une réserve de fonds à laquelle seul le gouvernement a accès.  Le gouvernement « emprunte » à la caisse et porte des intérêts à son crédit comme si l’emprunt s’effectuait uniquement au moyen d’obligations du gouvernement du Canada à 20 ans</w:t>
      </w:r>
      <w:r w:rsidRPr="001E7CB3">
        <w:rPr>
          <w:lang w:val="fr-CA"/>
        </w:rPr>
        <w:t xml:space="preserve">. </w:t>
      </w:r>
      <w:r>
        <w:rPr>
          <w:lang w:val="fr-CA"/>
        </w:rPr>
        <w:t xml:space="preserve"> </w:t>
      </w:r>
      <w:r w:rsidRPr="001E7CB3">
        <w:rPr>
          <w:lang w:val="fr-CA"/>
        </w:rPr>
        <w:t>[</w:t>
      </w:r>
      <w:proofErr w:type="gramStart"/>
      <w:r w:rsidR="00024BA7">
        <w:rPr>
          <w:lang w:val="fr-CA"/>
        </w:rPr>
        <w:t>d.a.</w:t>
      </w:r>
      <w:r w:rsidRPr="001E7CB3">
        <w:rPr>
          <w:lang w:val="fr-CA"/>
        </w:rPr>
        <w:t>,</w:t>
      </w:r>
      <w:proofErr w:type="gramEnd"/>
      <w:r w:rsidRPr="001E7CB3">
        <w:rPr>
          <w:lang w:val="fr-CA"/>
        </w:rPr>
        <w:t xml:space="preserve"> </w:t>
      </w:r>
      <w:r>
        <w:rPr>
          <w:lang w:val="fr-CA"/>
        </w:rPr>
        <w:t>vol. V</w:t>
      </w:r>
      <w:r w:rsidRPr="001E7CB3">
        <w:rPr>
          <w:lang w:val="fr-CA"/>
        </w:rPr>
        <w:t xml:space="preserve">, </w:t>
      </w:r>
      <w:r>
        <w:rPr>
          <w:lang w:val="fr-CA"/>
        </w:rPr>
        <w:t>p. </w:t>
      </w:r>
      <w:r w:rsidRPr="001E7CB3">
        <w:rPr>
          <w:lang w:val="fr-CA"/>
        </w:rPr>
        <w:t>167]</w:t>
      </w:r>
    </w:p>
    <w:p w:rsidR="000F48EC" w:rsidRPr="00B61304" w:rsidRDefault="000F48EC" w:rsidP="000F48EC">
      <w:pPr>
        <w:pStyle w:val="ParaNoNdepar-AltN"/>
        <w:rPr>
          <w:lang w:val="fr-CA"/>
        </w:rPr>
      </w:pPr>
      <w:r w:rsidRPr="00B61304">
        <w:rPr>
          <w:lang w:val="fr-CA"/>
        </w:rPr>
        <w:t>Il importe cependant de placer ces mentions d’« emprunts » dans leur contexte.  Dans sa réponse au rapport du vérificateur général de 1991, le Secrétariat du Conseil du Trésor a précisé que le gouvernement n’empruntait pas directement des fonds des comptes de pension de la fonction publique pour financer d’autres activités.  Il a expliqué que le gouvernement n’avait emprunté à ces comptes que dans le sens où, parce qu’il n’avait pas rassemblé des fonds pour investir les contributions exigées des employés et de l’employeur dans des titres négociables, il n’avait pas eu besoin d’emprunter sur les marchés financiers (</w:t>
      </w:r>
      <w:proofErr w:type="gramStart"/>
      <w:r w:rsidR="00024BA7">
        <w:rPr>
          <w:lang w:val="fr-CA"/>
        </w:rPr>
        <w:t>d.a.</w:t>
      </w:r>
      <w:r w:rsidRPr="00B61304">
        <w:rPr>
          <w:lang w:val="fr-CA"/>
        </w:rPr>
        <w:t>,</w:t>
      </w:r>
      <w:proofErr w:type="gramEnd"/>
      <w:r w:rsidRPr="00B61304">
        <w:rPr>
          <w:lang w:val="fr-CA"/>
        </w:rPr>
        <w:t xml:space="preserve"> </w:t>
      </w:r>
      <w:r>
        <w:rPr>
          <w:lang w:val="fr-CA"/>
        </w:rPr>
        <w:t>vol. </w:t>
      </w:r>
      <w:r w:rsidRPr="00B61304">
        <w:rPr>
          <w:lang w:val="fr-CA"/>
        </w:rPr>
        <w:t xml:space="preserve">IV, </w:t>
      </w:r>
      <w:r>
        <w:rPr>
          <w:lang w:val="fr-CA"/>
        </w:rPr>
        <w:t>p. </w:t>
      </w:r>
      <w:r w:rsidRPr="00B61304">
        <w:rPr>
          <w:lang w:val="fr-CA"/>
        </w:rPr>
        <w:t>237).</w:t>
      </w:r>
    </w:p>
    <w:p w:rsidR="000F48EC" w:rsidRPr="001E7CB3" w:rsidRDefault="000F48EC" w:rsidP="000F48EC">
      <w:pPr>
        <w:pStyle w:val="ParaNoNdepar-AltN"/>
        <w:rPr>
          <w:lang w:val="fr-CA"/>
        </w:rPr>
      </w:pPr>
      <w:r w:rsidRPr="001E7CB3">
        <w:rPr>
          <w:lang w:val="fr-CA"/>
        </w:rPr>
        <w:t xml:space="preserve">Il y a une différence entre expliquer — comme le fait le Secrétariat du Conseil du Trésor — que le régime de pension </w:t>
      </w:r>
      <w:r>
        <w:rPr>
          <w:lang w:val="fr-CA"/>
        </w:rPr>
        <w:t>fonctionne</w:t>
      </w:r>
      <w:r w:rsidRPr="001E7CB3">
        <w:rPr>
          <w:lang w:val="fr-CA"/>
        </w:rPr>
        <w:t xml:space="preserve"> </w:t>
      </w:r>
      <w:r w:rsidRPr="00803784">
        <w:rPr>
          <w:i/>
          <w:lang w:val="fr-CA"/>
        </w:rPr>
        <w:t>comme si</w:t>
      </w:r>
      <w:r w:rsidRPr="001E7CB3">
        <w:rPr>
          <w:lang w:val="fr-CA"/>
        </w:rPr>
        <w:t xml:space="preserve"> le gouvernement empruntait sur les marchés financiers</w:t>
      </w:r>
      <w:r>
        <w:rPr>
          <w:lang w:val="fr-CA"/>
        </w:rPr>
        <w:t>,</w:t>
      </w:r>
      <w:r w:rsidRPr="001E7CB3">
        <w:rPr>
          <w:lang w:val="fr-CA"/>
        </w:rPr>
        <w:t xml:space="preserve"> sans </w:t>
      </w:r>
      <w:r>
        <w:rPr>
          <w:lang w:val="fr-CA"/>
        </w:rPr>
        <w:t>contracter effectivement</w:t>
      </w:r>
      <w:r w:rsidRPr="001E7CB3">
        <w:rPr>
          <w:lang w:val="fr-CA"/>
        </w:rPr>
        <w:t xml:space="preserve"> de tels emprunts</w:t>
      </w:r>
      <w:r>
        <w:rPr>
          <w:lang w:val="fr-CA"/>
        </w:rPr>
        <w:t>,</w:t>
      </w:r>
      <w:r w:rsidRPr="001E7CB3">
        <w:rPr>
          <w:lang w:val="fr-CA"/>
        </w:rPr>
        <w:t xml:space="preserve"> et affirmer que </w:t>
      </w:r>
      <w:r>
        <w:rPr>
          <w:lang w:val="fr-CA"/>
        </w:rPr>
        <w:t>le gouvernement</w:t>
      </w:r>
      <w:r w:rsidRPr="001E7CB3">
        <w:rPr>
          <w:lang w:val="fr-CA"/>
        </w:rPr>
        <w:t xml:space="preserve"> </w:t>
      </w:r>
      <w:r>
        <w:rPr>
          <w:lang w:val="fr-CA"/>
        </w:rPr>
        <w:t>emprunte</w:t>
      </w:r>
      <w:r w:rsidRPr="001E7CB3">
        <w:rPr>
          <w:lang w:val="fr-CA"/>
        </w:rPr>
        <w:t xml:space="preserve"> </w:t>
      </w:r>
      <w:r w:rsidRPr="00803784">
        <w:rPr>
          <w:i/>
          <w:lang w:val="fr-CA"/>
        </w:rPr>
        <w:t>effectivement</w:t>
      </w:r>
      <w:r>
        <w:rPr>
          <w:lang w:val="fr-CA"/>
        </w:rPr>
        <w:t xml:space="preserve"> des fonds </w:t>
      </w:r>
      <w:r w:rsidRPr="00803784">
        <w:rPr>
          <w:i/>
          <w:lang w:val="fr-CA"/>
        </w:rPr>
        <w:t>aux</w:t>
      </w:r>
      <w:r w:rsidRPr="001E7CB3">
        <w:rPr>
          <w:lang w:val="fr-CA"/>
        </w:rPr>
        <w:t xml:space="preserve"> comptes de pension de retraite</w:t>
      </w:r>
      <w:r>
        <w:rPr>
          <w:lang w:val="fr-CA"/>
        </w:rPr>
        <w:t>, en ce sens qu’il</w:t>
      </w:r>
      <w:r w:rsidRPr="001E7CB3">
        <w:rPr>
          <w:lang w:val="fr-CA"/>
        </w:rPr>
        <w:t xml:space="preserve"> contracte une dette </w:t>
      </w:r>
      <w:r>
        <w:rPr>
          <w:i/>
          <w:lang w:val="fr-CA"/>
        </w:rPr>
        <w:t xml:space="preserve">envers </w:t>
      </w:r>
      <w:r>
        <w:rPr>
          <w:lang w:val="fr-CA"/>
        </w:rPr>
        <w:t>les comptes</w:t>
      </w:r>
      <w:r w:rsidRPr="001E7CB3">
        <w:rPr>
          <w:lang w:val="fr-CA"/>
        </w:rPr>
        <w:t xml:space="preserve"> (</w:t>
      </w:r>
      <w:r>
        <w:rPr>
          <w:lang w:val="fr-CA"/>
        </w:rPr>
        <w:t>de sorte que</w:t>
      </w:r>
      <w:r w:rsidRPr="001E7CB3">
        <w:rPr>
          <w:lang w:val="fr-CA"/>
        </w:rPr>
        <w:t xml:space="preserve"> les comptes </w:t>
      </w:r>
      <w:r>
        <w:rPr>
          <w:lang w:val="fr-CA"/>
        </w:rPr>
        <w:t xml:space="preserve">contiennent </w:t>
      </w:r>
      <w:r w:rsidRPr="001E7CB3">
        <w:rPr>
          <w:lang w:val="fr-CA"/>
        </w:rPr>
        <w:t>une créance sur le gouvernement).  L</w:t>
      </w:r>
      <w:r>
        <w:rPr>
          <w:lang w:val="fr-CA"/>
        </w:rPr>
        <w:t>’</w:t>
      </w:r>
      <w:r w:rsidRPr="001E7CB3">
        <w:rPr>
          <w:lang w:val="fr-CA"/>
        </w:rPr>
        <w:t>argument des appelants qu</w:t>
      </w:r>
      <w:r>
        <w:rPr>
          <w:lang w:val="fr-CA"/>
        </w:rPr>
        <w:t>’</w:t>
      </w:r>
      <w:r w:rsidRPr="001E7CB3">
        <w:rPr>
          <w:lang w:val="fr-CA"/>
        </w:rPr>
        <w:t xml:space="preserve">il y a eu emprunt dans les comptes ne trouve pas appui dans les textes de </w:t>
      </w:r>
      <w:r w:rsidRPr="001E7CB3">
        <w:rPr>
          <w:lang w:val="fr-CA"/>
        </w:rPr>
        <w:lastRenderedPageBreak/>
        <w:t>loi.  On ne peut parler d</w:t>
      </w:r>
      <w:r>
        <w:rPr>
          <w:lang w:val="fr-CA"/>
        </w:rPr>
        <w:t>’</w:t>
      </w:r>
      <w:r w:rsidRPr="001E7CB3">
        <w:rPr>
          <w:lang w:val="fr-CA"/>
        </w:rPr>
        <w:t>« emprunt interne » à l</w:t>
      </w:r>
      <w:r>
        <w:rPr>
          <w:lang w:val="fr-CA"/>
        </w:rPr>
        <w:t>’</w:t>
      </w:r>
      <w:r w:rsidRPr="001E7CB3">
        <w:rPr>
          <w:lang w:val="fr-CA"/>
        </w:rPr>
        <w:t>égard du régime de pension qu</w:t>
      </w:r>
      <w:r>
        <w:rPr>
          <w:lang w:val="fr-CA"/>
        </w:rPr>
        <w:t>’</w:t>
      </w:r>
      <w:r w:rsidRPr="001E7CB3">
        <w:rPr>
          <w:lang w:val="fr-CA"/>
        </w:rPr>
        <w:t>au sens où le régime, tel qu</w:t>
      </w:r>
      <w:r>
        <w:rPr>
          <w:lang w:val="fr-CA"/>
        </w:rPr>
        <w:t>’</w:t>
      </w:r>
      <w:r w:rsidRPr="001E7CB3">
        <w:rPr>
          <w:lang w:val="fr-CA"/>
        </w:rPr>
        <w:t>il est conçu, évite le recours aux emprunts externes qui serai</w:t>
      </w:r>
      <w:r>
        <w:rPr>
          <w:lang w:val="fr-CA"/>
        </w:rPr>
        <w:t>en</w:t>
      </w:r>
      <w:r w:rsidRPr="001E7CB3">
        <w:rPr>
          <w:lang w:val="fr-CA"/>
        </w:rPr>
        <w:t>t autrement nécessaire</w:t>
      </w:r>
      <w:r>
        <w:rPr>
          <w:lang w:val="fr-CA"/>
        </w:rPr>
        <w:t>s</w:t>
      </w:r>
      <w:r w:rsidRPr="001E7CB3">
        <w:rPr>
          <w:lang w:val="fr-CA"/>
        </w:rPr>
        <w:t xml:space="preserve"> pour financer les obligations du gouvernement au titre des pensions.</w:t>
      </w:r>
    </w:p>
    <w:p w:rsidR="000F48EC" w:rsidRPr="001E7CB3" w:rsidRDefault="000F48EC" w:rsidP="000F48EC">
      <w:pPr>
        <w:pStyle w:val="ParaNoNdepar-AltN"/>
        <w:rPr>
          <w:lang w:val="fr-CA"/>
        </w:rPr>
      </w:pPr>
      <w:r>
        <w:rPr>
          <w:lang w:val="fr-CA"/>
        </w:rPr>
        <w:t>Ne reste donc</w:t>
      </w:r>
      <w:r w:rsidRPr="001E7CB3">
        <w:rPr>
          <w:lang w:val="fr-CA"/>
        </w:rPr>
        <w:t xml:space="preserve"> </w:t>
      </w:r>
      <w:r>
        <w:rPr>
          <w:lang w:val="fr-CA"/>
        </w:rPr>
        <w:t xml:space="preserve">que </w:t>
      </w:r>
      <w:r w:rsidRPr="001E7CB3">
        <w:rPr>
          <w:lang w:val="fr-CA"/>
        </w:rPr>
        <w:t>l</w:t>
      </w:r>
      <w:r>
        <w:rPr>
          <w:lang w:val="fr-CA"/>
        </w:rPr>
        <w:t>’</w:t>
      </w:r>
      <w:r w:rsidRPr="001E7CB3">
        <w:rPr>
          <w:lang w:val="fr-CA"/>
        </w:rPr>
        <w:t xml:space="preserve">argument des appelants fondé sur </w:t>
      </w:r>
      <w:r w:rsidRPr="001E7CB3">
        <w:rPr>
          <w:i/>
          <w:lang w:val="fr-CA"/>
        </w:rPr>
        <w:t>Bande et nation indiennes d</w:t>
      </w:r>
      <w:r>
        <w:rPr>
          <w:i/>
          <w:lang w:val="fr-CA"/>
        </w:rPr>
        <w:t>’</w:t>
      </w:r>
      <w:proofErr w:type="spellStart"/>
      <w:r w:rsidRPr="001E7CB3">
        <w:rPr>
          <w:i/>
          <w:lang w:val="fr-CA"/>
        </w:rPr>
        <w:t>Ermineskin</w:t>
      </w:r>
      <w:proofErr w:type="spellEnd"/>
      <w:r w:rsidRPr="001E7CB3">
        <w:rPr>
          <w:i/>
          <w:lang w:val="fr-CA"/>
        </w:rPr>
        <w:t xml:space="preserve"> c. Canada</w:t>
      </w:r>
      <w:r w:rsidRPr="001E7CB3">
        <w:rPr>
          <w:lang w:val="fr-CA"/>
        </w:rPr>
        <w:t xml:space="preserve">, 2009 CSC 9, [2009] 1 R.C.S. 222.  </w:t>
      </w:r>
      <w:r>
        <w:rPr>
          <w:lang w:val="fr-CA"/>
        </w:rPr>
        <w:t xml:space="preserve">Cette </w:t>
      </w:r>
      <w:r w:rsidRPr="001E7CB3">
        <w:rPr>
          <w:lang w:val="fr-CA"/>
        </w:rPr>
        <w:t xml:space="preserve">affaire </w:t>
      </w:r>
      <w:r>
        <w:rPr>
          <w:lang w:val="fr-CA"/>
        </w:rPr>
        <w:t>portait sur les</w:t>
      </w:r>
      <w:r w:rsidRPr="001E7CB3">
        <w:rPr>
          <w:lang w:val="fr-CA"/>
        </w:rPr>
        <w:t xml:space="preserve"> obligations du Canada à l</w:t>
      </w:r>
      <w:r>
        <w:rPr>
          <w:lang w:val="fr-CA"/>
        </w:rPr>
        <w:t>’</w:t>
      </w:r>
      <w:r w:rsidRPr="001E7CB3">
        <w:rPr>
          <w:lang w:val="fr-CA"/>
        </w:rPr>
        <w:t>égard des redevances d</w:t>
      </w:r>
      <w:r>
        <w:rPr>
          <w:lang w:val="fr-CA"/>
        </w:rPr>
        <w:t>’</w:t>
      </w:r>
      <w:r w:rsidRPr="001E7CB3">
        <w:rPr>
          <w:lang w:val="fr-CA"/>
        </w:rPr>
        <w:t>exploitation de ressources pétrolières et gazières perçues pour le compte de bandes indiennes</w:t>
      </w:r>
      <w:r>
        <w:rPr>
          <w:lang w:val="fr-CA"/>
        </w:rPr>
        <w:t>.  L</w:t>
      </w:r>
      <w:r w:rsidRPr="001E7CB3">
        <w:rPr>
          <w:lang w:val="fr-CA"/>
        </w:rPr>
        <w:t xml:space="preserve">a Couronne avait versé les redevances au Trésor et crédité des intérêts </w:t>
      </w:r>
      <w:r>
        <w:rPr>
          <w:lang w:val="fr-CA"/>
        </w:rPr>
        <w:t>à un taux lié au</w:t>
      </w:r>
      <w:r w:rsidRPr="001E7CB3">
        <w:rPr>
          <w:lang w:val="fr-CA"/>
        </w:rPr>
        <w:t xml:space="preserve"> rendement sur le marché des obligations à long terme du gouvernement.  L</w:t>
      </w:r>
      <w:r>
        <w:rPr>
          <w:lang w:val="fr-CA"/>
        </w:rPr>
        <w:t>’</w:t>
      </w:r>
      <w:r w:rsidRPr="001E7CB3">
        <w:rPr>
          <w:lang w:val="fr-CA"/>
        </w:rPr>
        <w:t xml:space="preserve">examen </w:t>
      </w:r>
      <w:r>
        <w:rPr>
          <w:lang w:val="fr-CA"/>
        </w:rPr>
        <w:t xml:space="preserve">qui y est fait </w:t>
      </w:r>
      <w:r w:rsidRPr="001E7CB3">
        <w:rPr>
          <w:lang w:val="fr-CA"/>
        </w:rPr>
        <w:t>de l</w:t>
      </w:r>
      <w:r>
        <w:rPr>
          <w:lang w:val="fr-CA"/>
        </w:rPr>
        <w:t>’</w:t>
      </w:r>
      <w:r w:rsidRPr="001E7CB3">
        <w:rPr>
          <w:lang w:val="fr-CA"/>
        </w:rPr>
        <w:t xml:space="preserve">« emprunt » </w:t>
      </w:r>
      <w:r>
        <w:rPr>
          <w:lang w:val="fr-CA"/>
        </w:rPr>
        <w:t xml:space="preserve">des redevances </w:t>
      </w:r>
      <w:r w:rsidRPr="001E7CB3">
        <w:rPr>
          <w:lang w:val="fr-CA"/>
        </w:rPr>
        <w:t>par l</w:t>
      </w:r>
      <w:r>
        <w:rPr>
          <w:lang w:val="fr-CA"/>
        </w:rPr>
        <w:t>’</w:t>
      </w:r>
      <w:r w:rsidRPr="001E7CB3">
        <w:rPr>
          <w:lang w:val="fr-CA"/>
        </w:rPr>
        <w:t>État recèle quelque pertinence superficielle pour le présent pourvoi.  Les bandes ont soutenu que l</w:t>
      </w:r>
      <w:r>
        <w:rPr>
          <w:lang w:val="fr-CA"/>
        </w:rPr>
        <w:t>’</w:t>
      </w:r>
      <w:r w:rsidRPr="001E7CB3">
        <w:rPr>
          <w:lang w:val="fr-CA"/>
        </w:rPr>
        <w:t>État avait manqué à son obligation fiducia</w:t>
      </w:r>
      <w:r>
        <w:rPr>
          <w:lang w:val="fr-CA"/>
        </w:rPr>
        <w:t>ir</w:t>
      </w:r>
      <w:r w:rsidRPr="001E7CB3">
        <w:rPr>
          <w:lang w:val="fr-CA"/>
        </w:rPr>
        <w:t>e parce que</w:t>
      </w:r>
      <w:r>
        <w:rPr>
          <w:lang w:val="fr-CA"/>
        </w:rPr>
        <w:t> :</w:t>
      </w:r>
      <w:r w:rsidRPr="001E7CB3">
        <w:rPr>
          <w:lang w:val="fr-CA"/>
        </w:rPr>
        <w:t xml:space="preserve"> </w:t>
      </w:r>
      <w:r>
        <w:rPr>
          <w:lang w:val="fr-CA"/>
        </w:rPr>
        <w:t>(1) un</w:t>
      </w:r>
      <w:r w:rsidRPr="001E7CB3">
        <w:rPr>
          <w:lang w:val="fr-CA"/>
        </w:rPr>
        <w:t xml:space="preserve"> fiduciaire n</w:t>
      </w:r>
      <w:r>
        <w:rPr>
          <w:lang w:val="fr-CA"/>
        </w:rPr>
        <w:t>’</w:t>
      </w:r>
      <w:r w:rsidRPr="001E7CB3">
        <w:rPr>
          <w:lang w:val="fr-CA"/>
        </w:rPr>
        <w:t xml:space="preserve">est pas autorisé à emprunter des fonds </w:t>
      </w:r>
      <w:r>
        <w:rPr>
          <w:lang w:val="fr-CA"/>
        </w:rPr>
        <w:t xml:space="preserve">à la </w:t>
      </w:r>
      <w:r w:rsidRPr="001E7CB3">
        <w:rPr>
          <w:lang w:val="fr-CA"/>
        </w:rPr>
        <w:t xml:space="preserve">fiducie et </w:t>
      </w:r>
      <w:r>
        <w:rPr>
          <w:lang w:val="fr-CA"/>
        </w:rPr>
        <w:t>(2) le versement des redevances au Trésor et leur mise à la disposition de la Couronne équivalait à</w:t>
      </w:r>
      <w:r w:rsidRPr="001E7CB3">
        <w:rPr>
          <w:lang w:val="fr-CA"/>
        </w:rPr>
        <w:t xml:space="preserve"> un « prêt forcé » de l</w:t>
      </w:r>
      <w:r>
        <w:rPr>
          <w:lang w:val="fr-CA"/>
        </w:rPr>
        <w:t>’</w:t>
      </w:r>
      <w:r w:rsidRPr="001E7CB3">
        <w:rPr>
          <w:lang w:val="fr-CA"/>
        </w:rPr>
        <w:t>actif de la fiducie</w:t>
      </w:r>
      <w:r>
        <w:rPr>
          <w:lang w:val="fr-CA"/>
        </w:rPr>
        <w:t xml:space="preserve"> (par. 126)</w:t>
      </w:r>
      <w:r w:rsidRPr="001E7CB3">
        <w:rPr>
          <w:lang w:val="fr-CA"/>
        </w:rPr>
        <w:t xml:space="preserve">.  Notre Cour a </w:t>
      </w:r>
      <w:r>
        <w:rPr>
          <w:lang w:val="fr-CA"/>
        </w:rPr>
        <w:t>convenu</w:t>
      </w:r>
      <w:r w:rsidRPr="001E7CB3">
        <w:rPr>
          <w:lang w:val="fr-CA"/>
        </w:rPr>
        <w:t xml:space="preserve"> que</w:t>
      </w:r>
      <w:r w:rsidR="00024BA7">
        <w:rPr>
          <w:lang w:val="fr-CA"/>
        </w:rPr>
        <w:t xml:space="preserve"> la</w:t>
      </w:r>
      <w:r w:rsidRPr="001E7CB3">
        <w:rPr>
          <w:lang w:val="fr-CA"/>
        </w:rPr>
        <w:t xml:space="preserve"> « Couronne emprunte l</w:t>
      </w:r>
      <w:r>
        <w:rPr>
          <w:lang w:val="fr-CA"/>
        </w:rPr>
        <w:t>’</w:t>
      </w:r>
      <w:r w:rsidRPr="001E7CB3">
        <w:rPr>
          <w:lang w:val="fr-CA"/>
        </w:rPr>
        <w:t xml:space="preserve">argent des bandes déposé dans le Trésor » </w:t>
      </w:r>
      <w:r>
        <w:rPr>
          <w:lang w:val="fr-CA"/>
        </w:rPr>
        <w:t>(par. 127)</w:t>
      </w:r>
      <w:r w:rsidRPr="001E7CB3">
        <w:rPr>
          <w:lang w:val="fr-CA"/>
        </w:rPr>
        <w:t>, mais elle a conclu qu</w:t>
      </w:r>
      <w:r>
        <w:rPr>
          <w:lang w:val="fr-CA"/>
        </w:rPr>
        <w:t>’elle</w:t>
      </w:r>
      <w:r w:rsidRPr="001E7CB3">
        <w:rPr>
          <w:lang w:val="fr-CA"/>
        </w:rPr>
        <w:t xml:space="preserve"> ne contrev</w:t>
      </w:r>
      <w:r>
        <w:rPr>
          <w:lang w:val="fr-CA"/>
        </w:rPr>
        <w:t>enait</w:t>
      </w:r>
      <w:r w:rsidRPr="001E7CB3">
        <w:rPr>
          <w:lang w:val="fr-CA"/>
        </w:rPr>
        <w:t xml:space="preserve"> pas à son obligation fiducia</w:t>
      </w:r>
      <w:r>
        <w:rPr>
          <w:lang w:val="fr-CA"/>
        </w:rPr>
        <w:t>ir</w:t>
      </w:r>
      <w:r w:rsidRPr="001E7CB3">
        <w:rPr>
          <w:lang w:val="fr-CA"/>
        </w:rPr>
        <w:t>e en procédant ainsi parce que l</w:t>
      </w:r>
      <w:r>
        <w:rPr>
          <w:lang w:val="fr-CA"/>
        </w:rPr>
        <w:t>’</w:t>
      </w:r>
      <w:r w:rsidRPr="001E7CB3">
        <w:rPr>
          <w:lang w:val="fr-CA"/>
        </w:rPr>
        <w:t>«</w:t>
      </w:r>
      <w:r>
        <w:rPr>
          <w:lang w:val="fr-CA"/>
        </w:rPr>
        <w:t> </w:t>
      </w:r>
      <w:r w:rsidRPr="001E7CB3">
        <w:rPr>
          <w:lang w:val="fr-CA"/>
        </w:rPr>
        <w:t xml:space="preserve">emprunt » </w:t>
      </w:r>
      <w:r>
        <w:rPr>
          <w:lang w:val="fr-CA"/>
        </w:rPr>
        <w:t>était</w:t>
      </w:r>
      <w:r w:rsidRPr="001E7CB3">
        <w:rPr>
          <w:lang w:val="fr-CA"/>
        </w:rPr>
        <w:t xml:space="preserve"> exigé par la loi </w:t>
      </w:r>
      <w:r>
        <w:rPr>
          <w:lang w:val="fr-CA"/>
        </w:rPr>
        <w:t>(par. 127)</w:t>
      </w:r>
      <w:r w:rsidRPr="001E7CB3">
        <w:rPr>
          <w:lang w:val="fr-CA"/>
        </w:rPr>
        <w:t xml:space="preserve">. </w:t>
      </w:r>
    </w:p>
    <w:p w:rsidR="000F48EC" w:rsidRPr="001E7CB3" w:rsidRDefault="000F48EC" w:rsidP="000F48EC">
      <w:pPr>
        <w:pStyle w:val="ParaNoNdepar-AltN"/>
        <w:rPr>
          <w:lang w:val="fr-CA"/>
        </w:rPr>
      </w:pPr>
      <w:r w:rsidRPr="001E7CB3">
        <w:rPr>
          <w:lang w:val="fr-CA"/>
        </w:rPr>
        <w:t>Il est possible de voir un type</w:t>
      </w:r>
      <w:r>
        <w:rPr>
          <w:lang w:val="fr-CA"/>
        </w:rPr>
        <w:t xml:space="preserve"> analogue</w:t>
      </w:r>
      <w:r w:rsidRPr="001E7CB3">
        <w:rPr>
          <w:lang w:val="fr-CA"/>
        </w:rPr>
        <w:t xml:space="preserve"> d</w:t>
      </w:r>
      <w:r>
        <w:rPr>
          <w:lang w:val="fr-CA"/>
        </w:rPr>
        <w:t>’« </w:t>
      </w:r>
      <w:r w:rsidRPr="001E7CB3">
        <w:rPr>
          <w:lang w:val="fr-CA"/>
        </w:rPr>
        <w:t>emprunt »</w:t>
      </w:r>
      <w:r w:rsidRPr="00E207DC">
        <w:rPr>
          <w:lang w:val="fr-CA"/>
        </w:rPr>
        <w:t xml:space="preserve"> </w:t>
      </w:r>
      <w:r w:rsidRPr="001E7CB3">
        <w:rPr>
          <w:lang w:val="fr-CA"/>
        </w:rPr>
        <w:t>en l</w:t>
      </w:r>
      <w:r>
        <w:rPr>
          <w:lang w:val="fr-CA"/>
        </w:rPr>
        <w:t>’</w:t>
      </w:r>
      <w:r w:rsidRPr="001E7CB3">
        <w:rPr>
          <w:lang w:val="fr-CA"/>
        </w:rPr>
        <w:t xml:space="preserve">espèce.  </w:t>
      </w:r>
      <w:r>
        <w:rPr>
          <w:lang w:val="fr-CA"/>
        </w:rPr>
        <w:t>L</w:t>
      </w:r>
      <w:r w:rsidRPr="001E7CB3">
        <w:rPr>
          <w:lang w:val="fr-CA"/>
        </w:rPr>
        <w:t xml:space="preserve">e gouvernement </w:t>
      </w:r>
      <w:r>
        <w:rPr>
          <w:lang w:val="fr-CA"/>
        </w:rPr>
        <w:t>avait</w:t>
      </w:r>
      <w:r w:rsidRPr="001E7CB3">
        <w:rPr>
          <w:lang w:val="fr-CA"/>
        </w:rPr>
        <w:t xml:space="preserve"> des obligations futures </w:t>
      </w:r>
      <w:r>
        <w:rPr>
          <w:lang w:val="fr-CA"/>
        </w:rPr>
        <w:t>envers les</w:t>
      </w:r>
      <w:r w:rsidRPr="001E7CB3">
        <w:rPr>
          <w:lang w:val="fr-CA"/>
        </w:rPr>
        <w:t xml:space="preserve"> membres des régimes (le </w:t>
      </w:r>
      <w:r w:rsidRPr="001E7CB3">
        <w:rPr>
          <w:lang w:val="fr-CA"/>
        </w:rPr>
        <w:lastRenderedPageBreak/>
        <w:t xml:space="preserve">versement des </w:t>
      </w:r>
      <w:r>
        <w:rPr>
          <w:lang w:val="fr-CA"/>
        </w:rPr>
        <w:t>presta</w:t>
      </w:r>
      <w:r w:rsidRPr="001E7CB3">
        <w:rPr>
          <w:lang w:val="fr-CA"/>
        </w:rPr>
        <w:t xml:space="preserve">tions déterminées prévues par la loi), </w:t>
      </w:r>
      <w:r>
        <w:rPr>
          <w:lang w:val="fr-CA"/>
        </w:rPr>
        <w:t xml:space="preserve">mais </w:t>
      </w:r>
      <w:r w:rsidRPr="001E7CB3">
        <w:rPr>
          <w:lang w:val="fr-CA"/>
        </w:rPr>
        <w:t>il a</w:t>
      </w:r>
      <w:r>
        <w:rPr>
          <w:lang w:val="fr-CA"/>
        </w:rPr>
        <w:t>vait</w:t>
      </w:r>
      <w:r w:rsidRPr="001E7CB3">
        <w:rPr>
          <w:lang w:val="fr-CA"/>
        </w:rPr>
        <w:t xml:space="preserve"> l</w:t>
      </w:r>
      <w:r>
        <w:rPr>
          <w:lang w:val="fr-CA"/>
        </w:rPr>
        <w:t>’</w:t>
      </w:r>
      <w:r w:rsidRPr="001E7CB3">
        <w:rPr>
          <w:lang w:val="fr-CA"/>
        </w:rPr>
        <w:t xml:space="preserve">usage des fonds </w:t>
      </w:r>
      <w:r>
        <w:rPr>
          <w:lang w:val="fr-CA"/>
        </w:rPr>
        <w:t>alors déposés dans le</w:t>
      </w:r>
      <w:r w:rsidRPr="001E7CB3">
        <w:rPr>
          <w:lang w:val="fr-CA"/>
        </w:rPr>
        <w:t xml:space="preserve"> Trésor, </w:t>
      </w:r>
      <w:r>
        <w:rPr>
          <w:lang w:val="fr-CA"/>
        </w:rPr>
        <w:t>y compris</w:t>
      </w:r>
      <w:r w:rsidRPr="001E7CB3">
        <w:rPr>
          <w:lang w:val="fr-CA"/>
        </w:rPr>
        <w:t xml:space="preserve"> des contributions retenues sur le salaire des employés.  De la même façon, en n</w:t>
      </w:r>
      <w:r>
        <w:rPr>
          <w:lang w:val="fr-CA"/>
        </w:rPr>
        <w:t xml:space="preserve">’ayant pas à </w:t>
      </w:r>
      <w:r w:rsidRPr="001E7CB3">
        <w:rPr>
          <w:lang w:val="fr-CA"/>
        </w:rPr>
        <w:t>retir</w:t>
      </w:r>
      <w:r>
        <w:rPr>
          <w:lang w:val="fr-CA"/>
        </w:rPr>
        <w:t>er</w:t>
      </w:r>
      <w:r w:rsidRPr="001E7CB3">
        <w:rPr>
          <w:lang w:val="fr-CA"/>
        </w:rPr>
        <w:t xml:space="preserve"> de fonds du Trésor pour s</w:t>
      </w:r>
      <w:r>
        <w:rPr>
          <w:lang w:val="fr-CA"/>
        </w:rPr>
        <w:t>’</w:t>
      </w:r>
      <w:r w:rsidRPr="001E7CB3">
        <w:rPr>
          <w:lang w:val="fr-CA"/>
        </w:rPr>
        <w:t>acquitter de sa propre obligation de contribuer aux régimes, le gouvernement a continué à disposer de fonds qu</w:t>
      </w:r>
      <w:r>
        <w:rPr>
          <w:lang w:val="fr-CA"/>
        </w:rPr>
        <w:t>’</w:t>
      </w:r>
      <w:r w:rsidRPr="001E7CB3">
        <w:rPr>
          <w:lang w:val="fr-CA"/>
        </w:rPr>
        <w:t xml:space="preserve">il aurait autrement dû réserver pour </w:t>
      </w:r>
      <w:r>
        <w:rPr>
          <w:lang w:val="fr-CA"/>
        </w:rPr>
        <w:t xml:space="preserve">les </w:t>
      </w:r>
      <w:r w:rsidRPr="001E7CB3">
        <w:rPr>
          <w:lang w:val="fr-CA"/>
        </w:rPr>
        <w:t>place</w:t>
      </w:r>
      <w:r>
        <w:rPr>
          <w:lang w:val="fr-CA"/>
        </w:rPr>
        <w:t>r</w:t>
      </w:r>
      <w:r w:rsidRPr="001E7CB3">
        <w:rPr>
          <w:lang w:val="fr-CA"/>
        </w:rPr>
        <w:t xml:space="preserve"> dans des titres négociables.  </w:t>
      </w:r>
      <w:r>
        <w:rPr>
          <w:lang w:val="fr-CA"/>
        </w:rPr>
        <w:t xml:space="preserve">Cependant, comme nous l’avons vu, il ne résulte pas </w:t>
      </w:r>
      <w:r w:rsidRPr="001E7CB3">
        <w:rPr>
          <w:lang w:val="fr-CA"/>
        </w:rPr>
        <w:t>d</w:t>
      </w:r>
      <w:r>
        <w:rPr>
          <w:lang w:val="fr-CA"/>
        </w:rPr>
        <w:t>’</w:t>
      </w:r>
      <w:r w:rsidRPr="001E7CB3">
        <w:rPr>
          <w:lang w:val="fr-CA"/>
        </w:rPr>
        <w:t>un tel « emprunt interne »</w:t>
      </w:r>
      <w:r>
        <w:rPr>
          <w:lang w:val="fr-CA"/>
        </w:rPr>
        <w:t xml:space="preserve"> que </w:t>
      </w:r>
      <w:r w:rsidRPr="001E7CB3">
        <w:rPr>
          <w:lang w:val="fr-CA"/>
        </w:rPr>
        <w:t xml:space="preserve">les comptes de pension de retraite </w:t>
      </w:r>
      <w:r>
        <w:rPr>
          <w:lang w:val="fr-CA"/>
        </w:rPr>
        <w:t>contienn</w:t>
      </w:r>
      <w:r w:rsidRPr="001E7CB3">
        <w:rPr>
          <w:lang w:val="fr-CA"/>
        </w:rPr>
        <w:t xml:space="preserve">ent </w:t>
      </w:r>
      <w:r>
        <w:rPr>
          <w:lang w:val="fr-CA"/>
        </w:rPr>
        <w:t>une</w:t>
      </w:r>
      <w:r w:rsidRPr="001E7CB3">
        <w:rPr>
          <w:lang w:val="fr-CA"/>
        </w:rPr>
        <w:t xml:space="preserve"> créance sur le gouvernement.  Ces comptes ne sont que des livres comptables prescrits pa</w:t>
      </w:r>
      <w:r w:rsidR="008446CC">
        <w:rPr>
          <w:lang w:val="fr-CA"/>
        </w:rPr>
        <w:t>r</w:t>
      </w:r>
      <w:r w:rsidRPr="001E7CB3">
        <w:rPr>
          <w:lang w:val="fr-CA"/>
        </w:rPr>
        <w:t xml:space="preserve"> la loi</w:t>
      </w:r>
      <w:r>
        <w:rPr>
          <w:lang w:val="fr-CA"/>
        </w:rPr>
        <w:t>.</w:t>
      </w:r>
      <w:r w:rsidRPr="001E7CB3">
        <w:rPr>
          <w:lang w:val="fr-CA"/>
        </w:rPr>
        <w:t xml:space="preserve">  </w:t>
      </w:r>
      <w:r>
        <w:rPr>
          <w:lang w:val="fr-CA"/>
        </w:rPr>
        <w:t xml:space="preserve">L’arrêt </w:t>
      </w:r>
      <w:proofErr w:type="spellStart"/>
      <w:r w:rsidRPr="001E7CB3">
        <w:rPr>
          <w:i/>
          <w:lang w:val="fr-CA"/>
        </w:rPr>
        <w:t>Ermineskin</w:t>
      </w:r>
      <w:proofErr w:type="spellEnd"/>
      <w:r w:rsidRPr="001E7CB3">
        <w:rPr>
          <w:lang w:val="fr-CA"/>
        </w:rPr>
        <w:t xml:space="preserve"> </w:t>
      </w:r>
      <w:r w:rsidR="00024BA7">
        <w:rPr>
          <w:lang w:val="fr-CA"/>
        </w:rPr>
        <w:t>n’indique par</w:t>
      </w:r>
      <w:r>
        <w:rPr>
          <w:lang w:val="fr-CA"/>
        </w:rPr>
        <w:t xml:space="preserve"> qu’il en est autrement</w:t>
      </w:r>
      <w:r w:rsidRPr="001E7CB3">
        <w:rPr>
          <w:lang w:val="fr-CA"/>
        </w:rPr>
        <w:t xml:space="preserve">. </w:t>
      </w:r>
    </w:p>
    <w:p w:rsidR="000F48EC" w:rsidRPr="001E7CB3" w:rsidRDefault="000F48EC" w:rsidP="000F48EC">
      <w:pPr>
        <w:pStyle w:val="ParaNoNdepar-AltN"/>
        <w:rPr>
          <w:lang w:val="fr-CA"/>
        </w:rPr>
      </w:pPr>
      <w:r w:rsidRPr="001E7CB3">
        <w:rPr>
          <w:lang w:val="fr-CA"/>
        </w:rPr>
        <w:t>En outre, dans l</w:t>
      </w:r>
      <w:r>
        <w:rPr>
          <w:lang w:val="fr-CA"/>
        </w:rPr>
        <w:t>’</w:t>
      </w:r>
      <w:r w:rsidRPr="001E7CB3">
        <w:rPr>
          <w:lang w:val="fr-CA"/>
        </w:rPr>
        <w:t xml:space="preserve">affaire </w:t>
      </w:r>
      <w:proofErr w:type="spellStart"/>
      <w:r w:rsidRPr="001E7CB3">
        <w:rPr>
          <w:i/>
          <w:lang w:val="fr-CA"/>
        </w:rPr>
        <w:t>Ermineskin</w:t>
      </w:r>
      <w:proofErr w:type="spellEnd"/>
      <w:r w:rsidRPr="001E7CB3">
        <w:rPr>
          <w:lang w:val="fr-CA"/>
        </w:rPr>
        <w:t>, les redevances étaient reçues «</w:t>
      </w:r>
      <w:r>
        <w:rPr>
          <w:lang w:val="fr-CA"/>
        </w:rPr>
        <w:t> </w:t>
      </w:r>
      <w:r w:rsidRPr="001E7CB3">
        <w:rPr>
          <w:lang w:val="fr-CA"/>
        </w:rPr>
        <w:t>en fiducie » pour les bandes, et la Cour a conclu que la relation entre la Couronne et les bandes « </w:t>
      </w:r>
      <w:proofErr w:type="gramStart"/>
      <w:r w:rsidRPr="001E7CB3">
        <w:rPr>
          <w:lang w:val="fr-CA"/>
        </w:rPr>
        <w:t>s</w:t>
      </w:r>
      <w:r>
        <w:rPr>
          <w:lang w:val="fr-CA"/>
        </w:rPr>
        <w:t>’</w:t>
      </w:r>
      <w:r w:rsidRPr="001E7CB3">
        <w:rPr>
          <w:lang w:val="fr-CA"/>
        </w:rPr>
        <w:t>apparent</w:t>
      </w:r>
      <w:r>
        <w:rPr>
          <w:lang w:val="fr-CA"/>
        </w:rPr>
        <w:t>[</w:t>
      </w:r>
      <w:proofErr w:type="gramEnd"/>
      <w:r>
        <w:rPr>
          <w:lang w:val="fr-CA"/>
        </w:rPr>
        <w:t>ait]</w:t>
      </w:r>
      <w:r w:rsidRPr="001E7CB3">
        <w:rPr>
          <w:lang w:val="fr-CA"/>
        </w:rPr>
        <w:t xml:space="preserve"> » à </w:t>
      </w:r>
      <w:r>
        <w:rPr>
          <w:lang w:val="fr-CA"/>
        </w:rPr>
        <w:t>celle</w:t>
      </w:r>
      <w:r w:rsidRPr="001E7CB3">
        <w:rPr>
          <w:lang w:val="fr-CA"/>
        </w:rPr>
        <w:t xml:space="preserve"> </w:t>
      </w:r>
      <w:r>
        <w:rPr>
          <w:lang w:val="fr-CA"/>
        </w:rPr>
        <w:t>établie</w:t>
      </w:r>
      <w:r w:rsidRPr="001E7CB3">
        <w:rPr>
          <w:lang w:val="fr-CA"/>
        </w:rPr>
        <w:t xml:space="preserve"> par une fiducie </w:t>
      </w:r>
      <w:r>
        <w:rPr>
          <w:lang w:val="fr-CA"/>
        </w:rPr>
        <w:t>(par. </w:t>
      </w:r>
      <w:r w:rsidRPr="001E7CB3">
        <w:rPr>
          <w:lang w:val="fr-CA"/>
        </w:rPr>
        <w:t>74</w:t>
      </w:r>
      <w:r>
        <w:rPr>
          <w:lang w:val="fr-CA"/>
        </w:rPr>
        <w:t>)</w:t>
      </w:r>
      <w:r w:rsidRPr="001E7CB3">
        <w:rPr>
          <w:lang w:val="fr-CA"/>
        </w:rPr>
        <w:t xml:space="preserve">.  La Couronne était légalement tenue de verser au Trésor </w:t>
      </w:r>
      <w:r>
        <w:rPr>
          <w:lang w:val="fr-CA"/>
        </w:rPr>
        <w:t>l</w:t>
      </w:r>
      <w:r w:rsidRPr="001E7CB3">
        <w:rPr>
          <w:lang w:val="fr-CA"/>
        </w:rPr>
        <w:t>es redevances qu</w:t>
      </w:r>
      <w:r>
        <w:rPr>
          <w:lang w:val="fr-CA"/>
        </w:rPr>
        <w:t>’</w:t>
      </w:r>
      <w:r w:rsidRPr="001E7CB3">
        <w:rPr>
          <w:lang w:val="fr-CA"/>
        </w:rPr>
        <w:t>elle percevait « en fiducie »</w:t>
      </w:r>
      <w:r>
        <w:rPr>
          <w:lang w:val="fr-CA"/>
        </w:rPr>
        <w:t xml:space="preserve"> (par. 127)</w:t>
      </w:r>
      <w:r w:rsidRPr="001E7CB3">
        <w:rPr>
          <w:lang w:val="fr-CA"/>
        </w:rPr>
        <w:t xml:space="preserve">.  Autrement dit, la loi </w:t>
      </w:r>
      <w:r>
        <w:rPr>
          <w:lang w:val="fr-CA"/>
        </w:rPr>
        <w:t>imposait à</w:t>
      </w:r>
      <w:r w:rsidRPr="001E7CB3">
        <w:rPr>
          <w:lang w:val="fr-CA"/>
        </w:rPr>
        <w:t xml:space="preserve"> la Couronne </w:t>
      </w:r>
      <w:r>
        <w:rPr>
          <w:lang w:val="fr-CA"/>
        </w:rPr>
        <w:t xml:space="preserve">l’obligation </w:t>
      </w:r>
      <w:r w:rsidRPr="001E7CB3">
        <w:rPr>
          <w:lang w:val="fr-CA"/>
        </w:rPr>
        <w:t xml:space="preserve">de prendre un bien assujetti à une obligation </w:t>
      </w:r>
      <w:r>
        <w:rPr>
          <w:lang w:val="fr-CA"/>
        </w:rPr>
        <w:t xml:space="preserve">fiduciaire </w:t>
      </w:r>
      <w:r w:rsidRPr="001E7CB3">
        <w:rPr>
          <w:lang w:val="fr-CA"/>
        </w:rPr>
        <w:t>« </w:t>
      </w:r>
      <w:proofErr w:type="gramStart"/>
      <w:r w:rsidRPr="001E7CB3">
        <w:rPr>
          <w:lang w:val="fr-CA"/>
        </w:rPr>
        <w:t>s</w:t>
      </w:r>
      <w:r>
        <w:rPr>
          <w:lang w:val="fr-CA"/>
        </w:rPr>
        <w:t>’</w:t>
      </w:r>
      <w:r w:rsidRPr="001E7CB3">
        <w:rPr>
          <w:lang w:val="fr-CA"/>
        </w:rPr>
        <w:t>apparent[</w:t>
      </w:r>
      <w:proofErr w:type="spellStart"/>
      <w:proofErr w:type="gramEnd"/>
      <w:r w:rsidRPr="001E7CB3">
        <w:rPr>
          <w:lang w:val="fr-CA"/>
        </w:rPr>
        <w:t>ant</w:t>
      </w:r>
      <w:proofErr w:type="spellEnd"/>
      <w:r w:rsidRPr="001E7CB3">
        <w:rPr>
          <w:lang w:val="fr-CA"/>
        </w:rPr>
        <w:t xml:space="preserve">] » à </w:t>
      </w:r>
      <w:r>
        <w:rPr>
          <w:lang w:val="fr-CA"/>
        </w:rPr>
        <w:t>celle établie par une fiducie</w:t>
      </w:r>
      <w:r w:rsidRPr="001E7CB3">
        <w:rPr>
          <w:lang w:val="fr-CA"/>
        </w:rPr>
        <w:t>, perçu pour le compte de bénéficiaire</w:t>
      </w:r>
      <w:r>
        <w:rPr>
          <w:lang w:val="fr-CA"/>
        </w:rPr>
        <w:t>s</w:t>
      </w:r>
      <w:r w:rsidRPr="001E7CB3">
        <w:rPr>
          <w:lang w:val="fr-CA"/>
        </w:rPr>
        <w:t>, et de le verser au Trésor pour utilisation à des fins publiques.  Il est exact de parler d</w:t>
      </w:r>
      <w:r>
        <w:rPr>
          <w:lang w:val="fr-CA"/>
        </w:rPr>
        <w:t>’« </w:t>
      </w:r>
      <w:r w:rsidRPr="001E7CB3">
        <w:rPr>
          <w:lang w:val="fr-CA"/>
        </w:rPr>
        <w:t xml:space="preserve">emprunt » public </w:t>
      </w:r>
      <w:r>
        <w:rPr>
          <w:lang w:val="fr-CA"/>
        </w:rPr>
        <w:t xml:space="preserve">à </w:t>
      </w:r>
      <w:r w:rsidRPr="001E7CB3">
        <w:rPr>
          <w:lang w:val="fr-CA"/>
        </w:rPr>
        <w:t xml:space="preserve">une « fiducie » </w:t>
      </w:r>
      <w:r>
        <w:rPr>
          <w:lang w:val="fr-CA"/>
        </w:rPr>
        <w:t>pour décrire ce</w:t>
      </w:r>
      <w:r w:rsidRPr="001E7CB3">
        <w:rPr>
          <w:lang w:val="fr-CA"/>
        </w:rPr>
        <w:t xml:space="preserve"> régime lég</w:t>
      </w:r>
      <w:r>
        <w:rPr>
          <w:lang w:val="fr-CA"/>
        </w:rPr>
        <w:t>al.  Ce n’est toutefois pas le cas en l’espèce : n</w:t>
      </w:r>
      <w:r w:rsidRPr="001E7CB3">
        <w:rPr>
          <w:lang w:val="fr-CA"/>
        </w:rPr>
        <w:t>on seulement le gouvernement n</w:t>
      </w:r>
      <w:r>
        <w:rPr>
          <w:lang w:val="fr-CA"/>
        </w:rPr>
        <w:t>e s’est pas engagé, expressément ou implicitement, à agir dans l’intérêt des membres des régimes à l’égard des surplus actuariels</w:t>
      </w:r>
      <w:r w:rsidRPr="001E7CB3">
        <w:rPr>
          <w:lang w:val="fr-CA"/>
        </w:rPr>
        <w:t xml:space="preserve"> (comme on le verra plus loin), </w:t>
      </w:r>
      <w:r w:rsidRPr="00ED3EEE">
        <w:rPr>
          <w:lang w:val="fr-CA"/>
        </w:rPr>
        <w:t>mais</w:t>
      </w:r>
      <w:r w:rsidRPr="001E7CB3">
        <w:rPr>
          <w:lang w:val="fr-CA"/>
        </w:rPr>
        <w:t xml:space="preserve"> les comptes de pension de retraite ne sont </w:t>
      </w:r>
      <w:r>
        <w:rPr>
          <w:lang w:val="fr-CA"/>
        </w:rPr>
        <w:t xml:space="preserve">que des </w:t>
      </w:r>
      <w:r>
        <w:rPr>
          <w:lang w:val="fr-CA"/>
        </w:rPr>
        <w:lastRenderedPageBreak/>
        <w:t>documents comptables.  Ce ne sont pas des</w:t>
      </w:r>
      <w:r w:rsidRPr="001E7CB3">
        <w:rPr>
          <w:lang w:val="fr-CA"/>
        </w:rPr>
        <w:t xml:space="preserve"> </w:t>
      </w:r>
      <w:r>
        <w:rPr>
          <w:lang w:val="fr-CA"/>
        </w:rPr>
        <w:t>caiss</w:t>
      </w:r>
      <w:r w:rsidRPr="001E7CB3">
        <w:rPr>
          <w:lang w:val="fr-CA"/>
        </w:rPr>
        <w:t>es</w:t>
      </w:r>
      <w:r>
        <w:rPr>
          <w:lang w:val="fr-CA"/>
        </w:rPr>
        <w:t xml:space="preserve"> et </w:t>
      </w:r>
      <w:r w:rsidRPr="001E7CB3">
        <w:rPr>
          <w:lang w:val="fr-CA"/>
        </w:rPr>
        <w:t>ils ne s</w:t>
      </w:r>
      <w:r>
        <w:rPr>
          <w:lang w:val="fr-CA"/>
        </w:rPr>
        <w:t>’</w:t>
      </w:r>
      <w:r w:rsidRPr="001E7CB3">
        <w:rPr>
          <w:lang w:val="fr-CA"/>
        </w:rPr>
        <w:t>« apparente[nt</w:t>
      </w:r>
      <w:r>
        <w:rPr>
          <w:lang w:val="fr-CA"/>
        </w:rPr>
        <w:t>]</w:t>
      </w:r>
      <w:r w:rsidRPr="001E7CB3">
        <w:rPr>
          <w:lang w:val="fr-CA"/>
        </w:rPr>
        <w:t> »</w:t>
      </w:r>
      <w:r>
        <w:rPr>
          <w:lang w:val="fr-CA"/>
        </w:rPr>
        <w:t xml:space="preserve"> pas à des fiducies</w:t>
      </w:r>
      <w:r w:rsidRPr="001E7CB3">
        <w:rPr>
          <w:lang w:val="fr-CA"/>
        </w:rPr>
        <w:t xml:space="preserve">, </w:t>
      </w:r>
      <w:r>
        <w:rPr>
          <w:lang w:val="fr-CA"/>
        </w:rPr>
        <w:t>de sorte qu’</w:t>
      </w:r>
      <w:r w:rsidRPr="001E7CB3">
        <w:rPr>
          <w:lang w:val="fr-CA"/>
        </w:rPr>
        <w:t>il n</w:t>
      </w:r>
      <w:r>
        <w:rPr>
          <w:lang w:val="fr-CA"/>
        </w:rPr>
        <w:t>’</w:t>
      </w:r>
      <w:r w:rsidRPr="001E7CB3">
        <w:rPr>
          <w:lang w:val="fr-CA"/>
        </w:rPr>
        <w:t xml:space="preserve">est pas possible </w:t>
      </w:r>
      <w:r>
        <w:rPr>
          <w:lang w:val="fr-CA"/>
        </w:rPr>
        <w:t>d’</w:t>
      </w:r>
      <w:r w:rsidRPr="001E7CB3">
        <w:rPr>
          <w:lang w:val="fr-CA"/>
        </w:rPr>
        <w:t>emprunt</w:t>
      </w:r>
      <w:r>
        <w:rPr>
          <w:lang w:val="fr-CA"/>
        </w:rPr>
        <w:t>er à ces comptes</w:t>
      </w:r>
      <w:r w:rsidRPr="001E7CB3">
        <w:rPr>
          <w:lang w:val="fr-CA"/>
        </w:rPr>
        <w:t>.</w:t>
      </w:r>
    </w:p>
    <w:p w:rsidR="000F48EC" w:rsidRPr="001E7CB3" w:rsidRDefault="000F48EC" w:rsidP="000F48EC">
      <w:pPr>
        <w:pStyle w:val="ParaNoNdepar-AltN"/>
        <w:rPr>
          <w:lang w:val="fr-CA"/>
        </w:rPr>
      </w:pPr>
      <w:r w:rsidRPr="001E7CB3">
        <w:rPr>
          <w:lang w:val="fr-CA"/>
        </w:rPr>
        <w:t>Par conséquent, les juridictions inférieures ont eu raison de rejeter la théorie de l</w:t>
      </w:r>
      <w:r>
        <w:rPr>
          <w:lang w:val="fr-CA"/>
        </w:rPr>
        <w:t>’</w:t>
      </w:r>
      <w:r w:rsidRPr="001E7CB3">
        <w:rPr>
          <w:lang w:val="fr-CA"/>
        </w:rPr>
        <w:t xml:space="preserve">emprunt.  Le juge </w:t>
      </w:r>
      <w:proofErr w:type="spellStart"/>
      <w:r w:rsidRPr="001E7CB3">
        <w:rPr>
          <w:lang w:val="fr-CA"/>
        </w:rPr>
        <w:t>Panet</w:t>
      </w:r>
      <w:proofErr w:type="spellEnd"/>
      <w:r w:rsidRPr="001E7CB3">
        <w:rPr>
          <w:lang w:val="fr-CA"/>
        </w:rPr>
        <w:t xml:space="preserve"> a conclu à bon droit que [</w:t>
      </w:r>
      <w:r w:rsidRPr="00B2643C">
        <w:rPr>
          <w:smallCaps/>
          <w:lang w:val="fr-CA"/>
        </w:rPr>
        <w:t>traduction</w:t>
      </w:r>
      <w:r w:rsidRPr="001E7CB3">
        <w:rPr>
          <w:lang w:val="fr-CA"/>
        </w:rPr>
        <w:t>] « [e]n fait, il n</w:t>
      </w:r>
      <w:r>
        <w:rPr>
          <w:lang w:val="fr-CA"/>
        </w:rPr>
        <w:t>’</w:t>
      </w:r>
      <w:r w:rsidRPr="001E7CB3">
        <w:rPr>
          <w:lang w:val="fr-CA"/>
        </w:rPr>
        <w:t>y a pas eu d</w:t>
      </w:r>
      <w:r>
        <w:rPr>
          <w:lang w:val="fr-CA"/>
        </w:rPr>
        <w:t>’</w:t>
      </w:r>
      <w:r w:rsidRPr="001E7CB3">
        <w:rPr>
          <w:lang w:val="fr-CA"/>
        </w:rPr>
        <w:t xml:space="preserve">emprunt, et le gouvernement ne doit rien au compte de pension de retraite de chacun des régimes » </w:t>
      </w:r>
      <w:r>
        <w:rPr>
          <w:lang w:val="fr-CA"/>
        </w:rPr>
        <w:t>(par. 222).</w:t>
      </w:r>
    </w:p>
    <w:p w:rsidR="000F48EC" w:rsidRPr="001E7CB3" w:rsidRDefault="000F48EC" w:rsidP="00F14B17">
      <w:pPr>
        <w:pStyle w:val="TitleTitre-AltT"/>
        <w:keepNext/>
        <w:tabs>
          <w:tab w:val="clear" w:pos="360"/>
          <w:tab w:val="left" w:pos="540"/>
        </w:tabs>
        <w:ind w:left="1170" w:hanging="1170"/>
        <w:rPr>
          <w:szCs w:val="24"/>
          <w:lang w:val="fr-CA"/>
        </w:rPr>
      </w:pPr>
      <w:r>
        <w:rPr>
          <w:i/>
          <w:szCs w:val="24"/>
          <w:lang w:val="fr-CA"/>
        </w:rPr>
        <w:tab/>
      </w:r>
      <w:r>
        <w:rPr>
          <w:szCs w:val="24"/>
          <w:lang w:val="fr-CA"/>
        </w:rPr>
        <w:t>(3</w:t>
      </w:r>
      <w:r w:rsidRPr="00EF631E">
        <w:rPr>
          <w:szCs w:val="24"/>
          <w:lang w:val="fr-CA"/>
        </w:rPr>
        <w:t>)</w:t>
      </w:r>
      <w:r w:rsidRPr="00EF631E">
        <w:rPr>
          <w:szCs w:val="24"/>
          <w:lang w:val="fr-CA"/>
        </w:rPr>
        <w:tab/>
      </w:r>
      <w:r w:rsidRPr="00467C9B">
        <w:rPr>
          <w:szCs w:val="24"/>
          <w:u w:val="single"/>
          <w:lang w:val="fr-CA"/>
        </w:rPr>
        <w:t>Le mot « actif »</w:t>
      </w:r>
      <w:r w:rsidRPr="001E7CB3">
        <w:rPr>
          <w:szCs w:val="24"/>
          <w:lang w:val="fr-CA"/>
        </w:rPr>
        <w:t xml:space="preserve"> </w:t>
      </w:r>
    </w:p>
    <w:p w:rsidR="000F48EC" w:rsidRPr="001E7CB3" w:rsidRDefault="000F48EC" w:rsidP="000F48EC">
      <w:pPr>
        <w:pStyle w:val="ParaNoNdepar-AltN"/>
        <w:rPr>
          <w:lang w:val="fr-CA"/>
        </w:rPr>
      </w:pPr>
      <w:r w:rsidRPr="001E7CB3">
        <w:rPr>
          <w:lang w:val="fr-CA"/>
        </w:rPr>
        <w:t xml:space="preserve">Les appelants soulignent que les lois sur les pensions et la </w:t>
      </w:r>
      <w:r w:rsidRPr="00F14B17">
        <w:rPr>
          <w:i/>
          <w:lang w:val="fr-CA"/>
        </w:rPr>
        <w:t>LRRPP</w:t>
      </w:r>
      <w:r w:rsidRPr="001E7CB3">
        <w:rPr>
          <w:i/>
          <w:lang w:val="fr-CA"/>
        </w:rPr>
        <w:t xml:space="preserve"> </w:t>
      </w:r>
      <w:r w:rsidRPr="001E7CB3">
        <w:rPr>
          <w:lang w:val="fr-CA"/>
        </w:rPr>
        <w:t>emploient le mot « actif » en rapport avec les comptes de pension de retraite.</w:t>
      </w:r>
    </w:p>
    <w:p w:rsidR="000F48EC" w:rsidRPr="001E7CB3" w:rsidRDefault="000F48EC" w:rsidP="000F48EC">
      <w:pPr>
        <w:pStyle w:val="ParaNoNdepar-AltN"/>
        <w:rPr>
          <w:lang w:val="fr-CA"/>
        </w:rPr>
      </w:pPr>
      <w:r w:rsidRPr="001E7CB3">
        <w:rPr>
          <w:lang w:val="fr-CA"/>
        </w:rPr>
        <w:t xml:space="preserve">La </w:t>
      </w:r>
      <w:r w:rsidRPr="00F14B17">
        <w:rPr>
          <w:i/>
          <w:lang w:val="fr-CA"/>
        </w:rPr>
        <w:t>LPFP</w:t>
      </w:r>
      <w:r w:rsidRPr="001E7CB3">
        <w:rPr>
          <w:lang w:val="fr-CA"/>
        </w:rPr>
        <w:t xml:space="preserve"> </w:t>
      </w:r>
      <w:r>
        <w:rPr>
          <w:lang w:val="fr-CA"/>
        </w:rPr>
        <w:t xml:space="preserve">de 1954 </w:t>
      </w:r>
      <w:r w:rsidRPr="001E7CB3">
        <w:rPr>
          <w:lang w:val="fr-CA"/>
        </w:rPr>
        <w:t>exigeait la présentation d</w:t>
      </w:r>
      <w:r>
        <w:rPr>
          <w:lang w:val="fr-CA"/>
        </w:rPr>
        <w:t>’</w:t>
      </w:r>
      <w:r w:rsidRPr="001E7CB3">
        <w:rPr>
          <w:lang w:val="fr-CA"/>
        </w:rPr>
        <w:t>un rapport renfermant « une estimation de la mesure où l</w:t>
      </w:r>
      <w:r>
        <w:rPr>
          <w:lang w:val="fr-CA"/>
        </w:rPr>
        <w:t>’</w:t>
      </w:r>
      <w:r w:rsidRPr="001E7CB3">
        <w:rPr>
          <w:lang w:val="fr-CA"/>
        </w:rPr>
        <w:t>actif dudit compte suffit à couvrir le coût des prestations payables en vertu de la présente loi »</w:t>
      </w:r>
      <w:r>
        <w:rPr>
          <w:lang w:val="fr-CA"/>
        </w:rPr>
        <w:t xml:space="preserve"> (art. 33)</w:t>
      </w:r>
      <w:r w:rsidRPr="001E7CB3">
        <w:rPr>
          <w:lang w:val="fr-CA"/>
        </w:rPr>
        <w:t xml:space="preserve">.  La </w:t>
      </w:r>
      <w:r w:rsidRPr="00F14B17">
        <w:rPr>
          <w:i/>
          <w:lang w:val="fr-CA"/>
        </w:rPr>
        <w:t>LRRPP</w:t>
      </w:r>
      <w:r w:rsidRPr="001E7CB3">
        <w:rPr>
          <w:i/>
          <w:lang w:val="fr-CA"/>
        </w:rPr>
        <w:t xml:space="preserve"> </w:t>
      </w:r>
      <w:r w:rsidRPr="001E7CB3">
        <w:rPr>
          <w:lang w:val="fr-CA"/>
        </w:rPr>
        <w:t>énonce que le « ministre fait certifier l</w:t>
      </w:r>
      <w:r>
        <w:rPr>
          <w:lang w:val="fr-CA"/>
        </w:rPr>
        <w:t>’</w:t>
      </w:r>
      <w:r w:rsidRPr="001E7CB3">
        <w:rPr>
          <w:lang w:val="fr-CA"/>
        </w:rPr>
        <w:t>actif d</w:t>
      </w:r>
      <w:r>
        <w:rPr>
          <w:lang w:val="fr-CA"/>
        </w:rPr>
        <w:t>’</w:t>
      </w:r>
      <w:r w:rsidRPr="001E7CB3">
        <w:rPr>
          <w:lang w:val="fr-CA"/>
        </w:rPr>
        <w:t xml:space="preserve">un régime de pensions établi en vertu de la </w:t>
      </w:r>
      <w:r w:rsidRPr="001E7CB3">
        <w:rPr>
          <w:i/>
          <w:lang w:val="fr-CA"/>
        </w:rPr>
        <w:t>Loi sur la pension de retraite des Forces canadiennes</w:t>
      </w:r>
      <w:r w:rsidR="00F14B17" w:rsidRPr="00F14B17">
        <w:rPr>
          <w:lang w:val="fr-CA"/>
        </w:rPr>
        <w:t>,</w:t>
      </w:r>
      <w:r w:rsidRPr="001E7CB3">
        <w:rPr>
          <w:lang w:val="fr-CA"/>
        </w:rPr>
        <w:t xml:space="preserve"> [</w:t>
      </w:r>
      <w:r>
        <w:rPr>
          <w:lang w:val="fr-CA"/>
        </w:rPr>
        <w:t>. . .</w:t>
      </w:r>
      <w:r w:rsidRPr="001E7CB3">
        <w:rPr>
          <w:lang w:val="fr-CA"/>
        </w:rPr>
        <w:t xml:space="preserve">] la </w:t>
      </w:r>
      <w:r w:rsidRPr="001E7CB3">
        <w:rPr>
          <w:i/>
          <w:lang w:val="fr-CA"/>
        </w:rPr>
        <w:t>Loi sur la pension de la fonction publique</w:t>
      </w:r>
      <w:r>
        <w:rPr>
          <w:i/>
          <w:lang w:val="fr-CA"/>
        </w:rPr>
        <w:t xml:space="preserve"> </w:t>
      </w:r>
      <w:r>
        <w:rPr>
          <w:lang w:val="fr-CA"/>
        </w:rPr>
        <w:t>[et]</w:t>
      </w:r>
      <w:r w:rsidRPr="001E7CB3">
        <w:rPr>
          <w:lang w:val="fr-CA"/>
        </w:rPr>
        <w:t xml:space="preserve"> la </w:t>
      </w:r>
      <w:r w:rsidRPr="001E7CB3">
        <w:rPr>
          <w:i/>
          <w:lang w:val="fr-CA"/>
        </w:rPr>
        <w:t>Loi sur la pension de retraite de la Gendarmerie royale du Canada</w:t>
      </w:r>
      <w:r w:rsidRPr="001E7CB3">
        <w:rPr>
          <w:lang w:val="fr-CA"/>
        </w:rPr>
        <w:t xml:space="preserve"> [</w:t>
      </w:r>
      <w:r>
        <w:rPr>
          <w:lang w:val="fr-CA"/>
        </w:rPr>
        <w:t>. . .</w:t>
      </w:r>
      <w:r w:rsidRPr="001E7CB3">
        <w:rPr>
          <w:lang w:val="fr-CA"/>
        </w:rPr>
        <w:t>] et exige qu</w:t>
      </w:r>
      <w:r>
        <w:rPr>
          <w:lang w:val="fr-CA"/>
        </w:rPr>
        <w:t>’</w:t>
      </w:r>
      <w:r w:rsidRPr="001E7CB3">
        <w:rPr>
          <w:lang w:val="fr-CA"/>
        </w:rPr>
        <w:t>un rapport à ce sujet lui soit présenté »</w:t>
      </w:r>
      <w:r>
        <w:rPr>
          <w:lang w:val="fr-CA"/>
        </w:rPr>
        <w:t xml:space="preserve"> (art. 8)</w:t>
      </w:r>
      <w:r w:rsidRPr="001E7CB3">
        <w:rPr>
          <w:lang w:val="fr-CA"/>
        </w:rPr>
        <w:t>.  Elle fait aussi mention de l</w:t>
      </w:r>
      <w:r>
        <w:rPr>
          <w:lang w:val="fr-CA"/>
        </w:rPr>
        <w:t>’</w:t>
      </w:r>
      <w:r w:rsidRPr="001E7CB3">
        <w:rPr>
          <w:lang w:val="fr-CA"/>
        </w:rPr>
        <w:t xml:space="preserve">« actif à long terme » des régimes </w:t>
      </w:r>
      <w:r>
        <w:rPr>
          <w:lang w:val="fr-CA"/>
        </w:rPr>
        <w:t>(art. </w:t>
      </w:r>
      <w:r w:rsidRPr="001E7CB3">
        <w:rPr>
          <w:lang w:val="fr-CA"/>
        </w:rPr>
        <w:t>7</w:t>
      </w:r>
      <w:r>
        <w:rPr>
          <w:lang w:val="fr-CA"/>
        </w:rPr>
        <w:t>)</w:t>
      </w:r>
      <w:r w:rsidRPr="001E7CB3">
        <w:rPr>
          <w:lang w:val="fr-CA"/>
        </w:rPr>
        <w:t>.</w:t>
      </w:r>
    </w:p>
    <w:p w:rsidR="000F48EC" w:rsidRPr="001E7CB3" w:rsidRDefault="000F48EC" w:rsidP="000F48EC">
      <w:pPr>
        <w:pStyle w:val="ParaNoNdepar-AltN"/>
        <w:rPr>
          <w:lang w:val="fr-CA"/>
        </w:rPr>
      </w:pPr>
      <w:r w:rsidRPr="001E7CB3">
        <w:rPr>
          <w:lang w:val="fr-CA"/>
        </w:rPr>
        <w:lastRenderedPageBreak/>
        <w:t>Ces dispositions sont antérieures au projet de loi C</w:t>
      </w:r>
      <w:r>
        <w:rPr>
          <w:lang w:val="fr-CA"/>
        </w:rPr>
        <w:noBreakHyphen/>
      </w:r>
      <w:r w:rsidRPr="001E7CB3">
        <w:rPr>
          <w:lang w:val="fr-CA"/>
        </w:rPr>
        <w:t xml:space="preserve">78, qui a modifié les lois sur les pensions </w:t>
      </w:r>
      <w:r>
        <w:rPr>
          <w:lang w:val="fr-CA"/>
        </w:rPr>
        <w:t>afin que la</w:t>
      </w:r>
      <w:r w:rsidRPr="001E7CB3">
        <w:rPr>
          <w:lang w:val="fr-CA"/>
        </w:rPr>
        <w:t xml:space="preserve"> </w:t>
      </w:r>
      <w:r w:rsidRPr="00F14B17">
        <w:rPr>
          <w:i/>
          <w:lang w:val="fr-CA"/>
        </w:rPr>
        <w:t>LRRPP</w:t>
      </w:r>
      <w:r>
        <w:rPr>
          <w:lang w:val="fr-CA"/>
        </w:rPr>
        <w:t xml:space="preserve"> y soit expressément mentionnée</w:t>
      </w:r>
      <w:r w:rsidRPr="001E7CB3">
        <w:rPr>
          <w:lang w:val="fr-CA"/>
        </w:rPr>
        <w:t xml:space="preserve">.  Depuis le </w:t>
      </w:r>
      <w:r>
        <w:rPr>
          <w:lang w:val="fr-CA"/>
        </w:rPr>
        <w:t>14 septembre 1999</w:t>
      </w:r>
      <w:r w:rsidRPr="001E7CB3">
        <w:rPr>
          <w:lang w:val="fr-CA"/>
        </w:rPr>
        <w:t xml:space="preserve">, par exemple, la </w:t>
      </w:r>
      <w:r w:rsidRPr="00F14B17">
        <w:rPr>
          <w:i/>
          <w:lang w:val="fr-CA"/>
        </w:rPr>
        <w:t>LPFP</w:t>
      </w:r>
      <w:r w:rsidRPr="001E7CB3">
        <w:rPr>
          <w:lang w:val="fr-CA"/>
        </w:rPr>
        <w:t xml:space="preserve"> </w:t>
      </w:r>
      <w:r>
        <w:rPr>
          <w:lang w:val="fr-CA"/>
        </w:rPr>
        <w:t>prévoit :</w:t>
      </w:r>
      <w:r w:rsidRPr="001E7CB3">
        <w:rPr>
          <w:lang w:val="fr-CA"/>
        </w:rPr>
        <w:t xml:space="preserve"> </w:t>
      </w:r>
    </w:p>
    <w:p w:rsidR="000F48EC" w:rsidRPr="001E7CB3" w:rsidRDefault="000F48EC" w:rsidP="000F48EC">
      <w:pPr>
        <w:pStyle w:val="Citation-AltC"/>
        <w:tabs>
          <w:tab w:val="left" w:pos="1620"/>
        </w:tabs>
        <w:ind w:hanging="1166"/>
        <w:rPr>
          <w:lang w:val="fr-CA"/>
        </w:rPr>
      </w:pPr>
      <w:r>
        <w:rPr>
          <w:lang w:val="fr-CA"/>
        </w:rPr>
        <w:tab/>
      </w:r>
      <w:r>
        <w:rPr>
          <w:lang w:val="fr-CA"/>
        </w:rPr>
        <w:tab/>
      </w:r>
      <w:r w:rsidRPr="00CB62FB">
        <w:rPr>
          <w:b/>
          <w:lang w:val="fr-CA"/>
        </w:rPr>
        <w:t>45.</w:t>
      </w:r>
      <w:r w:rsidR="00F14B17">
        <w:rPr>
          <w:lang w:val="fr-CA"/>
        </w:rPr>
        <w:t> </w:t>
      </w:r>
      <w:r w:rsidRPr="001E7CB3">
        <w:rPr>
          <w:lang w:val="fr-CA"/>
        </w:rPr>
        <w:t>Un certificat de coût, un rapport d</w:t>
      </w:r>
      <w:r>
        <w:rPr>
          <w:lang w:val="fr-CA"/>
        </w:rPr>
        <w:t>’</w:t>
      </w:r>
      <w:r w:rsidRPr="001E7CB3">
        <w:rPr>
          <w:lang w:val="fr-CA"/>
        </w:rPr>
        <w:t xml:space="preserve">évaluation actuarielle et un </w:t>
      </w:r>
      <w:r w:rsidRPr="001E7CB3">
        <w:rPr>
          <w:u w:val="single"/>
          <w:lang w:val="fr-CA"/>
        </w:rPr>
        <w:t>rapport sur l</w:t>
      </w:r>
      <w:r>
        <w:rPr>
          <w:u w:val="single"/>
          <w:lang w:val="fr-CA"/>
        </w:rPr>
        <w:t>’</w:t>
      </w:r>
      <w:r w:rsidRPr="001E7CB3">
        <w:rPr>
          <w:u w:val="single"/>
          <w:lang w:val="fr-CA"/>
        </w:rPr>
        <w:t>actif</w:t>
      </w:r>
      <w:r w:rsidRPr="001E7CB3">
        <w:rPr>
          <w:lang w:val="fr-CA"/>
        </w:rPr>
        <w:t xml:space="preserve"> relatifs à l</w:t>
      </w:r>
      <w:r>
        <w:rPr>
          <w:lang w:val="fr-CA"/>
        </w:rPr>
        <w:t>’</w:t>
      </w:r>
      <w:r w:rsidRPr="001E7CB3">
        <w:rPr>
          <w:lang w:val="fr-CA"/>
        </w:rPr>
        <w:t xml:space="preserve">état du compte de pension de retraite et à la situation du Fonds de placement du compte de pension de retraite de la fonction publique et de la Caisse de retraite de la fonction publique doivent, conformément à la </w:t>
      </w:r>
      <w:r w:rsidRPr="0055298F">
        <w:rPr>
          <w:i/>
          <w:lang w:val="fr-CA"/>
        </w:rPr>
        <w:t>Loi sur les rapports relatifs aux pensions publiques</w:t>
      </w:r>
      <w:r w:rsidRPr="001E7CB3">
        <w:rPr>
          <w:lang w:val="fr-CA"/>
        </w:rPr>
        <w:t xml:space="preserve">, être préparés, déposés auprès du ministre désigné au titre de la même loi et déposés devant le Parlement.  </w:t>
      </w:r>
    </w:p>
    <w:p w:rsidR="000F48EC" w:rsidRPr="00F34FD6" w:rsidRDefault="000F48EC" w:rsidP="000F48EC">
      <w:pPr>
        <w:pStyle w:val="ParaNoNdepar-AltN"/>
        <w:rPr>
          <w:rFonts w:eastAsia="Times New Roman" w:cs="Times New Roman"/>
          <w:szCs w:val="24"/>
          <w:lang w:val="fr-CA" w:eastAsia="en-CA"/>
        </w:rPr>
      </w:pPr>
      <w:r w:rsidRPr="001E7CB3">
        <w:rPr>
          <w:rFonts w:eastAsia="Times New Roman" w:cs="Times New Roman"/>
          <w:szCs w:val="24"/>
          <w:lang w:val="fr-CA" w:eastAsia="en-CA"/>
        </w:rPr>
        <w:t xml:space="preserve">Selon les appelants, de telles mentions dans les textes de loi signifient que les </w:t>
      </w:r>
      <w:r w:rsidRPr="001E7CB3">
        <w:rPr>
          <w:lang w:val="fr-CA"/>
        </w:rPr>
        <w:t xml:space="preserve">comptes de pension de retraite </w:t>
      </w:r>
      <w:r>
        <w:rPr>
          <w:lang w:val="fr-CA"/>
        </w:rPr>
        <w:t>contienn</w:t>
      </w:r>
      <w:r w:rsidRPr="001E7CB3">
        <w:rPr>
          <w:lang w:val="fr-CA"/>
        </w:rPr>
        <w:t xml:space="preserve">ent des </w:t>
      </w:r>
      <w:r>
        <w:rPr>
          <w:lang w:val="fr-CA"/>
        </w:rPr>
        <w:t>éléments d’actif</w:t>
      </w:r>
      <w:r w:rsidRPr="001E7CB3">
        <w:rPr>
          <w:lang w:val="fr-CA"/>
        </w:rPr>
        <w:t xml:space="preserve">, </w:t>
      </w:r>
      <w:r>
        <w:rPr>
          <w:lang w:val="fr-CA"/>
        </w:rPr>
        <w:t>en ce sens</w:t>
      </w:r>
      <w:r w:rsidRPr="001E7CB3">
        <w:rPr>
          <w:lang w:val="fr-CA"/>
        </w:rPr>
        <w:t xml:space="preserve"> </w:t>
      </w:r>
      <w:r>
        <w:rPr>
          <w:lang w:val="fr-CA"/>
        </w:rPr>
        <w:t>qu’il y aurait dans ces comptes</w:t>
      </w:r>
      <w:r w:rsidRPr="001E7CB3">
        <w:rPr>
          <w:lang w:val="fr-CA"/>
        </w:rPr>
        <w:t xml:space="preserve"> </w:t>
      </w:r>
      <w:r>
        <w:rPr>
          <w:lang w:val="fr-CA"/>
        </w:rPr>
        <w:t>une chose</w:t>
      </w:r>
      <w:r w:rsidRPr="001E7CB3">
        <w:rPr>
          <w:lang w:val="fr-CA"/>
        </w:rPr>
        <w:t xml:space="preserve"> de valeur </w:t>
      </w:r>
      <w:r>
        <w:rPr>
          <w:lang w:val="fr-CA"/>
        </w:rPr>
        <w:t>dans</w:t>
      </w:r>
      <w:r w:rsidRPr="001E7CB3">
        <w:rPr>
          <w:lang w:val="fr-CA"/>
        </w:rPr>
        <w:t xml:space="preserve"> lequel les membres des régimes pourraient avoir un intérêt en </w:t>
      </w:r>
      <w:proofErr w:type="spellStart"/>
      <w:r w:rsidRPr="001E7CB3">
        <w:rPr>
          <w:lang w:val="fr-CA"/>
        </w:rPr>
        <w:t>equity</w:t>
      </w:r>
      <w:proofErr w:type="spellEnd"/>
      <w:r w:rsidRPr="001E7CB3">
        <w:rPr>
          <w:lang w:val="fr-CA"/>
        </w:rPr>
        <w:t xml:space="preserve">. </w:t>
      </w:r>
    </w:p>
    <w:p w:rsidR="000F48EC" w:rsidRDefault="000F48EC" w:rsidP="000F48EC">
      <w:pPr>
        <w:pStyle w:val="ParaNoNdepar-AltN"/>
        <w:rPr>
          <w:rFonts w:eastAsia="Times New Roman" w:cs="Times New Roman"/>
          <w:szCs w:val="24"/>
          <w:lang w:val="fr-CA" w:eastAsia="en-CA"/>
        </w:rPr>
      </w:pPr>
      <w:r w:rsidRPr="00F34FD6">
        <w:rPr>
          <w:rFonts w:eastAsia="Times New Roman" w:cs="Times New Roman"/>
          <w:szCs w:val="24"/>
          <w:lang w:val="fr-CA" w:eastAsia="en-CA"/>
        </w:rPr>
        <w:t xml:space="preserve">Dans les lois sur les pensions et la </w:t>
      </w:r>
      <w:r w:rsidRPr="003C49AC">
        <w:rPr>
          <w:rFonts w:eastAsia="Times New Roman" w:cs="Times New Roman"/>
          <w:i/>
          <w:szCs w:val="24"/>
          <w:lang w:val="fr-CA" w:eastAsia="en-CA"/>
        </w:rPr>
        <w:t>LRRPP</w:t>
      </w:r>
      <w:r w:rsidRPr="00F34FD6">
        <w:rPr>
          <w:rFonts w:eastAsia="Times New Roman" w:cs="Times New Roman"/>
          <w:szCs w:val="24"/>
          <w:lang w:val="fr-CA" w:eastAsia="en-CA"/>
        </w:rPr>
        <w:t xml:space="preserve">, le mot « actif », lorsqu’il est employé en liaison avec les comptes de pension de retraite, se rapporte </w:t>
      </w:r>
      <w:r>
        <w:rPr>
          <w:rFonts w:eastAsia="Times New Roman" w:cs="Times New Roman"/>
          <w:szCs w:val="24"/>
          <w:lang w:val="fr-CA" w:eastAsia="en-CA"/>
        </w:rPr>
        <w:t xml:space="preserve">selon moi </w:t>
      </w:r>
      <w:r w:rsidRPr="00F34FD6">
        <w:rPr>
          <w:rFonts w:eastAsia="Times New Roman" w:cs="Times New Roman"/>
          <w:szCs w:val="24"/>
          <w:lang w:val="fr-CA" w:eastAsia="en-CA"/>
        </w:rPr>
        <w:t xml:space="preserve">aux soldes créditeurs des comptes.  Comme </w:t>
      </w:r>
      <w:r>
        <w:rPr>
          <w:rFonts w:eastAsia="Times New Roman" w:cs="Times New Roman"/>
          <w:szCs w:val="24"/>
          <w:lang w:val="fr-CA" w:eastAsia="en-CA"/>
        </w:rPr>
        <w:t>je l’ai expliqué plus tôt</w:t>
      </w:r>
      <w:r w:rsidRPr="00F34FD6">
        <w:rPr>
          <w:rFonts w:eastAsia="Times New Roman" w:cs="Times New Roman"/>
          <w:szCs w:val="24"/>
          <w:lang w:val="fr-CA" w:eastAsia="en-CA"/>
        </w:rPr>
        <w:t xml:space="preserve">, l’argent des contributions au titre des pensions était conservé dans le Trésor jusqu’au versement des prestations aux membres, et les comptes ne </w:t>
      </w:r>
      <w:r>
        <w:rPr>
          <w:rFonts w:eastAsia="Times New Roman" w:cs="Times New Roman"/>
          <w:szCs w:val="24"/>
          <w:lang w:val="fr-CA" w:eastAsia="en-CA"/>
        </w:rPr>
        <w:t>conten</w:t>
      </w:r>
      <w:r w:rsidRPr="00F34FD6">
        <w:rPr>
          <w:rFonts w:eastAsia="Times New Roman" w:cs="Times New Roman"/>
          <w:szCs w:val="24"/>
          <w:lang w:val="fr-CA" w:eastAsia="en-CA"/>
        </w:rPr>
        <w:t xml:space="preserve">aient pas de créance sur le gouvernement.  Les comptes de pension de retraite </w:t>
      </w:r>
      <w:proofErr w:type="spellStart"/>
      <w:r w:rsidRPr="00F34FD6">
        <w:rPr>
          <w:rFonts w:eastAsia="Times New Roman" w:cs="Times New Roman"/>
          <w:szCs w:val="24"/>
          <w:lang w:val="fr-CA" w:eastAsia="en-CA"/>
        </w:rPr>
        <w:t>eux</w:t>
      </w:r>
      <w:r>
        <w:rPr>
          <w:rFonts w:eastAsia="Times New Roman" w:cs="Times New Roman"/>
          <w:szCs w:val="24"/>
          <w:lang w:val="fr-CA" w:eastAsia="en-CA"/>
        </w:rPr>
        <w:noBreakHyphen/>
      </w:r>
      <w:r w:rsidRPr="00F34FD6">
        <w:rPr>
          <w:rFonts w:eastAsia="Times New Roman" w:cs="Times New Roman"/>
          <w:szCs w:val="24"/>
          <w:lang w:val="fr-CA" w:eastAsia="en-CA"/>
        </w:rPr>
        <w:t>mêmes</w:t>
      </w:r>
      <w:proofErr w:type="spellEnd"/>
      <w:r w:rsidRPr="00F34FD6">
        <w:rPr>
          <w:rFonts w:eastAsia="Times New Roman" w:cs="Times New Roman"/>
          <w:szCs w:val="24"/>
          <w:lang w:val="fr-CA" w:eastAsia="en-CA"/>
        </w:rPr>
        <w:t xml:space="preserve"> sont l’expression comptable des crédits et des débits.  Avant le projet de loi C</w:t>
      </w:r>
      <w:r>
        <w:rPr>
          <w:rFonts w:eastAsia="Times New Roman" w:cs="Times New Roman"/>
          <w:szCs w:val="24"/>
          <w:lang w:val="fr-CA" w:eastAsia="en-CA"/>
        </w:rPr>
        <w:noBreakHyphen/>
      </w:r>
      <w:r w:rsidRPr="00F34FD6">
        <w:rPr>
          <w:rFonts w:eastAsia="Times New Roman" w:cs="Times New Roman"/>
          <w:szCs w:val="24"/>
          <w:lang w:val="fr-CA" w:eastAsia="en-CA"/>
        </w:rPr>
        <w:t>78, il n’</w:t>
      </w:r>
      <w:r>
        <w:rPr>
          <w:rFonts w:eastAsia="Times New Roman" w:cs="Times New Roman"/>
          <w:szCs w:val="24"/>
          <w:lang w:val="fr-CA" w:eastAsia="en-CA"/>
        </w:rPr>
        <w:t>existait</w:t>
      </w:r>
      <w:r w:rsidRPr="00F34FD6">
        <w:rPr>
          <w:rFonts w:eastAsia="Times New Roman" w:cs="Times New Roman"/>
          <w:szCs w:val="24"/>
          <w:lang w:val="fr-CA" w:eastAsia="en-CA"/>
        </w:rPr>
        <w:t xml:space="preserve"> dans les lois sur les pensions</w:t>
      </w:r>
      <w:r>
        <w:rPr>
          <w:rFonts w:eastAsia="Times New Roman" w:cs="Times New Roman"/>
          <w:szCs w:val="24"/>
          <w:lang w:val="fr-CA" w:eastAsia="en-CA"/>
        </w:rPr>
        <w:t>,</w:t>
      </w:r>
      <w:r w:rsidRPr="00F34FD6">
        <w:rPr>
          <w:rFonts w:eastAsia="Times New Roman" w:cs="Times New Roman"/>
          <w:szCs w:val="24"/>
          <w:lang w:val="fr-CA" w:eastAsia="en-CA"/>
        </w:rPr>
        <w:t xml:space="preserve"> ni dans d’autres lois</w:t>
      </w:r>
      <w:r>
        <w:rPr>
          <w:rFonts w:eastAsia="Times New Roman" w:cs="Times New Roman"/>
          <w:szCs w:val="24"/>
          <w:lang w:val="fr-CA" w:eastAsia="en-CA"/>
        </w:rPr>
        <w:t>,</w:t>
      </w:r>
      <w:r w:rsidRPr="00F34FD6">
        <w:rPr>
          <w:rFonts w:eastAsia="Times New Roman" w:cs="Times New Roman"/>
          <w:szCs w:val="24"/>
          <w:lang w:val="fr-CA" w:eastAsia="en-CA"/>
        </w:rPr>
        <w:t xml:space="preserve"> </w:t>
      </w:r>
      <w:r>
        <w:rPr>
          <w:rFonts w:eastAsia="Times New Roman" w:cs="Times New Roman"/>
          <w:szCs w:val="24"/>
          <w:lang w:val="fr-CA" w:eastAsia="en-CA"/>
        </w:rPr>
        <w:t>aucun</w:t>
      </w:r>
      <w:r w:rsidRPr="00F34FD6">
        <w:rPr>
          <w:rFonts w:eastAsia="Times New Roman" w:cs="Times New Roman"/>
          <w:szCs w:val="24"/>
          <w:lang w:val="fr-CA" w:eastAsia="en-CA"/>
        </w:rPr>
        <w:t xml:space="preserve"> mécanisme pourvoyant au versement de sommes dans une caisse de retraite distincte. </w:t>
      </w:r>
    </w:p>
    <w:p w:rsidR="000F48EC" w:rsidRPr="00F34FD6" w:rsidRDefault="000F48EC" w:rsidP="000F48EC">
      <w:pPr>
        <w:pStyle w:val="ParaNoNdepar-AltN"/>
        <w:rPr>
          <w:rFonts w:eastAsia="Times New Roman" w:cs="Times New Roman"/>
          <w:szCs w:val="24"/>
          <w:lang w:val="fr-CA" w:eastAsia="en-CA"/>
        </w:rPr>
      </w:pPr>
      <w:r w:rsidRPr="001E7CB3">
        <w:rPr>
          <w:lang w:val="fr-CA"/>
        </w:rPr>
        <w:lastRenderedPageBreak/>
        <w:t>Par conséquent, le mot « actif »</w:t>
      </w:r>
      <w:r>
        <w:rPr>
          <w:lang w:val="fr-CA"/>
        </w:rPr>
        <w:t>, dans les lois,</w:t>
      </w:r>
      <w:r w:rsidRPr="001E7CB3">
        <w:rPr>
          <w:lang w:val="fr-CA"/>
        </w:rPr>
        <w:t xml:space="preserve"> ne peut </w:t>
      </w:r>
      <w:r>
        <w:rPr>
          <w:lang w:val="fr-CA"/>
        </w:rPr>
        <w:t xml:space="preserve">pas </w:t>
      </w:r>
      <w:r w:rsidRPr="001E7CB3">
        <w:rPr>
          <w:lang w:val="fr-CA"/>
        </w:rPr>
        <w:t xml:space="preserve">signifier que les comptes de pension de retraite renferment </w:t>
      </w:r>
      <w:r>
        <w:rPr>
          <w:lang w:val="fr-CA"/>
        </w:rPr>
        <w:t>quelque bien que ce soit dans lequel les</w:t>
      </w:r>
      <w:r w:rsidRPr="001E7CB3">
        <w:rPr>
          <w:lang w:val="fr-CA"/>
        </w:rPr>
        <w:t xml:space="preserve"> membres des rég</w:t>
      </w:r>
      <w:r>
        <w:rPr>
          <w:lang w:val="fr-CA"/>
        </w:rPr>
        <w:t>imes pourraient avoir un intérêt.  Je ne s</w:t>
      </w:r>
      <w:r w:rsidRPr="001E7CB3">
        <w:rPr>
          <w:lang w:val="fr-CA"/>
        </w:rPr>
        <w:t xml:space="preserve">uis </w:t>
      </w:r>
      <w:r>
        <w:rPr>
          <w:lang w:val="fr-CA"/>
        </w:rPr>
        <w:t xml:space="preserve">par contre pas d’accord avec </w:t>
      </w:r>
      <w:r w:rsidRPr="001E7CB3">
        <w:rPr>
          <w:lang w:val="fr-CA"/>
        </w:rPr>
        <w:t xml:space="preserve">la </w:t>
      </w:r>
      <w:r>
        <w:rPr>
          <w:lang w:val="fr-CA"/>
        </w:rPr>
        <w:t>Cour d’appel</w:t>
      </w:r>
      <w:r w:rsidRPr="001E7CB3">
        <w:rPr>
          <w:lang w:val="fr-CA"/>
        </w:rPr>
        <w:t xml:space="preserve"> </w:t>
      </w:r>
      <w:r>
        <w:rPr>
          <w:lang w:val="fr-CA"/>
        </w:rPr>
        <w:t>lorsqu’elle avance que</w:t>
      </w:r>
      <w:r w:rsidRPr="001E7CB3">
        <w:rPr>
          <w:lang w:val="fr-CA"/>
        </w:rPr>
        <w:t xml:space="preserve"> l</w:t>
      </w:r>
      <w:r>
        <w:rPr>
          <w:lang w:val="fr-CA"/>
        </w:rPr>
        <w:t>’</w:t>
      </w:r>
      <w:r w:rsidRPr="001E7CB3">
        <w:rPr>
          <w:lang w:val="fr-CA"/>
        </w:rPr>
        <w:t xml:space="preserve">emploi du mot « actif » </w:t>
      </w:r>
      <w:r>
        <w:rPr>
          <w:lang w:val="fr-CA"/>
        </w:rPr>
        <w:t>relève d’</w:t>
      </w:r>
      <w:r w:rsidRPr="001E7CB3">
        <w:rPr>
          <w:lang w:val="fr-CA"/>
        </w:rPr>
        <w:t>une [</w:t>
      </w:r>
      <w:r w:rsidRPr="00B2643C">
        <w:rPr>
          <w:smallCaps/>
          <w:lang w:val="fr-CA"/>
        </w:rPr>
        <w:t>traduction</w:t>
      </w:r>
      <w:r w:rsidRPr="001E7CB3">
        <w:rPr>
          <w:lang w:val="fr-CA"/>
        </w:rPr>
        <w:t xml:space="preserve">] « rédaction </w:t>
      </w:r>
      <w:r>
        <w:rPr>
          <w:lang w:val="fr-CA"/>
        </w:rPr>
        <w:t>approximative » (par. 49)</w:t>
      </w:r>
      <w:r w:rsidRPr="001E7CB3">
        <w:rPr>
          <w:lang w:val="fr-CA"/>
        </w:rPr>
        <w:t>.  Je suis plutôt d</w:t>
      </w:r>
      <w:r>
        <w:rPr>
          <w:lang w:val="fr-CA"/>
        </w:rPr>
        <w:t>’</w:t>
      </w:r>
      <w:r w:rsidRPr="001E7CB3">
        <w:rPr>
          <w:lang w:val="fr-CA"/>
        </w:rPr>
        <w:t xml:space="preserve">avis que, dans les lois sur les pensions et la </w:t>
      </w:r>
      <w:r w:rsidRPr="003C49AC">
        <w:rPr>
          <w:i/>
          <w:lang w:val="fr-CA"/>
        </w:rPr>
        <w:t>LRRPP</w:t>
      </w:r>
      <w:r w:rsidRPr="001E7CB3">
        <w:rPr>
          <w:lang w:val="fr-CA"/>
        </w:rPr>
        <w:t>, le mot « actif » est utilisé dans un autre sens</w:t>
      </w:r>
      <w:r>
        <w:rPr>
          <w:lang w:val="fr-CA"/>
        </w:rPr>
        <w:t> :</w:t>
      </w:r>
      <w:r w:rsidRPr="001E7CB3">
        <w:rPr>
          <w:lang w:val="fr-CA"/>
        </w:rPr>
        <w:t xml:space="preserve"> comme le juge </w:t>
      </w:r>
      <w:proofErr w:type="spellStart"/>
      <w:r w:rsidRPr="001E7CB3">
        <w:rPr>
          <w:lang w:val="fr-CA"/>
        </w:rPr>
        <w:t>Panet</w:t>
      </w:r>
      <w:proofErr w:type="spellEnd"/>
      <w:r w:rsidRPr="001E7CB3">
        <w:rPr>
          <w:lang w:val="fr-CA"/>
        </w:rPr>
        <w:t xml:space="preserve"> l</w:t>
      </w:r>
      <w:r>
        <w:rPr>
          <w:lang w:val="fr-CA"/>
        </w:rPr>
        <w:t>’</w:t>
      </w:r>
      <w:r w:rsidRPr="001E7CB3">
        <w:rPr>
          <w:lang w:val="fr-CA"/>
        </w:rPr>
        <w:t>a indiqué au sujet des rapports actuariels pér</w:t>
      </w:r>
      <w:r>
        <w:rPr>
          <w:lang w:val="fr-CA"/>
        </w:rPr>
        <w:t>iodiques soumis au Parlement, le terme « </w:t>
      </w:r>
      <w:r w:rsidRPr="001E7CB3">
        <w:rPr>
          <w:lang w:val="fr-CA"/>
        </w:rPr>
        <w:t xml:space="preserve">actif » renvoie aux soldes créditeurs des </w:t>
      </w:r>
      <w:r>
        <w:rPr>
          <w:lang w:val="fr-CA"/>
        </w:rPr>
        <w:t>comptes de pension de retraite (par. </w:t>
      </w:r>
      <w:r w:rsidRPr="001E7CB3">
        <w:rPr>
          <w:lang w:val="fr-CA"/>
        </w:rPr>
        <w:t>228</w:t>
      </w:r>
      <w:r>
        <w:rPr>
          <w:lang w:val="fr-CA"/>
        </w:rPr>
        <w:t>)</w:t>
      </w:r>
      <w:r w:rsidRPr="001E7CB3">
        <w:rPr>
          <w:lang w:val="fr-CA"/>
        </w:rPr>
        <w:t xml:space="preserve">.  </w:t>
      </w:r>
      <w:r>
        <w:rPr>
          <w:lang w:val="fr-CA"/>
        </w:rPr>
        <w:t>Selon moi, i</w:t>
      </w:r>
      <w:r w:rsidRPr="001E7CB3">
        <w:rPr>
          <w:lang w:val="fr-CA"/>
        </w:rPr>
        <w:t xml:space="preserve">l en est de même pour les dispositions législatives.  </w:t>
      </w:r>
      <w:r>
        <w:rPr>
          <w:lang w:val="fr-CA"/>
        </w:rPr>
        <w:t xml:space="preserve">Il s’agit simplement d’une question de </w:t>
      </w:r>
      <w:r w:rsidRPr="001E7CB3">
        <w:rPr>
          <w:lang w:val="fr-CA"/>
        </w:rPr>
        <w:t>définition.</w:t>
      </w:r>
    </w:p>
    <w:p w:rsidR="000F48EC" w:rsidRPr="001E7CB3" w:rsidRDefault="000F48EC" w:rsidP="003C49AC">
      <w:pPr>
        <w:pStyle w:val="TitleTitre-AltT"/>
        <w:keepNext/>
        <w:tabs>
          <w:tab w:val="clear" w:pos="360"/>
          <w:tab w:val="left" w:pos="540"/>
        </w:tabs>
        <w:ind w:left="1170" w:hanging="1170"/>
        <w:rPr>
          <w:szCs w:val="24"/>
          <w:lang w:val="fr-CA"/>
        </w:rPr>
      </w:pPr>
      <w:r>
        <w:rPr>
          <w:i/>
          <w:szCs w:val="24"/>
          <w:lang w:val="fr-CA"/>
        </w:rPr>
        <w:tab/>
      </w:r>
      <w:r>
        <w:rPr>
          <w:szCs w:val="24"/>
          <w:lang w:val="fr-CA"/>
        </w:rPr>
        <w:t>(4)</w:t>
      </w:r>
      <w:r>
        <w:rPr>
          <w:szCs w:val="24"/>
          <w:lang w:val="fr-CA"/>
        </w:rPr>
        <w:tab/>
      </w:r>
      <w:r w:rsidRPr="001C7D3E">
        <w:rPr>
          <w:szCs w:val="24"/>
          <w:u w:val="single"/>
          <w:lang w:val="fr-CA"/>
        </w:rPr>
        <w:t>Moyens extrinsèques</w:t>
      </w:r>
    </w:p>
    <w:p w:rsidR="000F48EC" w:rsidRPr="001E7CB3" w:rsidRDefault="000F48EC" w:rsidP="000F48EC">
      <w:pPr>
        <w:pStyle w:val="ParaNoNdepar-AltN"/>
        <w:rPr>
          <w:lang w:val="fr-CA"/>
        </w:rPr>
      </w:pPr>
      <w:r w:rsidRPr="001E7CB3">
        <w:rPr>
          <w:lang w:val="fr-CA"/>
        </w:rPr>
        <w:t>Les appelants citent de nombreu</w:t>
      </w:r>
      <w:r>
        <w:rPr>
          <w:lang w:val="fr-CA"/>
        </w:rPr>
        <w:t xml:space="preserve">ses déclarations </w:t>
      </w:r>
      <w:r w:rsidRPr="001E7CB3">
        <w:rPr>
          <w:lang w:val="fr-CA"/>
        </w:rPr>
        <w:t xml:space="preserve">du gouvernement indiquant que les comptes de pension de retraite renferment des </w:t>
      </w:r>
      <w:r>
        <w:rPr>
          <w:lang w:val="fr-CA"/>
        </w:rPr>
        <w:t>éléments d’</w:t>
      </w:r>
      <w:r w:rsidRPr="001E7CB3">
        <w:rPr>
          <w:lang w:val="fr-CA"/>
        </w:rPr>
        <w:t xml:space="preserve">actif.  </w:t>
      </w:r>
      <w:r>
        <w:rPr>
          <w:lang w:val="fr-CA"/>
        </w:rPr>
        <w:t xml:space="preserve">L’arrêt </w:t>
      </w:r>
      <w:r w:rsidRPr="001E7CB3">
        <w:rPr>
          <w:i/>
          <w:lang w:val="fr-CA"/>
        </w:rPr>
        <w:t>Schmidt</w:t>
      </w:r>
      <w:r w:rsidRPr="001E7CB3">
        <w:rPr>
          <w:lang w:val="fr-CA"/>
        </w:rPr>
        <w:t xml:space="preserve"> </w:t>
      </w:r>
      <w:r>
        <w:rPr>
          <w:lang w:val="fr-CA"/>
        </w:rPr>
        <w:t xml:space="preserve">est la décision qui fait autorité relativement à </w:t>
      </w:r>
      <w:r w:rsidRPr="001E7CB3">
        <w:rPr>
          <w:lang w:val="fr-CA"/>
        </w:rPr>
        <w:t>l</w:t>
      </w:r>
      <w:r>
        <w:rPr>
          <w:lang w:val="fr-CA"/>
        </w:rPr>
        <w:t>’</w:t>
      </w:r>
      <w:r w:rsidRPr="001E7CB3">
        <w:rPr>
          <w:lang w:val="fr-CA"/>
        </w:rPr>
        <w:t>utilisation de tels écrits</w:t>
      </w:r>
      <w:r>
        <w:rPr>
          <w:lang w:val="fr-CA"/>
        </w:rPr>
        <w:t xml:space="preserve">. </w:t>
      </w:r>
      <w:r w:rsidRPr="001E7CB3">
        <w:rPr>
          <w:lang w:val="fr-CA"/>
        </w:rPr>
        <w:t xml:space="preserve"> </w:t>
      </w:r>
      <w:r>
        <w:rPr>
          <w:lang w:val="fr-CA"/>
        </w:rPr>
        <w:t>L</w:t>
      </w:r>
      <w:r w:rsidRPr="001E7CB3">
        <w:rPr>
          <w:lang w:val="fr-CA"/>
        </w:rPr>
        <w:t xml:space="preserve">e juge Cory </w:t>
      </w:r>
      <w:r>
        <w:rPr>
          <w:lang w:val="fr-CA"/>
        </w:rPr>
        <w:t>explique ce qui suit :</w:t>
      </w:r>
    </w:p>
    <w:p w:rsidR="000F48EC" w:rsidRPr="001E7CB3" w:rsidRDefault="000F48EC" w:rsidP="003C49AC">
      <w:pPr>
        <w:pStyle w:val="Citation-AltC"/>
        <w:tabs>
          <w:tab w:val="left" w:pos="1620"/>
        </w:tabs>
        <w:ind w:hanging="1166"/>
        <w:rPr>
          <w:b/>
          <w:lang w:val="fr-CA"/>
        </w:rPr>
      </w:pPr>
      <w:bookmarkStart w:id="0" w:name="_Toc315784291"/>
      <w:r>
        <w:rPr>
          <w:lang w:val="fr-CA"/>
        </w:rPr>
        <w:tab/>
      </w:r>
      <w:r>
        <w:rPr>
          <w:lang w:val="fr-CA"/>
        </w:rPr>
        <w:tab/>
      </w:r>
      <w:r w:rsidRPr="001E7CB3">
        <w:rPr>
          <w:lang w:val="fr-CA"/>
        </w:rPr>
        <w:t>Les documents qui ne sont pas considérés normalement comme ayant un effet juridique peuvent néanmoins faire partie de la structure juridique dans laquelle les droits des employeurs et des employés cotisant à un régime de retraite doivent être déterminés.  La question de savoir s</w:t>
      </w:r>
      <w:r>
        <w:rPr>
          <w:lang w:val="fr-CA"/>
        </w:rPr>
        <w:t>’</w:t>
      </w:r>
      <w:r w:rsidRPr="001E7CB3">
        <w:rPr>
          <w:lang w:val="fr-CA"/>
        </w:rPr>
        <w:t>ils en font partie dépend du texte des documents, des circonstances dans lesquelles ils ont été rédigés et de l</w:t>
      </w:r>
      <w:r>
        <w:rPr>
          <w:lang w:val="fr-CA"/>
        </w:rPr>
        <w:t>’</w:t>
      </w:r>
      <w:r w:rsidRPr="001E7CB3">
        <w:rPr>
          <w:lang w:val="fr-CA"/>
        </w:rPr>
        <w:t>incidence qu</w:t>
      </w:r>
      <w:r>
        <w:rPr>
          <w:lang w:val="fr-CA"/>
        </w:rPr>
        <w:t>’</w:t>
      </w:r>
      <w:r w:rsidRPr="001E7CB3">
        <w:rPr>
          <w:lang w:val="fr-CA"/>
        </w:rPr>
        <w:t xml:space="preserve">ils ont </w:t>
      </w:r>
      <w:r>
        <w:rPr>
          <w:lang w:val="fr-CA"/>
        </w:rPr>
        <w:t>eue</w:t>
      </w:r>
      <w:r w:rsidRPr="001E7CB3">
        <w:rPr>
          <w:lang w:val="fr-CA"/>
        </w:rPr>
        <w:t xml:space="preserve"> sur les parties, particulièrement sur les employés.  [</w:t>
      </w:r>
      <w:r>
        <w:rPr>
          <w:lang w:val="fr-CA"/>
        </w:rPr>
        <w:t>p. </w:t>
      </w:r>
      <w:r w:rsidRPr="00AC1249">
        <w:rPr>
          <w:lang w:val="fr-CA"/>
        </w:rPr>
        <w:t>669</w:t>
      </w:r>
      <w:r w:rsidRPr="001E7CB3">
        <w:rPr>
          <w:lang w:val="fr-CA"/>
        </w:rPr>
        <w:t>]</w:t>
      </w:r>
      <w:bookmarkEnd w:id="0"/>
    </w:p>
    <w:p w:rsidR="000F48EC" w:rsidRPr="001E7CB3" w:rsidRDefault="000F48EC" w:rsidP="000F48EC">
      <w:pPr>
        <w:pStyle w:val="ParaNoNdepar-AltN"/>
        <w:rPr>
          <w:rFonts w:cs="Times New Roman"/>
          <w:szCs w:val="24"/>
          <w:lang w:val="fr-CA"/>
        </w:rPr>
      </w:pPr>
      <w:r w:rsidRPr="001E7CB3">
        <w:rPr>
          <w:lang w:val="fr-CA"/>
        </w:rPr>
        <w:lastRenderedPageBreak/>
        <w:t xml:space="preserve">Dans </w:t>
      </w:r>
      <w:r w:rsidRPr="001E7CB3">
        <w:rPr>
          <w:i/>
          <w:lang w:val="fr-CA"/>
        </w:rPr>
        <w:t>Burke</w:t>
      </w:r>
      <w:r w:rsidRPr="001E7CB3">
        <w:rPr>
          <w:lang w:val="fr-CA"/>
        </w:rPr>
        <w:t xml:space="preserve">, toutefois, notre Cour a </w:t>
      </w:r>
      <w:r>
        <w:rPr>
          <w:lang w:val="fr-CA"/>
        </w:rPr>
        <w:t>statué</w:t>
      </w:r>
      <w:r w:rsidRPr="001E7CB3">
        <w:rPr>
          <w:lang w:val="fr-CA"/>
        </w:rPr>
        <w:t xml:space="preserve"> que</w:t>
      </w:r>
      <w:r>
        <w:rPr>
          <w:lang w:val="fr-CA"/>
        </w:rPr>
        <w:t>,</w:t>
      </w:r>
      <w:r w:rsidRPr="001E7CB3">
        <w:rPr>
          <w:lang w:val="fr-CA"/>
        </w:rPr>
        <w:t xml:space="preserve"> lorsqu</w:t>
      </w:r>
      <w:r>
        <w:rPr>
          <w:lang w:val="fr-CA"/>
        </w:rPr>
        <w:t>e</w:t>
      </w:r>
      <w:r w:rsidRPr="001E7CB3">
        <w:rPr>
          <w:lang w:val="fr-CA"/>
        </w:rPr>
        <w:t xml:space="preserve"> les dispositions </w:t>
      </w:r>
      <w:r>
        <w:rPr>
          <w:lang w:val="fr-CA"/>
        </w:rPr>
        <w:t>pertinentes des</w:t>
      </w:r>
      <w:r w:rsidRPr="001E7CB3">
        <w:rPr>
          <w:lang w:val="fr-CA"/>
        </w:rPr>
        <w:t xml:space="preserve"> régimes</w:t>
      </w:r>
      <w:r>
        <w:rPr>
          <w:lang w:val="fr-CA"/>
        </w:rPr>
        <w:t xml:space="preserve"> ne sont pas ambiguës</w:t>
      </w:r>
      <w:r w:rsidRPr="001E7CB3">
        <w:rPr>
          <w:lang w:val="fr-CA"/>
        </w:rPr>
        <w:t>, il n</w:t>
      </w:r>
      <w:r>
        <w:rPr>
          <w:lang w:val="fr-CA"/>
        </w:rPr>
        <w:t>’</w:t>
      </w:r>
      <w:r w:rsidRPr="001E7CB3">
        <w:rPr>
          <w:lang w:val="fr-CA"/>
        </w:rPr>
        <w:t>est pas nécessaire de recourir à d</w:t>
      </w:r>
      <w:r>
        <w:rPr>
          <w:lang w:val="fr-CA"/>
        </w:rPr>
        <w:t>’</w:t>
      </w:r>
      <w:r w:rsidRPr="001E7CB3">
        <w:rPr>
          <w:lang w:val="fr-CA"/>
        </w:rPr>
        <w:t>autres documents (dans cette affaire, des brochures de l</w:t>
      </w:r>
      <w:r>
        <w:rPr>
          <w:lang w:val="fr-CA"/>
        </w:rPr>
        <w:t>’</w:t>
      </w:r>
      <w:r w:rsidRPr="001E7CB3">
        <w:rPr>
          <w:lang w:val="fr-CA"/>
        </w:rPr>
        <w:t>employeur au sujet du régime) comme outil</w:t>
      </w:r>
      <w:r>
        <w:rPr>
          <w:lang w:val="fr-CA"/>
        </w:rPr>
        <w:t>s</w:t>
      </w:r>
      <w:r w:rsidRPr="001E7CB3">
        <w:rPr>
          <w:lang w:val="fr-CA"/>
        </w:rPr>
        <w:t xml:space="preserve"> d</w:t>
      </w:r>
      <w:r>
        <w:rPr>
          <w:lang w:val="fr-CA"/>
        </w:rPr>
        <w:t>’</w:t>
      </w:r>
      <w:r w:rsidRPr="001E7CB3">
        <w:rPr>
          <w:lang w:val="fr-CA"/>
        </w:rPr>
        <w:t>interprétation.</w:t>
      </w:r>
    </w:p>
    <w:p w:rsidR="000F48EC" w:rsidRPr="001E7CB3" w:rsidRDefault="000F48EC" w:rsidP="000F48EC">
      <w:pPr>
        <w:pStyle w:val="ParaNoNdepar-AltN"/>
        <w:rPr>
          <w:lang w:val="fr-CA"/>
        </w:rPr>
      </w:pPr>
      <w:r w:rsidRPr="001E7CB3">
        <w:rPr>
          <w:lang w:val="fr-CA"/>
        </w:rPr>
        <w:t xml:space="preserve">Les </w:t>
      </w:r>
      <w:r>
        <w:rPr>
          <w:lang w:val="fr-CA"/>
        </w:rPr>
        <w:t>décisions</w:t>
      </w:r>
      <w:r w:rsidRPr="001E7CB3">
        <w:rPr>
          <w:lang w:val="fr-CA"/>
        </w:rPr>
        <w:t xml:space="preserve"> </w:t>
      </w:r>
      <w:r w:rsidRPr="001E7CB3">
        <w:rPr>
          <w:i/>
          <w:lang w:val="fr-CA"/>
        </w:rPr>
        <w:t>Schmidt</w:t>
      </w:r>
      <w:r w:rsidRPr="001E7CB3">
        <w:rPr>
          <w:lang w:val="fr-CA"/>
        </w:rPr>
        <w:t xml:space="preserve"> et </w:t>
      </w:r>
      <w:r w:rsidRPr="001E7CB3">
        <w:rPr>
          <w:i/>
          <w:lang w:val="fr-CA"/>
        </w:rPr>
        <w:t>Burke</w:t>
      </w:r>
      <w:r w:rsidRPr="001E7CB3">
        <w:rPr>
          <w:lang w:val="fr-CA"/>
        </w:rPr>
        <w:t xml:space="preserve"> </w:t>
      </w:r>
      <w:r>
        <w:rPr>
          <w:lang w:val="fr-CA"/>
        </w:rPr>
        <w:t>ont été rendues dans un contexte de</w:t>
      </w:r>
      <w:r w:rsidRPr="001E7CB3">
        <w:rPr>
          <w:lang w:val="fr-CA"/>
        </w:rPr>
        <w:t xml:space="preserve"> droit privé.  </w:t>
      </w:r>
      <w:r>
        <w:rPr>
          <w:lang w:val="fr-CA"/>
        </w:rPr>
        <w:t xml:space="preserve">Les </w:t>
      </w:r>
      <w:r w:rsidRPr="001E7CB3">
        <w:rPr>
          <w:lang w:val="fr-CA"/>
        </w:rPr>
        <w:t xml:space="preserve">régimes </w:t>
      </w:r>
      <w:r>
        <w:rPr>
          <w:lang w:val="fr-CA"/>
        </w:rPr>
        <w:t>en l’espèce étant</w:t>
      </w:r>
      <w:r w:rsidRPr="001E7CB3">
        <w:rPr>
          <w:lang w:val="fr-CA"/>
        </w:rPr>
        <w:t xml:space="preserve"> d</w:t>
      </w:r>
      <w:r>
        <w:rPr>
          <w:lang w:val="fr-CA"/>
        </w:rPr>
        <w:t>’</w:t>
      </w:r>
      <w:r w:rsidRPr="001E7CB3">
        <w:rPr>
          <w:lang w:val="fr-CA"/>
        </w:rPr>
        <w:t>origine législative</w:t>
      </w:r>
      <w:r>
        <w:rPr>
          <w:lang w:val="fr-CA"/>
        </w:rPr>
        <w:t>, les éléments à considérer ne sont pas les mêmes</w:t>
      </w:r>
      <w:r w:rsidRPr="001E7CB3">
        <w:rPr>
          <w:lang w:val="fr-CA"/>
        </w:rPr>
        <w:t>.  Plus précisément, il faut examiner le</w:t>
      </w:r>
      <w:r>
        <w:rPr>
          <w:lang w:val="fr-CA"/>
        </w:rPr>
        <w:t xml:space="preserve"> droit relatif à la preuve </w:t>
      </w:r>
      <w:r w:rsidRPr="001E7CB3">
        <w:rPr>
          <w:lang w:val="fr-CA"/>
        </w:rPr>
        <w:t>extrinsèque dans l</w:t>
      </w:r>
      <w:r>
        <w:rPr>
          <w:lang w:val="fr-CA"/>
        </w:rPr>
        <w:t>’</w:t>
      </w:r>
      <w:r w:rsidRPr="001E7CB3">
        <w:rPr>
          <w:lang w:val="fr-CA"/>
        </w:rPr>
        <w:t xml:space="preserve">interprétation des lois. </w:t>
      </w:r>
    </w:p>
    <w:p w:rsidR="000F48EC" w:rsidRPr="001E7CB3" w:rsidRDefault="000F48EC" w:rsidP="000F48EC">
      <w:pPr>
        <w:pStyle w:val="ParaNoNdepar-AltN"/>
        <w:rPr>
          <w:lang w:val="fr-CA"/>
        </w:rPr>
      </w:pPr>
      <w:r w:rsidRPr="001E7CB3">
        <w:rPr>
          <w:lang w:val="fr-CA"/>
        </w:rPr>
        <w:t>Comme notre Cour l</w:t>
      </w:r>
      <w:r>
        <w:rPr>
          <w:lang w:val="fr-CA"/>
        </w:rPr>
        <w:t>’</w:t>
      </w:r>
      <w:r w:rsidRPr="001E7CB3">
        <w:rPr>
          <w:lang w:val="fr-CA"/>
        </w:rPr>
        <w:t xml:space="preserve">a répété dans </w:t>
      </w:r>
      <w:r w:rsidRPr="001E7CB3">
        <w:rPr>
          <w:i/>
          <w:lang w:val="fr-CA"/>
        </w:rPr>
        <w:t xml:space="preserve">Bell </w:t>
      </w:r>
      <w:proofErr w:type="spellStart"/>
      <w:r w:rsidRPr="001E7CB3">
        <w:rPr>
          <w:i/>
          <w:lang w:val="fr-CA"/>
        </w:rPr>
        <w:t>ExpressVu</w:t>
      </w:r>
      <w:proofErr w:type="spellEnd"/>
      <w:r w:rsidRPr="001E7CB3">
        <w:rPr>
          <w:i/>
          <w:lang w:val="fr-CA"/>
        </w:rPr>
        <w:t xml:space="preserve"> Limited </w:t>
      </w:r>
      <w:proofErr w:type="spellStart"/>
      <w:r w:rsidRPr="001E7CB3">
        <w:rPr>
          <w:i/>
          <w:lang w:val="fr-CA"/>
        </w:rPr>
        <w:t>Partnership</w:t>
      </w:r>
      <w:proofErr w:type="spellEnd"/>
      <w:r w:rsidRPr="001E7CB3">
        <w:rPr>
          <w:i/>
          <w:lang w:val="fr-CA"/>
        </w:rPr>
        <w:t xml:space="preserve"> c. Rex</w:t>
      </w:r>
      <w:r w:rsidRPr="001E7CB3">
        <w:rPr>
          <w:lang w:val="fr-CA"/>
        </w:rPr>
        <w:t>, 2002 CSC 42, [2002] 2 R.C.S. 559, « [c]</w:t>
      </w:r>
      <w:r>
        <w:rPr>
          <w:lang w:val="fr-CA"/>
        </w:rPr>
        <w:t>’</w:t>
      </w:r>
      <w:r w:rsidRPr="001E7CB3">
        <w:rPr>
          <w:lang w:val="fr-CA"/>
        </w:rPr>
        <w:t>est uniquement lorsque deux ou plusieurs interprétations plausibles, qui s</w:t>
      </w:r>
      <w:r>
        <w:rPr>
          <w:lang w:val="fr-CA"/>
        </w:rPr>
        <w:t>’</w:t>
      </w:r>
      <w:r w:rsidRPr="001E7CB3">
        <w:rPr>
          <w:lang w:val="fr-CA"/>
        </w:rPr>
        <w:t>harmonisent chacune également avec l</w:t>
      </w:r>
      <w:r>
        <w:rPr>
          <w:lang w:val="fr-CA"/>
        </w:rPr>
        <w:t>’</w:t>
      </w:r>
      <w:r w:rsidRPr="001E7CB3">
        <w:rPr>
          <w:lang w:val="fr-CA"/>
        </w:rPr>
        <w:t>intention du législateur, créent une ambiguïté véritable que les tribunaux doivent recourir à des moyens d</w:t>
      </w:r>
      <w:r>
        <w:rPr>
          <w:lang w:val="fr-CA"/>
        </w:rPr>
        <w:t>’</w:t>
      </w:r>
      <w:r w:rsidRPr="001E7CB3">
        <w:rPr>
          <w:lang w:val="fr-CA"/>
        </w:rPr>
        <w:t>interprétation externes</w:t>
      </w:r>
      <w:r>
        <w:rPr>
          <w:lang w:val="fr-CA"/>
        </w:rPr>
        <w:t> » (par. </w:t>
      </w:r>
      <w:r w:rsidRPr="001E7CB3">
        <w:rPr>
          <w:lang w:val="fr-CA"/>
        </w:rPr>
        <w:t xml:space="preserve">29 </w:t>
      </w:r>
      <w:r>
        <w:rPr>
          <w:lang w:val="fr-CA"/>
        </w:rPr>
        <w:t xml:space="preserve">(soulignement omis), </w:t>
      </w:r>
      <w:r w:rsidRPr="001E7CB3">
        <w:rPr>
          <w:lang w:val="fr-CA"/>
        </w:rPr>
        <w:t xml:space="preserve">citant </w:t>
      </w:r>
      <w:proofErr w:type="spellStart"/>
      <w:r w:rsidR="00106FB9">
        <w:rPr>
          <w:i/>
          <w:lang w:val="fr-CA"/>
        </w:rPr>
        <w:t>Canadian</w:t>
      </w:r>
      <w:r w:rsidRPr="001E7CB3">
        <w:rPr>
          <w:i/>
          <w:lang w:val="fr-CA"/>
        </w:rPr>
        <w:t>Oxy</w:t>
      </w:r>
      <w:proofErr w:type="spellEnd"/>
      <w:r w:rsidRPr="001E7CB3">
        <w:rPr>
          <w:i/>
          <w:lang w:val="fr-CA"/>
        </w:rPr>
        <w:t xml:space="preserve"> </w:t>
      </w:r>
      <w:proofErr w:type="spellStart"/>
      <w:r w:rsidRPr="001E7CB3">
        <w:rPr>
          <w:i/>
          <w:lang w:val="fr-CA"/>
        </w:rPr>
        <w:t>Chemicals</w:t>
      </w:r>
      <w:proofErr w:type="spellEnd"/>
      <w:r w:rsidRPr="001E7CB3">
        <w:rPr>
          <w:i/>
          <w:lang w:val="fr-CA"/>
        </w:rPr>
        <w:t xml:space="preserve"> Ltd. c. Canada (Procureur général)</w:t>
      </w:r>
      <w:r w:rsidRPr="001E7CB3">
        <w:rPr>
          <w:lang w:val="fr-CA"/>
        </w:rPr>
        <w:t xml:space="preserve">, [1999] 1 R.C.S. 743, </w:t>
      </w:r>
      <w:r>
        <w:rPr>
          <w:lang w:val="fr-CA"/>
        </w:rPr>
        <w:t>par. </w:t>
      </w:r>
      <w:r w:rsidRPr="001E7CB3">
        <w:rPr>
          <w:lang w:val="fr-CA"/>
        </w:rPr>
        <w:t>14</w:t>
      </w:r>
      <w:r>
        <w:rPr>
          <w:lang w:val="fr-CA"/>
        </w:rPr>
        <w:t>)</w:t>
      </w:r>
      <w:r w:rsidRPr="001E7CB3">
        <w:rPr>
          <w:lang w:val="fr-CA"/>
        </w:rPr>
        <w:t>.</w:t>
      </w:r>
    </w:p>
    <w:p w:rsidR="000F48EC" w:rsidRPr="001E7CB3" w:rsidRDefault="000F48EC" w:rsidP="000F48EC">
      <w:pPr>
        <w:pStyle w:val="ParaNoNdepar-AltN"/>
        <w:rPr>
          <w:lang w:val="fr-CA"/>
        </w:rPr>
      </w:pPr>
      <w:r w:rsidRPr="001E7CB3">
        <w:rPr>
          <w:lang w:val="fr-CA"/>
        </w:rPr>
        <w:t>J</w:t>
      </w:r>
      <w:r>
        <w:rPr>
          <w:lang w:val="fr-CA"/>
        </w:rPr>
        <w:t>’</w:t>
      </w:r>
      <w:r w:rsidRPr="001E7CB3">
        <w:rPr>
          <w:lang w:val="fr-CA"/>
        </w:rPr>
        <w:t xml:space="preserve">ai </w:t>
      </w:r>
      <w:r>
        <w:rPr>
          <w:lang w:val="fr-CA"/>
        </w:rPr>
        <w:t>conclu</w:t>
      </w:r>
      <w:r w:rsidRPr="001E7CB3">
        <w:rPr>
          <w:lang w:val="fr-CA"/>
        </w:rPr>
        <w:t xml:space="preserve"> que les lois sur les pensions exigent que les comptes de pension de retraite servent </w:t>
      </w:r>
      <w:r>
        <w:rPr>
          <w:lang w:val="fr-CA"/>
        </w:rPr>
        <w:t>de</w:t>
      </w:r>
      <w:r w:rsidRPr="001E7CB3">
        <w:rPr>
          <w:lang w:val="fr-CA"/>
        </w:rPr>
        <w:t xml:space="preserve"> documents comptables </w:t>
      </w:r>
      <w:r>
        <w:rPr>
          <w:lang w:val="fr-CA"/>
        </w:rPr>
        <w:t>pour le suivi des</w:t>
      </w:r>
      <w:r w:rsidRPr="001E7CB3">
        <w:rPr>
          <w:lang w:val="fr-CA"/>
        </w:rPr>
        <w:t xml:space="preserve"> </w:t>
      </w:r>
      <w:r>
        <w:rPr>
          <w:lang w:val="fr-CA"/>
        </w:rPr>
        <w:t>sommes qui sont déposées au Trésor ou en sont retirées au titre des pensions.</w:t>
      </w:r>
      <w:r w:rsidRPr="001E7CB3">
        <w:rPr>
          <w:lang w:val="fr-CA"/>
        </w:rPr>
        <w:t xml:space="preserve"> </w:t>
      </w:r>
      <w:r>
        <w:rPr>
          <w:lang w:val="fr-CA"/>
        </w:rPr>
        <w:t xml:space="preserve"> E</w:t>
      </w:r>
      <w:r w:rsidRPr="001E7CB3">
        <w:rPr>
          <w:lang w:val="fr-CA"/>
        </w:rPr>
        <w:t>lles n</w:t>
      </w:r>
      <w:r>
        <w:rPr>
          <w:lang w:val="fr-CA"/>
        </w:rPr>
        <w:t>’</w:t>
      </w:r>
      <w:r w:rsidRPr="001E7CB3">
        <w:rPr>
          <w:lang w:val="fr-CA"/>
        </w:rPr>
        <w:t xml:space="preserve">exigent pas </w:t>
      </w:r>
      <w:r>
        <w:rPr>
          <w:lang w:val="fr-CA"/>
        </w:rPr>
        <w:t>qu’ils constituent des</w:t>
      </w:r>
      <w:r w:rsidRPr="001E7CB3">
        <w:rPr>
          <w:lang w:val="fr-CA"/>
        </w:rPr>
        <w:t xml:space="preserve"> comptes distincts capitalisés </w:t>
      </w:r>
      <w:r>
        <w:rPr>
          <w:lang w:val="fr-CA"/>
        </w:rPr>
        <w:t>dans lesquels des fonds</w:t>
      </w:r>
      <w:r w:rsidRPr="001E7CB3">
        <w:rPr>
          <w:lang w:val="fr-CA"/>
        </w:rPr>
        <w:t xml:space="preserve"> sont </w:t>
      </w:r>
      <w:r>
        <w:rPr>
          <w:lang w:val="fr-CA"/>
        </w:rPr>
        <w:t xml:space="preserve">effectivement </w:t>
      </w:r>
      <w:r w:rsidRPr="001E7CB3">
        <w:rPr>
          <w:lang w:val="fr-CA"/>
        </w:rPr>
        <w:t xml:space="preserve">versés ou </w:t>
      </w:r>
      <w:r>
        <w:rPr>
          <w:lang w:val="fr-CA"/>
        </w:rPr>
        <w:t>prélevés; les lois n’exigent donc pas qu’ils contiennent des éléments d’actif</w:t>
      </w:r>
      <w:r w:rsidRPr="001E7CB3">
        <w:rPr>
          <w:lang w:val="fr-CA"/>
        </w:rPr>
        <w:t>.  Le</w:t>
      </w:r>
      <w:r>
        <w:rPr>
          <w:lang w:val="fr-CA"/>
        </w:rPr>
        <w:t xml:space="preserve"> libellé des textes</w:t>
      </w:r>
      <w:r w:rsidRPr="001E7CB3">
        <w:rPr>
          <w:lang w:val="fr-CA"/>
        </w:rPr>
        <w:t xml:space="preserve"> législatifs </w:t>
      </w:r>
      <w:r>
        <w:rPr>
          <w:lang w:val="fr-CA"/>
        </w:rPr>
        <w:t>es</w:t>
      </w:r>
      <w:r w:rsidRPr="001E7CB3">
        <w:rPr>
          <w:lang w:val="fr-CA"/>
        </w:rPr>
        <w:t xml:space="preserve">t </w:t>
      </w:r>
      <w:r>
        <w:rPr>
          <w:lang w:val="fr-CA"/>
        </w:rPr>
        <w:t>très</w:t>
      </w:r>
      <w:r w:rsidRPr="001E7CB3">
        <w:rPr>
          <w:lang w:val="fr-CA"/>
        </w:rPr>
        <w:t xml:space="preserve"> cohérent</w:t>
      </w:r>
      <w:r>
        <w:rPr>
          <w:lang w:val="fr-CA"/>
        </w:rPr>
        <w:t> :</w:t>
      </w:r>
      <w:r w:rsidRPr="001E7CB3">
        <w:rPr>
          <w:lang w:val="fr-CA"/>
        </w:rPr>
        <w:t xml:space="preserve"> le </w:t>
      </w:r>
      <w:r>
        <w:rPr>
          <w:lang w:val="fr-CA"/>
        </w:rPr>
        <w:t>terme</w:t>
      </w:r>
      <w:r w:rsidRPr="001E7CB3">
        <w:rPr>
          <w:lang w:val="fr-CA"/>
        </w:rPr>
        <w:t xml:space="preserve"> « actif » </w:t>
      </w:r>
      <w:r w:rsidRPr="001E7CB3">
        <w:rPr>
          <w:lang w:val="fr-CA"/>
        </w:rPr>
        <w:lastRenderedPageBreak/>
        <w:t xml:space="preserve">revêt simplement un sens particulier dans les lois, celui de solde créditeur des comptes.  Toutefois, </w:t>
      </w:r>
      <w:r>
        <w:rPr>
          <w:lang w:val="fr-CA"/>
        </w:rPr>
        <w:t>même en supposant qu’il convienne de recourir</w:t>
      </w:r>
      <w:r w:rsidRPr="001E7CB3">
        <w:rPr>
          <w:lang w:val="fr-CA"/>
        </w:rPr>
        <w:t xml:space="preserve"> à des moyens extrinsèques, </w:t>
      </w:r>
      <w:proofErr w:type="spellStart"/>
      <w:r>
        <w:rPr>
          <w:lang w:val="fr-CA"/>
        </w:rPr>
        <w:t>ceux</w:t>
      </w:r>
      <w:r>
        <w:rPr>
          <w:lang w:val="fr-CA"/>
        </w:rPr>
        <w:noBreakHyphen/>
        <w:t>ci</w:t>
      </w:r>
      <w:proofErr w:type="spellEnd"/>
      <w:r>
        <w:rPr>
          <w:lang w:val="fr-CA"/>
        </w:rPr>
        <w:t xml:space="preserve"> ne se</w:t>
      </w:r>
      <w:r w:rsidRPr="001E7CB3">
        <w:rPr>
          <w:lang w:val="fr-CA"/>
        </w:rPr>
        <w:t>raient d</w:t>
      </w:r>
      <w:r>
        <w:rPr>
          <w:lang w:val="fr-CA"/>
        </w:rPr>
        <w:t>’</w:t>
      </w:r>
      <w:r w:rsidRPr="001E7CB3">
        <w:rPr>
          <w:lang w:val="fr-CA"/>
        </w:rPr>
        <w:t xml:space="preserve">aucun secours aux appelants pour les raisons </w:t>
      </w:r>
      <w:r>
        <w:rPr>
          <w:lang w:val="fr-CA"/>
        </w:rPr>
        <w:t>qui suivent</w:t>
      </w:r>
      <w:r w:rsidRPr="001E7CB3">
        <w:rPr>
          <w:lang w:val="fr-CA"/>
        </w:rPr>
        <w:t xml:space="preserve">. </w:t>
      </w:r>
    </w:p>
    <w:p w:rsidR="000F48EC" w:rsidRPr="001E7CB3" w:rsidRDefault="000F48EC" w:rsidP="000F48EC">
      <w:pPr>
        <w:pStyle w:val="ParaNoNdepar-AltN"/>
        <w:rPr>
          <w:lang w:val="fr-CA"/>
        </w:rPr>
      </w:pPr>
      <w:r w:rsidRPr="001E7CB3">
        <w:rPr>
          <w:lang w:val="fr-CA"/>
        </w:rPr>
        <w:t xml:space="preserve">Les appelants ont soumis des documents qui ont été préparés </w:t>
      </w:r>
      <w:r>
        <w:rPr>
          <w:lang w:val="fr-CA"/>
        </w:rPr>
        <w:t>des années</w:t>
      </w:r>
      <w:r w:rsidRPr="001E7CB3">
        <w:rPr>
          <w:lang w:val="fr-CA"/>
        </w:rPr>
        <w:t xml:space="preserve"> après la création des comptes de pension de retraite.  Ils n</w:t>
      </w:r>
      <w:r>
        <w:rPr>
          <w:lang w:val="fr-CA"/>
        </w:rPr>
        <w:t>’</w:t>
      </w:r>
      <w:r w:rsidRPr="001E7CB3">
        <w:rPr>
          <w:lang w:val="fr-CA"/>
        </w:rPr>
        <w:t xml:space="preserve">ont pas cité de documents dont la date </w:t>
      </w:r>
      <w:r>
        <w:rPr>
          <w:lang w:val="fr-CA"/>
        </w:rPr>
        <w:t>correspond ou est antérieure à celle de</w:t>
      </w:r>
      <w:r w:rsidRPr="001E7CB3">
        <w:rPr>
          <w:lang w:val="fr-CA"/>
        </w:rPr>
        <w:t xml:space="preserve"> la création des comptes</w:t>
      </w:r>
      <w:r>
        <w:rPr>
          <w:lang w:val="fr-CA"/>
        </w:rPr>
        <w:t xml:space="preserve"> qui,</w:t>
      </w:r>
      <w:r w:rsidRPr="001E7CB3">
        <w:rPr>
          <w:lang w:val="fr-CA"/>
        </w:rPr>
        <w:t xml:space="preserve"> comme </w:t>
      </w:r>
      <w:r>
        <w:rPr>
          <w:lang w:val="fr-CA"/>
        </w:rPr>
        <w:t>nous l’avons vu</w:t>
      </w:r>
      <w:r w:rsidRPr="001E7CB3">
        <w:rPr>
          <w:lang w:val="fr-CA"/>
        </w:rPr>
        <w:t xml:space="preserve">, ont été </w:t>
      </w:r>
      <w:r w:rsidRPr="00DB35D2">
        <w:rPr>
          <w:i/>
          <w:lang w:val="fr-CA"/>
        </w:rPr>
        <w:t>maintenus</w:t>
      </w:r>
      <w:r w:rsidRPr="001E7CB3">
        <w:rPr>
          <w:lang w:val="fr-CA"/>
        </w:rPr>
        <w:t xml:space="preserve"> par les lois sur les pensions actuellement en vigueur.</w:t>
      </w:r>
    </w:p>
    <w:p w:rsidR="000F48EC" w:rsidRPr="001E7CB3" w:rsidRDefault="000F48EC" w:rsidP="000F48EC">
      <w:pPr>
        <w:pStyle w:val="ParaNoNdepar-AltN"/>
        <w:rPr>
          <w:lang w:val="fr-CA"/>
        </w:rPr>
      </w:pPr>
      <w:r>
        <w:rPr>
          <w:lang w:val="fr-CA"/>
        </w:rPr>
        <w:t>Par conséquent, l</w:t>
      </w:r>
      <w:r w:rsidRPr="001E7CB3">
        <w:rPr>
          <w:lang w:val="fr-CA"/>
        </w:rPr>
        <w:t xml:space="preserve">es </w:t>
      </w:r>
      <w:r>
        <w:rPr>
          <w:lang w:val="fr-CA"/>
        </w:rPr>
        <w:t>documents soumis par les appelants</w:t>
      </w:r>
      <w:r w:rsidRPr="001E7CB3">
        <w:rPr>
          <w:lang w:val="fr-CA"/>
        </w:rPr>
        <w:t xml:space="preserve"> </w:t>
      </w:r>
      <w:r>
        <w:rPr>
          <w:lang w:val="fr-CA"/>
        </w:rPr>
        <w:t>expose</w:t>
      </w:r>
      <w:r w:rsidRPr="001E7CB3">
        <w:rPr>
          <w:lang w:val="fr-CA"/>
        </w:rPr>
        <w:t>nt l</w:t>
      </w:r>
      <w:r>
        <w:rPr>
          <w:lang w:val="fr-CA"/>
        </w:rPr>
        <w:t>’</w:t>
      </w:r>
      <w:r w:rsidRPr="001E7CB3">
        <w:rPr>
          <w:lang w:val="fr-CA"/>
        </w:rPr>
        <w:t xml:space="preserve">interprétation </w:t>
      </w:r>
      <w:r>
        <w:rPr>
          <w:lang w:val="fr-CA"/>
        </w:rPr>
        <w:t>attribuée postérieurement par</w:t>
      </w:r>
      <w:r w:rsidRPr="001E7CB3">
        <w:rPr>
          <w:lang w:val="fr-CA"/>
        </w:rPr>
        <w:t xml:space="preserve"> des gouvernements </w:t>
      </w:r>
      <w:r>
        <w:rPr>
          <w:lang w:val="fr-CA"/>
        </w:rPr>
        <w:t>à des</w:t>
      </w:r>
      <w:r w:rsidRPr="001E7CB3">
        <w:rPr>
          <w:lang w:val="fr-CA"/>
        </w:rPr>
        <w:t xml:space="preserve"> travaux parlementaires antérieurs </w:t>
      </w:r>
      <w:r>
        <w:rPr>
          <w:lang w:val="fr-CA"/>
        </w:rPr>
        <w:t>(</w:t>
      </w:r>
      <w:proofErr w:type="spellStart"/>
      <w:r w:rsidRPr="001E7CB3">
        <w:rPr>
          <w:i/>
          <w:lang w:val="fr-CA"/>
        </w:rPr>
        <w:t>États</w:t>
      </w:r>
      <w:r>
        <w:rPr>
          <w:i/>
          <w:lang w:val="fr-CA"/>
        </w:rPr>
        <w:noBreakHyphen/>
      </w:r>
      <w:r w:rsidRPr="001E7CB3">
        <w:rPr>
          <w:i/>
          <w:lang w:val="fr-CA"/>
        </w:rPr>
        <w:t>Unis</w:t>
      </w:r>
      <w:proofErr w:type="spellEnd"/>
      <w:r w:rsidRPr="001E7CB3">
        <w:rPr>
          <w:i/>
          <w:lang w:val="fr-CA"/>
        </w:rPr>
        <w:t xml:space="preserve"> d</w:t>
      </w:r>
      <w:r>
        <w:rPr>
          <w:i/>
          <w:lang w:val="fr-CA"/>
        </w:rPr>
        <w:t>’</w:t>
      </w:r>
      <w:r w:rsidRPr="001E7CB3">
        <w:rPr>
          <w:i/>
          <w:lang w:val="fr-CA"/>
        </w:rPr>
        <w:t xml:space="preserve">Amérique c. </w:t>
      </w:r>
      <w:proofErr w:type="spellStart"/>
      <w:r w:rsidRPr="001E7CB3">
        <w:rPr>
          <w:i/>
          <w:lang w:val="fr-CA"/>
        </w:rPr>
        <w:t>Dynar</w:t>
      </w:r>
      <w:proofErr w:type="spellEnd"/>
      <w:r w:rsidRPr="001E7CB3">
        <w:rPr>
          <w:lang w:val="fr-CA"/>
        </w:rPr>
        <w:t xml:space="preserve">, [1997] 2 R.C.S. 462, </w:t>
      </w:r>
      <w:r>
        <w:rPr>
          <w:lang w:val="fr-CA"/>
        </w:rPr>
        <w:t>par. 45).</w:t>
      </w:r>
      <w:r w:rsidRPr="001E7CB3">
        <w:rPr>
          <w:lang w:val="fr-CA"/>
        </w:rPr>
        <w:t xml:space="preserve">  Toutefois, comme l</w:t>
      </w:r>
      <w:r>
        <w:rPr>
          <w:lang w:val="fr-CA"/>
        </w:rPr>
        <w:t>’</w:t>
      </w:r>
      <w:r w:rsidRPr="001E7CB3">
        <w:rPr>
          <w:lang w:val="fr-CA"/>
        </w:rPr>
        <w:t xml:space="preserve">ont écrit les juges Cory et </w:t>
      </w:r>
      <w:proofErr w:type="spellStart"/>
      <w:r w:rsidRPr="001E7CB3">
        <w:rPr>
          <w:lang w:val="fr-CA"/>
        </w:rPr>
        <w:t>Iacobucci</w:t>
      </w:r>
      <w:proofErr w:type="spellEnd"/>
      <w:r w:rsidRPr="001E7CB3">
        <w:rPr>
          <w:lang w:val="fr-CA"/>
        </w:rPr>
        <w:t xml:space="preserve"> </w:t>
      </w:r>
      <w:r>
        <w:rPr>
          <w:lang w:val="fr-CA"/>
        </w:rPr>
        <w:t>en rapport avec</w:t>
      </w:r>
      <w:r w:rsidRPr="001E7CB3">
        <w:rPr>
          <w:lang w:val="fr-CA"/>
        </w:rPr>
        <w:t xml:space="preserve"> l</w:t>
      </w:r>
      <w:r>
        <w:rPr>
          <w:lang w:val="fr-CA"/>
        </w:rPr>
        <w:t>’</w:t>
      </w:r>
      <w:r w:rsidRPr="001E7CB3">
        <w:rPr>
          <w:lang w:val="fr-CA"/>
        </w:rPr>
        <w:t>évolution législative subséquente, « en matière d</w:t>
      </w:r>
      <w:r>
        <w:rPr>
          <w:lang w:val="fr-CA"/>
        </w:rPr>
        <w:t>’</w:t>
      </w:r>
      <w:r w:rsidRPr="001E7CB3">
        <w:rPr>
          <w:lang w:val="fr-CA"/>
        </w:rPr>
        <w:t>interprétation de la loi, c</w:t>
      </w:r>
      <w:r>
        <w:rPr>
          <w:lang w:val="fr-CA"/>
        </w:rPr>
        <w:t>’</w:t>
      </w:r>
      <w:r w:rsidRPr="001E7CB3">
        <w:rPr>
          <w:lang w:val="fr-CA"/>
        </w:rPr>
        <w:t>est le jugement des tribunaux, et non celui des législateurs, qui importe</w:t>
      </w:r>
      <w:r>
        <w:rPr>
          <w:lang w:val="fr-CA"/>
        </w:rPr>
        <w:t xml:space="preserve">.  </w:t>
      </w:r>
      <w:r w:rsidRPr="00BC1626">
        <w:rPr>
          <w:lang w:val="fr-CA"/>
        </w:rPr>
        <w:t>Il appartient aux juges de déterminer quelle était l’intention du législateur qui a adopté la loi</w:t>
      </w:r>
      <w:r w:rsidRPr="001E7CB3">
        <w:rPr>
          <w:lang w:val="fr-CA"/>
        </w:rPr>
        <w:t xml:space="preserve"> » </w:t>
      </w:r>
      <w:r w:rsidR="003C49AC">
        <w:rPr>
          <w:lang w:val="fr-CA"/>
        </w:rPr>
        <w:t>(</w:t>
      </w:r>
      <w:r>
        <w:rPr>
          <w:lang w:val="fr-CA"/>
        </w:rPr>
        <w:t>par. 45)</w:t>
      </w:r>
      <w:r w:rsidRPr="001E7CB3">
        <w:rPr>
          <w:lang w:val="fr-CA"/>
        </w:rPr>
        <w:t xml:space="preserve">.  </w:t>
      </w:r>
      <w:r>
        <w:rPr>
          <w:lang w:val="fr-CA"/>
        </w:rPr>
        <w:t>L</w:t>
      </w:r>
      <w:r w:rsidRPr="001E7CB3">
        <w:rPr>
          <w:lang w:val="fr-CA"/>
        </w:rPr>
        <w:t>a prudence s</w:t>
      </w:r>
      <w:r>
        <w:rPr>
          <w:lang w:val="fr-CA"/>
        </w:rPr>
        <w:t>’</w:t>
      </w:r>
      <w:r w:rsidRPr="001E7CB3">
        <w:rPr>
          <w:lang w:val="fr-CA"/>
        </w:rPr>
        <w:t xml:space="preserve">impose </w:t>
      </w:r>
      <w:r>
        <w:rPr>
          <w:lang w:val="fr-CA"/>
        </w:rPr>
        <w:t xml:space="preserve">donc </w:t>
      </w:r>
      <w:r w:rsidRPr="001E7CB3">
        <w:rPr>
          <w:lang w:val="fr-CA"/>
        </w:rPr>
        <w:t>à l</w:t>
      </w:r>
      <w:r>
        <w:rPr>
          <w:lang w:val="fr-CA"/>
        </w:rPr>
        <w:t>’</w:t>
      </w:r>
      <w:r w:rsidRPr="001E7CB3">
        <w:rPr>
          <w:lang w:val="fr-CA"/>
        </w:rPr>
        <w:t xml:space="preserve">égard du recours aux nombreux documents gouvernementaux postérieurs cités par les appelants. </w:t>
      </w:r>
    </w:p>
    <w:p w:rsidR="000F48EC" w:rsidRPr="001E7CB3" w:rsidRDefault="000F48EC" w:rsidP="000F48EC">
      <w:pPr>
        <w:pStyle w:val="ParaNoNdepar-AltN"/>
        <w:rPr>
          <w:lang w:val="fr-CA"/>
        </w:rPr>
      </w:pPr>
      <w:r w:rsidRPr="001E7CB3">
        <w:rPr>
          <w:lang w:val="fr-CA"/>
        </w:rPr>
        <w:t xml:space="preserve">Il faut en outre </w:t>
      </w:r>
      <w:r>
        <w:rPr>
          <w:lang w:val="fr-CA"/>
        </w:rPr>
        <w:t>faire la</w:t>
      </w:r>
      <w:r w:rsidRPr="001E7CB3">
        <w:rPr>
          <w:lang w:val="fr-CA"/>
        </w:rPr>
        <w:t xml:space="preserve"> distinction entre le législateur, qui a créé les comptes de pension de retraite, et l</w:t>
      </w:r>
      <w:r>
        <w:rPr>
          <w:lang w:val="fr-CA"/>
        </w:rPr>
        <w:t>’</w:t>
      </w:r>
      <w:r w:rsidRPr="001E7CB3">
        <w:rPr>
          <w:lang w:val="fr-CA"/>
        </w:rPr>
        <w:t>exécutif, qui les administre.  Bien qu</w:t>
      </w:r>
      <w:r>
        <w:rPr>
          <w:lang w:val="fr-CA"/>
        </w:rPr>
        <w:t>’</w:t>
      </w:r>
      <w:r w:rsidRPr="001E7CB3">
        <w:rPr>
          <w:lang w:val="fr-CA"/>
        </w:rPr>
        <w:t>il ne soit pas impossible que des documents gouvernementaux puissent servir à l</w:t>
      </w:r>
      <w:r>
        <w:rPr>
          <w:lang w:val="fr-CA"/>
        </w:rPr>
        <w:t>’</w:t>
      </w:r>
      <w:r w:rsidRPr="001E7CB3">
        <w:rPr>
          <w:lang w:val="fr-CA"/>
        </w:rPr>
        <w:t xml:space="preserve">interprétation de </w:t>
      </w:r>
      <w:r w:rsidRPr="001E7CB3">
        <w:rPr>
          <w:lang w:val="fr-CA"/>
        </w:rPr>
        <w:lastRenderedPageBreak/>
        <w:t xml:space="preserve">textes de loi, les propos de ministres ou de fonctionnaires subséquents </w:t>
      </w:r>
      <w:r>
        <w:rPr>
          <w:lang w:val="fr-CA"/>
        </w:rPr>
        <w:t>ne sont guère utiles</w:t>
      </w:r>
      <w:r w:rsidRPr="001E7CB3">
        <w:rPr>
          <w:lang w:val="fr-CA"/>
        </w:rPr>
        <w:t xml:space="preserve"> pour </w:t>
      </w:r>
      <w:r>
        <w:rPr>
          <w:lang w:val="fr-CA"/>
        </w:rPr>
        <w:t>déterminer quelle était</w:t>
      </w:r>
      <w:r w:rsidRPr="001E7CB3">
        <w:rPr>
          <w:lang w:val="fr-CA"/>
        </w:rPr>
        <w:t xml:space="preserve"> l</w:t>
      </w:r>
      <w:r>
        <w:rPr>
          <w:lang w:val="fr-CA"/>
        </w:rPr>
        <w:t>’</w:t>
      </w:r>
      <w:r w:rsidRPr="001E7CB3">
        <w:rPr>
          <w:lang w:val="fr-CA"/>
        </w:rPr>
        <w:t>intention du législateur au sujet des comptes de pension de retraite.</w:t>
      </w:r>
    </w:p>
    <w:p w:rsidR="000F48EC" w:rsidRPr="001E7CB3" w:rsidRDefault="000F48EC" w:rsidP="000F48EC">
      <w:pPr>
        <w:pStyle w:val="ParaNoNdepar-AltN"/>
        <w:rPr>
          <w:lang w:val="fr-CA"/>
        </w:rPr>
      </w:pPr>
      <w:r w:rsidRPr="001E7CB3">
        <w:rPr>
          <w:lang w:val="fr-CA"/>
        </w:rPr>
        <w:t>Les appelants se reportent à un débat parlementaire antérieur à l</w:t>
      </w:r>
      <w:r>
        <w:rPr>
          <w:lang w:val="fr-CA"/>
        </w:rPr>
        <w:t>’</w:t>
      </w:r>
      <w:r w:rsidRPr="001E7CB3">
        <w:rPr>
          <w:lang w:val="fr-CA"/>
        </w:rPr>
        <w:t>édiction du projet de loi C</w:t>
      </w:r>
      <w:r>
        <w:rPr>
          <w:lang w:val="fr-CA"/>
        </w:rPr>
        <w:noBreakHyphen/>
      </w:r>
      <w:r w:rsidRPr="001E7CB3">
        <w:rPr>
          <w:lang w:val="fr-CA"/>
        </w:rPr>
        <w:t xml:space="preserve">78.  </w:t>
      </w:r>
      <w:r>
        <w:rPr>
          <w:lang w:val="fr-CA"/>
        </w:rPr>
        <w:t xml:space="preserve">Au mois de février </w:t>
      </w:r>
      <w:r w:rsidRPr="001E7CB3">
        <w:rPr>
          <w:lang w:val="fr-CA"/>
        </w:rPr>
        <w:t>1992, le président du Conseil du Trésor a indiqué, au sujet d</w:t>
      </w:r>
      <w:r w:rsidR="009F7CA6">
        <w:rPr>
          <w:lang w:val="fr-CA"/>
        </w:rPr>
        <w:t>u</w:t>
      </w:r>
      <w:r w:rsidRPr="001E7CB3">
        <w:rPr>
          <w:lang w:val="fr-CA"/>
        </w:rPr>
        <w:t xml:space="preserve"> projet de loi C</w:t>
      </w:r>
      <w:r>
        <w:rPr>
          <w:lang w:val="fr-CA"/>
        </w:rPr>
        <w:noBreakHyphen/>
      </w:r>
      <w:r w:rsidRPr="001E7CB3">
        <w:rPr>
          <w:lang w:val="fr-CA"/>
        </w:rPr>
        <w:t>55, qu</w:t>
      </w:r>
      <w:r>
        <w:rPr>
          <w:lang w:val="fr-CA"/>
        </w:rPr>
        <w:t>’</w:t>
      </w:r>
      <w:r w:rsidRPr="001E7CB3">
        <w:rPr>
          <w:lang w:val="fr-CA"/>
        </w:rPr>
        <w:t xml:space="preserve">il « prévoit notamment que la gestion de tous les régimes [de pension] devrait dorénavant être axée sur une capitalisation intégrale » </w:t>
      </w:r>
      <w:r>
        <w:rPr>
          <w:lang w:val="fr-CA"/>
        </w:rPr>
        <w:t>(</w:t>
      </w:r>
      <w:r w:rsidRPr="004A6741">
        <w:rPr>
          <w:i/>
          <w:lang w:val="fr-CA"/>
        </w:rPr>
        <w:t>Débats de la Chambre des communes</w:t>
      </w:r>
      <w:r w:rsidRPr="001E7CB3">
        <w:rPr>
          <w:lang w:val="fr-CA"/>
        </w:rPr>
        <w:t xml:space="preserve">, </w:t>
      </w:r>
      <w:r>
        <w:rPr>
          <w:lang w:val="fr-CA"/>
        </w:rPr>
        <w:t>vol. VI, 3</w:t>
      </w:r>
      <w:r w:rsidRPr="004A6741">
        <w:rPr>
          <w:vertAlign w:val="superscript"/>
          <w:lang w:val="fr-CA"/>
        </w:rPr>
        <w:t>e</w:t>
      </w:r>
      <w:r>
        <w:rPr>
          <w:lang w:val="fr-CA"/>
        </w:rPr>
        <w:t> </w:t>
      </w:r>
      <w:proofErr w:type="spellStart"/>
      <w:proofErr w:type="gramStart"/>
      <w:r>
        <w:rPr>
          <w:lang w:val="fr-CA"/>
        </w:rPr>
        <w:t>sess</w:t>
      </w:r>
      <w:proofErr w:type="spellEnd"/>
      <w:r>
        <w:rPr>
          <w:lang w:val="fr-CA"/>
        </w:rPr>
        <w:t>.,</w:t>
      </w:r>
      <w:proofErr w:type="gramEnd"/>
      <w:r>
        <w:rPr>
          <w:lang w:val="fr-CA"/>
        </w:rPr>
        <w:t xml:space="preserve"> 34</w:t>
      </w:r>
      <w:r w:rsidRPr="004A6741">
        <w:rPr>
          <w:vertAlign w:val="superscript"/>
          <w:lang w:val="fr-CA"/>
        </w:rPr>
        <w:t>e</w:t>
      </w:r>
      <w:r>
        <w:rPr>
          <w:lang w:val="fr-CA"/>
        </w:rPr>
        <w:t> </w:t>
      </w:r>
      <w:proofErr w:type="spellStart"/>
      <w:r>
        <w:rPr>
          <w:lang w:val="fr-CA"/>
        </w:rPr>
        <w:t>lég</w:t>
      </w:r>
      <w:proofErr w:type="spellEnd"/>
      <w:r>
        <w:rPr>
          <w:lang w:val="fr-CA"/>
        </w:rPr>
        <w:t>.</w:t>
      </w:r>
      <w:r w:rsidRPr="001E7CB3">
        <w:rPr>
          <w:lang w:val="fr-CA"/>
        </w:rPr>
        <w:t>, 24 février</w:t>
      </w:r>
      <w:r>
        <w:rPr>
          <w:lang w:val="fr-CA"/>
        </w:rPr>
        <w:t xml:space="preserve"> 1</w:t>
      </w:r>
      <w:r w:rsidRPr="001E7CB3">
        <w:rPr>
          <w:lang w:val="fr-CA"/>
        </w:rPr>
        <w:t xml:space="preserve">992, </w:t>
      </w:r>
      <w:r>
        <w:rPr>
          <w:lang w:val="fr-CA"/>
        </w:rPr>
        <w:t>p. </w:t>
      </w:r>
      <w:r w:rsidRPr="001E7CB3">
        <w:rPr>
          <w:lang w:val="fr-CA"/>
        </w:rPr>
        <w:t>7486</w:t>
      </w:r>
      <w:r>
        <w:rPr>
          <w:lang w:val="fr-CA"/>
        </w:rPr>
        <w:t>)</w:t>
      </w:r>
      <w:r w:rsidRPr="001E7CB3">
        <w:rPr>
          <w:lang w:val="fr-CA"/>
        </w:rPr>
        <w:t>.  Il a ajouté que les lois sur les pensions seraient modifiées de façon à « consolider ainsi l</w:t>
      </w:r>
      <w:r>
        <w:rPr>
          <w:lang w:val="fr-CA"/>
        </w:rPr>
        <w:t>’</w:t>
      </w:r>
      <w:r w:rsidRPr="001E7CB3">
        <w:rPr>
          <w:lang w:val="fr-CA"/>
        </w:rPr>
        <w:t>actif et le passif concernant chaque [secteur] »</w:t>
      </w:r>
      <w:r>
        <w:rPr>
          <w:lang w:val="fr-CA"/>
        </w:rPr>
        <w:t xml:space="preserve"> (p. </w:t>
      </w:r>
      <w:r w:rsidRPr="001E7CB3">
        <w:rPr>
          <w:lang w:val="fr-CA"/>
        </w:rPr>
        <w:t>7486</w:t>
      </w:r>
      <w:r>
        <w:rPr>
          <w:lang w:val="fr-CA"/>
        </w:rPr>
        <w:t>)</w:t>
      </w:r>
      <w:r w:rsidRPr="001E7CB3">
        <w:rPr>
          <w:lang w:val="fr-CA"/>
        </w:rPr>
        <w:t>.</w:t>
      </w:r>
    </w:p>
    <w:p w:rsidR="000F48EC" w:rsidRPr="001E7CB3" w:rsidRDefault="000F48EC" w:rsidP="000F48EC">
      <w:pPr>
        <w:pStyle w:val="ParaNoNdepar-AltN"/>
        <w:rPr>
          <w:lang w:val="fr-CA"/>
        </w:rPr>
      </w:pPr>
      <w:r>
        <w:rPr>
          <w:lang w:val="fr-CA"/>
        </w:rPr>
        <w:t>Or, le</w:t>
      </w:r>
      <w:r w:rsidRPr="001E7CB3">
        <w:rPr>
          <w:lang w:val="fr-CA"/>
        </w:rPr>
        <w:t xml:space="preserve"> projet de loi</w:t>
      </w:r>
      <w:r>
        <w:rPr>
          <w:lang w:val="fr-CA"/>
        </w:rPr>
        <w:t xml:space="preserve"> C</w:t>
      </w:r>
      <w:r>
        <w:rPr>
          <w:lang w:val="fr-CA"/>
        </w:rPr>
        <w:noBreakHyphen/>
        <w:t>55 a été</w:t>
      </w:r>
      <w:r w:rsidRPr="001E7CB3">
        <w:rPr>
          <w:lang w:val="fr-CA"/>
        </w:rPr>
        <w:t xml:space="preserve"> </w:t>
      </w:r>
      <w:r>
        <w:rPr>
          <w:lang w:val="fr-CA"/>
        </w:rPr>
        <w:t>adopté (</w:t>
      </w:r>
      <w:r w:rsidRPr="001E7CB3">
        <w:rPr>
          <w:lang w:val="fr-CA"/>
        </w:rPr>
        <w:t xml:space="preserve">L.C. 1992, </w:t>
      </w:r>
      <w:r>
        <w:rPr>
          <w:lang w:val="fr-CA"/>
        </w:rPr>
        <w:t>ch. </w:t>
      </w:r>
      <w:r w:rsidRPr="001E7CB3">
        <w:rPr>
          <w:lang w:val="fr-CA"/>
        </w:rPr>
        <w:t>46</w:t>
      </w:r>
      <w:r>
        <w:rPr>
          <w:lang w:val="fr-CA"/>
        </w:rPr>
        <w:t>)</w:t>
      </w:r>
      <w:r w:rsidRPr="001E7CB3">
        <w:rPr>
          <w:lang w:val="fr-CA"/>
        </w:rPr>
        <w:t xml:space="preserve">, </w:t>
      </w:r>
      <w:r>
        <w:rPr>
          <w:lang w:val="fr-CA"/>
        </w:rPr>
        <w:t xml:space="preserve">mais il </w:t>
      </w:r>
      <w:r w:rsidRPr="001E7CB3">
        <w:rPr>
          <w:lang w:val="fr-CA"/>
        </w:rPr>
        <w:t>n</w:t>
      </w:r>
      <w:r>
        <w:rPr>
          <w:lang w:val="fr-CA"/>
        </w:rPr>
        <w:t>’</w:t>
      </w:r>
      <w:r w:rsidRPr="001E7CB3">
        <w:rPr>
          <w:lang w:val="fr-CA"/>
        </w:rPr>
        <w:t xml:space="preserve">a </w:t>
      </w:r>
      <w:r>
        <w:rPr>
          <w:lang w:val="fr-CA"/>
        </w:rPr>
        <w:t xml:space="preserve">en rien modifié la nature de l’un ou l’autre </w:t>
      </w:r>
      <w:r w:rsidRPr="001E7CB3">
        <w:rPr>
          <w:lang w:val="fr-CA"/>
        </w:rPr>
        <w:t xml:space="preserve">des comptes de pension de retraite.  Ces comptes ne </w:t>
      </w:r>
      <w:r>
        <w:rPr>
          <w:lang w:val="fr-CA"/>
        </w:rPr>
        <w:t>conten</w:t>
      </w:r>
      <w:r w:rsidRPr="001E7CB3">
        <w:rPr>
          <w:lang w:val="fr-CA"/>
        </w:rPr>
        <w:t>aient pas d</w:t>
      </w:r>
      <w:r>
        <w:rPr>
          <w:lang w:val="fr-CA"/>
        </w:rPr>
        <w:t>’éléments d’</w:t>
      </w:r>
      <w:r w:rsidRPr="001E7CB3">
        <w:rPr>
          <w:lang w:val="fr-CA"/>
        </w:rPr>
        <w:t>actif avant 1992, et la modification législative n</w:t>
      </w:r>
      <w:r>
        <w:rPr>
          <w:lang w:val="fr-CA"/>
        </w:rPr>
        <w:t>’</w:t>
      </w:r>
      <w:r w:rsidRPr="001E7CB3">
        <w:rPr>
          <w:lang w:val="fr-CA"/>
        </w:rPr>
        <w:t xml:space="preserve">a rien changé à cela.  </w:t>
      </w:r>
    </w:p>
    <w:p w:rsidR="000F48EC" w:rsidRPr="001E7CB3" w:rsidRDefault="000F48EC" w:rsidP="000F48EC">
      <w:pPr>
        <w:pStyle w:val="ParaNoNdepar-AltN"/>
        <w:rPr>
          <w:lang w:val="fr-CA"/>
        </w:rPr>
      </w:pPr>
      <w:r w:rsidRPr="001E7CB3">
        <w:rPr>
          <w:lang w:val="fr-CA"/>
        </w:rPr>
        <w:t>L</w:t>
      </w:r>
      <w:r>
        <w:rPr>
          <w:lang w:val="fr-CA"/>
        </w:rPr>
        <w:t>’</w:t>
      </w:r>
      <w:r w:rsidRPr="001E7CB3">
        <w:rPr>
          <w:lang w:val="fr-CA"/>
        </w:rPr>
        <w:t>idée que le projet de loi C</w:t>
      </w:r>
      <w:r>
        <w:rPr>
          <w:lang w:val="fr-CA"/>
        </w:rPr>
        <w:noBreakHyphen/>
      </w:r>
      <w:r w:rsidRPr="001E7CB3">
        <w:rPr>
          <w:lang w:val="fr-CA"/>
        </w:rPr>
        <w:t xml:space="preserve">55 a </w:t>
      </w:r>
      <w:r>
        <w:rPr>
          <w:lang w:val="fr-CA"/>
        </w:rPr>
        <w:t xml:space="preserve">instauré la </w:t>
      </w:r>
      <w:r w:rsidRPr="001E7CB3">
        <w:rPr>
          <w:lang w:val="fr-CA"/>
        </w:rPr>
        <w:t>« capitalisation intégrale » des comptes de pension de retraite se trouve également dans un document de 1993</w:t>
      </w:r>
      <w:r>
        <w:rPr>
          <w:lang w:val="fr-CA"/>
        </w:rPr>
        <w:t>, intitulé</w:t>
      </w:r>
      <w:r w:rsidRPr="001E7CB3">
        <w:rPr>
          <w:lang w:val="fr-CA"/>
        </w:rPr>
        <w:t xml:space="preserve"> </w:t>
      </w:r>
      <w:r>
        <w:rPr>
          <w:lang w:val="fr-CA"/>
        </w:rPr>
        <w:t>« </w:t>
      </w:r>
      <w:proofErr w:type="spellStart"/>
      <w:r w:rsidRPr="002F5521">
        <w:rPr>
          <w:lang w:val="fr-CA"/>
        </w:rPr>
        <w:t>Treasury</w:t>
      </w:r>
      <w:proofErr w:type="spellEnd"/>
      <w:r w:rsidRPr="002F5521">
        <w:rPr>
          <w:lang w:val="fr-CA"/>
        </w:rPr>
        <w:t xml:space="preserve"> </w:t>
      </w:r>
      <w:proofErr w:type="spellStart"/>
      <w:r w:rsidRPr="002F5521">
        <w:rPr>
          <w:lang w:val="fr-CA"/>
        </w:rPr>
        <w:t>Board</w:t>
      </w:r>
      <w:proofErr w:type="spellEnd"/>
      <w:r w:rsidRPr="002F5521">
        <w:rPr>
          <w:lang w:val="fr-CA"/>
        </w:rPr>
        <w:t xml:space="preserve"> </w:t>
      </w:r>
      <w:proofErr w:type="spellStart"/>
      <w:r w:rsidRPr="002F5521">
        <w:rPr>
          <w:lang w:val="fr-CA"/>
        </w:rPr>
        <w:t>Secretariat</w:t>
      </w:r>
      <w:proofErr w:type="spellEnd"/>
      <w:r w:rsidRPr="002F5521">
        <w:rPr>
          <w:lang w:val="fr-CA"/>
        </w:rPr>
        <w:t xml:space="preserve"> and </w:t>
      </w:r>
      <w:proofErr w:type="spellStart"/>
      <w:r w:rsidRPr="002F5521">
        <w:rPr>
          <w:lang w:val="fr-CA"/>
        </w:rPr>
        <w:t>Department</w:t>
      </w:r>
      <w:proofErr w:type="spellEnd"/>
      <w:r w:rsidRPr="002F5521">
        <w:rPr>
          <w:lang w:val="fr-CA"/>
        </w:rPr>
        <w:t xml:space="preserve"> of Finance </w:t>
      </w:r>
      <w:proofErr w:type="spellStart"/>
      <w:r w:rsidRPr="002F5521">
        <w:rPr>
          <w:lang w:val="fr-CA"/>
        </w:rPr>
        <w:t>Study</w:t>
      </w:r>
      <w:proofErr w:type="spellEnd"/>
      <w:r w:rsidRPr="002F5521">
        <w:rPr>
          <w:lang w:val="fr-CA"/>
        </w:rPr>
        <w:t xml:space="preserve"> of </w:t>
      </w:r>
      <w:r>
        <w:rPr>
          <w:lang w:val="fr-CA"/>
        </w:rPr>
        <w:t xml:space="preserve">the </w:t>
      </w:r>
      <w:r w:rsidRPr="002F5521">
        <w:rPr>
          <w:lang w:val="fr-CA"/>
        </w:rPr>
        <w:t xml:space="preserve">Implications of </w:t>
      </w:r>
      <w:r w:rsidR="0059152E">
        <w:rPr>
          <w:lang w:val="fr-CA"/>
        </w:rPr>
        <w:t xml:space="preserve">the </w:t>
      </w:r>
      <w:proofErr w:type="spellStart"/>
      <w:r w:rsidRPr="002F5521">
        <w:rPr>
          <w:lang w:val="fr-CA"/>
        </w:rPr>
        <w:t>Current</w:t>
      </w:r>
      <w:proofErr w:type="spellEnd"/>
      <w:r w:rsidRPr="002F5521">
        <w:rPr>
          <w:lang w:val="fr-CA"/>
        </w:rPr>
        <w:t xml:space="preserve"> and Alternative </w:t>
      </w:r>
      <w:proofErr w:type="spellStart"/>
      <w:r w:rsidRPr="002F5521">
        <w:rPr>
          <w:lang w:val="fr-CA"/>
        </w:rPr>
        <w:t>Methods</w:t>
      </w:r>
      <w:proofErr w:type="spellEnd"/>
      <w:r w:rsidRPr="002F5521">
        <w:rPr>
          <w:lang w:val="fr-CA"/>
        </w:rPr>
        <w:t xml:space="preserve"> of </w:t>
      </w:r>
      <w:proofErr w:type="spellStart"/>
      <w:r w:rsidRPr="002F5521">
        <w:rPr>
          <w:lang w:val="fr-CA"/>
        </w:rPr>
        <w:t>Financing</w:t>
      </w:r>
      <w:proofErr w:type="spellEnd"/>
      <w:r w:rsidRPr="002F5521">
        <w:rPr>
          <w:lang w:val="fr-CA"/>
        </w:rPr>
        <w:t xml:space="preserve"> </w:t>
      </w:r>
      <w:proofErr w:type="spellStart"/>
      <w:r w:rsidRPr="002F5521">
        <w:rPr>
          <w:lang w:val="fr-CA"/>
        </w:rPr>
        <w:t>Federal</w:t>
      </w:r>
      <w:proofErr w:type="spellEnd"/>
      <w:r w:rsidRPr="002F5521">
        <w:rPr>
          <w:lang w:val="fr-CA"/>
        </w:rPr>
        <w:t xml:space="preserve"> Public Service Pensions</w:t>
      </w:r>
      <w:r>
        <w:rPr>
          <w:lang w:val="fr-CA"/>
        </w:rPr>
        <w:t> »</w:t>
      </w:r>
      <w:r w:rsidRPr="001E7CB3">
        <w:rPr>
          <w:lang w:val="fr-CA"/>
        </w:rPr>
        <w:t xml:space="preserve">.  </w:t>
      </w:r>
      <w:r>
        <w:rPr>
          <w:lang w:val="fr-CA"/>
        </w:rPr>
        <w:t>Au sujet de la</w:t>
      </w:r>
      <w:r w:rsidRPr="001E7CB3">
        <w:rPr>
          <w:lang w:val="fr-CA"/>
        </w:rPr>
        <w:t xml:space="preserve"> </w:t>
      </w:r>
      <w:r>
        <w:rPr>
          <w:lang w:val="fr-CA"/>
        </w:rPr>
        <w:t>«</w:t>
      </w:r>
      <w:r w:rsidRPr="001E7CB3">
        <w:rPr>
          <w:lang w:val="fr-CA"/>
        </w:rPr>
        <w:t> capitalisation intégrale »</w:t>
      </w:r>
      <w:r>
        <w:rPr>
          <w:lang w:val="fr-CA"/>
        </w:rPr>
        <w:t>, ce document indique ce qui suit :</w:t>
      </w:r>
      <w:r w:rsidRPr="001E7CB3">
        <w:rPr>
          <w:lang w:val="fr-CA"/>
        </w:rPr>
        <w:t xml:space="preserve"> </w:t>
      </w:r>
      <w:r>
        <w:rPr>
          <w:lang w:val="fr-CA"/>
        </w:rPr>
        <w:t>[</w:t>
      </w:r>
      <w:r w:rsidRPr="009C79D6">
        <w:rPr>
          <w:smallCaps/>
          <w:lang w:val="fr-CA"/>
        </w:rPr>
        <w:t>traduction</w:t>
      </w:r>
      <w:r>
        <w:rPr>
          <w:lang w:val="fr-CA"/>
        </w:rPr>
        <w:t xml:space="preserve">] </w:t>
      </w:r>
      <w:r w:rsidRPr="001E7CB3">
        <w:rPr>
          <w:lang w:val="fr-CA"/>
        </w:rPr>
        <w:t>« </w:t>
      </w:r>
      <w:r>
        <w:rPr>
          <w:lang w:val="fr-CA"/>
        </w:rPr>
        <w:t>Le projet de loi </w:t>
      </w:r>
      <w:r w:rsidRPr="001E7CB3">
        <w:rPr>
          <w:lang w:val="fr-CA"/>
        </w:rPr>
        <w:t>C</w:t>
      </w:r>
      <w:r>
        <w:rPr>
          <w:lang w:val="fr-CA"/>
        </w:rPr>
        <w:noBreakHyphen/>
      </w:r>
      <w:r w:rsidRPr="001E7CB3">
        <w:rPr>
          <w:lang w:val="fr-CA"/>
        </w:rPr>
        <w:t>55</w:t>
      </w:r>
      <w:r>
        <w:rPr>
          <w:lang w:val="fr-CA"/>
        </w:rPr>
        <w:t xml:space="preserve"> modifie notamment les </w:t>
      </w:r>
      <w:r w:rsidRPr="001E7CB3">
        <w:rPr>
          <w:lang w:val="fr-CA"/>
        </w:rPr>
        <w:t xml:space="preserve">lois sur les </w:t>
      </w:r>
      <w:r w:rsidRPr="001E7CB3">
        <w:rPr>
          <w:lang w:val="fr-CA"/>
        </w:rPr>
        <w:lastRenderedPageBreak/>
        <w:t xml:space="preserve">pensions </w:t>
      </w:r>
      <w:r>
        <w:rPr>
          <w:lang w:val="fr-CA"/>
        </w:rPr>
        <w:t>pour exiger qu’à compter du mois d’avril 1991</w:t>
      </w:r>
      <w:r w:rsidR="00D15E02">
        <w:rPr>
          <w:lang w:val="fr-CA"/>
        </w:rPr>
        <w:t>,</w:t>
      </w:r>
      <w:r>
        <w:rPr>
          <w:lang w:val="fr-CA"/>
        </w:rPr>
        <w:t xml:space="preserve"> les régimes</w:t>
      </w:r>
      <w:r w:rsidR="00D15E02">
        <w:rPr>
          <w:lang w:val="fr-CA"/>
        </w:rPr>
        <w:t xml:space="preserve"> soient entièrement capitalisés;</w:t>
      </w:r>
      <w:r>
        <w:rPr>
          <w:lang w:val="fr-CA"/>
        </w:rPr>
        <w:t xml:space="preserve"> c’est</w:t>
      </w:r>
      <w:r>
        <w:rPr>
          <w:lang w:val="fr-CA"/>
        </w:rPr>
        <w:noBreakHyphen/>
      </w:r>
      <w:proofErr w:type="spellStart"/>
      <w:r>
        <w:rPr>
          <w:lang w:val="fr-CA"/>
        </w:rPr>
        <w:t>à</w:t>
      </w:r>
      <w:r>
        <w:rPr>
          <w:lang w:val="fr-CA"/>
        </w:rPr>
        <w:noBreakHyphen/>
        <w:t>dire</w:t>
      </w:r>
      <w:proofErr w:type="spellEnd"/>
      <w:r>
        <w:rPr>
          <w:lang w:val="fr-CA"/>
        </w:rPr>
        <w:t xml:space="preserve"> que le gouvernement fasse chaque mois des contributions qui, ajoutées à celles des employés et aux crédits d’intérêt, sont suffisantes pour</w:t>
      </w:r>
      <w:r w:rsidRPr="001E7CB3">
        <w:rPr>
          <w:lang w:val="fr-CA"/>
        </w:rPr>
        <w:t xml:space="preserve"> </w:t>
      </w:r>
      <w:r>
        <w:rPr>
          <w:lang w:val="fr-CA"/>
        </w:rPr>
        <w:t>financer</w:t>
      </w:r>
      <w:r w:rsidRPr="001E7CB3">
        <w:rPr>
          <w:lang w:val="fr-CA"/>
        </w:rPr>
        <w:t xml:space="preserve"> le coût des prestations acquises relativement </w:t>
      </w:r>
      <w:r>
        <w:rPr>
          <w:lang w:val="fr-CA"/>
        </w:rPr>
        <w:t xml:space="preserve">à ce mois » </w:t>
      </w:r>
      <w:r w:rsidRPr="001E7CB3">
        <w:rPr>
          <w:lang w:val="fr-CA"/>
        </w:rPr>
        <w:t>(</w:t>
      </w:r>
      <w:proofErr w:type="gramStart"/>
      <w:r w:rsidR="00D15E02">
        <w:rPr>
          <w:lang w:val="fr-CA"/>
        </w:rPr>
        <w:t>d.a.</w:t>
      </w:r>
      <w:r w:rsidRPr="001E7CB3">
        <w:rPr>
          <w:lang w:val="fr-CA"/>
        </w:rPr>
        <w:t>,</w:t>
      </w:r>
      <w:proofErr w:type="gramEnd"/>
      <w:r w:rsidRPr="001E7CB3">
        <w:rPr>
          <w:lang w:val="fr-CA"/>
        </w:rPr>
        <w:t xml:space="preserve"> </w:t>
      </w:r>
      <w:r>
        <w:rPr>
          <w:lang w:val="fr-CA"/>
        </w:rPr>
        <w:t>vol. V</w:t>
      </w:r>
      <w:r w:rsidRPr="001E7CB3">
        <w:rPr>
          <w:lang w:val="fr-CA"/>
        </w:rPr>
        <w:t xml:space="preserve">, </w:t>
      </w:r>
      <w:r>
        <w:rPr>
          <w:lang w:val="fr-CA"/>
        </w:rPr>
        <w:t>p. </w:t>
      </w:r>
      <w:r w:rsidRPr="001E7CB3">
        <w:rPr>
          <w:lang w:val="fr-CA"/>
        </w:rPr>
        <w:t>221).  En d</w:t>
      </w:r>
      <w:r>
        <w:rPr>
          <w:lang w:val="fr-CA"/>
        </w:rPr>
        <w:t>’</w:t>
      </w:r>
      <w:r w:rsidRPr="001E7CB3">
        <w:rPr>
          <w:lang w:val="fr-CA"/>
        </w:rPr>
        <w:t xml:space="preserve">autres termes, la « capitalisation intégrale », dans ce contexte, renvoie </w:t>
      </w:r>
      <w:r>
        <w:rPr>
          <w:lang w:val="fr-CA"/>
        </w:rPr>
        <w:t xml:space="preserve">aux contributions </w:t>
      </w:r>
      <w:r w:rsidRPr="001E7CB3">
        <w:rPr>
          <w:lang w:val="fr-CA"/>
        </w:rPr>
        <w:t>du gouvernement qui doi</w:t>
      </w:r>
      <w:r>
        <w:rPr>
          <w:lang w:val="fr-CA"/>
        </w:rPr>
        <w:t>vent</w:t>
      </w:r>
      <w:r w:rsidRPr="001E7CB3">
        <w:rPr>
          <w:lang w:val="fr-CA"/>
        </w:rPr>
        <w:t xml:space="preserve"> être portée</w:t>
      </w:r>
      <w:r>
        <w:rPr>
          <w:lang w:val="fr-CA"/>
        </w:rPr>
        <w:t>s</w:t>
      </w:r>
      <w:r w:rsidRPr="001E7CB3">
        <w:rPr>
          <w:lang w:val="fr-CA"/>
        </w:rPr>
        <w:t xml:space="preserve"> au crédit</w:t>
      </w:r>
      <w:r>
        <w:rPr>
          <w:lang w:val="fr-CA"/>
        </w:rPr>
        <w:t xml:space="preserve"> des comptes</w:t>
      </w:r>
      <w:r w:rsidRPr="001E7CB3">
        <w:rPr>
          <w:lang w:val="fr-CA"/>
        </w:rPr>
        <w:t xml:space="preserve"> pour </w:t>
      </w:r>
      <w:r>
        <w:rPr>
          <w:lang w:val="fr-CA"/>
        </w:rPr>
        <w:t xml:space="preserve">refléter le </w:t>
      </w:r>
      <w:r w:rsidRPr="001E7CB3">
        <w:rPr>
          <w:lang w:val="fr-CA"/>
        </w:rPr>
        <w:t xml:space="preserve">coût des prestations acquises </w:t>
      </w:r>
      <w:r>
        <w:rPr>
          <w:lang w:val="fr-CA"/>
        </w:rPr>
        <w:t>chaque</w:t>
      </w:r>
      <w:r w:rsidRPr="001E7CB3">
        <w:rPr>
          <w:lang w:val="fr-CA"/>
        </w:rPr>
        <w:t xml:space="preserve"> mois.  Elle ne s</w:t>
      </w:r>
      <w:r>
        <w:rPr>
          <w:lang w:val="fr-CA"/>
        </w:rPr>
        <w:t>’</w:t>
      </w:r>
      <w:r w:rsidRPr="001E7CB3">
        <w:rPr>
          <w:lang w:val="fr-CA"/>
        </w:rPr>
        <w:t>entend pas d</w:t>
      </w:r>
      <w:r>
        <w:rPr>
          <w:lang w:val="fr-CA"/>
        </w:rPr>
        <w:t>’</w:t>
      </w:r>
      <w:r w:rsidRPr="001E7CB3">
        <w:rPr>
          <w:lang w:val="fr-CA"/>
        </w:rPr>
        <w:t>un</w:t>
      </w:r>
      <w:r>
        <w:rPr>
          <w:lang w:val="fr-CA"/>
        </w:rPr>
        <w:t>e</w:t>
      </w:r>
      <w:r w:rsidRPr="001E7CB3">
        <w:rPr>
          <w:lang w:val="fr-CA"/>
        </w:rPr>
        <w:t xml:space="preserve"> </w:t>
      </w:r>
      <w:r>
        <w:rPr>
          <w:lang w:val="fr-CA"/>
        </w:rPr>
        <w:t>caisse</w:t>
      </w:r>
      <w:r w:rsidRPr="001E7CB3">
        <w:rPr>
          <w:lang w:val="fr-CA"/>
        </w:rPr>
        <w:t xml:space="preserve"> d</w:t>
      </w:r>
      <w:r>
        <w:rPr>
          <w:lang w:val="fr-CA"/>
        </w:rPr>
        <w:t>’éléments d’</w:t>
      </w:r>
      <w:r w:rsidRPr="001E7CB3">
        <w:rPr>
          <w:lang w:val="fr-CA"/>
        </w:rPr>
        <w:t xml:space="preserve">actif </w:t>
      </w:r>
      <w:r>
        <w:rPr>
          <w:lang w:val="fr-CA"/>
        </w:rPr>
        <w:t xml:space="preserve">identifiable, </w:t>
      </w:r>
      <w:r w:rsidRPr="001E7CB3">
        <w:rPr>
          <w:lang w:val="fr-CA"/>
        </w:rPr>
        <w:t>réservé</w:t>
      </w:r>
      <w:r>
        <w:rPr>
          <w:lang w:val="fr-CA"/>
        </w:rPr>
        <w:t>e</w:t>
      </w:r>
      <w:r w:rsidRPr="001E7CB3">
        <w:rPr>
          <w:lang w:val="fr-CA"/>
        </w:rPr>
        <w:t xml:space="preserve"> pour couvrir le</w:t>
      </w:r>
      <w:r>
        <w:rPr>
          <w:lang w:val="fr-CA"/>
        </w:rPr>
        <w:t>s engagements</w:t>
      </w:r>
      <w:r w:rsidRPr="001E7CB3">
        <w:rPr>
          <w:lang w:val="fr-CA"/>
        </w:rPr>
        <w:t xml:space="preserve"> du gouvernement </w:t>
      </w:r>
      <w:r>
        <w:rPr>
          <w:lang w:val="fr-CA"/>
        </w:rPr>
        <w:t>a</w:t>
      </w:r>
      <w:r w:rsidRPr="001E7CB3">
        <w:rPr>
          <w:lang w:val="fr-CA"/>
        </w:rPr>
        <w:t xml:space="preserve">u titre des pensions. </w:t>
      </w:r>
    </w:p>
    <w:p w:rsidR="000F48EC" w:rsidRPr="001E7CB3" w:rsidRDefault="000F48EC" w:rsidP="000F48EC">
      <w:pPr>
        <w:pStyle w:val="ParaNoNdepar-AltN"/>
        <w:rPr>
          <w:lang w:val="fr-CA"/>
        </w:rPr>
      </w:pPr>
      <w:r w:rsidRPr="001E7CB3">
        <w:rPr>
          <w:lang w:val="fr-CA"/>
        </w:rPr>
        <w:t>Les appelants ont également produit un document du Conse</w:t>
      </w:r>
      <w:r>
        <w:rPr>
          <w:lang w:val="fr-CA"/>
        </w:rPr>
        <w:t xml:space="preserve">il du Trésor daté du 18 octobre </w:t>
      </w:r>
      <w:r w:rsidRPr="001E7CB3">
        <w:rPr>
          <w:lang w:val="fr-CA"/>
        </w:rPr>
        <w:t xml:space="preserve">1976, intitulé </w:t>
      </w:r>
      <w:r>
        <w:rPr>
          <w:lang w:val="fr-CA"/>
        </w:rPr>
        <w:t>« </w:t>
      </w:r>
      <w:r w:rsidRPr="004152CB">
        <w:rPr>
          <w:lang w:val="fr-CA"/>
        </w:rPr>
        <w:t>Quelques données de base sur les pensions dans la fonction publique</w:t>
      </w:r>
      <w:r>
        <w:rPr>
          <w:lang w:val="fr-CA"/>
        </w:rPr>
        <w:t> »</w:t>
      </w:r>
      <w:r w:rsidRPr="001E7CB3">
        <w:rPr>
          <w:lang w:val="fr-CA"/>
        </w:rPr>
        <w:t>.  Le Conseil du Trésor a expressément nié que les régimes (sauf pour ce qui est de l</w:t>
      </w:r>
      <w:r>
        <w:rPr>
          <w:lang w:val="fr-CA"/>
        </w:rPr>
        <w:t>’</w:t>
      </w:r>
      <w:r w:rsidRPr="001E7CB3">
        <w:rPr>
          <w:lang w:val="fr-CA"/>
        </w:rPr>
        <w:t xml:space="preserve">indexation des prestations) </w:t>
      </w:r>
      <w:r>
        <w:rPr>
          <w:lang w:val="fr-CA"/>
        </w:rPr>
        <w:t xml:space="preserve">étaient financés </w:t>
      </w:r>
      <w:r w:rsidRPr="001E7CB3">
        <w:rPr>
          <w:lang w:val="fr-CA"/>
        </w:rPr>
        <w:t>« </w:t>
      </w:r>
      <w:r>
        <w:rPr>
          <w:rFonts w:cs="Times New Roman"/>
          <w:lang w:val="fr-CA"/>
        </w:rPr>
        <w:t>“</w:t>
      </w:r>
      <w:r>
        <w:rPr>
          <w:lang w:val="fr-CA"/>
        </w:rPr>
        <w:t>au jour le jour</w:t>
      </w:r>
      <w:r>
        <w:rPr>
          <w:rFonts w:cs="Times New Roman"/>
          <w:lang w:val="fr-CA"/>
        </w:rPr>
        <w:t>”</w:t>
      </w:r>
      <w:r>
        <w:rPr>
          <w:lang w:val="fr-CA"/>
        </w:rPr>
        <w:t xml:space="preserve"> (</w:t>
      </w:r>
      <w:proofErr w:type="spellStart"/>
      <w:r>
        <w:rPr>
          <w:lang w:val="fr-CA"/>
        </w:rPr>
        <w:t>pay</w:t>
      </w:r>
      <w:proofErr w:type="spellEnd"/>
      <w:r>
        <w:rPr>
          <w:lang w:val="fr-CA"/>
        </w:rPr>
        <w:t xml:space="preserve"> as </w:t>
      </w:r>
      <w:proofErr w:type="spellStart"/>
      <w:r>
        <w:rPr>
          <w:lang w:val="fr-CA"/>
        </w:rPr>
        <w:t>you</w:t>
      </w:r>
      <w:proofErr w:type="spellEnd"/>
      <w:r>
        <w:rPr>
          <w:lang w:val="fr-CA"/>
        </w:rPr>
        <w:t xml:space="preserve"> go)</w:t>
      </w:r>
      <w:r w:rsidRPr="001E7CB3">
        <w:rPr>
          <w:lang w:val="fr-CA"/>
        </w:rPr>
        <w:t> ».  Il a plutôt indiqué que « les pensions de base sont entièrement capitalisées dans un compte du gouvernement »</w:t>
      </w:r>
      <w:r>
        <w:rPr>
          <w:lang w:val="fr-CA"/>
        </w:rPr>
        <w:t xml:space="preserve"> (</w:t>
      </w:r>
      <w:proofErr w:type="gramStart"/>
      <w:r w:rsidR="00DC067F">
        <w:rPr>
          <w:lang w:val="fr-CA"/>
        </w:rPr>
        <w:t>d.a.</w:t>
      </w:r>
      <w:r w:rsidRPr="001E7CB3">
        <w:rPr>
          <w:lang w:val="fr-CA"/>
        </w:rPr>
        <w:t>,</w:t>
      </w:r>
      <w:proofErr w:type="gramEnd"/>
      <w:r w:rsidRPr="001E7CB3">
        <w:rPr>
          <w:lang w:val="fr-CA"/>
        </w:rPr>
        <w:t xml:space="preserve"> </w:t>
      </w:r>
      <w:r>
        <w:rPr>
          <w:lang w:val="fr-CA"/>
        </w:rPr>
        <w:t>vol. V</w:t>
      </w:r>
      <w:r w:rsidRPr="001E7CB3">
        <w:rPr>
          <w:lang w:val="fr-CA"/>
        </w:rPr>
        <w:t xml:space="preserve">, </w:t>
      </w:r>
      <w:r>
        <w:rPr>
          <w:lang w:val="fr-CA"/>
        </w:rPr>
        <w:t>p. 11)</w:t>
      </w:r>
      <w:r w:rsidRPr="001E7CB3">
        <w:rPr>
          <w:lang w:val="fr-CA"/>
        </w:rPr>
        <w:t xml:space="preserve">.  Le document sur les « données de base » explique ainsi </w:t>
      </w:r>
      <w:r>
        <w:rPr>
          <w:lang w:val="fr-CA"/>
        </w:rPr>
        <w:t xml:space="preserve">ce que signifient des pensions </w:t>
      </w:r>
      <w:r w:rsidRPr="001E7CB3">
        <w:rPr>
          <w:lang w:val="fr-CA"/>
        </w:rPr>
        <w:t>« entièrement capitalisées »</w:t>
      </w:r>
      <w:r>
        <w:rPr>
          <w:lang w:val="fr-CA"/>
        </w:rPr>
        <w:t> :</w:t>
      </w:r>
      <w:r w:rsidRPr="001E7CB3">
        <w:rPr>
          <w:lang w:val="fr-CA"/>
        </w:rPr>
        <w:t xml:space="preserve"> « [c]</w:t>
      </w:r>
      <w:proofErr w:type="spellStart"/>
      <w:r w:rsidRPr="001E7CB3">
        <w:rPr>
          <w:lang w:val="fr-CA"/>
        </w:rPr>
        <w:t>ela</w:t>
      </w:r>
      <w:proofErr w:type="spellEnd"/>
      <w:r w:rsidRPr="001E7CB3">
        <w:rPr>
          <w:lang w:val="fr-CA"/>
        </w:rPr>
        <w:t xml:space="preserve"> veut dire que les pensions sont financées de façon telle que si on mettait subitement fin au régime, le compte pourrait, sans contributions additionnelles mais avec les intérêts éventuels, rencontrer les paiements de </w:t>
      </w:r>
      <w:proofErr w:type="gramStart"/>
      <w:r w:rsidRPr="001E7CB3">
        <w:rPr>
          <w:lang w:val="fr-CA"/>
        </w:rPr>
        <w:t>pension</w:t>
      </w:r>
      <w:r>
        <w:rPr>
          <w:lang w:val="fr-CA"/>
        </w:rPr>
        <w:t xml:space="preserve"> .</w:t>
      </w:r>
      <w:proofErr w:type="gramEnd"/>
      <w:r>
        <w:rPr>
          <w:lang w:val="fr-CA"/>
        </w:rPr>
        <w:t> . .</w:t>
      </w:r>
      <w:r w:rsidRPr="001E7CB3">
        <w:rPr>
          <w:lang w:val="fr-CA"/>
        </w:rPr>
        <w:t> »</w:t>
      </w:r>
      <w:r>
        <w:rPr>
          <w:lang w:val="fr-CA"/>
        </w:rPr>
        <w:t xml:space="preserve"> (</w:t>
      </w:r>
      <w:r w:rsidR="00DC067F">
        <w:rPr>
          <w:lang w:val="fr-CA"/>
        </w:rPr>
        <w:t>d.a</w:t>
      </w:r>
      <w:r w:rsidRPr="001E7CB3">
        <w:rPr>
          <w:lang w:val="fr-CA"/>
        </w:rPr>
        <w:t xml:space="preserve">., </w:t>
      </w:r>
      <w:r>
        <w:rPr>
          <w:lang w:val="fr-CA"/>
        </w:rPr>
        <w:t>vol. V</w:t>
      </w:r>
      <w:r w:rsidRPr="001E7CB3">
        <w:rPr>
          <w:lang w:val="fr-CA"/>
        </w:rPr>
        <w:t xml:space="preserve">, </w:t>
      </w:r>
      <w:r>
        <w:rPr>
          <w:lang w:val="fr-CA"/>
        </w:rPr>
        <w:t>p. </w:t>
      </w:r>
      <w:r w:rsidRPr="001E7CB3">
        <w:rPr>
          <w:lang w:val="fr-CA"/>
        </w:rPr>
        <w:t>10</w:t>
      </w:r>
      <w:r>
        <w:rPr>
          <w:lang w:val="fr-CA"/>
        </w:rPr>
        <w:noBreakHyphen/>
        <w:t>11)</w:t>
      </w:r>
      <w:r w:rsidRPr="001E7CB3">
        <w:rPr>
          <w:lang w:val="fr-CA"/>
        </w:rPr>
        <w:t>.</w:t>
      </w:r>
    </w:p>
    <w:p w:rsidR="000F48EC" w:rsidRPr="001E7CB3" w:rsidRDefault="000F48EC" w:rsidP="000F48EC">
      <w:pPr>
        <w:pStyle w:val="ParaNoNdepar-AltN"/>
        <w:rPr>
          <w:lang w:val="fr-CA"/>
        </w:rPr>
      </w:pPr>
      <w:r w:rsidRPr="001E7CB3">
        <w:rPr>
          <w:lang w:val="fr-CA"/>
        </w:rPr>
        <w:lastRenderedPageBreak/>
        <w:t xml:space="preserve">Une brochure non datée distribuée aux fonctionnaires fédéraux décrit également les comptes comme </w:t>
      </w:r>
      <w:r>
        <w:rPr>
          <w:lang w:val="fr-CA"/>
        </w:rPr>
        <w:t>[</w:t>
      </w:r>
      <w:r>
        <w:rPr>
          <w:smallCaps/>
          <w:lang w:val="fr-CA"/>
        </w:rPr>
        <w:t xml:space="preserve">traduction] </w:t>
      </w:r>
      <w:r w:rsidRPr="001E7CB3">
        <w:rPr>
          <w:lang w:val="fr-CA"/>
        </w:rPr>
        <w:t>« entièrement capitalisés »</w:t>
      </w:r>
      <w:r>
        <w:rPr>
          <w:lang w:val="fr-CA"/>
        </w:rPr>
        <w:t xml:space="preserve"> (</w:t>
      </w:r>
      <w:proofErr w:type="gramStart"/>
      <w:r w:rsidR="00DC067F">
        <w:rPr>
          <w:lang w:val="fr-CA"/>
        </w:rPr>
        <w:t>d.a.,</w:t>
      </w:r>
      <w:proofErr w:type="gramEnd"/>
      <w:r>
        <w:rPr>
          <w:lang w:val="fr-CA"/>
        </w:rPr>
        <w:t> vol. V, p. 83)</w:t>
      </w:r>
      <w:r w:rsidRPr="001E7CB3">
        <w:rPr>
          <w:lang w:val="fr-CA"/>
        </w:rPr>
        <w:t xml:space="preserve">.  </w:t>
      </w:r>
      <w:r w:rsidRPr="007964D2">
        <w:rPr>
          <w:lang w:val="fr-CA"/>
        </w:rPr>
        <w:t>De plus, les termes « actif » et « </w:t>
      </w:r>
      <w:proofErr w:type="spellStart"/>
      <w:r w:rsidRPr="007964D2">
        <w:rPr>
          <w:i/>
          <w:lang w:val="fr-CA"/>
        </w:rPr>
        <w:t>assets</w:t>
      </w:r>
      <w:proofErr w:type="spellEnd"/>
      <w:r w:rsidRPr="007964D2">
        <w:rPr>
          <w:lang w:val="fr-CA"/>
        </w:rPr>
        <w:t xml:space="preserve"> », employés dans les versions française et anglaise des lois sur les pensions, figurent dans divers documents internes et externes (voir, </w:t>
      </w:r>
      <w:r>
        <w:rPr>
          <w:lang w:val="fr-CA"/>
        </w:rPr>
        <w:t>p. </w:t>
      </w:r>
      <w:r w:rsidRPr="007964D2">
        <w:rPr>
          <w:lang w:val="fr-CA"/>
        </w:rPr>
        <w:t xml:space="preserve">ex., </w:t>
      </w:r>
      <w:r>
        <w:rPr>
          <w:lang w:val="fr-CA"/>
        </w:rPr>
        <w:t>« </w:t>
      </w:r>
      <w:r w:rsidRPr="00B17C9A">
        <w:rPr>
          <w:lang w:val="fr-CA"/>
        </w:rPr>
        <w:t>Public Service Pensions</w:t>
      </w:r>
      <w:r>
        <w:rPr>
          <w:lang w:val="fr-CA"/>
        </w:rPr>
        <w:t> »</w:t>
      </w:r>
      <w:r w:rsidRPr="007964D2">
        <w:rPr>
          <w:lang w:val="fr-CA"/>
        </w:rPr>
        <w:t>, janvier 1970 (</w:t>
      </w:r>
      <w:proofErr w:type="gramStart"/>
      <w:r w:rsidR="003D0D7F">
        <w:rPr>
          <w:lang w:val="fr-CA"/>
        </w:rPr>
        <w:t>d.a.</w:t>
      </w:r>
      <w:r w:rsidRPr="007964D2">
        <w:rPr>
          <w:lang w:val="fr-CA"/>
        </w:rPr>
        <w:t>,</w:t>
      </w:r>
      <w:proofErr w:type="gramEnd"/>
      <w:r w:rsidRPr="007964D2">
        <w:rPr>
          <w:lang w:val="fr-CA"/>
        </w:rPr>
        <w:t xml:space="preserve"> </w:t>
      </w:r>
      <w:r>
        <w:rPr>
          <w:lang w:val="fr-CA"/>
        </w:rPr>
        <w:t>vol. V</w:t>
      </w:r>
      <w:r w:rsidRPr="007964D2">
        <w:rPr>
          <w:lang w:val="fr-CA"/>
        </w:rPr>
        <w:t xml:space="preserve">, </w:t>
      </w:r>
      <w:r>
        <w:rPr>
          <w:lang w:val="fr-CA"/>
        </w:rPr>
        <w:t>p. </w:t>
      </w:r>
      <w:r w:rsidRPr="007964D2">
        <w:rPr>
          <w:lang w:val="fr-CA"/>
        </w:rPr>
        <w:t>5)).</w:t>
      </w:r>
    </w:p>
    <w:p w:rsidR="000F48EC" w:rsidRPr="001E7CB3" w:rsidRDefault="000F48EC" w:rsidP="000F48EC">
      <w:pPr>
        <w:pStyle w:val="ParaNoNdepar-AltN"/>
        <w:rPr>
          <w:lang w:val="fr-CA"/>
        </w:rPr>
      </w:pPr>
      <w:r>
        <w:rPr>
          <w:lang w:val="fr-CA"/>
        </w:rPr>
        <w:t>Bien que le texte des</w:t>
      </w:r>
      <w:r w:rsidRPr="001E7CB3">
        <w:rPr>
          <w:lang w:val="fr-CA"/>
        </w:rPr>
        <w:t xml:space="preserve"> documents gouvernementaux soumis par les appelants </w:t>
      </w:r>
      <w:r>
        <w:rPr>
          <w:lang w:val="fr-CA"/>
        </w:rPr>
        <w:t>indique</w:t>
      </w:r>
      <w:r w:rsidRPr="001E7CB3">
        <w:rPr>
          <w:lang w:val="fr-CA"/>
        </w:rPr>
        <w:t xml:space="preserve"> que les comptes </w:t>
      </w:r>
      <w:r>
        <w:rPr>
          <w:lang w:val="fr-CA"/>
        </w:rPr>
        <w:t>contiennent</w:t>
      </w:r>
      <w:r w:rsidRPr="001E7CB3">
        <w:rPr>
          <w:lang w:val="fr-CA"/>
        </w:rPr>
        <w:t xml:space="preserve"> des </w:t>
      </w:r>
      <w:r>
        <w:rPr>
          <w:lang w:val="fr-CA"/>
        </w:rPr>
        <w:t>éléments d’actif</w:t>
      </w:r>
      <w:r w:rsidRPr="001E7CB3">
        <w:rPr>
          <w:lang w:val="fr-CA"/>
        </w:rPr>
        <w:t>, d</w:t>
      </w:r>
      <w:r>
        <w:rPr>
          <w:lang w:val="fr-CA"/>
        </w:rPr>
        <w:t>’</w:t>
      </w:r>
      <w:r w:rsidRPr="001E7CB3">
        <w:rPr>
          <w:lang w:val="fr-CA"/>
        </w:rPr>
        <w:t>autres documents</w:t>
      </w:r>
      <w:r>
        <w:rPr>
          <w:lang w:val="fr-CA"/>
        </w:rPr>
        <w:t xml:space="preserve"> gouvernementaux</w:t>
      </w:r>
      <w:r w:rsidRPr="001E7CB3">
        <w:rPr>
          <w:lang w:val="fr-CA"/>
        </w:rPr>
        <w:t>, déposés par le gouvernement, étayent l</w:t>
      </w:r>
      <w:r>
        <w:rPr>
          <w:lang w:val="fr-CA"/>
        </w:rPr>
        <w:t>’</w:t>
      </w:r>
      <w:r w:rsidRPr="001E7CB3">
        <w:rPr>
          <w:lang w:val="fr-CA"/>
        </w:rPr>
        <w:t>argument qu</w:t>
      </w:r>
      <w:r>
        <w:rPr>
          <w:lang w:val="fr-CA"/>
        </w:rPr>
        <w:t>’</w:t>
      </w:r>
      <w:r w:rsidRPr="001E7CB3">
        <w:rPr>
          <w:lang w:val="fr-CA"/>
        </w:rPr>
        <w:t>ils n</w:t>
      </w:r>
      <w:r>
        <w:rPr>
          <w:lang w:val="fr-CA"/>
        </w:rPr>
        <w:t>’</w:t>
      </w:r>
      <w:r w:rsidRPr="001E7CB3">
        <w:rPr>
          <w:lang w:val="fr-CA"/>
        </w:rPr>
        <w:t xml:space="preserve">en </w:t>
      </w:r>
      <w:r>
        <w:rPr>
          <w:lang w:val="fr-CA"/>
        </w:rPr>
        <w:t>contienn</w:t>
      </w:r>
      <w:r w:rsidRPr="001E7CB3">
        <w:rPr>
          <w:lang w:val="fr-CA"/>
        </w:rPr>
        <w:t>ent pas.  Le vérificateur général a souvent exposé</w:t>
      </w:r>
      <w:bookmarkStart w:id="1" w:name="_Ref315424509"/>
      <w:r w:rsidRPr="001E7CB3">
        <w:rPr>
          <w:lang w:val="fr-CA"/>
        </w:rPr>
        <w:t xml:space="preserve"> — dans ses observations officielles relatives aux Comptes publics — que les comptes de pension de retraite sont des « régimes non capitalisés, au sens où le gouvernement n</w:t>
      </w:r>
      <w:r>
        <w:rPr>
          <w:lang w:val="fr-CA"/>
        </w:rPr>
        <w:t>’</w:t>
      </w:r>
      <w:r w:rsidRPr="001E7CB3">
        <w:rPr>
          <w:lang w:val="fr-CA"/>
        </w:rPr>
        <w:t>a pas mis de côté des actifs pour les pensions qu</w:t>
      </w:r>
      <w:r>
        <w:rPr>
          <w:lang w:val="fr-CA"/>
        </w:rPr>
        <w:t>’</w:t>
      </w:r>
      <w:r w:rsidRPr="001E7CB3">
        <w:rPr>
          <w:lang w:val="fr-CA"/>
        </w:rPr>
        <w:t xml:space="preserve">il aura un jour à payer » </w:t>
      </w:r>
      <w:r>
        <w:rPr>
          <w:lang w:val="fr-CA"/>
        </w:rPr>
        <w:t>(</w:t>
      </w:r>
      <w:r w:rsidRPr="001E7CB3">
        <w:rPr>
          <w:lang w:val="fr-CA"/>
        </w:rPr>
        <w:t>« </w:t>
      </w:r>
      <w:r>
        <w:rPr>
          <w:lang w:val="fr-CA"/>
        </w:rPr>
        <w:t xml:space="preserve">Information supplémentaire : </w:t>
      </w:r>
      <w:r w:rsidRPr="001E7CB3">
        <w:rPr>
          <w:lang w:val="fr-CA"/>
        </w:rPr>
        <w:t>Observations du vérificateur général sur les états financiers du gouvernement du Canada et l</w:t>
      </w:r>
      <w:r>
        <w:rPr>
          <w:lang w:val="fr-CA"/>
        </w:rPr>
        <w:t>’</w:t>
      </w:r>
      <w:r w:rsidRPr="001E7CB3">
        <w:rPr>
          <w:lang w:val="fr-CA"/>
        </w:rPr>
        <w:t xml:space="preserve">état des opérations du compte de service et de réduction de la dette », </w:t>
      </w:r>
      <w:r w:rsidRPr="001E7CB3">
        <w:rPr>
          <w:i/>
          <w:lang w:val="fr-CA"/>
        </w:rPr>
        <w:t>Comptes publics du Canada 1997</w:t>
      </w:r>
      <w:r>
        <w:rPr>
          <w:lang w:val="fr-CA"/>
        </w:rPr>
        <w:t xml:space="preserve"> (1997), vol. I, 1.26, p. </w:t>
      </w:r>
      <w:r w:rsidRPr="007964D2">
        <w:rPr>
          <w:lang w:val="fr-CA"/>
        </w:rPr>
        <w:t>1.2</w:t>
      </w:r>
      <w:r>
        <w:rPr>
          <w:lang w:val="fr-CA"/>
        </w:rPr>
        <w:t>9</w:t>
      </w:r>
      <w:r w:rsidRPr="001E7CB3">
        <w:rPr>
          <w:lang w:val="fr-CA"/>
        </w:rPr>
        <w:t>; voir aussi « </w:t>
      </w:r>
      <w:r>
        <w:rPr>
          <w:lang w:val="fr-CA"/>
        </w:rPr>
        <w:t xml:space="preserve">Information supplémentaire : </w:t>
      </w:r>
      <w:r w:rsidRPr="001E7CB3">
        <w:rPr>
          <w:lang w:val="fr-CA"/>
        </w:rPr>
        <w:t>Observations du vérificateur général sur les états financiers du gouvernement du Canada, l</w:t>
      </w:r>
      <w:r>
        <w:rPr>
          <w:lang w:val="fr-CA"/>
        </w:rPr>
        <w:t>’</w:t>
      </w:r>
      <w:r w:rsidRPr="001E7CB3">
        <w:rPr>
          <w:lang w:val="fr-CA"/>
        </w:rPr>
        <w:t xml:space="preserve">état exigé en vertu de la </w:t>
      </w:r>
      <w:r w:rsidRPr="001E7CB3">
        <w:rPr>
          <w:i/>
          <w:lang w:val="fr-CA"/>
        </w:rPr>
        <w:t>Loi limitant les dépenses publiques</w:t>
      </w:r>
      <w:r w:rsidRPr="001E7CB3">
        <w:rPr>
          <w:lang w:val="fr-CA"/>
        </w:rPr>
        <w:t xml:space="preserve"> et l</w:t>
      </w:r>
      <w:r>
        <w:rPr>
          <w:lang w:val="fr-CA"/>
        </w:rPr>
        <w:t>’</w:t>
      </w:r>
      <w:r w:rsidRPr="001E7CB3">
        <w:rPr>
          <w:lang w:val="fr-CA"/>
        </w:rPr>
        <w:t xml:space="preserve">état des opérations du compte de service et de réduction de la dette », </w:t>
      </w:r>
      <w:r w:rsidRPr="001E7CB3">
        <w:rPr>
          <w:i/>
          <w:lang w:val="fr-CA"/>
        </w:rPr>
        <w:t>Comptes publics du Canada</w:t>
      </w:r>
      <w:r>
        <w:rPr>
          <w:i/>
          <w:lang w:val="fr-CA"/>
        </w:rPr>
        <w:t xml:space="preserve"> </w:t>
      </w:r>
      <w:r w:rsidRPr="001E7CB3">
        <w:rPr>
          <w:i/>
          <w:lang w:val="fr-CA"/>
        </w:rPr>
        <w:t>1996</w:t>
      </w:r>
      <w:r>
        <w:rPr>
          <w:i/>
          <w:lang w:val="fr-CA"/>
        </w:rPr>
        <w:t xml:space="preserve"> </w:t>
      </w:r>
      <w:r>
        <w:rPr>
          <w:lang w:val="fr-CA"/>
        </w:rPr>
        <w:t>(1996), vol. I, 1.25, p. </w:t>
      </w:r>
      <w:r w:rsidRPr="00C70628">
        <w:rPr>
          <w:lang w:val="fr-CA"/>
        </w:rPr>
        <w:t>1.28</w:t>
      </w:r>
      <w:r w:rsidRPr="001E7CB3">
        <w:rPr>
          <w:lang w:val="fr-CA"/>
        </w:rPr>
        <w:t>)</w:t>
      </w:r>
      <w:bookmarkEnd w:id="1"/>
      <w:r>
        <w:rPr>
          <w:lang w:val="fr-CA"/>
        </w:rPr>
        <w:t>.</w:t>
      </w:r>
    </w:p>
    <w:p w:rsidR="000F48EC" w:rsidRPr="001E7CB3" w:rsidRDefault="000F48EC" w:rsidP="000F48EC">
      <w:pPr>
        <w:pStyle w:val="ParaNoNdepar-AltN"/>
        <w:rPr>
          <w:lang w:val="fr-CA"/>
        </w:rPr>
      </w:pPr>
      <w:r w:rsidRPr="001E7CB3">
        <w:rPr>
          <w:lang w:val="fr-CA"/>
        </w:rPr>
        <w:t xml:space="preserve">Le rapport de consultation </w:t>
      </w:r>
      <w:proofErr w:type="spellStart"/>
      <w:r w:rsidRPr="001E7CB3">
        <w:rPr>
          <w:lang w:val="fr-CA"/>
        </w:rPr>
        <w:t>Towers</w:t>
      </w:r>
      <w:proofErr w:type="spellEnd"/>
      <w:r w:rsidRPr="001E7CB3">
        <w:rPr>
          <w:lang w:val="fr-CA"/>
        </w:rPr>
        <w:t xml:space="preserve"> Perrin</w:t>
      </w:r>
      <w:r>
        <w:rPr>
          <w:lang w:val="fr-CA"/>
        </w:rPr>
        <w:t>,</w:t>
      </w:r>
      <w:r w:rsidRPr="001E7CB3">
        <w:rPr>
          <w:lang w:val="fr-CA"/>
        </w:rPr>
        <w:t xml:space="preserve"> </w:t>
      </w:r>
      <w:r>
        <w:rPr>
          <w:lang w:val="fr-CA"/>
        </w:rPr>
        <w:t>« </w:t>
      </w:r>
      <w:r w:rsidRPr="00C31AC3">
        <w:rPr>
          <w:lang w:val="fr-CA"/>
        </w:rPr>
        <w:t xml:space="preserve">Return Expectations for the Public </w:t>
      </w:r>
      <w:r>
        <w:rPr>
          <w:lang w:val="fr-CA"/>
        </w:rPr>
        <w:t xml:space="preserve">Service </w:t>
      </w:r>
      <w:proofErr w:type="spellStart"/>
      <w:r w:rsidRPr="00C31AC3">
        <w:rPr>
          <w:lang w:val="fr-CA"/>
        </w:rPr>
        <w:t>Superannuation</w:t>
      </w:r>
      <w:proofErr w:type="spellEnd"/>
      <w:r w:rsidRPr="00C31AC3">
        <w:rPr>
          <w:lang w:val="fr-CA"/>
        </w:rPr>
        <w:t xml:space="preserve"> </w:t>
      </w:r>
      <w:proofErr w:type="spellStart"/>
      <w:r w:rsidRPr="00C31AC3">
        <w:rPr>
          <w:lang w:val="fr-CA"/>
        </w:rPr>
        <w:t>Fund</w:t>
      </w:r>
      <w:proofErr w:type="spellEnd"/>
      <w:r>
        <w:rPr>
          <w:lang w:val="fr-CA"/>
        </w:rPr>
        <w:t> »</w:t>
      </w:r>
      <w:r w:rsidRPr="001E7CB3">
        <w:rPr>
          <w:lang w:val="fr-CA"/>
        </w:rPr>
        <w:t xml:space="preserve">, préparé à la demande du ministère des </w:t>
      </w:r>
      <w:r w:rsidRPr="001E7CB3">
        <w:rPr>
          <w:lang w:val="fr-CA"/>
        </w:rPr>
        <w:lastRenderedPageBreak/>
        <w:t xml:space="preserve">Finances et du Conseil du Trésor en 1993, </w:t>
      </w:r>
      <w:r>
        <w:rPr>
          <w:lang w:val="fr-CA"/>
        </w:rPr>
        <w:t>expliqu</w:t>
      </w:r>
      <w:r w:rsidRPr="001E7CB3">
        <w:rPr>
          <w:lang w:val="fr-CA"/>
        </w:rPr>
        <w:t xml:space="preserve">e que </w:t>
      </w:r>
      <w:r>
        <w:rPr>
          <w:lang w:val="fr-CA"/>
        </w:rPr>
        <w:t>[</w:t>
      </w:r>
      <w:r w:rsidRPr="002F1715">
        <w:rPr>
          <w:smallCaps/>
          <w:lang w:val="fr-CA"/>
        </w:rPr>
        <w:t>traduction</w:t>
      </w:r>
      <w:r>
        <w:rPr>
          <w:lang w:val="fr-CA"/>
        </w:rPr>
        <w:t xml:space="preserve">] </w:t>
      </w:r>
      <w:r w:rsidRPr="001E7CB3">
        <w:rPr>
          <w:lang w:val="fr-CA"/>
        </w:rPr>
        <w:t>« [</w:t>
      </w:r>
      <w:r>
        <w:rPr>
          <w:lang w:val="fr-CA"/>
        </w:rPr>
        <w:t>s</w:t>
      </w:r>
      <w:r w:rsidRPr="001E7CB3">
        <w:rPr>
          <w:lang w:val="fr-CA"/>
        </w:rPr>
        <w:t>]</w:t>
      </w:r>
      <w:r>
        <w:rPr>
          <w:lang w:val="fr-CA"/>
        </w:rPr>
        <w:t xml:space="preserve">’agissant de la CRFP </w:t>
      </w:r>
      <w:r w:rsidRPr="001E7CB3">
        <w:rPr>
          <w:lang w:val="fr-CA"/>
        </w:rPr>
        <w:t>[</w:t>
      </w:r>
      <w:r>
        <w:rPr>
          <w:lang w:val="fr-CA"/>
        </w:rPr>
        <w:t>la Caisse de retraite de la fonction publique</w:t>
      </w:r>
      <w:r w:rsidRPr="001E7CB3">
        <w:rPr>
          <w:lang w:val="fr-CA"/>
        </w:rPr>
        <w:t xml:space="preserve">], </w:t>
      </w:r>
      <w:r>
        <w:rPr>
          <w:u w:val="single"/>
          <w:lang w:val="fr-CA"/>
        </w:rPr>
        <w:t xml:space="preserve">le régime n’est pas </w:t>
      </w:r>
      <w:r w:rsidR="003D0D7F">
        <w:rPr>
          <w:rFonts w:cs="Times New Roman"/>
          <w:u w:val="single"/>
          <w:lang w:val="fr-CA"/>
        </w:rPr>
        <w:t>« </w:t>
      </w:r>
      <w:r>
        <w:rPr>
          <w:rFonts w:cs="Times New Roman"/>
          <w:u w:val="single"/>
          <w:lang w:val="fr-CA"/>
        </w:rPr>
        <w:t>capitalisé</w:t>
      </w:r>
      <w:r w:rsidR="003D0D7F">
        <w:rPr>
          <w:rFonts w:cs="Times New Roman"/>
          <w:u w:val="single"/>
          <w:lang w:val="fr-CA"/>
        </w:rPr>
        <w:t> »</w:t>
      </w:r>
      <w:r w:rsidRPr="001E7CB3">
        <w:rPr>
          <w:lang w:val="fr-CA"/>
        </w:rPr>
        <w:t xml:space="preserve"> </w:t>
      </w:r>
      <w:r>
        <w:rPr>
          <w:lang w:val="fr-CA"/>
        </w:rPr>
        <w:t>au sens où des fonds en fiducie seraient investis sur le marché externe, mais, sur les plans comptable et actuariel, il est traité comme si c’était le cas</w:t>
      </w:r>
      <w:r w:rsidRPr="001E7CB3">
        <w:rPr>
          <w:lang w:val="fr-CA"/>
        </w:rPr>
        <w:t> » (</w:t>
      </w:r>
      <w:r w:rsidR="003D0D7F">
        <w:rPr>
          <w:lang w:val="fr-CA"/>
        </w:rPr>
        <w:t>d.a.</w:t>
      </w:r>
      <w:r w:rsidRPr="001E7CB3">
        <w:rPr>
          <w:lang w:val="fr-CA"/>
        </w:rPr>
        <w:t xml:space="preserve">, </w:t>
      </w:r>
      <w:r>
        <w:rPr>
          <w:lang w:val="fr-CA"/>
        </w:rPr>
        <w:t>vol. V</w:t>
      </w:r>
      <w:r w:rsidRPr="001E7CB3">
        <w:rPr>
          <w:lang w:val="fr-CA"/>
        </w:rPr>
        <w:t xml:space="preserve">, </w:t>
      </w:r>
      <w:r>
        <w:rPr>
          <w:lang w:val="fr-CA"/>
        </w:rPr>
        <w:t>p. </w:t>
      </w:r>
      <w:r w:rsidRPr="001E7CB3">
        <w:rPr>
          <w:lang w:val="fr-CA"/>
        </w:rPr>
        <w:t xml:space="preserve">145 </w:t>
      </w:r>
      <w:r>
        <w:rPr>
          <w:lang w:val="fr-CA"/>
        </w:rPr>
        <w:t>(</w:t>
      </w:r>
      <w:r w:rsidRPr="001E7CB3">
        <w:rPr>
          <w:lang w:val="fr-CA"/>
        </w:rPr>
        <w:t>je souligne)</w:t>
      </w:r>
      <w:r>
        <w:rPr>
          <w:lang w:val="fr-CA"/>
        </w:rPr>
        <w:t>)</w:t>
      </w:r>
      <w:r w:rsidRPr="001E7CB3">
        <w:rPr>
          <w:lang w:val="fr-CA"/>
        </w:rPr>
        <w:t xml:space="preserve">.  </w:t>
      </w:r>
      <w:r>
        <w:rPr>
          <w:lang w:val="fr-CA"/>
        </w:rPr>
        <w:t>C</w:t>
      </w:r>
      <w:r w:rsidRPr="001E7CB3">
        <w:rPr>
          <w:lang w:val="fr-CA"/>
        </w:rPr>
        <w:t xml:space="preserve">e document </w:t>
      </w:r>
      <w:r>
        <w:rPr>
          <w:lang w:val="fr-CA"/>
        </w:rPr>
        <w:t xml:space="preserve">décrit </w:t>
      </w:r>
      <w:r w:rsidRPr="001E7CB3">
        <w:rPr>
          <w:lang w:val="fr-CA"/>
        </w:rPr>
        <w:t xml:space="preserve">les régimes </w:t>
      </w:r>
      <w:r>
        <w:rPr>
          <w:lang w:val="fr-CA"/>
        </w:rPr>
        <w:t>comme [</w:t>
      </w:r>
      <w:r w:rsidRPr="002F1715">
        <w:rPr>
          <w:smallCaps/>
          <w:lang w:val="fr-CA"/>
        </w:rPr>
        <w:t>traduction</w:t>
      </w:r>
      <w:r>
        <w:rPr>
          <w:lang w:val="fr-CA"/>
        </w:rPr>
        <w:t>]</w:t>
      </w:r>
      <w:r w:rsidRPr="001E7CB3">
        <w:rPr>
          <w:lang w:val="fr-CA"/>
        </w:rPr>
        <w:t xml:space="preserve"> « </w:t>
      </w:r>
      <w:r>
        <w:rPr>
          <w:lang w:val="fr-CA"/>
        </w:rPr>
        <w:t>théoriquement capitalisés</w:t>
      </w:r>
      <w:r w:rsidRPr="001E7CB3">
        <w:rPr>
          <w:lang w:val="fr-CA"/>
        </w:rPr>
        <w:t xml:space="preserve"> ». </w:t>
      </w:r>
    </w:p>
    <w:p w:rsidR="000F48EC" w:rsidRPr="001E7CB3" w:rsidRDefault="000F48EC" w:rsidP="000F48EC">
      <w:pPr>
        <w:pStyle w:val="ParaNoNdepar-AltN"/>
        <w:rPr>
          <w:lang w:val="fr-CA"/>
        </w:rPr>
      </w:pPr>
      <w:r w:rsidRPr="001E7CB3">
        <w:rPr>
          <w:lang w:val="fr-CA"/>
        </w:rPr>
        <w:t>Je suis d</w:t>
      </w:r>
      <w:r>
        <w:rPr>
          <w:lang w:val="fr-CA"/>
        </w:rPr>
        <w:t>’</w:t>
      </w:r>
      <w:r w:rsidRPr="001E7CB3">
        <w:rPr>
          <w:lang w:val="fr-CA"/>
        </w:rPr>
        <w:t xml:space="preserve">avis que, même si le recours à des moyens extrinsèques était approprié, les éléments de preuve </w:t>
      </w:r>
      <w:r>
        <w:rPr>
          <w:lang w:val="fr-CA"/>
        </w:rPr>
        <w:t>extrinsèques</w:t>
      </w:r>
      <w:r w:rsidRPr="001E7CB3">
        <w:rPr>
          <w:lang w:val="fr-CA"/>
        </w:rPr>
        <w:t xml:space="preserve"> ne sont pas concluants et </w:t>
      </w:r>
      <w:r>
        <w:rPr>
          <w:lang w:val="fr-CA"/>
        </w:rPr>
        <w:t xml:space="preserve">ils </w:t>
      </w:r>
      <w:r w:rsidRPr="001E7CB3">
        <w:rPr>
          <w:lang w:val="fr-CA"/>
        </w:rPr>
        <w:t>ne nous éclairent pas sur l</w:t>
      </w:r>
      <w:r>
        <w:rPr>
          <w:lang w:val="fr-CA"/>
        </w:rPr>
        <w:t>’</w:t>
      </w:r>
      <w:r w:rsidRPr="001E7CB3">
        <w:rPr>
          <w:lang w:val="fr-CA"/>
        </w:rPr>
        <w:t xml:space="preserve">intention </w:t>
      </w:r>
      <w:r>
        <w:rPr>
          <w:lang w:val="fr-CA"/>
        </w:rPr>
        <w:t>que poursuivait le</w:t>
      </w:r>
      <w:r w:rsidRPr="001E7CB3">
        <w:rPr>
          <w:lang w:val="fr-CA"/>
        </w:rPr>
        <w:t xml:space="preserve"> législateur </w:t>
      </w:r>
      <w:r>
        <w:rPr>
          <w:lang w:val="fr-CA"/>
        </w:rPr>
        <w:t>en créant l</w:t>
      </w:r>
      <w:r w:rsidRPr="001E7CB3">
        <w:rPr>
          <w:lang w:val="fr-CA"/>
        </w:rPr>
        <w:t xml:space="preserve">es comptes de pension de retraite.  Je ne puis donc accorder beaucoup de poids aux documents présentés par les appelants </w:t>
      </w:r>
      <w:r>
        <w:rPr>
          <w:lang w:val="fr-CA"/>
        </w:rPr>
        <w:t>à l’appui de leur argumentation</w:t>
      </w:r>
      <w:r w:rsidRPr="001E7CB3">
        <w:rPr>
          <w:lang w:val="fr-CA"/>
        </w:rPr>
        <w:t>.  Il semble que des représentants du gouvernement aient parfois décrit les comptes de pension de retraite de façon inexacte dans des documents internes</w:t>
      </w:r>
      <w:r>
        <w:rPr>
          <w:lang w:val="fr-CA"/>
        </w:rPr>
        <w:t xml:space="preserve"> ou destinés au public</w:t>
      </w:r>
      <w:r w:rsidRPr="001E7CB3">
        <w:rPr>
          <w:lang w:val="fr-CA"/>
        </w:rPr>
        <w:t xml:space="preserve">. </w:t>
      </w:r>
    </w:p>
    <w:p w:rsidR="000F48EC" w:rsidRPr="001E7CB3" w:rsidRDefault="000F48EC" w:rsidP="00922572">
      <w:pPr>
        <w:pStyle w:val="TitleTitre-AltT"/>
        <w:keepNext/>
        <w:tabs>
          <w:tab w:val="clear" w:pos="360"/>
          <w:tab w:val="left" w:pos="540"/>
        </w:tabs>
        <w:ind w:left="1170" w:hanging="1170"/>
        <w:rPr>
          <w:i/>
          <w:szCs w:val="24"/>
          <w:lang w:val="fr-CA"/>
        </w:rPr>
      </w:pPr>
      <w:r>
        <w:rPr>
          <w:i/>
          <w:szCs w:val="24"/>
          <w:lang w:val="fr-CA"/>
        </w:rPr>
        <w:tab/>
      </w:r>
      <w:r>
        <w:rPr>
          <w:szCs w:val="24"/>
          <w:lang w:val="fr-CA"/>
        </w:rPr>
        <w:t>(5)</w:t>
      </w:r>
      <w:r>
        <w:rPr>
          <w:szCs w:val="24"/>
          <w:lang w:val="fr-CA"/>
        </w:rPr>
        <w:tab/>
      </w:r>
      <w:r w:rsidRPr="006F17FD">
        <w:rPr>
          <w:szCs w:val="24"/>
          <w:u w:val="single"/>
          <w:lang w:val="fr-CA"/>
        </w:rPr>
        <w:t xml:space="preserve">Conclusion </w:t>
      </w:r>
      <w:r>
        <w:rPr>
          <w:szCs w:val="24"/>
          <w:u w:val="single"/>
          <w:lang w:val="fr-CA"/>
        </w:rPr>
        <w:t>sur la question de savoir si</w:t>
      </w:r>
      <w:r w:rsidRPr="006F17FD">
        <w:rPr>
          <w:szCs w:val="24"/>
          <w:u w:val="single"/>
          <w:lang w:val="fr-CA"/>
        </w:rPr>
        <w:t xml:space="preserve"> les comptes de pension de retraite</w:t>
      </w:r>
      <w:r>
        <w:rPr>
          <w:szCs w:val="24"/>
          <w:u w:val="single"/>
          <w:lang w:val="fr-CA"/>
        </w:rPr>
        <w:t xml:space="preserve"> contiennent des éléments d’actif</w:t>
      </w:r>
    </w:p>
    <w:p w:rsidR="000F48EC" w:rsidRPr="001E7CB3" w:rsidRDefault="000F48EC" w:rsidP="000F48EC">
      <w:pPr>
        <w:pStyle w:val="ParaNoNdepar-AltN"/>
        <w:rPr>
          <w:lang w:val="fr-CA"/>
        </w:rPr>
      </w:pPr>
      <w:r w:rsidRPr="001E7CB3">
        <w:rPr>
          <w:lang w:val="fr-CA"/>
        </w:rPr>
        <w:t xml:space="preserve">Pour les </w:t>
      </w:r>
      <w:r>
        <w:rPr>
          <w:lang w:val="fr-CA"/>
        </w:rPr>
        <w:t>motifs</w:t>
      </w:r>
      <w:r w:rsidRPr="001E7CB3">
        <w:rPr>
          <w:lang w:val="fr-CA"/>
        </w:rPr>
        <w:t xml:space="preserve"> exposés</w:t>
      </w:r>
      <w:r w:rsidRPr="006F17FD">
        <w:rPr>
          <w:lang w:val="fr-CA"/>
        </w:rPr>
        <w:t xml:space="preserve"> </w:t>
      </w:r>
      <w:r w:rsidRPr="001E7CB3">
        <w:rPr>
          <w:lang w:val="fr-CA"/>
        </w:rPr>
        <w:t>précédemment, je souscris à l</w:t>
      </w:r>
      <w:r>
        <w:rPr>
          <w:lang w:val="fr-CA"/>
        </w:rPr>
        <w:t>’</w:t>
      </w:r>
      <w:r w:rsidRPr="001E7CB3">
        <w:rPr>
          <w:lang w:val="fr-CA"/>
        </w:rPr>
        <w:t xml:space="preserve">opinion des juridictions inférieures selon laquelle les comptes de pension de retraite ne </w:t>
      </w:r>
      <w:r>
        <w:rPr>
          <w:lang w:val="fr-CA"/>
        </w:rPr>
        <w:t>contienn</w:t>
      </w:r>
      <w:r w:rsidRPr="001E7CB3">
        <w:rPr>
          <w:lang w:val="fr-CA"/>
        </w:rPr>
        <w:t>ent pas d</w:t>
      </w:r>
      <w:r>
        <w:rPr>
          <w:lang w:val="fr-CA"/>
        </w:rPr>
        <w:t>’éléments d’</w:t>
      </w:r>
      <w:r w:rsidRPr="001E7CB3">
        <w:rPr>
          <w:lang w:val="fr-CA"/>
        </w:rPr>
        <w:t xml:space="preserve">actif — pas même </w:t>
      </w:r>
      <w:r>
        <w:rPr>
          <w:lang w:val="fr-CA"/>
        </w:rPr>
        <w:t>les</w:t>
      </w:r>
      <w:r w:rsidRPr="001E7CB3">
        <w:rPr>
          <w:lang w:val="fr-CA"/>
        </w:rPr>
        <w:t xml:space="preserve"> créances sur le gouvernement </w:t>
      </w:r>
      <w:r>
        <w:rPr>
          <w:lang w:val="fr-CA"/>
        </w:rPr>
        <w:t>qu’ils sont censés contenir</w:t>
      </w:r>
      <w:r w:rsidRPr="001E7CB3">
        <w:rPr>
          <w:lang w:val="fr-CA"/>
        </w:rPr>
        <w:t xml:space="preserve"> selon les appelants.  Les lois sur les pensions ont établi ces comptes pour </w:t>
      </w:r>
      <w:r>
        <w:rPr>
          <w:lang w:val="fr-CA"/>
        </w:rPr>
        <w:t>suivre les</w:t>
      </w:r>
      <w:r w:rsidRPr="001E7CB3">
        <w:rPr>
          <w:lang w:val="fr-CA"/>
        </w:rPr>
        <w:t xml:space="preserve"> opérations effectuées dans le Trésor à l</w:t>
      </w:r>
      <w:r>
        <w:rPr>
          <w:lang w:val="fr-CA"/>
        </w:rPr>
        <w:t>’</w:t>
      </w:r>
      <w:r w:rsidRPr="001E7CB3">
        <w:rPr>
          <w:lang w:val="fr-CA"/>
        </w:rPr>
        <w:t xml:space="preserve">égard des régimes et </w:t>
      </w:r>
      <w:r>
        <w:rPr>
          <w:lang w:val="fr-CA"/>
        </w:rPr>
        <w:t>pour estimer les</w:t>
      </w:r>
      <w:r w:rsidRPr="001E7CB3">
        <w:rPr>
          <w:lang w:val="fr-CA"/>
        </w:rPr>
        <w:t xml:space="preserve"> </w:t>
      </w:r>
      <w:r>
        <w:rPr>
          <w:lang w:val="fr-CA"/>
        </w:rPr>
        <w:t>engagement</w:t>
      </w:r>
      <w:r w:rsidRPr="001E7CB3">
        <w:rPr>
          <w:lang w:val="fr-CA"/>
        </w:rPr>
        <w:t xml:space="preserve">s du gouvernement envers les membres des régimes au </w:t>
      </w:r>
      <w:r w:rsidRPr="001E7CB3">
        <w:rPr>
          <w:lang w:val="fr-CA"/>
        </w:rPr>
        <w:lastRenderedPageBreak/>
        <w:t>titre des pensions.  Il s</w:t>
      </w:r>
      <w:r>
        <w:rPr>
          <w:lang w:val="fr-CA"/>
        </w:rPr>
        <w:t>’</w:t>
      </w:r>
      <w:r w:rsidRPr="001E7CB3">
        <w:rPr>
          <w:lang w:val="fr-CA"/>
        </w:rPr>
        <w:t>ensuit qu</w:t>
      </w:r>
      <w:r>
        <w:rPr>
          <w:lang w:val="fr-CA"/>
        </w:rPr>
        <w:t>’</w:t>
      </w:r>
      <w:r w:rsidRPr="001E7CB3">
        <w:rPr>
          <w:lang w:val="fr-CA"/>
        </w:rPr>
        <w:t>il s</w:t>
      </w:r>
      <w:r>
        <w:rPr>
          <w:lang w:val="fr-CA"/>
        </w:rPr>
        <w:t>’</w:t>
      </w:r>
      <w:r w:rsidRPr="001E7CB3">
        <w:rPr>
          <w:lang w:val="fr-CA"/>
        </w:rPr>
        <w:t xml:space="preserve">agit de documents comptables, </w:t>
      </w:r>
      <w:r>
        <w:rPr>
          <w:lang w:val="fr-CA"/>
        </w:rPr>
        <w:t xml:space="preserve">et </w:t>
      </w:r>
      <w:r w:rsidRPr="001E7CB3">
        <w:rPr>
          <w:lang w:val="fr-CA"/>
        </w:rPr>
        <w:t>non de portefeuilles d</w:t>
      </w:r>
      <w:r>
        <w:rPr>
          <w:lang w:val="fr-CA"/>
        </w:rPr>
        <w:t>’éléments d’</w:t>
      </w:r>
      <w:r w:rsidRPr="001E7CB3">
        <w:rPr>
          <w:lang w:val="fr-CA"/>
        </w:rPr>
        <w:t>actif capitalisés et distincts.  Le mot « actif »</w:t>
      </w:r>
      <w:r>
        <w:rPr>
          <w:lang w:val="fr-CA"/>
        </w:rPr>
        <w:t>,</w:t>
      </w:r>
      <w:r w:rsidRPr="001E7CB3">
        <w:rPr>
          <w:lang w:val="fr-CA"/>
        </w:rPr>
        <w:t xml:space="preserve"> employé dans les dispositions législatives à l</w:t>
      </w:r>
      <w:r>
        <w:rPr>
          <w:lang w:val="fr-CA"/>
        </w:rPr>
        <w:t>’</w:t>
      </w:r>
      <w:r w:rsidRPr="001E7CB3">
        <w:rPr>
          <w:lang w:val="fr-CA"/>
        </w:rPr>
        <w:t>égard des comptes de pension de retraite,</w:t>
      </w:r>
      <w:r>
        <w:rPr>
          <w:lang w:val="fr-CA"/>
        </w:rPr>
        <w:t xml:space="preserve"> </w:t>
      </w:r>
      <w:r w:rsidRPr="001E7CB3">
        <w:rPr>
          <w:lang w:val="fr-CA"/>
        </w:rPr>
        <w:t>s</w:t>
      </w:r>
      <w:r>
        <w:rPr>
          <w:lang w:val="fr-CA"/>
        </w:rPr>
        <w:t>’</w:t>
      </w:r>
      <w:r w:rsidRPr="001E7CB3">
        <w:rPr>
          <w:lang w:val="fr-CA"/>
        </w:rPr>
        <w:t xml:space="preserve">entend simplement du solde créditeur des comptes, </w:t>
      </w:r>
      <w:r>
        <w:rPr>
          <w:lang w:val="fr-CA"/>
        </w:rPr>
        <w:t xml:space="preserve">et </w:t>
      </w:r>
      <w:r w:rsidRPr="001E7CB3">
        <w:rPr>
          <w:lang w:val="fr-CA"/>
        </w:rPr>
        <w:t>non d</w:t>
      </w:r>
      <w:r>
        <w:rPr>
          <w:lang w:val="fr-CA"/>
        </w:rPr>
        <w:t>’</w:t>
      </w:r>
      <w:r w:rsidRPr="001E7CB3">
        <w:rPr>
          <w:lang w:val="fr-CA"/>
        </w:rPr>
        <w:t xml:space="preserve">une chose de valeur </w:t>
      </w:r>
      <w:r>
        <w:rPr>
          <w:lang w:val="fr-CA"/>
        </w:rPr>
        <w:t>dans</w:t>
      </w:r>
      <w:r w:rsidRPr="001E7CB3">
        <w:rPr>
          <w:lang w:val="fr-CA"/>
        </w:rPr>
        <w:t xml:space="preserve"> laquelle les appelants pourraient posséder un </w:t>
      </w:r>
      <w:r>
        <w:rPr>
          <w:lang w:val="fr-CA"/>
        </w:rPr>
        <w:t>intérêt</w:t>
      </w:r>
      <w:r w:rsidRPr="001E7CB3">
        <w:rPr>
          <w:lang w:val="fr-CA"/>
        </w:rPr>
        <w:t xml:space="preserve">. </w:t>
      </w:r>
    </w:p>
    <w:p w:rsidR="000F48EC" w:rsidRPr="001E7CB3" w:rsidRDefault="000F48EC" w:rsidP="000F48EC">
      <w:pPr>
        <w:pStyle w:val="ParaNoNdepar-AltN"/>
        <w:rPr>
          <w:lang w:val="fr-CA"/>
        </w:rPr>
      </w:pPr>
      <w:r>
        <w:rPr>
          <w:lang w:val="fr-CA"/>
        </w:rPr>
        <w:t>C’est à bon droit que l</w:t>
      </w:r>
      <w:r w:rsidRPr="001E7CB3">
        <w:rPr>
          <w:lang w:val="fr-CA"/>
        </w:rPr>
        <w:t xml:space="preserve">es juridictions inférieures </w:t>
      </w:r>
      <w:r>
        <w:rPr>
          <w:lang w:val="fr-CA"/>
        </w:rPr>
        <w:t>ont rejeté</w:t>
      </w:r>
      <w:r w:rsidRPr="001E7CB3">
        <w:rPr>
          <w:lang w:val="fr-CA"/>
        </w:rPr>
        <w:t xml:space="preserve"> la théorie selon laquelle le gouvernement avait emprunté </w:t>
      </w:r>
      <w:r>
        <w:rPr>
          <w:lang w:val="fr-CA"/>
        </w:rPr>
        <w:t>aux</w:t>
      </w:r>
      <w:r w:rsidRPr="001E7CB3">
        <w:rPr>
          <w:lang w:val="fr-CA"/>
        </w:rPr>
        <w:t xml:space="preserve"> comptes </w:t>
      </w:r>
      <w:r>
        <w:rPr>
          <w:lang w:val="fr-CA"/>
        </w:rPr>
        <w:t xml:space="preserve">contre des promesses de remboursement </w:t>
      </w:r>
      <w:r w:rsidRPr="001E7CB3">
        <w:rPr>
          <w:lang w:val="fr-CA"/>
        </w:rPr>
        <w:t>(l</w:t>
      </w:r>
      <w:r>
        <w:rPr>
          <w:lang w:val="fr-CA"/>
        </w:rPr>
        <w:t>es éléments d’</w:t>
      </w:r>
      <w:r w:rsidRPr="001E7CB3">
        <w:rPr>
          <w:lang w:val="fr-CA"/>
        </w:rPr>
        <w:t>actif censé</w:t>
      </w:r>
      <w:r>
        <w:rPr>
          <w:lang w:val="fr-CA"/>
        </w:rPr>
        <w:t>s</w:t>
      </w:r>
      <w:r w:rsidRPr="001E7CB3">
        <w:rPr>
          <w:lang w:val="fr-CA"/>
        </w:rPr>
        <w:t xml:space="preserve"> s</w:t>
      </w:r>
      <w:r>
        <w:rPr>
          <w:lang w:val="fr-CA"/>
        </w:rPr>
        <w:t>’</w:t>
      </w:r>
      <w:r w:rsidRPr="001E7CB3">
        <w:rPr>
          <w:lang w:val="fr-CA"/>
        </w:rPr>
        <w:t xml:space="preserve">y trouver).  Cette théorie ne cadre pas avec les dispositions législatives, car elle postule que le gouvernement </w:t>
      </w:r>
      <w:r>
        <w:rPr>
          <w:lang w:val="fr-CA"/>
        </w:rPr>
        <w:t>était tenu de contribuer</w:t>
      </w:r>
      <w:r w:rsidRPr="001E7CB3">
        <w:rPr>
          <w:lang w:val="fr-CA"/>
        </w:rPr>
        <w:t xml:space="preserve"> aux comptes</w:t>
      </w:r>
      <w:r>
        <w:rPr>
          <w:lang w:val="fr-CA"/>
        </w:rPr>
        <w:t xml:space="preserve"> en y plaçant des biens</w:t>
      </w:r>
      <w:r w:rsidRPr="001E7CB3">
        <w:rPr>
          <w:lang w:val="fr-CA"/>
        </w:rPr>
        <w:t>.  Ces comptes n</w:t>
      </w:r>
      <w:r>
        <w:rPr>
          <w:lang w:val="fr-CA"/>
        </w:rPr>
        <w:t>’</w:t>
      </w:r>
      <w:r w:rsidRPr="001E7CB3">
        <w:rPr>
          <w:lang w:val="fr-CA"/>
        </w:rPr>
        <w:t xml:space="preserve">étant que des documents comptables, cela aurait été impossible.  Avant le </w:t>
      </w:r>
      <w:r>
        <w:rPr>
          <w:lang w:val="fr-CA"/>
        </w:rPr>
        <w:t>1</w:t>
      </w:r>
      <w:r w:rsidRPr="00C70628">
        <w:rPr>
          <w:vertAlign w:val="superscript"/>
          <w:lang w:val="fr-CA"/>
        </w:rPr>
        <w:t>er</w:t>
      </w:r>
      <w:r>
        <w:rPr>
          <w:lang w:val="fr-CA"/>
        </w:rPr>
        <w:t xml:space="preserve"> </w:t>
      </w:r>
      <w:r w:rsidRPr="001E7CB3">
        <w:rPr>
          <w:lang w:val="fr-CA"/>
        </w:rPr>
        <w:t>avril 2000, les fonds réels liés au système de pension du gouvernement étaient indistinctement incorporés au Trésor, jusqu</w:t>
      </w:r>
      <w:r>
        <w:rPr>
          <w:lang w:val="fr-CA"/>
        </w:rPr>
        <w:t xml:space="preserve">’au paiement </w:t>
      </w:r>
      <w:r>
        <w:rPr>
          <w:rFonts w:cs="Times New Roman"/>
          <w:lang w:val="fr-CA"/>
        </w:rPr>
        <w:t xml:space="preserve">— </w:t>
      </w:r>
      <w:r>
        <w:rPr>
          <w:lang w:val="fr-CA"/>
        </w:rPr>
        <w:t>sur le Trésor</w:t>
      </w:r>
      <w:r w:rsidRPr="001E7CB3">
        <w:rPr>
          <w:lang w:val="fr-CA"/>
        </w:rPr>
        <w:t xml:space="preserve"> </w:t>
      </w:r>
      <w:r>
        <w:rPr>
          <w:rFonts w:cs="Times New Roman"/>
          <w:lang w:val="fr-CA"/>
        </w:rPr>
        <w:t>—</w:t>
      </w:r>
      <w:r>
        <w:rPr>
          <w:lang w:val="fr-CA"/>
        </w:rPr>
        <w:t xml:space="preserve"> </w:t>
      </w:r>
      <w:r w:rsidRPr="001E7CB3">
        <w:rPr>
          <w:lang w:val="fr-CA"/>
        </w:rPr>
        <w:t xml:space="preserve">des prestations aux membres des régimes. </w:t>
      </w:r>
    </w:p>
    <w:p w:rsidR="000F48EC" w:rsidRPr="001E7CB3" w:rsidRDefault="000F48EC" w:rsidP="000F48EC">
      <w:pPr>
        <w:pStyle w:val="ParaNoNdepar-AltN"/>
        <w:rPr>
          <w:szCs w:val="24"/>
          <w:lang w:val="fr-CA"/>
        </w:rPr>
      </w:pPr>
      <w:r w:rsidRPr="001E7CB3">
        <w:rPr>
          <w:szCs w:val="24"/>
          <w:lang w:val="fr-CA"/>
        </w:rPr>
        <w:t>J</w:t>
      </w:r>
      <w:r>
        <w:rPr>
          <w:szCs w:val="24"/>
          <w:lang w:val="fr-CA"/>
        </w:rPr>
        <w:t>’</w:t>
      </w:r>
      <w:r w:rsidRPr="001E7CB3">
        <w:rPr>
          <w:szCs w:val="24"/>
          <w:lang w:val="fr-CA"/>
        </w:rPr>
        <w:t xml:space="preserve">ai conclu que les comptes de pension de retraite ne </w:t>
      </w:r>
      <w:r>
        <w:rPr>
          <w:szCs w:val="24"/>
          <w:lang w:val="fr-CA"/>
        </w:rPr>
        <w:t>contienn</w:t>
      </w:r>
      <w:r w:rsidRPr="001E7CB3">
        <w:rPr>
          <w:szCs w:val="24"/>
          <w:lang w:val="fr-CA"/>
        </w:rPr>
        <w:t>ent pas d</w:t>
      </w:r>
      <w:r>
        <w:rPr>
          <w:szCs w:val="24"/>
          <w:lang w:val="fr-CA"/>
        </w:rPr>
        <w:t>’éléments d’</w:t>
      </w:r>
      <w:r w:rsidRPr="001E7CB3">
        <w:rPr>
          <w:szCs w:val="24"/>
          <w:lang w:val="fr-CA"/>
        </w:rPr>
        <w:t>actif.  En conséquence, il n</w:t>
      </w:r>
      <w:r>
        <w:rPr>
          <w:szCs w:val="24"/>
          <w:lang w:val="fr-CA"/>
        </w:rPr>
        <w:t>’</w:t>
      </w:r>
      <w:r w:rsidRPr="001E7CB3">
        <w:rPr>
          <w:szCs w:val="24"/>
          <w:lang w:val="fr-CA"/>
        </w:rPr>
        <w:t xml:space="preserve">existait aucun bien </w:t>
      </w:r>
      <w:r>
        <w:rPr>
          <w:szCs w:val="24"/>
          <w:lang w:val="fr-CA"/>
        </w:rPr>
        <w:t>dans</w:t>
      </w:r>
      <w:r w:rsidRPr="001E7CB3">
        <w:rPr>
          <w:szCs w:val="24"/>
          <w:lang w:val="fr-CA"/>
        </w:rPr>
        <w:t xml:space="preserve"> lequel les membres des régimes pouvaient avoir un intérêt </w:t>
      </w:r>
      <w:r>
        <w:rPr>
          <w:szCs w:val="24"/>
          <w:lang w:val="fr-CA"/>
        </w:rPr>
        <w:t xml:space="preserve">en </w:t>
      </w:r>
      <w:proofErr w:type="spellStart"/>
      <w:r>
        <w:rPr>
          <w:szCs w:val="24"/>
          <w:lang w:val="fr-CA"/>
        </w:rPr>
        <w:t>common</w:t>
      </w:r>
      <w:proofErr w:type="spellEnd"/>
      <w:r>
        <w:rPr>
          <w:szCs w:val="24"/>
          <w:lang w:val="fr-CA"/>
        </w:rPr>
        <w:t xml:space="preserve"> </w:t>
      </w:r>
      <w:proofErr w:type="spellStart"/>
      <w:r>
        <w:rPr>
          <w:szCs w:val="24"/>
          <w:lang w:val="fr-CA"/>
        </w:rPr>
        <w:t>law</w:t>
      </w:r>
      <w:proofErr w:type="spellEnd"/>
      <w:r>
        <w:rPr>
          <w:szCs w:val="24"/>
          <w:lang w:val="fr-CA"/>
        </w:rPr>
        <w:t xml:space="preserve"> ou en </w:t>
      </w:r>
      <w:proofErr w:type="spellStart"/>
      <w:r>
        <w:rPr>
          <w:szCs w:val="24"/>
          <w:lang w:val="fr-CA"/>
        </w:rPr>
        <w:t>equity</w:t>
      </w:r>
      <w:proofErr w:type="spellEnd"/>
      <w:r w:rsidRPr="001E7CB3">
        <w:rPr>
          <w:szCs w:val="24"/>
          <w:lang w:val="fr-CA"/>
        </w:rPr>
        <w:t xml:space="preserve">.  Et, </w:t>
      </w:r>
      <w:r>
        <w:rPr>
          <w:szCs w:val="24"/>
          <w:lang w:val="fr-CA"/>
        </w:rPr>
        <w:t xml:space="preserve">même </w:t>
      </w:r>
      <w:r w:rsidRPr="001E7CB3">
        <w:rPr>
          <w:szCs w:val="24"/>
          <w:lang w:val="fr-CA"/>
        </w:rPr>
        <w:t xml:space="preserve">en supposant que les comptes </w:t>
      </w:r>
      <w:r>
        <w:rPr>
          <w:szCs w:val="24"/>
          <w:lang w:val="fr-CA"/>
        </w:rPr>
        <w:t>contienn</w:t>
      </w:r>
      <w:r w:rsidRPr="001E7CB3">
        <w:rPr>
          <w:szCs w:val="24"/>
          <w:lang w:val="fr-CA"/>
        </w:rPr>
        <w:t xml:space="preserve">ent des </w:t>
      </w:r>
      <w:r>
        <w:rPr>
          <w:lang w:val="fr-CA"/>
        </w:rPr>
        <w:t>éléments d’actif</w:t>
      </w:r>
      <w:r w:rsidRPr="001E7CB3">
        <w:rPr>
          <w:szCs w:val="24"/>
          <w:lang w:val="fr-CA"/>
        </w:rPr>
        <w:t>, les appelants n</w:t>
      </w:r>
      <w:r>
        <w:rPr>
          <w:szCs w:val="24"/>
          <w:lang w:val="fr-CA"/>
        </w:rPr>
        <w:t>’</w:t>
      </w:r>
      <w:r w:rsidRPr="001E7CB3">
        <w:rPr>
          <w:szCs w:val="24"/>
          <w:lang w:val="fr-CA"/>
        </w:rPr>
        <w:t xml:space="preserve">ont pas établi que les membres des régimes pouvaient revendiquer un intérêt </w:t>
      </w:r>
      <w:proofErr w:type="spellStart"/>
      <w:r w:rsidRPr="001E7CB3">
        <w:rPr>
          <w:szCs w:val="24"/>
          <w:lang w:val="fr-CA"/>
        </w:rPr>
        <w:t>propriétal</w:t>
      </w:r>
      <w:proofErr w:type="spellEnd"/>
      <w:r w:rsidRPr="001E7CB3">
        <w:rPr>
          <w:szCs w:val="24"/>
          <w:lang w:val="fr-CA"/>
        </w:rPr>
        <w:t xml:space="preserve"> </w:t>
      </w:r>
      <w:r>
        <w:rPr>
          <w:szCs w:val="24"/>
          <w:lang w:val="fr-CA"/>
        </w:rPr>
        <w:t>dans les</w:t>
      </w:r>
      <w:r w:rsidRPr="001E7CB3">
        <w:rPr>
          <w:szCs w:val="24"/>
          <w:lang w:val="fr-CA"/>
        </w:rPr>
        <w:t xml:space="preserve"> contributions qu</w:t>
      </w:r>
      <w:r>
        <w:rPr>
          <w:szCs w:val="24"/>
          <w:lang w:val="fr-CA"/>
        </w:rPr>
        <w:t>’</w:t>
      </w:r>
      <w:r w:rsidRPr="001E7CB3">
        <w:rPr>
          <w:szCs w:val="24"/>
          <w:lang w:val="fr-CA"/>
        </w:rPr>
        <w:t xml:space="preserve">ils </w:t>
      </w:r>
      <w:r>
        <w:rPr>
          <w:szCs w:val="24"/>
          <w:lang w:val="fr-CA"/>
        </w:rPr>
        <w:t>o</w:t>
      </w:r>
      <w:r w:rsidRPr="001E7CB3">
        <w:rPr>
          <w:szCs w:val="24"/>
          <w:lang w:val="fr-CA"/>
        </w:rPr>
        <w:t xml:space="preserve">nt versées ou </w:t>
      </w:r>
      <w:r>
        <w:rPr>
          <w:szCs w:val="24"/>
          <w:lang w:val="fr-CA"/>
        </w:rPr>
        <w:t>l</w:t>
      </w:r>
      <w:r w:rsidRPr="001E7CB3">
        <w:rPr>
          <w:szCs w:val="24"/>
          <w:lang w:val="fr-CA"/>
        </w:rPr>
        <w:t xml:space="preserve">es crédits gouvernementaux </w:t>
      </w:r>
      <w:r>
        <w:rPr>
          <w:szCs w:val="24"/>
          <w:lang w:val="fr-CA"/>
        </w:rPr>
        <w:t>prévus par les</w:t>
      </w:r>
      <w:r w:rsidRPr="001E7CB3">
        <w:rPr>
          <w:szCs w:val="24"/>
          <w:lang w:val="fr-CA"/>
        </w:rPr>
        <w:t xml:space="preserve"> lois sur les pensions. </w:t>
      </w:r>
    </w:p>
    <w:p w:rsidR="000F48EC" w:rsidRPr="001E7CB3" w:rsidRDefault="000F48EC" w:rsidP="000F48EC">
      <w:pPr>
        <w:pStyle w:val="ParaNoNdepar-AltN"/>
        <w:rPr>
          <w:szCs w:val="24"/>
          <w:lang w:val="fr-CA"/>
        </w:rPr>
      </w:pPr>
      <w:r>
        <w:rPr>
          <w:szCs w:val="24"/>
          <w:lang w:val="fr-CA"/>
        </w:rPr>
        <w:lastRenderedPageBreak/>
        <w:t xml:space="preserve">Selon le sens ordinaire </w:t>
      </w:r>
      <w:r w:rsidRPr="001E7CB3">
        <w:rPr>
          <w:szCs w:val="24"/>
          <w:lang w:val="fr-CA"/>
        </w:rPr>
        <w:t>des lois sur les pensions</w:t>
      </w:r>
      <w:r>
        <w:rPr>
          <w:szCs w:val="24"/>
          <w:lang w:val="fr-CA"/>
        </w:rPr>
        <w:t xml:space="preserve">, </w:t>
      </w:r>
      <w:proofErr w:type="spellStart"/>
      <w:r>
        <w:rPr>
          <w:szCs w:val="24"/>
          <w:lang w:val="fr-CA"/>
        </w:rPr>
        <w:t>celles</w:t>
      </w:r>
      <w:r>
        <w:rPr>
          <w:szCs w:val="24"/>
          <w:lang w:val="fr-CA"/>
        </w:rPr>
        <w:noBreakHyphen/>
        <w:t>ci</w:t>
      </w:r>
      <w:proofErr w:type="spellEnd"/>
      <w:r>
        <w:rPr>
          <w:szCs w:val="24"/>
          <w:lang w:val="fr-CA"/>
        </w:rPr>
        <w:t xml:space="preserve"> n’indiquent pas</w:t>
      </w:r>
      <w:r w:rsidRPr="001E7CB3">
        <w:rPr>
          <w:szCs w:val="24"/>
          <w:lang w:val="fr-CA"/>
        </w:rPr>
        <w:t xml:space="preserve"> que les membres des régimes poss</w:t>
      </w:r>
      <w:r>
        <w:rPr>
          <w:szCs w:val="24"/>
          <w:lang w:val="fr-CA"/>
        </w:rPr>
        <w:t>éderai</w:t>
      </w:r>
      <w:r w:rsidRPr="001E7CB3">
        <w:rPr>
          <w:szCs w:val="24"/>
          <w:lang w:val="fr-CA"/>
        </w:rPr>
        <w:t xml:space="preserve">ent un intérêt </w:t>
      </w:r>
      <w:proofErr w:type="spellStart"/>
      <w:r w:rsidRPr="001E7CB3">
        <w:rPr>
          <w:szCs w:val="24"/>
          <w:lang w:val="fr-CA"/>
        </w:rPr>
        <w:t>propriétal</w:t>
      </w:r>
      <w:proofErr w:type="spellEnd"/>
      <w:r w:rsidRPr="001E7CB3">
        <w:rPr>
          <w:szCs w:val="24"/>
          <w:lang w:val="fr-CA"/>
        </w:rPr>
        <w:t xml:space="preserve"> </w:t>
      </w:r>
      <w:r>
        <w:rPr>
          <w:szCs w:val="24"/>
          <w:lang w:val="fr-CA"/>
        </w:rPr>
        <w:t>dans</w:t>
      </w:r>
      <w:r w:rsidRPr="001E7CB3">
        <w:rPr>
          <w:szCs w:val="24"/>
          <w:lang w:val="fr-CA"/>
        </w:rPr>
        <w:t xml:space="preserve"> leurs contributions.  </w:t>
      </w:r>
      <w:r>
        <w:rPr>
          <w:szCs w:val="24"/>
          <w:lang w:val="fr-CA"/>
        </w:rPr>
        <w:t xml:space="preserve">Les fonctionnaires qui ont contribué aux régimes ne peuvent revendiquer aucun intérêt </w:t>
      </w:r>
      <w:proofErr w:type="spellStart"/>
      <w:r>
        <w:rPr>
          <w:szCs w:val="24"/>
          <w:lang w:val="fr-CA"/>
        </w:rPr>
        <w:t>propriétal</w:t>
      </w:r>
      <w:proofErr w:type="spellEnd"/>
      <w:r>
        <w:rPr>
          <w:szCs w:val="24"/>
          <w:lang w:val="fr-CA"/>
        </w:rPr>
        <w:t xml:space="preserve"> toujours existant dans ces montants</w:t>
      </w:r>
      <w:r w:rsidRPr="001E7CB3">
        <w:rPr>
          <w:szCs w:val="24"/>
          <w:lang w:val="fr-CA"/>
        </w:rPr>
        <w:t>.  En contrepartie de leurs contributions</w:t>
      </w:r>
      <w:r>
        <w:rPr>
          <w:szCs w:val="24"/>
          <w:lang w:val="fr-CA"/>
        </w:rPr>
        <w:t>,</w:t>
      </w:r>
      <w:r w:rsidRPr="00906457">
        <w:rPr>
          <w:szCs w:val="24"/>
          <w:lang w:val="fr-CA"/>
        </w:rPr>
        <w:t xml:space="preserve"> </w:t>
      </w:r>
      <w:r w:rsidRPr="001E7CB3">
        <w:rPr>
          <w:szCs w:val="24"/>
          <w:lang w:val="fr-CA"/>
        </w:rPr>
        <w:t>ils acquièrent</w:t>
      </w:r>
      <w:r w:rsidRPr="0085311F">
        <w:rPr>
          <w:szCs w:val="24"/>
          <w:lang w:val="fr-CA"/>
        </w:rPr>
        <w:t xml:space="preserve"> </w:t>
      </w:r>
      <w:r>
        <w:rPr>
          <w:szCs w:val="24"/>
          <w:lang w:val="fr-CA"/>
        </w:rPr>
        <w:t>le</w:t>
      </w:r>
      <w:r w:rsidRPr="001E7CB3">
        <w:rPr>
          <w:szCs w:val="24"/>
          <w:lang w:val="fr-CA"/>
        </w:rPr>
        <w:t xml:space="preserve"> droit à </w:t>
      </w:r>
      <w:r>
        <w:rPr>
          <w:szCs w:val="24"/>
          <w:lang w:val="fr-CA"/>
        </w:rPr>
        <w:t>des</w:t>
      </w:r>
      <w:r w:rsidRPr="001E7CB3">
        <w:rPr>
          <w:szCs w:val="24"/>
          <w:lang w:val="fr-CA"/>
        </w:rPr>
        <w:t xml:space="preserve"> prestation</w:t>
      </w:r>
      <w:r>
        <w:rPr>
          <w:szCs w:val="24"/>
          <w:lang w:val="fr-CA"/>
        </w:rPr>
        <w:t>s</w:t>
      </w:r>
      <w:r w:rsidRPr="001E7CB3">
        <w:rPr>
          <w:szCs w:val="24"/>
          <w:lang w:val="fr-CA"/>
        </w:rPr>
        <w:t xml:space="preserve"> future</w:t>
      </w:r>
      <w:r>
        <w:rPr>
          <w:szCs w:val="24"/>
          <w:lang w:val="fr-CA"/>
        </w:rPr>
        <w:t xml:space="preserve">s, en fonction des </w:t>
      </w:r>
      <w:r w:rsidRPr="001E7CB3">
        <w:rPr>
          <w:szCs w:val="24"/>
          <w:lang w:val="fr-CA"/>
        </w:rPr>
        <w:t>année</w:t>
      </w:r>
      <w:r>
        <w:rPr>
          <w:szCs w:val="24"/>
          <w:lang w:val="fr-CA"/>
        </w:rPr>
        <w:t>s</w:t>
      </w:r>
      <w:r w:rsidRPr="001E7CB3">
        <w:rPr>
          <w:szCs w:val="24"/>
          <w:lang w:val="fr-CA"/>
        </w:rPr>
        <w:t xml:space="preserve"> de service ouvrant droit à pension</w:t>
      </w:r>
      <w:r>
        <w:rPr>
          <w:szCs w:val="24"/>
          <w:lang w:val="fr-CA"/>
        </w:rPr>
        <w:t xml:space="preserve"> qu’ils accumulent</w:t>
      </w:r>
      <w:r w:rsidRPr="001E7CB3">
        <w:rPr>
          <w:szCs w:val="24"/>
          <w:lang w:val="fr-CA"/>
        </w:rPr>
        <w:t>.  C</w:t>
      </w:r>
      <w:r>
        <w:rPr>
          <w:szCs w:val="24"/>
          <w:lang w:val="fr-CA"/>
        </w:rPr>
        <w:t>’</w:t>
      </w:r>
      <w:r w:rsidRPr="001E7CB3">
        <w:rPr>
          <w:szCs w:val="24"/>
          <w:lang w:val="fr-CA"/>
        </w:rPr>
        <w:t>est là l</w:t>
      </w:r>
      <w:r>
        <w:rPr>
          <w:szCs w:val="24"/>
          <w:lang w:val="fr-CA"/>
        </w:rPr>
        <w:t>’</w:t>
      </w:r>
      <w:r w:rsidRPr="001E7CB3">
        <w:rPr>
          <w:szCs w:val="24"/>
          <w:lang w:val="fr-CA"/>
        </w:rPr>
        <w:t>essence d</w:t>
      </w:r>
      <w:r>
        <w:rPr>
          <w:szCs w:val="24"/>
          <w:lang w:val="fr-CA"/>
        </w:rPr>
        <w:t xml:space="preserve">u </w:t>
      </w:r>
      <w:r w:rsidRPr="001E7CB3">
        <w:rPr>
          <w:szCs w:val="24"/>
          <w:lang w:val="fr-CA"/>
        </w:rPr>
        <w:t>régime de pen</w:t>
      </w:r>
      <w:r>
        <w:rPr>
          <w:szCs w:val="24"/>
          <w:lang w:val="fr-CA"/>
        </w:rPr>
        <w:t xml:space="preserve">sion à prestations déterminées en cause.  </w:t>
      </w:r>
    </w:p>
    <w:p w:rsidR="000F48EC" w:rsidRPr="001E7CB3" w:rsidRDefault="000F48EC" w:rsidP="000F48EC">
      <w:pPr>
        <w:pStyle w:val="ParaNoNdepar-AltN"/>
        <w:rPr>
          <w:szCs w:val="24"/>
          <w:lang w:val="fr-CA"/>
        </w:rPr>
      </w:pPr>
      <w:r w:rsidRPr="001E7CB3">
        <w:rPr>
          <w:szCs w:val="24"/>
          <w:lang w:val="fr-CA"/>
        </w:rPr>
        <w:t xml:space="preserve">Les appelants soutiennent que les employés </w:t>
      </w:r>
      <w:r>
        <w:rPr>
          <w:szCs w:val="24"/>
          <w:lang w:val="fr-CA"/>
        </w:rPr>
        <w:t xml:space="preserve">possèdent </w:t>
      </w:r>
      <w:r w:rsidRPr="001E7CB3">
        <w:rPr>
          <w:szCs w:val="24"/>
          <w:lang w:val="fr-CA"/>
        </w:rPr>
        <w:t xml:space="preserve">un </w:t>
      </w:r>
      <w:r>
        <w:rPr>
          <w:szCs w:val="24"/>
          <w:lang w:val="fr-CA"/>
        </w:rPr>
        <w:t>intérêt dans</w:t>
      </w:r>
      <w:r w:rsidRPr="001E7CB3">
        <w:rPr>
          <w:szCs w:val="24"/>
          <w:lang w:val="fr-CA"/>
        </w:rPr>
        <w:t xml:space="preserve"> leurs contributions et celle</w:t>
      </w:r>
      <w:r>
        <w:rPr>
          <w:szCs w:val="24"/>
          <w:lang w:val="fr-CA"/>
        </w:rPr>
        <w:t>s</w:t>
      </w:r>
      <w:r w:rsidRPr="001E7CB3">
        <w:rPr>
          <w:szCs w:val="24"/>
          <w:lang w:val="fr-CA"/>
        </w:rPr>
        <w:t xml:space="preserve"> de l</w:t>
      </w:r>
      <w:r>
        <w:rPr>
          <w:szCs w:val="24"/>
          <w:lang w:val="fr-CA"/>
        </w:rPr>
        <w:t>’</w:t>
      </w:r>
      <w:r w:rsidRPr="001E7CB3">
        <w:rPr>
          <w:szCs w:val="24"/>
          <w:lang w:val="fr-CA"/>
        </w:rPr>
        <w:t>employeur</w:t>
      </w:r>
      <w:r>
        <w:rPr>
          <w:szCs w:val="24"/>
          <w:lang w:val="fr-CA"/>
        </w:rPr>
        <w:t xml:space="preserve">, ainsi que dans les </w:t>
      </w:r>
      <w:r w:rsidRPr="001E7CB3">
        <w:rPr>
          <w:szCs w:val="24"/>
          <w:lang w:val="fr-CA"/>
        </w:rPr>
        <w:t>intérêts qu</w:t>
      </w:r>
      <w:r>
        <w:rPr>
          <w:szCs w:val="24"/>
          <w:lang w:val="fr-CA"/>
        </w:rPr>
        <w:t>’</w:t>
      </w:r>
      <w:r w:rsidRPr="001E7CB3">
        <w:rPr>
          <w:szCs w:val="24"/>
          <w:lang w:val="fr-CA"/>
        </w:rPr>
        <w:t xml:space="preserve">elles produisent, car ces sommes font partie de leur rémunération totale.  </w:t>
      </w:r>
      <w:r>
        <w:rPr>
          <w:szCs w:val="24"/>
          <w:lang w:val="fr-CA"/>
        </w:rPr>
        <w:t>Même e</w:t>
      </w:r>
      <w:r w:rsidRPr="001E7CB3">
        <w:rPr>
          <w:szCs w:val="24"/>
          <w:lang w:val="fr-CA"/>
        </w:rPr>
        <w:t>n supposant qu</w:t>
      </w:r>
      <w:r>
        <w:rPr>
          <w:szCs w:val="24"/>
          <w:lang w:val="fr-CA"/>
        </w:rPr>
        <w:t xml:space="preserve">’un tel intérêt existe </w:t>
      </w:r>
      <w:r w:rsidRPr="001E7CB3">
        <w:rPr>
          <w:szCs w:val="24"/>
          <w:lang w:val="fr-CA"/>
        </w:rPr>
        <w:t xml:space="preserve">à la date où </w:t>
      </w:r>
      <w:r>
        <w:rPr>
          <w:szCs w:val="24"/>
          <w:lang w:val="fr-CA"/>
        </w:rPr>
        <w:t xml:space="preserve">les employés </w:t>
      </w:r>
      <w:r w:rsidRPr="001E7CB3">
        <w:rPr>
          <w:szCs w:val="24"/>
          <w:lang w:val="fr-CA"/>
        </w:rPr>
        <w:t xml:space="preserve">doivent toucher leur salaire, </w:t>
      </w:r>
      <w:r>
        <w:rPr>
          <w:szCs w:val="24"/>
          <w:lang w:val="fr-CA"/>
        </w:rPr>
        <w:t>il</w:t>
      </w:r>
      <w:r w:rsidRPr="001E7CB3">
        <w:rPr>
          <w:szCs w:val="24"/>
          <w:lang w:val="fr-CA"/>
        </w:rPr>
        <w:t xml:space="preserve"> ne saurait survivre à l</w:t>
      </w:r>
      <w:r>
        <w:rPr>
          <w:szCs w:val="24"/>
          <w:lang w:val="fr-CA"/>
        </w:rPr>
        <w:t>’</w:t>
      </w:r>
      <w:r w:rsidRPr="001E7CB3">
        <w:rPr>
          <w:szCs w:val="24"/>
          <w:lang w:val="fr-CA"/>
        </w:rPr>
        <w:t xml:space="preserve">exigence </w:t>
      </w:r>
      <w:r>
        <w:rPr>
          <w:szCs w:val="24"/>
          <w:lang w:val="fr-CA"/>
        </w:rPr>
        <w:t>établie dans les</w:t>
      </w:r>
      <w:r w:rsidRPr="001E7CB3">
        <w:rPr>
          <w:szCs w:val="24"/>
          <w:lang w:val="fr-CA"/>
        </w:rPr>
        <w:t xml:space="preserve"> lois sur les pensions que ces contributions soient versées au Trésor et portées au crédit des comptes.  </w:t>
      </w:r>
      <w:r>
        <w:rPr>
          <w:szCs w:val="24"/>
          <w:lang w:val="fr-CA"/>
        </w:rPr>
        <w:t xml:space="preserve">En fait, les contributions représentent le </w:t>
      </w:r>
      <w:r w:rsidRPr="001E7CB3">
        <w:rPr>
          <w:szCs w:val="24"/>
          <w:lang w:val="fr-CA"/>
        </w:rPr>
        <w:t>« coût » assumé par les employés pour le</w:t>
      </w:r>
      <w:r>
        <w:rPr>
          <w:szCs w:val="24"/>
          <w:lang w:val="fr-CA"/>
        </w:rPr>
        <w:t>ur</w:t>
      </w:r>
      <w:r w:rsidRPr="001E7CB3">
        <w:rPr>
          <w:szCs w:val="24"/>
          <w:lang w:val="fr-CA"/>
        </w:rPr>
        <w:t xml:space="preserve"> droit futur aux prestations déterminées prévues par la loi.  Les lois sur les pensions n</w:t>
      </w:r>
      <w:r>
        <w:rPr>
          <w:szCs w:val="24"/>
          <w:lang w:val="fr-CA"/>
        </w:rPr>
        <w:t>’</w:t>
      </w:r>
      <w:r w:rsidRPr="001E7CB3">
        <w:rPr>
          <w:szCs w:val="24"/>
          <w:lang w:val="fr-CA"/>
        </w:rPr>
        <w:t xml:space="preserve">établissent pas non plus que les employés ont un intérêt en </w:t>
      </w:r>
      <w:proofErr w:type="spellStart"/>
      <w:r w:rsidRPr="001E7CB3">
        <w:rPr>
          <w:szCs w:val="24"/>
          <w:lang w:val="fr-CA"/>
        </w:rPr>
        <w:t>equity</w:t>
      </w:r>
      <w:proofErr w:type="spellEnd"/>
      <w:r w:rsidRPr="001E7CB3">
        <w:rPr>
          <w:szCs w:val="24"/>
          <w:lang w:val="fr-CA"/>
        </w:rPr>
        <w:t xml:space="preserve"> </w:t>
      </w:r>
      <w:r>
        <w:rPr>
          <w:szCs w:val="24"/>
          <w:lang w:val="fr-CA"/>
        </w:rPr>
        <w:t>dans</w:t>
      </w:r>
      <w:r w:rsidRPr="001E7CB3">
        <w:rPr>
          <w:szCs w:val="24"/>
          <w:lang w:val="fr-CA"/>
        </w:rPr>
        <w:t xml:space="preserve"> les sommes portée</w:t>
      </w:r>
      <w:r>
        <w:rPr>
          <w:szCs w:val="24"/>
          <w:lang w:val="fr-CA"/>
        </w:rPr>
        <w:t>s au crédit des comptes.  E</w:t>
      </w:r>
      <w:r w:rsidRPr="001E7CB3">
        <w:rPr>
          <w:szCs w:val="24"/>
          <w:lang w:val="fr-CA"/>
        </w:rPr>
        <w:t xml:space="preserve">lles </w:t>
      </w:r>
      <w:r>
        <w:rPr>
          <w:szCs w:val="24"/>
          <w:lang w:val="fr-CA"/>
        </w:rPr>
        <w:t>confèr</w:t>
      </w:r>
      <w:r w:rsidRPr="001E7CB3">
        <w:rPr>
          <w:szCs w:val="24"/>
          <w:lang w:val="fr-CA"/>
        </w:rPr>
        <w:t xml:space="preserve">ent uniquement un droit </w:t>
      </w:r>
      <w:r>
        <w:rPr>
          <w:szCs w:val="24"/>
          <w:lang w:val="fr-CA"/>
        </w:rPr>
        <w:t>aux</w:t>
      </w:r>
      <w:r w:rsidRPr="001E7CB3">
        <w:rPr>
          <w:szCs w:val="24"/>
          <w:lang w:val="fr-CA"/>
        </w:rPr>
        <w:t xml:space="preserve"> prestations déterminées qui y sont prévues. </w:t>
      </w:r>
    </w:p>
    <w:p w:rsidR="000F48EC" w:rsidRPr="00BF3B18" w:rsidRDefault="000F48EC" w:rsidP="00ED454E">
      <w:pPr>
        <w:pStyle w:val="TitleTitre-AltT"/>
        <w:keepNext/>
        <w:numPr>
          <w:ilvl w:val="1"/>
          <w:numId w:val="2"/>
        </w:numPr>
        <w:tabs>
          <w:tab w:val="clear" w:pos="360"/>
          <w:tab w:val="left" w:pos="540"/>
        </w:tabs>
        <w:ind w:left="540" w:hanging="540"/>
        <w:rPr>
          <w:i/>
          <w:lang w:val="fr-CA"/>
        </w:rPr>
      </w:pPr>
      <w:r w:rsidRPr="00BF3B18">
        <w:rPr>
          <w:i/>
          <w:lang w:val="fr-CA"/>
        </w:rPr>
        <w:lastRenderedPageBreak/>
        <w:t xml:space="preserve">Le gouvernement </w:t>
      </w:r>
      <w:proofErr w:type="spellStart"/>
      <w:r w:rsidRPr="00BF3B18">
        <w:rPr>
          <w:i/>
          <w:lang w:val="fr-CA"/>
        </w:rPr>
        <w:t>avait</w:t>
      </w:r>
      <w:r>
        <w:rPr>
          <w:i/>
          <w:lang w:val="fr-CA"/>
        </w:rPr>
        <w:noBreakHyphen/>
      </w:r>
      <w:r w:rsidRPr="00BF3B18">
        <w:rPr>
          <w:i/>
          <w:lang w:val="fr-CA"/>
        </w:rPr>
        <w:t>il</w:t>
      </w:r>
      <w:proofErr w:type="spellEnd"/>
      <w:r w:rsidRPr="00BF3B18">
        <w:rPr>
          <w:i/>
          <w:lang w:val="fr-CA"/>
        </w:rPr>
        <w:t xml:space="preserve"> une obligation fiducia</w:t>
      </w:r>
      <w:r>
        <w:rPr>
          <w:i/>
          <w:lang w:val="fr-CA"/>
        </w:rPr>
        <w:t>ir</w:t>
      </w:r>
      <w:r w:rsidRPr="00BF3B18">
        <w:rPr>
          <w:i/>
          <w:lang w:val="fr-CA"/>
        </w:rPr>
        <w:t>e envers les membres des régimes?</w:t>
      </w:r>
    </w:p>
    <w:p w:rsidR="000F48EC" w:rsidRPr="001E7CB3" w:rsidRDefault="000F48EC" w:rsidP="00ED454E">
      <w:pPr>
        <w:pStyle w:val="TitleTitre-AltT"/>
        <w:keepNext/>
        <w:tabs>
          <w:tab w:val="clear" w:pos="360"/>
          <w:tab w:val="left" w:pos="540"/>
        </w:tabs>
        <w:ind w:left="1170" w:hanging="1170"/>
        <w:rPr>
          <w:i/>
          <w:lang w:val="fr-CA"/>
        </w:rPr>
      </w:pPr>
      <w:r>
        <w:rPr>
          <w:i/>
          <w:lang w:val="fr-CA"/>
        </w:rPr>
        <w:tab/>
      </w:r>
      <w:r>
        <w:rPr>
          <w:lang w:val="fr-CA"/>
        </w:rPr>
        <w:t>(1)</w:t>
      </w:r>
      <w:r>
        <w:rPr>
          <w:lang w:val="fr-CA"/>
        </w:rPr>
        <w:tab/>
      </w:r>
      <w:proofErr w:type="spellStart"/>
      <w:r w:rsidRPr="00BF3B18">
        <w:rPr>
          <w:u w:val="single"/>
          <w:lang w:val="fr-CA"/>
        </w:rPr>
        <w:t>Existait</w:t>
      </w:r>
      <w:r>
        <w:rPr>
          <w:u w:val="single"/>
          <w:lang w:val="fr-CA"/>
        </w:rPr>
        <w:noBreakHyphen/>
      </w:r>
      <w:r w:rsidRPr="00BF3B18">
        <w:rPr>
          <w:szCs w:val="24"/>
          <w:u w:val="single"/>
          <w:lang w:val="fr-CA"/>
        </w:rPr>
        <w:t>il</w:t>
      </w:r>
      <w:proofErr w:type="spellEnd"/>
      <w:r w:rsidRPr="00BF3B18">
        <w:rPr>
          <w:u w:val="single"/>
          <w:lang w:val="fr-CA"/>
        </w:rPr>
        <w:t xml:space="preserve"> une relation fiducia</w:t>
      </w:r>
      <w:r>
        <w:rPr>
          <w:u w:val="single"/>
          <w:lang w:val="fr-CA"/>
        </w:rPr>
        <w:t>ir</w:t>
      </w:r>
      <w:r w:rsidRPr="00BF3B18">
        <w:rPr>
          <w:u w:val="single"/>
          <w:lang w:val="fr-CA"/>
        </w:rPr>
        <w:t>e entre le gouvernement et les membres des régimes?</w:t>
      </w:r>
    </w:p>
    <w:p w:rsidR="000F48EC" w:rsidRPr="001E7CB3" w:rsidRDefault="000F48EC" w:rsidP="000F48EC">
      <w:pPr>
        <w:pStyle w:val="ParaNoNdepar-AltN"/>
        <w:rPr>
          <w:lang w:val="fr-CA"/>
        </w:rPr>
      </w:pPr>
      <w:r>
        <w:rPr>
          <w:lang w:val="fr-CA"/>
        </w:rPr>
        <w:t>Les</w:t>
      </w:r>
      <w:r w:rsidRPr="001E7CB3">
        <w:rPr>
          <w:lang w:val="fr-CA"/>
        </w:rPr>
        <w:t xml:space="preserve"> relations fiducia</w:t>
      </w:r>
      <w:r>
        <w:rPr>
          <w:lang w:val="fr-CA"/>
        </w:rPr>
        <w:t>ir</w:t>
      </w:r>
      <w:r w:rsidRPr="001E7CB3">
        <w:rPr>
          <w:lang w:val="fr-CA"/>
        </w:rPr>
        <w:t xml:space="preserve">es </w:t>
      </w:r>
      <w:r>
        <w:rPr>
          <w:lang w:val="fr-CA"/>
        </w:rPr>
        <w:t xml:space="preserve">peuvent être soit des relations fiduciaires </w:t>
      </w:r>
      <w:r w:rsidRPr="001E7CB3">
        <w:rPr>
          <w:lang w:val="fr-CA"/>
        </w:rPr>
        <w:t>en soi</w:t>
      </w:r>
      <w:r>
        <w:rPr>
          <w:lang w:val="fr-CA"/>
        </w:rPr>
        <w:t>, c’est</w:t>
      </w:r>
      <w:r>
        <w:rPr>
          <w:lang w:val="fr-CA"/>
        </w:rPr>
        <w:noBreakHyphen/>
      </w:r>
      <w:proofErr w:type="spellStart"/>
      <w:r>
        <w:rPr>
          <w:lang w:val="fr-CA"/>
        </w:rPr>
        <w:t>à</w:t>
      </w:r>
      <w:r>
        <w:rPr>
          <w:lang w:val="fr-CA"/>
        </w:rPr>
        <w:noBreakHyphen/>
        <w:t>dire</w:t>
      </w:r>
      <w:proofErr w:type="spellEnd"/>
      <w:r>
        <w:rPr>
          <w:lang w:val="fr-CA"/>
        </w:rPr>
        <w:t xml:space="preserve"> par nature, soit des relations </w:t>
      </w:r>
      <w:r w:rsidRPr="001E7CB3">
        <w:rPr>
          <w:lang w:val="fr-CA"/>
        </w:rPr>
        <w:t>fiducia</w:t>
      </w:r>
      <w:r>
        <w:rPr>
          <w:lang w:val="fr-CA"/>
        </w:rPr>
        <w:t>ir</w:t>
      </w:r>
      <w:r w:rsidRPr="001E7CB3">
        <w:rPr>
          <w:lang w:val="fr-CA"/>
        </w:rPr>
        <w:t xml:space="preserve">es </w:t>
      </w:r>
      <w:r w:rsidRPr="001E7CB3">
        <w:rPr>
          <w:i/>
          <w:lang w:val="fr-CA"/>
        </w:rPr>
        <w:t>ad hoc</w:t>
      </w:r>
      <w:r w:rsidRPr="001E7CB3">
        <w:rPr>
          <w:lang w:val="fr-CA"/>
        </w:rPr>
        <w:t>.  Dans le premier cas, il s</w:t>
      </w:r>
      <w:r>
        <w:rPr>
          <w:lang w:val="fr-CA"/>
        </w:rPr>
        <w:t>’</w:t>
      </w:r>
      <w:r w:rsidRPr="001E7CB3">
        <w:rPr>
          <w:lang w:val="fr-CA"/>
        </w:rPr>
        <w:t>agit de relations qui</w:t>
      </w:r>
      <w:r>
        <w:rPr>
          <w:lang w:val="fr-CA"/>
        </w:rPr>
        <w:t>, en droit,</w:t>
      </w:r>
      <w:r w:rsidRPr="001E7CB3">
        <w:rPr>
          <w:lang w:val="fr-CA"/>
        </w:rPr>
        <w:t xml:space="preserve"> sont présumées</w:t>
      </w:r>
      <w:r>
        <w:rPr>
          <w:lang w:val="fr-CA"/>
        </w:rPr>
        <w:t xml:space="preserve"> </w:t>
      </w:r>
      <w:r w:rsidRPr="001E7CB3">
        <w:rPr>
          <w:lang w:val="fr-CA"/>
        </w:rPr>
        <w:t xml:space="preserve">être </w:t>
      </w:r>
      <w:r>
        <w:rPr>
          <w:lang w:val="fr-CA"/>
        </w:rPr>
        <w:t xml:space="preserve">des relations </w:t>
      </w:r>
      <w:r w:rsidRPr="001E7CB3">
        <w:rPr>
          <w:lang w:val="fr-CA"/>
        </w:rPr>
        <w:t>fiducia</w:t>
      </w:r>
      <w:r>
        <w:rPr>
          <w:lang w:val="fr-CA"/>
        </w:rPr>
        <w:t>ire</w:t>
      </w:r>
      <w:r w:rsidRPr="001E7CB3">
        <w:rPr>
          <w:lang w:val="fr-CA"/>
        </w:rPr>
        <w:t>s</w:t>
      </w:r>
      <w:r>
        <w:rPr>
          <w:lang w:val="fr-CA"/>
        </w:rPr>
        <w:t xml:space="preserve"> </w:t>
      </w:r>
      <w:r>
        <w:rPr>
          <w:rFonts w:cs="Times New Roman"/>
          <w:lang w:val="fr-CA"/>
        </w:rPr>
        <w:t>—</w:t>
      </w:r>
      <w:r w:rsidRPr="001E7CB3">
        <w:rPr>
          <w:lang w:val="fr-CA"/>
        </w:rPr>
        <w:t xml:space="preserve"> et qualifiées ainsi </w:t>
      </w:r>
      <w:r>
        <w:rPr>
          <w:lang w:val="fr-CA"/>
        </w:rPr>
        <w:t>(</w:t>
      </w:r>
      <w:proofErr w:type="spellStart"/>
      <w:r w:rsidRPr="001E7CB3">
        <w:rPr>
          <w:i/>
          <w:lang w:val="fr-CA"/>
        </w:rPr>
        <w:t>Galambos</w:t>
      </w:r>
      <w:proofErr w:type="spellEnd"/>
      <w:r w:rsidRPr="001E7CB3">
        <w:rPr>
          <w:i/>
          <w:lang w:val="fr-CA"/>
        </w:rPr>
        <w:t xml:space="preserve"> c. Perez</w:t>
      </w:r>
      <w:r w:rsidRPr="001E7CB3">
        <w:rPr>
          <w:lang w:val="fr-CA"/>
        </w:rPr>
        <w:t xml:space="preserve">, 2009 CSC 48, [2009] 3 R.C.S. 247, </w:t>
      </w:r>
      <w:r>
        <w:rPr>
          <w:lang w:val="fr-CA"/>
        </w:rPr>
        <w:t>par. </w:t>
      </w:r>
      <w:r w:rsidRPr="001E7CB3">
        <w:rPr>
          <w:lang w:val="fr-CA"/>
        </w:rPr>
        <w:t>36</w:t>
      </w:r>
      <w:r>
        <w:rPr>
          <w:lang w:val="fr-CA"/>
        </w:rPr>
        <w:noBreakHyphen/>
        <w:t>37)</w:t>
      </w:r>
      <w:r w:rsidRPr="001E7CB3">
        <w:rPr>
          <w:lang w:val="fr-CA"/>
        </w:rPr>
        <w:t>.  Ces types de relations font naître des obligations fiducia</w:t>
      </w:r>
      <w:r>
        <w:rPr>
          <w:lang w:val="fr-CA"/>
        </w:rPr>
        <w:t>ir</w:t>
      </w:r>
      <w:r w:rsidRPr="001E7CB3">
        <w:rPr>
          <w:lang w:val="fr-CA"/>
        </w:rPr>
        <w:t>es « en raison de leur fin inhérente ou des particularités factuelles ou juridiques qui leur sont attribuées »</w:t>
      </w:r>
      <w:r>
        <w:rPr>
          <w:lang w:val="fr-CA"/>
        </w:rPr>
        <w:t xml:space="preserve"> (par. 36)</w:t>
      </w:r>
      <w:r w:rsidRPr="001E7CB3">
        <w:rPr>
          <w:lang w:val="fr-CA"/>
        </w:rPr>
        <w:t>.  L</w:t>
      </w:r>
      <w:r>
        <w:rPr>
          <w:lang w:val="fr-CA"/>
        </w:rPr>
        <w:t>’</w:t>
      </w:r>
      <w:r w:rsidRPr="001E7CB3">
        <w:rPr>
          <w:lang w:val="fr-CA"/>
        </w:rPr>
        <w:t>existence d</w:t>
      </w:r>
      <w:r>
        <w:rPr>
          <w:lang w:val="fr-CA"/>
        </w:rPr>
        <w:t>’</w:t>
      </w:r>
      <w:r w:rsidRPr="001E7CB3">
        <w:rPr>
          <w:lang w:val="fr-CA"/>
        </w:rPr>
        <w:t>une relation fiducia</w:t>
      </w:r>
      <w:r>
        <w:rPr>
          <w:lang w:val="fr-CA"/>
        </w:rPr>
        <w:t>ir</w:t>
      </w:r>
      <w:r w:rsidRPr="001E7CB3">
        <w:rPr>
          <w:lang w:val="fr-CA"/>
        </w:rPr>
        <w:t xml:space="preserve">e </w:t>
      </w:r>
      <w:r w:rsidRPr="001E7CB3">
        <w:rPr>
          <w:i/>
          <w:lang w:val="fr-CA"/>
        </w:rPr>
        <w:t>ad hoc</w:t>
      </w:r>
      <w:r w:rsidRPr="001E7CB3">
        <w:rPr>
          <w:lang w:val="fr-CA"/>
        </w:rPr>
        <w:t>, par contre, s</w:t>
      </w:r>
      <w:r>
        <w:rPr>
          <w:lang w:val="fr-CA"/>
        </w:rPr>
        <w:t>’</w:t>
      </w:r>
      <w:r w:rsidRPr="001E7CB3">
        <w:rPr>
          <w:lang w:val="fr-CA"/>
        </w:rPr>
        <w:t xml:space="preserve">établit au cas par cas.  </w:t>
      </w:r>
      <w:r>
        <w:rPr>
          <w:lang w:val="fr-CA"/>
        </w:rPr>
        <w:t>Les relations fiduciair</w:t>
      </w:r>
      <w:r w:rsidRPr="001E7CB3">
        <w:rPr>
          <w:lang w:val="fr-CA"/>
        </w:rPr>
        <w:t xml:space="preserve">es </w:t>
      </w:r>
      <w:r>
        <w:rPr>
          <w:lang w:val="fr-CA"/>
        </w:rPr>
        <w:t>par nature</w:t>
      </w:r>
      <w:r w:rsidRPr="001E7CB3">
        <w:rPr>
          <w:lang w:val="fr-CA"/>
        </w:rPr>
        <w:t xml:space="preserve"> </w:t>
      </w:r>
      <w:r>
        <w:rPr>
          <w:lang w:val="fr-CA"/>
        </w:rPr>
        <w:t>regroupent celles dont</w:t>
      </w:r>
      <w:r w:rsidRPr="001E7CB3">
        <w:rPr>
          <w:lang w:val="fr-CA"/>
        </w:rPr>
        <w:t xml:space="preserve"> </w:t>
      </w:r>
      <w:r>
        <w:rPr>
          <w:lang w:val="fr-CA"/>
        </w:rPr>
        <w:t>le caractère fiduciaire</w:t>
      </w:r>
      <w:r w:rsidRPr="001E7CB3">
        <w:rPr>
          <w:lang w:val="fr-CA"/>
        </w:rPr>
        <w:t xml:space="preserve"> est « inhérent », </w:t>
      </w:r>
      <w:r>
        <w:rPr>
          <w:lang w:val="fr-CA"/>
        </w:rPr>
        <w:t xml:space="preserve">alors que </w:t>
      </w:r>
      <w:r w:rsidRPr="001E7CB3">
        <w:rPr>
          <w:lang w:val="fr-CA"/>
        </w:rPr>
        <w:t xml:space="preserve">les relations fiduciaires </w:t>
      </w:r>
      <w:r w:rsidRPr="001E7CB3">
        <w:rPr>
          <w:i/>
          <w:lang w:val="fr-CA"/>
        </w:rPr>
        <w:t xml:space="preserve">ad hoc </w:t>
      </w:r>
      <w:r w:rsidRPr="001E7CB3">
        <w:rPr>
          <w:lang w:val="fr-CA"/>
        </w:rPr>
        <w:t xml:space="preserve">découlent des circonstances particulières </w:t>
      </w:r>
      <w:r>
        <w:rPr>
          <w:lang w:val="fr-CA"/>
        </w:rPr>
        <w:t xml:space="preserve">propres à </w:t>
      </w:r>
      <w:r w:rsidRPr="001E7CB3">
        <w:rPr>
          <w:lang w:val="fr-CA"/>
        </w:rPr>
        <w:t xml:space="preserve">une relation donnée </w:t>
      </w:r>
      <w:r>
        <w:rPr>
          <w:lang w:val="fr-CA"/>
        </w:rPr>
        <w:t>(</w:t>
      </w:r>
      <w:proofErr w:type="spellStart"/>
      <w:r>
        <w:rPr>
          <w:i/>
          <w:lang w:val="fr-CA"/>
        </w:rPr>
        <w:t>Galambos</w:t>
      </w:r>
      <w:proofErr w:type="spellEnd"/>
      <w:r>
        <w:rPr>
          <w:lang w:val="fr-CA"/>
        </w:rPr>
        <w:t>,</w:t>
      </w:r>
      <w:r>
        <w:rPr>
          <w:i/>
          <w:lang w:val="fr-CA"/>
        </w:rPr>
        <w:t xml:space="preserve"> </w:t>
      </w:r>
      <w:r>
        <w:rPr>
          <w:lang w:val="fr-CA"/>
        </w:rPr>
        <w:t>par. </w:t>
      </w:r>
      <w:r w:rsidRPr="001E7CB3">
        <w:rPr>
          <w:lang w:val="fr-CA"/>
        </w:rPr>
        <w:t>48</w:t>
      </w:r>
      <w:r>
        <w:rPr>
          <w:lang w:val="fr-CA"/>
        </w:rPr>
        <w:t>)</w:t>
      </w:r>
      <w:r w:rsidRPr="001E7CB3">
        <w:rPr>
          <w:lang w:val="fr-CA"/>
        </w:rPr>
        <w:t>.</w:t>
      </w:r>
    </w:p>
    <w:p w:rsidR="000F48EC" w:rsidRPr="001E7CB3" w:rsidRDefault="000F48EC" w:rsidP="000F48EC">
      <w:pPr>
        <w:pStyle w:val="ParaNoNdepar-AltN"/>
        <w:rPr>
          <w:rFonts w:cstheme="minorHAnsi"/>
          <w:szCs w:val="24"/>
          <w:lang w:val="fr-CA"/>
        </w:rPr>
      </w:pPr>
      <w:r w:rsidRPr="001E7CB3">
        <w:rPr>
          <w:rFonts w:cstheme="minorHAnsi"/>
          <w:szCs w:val="24"/>
          <w:lang w:val="fr-CA"/>
        </w:rPr>
        <w:t>Les appelants soutiennent que la Cour d</w:t>
      </w:r>
      <w:r>
        <w:rPr>
          <w:rFonts w:cstheme="minorHAnsi"/>
          <w:szCs w:val="24"/>
          <w:lang w:val="fr-CA"/>
        </w:rPr>
        <w:t>’</w:t>
      </w:r>
      <w:r w:rsidRPr="001E7CB3">
        <w:rPr>
          <w:rFonts w:cstheme="minorHAnsi"/>
          <w:szCs w:val="24"/>
          <w:lang w:val="fr-CA"/>
        </w:rPr>
        <w:t>appel a commis une erreur en ne concluant pas que</w:t>
      </w:r>
      <w:r w:rsidRPr="007827AE">
        <w:rPr>
          <w:rFonts w:cstheme="minorHAnsi"/>
          <w:szCs w:val="24"/>
          <w:lang w:val="fr-CA"/>
        </w:rPr>
        <w:t xml:space="preserve"> </w:t>
      </w:r>
      <w:r w:rsidRPr="001E7CB3">
        <w:rPr>
          <w:rFonts w:cstheme="minorHAnsi"/>
          <w:szCs w:val="24"/>
          <w:lang w:val="fr-CA"/>
        </w:rPr>
        <w:t xml:space="preserve">le gouvernement, </w:t>
      </w:r>
      <w:r>
        <w:rPr>
          <w:rFonts w:cstheme="minorHAnsi"/>
          <w:szCs w:val="24"/>
          <w:lang w:val="fr-CA"/>
        </w:rPr>
        <w:t xml:space="preserve">en agissant </w:t>
      </w:r>
      <w:r w:rsidRPr="001E7CB3">
        <w:rPr>
          <w:rFonts w:cstheme="minorHAnsi"/>
          <w:szCs w:val="24"/>
          <w:lang w:val="fr-CA"/>
        </w:rPr>
        <w:t>comme administrateur des régimes, exerçait des fonctions fiducia</w:t>
      </w:r>
      <w:r>
        <w:rPr>
          <w:rFonts w:cstheme="minorHAnsi"/>
          <w:szCs w:val="24"/>
          <w:lang w:val="fr-CA"/>
        </w:rPr>
        <w:t>ire</w:t>
      </w:r>
      <w:r w:rsidRPr="001E7CB3">
        <w:rPr>
          <w:rFonts w:cstheme="minorHAnsi"/>
          <w:szCs w:val="24"/>
          <w:lang w:val="fr-CA"/>
        </w:rPr>
        <w:t xml:space="preserve">s </w:t>
      </w:r>
      <w:r>
        <w:rPr>
          <w:rFonts w:cstheme="minorHAnsi"/>
          <w:szCs w:val="24"/>
          <w:lang w:val="fr-CA"/>
        </w:rPr>
        <w:t>par nature</w:t>
      </w:r>
      <w:r w:rsidRPr="001E7CB3">
        <w:rPr>
          <w:rFonts w:cstheme="minorHAnsi"/>
          <w:szCs w:val="24"/>
          <w:lang w:val="fr-CA"/>
        </w:rPr>
        <w:t xml:space="preserve">.  À titre subsidiaire, ils font valoir </w:t>
      </w:r>
      <w:r>
        <w:rPr>
          <w:rFonts w:cstheme="minorHAnsi"/>
          <w:szCs w:val="24"/>
          <w:lang w:val="fr-CA"/>
        </w:rPr>
        <w:t>qu’elle aurait dû</w:t>
      </w:r>
      <w:r w:rsidRPr="001E7CB3">
        <w:rPr>
          <w:rFonts w:cstheme="minorHAnsi"/>
          <w:szCs w:val="24"/>
          <w:lang w:val="fr-CA"/>
        </w:rPr>
        <w:t xml:space="preserve"> conclure à l</w:t>
      </w:r>
      <w:r>
        <w:rPr>
          <w:rFonts w:cstheme="minorHAnsi"/>
          <w:szCs w:val="24"/>
          <w:lang w:val="fr-CA"/>
        </w:rPr>
        <w:t>’</w:t>
      </w:r>
      <w:r w:rsidRPr="001E7CB3">
        <w:rPr>
          <w:rFonts w:cstheme="minorHAnsi"/>
          <w:szCs w:val="24"/>
          <w:lang w:val="fr-CA"/>
        </w:rPr>
        <w:t>existence d</w:t>
      </w:r>
      <w:r>
        <w:rPr>
          <w:rFonts w:cstheme="minorHAnsi"/>
          <w:szCs w:val="24"/>
          <w:lang w:val="fr-CA"/>
        </w:rPr>
        <w:t>’</w:t>
      </w:r>
      <w:r w:rsidRPr="001E7CB3">
        <w:rPr>
          <w:rFonts w:cstheme="minorHAnsi"/>
          <w:szCs w:val="24"/>
          <w:lang w:val="fr-CA"/>
        </w:rPr>
        <w:t xml:space="preserve">une relation fiduciaire </w:t>
      </w:r>
      <w:r w:rsidRPr="001E7CB3">
        <w:rPr>
          <w:rFonts w:cstheme="minorHAnsi"/>
          <w:i/>
          <w:szCs w:val="24"/>
          <w:lang w:val="fr-CA"/>
        </w:rPr>
        <w:t>ad hoc</w:t>
      </w:r>
      <w:r w:rsidRPr="001E7CB3">
        <w:rPr>
          <w:rFonts w:cstheme="minorHAnsi"/>
          <w:szCs w:val="24"/>
          <w:lang w:val="fr-CA"/>
        </w:rPr>
        <w:t xml:space="preserve"> dans les circonstances</w:t>
      </w:r>
      <w:r>
        <w:rPr>
          <w:rFonts w:cstheme="minorHAnsi"/>
          <w:szCs w:val="24"/>
          <w:lang w:val="fr-CA"/>
        </w:rPr>
        <w:t> :</w:t>
      </w:r>
      <w:r w:rsidRPr="001E7CB3">
        <w:rPr>
          <w:rFonts w:cstheme="minorHAnsi"/>
          <w:szCs w:val="24"/>
          <w:lang w:val="fr-CA"/>
        </w:rPr>
        <w:t xml:space="preserve"> </w:t>
      </w:r>
      <w:r>
        <w:rPr>
          <w:rFonts w:cstheme="minorHAnsi"/>
          <w:szCs w:val="24"/>
          <w:lang w:val="fr-CA"/>
        </w:rPr>
        <w:t>[</w:t>
      </w:r>
      <w:r>
        <w:rPr>
          <w:rFonts w:cstheme="minorHAnsi"/>
          <w:smallCaps/>
          <w:szCs w:val="24"/>
          <w:lang w:val="fr-CA"/>
        </w:rPr>
        <w:t xml:space="preserve">traduction] </w:t>
      </w:r>
      <w:r>
        <w:rPr>
          <w:rFonts w:cstheme="minorHAnsi"/>
          <w:szCs w:val="24"/>
          <w:lang w:val="fr-CA"/>
        </w:rPr>
        <w:t>« </w:t>
      </w:r>
      <w:r w:rsidRPr="001E7CB3">
        <w:rPr>
          <w:rFonts w:cstheme="minorHAnsi"/>
          <w:szCs w:val="24"/>
          <w:lang w:val="fr-CA"/>
        </w:rPr>
        <w:t>le gouvernement s</w:t>
      </w:r>
      <w:r>
        <w:rPr>
          <w:rFonts w:cstheme="minorHAnsi"/>
          <w:szCs w:val="24"/>
          <w:lang w:val="fr-CA"/>
        </w:rPr>
        <w:t>’</w:t>
      </w:r>
      <w:r w:rsidRPr="001E7CB3">
        <w:rPr>
          <w:rFonts w:cstheme="minorHAnsi"/>
          <w:szCs w:val="24"/>
          <w:lang w:val="fr-CA"/>
        </w:rPr>
        <w:t>était engagé à agir dans l</w:t>
      </w:r>
      <w:r>
        <w:rPr>
          <w:rFonts w:cstheme="minorHAnsi"/>
          <w:szCs w:val="24"/>
          <w:lang w:val="fr-CA"/>
        </w:rPr>
        <w:t>’</w:t>
      </w:r>
      <w:r w:rsidRPr="001E7CB3">
        <w:rPr>
          <w:rFonts w:cstheme="minorHAnsi"/>
          <w:szCs w:val="24"/>
          <w:lang w:val="fr-CA"/>
        </w:rPr>
        <w:t>intérêt des membres des régimes à l</w:t>
      </w:r>
      <w:r>
        <w:rPr>
          <w:rFonts w:cstheme="minorHAnsi"/>
          <w:szCs w:val="24"/>
          <w:lang w:val="fr-CA"/>
        </w:rPr>
        <w:t>’</w:t>
      </w:r>
      <w:r w:rsidRPr="001E7CB3">
        <w:rPr>
          <w:rFonts w:cstheme="minorHAnsi"/>
          <w:szCs w:val="24"/>
          <w:lang w:val="fr-CA"/>
        </w:rPr>
        <w:t>égard des contributions qu</w:t>
      </w:r>
      <w:r>
        <w:rPr>
          <w:rFonts w:cstheme="minorHAnsi"/>
          <w:szCs w:val="24"/>
          <w:lang w:val="fr-CA"/>
        </w:rPr>
        <w:t>’</w:t>
      </w:r>
      <w:r w:rsidRPr="001E7CB3">
        <w:rPr>
          <w:rFonts w:cstheme="minorHAnsi"/>
          <w:szCs w:val="24"/>
          <w:lang w:val="fr-CA"/>
        </w:rPr>
        <w:t xml:space="preserve">ils versaient; les membres </w:t>
      </w:r>
      <w:r>
        <w:rPr>
          <w:rFonts w:cstheme="minorHAnsi"/>
          <w:szCs w:val="24"/>
          <w:lang w:val="fr-CA"/>
        </w:rPr>
        <w:t xml:space="preserve">des régimes se trouvaient </w:t>
      </w:r>
      <w:r w:rsidRPr="001E7CB3">
        <w:rPr>
          <w:rFonts w:cstheme="minorHAnsi"/>
          <w:szCs w:val="24"/>
          <w:lang w:val="fr-CA"/>
        </w:rPr>
        <w:t xml:space="preserve">dans une situation </w:t>
      </w:r>
      <w:r>
        <w:rPr>
          <w:rFonts w:cstheme="minorHAnsi"/>
          <w:szCs w:val="24"/>
          <w:lang w:val="fr-CA"/>
        </w:rPr>
        <w:t xml:space="preserve">de </w:t>
      </w:r>
      <w:r w:rsidRPr="001E7CB3">
        <w:rPr>
          <w:rFonts w:cstheme="minorHAnsi"/>
          <w:szCs w:val="24"/>
          <w:lang w:val="fr-CA"/>
        </w:rPr>
        <w:t>vulnérab</w:t>
      </w:r>
      <w:r>
        <w:rPr>
          <w:rFonts w:cstheme="minorHAnsi"/>
          <w:szCs w:val="24"/>
          <w:lang w:val="fr-CA"/>
        </w:rPr>
        <w:t>ilité</w:t>
      </w:r>
      <w:r w:rsidRPr="001E7CB3">
        <w:rPr>
          <w:rFonts w:cstheme="minorHAnsi"/>
          <w:szCs w:val="24"/>
          <w:lang w:val="fr-CA"/>
        </w:rPr>
        <w:t xml:space="preserve"> dans leur rapport avec le gouvernement, qui jouissait d</w:t>
      </w:r>
      <w:r>
        <w:rPr>
          <w:rFonts w:cstheme="minorHAnsi"/>
          <w:szCs w:val="24"/>
          <w:lang w:val="fr-CA"/>
        </w:rPr>
        <w:t>’</w:t>
      </w:r>
      <w:r w:rsidRPr="001E7CB3">
        <w:rPr>
          <w:rFonts w:cstheme="minorHAnsi"/>
          <w:szCs w:val="24"/>
          <w:lang w:val="fr-CA"/>
        </w:rPr>
        <w:t>un po</w:t>
      </w:r>
      <w:r>
        <w:rPr>
          <w:rFonts w:cstheme="minorHAnsi"/>
          <w:szCs w:val="24"/>
          <w:lang w:val="fr-CA"/>
        </w:rPr>
        <w:t>uvoir discrétionnaire important</w:t>
      </w:r>
      <w:r w:rsidRPr="001E7CB3">
        <w:rPr>
          <w:rFonts w:cstheme="minorHAnsi"/>
          <w:szCs w:val="24"/>
          <w:lang w:val="fr-CA"/>
        </w:rPr>
        <w:t>; l</w:t>
      </w:r>
      <w:r>
        <w:rPr>
          <w:rFonts w:cstheme="minorHAnsi"/>
          <w:szCs w:val="24"/>
          <w:lang w:val="fr-CA"/>
        </w:rPr>
        <w:t>’</w:t>
      </w:r>
      <w:r w:rsidRPr="001E7CB3">
        <w:rPr>
          <w:rFonts w:cstheme="minorHAnsi"/>
          <w:szCs w:val="24"/>
          <w:lang w:val="fr-CA"/>
        </w:rPr>
        <w:t xml:space="preserve">exercice du </w:t>
      </w:r>
      <w:r w:rsidRPr="001E7CB3">
        <w:rPr>
          <w:rFonts w:cstheme="minorHAnsi"/>
          <w:szCs w:val="24"/>
          <w:lang w:val="fr-CA"/>
        </w:rPr>
        <w:lastRenderedPageBreak/>
        <w:t>pouvoir discrétionnaire du gouvernement pouvait avoir des répercussions sur les intérêts des membres</w:t>
      </w:r>
      <w:r>
        <w:rPr>
          <w:rFonts w:cstheme="minorHAnsi"/>
          <w:szCs w:val="24"/>
          <w:lang w:val="fr-CA"/>
        </w:rPr>
        <w:t> » (</w:t>
      </w:r>
      <w:r w:rsidR="00094C69">
        <w:rPr>
          <w:rFonts w:cstheme="minorHAnsi"/>
          <w:szCs w:val="24"/>
          <w:lang w:val="fr-CA"/>
        </w:rPr>
        <w:t>m.a.,</w:t>
      </w:r>
      <w:r>
        <w:rPr>
          <w:rFonts w:cstheme="minorHAnsi"/>
          <w:szCs w:val="24"/>
          <w:lang w:val="fr-CA"/>
        </w:rPr>
        <w:t xml:space="preserve"> par. 67).  Selon </w:t>
      </w:r>
      <w:r w:rsidRPr="001E7CB3">
        <w:rPr>
          <w:rFonts w:cstheme="minorHAnsi"/>
          <w:szCs w:val="24"/>
          <w:lang w:val="fr-CA"/>
        </w:rPr>
        <w:t xml:space="preserve">les appelants, </w:t>
      </w:r>
      <w:r>
        <w:rPr>
          <w:rFonts w:cstheme="minorHAnsi"/>
          <w:szCs w:val="24"/>
          <w:lang w:val="fr-CA"/>
        </w:rPr>
        <w:t>la réception d</w:t>
      </w:r>
      <w:r w:rsidRPr="001E7CB3">
        <w:rPr>
          <w:rFonts w:cstheme="minorHAnsi"/>
          <w:szCs w:val="24"/>
          <w:lang w:val="fr-CA"/>
        </w:rPr>
        <w:t xml:space="preserve">es prestations et </w:t>
      </w:r>
      <w:r>
        <w:rPr>
          <w:rFonts w:cstheme="minorHAnsi"/>
          <w:szCs w:val="24"/>
          <w:lang w:val="fr-CA"/>
        </w:rPr>
        <w:t>l’assurance que</w:t>
      </w:r>
      <w:r w:rsidRPr="001E7CB3">
        <w:rPr>
          <w:rFonts w:cstheme="minorHAnsi"/>
          <w:szCs w:val="24"/>
          <w:lang w:val="fr-CA"/>
        </w:rPr>
        <w:t xml:space="preserve"> leurs contributions </w:t>
      </w:r>
      <w:r>
        <w:rPr>
          <w:rFonts w:cstheme="minorHAnsi"/>
          <w:szCs w:val="24"/>
          <w:lang w:val="fr-CA"/>
        </w:rPr>
        <w:t>étaient conservées pour servir</w:t>
      </w:r>
      <w:r w:rsidRPr="001E7CB3">
        <w:rPr>
          <w:rFonts w:cstheme="minorHAnsi"/>
          <w:szCs w:val="24"/>
          <w:lang w:val="fr-CA"/>
        </w:rPr>
        <w:t xml:space="preserve"> aux fins des régimes faisaient partie de ces intérêts. </w:t>
      </w:r>
    </w:p>
    <w:p w:rsidR="000F48EC" w:rsidRPr="001E7CB3" w:rsidRDefault="000F48EC" w:rsidP="000F48EC">
      <w:pPr>
        <w:pStyle w:val="ParaNoNdepar-AltN"/>
        <w:rPr>
          <w:lang w:val="fr-CA"/>
        </w:rPr>
      </w:pPr>
      <w:r w:rsidRPr="001E7CB3">
        <w:rPr>
          <w:lang w:val="fr-CA"/>
        </w:rPr>
        <w:t>Dans l</w:t>
      </w:r>
      <w:r>
        <w:rPr>
          <w:lang w:val="fr-CA"/>
        </w:rPr>
        <w:t>’</w:t>
      </w:r>
      <w:r w:rsidRPr="001E7CB3">
        <w:rPr>
          <w:lang w:val="fr-CA"/>
        </w:rPr>
        <w:t xml:space="preserve">arrêt récent </w:t>
      </w:r>
      <w:r w:rsidRPr="001E7CB3">
        <w:rPr>
          <w:i/>
          <w:lang w:val="fr-CA"/>
        </w:rPr>
        <w:t xml:space="preserve">Alberta c. Elder </w:t>
      </w:r>
      <w:proofErr w:type="spellStart"/>
      <w:r w:rsidRPr="001E7CB3">
        <w:rPr>
          <w:i/>
          <w:lang w:val="fr-CA"/>
        </w:rPr>
        <w:t>Advocates</w:t>
      </w:r>
      <w:proofErr w:type="spellEnd"/>
      <w:r w:rsidRPr="001E7CB3">
        <w:rPr>
          <w:i/>
          <w:lang w:val="fr-CA"/>
        </w:rPr>
        <w:t xml:space="preserve"> of Alberta Society</w:t>
      </w:r>
      <w:r w:rsidRPr="001E7CB3">
        <w:rPr>
          <w:lang w:val="fr-CA"/>
        </w:rPr>
        <w:t>, 2011</w:t>
      </w:r>
      <w:r>
        <w:rPr>
          <w:lang w:val="fr-CA"/>
        </w:rPr>
        <w:t xml:space="preserve"> </w:t>
      </w:r>
      <w:r w:rsidRPr="001E7CB3">
        <w:rPr>
          <w:lang w:val="fr-CA"/>
        </w:rPr>
        <w:t>CSC</w:t>
      </w:r>
      <w:r>
        <w:rPr>
          <w:lang w:val="fr-CA"/>
        </w:rPr>
        <w:t xml:space="preserve"> </w:t>
      </w:r>
      <w:r w:rsidRPr="001E7CB3">
        <w:rPr>
          <w:lang w:val="fr-CA"/>
        </w:rPr>
        <w:t>24</w:t>
      </w:r>
      <w:r>
        <w:rPr>
          <w:lang w:val="fr-CA"/>
        </w:rPr>
        <w:t>, [2011] 2 R.C.S. 261</w:t>
      </w:r>
      <w:r w:rsidRPr="001E7CB3">
        <w:rPr>
          <w:lang w:val="fr-CA"/>
        </w:rPr>
        <w:t xml:space="preserve">, la juge en chef </w:t>
      </w:r>
      <w:proofErr w:type="spellStart"/>
      <w:r w:rsidRPr="001E7CB3">
        <w:rPr>
          <w:lang w:val="fr-CA"/>
        </w:rPr>
        <w:t>McLachlin</w:t>
      </w:r>
      <w:proofErr w:type="spellEnd"/>
      <w:r w:rsidRPr="001E7CB3">
        <w:rPr>
          <w:lang w:val="fr-CA"/>
        </w:rPr>
        <w:t xml:space="preserve"> a fait l</w:t>
      </w:r>
      <w:r>
        <w:rPr>
          <w:lang w:val="fr-CA"/>
        </w:rPr>
        <w:t>’</w:t>
      </w:r>
      <w:r w:rsidRPr="001E7CB3">
        <w:rPr>
          <w:lang w:val="fr-CA"/>
        </w:rPr>
        <w:t>énumération suivante des relations fiducia</w:t>
      </w:r>
      <w:r>
        <w:rPr>
          <w:lang w:val="fr-CA"/>
        </w:rPr>
        <w:t>ir</w:t>
      </w:r>
      <w:r w:rsidRPr="001E7CB3">
        <w:rPr>
          <w:lang w:val="fr-CA"/>
        </w:rPr>
        <w:t xml:space="preserve">es </w:t>
      </w:r>
      <w:r>
        <w:rPr>
          <w:lang w:val="fr-CA"/>
        </w:rPr>
        <w:t>par nature :</w:t>
      </w:r>
      <w:r w:rsidRPr="001E7CB3">
        <w:rPr>
          <w:lang w:val="fr-CA"/>
        </w:rPr>
        <w:t xml:space="preserve"> la relation entre le fiduciaire et le </w:t>
      </w:r>
      <w:proofErr w:type="spellStart"/>
      <w:r w:rsidRPr="001E7CB3">
        <w:rPr>
          <w:i/>
          <w:iCs/>
          <w:lang w:val="fr-CA"/>
        </w:rPr>
        <w:t>cestui</w:t>
      </w:r>
      <w:proofErr w:type="spellEnd"/>
      <w:r w:rsidRPr="001E7CB3">
        <w:rPr>
          <w:i/>
          <w:iCs/>
          <w:lang w:val="fr-CA"/>
        </w:rPr>
        <w:t xml:space="preserve"> que trust</w:t>
      </w:r>
      <w:r w:rsidRPr="001E7CB3">
        <w:rPr>
          <w:lang w:val="fr-CA"/>
        </w:rPr>
        <w:t>, l</w:t>
      </w:r>
      <w:r>
        <w:rPr>
          <w:lang w:val="fr-CA"/>
        </w:rPr>
        <w:t>’</w:t>
      </w:r>
      <w:r w:rsidRPr="001E7CB3">
        <w:rPr>
          <w:lang w:val="fr-CA"/>
        </w:rPr>
        <w:t>exécuteur et le bénéficiaire, l</w:t>
      </w:r>
      <w:r>
        <w:rPr>
          <w:lang w:val="fr-CA"/>
        </w:rPr>
        <w:t>’</w:t>
      </w:r>
      <w:r w:rsidRPr="001E7CB3">
        <w:rPr>
          <w:lang w:val="fr-CA"/>
        </w:rPr>
        <w:t>avocat et son client, le mandataire et le mandant, l</w:t>
      </w:r>
      <w:r>
        <w:rPr>
          <w:lang w:val="fr-CA"/>
        </w:rPr>
        <w:t>’</w:t>
      </w:r>
      <w:r w:rsidRPr="001E7CB3">
        <w:rPr>
          <w:lang w:val="fr-CA"/>
        </w:rPr>
        <w:t>administrateur et la société, le tuteur et le pupille et le parent et l</w:t>
      </w:r>
      <w:r>
        <w:rPr>
          <w:lang w:val="fr-CA"/>
        </w:rPr>
        <w:t>’</w:t>
      </w:r>
      <w:r w:rsidRPr="001E7CB3">
        <w:rPr>
          <w:lang w:val="fr-CA"/>
        </w:rPr>
        <w:t>enfant.</w:t>
      </w:r>
    </w:p>
    <w:p w:rsidR="000F48EC" w:rsidRPr="001E7CB3" w:rsidRDefault="000F48EC" w:rsidP="000F48EC">
      <w:pPr>
        <w:pStyle w:val="ParaNoNdepar-AltN"/>
        <w:rPr>
          <w:lang w:val="fr-CA"/>
        </w:rPr>
      </w:pPr>
      <w:r w:rsidRPr="001E7CB3">
        <w:rPr>
          <w:lang w:val="fr-CA"/>
        </w:rPr>
        <w:t>La relation en cause en l</w:t>
      </w:r>
      <w:r>
        <w:rPr>
          <w:lang w:val="fr-CA"/>
        </w:rPr>
        <w:t>’</w:t>
      </w:r>
      <w:r w:rsidRPr="001E7CB3">
        <w:rPr>
          <w:lang w:val="fr-CA"/>
        </w:rPr>
        <w:t>espèce ne fait partie d</w:t>
      </w:r>
      <w:r>
        <w:rPr>
          <w:lang w:val="fr-CA"/>
        </w:rPr>
        <w:t>’</w:t>
      </w:r>
      <w:r w:rsidRPr="001E7CB3">
        <w:rPr>
          <w:lang w:val="fr-CA"/>
        </w:rPr>
        <w:t xml:space="preserve">aucune de ces catégories. La catégorie </w:t>
      </w:r>
      <w:r>
        <w:rPr>
          <w:lang w:val="fr-CA"/>
        </w:rPr>
        <w:t xml:space="preserve">de relation </w:t>
      </w:r>
      <w:r w:rsidRPr="001E7CB3">
        <w:rPr>
          <w:lang w:val="fr-CA"/>
        </w:rPr>
        <w:t>qui s</w:t>
      </w:r>
      <w:r>
        <w:rPr>
          <w:lang w:val="fr-CA"/>
        </w:rPr>
        <w:t>’</w:t>
      </w:r>
      <w:r w:rsidRPr="001E7CB3">
        <w:rPr>
          <w:lang w:val="fr-CA"/>
        </w:rPr>
        <w:t>en rapproche le plus (</w:t>
      </w:r>
      <w:r>
        <w:rPr>
          <w:lang w:val="fr-CA"/>
        </w:rPr>
        <w:t xml:space="preserve">entre le </w:t>
      </w:r>
      <w:r w:rsidRPr="001E7CB3">
        <w:rPr>
          <w:lang w:val="fr-CA"/>
        </w:rPr>
        <w:t>fiduciaire</w:t>
      </w:r>
      <w:r>
        <w:rPr>
          <w:lang w:val="fr-CA"/>
        </w:rPr>
        <w:t xml:space="preserve"> et le </w:t>
      </w:r>
      <w:proofErr w:type="spellStart"/>
      <w:r w:rsidRPr="001E7CB3">
        <w:rPr>
          <w:i/>
          <w:lang w:val="fr-CA"/>
        </w:rPr>
        <w:t>cestui</w:t>
      </w:r>
      <w:proofErr w:type="spellEnd"/>
      <w:r w:rsidRPr="001E7CB3">
        <w:rPr>
          <w:i/>
          <w:lang w:val="fr-CA"/>
        </w:rPr>
        <w:t xml:space="preserve"> que trust</w:t>
      </w:r>
      <w:r w:rsidRPr="001E7CB3">
        <w:rPr>
          <w:lang w:val="fr-CA"/>
        </w:rPr>
        <w:t>)</w:t>
      </w:r>
      <w:r>
        <w:rPr>
          <w:lang w:val="fr-CA"/>
        </w:rPr>
        <w:t xml:space="preserve"> ne peut être retenue</w:t>
      </w:r>
      <w:r w:rsidRPr="001E7CB3">
        <w:rPr>
          <w:lang w:val="fr-CA"/>
        </w:rPr>
        <w:t xml:space="preserve"> parce que le gouvernement n</w:t>
      </w:r>
      <w:r>
        <w:rPr>
          <w:lang w:val="fr-CA"/>
        </w:rPr>
        <w:t>’</w:t>
      </w:r>
      <w:r w:rsidRPr="001E7CB3">
        <w:rPr>
          <w:lang w:val="fr-CA"/>
        </w:rPr>
        <w:t xml:space="preserve">est pas un véritable fiduciaire en </w:t>
      </w:r>
      <w:proofErr w:type="spellStart"/>
      <w:r w:rsidRPr="001E7CB3">
        <w:rPr>
          <w:lang w:val="fr-CA"/>
        </w:rPr>
        <w:t>equity</w:t>
      </w:r>
      <w:proofErr w:type="spellEnd"/>
      <w:r w:rsidRPr="001E7CB3">
        <w:rPr>
          <w:lang w:val="fr-CA"/>
        </w:rPr>
        <w:t xml:space="preserve"> à l</w:t>
      </w:r>
      <w:r>
        <w:rPr>
          <w:lang w:val="fr-CA"/>
        </w:rPr>
        <w:t>’</w:t>
      </w:r>
      <w:r w:rsidRPr="001E7CB3">
        <w:rPr>
          <w:lang w:val="fr-CA"/>
        </w:rPr>
        <w:t xml:space="preserve">égard de biens </w:t>
      </w:r>
      <w:r>
        <w:rPr>
          <w:lang w:val="fr-CA"/>
        </w:rPr>
        <w:t xml:space="preserve">quelconques </w:t>
      </w:r>
      <w:r w:rsidRPr="001E7CB3">
        <w:rPr>
          <w:lang w:val="fr-CA"/>
        </w:rPr>
        <w:t>détenus en fiducie au profit des membres des régimes.  Les appelants affirment toutefois qu</w:t>
      </w:r>
      <w:r>
        <w:rPr>
          <w:lang w:val="fr-CA"/>
        </w:rPr>
        <w:t xml:space="preserve">e </w:t>
      </w:r>
      <w:r w:rsidRPr="001E7CB3">
        <w:rPr>
          <w:lang w:val="fr-CA"/>
        </w:rPr>
        <w:t>le gouvernement</w:t>
      </w:r>
      <w:r>
        <w:rPr>
          <w:lang w:val="fr-CA"/>
        </w:rPr>
        <w:t xml:space="preserve">, </w:t>
      </w:r>
      <w:r w:rsidRPr="001E7CB3">
        <w:rPr>
          <w:lang w:val="fr-CA"/>
        </w:rPr>
        <w:t>en tant qu</w:t>
      </w:r>
      <w:r>
        <w:rPr>
          <w:lang w:val="fr-CA"/>
        </w:rPr>
        <w:t>’</w:t>
      </w:r>
      <w:r w:rsidRPr="001E7CB3">
        <w:rPr>
          <w:lang w:val="fr-CA"/>
        </w:rPr>
        <w:t>administrateur de</w:t>
      </w:r>
      <w:r>
        <w:rPr>
          <w:lang w:val="fr-CA"/>
        </w:rPr>
        <w:t>s</w:t>
      </w:r>
      <w:r w:rsidRPr="001E7CB3">
        <w:rPr>
          <w:lang w:val="fr-CA"/>
        </w:rPr>
        <w:t xml:space="preserve"> régimes, exerce des fonctions fiducia</w:t>
      </w:r>
      <w:r>
        <w:rPr>
          <w:lang w:val="fr-CA"/>
        </w:rPr>
        <w:t>ir</w:t>
      </w:r>
      <w:r w:rsidRPr="001E7CB3">
        <w:rPr>
          <w:lang w:val="fr-CA"/>
        </w:rPr>
        <w:t>es reconnues.</w:t>
      </w:r>
    </w:p>
    <w:p w:rsidR="000F48EC" w:rsidRPr="001E7CB3" w:rsidRDefault="000F48EC" w:rsidP="000F48EC">
      <w:pPr>
        <w:pStyle w:val="ParaNoNdepar-AltN"/>
        <w:rPr>
          <w:lang w:val="fr-CA"/>
        </w:rPr>
      </w:pPr>
      <w:r w:rsidRPr="001E7CB3">
        <w:rPr>
          <w:lang w:val="fr-CA"/>
        </w:rPr>
        <w:t>Notre Cour a examiné la relation entre l</w:t>
      </w:r>
      <w:r>
        <w:rPr>
          <w:lang w:val="fr-CA"/>
        </w:rPr>
        <w:t>’</w:t>
      </w:r>
      <w:r w:rsidRPr="001E7CB3">
        <w:rPr>
          <w:lang w:val="fr-CA"/>
        </w:rPr>
        <w:t>administrateur et les membres d</w:t>
      </w:r>
      <w:r>
        <w:rPr>
          <w:lang w:val="fr-CA"/>
        </w:rPr>
        <w:t>’</w:t>
      </w:r>
      <w:r w:rsidRPr="001E7CB3">
        <w:rPr>
          <w:lang w:val="fr-CA"/>
        </w:rPr>
        <w:t xml:space="preserve">un régime de pension dans </w:t>
      </w:r>
      <w:r w:rsidRPr="001E7CB3">
        <w:rPr>
          <w:i/>
          <w:lang w:val="fr-CA"/>
        </w:rPr>
        <w:t>Burke</w:t>
      </w:r>
      <w:r w:rsidRPr="001E7CB3">
        <w:rPr>
          <w:lang w:val="fr-CA"/>
        </w:rPr>
        <w:t xml:space="preserve"> et elle a conclu </w:t>
      </w:r>
      <w:r>
        <w:rPr>
          <w:lang w:val="fr-CA"/>
        </w:rPr>
        <w:t>qu’elle présentait</w:t>
      </w:r>
      <w:r w:rsidRPr="001E7CB3">
        <w:rPr>
          <w:lang w:val="fr-CA"/>
        </w:rPr>
        <w:t xml:space="preserve"> les caractéristiques d</w:t>
      </w:r>
      <w:r>
        <w:rPr>
          <w:lang w:val="fr-CA"/>
        </w:rPr>
        <w:t>’</w:t>
      </w:r>
      <w:r w:rsidRPr="001E7CB3">
        <w:rPr>
          <w:lang w:val="fr-CA"/>
        </w:rPr>
        <w:t>une relation fiducia</w:t>
      </w:r>
      <w:r>
        <w:rPr>
          <w:lang w:val="fr-CA"/>
        </w:rPr>
        <w:t>ir</w:t>
      </w:r>
      <w:r w:rsidRPr="001E7CB3">
        <w:rPr>
          <w:lang w:val="fr-CA"/>
        </w:rPr>
        <w:t xml:space="preserve">e </w:t>
      </w:r>
      <w:r w:rsidRPr="001E7CB3">
        <w:rPr>
          <w:i/>
          <w:lang w:val="fr-CA"/>
        </w:rPr>
        <w:t>ad hoc</w:t>
      </w:r>
      <w:r w:rsidRPr="001E7CB3">
        <w:rPr>
          <w:lang w:val="fr-CA"/>
        </w:rPr>
        <w:t>.</w:t>
      </w:r>
    </w:p>
    <w:p w:rsidR="000F48EC" w:rsidRPr="001E7CB3" w:rsidRDefault="000F48EC" w:rsidP="000F48EC">
      <w:pPr>
        <w:pStyle w:val="ParaNoNdepar-AltN"/>
        <w:rPr>
          <w:lang w:val="fr-CA"/>
        </w:rPr>
      </w:pPr>
      <w:r>
        <w:rPr>
          <w:lang w:val="fr-CA"/>
        </w:rPr>
        <w:t>Cet arrêt</w:t>
      </w:r>
      <w:r w:rsidRPr="001E7CB3">
        <w:rPr>
          <w:lang w:val="fr-CA"/>
        </w:rPr>
        <w:t xml:space="preserve"> ne </w:t>
      </w:r>
      <w:r>
        <w:rPr>
          <w:lang w:val="fr-CA"/>
        </w:rPr>
        <w:t>fai</w:t>
      </w:r>
      <w:r w:rsidRPr="001E7CB3">
        <w:rPr>
          <w:lang w:val="fr-CA"/>
        </w:rPr>
        <w:t xml:space="preserve">t toutefois </w:t>
      </w:r>
      <w:r>
        <w:rPr>
          <w:lang w:val="fr-CA"/>
        </w:rPr>
        <w:t xml:space="preserve">autorité </w:t>
      </w:r>
      <w:r w:rsidRPr="001E7CB3">
        <w:rPr>
          <w:lang w:val="fr-CA"/>
        </w:rPr>
        <w:t xml:space="preserve">que pour les régimes du secteur privé.  Les membres de régimes du secteur public ne </w:t>
      </w:r>
      <w:r>
        <w:rPr>
          <w:lang w:val="fr-CA"/>
        </w:rPr>
        <w:t>se trouvent</w:t>
      </w:r>
      <w:r w:rsidRPr="001E7CB3">
        <w:rPr>
          <w:lang w:val="fr-CA"/>
        </w:rPr>
        <w:t xml:space="preserve"> pas</w:t>
      </w:r>
      <w:r>
        <w:rPr>
          <w:lang w:val="fr-CA"/>
        </w:rPr>
        <w:t xml:space="preserve"> dans</w:t>
      </w:r>
      <w:r w:rsidRPr="001E7CB3">
        <w:rPr>
          <w:lang w:val="fr-CA"/>
        </w:rPr>
        <w:t xml:space="preserve"> la même </w:t>
      </w:r>
      <w:r>
        <w:rPr>
          <w:lang w:val="fr-CA"/>
        </w:rPr>
        <w:t xml:space="preserve">situation </w:t>
      </w:r>
      <w:r>
        <w:rPr>
          <w:lang w:val="fr-CA"/>
        </w:rPr>
        <w:lastRenderedPageBreak/>
        <w:t xml:space="preserve">de </w:t>
      </w:r>
      <w:r w:rsidRPr="001E7CB3">
        <w:rPr>
          <w:lang w:val="fr-CA"/>
        </w:rPr>
        <w:t xml:space="preserve">vulnérabilité et ne sont pas exposés aux mêmes risques.  Le gouvernement </w:t>
      </w:r>
      <w:r>
        <w:rPr>
          <w:lang w:val="fr-CA"/>
        </w:rPr>
        <w:t>garantit</w:t>
      </w:r>
      <w:r w:rsidRPr="001E7CB3">
        <w:rPr>
          <w:lang w:val="fr-CA"/>
        </w:rPr>
        <w:t xml:space="preserve"> les régimes qu</w:t>
      </w:r>
      <w:r>
        <w:rPr>
          <w:lang w:val="fr-CA"/>
        </w:rPr>
        <w:t>’</w:t>
      </w:r>
      <w:r w:rsidRPr="001E7CB3">
        <w:rPr>
          <w:lang w:val="fr-CA"/>
        </w:rPr>
        <w:t>il a établis pour ses employés, et il n</w:t>
      </w:r>
      <w:r>
        <w:rPr>
          <w:lang w:val="fr-CA"/>
        </w:rPr>
        <w:t>’</w:t>
      </w:r>
      <w:r w:rsidRPr="001E7CB3">
        <w:rPr>
          <w:lang w:val="fr-CA"/>
        </w:rPr>
        <w:t xml:space="preserve">est pas </w:t>
      </w:r>
      <w:r>
        <w:rPr>
          <w:lang w:val="fr-CA"/>
        </w:rPr>
        <w:t>exposé</w:t>
      </w:r>
      <w:r w:rsidRPr="001E7CB3">
        <w:rPr>
          <w:lang w:val="fr-CA"/>
        </w:rPr>
        <w:t xml:space="preserve"> aux mêmes risques de crédit que les entités privées.  </w:t>
      </w:r>
      <w:r>
        <w:rPr>
          <w:lang w:val="fr-CA"/>
        </w:rPr>
        <w:t>En</w:t>
      </w:r>
      <w:r w:rsidRPr="001E7CB3">
        <w:rPr>
          <w:lang w:val="fr-CA"/>
        </w:rPr>
        <w:t xml:space="preserve"> outre, notre Cour a reconnu</w:t>
      </w:r>
      <w:r>
        <w:rPr>
          <w:lang w:val="fr-CA"/>
        </w:rPr>
        <w:t xml:space="preserve"> d</w:t>
      </w:r>
      <w:r w:rsidRPr="001E7CB3">
        <w:rPr>
          <w:lang w:val="fr-CA"/>
        </w:rPr>
        <w:t xml:space="preserve">ans </w:t>
      </w:r>
      <w:r w:rsidRPr="001E7CB3">
        <w:rPr>
          <w:i/>
          <w:lang w:val="fr-CA"/>
        </w:rPr>
        <w:t xml:space="preserve">Elder </w:t>
      </w:r>
      <w:proofErr w:type="spellStart"/>
      <w:r w:rsidRPr="001E7CB3">
        <w:rPr>
          <w:i/>
          <w:lang w:val="fr-CA"/>
        </w:rPr>
        <w:t>Advocates</w:t>
      </w:r>
      <w:proofErr w:type="spellEnd"/>
      <w:r w:rsidRPr="001E7CB3">
        <w:rPr>
          <w:lang w:val="fr-CA"/>
        </w:rPr>
        <w:t xml:space="preserve"> que, bien que les exigences relatives à l</w:t>
      </w:r>
      <w:r>
        <w:rPr>
          <w:lang w:val="fr-CA"/>
        </w:rPr>
        <w:t>’</w:t>
      </w:r>
      <w:r w:rsidRPr="001E7CB3">
        <w:rPr>
          <w:lang w:val="fr-CA"/>
        </w:rPr>
        <w:t>existence d</w:t>
      </w:r>
      <w:r>
        <w:rPr>
          <w:lang w:val="fr-CA"/>
        </w:rPr>
        <w:t>’</w:t>
      </w:r>
      <w:r w:rsidRPr="001E7CB3">
        <w:rPr>
          <w:lang w:val="fr-CA"/>
        </w:rPr>
        <w:t>une relation fiducia</w:t>
      </w:r>
      <w:r>
        <w:rPr>
          <w:lang w:val="fr-CA"/>
        </w:rPr>
        <w:t>ir</w:t>
      </w:r>
      <w:r w:rsidRPr="001E7CB3">
        <w:rPr>
          <w:lang w:val="fr-CA"/>
        </w:rPr>
        <w:t xml:space="preserve">e </w:t>
      </w:r>
      <w:r w:rsidRPr="001E7CB3">
        <w:rPr>
          <w:i/>
          <w:lang w:val="fr-CA"/>
        </w:rPr>
        <w:t xml:space="preserve">ad hoc </w:t>
      </w:r>
      <w:r w:rsidRPr="001E7CB3">
        <w:rPr>
          <w:lang w:val="fr-CA"/>
        </w:rPr>
        <w:t>s</w:t>
      </w:r>
      <w:r>
        <w:rPr>
          <w:lang w:val="fr-CA"/>
        </w:rPr>
        <w:t>’</w:t>
      </w:r>
      <w:r w:rsidRPr="001E7CB3">
        <w:rPr>
          <w:lang w:val="fr-CA"/>
        </w:rPr>
        <w:t xml:space="preserve">appliquent à la Couronne, « les caractéristiques précises des responsabilités et des fonctions du gouvernement signifient que le gouvernement aura des obligations fiduciaires seulement dans des circonstances restreintes et particulières » </w:t>
      </w:r>
      <w:r>
        <w:rPr>
          <w:lang w:val="fr-CA"/>
        </w:rPr>
        <w:t>(par. </w:t>
      </w:r>
      <w:r w:rsidRPr="001E7CB3">
        <w:rPr>
          <w:lang w:val="fr-CA"/>
        </w:rPr>
        <w:t>37</w:t>
      </w:r>
      <w:r>
        <w:rPr>
          <w:lang w:val="fr-CA"/>
        </w:rPr>
        <w:t>)</w:t>
      </w:r>
      <w:r w:rsidRPr="001E7CB3">
        <w:rPr>
          <w:lang w:val="fr-CA"/>
        </w:rPr>
        <w:t xml:space="preserve">.  </w:t>
      </w:r>
      <w:r>
        <w:rPr>
          <w:lang w:val="fr-CA"/>
        </w:rPr>
        <w:t xml:space="preserve">La juge en chef </w:t>
      </w:r>
      <w:proofErr w:type="spellStart"/>
      <w:r w:rsidRPr="001E7CB3">
        <w:rPr>
          <w:lang w:val="fr-CA"/>
        </w:rPr>
        <w:t>McLachlin</w:t>
      </w:r>
      <w:proofErr w:type="spellEnd"/>
      <w:r w:rsidRPr="001E7CB3">
        <w:rPr>
          <w:lang w:val="fr-CA"/>
        </w:rPr>
        <w:t xml:space="preserve"> a cité</w:t>
      </w:r>
      <w:r>
        <w:rPr>
          <w:lang w:val="fr-CA"/>
        </w:rPr>
        <w:t>, à cet égard,</w:t>
      </w:r>
      <w:r w:rsidRPr="001E7CB3">
        <w:rPr>
          <w:lang w:val="fr-CA"/>
        </w:rPr>
        <w:t xml:space="preserve"> le passage suivant des motifs que le juge Dickson (plus tard Juge en chef) a rédigés pour la majorité dans </w:t>
      </w:r>
      <w:proofErr w:type="spellStart"/>
      <w:r w:rsidRPr="001E7CB3">
        <w:rPr>
          <w:i/>
          <w:lang w:val="fr-CA"/>
        </w:rPr>
        <w:t>Guerin</w:t>
      </w:r>
      <w:proofErr w:type="spellEnd"/>
      <w:r w:rsidRPr="001E7CB3">
        <w:rPr>
          <w:i/>
          <w:lang w:val="fr-CA"/>
        </w:rPr>
        <w:t xml:space="preserve"> c. La Reine</w:t>
      </w:r>
      <w:r w:rsidRPr="001E7CB3">
        <w:rPr>
          <w:lang w:val="fr-CA"/>
        </w:rPr>
        <w:t>, [1984]</w:t>
      </w:r>
      <w:r>
        <w:rPr>
          <w:lang w:val="fr-CA"/>
        </w:rPr>
        <w:t xml:space="preserve"> </w:t>
      </w:r>
      <w:r w:rsidRPr="001E7CB3">
        <w:rPr>
          <w:lang w:val="fr-CA"/>
        </w:rPr>
        <w:t>2</w:t>
      </w:r>
      <w:r>
        <w:rPr>
          <w:lang w:val="fr-CA"/>
        </w:rPr>
        <w:t xml:space="preserve"> </w:t>
      </w:r>
      <w:r w:rsidRPr="001E7CB3">
        <w:rPr>
          <w:lang w:val="fr-CA"/>
        </w:rPr>
        <w:t xml:space="preserve">R.C.S. 335, </w:t>
      </w:r>
      <w:r>
        <w:rPr>
          <w:lang w:val="fr-CA"/>
        </w:rPr>
        <w:t>p. </w:t>
      </w:r>
      <w:r w:rsidRPr="001E7CB3">
        <w:rPr>
          <w:lang w:val="fr-CA"/>
        </w:rPr>
        <w:t>385</w:t>
      </w:r>
      <w:r>
        <w:rPr>
          <w:lang w:val="fr-CA"/>
        </w:rPr>
        <w:t> :</w:t>
      </w:r>
      <w:r w:rsidRPr="001E7CB3">
        <w:rPr>
          <w:lang w:val="fr-CA"/>
        </w:rPr>
        <w:t xml:space="preserve"> </w:t>
      </w:r>
    </w:p>
    <w:p w:rsidR="000F48EC" w:rsidRPr="001E7CB3" w:rsidRDefault="000F48EC" w:rsidP="005216B3">
      <w:pPr>
        <w:pStyle w:val="Citation-AltC"/>
        <w:tabs>
          <w:tab w:val="left" w:pos="1620"/>
        </w:tabs>
        <w:ind w:hanging="1166"/>
        <w:contextualSpacing w:val="0"/>
        <w:rPr>
          <w:lang w:val="fr-CA"/>
        </w:rPr>
      </w:pPr>
      <w:r>
        <w:rPr>
          <w:lang w:val="fr-CA"/>
        </w:rPr>
        <w:tab/>
      </w:r>
      <w:r>
        <w:rPr>
          <w:lang w:val="fr-CA"/>
        </w:rPr>
        <w:tab/>
      </w:r>
      <w:r w:rsidRPr="001E7CB3">
        <w:rPr>
          <w:lang w:val="fr-CA"/>
        </w:rPr>
        <w:t>Il nous faut remarquer que, de façon générale, il n</w:t>
      </w:r>
      <w:r>
        <w:rPr>
          <w:lang w:val="fr-CA"/>
        </w:rPr>
        <w:t>’</w:t>
      </w:r>
      <w:r w:rsidRPr="001E7CB3">
        <w:rPr>
          <w:lang w:val="fr-CA"/>
        </w:rPr>
        <w:t>existe d</w:t>
      </w:r>
      <w:r>
        <w:rPr>
          <w:lang w:val="fr-CA"/>
        </w:rPr>
        <w:t>’</w:t>
      </w:r>
      <w:r w:rsidRPr="001E7CB3">
        <w:rPr>
          <w:lang w:val="fr-CA"/>
        </w:rPr>
        <w:t>obligations de fiduciaire que dans le cas d</w:t>
      </w:r>
      <w:r>
        <w:rPr>
          <w:lang w:val="fr-CA"/>
        </w:rPr>
        <w:t>’</w:t>
      </w:r>
      <w:r w:rsidRPr="001E7CB3">
        <w:rPr>
          <w:lang w:val="fr-CA"/>
        </w:rPr>
        <w:t xml:space="preserve">obligations prenant naissance dans un contexte de droit privé.  </w:t>
      </w:r>
      <w:r w:rsidRPr="001E7CB3">
        <w:rPr>
          <w:u w:val="single"/>
          <w:lang w:val="fr-CA"/>
        </w:rPr>
        <w:t>Les obligations de droit public dont l</w:t>
      </w:r>
      <w:r>
        <w:rPr>
          <w:u w:val="single"/>
          <w:lang w:val="fr-CA"/>
        </w:rPr>
        <w:t>’</w:t>
      </w:r>
      <w:r w:rsidRPr="001E7CB3">
        <w:rPr>
          <w:u w:val="single"/>
          <w:lang w:val="fr-CA"/>
        </w:rPr>
        <w:t>acquittement nécessite l</w:t>
      </w:r>
      <w:r>
        <w:rPr>
          <w:u w:val="single"/>
          <w:lang w:val="fr-CA"/>
        </w:rPr>
        <w:t>’</w:t>
      </w:r>
      <w:r w:rsidRPr="001E7CB3">
        <w:rPr>
          <w:u w:val="single"/>
          <w:lang w:val="fr-CA"/>
        </w:rPr>
        <w:t>exercice d</w:t>
      </w:r>
      <w:r>
        <w:rPr>
          <w:u w:val="single"/>
          <w:lang w:val="fr-CA"/>
        </w:rPr>
        <w:t>’</w:t>
      </w:r>
      <w:r w:rsidRPr="001E7CB3">
        <w:rPr>
          <w:u w:val="single"/>
          <w:lang w:val="fr-CA"/>
        </w:rPr>
        <w:t>un pouvoir discrétionnaire ne créent normalement aucun rapport fiduciaire</w:t>
      </w:r>
      <w:r w:rsidRPr="00C352A2">
        <w:rPr>
          <w:u w:val="single"/>
          <w:lang w:val="fr-CA"/>
        </w:rPr>
        <w:t>.</w:t>
      </w:r>
      <w:r w:rsidRPr="001E7CB3">
        <w:rPr>
          <w:lang w:val="fr-CA"/>
        </w:rPr>
        <w:t xml:space="preserve">  Comme il se dégage d</w:t>
      </w:r>
      <w:r>
        <w:rPr>
          <w:lang w:val="fr-CA"/>
        </w:rPr>
        <w:t>’</w:t>
      </w:r>
      <w:r w:rsidRPr="001E7CB3">
        <w:rPr>
          <w:lang w:val="fr-CA"/>
        </w:rPr>
        <w:t>ailleurs des décisions portant sur les «</w:t>
      </w:r>
      <w:r>
        <w:rPr>
          <w:lang w:val="fr-CA"/>
        </w:rPr>
        <w:t> </w:t>
      </w:r>
      <w:r w:rsidRPr="001E7CB3">
        <w:rPr>
          <w:lang w:val="fr-CA"/>
        </w:rPr>
        <w:t>fiducies politiques</w:t>
      </w:r>
      <w:r>
        <w:rPr>
          <w:lang w:val="fr-CA"/>
        </w:rPr>
        <w:t> </w:t>
      </w:r>
      <w:r w:rsidRPr="001E7CB3">
        <w:rPr>
          <w:lang w:val="fr-CA"/>
        </w:rPr>
        <w:t xml:space="preserve">», on ne prête pas généralement à Sa Majesté la qualité de fiduciaire lorsque </w:t>
      </w:r>
      <w:proofErr w:type="spellStart"/>
      <w:r w:rsidRPr="001E7CB3">
        <w:rPr>
          <w:lang w:val="fr-CA"/>
        </w:rPr>
        <w:t>celle</w:t>
      </w:r>
      <w:r>
        <w:rPr>
          <w:lang w:val="fr-CA"/>
        </w:rPr>
        <w:noBreakHyphen/>
      </w:r>
      <w:r w:rsidRPr="001E7CB3">
        <w:rPr>
          <w:lang w:val="fr-CA"/>
        </w:rPr>
        <w:t>ci</w:t>
      </w:r>
      <w:proofErr w:type="spellEnd"/>
      <w:r w:rsidRPr="001E7CB3">
        <w:rPr>
          <w:lang w:val="fr-CA"/>
        </w:rPr>
        <w:t xml:space="preserve"> exerce ses fonctions législatives ou administratives.</w:t>
      </w:r>
      <w:r>
        <w:rPr>
          <w:lang w:val="fr-CA"/>
        </w:rPr>
        <w:t xml:space="preserve"> </w:t>
      </w:r>
      <w:r w:rsidRPr="001E7CB3">
        <w:rPr>
          <w:lang w:val="fr-CA"/>
        </w:rPr>
        <w:t xml:space="preserve">[Soulignement ajouté par la juge en chef </w:t>
      </w:r>
      <w:proofErr w:type="spellStart"/>
      <w:r w:rsidRPr="001E7CB3">
        <w:rPr>
          <w:lang w:val="fr-CA"/>
        </w:rPr>
        <w:t>McLachlin</w:t>
      </w:r>
      <w:proofErr w:type="spellEnd"/>
      <w:r>
        <w:rPr>
          <w:lang w:val="fr-CA"/>
        </w:rPr>
        <w:t>; par. 37</w:t>
      </w:r>
      <w:r w:rsidRPr="001E7CB3">
        <w:rPr>
          <w:lang w:val="fr-CA"/>
        </w:rPr>
        <w:t>.]</w:t>
      </w:r>
    </w:p>
    <w:p w:rsidR="000F48EC" w:rsidRPr="001E7CB3" w:rsidRDefault="000F48EC" w:rsidP="000F48EC">
      <w:pPr>
        <w:pStyle w:val="ParaNoNdepar-AltN"/>
        <w:rPr>
          <w:lang w:val="fr-CA"/>
        </w:rPr>
      </w:pPr>
      <w:r w:rsidRPr="001E7CB3">
        <w:rPr>
          <w:lang w:val="fr-CA"/>
        </w:rPr>
        <w:t xml:space="preserve">Le juge Binnie </w:t>
      </w:r>
      <w:r>
        <w:rPr>
          <w:lang w:val="fr-CA"/>
        </w:rPr>
        <w:t>a</w:t>
      </w:r>
      <w:r w:rsidRPr="001E7CB3">
        <w:rPr>
          <w:lang w:val="fr-CA"/>
        </w:rPr>
        <w:t xml:space="preserve"> exprimé </w:t>
      </w:r>
      <w:r>
        <w:rPr>
          <w:lang w:val="fr-CA"/>
        </w:rPr>
        <w:t xml:space="preserve">un point de vue </w:t>
      </w:r>
      <w:r w:rsidRPr="001E7CB3">
        <w:rPr>
          <w:lang w:val="fr-CA"/>
        </w:rPr>
        <w:t>semblable</w:t>
      </w:r>
      <w:r w:rsidR="005216B3">
        <w:rPr>
          <w:lang w:val="fr-CA"/>
        </w:rPr>
        <w:t>, au nom de la Cour,</w:t>
      </w:r>
      <w:r w:rsidRPr="001E7CB3">
        <w:rPr>
          <w:lang w:val="fr-CA"/>
        </w:rPr>
        <w:t xml:space="preserve"> dans </w:t>
      </w:r>
      <w:r w:rsidRPr="001E7CB3">
        <w:rPr>
          <w:i/>
          <w:lang w:val="fr-CA"/>
        </w:rPr>
        <w:t xml:space="preserve">Bande indienne </w:t>
      </w:r>
      <w:proofErr w:type="spellStart"/>
      <w:r w:rsidRPr="001E7CB3">
        <w:rPr>
          <w:i/>
          <w:lang w:val="fr-CA"/>
        </w:rPr>
        <w:t>Wewaykum</w:t>
      </w:r>
      <w:proofErr w:type="spellEnd"/>
      <w:r w:rsidRPr="001E7CB3">
        <w:rPr>
          <w:i/>
          <w:lang w:val="fr-CA"/>
        </w:rPr>
        <w:t xml:space="preserve"> c. Canada</w:t>
      </w:r>
      <w:r w:rsidRPr="001E7CB3">
        <w:rPr>
          <w:lang w:val="fr-CA"/>
        </w:rPr>
        <w:t xml:space="preserve">, 2002 CSC 79, </w:t>
      </w:r>
      <w:r>
        <w:rPr>
          <w:lang w:val="fr-CA"/>
        </w:rPr>
        <w:t>[2002] 4 R.C.S. 245, par. </w:t>
      </w:r>
      <w:r w:rsidRPr="001E7CB3">
        <w:rPr>
          <w:lang w:val="fr-CA"/>
        </w:rPr>
        <w:t>96</w:t>
      </w:r>
      <w:r>
        <w:rPr>
          <w:lang w:val="fr-CA"/>
        </w:rPr>
        <w:t> :</w:t>
      </w:r>
      <w:r w:rsidRPr="001E7CB3">
        <w:rPr>
          <w:lang w:val="fr-CA"/>
        </w:rPr>
        <w:t xml:space="preserve"> « La Couronne ne saurait être un fiduciaire ordinaire; elle agit en plusieurs qualités et représente de nombreux intérêts, dont certains sont immanquablement </w:t>
      </w:r>
      <w:proofErr w:type="gramStart"/>
      <w:r w:rsidRPr="001E7CB3">
        <w:rPr>
          <w:lang w:val="fr-CA"/>
        </w:rPr>
        <w:t>opposés</w:t>
      </w:r>
      <w:r>
        <w:rPr>
          <w:lang w:val="fr-CA"/>
        </w:rPr>
        <w:t xml:space="preserve"> .</w:t>
      </w:r>
      <w:proofErr w:type="gramEnd"/>
      <w:r>
        <w:rPr>
          <w:lang w:val="fr-CA"/>
        </w:rPr>
        <w:t> . .</w:t>
      </w:r>
      <w:r w:rsidR="003D2112">
        <w:rPr>
          <w:lang w:val="fr-CA"/>
        </w:rPr>
        <w:t> »</w:t>
      </w:r>
      <w:r w:rsidRPr="001E7CB3">
        <w:rPr>
          <w:lang w:val="fr-CA"/>
        </w:rPr>
        <w:t xml:space="preserve">  Ce principe dicte également que la Couronne ne saurait être présumée </w:t>
      </w:r>
      <w:r>
        <w:rPr>
          <w:lang w:val="fr-CA"/>
        </w:rPr>
        <w:lastRenderedPageBreak/>
        <w:t>agir à titre fiduciaire</w:t>
      </w:r>
      <w:r w:rsidRPr="001E7CB3">
        <w:rPr>
          <w:lang w:val="fr-CA"/>
        </w:rPr>
        <w:t xml:space="preserve"> du seul fait que son rôle s</w:t>
      </w:r>
      <w:r>
        <w:rPr>
          <w:lang w:val="fr-CA"/>
        </w:rPr>
        <w:t>’</w:t>
      </w:r>
      <w:r w:rsidRPr="001E7CB3">
        <w:rPr>
          <w:lang w:val="fr-CA"/>
        </w:rPr>
        <w:t>apparente à celui d</w:t>
      </w:r>
      <w:r>
        <w:rPr>
          <w:lang w:val="fr-CA"/>
        </w:rPr>
        <w:t>’</w:t>
      </w:r>
      <w:r w:rsidRPr="001E7CB3">
        <w:rPr>
          <w:lang w:val="fr-CA"/>
        </w:rPr>
        <w:t xml:space="preserve">une catégorie classique de </w:t>
      </w:r>
      <w:r>
        <w:rPr>
          <w:lang w:val="fr-CA"/>
        </w:rPr>
        <w:t>fonctions fiduciaires</w:t>
      </w:r>
      <w:r w:rsidRPr="001E7CB3">
        <w:rPr>
          <w:lang w:val="fr-CA"/>
        </w:rPr>
        <w:t xml:space="preserve">. </w:t>
      </w:r>
    </w:p>
    <w:p w:rsidR="000F48EC" w:rsidRPr="001E7CB3" w:rsidRDefault="000F48EC" w:rsidP="000F48EC">
      <w:pPr>
        <w:pStyle w:val="ParaNoNdepar-AltN"/>
        <w:rPr>
          <w:lang w:val="fr-CA"/>
        </w:rPr>
      </w:pPr>
      <w:r>
        <w:rPr>
          <w:szCs w:val="24"/>
          <w:lang w:val="fr-CA"/>
        </w:rPr>
        <w:t xml:space="preserve">Il n’est pas nécessaire de déterminer quelle serait l’étendue précise d’une obligation fiduciaire susceptible d’exister entre le gouvernement, en qualité d’administrateur des régimes de pension, et les bénéficiaires des régimes, ni si leur relation emporte intrinsèquement certaines obligations fiduciaires.  En effet, il est clair que le gouvernement n’avait aucune obligation fiduciaire envers les membres des régimes à l’égard des surplus actuariels, et le modèle fourni par les arrêts </w:t>
      </w:r>
      <w:r>
        <w:rPr>
          <w:i/>
          <w:szCs w:val="24"/>
          <w:lang w:val="fr-CA"/>
        </w:rPr>
        <w:t>Frame c. Smith</w:t>
      </w:r>
      <w:r>
        <w:rPr>
          <w:szCs w:val="24"/>
          <w:lang w:val="fr-CA"/>
        </w:rPr>
        <w:t xml:space="preserve">, [1987] 2 R.C.S. 99, et </w:t>
      </w:r>
      <w:r>
        <w:rPr>
          <w:i/>
          <w:szCs w:val="24"/>
          <w:lang w:val="fr-CA"/>
        </w:rPr>
        <w:t xml:space="preserve">Elder </w:t>
      </w:r>
      <w:proofErr w:type="spellStart"/>
      <w:r>
        <w:rPr>
          <w:i/>
          <w:szCs w:val="24"/>
          <w:lang w:val="fr-CA"/>
        </w:rPr>
        <w:t>Advocates</w:t>
      </w:r>
      <w:proofErr w:type="spellEnd"/>
      <w:r>
        <w:rPr>
          <w:szCs w:val="24"/>
          <w:lang w:val="fr-CA"/>
        </w:rPr>
        <w:t xml:space="preserve"> pour établir l’existence d’obligations fiduciaires </w:t>
      </w:r>
      <w:r>
        <w:rPr>
          <w:i/>
          <w:szCs w:val="24"/>
          <w:lang w:val="fr-CA"/>
        </w:rPr>
        <w:t>ad hoc</w:t>
      </w:r>
      <w:r>
        <w:rPr>
          <w:szCs w:val="24"/>
          <w:lang w:val="fr-CA"/>
        </w:rPr>
        <w:t xml:space="preserve"> le démontre.</w:t>
      </w:r>
    </w:p>
    <w:p w:rsidR="000F48EC" w:rsidRPr="001E7CB3" w:rsidRDefault="000F48EC" w:rsidP="000F48EC">
      <w:pPr>
        <w:pStyle w:val="ParaNoNdepar-AltN"/>
        <w:rPr>
          <w:rFonts w:cstheme="minorHAnsi"/>
          <w:szCs w:val="24"/>
          <w:lang w:val="fr-CA"/>
        </w:rPr>
      </w:pPr>
      <w:r>
        <w:rPr>
          <w:rFonts w:cstheme="minorHAnsi"/>
          <w:szCs w:val="24"/>
          <w:lang w:val="fr-CA"/>
        </w:rPr>
        <w:t xml:space="preserve">Les caractéristiques des relations dans lesquelles des obligations fiduciaires ont été imposées ont d’abord été définies dans l’opinion dissidente de la juge Wilson </w:t>
      </w:r>
      <w:r w:rsidRPr="001E7CB3">
        <w:rPr>
          <w:rFonts w:cstheme="minorHAnsi"/>
          <w:szCs w:val="24"/>
          <w:lang w:val="fr-CA"/>
        </w:rPr>
        <w:t xml:space="preserve">dans </w:t>
      </w:r>
      <w:r w:rsidRPr="001E7CB3">
        <w:rPr>
          <w:rFonts w:cstheme="minorHAnsi"/>
          <w:i/>
          <w:szCs w:val="24"/>
          <w:lang w:val="fr-CA"/>
        </w:rPr>
        <w:t>Frame</w:t>
      </w:r>
      <w:r w:rsidRPr="001E7CB3">
        <w:rPr>
          <w:lang w:val="fr-CA"/>
        </w:rPr>
        <w:t>,</w:t>
      </w:r>
      <w:r w:rsidRPr="001E7CB3">
        <w:rPr>
          <w:rFonts w:cstheme="minorHAnsi"/>
          <w:szCs w:val="24"/>
          <w:lang w:val="fr-CA"/>
        </w:rPr>
        <w:t xml:space="preserve"> </w:t>
      </w:r>
      <w:r>
        <w:rPr>
          <w:rFonts w:cstheme="minorHAnsi"/>
          <w:szCs w:val="24"/>
          <w:lang w:val="fr-CA"/>
        </w:rPr>
        <w:t xml:space="preserve">puis adoptées par la majorité de la Cour (voir, p. ex., </w:t>
      </w:r>
      <w:proofErr w:type="spellStart"/>
      <w:r w:rsidRPr="00583675">
        <w:rPr>
          <w:rFonts w:cstheme="minorHAnsi"/>
          <w:i/>
          <w:szCs w:val="24"/>
          <w:lang w:val="fr-CA"/>
        </w:rPr>
        <w:t>Hodgkinson</w:t>
      </w:r>
      <w:proofErr w:type="spellEnd"/>
      <w:r w:rsidRPr="00583675">
        <w:rPr>
          <w:rFonts w:cstheme="minorHAnsi"/>
          <w:i/>
          <w:szCs w:val="24"/>
          <w:lang w:val="fr-CA"/>
        </w:rPr>
        <w:t xml:space="preserve"> c. </w:t>
      </w:r>
      <w:proofErr w:type="spellStart"/>
      <w:r w:rsidRPr="00583675">
        <w:rPr>
          <w:rFonts w:cstheme="minorHAnsi"/>
          <w:i/>
          <w:szCs w:val="24"/>
          <w:lang w:val="fr-CA"/>
        </w:rPr>
        <w:t>Simms</w:t>
      </w:r>
      <w:proofErr w:type="spellEnd"/>
      <w:r>
        <w:rPr>
          <w:rFonts w:cstheme="minorHAnsi"/>
          <w:szCs w:val="24"/>
          <w:lang w:val="fr-CA"/>
        </w:rPr>
        <w:t>, [1994] 3 R.C.S. 377) :</w:t>
      </w:r>
      <w:r w:rsidRPr="001E7CB3">
        <w:rPr>
          <w:rFonts w:cstheme="minorHAnsi"/>
          <w:szCs w:val="24"/>
          <w:lang w:val="fr-CA"/>
        </w:rPr>
        <w:t xml:space="preserve"> </w:t>
      </w:r>
    </w:p>
    <w:p w:rsidR="000F48EC" w:rsidRPr="001E7CB3" w:rsidRDefault="000F48EC" w:rsidP="000F48EC">
      <w:pPr>
        <w:pStyle w:val="Citation-AltC"/>
        <w:tabs>
          <w:tab w:val="left" w:pos="1170"/>
        </w:tabs>
        <w:spacing w:after="240"/>
        <w:ind w:left="1627" w:hanging="1627"/>
        <w:contextualSpacing w:val="0"/>
        <w:rPr>
          <w:szCs w:val="24"/>
          <w:lang w:val="fr-CA"/>
        </w:rPr>
      </w:pPr>
      <w:r>
        <w:rPr>
          <w:szCs w:val="24"/>
          <w:lang w:val="fr-CA"/>
        </w:rPr>
        <w:tab/>
        <w:t>(1)</w:t>
      </w:r>
      <w:r w:rsidR="00183681">
        <w:rPr>
          <w:lang w:val="fr-CA"/>
        </w:rPr>
        <w:t> </w:t>
      </w:r>
      <w:r w:rsidRPr="001E7CB3">
        <w:rPr>
          <w:lang w:val="fr-CA"/>
        </w:rPr>
        <w:t>le fiduciaire peut exercer un certain pouvoir discrétionnaire</w:t>
      </w:r>
      <w:r w:rsidR="00183681">
        <w:rPr>
          <w:lang w:val="fr-CA"/>
        </w:rPr>
        <w:t>.</w:t>
      </w:r>
      <w:r w:rsidRPr="001E7CB3">
        <w:rPr>
          <w:szCs w:val="24"/>
          <w:lang w:val="fr-CA"/>
        </w:rPr>
        <w:t xml:space="preserve"> </w:t>
      </w:r>
    </w:p>
    <w:p w:rsidR="000F48EC" w:rsidRPr="001E7CB3" w:rsidRDefault="00183681" w:rsidP="000F48EC">
      <w:pPr>
        <w:pStyle w:val="Citation-AltC"/>
        <w:spacing w:after="240"/>
        <w:ind w:left="1170" w:hanging="1170"/>
        <w:contextualSpacing w:val="0"/>
        <w:rPr>
          <w:szCs w:val="24"/>
          <w:lang w:val="fr-CA"/>
        </w:rPr>
      </w:pPr>
      <w:r>
        <w:rPr>
          <w:lang w:val="fr-CA"/>
        </w:rPr>
        <w:tab/>
        <w:t>(2) </w:t>
      </w:r>
      <w:r w:rsidR="000F48EC" w:rsidRPr="001E7CB3">
        <w:rPr>
          <w:lang w:val="fr-CA"/>
        </w:rPr>
        <w:t>le fiduciaire peut unilatéralement exercer ce pouvoir discrétionnaire de manière à avoir un effet sur les intérêts juridiques ou pratiques du bénéficiaire</w:t>
      </w:r>
      <w:r>
        <w:rPr>
          <w:lang w:val="fr-CA"/>
        </w:rPr>
        <w:t>.</w:t>
      </w:r>
    </w:p>
    <w:p w:rsidR="000F48EC" w:rsidRPr="001E7CB3" w:rsidRDefault="000F48EC" w:rsidP="000F48EC">
      <w:pPr>
        <w:pStyle w:val="Citation-AltC"/>
        <w:ind w:hanging="1166"/>
        <w:contextualSpacing w:val="0"/>
        <w:rPr>
          <w:szCs w:val="24"/>
          <w:lang w:val="fr-CA"/>
        </w:rPr>
      </w:pPr>
      <w:r>
        <w:rPr>
          <w:lang w:val="fr-CA"/>
        </w:rPr>
        <w:tab/>
        <w:t>(3) </w:t>
      </w:r>
      <w:r w:rsidRPr="001E7CB3">
        <w:rPr>
          <w:lang w:val="fr-CA"/>
        </w:rPr>
        <w:t>le bénéficiaire est particulièrem</w:t>
      </w:r>
      <w:r>
        <w:rPr>
          <w:lang w:val="fr-CA"/>
        </w:rPr>
        <w:t>ent vulnérable ou à la merci du f</w:t>
      </w:r>
      <w:r w:rsidRPr="001E7CB3">
        <w:rPr>
          <w:lang w:val="fr-CA"/>
        </w:rPr>
        <w:t>iduciaire qui détient le pouvoir discrétionnaire</w:t>
      </w:r>
      <w:r w:rsidRPr="001E7CB3">
        <w:rPr>
          <w:szCs w:val="24"/>
          <w:lang w:val="fr-CA"/>
        </w:rPr>
        <w:t xml:space="preserve">. </w:t>
      </w:r>
      <w:r w:rsidR="00183681">
        <w:rPr>
          <w:szCs w:val="24"/>
          <w:lang w:val="fr-CA"/>
        </w:rPr>
        <w:t>[p. 136]</w:t>
      </w:r>
    </w:p>
    <w:p w:rsidR="000F48EC" w:rsidRPr="001E7CB3" w:rsidRDefault="000F48EC" w:rsidP="000F48EC">
      <w:pPr>
        <w:pStyle w:val="ParaNoNdepar-AltN"/>
        <w:rPr>
          <w:rFonts w:cstheme="minorHAnsi"/>
          <w:szCs w:val="24"/>
          <w:lang w:val="fr-CA"/>
        </w:rPr>
      </w:pPr>
      <w:r w:rsidRPr="001E7CB3">
        <w:rPr>
          <w:rFonts w:cstheme="minorHAnsi"/>
          <w:szCs w:val="24"/>
          <w:lang w:val="fr-CA"/>
        </w:rPr>
        <w:lastRenderedPageBreak/>
        <w:t xml:space="preserve">Plus récemment, la juge en chef </w:t>
      </w:r>
      <w:proofErr w:type="spellStart"/>
      <w:r w:rsidRPr="001E7CB3">
        <w:rPr>
          <w:rFonts w:cstheme="minorHAnsi"/>
          <w:szCs w:val="24"/>
          <w:lang w:val="fr-CA"/>
        </w:rPr>
        <w:t>McLachlin</w:t>
      </w:r>
      <w:proofErr w:type="spellEnd"/>
      <w:r>
        <w:rPr>
          <w:rFonts w:cstheme="minorHAnsi"/>
          <w:szCs w:val="24"/>
          <w:lang w:val="fr-CA"/>
        </w:rPr>
        <w:t xml:space="preserve"> a reconnu</w:t>
      </w:r>
      <w:r w:rsidRPr="001E7CB3">
        <w:rPr>
          <w:rFonts w:cstheme="minorHAnsi"/>
          <w:szCs w:val="24"/>
          <w:lang w:val="fr-CA"/>
        </w:rPr>
        <w:t xml:space="preserve"> l</w:t>
      </w:r>
      <w:r>
        <w:rPr>
          <w:rFonts w:cstheme="minorHAnsi"/>
          <w:szCs w:val="24"/>
          <w:lang w:val="fr-CA"/>
        </w:rPr>
        <w:t>’</w:t>
      </w:r>
      <w:r w:rsidRPr="001E7CB3">
        <w:rPr>
          <w:rFonts w:cstheme="minorHAnsi"/>
          <w:szCs w:val="24"/>
          <w:lang w:val="fr-CA"/>
        </w:rPr>
        <w:t xml:space="preserve">utilité de ces caractéristiques, dans </w:t>
      </w:r>
      <w:r w:rsidRPr="001E7CB3">
        <w:rPr>
          <w:rFonts w:cstheme="minorHAnsi"/>
          <w:i/>
          <w:szCs w:val="24"/>
          <w:lang w:val="fr-CA"/>
        </w:rPr>
        <w:t xml:space="preserve">Elder </w:t>
      </w:r>
      <w:proofErr w:type="spellStart"/>
      <w:r w:rsidRPr="001E7CB3">
        <w:rPr>
          <w:rFonts w:cstheme="minorHAnsi"/>
          <w:i/>
          <w:szCs w:val="24"/>
          <w:lang w:val="fr-CA"/>
        </w:rPr>
        <w:t>Advocates</w:t>
      </w:r>
      <w:proofErr w:type="spellEnd"/>
      <w:r w:rsidRPr="001E7CB3">
        <w:rPr>
          <w:rFonts w:cstheme="minorHAnsi"/>
          <w:szCs w:val="24"/>
          <w:lang w:val="fr-CA"/>
        </w:rPr>
        <w:t xml:space="preserve">, </w:t>
      </w:r>
      <w:r>
        <w:rPr>
          <w:rFonts w:cstheme="minorHAnsi"/>
          <w:szCs w:val="24"/>
          <w:lang w:val="fr-CA"/>
        </w:rPr>
        <w:t>mais elle a précisé</w:t>
      </w:r>
      <w:r w:rsidRPr="001E7CB3">
        <w:rPr>
          <w:rFonts w:cstheme="minorHAnsi"/>
          <w:szCs w:val="24"/>
          <w:lang w:val="fr-CA"/>
        </w:rPr>
        <w:t xml:space="preserve"> qu</w:t>
      </w:r>
      <w:r>
        <w:rPr>
          <w:rFonts w:cstheme="minorHAnsi"/>
          <w:szCs w:val="24"/>
          <w:lang w:val="fr-CA"/>
        </w:rPr>
        <w:t>’</w:t>
      </w:r>
      <w:r w:rsidRPr="001E7CB3">
        <w:rPr>
          <w:rFonts w:cstheme="minorHAnsi"/>
          <w:szCs w:val="24"/>
          <w:lang w:val="fr-CA"/>
        </w:rPr>
        <w:t xml:space="preserve">elles ne constituaient pas un code </w:t>
      </w:r>
      <w:r>
        <w:rPr>
          <w:rFonts w:cstheme="minorHAnsi"/>
          <w:szCs w:val="24"/>
          <w:lang w:val="fr-CA"/>
        </w:rPr>
        <w:t>complet</w:t>
      </w:r>
      <w:r w:rsidRPr="001E7CB3">
        <w:rPr>
          <w:rFonts w:cstheme="minorHAnsi"/>
          <w:szCs w:val="24"/>
          <w:lang w:val="fr-CA"/>
        </w:rPr>
        <w:t xml:space="preserve">.  Notre Cour a adopté les facteurs énumérés dans </w:t>
      </w:r>
      <w:proofErr w:type="spellStart"/>
      <w:r w:rsidRPr="001E7CB3">
        <w:rPr>
          <w:rFonts w:cstheme="minorHAnsi"/>
          <w:i/>
          <w:szCs w:val="24"/>
          <w:lang w:val="fr-CA"/>
        </w:rPr>
        <w:t>Hodgkinson</w:t>
      </w:r>
      <w:proofErr w:type="spellEnd"/>
      <w:r w:rsidRPr="001E7CB3">
        <w:rPr>
          <w:rFonts w:cstheme="minorHAnsi"/>
          <w:szCs w:val="24"/>
          <w:lang w:val="fr-CA"/>
        </w:rPr>
        <w:t xml:space="preserve">, </w:t>
      </w:r>
      <w:r>
        <w:rPr>
          <w:rFonts w:cstheme="minorHAnsi"/>
          <w:szCs w:val="24"/>
          <w:lang w:val="fr-CA"/>
        </w:rPr>
        <w:t>mais leur a ajouté</w:t>
      </w:r>
      <w:r w:rsidRPr="001E7CB3">
        <w:rPr>
          <w:rFonts w:cstheme="minorHAnsi"/>
          <w:szCs w:val="24"/>
          <w:lang w:val="fr-CA"/>
        </w:rPr>
        <w:t xml:space="preserve"> </w:t>
      </w:r>
      <w:r>
        <w:rPr>
          <w:rFonts w:cstheme="minorHAnsi"/>
          <w:szCs w:val="24"/>
          <w:lang w:val="fr-CA"/>
        </w:rPr>
        <w:t xml:space="preserve">une autre </w:t>
      </w:r>
      <w:r w:rsidRPr="001E7CB3">
        <w:rPr>
          <w:rFonts w:cstheme="minorHAnsi"/>
          <w:szCs w:val="24"/>
          <w:lang w:val="fr-CA"/>
        </w:rPr>
        <w:t>exigence</w:t>
      </w:r>
      <w:r>
        <w:rPr>
          <w:rFonts w:cstheme="minorHAnsi"/>
          <w:szCs w:val="24"/>
          <w:lang w:val="fr-CA"/>
        </w:rPr>
        <w:t xml:space="preserve">, soit </w:t>
      </w:r>
      <w:r w:rsidRPr="008F2F40">
        <w:rPr>
          <w:rFonts w:cstheme="minorHAnsi"/>
          <w:szCs w:val="24"/>
          <w:lang w:val="fr-CA"/>
        </w:rPr>
        <w:t>un engagement de la part du fiducia</w:t>
      </w:r>
      <w:r>
        <w:rPr>
          <w:rFonts w:cstheme="minorHAnsi"/>
          <w:szCs w:val="24"/>
          <w:lang w:val="fr-CA"/>
        </w:rPr>
        <w:t>ire</w:t>
      </w:r>
      <w:r w:rsidRPr="008F2F40">
        <w:rPr>
          <w:rFonts w:cstheme="minorHAnsi"/>
          <w:szCs w:val="24"/>
          <w:lang w:val="fr-CA"/>
        </w:rPr>
        <w:t xml:space="preserve"> à agir au mieux des intérêts du bénéficiaire ou des bénéficiaires</w:t>
      </w:r>
      <w:r w:rsidRPr="001E7CB3">
        <w:rPr>
          <w:rFonts w:cstheme="minorHAnsi"/>
          <w:szCs w:val="24"/>
          <w:lang w:val="fr-CA"/>
        </w:rPr>
        <w:t xml:space="preserve">. </w:t>
      </w:r>
    </w:p>
    <w:p w:rsidR="000F48EC" w:rsidRPr="001E7CB3" w:rsidRDefault="000F48EC" w:rsidP="000F48EC">
      <w:pPr>
        <w:pStyle w:val="ParaNoNdepar-AltN"/>
        <w:rPr>
          <w:szCs w:val="24"/>
          <w:lang w:val="fr-CA"/>
        </w:rPr>
      </w:pPr>
      <w:r w:rsidRPr="001E7CB3">
        <w:rPr>
          <w:rFonts w:cstheme="minorHAnsi"/>
          <w:szCs w:val="24"/>
          <w:lang w:val="fr-CA"/>
        </w:rPr>
        <w:t>En l</w:t>
      </w:r>
      <w:r>
        <w:rPr>
          <w:rFonts w:cstheme="minorHAnsi"/>
          <w:szCs w:val="24"/>
          <w:lang w:val="fr-CA"/>
        </w:rPr>
        <w:t>’</w:t>
      </w:r>
      <w:r w:rsidRPr="001E7CB3">
        <w:rPr>
          <w:rFonts w:cstheme="minorHAnsi"/>
          <w:szCs w:val="24"/>
          <w:lang w:val="fr-CA"/>
        </w:rPr>
        <w:t xml:space="preserve">espèce, les juridictions inférieures ont toutes deux appliqué </w:t>
      </w:r>
      <w:r>
        <w:rPr>
          <w:rFonts w:cstheme="minorHAnsi"/>
          <w:szCs w:val="24"/>
          <w:lang w:val="fr-CA"/>
        </w:rPr>
        <w:t>le test antérieur à</w:t>
      </w:r>
      <w:r w:rsidRPr="0053667A">
        <w:rPr>
          <w:rFonts w:cstheme="minorHAnsi"/>
          <w:szCs w:val="24"/>
          <w:lang w:val="fr-CA"/>
        </w:rPr>
        <w:t xml:space="preserve"> </w:t>
      </w:r>
      <w:r w:rsidRPr="001E7CB3">
        <w:rPr>
          <w:rFonts w:cstheme="minorHAnsi"/>
          <w:szCs w:val="24"/>
          <w:lang w:val="fr-CA"/>
        </w:rPr>
        <w:t>l</w:t>
      </w:r>
      <w:r>
        <w:rPr>
          <w:rFonts w:cstheme="minorHAnsi"/>
          <w:szCs w:val="24"/>
          <w:lang w:val="fr-CA"/>
        </w:rPr>
        <w:t>’</w:t>
      </w:r>
      <w:r w:rsidRPr="001E7CB3">
        <w:rPr>
          <w:rFonts w:cstheme="minorHAnsi"/>
          <w:szCs w:val="24"/>
          <w:lang w:val="fr-CA"/>
        </w:rPr>
        <w:t xml:space="preserve">arrêt </w:t>
      </w:r>
      <w:r w:rsidRPr="001E7CB3">
        <w:rPr>
          <w:rFonts w:cstheme="minorHAnsi"/>
          <w:i/>
          <w:szCs w:val="24"/>
          <w:lang w:val="fr-CA"/>
        </w:rPr>
        <w:t xml:space="preserve">Elder </w:t>
      </w:r>
      <w:proofErr w:type="spellStart"/>
      <w:r w:rsidRPr="001E7CB3">
        <w:rPr>
          <w:rFonts w:cstheme="minorHAnsi"/>
          <w:i/>
          <w:szCs w:val="24"/>
          <w:lang w:val="fr-CA"/>
        </w:rPr>
        <w:t>Advocates</w:t>
      </w:r>
      <w:proofErr w:type="spellEnd"/>
      <w:r>
        <w:rPr>
          <w:rFonts w:cstheme="minorHAnsi"/>
          <w:szCs w:val="24"/>
          <w:lang w:val="fr-CA"/>
        </w:rPr>
        <w:t>, puisqu’elles ont</w:t>
      </w:r>
      <w:r w:rsidRPr="001E7CB3">
        <w:rPr>
          <w:rFonts w:cstheme="minorHAnsi"/>
          <w:szCs w:val="24"/>
          <w:lang w:val="fr-CA"/>
        </w:rPr>
        <w:t xml:space="preserve"> </w:t>
      </w:r>
      <w:r>
        <w:rPr>
          <w:rFonts w:cstheme="minorHAnsi"/>
          <w:szCs w:val="24"/>
          <w:lang w:val="fr-CA"/>
        </w:rPr>
        <w:t>statué</w:t>
      </w:r>
      <w:r w:rsidRPr="001E7CB3">
        <w:rPr>
          <w:rFonts w:cstheme="minorHAnsi"/>
          <w:szCs w:val="24"/>
          <w:lang w:val="fr-CA"/>
        </w:rPr>
        <w:t xml:space="preserve"> avant que </w:t>
      </w:r>
      <w:proofErr w:type="spellStart"/>
      <w:r>
        <w:rPr>
          <w:rFonts w:cstheme="minorHAnsi"/>
          <w:szCs w:val="24"/>
          <w:lang w:val="fr-CA"/>
        </w:rPr>
        <w:t>celui</w:t>
      </w:r>
      <w:r>
        <w:rPr>
          <w:rFonts w:cstheme="minorHAnsi"/>
          <w:szCs w:val="24"/>
          <w:lang w:val="fr-CA"/>
        </w:rPr>
        <w:noBreakHyphen/>
        <w:t>ci</w:t>
      </w:r>
      <w:proofErr w:type="spellEnd"/>
      <w:r>
        <w:rPr>
          <w:rFonts w:cstheme="minorHAnsi"/>
          <w:szCs w:val="24"/>
          <w:lang w:val="fr-CA"/>
        </w:rPr>
        <w:t xml:space="preserve"> </w:t>
      </w:r>
      <w:r w:rsidRPr="001E7CB3">
        <w:rPr>
          <w:rFonts w:cstheme="minorHAnsi"/>
          <w:szCs w:val="24"/>
          <w:lang w:val="fr-CA"/>
        </w:rPr>
        <w:t xml:space="preserve">soit rendu. </w:t>
      </w:r>
    </w:p>
    <w:p w:rsidR="000F48EC" w:rsidRPr="001E7CB3" w:rsidRDefault="000F48EC" w:rsidP="00D57988">
      <w:pPr>
        <w:pStyle w:val="TitleTitre-AltT"/>
        <w:keepNext/>
        <w:tabs>
          <w:tab w:val="clear" w:pos="360"/>
          <w:tab w:val="left" w:pos="540"/>
        </w:tabs>
        <w:ind w:left="1170" w:hanging="1170"/>
        <w:rPr>
          <w:i/>
          <w:lang w:val="fr-CA"/>
        </w:rPr>
      </w:pPr>
      <w:bookmarkStart w:id="2" w:name="_Toc315784297"/>
      <w:r>
        <w:rPr>
          <w:i/>
          <w:lang w:val="fr-CA"/>
        </w:rPr>
        <w:tab/>
      </w:r>
      <w:r>
        <w:rPr>
          <w:lang w:val="fr-CA"/>
        </w:rPr>
        <w:t>(2)</w:t>
      </w:r>
      <w:r w:rsidRPr="00F74918">
        <w:rPr>
          <w:lang w:val="fr-CA"/>
        </w:rPr>
        <w:tab/>
      </w:r>
      <w:r>
        <w:rPr>
          <w:u w:val="single"/>
          <w:lang w:val="fr-CA"/>
        </w:rPr>
        <w:t xml:space="preserve">Engagement à </w:t>
      </w:r>
      <w:r w:rsidRPr="0053667A">
        <w:rPr>
          <w:u w:val="single"/>
          <w:lang w:val="fr-CA"/>
        </w:rPr>
        <w:t>agir dans l’intérêt du présumé bénéficiaire</w:t>
      </w:r>
      <w:r w:rsidRPr="001E7CB3">
        <w:rPr>
          <w:i/>
          <w:lang w:val="fr-CA"/>
        </w:rPr>
        <w:t xml:space="preserve"> </w:t>
      </w:r>
      <w:bookmarkEnd w:id="2"/>
    </w:p>
    <w:p w:rsidR="000F48EC" w:rsidRPr="001E7CB3" w:rsidRDefault="000F48EC" w:rsidP="000F48EC">
      <w:pPr>
        <w:pStyle w:val="ParaNoNdepar-AltN"/>
        <w:rPr>
          <w:szCs w:val="24"/>
          <w:lang w:val="fr-CA"/>
        </w:rPr>
      </w:pPr>
      <w:r w:rsidRPr="001E7CB3">
        <w:rPr>
          <w:lang w:val="fr-CA"/>
        </w:rPr>
        <w:t xml:space="preserve">Il est </w:t>
      </w:r>
      <w:r>
        <w:rPr>
          <w:lang w:val="fr-CA"/>
        </w:rPr>
        <w:t>maintenant bien</w:t>
      </w:r>
      <w:r w:rsidRPr="001E7CB3">
        <w:rPr>
          <w:lang w:val="fr-CA"/>
        </w:rPr>
        <w:t xml:space="preserve"> établi que</w:t>
      </w:r>
      <w:r>
        <w:rPr>
          <w:lang w:val="fr-CA"/>
        </w:rPr>
        <w:t xml:space="preserve"> </w:t>
      </w:r>
      <w:r w:rsidRPr="001E7CB3">
        <w:rPr>
          <w:lang w:val="fr-CA"/>
        </w:rPr>
        <w:t>l</w:t>
      </w:r>
      <w:r>
        <w:rPr>
          <w:lang w:val="fr-CA"/>
        </w:rPr>
        <w:t>’</w:t>
      </w:r>
      <w:r w:rsidRPr="001E7CB3">
        <w:rPr>
          <w:lang w:val="fr-CA"/>
        </w:rPr>
        <w:t>engagement exprès ou i</w:t>
      </w:r>
      <w:r>
        <w:rPr>
          <w:lang w:val="fr-CA"/>
        </w:rPr>
        <w:t xml:space="preserve">mplicite du fiduciaire à </w:t>
      </w:r>
      <w:r w:rsidRPr="001E7CB3">
        <w:rPr>
          <w:lang w:val="fr-CA"/>
        </w:rPr>
        <w:t>agir dans le respect d</w:t>
      </w:r>
      <w:r>
        <w:rPr>
          <w:lang w:val="fr-CA"/>
        </w:rPr>
        <w:t>’</w:t>
      </w:r>
      <w:r w:rsidRPr="001E7CB3">
        <w:rPr>
          <w:lang w:val="fr-CA"/>
        </w:rPr>
        <w:t>un devoir de loyauté</w:t>
      </w:r>
      <w:r>
        <w:rPr>
          <w:lang w:val="fr-CA"/>
        </w:rPr>
        <w:t xml:space="preserve"> constitue un élément essentiel</w:t>
      </w:r>
      <w:r w:rsidRPr="001E7CB3">
        <w:rPr>
          <w:lang w:val="fr-CA"/>
        </w:rPr>
        <w:t xml:space="preserve"> d</w:t>
      </w:r>
      <w:r>
        <w:rPr>
          <w:lang w:val="fr-CA"/>
        </w:rPr>
        <w:t>’</w:t>
      </w:r>
      <w:r w:rsidRPr="001E7CB3">
        <w:rPr>
          <w:lang w:val="fr-CA"/>
        </w:rPr>
        <w:t>une relation fiducia</w:t>
      </w:r>
      <w:r>
        <w:rPr>
          <w:lang w:val="fr-CA"/>
        </w:rPr>
        <w:t>ir</w:t>
      </w:r>
      <w:r w:rsidRPr="001E7CB3">
        <w:rPr>
          <w:lang w:val="fr-CA"/>
        </w:rPr>
        <w:t xml:space="preserve">e </w:t>
      </w:r>
      <w:r w:rsidRPr="001E7CB3">
        <w:rPr>
          <w:i/>
          <w:lang w:val="fr-CA"/>
        </w:rPr>
        <w:t>ad hoc</w:t>
      </w:r>
      <w:r w:rsidRPr="001E7CB3">
        <w:rPr>
          <w:lang w:val="fr-CA"/>
        </w:rPr>
        <w:t xml:space="preserve">.  </w:t>
      </w:r>
      <w:r w:rsidRPr="001E7CB3">
        <w:rPr>
          <w:szCs w:val="24"/>
          <w:lang w:val="fr-CA"/>
        </w:rPr>
        <w:t xml:space="preserve">Il est indispensable que le bénéficiaire présumé puisse </w:t>
      </w:r>
      <w:r>
        <w:rPr>
          <w:szCs w:val="24"/>
          <w:lang w:val="fr-CA"/>
        </w:rPr>
        <w:t xml:space="preserve">démontrer </w:t>
      </w:r>
      <w:r w:rsidRPr="003E2BCD">
        <w:rPr>
          <w:lang w:val="fr-FR"/>
        </w:rPr>
        <w:t>que, relativement à l’intérêt particulier en jeu, le fiducia</w:t>
      </w:r>
      <w:r>
        <w:rPr>
          <w:lang w:val="fr-FR"/>
        </w:rPr>
        <w:t>ire</w:t>
      </w:r>
      <w:r w:rsidRPr="003E2BCD">
        <w:rPr>
          <w:lang w:val="fr-FR"/>
        </w:rPr>
        <w:t xml:space="preserve"> a renoncé aux intérêts de toute autre partie en faveur de ceux du bénéficiaire</w:t>
      </w:r>
      <w:r w:rsidRPr="001E7CB3">
        <w:rPr>
          <w:szCs w:val="24"/>
          <w:lang w:val="fr-CA"/>
        </w:rPr>
        <w:t>.</w:t>
      </w:r>
    </w:p>
    <w:p w:rsidR="000F48EC" w:rsidRPr="001E7CB3" w:rsidRDefault="000F48EC" w:rsidP="000F48EC">
      <w:pPr>
        <w:pStyle w:val="ParaNoNdepar-AltN"/>
        <w:rPr>
          <w:szCs w:val="24"/>
          <w:lang w:val="fr-CA"/>
        </w:rPr>
      </w:pPr>
      <w:r w:rsidRPr="001E7CB3">
        <w:rPr>
          <w:szCs w:val="24"/>
          <w:lang w:val="fr-CA"/>
        </w:rPr>
        <w:t xml:space="preserve">Je ne vois rien dans les lois sur les pensions, la </w:t>
      </w:r>
      <w:r w:rsidRPr="00CD110C">
        <w:rPr>
          <w:i/>
          <w:szCs w:val="24"/>
          <w:lang w:val="fr-CA"/>
        </w:rPr>
        <w:t>LGFP</w:t>
      </w:r>
      <w:r w:rsidRPr="001E7CB3">
        <w:rPr>
          <w:szCs w:val="24"/>
          <w:lang w:val="fr-CA"/>
        </w:rPr>
        <w:t xml:space="preserve"> ou la </w:t>
      </w:r>
      <w:r w:rsidRPr="00CD110C">
        <w:rPr>
          <w:i/>
          <w:szCs w:val="24"/>
          <w:lang w:val="fr-CA"/>
        </w:rPr>
        <w:t>LRRPP</w:t>
      </w:r>
      <w:r w:rsidRPr="001E7CB3">
        <w:rPr>
          <w:szCs w:val="24"/>
          <w:lang w:val="fr-CA"/>
        </w:rPr>
        <w:t xml:space="preserve"> qui puisse étayer l</w:t>
      </w:r>
      <w:r>
        <w:rPr>
          <w:szCs w:val="24"/>
          <w:lang w:val="fr-CA"/>
        </w:rPr>
        <w:t>’</w:t>
      </w:r>
      <w:r w:rsidRPr="001E7CB3">
        <w:rPr>
          <w:szCs w:val="24"/>
          <w:lang w:val="fr-CA"/>
        </w:rPr>
        <w:t>affirmation que le gouvernement s</w:t>
      </w:r>
      <w:r>
        <w:rPr>
          <w:szCs w:val="24"/>
          <w:lang w:val="fr-CA"/>
        </w:rPr>
        <w:t>’</w:t>
      </w:r>
      <w:r w:rsidRPr="001E7CB3">
        <w:rPr>
          <w:szCs w:val="24"/>
          <w:lang w:val="fr-CA"/>
        </w:rPr>
        <w:t>est engagé à renoncer aux intérêts de toute autre partie (contribuables inclus) en faveur des membres des régimes</w:t>
      </w:r>
      <w:r>
        <w:rPr>
          <w:szCs w:val="24"/>
          <w:lang w:val="fr-CA"/>
        </w:rPr>
        <w:t xml:space="preserve"> relativement aux surplus actuariels </w:t>
      </w:r>
      <w:r>
        <w:rPr>
          <w:rFonts w:cs="Times New Roman"/>
          <w:szCs w:val="24"/>
          <w:lang w:val="fr-CA"/>
        </w:rPr>
        <w:t>—</w:t>
      </w:r>
      <w:r>
        <w:rPr>
          <w:szCs w:val="24"/>
          <w:lang w:val="fr-CA"/>
        </w:rPr>
        <w:t xml:space="preserve"> l’intérêt particulier en cause ici</w:t>
      </w:r>
      <w:r w:rsidRPr="001E7CB3">
        <w:rPr>
          <w:szCs w:val="24"/>
          <w:lang w:val="fr-CA"/>
        </w:rPr>
        <w:t>.</w:t>
      </w:r>
    </w:p>
    <w:p w:rsidR="000F48EC" w:rsidRPr="001E7CB3" w:rsidRDefault="000F48EC" w:rsidP="000F48EC">
      <w:pPr>
        <w:pStyle w:val="ParaNoNdepar-AltN"/>
        <w:rPr>
          <w:szCs w:val="24"/>
          <w:lang w:val="fr-CA"/>
        </w:rPr>
      </w:pPr>
      <w:r>
        <w:rPr>
          <w:szCs w:val="24"/>
          <w:lang w:val="fr-CA"/>
        </w:rPr>
        <w:lastRenderedPageBreak/>
        <w:t>Par contre, l</w:t>
      </w:r>
      <w:r w:rsidRPr="001E7CB3">
        <w:rPr>
          <w:szCs w:val="24"/>
          <w:lang w:val="fr-CA"/>
        </w:rPr>
        <w:t>e projet de loi C</w:t>
      </w:r>
      <w:r>
        <w:rPr>
          <w:szCs w:val="24"/>
          <w:lang w:val="fr-CA"/>
        </w:rPr>
        <w:noBreakHyphen/>
      </w:r>
      <w:r w:rsidRPr="001E7CB3">
        <w:rPr>
          <w:szCs w:val="24"/>
          <w:lang w:val="fr-CA"/>
        </w:rPr>
        <w:t>78 renferme un engagement</w:t>
      </w:r>
      <w:r>
        <w:rPr>
          <w:szCs w:val="24"/>
          <w:lang w:val="fr-CA"/>
        </w:rPr>
        <w:t xml:space="preserve"> légal</w:t>
      </w:r>
      <w:r w:rsidRPr="001E7CB3">
        <w:rPr>
          <w:szCs w:val="24"/>
          <w:lang w:val="fr-CA"/>
        </w:rPr>
        <w:t xml:space="preserve"> de l</w:t>
      </w:r>
      <w:r>
        <w:rPr>
          <w:szCs w:val="24"/>
          <w:lang w:val="fr-CA"/>
        </w:rPr>
        <w:t xml:space="preserve">’Office d’investissement </w:t>
      </w:r>
      <w:r w:rsidR="00CD110C">
        <w:rPr>
          <w:szCs w:val="24"/>
          <w:lang w:val="fr-CA"/>
        </w:rPr>
        <w:t>(</w:t>
      </w:r>
      <w:r w:rsidRPr="001E7CB3">
        <w:rPr>
          <w:szCs w:val="24"/>
          <w:lang w:val="fr-CA"/>
        </w:rPr>
        <w:t>l</w:t>
      </w:r>
      <w:r>
        <w:rPr>
          <w:szCs w:val="24"/>
          <w:lang w:val="fr-CA"/>
        </w:rPr>
        <w:t>’</w:t>
      </w:r>
      <w:r w:rsidRPr="001E7CB3">
        <w:rPr>
          <w:szCs w:val="24"/>
          <w:lang w:val="fr-CA"/>
        </w:rPr>
        <w:t>administrateur des nouvelles caisses de retraite</w:t>
      </w:r>
      <w:r w:rsidR="00CD110C">
        <w:rPr>
          <w:szCs w:val="24"/>
          <w:lang w:val="fr-CA"/>
        </w:rPr>
        <w:t>)</w:t>
      </w:r>
      <w:r w:rsidRPr="001E7CB3">
        <w:rPr>
          <w:szCs w:val="24"/>
          <w:lang w:val="fr-CA"/>
        </w:rPr>
        <w:t xml:space="preserve"> </w:t>
      </w:r>
      <w:r>
        <w:rPr>
          <w:szCs w:val="24"/>
          <w:lang w:val="fr-CA"/>
        </w:rPr>
        <w:t xml:space="preserve">à </w:t>
      </w:r>
      <w:r w:rsidRPr="001E7CB3">
        <w:rPr>
          <w:szCs w:val="24"/>
          <w:lang w:val="fr-CA"/>
        </w:rPr>
        <w:t>agir dans l</w:t>
      </w:r>
      <w:r>
        <w:rPr>
          <w:szCs w:val="24"/>
          <w:lang w:val="fr-CA"/>
        </w:rPr>
        <w:t>’</w:t>
      </w:r>
      <w:r w:rsidRPr="001E7CB3">
        <w:rPr>
          <w:szCs w:val="24"/>
          <w:lang w:val="fr-CA"/>
        </w:rPr>
        <w:t xml:space="preserve">intérêt des </w:t>
      </w:r>
      <w:r>
        <w:rPr>
          <w:szCs w:val="24"/>
          <w:lang w:val="fr-CA"/>
        </w:rPr>
        <w:t>contributeurs</w:t>
      </w:r>
      <w:r w:rsidRPr="001E7CB3">
        <w:rPr>
          <w:szCs w:val="24"/>
          <w:lang w:val="fr-CA"/>
        </w:rPr>
        <w:t>, mais uniquement à l</w:t>
      </w:r>
      <w:r>
        <w:rPr>
          <w:szCs w:val="24"/>
          <w:lang w:val="fr-CA"/>
        </w:rPr>
        <w:t>’</w:t>
      </w:r>
      <w:r w:rsidRPr="001E7CB3">
        <w:rPr>
          <w:szCs w:val="24"/>
          <w:lang w:val="fr-CA"/>
        </w:rPr>
        <w:t>égard des contributions postérieures au 1</w:t>
      </w:r>
      <w:r w:rsidRPr="001E7CB3">
        <w:rPr>
          <w:szCs w:val="24"/>
          <w:vertAlign w:val="superscript"/>
          <w:lang w:val="fr-CA"/>
        </w:rPr>
        <w:t>er</w:t>
      </w:r>
      <w:r>
        <w:rPr>
          <w:szCs w:val="24"/>
          <w:lang w:val="fr-CA"/>
        </w:rPr>
        <w:t xml:space="preserve"> avril </w:t>
      </w:r>
      <w:r w:rsidRPr="001E7CB3">
        <w:rPr>
          <w:szCs w:val="24"/>
          <w:lang w:val="fr-CA"/>
        </w:rPr>
        <w:t>2000.  L</w:t>
      </w:r>
      <w:r>
        <w:rPr>
          <w:szCs w:val="24"/>
          <w:lang w:val="fr-CA"/>
        </w:rPr>
        <w:t>’alinéa</w:t>
      </w:r>
      <w:r w:rsidRPr="001E7CB3">
        <w:rPr>
          <w:szCs w:val="24"/>
          <w:lang w:val="fr-CA"/>
        </w:rPr>
        <w:t> 4(1)</w:t>
      </w:r>
      <w:r>
        <w:rPr>
          <w:i/>
          <w:szCs w:val="24"/>
          <w:lang w:val="fr-CA"/>
        </w:rPr>
        <w:t>a</w:t>
      </w:r>
      <w:r>
        <w:rPr>
          <w:szCs w:val="24"/>
          <w:lang w:val="fr-CA"/>
        </w:rPr>
        <w:t>)</w:t>
      </w:r>
      <w:r w:rsidRPr="001E7CB3">
        <w:rPr>
          <w:szCs w:val="24"/>
          <w:lang w:val="fr-CA"/>
        </w:rPr>
        <w:t xml:space="preserve"> du projet de loi C</w:t>
      </w:r>
      <w:r>
        <w:rPr>
          <w:szCs w:val="24"/>
          <w:lang w:val="fr-CA"/>
        </w:rPr>
        <w:noBreakHyphen/>
      </w:r>
      <w:r w:rsidRPr="001E7CB3">
        <w:rPr>
          <w:szCs w:val="24"/>
          <w:lang w:val="fr-CA"/>
        </w:rPr>
        <w:t>78 énonce que l</w:t>
      </w:r>
      <w:r>
        <w:rPr>
          <w:szCs w:val="24"/>
          <w:lang w:val="fr-CA"/>
        </w:rPr>
        <w:t>’</w:t>
      </w:r>
      <w:r w:rsidRPr="001E7CB3">
        <w:rPr>
          <w:szCs w:val="24"/>
          <w:lang w:val="fr-CA"/>
        </w:rPr>
        <w:t>Office a pour mission « de gérer, dans l</w:t>
      </w:r>
      <w:r>
        <w:rPr>
          <w:szCs w:val="24"/>
          <w:lang w:val="fr-CA"/>
        </w:rPr>
        <w:t>’</w:t>
      </w:r>
      <w:r w:rsidRPr="001E7CB3">
        <w:rPr>
          <w:szCs w:val="24"/>
          <w:lang w:val="fr-CA"/>
        </w:rPr>
        <w:t>intérêt des contributeurs et des bénéficiaires des régimes en cause, les sommes transférées ».  Les lois sur les pensions ne comportent aucun énoncé analogue à l</w:t>
      </w:r>
      <w:r>
        <w:rPr>
          <w:szCs w:val="24"/>
          <w:lang w:val="fr-CA"/>
        </w:rPr>
        <w:t>’</w:t>
      </w:r>
      <w:r w:rsidRPr="001E7CB3">
        <w:rPr>
          <w:szCs w:val="24"/>
          <w:lang w:val="fr-CA"/>
        </w:rPr>
        <w:t>égard des comptes de pension de retraite.</w:t>
      </w:r>
    </w:p>
    <w:p w:rsidR="000F48EC" w:rsidRDefault="000F48EC" w:rsidP="000F48EC">
      <w:pPr>
        <w:pStyle w:val="ParaNoNdepar-AltN"/>
        <w:rPr>
          <w:szCs w:val="24"/>
          <w:lang w:val="fr-CA"/>
        </w:rPr>
      </w:pPr>
      <w:r w:rsidRPr="001E7CB3">
        <w:rPr>
          <w:szCs w:val="24"/>
          <w:lang w:val="fr-CA"/>
        </w:rPr>
        <w:t xml:space="preserve">Le commentaire formulé par la Juge en chef dans </w:t>
      </w:r>
      <w:r w:rsidRPr="001E7CB3">
        <w:rPr>
          <w:i/>
          <w:szCs w:val="24"/>
          <w:lang w:val="fr-CA"/>
        </w:rPr>
        <w:t xml:space="preserve">Elder </w:t>
      </w:r>
      <w:proofErr w:type="spellStart"/>
      <w:r w:rsidRPr="001E7CB3">
        <w:rPr>
          <w:i/>
          <w:szCs w:val="24"/>
          <w:lang w:val="fr-CA"/>
        </w:rPr>
        <w:t>Advocates</w:t>
      </w:r>
      <w:proofErr w:type="spellEnd"/>
      <w:r w:rsidRPr="001E7CB3">
        <w:rPr>
          <w:szCs w:val="24"/>
          <w:lang w:val="fr-CA"/>
        </w:rPr>
        <w:t>, selon lequel la condition de l</w:t>
      </w:r>
      <w:r>
        <w:rPr>
          <w:szCs w:val="24"/>
          <w:lang w:val="fr-CA"/>
        </w:rPr>
        <w:t>’</w:t>
      </w:r>
      <w:r w:rsidRPr="001E7CB3">
        <w:rPr>
          <w:szCs w:val="24"/>
          <w:lang w:val="fr-CA"/>
        </w:rPr>
        <w:t xml:space="preserve">engagement </w:t>
      </w:r>
      <w:r>
        <w:rPr>
          <w:szCs w:val="24"/>
          <w:lang w:val="fr-CA"/>
        </w:rPr>
        <w:t xml:space="preserve">à </w:t>
      </w:r>
      <w:r w:rsidRPr="001E7CB3">
        <w:rPr>
          <w:szCs w:val="24"/>
          <w:lang w:val="fr-CA"/>
        </w:rPr>
        <w:t>agir dans l</w:t>
      </w:r>
      <w:r>
        <w:rPr>
          <w:szCs w:val="24"/>
          <w:lang w:val="fr-CA"/>
        </w:rPr>
        <w:t>’</w:t>
      </w:r>
      <w:r w:rsidRPr="001E7CB3">
        <w:rPr>
          <w:szCs w:val="24"/>
          <w:lang w:val="fr-CA"/>
        </w:rPr>
        <w:t>intérêt du bénéficiaire fait généralement défaut lorsque l</w:t>
      </w:r>
      <w:r>
        <w:rPr>
          <w:szCs w:val="24"/>
          <w:lang w:val="fr-CA"/>
        </w:rPr>
        <w:t>’</w:t>
      </w:r>
      <w:r w:rsidRPr="001E7CB3">
        <w:rPr>
          <w:szCs w:val="24"/>
          <w:lang w:val="fr-CA"/>
        </w:rPr>
        <w:t>exercice du pouvoir discrétionnaire du gouvernement est en cause</w:t>
      </w:r>
      <w:r w:rsidR="00E416ED">
        <w:rPr>
          <w:szCs w:val="24"/>
          <w:lang w:val="fr-CA"/>
        </w:rPr>
        <w:t>,</w:t>
      </w:r>
      <w:r w:rsidRPr="001E7CB3">
        <w:rPr>
          <w:szCs w:val="24"/>
          <w:lang w:val="fr-CA"/>
        </w:rPr>
        <w:t xml:space="preserve"> me confirme dans l</w:t>
      </w:r>
      <w:r>
        <w:rPr>
          <w:szCs w:val="24"/>
          <w:lang w:val="fr-CA"/>
        </w:rPr>
        <w:t>’</w:t>
      </w:r>
      <w:r w:rsidRPr="001E7CB3">
        <w:rPr>
          <w:szCs w:val="24"/>
          <w:lang w:val="fr-CA"/>
        </w:rPr>
        <w:t>opinion qu</w:t>
      </w:r>
      <w:r>
        <w:rPr>
          <w:szCs w:val="24"/>
          <w:lang w:val="fr-CA"/>
        </w:rPr>
        <w:t>’</w:t>
      </w:r>
      <w:r w:rsidRPr="001E7CB3">
        <w:rPr>
          <w:szCs w:val="24"/>
          <w:lang w:val="fr-CA"/>
        </w:rPr>
        <w:t>il n</w:t>
      </w:r>
      <w:r>
        <w:rPr>
          <w:szCs w:val="24"/>
          <w:lang w:val="fr-CA"/>
        </w:rPr>
        <w:t>’</w:t>
      </w:r>
      <w:r w:rsidRPr="001E7CB3">
        <w:rPr>
          <w:szCs w:val="24"/>
          <w:lang w:val="fr-CA"/>
        </w:rPr>
        <w:t>y a pas d</w:t>
      </w:r>
      <w:r>
        <w:rPr>
          <w:szCs w:val="24"/>
          <w:lang w:val="fr-CA"/>
        </w:rPr>
        <w:t>’</w:t>
      </w:r>
      <w:r w:rsidRPr="001E7CB3">
        <w:rPr>
          <w:szCs w:val="24"/>
          <w:lang w:val="fr-CA"/>
        </w:rPr>
        <w:t>engagement en l</w:t>
      </w:r>
      <w:r>
        <w:rPr>
          <w:szCs w:val="24"/>
          <w:lang w:val="fr-CA"/>
        </w:rPr>
        <w:t>’</w:t>
      </w:r>
      <w:r w:rsidRPr="001E7CB3">
        <w:rPr>
          <w:szCs w:val="24"/>
          <w:lang w:val="fr-CA"/>
        </w:rPr>
        <w:t xml:space="preserve">espèce.  Comme </w:t>
      </w:r>
      <w:r>
        <w:rPr>
          <w:szCs w:val="24"/>
          <w:lang w:val="fr-CA"/>
        </w:rPr>
        <w:t>la</w:t>
      </w:r>
      <w:r w:rsidRPr="001E7CB3">
        <w:rPr>
          <w:szCs w:val="24"/>
          <w:lang w:val="fr-CA"/>
        </w:rPr>
        <w:t xml:space="preserve"> Juge en chef l</w:t>
      </w:r>
      <w:r>
        <w:rPr>
          <w:szCs w:val="24"/>
          <w:lang w:val="fr-CA"/>
        </w:rPr>
        <w:t>’</w:t>
      </w:r>
      <w:r w:rsidRPr="001E7CB3">
        <w:rPr>
          <w:szCs w:val="24"/>
          <w:lang w:val="fr-CA"/>
        </w:rPr>
        <w:t xml:space="preserve">a indiqué, </w:t>
      </w:r>
      <w:r>
        <w:rPr>
          <w:szCs w:val="24"/>
          <w:lang w:val="fr-CA"/>
        </w:rPr>
        <w:t xml:space="preserve">au par. 44, </w:t>
      </w:r>
      <w:r w:rsidRPr="001E7CB3">
        <w:rPr>
          <w:szCs w:val="24"/>
          <w:lang w:val="fr-CA"/>
        </w:rPr>
        <w:t>l</w:t>
      </w:r>
      <w:r>
        <w:rPr>
          <w:szCs w:val="24"/>
          <w:lang w:val="fr-CA"/>
        </w:rPr>
        <w:t>’</w:t>
      </w:r>
      <w:r w:rsidRPr="001E7CB3">
        <w:rPr>
          <w:szCs w:val="24"/>
          <w:lang w:val="fr-CA"/>
        </w:rPr>
        <w:t xml:space="preserve">engagement du gouvernement </w:t>
      </w:r>
      <w:r>
        <w:rPr>
          <w:szCs w:val="24"/>
          <w:lang w:val="fr-CA"/>
        </w:rPr>
        <w:t>à faire preuve de</w:t>
      </w:r>
      <w:r w:rsidRPr="001E7CB3">
        <w:rPr>
          <w:szCs w:val="24"/>
          <w:lang w:val="fr-CA"/>
        </w:rPr>
        <w:t xml:space="preserve"> loyauté envers le bénéficiaire</w:t>
      </w:r>
      <w:r>
        <w:rPr>
          <w:szCs w:val="24"/>
          <w:lang w:val="fr-CA"/>
        </w:rPr>
        <w:t xml:space="preserve"> </w:t>
      </w:r>
    </w:p>
    <w:p w:rsidR="000F48EC" w:rsidRDefault="000F48EC" w:rsidP="007B5AA7">
      <w:pPr>
        <w:pStyle w:val="Citation-AltC"/>
        <w:ind w:hanging="1166"/>
        <w:contextualSpacing w:val="0"/>
        <w:rPr>
          <w:szCs w:val="24"/>
          <w:lang w:val="fr-CA"/>
        </w:rPr>
      </w:pPr>
      <w:r>
        <w:rPr>
          <w:szCs w:val="24"/>
          <w:lang w:val="fr-CA"/>
        </w:rPr>
        <w:tab/>
      </w:r>
      <w:proofErr w:type="gramStart"/>
      <w:r w:rsidRPr="001E7CB3">
        <w:rPr>
          <w:szCs w:val="24"/>
          <w:lang w:val="fr-CA"/>
        </w:rPr>
        <w:t>va</w:t>
      </w:r>
      <w:proofErr w:type="gramEnd"/>
      <w:r w:rsidRPr="001E7CB3">
        <w:rPr>
          <w:szCs w:val="24"/>
          <w:lang w:val="fr-CA"/>
        </w:rPr>
        <w:t xml:space="preserve"> naturellement à l</w:t>
      </w:r>
      <w:r>
        <w:rPr>
          <w:szCs w:val="24"/>
          <w:lang w:val="fr-CA"/>
        </w:rPr>
        <w:t>’</w:t>
      </w:r>
      <w:r w:rsidRPr="001E7CB3">
        <w:rPr>
          <w:szCs w:val="24"/>
          <w:lang w:val="fr-CA"/>
        </w:rPr>
        <w:t>encontre de son obligation d</w:t>
      </w:r>
      <w:r>
        <w:rPr>
          <w:szCs w:val="24"/>
          <w:lang w:val="fr-CA"/>
        </w:rPr>
        <w:t>’</w:t>
      </w:r>
      <w:r w:rsidRPr="001E7CB3">
        <w:rPr>
          <w:szCs w:val="24"/>
          <w:lang w:val="fr-CA"/>
        </w:rPr>
        <w:t>agir au mieux des intérêts de la société dans son ensemble et de répartir les ressources limitées entre les groupes opposés dont les demandes d</w:t>
      </w:r>
      <w:r>
        <w:rPr>
          <w:szCs w:val="24"/>
          <w:lang w:val="fr-CA"/>
        </w:rPr>
        <w:t>’</w:t>
      </w:r>
      <w:r w:rsidRPr="001E7CB3">
        <w:rPr>
          <w:szCs w:val="24"/>
          <w:lang w:val="fr-CA"/>
        </w:rPr>
        <w:t>aide sont tout aussi valables</w:t>
      </w:r>
      <w:r>
        <w:rPr>
          <w:szCs w:val="24"/>
          <w:lang w:val="fr-CA"/>
        </w:rPr>
        <w:t> :</w:t>
      </w:r>
      <w:r w:rsidRPr="008C7352">
        <w:rPr>
          <w:szCs w:val="24"/>
          <w:lang w:val="fr-CA"/>
        </w:rPr>
        <w:t xml:space="preserve"> </w:t>
      </w:r>
      <w:proofErr w:type="spellStart"/>
      <w:r w:rsidRPr="008C7352">
        <w:rPr>
          <w:i/>
          <w:szCs w:val="24"/>
          <w:lang w:val="fr-CA"/>
        </w:rPr>
        <w:t>Sagharian</w:t>
      </w:r>
      <w:proofErr w:type="spellEnd"/>
      <w:r w:rsidRPr="008C7352">
        <w:rPr>
          <w:i/>
          <w:szCs w:val="24"/>
          <w:lang w:val="fr-CA"/>
        </w:rPr>
        <w:t xml:space="preserve"> (</w:t>
      </w:r>
      <w:proofErr w:type="spellStart"/>
      <w:r w:rsidRPr="008C7352">
        <w:rPr>
          <w:i/>
          <w:szCs w:val="24"/>
          <w:lang w:val="fr-CA"/>
        </w:rPr>
        <w:t>Litigation</w:t>
      </w:r>
      <w:proofErr w:type="spellEnd"/>
      <w:r w:rsidRPr="008C7352">
        <w:rPr>
          <w:i/>
          <w:szCs w:val="24"/>
          <w:lang w:val="fr-CA"/>
        </w:rPr>
        <w:t xml:space="preserve"> Guardian of) c. Ontario (</w:t>
      </w:r>
      <w:proofErr w:type="spellStart"/>
      <w:r w:rsidRPr="008C7352">
        <w:rPr>
          <w:i/>
          <w:szCs w:val="24"/>
          <w:lang w:val="fr-CA"/>
        </w:rPr>
        <w:t>Minister</w:t>
      </w:r>
      <w:proofErr w:type="spellEnd"/>
      <w:r w:rsidRPr="008C7352">
        <w:rPr>
          <w:i/>
          <w:szCs w:val="24"/>
          <w:lang w:val="fr-CA"/>
        </w:rPr>
        <w:t xml:space="preserve"> of </w:t>
      </w:r>
      <w:proofErr w:type="spellStart"/>
      <w:r w:rsidRPr="008C7352">
        <w:rPr>
          <w:i/>
          <w:szCs w:val="24"/>
          <w:lang w:val="fr-CA"/>
        </w:rPr>
        <w:t>Education</w:t>
      </w:r>
      <w:proofErr w:type="spellEnd"/>
      <w:r w:rsidRPr="008C7352">
        <w:rPr>
          <w:i/>
          <w:szCs w:val="24"/>
          <w:lang w:val="fr-CA"/>
        </w:rPr>
        <w:t>)</w:t>
      </w:r>
      <w:r w:rsidRPr="008C7352">
        <w:rPr>
          <w:szCs w:val="24"/>
          <w:lang w:val="fr-CA"/>
        </w:rPr>
        <w:t>, 2008 ONCA</w:t>
      </w:r>
      <w:r>
        <w:rPr>
          <w:szCs w:val="24"/>
          <w:lang w:val="fr-CA"/>
        </w:rPr>
        <w:t xml:space="preserve"> 411, 172 C.R.R. (2d) 105, par. </w:t>
      </w:r>
      <w:r w:rsidRPr="008C7352">
        <w:rPr>
          <w:szCs w:val="24"/>
          <w:lang w:val="fr-CA"/>
        </w:rPr>
        <w:t>47</w:t>
      </w:r>
      <w:r w:rsidR="007B5AA7">
        <w:rPr>
          <w:lang w:val="fr-CA"/>
        </w:rPr>
        <w:t>-</w:t>
      </w:r>
      <w:r w:rsidRPr="008C7352">
        <w:rPr>
          <w:szCs w:val="24"/>
          <w:lang w:val="fr-CA"/>
        </w:rPr>
        <w:t>49.  Cela ne se produira que dans de rares circonstances.  Vu la responsabilité générale de l’État d’agir dans l’intérêt public, son obligation de loyauté envers une personne ou un groupe en particulier ne sera démontrée que dans de rares cas</w:t>
      </w:r>
      <w:r>
        <w:rPr>
          <w:szCs w:val="24"/>
          <w:lang w:val="fr-CA"/>
        </w:rPr>
        <w:t> :</w:t>
      </w:r>
      <w:r w:rsidRPr="008C7352">
        <w:rPr>
          <w:szCs w:val="24"/>
          <w:lang w:val="fr-CA"/>
        </w:rPr>
        <w:t xml:space="preserve"> voir </w:t>
      </w:r>
      <w:r w:rsidRPr="008C7352">
        <w:rPr>
          <w:i/>
          <w:szCs w:val="24"/>
          <w:lang w:val="fr-CA"/>
        </w:rPr>
        <w:t>Harris c. Canada</w:t>
      </w:r>
      <w:r w:rsidRPr="008C7352">
        <w:rPr>
          <w:szCs w:val="24"/>
          <w:lang w:val="fr-CA"/>
        </w:rPr>
        <w:t>, 2001 CFP</w:t>
      </w:r>
      <w:r>
        <w:rPr>
          <w:szCs w:val="24"/>
          <w:lang w:val="fr-CA"/>
        </w:rPr>
        <w:t>I 1408, [2002] 2 C.F. 484, par. </w:t>
      </w:r>
      <w:r w:rsidRPr="008C7352">
        <w:rPr>
          <w:szCs w:val="24"/>
          <w:lang w:val="fr-CA"/>
        </w:rPr>
        <w:t>178</w:t>
      </w:r>
      <w:r>
        <w:rPr>
          <w:szCs w:val="24"/>
          <w:lang w:val="fr-CA"/>
        </w:rPr>
        <w:t>.</w:t>
      </w:r>
    </w:p>
    <w:p w:rsidR="000F48EC" w:rsidRPr="001E7CB3" w:rsidRDefault="000F48EC" w:rsidP="000F48EC">
      <w:pPr>
        <w:pStyle w:val="ContinueParaSuitedupar-AltP"/>
        <w:rPr>
          <w:lang w:val="fr-CA"/>
        </w:rPr>
      </w:pPr>
      <w:r w:rsidRPr="001E7CB3">
        <w:rPr>
          <w:lang w:val="fr-CA"/>
        </w:rPr>
        <w:t>Elle a ajouté</w:t>
      </w:r>
      <w:r>
        <w:rPr>
          <w:lang w:val="fr-CA"/>
        </w:rPr>
        <w:t> :</w:t>
      </w:r>
      <w:r w:rsidRPr="001E7CB3">
        <w:rPr>
          <w:lang w:val="fr-CA"/>
        </w:rPr>
        <w:t xml:space="preserve"> « </w:t>
      </w:r>
      <w:r w:rsidR="007B5AA7">
        <w:rPr>
          <w:lang w:val="fr-CA"/>
        </w:rPr>
        <w:t>S</w:t>
      </w:r>
      <w:r>
        <w:rPr>
          <w:lang w:val="fr-CA"/>
        </w:rPr>
        <w:t>’</w:t>
      </w:r>
      <w:r w:rsidRPr="001E7CB3">
        <w:rPr>
          <w:lang w:val="fr-CA"/>
        </w:rPr>
        <w:t>il est allégué que l</w:t>
      </w:r>
      <w:r>
        <w:rPr>
          <w:lang w:val="fr-CA"/>
        </w:rPr>
        <w:t>’</w:t>
      </w:r>
      <w:r w:rsidRPr="001E7CB3">
        <w:rPr>
          <w:lang w:val="fr-CA"/>
        </w:rPr>
        <w:t>engagement découle d</w:t>
      </w:r>
      <w:r>
        <w:rPr>
          <w:lang w:val="fr-CA"/>
        </w:rPr>
        <w:t>’</w:t>
      </w:r>
      <w:r w:rsidRPr="001E7CB3">
        <w:rPr>
          <w:lang w:val="fr-CA"/>
        </w:rPr>
        <w:t>une loi, le libellé de la loi doit manifestement l</w:t>
      </w:r>
      <w:r>
        <w:rPr>
          <w:lang w:val="fr-CA"/>
        </w:rPr>
        <w:t>’</w:t>
      </w:r>
      <w:r w:rsidRPr="001E7CB3">
        <w:rPr>
          <w:lang w:val="fr-CA"/>
        </w:rPr>
        <w:t xml:space="preserve">appuyer » </w:t>
      </w:r>
      <w:r>
        <w:rPr>
          <w:lang w:val="fr-CA"/>
        </w:rPr>
        <w:t>(par. 45).  Or, ce n’est pas le cas du libellé</w:t>
      </w:r>
      <w:r w:rsidRPr="001E7CB3">
        <w:rPr>
          <w:lang w:val="fr-CA"/>
        </w:rPr>
        <w:t xml:space="preserve"> des lois sur </w:t>
      </w:r>
      <w:r w:rsidRPr="001E7CB3">
        <w:rPr>
          <w:lang w:val="fr-CA"/>
        </w:rPr>
        <w:lastRenderedPageBreak/>
        <w:t xml:space="preserve">les pensions.  </w:t>
      </w:r>
      <w:r>
        <w:rPr>
          <w:lang w:val="fr-CA"/>
        </w:rPr>
        <w:t>J’en conclurais donc</w:t>
      </w:r>
      <w:r w:rsidRPr="001E7CB3">
        <w:rPr>
          <w:lang w:val="fr-CA"/>
        </w:rPr>
        <w:t xml:space="preserve"> à l</w:t>
      </w:r>
      <w:r>
        <w:rPr>
          <w:lang w:val="fr-CA"/>
        </w:rPr>
        <w:t>’</w:t>
      </w:r>
      <w:r w:rsidRPr="001E7CB3">
        <w:rPr>
          <w:lang w:val="fr-CA"/>
        </w:rPr>
        <w:t>absence d</w:t>
      </w:r>
      <w:r>
        <w:rPr>
          <w:lang w:val="fr-CA"/>
        </w:rPr>
        <w:t>’</w:t>
      </w:r>
      <w:r w:rsidRPr="001E7CB3">
        <w:rPr>
          <w:lang w:val="fr-CA"/>
        </w:rPr>
        <w:t xml:space="preserve">engagement </w:t>
      </w:r>
      <w:r>
        <w:rPr>
          <w:lang w:val="fr-CA"/>
        </w:rPr>
        <w:t>à agir dans le respect d’</w:t>
      </w:r>
      <w:r w:rsidRPr="001E7CB3">
        <w:rPr>
          <w:lang w:val="fr-CA"/>
        </w:rPr>
        <w:t>un devoir de loyauté</w:t>
      </w:r>
      <w:r>
        <w:rPr>
          <w:lang w:val="fr-CA"/>
        </w:rPr>
        <w:t xml:space="preserve"> relativement aux surplus actuariels visés en l’espèce</w:t>
      </w:r>
      <w:r w:rsidRPr="001E7CB3">
        <w:rPr>
          <w:lang w:val="fr-CA"/>
        </w:rPr>
        <w:t xml:space="preserve">.  </w:t>
      </w:r>
      <w:r>
        <w:rPr>
          <w:lang w:val="fr-CA"/>
        </w:rPr>
        <w:t>En conséquence, il n’</w:t>
      </w:r>
      <w:r w:rsidRPr="001E7CB3">
        <w:rPr>
          <w:lang w:val="fr-CA"/>
        </w:rPr>
        <w:t>existe pas de relation fiducia</w:t>
      </w:r>
      <w:r>
        <w:rPr>
          <w:lang w:val="fr-CA"/>
        </w:rPr>
        <w:t>ir</w:t>
      </w:r>
      <w:r w:rsidRPr="001E7CB3">
        <w:rPr>
          <w:lang w:val="fr-CA"/>
        </w:rPr>
        <w:t>e entre le gouvernement et les membres des régimes.  Par souci d</w:t>
      </w:r>
      <w:r>
        <w:rPr>
          <w:lang w:val="fr-CA"/>
        </w:rPr>
        <w:t>’</w:t>
      </w:r>
      <w:r w:rsidRPr="001E7CB3">
        <w:rPr>
          <w:lang w:val="fr-CA"/>
        </w:rPr>
        <w:t>exhaustivité, j</w:t>
      </w:r>
      <w:r>
        <w:rPr>
          <w:lang w:val="fr-CA"/>
        </w:rPr>
        <w:t>’</w:t>
      </w:r>
      <w:r w:rsidRPr="001E7CB3">
        <w:rPr>
          <w:lang w:val="fr-CA"/>
        </w:rPr>
        <w:t xml:space="preserve">examinerai les autres éléments du </w:t>
      </w:r>
      <w:r>
        <w:rPr>
          <w:lang w:val="fr-CA"/>
        </w:rPr>
        <w:t>test applicable</w:t>
      </w:r>
      <w:r w:rsidRPr="001E7CB3">
        <w:rPr>
          <w:lang w:val="fr-CA"/>
        </w:rPr>
        <w:t xml:space="preserve">. </w:t>
      </w:r>
    </w:p>
    <w:p w:rsidR="000F48EC" w:rsidRPr="001E7CB3" w:rsidRDefault="000F48EC" w:rsidP="007B5AA7">
      <w:pPr>
        <w:pStyle w:val="TitleTitre-AltT"/>
        <w:keepNext/>
        <w:tabs>
          <w:tab w:val="clear" w:pos="360"/>
          <w:tab w:val="left" w:pos="540"/>
        </w:tabs>
        <w:ind w:left="1170" w:hanging="1170"/>
        <w:rPr>
          <w:i/>
          <w:lang w:val="fr-CA"/>
        </w:rPr>
      </w:pPr>
      <w:bookmarkStart w:id="3" w:name="_Toc315784298"/>
      <w:r>
        <w:rPr>
          <w:i/>
          <w:lang w:val="fr-CA"/>
        </w:rPr>
        <w:tab/>
      </w:r>
      <w:r>
        <w:rPr>
          <w:lang w:val="fr-CA"/>
        </w:rPr>
        <w:t>(3)</w:t>
      </w:r>
      <w:r>
        <w:rPr>
          <w:lang w:val="fr-CA"/>
        </w:rPr>
        <w:tab/>
      </w:r>
      <w:r w:rsidRPr="00F246AF">
        <w:rPr>
          <w:u w:val="single"/>
          <w:lang w:val="fr-CA"/>
        </w:rPr>
        <w:t xml:space="preserve">Les membres des régimes </w:t>
      </w:r>
      <w:proofErr w:type="spellStart"/>
      <w:r w:rsidRPr="00F246AF">
        <w:rPr>
          <w:u w:val="single"/>
          <w:lang w:val="fr-CA"/>
        </w:rPr>
        <w:t>étaient</w:t>
      </w:r>
      <w:r>
        <w:rPr>
          <w:u w:val="single"/>
          <w:lang w:val="fr-CA"/>
        </w:rPr>
        <w:noBreakHyphen/>
      </w:r>
      <w:r w:rsidRPr="00F246AF">
        <w:rPr>
          <w:u w:val="single"/>
          <w:lang w:val="fr-CA"/>
        </w:rPr>
        <w:t>ils</w:t>
      </w:r>
      <w:proofErr w:type="spellEnd"/>
      <w:r w:rsidRPr="00F246AF">
        <w:rPr>
          <w:u w:val="single"/>
          <w:lang w:val="fr-CA"/>
        </w:rPr>
        <w:t xml:space="preserve"> en situation de vulnérabilité par rapport à l’exercice du pouvoir discrétionnaire du gouvernement</w:t>
      </w:r>
      <w:bookmarkEnd w:id="3"/>
      <w:r w:rsidRPr="00F246AF">
        <w:rPr>
          <w:u w:val="single"/>
          <w:lang w:val="fr-CA"/>
        </w:rPr>
        <w:t>?</w:t>
      </w:r>
    </w:p>
    <w:p w:rsidR="000F48EC" w:rsidRPr="001E7CB3" w:rsidRDefault="000F48EC" w:rsidP="000F48EC">
      <w:pPr>
        <w:pStyle w:val="ParaNoNdepar-AltN"/>
        <w:rPr>
          <w:szCs w:val="24"/>
          <w:lang w:val="fr-CA"/>
        </w:rPr>
      </w:pPr>
      <w:r w:rsidRPr="001E7CB3">
        <w:rPr>
          <w:lang w:val="fr-CA"/>
        </w:rPr>
        <w:t xml:space="preserve">Suivant </w:t>
      </w:r>
      <w:r w:rsidRPr="001E7CB3">
        <w:rPr>
          <w:i/>
          <w:lang w:val="fr-CA"/>
        </w:rPr>
        <w:t xml:space="preserve">Elder </w:t>
      </w:r>
      <w:proofErr w:type="spellStart"/>
      <w:r w:rsidRPr="001E7CB3">
        <w:rPr>
          <w:i/>
          <w:lang w:val="fr-CA"/>
        </w:rPr>
        <w:t>Advocates</w:t>
      </w:r>
      <w:proofErr w:type="spellEnd"/>
      <w:r>
        <w:rPr>
          <w:lang w:val="fr-CA"/>
        </w:rPr>
        <w:t xml:space="preserve"> (par. 33)</w:t>
      </w:r>
      <w:r w:rsidRPr="001E7CB3">
        <w:rPr>
          <w:lang w:val="fr-CA"/>
        </w:rPr>
        <w:t>, le deuxième élément d</w:t>
      </w:r>
      <w:r>
        <w:rPr>
          <w:lang w:val="fr-CA"/>
        </w:rPr>
        <w:t>’</w:t>
      </w:r>
      <w:r w:rsidRPr="001E7CB3">
        <w:rPr>
          <w:lang w:val="fr-CA"/>
        </w:rPr>
        <w:t>une relation fiducia</w:t>
      </w:r>
      <w:r>
        <w:rPr>
          <w:lang w:val="fr-CA"/>
        </w:rPr>
        <w:t>ir</w:t>
      </w:r>
      <w:r w:rsidRPr="001E7CB3">
        <w:rPr>
          <w:lang w:val="fr-CA"/>
        </w:rPr>
        <w:t xml:space="preserve">e </w:t>
      </w:r>
      <w:r w:rsidRPr="001E7CB3">
        <w:rPr>
          <w:i/>
          <w:lang w:val="fr-CA"/>
        </w:rPr>
        <w:t>ad hoc</w:t>
      </w:r>
      <w:r w:rsidRPr="001E7CB3">
        <w:rPr>
          <w:lang w:val="fr-CA"/>
        </w:rPr>
        <w:t xml:space="preserve"> </w:t>
      </w:r>
      <w:r>
        <w:rPr>
          <w:lang w:val="fr-CA"/>
        </w:rPr>
        <w:t xml:space="preserve">est l’existence </w:t>
      </w:r>
      <w:r>
        <w:rPr>
          <w:szCs w:val="24"/>
          <w:lang w:val="fr-CA"/>
        </w:rPr>
        <w:t>(1) d’</w:t>
      </w:r>
      <w:r w:rsidRPr="001E7CB3">
        <w:rPr>
          <w:lang w:val="fr-CA"/>
        </w:rPr>
        <w:t xml:space="preserve">une </w:t>
      </w:r>
      <w:r w:rsidRPr="00596F4F">
        <w:rPr>
          <w:i/>
          <w:lang w:val="fr-CA"/>
        </w:rPr>
        <w:t>personne ou un groupe de personnes</w:t>
      </w:r>
      <w:r w:rsidRPr="001E7CB3">
        <w:rPr>
          <w:lang w:val="fr-CA"/>
        </w:rPr>
        <w:t xml:space="preserve"> définies</w:t>
      </w:r>
      <w:r w:rsidRPr="001E7CB3">
        <w:rPr>
          <w:i/>
          <w:szCs w:val="24"/>
          <w:lang w:val="fr-CA"/>
        </w:rPr>
        <w:t xml:space="preserve"> </w:t>
      </w:r>
      <w:r w:rsidRPr="001E7CB3">
        <w:rPr>
          <w:szCs w:val="24"/>
          <w:lang w:val="fr-CA"/>
        </w:rPr>
        <w:t>(</w:t>
      </w:r>
      <w:r w:rsidR="007B5AA7">
        <w:rPr>
          <w:szCs w:val="24"/>
          <w:lang w:val="fr-CA"/>
        </w:rPr>
        <w:t>c’est-à-dire</w:t>
      </w:r>
      <w:r w:rsidRPr="001E7CB3">
        <w:rPr>
          <w:szCs w:val="24"/>
          <w:lang w:val="fr-CA"/>
        </w:rPr>
        <w:t xml:space="preserve"> le ou les bénéficiaires), qui sont </w:t>
      </w:r>
      <w:r>
        <w:rPr>
          <w:szCs w:val="24"/>
          <w:lang w:val="fr-CA"/>
        </w:rPr>
        <w:t>(2) </w:t>
      </w:r>
      <w:r w:rsidRPr="00596F4F">
        <w:rPr>
          <w:i/>
          <w:lang w:val="fr-CA"/>
        </w:rPr>
        <w:t>vulnérables</w:t>
      </w:r>
      <w:r w:rsidRPr="001E7CB3">
        <w:rPr>
          <w:lang w:val="fr-CA"/>
        </w:rPr>
        <w:t xml:space="preserve"> par rapport au fiduciaire</w:t>
      </w:r>
      <w:r>
        <w:rPr>
          <w:szCs w:val="24"/>
          <w:lang w:val="fr-CA"/>
        </w:rPr>
        <w:t>, (3) </w:t>
      </w:r>
      <w:r w:rsidRPr="001E7CB3">
        <w:rPr>
          <w:szCs w:val="24"/>
          <w:lang w:val="fr-CA"/>
        </w:rPr>
        <w:t xml:space="preserve">du fait que le fiduciaire </w:t>
      </w:r>
      <w:r w:rsidRPr="001E7CB3">
        <w:rPr>
          <w:lang w:val="fr-CA"/>
        </w:rPr>
        <w:t xml:space="preserve">exerce un </w:t>
      </w:r>
      <w:r w:rsidRPr="00596F4F">
        <w:rPr>
          <w:i/>
          <w:lang w:val="fr-CA"/>
        </w:rPr>
        <w:t>pouvoir discrétionnaire</w:t>
      </w:r>
      <w:r w:rsidRPr="001E7CB3">
        <w:rPr>
          <w:lang w:val="fr-CA"/>
        </w:rPr>
        <w:t xml:space="preserve"> sur eux</w:t>
      </w:r>
      <w:r w:rsidRPr="001E7CB3">
        <w:rPr>
          <w:szCs w:val="24"/>
          <w:lang w:val="fr-CA"/>
        </w:rPr>
        <w:t>.</w:t>
      </w:r>
    </w:p>
    <w:p w:rsidR="000F48EC" w:rsidRPr="001E7CB3" w:rsidRDefault="000F48EC" w:rsidP="000F48EC">
      <w:pPr>
        <w:pStyle w:val="ParaNoNdepar-AltN"/>
        <w:rPr>
          <w:lang w:val="fr-CA"/>
        </w:rPr>
      </w:pPr>
      <w:r w:rsidRPr="001E7CB3">
        <w:rPr>
          <w:szCs w:val="24"/>
          <w:lang w:val="fr-CA"/>
        </w:rPr>
        <w:t xml:space="preserve">Il </w:t>
      </w:r>
      <w:r>
        <w:rPr>
          <w:szCs w:val="24"/>
          <w:lang w:val="fr-CA"/>
        </w:rPr>
        <w:t>existe</w:t>
      </w:r>
      <w:r w:rsidRPr="001E7CB3">
        <w:rPr>
          <w:szCs w:val="24"/>
          <w:lang w:val="fr-CA"/>
        </w:rPr>
        <w:t xml:space="preserve"> incontestablement en l</w:t>
      </w:r>
      <w:r>
        <w:rPr>
          <w:szCs w:val="24"/>
          <w:lang w:val="fr-CA"/>
        </w:rPr>
        <w:t>’</w:t>
      </w:r>
      <w:r w:rsidRPr="001E7CB3">
        <w:rPr>
          <w:szCs w:val="24"/>
          <w:lang w:val="fr-CA"/>
        </w:rPr>
        <w:t xml:space="preserve">espèce un groupe de personnes définies pouvant être bénéficiaires dans le cadre </w:t>
      </w:r>
      <w:r>
        <w:rPr>
          <w:szCs w:val="24"/>
          <w:lang w:val="fr-CA"/>
        </w:rPr>
        <w:t>de la</w:t>
      </w:r>
      <w:r w:rsidRPr="001E7CB3">
        <w:rPr>
          <w:szCs w:val="24"/>
          <w:lang w:val="fr-CA"/>
        </w:rPr>
        <w:t xml:space="preserve"> relation </w:t>
      </w:r>
      <w:r>
        <w:rPr>
          <w:szCs w:val="24"/>
          <w:lang w:val="fr-CA"/>
        </w:rPr>
        <w:t>fiduciaire alléguée</w:t>
      </w:r>
      <w:r w:rsidRPr="001E7CB3">
        <w:rPr>
          <w:szCs w:val="24"/>
          <w:lang w:val="fr-CA"/>
        </w:rPr>
        <w:t>.  Il s</w:t>
      </w:r>
      <w:r>
        <w:rPr>
          <w:szCs w:val="24"/>
          <w:lang w:val="fr-CA"/>
        </w:rPr>
        <w:t>’</w:t>
      </w:r>
      <w:r w:rsidRPr="001E7CB3">
        <w:rPr>
          <w:szCs w:val="24"/>
          <w:lang w:val="fr-CA"/>
        </w:rPr>
        <w:t>agit des employés</w:t>
      </w:r>
      <w:r>
        <w:rPr>
          <w:szCs w:val="24"/>
          <w:lang w:val="fr-CA"/>
        </w:rPr>
        <w:t>, anciens et actuels, qui</w:t>
      </w:r>
      <w:r w:rsidRPr="001E7CB3">
        <w:rPr>
          <w:szCs w:val="24"/>
          <w:lang w:val="fr-CA"/>
        </w:rPr>
        <w:t xml:space="preserve"> </w:t>
      </w:r>
      <w:r>
        <w:rPr>
          <w:szCs w:val="24"/>
          <w:lang w:val="fr-CA"/>
        </w:rPr>
        <w:t>ont</w:t>
      </w:r>
      <w:r w:rsidRPr="001E7CB3">
        <w:rPr>
          <w:szCs w:val="24"/>
          <w:lang w:val="fr-CA"/>
        </w:rPr>
        <w:t xml:space="preserve"> c</w:t>
      </w:r>
      <w:r>
        <w:rPr>
          <w:szCs w:val="24"/>
          <w:lang w:val="fr-CA"/>
        </w:rPr>
        <w:t>ontribué</w:t>
      </w:r>
      <w:r w:rsidRPr="00596F4F">
        <w:rPr>
          <w:szCs w:val="24"/>
          <w:lang w:val="fr-CA"/>
        </w:rPr>
        <w:t xml:space="preserve"> </w:t>
      </w:r>
      <w:r>
        <w:rPr>
          <w:szCs w:val="24"/>
          <w:lang w:val="fr-CA"/>
        </w:rPr>
        <w:t>ou contribuent</w:t>
      </w:r>
      <w:r w:rsidRPr="001E7CB3">
        <w:rPr>
          <w:szCs w:val="24"/>
          <w:lang w:val="fr-CA"/>
        </w:rPr>
        <w:t xml:space="preserve"> aux régimes</w:t>
      </w:r>
      <w:r>
        <w:rPr>
          <w:szCs w:val="24"/>
          <w:lang w:val="fr-CA"/>
        </w:rPr>
        <w:t xml:space="preserve">, ainsi que </w:t>
      </w:r>
      <w:r w:rsidRPr="001E7CB3">
        <w:rPr>
          <w:szCs w:val="24"/>
          <w:lang w:val="fr-CA"/>
        </w:rPr>
        <w:t xml:space="preserve">de leurs bénéficiaires.  Il faut </w:t>
      </w:r>
      <w:r>
        <w:rPr>
          <w:szCs w:val="24"/>
          <w:lang w:val="fr-CA"/>
        </w:rPr>
        <w:t>se demander</w:t>
      </w:r>
      <w:r w:rsidRPr="001E7CB3">
        <w:rPr>
          <w:szCs w:val="24"/>
          <w:lang w:val="fr-CA"/>
        </w:rPr>
        <w:t xml:space="preserve"> si le gouvernement exerçait un pouvoir discrétionnaire sur ce groupe en rapport avec les </w:t>
      </w:r>
      <w:r w:rsidRPr="001E7CB3">
        <w:rPr>
          <w:lang w:val="fr-CA"/>
        </w:rPr>
        <w:t>comptes de pension de retraite.  Après l</w:t>
      </w:r>
      <w:r>
        <w:rPr>
          <w:lang w:val="fr-CA"/>
        </w:rPr>
        <w:t>’</w:t>
      </w:r>
      <w:r w:rsidRPr="001E7CB3">
        <w:rPr>
          <w:lang w:val="fr-CA"/>
        </w:rPr>
        <w:t>adoption du projet de loi</w:t>
      </w:r>
      <w:r>
        <w:rPr>
          <w:lang w:val="fr-CA"/>
        </w:rPr>
        <w:t> </w:t>
      </w:r>
      <w:r w:rsidRPr="001E7CB3">
        <w:rPr>
          <w:lang w:val="fr-CA"/>
        </w:rPr>
        <w:t>C</w:t>
      </w:r>
      <w:r>
        <w:rPr>
          <w:lang w:val="fr-CA"/>
        </w:rPr>
        <w:noBreakHyphen/>
      </w:r>
      <w:r w:rsidRPr="001E7CB3">
        <w:rPr>
          <w:lang w:val="fr-CA"/>
        </w:rPr>
        <w:t>78, l</w:t>
      </w:r>
      <w:r>
        <w:rPr>
          <w:lang w:val="fr-CA"/>
        </w:rPr>
        <w:t>’</w:t>
      </w:r>
      <w:r w:rsidRPr="001E7CB3">
        <w:rPr>
          <w:lang w:val="fr-CA"/>
        </w:rPr>
        <w:t>Office d</w:t>
      </w:r>
      <w:r>
        <w:rPr>
          <w:lang w:val="fr-CA"/>
        </w:rPr>
        <w:t>’</w:t>
      </w:r>
      <w:r w:rsidRPr="001E7CB3">
        <w:rPr>
          <w:lang w:val="fr-CA"/>
        </w:rPr>
        <w:t>investissement et le Conseil du Trésor disposaient clairement de pouvoirs discrétionnaires en matière de gestion des nouvelles caisses de retraite, notamment</w:t>
      </w:r>
      <w:r>
        <w:rPr>
          <w:lang w:val="fr-CA"/>
        </w:rPr>
        <w:t xml:space="preserve"> </w:t>
      </w:r>
      <w:r w:rsidRPr="001E7CB3">
        <w:rPr>
          <w:lang w:val="fr-CA"/>
        </w:rPr>
        <w:t>celui d</w:t>
      </w:r>
      <w:r>
        <w:rPr>
          <w:lang w:val="fr-CA"/>
        </w:rPr>
        <w:t>’</w:t>
      </w:r>
      <w:r w:rsidRPr="001E7CB3">
        <w:rPr>
          <w:lang w:val="fr-CA"/>
        </w:rPr>
        <w:t>établir (</w:t>
      </w:r>
      <w:r>
        <w:rPr>
          <w:lang w:val="fr-CA"/>
        </w:rPr>
        <w:t>seulement depuis le</w:t>
      </w:r>
      <w:r w:rsidRPr="001E7CB3">
        <w:rPr>
          <w:lang w:val="fr-CA"/>
        </w:rPr>
        <w:t xml:space="preserve"> 1</w:t>
      </w:r>
      <w:r w:rsidRPr="001E7CB3">
        <w:rPr>
          <w:vertAlign w:val="superscript"/>
          <w:lang w:val="fr-CA"/>
        </w:rPr>
        <w:t>er</w:t>
      </w:r>
      <w:r>
        <w:rPr>
          <w:lang w:val="fr-CA"/>
        </w:rPr>
        <w:t xml:space="preserve"> janvier </w:t>
      </w:r>
      <w:r w:rsidRPr="001E7CB3">
        <w:rPr>
          <w:lang w:val="fr-CA"/>
        </w:rPr>
        <w:t>2004) les taux de co</w:t>
      </w:r>
      <w:r>
        <w:rPr>
          <w:lang w:val="fr-CA"/>
        </w:rPr>
        <w:t>ntribution</w:t>
      </w:r>
      <w:r w:rsidRPr="001E7CB3">
        <w:rPr>
          <w:lang w:val="fr-CA"/>
        </w:rPr>
        <w:t xml:space="preserve"> des employés.  Comme les appelants revendiquent un intérêt en </w:t>
      </w:r>
      <w:proofErr w:type="spellStart"/>
      <w:r w:rsidRPr="001E7CB3">
        <w:rPr>
          <w:lang w:val="fr-CA"/>
        </w:rPr>
        <w:t>equity</w:t>
      </w:r>
      <w:proofErr w:type="spellEnd"/>
      <w:r w:rsidRPr="001E7CB3">
        <w:rPr>
          <w:lang w:val="fr-CA"/>
        </w:rPr>
        <w:t xml:space="preserve"> dans les comptes de pension de retraite tels qu</w:t>
      </w:r>
      <w:r>
        <w:rPr>
          <w:lang w:val="fr-CA"/>
        </w:rPr>
        <w:t xml:space="preserve">’ils </w:t>
      </w:r>
      <w:r>
        <w:rPr>
          <w:lang w:val="fr-CA"/>
        </w:rPr>
        <w:lastRenderedPageBreak/>
        <w:t xml:space="preserve">existaient le 31 mars </w:t>
      </w:r>
      <w:r w:rsidRPr="001E7CB3">
        <w:rPr>
          <w:lang w:val="fr-CA"/>
        </w:rPr>
        <w:t>2000, il faut établir si le gouvernement exerçait un pouvoir discrétionnaire à l</w:t>
      </w:r>
      <w:r>
        <w:rPr>
          <w:lang w:val="fr-CA"/>
        </w:rPr>
        <w:t>’</w:t>
      </w:r>
      <w:r w:rsidRPr="001E7CB3">
        <w:rPr>
          <w:lang w:val="fr-CA"/>
        </w:rPr>
        <w:t>égard de l</w:t>
      </w:r>
      <w:r>
        <w:rPr>
          <w:lang w:val="fr-CA"/>
        </w:rPr>
        <w:t>’</w:t>
      </w:r>
      <w:r w:rsidRPr="001E7CB3">
        <w:rPr>
          <w:lang w:val="fr-CA"/>
        </w:rPr>
        <w:t>administration de</w:t>
      </w:r>
      <w:r>
        <w:rPr>
          <w:lang w:val="fr-CA"/>
        </w:rPr>
        <w:t xml:space="preserve"> ces</w:t>
      </w:r>
      <w:r w:rsidRPr="001E7CB3">
        <w:rPr>
          <w:lang w:val="fr-CA"/>
        </w:rPr>
        <w:t xml:space="preserve"> comptes avant l</w:t>
      </w:r>
      <w:r>
        <w:rPr>
          <w:lang w:val="fr-CA"/>
        </w:rPr>
        <w:t>’</w:t>
      </w:r>
      <w:r w:rsidRPr="001E7CB3">
        <w:rPr>
          <w:lang w:val="fr-CA"/>
        </w:rPr>
        <w:t>entrée en vigueur du projet de loi C</w:t>
      </w:r>
      <w:r w:rsidR="007B5AA7">
        <w:rPr>
          <w:lang w:val="fr-CA"/>
        </w:rPr>
        <w:t>-</w:t>
      </w:r>
      <w:r w:rsidRPr="001E7CB3">
        <w:rPr>
          <w:lang w:val="fr-CA"/>
        </w:rPr>
        <w:t>78 (le 1</w:t>
      </w:r>
      <w:r w:rsidRPr="001E7CB3">
        <w:rPr>
          <w:vertAlign w:val="superscript"/>
          <w:lang w:val="fr-CA"/>
        </w:rPr>
        <w:t>er</w:t>
      </w:r>
      <w:r>
        <w:rPr>
          <w:lang w:val="fr-CA"/>
        </w:rPr>
        <w:t xml:space="preserve"> avril </w:t>
      </w:r>
      <w:r w:rsidRPr="001E7CB3">
        <w:rPr>
          <w:lang w:val="fr-CA"/>
        </w:rPr>
        <w:t>2000).</w:t>
      </w:r>
    </w:p>
    <w:p w:rsidR="000F48EC" w:rsidRPr="001E7CB3" w:rsidRDefault="000F48EC" w:rsidP="000F48EC">
      <w:pPr>
        <w:pStyle w:val="ParaNoNdepar-AltN"/>
        <w:rPr>
          <w:lang w:val="fr-CA"/>
        </w:rPr>
      </w:pPr>
      <w:r w:rsidRPr="001E7CB3">
        <w:rPr>
          <w:lang w:val="fr-CA"/>
        </w:rPr>
        <w:t xml:space="preserve">Si les lois sur les pensions constituaient un code </w:t>
      </w:r>
      <w:r>
        <w:rPr>
          <w:lang w:val="fr-CA"/>
        </w:rPr>
        <w:t>exhaustif</w:t>
      </w:r>
      <w:r w:rsidRPr="001E7CB3">
        <w:rPr>
          <w:lang w:val="fr-CA"/>
        </w:rPr>
        <w:t xml:space="preserve"> à l</w:t>
      </w:r>
      <w:r>
        <w:rPr>
          <w:lang w:val="fr-CA"/>
        </w:rPr>
        <w:t>’</w:t>
      </w:r>
      <w:r w:rsidRPr="001E7CB3">
        <w:rPr>
          <w:lang w:val="fr-CA"/>
        </w:rPr>
        <w:t>égard d</w:t>
      </w:r>
      <w:r>
        <w:rPr>
          <w:lang w:val="fr-CA"/>
        </w:rPr>
        <w:t xml:space="preserve">es </w:t>
      </w:r>
      <w:r w:rsidRPr="001E7CB3">
        <w:rPr>
          <w:lang w:val="fr-CA"/>
        </w:rPr>
        <w:t>surplus actuariel</w:t>
      </w:r>
      <w:r>
        <w:rPr>
          <w:lang w:val="fr-CA"/>
        </w:rPr>
        <w:t>s</w:t>
      </w:r>
      <w:r w:rsidRPr="001E7CB3">
        <w:rPr>
          <w:lang w:val="fr-CA"/>
        </w:rPr>
        <w:t>, comme le juge de première instance</w:t>
      </w:r>
      <w:r>
        <w:rPr>
          <w:lang w:val="fr-CA"/>
        </w:rPr>
        <w:t xml:space="preserve"> l’a affirmé</w:t>
      </w:r>
      <w:r w:rsidRPr="001E7CB3">
        <w:rPr>
          <w:lang w:val="fr-CA"/>
        </w:rPr>
        <w:t xml:space="preserve">, alors le gouvernement </w:t>
      </w:r>
      <w:r>
        <w:rPr>
          <w:lang w:val="fr-CA"/>
        </w:rPr>
        <w:t>n’aurait,</w:t>
      </w:r>
      <w:r w:rsidRPr="00E20EBB">
        <w:rPr>
          <w:lang w:val="fr-CA"/>
        </w:rPr>
        <w:t xml:space="preserve"> </w:t>
      </w:r>
      <w:r>
        <w:rPr>
          <w:lang w:val="fr-CA"/>
        </w:rPr>
        <w:t>sur ces surplus,</w:t>
      </w:r>
      <w:r w:rsidRPr="001E7CB3">
        <w:rPr>
          <w:lang w:val="fr-CA"/>
        </w:rPr>
        <w:t xml:space="preserve"> aucun pouvoir discrétionnaire </w:t>
      </w:r>
      <w:r>
        <w:rPr>
          <w:lang w:val="fr-CA"/>
        </w:rPr>
        <w:t xml:space="preserve">pouvant </w:t>
      </w:r>
      <w:r w:rsidRPr="001E7CB3">
        <w:rPr>
          <w:lang w:val="fr-CA"/>
        </w:rPr>
        <w:t xml:space="preserve">avoir un effet sur </w:t>
      </w:r>
      <w:r>
        <w:rPr>
          <w:lang w:val="fr-CA"/>
        </w:rPr>
        <w:t>un</w:t>
      </w:r>
      <w:r w:rsidRPr="001E7CB3">
        <w:rPr>
          <w:lang w:val="fr-CA"/>
        </w:rPr>
        <w:t xml:space="preserve"> intérêt </w:t>
      </w:r>
      <w:r>
        <w:rPr>
          <w:lang w:val="fr-CA"/>
        </w:rPr>
        <w:t xml:space="preserve">éventuel quelconque </w:t>
      </w:r>
      <w:r w:rsidRPr="001E7CB3">
        <w:rPr>
          <w:lang w:val="fr-CA"/>
        </w:rPr>
        <w:t xml:space="preserve">des membres des </w:t>
      </w:r>
      <w:r>
        <w:rPr>
          <w:lang w:val="fr-CA"/>
        </w:rPr>
        <w:t xml:space="preserve">régimes dans les </w:t>
      </w:r>
      <w:r w:rsidRPr="001E7CB3">
        <w:rPr>
          <w:lang w:val="fr-CA"/>
        </w:rPr>
        <w:t xml:space="preserve">surplus.  Notre Cour a examiné la notion de « code exhaustif » dans </w:t>
      </w:r>
      <w:r w:rsidRPr="001E7CB3">
        <w:rPr>
          <w:i/>
          <w:lang w:val="fr-CA"/>
        </w:rPr>
        <w:t>Gladstone c. Canada (</w:t>
      </w:r>
      <w:r>
        <w:rPr>
          <w:i/>
          <w:lang w:val="fr-CA"/>
        </w:rPr>
        <w:t>Procureur général</w:t>
      </w:r>
      <w:r w:rsidRPr="001E7CB3">
        <w:rPr>
          <w:i/>
          <w:lang w:val="fr-CA"/>
        </w:rPr>
        <w:t>)</w:t>
      </w:r>
      <w:r w:rsidRPr="00450ED3">
        <w:rPr>
          <w:lang w:val="fr-CA"/>
        </w:rPr>
        <w:t>,</w:t>
      </w:r>
      <w:r w:rsidRPr="001E7CB3">
        <w:rPr>
          <w:i/>
          <w:lang w:val="fr-CA"/>
        </w:rPr>
        <w:t xml:space="preserve"> </w:t>
      </w:r>
      <w:r w:rsidRPr="001E7CB3">
        <w:rPr>
          <w:lang w:val="fr-CA"/>
        </w:rPr>
        <w:t>2005 CSC 21, [2005] 1 R.C.S. 325.  Dans c</w:t>
      </w:r>
      <w:r>
        <w:rPr>
          <w:lang w:val="fr-CA"/>
        </w:rPr>
        <w:t>ette affaire, le ministère des P</w:t>
      </w:r>
      <w:r w:rsidRPr="001E7CB3">
        <w:rPr>
          <w:lang w:val="fr-CA"/>
        </w:rPr>
        <w:t xml:space="preserve">êches et des Océans avait saisi puis vendu de la </w:t>
      </w:r>
      <w:r w:rsidR="00F822DF">
        <w:rPr>
          <w:lang w:val="fr-CA"/>
        </w:rPr>
        <w:t>d</w:t>
      </w:r>
      <w:r w:rsidRPr="001E7CB3">
        <w:rPr>
          <w:lang w:val="fr-CA"/>
        </w:rPr>
        <w:t>rogue que Donald et William Gladstone étaient accusés d</w:t>
      </w:r>
      <w:r>
        <w:rPr>
          <w:lang w:val="fr-CA"/>
        </w:rPr>
        <w:t>’</w:t>
      </w:r>
      <w:r w:rsidRPr="001E7CB3">
        <w:rPr>
          <w:lang w:val="fr-CA"/>
        </w:rPr>
        <w:t xml:space="preserve">avoir tenté de vendre en contravention de la </w:t>
      </w:r>
      <w:r w:rsidRPr="001E7CB3">
        <w:rPr>
          <w:i/>
          <w:lang w:val="fr-CA"/>
        </w:rPr>
        <w:t>Loi sur les pêches</w:t>
      </w:r>
      <w:r w:rsidRPr="001E7CB3">
        <w:rPr>
          <w:lang w:val="fr-CA"/>
        </w:rPr>
        <w:t xml:space="preserve">, L.R.C. 1985, </w:t>
      </w:r>
      <w:r>
        <w:rPr>
          <w:lang w:val="fr-CA"/>
        </w:rPr>
        <w:t>ch. </w:t>
      </w:r>
      <w:r w:rsidRPr="001E7CB3">
        <w:rPr>
          <w:lang w:val="fr-CA"/>
        </w:rPr>
        <w:t>F</w:t>
      </w:r>
      <w:r>
        <w:rPr>
          <w:lang w:val="fr-CA"/>
        </w:rPr>
        <w:noBreakHyphen/>
      </w:r>
      <w:r w:rsidRPr="001E7CB3">
        <w:rPr>
          <w:lang w:val="fr-CA"/>
        </w:rPr>
        <w:t xml:space="preserve">14.  Conformément à </w:t>
      </w:r>
      <w:r>
        <w:rPr>
          <w:lang w:val="fr-CA"/>
        </w:rPr>
        <w:t>cette l</w:t>
      </w:r>
      <w:r w:rsidRPr="001E7CB3">
        <w:rPr>
          <w:lang w:val="fr-CA"/>
        </w:rPr>
        <w:t>oi, le ministère a</w:t>
      </w:r>
      <w:r>
        <w:rPr>
          <w:lang w:val="fr-CA"/>
        </w:rPr>
        <w:t>vait</w:t>
      </w:r>
      <w:r w:rsidRPr="001E7CB3">
        <w:rPr>
          <w:lang w:val="fr-CA"/>
        </w:rPr>
        <w:t xml:space="preserve"> versé le produit de la vente au Trésor.  Par la suite, il y a eu arrêt des procédures </w:t>
      </w:r>
      <w:r>
        <w:rPr>
          <w:lang w:val="fr-CA"/>
        </w:rPr>
        <w:t>contre</w:t>
      </w:r>
      <w:r w:rsidRPr="001E7CB3">
        <w:rPr>
          <w:lang w:val="fr-CA"/>
        </w:rPr>
        <w:t xml:space="preserve"> les Gladstone, et le produit net de la vente leur a été versé, mais le procureur général a refusé de leur payer des intérêts. </w:t>
      </w:r>
    </w:p>
    <w:p w:rsidR="000F48EC" w:rsidRPr="001E7CB3" w:rsidRDefault="000F48EC" w:rsidP="000F48EC">
      <w:pPr>
        <w:pStyle w:val="ParaNoNdepar-AltN"/>
        <w:rPr>
          <w:szCs w:val="24"/>
          <w:lang w:val="fr-CA"/>
        </w:rPr>
      </w:pPr>
      <w:r w:rsidRPr="001E7CB3">
        <w:rPr>
          <w:lang w:val="fr-CA"/>
        </w:rPr>
        <w:t xml:space="preserve">Notre Cour a conclu que la </w:t>
      </w:r>
      <w:r w:rsidRPr="001E7CB3">
        <w:rPr>
          <w:i/>
          <w:lang w:val="fr-CA"/>
        </w:rPr>
        <w:t>Loi sur les pêches</w:t>
      </w:r>
      <w:r w:rsidRPr="001E7CB3">
        <w:rPr>
          <w:lang w:val="fr-CA"/>
        </w:rPr>
        <w:t xml:space="preserve"> constitue un « code exhaustif » en matière de restitution de biens saisis </w:t>
      </w:r>
      <w:r>
        <w:rPr>
          <w:lang w:val="fr-CA"/>
        </w:rPr>
        <w:t>(</w:t>
      </w:r>
      <w:r w:rsidRPr="001E7CB3">
        <w:rPr>
          <w:i/>
          <w:lang w:val="fr-CA"/>
        </w:rPr>
        <w:t>Gladstone</w:t>
      </w:r>
      <w:r w:rsidRPr="001E7CB3">
        <w:rPr>
          <w:lang w:val="fr-CA"/>
        </w:rPr>
        <w:t xml:space="preserve">, </w:t>
      </w:r>
      <w:r>
        <w:rPr>
          <w:lang w:val="fr-CA"/>
        </w:rPr>
        <w:t>par. 9)</w:t>
      </w:r>
      <w:r w:rsidRPr="001E7CB3">
        <w:rPr>
          <w:lang w:val="fr-CA"/>
        </w:rPr>
        <w:t xml:space="preserve">.  Suivant le raisonnement du juge Major, </w:t>
      </w:r>
      <w:r>
        <w:rPr>
          <w:lang w:val="fr-CA"/>
        </w:rPr>
        <w:t>cette l</w:t>
      </w:r>
      <w:r w:rsidRPr="001E7CB3">
        <w:rPr>
          <w:lang w:val="fr-CA"/>
        </w:rPr>
        <w:t>oi</w:t>
      </w:r>
      <w:r>
        <w:rPr>
          <w:lang w:val="fr-CA"/>
        </w:rPr>
        <w:t xml:space="preserve"> </w:t>
      </w:r>
      <w:r w:rsidRPr="001E7CB3">
        <w:rPr>
          <w:lang w:val="fr-CA"/>
        </w:rPr>
        <w:t>« </w:t>
      </w:r>
      <w:r>
        <w:rPr>
          <w:lang w:val="fr-CA"/>
        </w:rPr>
        <w:t>établit</w:t>
      </w:r>
      <w:r w:rsidRPr="001E7CB3">
        <w:rPr>
          <w:lang w:val="fr-CA"/>
        </w:rPr>
        <w:t xml:space="preserve"> </w:t>
      </w:r>
      <w:r>
        <w:rPr>
          <w:lang w:val="fr-CA"/>
        </w:rPr>
        <w:t xml:space="preserve">[. . .] </w:t>
      </w:r>
      <w:r w:rsidRPr="001E7CB3">
        <w:rPr>
          <w:lang w:val="fr-CA"/>
        </w:rPr>
        <w:t>un cadre exhaustif qui régit les questions soulevées par les saisies »</w:t>
      </w:r>
      <w:r>
        <w:rPr>
          <w:szCs w:val="24"/>
          <w:lang w:val="fr-CA"/>
        </w:rPr>
        <w:t xml:space="preserve"> (par. 10).  Par conséquent, elle n’imposait pas</w:t>
      </w:r>
      <w:r w:rsidRPr="001E7CB3">
        <w:rPr>
          <w:szCs w:val="24"/>
          <w:lang w:val="fr-CA"/>
        </w:rPr>
        <w:t xml:space="preserve"> à la Couronne d</w:t>
      </w:r>
      <w:r>
        <w:rPr>
          <w:szCs w:val="24"/>
          <w:lang w:val="fr-CA"/>
        </w:rPr>
        <w:t>’</w:t>
      </w:r>
      <w:r w:rsidRPr="001E7CB3">
        <w:rPr>
          <w:szCs w:val="24"/>
          <w:lang w:val="fr-CA"/>
        </w:rPr>
        <w:t>obligation de payer des intérêts sur le produit de la vente de biens saisis.</w:t>
      </w:r>
    </w:p>
    <w:p w:rsidR="000F48EC" w:rsidRPr="001E7CB3" w:rsidRDefault="000F48EC" w:rsidP="000F48EC">
      <w:pPr>
        <w:pStyle w:val="ParaNoNdepar-AltN"/>
        <w:rPr>
          <w:szCs w:val="24"/>
          <w:lang w:val="fr-CA"/>
        </w:rPr>
      </w:pPr>
      <w:r w:rsidRPr="001E7CB3">
        <w:rPr>
          <w:szCs w:val="24"/>
          <w:lang w:val="fr-CA"/>
        </w:rPr>
        <w:lastRenderedPageBreak/>
        <w:t>Je partage l</w:t>
      </w:r>
      <w:r>
        <w:rPr>
          <w:szCs w:val="24"/>
          <w:lang w:val="fr-CA"/>
        </w:rPr>
        <w:t>’</w:t>
      </w:r>
      <w:r w:rsidRPr="001E7CB3">
        <w:rPr>
          <w:szCs w:val="24"/>
          <w:lang w:val="fr-CA"/>
        </w:rPr>
        <w:t xml:space="preserve">opinion de la juge </w:t>
      </w:r>
      <w:proofErr w:type="spellStart"/>
      <w:r w:rsidRPr="001E7CB3">
        <w:rPr>
          <w:szCs w:val="24"/>
          <w:lang w:val="fr-CA"/>
        </w:rPr>
        <w:t>Gillese</w:t>
      </w:r>
      <w:proofErr w:type="spellEnd"/>
      <w:r w:rsidRPr="001E7CB3">
        <w:rPr>
          <w:szCs w:val="24"/>
          <w:lang w:val="fr-CA"/>
        </w:rPr>
        <w:t xml:space="preserve"> </w:t>
      </w:r>
      <w:r>
        <w:rPr>
          <w:szCs w:val="24"/>
          <w:lang w:val="fr-CA"/>
        </w:rPr>
        <w:t xml:space="preserve">selon laquelle, </w:t>
      </w:r>
      <w:r w:rsidRPr="001E7CB3">
        <w:rPr>
          <w:szCs w:val="24"/>
          <w:lang w:val="fr-CA"/>
        </w:rPr>
        <w:t xml:space="preserve">avant les modifications introduites </w:t>
      </w:r>
      <w:r>
        <w:rPr>
          <w:szCs w:val="24"/>
          <w:lang w:val="fr-CA"/>
        </w:rPr>
        <w:t>le 1</w:t>
      </w:r>
      <w:r w:rsidRPr="00450ED3">
        <w:rPr>
          <w:szCs w:val="24"/>
          <w:vertAlign w:val="superscript"/>
          <w:lang w:val="fr-CA"/>
        </w:rPr>
        <w:t>er</w:t>
      </w:r>
      <w:r>
        <w:rPr>
          <w:szCs w:val="24"/>
          <w:lang w:val="fr-CA"/>
        </w:rPr>
        <w:t xml:space="preserve"> avril 2000 </w:t>
      </w:r>
      <w:r w:rsidRPr="001E7CB3">
        <w:rPr>
          <w:szCs w:val="24"/>
          <w:lang w:val="fr-CA"/>
        </w:rPr>
        <w:t>par le projet de loi C</w:t>
      </w:r>
      <w:r w:rsidR="0075603D">
        <w:rPr>
          <w:szCs w:val="24"/>
          <w:lang w:val="fr-CA"/>
        </w:rPr>
        <w:t>-</w:t>
      </w:r>
      <w:r w:rsidRPr="001E7CB3">
        <w:rPr>
          <w:szCs w:val="24"/>
          <w:lang w:val="fr-CA"/>
        </w:rPr>
        <w:t>78, les lois sur les pensions n</w:t>
      </w:r>
      <w:r>
        <w:rPr>
          <w:szCs w:val="24"/>
          <w:lang w:val="fr-CA"/>
        </w:rPr>
        <w:t>’</w:t>
      </w:r>
      <w:r w:rsidRPr="001E7CB3">
        <w:rPr>
          <w:szCs w:val="24"/>
          <w:lang w:val="fr-CA"/>
        </w:rPr>
        <w:t>étaient pas des [</w:t>
      </w:r>
      <w:r w:rsidRPr="00B2643C">
        <w:rPr>
          <w:smallCaps/>
          <w:szCs w:val="24"/>
          <w:lang w:val="fr-CA"/>
        </w:rPr>
        <w:t>traduction</w:t>
      </w:r>
      <w:r w:rsidRPr="001E7CB3">
        <w:rPr>
          <w:szCs w:val="24"/>
          <w:lang w:val="fr-CA"/>
        </w:rPr>
        <w:t xml:space="preserve">] « codes </w:t>
      </w:r>
      <w:r>
        <w:rPr>
          <w:szCs w:val="24"/>
          <w:lang w:val="fr-CA"/>
        </w:rPr>
        <w:t>exhaustif</w:t>
      </w:r>
      <w:r w:rsidRPr="001E7CB3">
        <w:rPr>
          <w:szCs w:val="24"/>
          <w:lang w:val="fr-CA"/>
        </w:rPr>
        <w:t xml:space="preserve">s » au sens de </w:t>
      </w:r>
      <w:r w:rsidRPr="001E7CB3">
        <w:rPr>
          <w:i/>
          <w:szCs w:val="24"/>
          <w:lang w:val="fr-CA"/>
        </w:rPr>
        <w:t>Gladstone</w:t>
      </w:r>
      <w:r w:rsidRPr="001E7CB3">
        <w:rPr>
          <w:szCs w:val="24"/>
          <w:lang w:val="fr-CA"/>
        </w:rPr>
        <w:t>.  Avant l</w:t>
      </w:r>
      <w:r>
        <w:rPr>
          <w:szCs w:val="24"/>
          <w:lang w:val="fr-CA"/>
        </w:rPr>
        <w:t>’</w:t>
      </w:r>
      <w:r w:rsidRPr="001E7CB3">
        <w:rPr>
          <w:szCs w:val="24"/>
          <w:lang w:val="fr-CA"/>
        </w:rPr>
        <w:t>entrée en vigueur de ce projet de loi, les lois sur les pensions ne traitaient pas de la question d</w:t>
      </w:r>
      <w:r>
        <w:rPr>
          <w:szCs w:val="24"/>
          <w:lang w:val="fr-CA"/>
        </w:rPr>
        <w:t xml:space="preserve">u </w:t>
      </w:r>
      <w:r w:rsidRPr="001E7CB3">
        <w:rPr>
          <w:szCs w:val="24"/>
          <w:lang w:val="fr-CA"/>
        </w:rPr>
        <w:t xml:space="preserve">surplus des comptes de pension de retraite.  Elles comportaient des dispositions </w:t>
      </w:r>
      <w:r>
        <w:rPr>
          <w:szCs w:val="24"/>
          <w:lang w:val="fr-CA"/>
        </w:rPr>
        <w:t>régissant le</w:t>
      </w:r>
      <w:r w:rsidRPr="001E7CB3">
        <w:rPr>
          <w:szCs w:val="24"/>
          <w:lang w:val="fr-CA"/>
        </w:rPr>
        <w:t xml:space="preserve"> traitement comptable des déficits, mais </w:t>
      </w:r>
      <w:r>
        <w:rPr>
          <w:szCs w:val="24"/>
          <w:lang w:val="fr-CA"/>
        </w:rPr>
        <w:t>ne faisaient pas mention des surplus</w:t>
      </w:r>
      <w:r w:rsidRPr="001E7CB3">
        <w:rPr>
          <w:szCs w:val="24"/>
          <w:lang w:val="fr-CA"/>
        </w:rPr>
        <w:t>.  C</w:t>
      </w:r>
      <w:r>
        <w:rPr>
          <w:szCs w:val="24"/>
          <w:lang w:val="fr-CA"/>
        </w:rPr>
        <w:t>’</w:t>
      </w:r>
      <w:r w:rsidRPr="001E7CB3">
        <w:rPr>
          <w:szCs w:val="24"/>
          <w:lang w:val="fr-CA"/>
        </w:rPr>
        <w:t>est pourquoi l</w:t>
      </w:r>
      <w:r>
        <w:rPr>
          <w:szCs w:val="24"/>
          <w:lang w:val="fr-CA"/>
        </w:rPr>
        <w:t>’</w:t>
      </w:r>
      <w:r w:rsidRPr="001E7CB3">
        <w:rPr>
          <w:szCs w:val="24"/>
          <w:lang w:val="fr-CA"/>
        </w:rPr>
        <w:t xml:space="preserve">on recourait à la </w:t>
      </w:r>
      <w:r w:rsidRPr="0075603D">
        <w:rPr>
          <w:i/>
          <w:szCs w:val="24"/>
          <w:lang w:val="fr-CA"/>
        </w:rPr>
        <w:t>LGFP</w:t>
      </w:r>
      <w:r w:rsidRPr="001E7CB3">
        <w:rPr>
          <w:szCs w:val="24"/>
          <w:lang w:val="fr-CA"/>
        </w:rPr>
        <w:t xml:space="preserve"> — conféra</w:t>
      </w:r>
      <w:r>
        <w:rPr>
          <w:szCs w:val="24"/>
          <w:lang w:val="fr-CA"/>
        </w:rPr>
        <w:t>n</w:t>
      </w:r>
      <w:r w:rsidRPr="001E7CB3">
        <w:rPr>
          <w:szCs w:val="24"/>
          <w:lang w:val="fr-CA"/>
        </w:rPr>
        <w:t>t au président du Conseil du Trésor et au ministre des Finances le pouvoir discrétionnaire d</w:t>
      </w:r>
      <w:r>
        <w:rPr>
          <w:szCs w:val="24"/>
          <w:lang w:val="fr-CA"/>
        </w:rPr>
        <w:t xml:space="preserve">’inclure des comptes de redressement dans les </w:t>
      </w:r>
      <w:r w:rsidRPr="001E7CB3">
        <w:rPr>
          <w:szCs w:val="24"/>
          <w:lang w:val="fr-CA"/>
        </w:rPr>
        <w:t xml:space="preserve">Comptes publics — pour compléter les règles comptables établies par les lois sur les pensions </w:t>
      </w:r>
      <w:r>
        <w:rPr>
          <w:szCs w:val="24"/>
          <w:lang w:val="fr-CA"/>
        </w:rPr>
        <w:t>(</w:t>
      </w:r>
      <w:r w:rsidRPr="0075603D">
        <w:rPr>
          <w:i/>
          <w:szCs w:val="24"/>
          <w:lang w:val="fr-CA"/>
        </w:rPr>
        <w:t>LGFP</w:t>
      </w:r>
      <w:r w:rsidRPr="001E7CB3">
        <w:rPr>
          <w:szCs w:val="24"/>
          <w:lang w:val="fr-CA"/>
        </w:rPr>
        <w:t xml:space="preserve">, </w:t>
      </w:r>
      <w:r>
        <w:rPr>
          <w:szCs w:val="24"/>
          <w:lang w:val="fr-CA"/>
        </w:rPr>
        <w:t>al. </w:t>
      </w:r>
      <w:r w:rsidRPr="001E7CB3">
        <w:rPr>
          <w:szCs w:val="24"/>
          <w:lang w:val="fr-CA"/>
        </w:rPr>
        <w:t>64(2)</w:t>
      </w:r>
      <w:r w:rsidRPr="001E7CB3">
        <w:rPr>
          <w:i/>
          <w:szCs w:val="24"/>
          <w:lang w:val="fr-CA"/>
        </w:rPr>
        <w:t>d</w:t>
      </w:r>
      <w:r>
        <w:rPr>
          <w:szCs w:val="24"/>
          <w:lang w:val="fr-CA"/>
        </w:rPr>
        <w:t>))</w:t>
      </w:r>
      <w:r w:rsidRPr="001E7CB3">
        <w:rPr>
          <w:szCs w:val="24"/>
          <w:lang w:val="fr-CA"/>
        </w:rPr>
        <w:t xml:space="preserve">.  </w:t>
      </w:r>
      <w:r>
        <w:rPr>
          <w:szCs w:val="24"/>
          <w:lang w:val="fr-CA"/>
        </w:rPr>
        <w:t>En raison de l’absence de disposition sur les surplus actuariels</w:t>
      </w:r>
      <w:r w:rsidRPr="001E7CB3">
        <w:rPr>
          <w:szCs w:val="24"/>
          <w:lang w:val="fr-CA"/>
        </w:rPr>
        <w:t xml:space="preserve"> </w:t>
      </w:r>
      <w:r>
        <w:rPr>
          <w:szCs w:val="24"/>
          <w:lang w:val="fr-CA"/>
        </w:rPr>
        <w:t xml:space="preserve">dans </w:t>
      </w:r>
      <w:r w:rsidRPr="001E7CB3">
        <w:rPr>
          <w:szCs w:val="24"/>
          <w:lang w:val="fr-CA"/>
        </w:rPr>
        <w:t xml:space="preserve">les lois sur les pensions, le gouvernement </w:t>
      </w:r>
      <w:r>
        <w:rPr>
          <w:szCs w:val="24"/>
          <w:lang w:val="fr-CA"/>
        </w:rPr>
        <w:t>pouvait exercer</w:t>
      </w:r>
      <w:r w:rsidRPr="001E7CB3">
        <w:rPr>
          <w:szCs w:val="24"/>
          <w:lang w:val="fr-CA"/>
        </w:rPr>
        <w:t xml:space="preserve"> son pouvoir discrétionnaire d</w:t>
      </w:r>
      <w:r>
        <w:rPr>
          <w:szCs w:val="24"/>
          <w:lang w:val="fr-CA"/>
        </w:rPr>
        <w:t>’</w:t>
      </w:r>
      <w:r w:rsidRPr="001E7CB3">
        <w:rPr>
          <w:szCs w:val="24"/>
          <w:lang w:val="fr-CA"/>
        </w:rPr>
        <w:t>amorti</w:t>
      </w:r>
      <w:r>
        <w:rPr>
          <w:szCs w:val="24"/>
          <w:lang w:val="fr-CA"/>
        </w:rPr>
        <w:t>r</w:t>
      </w:r>
      <w:r w:rsidRPr="001E7CB3">
        <w:rPr>
          <w:szCs w:val="24"/>
          <w:lang w:val="fr-CA"/>
        </w:rPr>
        <w:t xml:space="preserve"> ce</w:t>
      </w:r>
      <w:r>
        <w:rPr>
          <w:szCs w:val="24"/>
          <w:lang w:val="fr-CA"/>
        </w:rPr>
        <w:t>s</w:t>
      </w:r>
      <w:r w:rsidRPr="001E7CB3">
        <w:rPr>
          <w:szCs w:val="24"/>
          <w:lang w:val="fr-CA"/>
        </w:rPr>
        <w:t xml:space="preserve"> surplus.  La juge </w:t>
      </w:r>
      <w:proofErr w:type="spellStart"/>
      <w:r w:rsidRPr="001E7CB3">
        <w:rPr>
          <w:szCs w:val="24"/>
          <w:lang w:val="fr-CA"/>
        </w:rPr>
        <w:t>Gillese</w:t>
      </w:r>
      <w:proofErr w:type="spellEnd"/>
      <w:r w:rsidRPr="001E7CB3">
        <w:rPr>
          <w:szCs w:val="24"/>
          <w:lang w:val="fr-CA"/>
        </w:rPr>
        <w:t xml:space="preserve"> </w:t>
      </w:r>
      <w:r>
        <w:rPr>
          <w:szCs w:val="24"/>
          <w:lang w:val="fr-CA"/>
        </w:rPr>
        <w:t xml:space="preserve">a conclu à bon droit </w:t>
      </w:r>
      <w:r w:rsidRPr="001E7CB3">
        <w:rPr>
          <w:szCs w:val="24"/>
          <w:lang w:val="fr-CA"/>
        </w:rPr>
        <w:t xml:space="preserve">que les lois sur les pensions </w:t>
      </w:r>
      <w:r>
        <w:rPr>
          <w:szCs w:val="24"/>
          <w:lang w:val="fr-CA"/>
        </w:rPr>
        <w:t>ne formaien</w:t>
      </w:r>
      <w:r w:rsidRPr="001E7CB3">
        <w:rPr>
          <w:szCs w:val="24"/>
          <w:lang w:val="fr-CA"/>
        </w:rPr>
        <w:t xml:space="preserve">t pas un code exhaustif avant le </w:t>
      </w:r>
      <w:r>
        <w:rPr>
          <w:szCs w:val="24"/>
          <w:lang w:val="fr-CA"/>
        </w:rPr>
        <w:t>1</w:t>
      </w:r>
      <w:r w:rsidRPr="00450ED3">
        <w:rPr>
          <w:szCs w:val="24"/>
          <w:vertAlign w:val="superscript"/>
          <w:lang w:val="fr-CA"/>
        </w:rPr>
        <w:t>er</w:t>
      </w:r>
      <w:r>
        <w:rPr>
          <w:szCs w:val="24"/>
          <w:lang w:val="fr-CA"/>
        </w:rPr>
        <w:t> </w:t>
      </w:r>
      <w:r w:rsidRPr="001E7CB3">
        <w:rPr>
          <w:szCs w:val="24"/>
          <w:lang w:val="fr-CA"/>
        </w:rPr>
        <w:t>avril</w:t>
      </w:r>
      <w:r>
        <w:rPr>
          <w:szCs w:val="24"/>
          <w:lang w:val="fr-CA"/>
        </w:rPr>
        <w:t xml:space="preserve"> </w:t>
      </w:r>
      <w:r w:rsidRPr="001E7CB3">
        <w:rPr>
          <w:szCs w:val="24"/>
          <w:lang w:val="fr-CA"/>
        </w:rPr>
        <w:t>2000.</w:t>
      </w:r>
    </w:p>
    <w:p w:rsidR="000F48EC" w:rsidRPr="001E7CB3" w:rsidRDefault="000F48EC" w:rsidP="000F48EC">
      <w:pPr>
        <w:pStyle w:val="ParaNoNdepar-AltN"/>
        <w:rPr>
          <w:lang w:val="fr-CA"/>
        </w:rPr>
      </w:pPr>
      <w:r w:rsidRPr="001E7CB3">
        <w:rPr>
          <w:lang w:val="fr-CA"/>
        </w:rPr>
        <w:t>Comme je l</w:t>
      </w:r>
      <w:r>
        <w:rPr>
          <w:lang w:val="fr-CA"/>
        </w:rPr>
        <w:t>’</w:t>
      </w:r>
      <w:r w:rsidRPr="001E7CB3">
        <w:rPr>
          <w:lang w:val="fr-CA"/>
        </w:rPr>
        <w:t>ai expliqué, toutefois, le traitement comptable (l</w:t>
      </w:r>
      <w:r>
        <w:rPr>
          <w:lang w:val="fr-CA"/>
        </w:rPr>
        <w:t>’</w:t>
      </w:r>
      <w:r w:rsidRPr="001E7CB3">
        <w:rPr>
          <w:lang w:val="fr-CA"/>
        </w:rPr>
        <w:t>amortissement) d</w:t>
      </w:r>
      <w:r>
        <w:rPr>
          <w:lang w:val="fr-CA"/>
        </w:rPr>
        <w:t xml:space="preserve">es </w:t>
      </w:r>
      <w:r w:rsidRPr="001E7CB3">
        <w:rPr>
          <w:lang w:val="fr-CA"/>
        </w:rPr>
        <w:t xml:space="preserve">surplus </w:t>
      </w:r>
      <w:r>
        <w:rPr>
          <w:lang w:val="fr-CA"/>
        </w:rPr>
        <w:t>à l’égard desquels le gouvernement a exercé son</w:t>
      </w:r>
      <w:r w:rsidRPr="001E7CB3">
        <w:rPr>
          <w:lang w:val="fr-CA"/>
        </w:rPr>
        <w:t xml:space="preserve"> pouvoir discrétionnaire n</w:t>
      </w:r>
      <w:r>
        <w:rPr>
          <w:lang w:val="fr-CA"/>
        </w:rPr>
        <w:t>’</w:t>
      </w:r>
      <w:r w:rsidRPr="001E7CB3">
        <w:rPr>
          <w:lang w:val="fr-CA"/>
        </w:rPr>
        <w:t>a pas modifié le</w:t>
      </w:r>
      <w:r>
        <w:rPr>
          <w:lang w:val="fr-CA"/>
        </w:rPr>
        <w:t xml:space="preserve"> solde des</w:t>
      </w:r>
      <w:r w:rsidRPr="001E7CB3">
        <w:rPr>
          <w:lang w:val="fr-CA"/>
        </w:rPr>
        <w:t xml:space="preserve"> comptes de pension de retraite; il n</w:t>
      </w:r>
      <w:r>
        <w:rPr>
          <w:lang w:val="fr-CA"/>
        </w:rPr>
        <w:t>’</w:t>
      </w:r>
      <w:r w:rsidRPr="001E7CB3">
        <w:rPr>
          <w:lang w:val="fr-CA"/>
        </w:rPr>
        <w:t>a modifié que la présentation de la situation financière du g</w:t>
      </w:r>
      <w:r>
        <w:rPr>
          <w:lang w:val="fr-CA"/>
        </w:rPr>
        <w:t>ouvernement du Canada dans les C</w:t>
      </w:r>
      <w:r w:rsidRPr="001E7CB3">
        <w:rPr>
          <w:lang w:val="fr-CA"/>
        </w:rPr>
        <w:t xml:space="preserve">omptes publics. </w:t>
      </w:r>
    </w:p>
    <w:p w:rsidR="000F48EC" w:rsidRPr="001E7CB3" w:rsidRDefault="000F48EC" w:rsidP="000F48EC">
      <w:pPr>
        <w:pStyle w:val="ParaNoNdepar-AltN"/>
        <w:rPr>
          <w:rFonts w:ascii="Times" w:hAnsi="Times"/>
          <w:szCs w:val="24"/>
          <w:lang w:val="fr-CA"/>
        </w:rPr>
      </w:pPr>
      <w:r w:rsidRPr="001E7CB3">
        <w:rPr>
          <w:lang w:val="fr-CA"/>
        </w:rPr>
        <w:t>Avant le projet de loi</w:t>
      </w:r>
      <w:r>
        <w:rPr>
          <w:lang w:val="fr-CA"/>
        </w:rPr>
        <w:t> </w:t>
      </w:r>
      <w:r w:rsidRPr="001E7CB3">
        <w:rPr>
          <w:lang w:val="fr-CA"/>
        </w:rPr>
        <w:t>C</w:t>
      </w:r>
      <w:r>
        <w:rPr>
          <w:lang w:val="fr-CA"/>
        </w:rPr>
        <w:noBreakHyphen/>
      </w:r>
      <w:r w:rsidRPr="001E7CB3">
        <w:rPr>
          <w:lang w:val="fr-CA"/>
        </w:rPr>
        <w:t xml:space="preserve">78, comme </w:t>
      </w:r>
      <w:r>
        <w:rPr>
          <w:lang w:val="fr-CA"/>
        </w:rPr>
        <w:t>nous l’avons</w:t>
      </w:r>
      <w:r w:rsidRPr="001E7CB3">
        <w:rPr>
          <w:lang w:val="fr-CA"/>
        </w:rPr>
        <w:t xml:space="preserve"> vu, le gouvernement exerçait un pouvoir discrétionnaire sur l</w:t>
      </w:r>
      <w:r>
        <w:rPr>
          <w:lang w:val="fr-CA"/>
        </w:rPr>
        <w:t xml:space="preserve">es </w:t>
      </w:r>
      <w:r w:rsidRPr="001E7CB3">
        <w:rPr>
          <w:lang w:val="fr-CA"/>
        </w:rPr>
        <w:t xml:space="preserve">surplus </w:t>
      </w:r>
      <w:r>
        <w:rPr>
          <w:lang w:val="fr-CA"/>
        </w:rPr>
        <w:t>dans les</w:t>
      </w:r>
      <w:r w:rsidRPr="001E7CB3">
        <w:rPr>
          <w:lang w:val="fr-CA"/>
        </w:rPr>
        <w:t xml:space="preserve"> Comptes publics.  Le </w:t>
      </w:r>
      <w:r w:rsidRPr="001E7CB3">
        <w:rPr>
          <w:lang w:val="fr-CA"/>
        </w:rPr>
        <w:lastRenderedPageBreak/>
        <w:t>paragraphe </w:t>
      </w:r>
      <w:proofErr w:type="gramStart"/>
      <w:r w:rsidRPr="001E7CB3">
        <w:rPr>
          <w:lang w:val="fr-CA"/>
        </w:rPr>
        <w:t xml:space="preserve">63(2) de la </w:t>
      </w:r>
      <w:r w:rsidRPr="0075603D">
        <w:rPr>
          <w:i/>
          <w:lang w:val="fr-CA"/>
        </w:rPr>
        <w:t>LGFP</w:t>
      </w:r>
      <w:r w:rsidRPr="001E7CB3">
        <w:rPr>
          <w:i/>
          <w:lang w:val="fr-CA"/>
        </w:rPr>
        <w:t xml:space="preserve"> </w:t>
      </w:r>
      <w:r w:rsidRPr="001E7CB3">
        <w:rPr>
          <w:lang w:val="fr-CA"/>
        </w:rPr>
        <w:t>énonce</w:t>
      </w:r>
      <w:proofErr w:type="gramEnd"/>
      <w:r w:rsidRPr="001E7CB3">
        <w:rPr>
          <w:lang w:val="fr-CA"/>
        </w:rPr>
        <w:t xml:space="preserve"> que le receveur général</w:t>
      </w:r>
      <w:r w:rsidRPr="001E7CB3">
        <w:rPr>
          <w:i/>
          <w:lang w:val="fr-CA"/>
        </w:rPr>
        <w:t xml:space="preserve"> </w:t>
      </w:r>
      <w:r w:rsidRPr="001E7CB3">
        <w:rPr>
          <w:lang w:val="fr-CA"/>
        </w:rPr>
        <w:t>« </w:t>
      </w:r>
      <w:r w:rsidRPr="001E7CB3">
        <w:rPr>
          <w:rFonts w:ascii="Times" w:hAnsi="Times"/>
          <w:szCs w:val="24"/>
          <w:lang w:val="fr-CA"/>
        </w:rPr>
        <w:t>fait tenir des comptes retraçant les actifs, les passifs et les passifs éventuels de l</w:t>
      </w:r>
      <w:r>
        <w:rPr>
          <w:rFonts w:ascii="Times" w:hAnsi="Times"/>
          <w:szCs w:val="24"/>
          <w:lang w:val="fr-CA"/>
        </w:rPr>
        <w:t>’</w:t>
      </w:r>
      <w:r w:rsidRPr="001E7CB3">
        <w:rPr>
          <w:rFonts w:ascii="Times" w:hAnsi="Times"/>
          <w:szCs w:val="24"/>
          <w:lang w:val="fr-CA"/>
        </w:rPr>
        <w:t>État, ainsi que les provisions constituées à cet égard, qui, selon le président du Conseil du Trésor et le ministre, sont nécessaires à une présentation fidèle de la situation financière du Canada ».  De plus, l</w:t>
      </w:r>
      <w:r>
        <w:rPr>
          <w:rFonts w:ascii="Times" w:hAnsi="Times"/>
          <w:szCs w:val="24"/>
          <w:lang w:val="fr-CA"/>
        </w:rPr>
        <w:t>’al. </w:t>
      </w:r>
      <w:r w:rsidRPr="001E7CB3">
        <w:rPr>
          <w:rFonts w:ascii="Times" w:hAnsi="Times"/>
          <w:szCs w:val="24"/>
          <w:lang w:val="fr-CA"/>
        </w:rPr>
        <w:t>64(2)</w:t>
      </w:r>
      <w:r w:rsidRPr="001E7CB3">
        <w:rPr>
          <w:rFonts w:ascii="Times" w:hAnsi="Times"/>
          <w:i/>
          <w:szCs w:val="24"/>
          <w:lang w:val="fr-CA"/>
        </w:rPr>
        <w:t>d</w:t>
      </w:r>
      <w:r w:rsidRPr="001E7CB3">
        <w:rPr>
          <w:rFonts w:ascii="Times" w:hAnsi="Times"/>
          <w:szCs w:val="24"/>
          <w:lang w:val="fr-CA"/>
        </w:rPr>
        <w:t xml:space="preserve">) de la </w:t>
      </w:r>
      <w:r w:rsidRPr="0075603D">
        <w:rPr>
          <w:rFonts w:ascii="Times" w:hAnsi="Times"/>
          <w:i/>
          <w:szCs w:val="24"/>
          <w:lang w:val="fr-CA"/>
        </w:rPr>
        <w:t>LGFP</w:t>
      </w:r>
      <w:r w:rsidRPr="001E7CB3">
        <w:rPr>
          <w:rFonts w:ascii="Times" w:hAnsi="Times"/>
          <w:szCs w:val="24"/>
          <w:lang w:val="fr-CA"/>
        </w:rPr>
        <w:t xml:space="preserve"> prévoit que les Comptes publics comprennent « les autres comptes et renseignements relatifs à l</w:t>
      </w:r>
      <w:r>
        <w:rPr>
          <w:rFonts w:ascii="Times" w:hAnsi="Times"/>
          <w:szCs w:val="24"/>
          <w:lang w:val="fr-CA"/>
        </w:rPr>
        <w:t>’</w:t>
      </w:r>
      <w:r w:rsidRPr="001E7CB3">
        <w:rPr>
          <w:rFonts w:ascii="Times" w:hAnsi="Times"/>
          <w:szCs w:val="24"/>
          <w:lang w:val="fr-CA"/>
        </w:rPr>
        <w:t xml:space="preserve">exercice que le président du Conseil du Trésor et le ministre jugent nécessaires à une présentation fidèle des opérations et de la </w:t>
      </w:r>
      <w:r>
        <w:rPr>
          <w:rFonts w:ascii="Times" w:hAnsi="Times"/>
          <w:szCs w:val="24"/>
          <w:lang w:val="fr-CA"/>
        </w:rPr>
        <w:t>situation financières du Canada</w:t>
      </w:r>
      <w:r w:rsidRPr="001E7CB3">
        <w:rPr>
          <w:rFonts w:ascii="Times" w:hAnsi="Times"/>
          <w:szCs w:val="24"/>
          <w:lang w:val="fr-CA"/>
        </w:rPr>
        <w:t> ».</w:t>
      </w:r>
    </w:p>
    <w:p w:rsidR="000F48EC" w:rsidRPr="001E7CB3" w:rsidRDefault="000F48EC" w:rsidP="000F48EC">
      <w:pPr>
        <w:pStyle w:val="ParaNoNdepar-AltN"/>
        <w:rPr>
          <w:rFonts w:ascii="Times" w:hAnsi="Times"/>
          <w:szCs w:val="24"/>
          <w:lang w:val="fr-CA"/>
        </w:rPr>
      </w:pPr>
      <w:r w:rsidRPr="001E7CB3">
        <w:rPr>
          <w:rFonts w:ascii="Times" w:hAnsi="Times"/>
          <w:szCs w:val="24"/>
          <w:lang w:val="fr-CA"/>
        </w:rPr>
        <w:t xml:space="preserve">Bien que la </w:t>
      </w:r>
      <w:r w:rsidRPr="0075603D">
        <w:rPr>
          <w:rFonts w:ascii="Times" w:hAnsi="Times"/>
          <w:i/>
          <w:szCs w:val="24"/>
          <w:lang w:val="fr-CA"/>
        </w:rPr>
        <w:t>LGFP</w:t>
      </w:r>
      <w:r w:rsidRPr="001E7CB3">
        <w:rPr>
          <w:rFonts w:ascii="Times" w:hAnsi="Times"/>
          <w:i/>
          <w:szCs w:val="24"/>
          <w:lang w:val="fr-CA"/>
        </w:rPr>
        <w:t xml:space="preserve"> </w:t>
      </w:r>
      <w:r>
        <w:rPr>
          <w:rFonts w:ascii="Times" w:hAnsi="Times"/>
          <w:szCs w:val="24"/>
          <w:lang w:val="fr-CA"/>
        </w:rPr>
        <w:t>oblige le</w:t>
      </w:r>
      <w:r w:rsidRPr="001E7CB3">
        <w:rPr>
          <w:rFonts w:ascii="Times" w:hAnsi="Times"/>
          <w:szCs w:val="24"/>
          <w:lang w:val="fr-CA"/>
        </w:rPr>
        <w:t xml:space="preserve"> receveur général </w:t>
      </w:r>
      <w:r>
        <w:rPr>
          <w:rFonts w:ascii="Times" w:hAnsi="Times"/>
          <w:szCs w:val="24"/>
          <w:lang w:val="fr-CA"/>
        </w:rPr>
        <w:t>à</w:t>
      </w:r>
      <w:r w:rsidRPr="001E7CB3">
        <w:rPr>
          <w:rFonts w:ascii="Times" w:hAnsi="Times"/>
          <w:szCs w:val="24"/>
          <w:lang w:val="fr-CA"/>
        </w:rPr>
        <w:t xml:space="preserve"> présenter fidèlement la situation financière du Canada, le président du Conseil du Trésor et le ministre des Finances jouissent d</w:t>
      </w:r>
      <w:r>
        <w:rPr>
          <w:rFonts w:ascii="Times" w:hAnsi="Times"/>
          <w:szCs w:val="24"/>
          <w:lang w:val="fr-CA"/>
        </w:rPr>
        <w:t>’</w:t>
      </w:r>
      <w:r w:rsidRPr="001E7CB3">
        <w:rPr>
          <w:rFonts w:ascii="Times" w:hAnsi="Times"/>
          <w:szCs w:val="24"/>
          <w:lang w:val="fr-CA"/>
        </w:rPr>
        <w:t>une certaine latitude relativement à l</w:t>
      </w:r>
      <w:r>
        <w:rPr>
          <w:rFonts w:ascii="Times" w:hAnsi="Times"/>
          <w:szCs w:val="24"/>
          <w:lang w:val="fr-CA"/>
        </w:rPr>
        <w:t>’</w:t>
      </w:r>
      <w:r w:rsidRPr="001E7CB3">
        <w:rPr>
          <w:rFonts w:ascii="Times" w:hAnsi="Times"/>
          <w:szCs w:val="24"/>
          <w:lang w:val="fr-CA"/>
        </w:rPr>
        <w:t xml:space="preserve">établissement des comptes et </w:t>
      </w:r>
      <w:r>
        <w:rPr>
          <w:rFonts w:ascii="Times" w:hAnsi="Times"/>
          <w:szCs w:val="24"/>
          <w:lang w:val="fr-CA"/>
        </w:rPr>
        <w:t>redresse</w:t>
      </w:r>
      <w:r w:rsidRPr="001E7CB3">
        <w:rPr>
          <w:rFonts w:ascii="Times" w:hAnsi="Times"/>
          <w:szCs w:val="24"/>
          <w:lang w:val="fr-CA"/>
        </w:rPr>
        <w:t>ments nécessaires.  L</w:t>
      </w:r>
      <w:r>
        <w:rPr>
          <w:rFonts w:ascii="Times" w:hAnsi="Times"/>
          <w:szCs w:val="24"/>
          <w:lang w:val="fr-CA"/>
        </w:rPr>
        <w:t>’</w:t>
      </w:r>
      <w:r w:rsidRPr="001E7CB3">
        <w:rPr>
          <w:rFonts w:ascii="Times" w:hAnsi="Times"/>
          <w:szCs w:val="24"/>
          <w:lang w:val="fr-CA"/>
        </w:rPr>
        <w:t>amortissement, qui s</w:t>
      </w:r>
      <w:r>
        <w:rPr>
          <w:rFonts w:ascii="Times" w:hAnsi="Times"/>
          <w:szCs w:val="24"/>
          <w:lang w:val="fr-CA"/>
        </w:rPr>
        <w:t>’</w:t>
      </w:r>
      <w:r w:rsidRPr="001E7CB3">
        <w:rPr>
          <w:rFonts w:ascii="Times" w:hAnsi="Times"/>
          <w:szCs w:val="24"/>
          <w:lang w:val="fr-CA"/>
        </w:rPr>
        <w:t xml:space="preserve">accompagnait de la création des </w:t>
      </w:r>
      <w:r>
        <w:rPr>
          <w:rFonts w:ascii="Times" w:hAnsi="Times"/>
          <w:szCs w:val="24"/>
          <w:lang w:val="fr-CA"/>
        </w:rPr>
        <w:t>« provisions pour redressements au titre des régimes de retraite » en compensation d</w:t>
      </w:r>
      <w:r w:rsidRPr="001E7CB3">
        <w:rPr>
          <w:rFonts w:ascii="Times" w:hAnsi="Times"/>
          <w:szCs w:val="24"/>
          <w:lang w:val="fr-CA"/>
        </w:rPr>
        <w:t>e</w:t>
      </w:r>
      <w:r>
        <w:rPr>
          <w:rFonts w:ascii="Times" w:hAnsi="Times"/>
          <w:szCs w:val="24"/>
          <w:lang w:val="fr-CA"/>
        </w:rPr>
        <w:t>s</w:t>
      </w:r>
      <w:r w:rsidRPr="001E7CB3">
        <w:rPr>
          <w:rFonts w:ascii="Times" w:hAnsi="Times"/>
          <w:szCs w:val="24"/>
          <w:lang w:val="fr-CA"/>
        </w:rPr>
        <w:t xml:space="preserve"> passif</w:t>
      </w:r>
      <w:r>
        <w:rPr>
          <w:rFonts w:ascii="Times" w:hAnsi="Times"/>
          <w:szCs w:val="24"/>
          <w:lang w:val="fr-CA"/>
        </w:rPr>
        <w:t>s</w:t>
      </w:r>
      <w:r w:rsidRPr="001E7CB3">
        <w:rPr>
          <w:rFonts w:ascii="Times" w:hAnsi="Times"/>
          <w:szCs w:val="24"/>
          <w:lang w:val="fr-CA"/>
        </w:rPr>
        <w:t xml:space="preserve"> surévalué</w:t>
      </w:r>
      <w:r>
        <w:rPr>
          <w:rFonts w:ascii="Times" w:hAnsi="Times"/>
          <w:szCs w:val="24"/>
          <w:lang w:val="fr-CA"/>
        </w:rPr>
        <w:t>s</w:t>
      </w:r>
      <w:r w:rsidRPr="001E7CB3">
        <w:rPr>
          <w:rFonts w:ascii="Times" w:hAnsi="Times"/>
          <w:szCs w:val="24"/>
          <w:lang w:val="fr-CA"/>
        </w:rPr>
        <w:t xml:space="preserve"> (l</w:t>
      </w:r>
      <w:r>
        <w:rPr>
          <w:rFonts w:ascii="Times" w:hAnsi="Times"/>
          <w:szCs w:val="24"/>
          <w:lang w:val="fr-CA"/>
        </w:rPr>
        <w:t xml:space="preserve">e </w:t>
      </w:r>
      <w:r w:rsidRPr="001E7CB3">
        <w:rPr>
          <w:rFonts w:ascii="Times" w:hAnsi="Times"/>
          <w:szCs w:val="24"/>
          <w:lang w:val="fr-CA"/>
        </w:rPr>
        <w:t xml:space="preserve">surplus actuariel) des comptes de pension de retraite, peut être considéré comme un exemple de décision discrétionnaire prise pour parvenir à une présentation fidèle dans les Comptes publics. </w:t>
      </w:r>
    </w:p>
    <w:p w:rsidR="000F48EC" w:rsidRPr="001E7CB3" w:rsidRDefault="000F48EC" w:rsidP="000F48EC">
      <w:pPr>
        <w:pStyle w:val="ParaNoNdepar-AltN"/>
        <w:rPr>
          <w:rFonts w:ascii="Times" w:hAnsi="Times"/>
          <w:szCs w:val="24"/>
          <w:lang w:val="fr-CA"/>
        </w:rPr>
      </w:pPr>
      <w:r>
        <w:rPr>
          <w:lang w:val="fr-CA"/>
        </w:rPr>
        <w:t xml:space="preserve">Avant le projet de loi </w:t>
      </w:r>
      <w:r w:rsidRPr="001E7CB3">
        <w:rPr>
          <w:lang w:val="fr-CA"/>
        </w:rPr>
        <w:t>C</w:t>
      </w:r>
      <w:r>
        <w:rPr>
          <w:lang w:val="fr-CA"/>
        </w:rPr>
        <w:noBreakHyphen/>
      </w:r>
      <w:r w:rsidRPr="001E7CB3">
        <w:rPr>
          <w:lang w:val="fr-CA"/>
        </w:rPr>
        <w:t>78, l</w:t>
      </w:r>
      <w:r>
        <w:rPr>
          <w:lang w:val="fr-CA"/>
        </w:rPr>
        <w:t xml:space="preserve">es </w:t>
      </w:r>
      <w:r w:rsidRPr="001E7CB3">
        <w:rPr>
          <w:lang w:val="fr-CA"/>
        </w:rPr>
        <w:t xml:space="preserve">surplus </w:t>
      </w:r>
      <w:r>
        <w:rPr>
          <w:lang w:val="fr-CA"/>
        </w:rPr>
        <w:t>des</w:t>
      </w:r>
      <w:r w:rsidRPr="001E7CB3">
        <w:rPr>
          <w:lang w:val="fr-CA"/>
        </w:rPr>
        <w:t xml:space="preserve"> comptes de pension de retraite </w:t>
      </w:r>
      <w:r>
        <w:rPr>
          <w:lang w:val="fr-CA"/>
        </w:rPr>
        <w:t>demeuraient intacts</w:t>
      </w:r>
      <w:r w:rsidRPr="001E7CB3">
        <w:rPr>
          <w:lang w:val="fr-CA"/>
        </w:rPr>
        <w:t>.  Ce n</w:t>
      </w:r>
      <w:r>
        <w:rPr>
          <w:lang w:val="fr-CA"/>
        </w:rPr>
        <w:t>’</w:t>
      </w:r>
      <w:r w:rsidRPr="001E7CB3">
        <w:rPr>
          <w:lang w:val="fr-CA"/>
        </w:rPr>
        <w:t>est que lorsque le projet de loi C</w:t>
      </w:r>
      <w:r>
        <w:rPr>
          <w:lang w:val="fr-CA"/>
        </w:rPr>
        <w:noBreakHyphen/>
      </w:r>
      <w:r w:rsidRPr="001E7CB3">
        <w:rPr>
          <w:lang w:val="fr-CA"/>
        </w:rPr>
        <w:t>78 l</w:t>
      </w:r>
      <w:r>
        <w:rPr>
          <w:lang w:val="fr-CA"/>
        </w:rPr>
        <w:t>’</w:t>
      </w:r>
      <w:r w:rsidRPr="001E7CB3">
        <w:rPr>
          <w:lang w:val="fr-CA"/>
        </w:rPr>
        <w:t>a exigé</w:t>
      </w:r>
      <w:r>
        <w:rPr>
          <w:lang w:val="fr-CA"/>
        </w:rPr>
        <w:t>,</w:t>
      </w:r>
      <w:r w:rsidRPr="001E7CB3">
        <w:rPr>
          <w:lang w:val="fr-CA"/>
        </w:rPr>
        <w:t xml:space="preserve"> </w:t>
      </w:r>
      <w:r>
        <w:rPr>
          <w:lang w:val="fr-CA"/>
        </w:rPr>
        <w:t>après le 1</w:t>
      </w:r>
      <w:r w:rsidRPr="003B1F36">
        <w:rPr>
          <w:vertAlign w:val="superscript"/>
          <w:lang w:val="fr-CA"/>
        </w:rPr>
        <w:t>er</w:t>
      </w:r>
      <w:r>
        <w:rPr>
          <w:lang w:val="fr-CA"/>
        </w:rPr>
        <w:t xml:space="preserve"> avril 2000, </w:t>
      </w:r>
      <w:r w:rsidRPr="001E7CB3">
        <w:rPr>
          <w:lang w:val="fr-CA"/>
        </w:rPr>
        <w:t xml:space="preserve">que des inscriptions au débit ont été effectuées.  Pendant </w:t>
      </w:r>
      <w:r>
        <w:rPr>
          <w:lang w:val="fr-CA"/>
        </w:rPr>
        <w:t>la décennie</w:t>
      </w:r>
      <w:r w:rsidRPr="001E7CB3">
        <w:rPr>
          <w:lang w:val="fr-CA"/>
        </w:rPr>
        <w:t xml:space="preserve"> 1990, l</w:t>
      </w:r>
      <w:r>
        <w:rPr>
          <w:lang w:val="fr-CA"/>
        </w:rPr>
        <w:t>’</w:t>
      </w:r>
      <w:r w:rsidRPr="001E7CB3">
        <w:rPr>
          <w:lang w:val="fr-CA"/>
        </w:rPr>
        <w:t xml:space="preserve">amortissement </w:t>
      </w:r>
      <w:r>
        <w:rPr>
          <w:lang w:val="fr-CA"/>
        </w:rPr>
        <w:t>ne figurait</w:t>
      </w:r>
      <w:r w:rsidRPr="001E7CB3">
        <w:rPr>
          <w:lang w:val="fr-CA"/>
        </w:rPr>
        <w:t xml:space="preserve"> que dans les Comptes publics</w:t>
      </w:r>
      <w:r>
        <w:rPr>
          <w:lang w:val="fr-CA"/>
        </w:rPr>
        <w:t xml:space="preserve"> et visait à</w:t>
      </w:r>
      <w:r w:rsidRPr="001E7CB3">
        <w:rPr>
          <w:lang w:val="fr-CA"/>
        </w:rPr>
        <w:t xml:space="preserve"> présenter fidèlement le véritable déficit ou surplus du Canada et sa dette nette.  Il s</w:t>
      </w:r>
      <w:r>
        <w:rPr>
          <w:lang w:val="fr-CA"/>
        </w:rPr>
        <w:t>’</w:t>
      </w:r>
      <w:r w:rsidRPr="001E7CB3">
        <w:rPr>
          <w:lang w:val="fr-CA"/>
        </w:rPr>
        <w:t xml:space="preserve">agissait </w:t>
      </w:r>
      <w:r w:rsidRPr="001E7CB3">
        <w:rPr>
          <w:lang w:val="fr-CA"/>
        </w:rPr>
        <w:lastRenderedPageBreak/>
        <w:t>d</w:t>
      </w:r>
      <w:r>
        <w:rPr>
          <w:lang w:val="fr-CA"/>
        </w:rPr>
        <w:t>’</w:t>
      </w:r>
      <w:r w:rsidRPr="001E7CB3">
        <w:rPr>
          <w:lang w:val="fr-CA"/>
        </w:rPr>
        <w:t xml:space="preserve">une décision comptable, </w:t>
      </w:r>
      <w:r>
        <w:rPr>
          <w:lang w:val="fr-CA"/>
        </w:rPr>
        <w:t xml:space="preserve">et </w:t>
      </w:r>
      <w:r w:rsidRPr="001E7CB3">
        <w:rPr>
          <w:lang w:val="fr-CA"/>
        </w:rPr>
        <w:t>non d</w:t>
      </w:r>
      <w:r>
        <w:rPr>
          <w:lang w:val="fr-CA"/>
        </w:rPr>
        <w:t>’</w:t>
      </w:r>
      <w:r w:rsidRPr="001E7CB3">
        <w:rPr>
          <w:lang w:val="fr-CA"/>
        </w:rPr>
        <w:t xml:space="preserve">une décision </w:t>
      </w:r>
      <w:proofErr w:type="gramStart"/>
      <w:r>
        <w:rPr>
          <w:lang w:val="fr-CA"/>
        </w:rPr>
        <w:t>portant</w:t>
      </w:r>
      <w:proofErr w:type="gramEnd"/>
      <w:r>
        <w:rPr>
          <w:lang w:val="fr-CA"/>
        </w:rPr>
        <w:t xml:space="preserve"> sur</w:t>
      </w:r>
      <w:r w:rsidRPr="001E7CB3">
        <w:rPr>
          <w:lang w:val="fr-CA"/>
        </w:rPr>
        <w:t xml:space="preserve"> la substance des droits ou intérêts des membres des régimes.  Ainsi que l</w:t>
      </w:r>
      <w:r>
        <w:rPr>
          <w:lang w:val="fr-CA"/>
        </w:rPr>
        <w:t>’</w:t>
      </w:r>
      <w:r w:rsidRPr="001E7CB3">
        <w:rPr>
          <w:lang w:val="fr-CA"/>
        </w:rPr>
        <w:t>expert comptable des appelants l</w:t>
      </w:r>
      <w:r>
        <w:rPr>
          <w:lang w:val="fr-CA"/>
        </w:rPr>
        <w:t>’</w:t>
      </w:r>
      <w:r w:rsidRPr="001E7CB3">
        <w:rPr>
          <w:lang w:val="fr-CA"/>
        </w:rPr>
        <w:t xml:space="preserve">a déclaré en </w:t>
      </w:r>
      <w:proofErr w:type="spellStart"/>
      <w:r w:rsidRPr="001E7CB3">
        <w:rPr>
          <w:lang w:val="fr-CA"/>
        </w:rPr>
        <w:t>contre</w:t>
      </w:r>
      <w:r>
        <w:rPr>
          <w:lang w:val="fr-CA"/>
        </w:rPr>
        <w:noBreakHyphen/>
      </w:r>
      <w:r w:rsidRPr="001E7CB3">
        <w:rPr>
          <w:lang w:val="fr-CA"/>
        </w:rPr>
        <w:t>interrogatoire</w:t>
      </w:r>
      <w:proofErr w:type="spellEnd"/>
      <w:r w:rsidRPr="001E7CB3">
        <w:rPr>
          <w:lang w:val="fr-CA"/>
        </w:rPr>
        <w:t xml:space="preserve">, la comptabilité </w:t>
      </w:r>
      <w:r>
        <w:rPr>
          <w:lang w:val="fr-CA"/>
        </w:rPr>
        <w:t>ne définit pas</w:t>
      </w:r>
      <w:r w:rsidRPr="001E7CB3">
        <w:rPr>
          <w:lang w:val="fr-CA"/>
        </w:rPr>
        <w:t xml:space="preserve"> la substance d</w:t>
      </w:r>
      <w:r>
        <w:rPr>
          <w:lang w:val="fr-CA"/>
        </w:rPr>
        <w:t>’</w:t>
      </w:r>
      <w:r w:rsidRPr="001E7CB3">
        <w:rPr>
          <w:lang w:val="fr-CA"/>
        </w:rPr>
        <w:t>une opération.</w:t>
      </w:r>
    </w:p>
    <w:p w:rsidR="000F48EC" w:rsidRPr="001E7CB3" w:rsidRDefault="000F48EC" w:rsidP="000F48EC">
      <w:pPr>
        <w:pStyle w:val="ParaNoNdepar-AltN"/>
        <w:rPr>
          <w:lang w:val="fr-CA"/>
        </w:rPr>
      </w:pPr>
      <w:r w:rsidRPr="001E7CB3">
        <w:rPr>
          <w:lang w:val="fr-CA"/>
        </w:rPr>
        <w:t>Je conviens que l</w:t>
      </w:r>
      <w:r>
        <w:rPr>
          <w:lang w:val="fr-CA"/>
        </w:rPr>
        <w:t>’</w:t>
      </w:r>
      <w:r w:rsidRPr="001E7CB3">
        <w:rPr>
          <w:lang w:val="fr-CA"/>
        </w:rPr>
        <w:t>amortissement d</w:t>
      </w:r>
      <w:r>
        <w:rPr>
          <w:lang w:val="fr-CA"/>
        </w:rPr>
        <w:t xml:space="preserve">es </w:t>
      </w:r>
      <w:r w:rsidRPr="001E7CB3">
        <w:rPr>
          <w:lang w:val="fr-CA"/>
        </w:rPr>
        <w:t>surplus des comptes de pension de retraite, au cours des années 1990, a donné lieu à l</w:t>
      </w:r>
      <w:r>
        <w:rPr>
          <w:lang w:val="fr-CA"/>
        </w:rPr>
        <w:t>’</w:t>
      </w:r>
      <w:r w:rsidRPr="001E7CB3">
        <w:rPr>
          <w:lang w:val="fr-CA"/>
        </w:rPr>
        <w:t>exercice d</w:t>
      </w:r>
      <w:r>
        <w:rPr>
          <w:lang w:val="fr-CA"/>
        </w:rPr>
        <w:t>’</w:t>
      </w:r>
      <w:r w:rsidRPr="001E7CB3">
        <w:rPr>
          <w:lang w:val="fr-CA"/>
        </w:rPr>
        <w:t>un pouvoir discrétionnaire.  Toutefois, ce pouvoir discrétionnaire avait trait à la présentation des comptes publics et a été exercé à cette fin</w:t>
      </w:r>
      <w:r>
        <w:rPr>
          <w:lang w:val="fr-CA"/>
        </w:rPr>
        <w:t>;</w:t>
      </w:r>
      <w:r w:rsidRPr="001E7CB3">
        <w:rPr>
          <w:lang w:val="fr-CA"/>
        </w:rPr>
        <w:t xml:space="preserve"> il ne se rapportait pas à l</w:t>
      </w:r>
      <w:r>
        <w:rPr>
          <w:lang w:val="fr-CA"/>
        </w:rPr>
        <w:t>’</w:t>
      </w:r>
      <w:r w:rsidRPr="001E7CB3">
        <w:rPr>
          <w:lang w:val="fr-CA"/>
        </w:rPr>
        <w:t xml:space="preserve">administration des pensions de retraite des membres.  Le droit des membres aux prestations déterminées prévues par la loi est </w:t>
      </w:r>
      <w:r>
        <w:rPr>
          <w:lang w:val="fr-CA"/>
        </w:rPr>
        <w:t>demeuré</w:t>
      </w:r>
      <w:r w:rsidRPr="001E7CB3">
        <w:rPr>
          <w:lang w:val="fr-CA"/>
        </w:rPr>
        <w:t xml:space="preserve"> inchangé et a continué de relever de la prérogative </w:t>
      </w:r>
      <w:r>
        <w:rPr>
          <w:lang w:val="fr-CA"/>
        </w:rPr>
        <w:t>du législateur</w:t>
      </w:r>
      <w:r w:rsidRPr="001E7CB3">
        <w:rPr>
          <w:lang w:val="fr-CA"/>
        </w:rPr>
        <w:t xml:space="preserve">, </w:t>
      </w:r>
      <w:r>
        <w:rPr>
          <w:lang w:val="fr-CA"/>
        </w:rPr>
        <w:t xml:space="preserve">et </w:t>
      </w:r>
      <w:r w:rsidRPr="001E7CB3">
        <w:rPr>
          <w:lang w:val="fr-CA"/>
        </w:rPr>
        <w:t xml:space="preserve">non du pouvoir discrétionnaire </w:t>
      </w:r>
      <w:r>
        <w:rPr>
          <w:lang w:val="fr-CA"/>
        </w:rPr>
        <w:t xml:space="preserve">du </w:t>
      </w:r>
      <w:r w:rsidRPr="001E7CB3">
        <w:rPr>
          <w:lang w:val="fr-CA"/>
        </w:rPr>
        <w:t>gouvernement</w:t>
      </w:r>
      <w:r>
        <w:rPr>
          <w:lang w:val="fr-CA"/>
        </w:rPr>
        <w:t xml:space="preserve">. </w:t>
      </w:r>
      <w:r w:rsidRPr="001E7CB3">
        <w:rPr>
          <w:lang w:val="fr-CA"/>
        </w:rPr>
        <w:t xml:space="preserve"> Par conséquent, le pouvoir discrétionnaire que le gouvernement a exercé relativement aux Comptes publics </w:t>
      </w:r>
      <w:r>
        <w:rPr>
          <w:lang w:val="fr-CA"/>
        </w:rPr>
        <w:t>n’est pas pertinent quant à</w:t>
      </w:r>
      <w:r w:rsidRPr="001E7CB3">
        <w:rPr>
          <w:lang w:val="fr-CA"/>
        </w:rPr>
        <w:t xml:space="preserve"> l</w:t>
      </w:r>
      <w:r>
        <w:rPr>
          <w:lang w:val="fr-CA"/>
        </w:rPr>
        <w:t>’</w:t>
      </w:r>
      <w:r w:rsidRPr="001E7CB3">
        <w:rPr>
          <w:lang w:val="fr-CA"/>
        </w:rPr>
        <w:t>existence d</w:t>
      </w:r>
      <w:r>
        <w:rPr>
          <w:lang w:val="fr-CA"/>
        </w:rPr>
        <w:t>’</w:t>
      </w:r>
      <w:r w:rsidRPr="001E7CB3">
        <w:rPr>
          <w:lang w:val="fr-CA"/>
        </w:rPr>
        <w:t>une obligation fiducia</w:t>
      </w:r>
      <w:r>
        <w:rPr>
          <w:lang w:val="fr-CA"/>
        </w:rPr>
        <w:t>ir</w:t>
      </w:r>
      <w:r w:rsidRPr="001E7CB3">
        <w:rPr>
          <w:lang w:val="fr-CA"/>
        </w:rPr>
        <w:t xml:space="preserve">e envers les membres des régimes.  Je conclus </w:t>
      </w:r>
      <w:r>
        <w:rPr>
          <w:lang w:val="fr-CA"/>
        </w:rPr>
        <w:t xml:space="preserve">que les appelants ne peuvent établir leur vulnérabilité par rapport </w:t>
      </w:r>
      <w:r w:rsidRPr="001E7CB3">
        <w:rPr>
          <w:lang w:val="fr-CA"/>
        </w:rPr>
        <w:t>à l</w:t>
      </w:r>
      <w:r>
        <w:rPr>
          <w:lang w:val="fr-CA"/>
        </w:rPr>
        <w:t>’</w:t>
      </w:r>
      <w:r w:rsidRPr="001E7CB3">
        <w:rPr>
          <w:lang w:val="fr-CA"/>
        </w:rPr>
        <w:t>exercice du pouvoir discrétionnaire gouvernement</w:t>
      </w:r>
      <w:r>
        <w:rPr>
          <w:lang w:val="fr-CA"/>
        </w:rPr>
        <w:t>al. </w:t>
      </w:r>
    </w:p>
    <w:p w:rsidR="000F48EC" w:rsidRPr="001E7CB3" w:rsidRDefault="000F48EC" w:rsidP="0075603D">
      <w:pPr>
        <w:pStyle w:val="TitleTitre-AltT"/>
        <w:keepNext/>
        <w:tabs>
          <w:tab w:val="clear" w:pos="360"/>
          <w:tab w:val="left" w:pos="540"/>
        </w:tabs>
        <w:ind w:left="1170" w:hanging="1170"/>
        <w:rPr>
          <w:i/>
          <w:lang w:val="fr-CA"/>
        </w:rPr>
      </w:pPr>
      <w:bookmarkStart w:id="4" w:name="_Toc315784299"/>
      <w:r>
        <w:rPr>
          <w:i/>
          <w:lang w:val="fr-CA"/>
        </w:rPr>
        <w:tab/>
      </w:r>
      <w:r>
        <w:rPr>
          <w:lang w:val="fr-CA"/>
        </w:rPr>
        <w:t>(4)</w:t>
      </w:r>
      <w:r>
        <w:rPr>
          <w:lang w:val="fr-CA"/>
        </w:rPr>
        <w:tab/>
      </w:r>
      <w:r w:rsidRPr="00776E14">
        <w:rPr>
          <w:u w:val="single"/>
          <w:lang w:val="fr-CA"/>
        </w:rPr>
        <w:t xml:space="preserve">Les membres des régimes </w:t>
      </w:r>
      <w:proofErr w:type="spellStart"/>
      <w:r w:rsidRPr="00776E14">
        <w:rPr>
          <w:u w:val="single"/>
          <w:lang w:val="fr-CA"/>
        </w:rPr>
        <w:t>avaient</w:t>
      </w:r>
      <w:r>
        <w:rPr>
          <w:u w:val="single"/>
          <w:lang w:val="fr-CA"/>
        </w:rPr>
        <w:noBreakHyphen/>
      </w:r>
      <w:r w:rsidRPr="00776E14">
        <w:rPr>
          <w:u w:val="single"/>
          <w:lang w:val="fr-CA"/>
        </w:rPr>
        <w:t>ils</w:t>
      </w:r>
      <w:proofErr w:type="spellEnd"/>
      <w:r w:rsidRPr="00776E14">
        <w:rPr>
          <w:u w:val="single"/>
          <w:lang w:val="fr-CA"/>
        </w:rPr>
        <w:t xml:space="preserve"> un intérêt </w:t>
      </w:r>
      <w:r w:rsidRPr="00776E14">
        <w:rPr>
          <w:spacing w:val="-3"/>
          <w:u w:val="single"/>
          <w:lang w:val="fr-CA"/>
        </w:rPr>
        <w:t xml:space="preserve">juridique ou pratique </w:t>
      </w:r>
      <w:r>
        <w:rPr>
          <w:spacing w:val="-3"/>
          <w:u w:val="single"/>
          <w:lang w:val="fr-CA"/>
        </w:rPr>
        <w:t>important</w:t>
      </w:r>
      <w:r w:rsidRPr="00776E14">
        <w:rPr>
          <w:spacing w:val="-3"/>
          <w:u w:val="single"/>
          <w:lang w:val="fr-CA"/>
        </w:rPr>
        <w:t xml:space="preserve"> dans le surplus actuariel</w:t>
      </w:r>
      <w:bookmarkEnd w:id="4"/>
      <w:r w:rsidRPr="00776E14">
        <w:rPr>
          <w:szCs w:val="24"/>
          <w:u w:val="single"/>
          <w:lang w:val="fr-CA"/>
        </w:rPr>
        <w:t>?</w:t>
      </w:r>
    </w:p>
    <w:p w:rsidR="000F48EC" w:rsidRPr="001E7CB3" w:rsidRDefault="000F48EC" w:rsidP="000F48EC">
      <w:pPr>
        <w:pStyle w:val="ParaNoNdepar-AltN"/>
        <w:rPr>
          <w:szCs w:val="24"/>
          <w:lang w:val="fr-CA"/>
        </w:rPr>
      </w:pPr>
      <w:r>
        <w:rPr>
          <w:lang w:val="fr-CA"/>
        </w:rPr>
        <w:t>P</w:t>
      </w:r>
      <w:r w:rsidRPr="001E7CB3">
        <w:rPr>
          <w:lang w:val="fr-CA"/>
        </w:rPr>
        <w:t xml:space="preserve">our </w:t>
      </w:r>
      <w:r>
        <w:rPr>
          <w:lang w:val="fr-CA"/>
        </w:rPr>
        <w:t>établir l’</w:t>
      </w:r>
      <w:r w:rsidRPr="001E7CB3">
        <w:rPr>
          <w:lang w:val="fr-CA"/>
        </w:rPr>
        <w:t>existe</w:t>
      </w:r>
      <w:r>
        <w:rPr>
          <w:lang w:val="fr-CA"/>
        </w:rPr>
        <w:t>nce</w:t>
      </w:r>
      <w:r w:rsidRPr="001E7CB3">
        <w:rPr>
          <w:lang w:val="fr-CA"/>
        </w:rPr>
        <w:t xml:space="preserve"> </w:t>
      </w:r>
      <w:r>
        <w:rPr>
          <w:lang w:val="fr-CA"/>
        </w:rPr>
        <w:t>d’</w:t>
      </w:r>
      <w:r w:rsidRPr="001E7CB3">
        <w:rPr>
          <w:lang w:val="fr-CA"/>
        </w:rPr>
        <w:t>une relation fiducia</w:t>
      </w:r>
      <w:r>
        <w:rPr>
          <w:lang w:val="fr-CA"/>
        </w:rPr>
        <w:t>ir</w:t>
      </w:r>
      <w:r w:rsidRPr="001E7CB3">
        <w:rPr>
          <w:lang w:val="fr-CA"/>
        </w:rPr>
        <w:t xml:space="preserve">e </w:t>
      </w:r>
      <w:r w:rsidRPr="001E7CB3">
        <w:rPr>
          <w:i/>
          <w:lang w:val="fr-CA"/>
        </w:rPr>
        <w:t>ad hoc</w:t>
      </w:r>
      <w:r w:rsidRPr="001E7CB3">
        <w:rPr>
          <w:lang w:val="fr-CA"/>
        </w:rPr>
        <w:t xml:space="preserve">, il faut que </w:t>
      </w:r>
      <w:r>
        <w:rPr>
          <w:lang w:val="fr-CA"/>
        </w:rPr>
        <w:t>le prétendu</w:t>
      </w:r>
      <w:r w:rsidRPr="001E7CB3">
        <w:rPr>
          <w:lang w:val="fr-CA"/>
        </w:rPr>
        <w:t xml:space="preserve"> bénéficiaire ait un « </w:t>
      </w:r>
      <w:r w:rsidRPr="001E7CB3">
        <w:rPr>
          <w:szCs w:val="24"/>
          <w:lang w:val="fr-CA"/>
        </w:rPr>
        <w:t xml:space="preserve"> intérêt juridique ou un intérêt pratique essentiel identifiable [</w:t>
      </w:r>
      <w:r>
        <w:rPr>
          <w:szCs w:val="24"/>
          <w:lang w:val="fr-CA"/>
        </w:rPr>
        <w:t>. . .</w:t>
      </w:r>
      <w:r w:rsidRPr="001E7CB3">
        <w:rPr>
          <w:szCs w:val="24"/>
          <w:lang w:val="fr-CA"/>
        </w:rPr>
        <w:t xml:space="preserve">] en jeu » </w:t>
      </w:r>
      <w:r>
        <w:rPr>
          <w:szCs w:val="24"/>
          <w:lang w:val="fr-CA"/>
        </w:rPr>
        <w:t>(</w:t>
      </w:r>
      <w:r w:rsidRPr="001E7CB3">
        <w:rPr>
          <w:i/>
          <w:szCs w:val="24"/>
          <w:lang w:val="fr-CA"/>
        </w:rPr>
        <w:t xml:space="preserve">Elder </w:t>
      </w:r>
      <w:proofErr w:type="spellStart"/>
      <w:r w:rsidRPr="001E7CB3">
        <w:rPr>
          <w:i/>
          <w:szCs w:val="24"/>
          <w:lang w:val="fr-CA"/>
        </w:rPr>
        <w:t>Advocates</w:t>
      </w:r>
      <w:proofErr w:type="spellEnd"/>
      <w:r w:rsidRPr="001E7CB3">
        <w:rPr>
          <w:szCs w:val="24"/>
          <w:lang w:val="fr-CA"/>
        </w:rPr>
        <w:t xml:space="preserve">, </w:t>
      </w:r>
      <w:r>
        <w:rPr>
          <w:szCs w:val="24"/>
          <w:lang w:val="fr-CA"/>
        </w:rPr>
        <w:t>par. </w:t>
      </w:r>
      <w:r w:rsidRPr="001E7CB3">
        <w:rPr>
          <w:szCs w:val="24"/>
          <w:lang w:val="fr-CA"/>
        </w:rPr>
        <w:t>35</w:t>
      </w:r>
      <w:r>
        <w:rPr>
          <w:szCs w:val="24"/>
          <w:lang w:val="fr-CA"/>
        </w:rPr>
        <w:t>)</w:t>
      </w:r>
      <w:r w:rsidRPr="001E7CB3">
        <w:rPr>
          <w:lang w:val="fr-CA"/>
        </w:rPr>
        <w:t xml:space="preserve">.  Dans </w:t>
      </w:r>
      <w:r w:rsidRPr="001E7CB3">
        <w:rPr>
          <w:i/>
          <w:lang w:val="fr-CA"/>
        </w:rPr>
        <w:t xml:space="preserve">Elder </w:t>
      </w:r>
      <w:proofErr w:type="spellStart"/>
      <w:r w:rsidRPr="001E7CB3">
        <w:rPr>
          <w:i/>
          <w:lang w:val="fr-CA"/>
        </w:rPr>
        <w:t>Advocates</w:t>
      </w:r>
      <w:proofErr w:type="spellEnd"/>
      <w:r w:rsidRPr="001E7CB3">
        <w:rPr>
          <w:lang w:val="fr-CA"/>
        </w:rPr>
        <w:t>, la Juge en chef a donné les exemples suivants d</w:t>
      </w:r>
      <w:r>
        <w:rPr>
          <w:lang w:val="fr-CA"/>
        </w:rPr>
        <w:t>’</w:t>
      </w:r>
      <w:r w:rsidRPr="001E7CB3">
        <w:rPr>
          <w:lang w:val="fr-CA"/>
        </w:rPr>
        <w:t>intérêts suffisants</w:t>
      </w:r>
      <w:r>
        <w:rPr>
          <w:lang w:val="fr-CA"/>
        </w:rPr>
        <w:t> :</w:t>
      </w:r>
      <w:r w:rsidRPr="001E7CB3">
        <w:rPr>
          <w:lang w:val="fr-CA"/>
        </w:rPr>
        <w:t xml:space="preserve"> </w:t>
      </w:r>
      <w:proofErr w:type="gramStart"/>
      <w:r w:rsidRPr="001E7CB3">
        <w:rPr>
          <w:lang w:val="fr-CA"/>
        </w:rPr>
        <w:t>« </w:t>
      </w:r>
      <w:r>
        <w:rPr>
          <w:lang w:val="fr-CA"/>
        </w:rPr>
        <w:t>.</w:t>
      </w:r>
      <w:proofErr w:type="gramEnd"/>
      <w:r>
        <w:rPr>
          <w:lang w:val="fr-CA"/>
        </w:rPr>
        <w:t xml:space="preserve"> . . </w:t>
      </w:r>
      <w:r w:rsidRPr="001E7CB3">
        <w:rPr>
          <w:lang w:val="fr-CA"/>
        </w:rPr>
        <w:t xml:space="preserve">les </w:t>
      </w:r>
      <w:r w:rsidRPr="001E7CB3">
        <w:rPr>
          <w:szCs w:val="24"/>
          <w:lang w:val="fr-CA"/>
        </w:rPr>
        <w:t xml:space="preserve">droits de </w:t>
      </w:r>
      <w:r w:rsidRPr="001E7CB3">
        <w:rPr>
          <w:szCs w:val="24"/>
          <w:lang w:val="fr-CA"/>
        </w:rPr>
        <w:lastRenderedPageBreak/>
        <w:t>propriété, les intérêts analogues aux droits de propriété et les intérêts humains fondamentaux ou personnels du genre de ceux qui entrent en jeu lorsque l</w:t>
      </w:r>
      <w:r>
        <w:rPr>
          <w:szCs w:val="24"/>
          <w:lang w:val="fr-CA"/>
        </w:rPr>
        <w:t>’</w:t>
      </w:r>
      <w:r w:rsidRPr="001E7CB3">
        <w:rPr>
          <w:szCs w:val="24"/>
          <w:lang w:val="fr-CA"/>
        </w:rPr>
        <w:t>État assume la tutelle d</w:t>
      </w:r>
      <w:r>
        <w:rPr>
          <w:szCs w:val="24"/>
          <w:lang w:val="fr-CA"/>
        </w:rPr>
        <w:t>’</w:t>
      </w:r>
      <w:r w:rsidRPr="001E7CB3">
        <w:rPr>
          <w:szCs w:val="24"/>
          <w:lang w:val="fr-CA"/>
        </w:rPr>
        <w:t>un enfant ou d</w:t>
      </w:r>
      <w:r>
        <w:rPr>
          <w:szCs w:val="24"/>
          <w:lang w:val="fr-CA"/>
        </w:rPr>
        <w:t>’</w:t>
      </w:r>
      <w:r w:rsidRPr="001E7CB3">
        <w:rPr>
          <w:szCs w:val="24"/>
          <w:lang w:val="fr-CA"/>
        </w:rPr>
        <w:t>une personne incapable »</w:t>
      </w:r>
      <w:r>
        <w:rPr>
          <w:szCs w:val="24"/>
          <w:lang w:val="fr-CA"/>
        </w:rPr>
        <w:t xml:space="preserve"> (par. 51)</w:t>
      </w:r>
      <w:r w:rsidRPr="001E7CB3">
        <w:rPr>
          <w:szCs w:val="24"/>
          <w:lang w:val="fr-CA"/>
        </w:rPr>
        <w:t>.  Dans certaines circonstances, il peut également s</w:t>
      </w:r>
      <w:r>
        <w:rPr>
          <w:szCs w:val="24"/>
          <w:lang w:val="fr-CA"/>
        </w:rPr>
        <w:t>’</w:t>
      </w:r>
      <w:r w:rsidRPr="001E7CB3">
        <w:rPr>
          <w:szCs w:val="24"/>
          <w:lang w:val="fr-CA"/>
        </w:rPr>
        <w:t>agir d</w:t>
      </w:r>
      <w:r>
        <w:rPr>
          <w:szCs w:val="24"/>
          <w:lang w:val="fr-CA"/>
        </w:rPr>
        <w:t>’</w:t>
      </w:r>
      <w:r w:rsidRPr="001E7CB3">
        <w:rPr>
          <w:szCs w:val="24"/>
          <w:lang w:val="fr-CA"/>
        </w:rPr>
        <w:t>un intérêt d</w:t>
      </w:r>
      <w:r>
        <w:rPr>
          <w:szCs w:val="24"/>
          <w:lang w:val="fr-CA"/>
        </w:rPr>
        <w:t>’origine législativ</w:t>
      </w:r>
      <w:r w:rsidRPr="001E7CB3">
        <w:rPr>
          <w:szCs w:val="24"/>
          <w:lang w:val="fr-CA"/>
        </w:rPr>
        <w:t>e</w:t>
      </w:r>
      <w:r>
        <w:rPr>
          <w:szCs w:val="24"/>
          <w:lang w:val="fr-CA"/>
        </w:rPr>
        <w:t> :</w:t>
      </w:r>
      <w:r w:rsidRPr="001E7CB3">
        <w:rPr>
          <w:szCs w:val="24"/>
          <w:lang w:val="fr-CA"/>
        </w:rPr>
        <w:t xml:space="preserve"> </w:t>
      </w:r>
      <w:proofErr w:type="gramStart"/>
      <w:r w:rsidRPr="001E7CB3">
        <w:rPr>
          <w:szCs w:val="24"/>
          <w:lang w:val="fr-CA"/>
        </w:rPr>
        <w:t>« </w:t>
      </w:r>
      <w:r>
        <w:rPr>
          <w:szCs w:val="24"/>
          <w:lang w:val="fr-CA"/>
        </w:rPr>
        <w:t>.</w:t>
      </w:r>
      <w:proofErr w:type="gramEnd"/>
      <w:r>
        <w:rPr>
          <w:szCs w:val="24"/>
          <w:lang w:val="fr-CA"/>
        </w:rPr>
        <w:t xml:space="preserve"> . . </w:t>
      </w:r>
      <w:r w:rsidRPr="001E7CB3">
        <w:rPr>
          <w:szCs w:val="24"/>
          <w:lang w:val="fr-CA"/>
        </w:rPr>
        <w:t>une loi créant un droit absolu pourrait également donner naissance à une obligation fiduciaire de l</w:t>
      </w:r>
      <w:r>
        <w:rPr>
          <w:szCs w:val="24"/>
          <w:lang w:val="fr-CA"/>
        </w:rPr>
        <w:t>’</w:t>
      </w:r>
      <w:r w:rsidRPr="001E7CB3">
        <w:rPr>
          <w:szCs w:val="24"/>
          <w:lang w:val="fr-CA"/>
        </w:rPr>
        <w:t>État relativement à l</w:t>
      </w:r>
      <w:r>
        <w:rPr>
          <w:szCs w:val="24"/>
          <w:lang w:val="fr-CA"/>
        </w:rPr>
        <w:t>’</w:t>
      </w:r>
      <w:r w:rsidRPr="001E7CB3">
        <w:rPr>
          <w:szCs w:val="24"/>
          <w:lang w:val="fr-CA"/>
        </w:rPr>
        <w:t>administration de l</w:t>
      </w:r>
      <w:r>
        <w:rPr>
          <w:szCs w:val="24"/>
          <w:lang w:val="fr-CA"/>
        </w:rPr>
        <w:t>’</w:t>
      </w:r>
      <w:r w:rsidRPr="001E7CB3">
        <w:rPr>
          <w:szCs w:val="24"/>
          <w:lang w:val="fr-CA"/>
        </w:rPr>
        <w:t>intérêt »</w:t>
      </w:r>
      <w:r>
        <w:rPr>
          <w:szCs w:val="24"/>
          <w:lang w:val="fr-CA"/>
        </w:rPr>
        <w:t xml:space="preserve"> (par. 51)</w:t>
      </w:r>
      <w:r w:rsidRPr="001E7CB3">
        <w:rPr>
          <w:szCs w:val="24"/>
          <w:lang w:val="fr-CA"/>
        </w:rPr>
        <w:t>.</w:t>
      </w:r>
    </w:p>
    <w:p w:rsidR="000F48EC" w:rsidRPr="001E7CB3" w:rsidRDefault="000F48EC" w:rsidP="000F48EC">
      <w:pPr>
        <w:pStyle w:val="ParaNoNdepar-AltN"/>
        <w:rPr>
          <w:szCs w:val="24"/>
          <w:lang w:val="fr-CA"/>
        </w:rPr>
      </w:pPr>
      <w:r w:rsidRPr="001E7CB3">
        <w:rPr>
          <w:szCs w:val="24"/>
          <w:lang w:val="fr-CA"/>
        </w:rPr>
        <w:t xml:space="preserve">Il découle de ma conclusion selon laquelle les comptes de pension de retraite ne </w:t>
      </w:r>
      <w:r>
        <w:rPr>
          <w:szCs w:val="24"/>
          <w:lang w:val="fr-CA"/>
        </w:rPr>
        <w:t>contienn</w:t>
      </w:r>
      <w:r w:rsidRPr="001E7CB3">
        <w:rPr>
          <w:szCs w:val="24"/>
          <w:lang w:val="fr-CA"/>
        </w:rPr>
        <w:t>ent pas d</w:t>
      </w:r>
      <w:r>
        <w:rPr>
          <w:szCs w:val="24"/>
          <w:lang w:val="fr-CA"/>
        </w:rPr>
        <w:t>’</w:t>
      </w:r>
      <w:r>
        <w:rPr>
          <w:lang w:val="fr-CA"/>
        </w:rPr>
        <w:t>éléments d’actif</w:t>
      </w:r>
      <w:r w:rsidRPr="001E7CB3">
        <w:rPr>
          <w:szCs w:val="24"/>
          <w:lang w:val="fr-CA"/>
        </w:rPr>
        <w:t xml:space="preserve"> que l</w:t>
      </w:r>
      <w:r>
        <w:rPr>
          <w:szCs w:val="24"/>
          <w:lang w:val="fr-CA"/>
        </w:rPr>
        <w:t>’</w:t>
      </w:r>
      <w:r w:rsidRPr="001E7CB3">
        <w:rPr>
          <w:szCs w:val="24"/>
          <w:lang w:val="fr-CA"/>
        </w:rPr>
        <w:t>amortissement des surplus n</w:t>
      </w:r>
      <w:r>
        <w:rPr>
          <w:szCs w:val="24"/>
          <w:lang w:val="fr-CA"/>
        </w:rPr>
        <w:t>’</w:t>
      </w:r>
      <w:r w:rsidRPr="001E7CB3">
        <w:rPr>
          <w:szCs w:val="24"/>
          <w:lang w:val="fr-CA"/>
        </w:rPr>
        <w:t xml:space="preserve">a pas pu mettre en péril un intérêt </w:t>
      </w:r>
      <w:r>
        <w:rPr>
          <w:szCs w:val="24"/>
          <w:lang w:val="fr-CA"/>
        </w:rPr>
        <w:t xml:space="preserve">quelconque, en </w:t>
      </w:r>
      <w:proofErr w:type="spellStart"/>
      <w:r>
        <w:rPr>
          <w:szCs w:val="24"/>
          <w:lang w:val="fr-CA"/>
        </w:rPr>
        <w:t>common</w:t>
      </w:r>
      <w:proofErr w:type="spellEnd"/>
      <w:r>
        <w:rPr>
          <w:szCs w:val="24"/>
          <w:lang w:val="fr-CA"/>
        </w:rPr>
        <w:t xml:space="preserve"> </w:t>
      </w:r>
      <w:proofErr w:type="spellStart"/>
      <w:r>
        <w:rPr>
          <w:szCs w:val="24"/>
          <w:lang w:val="fr-CA"/>
        </w:rPr>
        <w:t>law</w:t>
      </w:r>
      <w:proofErr w:type="spellEnd"/>
      <w:r>
        <w:rPr>
          <w:szCs w:val="24"/>
          <w:lang w:val="fr-CA"/>
        </w:rPr>
        <w:t xml:space="preserve"> ou en </w:t>
      </w:r>
      <w:proofErr w:type="spellStart"/>
      <w:r>
        <w:rPr>
          <w:szCs w:val="24"/>
          <w:lang w:val="fr-CA"/>
        </w:rPr>
        <w:t>equity</w:t>
      </w:r>
      <w:proofErr w:type="spellEnd"/>
      <w:r>
        <w:rPr>
          <w:szCs w:val="24"/>
          <w:lang w:val="fr-CA"/>
        </w:rPr>
        <w:t xml:space="preserve">, </w:t>
      </w:r>
      <w:r w:rsidRPr="001E7CB3">
        <w:rPr>
          <w:szCs w:val="24"/>
          <w:lang w:val="fr-CA"/>
        </w:rPr>
        <w:t xml:space="preserve">des membres des régimes.  </w:t>
      </w:r>
      <w:r>
        <w:rPr>
          <w:szCs w:val="24"/>
          <w:lang w:val="fr-CA"/>
        </w:rPr>
        <w:t>Toutefois, la Cour d’appel</w:t>
      </w:r>
      <w:r w:rsidRPr="001E7CB3">
        <w:rPr>
          <w:lang w:val="fr-CA"/>
        </w:rPr>
        <w:t xml:space="preserve"> </w:t>
      </w:r>
      <w:r>
        <w:rPr>
          <w:lang w:val="fr-CA"/>
        </w:rPr>
        <w:t>a exprimé l’avis qu’</w:t>
      </w:r>
      <w:r w:rsidRPr="001E7CB3">
        <w:rPr>
          <w:lang w:val="fr-CA"/>
        </w:rPr>
        <w:t xml:space="preserve">un </w:t>
      </w:r>
      <w:r w:rsidRPr="001E7CB3">
        <w:rPr>
          <w:szCs w:val="24"/>
          <w:lang w:val="fr-CA"/>
        </w:rPr>
        <w:t>intérêt pratique essentiel</w:t>
      </w:r>
      <w:r w:rsidRPr="001E7CB3">
        <w:rPr>
          <w:lang w:val="fr-CA"/>
        </w:rPr>
        <w:t xml:space="preserve"> des membres </w:t>
      </w:r>
      <w:proofErr w:type="gramStart"/>
      <w:r w:rsidRPr="001E7CB3">
        <w:rPr>
          <w:lang w:val="fr-CA"/>
        </w:rPr>
        <w:t>était</w:t>
      </w:r>
      <w:proofErr w:type="gramEnd"/>
      <w:r w:rsidRPr="001E7CB3">
        <w:rPr>
          <w:lang w:val="fr-CA"/>
        </w:rPr>
        <w:t xml:space="preserve"> en jeu</w:t>
      </w:r>
      <w:r>
        <w:rPr>
          <w:lang w:val="fr-CA"/>
        </w:rPr>
        <w:t>.</w:t>
      </w:r>
      <w:r w:rsidRPr="001E7CB3">
        <w:rPr>
          <w:lang w:val="fr-CA"/>
        </w:rPr>
        <w:t xml:space="preserve"> </w:t>
      </w:r>
      <w:r>
        <w:rPr>
          <w:lang w:val="fr-CA"/>
        </w:rPr>
        <w:t xml:space="preserve"> Selon elle,</w:t>
      </w:r>
      <w:r w:rsidRPr="001E7CB3">
        <w:rPr>
          <w:lang w:val="fr-CA"/>
        </w:rPr>
        <w:t xml:space="preserve"> [</w:t>
      </w:r>
      <w:r w:rsidRPr="00B2643C">
        <w:rPr>
          <w:smallCaps/>
          <w:lang w:val="fr-CA"/>
        </w:rPr>
        <w:t>traduction</w:t>
      </w:r>
      <w:r w:rsidRPr="001E7CB3">
        <w:rPr>
          <w:lang w:val="fr-CA"/>
        </w:rPr>
        <w:t>] « l</w:t>
      </w:r>
      <w:r>
        <w:rPr>
          <w:lang w:val="fr-CA"/>
        </w:rPr>
        <w:t>’</w:t>
      </w:r>
      <w:r w:rsidRPr="001E7CB3">
        <w:rPr>
          <w:lang w:val="fr-CA"/>
        </w:rPr>
        <w:t>exercice du pouvoir discrétionnaire a</w:t>
      </w:r>
      <w:r>
        <w:rPr>
          <w:lang w:val="fr-CA"/>
        </w:rPr>
        <w:t xml:space="preserve"> créé une situation dans laquelle les employés ont dû contribuer davantage </w:t>
      </w:r>
      <w:r w:rsidRPr="001E7CB3">
        <w:rPr>
          <w:lang w:val="fr-CA"/>
        </w:rPr>
        <w:t xml:space="preserve">au coût des pensions » </w:t>
      </w:r>
      <w:r>
        <w:rPr>
          <w:lang w:val="fr-CA"/>
        </w:rPr>
        <w:t>(par. </w:t>
      </w:r>
      <w:r w:rsidRPr="001E7CB3">
        <w:rPr>
          <w:lang w:val="fr-CA"/>
        </w:rPr>
        <w:t>90</w:t>
      </w:r>
      <w:r>
        <w:rPr>
          <w:lang w:val="fr-CA"/>
        </w:rPr>
        <w:t>)</w:t>
      </w:r>
      <w:r w:rsidRPr="001E7CB3">
        <w:rPr>
          <w:lang w:val="fr-CA"/>
        </w:rPr>
        <w:t>.</w:t>
      </w:r>
    </w:p>
    <w:p w:rsidR="000F48EC" w:rsidRPr="001E7CB3" w:rsidRDefault="000F48EC" w:rsidP="000F48EC">
      <w:pPr>
        <w:pStyle w:val="ParaNoNdepar-AltN"/>
        <w:rPr>
          <w:lang w:val="fr-CA"/>
        </w:rPr>
      </w:pPr>
      <w:r w:rsidRPr="001E7CB3">
        <w:rPr>
          <w:lang w:val="fr-CA"/>
        </w:rPr>
        <w:t xml:space="preserve">Bien que la </w:t>
      </w:r>
      <w:r>
        <w:rPr>
          <w:lang w:val="fr-CA"/>
        </w:rPr>
        <w:t>Cour d’appel</w:t>
      </w:r>
      <w:r w:rsidRPr="001E7CB3">
        <w:rPr>
          <w:lang w:val="fr-CA"/>
        </w:rPr>
        <w:t xml:space="preserve"> n</w:t>
      </w:r>
      <w:r>
        <w:rPr>
          <w:lang w:val="fr-CA"/>
        </w:rPr>
        <w:t>’</w:t>
      </w:r>
      <w:r w:rsidRPr="001E7CB3">
        <w:rPr>
          <w:lang w:val="fr-CA"/>
        </w:rPr>
        <w:t xml:space="preserve">ait pas statué </w:t>
      </w:r>
      <w:r>
        <w:rPr>
          <w:lang w:val="fr-CA"/>
        </w:rPr>
        <w:t xml:space="preserve">de façon définitive </w:t>
      </w:r>
      <w:r w:rsidRPr="001E7CB3">
        <w:rPr>
          <w:lang w:val="fr-CA"/>
        </w:rPr>
        <w:t>sur cette question, je suis d</w:t>
      </w:r>
      <w:r>
        <w:rPr>
          <w:lang w:val="fr-CA"/>
        </w:rPr>
        <w:t>’</w:t>
      </w:r>
      <w:r w:rsidRPr="001E7CB3">
        <w:rPr>
          <w:lang w:val="fr-CA"/>
        </w:rPr>
        <w:t>avis que la preuve n</w:t>
      </w:r>
      <w:r>
        <w:rPr>
          <w:lang w:val="fr-CA"/>
        </w:rPr>
        <w:t>’</w:t>
      </w:r>
      <w:r w:rsidRPr="001E7CB3">
        <w:rPr>
          <w:lang w:val="fr-CA"/>
        </w:rPr>
        <w:t>étayait pas sa perception de l</w:t>
      </w:r>
      <w:r>
        <w:rPr>
          <w:lang w:val="fr-CA"/>
        </w:rPr>
        <w:t>’</w:t>
      </w:r>
      <w:r w:rsidRPr="001E7CB3">
        <w:rPr>
          <w:lang w:val="fr-CA"/>
        </w:rPr>
        <w:t>effet de l</w:t>
      </w:r>
      <w:r>
        <w:rPr>
          <w:lang w:val="fr-CA"/>
        </w:rPr>
        <w:t>’</w:t>
      </w:r>
      <w:r w:rsidRPr="001E7CB3">
        <w:rPr>
          <w:lang w:val="fr-CA"/>
        </w:rPr>
        <w:t>exercice du pouvoir discrétionnaire sur les taux de co</w:t>
      </w:r>
      <w:r>
        <w:rPr>
          <w:lang w:val="fr-CA"/>
        </w:rPr>
        <w:t>ntribution</w:t>
      </w:r>
      <w:r w:rsidRPr="001E7CB3">
        <w:rPr>
          <w:lang w:val="fr-CA"/>
        </w:rPr>
        <w:t>.  Je ne puis souscrire à l</w:t>
      </w:r>
      <w:r>
        <w:rPr>
          <w:lang w:val="fr-CA"/>
        </w:rPr>
        <w:t>’</w:t>
      </w:r>
      <w:r w:rsidRPr="001E7CB3">
        <w:rPr>
          <w:lang w:val="fr-CA"/>
        </w:rPr>
        <w:t>opinion que l</w:t>
      </w:r>
      <w:r>
        <w:rPr>
          <w:lang w:val="fr-CA"/>
        </w:rPr>
        <w:t>’</w:t>
      </w:r>
      <w:r w:rsidRPr="001E7CB3">
        <w:rPr>
          <w:lang w:val="fr-CA"/>
        </w:rPr>
        <w:t>amortissement ou les débits portés aux comptes de pension de retraite ont fait augmenter les taux de co</w:t>
      </w:r>
      <w:r>
        <w:rPr>
          <w:lang w:val="fr-CA"/>
        </w:rPr>
        <w:t>ntribution</w:t>
      </w:r>
      <w:r w:rsidRPr="001E7CB3">
        <w:rPr>
          <w:lang w:val="fr-CA"/>
        </w:rPr>
        <w:t>.  Le gouvernement déclare qu</w:t>
      </w:r>
      <w:r>
        <w:rPr>
          <w:lang w:val="fr-CA"/>
        </w:rPr>
        <w:t>’en 2006</w:t>
      </w:r>
      <w:r w:rsidR="0026622D">
        <w:rPr>
          <w:lang w:val="fr-CA"/>
        </w:rPr>
        <w:t>,</w:t>
      </w:r>
      <w:r w:rsidRPr="001E7CB3">
        <w:rPr>
          <w:lang w:val="fr-CA"/>
        </w:rPr>
        <w:t xml:space="preserve"> le ministre a commencé à exercer le pouvoir discrétionnaire </w:t>
      </w:r>
      <w:r>
        <w:rPr>
          <w:lang w:val="fr-CA"/>
        </w:rPr>
        <w:t>que lui avait conféré</w:t>
      </w:r>
      <w:r w:rsidRPr="001E7CB3">
        <w:rPr>
          <w:lang w:val="fr-CA"/>
        </w:rPr>
        <w:t xml:space="preserve"> le projet de loi C</w:t>
      </w:r>
      <w:r w:rsidR="003D2112">
        <w:rPr>
          <w:lang w:val="fr-CA"/>
        </w:rPr>
        <w:t>-</w:t>
      </w:r>
      <w:r w:rsidRPr="001E7CB3">
        <w:rPr>
          <w:lang w:val="fr-CA"/>
        </w:rPr>
        <w:t>78 d</w:t>
      </w:r>
      <w:r>
        <w:rPr>
          <w:lang w:val="fr-CA"/>
        </w:rPr>
        <w:t>’</w:t>
      </w:r>
      <w:r w:rsidRPr="001E7CB3">
        <w:rPr>
          <w:lang w:val="fr-CA"/>
        </w:rPr>
        <w:t>élever le taux de co</w:t>
      </w:r>
      <w:r>
        <w:rPr>
          <w:lang w:val="fr-CA"/>
        </w:rPr>
        <w:t xml:space="preserve">ntribution </w:t>
      </w:r>
      <w:r w:rsidRPr="001E7CB3">
        <w:rPr>
          <w:lang w:val="fr-CA"/>
        </w:rPr>
        <w:t>des employés jusqu</w:t>
      </w:r>
      <w:r>
        <w:rPr>
          <w:lang w:val="fr-CA"/>
        </w:rPr>
        <w:t>’à concurrence de 40 p</w:t>
      </w:r>
      <w:r w:rsidR="0037056F">
        <w:rPr>
          <w:lang w:val="fr-CA"/>
        </w:rPr>
        <w:t>our</w:t>
      </w:r>
      <w:r>
        <w:rPr>
          <w:lang w:val="fr-CA"/>
        </w:rPr>
        <w:t> 100</w:t>
      </w:r>
      <w:r w:rsidRPr="001E7CB3">
        <w:rPr>
          <w:lang w:val="fr-CA"/>
        </w:rPr>
        <w:t xml:space="preserve"> </w:t>
      </w:r>
      <w:r>
        <w:rPr>
          <w:lang w:val="fr-CA"/>
        </w:rPr>
        <w:t>du total des contributions exigées</w:t>
      </w:r>
      <w:r w:rsidRPr="001E7CB3">
        <w:rPr>
          <w:lang w:val="fr-CA"/>
        </w:rPr>
        <w:t xml:space="preserve"> des employés et du </w:t>
      </w:r>
      <w:r w:rsidRPr="001E7CB3">
        <w:rPr>
          <w:lang w:val="fr-CA"/>
        </w:rPr>
        <w:lastRenderedPageBreak/>
        <w:t>gouvernement.  Le gouvernement a indiqué à l</w:t>
      </w:r>
      <w:r>
        <w:rPr>
          <w:lang w:val="fr-CA"/>
        </w:rPr>
        <w:t>’</w:t>
      </w:r>
      <w:r w:rsidRPr="001E7CB3">
        <w:rPr>
          <w:lang w:val="fr-CA"/>
        </w:rPr>
        <w:t>audience que, lors des débats parlementaires relatifs au projet de loi C</w:t>
      </w:r>
      <w:r>
        <w:rPr>
          <w:lang w:val="fr-CA"/>
        </w:rPr>
        <w:noBreakHyphen/>
      </w:r>
      <w:r w:rsidRPr="001E7CB3">
        <w:rPr>
          <w:lang w:val="fr-CA"/>
        </w:rPr>
        <w:t xml:space="preserve">78, il avait expliqué que ce pouvoir discrétionnaire </w:t>
      </w:r>
      <w:r>
        <w:rPr>
          <w:lang w:val="fr-CA"/>
        </w:rPr>
        <w:t xml:space="preserve">serait conféré </w:t>
      </w:r>
      <w:r w:rsidRPr="001E7CB3">
        <w:rPr>
          <w:lang w:val="fr-CA"/>
        </w:rPr>
        <w:t xml:space="preserve">au ministre </w:t>
      </w:r>
      <w:r>
        <w:rPr>
          <w:lang w:val="fr-CA"/>
        </w:rPr>
        <w:t>parce que le</w:t>
      </w:r>
      <w:r w:rsidRPr="001E7CB3">
        <w:rPr>
          <w:lang w:val="fr-CA"/>
        </w:rPr>
        <w:t xml:space="preserve"> partage traditionnel 60/40 de la contribution du gouvernement et des membres </w:t>
      </w:r>
      <w:r>
        <w:rPr>
          <w:lang w:val="fr-CA"/>
        </w:rPr>
        <w:t>des</w:t>
      </w:r>
      <w:r w:rsidRPr="001E7CB3">
        <w:rPr>
          <w:lang w:val="fr-CA"/>
        </w:rPr>
        <w:t xml:space="preserve"> régimes était passé à 70/30 et devait atteindre 80/20 selon les projections</w:t>
      </w:r>
      <w:r>
        <w:rPr>
          <w:lang w:val="fr-CA"/>
        </w:rPr>
        <w:t>.  Le gouvernement voulait rétablir le partage traditionnel 60/40.</w:t>
      </w:r>
      <w:r w:rsidRPr="001E7CB3">
        <w:rPr>
          <w:lang w:val="fr-CA"/>
        </w:rPr>
        <w:t xml:space="preserve"> </w:t>
      </w:r>
    </w:p>
    <w:p w:rsidR="000F48EC" w:rsidRPr="001E7CB3" w:rsidRDefault="000F48EC" w:rsidP="000F48EC">
      <w:pPr>
        <w:pStyle w:val="ParaNoNdepar-AltN"/>
        <w:rPr>
          <w:lang w:val="fr-CA"/>
        </w:rPr>
      </w:pPr>
      <w:r w:rsidRPr="001E7CB3">
        <w:rPr>
          <w:lang w:val="fr-CA"/>
        </w:rPr>
        <w:t>Quoi qu</w:t>
      </w:r>
      <w:r>
        <w:rPr>
          <w:lang w:val="fr-CA"/>
        </w:rPr>
        <w:t>’</w:t>
      </w:r>
      <w:r w:rsidRPr="001E7CB3">
        <w:rPr>
          <w:lang w:val="fr-CA"/>
        </w:rPr>
        <w:t xml:space="preserve">il en soit, la Juge en chef a expliqué, dans </w:t>
      </w:r>
      <w:r w:rsidRPr="001E7CB3">
        <w:rPr>
          <w:i/>
          <w:lang w:val="fr-CA"/>
        </w:rPr>
        <w:t xml:space="preserve">Elder </w:t>
      </w:r>
      <w:proofErr w:type="spellStart"/>
      <w:r w:rsidRPr="001E7CB3">
        <w:rPr>
          <w:i/>
          <w:lang w:val="fr-CA"/>
        </w:rPr>
        <w:t>Advocates</w:t>
      </w:r>
      <w:proofErr w:type="spellEnd"/>
      <w:r w:rsidRPr="001E7CB3">
        <w:rPr>
          <w:lang w:val="fr-CA"/>
        </w:rPr>
        <w:t>, que l</w:t>
      </w:r>
      <w:r>
        <w:rPr>
          <w:lang w:val="fr-CA"/>
        </w:rPr>
        <w:t>’</w:t>
      </w:r>
      <w:r w:rsidRPr="001E7CB3">
        <w:rPr>
          <w:lang w:val="fr-CA"/>
        </w:rPr>
        <w:t xml:space="preserve">intérêt en </w:t>
      </w:r>
      <w:r>
        <w:rPr>
          <w:lang w:val="fr-CA"/>
        </w:rPr>
        <w:t>jeu</w:t>
      </w:r>
      <w:r w:rsidRPr="001E7CB3">
        <w:rPr>
          <w:lang w:val="fr-CA"/>
        </w:rPr>
        <w:t xml:space="preserve"> doit être un intérêt de droit privé précis et que le droit en cause </w:t>
      </w:r>
      <w:r w:rsidRPr="001E7CB3">
        <w:rPr>
          <w:szCs w:val="24"/>
          <w:lang w:val="fr-CA"/>
        </w:rPr>
        <w:t>« ne doit pas dépendre d</w:t>
      </w:r>
      <w:r>
        <w:rPr>
          <w:szCs w:val="24"/>
          <w:lang w:val="fr-CA"/>
        </w:rPr>
        <w:t>’</w:t>
      </w:r>
      <w:r w:rsidRPr="001E7CB3">
        <w:rPr>
          <w:szCs w:val="24"/>
          <w:lang w:val="fr-CA"/>
        </w:rPr>
        <w:t>une mesure ultérieure de l</w:t>
      </w:r>
      <w:r>
        <w:rPr>
          <w:szCs w:val="24"/>
          <w:lang w:val="fr-CA"/>
        </w:rPr>
        <w:t>’</w:t>
      </w:r>
      <w:r w:rsidRPr="001E7CB3">
        <w:rPr>
          <w:szCs w:val="24"/>
          <w:lang w:val="fr-CA"/>
        </w:rPr>
        <w:t xml:space="preserve">État » </w:t>
      </w:r>
      <w:r>
        <w:rPr>
          <w:szCs w:val="24"/>
          <w:lang w:val="fr-CA"/>
        </w:rPr>
        <w:t>(par. </w:t>
      </w:r>
      <w:r w:rsidRPr="001E7CB3">
        <w:rPr>
          <w:szCs w:val="24"/>
          <w:lang w:val="fr-CA"/>
        </w:rPr>
        <w:t>51</w:t>
      </w:r>
      <w:r>
        <w:rPr>
          <w:szCs w:val="24"/>
          <w:lang w:val="fr-CA"/>
        </w:rPr>
        <w:t>)</w:t>
      </w:r>
      <w:r w:rsidRPr="001E7CB3">
        <w:rPr>
          <w:szCs w:val="24"/>
          <w:lang w:val="fr-CA"/>
        </w:rPr>
        <w:t>.  Les employés fédéraux n</w:t>
      </w:r>
      <w:r>
        <w:rPr>
          <w:szCs w:val="24"/>
          <w:lang w:val="fr-CA"/>
        </w:rPr>
        <w:t>’</w:t>
      </w:r>
      <w:r w:rsidRPr="001E7CB3">
        <w:rPr>
          <w:szCs w:val="24"/>
          <w:lang w:val="fr-CA"/>
        </w:rPr>
        <w:t xml:space="preserve">ont pas droit à un taux de </w:t>
      </w:r>
      <w:r>
        <w:rPr>
          <w:szCs w:val="24"/>
          <w:lang w:val="fr-CA"/>
        </w:rPr>
        <w:t>contribution</w:t>
      </w:r>
      <w:r w:rsidRPr="001E7CB3">
        <w:rPr>
          <w:szCs w:val="24"/>
          <w:lang w:val="fr-CA"/>
        </w:rPr>
        <w:t xml:space="preserve"> précis, que sa fixation relève du législateur (comme c</w:t>
      </w:r>
      <w:r>
        <w:rPr>
          <w:szCs w:val="24"/>
          <w:lang w:val="fr-CA"/>
        </w:rPr>
        <w:t>’</w:t>
      </w:r>
      <w:r w:rsidRPr="001E7CB3">
        <w:rPr>
          <w:szCs w:val="24"/>
          <w:lang w:val="fr-CA"/>
        </w:rPr>
        <w:t>était le cas avant le 1</w:t>
      </w:r>
      <w:r w:rsidRPr="001E7CB3">
        <w:rPr>
          <w:szCs w:val="24"/>
          <w:vertAlign w:val="superscript"/>
          <w:lang w:val="fr-CA"/>
        </w:rPr>
        <w:t>er</w:t>
      </w:r>
      <w:r>
        <w:rPr>
          <w:szCs w:val="24"/>
          <w:lang w:val="fr-CA"/>
        </w:rPr>
        <w:t xml:space="preserve"> janvier </w:t>
      </w:r>
      <w:r w:rsidRPr="001E7CB3">
        <w:rPr>
          <w:szCs w:val="24"/>
          <w:lang w:val="fr-CA"/>
        </w:rPr>
        <w:t>2004) ou du Conseil du Trésor (</w:t>
      </w:r>
      <w:r>
        <w:rPr>
          <w:szCs w:val="24"/>
          <w:lang w:val="fr-CA"/>
        </w:rPr>
        <w:t xml:space="preserve">depuis le </w:t>
      </w:r>
      <w:r w:rsidRPr="001E7CB3">
        <w:rPr>
          <w:szCs w:val="24"/>
          <w:lang w:val="fr-CA"/>
        </w:rPr>
        <w:t>1</w:t>
      </w:r>
      <w:r w:rsidRPr="001E7CB3">
        <w:rPr>
          <w:szCs w:val="24"/>
          <w:vertAlign w:val="superscript"/>
          <w:lang w:val="fr-CA"/>
        </w:rPr>
        <w:t>er</w:t>
      </w:r>
      <w:r>
        <w:rPr>
          <w:szCs w:val="24"/>
          <w:lang w:val="fr-CA"/>
        </w:rPr>
        <w:t xml:space="preserve"> janvier </w:t>
      </w:r>
      <w:r w:rsidRPr="001E7CB3">
        <w:rPr>
          <w:szCs w:val="24"/>
          <w:lang w:val="fr-CA"/>
        </w:rPr>
        <w:t>2004).  Les membres des régimes n</w:t>
      </w:r>
      <w:r>
        <w:rPr>
          <w:szCs w:val="24"/>
          <w:lang w:val="fr-CA"/>
        </w:rPr>
        <w:t>’</w:t>
      </w:r>
      <w:r w:rsidRPr="001E7CB3">
        <w:rPr>
          <w:szCs w:val="24"/>
          <w:lang w:val="fr-CA"/>
        </w:rPr>
        <w:t>avaient pas d</w:t>
      </w:r>
      <w:r>
        <w:rPr>
          <w:szCs w:val="24"/>
          <w:lang w:val="fr-CA"/>
        </w:rPr>
        <w:t>’</w:t>
      </w:r>
      <w:r w:rsidRPr="001E7CB3">
        <w:rPr>
          <w:lang w:val="fr-CA"/>
        </w:rPr>
        <w:t>intérêt de droit privé précis</w:t>
      </w:r>
      <w:r w:rsidRPr="001E7CB3">
        <w:rPr>
          <w:szCs w:val="24"/>
          <w:lang w:val="fr-CA"/>
        </w:rPr>
        <w:t xml:space="preserve"> à des taux de </w:t>
      </w:r>
      <w:r>
        <w:rPr>
          <w:szCs w:val="24"/>
          <w:lang w:val="fr-CA"/>
        </w:rPr>
        <w:t>cotisation</w:t>
      </w:r>
      <w:r w:rsidRPr="001E7CB3">
        <w:rPr>
          <w:szCs w:val="24"/>
          <w:lang w:val="fr-CA"/>
        </w:rPr>
        <w:t xml:space="preserve"> déterminés, </w:t>
      </w:r>
      <w:r>
        <w:rPr>
          <w:szCs w:val="24"/>
          <w:lang w:val="fr-CA"/>
        </w:rPr>
        <w:t>pouvant</w:t>
      </w:r>
      <w:r w:rsidRPr="001E7CB3">
        <w:rPr>
          <w:szCs w:val="24"/>
          <w:lang w:val="fr-CA"/>
        </w:rPr>
        <w:t xml:space="preserve"> </w:t>
      </w:r>
      <w:r>
        <w:rPr>
          <w:szCs w:val="24"/>
          <w:lang w:val="fr-CA"/>
        </w:rPr>
        <w:t>fond</w:t>
      </w:r>
      <w:r w:rsidRPr="001E7CB3">
        <w:rPr>
          <w:szCs w:val="24"/>
          <w:lang w:val="fr-CA"/>
        </w:rPr>
        <w:t>er une obligation fiducia</w:t>
      </w:r>
      <w:r>
        <w:rPr>
          <w:szCs w:val="24"/>
          <w:lang w:val="fr-CA"/>
        </w:rPr>
        <w:t>ir</w:t>
      </w:r>
      <w:r w:rsidRPr="001E7CB3">
        <w:rPr>
          <w:szCs w:val="24"/>
          <w:lang w:val="fr-CA"/>
        </w:rPr>
        <w:t>e.</w:t>
      </w:r>
    </w:p>
    <w:p w:rsidR="000F48EC" w:rsidRPr="00646201" w:rsidRDefault="000F48EC" w:rsidP="0026622D">
      <w:pPr>
        <w:pStyle w:val="TitleTitre-AltT"/>
        <w:keepNext/>
        <w:tabs>
          <w:tab w:val="clear" w:pos="360"/>
          <w:tab w:val="left" w:pos="540"/>
        </w:tabs>
        <w:ind w:left="1170" w:hanging="1170"/>
        <w:rPr>
          <w:lang w:val="fr-CA"/>
        </w:rPr>
      </w:pPr>
      <w:bookmarkStart w:id="5" w:name="_Toc315784300"/>
      <w:r>
        <w:rPr>
          <w:i/>
          <w:szCs w:val="24"/>
          <w:lang w:val="fr-CA"/>
        </w:rPr>
        <w:tab/>
      </w:r>
      <w:r w:rsidRPr="00646201">
        <w:rPr>
          <w:szCs w:val="24"/>
          <w:lang w:val="fr-CA"/>
        </w:rPr>
        <w:t>(5)</w:t>
      </w:r>
      <w:r w:rsidRPr="00646201">
        <w:rPr>
          <w:szCs w:val="24"/>
          <w:lang w:val="fr-CA"/>
        </w:rPr>
        <w:tab/>
      </w:r>
      <w:r w:rsidRPr="00646201">
        <w:rPr>
          <w:szCs w:val="24"/>
          <w:u w:val="single"/>
          <w:lang w:val="fr-CA"/>
        </w:rPr>
        <w:t>Conclusion</w:t>
      </w:r>
      <w:bookmarkEnd w:id="5"/>
      <w:r w:rsidRPr="00646201">
        <w:rPr>
          <w:szCs w:val="24"/>
          <w:u w:val="single"/>
          <w:lang w:val="fr-CA"/>
        </w:rPr>
        <w:t xml:space="preserve"> relative à la relation fiducia</w:t>
      </w:r>
      <w:r>
        <w:rPr>
          <w:szCs w:val="24"/>
          <w:u w:val="single"/>
          <w:lang w:val="fr-CA"/>
        </w:rPr>
        <w:t>ir</w:t>
      </w:r>
      <w:r w:rsidRPr="00646201">
        <w:rPr>
          <w:szCs w:val="24"/>
          <w:u w:val="single"/>
          <w:lang w:val="fr-CA"/>
        </w:rPr>
        <w:t>e</w:t>
      </w:r>
    </w:p>
    <w:p w:rsidR="000F48EC" w:rsidRPr="001E7CB3" w:rsidRDefault="000F48EC" w:rsidP="000F48EC">
      <w:pPr>
        <w:pStyle w:val="ParaNoNdepar-AltN"/>
        <w:rPr>
          <w:lang w:val="fr-CA"/>
        </w:rPr>
      </w:pPr>
      <w:r w:rsidRPr="001E7CB3">
        <w:rPr>
          <w:lang w:val="fr-CA"/>
        </w:rPr>
        <w:t>Pour ces motifs, je suis d</w:t>
      </w:r>
      <w:r>
        <w:rPr>
          <w:lang w:val="fr-CA"/>
        </w:rPr>
        <w:t>’</w:t>
      </w:r>
      <w:r w:rsidRPr="001E7CB3">
        <w:rPr>
          <w:lang w:val="fr-CA"/>
        </w:rPr>
        <w:t>avis qu</w:t>
      </w:r>
      <w:r>
        <w:rPr>
          <w:lang w:val="fr-CA"/>
        </w:rPr>
        <w:t>’</w:t>
      </w:r>
      <w:r w:rsidRPr="001E7CB3">
        <w:rPr>
          <w:lang w:val="fr-CA"/>
        </w:rPr>
        <w:t>il n</w:t>
      </w:r>
      <w:r>
        <w:rPr>
          <w:lang w:val="fr-CA"/>
        </w:rPr>
        <w:t>’</w:t>
      </w:r>
      <w:r w:rsidRPr="001E7CB3">
        <w:rPr>
          <w:lang w:val="fr-CA"/>
        </w:rPr>
        <w:t>existait pas de relation fiducia</w:t>
      </w:r>
      <w:r>
        <w:rPr>
          <w:lang w:val="fr-CA"/>
        </w:rPr>
        <w:t>ir</w:t>
      </w:r>
      <w:r w:rsidRPr="001E7CB3">
        <w:rPr>
          <w:lang w:val="fr-CA"/>
        </w:rPr>
        <w:t xml:space="preserve">e </w:t>
      </w:r>
      <w:r w:rsidRPr="001E7CB3">
        <w:rPr>
          <w:i/>
          <w:lang w:val="fr-CA"/>
        </w:rPr>
        <w:t>ad hoc</w:t>
      </w:r>
      <w:r w:rsidRPr="001E7CB3">
        <w:rPr>
          <w:lang w:val="fr-CA"/>
        </w:rPr>
        <w:t xml:space="preserve"> entre le gouvernement et les membres des régimes à l</w:t>
      </w:r>
      <w:r>
        <w:rPr>
          <w:lang w:val="fr-CA"/>
        </w:rPr>
        <w:t>’</w:t>
      </w:r>
      <w:r w:rsidRPr="001E7CB3">
        <w:rPr>
          <w:lang w:val="fr-CA"/>
        </w:rPr>
        <w:t>égard d</w:t>
      </w:r>
      <w:r>
        <w:rPr>
          <w:lang w:val="fr-CA"/>
        </w:rPr>
        <w:t xml:space="preserve">es </w:t>
      </w:r>
      <w:r w:rsidRPr="001E7CB3">
        <w:rPr>
          <w:lang w:val="fr-CA"/>
        </w:rPr>
        <w:t>surplus actuariel</w:t>
      </w:r>
      <w:r>
        <w:rPr>
          <w:lang w:val="fr-CA"/>
        </w:rPr>
        <w:t>s</w:t>
      </w:r>
      <w:r w:rsidRPr="001E7CB3">
        <w:rPr>
          <w:lang w:val="fr-CA"/>
        </w:rPr>
        <w:t xml:space="preserve"> qu</w:t>
      </w:r>
      <w:r>
        <w:rPr>
          <w:lang w:val="fr-CA"/>
        </w:rPr>
        <w:t>’</w:t>
      </w:r>
      <w:r w:rsidRPr="001E7CB3">
        <w:rPr>
          <w:lang w:val="fr-CA"/>
        </w:rPr>
        <w:t>affichaient les comptes de pension de retraite.  Point plus important, le gouvernement ne s</w:t>
      </w:r>
      <w:r>
        <w:rPr>
          <w:lang w:val="fr-CA"/>
        </w:rPr>
        <w:t>’</w:t>
      </w:r>
      <w:r w:rsidRPr="001E7CB3">
        <w:rPr>
          <w:lang w:val="fr-CA"/>
        </w:rPr>
        <w:t xml:space="preserve">est pas engagé, de façon expresse </w:t>
      </w:r>
      <w:r>
        <w:rPr>
          <w:lang w:val="fr-CA"/>
        </w:rPr>
        <w:t>ni</w:t>
      </w:r>
      <w:r w:rsidRPr="001E7CB3">
        <w:rPr>
          <w:lang w:val="fr-CA"/>
        </w:rPr>
        <w:t xml:space="preserve"> implicite, à agir dans l</w:t>
      </w:r>
      <w:r>
        <w:rPr>
          <w:lang w:val="fr-CA"/>
        </w:rPr>
        <w:t>’</w:t>
      </w:r>
      <w:r w:rsidRPr="001E7CB3">
        <w:rPr>
          <w:lang w:val="fr-CA"/>
        </w:rPr>
        <w:t>intérêt des membres</w:t>
      </w:r>
      <w:r>
        <w:rPr>
          <w:lang w:val="fr-CA"/>
        </w:rPr>
        <w:t xml:space="preserve"> relativement aux surplus actuariels</w:t>
      </w:r>
      <w:r w:rsidRPr="001E7CB3">
        <w:rPr>
          <w:lang w:val="fr-CA"/>
        </w:rPr>
        <w:t>.  Le devoir du gouvernement, en l</w:t>
      </w:r>
      <w:r>
        <w:rPr>
          <w:lang w:val="fr-CA"/>
        </w:rPr>
        <w:t>’</w:t>
      </w:r>
      <w:r w:rsidRPr="001E7CB3">
        <w:rPr>
          <w:lang w:val="fr-CA"/>
        </w:rPr>
        <w:t>absence d</w:t>
      </w:r>
      <w:r>
        <w:rPr>
          <w:lang w:val="fr-CA"/>
        </w:rPr>
        <w:t>’</w:t>
      </w:r>
      <w:r w:rsidRPr="001E7CB3">
        <w:rPr>
          <w:lang w:val="fr-CA"/>
        </w:rPr>
        <w:t xml:space="preserve">un tel engagement de loyauté envers ce groupe particulier, consistait à </w:t>
      </w:r>
      <w:r w:rsidRPr="001E7CB3">
        <w:rPr>
          <w:lang w:val="fr-CA"/>
        </w:rPr>
        <w:lastRenderedPageBreak/>
        <w:t>agir dans l</w:t>
      </w:r>
      <w:r>
        <w:rPr>
          <w:lang w:val="fr-CA"/>
        </w:rPr>
        <w:t>’</w:t>
      </w:r>
      <w:r w:rsidRPr="001E7CB3">
        <w:rPr>
          <w:lang w:val="fr-CA"/>
        </w:rPr>
        <w:t>intérêt de la société en général, ce qui n</w:t>
      </w:r>
      <w:r>
        <w:rPr>
          <w:lang w:val="fr-CA"/>
        </w:rPr>
        <w:t>’</w:t>
      </w:r>
      <w:r w:rsidRPr="001E7CB3">
        <w:rPr>
          <w:lang w:val="fr-CA"/>
        </w:rPr>
        <w:t>est pas compatible avec l</w:t>
      </w:r>
      <w:r>
        <w:rPr>
          <w:lang w:val="fr-CA"/>
        </w:rPr>
        <w:t>’</w:t>
      </w:r>
      <w:r w:rsidRPr="001E7CB3">
        <w:rPr>
          <w:lang w:val="fr-CA"/>
        </w:rPr>
        <w:t>existence d</w:t>
      </w:r>
      <w:r>
        <w:rPr>
          <w:lang w:val="fr-CA"/>
        </w:rPr>
        <w:t>’</w:t>
      </w:r>
      <w:r w:rsidRPr="001E7CB3">
        <w:rPr>
          <w:lang w:val="fr-CA"/>
        </w:rPr>
        <w:t>une obligation fiducia</w:t>
      </w:r>
      <w:r>
        <w:rPr>
          <w:lang w:val="fr-CA"/>
        </w:rPr>
        <w:t>ir</w:t>
      </w:r>
      <w:r w:rsidRPr="001E7CB3">
        <w:rPr>
          <w:lang w:val="fr-CA"/>
        </w:rPr>
        <w:t xml:space="preserve">e.  </w:t>
      </w:r>
      <w:r>
        <w:rPr>
          <w:lang w:val="fr-CA"/>
        </w:rPr>
        <w:t>De plus</w:t>
      </w:r>
      <w:r w:rsidRPr="001E7CB3">
        <w:rPr>
          <w:lang w:val="fr-CA"/>
        </w:rPr>
        <w:t xml:space="preserve">, bien que le gouvernement </w:t>
      </w:r>
      <w:r>
        <w:rPr>
          <w:lang w:val="fr-CA"/>
        </w:rPr>
        <w:t>ait exercé</w:t>
      </w:r>
      <w:r w:rsidRPr="001E7CB3">
        <w:rPr>
          <w:lang w:val="fr-CA"/>
        </w:rPr>
        <w:t xml:space="preserve"> un pouvoir discrétionnaire</w:t>
      </w:r>
      <w:r>
        <w:rPr>
          <w:lang w:val="fr-CA"/>
        </w:rPr>
        <w:t xml:space="preserve"> à l’égard du</w:t>
      </w:r>
      <w:r w:rsidRPr="001E7CB3">
        <w:rPr>
          <w:lang w:val="fr-CA"/>
        </w:rPr>
        <w:t xml:space="preserve"> traitement comptable d</w:t>
      </w:r>
      <w:r>
        <w:rPr>
          <w:lang w:val="fr-CA"/>
        </w:rPr>
        <w:t xml:space="preserve">es </w:t>
      </w:r>
      <w:r w:rsidRPr="001E7CB3">
        <w:rPr>
          <w:lang w:val="fr-CA"/>
        </w:rPr>
        <w:t>surplus des comptes de pension de retraite, les membres des régimes n</w:t>
      </w:r>
      <w:r>
        <w:rPr>
          <w:lang w:val="fr-CA"/>
        </w:rPr>
        <w:t>’</w:t>
      </w:r>
      <w:r w:rsidRPr="001E7CB3">
        <w:rPr>
          <w:lang w:val="fr-CA"/>
        </w:rPr>
        <w:t>étaient pas en position de vulnérabilité face à ce pouvoir et ils n</w:t>
      </w:r>
      <w:r>
        <w:rPr>
          <w:lang w:val="fr-CA"/>
        </w:rPr>
        <w:t>’</w:t>
      </w:r>
      <w:r w:rsidRPr="001E7CB3">
        <w:rPr>
          <w:lang w:val="fr-CA"/>
        </w:rPr>
        <w:t>avaient aucun intérêt juridique ou pratique en jeu.  L</w:t>
      </w:r>
      <w:r>
        <w:rPr>
          <w:lang w:val="fr-CA"/>
        </w:rPr>
        <w:t>’</w:t>
      </w:r>
      <w:r w:rsidRPr="001E7CB3">
        <w:rPr>
          <w:lang w:val="fr-CA"/>
        </w:rPr>
        <w:t xml:space="preserve">amortissement avait pour effet de </w:t>
      </w:r>
      <w:r>
        <w:rPr>
          <w:lang w:val="fr-CA"/>
        </w:rPr>
        <w:t>présent</w:t>
      </w:r>
      <w:r w:rsidRPr="001E7CB3">
        <w:rPr>
          <w:lang w:val="fr-CA"/>
        </w:rPr>
        <w:t>er avec plus d</w:t>
      </w:r>
      <w:r>
        <w:rPr>
          <w:lang w:val="fr-CA"/>
        </w:rPr>
        <w:t>’</w:t>
      </w:r>
      <w:r w:rsidRPr="001E7CB3">
        <w:rPr>
          <w:lang w:val="fr-CA"/>
        </w:rPr>
        <w:t xml:space="preserve">exactitude à combien se chiffraient les </w:t>
      </w:r>
      <w:r>
        <w:rPr>
          <w:lang w:val="fr-CA"/>
        </w:rPr>
        <w:t>engagements réels</w:t>
      </w:r>
      <w:r w:rsidRPr="001E7CB3">
        <w:rPr>
          <w:lang w:val="fr-CA"/>
        </w:rPr>
        <w:t xml:space="preserve"> du Canada </w:t>
      </w:r>
      <w:r>
        <w:rPr>
          <w:lang w:val="fr-CA"/>
        </w:rPr>
        <w:t>au titre des</w:t>
      </w:r>
      <w:r w:rsidRPr="001E7CB3">
        <w:rPr>
          <w:lang w:val="fr-CA"/>
        </w:rPr>
        <w:t xml:space="preserve"> pensions, </w:t>
      </w:r>
      <w:r>
        <w:rPr>
          <w:lang w:val="fr-CA"/>
        </w:rPr>
        <w:t xml:space="preserve">et </w:t>
      </w:r>
      <w:r w:rsidRPr="001E7CB3">
        <w:rPr>
          <w:lang w:val="fr-CA"/>
        </w:rPr>
        <w:t xml:space="preserve">non </w:t>
      </w:r>
      <w:r>
        <w:rPr>
          <w:lang w:val="fr-CA"/>
        </w:rPr>
        <w:t>de modifier les</w:t>
      </w:r>
      <w:r w:rsidRPr="001E7CB3">
        <w:rPr>
          <w:lang w:val="fr-CA"/>
        </w:rPr>
        <w:t xml:space="preserve"> droits </w:t>
      </w:r>
      <w:r>
        <w:rPr>
          <w:lang w:val="fr-CA"/>
        </w:rPr>
        <w:t xml:space="preserve">conférés par la loi aux </w:t>
      </w:r>
      <w:r w:rsidRPr="001E7CB3">
        <w:rPr>
          <w:lang w:val="fr-CA"/>
        </w:rPr>
        <w:t xml:space="preserve">membres des régimes. </w:t>
      </w:r>
    </w:p>
    <w:p w:rsidR="000F48EC" w:rsidRPr="00F74918" w:rsidRDefault="000F48EC" w:rsidP="00B43A38">
      <w:pPr>
        <w:pStyle w:val="TitleTitre-AltT"/>
        <w:keepNext/>
        <w:numPr>
          <w:ilvl w:val="1"/>
          <w:numId w:val="2"/>
        </w:numPr>
        <w:tabs>
          <w:tab w:val="clear" w:pos="360"/>
          <w:tab w:val="left" w:pos="540"/>
        </w:tabs>
        <w:ind w:left="540" w:hanging="540"/>
        <w:rPr>
          <w:i/>
          <w:szCs w:val="24"/>
          <w:lang w:val="fr-CA"/>
        </w:rPr>
      </w:pPr>
      <w:r w:rsidRPr="00477892">
        <w:rPr>
          <w:i/>
          <w:szCs w:val="24"/>
          <w:lang w:val="fr-CA"/>
        </w:rPr>
        <w:t>Une fid</w:t>
      </w:r>
      <w:r>
        <w:rPr>
          <w:i/>
          <w:szCs w:val="24"/>
          <w:lang w:val="fr-CA"/>
        </w:rPr>
        <w:t>ucie par interprétation devrait-</w:t>
      </w:r>
      <w:r w:rsidRPr="00477892">
        <w:rPr>
          <w:i/>
          <w:szCs w:val="24"/>
          <w:lang w:val="fr-CA"/>
        </w:rPr>
        <w:t xml:space="preserve">elle être imposée </w:t>
      </w:r>
      <w:r>
        <w:rPr>
          <w:i/>
          <w:szCs w:val="24"/>
          <w:lang w:val="fr-CA"/>
        </w:rPr>
        <w:t xml:space="preserve">relativement </w:t>
      </w:r>
      <w:r w:rsidRPr="00F74918">
        <w:rPr>
          <w:i/>
          <w:szCs w:val="24"/>
          <w:lang w:val="fr-CA"/>
        </w:rPr>
        <w:t>aux soldes des comptes de pension de retraite au 31 mars 2000?</w:t>
      </w:r>
    </w:p>
    <w:p w:rsidR="000F48EC" w:rsidRPr="00F74918" w:rsidRDefault="000F48EC" w:rsidP="00B43A38">
      <w:pPr>
        <w:pStyle w:val="TitleTitre-AltT"/>
        <w:keepNext/>
        <w:tabs>
          <w:tab w:val="clear" w:pos="360"/>
          <w:tab w:val="left" w:pos="540"/>
        </w:tabs>
        <w:ind w:left="1170" w:hanging="1170"/>
        <w:rPr>
          <w:u w:val="single"/>
          <w:lang w:val="fr-CA"/>
        </w:rPr>
      </w:pPr>
      <w:r>
        <w:rPr>
          <w:lang w:val="fr-CA"/>
        </w:rPr>
        <w:tab/>
        <w:t>(1)</w:t>
      </w:r>
      <w:r>
        <w:rPr>
          <w:lang w:val="fr-CA"/>
        </w:rPr>
        <w:tab/>
      </w:r>
      <w:r w:rsidRPr="00F74918">
        <w:rPr>
          <w:u w:val="single"/>
          <w:lang w:val="fr-CA"/>
        </w:rPr>
        <w:t xml:space="preserve">Obligation en </w:t>
      </w:r>
      <w:proofErr w:type="spellStart"/>
      <w:r w:rsidRPr="00F74918">
        <w:rPr>
          <w:u w:val="single"/>
          <w:lang w:val="fr-CA"/>
        </w:rPr>
        <w:t>equity</w:t>
      </w:r>
      <w:proofErr w:type="spellEnd"/>
    </w:p>
    <w:p w:rsidR="000F48EC" w:rsidRPr="001E7CB3" w:rsidRDefault="000F48EC" w:rsidP="000F48EC">
      <w:pPr>
        <w:pStyle w:val="ParaNoNdepar-AltN"/>
        <w:rPr>
          <w:lang w:val="fr-CA"/>
        </w:rPr>
      </w:pPr>
      <w:r>
        <w:rPr>
          <w:lang w:val="fr-CA"/>
        </w:rPr>
        <w:t>Pour avoir gain de cause</w:t>
      </w:r>
      <w:r w:rsidRPr="001E7CB3">
        <w:rPr>
          <w:lang w:val="fr-CA"/>
        </w:rPr>
        <w:t>, les appelants doivent</w:t>
      </w:r>
      <w:r>
        <w:rPr>
          <w:lang w:val="fr-CA"/>
        </w:rPr>
        <w:t xml:space="preserve"> </w:t>
      </w:r>
      <w:r w:rsidRPr="001E7CB3">
        <w:rPr>
          <w:lang w:val="fr-CA"/>
        </w:rPr>
        <w:t xml:space="preserve">établir </w:t>
      </w:r>
      <w:r>
        <w:rPr>
          <w:lang w:val="fr-CA"/>
        </w:rPr>
        <w:t xml:space="preserve">qu’ils ont </w:t>
      </w:r>
      <w:r w:rsidRPr="001E7CB3">
        <w:rPr>
          <w:lang w:val="fr-CA"/>
        </w:rPr>
        <w:t xml:space="preserve">un intérêt en </w:t>
      </w:r>
      <w:proofErr w:type="spellStart"/>
      <w:r w:rsidRPr="001E7CB3">
        <w:rPr>
          <w:lang w:val="fr-CA"/>
        </w:rPr>
        <w:t>equity</w:t>
      </w:r>
      <w:proofErr w:type="spellEnd"/>
      <w:r>
        <w:rPr>
          <w:lang w:val="fr-CA"/>
        </w:rPr>
        <w:t xml:space="preserve"> dans le </w:t>
      </w:r>
      <w:r w:rsidRPr="001E7CB3">
        <w:rPr>
          <w:lang w:val="fr-CA"/>
        </w:rPr>
        <w:t xml:space="preserve">surplus actuariel </w:t>
      </w:r>
      <w:r>
        <w:rPr>
          <w:lang w:val="fr-CA"/>
        </w:rPr>
        <w:t>des</w:t>
      </w:r>
      <w:r w:rsidRPr="001E7CB3">
        <w:rPr>
          <w:lang w:val="fr-CA"/>
        </w:rPr>
        <w:t xml:space="preserve"> comptes de pension de retraite</w:t>
      </w:r>
      <w:r>
        <w:rPr>
          <w:lang w:val="fr-CA"/>
        </w:rPr>
        <w:t>, é</w:t>
      </w:r>
      <w:r w:rsidRPr="001E7CB3">
        <w:rPr>
          <w:lang w:val="fr-CA"/>
        </w:rPr>
        <w:t xml:space="preserve">tant donné que leur intérêt </w:t>
      </w:r>
      <w:r>
        <w:rPr>
          <w:lang w:val="fr-CA"/>
        </w:rPr>
        <w:t xml:space="preserve">en </w:t>
      </w:r>
      <w:proofErr w:type="spellStart"/>
      <w:r>
        <w:rPr>
          <w:lang w:val="fr-CA"/>
        </w:rPr>
        <w:t>common</w:t>
      </w:r>
      <w:proofErr w:type="spellEnd"/>
      <w:r>
        <w:rPr>
          <w:lang w:val="fr-CA"/>
        </w:rPr>
        <w:t xml:space="preserve"> </w:t>
      </w:r>
      <w:proofErr w:type="spellStart"/>
      <w:r>
        <w:rPr>
          <w:lang w:val="fr-CA"/>
        </w:rPr>
        <w:t>law</w:t>
      </w:r>
      <w:proofErr w:type="spellEnd"/>
      <w:r w:rsidRPr="001E7CB3">
        <w:rPr>
          <w:lang w:val="fr-CA"/>
        </w:rPr>
        <w:t xml:space="preserve"> se limite à leur droit aux prestations déterminées prévues par la loi.  Ils ont abandonné, en appel, leur argument fondé sur la fiducie expresse et n</w:t>
      </w:r>
      <w:r>
        <w:rPr>
          <w:lang w:val="fr-CA"/>
        </w:rPr>
        <w:t>’</w:t>
      </w:r>
      <w:r w:rsidRPr="001E7CB3">
        <w:rPr>
          <w:lang w:val="fr-CA"/>
        </w:rPr>
        <w:t>ont pas invoqué l</w:t>
      </w:r>
      <w:r>
        <w:rPr>
          <w:lang w:val="fr-CA"/>
        </w:rPr>
        <w:t>’</w:t>
      </w:r>
      <w:r w:rsidRPr="001E7CB3">
        <w:rPr>
          <w:lang w:val="fr-CA"/>
        </w:rPr>
        <w:t>existence d</w:t>
      </w:r>
      <w:r>
        <w:rPr>
          <w:lang w:val="fr-CA"/>
        </w:rPr>
        <w:t>’</w:t>
      </w:r>
      <w:r w:rsidRPr="001E7CB3">
        <w:rPr>
          <w:lang w:val="fr-CA"/>
        </w:rPr>
        <w:t xml:space="preserve">une fiducie </w:t>
      </w:r>
      <w:r>
        <w:rPr>
          <w:lang w:val="fr-CA"/>
        </w:rPr>
        <w:t>par déduction</w:t>
      </w:r>
      <w:r w:rsidRPr="001E7CB3">
        <w:rPr>
          <w:lang w:val="fr-CA"/>
        </w:rPr>
        <w:t xml:space="preserve">.  Par conséquent, le seul fondement sur lequel un « intérêt en </w:t>
      </w:r>
      <w:proofErr w:type="spellStart"/>
      <w:r w:rsidRPr="001E7CB3">
        <w:rPr>
          <w:lang w:val="fr-CA"/>
        </w:rPr>
        <w:t>equity</w:t>
      </w:r>
      <w:proofErr w:type="spellEnd"/>
      <w:r w:rsidRPr="001E7CB3">
        <w:rPr>
          <w:lang w:val="fr-CA"/>
        </w:rPr>
        <w:t xml:space="preserve"> » peut leur être reconnu </w:t>
      </w:r>
      <w:r>
        <w:rPr>
          <w:lang w:val="fr-CA"/>
        </w:rPr>
        <w:t xml:space="preserve">dans les </w:t>
      </w:r>
      <w:r w:rsidRPr="001E7CB3">
        <w:rPr>
          <w:lang w:val="fr-CA"/>
        </w:rPr>
        <w:t>surplus actuariel</w:t>
      </w:r>
      <w:r>
        <w:rPr>
          <w:lang w:val="fr-CA"/>
        </w:rPr>
        <w:t>s</w:t>
      </w:r>
      <w:r w:rsidRPr="001E7CB3">
        <w:rPr>
          <w:lang w:val="fr-CA"/>
        </w:rPr>
        <w:t xml:space="preserve"> est la fiducie </w:t>
      </w:r>
      <w:r>
        <w:rPr>
          <w:lang w:val="fr-CA"/>
        </w:rPr>
        <w:t>par interprétation</w:t>
      </w:r>
      <w:r w:rsidRPr="001E7CB3">
        <w:rPr>
          <w:lang w:val="fr-CA"/>
        </w:rPr>
        <w:t xml:space="preserve"> </w:t>
      </w:r>
      <w:r>
        <w:rPr>
          <w:lang w:val="fr-CA"/>
        </w:rPr>
        <w:t>(</w:t>
      </w:r>
      <w:proofErr w:type="gramStart"/>
      <w:r w:rsidR="00F160C7">
        <w:rPr>
          <w:lang w:val="fr-CA"/>
        </w:rPr>
        <w:t>m.a</w:t>
      </w:r>
      <w:r w:rsidRPr="001E7CB3">
        <w:rPr>
          <w:lang w:val="fr-CA"/>
        </w:rPr>
        <w:t>.,</w:t>
      </w:r>
      <w:proofErr w:type="gramEnd"/>
      <w:r w:rsidRPr="001E7CB3">
        <w:rPr>
          <w:lang w:val="fr-CA"/>
        </w:rPr>
        <w:t xml:space="preserve"> </w:t>
      </w:r>
      <w:r>
        <w:rPr>
          <w:lang w:val="fr-CA"/>
        </w:rPr>
        <w:t>par. </w:t>
      </w:r>
      <w:r w:rsidRPr="001E7CB3">
        <w:rPr>
          <w:lang w:val="fr-CA"/>
        </w:rPr>
        <w:t>142</w:t>
      </w:r>
      <w:r>
        <w:rPr>
          <w:lang w:val="fr-CA"/>
        </w:rPr>
        <w:t>)</w:t>
      </w:r>
      <w:r w:rsidRPr="001E7CB3">
        <w:rPr>
          <w:lang w:val="fr-CA"/>
        </w:rPr>
        <w:t>.</w:t>
      </w:r>
    </w:p>
    <w:p w:rsidR="000F48EC" w:rsidRPr="001E7CB3" w:rsidRDefault="000F48EC" w:rsidP="000F48EC">
      <w:pPr>
        <w:pStyle w:val="ParaNoNdepar-AltN"/>
        <w:rPr>
          <w:lang w:val="fr-CA"/>
        </w:rPr>
      </w:pPr>
      <w:r>
        <w:rPr>
          <w:lang w:val="fr-CA"/>
        </w:rPr>
        <w:t>Depuis l’</w:t>
      </w:r>
      <w:r w:rsidRPr="001E7CB3">
        <w:rPr>
          <w:lang w:val="fr-CA"/>
        </w:rPr>
        <w:t xml:space="preserve">arrêt </w:t>
      </w:r>
      <w:proofErr w:type="spellStart"/>
      <w:r w:rsidRPr="001E7CB3">
        <w:rPr>
          <w:i/>
          <w:lang w:val="fr-CA"/>
        </w:rPr>
        <w:t>Soulos</w:t>
      </w:r>
      <w:proofErr w:type="spellEnd"/>
      <w:r w:rsidRPr="001E7CB3">
        <w:rPr>
          <w:i/>
          <w:lang w:val="fr-CA"/>
        </w:rPr>
        <w:t xml:space="preserve"> c. </w:t>
      </w:r>
      <w:proofErr w:type="spellStart"/>
      <w:r w:rsidRPr="001E7CB3">
        <w:rPr>
          <w:i/>
          <w:lang w:val="fr-CA"/>
        </w:rPr>
        <w:t>Korkontzilas</w:t>
      </w:r>
      <w:proofErr w:type="spellEnd"/>
      <w:r w:rsidRPr="001E7CB3">
        <w:rPr>
          <w:lang w:val="fr-CA"/>
        </w:rPr>
        <w:t xml:space="preserve">, [1997] 2 R.C.S. 217, </w:t>
      </w:r>
      <w:r>
        <w:rPr>
          <w:lang w:val="fr-CA"/>
        </w:rPr>
        <w:t>un</w:t>
      </w:r>
      <w:r w:rsidRPr="001E7CB3">
        <w:rPr>
          <w:lang w:val="fr-CA"/>
        </w:rPr>
        <w:t xml:space="preserve"> tribunal peut imposer une fiducie par interprétation pour deux raisons</w:t>
      </w:r>
      <w:r>
        <w:rPr>
          <w:lang w:val="fr-CA"/>
        </w:rPr>
        <w:t> :</w:t>
      </w:r>
      <w:r w:rsidRPr="001E7CB3">
        <w:rPr>
          <w:lang w:val="fr-CA"/>
        </w:rPr>
        <w:t xml:space="preserve"> </w:t>
      </w:r>
      <w:r>
        <w:rPr>
          <w:lang w:val="fr-CA"/>
        </w:rPr>
        <w:t>(1) </w:t>
      </w:r>
      <w:r w:rsidRPr="001E7CB3">
        <w:rPr>
          <w:lang w:val="fr-CA"/>
        </w:rPr>
        <w:t xml:space="preserve">le manquement à </w:t>
      </w:r>
      <w:r w:rsidRPr="001E7CB3">
        <w:rPr>
          <w:lang w:val="fr-CA"/>
        </w:rPr>
        <w:lastRenderedPageBreak/>
        <w:t xml:space="preserve">une obligation en </w:t>
      </w:r>
      <w:proofErr w:type="spellStart"/>
      <w:r w:rsidRPr="001E7CB3">
        <w:rPr>
          <w:lang w:val="fr-CA"/>
        </w:rPr>
        <w:t>equity</w:t>
      </w:r>
      <w:proofErr w:type="spellEnd"/>
      <w:r w:rsidRPr="001E7CB3">
        <w:rPr>
          <w:lang w:val="fr-CA"/>
        </w:rPr>
        <w:t xml:space="preserve"> et (2)</w:t>
      </w:r>
      <w:r>
        <w:rPr>
          <w:lang w:val="fr-CA"/>
        </w:rPr>
        <w:t> </w:t>
      </w:r>
      <w:r w:rsidRPr="001E7CB3">
        <w:rPr>
          <w:lang w:val="fr-CA"/>
        </w:rPr>
        <w:t>l</w:t>
      </w:r>
      <w:r>
        <w:rPr>
          <w:lang w:val="fr-CA"/>
        </w:rPr>
        <w:t>’</w:t>
      </w:r>
      <w:r w:rsidRPr="001E7CB3">
        <w:rPr>
          <w:lang w:val="fr-CA"/>
        </w:rPr>
        <w:t>enrichissement injustifié.  Les appelants ont invoqué ces deux moyens en l</w:t>
      </w:r>
      <w:r>
        <w:rPr>
          <w:lang w:val="fr-CA"/>
        </w:rPr>
        <w:t>’</w:t>
      </w:r>
      <w:r w:rsidRPr="001E7CB3">
        <w:rPr>
          <w:lang w:val="fr-CA"/>
        </w:rPr>
        <w:t>espèce.</w:t>
      </w:r>
    </w:p>
    <w:p w:rsidR="000F48EC" w:rsidRPr="001E7CB3" w:rsidRDefault="000F48EC" w:rsidP="000F48EC">
      <w:pPr>
        <w:pStyle w:val="ParaNoNdepar-AltN"/>
        <w:rPr>
          <w:lang w:val="fr-CA"/>
        </w:rPr>
      </w:pPr>
      <w:r w:rsidRPr="001E7CB3">
        <w:rPr>
          <w:lang w:val="fr-CA"/>
        </w:rPr>
        <w:t xml:space="preserve">Dans </w:t>
      </w:r>
      <w:proofErr w:type="spellStart"/>
      <w:r w:rsidRPr="001E7CB3">
        <w:rPr>
          <w:i/>
          <w:lang w:val="fr-CA"/>
        </w:rPr>
        <w:t>Soulos</w:t>
      </w:r>
      <w:proofErr w:type="spellEnd"/>
      <w:r w:rsidRPr="001E7CB3">
        <w:rPr>
          <w:lang w:val="fr-CA"/>
        </w:rPr>
        <w:t xml:space="preserve">, la juge </w:t>
      </w:r>
      <w:proofErr w:type="spellStart"/>
      <w:r w:rsidRPr="001E7CB3">
        <w:rPr>
          <w:lang w:val="fr-CA"/>
        </w:rPr>
        <w:t>McLachlin</w:t>
      </w:r>
      <w:proofErr w:type="spellEnd"/>
      <w:r w:rsidRPr="001E7CB3">
        <w:rPr>
          <w:lang w:val="fr-CA"/>
        </w:rPr>
        <w:t xml:space="preserve"> (plus tard Juge en chef) a écrit qu</w:t>
      </w:r>
      <w:r>
        <w:rPr>
          <w:lang w:val="fr-CA"/>
        </w:rPr>
        <w:t>’</w:t>
      </w:r>
      <w:r w:rsidRPr="001E7CB3">
        <w:rPr>
          <w:lang w:val="fr-CA"/>
        </w:rPr>
        <w:t>une fiducie par interprétation « peut être imposée lorsque la conscience l</w:t>
      </w:r>
      <w:r>
        <w:rPr>
          <w:lang w:val="fr-CA"/>
        </w:rPr>
        <w:t>’</w:t>
      </w:r>
      <w:r w:rsidRPr="001E7CB3">
        <w:rPr>
          <w:lang w:val="fr-CA"/>
        </w:rPr>
        <w:t>exige »</w:t>
      </w:r>
      <w:r>
        <w:rPr>
          <w:lang w:val="fr-CA"/>
        </w:rPr>
        <w:t xml:space="preserve"> (par. </w:t>
      </w:r>
      <w:r w:rsidRPr="001E7CB3">
        <w:rPr>
          <w:lang w:val="fr-CA"/>
        </w:rPr>
        <w:t>34</w:t>
      </w:r>
      <w:r>
        <w:rPr>
          <w:lang w:val="fr-CA"/>
        </w:rPr>
        <w:t>)</w:t>
      </w:r>
      <w:r w:rsidRPr="001E7CB3">
        <w:rPr>
          <w:lang w:val="fr-CA"/>
        </w:rPr>
        <w:t xml:space="preserve">.  Selon elle, </w:t>
      </w:r>
      <w:r>
        <w:rPr>
          <w:lang w:val="fr-CA"/>
        </w:rPr>
        <w:t>la conscience peut l’exiger</w:t>
      </w:r>
      <w:r w:rsidRPr="001E7CB3">
        <w:rPr>
          <w:lang w:val="fr-CA"/>
        </w:rPr>
        <w:t xml:space="preserve"> dans deux situations</w:t>
      </w:r>
      <w:r>
        <w:rPr>
          <w:lang w:val="fr-CA"/>
        </w:rPr>
        <w:t> : (1) </w:t>
      </w:r>
      <w:r w:rsidRPr="001E7CB3">
        <w:rPr>
          <w:lang w:val="fr-CA"/>
        </w:rPr>
        <w:t>lorsqu</w:t>
      </w:r>
      <w:r>
        <w:rPr>
          <w:lang w:val="fr-CA"/>
        </w:rPr>
        <w:t>’</w:t>
      </w:r>
      <w:r w:rsidRPr="001E7CB3">
        <w:rPr>
          <w:lang w:val="fr-CA"/>
        </w:rPr>
        <w:t>il y a acquisition irrégulière de biens par le défendeur (notamment par suite d</w:t>
      </w:r>
      <w:r>
        <w:rPr>
          <w:lang w:val="fr-CA"/>
        </w:rPr>
        <w:t>’</w:t>
      </w:r>
      <w:r w:rsidRPr="001E7CB3">
        <w:rPr>
          <w:lang w:val="fr-CA"/>
        </w:rPr>
        <w:t>un manquement à une obligation fiducia</w:t>
      </w:r>
      <w:r>
        <w:rPr>
          <w:lang w:val="fr-CA"/>
        </w:rPr>
        <w:t>ir</w:t>
      </w:r>
      <w:r w:rsidRPr="001E7CB3">
        <w:rPr>
          <w:lang w:val="fr-CA"/>
        </w:rPr>
        <w:t>e ou à un devoir de loyauté) ou (2)</w:t>
      </w:r>
      <w:r>
        <w:rPr>
          <w:lang w:val="fr-CA"/>
        </w:rPr>
        <w:t> </w:t>
      </w:r>
      <w:r w:rsidRPr="001E7CB3">
        <w:rPr>
          <w:lang w:val="fr-CA"/>
        </w:rPr>
        <w:t>lorsqu</w:t>
      </w:r>
      <w:r>
        <w:rPr>
          <w:lang w:val="fr-CA"/>
        </w:rPr>
        <w:t>’</w:t>
      </w:r>
      <w:r w:rsidRPr="001E7CB3">
        <w:rPr>
          <w:lang w:val="fr-CA"/>
        </w:rPr>
        <w:t xml:space="preserve">il y a enrichissement injustifié du défendeur.  </w:t>
      </w:r>
    </w:p>
    <w:p w:rsidR="000F48EC" w:rsidRPr="001E7CB3" w:rsidRDefault="000F48EC" w:rsidP="000F48EC">
      <w:pPr>
        <w:pStyle w:val="ParaNoNdepar-AltN"/>
        <w:rPr>
          <w:lang w:val="fr-CA"/>
        </w:rPr>
      </w:pPr>
      <w:r w:rsidRPr="001E7CB3">
        <w:rPr>
          <w:lang w:val="fr-CA"/>
        </w:rPr>
        <w:t>S</w:t>
      </w:r>
      <w:r>
        <w:rPr>
          <w:lang w:val="fr-CA"/>
        </w:rPr>
        <w:t>’</w:t>
      </w:r>
      <w:r w:rsidRPr="001E7CB3">
        <w:rPr>
          <w:lang w:val="fr-CA"/>
        </w:rPr>
        <w:t xml:space="preserve">agissant de la première situation, la juge </w:t>
      </w:r>
      <w:proofErr w:type="spellStart"/>
      <w:r w:rsidRPr="001E7CB3">
        <w:rPr>
          <w:lang w:val="fr-CA"/>
        </w:rPr>
        <w:t>McLachlin</w:t>
      </w:r>
      <w:proofErr w:type="spellEnd"/>
      <w:r w:rsidRPr="001E7CB3">
        <w:rPr>
          <w:lang w:val="fr-CA"/>
        </w:rPr>
        <w:t xml:space="preserve"> a indiqué que quatre conditions doivent généralement être réunies pour qu</w:t>
      </w:r>
      <w:r>
        <w:rPr>
          <w:lang w:val="fr-CA"/>
        </w:rPr>
        <w:t>’</w:t>
      </w:r>
      <w:r w:rsidRPr="001E7CB3">
        <w:rPr>
          <w:lang w:val="fr-CA"/>
        </w:rPr>
        <w:t xml:space="preserve">on impose une fiducie </w:t>
      </w:r>
      <w:r>
        <w:rPr>
          <w:lang w:val="fr-CA"/>
        </w:rPr>
        <w:t>par interprétation</w:t>
      </w:r>
      <w:r w:rsidRPr="001E7CB3">
        <w:rPr>
          <w:lang w:val="fr-CA"/>
        </w:rPr>
        <w:t xml:space="preserve"> pour </w:t>
      </w:r>
      <w:r>
        <w:rPr>
          <w:lang w:val="fr-CA"/>
        </w:rPr>
        <w:t xml:space="preserve">un </w:t>
      </w:r>
      <w:r w:rsidRPr="001E7CB3">
        <w:rPr>
          <w:lang w:val="fr-CA"/>
        </w:rPr>
        <w:t>comportement fautif</w:t>
      </w:r>
      <w:r>
        <w:rPr>
          <w:lang w:val="fr-CA"/>
        </w:rPr>
        <w:t> :</w:t>
      </w:r>
    </w:p>
    <w:p w:rsidR="000F48EC" w:rsidRPr="001E7CB3" w:rsidRDefault="00050474" w:rsidP="00050474">
      <w:pPr>
        <w:pStyle w:val="Citation-AltC"/>
        <w:tabs>
          <w:tab w:val="left" w:pos="1170"/>
        </w:tabs>
        <w:spacing w:after="240"/>
        <w:ind w:left="1800" w:hanging="1800"/>
        <w:contextualSpacing w:val="0"/>
        <w:rPr>
          <w:lang w:val="fr-CA"/>
        </w:rPr>
      </w:pPr>
      <w:r>
        <w:rPr>
          <w:lang w:val="fr-CA"/>
        </w:rPr>
        <w:tab/>
      </w:r>
      <w:r w:rsidR="000F48EC">
        <w:rPr>
          <w:lang w:val="fr-CA"/>
        </w:rPr>
        <w:t>(1)</w:t>
      </w:r>
      <w:r w:rsidR="000F48EC">
        <w:rPr>
          <w:lang w:val="fr-CA"/>
        </w:rPr>
        <w:tab/>
      </w:r>
      <w:r w:rsidR="000F48EC" w:rsidRPr="001E7CB3">
        <w:rPr>
          <w:lang w:val="fr-CA"/>
        </w:rPr>
        <w:t xml:space="preserve">le défendeur doit avoir été assujetti à une obligation en </w:t>
      </w:r>
      <w:proofErr w:type="spellStart"/>
      <w:r w:rsidR="000F48EC" w:rsidRPr="003900AC">
        <w:rPr>
          <w:i/>
          <w:lang w:val="fr-CA"/>
        </w:rPr>
        <w:t>equity</w:t>
      </w:r>
      <w:proofErr w:type="spellEnd"/>
      <w:r w:rsidR="000F48EC" w:rsidRPr="001E7CB3">
        <w:rPr>
          <w:lang w:val="fr-CA"/>
        </w:rPr>
        <w:t>, c</w:t>
      </w:r>
      <w:r w:rsidR="000F48EC">
        <w:rPr>
          <w:lang w:val="fr-CA"/>
        </w:rPr>
        <w:t>’</w:t>
      </w:r>
      <w:r w:rsidR="000F48EC" w:rsidRPr="001E7CB3">
        <w:rPr>
          <w:lang w:val="fr-CA"/>
        </w:rPr>
        <w:t>est</w:t>
      </w:r>
      <w:r w:rsidR="000F48EC">
        <w:rPr>
          <w:lang w:val="fr-CA"/>
        </w:rPr>
        <w:noBreakHyphen/>
      </w:r>
      <w:proofErr w:type="spellStart"/>
      <w:r w:rsidR="000F48EC" w:rsidRPr="001E7CB3">
        <w:rPr>
          <w:lang w:val="fr-CA"/>
        </w:rPr>
        <w:t>à</w:t>
      </w:r>
      <w:r w:rsidR="000F48EC">
        <w:rPr>
          <w:lang w:val="fr-CA"/>
        </w:rPr>
        <w:noBreakHyphen/>
      </w:r>
      <w:r w:rsidR="000F48EC" w:rsidRPr="001E7CB3">
        <w:rPr>
          <w:lang w:val="fr-CA"/>
        </w:rPr>
        <w:t>dire</w:t>
      </w:r>
      <w:proofErr w:type="spellEnd"/>
      <w:r w:rsidR="000F48EC" w:rsidRPr="001E7CB3">
        <w:rPr>
          <w:lang w:val="fr-CA"/>
        </w:rPr>
        <w:t xml:space="preserve"> une obligation du type de celles dont les tribunaux d</w:t>
      </w:r>
      <w:r w:rsidR="000F48EC">
        <w:rPr>
          <w:lang w:val="fr-CA"/>
        </w:rPr>
        <w:t>’</w:t>
      </w:r>
      <w:proofErr w:type="spellStart"/>
      <w:r w:rsidR="000F48EC" w:rsidRPr="003900AC">
        <w:rPr>
          <w:i/>
          <w:lang w:val="fr-CA"/>
        </w:rPr>
        <w:t>equity</w:t>
      </w:r>
      <w:proofErr w:type="spellEnd"/>
      <w:r w:rsidR="000F48EC" w:rsidRPr="001E7CB3">
        <w:rPr>
          <w:lang w:val="fr-CA"/>
        </w:rPr>
        <w:t xml:space="preserve"> ont assuré le respect, relativement aux actes qui ont conduit à la possession des biens;</w:t>
      </w:r>
    </w:p>
    <w:p w:rsidR="000F48EC" w:rsidRPr="001E7CB3" w:rsidRDefault="00CA1445" w:rsidP="00050474">
      <w:pPr>
        <w:pStyle w:val="Citation-AltC"/>
        <w:tabs>
          <w:tab w:val="left" w:pos="1170"/>
        </w:tabs>
        <w:spacing w:after="240"/>
        <w:ind w:left="1800" w:hanging="1800"/>
        <w:contextualSpacing w:val="0"/>
        <w:rPr>
          <w:lang w:val="fr-CA"/>
        </w:rPr>
      </w:pPr>
      <w:r>
        <w:rPr>
          <w:lang w:val="fr-CA"/>
        </w:rPr>
        <w:tab/>
        <w:t>(2)</w:t>
      </w:r>
      <w:r>
        <w:rPr>
          <w:lang w:val="fr-CA"/>
        </w:rPr>
        <w:tab/>
      </w:r>
      <w:r w:rsidR="000F48EC" w:rsidRPr="001E7CB3">
        <w:rPr>
          <w:lang w:val="fr-CA"/>
        </w:rPr>
        <w:t>il faut démontrer que la possession des biens par le défendeur résulte des actes qu</w:t>
      </w:r>
      <w:r w:rsidR="000F48EC">
        <w:rPr>
          <w:lang w:val="fr-CA"/>
        </w:rPr>
        <w:t>’</w:t>
      </w:r>
      <w:r w:rsidR="000F48EC" w:rsidRPr="001E7CB3">
        <w:rPr>
          <w:lang w:val="fr-CA"/>
        </w:rPr>
        <w:t xml:space="preserve">il a ou est réputé avoir </w:t>
      </w:r>
      <w:r w:rsidR="000F48EC">
        <w:rPr>
          <w:lang w:val="fr-CA"/>
        </w:rPr>
        <w:t>accomplis</w:t>
      </w:r>
      <w:r w:rsidR="000F48EC" w:rsidRPr="001E7CB3">
        <w:rPr>
          <w:lang w:val="fr-CA"/>
        </w:rPr>
        <w:t xml:space="preserve"> à titre de mandataire, en violation de l</w:t>
      </w:r>
      <w:r w:rsidR="000F48EC">
        <w:rPr>
          <w:lang w:val="fr-CA"/>
        </w:rPr>
        <w:t>’</w:t>
      </w:r>
      <w:r w:rsidR="000F48EC" w:rsidRPr="001E7CB3">
        <w:rPr>
          <w:lang w:val="fr-CA"/>
        </w:rPr>
        <w:t>obligation que l</w:t>
      </w:r>
      <w:r w:rsidR="000F48EC">
        <w:rPr>
          <w:lang w:val="fr-CA"/>
        </w:rPr>
        <w:t>’</w:t>
      </w:r>
      <w:proofErr w:type="spellStart"/>
      <w:r w:rsidR="000F48EC" w:rsidRPr="003900AC">
        <w:rPr>
          <w:i/>
          <w:lang w:val="fr-CA"/>
        </w:rPr>
        <w:t>equity</w:t>
      </w:r>
      <w:proofErr w:type="spellEnd"/>
      <w:r w:rsidR="000F48EC" w:rsidRPr="001E7CB3">
        <w:rPr>
          <w:lang w:val="fr-CA"/>
        </w:rPr>
        <w:t xml:space="preserve"> lui imposait à l</w:t>
      </w:r>
      <w:r w:rsidR="000F48EC">
        <w:rPr>
          <w:lang w:val="fr-CA"/>
        </w:rPr>
        <w:t>’</w:t>
      </w:r>
      <w:r w:rsidR="000F48EC" w:rsidRPr="001E7CB3">
        <w:rPr>
          <w:lang w:val="fr-CA"/>
        </w:rPr>
        <w:t>égard du demandeur;</w:t>
      </w:r>
    </w:p>
    <w:p w:rsidR="000F48EC" w:rsidRPr="001E7CB3" w:rsidRDefault="00CA1445" w:rsidP="00050474">
      <w:pPr>
        <w:pStyle w:val="Citation-AltC"/>
        <w:tabs>
          <w:tab w:val="left" w:pos="1170"/>
        </w:tabs>
        <w:spacing w:after="240"/>
        <w:ind w:left="1800" w:hanging="1800"/>
        <w:contextualSpacing w:val="0"/>
        <w:rPr>
          <w:lang w:val="fr-CA"/>
        </w:rPr>
      </w:pPr>
      <w:r>
        <w:rPr>
          <w:lang w:val="fr-CA"/>
        </w:rPr>
        <w:tab/>
      </w:r>
      <w:r w:rsidR="000F48EC">
        <w:rPr>
          <w:lang w:val="fr-CA"/>
        </w:rPr>
        <w:t>(3)</w:t>
      </w:r>
      <w:r w:rsidR="000F48EC">
        <w:rPr>
          <w:lang w:val="fr-CA"/>
        </w:rPr>
        <w:tab/>
      </w:r>
      <w:r w:rsidR="000F48EC" w:rsidRPr="001E7CB3">
        <w:rPr>
          <w:lang w:val="fr-CA"/>
        </w:rPr>
        <w:t>le demandeur doit établir qu</w:t>
      </w:r>
      <w:r w:rsidR="000F48EC">
        <w:rPr>
          <w:lang w:val="fr-CA"/>
        </w:rPr>
        <w:t>’</w:t>
      </w:r>
      <w:r w:rsidR="000F48EC" w:rsidRPr="001E7CB3">
        <w:rPr>
          <w:lang w:val="fr-CA"/>
        </w:rPr>
        <w:t>il a un motif légitime de solliciter une réparation fondée sur la propriété, soit personnel soit lié à la nécessité de veiller à ce que d</w:t>
      </w:r>
      <w:r w:rsidR="000F48EC">
        <w:rPr>
          <w:lang w:val="fr-CA"/>
        </w:rPr>
        <w:t>’</w:t>
      </w:r>
      <w:r w:rsidR="000F48EC" w:rsidRPr="001E7CB3">
        <w:rPr>
          <w:lang w:val="fr-CA"/>
        </w:rPr>
        <w:t>autres personnes comme le défendeur s</w:t>
      </w:r>
      <w:r w:rsidR="000F48EC">
        <w:rPr>
          <w:lang w:val="fr-CA"/>
        </w:rPr>
        <w:t>’</w:t>
      </w:r>
      <w:r w:rsidR="000F48EC" w:rsidRPr="001E7CB3">
        <w:rPr>
          <w:lang w:val="fr-CA"/>
        </w:rPr>
        <w:t>acquittent de leurs obligations;</w:t>
      </w:r>
    </w:p>
    <w:p w:rsidR="000F48EC" w:rsidRPr="001E7CB3" w:rsidRDefault="00CA1445" w:rsidP="00050474">
      <w:pPr>
        <w:pStyle w:val="Citation-AltC"/>
        <w:tabs>
          <w:tab w:val="left" w:pos="1170"/>
        </w:tabs>
        <w:spacing w:after="240"/>
        <w:ind w:left="1800" w:hanging="1800"/>
        <w:contextualSpacing w:val="0"/>
        <w:rPr>
          <w:lang w:val="fr-CA"/>
        </w:rPr>
      </w:pPr>
      <w:r>
        <w:rPr>
          <w:lang w:val="fr-CA"/>
        </w:rPr>
        <w:tab/>
      </w:r>
      <w:r w:rsidR="000F48EC">
        <w:rPr>
          <w:lang w:val="fr-CA"/>
        </w:rPr>
        <w:t>(4)</w:t>
      </w:r>
      <w:r>
        <w:rPr>
          <w:lang w:val="fr-CA"/>
        </w:rPr>
        <w:tab/>
      </w:r>
      <w:r w:rsidR="000F48EC" w:rsidRPr="001E7CB3">
        <w:rPr>
          <w:lang w:val="fr-CA"/>
        </w:rPr>
        <w:t>il ne doit pas exister de facteurs qui rendraient injuste l</w:t>
      </w:r>
      <w:r w:rsidR="000F48EC">
        <w:rPr>
          <w:lang w:val="fr-CA"/>
        </w:rPr>
        <w:t>’</w:t>
      </w:r>
      <w:r w:rsidR="000F48EC" w:rsidRPr="001E7CB3">
        <w:rPr>
          <w:lang w:val="fr-CA"/>
        </w:rPr>
        <w:t>imposition d</w:t>
      </w:r>
      <w:r w:rsidR="000F48EC">
        <w:rPr>
          <w:lang w:val="fr-CA"/>
        </w:rPr>
        <w:t>’</w:t>
      </w:r>
      <w:r w:rsidR="000F48EC" w:rsidRPr="001E7CB3">
        <w:rPr>
          <w:lang w:val="fr-CA"/>
        </w:rPr>
        <w:t>une fiducie par interprétation eu égard à l</w:t>
      </w:r>
      <w:r w:rsidR="000F48EC">
        <w:rPr>
          <w:lang w:val="fr-CA"/>
        </w:rPr>
        <w:t>’</w:t>
      </w:r>
      <w:r w:rsidR="000F48EC" w:rsidRPr="001E7CB3">
        <w:rPr>
          <w:lang w:val="fr-CA"/>
        </w:rPr>
        <w:t>ensemble des circonstances de l</w:t>
      </w:r>
      <w:r w:rsidR="000F48EC">
        <w:rPr>
          <w:lang w:val="fr-CA"/>
        </w:rPr>
        <w:t>’</w:t>
      </w:r>
      <w:r w:rsidR="000F48EC" w:rsidRPr="001E7CB3">
        <w:rPr>
          <w:lang w:val="fr-CA"/>
        </w:rPr>
        <w:t>affaire; par exemple, les intérêts des créanciers intervenants doivent être protégés</w:t>
      </w:r>
      <w:r w:rsidR="000F48EC">
        <w:rPr>
          <w:lang w:val="fr-CA"/>
        </w:rPr>
        <w:t xml:space="preserve">. </w:t>
      </w:r>
      <w:r w:rsidR="000F48EC" w:rsidRPr="001E7CB3">
        <w:rPr>
          <w:lang w:val="fr-CA"/>
        </w:rPr>
        <w:t xml:space="preserve"> [</w:t>
      </w:r>
      <w:proofErr w:type="spellStart"/>
      <w:r w:rsidR="000F48EC" w:rsidRPr="001E7CB3">
        <w:rPr>
          <w:i/>
          <w:lang w:val="fr-CA"/>
        </w:rPr>
        <w:t>Soulos</w:t>
      </w:r>
      <w:proofErr w:type="spellEnd"/>
      <w:r w:rsidR="000F48EC" w:rsidRPr="001E7CB3">
        <w:rPr>
          <w:lang w:val="fr-CA"/>
        </w:rPr>
        <w:t xml:space="preserve">, </w:t>
      </w:r>
      <w:r w:rsidR="000F48EC">
        <w:rPr>
          <w:lang w:val="fr-CA"/>
        </w:rPr>
        <w:t>par. </w:t>
      </w:r>
      <w:r w:rsidR="000F48EC" w:rsidRPr="001E7CB3">
        <w:rPr>
          <w:lang w:val="fr-CA"/>
        </w:rPr>
        <w:t>45]</w:t>
      </w:r>
    </w:p>
    <w:p w:rsidR="000F48EC" w:rsidRPr="001E7CB3" w:rsidRDefault="000F48EC" w:rsidP="000F48EC">
      <w:pPr>
        <w:pStyle w:val="ParaNoNdepar-AltN"/>
        <w:rPr>
          <w:lang w:val="fr-CA"/>
        </w:rPr>
      </w:pPr>
      <w:r w:rsidRPr="001E7CB3">
        <w:rPr>
          <w:lang w:val="fr-CA"/>
        </w:rPr>
        <w:lastRenderedPageBreak/>
        <w:t>J</w:t>
      </w:r>
      <w:r>
        <w:rPr>
          <w:lang w:val="fr-CA"/>
        </w:rPr>
        <w:t>’</w:t>
      </w:r>
      <w:r w:rsidRPr="001E7CB3">
        <w:rPr>
          <w:lang w:val="fr-CA"/>
        </w:rPr>
        <w:t>ai conclu que le gouvernement n</w:t>
      </w:r>
      <w:r>
        <w:rPr>
          <w:lang w:val="fr-CA"/>
        </w:rPr>
        <w:t>’</w:t>
      </w:r>
      <w:r w:rsidRPr="001E7CB3">
        <w:rPr>
          <w:lang w:val="fr-CA"/>
        </w:rPr>
        <w:t>a</w:t>
      </w:r>
      <w:r>
        <w:rPr>
          <w:lang w:val="fr-CA"/>
        </w:rPr>
        <w:t>v</w:t>
      </w:r>
      <w:r w:rsidRPr="001E7CB3">
        <w:rPr>
          <w:lang w:val="fr-CA"/>
        </w:rPr>
        <w:t>ait aucune obligation fiducia</w:t>
      </w:r>
      <w:r>
        <w:rPr>
          <w:lang w:val="fr-CA"/>
        </w:rPr>
        <w:t>ir</w:t>
      </w:r>
      <w:r w:rsidRPr="001E7CB3">
        <w:rPr>
          <w:lang w:val="fr-CA"/>
        </w:rPr>
        <w:t>e en rapport avec l</w:t>
      </w:r>
      <w:r>
        <w:rPr>
          <w:lang w:val="fr-CA"/>
        </w:rPr>
        <w:t>’</w:t>
      </w:r>
      <w:r w:rsidRPr="001E7CB3">
        <w:rPr>
          <w:lang w:val="fr-CA"/>
        </w:rPr>
        <w:t>administration des régimes, et les appelants n</w:t>
      </w:r>
      <w:r>
        <w:rPr>
          <w:lang w:val="fr-CA"/>
        </w:rPr>
        <w:t>’</w:t>
      </w:r>
      <w:r w:rsidRPr="001E7CB3">
        <w:rPr>
          <w:lang w:val="fr-CA"/>
        </w:rPr>
        <w:t xml:space="preserve">ont pas </w:t>
      </w:r>
      <w:r>
        <w:rPr>
          <w:lang w:val="fr-CA"/>
        </w:rPr>
        <w:t xml:space="preserve">invoqué de manquement à une </w:t>
      </w:r>
      <w:r w:rsidRPr="001E7CB3">
        <w:rPr>
          <w:lang w:val="fr-CA"/>
        </w:rPr>
        <w:t xml:space="preserve">autre obligation </w:t>
      </w:r>
      <w:r>
        <w:rPr>
          <w:lang w:val="fr-CA"/>
        </w:rPr>
        <w:t xml:space="preserve">en </w:t>
      </w:r>
      <w:proofErr w:type="spellStart"/>
      <w:r>
        <w:rPr>
          <w:lang w:val="fr-CA"/>
        </w:rPr>
        <w:t>equity</w:t>
      </w:r>
      <w:proofErr w:type="spellEnd"/>
      <w:r>
        <w:rPr>
          <w:lang w:val="fr-CA"/>
        </w:rPr>
        <w:t xml:space="preserve"> du gouvernement envers les </w:t>
      </w:r>
      <w:r w:rsidRPr="001E7CB3">
        <w:rPr>
          <w:lang w:val="fr-CA"/>
        </w:rPr>
        <w:t xml:space="preserve">membres des régimes.  La première condition du </w:t>
      </w:r>
      <w:r>
        <w:rPr>
          <w:lang w:val="fr-CA"/>
        </w:rPr>
        <w:t>test</w:t>
      </w:r>
      <w:r w:rsidRPr="001E7CB3">
        <w:rPr>
          <w:lang w:val="fr-CA"/>
        </w:rPr>
        <w:t xml:space="preserve"> élaboré dans </w:t>
      </w:r>
      <w:proofErr w:type="spellStart"/>
      <w:r w:rsidRPr="00F9527F">
        <w:rPr>
          <w:i/>
          <w:lang w:val="fr-CA"/>
        </w:rPr>
        <w:t>Soulos</w:t>
      </w:r>
      <w:proofErr w:type="spellEnd"/>
      <w:r w:rsidRPr="001E7CB3">
        <w:rPr>
          <w:lang w:val="fr-CA"/>
        </w:rPr>
        <w:t xml:space="preserve"> faisant défaut, leur argument ne peut être retenu.  Il faut en conséquence examiner l</w:t>
      </w:r>
      <w:r>
        <w:rPr>
          <w:lang w:val="fr-CA"/>
        </w:rPr>
        <w:t>’</w:t>
      </w:r>
      <w:r w:rsidRPr="001E7CB3">
        <w:rPr>
          <w:lang w:val="fr-CA"/>
        </w:rPr>
        <w:t>autre fondement possible de la fiducie par interprétation</w:t>
      </w:r>
      <w:r>
        <w:rPr>
          <w:lang w:val="fr-CA"/>
        </w:rPr>
        <w:t> :</w:t>
      </w:r>
      <w:r w:rsidRPr="001E7CB3">
        <w:rPr>
          <w:lang w:val="fr-CA"/>
        </w:rPr>
        <w:t xml:space="preserve"> l</w:t>
      </w:r>
      <w:r>
        <w:rPr>
          <w:lang w:val="fr-CA"/>
        </w:rPr>
        <w:t>’</w:t>
      </w:r>
      <w:r w:rsidRPr="001E7CB3">
        <w:rPr>
          <w:lang w:val="fr-CA"/>
        </w:rPr>
        <w:t xml:space="preserve">enrichissement injustifié. </w:t>
      </w:r>
    </w:p>
    <w:p w:rsidR="000F48EC" w:rsidRPr="001E7CB3" w:rsidRDefault="000F48EC" w:rsidP="007077C6">
      <w:pPr>
        <w:pStyle w:val="TitleTitre-AltT"/>
        <w:keepNext/>
        <w:tabs>
          <w:tab w:val="clear" w:pos="360"/>
          <w:tab w:val="left" w:pos="540"/>
        </w:tabs>
        <w:ind w:left="1170" w:hanging="1170"/>
        <w:rPr>
          <w:szCs w:val="24"/>
          <w:lang w:val="fr-CA"/>
        </w:rPr>
      </w:pPr>
      <w:r>
        <w:rPr>
          <w:i/>
          <w:szCs w:val="24"/>
          <w:lang w:val="fr-CA"/>
        </w:rPr>
        <w:tab/>
      </w:r>
      <w:r>
        <w:rPr>
          <w:szCs w:val="24"/>
          <w:lang w:val="fr-CA"/>
        </w:rPr>
        <w:t>(2)</w:t>
      </w:r>
      <w:r>
        <w:rPr>
          <w:szCs w:val="24"/>
          <w:lang w:val="fr-CA"/>
        </w:rPr>
        <w:tab/>
      </w:r>
      <w:r w:rsidRPr="00646201">
        <w:rPr>
          <w:szCs w:val="24"/>
          <w:u w:val="single"/>
          <w:lang w:val="fr-CA"/>
        </w:rPr>
        <w:t>Enrichissement injustifié</w:t>
      </w:r>
      <w:r w:rsidRPr="001E7CB3">
        <w:rPr>
          <w:szCs w:val="24"/>
          <w:lang w:val="fr-CA"/>
        </w:rPr>
        <w:t xml:space="preserve"> </w:t>
      </w:r>
    </w:p>
    <w:p w:rsidR="000F48EC" w:rsidRPr="001E7CB3" w:rsidRDefault="000F48EC" w:rsidP="000F48EC">
      <w:pPr>
        <w:pStyle w:val="ParaNoNdepar-AltN"/>
        <w:rPr>
          <w:szCs w:val="24"/>
          <w:lang w:val="fr-CA"/>
        </w:rPr>
      </w:pPr>
      <w:r w:rsidRPr="001E7CB3">
        <w:rPr>
          <w:lang w:val="fr-CA"/>
        </w:rPr>
        <w:t>Comme notre Cour l</w:t>
      </w:r>
      <w:r>
        <w:rPr>
          <w:lang w:val="fr-CA"/>
        </w:rPr>
        <w:t>’</w:t>
      </w:r>
      <w:r w:rsidRPr="001E7CB3">
        <w:rPr>
          <w:lang w:val="fr-CA"/>
        </w:rPr>
        <w:t xml:space="preserve">a indiqué dans </w:t>
      </w:r>
      <w:r w:rsidRPr="001E7CB3">
        <w:rPr>
          <w:i/>
          <w:lang w:val="fr-CA"/>
        </w:rPr>
        <w:t xml:space="preserve">Elder </w:t>
      </w:r>
      <w:proofErr w:type="spellStart"/>
      <w:r w:rsidRPr="001E7CB3">
        <w:rPr>
          <w:i/>
          <w:lang w:val="fr-CA"/>
        </w:rPr>
        <w:t>Advocates</w:t>
      </w:r>
      <w:proofErr w:type="spellEnd"/>
      <w:r w:rsidRPr="001E7CB3">
        <w:rPr>
          <w:lang w:val="fr-CA"/>
        </w:rPr>
        <w:t xml:space="preserve">, le gouvernement peut être </w:t>
      </w:r>
      <w:r>
        <w:rPr>
          <w:lang w:val="fr-CA"/>
        </w:rPr>
        <w:t>poursuivi</w:t>
      </w:r>
      <w:r w:rsidRPr="001E7CB3">
        <w:rPr>
          <w:lang w:val="fr-CA"/>
        </w:rPr>
        <w:t xml:space="preserve"> pour enrichissement injustifié (dans la mesure où l</w:t>
      </w:r>
      <w:r>
        <w:rPr>
          <w:lang w:val="fr-CA"/>
        </w:rPr>
        <w:t>’</w:t>
      </w:r>
      <w:r w:rsidRPr="001E7CB3">
        <w:rPr>
          <w:lang w:val="fr-CA"/>
        </w:rPr>
        <w:t xml:space="preserve">on ne demande pas la restitution de taxes </w:t>
      </w:r>
      <w:r>
        <w:rPr>
          <w:lang w:val="fr-CA"/>
        </w:rPr>
        <w:t>perçues</w:t>
      </w:r>
      <w:r w:rsidRPr="001E7CB3">
        <w:rPr>
          <w:lang w:val="fr-CA"/>
        </w:rPr>
        <w:t xml:space="preserve"> en vertu d</w:t>
      </w:r>
      <w:r>
        <w:rPr>
          <w:lang w:val="fr-CA"/>
        </w:rPr>
        <w:t>’</w:t>
      </w:r>
      <w:r w:rsidRPr="001E7CB3">
        <w:rPr>
          <w:lang w:val="fr-CA"/>
        </w:rPr>
        <w:t xml:space="preserve">une loi </w:t>
      </w:r>
      <w:r w:rsidRPr="001E7CB3">
        <w:rPr>
          <w:i/>
          <w:lang w:val="fr-CA"/>
        </w:rPr>
        <w:t>ultra vires</w:t>
      </w:r>
      <w:r w:rsidRPr="001E7CB3">
        <w:rPr>
          <w:lang w:val="fr-CA"/>
        </w:rPr>
        <w:t>).</w:t>
      </w:r>
    </w:p>
    <w:p w:rsidR="000F48EC" w:rsidRPr="001E7CB3" w:rsidRDefault="000F48EC" w:rsidP="000F48EC">
      <w:pPr>
        <w:pStyle w:val="ParaNoNdepar-AltN"/>
        <w:rPr>
          <w:szCs w:val="24"/>
          <w:lang w:val="fr-CA"/>
        </w:rPr>
      </w:pPr>
      <w:r w:rsidRPr="001E7CB3">
        <w:rPr>
          <w:lang w:val="fr-CA"/>
        </w:rPr>
        <w:t>Pour établir l</w:t>
      </w:r>
      <w:r>
        <w:rPr>
          <w:lang w:val="fr-CA"/>
        </w:rPr>
        <w:t>’</w:t>
      </w:r>
      <w:r w:rsidRPr="001E7CB3">
        <w:rPr>
          <w:lang w:val="fr-CA"/>
        </w:rPr>
        <w:t>enrichissement injustifié, le demandeur doit démontrer qu</w:t>
      </w:r>
      <w:r>
        <w:rPr>
          <w:lang w:val="fr-CA"/>
        </w:rPr>
        <w:t>’</w:t>
      </w:r>
      <w:r w:rsidRPr="001E7CB3">
        <w:rPr>
          <w:lang w:val="fr-CA"/>
        </w:rPr>
        <w:t>il y a eu</w:t>
      </w:r>
      <w:r>
        <w:rPr>
          <w:lang w:val="fr-CA"/>
        </w:rPr>
        <w:t> : (1) </w:t>
      </w:r>
      <w:r w:rsidRPr="001E7CB3">
        <w:rPr>
          <w:lang w:val="fr-CA"/>
        </w:rPr>
        <w:t>enrichissement du défendeur,</w:t>
      </w:r>
      <w:r>
        <w:rPr>
          <w:lang w:val="fr-CA"/>
        </w:rPr>
        <w:t xml:space="preserve"> (2) </w:t>
      </w:r>
      <w:r w:rsidRPr="001E7CB3">
        <w:rPr>
          <w:lang w:val="fr-CA"/>
        </w:rPr>
        <w:t xml:space="preserve">appauvrissement corrélatif du demandeur et </w:t>
      </w:r>
      <w:r>
        <w:rPr>
          <w:lang w:val="fr-CA"/>
        </w:rPr>
        <w:t>(3) </w:t>
      </w:r>
      <w:r w:rsidRPr="001E7CB3">
        <w:rPr>
          <w:lang w:val="fr-CA"/>
        </w:rPr>
        <w:t>absence de tout motif juridique justifiant l</w:t>
      </w:r>
      <w:r>
        <w:rPr>
          <w:lang w:val="fr-CA"/>
        </w:rPr>
        <w:t>’</w:t>
      </w:r>
      <w:r w:rsidRPr="001E7CB3">
        <w:rPr>
          <w:lang w:val="fr-CA"/>
        </w:rPr>
        <w:t>enrichissement</w:t>
      </w:r>
      <w:r>
        <w:rPr>
          <w:lang w:val="fr-CA"/>
        </w:rPr>
        <w:t xml:space="preserve"> (</w:t>
      </w:r>
      <w:r w:rsidRPr="001E7CB3">
        <w:rPr>
          <w:i/>
          <w:lang w:val="fr-CA"/>
        </w:rPr>
        <w:t xml:space="preserve">Pacific National </w:t>
      </w:r>
      <w:proofErr w:type="spellStart"/>
      <w:r w:rsidRPr="001E7CB3">
        <w:rPr>
          <w:i/>
          <w:lang w:val="fr-CA"/>
        </w:rPr>
        <w:t>Investments</w:t>
      </w:r>
      <w:proofErr w:type="spellEnd"/>
      <w:r w:rsidRPr="001E7CB3">
        <w:rPr>
          <w:i/>
          <w:lang w:val="fr-CA"/>
        </w:rPr>
        <w:t xml:space="preserve"> Ltd. c. Victoria (Ville)</w:t>
      </w:r>
      <w:r w:rsidRPr="001E7CB3">
        <w:rPr>
          <w:lang w:val="fr-CA"/>
        </w:rPr>
        <w:t>, 2004 CSC 75,</w:t>
      </w:r>
      <w:r w:rsidR="00106FB9">
        <w:rPr>
          <w:lang w:val="fr-CA"/>
        </w:rPr>
        <w:t xml:space="preserve"> [2004] 3 R.C.S. 575</w:t>
      </w:r>
      <w:r>
        <w:rPr>
          <w:lang w:val="fr-CA"/>
        </w:rPr>
        <w:t xml:space="preserve"> (« </w:t>
      </w:r>
      <w:r>
        <w:rPr>
          <w:i/>
          <w:lang w:val="fr-CA"/>
        </w:rPr>
        <w:t>Pacific National</w:t>
      </w:r>
      <w:r>
        <w:rPr>
          <w:lang w:val="fr-CA"/>
        </w:rPr>
        <w:t> »),</w:t>
      </w:r>
      <w:r w:rsidRPr="001E7CB3">
        <w:rPr>
          <w:lang w:val="fr-CA"/>
        </w:rPr>
        <w:t xml:space="preserve"> </w:t>
      </w:r>
      <w:r>
        <w:rPr>
          <w:lang w:val="fr-CA"/>
        </w:rPr>
        <w:t>par. </w:t>
      </w:r>
      <w:r w:rsidRPr="001E7CB3">
        <w:rPr>
          <w:lang w:val="fr-CA"/>
        </w:rPr>
        <w:t>14</w:t>
      </w:r>
      <w:r>
        <w:rPr>
          <w:lang w:val="fr-CA"/>
        </w:rPr>
        <w:t>)</w:t>
      </w:r>
      <w:r w:rsidRPr="001E7CB3">
        <w:rPr>
          <w:lang w:val="fr-CA"/>
        </w:rPr>
        <w:t>.  Lorsque ces conditions sont remplies, la fiducie par interprétation peut s</w:t>
      </w:r>
      <w:r>
        <w:rPr>
          <w:lang w:val="fr-CA"/>
        </w:rPr>
        <w:t>’</w:t>
      </w:r>
      <w:r w:rsidRPr="001E7CB3">
        <w:rPr>
          <w:lang w:val="fr-CA"/>
        </w:rPr>
        <w:t>appliquer si (</w:t>
      </w:r>
      <w:r>
        <w:rPr>
          <w:lang w:val="fr-CA"/>
        </w:rPr>
        <w:t>1) </w:t>
      </w:r>
      <w:r w:rsidRPr="001E7CB3">
        <w:rPr>
          <w:lang w:val="fr-CA"/>
        </w:rPr>
        <w:t xml:space="preserve">« le versement de </w:t>
      </w:r>
      <w:proofErr w:type="spellStart"/>
      <w:r w:rsidRPr="001E7CB3">
        <w:rPr>
          <w:lang w:val="fr-CA"/>
        </w:rPr>
        <w:t>dommages</w:t>
      </w:r>
      <w:r>
        <w:rPr>
          <w:lang w:val="fr-CA"/>
        </w:rPr>
        <w:noBreakHyphen/>
      </w:r>
      <w:r w:rsidRPr="001E7CB3">
        <w:rPr>
          <w:lang w:val="fr-CA"/>
        </w:rPr>
        <w:t>intérêts</w:t>
      </w:r>
      <w:proofErr w:type="spellEnd"/>
      <w:r w:rsidRPr="001E7CB3">
        <w:rPr>
          <w:lang w:val="fr-CA"/>
        </w:rPr>
        <w:t xml:space="preserve"> n</w:t>
      </w:r>
      <w:r>
        <w:rPr>
          <w:lang w:val="fr-CA"/>
        </w:rPr>
        <w:t>’</w:t>
      </w:r>
      <w:r w:rsidRPr="001E7CB3">
        <w:rPr>
          <w:lang w:val="fr-CA"/>
        </w:rPr>
        <w:t xml:space="preserve">est pas suffisant » et </w:t>
      </w:r>
      <w:r>
        <w:rPr>
          <w:lang w:val="fr-CA"/>
        </w:rPr>
        <w:t>(2) </w:t>
      </w:r>
      <w:r w:rsidRPr="001E7CB3">
        <w:rPr>
          <w:lang w:val="fr-CA"/>
        </w:rPr>
        <w:t>« il existe un lien entre la contribution à la base de l</w:t>
      </w:r>
      <w:r>
        <w:rPr>
          <w:lang w:val="fr-CA"/>
        </w:rPr>
        <w:t>’</w:t>
      </w:r>
      <w:r w:rsidRPr="001E7CB3">
        <w:rPr>
          <w:lang w:val="fr-CA"/>
        </w:rPr>
        <w:t>action et le bien qui serait grevé d</w:t>
      </w:r>
      <w:r>
        <w:rPr>
          <w:lang w:val="fr-CA"/>
        </w:rPr>
        <w:t>’</w:t>
      </w:r>
      <w:r w:rsidRPr="001E7CB3">
        <w:rPr>
          <w:lang w:val="fr-CA"/>
        </w:rPr>
        <w:t xml:space="preserve">une fiducie par interprétation » </w:t>
      </w:r>
      <w:r>
        <w:rPr>
          <w:lang w:val="fr-CA"/>
        </w:rPr>
        <w:t>(</w:t>
      </w:r>
      <w:r w:rsidRPr="001E7CB3">
        <w:rPr>
          <w:i/>
          <w:lang w:val="fr-CA"/>
        </w:rPr>
        <w:t xml:space="preserve">Peter c. </w:t>
      </w:r>
      <w:proofErr w:type="spellStart"/>
      <w:r w:rsidRPr="001E7CB3">
        <w:rPr>
          <w:i/>
          <w:lang w:val="fr-CA"/>
        </w:rPr>
        <w:t>Beblow</w:t>
      </w:r>
      <w:proofErr w:type="spellEnd"/>
      <w:r w:rsidRPr="001E7CB3">
        <w:rPr>
          <w:lang w:val="fr-CA"/>
        </w:rPr>
        <w:t xml:space="preserve">, [1993] 1 R.C.S. 980, </w:t>
      </w:r>
      <w:r>
        <w:rPr>
          <w:lang w:val="fr-CA"/>
        </w:rPr>
        <w:t>p. </w:t>
      </w:r>
      <w:r w:rsidRPr="001E7CB3">
        <w:rPr>
          <w:lang w:val="fr-CA"/>
        </w:rPr>
        <w:t>988</w:t>
      </w:r>
      <w:r>
        <w:rPr>
          <w:lang w:val="fr-CA"/>
        </w:rPr>
        <w:t>).</w:t>
      </w:r>
    </w:p>
    <w:p w:rsidR="000F48EC" w:rsidRPr="001E7CB3" w:rsidRDefault="000F48EC" w:rsidP="000F48EC">
      <w:pPr>
        <w:pStyle w:val="ParaNoNdepar-AltN"/>
        <w:rPr>
          <w:lang w:val="fr-CA"/>
        </w:rPr>
      </w:pPr>
      <w:r w:rsidRPr="001E7CB3">
        <w:rPr>
          <w:lang w:val="fr-CA"/>
        </w:rPr>
        <w:lastRenderedPageBreak/>
        <w:t>Comme le juge Binnie l</w:t>
      </w:r>
      <w:r>
        <w:rPr>
          <w:lang w:val="fr-CA"/>
        </w:rPr>
        <w:t>’</w:t>
      </w:r>
      <w:r w:rsidRPr="001E7CB3">
        <w:rPr>
          <w:lang w:val="fr-CA"/>
        </w:rPr>
        <w:t xml:space="preserve">a expliqué au </w:t>
      </w:r>
      <w:r>
        <w:rPr>
          <w:lang w:val="fr-CA"/>
        </w:rPr>
        <w:t>par. </w:t>
      </w:r>
      <w:r w:rsidRPr="001E7CB3">
        <w:rPr>
          <w:lang w:val="fr-CA"/>
        </w:rPr>
        <w:t>1</w:t>
      </w:r>
      <w:r>
        <w:rPr>
          <w:lang w:val="fr-CA"/>
        </w:rPr>
        <w:t>5</w:t>
      </w:r>
      <w:r w:rsidRPr="001E7CB3">
        <w:rPr>
          <w:lang w:val="fr-CA"/>
        </w:rPr>
        <w:t xml:space="preserve"> de </w:t>
      </w:r>
      <w:r w:rsidRPr="001E7CB3">
        <w:rPr>
          <w:i/>
          <w:lang w:val="fr-CA"/>
        </w:rPr>
        <w:t>Pacific National</w:t>
      </w:r>
      <w:r w:rsidRPr="001E7CB3">
        <w:rPr>
          <w:lang w:val="fr-CA"/>
        </w:rPr>
        <w:t>, «</w:t>
      </w:r>
      <w:r w:rsidRPr="001E7CB3">
        <w:rPr>
          <w:i/>
          <w:lang w:val="fr-CA"/>
        </w:rPr>
        <w:t> </w:t>
      </w:r>
      <w:r w:rsidRPr="001E7CB3">
        <w:rPr>
          <w:lang w:val="fr-CA"/>
        </w:rPr>
        <w:t>[l]</w:t>
      </w:r>
      <w:r>
        <w:rPr>
          <w:rFonts w:cs="Times New Roman"/>
          <w:szCs w:val="24"/>
          <w:lang w:val="fr-CA"/>
        </w:rPr>
        <w:t>’enrichissement peut “connote[r] un avantage tangible”</w:t>
      </w:r>
      <w:r w:rsidRPr="001E7CB3">
        <w:rPr>
          <w:rFonts w:cs="Times New Roman"/>
          <w:szCs w:val="24"/>
          <w:lang w:val="fr-CA"/>
        </w:rPr>
        <w:t xml:space="preserve"> </w:t>
      </w:r>
      <w:r w:rsidR="00490580">
        <w:rPr>
          <w:rFonts w:cs="Times New Roman"/>
          <w:szCs w:val="24"/>
          <w:lang w:val="fr-CA"/>
        </w:rPr>
        <w:t>[. . .] ou être “négatif”</w:t>
      </w:r>
      <w:r w:rsidRPr="001E7CB3">
        <w:rPr>
          <w:rFonts w:cs="Times New Roman"/>
          <w:szCs w:val="24"/>
          <w:lang w:val="fr-CA"/>
        </w:rPr>
        <w:t xml:space="preserve">, par exemple en épargnant au défendeur une dépense à laquelle il aurait été </w:t>
      </w:r>
      <w:r w:rsidRPr="001E7CB3">
        <w:rPr>
          <w:rFonts w:cs="Times New Roman"/>
          <w:i/>
          <w:szCs w:val="24"/>
          <w:lang w:val="fr-CA"/>
        </w:rPr>
        <w:t>tenu</w:t>
      </w:r>
      <w:r w:rsidRPr="001E7CB3">
        <w:rPr>
          <w:rFonts w:cs="Times New Roman"/>
          <w:szCs w:val="24"/>
          <w:lang w:val="fr-CA"/>
        </w:rPr>
        <w:t> »</w:t>
      </w:r>
      <w:r>
        <w:rPr>
          <w:rFonts w:cs="Times New Roman"/>
          <w:szCs w:val="24"/>
          <w:lang w:val="fr-CA"/>
        </w:rPr>
        <w:t xml:space="preserve"> (italiques dans l’original)</w:t>
      </w:r>
      <w:r w:rsidRPr="001E7CB3">
        <w:rPr>
          <w:rFonts w:cs="Times New Roman"/>
          <w:szCs w:val="24"/>
          <w:lang w:val="fr-CA"/>
        </w:rPr>
        <w:t>.</w:t>
      </w:r>
      <w:r w:rsidRPr="001E7CB3">
        <w:rPr>
          <w:lang w:val="fr-CA"/>
        </w:rPr>
        <w:t xml:space="preserve"> </w:t>
      </w:r>
    </w:p>
    <w:p w:rsidR="000F48EC" w:rsidRPr="00921C3F" w:rsidRDefault="000F48EC" w:rsidP="000F48EC">
      <w:pPr>
        <w:pStyle w:val="ParaNoNdepar-AltN"/>
        <w:rPr>
          <w:lang w:val="fr-CA"/>
        </w:rPr>
      </w:pPr>
      <w:r w:rsidRPr="00921C3F">
        <w:rPr>
          <w:lang w:val="fr-CA"/>
        </w:rPr>
        <w:t xml:space="preserve">Depuis l’arrêt </w:t>
      </w:r>
      <w:r w:rsidRPr="00921C3F">
        <w:rPr>
          <w:i/>
          <w:lang w:val="fr-CA"/>
        </w:rPr>
        <w:t xml:space="preserve">Peter c. </w:t>
      </w:r>
      <w:proofErr w:type="spellStart"/>
      <w:r w:rsidRPr="00921C3F">
        <w:rPr>
          <w:i/>
          <w:lang w:val="fr-CA"/>
        </w:rPr>
        <w:t>Beblow</w:t>
      </w:r>
      <w:proofErr w:type="spellEnd"/>
      <w:r w:rsidRPr="00921C3F">
        <w:rPr>
          <w:i/>
          <w:lang w:val="fr-CA"/>
        </w:rPr>
        <w:t xml:space="preserve"> </w:t>
      </w:r>
      <w:r w:rsidRPr="00921C3F">
        <w:rPr>
          <w:lang w:val="fr-CA"/>
        </w:rPr>
        <w:t xml:space="preserve">de notre Cour, l’enrichissement doit correspondre à un appauvrissement du demandeur.  Bien que l’on considère généralement que le test applicable comporte trois éléments, il faut reconnaître que les éléments d’enrichissement et d’appauvrissement rendent compte du même phénomène, mais sous des angles différents.  Se reportant aux motifs du juge en chef Dickson dans </w:t>
      </w:r>
      <w:proofErr w:type="spellStart"/>
      <w:r w:rsidRPr="00921C3F">
        <w:rPr>
          <w:i/>
          <w:lang w:val="fr-CA"/>
        </w:rPr>
        <w:t>Sorochan</w:t>
      </w:r>
      <w:proofErr w:type="spellEnd"/>
      <w:r w:rsidRPr="00921C3F">
        <w:rPr>
          <w:i/>
          <w:lang w:val="fr-CA"/>
        </w:rPr>
        <w:t xml:space="preserve"> c. </w:t>
      </w:r>
      <w:proofErr w:type="spellStart"/>
      <w:r w:rsidRPr="00921C3F">
        <w:rPr>
          <w:i/>
          <w:lang w:val="fr-CA"/>
        </w:rPr>
        <w:t>Sorochan</w:t>
      </w:r>
      <w:proofErr w:type="spellEnd"/>
      <w:r w:rsidRPr="00FA6F73">
        <w:rPr>
          <w:lang w:val="fr-CA"/>
        </w:rPr>
        <w:t>,</w:t>
      </w:r>
      <w:r w:rsidRPr="00921C3F">
        <w:rPr>
          <w:i/>
          <w:lang w:val="fr-CA"/>
        </w:rPr>
        <w:t xml:space="preserve"> </w:t>
      </w:r>
      <w:r w:rsidRPr="00921C3F">
        <w:rPr>
          <w:lang w:val="fr-CA"/>
        </w:rPr>
        <w:t xml:space="preserve">[1986] 2 R.C.S. 38, le juge Cory a indiqué, dans les motifs concourants qu’il a rédigés dans l’affaire </w:t>
      </w:r>
      <w:r w:rsidRPr="00921C3F">
        <w:rPr>
          <w:i/>
          <w:lang w:val="fr-CA"/>
        </w:rPr>
        <w:t xml:space="preserve">Peter c. </w:t>
      </w:r>
      <w:proofErr w:type="spellStart"/>
      <w:r w:rsidRPr="00921C3F">
        <w:rPr>
          <w:i/>
          <w:lang w:val="fr-CA"/>
        </w:rPr>
        <w:t>Beblow</w:t>
      </w:r>
      <w:proofErr w:type="spellEnd"/>
      <w:r w:rsidRPr="00921C3F">
        <w:rPr>
          <w:lang w:val="fr-CA"/>
        </w:rPr>
        <w:t xml:space="preserve">, au </w:t>
      </w:r>
      <w:r>
        <w:rPr>
          <w:lang w:val="fr-CA"/>
        </w:rPr>
        <w:t>par. </w:t>
      </w:r>
      <w:r w:rsidRPr="00921C3F">
        <w:rPr>
          <w:lang w:val="fr-CA"/>
        </w:rPr>
        <w:t>1012,</w:t>
      </w:r>
      <w:r w:rsidRPr="00921C3F">
        <w:rPr>
          <w:i/>
          <w:lang w:val="fr-CA"/>
        </w:rPr>
        <w:t xml:space="preserve"> </w:t>
      </w:r>
      <w:r w:rsidRPr="00921C3F">
        <w:rPr>
          <w:lang w:val="fr-CA"/>
        </w:rPr>
        <w:t xml:space="preserve">que l’enrichissement et l’appauvrissement sont « essentiellement comme les deux côtés d’une pièce de monnaie ». </w:t>
      </w:r>
    </w:p>
    <w:p w:rsidR="000F48EC" w:rsidRPr="001E7CB3" w:rsidRDefault="000F48EC" w:rsidP="000F48EC">
      <w:pPr>
        <w:pStyle w:val="ParaNoNdepar-AltN"/>
        <w:rPr>
          <w:lang w:val="fr-CA"/>
        </w:rPr>
      </w:pPr>
      <w:r w:rsidRPr="001E7CB3">
        <w:rPr>
          <w:lang w:val="fr-CA"/>
        </w:rPr>
        <w:t>Bien comprise, l</w:t>
      </w:r>
      <w:r>
        <w:rPr>
          <w:lang w:val="fr-CA"/>
        </w:rPr>
        <w:t>’</w:t>
      </w:r>
      <w:r w:rsidRPr="001E7CB3">
        <w:rPr>
          <w:lang w:val="fr-CA"/>
        </w:rPr>
        <w:t xml:space="preserve">« analyse économique simple » décrite dans </w:t>
      </w:r>
      <w:r w:rsidRPr="001E7CB3">
        <w:rPr>
          <w:i/>
          <w:lang w:val="fr-CA"/>
        </w:rPr>
        <w:t xml:space="preserve">Pacific National </w:t>
      </w:r>
      <w:r w:rsidRPr="001E7CB3">
        <w:rPr>
          <w:lang w:val="fr-CA"/>
        </w:rPr>
        <w:t>en matière d</w:t>
      </w:r>
      <w:r>
        <w:rPr>
          <w:lang w:val="fr-CA"/>
        </w:rPr>
        <w:t>’</w:t>
      </w:r>
      <w:r w:rsidRPr="001E7CB3">
        <w:rPr>
          <w:lang w:val="fr-CA"/>
        </w:rPr>
        <w:t>enrichissement et d</w:t>
      </w:r>
      <w:r>
        <w:rPr>
          <w:lang w:val="fr-CA"/>
        </w:rPr>
        <w:t>’</w:t>
      </w:r>
      <w:r w:rsidRPr="001E7CB3">
        <w:rPr>
          <w:lang w:val="fr-CA"/>
        </w:rPr>
        <w:t xml:space="preserve">appauvrissement suppose un transfert de richesse du demandeur vers le défendeur </w:t>
      </w:r>
      <w:r>
        <w:rPr>
          <w:lang w:val="fr-CA"/>
        </w:rPr>
        <w:t>(par. 20)</w:t>
      </w:r>
      <w:r w:rsidRPr="001E7CB3">
        <w:rPr>
          <w:lang w:val="fr-CA"/>
        </w:rPr>
        <w:t xml:space="preserve">.  Comme </w:t>
      </w:r>
      <w:r>
        <w:rPr>
          <w:lang w:val="fr-CA"/>
        </w:rPr>
        <w:t>cette</w:t>
      </w:r>
      <w:r w:rsidRPr="001E7CB3">
        <w:rPr>
          <w:lang w:val="fr-CA"/>
        </w:rPr>
        <w:t xml:space="preserve"> doctrine vise l</w:t>
      </w:r>
      <w:r>
        <w:rPr>
          <w:lang w:val="fr-CA"/>
        </w:rPr>
        <w:t>’</w:t>
      </w:r>
      <w:r w:rsidRPr="001E7CB3">
        <w:rPr>
          <w:lang w:val="fr-CA"/>
        </w:rPr>
        <w:t>annulation des transferts injustifiés, il faut d</w:t>
      </w:r>
      <w:r>
        <w:rPr>
          <w:lang w:val="fr-CA"/>
        </w:rPr>
        <w:t>’</w:t>
      </w:r>
      <w:r w:rsidRPr="001E7CB3">
        <w:rPr>
          <w:lang w:val="fr-CA"/>
        </w:rPr>
        <w:t>abord établir s</w:t>
      </w:r>
      <w:r>
        <w:rPr>
          <w:lang w:val="fr-CA"/>
        </w:rPr>
        <w:t>’</w:t>
      </w:r>
      <w:r w:rsidRPr="001E7CB3">
        <w:rPr>
          <w:lang w:val="fr-CA"/>
        </w:rPr>
        <w:t>il y a eu transport de richesse du demandeur au défendeur.</w:t>
      </w:r>
    </w:p>
    <w:p w:rsidR="000F48EC" w:rsidRPr="001E7CB3" w:rsidRDefault="000F48EC" w:rsidP="000F48EC">
      <w:pPr>
        <w:pStyle w:val="ParaNoNdepar-AltN"/>
        <w:rPr>
          <w:lang w:val="fr-CA"/>
        </w:rPr>
      </w:pPr>
      <w:r w:rsidRPr="001E7CB3">
        <w:rPr>
          <w:lang w:val="fr-CA"/>
        </w:rPr>
        <w:t>Par conséquent, la première question qui se pose en l</w:t>
      </w:r>
      <w:r>
        <w:rPr>
          <w:lang w:val="fr-CA"/>
        </w:rPr>
        <w:t>’</w:t>
      </w:r>
      <w:r w:rsidRPr="001E7CB3">
        <w:rPr>
          <w:lang w:val="fr-CA"/>
        </w:rPr>
        <w:t>espèce n</w:t>
      </w:r>
      <w:r>
        <w:rPr>
          <w:lang w:val="fr-CA"/>
        </w:rPr>
        <w:t>’</w:t>
      </w:r>
      <w:r w:rsidRPr="001E7CB3">
        <w:rPr>
          <w:lang w:val="fr-CA"/>
        </w:rPr>
        <w:t xml:space="preserve">est pas </w:t>
      </w:r>
      <w:r>
        <w:rPr>
          <w:lang w:val="fr-CA"/>
        </w:rPr>
        <w:t xml:space="preserve">de savoir </w:t>
      </w:r>
      <w:r w:rsidRPr="001E7CB3">
        <w:rPr>
          <w:lang w:val="fr-CA"/>
        </w:rPr>
        <w:t>si l</w:t>
      </w:r>
      <w:r>
        <w:rPr>
          <w:lang w:val="fr-CA"/>
        </w:rPr>
        <w:t>’</w:t>
      </w:r>
      <w:r w:rsidRPr="001E7CB3">
        <w:rPr>
          <w:lang w:val="fr-CA"/>
        </w:rPr>
        <w:t>amortissement ou le retrait d</w:t>
      </w:r>
      <w:r>
        <w:rPr>
          <w:lang w:val="fr-CA"/>
        </w:rPr>
        <w:t xml:space="preserve">es </w:t>
      </w:r>
      <w:r w:rsidRPr="001E7CB3">
        <w:rPr>
          <w:lang w:val="fr-CA"/>
        </w:rPr>
        <w:t>surplus des comptes de pension de retraite a enrichi le gouvernement ou lui a procuré un quelconque avantage, mais bien s</w:t>
      </w:r>
      <w:r>
        <w:rPr>
          <w:lang w:val="fr-CA"/>
        </w:rPr>
        <w:t>’</w:t>
      </w:r>
      <w:r w:rsidRPr="001E7CB3">
        <w:rPr>
          <w:lang w:val="fr-CA"/>
        </w:rPr>
        <w:t xml:space="preserve">il a eu </w:t>
      </w:r>
      <w:r w:rsidRPr="001E7CB3">
        <w:rPr>
          <w:lang w:val="fr-CA"/>
        </w:rPr>
        <w:lastRenderedPageBreak/>
        <w:t>cet effet au détriment des appelants.  Même s</w:t>
      </w:r>
      <w:r>
        <w:rPr>
          <w:lang w:val="fr-CA"/>
        </w:rPr>
        <w:t>’</w:t>
      </w:r>
      <w:r w:rsidRPr="001E7CB3">
        <w:rPr>
          <w:lang w:val="fr-CA"/>
        </w:rPr>
        <w:t>il pouvait être démontré que le gouvernement a tiré un avantage de la réduction des obligations financières déclarées du Canada, les appelants ne pe</w:t>
      </w:r>
      <w:r>
        <w:rPr>
          <w:lang w:val="fr-CA"/>
        </w:rPr>
        <w:t xml:space="preserve">uvent en tirer argument que si cet </w:t>
      </w:r>
      <w:r w:rsidRPr="001E7CB3">
        <w:rPr>
          <w:lang w:val="fr-CA"/>
        </w:rPr>
        <w:t>avantage correspond à une perte qu</w:t>
      </w:r>
      <w:r>
        <w:rPr>
          <w:lang w:val="fr-CA"/>
        </w:rPr>
        <w:t>’</w:t>
      </w:r>
      <w:r w:rsidRPr="001E7CB3">
        <w:rPr>
          <w:lang w:val="fr-CA"/>
        </w:rPr>
        <w:t xml:space="preserve">ils ont subie. </w:t>
      </w:r>
    </w:p>
    <w:p w:rsidR="000F48EC" w:rsidRPr="001E7CB3" w:rsidRDefault="000F48EC" w:rsidP="000F48EC">
      <w:pPr>
        <w:pStyle w:val="ParaNoNdepar-AltN"/>
        <w:rPr>
          <w:lang w:val="fr-CA"/>
        </w:rPr>
      </w:pPr>
      <w:r w:rsidRPr="001E7CB3">
        <w:rPr>
          <w:rFonts w:cs="Times New Roman"/>
          <w:szCs w:val="24"/>
          <w:lang w:val="fr-CA"/>
        </w:rPr>
        <w:t xml:space="preserve">Les comptes de pension de retraite étant de simples documents comptables qui ne </w:t>
      </w:r>
      <w:r>
        <w:rPr>
          <w:rFonts w:cs="Times New Roman"/>
          <w:szCs w:val="24"/>
          <w:lang w:val="fr-CA"/>
        </w:rPr>
        <w:t>contienn</w:t>
      </w:r>
      <w:r w:rsidRPr="001E7CB3">
        <w:rPr>
          <w:rFonts w:cs="Times New Roman"/>
          <w:szCs w:val="24"/>
          <w:lang w:val="fr-CA"/>
        </w:rPr>
        <w:t>ent pas d</w:t>
      </w:r>
      <w:r>
        <w:rPr>
          <w:rFonts w:cs="Times New Roman"/>
          <w:szCs w:val="24"/>
          <w:lang w:val="fr-CA"/>
        </w:rPr>
        <w:t>’</w:t>
      </w:r>
      <w:r>
        <w:rPr>
          <w:lang w:val="fr-CA"/>
        </w:rPr>
        <w:t>éléments d’actif</w:t>
      </w:r>
      <w:r w:rsidRPr="001E7CB3">
        <w:rPr>
          <w:rFonts w:cs="Times New Roman"/>
          <w:szCs w:val="24"/>
          <w:lang w:val="fr-CA"/>
        </w:rPr>
        <w:t xml:space="preserve"> </w:t>
      </w:r>
      <w:r>
        <w:rPr>
          <w:rFonts w:cs="Times New Roman"/>
          <w:szCs w:val="24"/>
          <w:lang w:val="fr-CA"/>
        </w:rPr>
        <w:t>dans lesquels les appelants pourraient avoir</w:t>
      </w:r>
      <w:r w:rsidRPr="001E7CB3">
        <w:rPr>
          <w:rFonts w:cs="Times New Roman"/>
          <w:szCs w:val="24"/>
          <w:lang w:val="fr-CA"/>
        </w:rPr>
        <w:t xml:space="preserve"> un intérêt, </w:t>
      </w:r>
      <w:r>
        <w:rPr>
          <w:rFonts w:cs="Times New Roman"/>
          <w:szCs w:val="24"/>
          <w:lang w:val="fr-CA"/>
        </w:rPr>
        <w:t>ni</w:t>
      </w:r>
      <w:r w:rsidRPr="001E7CB3">
        <w:rPr>
          <w:rFonts w:cs="Times New Roman"/>
          <w:szCs w:val="24"/>
          <w:lang w:val="fr-CA"/>
        </w:rPr>
        <w:t xml:space="preserve"> </w:t>
      </w:r>
      <w:r>
        <w:rPr>
          <w:rFonts w:cs="Times New Roman"/>
          <w:szCs w:val="24"/>
          <w:lang w:val="fr-CA"/>
        </w:rPr>
        <w:t>(1) </w:t>
      </w:r>
      <w:r w:rsidRPr="001E7CB3">
        <w:rPr>
          <w:rFonts w:cs="Times New Roman"/>
          <w:szCs w:val="24"/>
          <w:lang w:val="fr-CA"/>
        </w:rPr>
        <w:t>la décision prise par le gouvernement avant le 1</w:t>
      </w:r>
      <w:r w:rsidRPr="001E7CB3">
        <w:rPr>
          <w:rFonts w:cs="Times New Roman"/>
          <w:szCs w:val="24"/>
          <w:vertAlign w:val="superscript"/>
          <w:lang w:val="fr-CA"/>
        </w:rPr>
        <w:t>er</w:t>
      </w:r>
      <w:r>
        <w:rPr>
          <w:rFonts w:cs="Times New Roman"/>
          <w:szCs w:val="24"/>
          <w:lang w:val="fr-CA"/>
        </w:rPr>
        <w:t xml:space="preserve"> avril </w:t>
      </w:r>
      <w:r w:rsidRPr="001E7CB3">
        <w:rPr>
          <w:rFonts w:cs="Times New Roman"/>
          <w:szCs w:val="24"/>
          <w:lang w:val="fr-CA"/>
        </w:rPr>
        <w:t>2000 d</w:t>
      </w:r>
      <w:r>
        <w:rPr>
          <w:rFonts w:cs="Times New Roman"/>
          <w:szCs w:val="24"/>
          <w:lang w:val="fr-CA"/>
        </w:rPr>
        <w:t>’</w:t>
      </w:r>
      <w:r w:rsidRPr="001E7CB3">
        <w:rPr>
          <w:rFonts w:cs="Times New Roman"/>
          <w:szCs w:val="24"/>
          <w:lang w:val="fr-CA"/>
        </w:rPr>
        <w:t>amortir l</w:t>
      </w:r>
      <w:r>
        <w:rPr>
          <w:rFonts w:cs="Times New Roman"/>
          <w:szCs w:val="24"/>
          <w:lang w:val="fr-CA"/>
        </w:rPr>
        <w:t xml:space="preserve">es </w:t>
      </w:r>
      <w:r w:rsidRPr="001E7CB3">
        <w:rPr>
          <w:rFonts w:cs="Times New Roman"/>
          <w:szCs w:val="24"/>
          <w:lang w:val="fr-CA"/>
        </w:rPr>
        <w:t xml:space="preserve">surplus </w:t>
      </w:r>
      <w:r>
        <w:rPr>
          <w:rFonts w:cs="Times New Roman"/>
          <w:szCs w:val="24"/>
          <w:lang w:val="fr-CA"/>
        </w:rPr>
        <w:t>à</w:t>
      </w:r>
      <w:r w:rsidRPr="001E7CB3">
        <w:rPr>
          <w:rFonts w:cs="Times New Roman"/>
          <w:szCs w:val="24"/>
          <w:lang w:val="fr-CA"/>
        </w:rPr>
        <w:t xml:space="preserve"> des fins comptables </w:t>
      </w:r>
      <w:r>
        <w:rPr>
          <w:rFonts w:cs="Times New Roman"/>
          <w:szCs w:val="24"/>
          <w:lang w:val="fr-CA"/>
        </w:rPr>
        <w:t>en vertu</w:t>
      </w:r>
      <w:r w:rsidRPr="001E7CB3">
        <w:rPr>
          <w:rFonts w:cs="Times New Roman"/>
          <w:szCs w:val="24"/>
          <w:lang w:val="fr-CA"/>
        </w:rPr>
        <w:t xml:space="preserve"> de la </w:t>
      </w:r>
      <w:r w:rsidRPr="00FA6F73">
        <w:rPr>
          <w:rFonts w:cs="Times New Roman"/>
          <w:i/>
          <w:szCs w:val="24"/>
          <w:lang w:val="fr-CA"/>
        </w:rPr>
        <w:t>LGFP</w:t>
      </w:r>
      <w:r w:rsidRPr="001E7CB3">
        <w:rPr>
          <w:rFonts w:cs="Times New Roman"/>
          <w:szCs w:val="24"/>
          <w:lang w:val="fr-CA"/>
        </w:rPr>
        <w:t xml:space="preserve"> </w:t>
      </w:r>
      <w:r>
        <w:rPr>
          <w:rFonts w:cs="Times New Roman"/>
          <w:szCs w:val="24"/>
          <w:lang w:val="fr-CA"/>
        </w:rPr>
        <w:t>ni (2) </w:t>
      </w:r>
      <w:r w:rsidRPr="001E7CB3">
        <w:rPr>
          <w:rFonts w:cs="Times New Roman"/>
          <w:szCs w:val="24"/>
          <w:lang w:val="fr-CA"/>
        </w:rPr>
        <w:t>la décision du législateur d</w:t>
      </w:r>
      <w:r>
        <w:rPr>
          <w:rFonts w:cs="Times New Roman"/>
          <w:szCs w:val="24"/>
          <w:lang w:val="fr-CA"/>
        </w:rPr>
        <w:t>’</w:t>
      </w:r>
      <w:r w:rsidRPr="001E7CB3">
        <w:rPr>
          <w:rFonts w:cs="Times New Roman"/>
          <w:szCs w:val="24"/>
          <w:lang w:val="fr-CA"/>
        </w:rPr>
        <w:t>édicter le projet de loi C</w:t>
      </w:r>
      <w:r w:rsidR="00FA6F73">
        <w:rPr>
          <w:rFonts w:cs="Times New Roman"/>
          <w:szCs w:val="24"/>
          <w:lang w:val="fr-CA"/>
        </w:rPr>
        <w:t>-</w:t>
      </w:r>
      <w:r w:rsidRPr="001E7CB3">
        <w:rPr>
          <w:rFonts w:cs="Times New Roman"/>
          <w:szCs w:val="24"/>
          <w:lang w:val="fr-CA"/>
        </w:rPr>
        <w:t xml:space="preserve">78 exigeant </w:t>
      </w:r>
      <w:r>
        <w:rPr>
          <w:rFonts w:cs="Times New Roman"/>
          <w:szCs w:val="24"/>
          <w:lang w:val="fr-CA"/>
        </w:rPr>
        <w:t>qu’</w:t>
      </w:r>
      <w:r w:rsidRPr="001E7CB3">
        <w:rPr>
          <w:rFonts w:cs="Times New Roman"/>
          <w:szCs w:val="24"/>
          <w:lang w:val="fr-CA"/>
        </w:rPr>
        <w:t>une partie d</w:t>
      </w:r>
      <w:r>
        <w:rPr>
          <w:rFonts w:cs="Times New Roman"/>
          <w:szCs w:val="24"/>
          <w:lang w:val="fr-CA"/>
        </w:rPr>
        <w:t>es</w:t>
      </w:r>
      <w:r w:rsidRPr="001E7CB3">
        <w:rPr>
          <w:rFonts w:cs="Times New Roman"/>
          <w:szCs w:val="24"/>
          <w:lang w:val="fr-CA"/>
        </w:rPr>
        <w:t xml:space="preserve"> surplus </w:t>
      </w:r>
      <w:r>
        <w:rPr>
          <w:rFonts w:cs="Times New Roman"/>
          <w:szCs w:val="24"/>
          <w:lang w:val="fr-CA"/>
        </w:rPr>
        <w:t xml:space="preserve">soit portée </w:t>
      </w:r>
      <w:r w:rsidRPr="001E7CB3">
        <w:rPr>
          <w:rFonts w:cs="Times New Roman"/>
          <w:szCs w:val="24"/>
          <w:lang w:val="fr-CA"/>
        </w:rPr>
        <w:t>au débit des comptes</w:t>
      </w:r>
      <w:r>
        <w:rPr>
          <w:rFonts w:cs="Times New Roman"/>
          <w:szCs w:val="24"/>
          <w:lang w:val="fr-CA"/>
        </w:rPr>
        <w:t xml:space="preserve"> ne peuvent donner lieu à un </w:t>
      </w:r>
      <w:r w:rsidRPr="001E7CB3">
        <w:rPr>
          <w:rFonts w:cs="Times New Roman"/>
          <w:szCs w:val="24"/>
          <w:lang w:val="fr-CA"/>
        </w:rPr>
        <w:t xml:space="preserve">enrichissement et </w:t>
      </w:r>
      <w:r>
        <w:rPr>
          <w:rFonts w:cs="Times New Roman"/>
          <w:szCs w:val="24"/>
          <w:lang w:val="fr-CA"/>
        </w:rPr>
        <w:t xml:space="preserve">à un </w:t>
      </w:r>
      <w:r w:rsidRPr="001E7CB3">
        <w:rPr>
          <w:rFonts w:cs="Times New Roman"/>
          <w:szCs w:val="24"/>
          <w:lang w:val="fr-CA"/>
        </w:rPr>
        <w:t>appauvrissement corr</w:t>
      </w:r>
      <w:r>
        <w:rPr>
          <w:rFonts w:cs="Times New Roman"/>
          <w:szCs w:val="24"/>
          <w:lang w:val="fr-CA"/>
        </w:rPr>
        <w:t>élatif</w:t>
      </w:r>
      <w:r w:rsidRPr="001E7CB3">
        <w:rPr>
          <w:rFonts w:cs="Times New Roman"/>
          <w:szCs w:val="24"/>
          <w:lang w:val="fr-CA"/>
        </w:rPr>
        <w:t>.</w:t>
      </w:r>
    </w:p>
    <w:p w:rsidR="000F48EC" w:rsidRPr="001E7CB3" w:rsidRDefault="000F48EC" w:rsidP="000F48EC">
      <w:pPr>
        <w:pStyle w:val="ParaNoNdepar-AltN"/>
        <w:rPr>
          <w:szCs w:val="24"/>
          <w:lang w:val="fr-CA"/>
        </w:rPr>
      </w:pPr>
      <w:r w:rsidRPr="001E7CB3">
        <w:rPr>
          <w:lang w:val="fr-CA"/>
        </w:rPr>
        <w:t xml:space="preserve">La </w:t>
      </w:r>
      <w:r>
        <w:rPr>
          <w:lang w:val="fr-CA"/>
        </w:rPr>
        <w:t>Cour d’appel</w:t>
      </w:r>
      <w:r w:rsidRPr="001E7CB3">
        <w:rPr>
          <w:lang w:val="fr-CA"/>
        </w:rPr>
        <w:t xml:space="preserve"> a conclu qu</w:t>
      </w:r>
      <w:r>
        <w:rPr>
          <w:lang w:val="fr-CA"/>
        </w:rPr>
        <w:t>’</w:t>
      </w:r>
      <w:r w:rsidRPr="001E7CB3">
        <w:rPr>
          <w:lang w:val="fr-CA"/>
        </w:rPr>
        <w:t>il n</w:t>
      </w:r>
      <w:r>
        <w:rPr>
          <w:lang w:val="fr-CA"/>
        </w:rPr>
        <w:t>’</w:t>
      </w:r>
      <w:r w:rsidRPr="001E7CB3">
        <w:rPr>
          <w:lang w:val="fr-CA"/>
        </w:rPr>
        <w:t>y avait pas eu d</w:t>
      </w:r>
      <w:r>
        <w:rPr>
          <w:lang w:val="fr-CA"/>
        </w:rPr>
        <w:t>’</w:t>
      </w:r>
      <w:r w:rsidRPr="001E7CB3">
        <w:rPr>
          <w:lang w:val="fr-CA"/>
        </w:rPr>
        <w:t>enrichissement parce que [</w:t>
      </w:r>
      <w:r w:rsidRPr="00B2643C">
        <w:rPr>
          <w:smallCaps/>
          <w:lang w:val="fr-CA"/>
        </w:rPr>
        <w:t>traduction</w:t>
      </w:r>
      <w:r w:rsidRPr="001E7CB3">
        <w:rPr>
          <w:lang w:val="fr-CA"/>
        </w:rPr>
        <w:t>] « quel qu</w:t>
      </w:r>
      <w:r>
        <w:rPr>
          <w:lang w:val="fr-CA"/>
        </w:rPr>
        <w:t>’</w:t>
      </w:r>
      <w:r w:rsidRPr="001E7CB3">
        <w:rPr>
          <w:lang w:val="fr-CA"/>
        </w:rPr>
        <w:t>ait été l</w:t>
      </w:r>
      <w:r>
        <w:rPr>
          <w:lang w:val="fr-CA"/>
        </w:rPr>
        <w:t>’</w:t>
      </w:r>
      <w:r w:rsidRPr="001E7CB3">
        <w:rPr>
          <w:lang w:val="fr-CA"/>
        </w:rPr>
        <w:t xml:space="preserve">avantage découlant de ces actions, il a </w:t>
      </w:r>
      <w:r>
        <w:rPr>
          <w:lang w:val="fr-CA"/>
        </w:rPr>
        <w:t>profité</w:t>
      </w:r>
      <w:r w:rsidRPr="001E7CB3">
        <w:rPr>
          <w:lang w:val="fr-CA"/>
        </w:rPr>
        <w:t xml:space="preserve"> à l</w:t>
      </w:r>
      <w:r>
        <w:rPr>
          <w:lang w:val="fr-CA"/>
        </w:rPr>
        <w:t>’</w:t>
      </w:r>
      <w:r w:rsidRPr="001E7CB3">
        <w:rPr>
          <w:lang w:val="fr-CA"/>
        </w:rPr>
        <w:t>ensemble des contribuables canadiens »</w:t>
      </w:r>
      <w:r>
        <w:rPr>
          <w:lang w:val="fr-CA"/>
        </w:rPr>
        <w:t xml:space="preserve"> (par. 106)</w:t>
      </w:r>
      <w:r w:rsidRPr="001E7CB3">
        <w:rPr>
          <w:lang w:val="fr-CA"/>
        </w:rPr>
        <w:t>.  Je ne pense pas que la question se pose en ces termes.  Il faut se demander si l</w:t>
      </w:r>
      <w:r>
        <w:rPr>
          <w:lang w:val="fr-CA"/>
        </w:rPr>
        <w:t>’</w:t>
      </w:r>
      <w:r w:rsidRPr="001E7CB3">
        <w:rPr>
          <w:lang w:val="fr-CA"/>
        </w:rPr>
        <w:t>enrichissement et l</w:t>
      </w:r>
      <w:r>
        <w:rPr>
          <w:lang w:val="fr-CA"/>
        </w:rPr>
        <w:t>’</w:t>
      </w:r>
      <w:r w:rsidRPr="001E7CB3">
        <w:rPr>
          <w:lang w:val="fr-CA"/>
        </w:rPr>
        <w:t>appauvrissement corr</w:t>
      </w:r>
      <w:r>
        <w:rPr>
          <w:lang w:val="fr-CA"/>
        </w:rPr>
        <w:t>élatif</w:t>
      </w:r>
      <w:r w:rsidRPr="001E7CB3">
        <w:rPr>
          <w:lang w:val="fr-CA"/>
        </w:rPr>
        <w:t xml:space="preserve"> procèdent d</w:t>
      </w:r>
      <w:r>
        <w:rPr>
          <w:lang w:val="fr-CA"/>
        </w:rPr>
        <w:t>’</w:t>
      </w:r>
      <w:r w:rsidRPr="001E7CB3">
        <w:rPr>
          <w:lang w:val="fr-CA"/>
        </w:rPr>
        <w:t>un transfert de richesse du demandeur au défendeur.  Le fait que le défendeur soit un organisme public est sans rapport avec l</w:t>
      </w:r>
      <w:r>
        <w:rPr>
          <w:lang w:val="fr-CA"/>
        </w:rPr>
        <w:t>’</w:t>
      </w:r>
      <w:r w:rsidRPr="001E7CB3">
        <w:rPr>
          <w:lang w:val="fr-CA"/>
        </w:rPr>
        <w:t>existence d</w:t>
      </w:r>
      <w:r>
        <w:rPr>
          <w:lang w:val="fr-CA"/>
        </w:rPr>
        <w:t>’</w:t>
      </w:r>
      <w:r w:rsidRPr="001E7CB3">
        <w:rPr>
          <w:lang w:val="fr-CA"/>
        </w:rPr>
        <w:t xml:space="preserve">un tel transfert de richesse.  </w:t>
      </w:r>
      <w:r>
        <w:rPr>
          <w:lang w:val="fr-CA"/>
        </w:rPr>
        <w:t>En fait, appliquer</w:t>
      </w:r>
      <w:r w:rsidRPr="001E7CB3">
        <w:rPr>
          <w:lang w:val="fr-CA"/>
        </w:rPr>
        <w:t xml:space="preserve"> ce raisonnement </w:t>
      </w:r>
      <w:r>
        <w:rPr>
          <w:lang w:val="fr-CA"/>
        </w:rPr>
        <w:t>aurait pour effet de</w:t>
      </w:r>
      <w:r w:rsidRPr="001E7CB3">
        <w:rPr>
          <w:lang w:val="fr-CA"/>
        </w:rPr>
        <w:t xml:space="preserve"> mettre le gouvernement à l</w:t>
      </w:r>
      <w:r>
        <w:rPr>
          <w:lang w:val="fr-CA"/>
        </w:rPr>
        <w:t>’</w:t>
      </w:r>
      <w:r w:rsidRPr="001E7CB3">
        <w:rPr>
          <w:lang w:val="fr-CA"/>
        </w:rPr>
        <w:t>abri de toute action pour enrichissement injustifié.</w:t>
      </w:r>
    </w:p>
    <w:p w:rsidR="000F48EC" w:rsidRPr="00BB0F5B" w:rsidRDefault="000F48EC" w:rsidP="000F48EC">
      <w:pPr>
        <w:pStyle w:val="ParaNoNdepar-AltN"/>
        <w:rPr>
          <w:lang w:val="fr-CA"/>
        </w:rPr>
      </w:pPr>
      <w:r w:rsidRPr="001E7CB3">
        <w:rPr>
          <w:lang w:val="fr-CA"/>
        </w:rPr>
        <w:t xml:space="preserve">Selon la </w:t>
      </w:r>
      <w:r>
        <w:rPr>
          <w:lang w:val="fr-CA"/>
        </w:rPr>
        <w:t>Cour d’appel</w:t>
      </w:r>
      <w:r w:rsidRPr="001E7CB3">
        <w:rPr>
          <w:lang w:val="fr-CA"/>
        </w:rPr>
        <w:t xml:space="preserve">, il pouvait y avoir eu </w:t>
      </w:r>
      <w:r>
        <w:rPr>
          <w:lang w:val="fr-CA"/>
        </w:rPr>
        <w:t>appauvrissement,</w:t>
      </w:r>
      <w:r w:rsidRPr="001E7CB3">
        <w:rPr>
          <w:lang w:val="fr-CA"/>
        </w:rPr>
        <w:t xml:space="preserve"> car les </w:t>
      </w:r>
      <w:r>
        <w:rPr>
          <w:lang w:val="fr-CA"/>
        </w:rPr>
        <w:t>ac</w:t>
      </w:r>
      <w:r w:rsidRPr="00BB0F5B">
        <w:rPr>
          <w:lang w:val="fr-CA"/>
        </w:rPr>
        <w:t>tes du gouvernement [</w:t>
      </w:r>
      <w:r w:rsidRPr="00BB0F5B">
        <w:rPr>
          <w:smallCaps/>
          <w:lang w:val="fr-CA"/>
        </w:rPr>
        <w:t>traduction</w:t>
      </w:r>
      <w:r w:rsidRPr="00BB0F5B">
        <w:rPr>
          <w:lang w:val="fr-CA"/>
        </w:rPr>
        <w:t xml:space="preserve">] « ont causé préjudice aux membres des régimes ne </w:t>
      </w:r>
      <w:proofErr w:type="spellStart"/>
      <w:r w:rsidRPr="00BB0F5B">
        <w:rPr>
          <w:lang w:val="fr-CA"/>
        </w:rPr>
        <w:lastRenderedPageBreak/>
        <w:t>serait</w:t>
      </w:r>
      <w:r>
        <w:rPr>
          <w:lang w:val="fr-CA"/>
        </w:rPr>
        <w:noBreakHyphen/>
      </w:r>
      <w:r w:rsidRPr="00BB0F5B">
        <w:rPr>
          <w:lang w:val="fr-CA"/>
        </w:rPr>
        <w:t>ce</w:t>
      </w:r>
      <w:proofErr w:type="spellEnd"/>
      <w:r w:rsidRPr="00BB0F5B">
        <w:rPr>
          <w:lang w:val="fr-CA"/>
        </w:rPr>
        <w:t xml:space="preserve"> que parce qu’ils ont apparemment entraîné des augmentations </w:t>
      </w:r>
      <w:r>
        <w:rPr>
          <w:lang w:val="fr-CA"/>
        </w:rPr>
        <w:t>de leur</w:t>
      </w:r>
      <w:r w:rsidRPr="00BB0F5B">
        <w:rPr>
          <w:lang w:val="fr-CA"/>
        </w:rPr>
        <w:t xml:space="preserve"> taux de </w:t>
      </w:r>
      <w:r>
        <w:rPr>
          <w:lang w:val="fr-CA"/>
        </w:rPr>
        <w:t>contribution</w:t>
      </w:r>
      <w:r w:rsidRPr="00BB0F5B">
        <w:rPr>
          <w:lang w:val="fr-CA"/>
        </w:rPr>
        <w:t xml:space="preserve"> » </w:t>
      </w:r>
      <w:r>
        <w:rPr>
          <w:lang w:val="fr-CA"/>
        </w:rPr>
        <w:t>(par. 107)</w:t>
      </w:r>
      <w:r w:rsidRPr="00BB0F5B">
        <w:rPr>
          <w:lang w:val="fr-CA"/>
        </w:rPr>
        <w:t>.  Comme je l’ai indiqué à l’égard de la question relative à la présence d’</w:t>
      </w:r>
      <w:r>
        <w:rPr>
          <w:lang w:val="fr-CA"/>
        </w:rPr>
        <w:t>éléments d’actif</w:t>
      </w:r>
      <w:r w:rsidRPr="00BB0F5B">
        <w:rPr>
          <w:lang w:val="fr-CA"/>
        </w:rPr>
        <w:t xml:space="preserve"> dans les comptes de pension de retraite, la preuve n’étaye pas l’existence d’un tel appauvrissement. </w:t>
      </w:r>
    </w:p>
    <w:p w:rsidR="000F48EC" w:rsidRPr="001E7CB3" w:rsidRDefault="000F48EC" w:rsidP="000F48EC">
      <w:pPr>
        <w:pStyle w:val="ParaNoNdepar-AltN"/>
        <w:rPr>
          <w:lang w:val="fr-CA"/>
        </w:rPr>
      </w:pPr>
      <w:r w:rsidRPr="001E7CB3">
        <w:rPr>
          <w:lang w:val="fr-CA"/>
        </w:rPr>
        <w:t>Au surplus, si appauvrissement il y avait du fait de l</w:t>
      </w:r>
      <w:r>
        <w:rPr>
          <w:lang w:val="fr-CA"/>
        </w:rPr>
        <w:t>’</w:t>
      </w:r>
      <w:r w:rsidRPr="001E7CB3">
        <w:rPr>
          <w:lang w:val="fr-CA"/>
        </w:rPr>
        <w:t xml:space="preserve">augmentation du taux de </w:t>
      </w:r>
      <w:r>
        <w:rPr>
          <w:lang w:val="fr-CA"/>
        </w:rPr>
        <w:t>contribu</w:t>
      </w:r>
      <w:r w:rsidRPr="001E7CB3">
        <w:rPr>
          <w:lang w:val="fr-CA"/>
        </w:rPr>
        <w:t>tion, l</w:t>
      </w:r>
      <w:r>
        <w:rPr>
          <w:lang w:val="fr-CA"/>
        </w:rPr>
        <w:t>’</w:t>
      </w:r>
      <w:r w:rsidRPr="001E7CB3">
        <w:rPr>
          <w:lang w:val="fr-CA"/>
        </w:rPr>
        <w:t xml:space="preserve">enrichissement </w:t>
      </w:r>
      <w:r>
        <w:rPr>
          <w:lang w:val="fr-CA"/>
        </w:rPr>
        <w:t>corrélatif</w:t>
      </w:r>
      <w:r w:rsidRPr="001E7CB3">
        <w:rPr>
          <w:lang w:val="fr-CA"/>
        </w:rPr>
        <w:t xml:space="preserve"> ne pourrait être </w:t>
      </w:r>
      <w:r>
        <w:rPr>
          <w:lang w:val="fr-CA"/>
        </w:rPr>
        <w:t>constitué que d</w:t>
      </w:r>
      <w:r w:rsidRPr="001E7CB3">
        <w:rPr>
          <w:lang w:val="fr-CA"/>
        </w:rPr>
        <w:t xml:space="preserve">es retenues supplémentaires sur le salaire consécutives à cette hausse, </w:t>
      </w:r>
      <w:r>
        <w:rPr>
          <w:lang w:val="fr-CA"/>
        </w:rPr>
        <w:t xml:space="preserve">et </w:t>
      </w:r>
      <w:r w:rsidRPr="001E7CB3">
        <w:rPr>
          <w:lang w:val="fr-CA"/>
        </w:rPr>
        <w:t xml:space="preserve">non </w:t>
      </w:r>
      <w:r>
        <w:rPr>
          <w:lang w:val="fr-CA"/>
        </w:rPr>
        <w:t>du</w:t>
      </w:r>
      <w:r w:rsidRPr="001E7CB3">
        <w:rPr>
          <w:lang w:val="fr-CA"/>
        </w:rPr>
        <w:t xml:space="preserve"> montant d</w:t>
      </w:r>
      <w:r>
        <w:rPr>
          <w:lang w:val="fr-CA"/>
        </w:rPr>
        <w:t xml:space="preserve">es </w:t>
      </w:r>
      <w:r w:rsidRPr="001E7CB3">
        <w:rPr>
          <w:lang w:val="fr-CA"/>
        </w:rPr>
        <w:t>surplus amorti</w:t>
      </w:r>
      <w:r>
        <w:rPr>
          <w:lang w:val="fr-CA"/>
        </w:rPr>
        <w:t>s</w:t>
      </w:r>
      <w:r w:rsidRPr="001E7CB3">
        <w:rPr>
          <w:lang w:val="fr-CA"/>
        </w:rPr>
        <w:t xml:space="preserve"> et retiré</w:t>
      </w:r>
      <w:r>
        <w:rPr>
          <w:lang w:val="fr-CA"/>
        </w:rPr>
        <w:t>s</w:t>
      </w:r>
      <w:r w:rsidRPr="001E7CB3">
        <w:rPr>
          <w:lang w:val="fr-CA"/>
        </w:rPr>
        <w:t>.  Les appelants ont cependant demandé un jugement déclaratoire portant qu</w:t>
      </w:r>
      <w:r>
        <w:rPr>
          <w:lang w:val="fr-CA"/>
        </w:rPr>
        <w:t>’</w:t>
      </w:r>
      <w:r w:rsidRPr="001E7CB3">
        <w:rPr>
          <w:lang w:val="fr-CA"/>
        </w:rPr>
        <w:t xml:space="preserve">ils possèdent un intérêt en </w:t>
      </w:r>
      <w:proofErr w:type="spellStart"/>
      <w:r w:rsidRPr="001E7CB3">
        <w:rPr>
          <w:lang w:val="fr-CA"/>
        </w:rPr>
        <w:t>equity</w:t>
      </w:r>
      <w:proofErr w:type="spellEnd"/>
      <w:r w:rsidRPr="001E7CB3">
        <w:rPr>
          <w:lang w:val="fr-CA"/>
        </w:rPr>
        <w:t xml:space="preserve"> sur les soldes des comptes de pension de retraite au 31 ma</w:t>
      </w:r>
      <w:r>
        <w:rPr>
          <w:lang w:val="fr-CA"/>
        </w:rPr>
        <w:t xml:space="preserve">rs </w:t>
      </w:r>
      <w:r w:rsidRPr="001E7CB3">
        <w:rPr>
          <w:lang w:val="fr-CA"/>
        </w:rPr>
        <w:t xml:space="preserve">2000, </w:t>
      </w:r>
      <w:r>
        <w:rPr>
          <w:lang w:val="fr-CA"/>
        </w:rPr>
        <w:t xml:space="preserve">et </w:t>
      </w:r>
      <w:r w:rsidRPr="001E7CB3">
        <w:rPr>
          <w:lang w:val="fr-CA"/>
        </w:rPr>
        <w:t>non la restitution des contributions accrues qu</w:t>
      </w:r>
      <w:r>
        <w:rPr>
          <w:lang w:val="fr-CA"/>
        </w:rPr>
        <w:t>’</w:t>
      </w:r>
      <w:r w:rsidRPr="001E7CB3">
        <w:rPr>
          <w:lang w:val="fr-CA"/>
        </w:rPr>
        <w:t>ils ont versées après l</w:t>
      </w:r>
      <w:r>
        <w:rPr>
          <w:lang w:val="fr-CA"/>
        </w:rPr>
        <w:t>’</w:t>
      </w:r>
      <w:r w:rsidRPr="001E7CB3">
        <w:rPr>
          <w:lang w:val="fr-CA"/>
        </w:rPr>
        <w:t>entrée en vigueur du projet de loi C</w:t>
      </w:r>
      <w:r>
        <w:rPr>
          <w:lang w:val="fr-CA"/>
        </w:rPr>
        <w:noBreakHyphen/>
      </w:r>
      <w:r w:rsidRPr="001E7CB3">
        <w:rPr>
          <w:lang w:val="fr-CA"/>
        </w:rPr>
        <w:t xml:space="preserve">78.  </w:t>
      </w:r>
      <w:r>
        <w:rPr>
          <w:lang w:val="fr-CA"/>
        </w:rPr>
        <w:t xml:space="preserve">Par conséquent, s’agissant de l’argument de </w:t>
      </w:r>
      <w:r w:rsidRPr="001E7CB3">
        <w:rPr>
          <w:lang w:val="fr-CA"/>
        </w:rPr>
        <w:t>l</w:t>
      </w:r>
      <w:r>
        <w:rPr>
          <w:lang w:val="fr-CA"/>
        </w:rPr>
        <w:t>’</w:t>
      </w:r>
      <w:r w:rsidRPr="001E7CB3">
        <w:rPr>
          <w:lang w:val="fr-CA"/>
        </w:rPr>
        <w:t>appauvrissement causé par l</w:t>
      </w:r>
      <w:r>
        <w:rPr>
          <w:lang w:val="fr-CA"/>
        </w:rPr>
        <w:t>’</w:t>
      </w:r>
      <w:r w:rsidRPr="001E7CB3">
        <w:rPr>
          <w:lang w:val="fr-CA"/>
        </w:rPr>
        <w:t xml:space="preserve">augmentation des taux de </w:t>
      </w:r>
      <w:r>
        <w:rPr>
          <w:lang w:val="fr-CA"/>
        </w:rPr>
        <w:t xml:space="preserve">contribution, il n’existe pas de lien entre </w:t>
      </w:r>
      <w:r w:rsidRPr="001E7CB3">
        <w:rPr>
          <w:lang w:val="fr-CA"/>
        </w:rPr>
        <w:t>l</w:t>
      </w:r>
      <w:r>
        <w:rPr>
          <w:lang w:val="fr-CA"/>
        </w:rPr>
        <w:t>’</w:t>
      </w:r>
      <w:r w:rsidRPr="001E7CB3">
        <w:rPr>
          <w:lang w:val="fr-CA"/>
        </w:rPr>
        <w:t xml:space="preserve">appauvrissement allégué et </w:t>
      </w:r>
      <w:r>
        <w:rPr>
          <w:lang w:val="fr-CA"/>
        </w:rPr>
        <w:t>le droit de propriété qu’ils revendiquent, soit</w:t>
      </w:r>
      <w:r w:rsidRPr="001E7CB3">
        <w:rPr>
          <w:lang w:val="fr-CA"/>
        </w:rPr>
        <w:t xml:space="preserve"> la restitution d</w:t>
      </w:r>
      <w:r>
        <w:rPr>
          <w:lang w:val="fr-CA"/>
        </w:rPr>
        <w:t xml:space="preserve">es </w:t>
      </w:r>
      <w:r w:rsidRPr="001E7CB3">
        <w:rPr>
          <w:lang w:val="fr-CA"/>
        </w:rPr>
        <w:t>surplus amorti</w:t>
      </w:r>
      <w:r>
        <w:rPr>
          <w:lang w:val="fr-CA"/>
        </w:rPr>
        <w:t>s</w:t>
      </w:r>
      <w:r w:rsidRPr="001E7CB3">
        <w:rPr>
          <w:lang w:val="fr-CA"/>
        </w:rPr>
        <w:t xml:space="preserve"> et porté</w:t>
      </w:r>
      <w:r>
        <w:rPr>
          <w:lang w:val="fr-CA"/>
        </w:rPr>
        <w:t>s</w:t>
      </w:r>
      <w:r w:rsidRPr="001E7CB3">
        <w:rPr>
          <w:lang w:val="fr-CA"/>
        </w:rPr>
        <w:t xml:space="preserve"> au débit.  </w:t>
      </w:r>
    </w:p>
    <w:p w:rsidR="000F48EC" w:rsidRPr="001E7CB3" w:rsidRDefault="000F48EC" w:rsidP="000F48EC">
      <w:pPr>
        <w:pStyle w:val="ParaNoNdepar-AltN"/>
        <w:rPr>
          <w:szCs w:val="24"/>
          <w:lang w:val="fr-CA"/>
        </w:rPr>
      </w:pPr>
      <w:r w:rsidRPr="001E7CB3">
        <w:rPr>
          <w:szCs w:val="24"/>
          <w:lang w:val="fr-CA"/>
        </w:rPr>
        <w:t>Je conclus à l</w:t>
      </w:r>
      <w:r>
        <w:rPr>
          <w:szCs w:val="24"/>
          <w:lang w:val="fr-CA"/>
        </w:rPr>
        <w:t>’</w:t>
      </w:r>
      <w:r w:rsidRPr="001E7CB3">
        <w:rPr>
          <w:szCs w:val="24"/>
          <w:lang w:val="fr-CA"/>
        </w:rPr>
        <w:t>absence d</w:t>
      </w:r>
      <w:r>
        <w:rPr>
          <w:szCs w:val="24"/>
          <w:lang w:val="fr-CA"/>
        </w:rPr>
        <w:t>’</w:t>
      </w:r>
      <w:r w:rsidRPr="001E7CB3">
        <w:rPr>
          <w:szCs w:val="24"/>
          <w:lang w:val="fr-CA"/>
        </w:rPr>
        <w:t>enrichissement et d</w:t>
      </w:r>
      <w:r>
        <w:rPr>
          <w:szCs w:val="24"/>
          <w:lang w:val="fr-CA"/>
        </w:rPr>
        <w:t>’</w:t>
      </w:r>
      <w:r w:rsidRPr="001E7CB3">
        <w:rPr>
          <w:szCs w:val="24"/>
          <w:lang w:val="fr-CA"/>
        </w:rPr>
        <w:t>appauvrissement co</w:t>
      </w:r>
      <w:r>
        <w:rPr>
          <w:szCs w:val="24"/>
          <w:lang w:val="fr-CA"/>
        </w:rPr>
        <w:t>rrélatif</w:t>
      </w:r>
      <w:r w:rsidRPr="001E7CB3">
        <w:rPr>
          <w:szCs w:val="24"/>
          <w:lang w:val="fr-CA"/>
        </w:rPr>
        <w:t>, et j</w:t>
      </w:r>
      <w:r>
        <w:rPr>
          <w:szCs w:val="24"/>
          <w:lang w:val="fr-CA"/>
        </w:rPr>
        <w:t>’</w:t>
      </w:r>
      <w:r w:rsidRPr="001E7CB3">
        <w:rPr>
          <w:szCs w:val="24"/>
          <w:lang w:val="fr-CA"/>
        </w:rPr>
        <w:t>estime que les appelants n</w:t>
      </w:r>
      <w:r>
        <w:rPr>
          <w:szCs w:val="24"/>
          <w:lang w:val="fr-CA"/>
        </w:rPr>
        <w:t>’</w:t>
      </w:r>
      <w:r w:rsidRPr="001E7CB3">
        <w:rPr>
          <w:szCs w:val="24"/>
          <w:lang w:val="fr-CA"/>
        </w:rPr>
        <w:t xml:space="preserve">ont pas fait la preuve </w:t>
      </w:r>
      <w:r w:rsidRPr="001E7CB3">
        <w:rPr>
          <w:i/>
          <w:szCs w:val="24"/>
          <w:lang w:val="fr-CA"/>
        </w:rPr>
        <w:t xml:space="preserve">prima </w:t>
      </w:r>
      <w:proofErr w:type="spellStart"/>
      <w:r w:rsidRPr="001E7CB3">
        <w:rPr>
          <w:i/>
          <w:szCs w:val="24"/>
          <w:lang w:val="fr-CA"/>
        </w:rPr>
        <w:t>facie</w:t>
      </w:r>
      <w:proofErr w:type="spellEnd"/>
      <w:r w:rsidRPr="001E7CB3">
        <w:rPr>
          <w:i/>
          <w:szCs w:val="24"/>
          <w:lang w:val="fr-CA"/>
        </w:rPr>
        <w:t xml:space="preserve"> </w:t>
      </w:r>
      <w:r>
        <w:rPr>
          <w:szCs w:val="24"/>
          <w:lang w:val="fr-CA"/>
        </w:rPr>
        <w:t xml:space="preserve">qu’il y avait eu </w:t>
      </w:r>
      <w:r w:rsidRPr="001E7CB3">
        <w:rPr>
          <w:szCs w:val="24"/>
          <w:lang w:val="fr-CA"/>
        </w:rPr>
        <w:t xml:space="preserve">enrichissement injustifié.  Il </w:t>
      </w:r>
      <w:r>
        <w:rPr>
          <w:szCs w:val="24"/>
          <w:lang w:val="fr-CA"/>
        </w:rPr>
        <w:t>n’est donc pas nécessaire</w:t>
      </w:r>
      <w:r w:rsidRPr="001E7CB3">
        <w:rPr>
          <w:szCs w:val="24"/>
          <w:lang w:val="fr-CA"/>
        </w:rPr>
        <w:t xml:space="preserve"> d</w:t>
      </w:r>
      <w:r>
        <w:rPr>
          <w:szCs w:val="24"/>
          <w:lang w:val="fr-CA"/>
        </w:rPr>
        <w:t>’</w:t>
      </w:r>
      <w:r w:rsidRPr="001E7CB3">
        <w:rPr>
          <w:szCs w:val="24"/>
          <w:lang w:val="fr-CA"/>
        </w:rPr>
        <w:t xml:space="preserve">examiner le troisième volet du </w:t>
      </w:r>
      <w:r>
        <w:rPr>
          <w:szCs w:val="24"/>
          <w:lang w:val="fr-CA"/>
        </w:rPr>
        <w:t>test</w:t>
      </w:r>
      <w:r w:rsidRPr="001E7CB3">
        <w:rPr>
          <w:szCs w:val="24"/>
          <w:lang w:val="fr-CA"/>
        </w:rPr>
        <w:t xml:space="preserve">, </w:t>
      </w:r>
      <w:r>
        <w:rPr>
          <w:szCs w:val="24"/>
          <w:lang w:val="fr-CA"/>
        </w:rPr>
        <w:t xml:space="preserve">soit </w:t>
      </w:r>
      <w:r w:rsidRPr="001E7CB3">
        <w:rPr>
          <w:szCs w:val="24"/>
          <w:lang w:val="fr-CA"/>
        </w:rPr>
        <w:t>l</w:t>
      </w:r>
      <w:r>
        <w:rPr>
          <w:szCs w:val="24"/>
          <w:lang w:val="fr-CA"/>
        </w:rPr>
        <w:t>’</w:t>
      </w:r>
      <w:r w:rsidRPr="001E7CB3">
        <w:rPr>
          <w:szCs w:val="24"/>
          <w:lang w:val="fr-CA"/>
        </w:rPr>
        <w:t xml:space="preserve">absence de </w:t>
      </w:r>
      <w:r w:rsidRPr="001E7CB3">
        <w:rPr>
          <w:lang w:val="fr-CA"/>
        </w:rPr>
        <w:t>motif juridique justifiant l</w:t>
      </w:r>
      <w:r>
        <w:rPr>
          <w:lang w:val="fr-CA"/>
        </w:rPr>
        <w:t>’</w:t>
      </w:r>
      <w:r w:rsidRPr="001E7CB3">
        <w:rPr>
          <w:lang w:val="fr-CA"/>
        </w:rPr>
        <w:t xml:space="preserve">enrichissement. </w:t>
      </w:r>
    </w:p>
    <w:p w:rsidR="000F48EC" w:rsidRPr="004E1985" w:rsidRDefault="000F48EC" w:rsidP="00FA6F73">
      <w:pPr>
        <w:pStyle w:val="TitleTitre-AltT"/>
        <w:keepNext/>
        <w:numPr>
          <w:ilvl w:val="1"/>
          <w:numId w:val="2"/>
        </w:numPr>
        <w:tabs>
          <w:tab w:val="clear" w:pos="360"/>
        </w:tabs>
        <w:ind w:left="540" w:hanging="540"/>
        <w:rPr>
          <w:i/>
          <w:szCs w:val="24"/>
          <w:lang w:val="fr-CA"/>
        </w:rPr>
      </w:pPr>
      <w:r w:rsidRPr="004E1985">
        <w:rPr>
          <w:i/>
          <w:lang w:val="fr-CA"/>
        </w:rPr>
        <w:lastRenderedPageBreak/>
        <w:t>Le projet de loi C</w:t>
      </w:r>
      <w:r w:rsidR="00FA6F73">
        <w:rPr>
          <w:i/>
          <w:lang w:val="fr-CA"/>
        </w:rPr>
        <w:t>-</w:t>
      </w:r>
      <w:r w:rsidRPr="004E1985">
        <w:rPr>
          <w:i/>
          <w:lang w:val="fr-CA"/>
        </w:rPr>
        <w:t>78 autoris</w:t>
      </w:r>
      <w:r>
        <w:rPr>
          <w:i/>
          <w:lang w:val="fr-CA"/>
        </w:rPr>
        <w:t>ai</w:t>
      </w:r>
      <w:r w:rsidRPr="004E1985">
        <w:rPr>
          <w:i/>
          <w:lang w:val="fr-CA"/>
        </w:rPr>
        <w:t>t</w:t>
      </w:r>
      <w:r w:rsidR="00FA6F73">
        <w:rPr>
          <w:i/>
          <w:lang w:val="fr-CA"/>
        </w:rPr>
        <w:t>-</w:t>
      </w:r>
      <w:r w:rsidRPr="004E1985">
        <w:rPr>
          <w:i/>
          <w:lang w:val="fr-CA"/>
        </w:rPr>
        <w:t xml:space="preserve">il le gouvernement à porter les surplus actuariels au débit des comptes de pension de retraite? </w:t>
      </w:r>
    </w:p>
    <w:p w:rsidR="000F48EC" w:rsidRPr="001E7CB3" w:rsidRDefault="000F48EC" w:rsidP="000F48EC">
      <w:pPr>
        <w:pStyle w:val="ParaNoNdepar-AltN"/>
        <w:rPr>
          <w:szCs w:val="24"/>
          <w:lang w:val="fr-CA"/>
        </w:rPr>
      </w:pPr>
      <w:r w:rsidRPr="001E7CB3">
        <w:rPr>
          <w:lang w:val="fr-CA"/>
        </w:rPr>
        <w:t>Les juridictions inférieures ont statué que le projet de loi C</w:t>
      </w:r>
      <w:r>
        <w:rPr>
          <w:lang w:val="fr-CA"/>
        </w:rPr>
        <w:noBreakHyphen/>
      </w:r>
      <w:r w:rsidRPr="001E7CB3">
        <w:rPr>
          <w:lang w:val="fr-CA"/>
        </w:rPr>
        <w:t xml:space="preserve">78 avait éteint tout intérêt </w:t>
      </w:r>
      <w:r>
        <w:rPr>
          <w:lang w:val="fr-CA"/>
        </w:rPr>
        <w:t xml:space="preserve">que les </w:t>
      </w:r>
      <w:r w:rsidRPr="001E7CB3">
        <w:rPr>
          <w:lang w:val="fr-CA"/>
        </w:rPr>
        <w:t xml:space="preserve">membres des régimes </w:t>
      </w:r>
      <w:r>
        <w:rPr>
          <w:lang w:val="fr-CA"/>
        </w:rPr>
        <w:t>pouvaient posséder</w:t>
      </w:r>
      <w:r w:rsidRPr="001E7CB3">
        <w:rPr>
          <w:lang w:val="fr-CA"/>
        </w:rPr>
        <w:t xml:space="preserve"> sur les soldes et les surplus des comptes de pension de retraite.  Les appelants soutiennent que </w:t>
      </w:r>
      <w:r>
        <w:rPr>
          <w:lang w:val="fr-CA"/>
        </w:rPr>
        <w:t>c</w:t>
      </w:r>
      <w:r w:rsidRPr="001E7CB3">
        <w:rPr>
          <w:lang w:val="fr-CA"/>
        </w:rPr>
        <w:t>e projet de loi n</w:t>
      </w:r>
      <w:r>
        <w:rPr>
          <w:lang w:val="fr-CA"/>
        </w:rPr>
        <w:t>’</w:t>
      </w:r>
      <w:r w:rsidRPr="001E7CB3">
        <w:rPr>
          <w:lang w:val="fr-CA"/>
        </w:rPr>
        <w:t>exprime pas d</w:t>
      </w:r>
      <w:r>
        <w:rPr>
          <w:lang w:val="fr-CA"/>
        </w:rPr>
        <w:t>’</w:t>
      </w:r>
      <w:r w:rsidRPr="001E7CB3">
        <w:rPr>
          <w:lang w:val="fr-CA"/>
        </w:rPr>
        <w:t>intention explicite du législateur d</w:t>
      </w:r>
      <w:r>
        <w:rPr>
          <w:lang w:val="fr-CA"/>
        </w:rPr>
        <w:t>’</w:t>
      </w:r>
      <w:r w:rsidRPr="001E7CB3">
        <w:rPr>
          <w:lang w:val="fr-CA"/>
        </w:rPr>
        <w:t>exproprier leur intérêt, invoquant à cet égard la présomption</w:t>
      </w:r>
      <w:r>
        <w:rPr>
          <w:lang w:val="fr-CA"/>
        </w:rPr>
        <w:t xml:space="preserve">, </w:t>
      </w:r>
      <w:r w:rsidRPr="001E7CB3">
        <w:rPr>
          <w:lang w:val="fr-CA"/>
        </w:rPr>
        <w:t>en matière d</w:t>
      </w:r>
      <w:r>
        <w:rPr>
          <w:lang w:val="fr-CA"/>
        </w:rPr>
        <w:t>’</w:t>
      </w:r>
      <w:r w:rsidRPr="001E7CB3">
        <w:rPr>
          <w:lang w:val="fr-CA"/>
        </w:rPr>
        <w:t>interprétation</w:t>
      </w:r>
      <w:r>
        <w:rPr>
          <w:lang w:val="fr-CA"/>
        </w:rPr>
        <w:t xml:space="preserve"> législative,</w:t>
      </w:r>
      <w:r w:rsidRPr="001E7CB3">
        <w:rPr>
          <w:lang w:val="fr-CA"/>
        </w:rPr>
        <w:t xml:space="preserve"> suivant laquelle il ne saurait y avoir expropriation sans indemnisation</w:t>
      </w:r>
      <w:r>
        <w:rPr>
          <w:lang w:val="fr-CA"/>
        </w:rPr>
        <w:t xml:space="preserve"> (</w:t>
      </w:r>
      <w:r w:rsidRPr="001E7CB3">
        <w:rPr>
          <w:lang w:val="fr-CA"/>
        </w:rPr>
        <w:t>R</w:t>
      </w:r>
      <w:r>
        <w:rPr>
          <w:lang w:val="fr-CA"/>
        </w:rPr>
        <w:t>.</w:t>
      </w:r>
      <w:r w:rsidRPr="001E7CB3">
        <w:rPr>
          <w:lang w:val="fr-CA"/>
        </w:rPr>
        <w:t xml:space="preserve"> Sullivan, </w:t>
      </w:r>
      <w:r w:rsidRPr="001E7CB3">
        <w:rPr>
          <w:i/>
          <w:lang w:val="fr-CA"/>
        </w:rPr>
        <w:t xml:space="preserve">Sullivan on the Construction of </w:t>
      </w:r>
      <w:proofErr w:type="spellStart"/>
      <w:r w:rsidRPr="001E7CB3">
        <w:rPr>
          <w:i/>
          <w:lang w:val="fr-CA"/>
        </w:rPr>
        <w:t>Statutes</w:t>
      </w:r>
      <w:proofErr w:type="spellEnd"/>
      <w:r w:rsidRPr="001E7CB3">
        <w:rPr>
          <w:lang w:val="fr-CA"/>
        </w:rPr>
        <w:t xml:space="preserve"> </w:t>
      </w:r>
      <w:r>
        <w:rPr>
          <w:lang w:val="fr-CA"/>
        </w:rPr>
        <w:t>(</w:t>
      </w:r>
      <w:r w:rsidRPr="001E7CB3">
        <w:rPr>
          <w:lang w:val="fr-CA"/>
        </w:rPr>
        <w:t>5</w:t>
      </w:r>
      <w:r>
        <w:rPr>
          <w:vertAlign w:val="superscript"/>
          <w:lang w:val="fr-CA"/>
        </w:rPr>
        <w:t>e</w:t>
      </w:r>
      <w:r>
        <w:rPr>
          <w:lang w:val="fr-CA"/>
        </w:rPr>
        <w:t> é</w:t>
      </w:r>
      <w:r w:rsidRPr="001E7CB3">
        <w:rPr>
          <w:lang w:val="fr-CA"/>
        </w:rPr>
        <w:t>d. 2008)</w:t>
      </w:r>
      <w:r>
        <w:rPr>
          <w:lang w:val="fr-CA"/>
        </w:rPr>
        <w:t>, p. </w:t>
      </w:r>
      <w:r w:rsidRPr="001E7CB3">
        <w:rPr>
          <w:lang w:val="fr-CA"/>
        </w:rPr>
        <w:t>478</w:t>
      </w:r>
      <w:r>
        <w:rPr>
          <w:lang w:val="fr-CA"/>
        </w:rPr>
        <w:noBreakHyphen/>
      </w:r>
      <w:r w:rsidRPr="001E7CB3">
        <w:rPr>
          <w:lang w:val="fr-CA"/>
        </w:rPr>
        <w:t>482</w:t>
      </w:r>
      <w:r>
        <w:rPr>
          <w:lang w:val="fr-CA"/>
        </w:rPr>
        <w:t>)</w:t>
      </w:r>
      <w:r w:rsidRPr="001E7CB3">
        <w:rPr>
          <w:lang w:val="fr-CA"/>
        </w:rPr>
        <w:t xml:space="preserve">. </w:t>
      </w:r>
    </w:p>
    <w:p w:rsidR="000F48EC" w:rsidRPr="001E7CB3" w:rsidRDefault="000F48EC" w:rsidP="000F48EC">
      <w:pPr>
        <w:pStyle w:val="ParaNoNdepar-AltN"/>
        <w:rPr>
          <w:szCs w:val="24"/>
          <w:lang w:val="fr-CA"/>
        </w:rPr>
      </w:pPr>
      <w:r w:rsidRPr="001E7CB3">
        <w:rPr>
          <w:lang w:val="fr-CA"/>
        </w:rPr>
        <w:t xml:space="preserve">Dans </w:t>
      </w:r>
      <w:r w:rsidRPr="001E7CB3">
        <w:rPr>
          <w:i/>
          <w:lang w:val="fr-CA"/>
        </w:rPr>
        <w:t xml:space="preserve">Pacific National </w:t>
      </w:r>
      <w:proofErr w:type="spellStart"/>
      <w:r w:rsidRPr="001E7CB3">
        <w:rPr>
          <w:i/>
          <w:lang w:val="fr-CA"/>
        </w:rPr>
        <w:t>Investments</w:t>
      </w:r>
      <w:proofErr w:type="spellEnd"/>
      <w:r w:rsidRPr="001E7CB3">
        <w:rPr>
          <w:i/>
          <w:lang w:val="fr-CA"/>
        </w:rPr>
        <w:t xml:space="preserve"> Ltd. c. Victoria (Ville)</w:t>
      </w:r>
      <w:r w:rsidRPr="001E7CB3">
        <w:rPr>
          <w:lang w:val="fr-CA"/>
        </w:rPr>
        <w:t>, 2000 CSC 64,</w:t>
      </w:r>
      <w:r>
        <w:rPr>
          <w:lang w:val="fr-CA"/>
        </w:rPr>
        <w:t xml:space="preserve"> [2000] 2 R.C.S. 919,</w:t>
      </w:r>
      <w:r w:rsidRPr="001E7CB3">
        <w:rPr>
          <w:lang w:val="fr-CA"/>
        </w:rPr>
        <w:t xml:space="preserve"> notre Cour a confirmé le principe voulant que « l</w:t>
      </w:r>
      <w:r>
        <w:rPr>
          <w:lang w:val="fr-CA"/>
        </w:rPr>
        <w:t>’</w:t>
      </w:r>
      <w:r w:rsidRPr="001E7CB3">
        <w:rPr>
          <w:lang w:val="fr-CA"/>
        </w:rPr>
        <w:t>on interprète avec prudence une mesure législative potentiellement spoliatrice afin d</w:t>
      </w:r>
      <w:r>
        <w:rPr>
          <w:lang w:val="fr-CA"/>
        </w:rPr>
        <w:t>’</w:t>
      </w:r>
      <w:r w:rsidRPr="001E7CB3">
        <w:rPr>
          <w:lang w:val="fr-CA"/>
        </w:rPr>
        <w:t>éviter que des individus ne soient dépouillés de leurs droits en l</w:t>
      </w:r>
      <w:r>
        <w:rPr>
          <w:lang w:val="fr-CA"/>
        </w:rPr>
        <w:t>’</w:t>
      </w:r>
      <w:r w:rsidRPr="001E7CB3">
        <w:rPr>
          <w:lang w:val="fr-CA"/>
        </w:rPr>
        <w:t>absence d</w:t>
      </w:r>
      <w:r>
        <w:rPr>
          <w:lang w:val="fr-CA"/>
        </w:rPr>
        <w:t>’</w:t>
      </w:r>
      <w:r w:rsidRPr="001E7CB3">
        <w:rPr>
          <w:lang w:val="fr-CA"/>
        </w:rPr>
        <w:t>une intention claire en ce sens dans la mesure législative en cause »</w:t>
      </w:r>
      <w:r>
        <w:rPr>
          <w:rFonts w:cs="Times New Roman"/>
          <w:szCs w:val="24"/>
          <w:lang w:val="fr-CA"/>
        </w:rPr>
        <w:t xml:space="preserve"> (par. </w:t>
      </w:r>
      <w:r w:rsidRPr="001E7CB3">
        <w:rPr>
          <w:rFonts w:cs="Times New Roman"/>
          <w:szCs w:val="24"/>
          <w:lang w:val="fr-CA"/>
        </w:rPr>
        <w:t>26</w:t>
      </w:r>
      <w:r>
        <w:rPr>
          <w:rFonts w:cs="Times New Roman"/>
          <w:szCs w:val="24"/>
          <w:lang w:val="fr-CA"/>
        </w:rPr>
        <w:t>)</w:t>
      </w:r>
      <w:r w:rsidRPr="001E7CB3">
        <w:rPr>
          <w:rFonts w:cs="Times New Roman"/>
          <w:szCs w:val="24"/>
          <w:lang w:val="fr-CA"/>
        </w:rPr>
        <w:t>.  Pour confisquer un intérêt, il faut que le législateur « exprime très clairement » son intention d</w:t>
      </w:r>
      <w:r>
        <w:rPr>
          <w:rFonts w:cs="Times New Roman"/>
          <w:szCs w:val="24"/>
          <w:lang w:val="fr-CA"/>
        </w:rPr>
        <w:t>’</w:t>
      </w:r>
      <w:r w:rsidRPr="001E7CB3">
        <w:rPr>
          <w:rFonts w:cs="Times New Roman"/>
          <w:szCs w:val="24"/>
          <w:lang w:val="fr-CA"/>
        </w:rPr>
        <w:t>« opérer une expropriation sans indemnité ou une confiscation »</w:t>
      </w:r>
      <w:r>
        <w:rPr>
          <w:rFonts w:cs="Times New Roman"/>
          <w:szCs w:val="24"/>
          <w:lang w:val="fr-CA"/>
        </w:rPr>
        <w:t xml:space="preserve"> (par. </w:t>
      </w:r>
      <w:r w:rsidRPr="001E7CB3">
        <w:rPr>
          <w:rFonts w:cs="Times New Roman"/>
          <w:szCs w:val="24"/>
          <w:lang w:val="fr-CA"/>
        </w:rPr>
        <w:t>26</w:t>
      </w:r>
      <w:r>
        <w:rPr>
          <w:rFonts w:cs="Times New Roman"/>
          <w:szCs w:val="24"/>
          <w:lang w:val="fr-CA"/>
        </w:rPr>
        <w:t>)</w:t>
      </w:r>
      <w:r w:rsidRPr="001E7CB3">
        <w:rPr>
          <w:rFonts w:cs="Times New Roman"/>
          <w:szCs w:val="24"/>
          <w:lang w:val="fr-CA"/>
        </w:rPr>
        <w:t xml:space="preserve">. </w:t>
      </w:r>
      <w:r w:rsidRPr="001E7CB3">
        <w:rPr>
          <w:lang w:val="fr-CA"/>
        </w:rPr>
        <w:t xml:space="preserve"> </w:t>
      </w:r>
    </w:p>
    <w:p w:rsidR="000F48EC" w:rsidRPr="001E7CB3" w:rsidRDefault="000F48EC" w:rsidP="000F48EC">
      <w:pPr>
        <w:pStyle w:val="ParaNoNdepar-AltN"/>
        <w:rPr>
          <w:lang w:val="fr-CA"/>
        </w:rPr>
      </w:pPr>
      <w:r w:rsidRPr="001E7CB3">
        <w:rPr>
          <w:lang w:val="fr-CA"/>
        </w:rPr>
        <w:t>J</w:t>
      </w:r>
      <w:r>
        <w:rPr>
          <w:lang w:val="fr-CA"/>
        </w:rPr>
        <w:t>’</w:t>
      </w:r>
      <w:r w:rsidRPr="001E7CB3">
        <w:rPr>
          <w:lang w:val="fr-CA"/>
        </w:rPr>
        <w:t>ai conclu que les juridictions inférieures n</w:t>
      </w:r>
      <w:r>
        <w:rPr>
          <w:lang w:val="fr-CA"/>
        </w:rPr>
        <w:t>’</w:t>
      </w:r>
      <w:r w:rsidRPr="001E7CB3">
        <w:rPr>
          <w:lang w:val="fr-CA"/>
        </w:rPr>
        <w:t>ont pas commis d</w:t>
      </w:r>
      <w:r>
        <w:rPr>
          <w:lang w:val="fr-CA"/>
        </w:rPr>
        <w:t>’</w:t>
      </w:r>
      <w:r w:rsidRPr="001E7CB3">
        <w:rPr>
          <w:lang w:val="fr-CA"/>
        </w:rPr>
        <w:t>erreur en statuant que les membres des régimes n</w:t>
      </w:r>
      <w:r>
        <w:rPr>
          <w:lang w:val="fr-CA"/>
        </w:rPr>
        <w:t>’</w:t>
      </w:r>
      <w:r w:rsidRPr="001E7CB3">
        <w:rPr>
          <w:lang w:val="fr-CA"/>
        </w:rPr>
        <w:t>avaient pas d</w:t>
      </w:r>
      <w:r>
        <w:rPr>
          <w:lang w:val="fr-CA"/>
        </w:rPr>
        <w:t>’</w:t>
      </w:r>
      <w:r w:rsidRPr="001E7CB3">
        <w:rPr>
          <w:lang w:val="fr-CA"/>
        </w:rPr>
        <w:t xml:space="preserve">intérêt en </w:t>
      </w:r>
      <w:proofErr w:type="spellStart"/>
      <w:r w:rsidRPr="001E7CB3">
        <w:rPr>
          <w:lang w:val="fr-CA"/>
        </w:rPr>
        <w:t>equity</w:t>
      </w:r>
      <w:proofErr w:type="spellEnd"/>
      <w:r w:rsidRPr="001E7CB3">
        <w:rPr>
          <w:lang w:val="fr-CA"/>
        </w:rPr>
        <w:t xml:space="preserve"> </w:t>
      </w:r>
      <w:r>
        <w:rPr>
          <w:lang w:val="fr-CA"/>
        </w:rPr>
        <w:t>dans</w:t>
      </w:r>
      <w:r w:rsidRPr="001E7CB3">
        <w:rPr>
          <w:lang w:val="fr-CA"/>
        </w:rPr>
        <w:t xml:space="preserve"> les surplus des comptes de pension de retraite.  Il s</w:t>
      </w:r>
      <w:r>
        <w:rPr>
          <w:lang w:val="fr-CA"/>
        </w:rPr>
        <w:t>’</w:t>
      </w:r>
      <w:r w:rsidRPr="001E7CB3">
        <w:rPr>
          <w:lang w:val="fr-CA"/>
        </w:rPr>
        <w:t>ensuit que le projet de loi C</w:t>
      </w:r>
      <w:r w:rsidR="00133BB1">
        <w:rPr>
          <w:lang w:val="fr-CA"/>
        </w:rPr>
        <w:t>-</w:t>
      </w:r>
      <w:r w:rsidRPr="001E7CB3">
        <w:rPr>
          <w:lang w:val="fr-CA"/>
        </w:rPr>
        <w:t xml:space="preserve">78 ne peut avoir </w:t>
      </w:r>
      <w:r>
        <w:rPr>
          <w:lang w:val="fr-CA"/>
        </w:rPr>
        <w:t>exproprié les</w:t>
      </w:r>
      <w:r w:rsidRPr="001E7CB3">
        <w:rPr>
          <w:lang w:val="fr-CA"/>
        </w:rPr>
        <w:t xml:space="preserve"> membres</w:t>
      </w:r>
      <w:r>
        <w:rPr>
          <w:lang w:val="fr-CA"/>
        </w:rPr>
        <w:t xml:space="preserve"> d’un bien</w:t>
      </w:r>
      <w:r w:rsidRPr="001E7CB3">
        <w:rPr>
          <w:lang w:val="fr-CA"/>
        </w:rPr>
        <w:t xml:space="preserve">.  Je conclus en outre, comme les juridictions inférieures, que les </w:t>
      </w:r>
      <w:r>
        <w:rPr>
          <w:lang w:val="fr-CA"/>
        </w:rPr>
        <w:t>par. </w:t>
      </w:r>
      <w:r w:rsidRPr="001E7CB3">
        <w:rPr>
          <w:rFonts w:cstheme="minorHAnsi"/>
          <w:szCs w:val="24"/>
          <w:lang w:val="fr-CA"/>
        </w:rPr>
        <w:t>44(9) à</w:t>
      </w:r>
      <w:r>
        <w:rPr>
          <w:rFonts w:cstheme="minorHAnsi"/>
          <w:szCs w:val="24"/>
          <w:lang w:val="fr-CA"/>
        </w:rPr>
        <w:t xml:space="preserve"> </w:t>
      </w:r>
      <w:r w:rsidRPr="001E7CB3">
        <w:rPr>
          <w:rFonts w:cstheme="minorHAnsi"/>
          <w:szCs w:val="24"/>
          <w:lang w:val="fr-CA"/>
        </w:rPr>
        <w:t xml:space="preserve">(13) de la </w:t>
      </w:r>
      <w:r w:rsidRPr="00133BB1">
        <w:rPr>
          <w:rFonts w:cstheme="minorHAnsi"/>
          <w:i/>
          <w:szCs w:val="24"/>
          <w:lang w:val="fr-CA"/>
        </w:rPr>
        <w:t>LPFP</w:t>
      </w:r>
      <w:r w:rsidRPr="001E7CB3">
        <w:rPr>
          <w:rFonts w:cstheme="minorHAnsi"/>
          <w:szCs w:val="24"/>
          <w:lang w:val="fr-CA"/>
        </w:rPr>
        <w:t xml:space="preserve"> établissent </w:t>
      </w:r>
      <w:r>
        <w:rPr>
          <w:rFonts w:cstheme="minorHAnsi"/>
          <w:szCs w:val="24"/>
          <w:lang w:val="fr-CA"/>
        </w:rPr>
        <w:t xml:space="preserve">de façon non </w:t>
      </w:r>
      <w:r>
        <w:rPr>
          <w:rFonts w:cstheme="minorHAnsi"/>
          <w:szCs w:val="24"/>
          <w:lang w:val="fr-CA"/>
        </w:rPr>
        <w:lastRenderedPageBreak/>
        <w:t>équivoque</w:t>
      </w:r>
      <w:r w:rsidRPr="001E7CB3">
        <w:rPr>
          <w:rFonts w:cstheme="minorHAnsi"/>
          <w:szCs w:val="24"/>
          <w:lang w:val="fr-CA"/>
        </w:rPr>
        <w:t xml:space="preserve"> que le ministre </w:t>
      </w:r>
      <w:r w:rsidRPr="00E110ED">
        <w:rPr>
          <w:rFonts w:cstheme="minorHAnsi"/>
          <w:i/>
          <w:szCs w:val="24"/>
          <w:lang w:val="fr-CA"/>
        </w:rPr>
        <w:t>peut</w:t>
      </w:r>
      <w:r w:rsidRPr="001E7CB3">
        <w:rPr>
          <w:rFonts w:cstheme="minorHAnsi"/>
          <w:szCs w:val="24"/>
          <w:lang w:val="fr-CA"/>
        </w:rPr>
        <w:t xml:space="preserve"> porter un surplus actuariel au débit des comptes et qu</w:t>
      </w:r>
      <w:r>
        <w:rPr>
          <w:rFonts w:cstheme="minorHAnsi"/>
          <w:szCs w:val="24"/>
          <w:lang w:val="fr-CA"/>
        </w:rPr>
        <w:t>’</w:t>
      </w:r>
      <w:r w:rsidRPr="001E7CB3">
        <w:rPr>
          <w:rFonts w:cstheme="minorHAnsi"/>
          <w:szCs w:val="24"/>
          <w:lang w:val="fr-CA"/>
        </w:rPr>
        <w:t xml:space="preserve">il </w:t>
      </w:r>
      <w:r w:rsidRPr="00E110ED">
        <w:rPr>
          <w:rFonts w:cstheme="minorHAnsi"/>
          <w:i/>
          <w:szCs w:val="24"/>
          <w:lang w:val="fr-CA"/>
        </w:rPr>
        <w:t>doit</w:t>
      </w:r>
      <w:r w:rsidRPr="001E7CB3">
        <w:rPr>
          <w:rFonts w:cstheme="minorHAnsi"/>
          <w:szCs w:val="24"/>
          <w:lang w:val="fr-CA"/>
        </w:rPr>
        <w:t xml:space="preserve"> porter au débit </w:t>
      </w:r>
      <w:r>
        <w:rPr>
          <w:rFonts w:cstheme="minorHAnsi"/>
          <w:szCs w:val="24"/>
          <w:lang w:val="fr-CA"/>
        </w:rPr>
        <w:t>tout montant dépassant 110 p</w:t>
      </w:r>
      <w:r w:rsidR="0037056F">
        <w:rPr>
          <w:rFonts w:cstheme="minorHAnsi"/>
          <w:szCs w:val="24"/>
          <w:lang w:val="fr-CA"/>
        </w:rPr>
        <w:t>our</w:t>
      </w:r>
      <w:r>
        <w:rPr>
          <w:rFonts w:cstheme="minorHAnsi"/>
          <w:szCs w:val="24"/>
          <w:lang w:val="fr-CA"/>
        </w:rPr>
        <w:t> 100</w:t>
      </w:r>
      <w:r w:rsidRPr="001E7CB3">
        <w:rPr>
          <w:rFonts w:cstheme="minorHAnsi"/>
          <w:szCs w:val="24"/>
          <w:lang w:val="fr-CA"/>
        </w:rPr>
        <w:t xml:space="preserve"> du passif estim</w:t>
      </w:r>
      <w:r>
        <w:rPr>
          <w:rFonts w:cstheme="minorHAnsi"/>
          <w:szCs w:val="24"/>
          <w:lang w:val="fr-CA"/>
        </w:rPr>
        <w:t>atif</w:t>
      </w:r>
      <w:r w:rsidRPr="001E7CB3">
        <w:rPr>
          <w:rFonts w:cstheme="minorHAnsi"/>
          <w:szCs w:val="24"/>
          <w:lang w:val="fr-CA"/>
        </w:rPr>
        <w:t xml:space="preserve"> au titre des pensions.</w:t>
      </w:r>
    </w:p>
    <w:p w:rsidR="000F48EC" w:rsidRPr="001E7CB3" w:rsidRDefault="000F48EC" w:rsidP="000F48EC">
      <w:pPr>
        <w:pStyle w:val="ParaNoNdepar-AltN"/>
        <w:rPr>
          <w:lang w:val="fr-CA"/>
        </w:rPr>
      </w:pPr>
      <w:r w:rsidRPr="001E7CB3">
        <w:rPr>
          <w:rFonts w:cs="Times New Roman"/>
          <w:szCs w:val="24"/>
          <w:lang w:val="fr-CA"/>
        </w:rPr>
        <w:t>En outre, il est « très clair » que le législateur ne prévoyait pas que ces débits, qu</w:t>
      </w:r>
      <w:r>
        <w:rPr>
          <w:rFonts w:cs="Times New Roman"/>
          <w:szCs w:val="24"/>
          <w:lang w:val="fr-CA"/>
        </w:rPr>
        <w:t>’</w:t>
      </w:r>
      <w:r w:rsidRPr="001E7CB3">
        <w:rPr>
          <w:rFonts w:cs="Times New Roman"/>
          <w:szCs w:val="24"/>
          <w:lang w:val="fr-CA"/>
        </w:rPr>
        <w:t>ils constituent ou non une expropriation</w:t>
      </w:r>
      <w:r>
        <w:rPr>
          <w:rFonts w:cs="Times New Roman"/>
          <w:szCs w:val="24"/>
          <w:lang w:val="fr-CA"/>
        </w:rPr>
        <w:t>,</w:t>
      </w:r>
      <w:r w:rsidRPr="001E7CB3">
        <w:rPr>
          <w:rFonts w:cs="Times New Roman"/>
          <w:szCs w:val="24"/>
          <w:lang w:val="fr-CA"/>
        </w:rPr>
        <w:t xml:space="preserve"> donnent lieu au versement d</w:t>
      </w:r>
      <w:r>
        <w:rPr>
          <w:rFonts w:cs="Times New Roman"/>
          <w:szCs w:val="24"/>
          <w:lang w:val="fr-CA"/>
        </w:rPr>
        <w:t>’</w:t>
      </w:r>
      <w:r w:rsidRPr="001E7CB3">
        <w:rPr>
          <w:rFonts w:cs="Times New Roman"/>
          <w:szCs w:val="24"/>
          <w:lang w:val="fr-CA"/>
        </w:rPr>
        <w:t>une indemnité aux membres des régimes.  Il serait absurde de considérer que le projet</w:t>
      </w:r>
      <w:r>
        <w:rPr>
          <w:rFonts w:cs="Times New Roman"/>
          <w:szCs w:val="24"/>
          <w:lang w:val="fr-CA"/>
        </w:rPr>
        <w:t xml:space="preserve"> de loi </w:t>
      </w:r>
      <w:r w:rsidRPr="001E7CB3">
        <w:rPr>
          <w:rFonts w:cs="Times New Roman"/>
          <w:szCs w:val="24"/>
          <w:lang w:val="fr-CA"/>
        </w:rPr>
        <w:t>C</w:t>
      </w:r>
      <w:r w:rsidR="005068C9">
        <w:rPr>
          <w:rFonts w:cs="Times New Roman"/>
          <w:szCs w:val="24"/>
          <w:lang w:val="fr-CA"/>
        </w:rPr>
        <w:t>-</w:t>
      </w:r>
      <w:r w:rsidRPr="001E7CB3">
        <w:rPr>
          <w:rFonts w:cs="Times New Roman"/>
          <w:szCs w:val="24"/>
          <w:lang w:val="fr-CA"/>
        </w:rPr>
        <w:t xml:space="preserve">78 exige que </w:t>
      </w:r>
      <w:r>
        <w:rPr>
          <w:rFonts w:cs="Times New Roman"/>
          <w:szCs w:val="24"/>
          <w:lang w:val="fr-CA"/>
        </w:rPr>
        <w:t xml:space="preserve">le gouvernement </w:t>
      </w:r>
      <w:r w:rsidRPr="001E7CB3">
        <w:rPr>
          <w:rFonts w:cs="Times New Roman"/>
          <w:szCs w:val="24"/>
          <w:lang w:val="fr-CA"/>
        </w:rPr>
        <w:t xml:space="preserve">porte les sommes </w:t>
      </w:r>
      <w:r>
        <w:rPr>
          <w:rFonts w:cs="Times New Roman"/>
          <w:szCs w:val="24"/>
          <w:lang w:val="fr-CA"/>
        </w:rPr>
        <w:t>excédent</w:t>
      </w:r>
      <w:r w:rsidRPr="001E7CB3">
        <w:rPr>
          <w:rFonts w:cs="Times New Roman"/>
          <w:szCs w:val="24"/>
          <w:lang w:val="fr-CA"/>
        </w:rPr>
        <w:t xml:space="preserve">aires au débit des comptes et </w:t>
      </w:r>
      <w:r>
        <w:rPr>
          <w:rFonts w:cs="Times New Roman"/>
          <w:szCs w:val="24"/>
          <w:lang w:val="fr-CA"/>
        </w:rPr>
        <w:t xml:space="preserve">lui impose </w:t>
      </w:r>
      <w:r w:rsidRPr="001E7CB3">
        <w:rPr>
          <w:rFonts w:cs="Times New Roman"/>
          <w:szCs w:val="24"/>
          <w:lang w:val="fr-CA"/>
        </w:rPr>
        <w:t>ensuite</w:t>
      </w:r>
      <w:r>
        <w:rPr>
          <w:rFonts w:cs="Times New Roman"/>
          <w:szCs w:val="24"/>
          <w:lang w:val="fr-CA"/>
        </w:rPr>
        <w:t xml:space="preserve"> de verser</w:t>
      </w:r>
      <w:r w:rsidRPr="001E7CB3">
        <w:rPr>
          <w:rFonts w:cs="Times New Roman"/>
          <w:szCs w:val="24"/>
          <w:lang w:val="fr-CA"/>
        </w:rPr>
        <w:t xml:space="preserve"> une indemnité aux membres des régimes pour les montants ainsi débités.  Une telle interprétation convertirait les dispositions </w:t>
      </w:r>
      <w:r>
        <w:rPr>
          <w:rFonts w:cs="Times New Roman"/>
          <w:szCs w:val="24"/>
          <w:lang w:val="fr-CA"/>
        </w:rPr>
        <w:t xml:space="preserve">pertinentes </w:t>
      </w:r>
      <w:r w:rsidRPr="001E7CB3">
        <w:rPr>
          <w:rFonts w:cs="Times New Roman"/>
          <w:szCs w:val="24"/>
          <w:lang w:val="fr-CA"/>
        </w:rPr>
        <w:t>du projet de loi C</w:t>
      </w:r>
      <w:r>
        <w:rPr>
          <w:rFonts w:cs="Times New Roman"/>
          <w:szCs w:val="24"/>
          <w:lang w:val="fr-CA"/>
        </w:rPr>
        <w:noBreakHyphen/>
      </w:r>
      <w:r w:rsidRPr="001E7CB3">
        <w:rPr>
          <w:rFonts w:cs="Times New Roman"/>
          <w:szCs w:val="24"/>
          <w:lang w:val="fr-CA"/>
        </w:rPr>
        <w:t>78 en un mécanisme de distribution — pourvoyant à la réduction des surplus et à une forme d</w:t>
      </w:r>
      <w:r>
        <w:rPr>
          <w:rFonts w:cs="Times New Roman"/>
          <w:szCs w:val="24"/>
          <w:lang w:val="fr-CA"/>
        </w:rPr>
        <w:t>’</w:t>
      </w:r>
      <w:r w:rsidRPr="001E7CB3">
        <w:rPr>
          <w:rFonts w:cs="Times New Roman"/>
          <w:szCs w:val="24"/>
          <w:lang w:val="fr-CA"/>
        </w:rPr>
        <w:t xml:space="preserve">indemnisation des membres des régimes pour remplacer les surplus — </w:t>
      </w:r>
      <w:r>
        <w:rPr>
          <w:rFonts w:cs="Times New Roman"/>
          <w:szCs w:val="24"/>
          <w:lang w:val="fr-CA"/>
        </w:rPr>
        <w:t>alors que cela n’était</w:t>
      </w:r>
      <w:r w:rsidRPr="001E7CB3">
        <w:rPr>
          <w:rFonts w:cs="Times New Roman"/>
          <w:szCs w:val="24"/>
          <w:lang w:val="fr-CA"/>
        </w:rPr>
        <w:t xml:space="preserve"> clairement pas l</w:t>
      </w:r>
      <w:r>
        <w:rPr>
          <w:rFonts w:cs="Times New Roman"/>
          <w:szCs w:val="24"/>
          <w:lang w:val="fr-CA"/>
        </w:rPr>
        <w:t>’</w:t>
      </w:r>
      <w:r w:rsidRPr="001E7CB3">
        <w:rPr>
          <w:rFonts w:cs="Times New Roman"/>
          <w:szCs w:val="24"/>
          <w:lang w:val="fr-CA"/>
        </w:rPr>
        <w:t xml:space="preserve">intention du législateur. </w:t>
      </w:r>
      <w:r>
        <w:rPr>
          <w:rFonts w:cs="Times New Roman"/>
          <w:szCs w:val="24"/>
          <w:lang w:val="fr-CA"/>
        </w:rPr>
        <w:t xml:space="preserve"> </w:t>
      </w:r>
      <w:r w:rsidRPr="001E7CB3">
        <w:rPr>
          <w:rFonts w:cs="Times New Roman"/>
          <w:szCs w:val="24"/>
          <w:lang w:val="fr-CA"/>
        </w:rPr>
        <w:t xml:space="preserve">Si les </w:t>
      </w:r>
      <w:r>
        <w:rPr>
          <w:rFonts w:cs="Times New Roman"/>
          <w:szCs w:val="24"/>
          <w:lang w:val="fr-CA"/>
        </w:rPr>
        <w:t>par. </w:t>
      </w:r>
      <w:r w:rsidRPr="001E7CB3">
        <w:rPr>
          <w:rFonts w:cs="Times New Roman"/>
          <w:szCs w:val="24"/>
          <w:lang w:val="fr-CA"/>
        </w:rPr>
        <w:t xml:space="preserve">44(9) à (13) ont une portée </w:t>
      </w:r>
      <w:r>
        <w:rPr>
          <w:rFonts w:cs="Times New Roman"/>
          <w:szCs w:val="24"/>
          <w:lang w:val="fr-CA"/>
        </w:rPr>
        <w:t>spol</w:t>
      </w:r>
      <w:r w:rsidRPr="001E7CB3">
        <w:rPr>
          <w:rFonts w:cs="Times New Roman"/>
          <w:szCs w:val="24"/>
          <w:lang w:val="fr-CA"/>
        </w:rPr>
        <w:t>iatrice, alors il y avait intention d</w:t>
      </w:r>
      <w:r>
        <w:rPr>
          <w:rFonts w:cs="Times New Roman"/>
          <w:szCs w:val="24"/>
          <w:lang w:val="fr-CA"/>
        </w:rPr>
        <w:t>e confisquer</w:t>
      </w:r>
      <w:r w:rsidRPr="001E7CB3">
        <w:rPr>
          <w:rFonts w:cs="Times New Roman"/>
          <w:szCs w:val="24"/>
          <w:lang w:val="fr-CA"/>
        </w:rPr>
        <w:t xml:space="preserve"> sans indemnité.</w:t>
      </w:r>
    </w:p>
    <w:p w:rsidR="000F48EC" w:rsidRPr="001E7CB3" w:rsidRDefault="000F48EC" w:rsidP="000F48EC">
      <w:pPr>
        <w:pStyle w:val="ParaNoNdepar-AltN"/>
        <w:rPr>
          <w:rFonts w:cs="Times New Roman"/>
          <w:szCs w:val="24"/>
          <w:lang w:val="fr-CA"/>
        </w:rPr>
      </w:pPr>
      <w:r w:rsidRPr="001E7CB3">
        <w:rPr>
          <w:rFonts w:cs="Times New Roman"/>
          <w:szCs w:val="24"/>
          <w:lang w:val="fr-CA"/>
        </w:rPr>
        <w:t>Les modifications corr</w:t>
      </w:r>
      <w:r>
        <w:rPr>
          <w:rFonts w:cs="Times New Roman"/>
          <w:szCs w:val="24"/>
          <w:lang w:val="fr-CA"/>
        </w:rPr>
        <w:t>espondantes</w:t>
      </w:r>
      <w:r w:rsidRPr="001E7CB3">
        <w:rPr>
          <w:rFonts w:cs="Times New Roman"/>
          <w:szCs w:val="24"/>
          <w:lang w:val="fr-CA"/>
        </w:rPr>
        <w:t xml:space="preserve"> apportées à la</w:t>
      </w:r>
      <w:r>
        <w:rPr>
          <w:rFonts w:cs="Times New Roman"/>
          <w:szCs w:val="24"/>
          <w:lang w:val="fr-CA"/>
        </w:rPr>
        <w:t xml:space="preserve"> </w:t>
      </w:r>
      <w:r w:rsidRPr="005068C9">
        <w:rPr>
          <w:rFonts w:cs="Times New Roman"/>
          <w:i/>
          <w:szCs w:val="24"/>
          <w:lang w:val="fr-CA"/>
        </w:rPr>
        <w:t>LPRFC</w:t>
      </w:r>
      <w:r w:rsidRPr="001E7CB3">
        <w:rPr>
          <w:rFonts w:cs="Times New Roman"/>
          <w:szCs w:val="24"/>
          <w:lang w:val="fr-CA"/>
        </w:rPr>
        <w:t xml:space="preserve"> </w:t>
      </w:r>
      <w:r>
        <w:rPr>
          <w:rFonts w:cs="Times New Roman"/>
          <w:szCs w:val="24"/>
          <w:lang w:val="fr-CA"/>
        </w:rPr>
        <w:t>(</w:t>
      </w:r>
      <w:r>
        <w:rPr>
          <w:lang w:val="fr-CA"/>
        </w:rPr>
        <w:t>par. </w:t>
      </w:r>
      <w:r w:rsidRPr="001E7CB3">
        <w:rPr>
          <w:lang w:val="fr-CA"/>
        </w:rPr>
        <w:t>55(9)</w:t>
      </w:r>
      <w:r>
        <w:rPr>
          <w:lang w:val="fr-CA"/>
        </w:rPr>
        <w:t xml:space="preserve"> à </w:t>
      </w:r>
      <w:r w:rsidRPr="001E7CB3">
        <w:rPr>
          <w:lang w:val="fr-CA"/>
        </w:rPr>
        <w:t>(13)</w:t>
      </w:r>
      <w:r>
        <w:rPr>
          <w:lang w:val="fr-CA"/>
        </w:rPr>
        <w:t>)</w:t>
      </w:r>
      <w:r w:rsidRPr="001E7CB3">
        <w:rPr>
          <w:rFonts w:cs="Times New Roman"/>
          <w:szCs w:val="24"/>
          <w:lang w:val="fr-CA"/>
        </w:rPr>
        <w:t xml:space="preserve"> et à la </w:t>
      </w:r>
      <w:r w:rsidRPr="005068C9">
        <w:rPr>
          <w:rFonts w:cs="Times New Roman"/>
          <w:i/>
          <w:szCs w:val="24"/>
          <w:lang w:val="fr-CA"/>
        </w:rPr>
        <w:t>LPRGRC</w:t>
      </w:r>
      <w:r w:rsidRPr="001E7CB3">
        <w:rPr>
          <w:rFonts w:cs="Times New Roman"/>
          <w:szCs w:val="24"/>
          <w:lang w:val="fr-CA"/>
        </w:rPr>
        <w:t xml:space="preserve"> </w:t>
      </w:r>
      <w:r>
        <w:rPr>
          <w:rFonts w:cs="Times New Roman"/>
          <w:szCs w:val="24"/>
          <w:lang w:val="fr-CA"/>
        </w:rPr>
        <w:t>(par. </w:t>
      </w:r>
      <w:r w:rsidRPr="001E7CB3">
        <w:rPr>
          <w:lang w:val="fr-CA"/>
        </w:rPr>
        <w:t>29(9)</w:t>
      </w:r>
      <w:r>
        <w:rPr>
          <w:lang w:val="fr-CA"/>
        </w:rPr>
        <w:t xml:space="preserve"> à </w:t>
      </w:r>
      <w:r w:rsidRPr="001E7CB3">
        <w:rPr>
          <w:lang w:val="fr-CA"/>
        </w:rPr>
        <w:t>(13)</w:t>
      </w:r>
      <w:r>
        <w:rPr>
          <w:lang w:val="fr-CA"/>
        </w:rPr>
        <w:t>)</w:t>
      </w:r>
      <w:r w:rsidRPr="001E7CB3">
        <w:rPr>
          <w:rFonts w:cs="Times New Roman"/>
          <w:szCs w:val="24"/>
          <w:lang w:val="fr-CA"/>
        </w:rPr>
        <w:t xml:space="preserve"> vont dans le même sens et sont tout aussi claires.</w:t>
      </w:r>
    </w:p>
    <w:p w:rsidR="000F48EC" w:rsidRPr="001E7CB3" w:rsidRDefault="000F48EC" w:rsidP="005068C9">
      <w:pPr>
        <w:pStyle w:val="TitleTitre-AltT"/>
        <w:keepNext/>
        <w:numPr>
          <w:ilvl w:val="0"/>
          <w:numId w:val="2"/>
        </w:numPr>
        <w:tabs>
          <w:tab w:val="clear" w:pos="360"/>
        </w:tabs>
        <w:ind w:left="540" w:hanging="540"/>
        <w:rPr>
          <w:szCs w:val="24"/>
          <w:u w:val="single"/>
          <w:lang w:val="fr-CA"/>
        </w:rPr>
      </w:pPr>
      <w:r w:rsidRPr="001E7CB3">
        <w:rPr>
          <w:rFonts w:cstheme="minorHAnsi"/>
          <w:szCs w:val="24"/>
          <w:u w:val="single"/>
          <w:lang w:val="fr-CA"/>
        </w:rPr>
        <w:t>Conclusion</w:t>
      </w:r>
      <w:r w:rsidR="005068C9">
        <w:rPr>
          <w:rFonts w:cstheme="minorHAnsi"/>
          <w:szCs w:val="24"/>
          <w:u w:val="single"/>
          <w:lang w:val="fr-CA"/>
        </w:rPr>
        <w:t xml:space="preserve"> </w:t>
      </w:r>
    </w:p>
    <w:p w:rsidR="000F48EC" w:rsidRPr="001E7CB3" w:rsidRDefault="000F48EC" w:rsidP="000F48EC">
      <w:pPr>
        <w:pStyle w:val="ParaNoNdepar-AltN"/>
        <w:rPr>
          <w:szCs w:val="24"/>
          <w:lang w:val="fr-CA"/>
        </w:rPr>
      </w:pPr>
      <w:r w:rsidRPr="001E7CB3">
        <w:rPr>
          <w:szCs w:val="24"/>
          <w:lang w:val="fr-CA"/>
        </w:rPr>
        <w:t xml:space="preserve">Les comptes de pension de retraite </w:t>
      </w:r>
      <w:r>
        <w:rPr>
          <w:szCs w:val="24"/>
          <w:lang w:val="fr-CA"/>
        </w:rPr>
        <w:t>sont</w:t>
      </w:r>
      <w:r w:rsidRPr="001E7CB3">
        <w:rPr>
          <w:szCs w:val="24"/>
          <w:lang w:val="fr-CA"/>
        </w:rPr>
        <w:t xml:space="preserve"> des livres comptables prescrits par la loi, et ils ne </w:t>
      </w:r>
      <w:r>
        <w:rPr>
          <w:szCs w:val="24"/>
          <w:lang w:val="fr-CA"/>
        </w:rPr>
        <w:t>contienn</w:t>
      </w:r>
      <w:r w:rsidRPr="001E7CB3">
        <w:rPr>
          <w:szCs w:val="24"/>
          <w:lang w:val="fr-CA"/>
        </w:rPr>
        <w:t xml:space="preserve">ent pas </w:t>
      </w:r>
      <w:r w:rsidRPr="00BB0F5B">
        <w:rPr>
          <w:lang w:val="fr-CA"/>
        </w:rPr>
        <w:t>d’</w:t>
      </w:r>
      <w:r>
        <w:rPr>
          <w:lang w:val="fr-CA"/>
        </w:rPr>
        <w:t>éléments d’actif</w:t>
      </w:r>
      <w:r w:rsidRPr="001E7CB3">
        <w:rPr>
          <w:szCs w:val="24"/>
          <w:lang w:val="fr-CA"/>
        </w:rPr>
        <w:t xml:space="preserve"> </w:t>
      </w:r>
      <w:r>
        <w:rPr>
          <w:szCs w:val="24"/>
          <w:lang w:val="fr-CA"/>
        </w:rPr>
        <w:t>dans lesquels les</w:t>
      </w:r>
      <w:r w:rsidRPr="001E7CB3">
        <w:rPr>
          <w:szCs w:val="24"/>
          <w:lang w:val="fr-CA"/>
        </w:rPr>
        <w:t xml:space="preserve"> appelants </w:t>
      </w:r>
      <w:r>
        <w:rPr>
          <w:szCs w:val="24"/>
          <w:lang w:val="fr-CA"/>
        </w:rPr>
        <w:lastRenderedPageBreak/>
        <w:t>poss</w:t>
      </w:r>
      <w:r w:rsidR="00316630">
        <w:rPr>
          <w:szCs w:val="24"/>
          <w:lang w:val="fr-CA"/>
        </w:rPr>
        <w:t>é</w:t>
      </w:r>
      <w:r>
        <w:rPr>
          <w:szCs w:val="24"/>
          <w:lang w:val="fr-CA"/>
        </w:rPr>
        <w:t xml:space="preserve">deraient un intérêt en </w:t>
      </w:r>
      <w:proofErr w:type="spellStart"/>
      <w:r>
        <w:rPr>
          <w:szCs w:val="24"/>
          <w:lang w:val="fr-CA"/>
        </w:rPr>
        <w:t>common</w:t>
      </w:r>
      <w:proofErr w:type="spellEnd"/>
      <w:r>
        <w:rPr>
          <w:szCs w:val="24"/>
          <w:lang w:val="fr-CA"/>
        </w:rPr>
        <w:t xml:space="preserve"> </w:t>
      </w:r>
      <w:proofErr w:type="spellStart"/>
      <w:r>
        <w:rPr>
          <w:szCs w:val="24"/>
          <w:lang w:val="fr-CA"/>
        </w:rPr>
        <w:t>law</w:t>
      </w:r>
      <w:proofErr w:type="spellEnd"/>
      <w:r>
        <w:rPr>
          <w:szCs w:val="24"/>
          <w:lang w:val="fr-CA"/>
        </w:rPr>
        <w:t xml:space="preserve"> ou en </w:t>
      </w:r>
      <w:proofErr w:type="spellStart"/>
      <w:r w:rsidRPr="001E7CB3">
        <w:rPr>
          <w:szCs w:val="24"/>
          <w:lang w:val="fr-CA"/>
        </w:rPr>
        <w:t>equity</w:t>
      </w:r>
      <w:proofErr w:type="spellEnd"/>
      <w:r w:rsidRPr="001E7CB3">
        <w:rPr>
          <w:szCs w:val="24"/>
          <w:lang w:val="fr-CA"/>
        </w:rPr>
        <w:t>.  L</w:t>
      </w:r>
      <w:r>
        <w:rPr>
          <w:szCs w:val="24"/>
          <w:lang w:val="fr-CA"/>
        </w:rPr>
        <w:t>’</w:t>
      </w:r>
      <w:r w:rsidRPr="001E7CB3">
        <w:rPr>
          <w:szCs w:val="24"/>
          <w:lang w:val="fr-CA"/>
        </w:rPr>
        <w:t>intérêt des membres des régimes n</w:t>
      </w:r>
      <w:r>
        <w:rPr>
          <w:szCs w:val="24"/>
          <w:lang w:val="fr-CA"/>
        </w:rPr>
        <w:t>’</w:t>
      </w:r>
      <w:r w:rsidRPr="001E7CB3">
        <w:rPr>
          <w:szCs w:val="24"/>
          <w:lang w:val="fr-CA"/>
        </w:rPr>
        <w:t xml:space="preserve">allait pas </w:t>
      </w:r>
      <w:proofErr w:type="spellStart"/>
      <w:r w:rsidRPr="001E7CB3">
        <w:rPr>
          <w:szCs w:val="24"/>
          <w:lang w:val="fr-CA"/>
        </w:rPr>
        <w:t>au</w:t>
      </w:r>
      <w:r>
        <w:rPr>
          <w:szCs w:val="24"/>
          <w:lang w:val="fr-CA"/>
        </w:rPr>
        <w:noBreakHyphen/>
      </w:r>
      <w:r w:rsidRPr="001E7CB3">
        <w:rPr>
          <w:szCs w:val="24"/>
          <w:lang w:val="fr-CA"/>
        </w:rPr>
        <w:t>delà</w:t>
      </w:r>
      <w:proofErr w:type="spellEnd"/>
      <w:r w:rsidRPr="001E7CB3">
        <w:rPr>
          <w:szCs w:val="24"/>
          <w:lang w:val="fr-CA"/>
        </w:rPr>
        <w:t xml:space="preserve"> d</w:t>
      </w:r>
      <w:r>
        <w:rPr>
          <w:szCs w:val="24"/>
          <w:lang w:val="fr-CA"/>
        </w:rPr>
        <w:t>e le</w:t>
      </w:r>
      <w:r w:rsidRPr="001E7CB3">
        <w:rPr>
          <w:szCs w:val="24"/>
          <w:lang w:val="fr-CA"/>
        </w:rPr>
        <w:t>u</w:t>
      </w:r>
      <w:r>
        <w:rPr>
          <w:szCs w:val="24"/>
          <w:lang w:val="fr-CA"/>
        </w:rPr>
        <w:t>r</w:t>
      </w:r>
      <w:r w:rsidRPr="001E7CB3">
        <w:rPr>
          <w:szCs w:val="24"/>
          <w:lang w:val="fr-CA"/>
        </w:rPr>
        <w:t xml:space="preserve"> droit aux prestations déterminées prévues par les régimes.  Le gouvernement n</w:t>
      </w:r>
      <w:r>
        <w:rPr>
          <w:szCs w:val="24"/>
          <w:lang w:val="fr-CA"/>
        </w:rPr>
        <w:t>’av</w:t>
      </w:r>
      <w:r w:rsidRPr="001E7CB3">
        <w:rPr>
          <w:szCs w:val="24"/>
          <w:lang w:val="fr-CA"/>
        </w:rPr>
        <w:t>ait aucune obligation fiducia</w:t>
      </w:r>
      <w:r>
        <w:rPr>
          <w:szCs w:val="24"/>
          <w:lang w:val="fr-CA"/>
        </w:rPr>
        <w:t>ir</w:t>
      </w:r>
      <w:r w:rsidRPr="001E7CB3">
        <w:rPr>
          <w:szCs w:val="24"/>
          <w:lang w:val="fr-CA"/>
        </w:rPr>
        <w:t xml:space="preserve">e </w:t>
      </w:r>
      <w:r>
        <w:rPr>
          <w:szCs w:val="24"/>
          <w:lang w:val="fr-CA"/>
        </w:rPr>
        <w:t>envers les</w:t>
      </w:r>
      <w:r w:rsidRPr="001E7CB3">
        <w:rPr>
          <w:szCs w:val="24"/>
          <w:lang w:val="fr-CA"/>
        </w:rPr>
        <w:t xml:space="preserve"> membres des régimes, et il ne s</w:t>
      </w:r>
      <w:r>
        <w:rPr>
          <w:szCs w:val="24"/>
          <w:lang w:val="fr-CA"/>
        </w:rPr>
        <w:t>’</w:t>
      </w:r>
      <w:r w:rsidRPr="001E7CB3">
        <w:rPr>
          <w:szCs w:val="24"/>
          <w:lang w:val="fr-CA"/>
        </w:rPr>
        <w:t>est pas non plus enrichi de façon injustifiée en amortissant et retirant les surplus.  Enfin, les membres des régimes ne possédaient pas</w:t>
      </w:r>
      <w:r>
        <w:rPr>
          <w:szCs w:val="24"/>
          <w:lang w:val="fr-CA"/>
        </w:rPr>
        <w:t>,</w:t>
      </w:r>
      <w:r w:rsidRPr="00F5393E">
        <w:rPr>
          <w:szCs w:val="24"/>
          <w:lang w:val="fr-CA"/>
        </w:rPr>
        <w:t xml:space="preserve"> </w:t>
      </w:r>
      <w:r>
        <w:rPr>
          <w:szCs w:val="24"/>
          <w:lang w:val="fr-CA"/>
        </w:rPr>
        <w:t xml:space="preserve">dans </w:t>
      </w:r>
      <w:r w:rsidRPr="001E7CB3">
        <w:rPr>
          <w:szCs w:val="24"/>
          <w:lang w:val="fr-CA"/>
        </w:rPr>
        <w:t>les surplus qu</w:t>
      </w:r>
      <w:r>
        <w:rPr>
          <w:szCs w:val="24"/>
          <w:lang w:val="fr-CA"/>
        </w:rPr>
        <w:t>’</w:t>
      </w:r>
      <w:r w:rsidRPr="001E7CB3">
        <w:rPr>
          <w:szCs w:val="24"/>
          <w:lang w:val="fr-CA"/>
        </w:rPr>
        <w:t xml:space="preserve">affichaient les comptes de pension de retraite, </w:t>
      </w:r>
      <w:r>
        <w:rPr>
          <w:szCs w:val="24"/>
          <w:lang w:val="fr-CA"/>
        </w:rPr>
        <w:t xml:space="preserve">d’intérêt en </w:t>
      </w:r>
      <w:proofErr w:type="spellStart"/>
      <w:r>
        <w:rPr>
          <w:szCs w:val="24"/>
          <w:lang w:val="fr-CA"/>
        </w:rPr>
        <w:t>common</w:t>
      </w:r>
      <w:proofErr w:type="spellEnd"/>
      <w:r>
        <w:rPr>
          <w:szCs w:val="24"/>
          <w:lang w:val="fr-CA"/>
        </w:rPr>
        <w:t xml:space="preserve"> </w:t>
      </w:r>
      <w:proofErr w:type="spellStart"/>
      <w:r>
        <w:rPr>
          <w:szCs w:val="24"/>
          <w:lang w:val="fr-CA"/>
        </w:rPr>
        <w:t>law</w:t>
      </w:r>
      <w:proofErr w:type="spellEnd"/>
      <w:r>
        <w:rPr>
          <w:szCs w:val="24"/>
          <w:lang w:val="fr-CA"/>
        </w:rPr>
        <w:t xml:space="preserve"> ou en </w:t>
      </w:r>
      <w:proofErr w:type="spellStart"/>
      <w:r>
        <w:rPr>
          <w:szCs w:val="24"/>
          <w:lang w:val="fr-CA"/>
        </w:rPr>
        <w:t>equity</w:t>
      </w:r>
      <w:proofErr w:type="spellEnd"/>
      <w:r w:rsidRPr="001E7CB3">
        <w:rPr>
          <w:szCs w:val="24"/>
          <w:lang w:val="fr-CA"/>
        </w:rPr>
        <w:t xml:space="preserve"> pouvant être exproprié par le projet de loi C</w:t>
      </w:r>
      <w:r>
        <w:rPr>
          <w:szCs w:val="24"/>
          <w:lang w:val="fr-CA"/>
        </w:rPr>
        <w:noBreakHyphen/>
      </w:r>
      <w:r w:rsidRPr="001E7CB3">
        <w:rPr>
          <w:szCs w:val="24"/>
          <w:lang w:val="fr-CA"/>
        </w:rPr>
        <w:t>78.</w:t>
      </w:r>
    </w:p>
    <w:p w:rsidR="000F48EC" w:rsidRPr="00B529B3" w:rsidRDefault="000F48EC" w:rsidP="000F48EC">
      <w:pPr>
        <w:pStyle w:val="ParaNoNdepar-AltN"/>
        <w:rPr>
          <w:szCs w:val="24"/>
          <w:lang w:val="fr-CA"/>
        </w:rPr>
      </w:pPr>
      <w:r w:rsidRPr="00B529B3">
        <w:rPr>
          <w:szCs w:val="24"/>
          <w:lang w:val="fr-CA"/>
        </w:rPr>
        <w:t>Je suis d’avis de rejeter le pourvoi avec dépens.</w:t>
      </w:r>
    </w:p>
    <w:p w:rsidR="000F48EC" w:rsidRPr="005C4FE9" w:rsidRDefault="000F48EC" w:rsidP="000F48EC">
      <w:pPr>
        <w:spacing w:after="720"/>
        <w:jc w:val="center"/>
        <w:rPr>
          <w:b/>
          <w:lang w:val="fr-FR"/>
        </w:rPr>
      </w:pPr>
      <w:bookmarkStart w:id="6" w:name="_Toc306125182"/>
      <w:bookmarkStart w:id="7" w:name="_Toc180114574"/>
      <w:bookmarkStart w:id="8" w:name="_Toc308469705"/>
      <w:bookmarkStart w:id="9" w:name="_Toc308638223"/>
      <w:bookmarkStart w:id="10" w:name="_Toc311134722"/>
      <w:bookmarkStart w:id="11" w:name="_Toc311134787"/>
      <w:bookmarkStart w:id="12" w:name="_Toc313181791"/>
      <w:bookmarkStart w:id="13" w:name="_Toc315784252"/>
      <w:r w:rsidRPr="005C4FE9">
        <w:rPr>
          <w:b/>
          <w:lang w:val="fr-CA"/>
        </w:rPr>
        <w:t>ANNEXE</w:t>
      </w:r>
      <w:bookmarkEnd w:id="6"/>
      <w:bookmarkEnd w:id="7"/>
      <w:bookmarkEnd w:id="8"/>
      <w:bookmarkEnd w:id="9"/>
      <w:bookmarkEnd w:id="10"/>
      <w:bookmarkEnd w:id="11"/>
      <w:bookmarkEnd w:id="12"/>
      <w:bookmarkEnd w:id="13"/>
    </w:p>
    <w:p w:rsidR="000F48EC" w:rsidRPr="0034750B" w:rsidRDefault="000F48EC" w:rsidP="0067022E">
      <w:pPr>
        <w:spacing w:after="480"/>
        <w:jc w:val="both"/>
        <w:rPr>
          <w:szCs w:val="24"/>
          <w:lang w:val="fr-FR"/>
        </w:rPr>
      </w:pPr>
      <w:r w:rsidRPr="0034750B">
        <w:rPr>
          <w:i/>
          <w:kern w:val="36"/>
          <w:szCs w:val="24"/>
          <w:lang w:val="fr-CA"/>
        </w:rPr>
        <w:t>Loi sur les relations de travail dans la fonction publique</w:t>
      </w:r>
      <w:r w:rsidRPr="004563E4">
        <w:rPr>
          <w:kern w:val="36"/>
          <w:szCs w:val="24"/>
          <w:lang w:val="fr-CA"/>
        </w:rPr>
        <w:t>,</w:t>
      </w:r>
      <w:r w:rsidR="005068C9" w:rsidRPr="004563E4">
        <w:rPr>
          <w:kern w:val="36"/>
          <w:szCs w:val="24"/>
          <w:lang w:val="fr-CA"/>
        </w:rPr>
        <w:t xml:space="preserve"> </w:t>
      </w:r>
      <w:r w:rsidRPr="0034750B">
        <w:rPr>
          <w:kern w:val="36"/>
          <w:szCs w:val="24"/>
          <w:lang w:val="fr-CA"/>
        </w:rPr>
        <w:t xml:space="preserve">L.C. 2003, </w:t>
      </w:r>
      <w:r>
        <w:rPr>
          <w:kern w:val="36"/>
          <w:szCs w:val="24"/>
          <w:lang w:val="fr-CA"/>
        </w:rPr>
        <w:t>ch. </w:t>
      </w:r>
      <w:r w:rsidRPr="0034750B">
        <w:rPr>
          <w:kern w:val="36"/>
          <w:szCs w:val="24"/>
          <w:lang w:val="fr-CA"/>
        </w:rPr>
        <w:t>22</w:t>
      </w:r>
    </w:p>
    <w:p w:rsidR="000F48EC" w:rsidRPr="0034750B" w:rsidRDefault="000F48EC" w:rsidP="0067022E">
      <w:pPr>
        <w:tabs>
          <w:tab w:val="left" w:pos="1620"/>
        </w:tabs>
        <w:spacing w:after="240"/>
        <w:ind w:left="1170" w:hanging="1170"/>
        <w:jc w:val="both"/>
        <w:rPr>
          <w:lang w:val="fr-FR"/>
        </w:rPr>
      </w:pPr>
      <w:r w:rsidRPr="0034750B">
        <w:rPr>
          <w:b/>
          <w:lang w:val="fr-FR"/>
        </w:rPr>
        <w:tab/>
      </w:r>
      <w:r w:rsidR="0067022E">
        <w:rPr>
          <w:b/>
          <w:lang w:val="fr-FR"/>
        </w:rPr>
        <w:tab/>
      </w:r>
      <w:r w:rsidRPr="0034750B">
        <w:rPr>
          <w:b/>
          <w:lang w:val="fr-FR"/>
        </w:rPr>
        <w:t>2.</w:t>
      </w:r>
      <w:r w:rsidRPr="0034750B">
        <w:rPr>
          <w:lang w:val="fr-FR"/>
        </w:rPr>
        <w:t xml:space="preserve"> (1)</w:t>
      </w:r>
      <w:r w:rsidR="0067022E">
        <w:rPr>
          <w:lang w:val="fr-FR"/>
        </w:rPr>
        <w:t> </w:t>
      </w:r>
      <w:r w:rsidRPr="0034750B">
        <w:rPr>
          <w:lang w:val="fr-FR"/>
        </w:rPr>
        <w:t xml:space="preserve">Les </w:t>
      </w:r>
      <w:r w:rsidRPr="0067022E">
        <w:rPr>
          <w:lang w:val="fr-CA"/>
        </w:rPr>
        <w:t>définitions</w:t>
      </w:r>
      <w:r w:rsidRPr="0034750B">
        <w:rPr>
          <w:lang w:val="fr-FR"/>
        </w:rPr>
        <w:t xml:space="preserve"> qui suivent s’appliquent à la présente loi.</w:t>
      </w:r>
    </w:p>
    <w:p w:rsidR="000F48EC" w:rsidRPr="00882D52" w:rsidRDefault="000F48EC" w:rsidP="000F48EC">
      <w:pPr>
        <w:tabs>
          <w:tab w:val="left" w:pos="360"/>
        </w:tabs>
        <w:spacing w:after="240"/>
        <w:jc w:val="center"/>
        <w:rPr>
          <w:lang w:val="fr-FR"/>
        </w:rPr>
      </w:pPr>
      <w:r>
        <w:rPr>
          <w:lang w:val="fr-FR"/>
        </w:rPr>
        <w:t>. </w:t>
      </w:r>
      <w:r w:rsidRPr="00882D52">
        <w:rPr>
          <w:lang w:val="fr-FR"/>
        </w:rPr>
        <w:t>.</w:t>
      </w:r>
      <w:r>
        <w:rPr>
          <w:lang w:val="fr-FR"/>
        </w:rPr>
        <w:t> </w:t>
      </w:r>
      <w:r w:rsidRPr="00882D52">
        <w:rPr>
          <w:lang w:val="fr-FR"/>
        </w:rPr>
        <w:t>.</w:t>
      </w:r>
    </w:p>
    <w:p w:rsidR="000F48EC" w:rsidRPr="004C3686" w:rsidRDefault="0067022E" w:rsidP="005068C9">
      <w:pPr>
        <w:tabs>
          <w:tab w:val="left" w:pos="1170"/>
          <w:tab w:val="right" w:pos="1620"/>
        </w:tabs>
        <w:spacing w:after="240"/>
        <w:ind w:left="1620" w:hanging="1530"/>
        <w:jc w:val="both"/>
        <w:rPr>
          <w:kern w:val="36"/>
          <w:szCs w:val="24"/>
          <w:lang w:val="fr-CA"/>
        </w:rPr>
      </w:pPr>
      <w:r>
        <w:rPr>
          <w:kern w:val="36"/>
          <w:szCs w:val="24"/>
          <w:lang w:val="fr-CA"/>
        </w:rPr>
        <w:tab/>
      </w:r>
      <w:r w:rsidR="000F48EC" w:rsidRPr="004C3686">
        <w:rPr>
          <w:kern w:val="36"/>
          <w:szCs w:val="24"/>
          <w:lang w:val="fr-CA"/>
        </w:rPr>
        <w:t>« </w:t>
      </w:r>
      <w:proofErr w:type="gramStart"/>
      <w:r w:rsidR="000F48EC" w:rsidRPr="004C3686">
        <w:rPr>
          <w:kern w:val="36"/>
          <w:szCs w:val="24"/>
          <w:lang w:val="fr-CA"/>
        </w:rPr>
        <w:t>fonctionnaire</w:t>
      </w:r>
      <w:proofErr w:type="gramEnd"/>
      <w:r w:rsidR="000F48EC" w:rsidRPr="004C3686">
        <w:rPr>
          <w:kern w:val="36"/>
          <w:szCs w:val="24"/>
          <w:lang w:val="fr-CA"/>
        </w:rPr>
        <w:t xml:space="preserve"> » Sauf à la </w:t>
      </w:r>
      <w:r w:rsidR="000F48EC" w:rsidRPr="00FD64B3">
        <w:rPr>
          <w:lang w:val="fr-CA"/>
        </w:rPr>
        <w:t>partie</w:t>
      </w:r>
      <w:r w:rsidR="000F48EC" w:rsidRPr="004C3686">
        <w:rPr>
          <w:kern w:val="36"/>
          <w:szCs w:val="24"/>
          <w:lang w:val="fr-CA"/>
        </w:rPr>
        <w:t> 2, personne employée dans la fonction publique, à l’exclusion de toute personne</w:t>
      </w:r>
      <w:r w:rsidR="000F48EC">
        <w:rPr>
          <w:kern w:val="36"/>
          <w:szCs w:val="24"/>
          <w:lang w:val="fr-CA"/>
        </w:rPr>
        <w:t> :</w:t>
      </w:r>
    </w:p>
    <w:p w:rsidR="000F48EC" w:rsidRPr="0034750B" w:rsidRDefault="0067022E" w:rsidP="0067022E">
      <w:pPr>
        <w:tabs>
          <w:tab w:val="left" w:pos="1170"/>
          <w:tab w:val="left" w:pos="1620"/>
        </w:tabs>
        <w:spacing w:after="240"/>
        <w:ind w:left="1620" w:hanging="1620"/>
        <w:jc w:val="both"/>
        <w:rPr>
          <w:lang w:val="fr-FR"/>
        </w:rPr>
      </w:pPr>
      <w:r>
        <w:rPr>
          <w:i/>
          <w:kern w:val="36"/>
          <w:szCs w:val="24"/>
          <w:lang w:val="fr-CA"/>
        </w:rPr>
        <w:tab/>
      </w:r>
      <w:r>
        <w:rPr>
          <w:i/>
          <w:kern w:val="36"/>
          <w:szCs w:val="24"/>
          <w:lang w:val="fr-CA"/>
        </w:rPr>
        <w:tab/>
      </w:r>
      <w:r w:rsidR="000F48EC" w:rsidRPr="0034750B">
        <w:rPr>
          <w:i/>
          <w:kern w:val="36"/>
          <w:szCs w:val="24"/>
          <w:lang w:val="fr-CA"/>
        </w:rPr>
        <w:t>a</w:t>
      </w:r>
      <w:r>
        <w:rPr>
          <w:kern w:val="36"/>
          <w:szCs w:val="24"/>
          <w:lang w:val="fr-CA"/>
        </w:rPr>
        <w:t>) </w:t>
      </w:r>
      <w:r w:rsidR="000F48EC" w:rsidRPr="004C3686">
        <w:rPr>
          <w:kern w:val="36"/>
          <w:szCs w:val="24"/>
          <w:lang w:val="fr-CA"/>
        </w:rPr>
        <w:t>nommée par le gouverneur en conseil, en vertu d’une loi fédérale, à un poste prévu par cette loi;</w:t>
      </w:r>
    </w:p>
    <w:p w:rsidR="000F48EC" w:rsidRPr="0034750B" w:rsidRDefault="0067022E" w:rsidP="0067022E">
      <w:pPr>
        <w:tabs>
          <w:tab w:val="left" w:pos="1170"/>
          <w:tab w:val="left" w:pos="1620"/>
        </w:tabs>
        <w:spacing w:after="240"/>
        <w:ind w:left="1620" w:hanging="1620"/>
        <w:jc w:val="both"/>
        <w:rPr>
          <w:lang w:val="fr-FR"/>
        </w:rPr>
      </w:pPr>
      <w:r>
        <w:rPr>
          <w:i/>
          <w:kern w:val="36"/>
          <w:szCs w:val="24"/>
          <w:lang w:val="fr-CA"/>
        </w:rPr>
        <w:tab/>
      </w:r>
      <w:r>
        <w:rPr>
          <w:i/>
          <w:kern w:val="36"/>
          <w:szCs w:val="24"/>
          <w:lang w:val="fr-CA"/>
        </w:rPr>
        <w:tab/>
      </w:r>
      <w:r w:rsidR="000F48EC" w:rsidRPr="0034750B">
        <w:rPr>
          <w:i/>
          <w:kern w:val="36"/>
          <w:szCs w:val="24"/>
          <w:lang w:val="fr-CA"/>
        </w:rPr>
        <w:t>b</w:t>
      </w:r>
      <w:r>
        <w:rPr>
          <w:kern w:val="36"/>
          <w:szCs w:val="24"/>
          <w:lang w:val="fr-CA"/>
        </w:rPr>
        <w:t>) </w:t>
      </w:r>
      <w:r w:rsidR="000F48EC" w:rsidRPr="004C3686">
        <w:rPr>
          <w:kern w:val="36"/>
          <w:szCs w:val="24"/>
          <w:lang w:val="fr-CA"/>
        </w:rPr>
        <w:t>recrutée sur place à l’étranger;</w:t>
      </w:r>
    </w:p>
    <w:p w:rsidR="000F48EC" w:rsidRPr="0034750B" w:rsidRDefault="0067022E" w:rsidP="0067022E">
      <w:pPr>
        <w:tabs>
          <w:tab w:val="left" w:pos="1170"/>
          <w:tab w:val="left" w:pos="1620"/>
        </w:tabs>
        <w:spacing w:after="240"/>
        <w:ind w:left="1620" w:hanging="1620"/>
        <w:jc w:val="both"/>
        <w:rPr>
          <w:lang w:val="fr-FR"/>
        </w:rPr>
      </w:pPr>
      <w:r>
        <w:rPr>
          <w:i/>
          <w:lang w:val="fr-FR"/>
        </w:rPr>
        <w:tab/>
      </w:r>
      <w:r>
        <w:rPr>
          <w:i/>
          <w:lang w:val="fr-FR"/>
        </w:rPr>
        <w:tab/>
      </w:r>
      <w:r w:rsidR="000F48EC" w:rsidRPr="0034750B">
        <w:rPr>
          <w:i/>
          <w:lang w:val="fr-FR"/>
        </w:rPr>
        <w:t>c</w:t>
      </w:r>
      <w:r>
        <w:rPr>
          <w:lang w:val="fr-FR"/>
        </w:rPr>
        <w:t>) </w:t>
      </w:r>
      <w:r w:rsidR="000F48EC" w:rsidRPr="004C3686">
        <w:rPr>
          <w:kern w:val="36"/>
          <w:szCs w:val="24"/>
          <w:lang w:val="fr-CA"/>
        </w:rPr>
        <w:t xml:space="preserve">qui n’est pas ordinairement </w:t>
      </w:r>
      <w:r w:rsidR="000F48EC" w:rsidRPr="0067022E">
        <w:rPr>
          <w:lang w:val="fr-CA"/>
        </w:rPr>
        <w:t>astreinte</w:t>
      </w:r>
      <w:r w:rsidR="000F48EC" w:rsidRPr="004C3686">
        <w:rPr>
          <w:kern w:val="36"/>
          <w:szCs w:val="24"/>
          <w:lang w:val="fr-CA"/>
        </w:rPr>
        <w:t xml:space="preserve"> à travailler plus du tiers du temps normalement exigé des personnes exécutant des tâches semblables</w:t>
      </w:r>
      <w:r w:rsidR="000F48EC" w:rsidRPr="0034750B">
        <w:rPr>
          <w:lang w:val="fr-FR"/>
        </w:rPr>
        <w:t>;</w:t>
      </w:r>
    </w:p>
    <w:p w:rsidR="000F48EC" w:rsidRPr="0034750B" w:rsidRDefault="0067022E" w:rsidP="0067022E">
      <w:pPr>
        <w:tabs>
          <w:tab w:val="left" w:pos="1170"/>
          <w:tab w:val="left" w:pos="1620"/>
        </w:tabs>
        <w:spacing w:after="240"/>
        <w:ind w:left="1620" w:hanging="1620"/>
        <w:jc w:val="both"/>
        <w:rPr>
          <w:lang w:val="fr-FR"/>
        </w:rPr>
      </w:pPr>
      <w:r>
        <w:rPr>
          <w:i/>
          <w:lang w:val="fr-FR"/>
        </w:rPr>
        <w:tab/>
      </w:r>
      <w:r>
        <w:rPr>
          <w:i/>
          <w:lang w:val="fr-FR"/>
        </w:rPr>
        <w:tab/>
      </w:r>
      <w:r w:rsidR="000F48EC" w:rsidRPr="0034750B">
        <w:rPr>
          <w:i/>
          <w:lang w:val="fr-FR"/>
        </w:rPr>
        <w:t>d</w:t>
      </w:r>
      <w:r>
        <w:rPr>
          <w:lang w:val="fr-FR"/>
        </w:rPr>
        <w:t>) </w:t>
      </w:r>
      <w:r w:rsidR="000F48EC" w:rsidRPr="004C3686">
        <w:rPr>
          <w:kern w:val="36"/>
          <w:szCs w:val="24"/>
          <w:lang w:val="fr-CA"/>
        </w:rPr>
        <w:t xml:space="preserve">qui est membre ou gendarme </w:t>
      </w:r>
      <w:r w:rsidR="000F48EC" w:rsidRPr="0067022E">
        <w:rPr>
          <w:lang w:val="fr-CA"/>
        </w:rPr>
        <w:t>auxiliaire</w:t>
      </w:r>
      <w:r w:rsidR="000F48EC" w:rsidRPr="004C3686">
        <w:rPr>
          <w:kern w:val="36"/>
          <w:szCs w:val="24"/>
          <w:lang w:val="fr-CA"/>
        </w:rPr>
        <w:t xml:space="preserve"> de la Gendarmerie royale du Canada, ou y est employée sensiblement aux mêmes conditions que ses membres</w:t>
      </w:r>
      <w:r w:rsidR="000F48EC" w:rsidRPr="0034750B">
        <w:rPr>
          <w:lang w:val="fr-FR"/>
        </w:rPr>
        <w:t>;</w:t>
      </w:r>
    </w:p>
    <w:p w:rsidR="000F48EC" w:rsidRDefault="0067022E" w:rsidP="0067022E">
      <w:pPr>
        <w:tabs>
          <w:tab w:val="left" w:pos="1170"/>
          <w:tab w:val="left" w:pos="1620"/>
        </w:tabs>
        <w:spacing w:after="240"/>
        <w:ind w:left="1620" w:hanging="1620"/>
        <w:jc w:val="both"/>
        <w:rPr>
          <w:kern w:val="36"/>
          <w:szCs w:val="24"/>
          <w:lang w:val="fr-CA"/>
        </w:rPr>
      </w:pPr>
      <w:r>
        <w:rPr>
          <w:i/>
          <w:lang w:val="fr-FR"/>
        </w:rPr>
        <w:lastRenderedPageBreak/>
        <w:tab/>
      </w:r>
      <w:r>
        <w:rPr>
          <w:i/>
          <w:lang w:val="fr-FR"/>
        </w:rPr>
        <w:tab/>
      </w:r>
      <w:r w:rsidR="000F48EC" w:rsidRPr="0034750B">
        <w:rPr>
          <w:i/>
          <w:lang w:val="fr-FR"/>
        </w:rPr>
        <w:t>e</w:t>
      </w:r>
      <w:r>
        <w:rPr>
          <w:lang w:val="fr-FR"/>
        </w:rPr>
        <w:t>) </w:t>
      </w:r>
      <w:r w:rsidR="000F48EC" w:rsidRPr="004C3686">
        <w:rPr>
          <w:kern w:val="36"/>
          <w:szCs w:val="24"/>
          <w:lang w:val="fr-CA"/>
        </w:rPr>
        <w:t>employée par le Service canadien du renseignement de sécurité et n’exerçant pas des fonctions de commis ou de secrétaire;</w:t>
      </w:r>
    </w:p>
    <w:p w:rsidR="000F48EC" w:rsidRPr="0034750B" w:rsidRDefault="0067022E" w:rsidP="0067022E">
      <w:pPr>
        <w:tabs>
          <w:tab w:val="left" w:pos="1170"/>
          <w:tab w:val="left" w:pos="1620"/>
        </w:tabs>
        <w:spacing w:after="240"/>
        <w:ind w:left="1620" w:hanging="1620"/>
        <w:jc w:val="both"/>
        <w:rPr>
          <w:lang w:val="fr-FR"/>
        </w:rPr>
      </w:pPr>
      <w:r>
        <w:rPr>
          <w:i/>
          <w:lang w:val="fr-FR"/>
        </w:rPr>
        <w:tab/>
      </w:r>
      <w:r>
        <w:rPr>
          <w:i/>
          <w:lang w:val="fr-FR"/>
        </w:rPr>
        <w:tab/>
      </w:r>
      <w:r w:rsidR="000F48EC" w:rsidRPr="0034750B">
        <w:rPr>
          <w:i/>
          <w:lang w:val="fr-FR"/>
        </w:rPr>
        <w:t>f</w:t>
      </w:r>
      <w:r>
        <w:rPr>
          <w:lang w:val="fr-FR"/>
        </w:rPr>
        <w:t>) </w:t>
      </w:r>
      <w:r w:rsidR="000F48EC" w:rsidRPr="004C3686">
        <w:rPr>
          <w:kern w:val="36"/>
          <w:szCs w:val="24"/>
          <w:lang w:val="fr-CA"/>
        </w:rPr>
        <w:t>employée à titre occasionnel</w:t>
      </w:r>
      <w:r w:rsidR="000F48EC" w:rsidRPr="0034750B">
        <w:rPr>
          <w:lang w:val="fr-FR"/>
        </w:rPr>
        <w:t>;</w:t>
      </w:r>
    </w:p>
    <w:p w:rsidR="000F48EC" w:rsidRPr="0034750B" w:rsidRDefault="0067022E" w:rsidP="0067022E">
      <w:pPr>
        <w:tabs>
          <w:tab w:val="left" w:pos="1170"/>
          <w:tab w:val="left" w:pos="1620"/>
        </w:tabs>
        <w:spacing w:after="240"/>
        <w:ind w:left="1620" w:hanging="1620"/>
        <w:jc w:val="both"/>
        <w:rPr>
          <w:lang w:val="fr-FR"/>
        </w:rPr>
      </w:pPr>
      <w:r>
        <w:rPr>
          <w:i/>
          <w:lang w:val="fr-FR"/>
        </w:rPr>
        <w:tab/>
      </w:r>
      <w:r>
        <w:rPr>
          <w:i/>
          <w:lang w:val="fr-FR"/>
        </w:rPr>
        <w:tab/>
      </w:r>
      <w:r w:rsidR="000F48EC" w:rsidRPr="0034750B">
        <w:rPr>
          <w:i/>
          <w:lang w:val="fr-FR"/>
        </w:rPr>
        <w:t>g</w:t>
      </w:r>
      <w:r>
        <w:rPr>
          <w:lang w:val="fr-FR"/>
        </w:rPr>
        <w:t>) </w:t>
      </w:r>
      <w:r w:rsidR="000F48EC" w:rsidRPr="004C3686">
        <w:rPr>
          <w:kern w:val="36"/>
          <w:szCs w:val="24"/>
          <w:lang w:val="fr-CA"/>
        </w:rPr>
        <w:t>employée pour une durée déterminée de moins de trois mois ou ayant travaillé à ce titre pendant moins de trois mois</w:t>
      </w:r>
      <w:r w:rsidR="000F48EC" w:rsidRPr="0034750B">
        <w:rPr>
          <w:lang w:val="fr-FR"/>
        </w:rPr>
        <w:t>;</w:t>
      </w:r>
    </w:p>
    <w:p w:rsidR="000F48EC" w:rsidRPr="0034750B" w:rsidRDefault="0067022E" w:rsidP="0067022E">
      <w:pPr>
        <w:tabs>
          <w:tab w:val="left" w:pos="1170"/>
          <w:tab w:val="left" w:pos="1620"/>
        </w:tabs>
        <w:spacing w:after="240"/>
        <w:ind w:left="1620" w:hanging="1620"/>
        <w:jc w:val="both"/>
        <w:rPr>
          <w:lang w:val="fr-FR"/>
        </w:rPr>
      </w:pPr>
      <w:r>
        <w:rPr>
          <w:i/>
          <w:lang w:val="fr-FR"/>
        </w:rPr>
        <w:tab/>
      </w:r>
      <w:r>
        <w:rPr>
          <w:i/>
          <w:lang w:val="fr-FR"/>
        </w:rPr>
        <w:tab/>
      </w:r>
      <w:r w:rsidR="000F48EC" w:rsidRPr="0034750B">
        <w:rPr>
          <w:i/>
          <w:lang w:val="fr-FR"/>
        </w:rPr>
        <w:t>h</w:t>
      </w:r>
      <w:r>
        <w:rPr>
          <w:lang w:val="fr-FR"/>
        </w:rPr>
        <w:t>) </w:t>
      </w:r>
      <w:r w:rsidR="000F48EC" w:rsidRPr="004C3686">
        <w:rPr>
          <w:kern w:val="36"/>
          <w:szCs w:val="24"/>
          <w:lang w:val="fr-CA"/>
        </w:rPr>
        <w:t>employée par la Commission</w:t>
      </w:r>
      <w:r w:rsidR="000F48EC" w:rsidRPr="0034750B">
        <w:rPr>
          <w:lang w:val="fr-FR"/>
        </w:rPr>
        <w:t>;</w:t>
      </w:r>
    </w:p>
    <w:p w:rsidR="000F48EC" w:rsidRPr="0034750B" w:rsidRDefault="0067022E" w:rsidP="0067022E">
      <w:pPr>
        <w:tabs>
          <w:tab w:val="left" w:pos="1170"/>
          <w:tab w:val="left" w:pos="1620"/>
        </w:tabs>
        <w:spacing w:after="240"/>
        <w:ind w:left="1620" w:hanging="1620"/>
        <w:jc w:val="both"/>
        <w:rPr>
          <w:lang w:val="fr-FR"/>
        </w:rPr>
      </w:pPr>
      <w:r>
        <w:rPr>
          <w:i/>
          <w:lang w:val="fr-FR"/>
        </w:rPr>
        <w:tab/>
      </w:r>
      <w:r>
        <w:rPr>
          <w:i/>
          <w:lang w:val="fr-FR"/>
        </w:rPr>
        <w:tab/>
      </w:r>
      <w:r w:rsidR="000F48EC" w:rsidRPr="0034750B">
        <w:rPr>
          <w:i/>
          <w:lang w:val="fr-FR"/>
        </w:rPr>
        <w:t>i</w:t>
      </w:r>
      <w:r>
        <w:rPr>
          <w:lang w:val="fr-FR"/>
        </w:rPr>
        <w:t>) </w:t>
      </w:r>
      <w:r w:rsidR="000F48EC" w:rsidRPr="004C3686">
        <w:rPr>
          <w:kern w:val="36"/>
          <w:szCs w:val="24"/>
          <w:lang w:val="fr-CA"/>
        </w:rPr>
        <w:t>occupant un poste de direction ou de confiance</w:t>
      </w:r>
      <w:r w:rsidR="000F48EC" w:rsidRPr="0034750B">
        <w:rPr>
          <w:lang w:val="fr-FR"/>
        </w:rPr>
        <w:t xml:space="preserve">; </w:t>
      </w:r>
    </w:p>
    <w:p w:rsidR="000F48EC" w:rsidRPr="0034750B" w:rsidRDefault="0067022E" w:rsidP="0067022E">
      <w:pPr>
        <w:tabs>
          <w:tab w:val="left" w:pos="1170"/>
          <w:tab w:val="left" w:pos="1620"/>
        </w:tabs>
        <w:spacing w:after="240"/>
        <w:ind w:left="1620" w:hanging="1620"/>
        <w:jc w:val="both"/>
        <w:rPr>
          <w:lang w:val="fr-FR"/>
        </w:rPr>
      </w:pPr>
      <w:r>
        <w:rPr>
          <w:i/>
          <w:lang w:val="fr-FR"/>
        </w:rPr>
        <w:tab/>
      </w:r>
      <w:r>
        <w:rPr>
          <w:i/>
          <w:lang w:val="fr-FR"/>
        </w:rPr>
        <w:tab/>
      </w:r>
      <w:r w:rsidR="000F48EC" w:rsidRPr="0034750B">
        <w:rPr>
          <w:i/>
          <w:lang w:val="fr-FR"/>
        </w:rPr>
        <w:t>j</w:t>
      </w:r>
      <w:r>
        <w:rPr>
          <w:lang w:val="fr-FR"/>
        </w:rPr>
        <w:t>) </w:t>
      </w:r>
      <w:r w:rsidR="000F48EC" w:rsidRPr="004C3686">
        <w:rPr>
          <w:kern w:val="36"/>
          <w:szCs w:val="24"/>
          <w:lang w:val="fr-CA"/>
        </w:rPr>
        <w:t>employée dans le cadre d’un programme désigné par l’employeur comme un programme d’embauche des étudiants</w:t>
      </w:r>
      <w:r w:rsidR="000F48EC" w:rsidRPr="0034750B">
        <w:rPr>
          <w:lang w:val="fr-FR"/>
        </w:rPr>
        <w:t>.</w:t>
      </w:r>
    </w:p>
    <w:p w:rsidR="000F48EC" w:rsidRDefault="0067022E" w:rsidP="006E5F7C">
      <w:pPr>
        <w:tabs>
          <w:tab w:val="left" w:pos="1170"/>
          <w:tab w:val="right" w:pos="1620"/>
        </w:tabs>
        <w:spacing w:after="240"/>
        <w:ind w:left="1620" w:hanging="1620"/>
        <w:jc w:val="both"/>
        <w:rPr>
          <w:kern w:val="36"/>
          <w:szCs w:val="24"/>
          <w:lang w:val="fr-CA"/>
        </w:rPr>
      </w:pPr>
      <w:r>
        <w:rPr>
          <w:kern w:val="36"/>
          <w:szCs w:val="24"/>
          <w:lang w:val="fr-CA"/>
        </w:rPr>
        <w:tab/>
      </w:r>
      <w:r w:rsidR="000F48EC" w:rsidRPr="004C3686">
        <w:rPr>
          <w:kern w:val="36"/>
          <w:szCs w:val="24"/>
          <w:lang w:val="fr-CA"/>
        </w:rPr>
        <w:t>« </w:t>
      </w:r>
      <w:proofErr w:type="gramStart"/>
      <w:r w:rsidR="000F48EC" w:rsidRPr="004C3686">
        <w:rPr>
          <w:kern w:val="36"/>
          <w:szCs w:val="24"/>
          <w:lang w:val="fr-CA"/>
        </w:rPr>
        <w:t>fonction</w:t>
      </w:r>
      <w:proofErr w:type="gramEnd"/>
      <w:r w:rsidR="000F48EC" w:rsidRPr="004C3686">
        <w:rPr>
          <w:kern w:val="36"/>
          <w:szCs w:val="24"/>
          <w:lang w:val="fr-CA"/>
        </w:rPr>
        <w:t xml:space="preserve"> publique » Sauf à la </w:t>
      </w:r>
      <w:r w:rsidR="000F48EC" w:rsidRPr="00FD64B3">
        <w:rPr>
          <w:lang w:val="fr-CA"/>
        </w:rPr>
        <w:t>partie</w:t>
      </w:r>
      <w:r w:rsidR="000F48EC" w:rsidRPr="004C3686">
        <w:rPr>
          <w:kern w:val="36"/>
          <w:szCs w:val="24"/>
          <w:lang w:val="fr-CA"/>
        </w:rPr>
        <w:t> 3, l’ensemble des postes qui sont compris dans les entités ci</w:t>
      </w:r>
      <w:r w:rsidR="004563E4">
        <w:rPr>
          <w:kern w:val="36"/>
          <w:szCs w:val="24"/>
          <w:lang w:val="fr-CA"/>
        </w:rPr>
        <w:t>-</w:t>
      </w:r>
      <w:r w:rsidR="000F48EC" w:rsidRPr="004C3686">
        <w:rPr>
          <w:kern w:val="36"/>
          <w:szCs w:val="24"/>
          <w:lang w:val="fr-CA"/>
        </w:rPr>
        <w:t>après ou qui en relèvent</w:t>
      </w:r>
      <w:r w:rsidR="000F48EC">
        <w:rPr>
          <w:kern w:val="36"/>
          <w:szCs w:val="24"/>
          <w:lang w:val="fr-CA"/>
        </w:rPr>
        <w:t> :</w:t>
      </w:r>
    </w:p>
    <w:p w:rsidR="000F48EC" w:rsidRPr="0034750B" w:rsidRDefault="0067022E" w:rsidP="0067022E">
      <w:pPr>
        <w:tabs>
          <w:tab w:val="left" w:pos="1170"/>
          <w:tab w:val="left" w:pos="1620"/>
        </w:tabs>
        <w:spacing w:after="240"/>
        <w:ind w:left="1620" w:hanging="1620"/>
        <w:jc w:val="both"/>
        <w:rPr>
          <w:lang w:val="fr-FR"/>
        </w:rPr>
      </w:pPr>
      <w:r>
        <w:rPr>
          <w:i/>
          <w:lang w:val="fr-FR"/>
        </w:rPr>
        <w:tab/>
      </w:r>
      <w:r>
        <w:rPr>
          <w:i/>
          <w:lang w:val="fr-FR"/>
        </w:rPr>
        <w:tab/>
      </w:r>
      <w:r w:rsidR="000F48EC" w:rsidRPr="0034750B">
        <w:rPr>
          <w:i/>
          <w:lang w:val="fr-FR"/>
        </w:rPr>
        <w:t>a</w:t>
      </w:r>
      <w:r>
        <w:rPr>
          <w:lang w:val="fr-FR"/>
        </w:rPr>
        <w:t>) </w:t>
      </w:r>
      <w:r w:rsidR="000F48EC" w:rsidRPr="004C3686">
        <w:rPr>
          <w:kern w:val="36"/>
          <w:szCs w:val="24"/>
          <w:lang w:val="fr-CA"/>
        </w:rPr>
        <w:t>les</w:t>
      </w:r>
      <w:r w:rsidR="000F48EC">
        <w:rPr>
          <w:kern w:val="36"/>
          <w:szCs w:val="24"/>
          <w:lang w:val="fr-CA"/>
        </w:rPr>
        <w:t xml:space="preserve"> ministères figurant à l’annexe </w:t>
      </w:r>
      <w:r w:rsidR="000F48EC" w:rsidRPr="004C3686">
        <w:rPr>
          <w:kern w:val="36"/>
          <w:szCs w:val="24"/>
          <w:lang w:val="fr-CA"/>
        </w:rPr>
        <w:t xml:space="preserve">I de la </w:t>
      </w:r>
      <w:r w:rsidR="000F48EC" w:rsidRPr="0034750B">
        <w:rPr>
          <w:i/>
          <w:kern w:val="36"/>
          <w:szCs w:val="24"/>
          <w:lang w:val="fr-CA"/>
        </w:rPr>
        <w:t>Loi sur la gestion des finances publiques</w:t>
      </w:r>
      <w:r w:rsidR="000F48EC" w:rsidRPr="0034750B">
        <w:rPr>
          <w:lang w:val="fr-FR"/>
        </w:rPr>
        <w:t>;</w:t>
      </w:r>
    </w:p>
    <w:p w:rsidR="000F48EC" w:rsidRPr="0034750B" w:rsidRDefault="0067022E" w:rsidP="0067022E">
      <w:pPr>
        <w:tabs>
          <w:tab w:val="left" w:pos="1170"/>
          <w:tab w:val="left" w:pos="1620"/>
        </w:tabs>
        <w:spacing w:after="240"/>
        <w:ind w:left="1620" w:hanging="1620"/>
        <w:jc w:val="both"/>
        <w:rPr>
          <w:lang w:val="fr-FR"/>
        </w:rPr>
      </w:pPr>
      <w:r>
        <w:rPr>
          <w:i/>
          <w:lang w:val="fr-FR"/>
        </w:rPr>
        <w:tab/>
      </w:r>
      <w:r>
        <w:rPr>
          <w:i/>
          <w:lang w:val="fr-FR"/>
        </w:rPr>
        <w:tab/>
      </w:r>
      <w:r w:rsidR="000F48EC" w:rsidRPr="0034750B">
        <w:rPr>
          <w:i/>
          <w:lang w:val="fr-FR"/>
        </w:rPr>
        <w:t>b</w:t>
      </w:r>
      <w:r w:rsidR="000F48EC" w:rsidRPr="0034750B">
        <w:rPr>
          <w:lang w:val="fr-FR"/>
        </w:rPr>
        <w:t>)</w:t>
      </w:r>
      <w:r>
        <w:rPr>
          <w:lang w:val="fr-FR"/>
        </w:rPr>
        <w:t> </w:t>
      </w:r>
      <w:r w:rsidR="000F48EC" w:rsidRPr="004C3686">
        <w:rPr>
          <w:kern w:val="36"/>
          <w:szCs w:val="24"/>
          <w:lang w:val="fr-CA"/>
        </w:rPr>
        <w:t>les autres secteurs de l’administration publiq</w:t>
      </w:r>
      <w:r w:rsidR="000F48EC">
        <w:rPr>
          <w:kern w:val="36"/>
          <w:szCs w:val="24"/>
          <w:lang w:val="fr-CA"/>
        </w:rPr>
        <w:t>ue fédérale figurant à l’annexe </w:t>
      </w:r>
      <w:r w:rsidR="000F48EC" w:rsidRPr="004C3686">
        <w:rPr>
          <w:kern w:val="36"/>
          <w:szCs w:val="24"/>
          <w:lang w:val="fr-CA"/>
        </w:rPr>
        <w:t>IV de cette loi</w:t>
      </w:r>
      <w:r w:rsidR="000F48EC">
        <w:rPr>
          <w:kern w:val="36"/>
          <w:szCs w:val="24"/>
          <w:lang w:val="fr-CA"/>
        </w:rPr>
        <w:t>;</w:t>
      </w:r>
    </w:p>
    <w:p w:rsidR="000F48EC" w:rsidRPr="0034750B" w:rsidRDefault="0067022E" w:rsidP="0067022E">
      <w:pPr>
        <w:tabs>
          <w:tab w:val="left" w:pos="1170"/>
          <w:tab w:val="left" w:pos="1620"/>
        </w:tabs>
        <w:spacing w:after="240"/>
        <w:ind w:left="1620" w:hanging="1620"/>
        <w:jc w:val="both"/>
        <w:rPr>
          <w:lang w:val="fr-FR"/>
        </w:rPr>
      </w:pPr>
      <w:r>
        <w:rPr>
          <w:i/>
          <w:lang w:val="fr-FR"/>
        </w:rPr>
        <w:tab/>
      </w:r>
      <w:r>
        <w:rPr>
          <w:i/>
          <w:lang w:val="fr-FR"/>
        </w:rPr>
        <w:tab/>
      </w:r>
      <w:r w:rsidR="000F48EC" w:rsidRPr="0034750B">
        <w:rPr>
          <w:i/>
          <w:lang w:val="fr-FR"/>
        </w:rPr>
        <w:t>c</w:t>
      </w:r>
      <w:r>
        <w:rPr>
          <w:lang w:val="fr-FR"/>
        </w:rPr>
        <w:t>) </w:t>
      </w:r>
      <w:r w:rsidR="000F48EC" w:rsidRPr="004C3686">
        <w:rPr>
          <w:kern w:val="36"/>
          <w:szCs w:val="24"/>
          <w:lang w:val="fr-CA"/>
        </w:rPr>
        <w:t xml:space="preserve">les organismes </w:t>
      </w:r>
      <w:r w:rsidR="000F48EC">
        <w:rPr>
          <w:kern w:val="36"/>
          <w:szCs w:val="24"/>
          <w:lang w:val="fr-CA"/>
        </w:rPr>
        <w:t>distincts figurant à l’annexe </w:t>
      </w:r>
      <w:r w:rsidR="000F48EC" w:rsidRPr="004C3686">
        <w:rPr>
          <w:kern w:val="36"/>
          <w:szCs w:val="24"/>
          <w:lang w:val="fr-CA"/>
        </w:rPr>
        <w:t>V de la même loi</w:t>
      </w:r>
      <w:r w:rsidR="000F48EC" w:rsidRPr="0034750B">
        <w:rPr>
          <w:lang w:val="fr-FR"/>
        </w:rPr>
        <w:t>.</w:t>
      </w:r>
    </w:p>
    <w:p w:rsidR="000F48EC" w:rsidRPr="00882D52" w:rsidRDefault="000F48EC" w:rsidP="000F48EC">
      <w:pPr>
        <w:spacing w:after="240"/>
        <w:jc w:val="center"/>
        <w:rPr>
          <w:lang w:val="fr-FR"/>
        </w:rPr>
      </w:pPr>
      <w:r w:rsidRPr="00882D52">
        <w:rPr>
          <w:lang w:val="fr-FR"/>
        </w:rPr>
        <w:t>.</w:t>
      </w:r>
      <w:r>
        <w:rPr>
          <w:lang w:val="fr-FR"/>
        </w:rPr>
        <w:t> </w:t>
      </w:r>
      <w:r w:rsidRPr="00882D52">
        <w:rPr>
          <w:lang w:val="fr-FR"/>
        </w:rPr>
        <w:t>.</w:t>
      </w:r>
      <w:r>
        <w:rPr>
          <w:lang w:val="fr-FR"/>
        </w:rPr>
        <w:t> </w:t>
      </w:r>
      <w:r w:rsidRPr="00882D52">
        <w:rPr>
          <w:lang w:val="fr-FR"/>
        </w:rPr>
        <w:t>.</w:t>
      </w:r>
    </w:p>
    <w:p w:rsidR="000F48EC" w:rsidRPr="0034750B" w:rsidRDefault="000F48EC" w:rsidP="005B08BF">
      <w:pPr>
        <w:tabs>
          <w:tab w:val="left" w:pos="1620"/>
        </w:tabs>
        <w:spacing w:after="240"/>
        <w:ind w:left="1170" w:hanging="1170"/>
        <w:jc w:val="both"/>
        <w:rPr>
          <w:lang w:val="fr-FR"/>
        </w:rPr>
      </w:pPr>
      <w:r w:rsidRPr="00882D52">
        <w:rPr>
          <w:b/>
          <w:lang w:val="fr-FR"/>
        </w:rPr>
        <w:tab/>
      </w:r>
      <w:r w:rsidR="005B08BF">
        <w:rPr>
          <w:b/>
          <w:lang w:val="fr-FR"/>
        </w:rPr>
        <w:tab/>
      </w:r>
      <w:r w:rsidRPr="0034750B">
        <w:rPr>
          <w:b/>
          <w:lang w:val="fr-FR"/>
        </w:rPr>
        <w:t>113.</w:t>
      </w:r>
      <w:r w:rsidR="005B08BF">
        <w:rPr>
          <w:lang w:val="fr-FR"/>
        </w:rPr>
        <w:t> </w:t>
      </w:r>
      <w:r w:rsidRPr="004C3686">
        <w:rPr>
          <w:kern w:val="36"/>
          <w:szCs w:val="24"/>
          <w:lang w:val="fr-CA"/>
        </w:rPr>
        <w:t xml:space="preserve">La </w:t>
      </w:r>
      <w:r w:rsidRPr="005B08BF">
        <w:rPr>
          <w:lang w:val="fr-CA"/>
        </w:rPr>
        <w:t>convention</w:t>
      </w:r>
      <w:r w:rsidRPr="004C3686">
        <w:rPr>
          <w:kern w:val="36"/>
          <w:szCs w:val="24"/>
          <w:lang w:val="fr-CA"/>
        </w:rPr>
        <w:t xml:space="preserve"> collective ne peut avoir pour effet direct ou indirect de modifier, supprimer ou établir</w:t>
      </w:r>
      <w:r>
        <w:rPr>
          <w:kern w:val="36"/>
          <w:szCs w:val="24"/>
          <w:lang w:val="fr-CA"/>
        </w:rPr>
        <w:t> :</w:t>
      </w:r>
    </w:p>
    <w:p w:rsidR="000F48EC" w:rsidRPr="0034750B" w:rsidRDefault="005B08BF" w:rsidP="005B08BF">
      <w:pPr>
        <w:tabs>
          <w:tab w:val="left" w:pos="1170"/>
          <w:tab w:val="left" w:pos="1620"/>
        </w:tabs>
        <w:spacing w:after="240"/>
        <w:ind w:left="1620" w:hanging="1620"/>
        <w:jc w:val="both"/>
        <w:rPr>
          <w:lang w:val="fr-FR"/>
        </w:rPr>
      </w:pPr>
      <w:r>
        <w:rPr>
          <w:i/>
          <w:lang w:val="fr-FR"/>
        </w:rPr>
        <w:tab/>
      </w:r>
      <w:r>
        <w:rPr>
          <w:i/>
          <w:lang w:val="fr-FR"/>
        </w:rPr>
        <w:tab/>
      </w:r>
      <w:r w:rsidR="000F48EC" w:rsidRPr="0034750B">
        <w:rPr>
          <w:i/>
          <w:lang w:val="fr-FR"/>
        </w:rPr>
        <w:t>a</w:t>
      </w:r>
      <w:r>
        <w:rPr>
          <w:lang w:val="fr-FR"/>
        </w:rPr>
        <w:t>) </w:t>
      </w:r>
      <w:r w:rsidR="000F48EC" w:rsidRPr="004C3686">
        <w:rPr>
          <w:kern w:val="36"/>
          <w:szCs w:val="24"/>
          <w:lang w:val="fr-CA"/>
        </w:rPr>
        <w:t>une condition d’emploi de manière que cela nécessiterait l’adoption ou la modification d’une loi fédérale, exception faite des lois affectant les crédits nécessaires à son application</w:t>
      </w:r>
      <w:r w:rsidR="000F48EC" w:rsidRPr="0034750B">
        <w:rPr>
          <w:lang w:val="fr-FR"/>
        </w:rPr>
        <w:t xml:space="preserve">; </w:t>
      </w:r>
    </w:p>
    <w:p w:rsidR="000F48EC" w:rsidRPr="0034750B" w:rsidRDefault="005B08BF" w:rsidP="005B08BF">
      <w:pPr>
        <w:tabs>
          <w:tab w:val="left" w:pos="1170"/>
          <w:tab w:val="left" w:pos="1620"/>
        </w:tabs>
        <w:spacing w:after="720"/>
        <w:ind w:left="1627" w:hanging="1627"/>
        <w:jc w:val="both"/>
        <w:rPr>
          <w:lang w:val="fr-FR"/>
        </w:rPr>
      </w:pPr>
      <w:r>
        <w:rPr>
          <w:lang w:val="fr-FR"/>
        </w:rPr>
        <w:tab/>
      </w:r>
      <w:r>
        <w:rPr>
          <w:lang w:val="fr-FR"/>
        </w:rPr>
        <w:tab/>
      </w:r>
      <w:r w:rsidR="000F48EC" w:rsidRPr="0034750B">
        <w:rPr>
          <w:i/>
          <w:lang w:val="fr-FR"/>
        </w:rPr>
        <w:t>b</w:t>
      </w:r>
      <w:r>
        <w:rPr>
          <w:lang w:val="fr-FR"/>
        </w:rPr>
        <w:t>) </w:t>
      </w:r>
      <w:r w:rsidR="000F48EC" w:rsidRPr="004C3686">
        <w:rPr>
          <w:kern w:val="36"/>
          <w:szCs w:val="24"/>
          <w:lang w:val="fr-CA"/>
        </w:rPr>
        <w:t xml:space="preserve">une condition d’emploi qui a été ou pourrait être établie sous le régime de la </w:t>
      </w:r>
      <w:r w:rsidR="000F48EC" w:rsidRPr="0034750B">
        <w:rPr>
          <w:i/>
          <w:kern w:val="36"/>
          <w:szCs w:val="24"/>
          <w:lang w:val="fr-CA"/>
        </w:rPr>
        <w:t>Loi sur l’emploi dans la fonction publique</w:t>
      </w:r>
      <w:r w:rsidR="000F48EC" w:rsidRPr="004C3686">
        <w:rPr>
          <w:kern w:val="36"/>
          <w:szCs w:val="24"/>
          <w:lang w:val="fr-CA"/>
        </w:rPr>
        <w:t xml:space="preserve">, la </w:t>
      </w:r>
      <w:r w:rsidR="000F48EC" w:rsidRPr="0034750B">
        <w:rPr>
          <w:i/>
          <w:kern w:val="36"/>
          <w:szCs w:val="24"/>
          <w:lang w:val="fr-CA"/>
        </w:rPr>
        <w:t>Loi sur la pension de la fonction publique</w:t>
      </w:r>
      <w:r w:rsidR="000F48EC" w:rsidRPr="004C3686">
        <w:rPr>
          <w:kern w:val="36"/>
          <w:szCs w:val="24"/>
          <w:lang w:val="fr-CA"/>
        </w:rPr>
        <w:t xml:space="preserve"> ou la </w:t>
      </w:r>
      <w:r w:rsidR="000F48EC" w:rsidRPr="0034750B">
        <w:rPr>
          <w:i/>
          <w:kern w:val="36"/>
          <w:szCs w:val="24"/>
          <w:lang w:val="fr-CA"/>
        </w:rPr>
        <w:t>Loi sur l’indemnisation des agents de l’État</w:t>
      </w:r>
      <w:r w:rsidR="000F48EC" w:rsidRPr="0034750B">
        <w:rPr>
          <w:lang w:val="fr-FR"/>
        </w:rPr>
        <w:t>.</w:t>
      </w:r>
    </w:p>
    <w:p w:rsidR="000F48EC" w:rsidRPr="0034750B" w:rsidRDefault="000F48EC" w:rsidP="00170FF5">
      <w:pPr>
        <w:spacing w:after="480"/>
        <w:jc w:val="both"/>
        <w:rPr>
          <w:lang w:val="fr-FR"/>
        </w:rPr>
      </w:pPr>
      <w:r w:rsidRPr="004C3686">
        <w:rPr>
          <w:i/>
          <w:kern w:val="36"/>
          <w:szCs w:val="24"/>
          <w:lang w:val="fr-CA"/>
        </w:rPr>
        <w:t>Loi sur la pension de la fonction publique</w:t>
      </w:r>
      <w:r w:rsidRPr="004C3686">
        <w:rPr>
          <w:kern w:val="36"/>
          <w:szCs w:val="24"/>
          <w:lang w:val="fr-CA"/>
        </w:rPr>
        <w:t>, L</w:t>
      </w:r>
      <w:r w:rsidR="00170FF5">
        <w:rPr>
          <w:kern w:val="36"/>
          <w:szCs w:val="24"/>
          <w:lang w:val="fr-CA"/>
        </w:rPr>
        <w:t>.</w:t>
      </w:r>
      <w:r w:rsidRPr="004C3686">
        <w:rPr>
          <w:kern w:val="36"/>
          <w:szCs w:val="24"/>
          <w:lang w:val="fr-CA"/>
        </w:rPr>
        <w:t>R</w:t>
      </w:r>
      <w:r w:rsidR="00170FF5">
        <w:rPr>
          <w:kern w:val="36"/>
          <w:szCs w:val="24"/>
          <w:lang w:val="fr-CA"/>
        </w:rPr>
        <w:t>.</w:t>
      </w:r>
      <w:r w:rsidRPr="004C3686">
        <w:rPr>
          <w:kern w:val="36"/>
          <w:szCs w:val="24"/>
          <w:lang w:val="fr-CA"/>
        </w:rPr>
        <w:t>C</w:t>
      </w:r>
      <w:r w:rsidR="00170FF5">
        <w:rPr>
          <w:kern w:val="36"/>
          <w:szCs w:val="24"/>
          <w:lang w:val="fr-CA"/>
        </w:rPr>
        <w:t>.</w:t>
      </w:r>
      <w:r w:rsidRPr="004C3686">
        <w:rPr>
          <w:kern w:val="36"/>
          <w:szCs w:val="24"/>
          <w:lang w:val="fr-CA"/>
        </w:rPr>
        <w:t xml:space="preserve"> 1985, c</w:t>
      </w:r>
      <w:r>
        <w:rPr>
          <w:kern w:val="36"/>
          <w:szCs w:val="24"/>
          <w:lang w:val="fr-CA"/>
        </w:rPr>
        <w:t>h.</w:t>
      </w:r>
      <w:r w:rsidRPr="004C3686">
        <w:rPr>
          <w:kern w:val="36"/>
          <w:szCs w:val="24"/>
          <w:lang w:val="fr-CA"/>
        </w:rPr>
        <w:t xml:space="preserve"> P</w:t>
      </w:r>
      <w:r w:rsidR="006E5F7C">
        <w:rPr>
          <w:kern w:val="36"/>
          <w:szCs w:val="24"/>
          <w:lang w:val="fr-CA"/>
        </w:rPr>
        <w:t>-</w:t>
      </w:r>
      <w:r w:rsidRPr="004C3686">
        <w:rPr>
          <w:kern w:val="36"/>
          <w:szCs w:val="24"/>
          <w:lang w:val="fr-CA"/>
        </w:rPr>
        <w:t>36</w:t>
      </w:r>
    </w:p>
    <w:p w:rsidR="000F48EC" w:rsidRPr="0034750B" w:rsidRDefault="000F48EC" w:rsidP="00170FF5">
      <w:pPr>
        <w:tabs>
          <w:tab w:val="left" w:pos="1620"/>
        </w:tabs>
        <w:spacing w:after="240"/>
        <w:ind w:left="1170" w:hanging="1170"/>
        <w:jc w:val="both"/>
        <w:rPr>
          <w:lang w:val="fr-FR"/>
        </w:rPr>
      </w:pPr>
      <w:r w:rsidRPr="0034750B">
        <w:rPr>
          <w:b/>
          <w:lang w:val="fr-FR"/>
        </w:rPr>
        <w:tab/>
      </w:r>
      <w:r w:rsidR="00170FF5">
        <w:rPr>
          <w:b/>
          <w:lang w:val="fr-FR"/>
        </w:rPr>
        <w:tab/>
      </w:r>
      <w:r w:rsidRPr="0034750B">
        <w:rPr>
          <w:b/>
          <w:lang w:val="fr-FR"/>
        </w:rPr>
        <w:t>4.</w:t>
      </w:r>
      <w:r w:rsidR="00170FF5">
        <w:rPr>
          <w:lang w:val="fr-FR"/>
        </w:rPr>
        <w:t xml:space="preserve"> (1) </w:t>
      </w:r>
      <w:r w:rsidRPr="004C3686">
        <w:rPr>
          <w:szCs w:val="24"/>
          <w:lang w:val="fr-CA"/>
        </w:rPr>
        <w:t xml:space="preserve">Sous réserve des autres dispositions de la présente partie, une pension ou autre prestation spécifiée dans la présente partie doit être versée à toute personne qui, étant tenue de contribuer au compte de </w:t>
      </w:r>
      <w:r w:rsidRPr="004C3686">
        <w:rPr>
          <w:szCs w:val="24"/>
          <w:lang w:val="fr-CA"/>
        </w:rPr>
        <w:lastRenderedPageBreak/>
        <w:t>pension de retraite ou à la Caisse de retraite de la fonction publique d’après la présente partie, décède ou cesse d’être employée dans la fonction publique, ou relativement à cette personne; sous réserve des autres dispositions de la présente partie, cette pension ou prestation est basée sur le nombre d’années de service ouvrant droit à pension au crédit de cette personne</w:t>
      </w:r>
      <w:r w:rsidRPr="0034750B">
        <w:rPr>
          <w:lang w:val="fr-FR"/>
        </w:rPr>
        <w:t>.</w:t>
      </w:r>
    </w:p>
    <w:p w:rsidR="000F48EC" w:rsidRPr="0034750B" w:rsidRDefault="000F48EC" w:rsidP="00170FF5">
      <w:pPr>
        <w:tabs>
          <w:tab w:val="left" w:pos="1620"/>
        </w:tabs>
        <w:spacing w:after="240"/>
        <w:ind w:left="1170" w:hanging="1170"/>
        <w:jc w:val="both"/>
        <w:rPr>
          <w:lang w:val="fr-FR"/>
        </w:rPr>
      </w:pPr>
      <w:r w:rsidRPr="0034750B">
        <w:rPr>
          <w:lang w:val="fr-FR"/>
        </w:rPr>
        <w:tab/>
      </w:r>
      <w:r w:rsidR="00170FF5">
        <w:rPr>
          <w:lang w:val="fr-FR"/>
        </w:rPr>
        <w:tab/>
        <w:t>(2) </w:t>
      </w:r>
      <w:r w:rsidRPr="004C3686">
        <w:rPr>
          <w:szCs w:val="24"/>
          <w:lang w:val="fr-CA"/>
        </w:rPr>
        <w:t xml:space="preserve">Le Compte de pension, ouvert parmi les comptes du Canada selon la </w:t>
      </w:r>
      <w:r w:rsidRPr="004C3686">
        <w:rPr>
          <w:i/>
          <w:iCs/>
          <w:szCs w:val="24"/>
          <w:lang w:val="fr-CA"/>
        </w:rPr>
        <w:t>Loi sur la pension de retraite</w:t>
      </w:r>
      <w:r w:rsidRPr="004C3686">
        <w:rPr>
          <w:szCs w:val="24"/>
          <w:lang w:val="fr-CA"/>
        </w:rPr>
        <w:t>, est maintenu sous le nom de compte de pension de retraite</w:t>
      </w:r>
      <w:r w:rsidRPr="0034750B">
        <w:rPr>
          <w:lang w:val="fr-FR"/>
        </w:rPr>
        <w:t>.</w:t>
      </w:r>
    </w:p>
    <w:p w:rsidR="000F48EC" w:rsidRPr="00882D52" w:rsidRDefault="000F48EC" w:rsidP="000F48EC">
      <w:pPr>
        <w:spacing w:after="240"/>
        <w:jc w:val="center"/>
        <w:rPr>
          <w:lang w:val="fr-FR"/>
        </w:rPr>
      </w:pPr>
      <w:r w:rsidRPr="00882D52">
        <w:rPr>
          <w:lang w:val="fr-FR"/>
        </w:rPr>
        <w:t>.</w:t>
      </w:r>
      <w:r>
        <w:rPr>
          <w:lang w:val="fr-FR"/>
        </w:rPr>
        <w:t> </w:t>
      </w:r>
      <w:r w:rsidRPr="00882D52">
        <w:rPr>
          <w:lang w:val="fr-FR"/>
        </w:rPr>
        <w:t>.</w:t>
      </w:r>
      <w:r>
        <w:rPr>
          <w:lang w:val="fr-FR"/>
        </w:rPr>
        <w:t> </w:t>
      </w:r>
      <w:r w:rsidRPr="00882D52">
        <w:rPr>
          <w:lang w:val="fr-FR"/>
        </w:rPr>
        <w:t>.</w:t>
      </w:r>
    </w:p>
    <w:p w:rsidR="000F48EC" w:rsidRPr="0034750B" w:rsidRDefault="000F48EC" w:rsidP="00170FF5">
      <w:pPr>
        <w:tabs>
          <w:tab w:val="left" w:pos="1620"/>
        </w:tabs>
        <w:spacing w:after="240"/>
        <w:ind w:left="1170" w:hanging="1170"/>
        <w:jc w:val="both"/>
        <w:rPr>
          <w:lang w:val="fr-FR"/>
        </w:rPr>
      </w:pPr>
      <w:r w:rsidRPr="00882D52">
        <w:rPr>
          <w:b/>
          <w:lang w:val="fr-FR"/>
        </w:rPr>
        <w:tab/>
      </w:r>
      <w:r w:rsidR="00170FF5">
        <w:rPr>
          <w:b/>
          <w:lang w:val="fr-FR"/>
        </w:rPr>
        <w:tab/>
      </w:r>
      <w:r w:rsidRPr="0034750B">
        <w:rPr>
          <w:b/>
          <w:lang w:val="fr-FR"/>
        </w:rPr>
        <w:t>43.</w:t>
      </w:r>
      <w:r w:rsidR="00170FF5">
        <w:rPr>
          <w:lang w:val="fr-FR"/>
        </w:rPr>
        <w:t xml:space="preserve"> (1) </w:t>
      </w:r>
      <w:r w:rsidRPr="004C3686">
        <w:rPr>
          <w:szCs w:val="24"/>
          <w:lang w:val="fr-CA"/>
        </w:rPr>
        <w:t xml:space="preserve">Tous </w:t>
      </w:r>
      <w:r w:rsidRPr="00170FF5">
        <w:rPr>
          <w:kern w:val="36"/>
          <w:szCs w:val="24"/>
          <w:lang w:val="fr-CA"/>
        </w:rPr>
        <w:t>les</w:t>
      </w:r>
      <w:r w:rsidRPr="004C3686">
        <w:rPr>
          <w:szCs w:val="24"/>
          <w:lang w:val="fr-CA"/>
        </w:rPr>
        <w:t xml:space="preserve"> montants nécessaires au paiement des prestations que prévoient la présente partie et la partie III doivent être payés sur le compte de pension de retraite si elles sont payables en ce qui touche le service ouvrant droit à pension qui est au crédit du contributeur avant le 1</w:t>
      </w:r>
      <w:r w:rsidRPr="004C3686">
        <w:rPr>
          <w:szCs w:val="24"/>
          <w:vertAlign w:val="superscript"/>
          <w:lang w:val="fr-CA"/>
        </w:rPr>
        <w:t>er</w:t>
      </w:r>
      <w:r w:rsidRPr="004C3686">
        <w:rPr>
          <w:szCs w:val="24"/>
          <w:lang w:val="fr-CA"/>
        </w:rPr>
        <w:t xml:space="preserve"> avril 2000</w:t>
      </w:r>
      <w:r w:rsidRPr="0034750B">
        <w:rPr>
          <w:lang w:val="fr-FR"/>
        </w:rPr>
        <w:t>.</w:t>
      </w:r>
    </w:p>
    <w:p w:rsidR="000F48EC" w:rsidRPr="0034750B" w:rsidRDefault="000F48EC" w:rsidP="00170FF5">
      <w:pPr>
        <w:tabs>
          <w:tab w:val="left" w:pos="1620"/>
        </w:tabs>
        <w:spacing w:after="240"/>
        <w:ind w:left="1170" w:hanging="1170"/>
        <w:jc w:val="both"/>
        <w:rPr>
          <w:lang w:val="fr-FR"/>
        </w:rPr>
      </w:pPr>
      <w:r w:rsidRPr="0034750B">
        <w:rPr>
          <w:lang w:val="fr-FR"/>
        </w:rPr>
        <w:tab/>
      </w:r>
      <w:r w:rsidR="00697085">
        <w:rPr>
          <w:lang w:val="fr-FR"/>
        </w:rPr>
        <w:tab/>
        <w:t>(2) </w:t>
      </w:r>
      <w:r w:rsidRPr="004C3686">
        <w:rPr>
          <w:szCs w:val="24"/>
          <w:lang w:val="fr-CA"/>
        </w:rPr>
        <w:t xml:space="preserve">Les montants </w:t>
      </w:r>
      <w:r w:rsidRPr="00170FF5">
        <w:rPr>
          <w:kern w:val="36"/>
          <w:szCs w:val="24"/>
          <w:lang w:val="fr-CA"/>
        </w:rPr>
        <w:t>déposés</w:t>
      </w:r>
      <w:r w:rsidRPr="004C3686">
        <w:rPr>
          <w:szCs w:val="24"/>
          <w:lang w:val="fr-CA"/>
        </w:rPr>
        <w:t xml:space="preserve"> auprès du Fonds de placement du compte de pension de retraite de la fonction publique au titre du paragraphe 44.1(2) sont transférés à l’Office d’investissement des régimes de pensions du secteur public, au sens de la </w:t>
      </w:r>
      <w:r w:rsidRPr="004C3686">
        <w:rPr>
          <w:i/>
          <w:iCs/>
          <w:szCs w:val="24"/>
          <w:lang w:val="fr-CA"/>
        </w:rPr>
        <w:t>Loi sur l’Office d’investissement des régimes de pensions du secteur public</w:t>
      </w:r>
      <w:r w:rsidRPr="004C3686">
        <w:rPr>
          <w:szCs w:val="24"/>
          <w:lang w:val="fr-CA"/>
        </w:rPr>
        <w:t>, pour être gérés conformément à cette loi</w:t>
      </w:r>
      <w:r w:rsidRPr="0034750B">
        <w:rPr>
          <w:lang w:val="fr-FR"/>
        </w:rPr>
        <w:t>.</w:t>
      </w:r>
    </w:p>
    <w:p w:rsidR="000F48EC" w:rsidRPr="0034750B" w:rsidRDefault="000F48EC" w:rsidP="00170FF5">
      <w:pPr>
        <w:tabs>
          <w:tab w:val="left" w:pos="1620"/>
        </w:tabs>
        <w:spacing w:after="240"/>
        <w:ind w:left="1170" w:hanging="1170"/>
        <w:jc w:val="both"/>
        <w:rPr>
          <w:lang w:val="fr-FR"/>
        </w:rPr>
      </w:pPr>
      <w:r w:rsidRPr="0034750B">
        <w:rPr>
          <w:lang w:val="fr-FR"/>
        </w:rPr>
        <w:tab/>
      </w:r>
      <w:r w:rsidR="00697085">
        <w:rPr>
          <w:lang w:val="fr-FR"/>
        </w:rPr>
        <w:tab/>
        <w:t>(3) </w:t>
      </w:r>
      <w:r w:rsidRPr="004C3686">
        <w:rPr>
          <w:szCs w:val="24"/>
          <w:lang w:val="fr-CA"/>
        </w:rPr>
        <w:t xml:space="preserve">Si les montants </w:t>
      </w:r>
      <w:r w:rsidRPr="00170FF5">
        <w:rPr>
          <w:kern w:val="36"/>
          <w:szCs w:val="24"/>
          <w:lang w:val="fr-CA"/>
        </w:rPr>
        <w:t>portés</w:t>
      </w:r>
      <w:r w:rsidRPr="004C3686">
        <w:rPr>
          <w:szCs w:val="24"/>
          <w:lang w:val="fr-CA"/>
        </w:rPr>
        <w:t xml:space="preserve"> au crédit du compte de pension de retraite ne permettent pas de payer les prestations visées au paragraphe (1), les montants nécessaires au paiement de </w:t>
      </w:r>
      <w:proofErr w:type="spellStart"/>
      <w:r w:rsidRPr="004C3686">
        <w:rPr>
          <w:szCs w:val="24"/>
          <w:lang w:val="fr-CA"/>
        </w:rPr>
        <w:t>celles</w:t>
      </w:r>
      <w:r>
        <w:rPr>
          <w:szCs w:val="24"/>
          <w:lang w:val="fr-CA"/>
        </w:rPr>
        <w:noBreakHyphen/>
      </w:r>
      <w:r w:rsidRPr="004C3686">
        <w:rPr>
          <w:szCs w:val="24"/>
          <w:lang w:val="fr-CA"/>
        </w:rPr>
        <w:t>ci</w:t>
      </w:r>
      <w:proofErr w:type="spellEnd"/>
      <w:r w:rsidRPr="004C3686">
        <w:rPr>
          <w:szCs w:val="24"/>
          <w:lang w:val="fr-CA"/>
        </w:rPr>
        <w:t xml:space="preserve"> doivent être portés au débit du Fonds de placement du compte de pension de retraite de la fonction publique et payés sur l’actif de l’Office d’investissement des régimes de pensions du secteur public</w:t>
      </w:r>
      <w:r w:rsidRPr="0034750B">
        <w:rPr>
          <w:lang w:val="fr-FR"/>
        </w:rPr>
        <w:t>.</w:t>
      </w:r>
    </w:p>
    <w:p w:rsidR="000F48EC" w:rsidRPr="0034750B" w:rsidRDefault="000F48EC" w:rsidP="00170FF5">
      <w:pPr>
        <w:tabs>
          <w:tab w:val="left" w:pos="1620"/>
        </w:tabs>
        <w:spacing w:after="240"/>
        <w:ind w:left="1170" w:hanging="1170"/>
        <w:jc w:val="both"/>
        <w:rPr>
          <w:lang w:val="fr-FR"/>
        </w:rPr>
      </w:pPr>
      <w:r w:rsidRPr="00882D52">
        <w:rPr>
          <w:b/>
          <w:lang w:val="fr-FR"/>
        </w:rPr>
        <w:tab/>
      </w:r>
      <w:r w:rsidR="00170FF5">
        <w:rPr>
          <w:b/>
          <w:lang w:val="fr-FR"/>
        </w:rPr>
        <w:tab/>
      </w:r>
      <w:r w:rsidRPr="0034750B">
        <w:rPr>
          <w:b/>
          <w:lang w:val="fr-FR"/>
        </w:rPr>
        <w:t>44.</w:t>
      </w:r>
      <w:r w:rsidR="00697085">
        <w:rPr>
          <w:lang w:val="fr-FR"/>
        </w:rPr>
        <w:t xml:space="preserve"> (1) </w:t>
      </w:r>
      <w:r w:rsidRPr="004C3686">
        <w:rPr>
          <w:szCs w:val="24"/>
          <w:lang w:val="fr-CA"/>
        </w:rPr>
        <w:t xml:space="preserve">Lors de </w:t>
      </w:r>
      <w:r w:rsidRPr="00170FF5">
        <w:rPr>
          <w:kern w:val="36"/>
          <w:szCs w:val="24"/>
          <w:lang w:val="fr-CA"/>
        </w:rPr>
        <w:t>chaque</w:t>
      </w:r>
      <w:r w:rsidRPr="004C3686">
        <w:rPr>
          <w:szCs w:val="24"/>
          <w:lang w:val="fr-CA"/>
        </w:rPr>
        <w:t xml:space="preserve"> exercice, sont portés au crédit du compte de pension de retraite</w:t>
      </w:r>
      <w:r>
        <w:rPr>
          <w:szCs w:val="24"/>
          <w:lang w:val="fr-CA"/>
        </w:rPr>
        <w:t> :</w:t>
      </w:r>
    </w:p>
    <w:p w:rsidR="000F48EC" w:rsidRPr="00882D52" w:rsidRDefault="00697085" w:rsidP="00697085">
      <w:pPr>
        <w:tabs>
          <w:tab w:val="left" w:pos="1170"/>
          <w:tab w:val="left" w:pos="1620"/>
        </w:tabs>
        <w:spacing w:after="240"/>
        <w:ind w:left="1620" w:hanging="1620"/>
        <w:jc w:val="both"/>
        <w:rPr>
          <w:lang w:val="fr-FR"/>
        </w:rPr>
      </w:pPr>
      <w:r>
        <w:rPr>
          <w:i/>
          <w:lang w:val="fr-FR"/>
        </w:rPr>
        <w:tab/>
      </w:r>
      <w:r>
        <w:rPr>
          <w:i/>
          <w:lang w:val="fr-FR"/>
        </w:rPr>
        <w:tab/>
      </w:r>
      <w:r w:rsidR="000F48EC" w:rsidRPr="00882D52">
        <w:rPr>
          <w:i/>
          <w:lang w:val="fr-FR"/>
        </w:rPr>
        <w:t>a</w:t>
      </w:r>
      <w:r>
        <w:rPr>
          <w:lang w:val="fr-FR"/>
        </w:rPr>
        <w:t>) </w:t>
      </w:r>
      <w:r w:rsidR="000F48EC" w:rsidRPr="00882D52">
        <w:rPr>
          <w:lang w:val="fr-FR"/>
        </w:rPr>
        <w:t>[</w:t>
      </w:r>
      <w:r w:rsidR="000F48EC" w:rsidRPr="00882D52">
        <w:rPr>
          <w:szCs w:val="24"/>
          <w:lang w:val="fr-FR"/>
        </w:rPr>
        <w:t xml:space="preserve">Abrogé, 1999, </w:t>
      </w:r>
      <w:r w:rsidR="000F48EC" w:rsidRPr="00697085">
        <w:rPr>
          <w:kern w:val="36"/>
          <w:szCs w:val="24"/>
          <w:lang w:val="fr-CA"/>
        </w:rPr>
        <w:t>ch</w:t>
      </w:r>
      <w:r w:rsidR="000F48EC">
        <w:rPr>
          <w:szCs w:val="24"/>
          <w:lang w:val="fr-FR"/>
        </w:rPr>
        <w:t>. </w:t>
      </w:r>
      <w:r w:rsidR="000F48EC" w:rsidRPr="00882D52">
        <w:rPr>
          <w:szCs w:val="24"/>
          <w:lang w:val="fr-FR"/>
        </w:rPr>
        <w:t xml:space="preserve">34, </w:t>
      </w:r>
      <w:r w:rsidR="000F48EC">
        <w:rPr>
          <w:szCs w:val="24"/>
          <w:lang w:val="fr-FR"/>
        </w:rPr>
        <w:t>art. </w:t>
      </w:r>
      <w:r w:rsidR="000F48EC" w:rsidRPr="00882D52">
        <w:rPr>
          <w:szCs w:val="24"/>
          <w:lang w:val="fr-FR"/>
        </w:rPr>
        <w:t>95</w:t>
      </w:r>
      <w:r w:rsidR="000F48EC" w:rsidRPr="00882D52">
        <w:rPr>
          <w:lang w:val="fr-FR"/>
        </w:rPr>
        <w:t>]</w:t>
      </w:r>
    </w:p>
    <w:p w:rsidR="000F48EC" w:rsidRPr="0034750B" w:rsidRDefault="00697085" w:rsidP="00697085">
      <w:pPr>
        <w:tabs>
          <w:tab w:val="left" w:pos="1170"/>
          <w:tab w:val="left" w:pos="1620"/>
        </w:tabs>
        <w:spacing w:after="240"/>
        <w:ind w:left="1620" w:hanging="1620"/>
        <w:jc w:val="both"/>
        <w:rPr>
          <w:lang w:val="fr-FR"/>
        </w:rPr>
      </w:pPr>
      <w:r>
        <w:rPr>
          <w:i/>
          <w:lang w:val="fr-FR"/>
        </w:rPr>
        <w:tab/>
      </w:r>
      <w:r>
        <w:rPr>
          <w:i/>
          <w:lang w:val="fr-FR"/>
        </w:rPr>
        <w:tab/>
      </w:r>
      <w:r w:rsidR="000F48EC" w:rsidRPr="0034750B">
        <w:rPr>
          <w:i/>
          <w:lang w:val="fr-FR"/>
        </w:rPr>
        <w:t>b</w:t>
      </w:r>
      <w:r>
        <w:rPr>
          <w:lang w:val="fr-FR"/>
        </w:rPr>
        <w:t>) </w:t>
      </w:r>
      <w:r w:rsidR="000F48EC" w:rsidRPr="004C3686">
        <w:rPr>
          <w:szCs w:val="24"/>
          <w:lang w:val="fr-CA"/>
        </w:rPr>
        <w:t xml:space="preserve">pour chaque </w:t>
      </w:r>
      <w:r w:rsidR="000F48EC" w:rsidRPr="00697085">
        <w:rPr>
          <w:kern w:val="36"/>
          <w:szCs w:val="24"/>
          <w:lang w:val="fr-CA"/>
        </w:rPr>
        <w:t>mois</w:t>
      </w:r>
      <w:r w:rsidR="000F48EC" w:rsidRPr="004C3686">
        <w:rPr>
          <w:szCs w:val="24"/>
          <w:lang w:val="fr-CA"/>
        </w:rPr>
        <w:t>, le montant que le ministre détermine en fonction de la somme globale versée au compte pendant le mois précédent sous forme de contributions à l’égard d’un service passé;</w:t>
      </w:r>
    </w:p>
    <w:p w:rsidR="000F48EC" w:rsidRPr="0034750B" w:rsidRDefault="00697085" w:rsidP="00697085">
      <w:pPr>
        <w:tabs>
          <w:tab w:val="left" w:pos="1170"/>
          <w:tab w:val="left" w:pos="1620"/>
        </w:tabs>
        <w:spacing w:after="240"/>
        <w:ind w:left="1620" w:hanging="1620"/>
        <w:jc w:val="both"/>
        <w:rPr>
          <w:lang w:val="fr-FR"/>
        </w:rPr>
      </w:pPr>
      <w:r>
        <w:rPr>
          <w:i/>
          <w:lang w:val="fr-FR"/>
        </w:rPr>
        <w:tab/>
      </w:r>
      <w:r>
        <w:rPr>
          <w:i/>
          <w:lang w:val="fr-FR"/>
        </w:rPr>
        <w:tab/>
      </w:r>
      <w:r w:rsidR="000F48EC" w:rsidRPr="0034750B">
        <w:rPr>
          <w:i/>
          <w:lang w:val="fr-FR"/>
        </w:rPr>
        <w:t>c</w:t>
      </w:r>
      <w:r>
        <w:rPr>
          <w:lang w:val="fr-FR"/>
        </w:rPr>
        <w:t>) </w:t>
      </w:r>
      <w:r w:rsidR="000F48EC" w:rsidRPr="004C3686">
        <w:rPr>
          <w:szCs w:val="24"/>
          <w:lang w:val="fr-CA"/>
        </w:rPr>
        <w:t xml:space="preserve">le montant qui </w:t>
      </w:r>
      <w:r w:rsidR="000F48EC" w:rsidRPr="00697085">
        <w:rPr>
          <w:kern w:val="36"/>
          <w:szCs w:val="24"/>
          <w:lang w:val="fr-CA"/>
        </w:rPr>
        <w:t>représente</w:t>
      </w:r>
      <w:r w:rsidR="000F48EC" w:rsidRPr="004C3686">
        <w:rPr>
          <w:szCs w:val="24"/>
          <w:lang w:val="fr-CA"/>
        </w:rPr>
        <w:t xml:space="preserve"> l’intérêt sur le solde figurant au crédit du compte, calculé de la manière et selon les taux et porté au crédit aux moments fixés par règlements. Toutefois, le taux applicable à un trimestre donné au cours d’un exercice doit être au moins égal à celui qui serait obtenu pour le même trimestre par la méthode de </w:t>
      </w:r>
      <w:r w:rsidR="000F48EC" w:rsidRPr="004C3686">
        <w:rPr>
          <w:szCs w:val="24"/>
          <w:lang w:val="fr-CA"/>
        </w:rPr>
        <w:lastRenderedPageBreak/>
        <w:t xml:space="preserve">calcul prévue à l’article 46 du </w:t>
      </w:r>
      <w:r w:rsidR="000F48EC" w:rsidRPr="004C3686">
        <w:rPr>
          <w:i/>
          <w:iCs/>
          <w:szCs w:val="24"/>
          <w:lang w:val="fr-CA"/>
        </w:rPr>
        <w:t>Règlement sur la pension de la fonction publique</w:t>
      </w:r>
      <w:r w:rsidR="000F48EC" w:rsidRPr="004C3686">
        <w:rPr>
          <w:szCs w:val="24"/>
          <w:lang w:val="fr-CA"/>
        </w:rPr>
        <w:t>, dans sa version du 31 mars 1991</w:t>
      </w:r>
      <w:r w:rsidR="000F48EC">
        <w:rPr>
          <w:szCs w:val="24"/>
          <w:lang w:val="fr-CA"/>
        </w:rPr>
        <w:t>.</w:t>
      </w:r>
    </w:p>
    <w:p w:rsidR="000F48EC" w:rsidRPr="0034750B" w:rsidRDefault="000F48EC" w:rsidP="00697085">
      <w:pPr>
        <w:tabs>
          <w:tab w:val="left" w:pos="1620"/>
        </w:tabs>
        <w:spacing w:after="240"/>
        <w:ind w:left="1170" w:hanging="1170"/>
        <w:jc w:val="both"/>
        <w:rPr>
          <w:lang w:val="fr-FR"/>
        </w:rPr>
      </w:pPr>
      <w:r w:rsidRPr="0034750B">
        <w:rPr>
          <w:lang w:val="fr-FR"/>
        </w:rPr>
        <w:tab/>
      </w:r>
      <w:r w:rsidR="00697085">
        <w:rPr>
          <w:lang w:val="fr-FR"/>
        </w:rPr>
        <w:tab/>
      </w:r>
      <w:r w:rsidRPr="0034750B">
        <w:rPr>
          <w:lang w:val="fr-FR"/>
        </w:rPr>
        <w:t>(2) à (5) [</w:t>
      </w:r>
      <w:r w:rsidRPr="004C3686">
        <w:rPr>
          <w:szCs w:val="24"/>
          <w:lang w:val="fr-CA"/>
        </w:rPr>
        <w:t xml:space="preserve">Abrogés, 1999, </w:t>
      </w:r>
      <w:r>
        <w:rPr>
          <w:szCs w:val="24"/>
          <w:lang w:val="fr-CA"/>
        </w:rPr>
        <w:t>ch. </w:t>
      </w:r>
      <w:r w:rsidRPr="004C3686">
        <w:rPr>
          <w:szCs w:val="24"/>
          <w:lang w:val="fr-CA"/>
        </w:rPr>
        <w:t xml:space="preserve">34, </w:t>
      </w:r>
      <w:r>
        <w:rPr>
          <w:szCs w:val="24"/>
          <w:lang w:val="fr-CA"/>
        </w:rPr>
        <w:t>art. </w:t>
      </w:r>
      <w:r w:rsidRPr="004C3686">
        <w:rPr>
          <w:szCs w:val="24"/>
          <w:lang w:val="fr-CA"/>
        </w:rPr>
        <w:t>95</w:t>
      </w:r>
      <w:r w:rsidRPr="0034750B">
        <w:rPr>
          <w:lang w:val="fr-FR"/>
        </w:rPr>
        <w:t>]</w:t>
      </w:r>
    </w:p>
    <w:p w:rsidR="000F48EC" w:rsidRPr="0034750B" w:rsidRDefault="000F48EC" w:rsidP="00697085">
      <w:pPr>
        <w:tabs>
          <w:tab w:val="left" w:pos="1620"/>
        </w:tabs>
        <w:spacing w:after="240"/>
        <w:ind w:left="1170" w:hanging="1170"/>
        <w:jc w:val="both"/>
        <w:rPr>
          <w:lang w:val="fr-FR"/>
        </w:rPr>
      </w:pPr>
      <w:r w:rsidRPr="0034750B">
        <w:rPr>
          <w:lang w:val="fr-FR"/>
        </w:rPr>
        <w:tab/>
      </w:r>
      <w:r w:rsidR="00697085">
        <w:rPr>
          <w:lang w:val="fr-FR"/>
        </w:rPr>
        <w:tab/>
        <w:t>(6) </w:t>
      </w:r>
      <w:r w:rsidRPr="004C3686">
        <w:rPr>
          <w:szCs w:val="24"/>
          <w:lang w:val="fr-CA"/>
        </w:rPr>
        <w:t xml:space="preserve">À la suite du dépôt au Parlement du rapport d’évaluation actuarielle visé à l’article 45 concernant l’état du compte de pension de retraite et la situation du Fonds de placement du compte de pension de retraite de la fonction publique, est porté au crédit du compte, selon les modalités de temps et autres prévues au paragraphe (7), le montant que, de l’avis du ministre, il faudra ajouter, à la fin du quinzième exercice suivant le dépôt du rapport ou de la période plus courte que détermine le ministre, au solde créditeur que devrait alors, suivant l’estimation de </w:t>
      </w:r>
      <w:proofErr w:type="spellStart"/>
      <w:r w:rsidRPr="004C3686">
        <w:rPr>
          <w:szCs w:val="24"/>
          <w:lang w:val="fr-CA"/>
        </w:rPr>
        <w:t>celui</w:t>
      </w:r>
      <w:r>
        <w:rPr>
          <w:szCs w:val="24"/>
          <w:lang w:val="fr-CA"/>
        </w:rPr>
        <w:noBreakHyphen/>
      </w:r>
      <w:r w:rsidRPr="004C3686">
        <w:rPr>
          <w:szCs w:val="24"/>
          <w:lang w:val="fr-CA"/>
        </w:rPr>
        <w:t>ci</w:t>
      </w:r>
      <w:proofErr w:type="spellEnd"/>
      <w:r w:rsidRPr="004C3686">
        <w:rPr>
          <w:szCs w:val="24"/>
          <w:lang w:val="fr-CA"/>
        </w:rPr>
        <w:t>, avoir le compte et le fonds pour couvrir le coût des prestations payables en application de la présente partie et de la partie III au titre du service ouvrant droit à pension qui est au crédit des contributeurs avant le 1</w:t>
      </w:r>
      <w:r w:rsidRPr="004C3686">
        <w:rPr>
          <w:szCs w:val="24"/>
          <w:vertAlign w:val="superscript"/>
          <w:lang w:val="fr-CA"/>
        </w:rPr>
        <w:t>er</w:t>
      </w:r>
      <w:r w:rsidRPr="004C3686">
        <w:rPr>
          <w:szCs w:val="24"/>
          <w:lang w:val="fr-CA"/>
        </w:rPr>
        <w:t xml:space="preserve"> avril 2000</w:t>
      </w:r>
      <w:r w:rsidRPr="0034750B">
        <w:rPr>
          <w:lang w:val="fr-FR"/>
        </w:rPr>
        <w:t>.</w:t>
      </w:r>
    </w:p>
    <w:p w:rsidR="000F48EC" w:rsidRPr="0034750B" w:rsidRDefault="000F48EC" w:rsidP="00697085">
      <w:pPr>
        <w:tabs>
          <w:tab w:val="left" w:pos="1620"/>
        </w:tabs>
        <w:spacing w:after="240"/>
        <w:ind w:left="1170" w:hanging="1170"/>
        <w:jc w:val="both"/>
        <w:rPr>
          <w:lang w:val="fr-FR"/>
        </w:rPr>
      </w:pPr>
      <w:r w:rsidRPr="0034750B">
        <w:rPr>
          <w:lang w:val="fr-FR"/>
        </w:rPr>
        <w:tab/>
      </w:r>
      <w:r w:rsidR="00697085">
        <w:rPr>
          <w:lang w:val="fr-FR"/>
        </w:rPr>
        <w:tab/>
        <w:t>(7) </w:t>
      </w:r>
      <w:r w:rsidRPr="004C3686">
        <w:rPr>
          <w:szCs w:val="24"/>
          <w:lang w:val="fr-CA"/>
        </w:rPr>
        <w:t>Sous réserve du paragraphe (8), le montant qu’il faudra ajouter au solde créditeur du compte de pension de retraite, en application du paragraphe (6), est porté au crédit du compte par versements annuels égaux échelonnés sur une période de quinze ans ou sur la période plus courte que détermine le ministre, le premier versement devant être porté au crédit du compte au cours de l’exercice où le rapport d’évaluation actuarielle est déposé au Parlement</w:t>
      </w:r>
      <w:r w:rsidRPr="0034750B">
        <w:rPr>
          <w:lang w:val="fr-FR"/>
        </w:rPr>
        <w:t>.</w:t>
      </w:r>
    </w:p>
    <w:p w:rsidR="000F48EC" w:rsidRPr="0034750B" w:rsidRDefault="000F48EC" w:rsidP="00697085">
      <w:pPr>
        <w:tabs>
          <w:tab w:val="left" w:pos="1620"/>
        </w:tabs>
        <w:spacing w:after="240"/>
        <w:ind w:left="1170" w:hanging="1170"/>
        <w:jc w:val="both"/>
        <w:rPr>
          <w:lang w:val="fr-FR"/>
        </w:rPr>
      </w:pPr>
      <w:r w:rsidRPr="0034750B">
        <w:rPr>
          <w:lang w:val="fr-FR"/>
        </w:rPr>
        <w:tab/>
      </w:r>
      <w:r w:rsidR="00697085">
        <w:rPr>
          <w:lang w:val="fr-FR"/>
        </w:rPr>
        <w:tab/>
        <w:t>(8) </w:t>
      </w:r>
      <w:r w:rsidRPr="004C3686">
        <w:rPr>
          <w:szCs w:val="24"/>
          <w:lang w:val="fr-CA"/>
        </w:rPr>
        <w:t xml:space="preserve">Lorsqu’un nouveau rapport d’évaluation actuarielle est déposé au Parlement avant la fin de la période applicable aux termes du paragraphe (7), les versements qui restaient à effectuer au cours de cette période peuvent être ajustés compte tenu du montant que le ministre estime, à la date du dépôt de ce rapport, être celui qu’il faudra ajouter au solde créditeur que, suivant l’estimation de </w:t>
      </w:r>
      <w:proofErr w:type="spellStart"/>
      <w:r w:rsidRPr="004C3686">
        <w:rPr>
          <w:szCs w:val="24"/>
          <w:lang w:val="fr-CA"/>
        </w:rPr>
        <w:t>celui</w:t>
      </w:r>
      <w:r>
        <w:rPr>
          <w:szCs w:val="24"/>
          <w:lang w:val="fr-CA"/>
        </w:rPr>
        <w:noBreakHyphen/>
      </w:r>
      <w:r w:rsidRPr="004C3686">
        <w:rPr>
          <w:szCs w:val="24"/>
          <w:lang w:val="fr-CA"/>
        </w:rPr>
        <w:t>ci</w:t>
      </w:r>
      <w:proofErr w:type="spellEnd"/>
      <w:r w:rsidRPr="004C3686">
        <w:rPr>
          <w:szCs w:val="24"/>
          <w:lang w:val="fr-CA"/>
        </w:rPr>
        <w:t>, devrait avoir le compte de pension de retraite et le Fonds de placement du compte de pension de retraite de la fonction publique à la fin de cette période pour couvrir le coût des prestations payables en application de la présente partie et de la partie III au titre du service ouvrant droit à pension qui est au crédit des contributeurs avant le 1</w:t>
      </w:r>
      <w:r w:rsidRPr="004C3686">
        <w:rPr>
          <w:szCs w:val="24"/>
          <w:vertAlign w:val="superscript"/>
          <w:lang w:val="fr-CA"/>
        </w:rPr>
        <w:t>er</w:t>
      </w:r>
      <w:r w:rsidRPr="004C3686">
        <w:rPr>
          <w:szCs w:val="24"/>
          <w:lang w:val="fr-CA"/>
        </w:rPr>
        <w:t xml:space="preserve"> avril 2000</w:t>
      </w:r>
      <w:r w:rsidRPr="0034750B">
        <w:rPr>
          <w:lang w:val="fr-FR"/>
        </w:rPr>
        <w:t>.</w:t>
      </w:r>
    </w:p>
    <w:p w:rsidR="000F48EC" w:rsidRPr="0034750B" w:rsidRDefault="000F48EC" w:rsidP="00697085">
      <w:pPr>
        <w:tabs>
          <w:tab w:val="left" w:pos="1620"/>
        </w:tabs>
        <w:spacing w:after="240"/>
        <w:ind w:left="1170" w:hanging="1170"/>
        <w:jc w:val="both"/>
        <w:rPr>
          <w:lang w:val="fr-FR"/>
        </w:rPr>
      </w:pPr>
      <w:r w:rsidRPr="0034750B">
        <w:rPr>
          <w:lang w:val="fr-FR"/>
        </w:rPr>
        <w:tab/>
      </w:r>
      <w:r w:rsidR="00697085">
        <w:rPr>
          <w:lang w:val="fr-FR"/>
        </w:rPr>
        <w:tab/>
        <w:t>(9) </w:t>
      </w:r>
      <w:r w:rsidRPr="004C3686">
        <w:rPr>
          <w:szCs w:val="24"/>
          <w:lang w:val="fr-CA"/>
        </w:rPr>
        <w:t xml:space="preserve">À la suite du dépôt au Parlement du rapport d’évaluation actuarielle visé à l’article 45 concernant l’état du compte de pension de retraite et la situation du Fonds de placement du compte de pension de retraite de la fonction publique, peut être porté au débit du compte, selon les modalités de temps et autres prévues au paragraphe (11), le montant qui, de l’avis du ministre, dépasse le montant devant, à son avis — fondé sur le rapport —, être au crédit du compte et du fonds, à la fin du quinzième exercice suivant le dépôt du rapport ou de la période plus </w:t>
      </w:r>
      <w:r w:rsidRPr="004C3686">
        <w:rPr>
          <w:szCs w:val="24"/>
          <w:lang w:val="fr-CA"/>
        </w:rPr>
        <w:lastRenderedPageBreak/>
        <w:t>courte qu’il détermine, pour couvrir le coût des prestations payables en application de la présente partie et de la partie III au titre du service ouvrant droit à pension qui est au crédit des contributeurs avant le 1</w:t>
      </w:r>
      <w:r w:rsidRPr="004C3686">
        <w:rPr>
          <w:szCs w:val="24"/>
          <w:vertAlign w:val="superscript"/>
          <w:lang w:val="fr-CA"/>
        </w:rPr>
        <w:t>er</w:t>
      </w:r>
      <w:r w:rsidRPr="004C3686">
        <w:rPr>
          <w:szCs w:val="24"/>
          <w:lang w:val="fr-CA"/>
        </w:rPr>
        <w:t xml:space="preserve"> avril 2000</w:t>
      </w:r>
      <w:r w:rsidRPr="0034750B">
        <w:rPr>
          <w:lang w:val="fr-FR"/>
        </w:rPr>
        <w:t>.</w:t>
      </w:r>
    </w:p>
    <w:p w:rsidR="000F48EC" w:rsidRPr="0034750B" w:rsidRDefault="000F48EC" w:rsidP="00697085">
      <w:pPr>
        <w:tabs>
          <w:tab w:val="left" w:pos="1620"/>
        </w:tabs>
        <w:spacing w:after="240"/>
        <w:ind w:left="1170" w:hanging="1170"/>
        <w:jc w:val="both"/>
        <w:rPr>
          <w:lang w:val="fr-FR"/>
        </w:rPr>
      </w:pPr>
      <w:r w:rsidRPr="0034750B">
        <w:rPr>
          <w:lang w:val="fr-FR"/>
        </w:rPr>
        <w:tab/>
      </w:r>
      <w:r w:rsidR="00697085">
        <w:rPr>
          <w:lang w:val="fr-FR"/>
        </w:rPr>
        <w:tab/>
        <w:t>(10) </w:t>
      </w:r>
      <w:r w:rsidRPr="004C3686">
        <w:rPr>
          <w:szCs w:val="24"/>
          <w:lang w:val="fr-CA"/>
        </w:rPr>
        <w:t>Si le montant total au crédit du compte et du fonds visés au paragraphe (9) dépasse, à la suite du dépôt du rapport, le montant maximum visé au paragraphe (13), le montant est porté au débit du compte selon les modalités de temps et autres prévues au paragraphe (11)</w:t>
      </w:r>
      <w:r w:rsidRPr="0034750B">
        <w:rPr>
          <w:lang w:val="fr-FR"/>
        </w:rPr>
        <w:t>.</w:t>
      </w:r>
    </w:p>
    <w:p w:rsidR="000F48EC" w:rsidRPr="0034750B" w:rsidRDefault="000F48EC" w:rsidP="00697085">
      <w:pPr>
        <w:tabs>
          <w:tab w:val="left" w:pos="1620"/>
        </w:tabs>
        <w:spacing w:after="240"/>
        <w:ind w:left="1170" w:hanging="1170"/>
        <w:jc w:val="both"/>
        <w:rPr>
          <w:lang w:val="fr-FR"/>
        </w:rPr>
      </w:pPr>
      <w:r w:rsidRPr="0034750B">
        <w:rPr>
          <w:lang w:val="fr-FR"/>
        </w:rPr>
        <w:tab/>
      </w:r>
      <w:r w:rsidR="00697085">
        <w:rPr>
          <w:lang w:val="fr-FR"/>
        </w:rPr>
        <w:tab/>
        <w:t>(11) </w:t>
      </w:r>
      <w:r w:rsidRPr="004C3686">
        <w:rPr>
          <w:szCs w:val="24"/>
          <w:lang w:val="fr-CA"/>
        </w:rPr>
        <w:t>Sous réserve du paragraphe (12), le montant pouvant être porté au débit du compte en application du paragraphe (9) et celui devant l’être en application du paragraphe (10) sont prélevés annuellement sur une période de quinze ans ou sur la période plus courte que détermine le ministre, le premier prélèvement devant être effectué au cours de l’exercice où le rapport d’évaluation actuarielle est déposé au Parlement</w:t>
      </w:r>
      <w:r w:rsidRPr="0034750B">
        <w:rPr>
          <w:lang w:val="fr-FR"/>
        </w:rPr>
        <w:t>.</w:t>
      </w:r>
    </w:p>
    <w:p w:rsidR="000F48EC" w:rsidRPr="0034750B" w:rsidRDefault="000F48EC" w:rsidP="00697085">
      <w:pPr>
        <w:tabs>
          <w:tab w:val="left" w:pos="1620"/>
        </w:tabs>
        <w:spacing w:after="240"/>
        <w:ind w:left="1170" w:hanging="1170"/>
        <w:jc w:val="both"/>
        <w:rPr>
          <w:lang w:val="fr-FR"/>
        </w:rPr>
      </w:pPr>
      <w:r w:rsidRPr="0034750B">
        <w:rPr>
          <w:lang w:val="fr-FR"/>
        </w:rPr>
        <w:tab/>
      </w:r>
      <w:r w:rsidR="00697085">
        <w:rPr>
          <w:lang w:val="fr-FR"/>
        </w:rPr>
        <w:tab/>
        <w:t>(12) </w:t>
      </w:r>
      <w:r w:rsidRPr="004C3686">
        <w:rPr>
          <w:szCs w:val="24"/>
          <w:lang w:val="fr-CA"/>
        </w:rPr>
        <w:t xml:space="preserve">Lorsqu’un nouveau rapport d’évaluation actuarielle est déposé au Parlement avant la fin de la période applicable aux termes du paragraphe (11), les prélèvements restant à effectuer au cours de cette période peuvent être ajustés compte tenu du montant que le ministre estime, à la date du dépôt de ce rapport, être celui qu’il faudra ajouter au solde créditeur que, suivant l’estimation de </w:t>
      </w:r>
      <w:proofErr w:type="spellStart"/>
      <w:r w:rsidRPr="004C3686">
        <w:rPr>
          <w:szCs w:val="24"/>
          <w:lang w:val="fr-CA"/>
        </w:rPr>
        <w:t>celui</w:t>
      </w:r>
      <w:r>
        <w:rPr>
          <w:szCs w:val="24"/>
          <w:lang w:val="fr-CA"/>
        </w:rPr>
        <w:noBreakHyphen/>
      </w:r>
      <w:r w:rsidRPr="004C3686">
        <w:rPr>
          <w:szCs w:val="24"/>
          <w:lang w:val="fr-CA"/>
        </w:rPr>
        <w:t>ci</w:t>
      </w:r>
      <w:proofErr w:type="spellEnd"/>
      <w:r w:rsidRPr="004C3686">
        <w:rPr>
          <w:szCs w:val="24"/>
          <w:lang w:val="fr-CA"/>
        </w:rPr>
        <w:t>, devrait avoir le compte de pension de retraite et le Fonds de placement du compte de pension de retraite de la fonction publique à la fin de cette période pour couvrir le coût des prestations payables en application de la présente partie et de la partie III au titre du service ouvrant droit à pension qui est au crédit des contributeurs avant le 1</w:t>
      </w:r>
      <w:r w:rsidRPr="004C3686">
        <w:rPr>
          <w:szCs w:val="24"/>
          <w:vertAlign w:val="superscript"/>
          <w:lang w:val="fr-CA"/>
        </w:rPr>
        <w:t>er</w:t>
      </w:r>
      <w:r w:rsidRPr="004C3686">
        <w:rPr>
          <w:szCs w:val="24"/>
          <w:lang w:val="fr-CA"/>
        </w:rPr>
        <w:t xml:space="preserve"> avril 2000</w:t>
      </w:r>
      <w:r w:rsidRPr="0034750B">
        <w:rPr>
          <w:lang w:val="fr-FR"/>
        </w:rPr>
        <w:t>.</w:t>
      </w:r>
    </w:p>
    <w:p w:rsidR="000F48EC" w:rsidRPr="0034750B" w:rsidRDefault="000F48EC" w:rsidP="00697085">
      <w:pPr>
        <w:tabs>
          <w:tab w:val="left" w:pos="1620"/>
        </w:tabs>
        <w:spacing w:after="240"/>
        <w:ind w:left="1170" w:hanging="1170"/>
        <w:jc w:val="both"/>
        <w:rPr>
          <w:lang w:val="fr-FR"/>
        </w:rPr>
      </w:pPr>
      <w:r w:rsidRPr="0034750B">
        <w:rPr>
          <w:lang w:val="fr-FR"/>
        </w:rPr>
        <w:tab/>
      </w:r>
      <w:r w:rsidR="00697085">
        <w:rPr>
          <w:lang w:val="fr-FR"/>
        </w:rPr>
        <w:tab/>
        <w:t>(13) </w:t>
      </w:r>
      <w:r w:rsidRPr="004C3686">
        <w:rPr>
          <w:szCs w:val="24"/>
          <w:lang w:val="fr-CA"/>
        </w:rPr>
        <w:t>À la fin de la période, le montant total au crédit du compte de pension de retraite et du Fonds de placement du compte de pension de retraite de la fonction publique ne peut dépasser cent dix pour cent du montant que le ministre estime nécessaire pour couvrir le coût des prestations payables en application de la présente partie et de la partie III au titre du service ouvrant droit à pension qui est au crédit des contributeurs avant le 1</w:t>
      </w:r>
      <w:r w:rsidRPr="004C3686">
        <w:rPr>
          <w:szCs w:val="24"/>
          <w:vertAlign w:val="superscript"/>
          <w:lang w:val="fr-CA"/>
        </w:rPr>
        <w:t>er</w:t>
      </w:r>
      <w:r w:rsidRPr="004C3686">
        <w:rPr>
          <w:szCs w:val="24"/>
          <w:lang w:val="fr-CA"/>
        </w:rPr>
        <w:t xml:space="preserve"> avril 2000</w:t>
      </w:r>
      <w:r w:rsidRPr="0034750B">
        <w:rPr>
          <w:lang w:val="fr-FR"/>
        </w:rPr>
        <w:t>.</w:t>
      </w:r>
    </w:p>
    <w:p w:rsidR="000F48EC" w:rsidRPr="0034750B" w:rsidRDefault="000F48EC" w:rsidP="00661517">
      <w:pPr>
        <w:tabs>
          <w:tab w:val="left" w:pos="1620"/>
        </w:tabs>
        <w:spacing w:after="720"/>
        <w:ind w:left="1166" w:hanging="1166"/>
        <w:jc w:val="both"/>
        <w:rPr>
          <w:lang w:val="fr-FR"/>
        </w:rPr>
      </w:pPr>
      <w:r w:rsidRPr="0034750B">
        <w:rPr>
          <w:lang w:val="fr-FR"/>
        </w:rPr>
        <w:tab/>
      </w:r>
      <w:r w:rsidR="00697085">
        <w:rPr>
          <w:lang w:val="fr-FR"/>
        </w:rPr>
        <w:tab/>
        <w:t>(14) </w:t>
      </w:r>
      <w:r w:rsidRPr="004C3686">
        <w:rPr>
          <w:szCs w:val="24"/>
          <w:lang w:val="fr-CA"/>
        </w:rPr>
        <w:t xml:space="preserve">Les coûts liés à l’application de la présente loi en ce qui touche les prestations payables en application de </w:t>
      </w:r>
      <w:proofErr w:type="spellStart"/>
      <w:r w:rsidRPr="004C3686">
        <w:rPr>
          <w:szCs w:val="24"/>
          <w:lang w:val="fr-CA"/>
        </w:rPr>
        <w:t>celle</w:t>
      </w:r>
      <w:r>
        <w:rPr>
          <w:szCs w:val="24"/>
          <w:lang w:val="fr-CA"/>
        </w:rPr>
        <w:noBreakHyphen/>
      </w:r>
      <w:r w:rsidRPr="004C3686">
        <w:rPr>
          <w:szCs w:val="24"/>
          <w:lang w:val="fr-CA"/>
        </w:rPr>
        <w:t>ci</w:t>
      </w:r>
      <w:proofErr w:type="spellEnd"/>
      <w:r w:rsidRPr="004C3686">
        <w:rPr>
          <w:szCs w:val="24"/>
          <w:lang w:val="fr-CA"/>
        </w:rPr>
        <w:t xml:space="preserve"> au titre du service ouvrant droit à pension qui est au crédit des contributeurs avant le 1</w:t>
      </w:r>
      <w:r w:rsidRPr="004C3686">
        <w:rPr>
          <w:szCs w:val="24"/>
          <w:vertAlign w:val="superscript"/>
          <w:lang w:val="fr-CA"/>
        </w:rPr>
        <w:t>er</w:t>
      </w:r>
      <w:r w:rsidRPr="004C3686">
        <w:rPr>
          <w:szCs w:val="24"/>
          <w:lang w:val="fr-CA"/>
        </w:rPr>
        <w:t xml:space="preserve"> avril 2000 sont payés sur le compte de pension de retraite. Ces coûts sont fixés par le Conseil du Trésor</w:t>
      </w:r>
      <w:r w:rsidRPr="0034750B">
        <w:rPr>
          <w:lang w:val="fr-FR"/>
        </w:rPr>
        <w:t>.</w:t>
      </w:r>
    </w:p>
    <w:p w:rsidR="000F48EC" w:rsidRPr="0034750B" w:rsidRDefault="000F48EC" w:rsidP="00661517">
      <w:pPr>
        <w:spacing w:after="480"/>
        <w:jc w:val="both"/>
        <w:rPr>
          <w:lang w:val="fr-FR"/>
        </w:rPr>
      </w:pPr>
      <w:r w:rsidRPr="004C3686">
        <w:rPr>
          <w:bCs/>
          <w:i/>
          <w:szCs w:val="24"/>
          <w:lang w:val="fr-CA"/>
        </w:rPr>
        <w:lastRenderedPageBreak/>
        <w:t>Loi sur l’Office d’investissement des régimes de pensions du secteur public</w:t>
      </w:r>
      <w:r w:rsidRPr="004C3686">
        <w:rPr>
          <w:bCs/>
          <w:szCs w:val="24"/>
          <w:lang w:val="fr-CA"/>
        </w:rPr>
        <w:t xml:space="preserve">, L.C. 1999, </w:t>
      </w:r>
      <w:r>
        <w:rPr>
          <w:bCs/>
          <w:szCs w:val="24"/>
          <w:lang w:val="fr-CA"/>
        </w:rPr>
        <w:t>ch. </w:t>
      </w:r>
      <w:r w:rsidRPr="004C3686">
        <w:rPr>
          <w:bCs/>
          <w:szCs w:val="24"/>
          <w:lang w:val="fr-CA"/>
        </w:rPr>
        <w:t>34</w:t>
      </w:r>
    </w:p>
    <w:p w:rsidR="000F48EC" w:rsidRPr="004C3686" w:rsidRDefault="000F48EC" w:rsidP="00661517">
      <w:pPr>
        <w:tabs>
          <w:tab w:val="left" w:pos="1620"/>
        </w:tabs>
        <w:spacing w:after="240"/>
        <w:ind w:left="1170" w:hanging="1170"/>
        <w:jc w:val="both"/>
        <w:rPr>
          <w:szCs w:val="24"/>
          <w:lang w:val="fr-CA"/>
        </w:rPr>
      </w:pPr>
      <w:r w:rsidRPr="0034750B">
        <w:rPr>
          <w:b/>
          <w:lang w:val="fr-FR"/>
        </w:rPr>
        <w:tab/>
      </w:r>
      <w:r w:rsidR="00661517">
        <w:rPr>
          <w:b/>
          <w:lang w:val="fr-FR"/>
        </w:rPr>
        <w:tab/>
      </w:r>
      <w:r w:rsidRPr="00882D52">
        <w:rPr>
          <w:b/>
          <w:lang w:val="fr-FR"/>
        </w:rPr>
        <w:t>4.</w:t>
      </w:r>
      <w:r w:rsidR="00661517">
        <w:rPr>
          <w:lang w:val="fr-FR"/>
        </w:rPr>
        <w:t xml:space="preserve"> (1) </w:t>
      </w:r>
      <w:r w:rsidRPr="004C3686">
        <w:rPr>
          <w:szCs w:val="24"/>
          <w:lang w:val="fr-CA"/>
        </w:rPr>
        <w:t xml:space="preserve">L’Office a </w:t>
      </w:r>
      <w:r w:rsidRPr="00FD64B3">
        <w:rPr>
          <w:lang w:val="fr-CA"/>
        </w:rPr>
        <w:t>pour</w:t>
      </w:r>
      <w:r w:rsidRPr="004C3686">
        <w:rPr>
          <w:szCs w:val="24"/>
          <w:lang w:val="fr-CA"/>
        </w:rPr>
        <w:t xml:space="preserve"> mission</w:t>
      </w:r>
      <w:r>
        <w:rPr>
          <w:szCs w:val="24"/>
          <w:lang w:val="fr-CA"/>
        </w:rPr>
        <w:t> :</w:t>
      </w:r>
    </w:p>
    <w:p w:rsidR="000F48EC" w:rsidRPr="00087EE1" w:rsidRDefault="00661517" w:rsidP="00661517">
      <w:pPr>
        <w:tabs>
          <w:tab w:val="left" w:pos="1170"/>
          <w:tab w:val="left" w:pos="1620"/>
        </w:tabs>
        <w:spacing w:after="240"/>
        <w:ind w:left="1620" w:hanging="1620"/>
        <w:jc w:val="both"/>
        <w:rPr>
          <w:lang w:val="fr-FR"/>
        </w:rPr>
      </w:pPr>
      <w:r>
        <w:rPr>
          <w:i/>
          <w:lang w:val="fr-FR"/>
        </w:rPr>
        <w:tab/>
      </w:r>
      <w:r>
        <w:rPr>
          <w:i/>
          <w:lang w:val="fr-FR"/>
        </w:rPr>
        <w:tab/>
      </w:r>
      <w:r w:rsidR="000F48EC" w:rsidRPr="00087EE1">
        <w:rPr>
          <w:i/>
          <w:lang w:val="fr-FR"/>
        </w:rPr>
        <w:t>a</w:t>
      </w:r>
      <w:r>
        <w:rPr>
          <w:lang w:val="fr-FR"/>
        </w:rPr>
        <w:t>) </w:t>
      </w:r>
      <w:r w:rsidR="000F48EC" w:rsidRPr="004C3686">
        <w:rPr>
          <w:szCs w:val="24"/>
          <w:lang w:val="fr-CA"/>
        </w:rPr>
        <w:t xml:space="preserve">de gérer, dans </w:t>
      </w:r>
      <w:r w:rsidR="000F48EC" w:rsidRPr="00661517">
        <w:rPr>
          <w:lang w:val="fr-CA"/>
        </w:rPr>
        <w:t>l’intérêt</w:t>
      </w:r>
      <w:r w:rsidR="000F48EC" w:rsidRPr="004C3686">
        <w:rPr>
          <w:szCs w:val="24"/>
          <w:lang w:val="fr-CA"/>
        </w:rPr>
        <w:t xml:space="preserve"> des contributeurs et des bénéficiaires des régimes en cause, les sommes transférées en application des paragraphes 54(2) et 55.2(5) et de l’article 59.4 de la </w:t>
      </w:r>
      <w:r w:rsidR="000F48EC" w:rsidRPr="004C3686">
        <w:rPr>
          <w:i/>
          <w:iCs/>
          <w:szCs w:val="24"/>
          <w:lang w:val="fr-CA"/>
        </w:rPr>
        <w:t>Loi sur la pension de retraite des Forces canadiennes</w:t>
      </w:r>
      <w:r w:rsidR="000F48EC" w:rsidRPr="004C3686">
        <w:rPr>
          <w:szCs w:val="24"/>
          <w:lang w:val="fr-CA"/>
        </w:rPr>
        <w:t xml:space="preserve">, des paragraphes 43(2) et 44.2(5) de la </w:t>
      </w:r>
      <w:r w:rsidR="000F48EC" w:rsidRPr="004C3686">
        <w:rPr>
          <w:i/>
          <w:iCs/>
          <w:szCs w:val="24"/>
          <w:lang w:val="fr-CA"/>
        </w:rPr>
        <w:t>Loi sur la pension de la fonction publique</w:t>
      </w:r>
      <w:r w:rsidR="000F48EC" w:rsidRPr="004C3686">
        <w:rPr>
          <w:szCs w:val="24"/>
          <w:lang w:val="fr-CA"/>
        </w:rPr>
        <w:t xml:space="preserve"> et des paragraphes 28(2) et 29.2(5) de la </w:t>
      </w:r>
      <w:r w:rsidR="000F48EC" w:rsidRPr="004C3686">
        <w:rPr>
          <w:i/>
          <w:iCs/>
          <w:szCs w:val="24"/>
          <w:lang w:val="fr-CA"/>
        </w:rPr>
        <w:t>Loi sur la pension de retraite de la Gendarmerie royale du Canada</w:t>
      </w:r>
      <w:r w:rsidR="000F48EC" w:rsidRPr="00087EE1">
        <w:rPr>
          <w:lang w:val="fr-FR"/>
        </w:rPr>
        <w:t xml:space="preserve">; </w:t>
      </w:r>
    </w:p>
    <w:p w:rsidR="000F48EC" w:rsidRPr="00087EE1" w:rsidRDefault="00661517" w:rsidP="00661517">
      <w:pPr>
        <w:tabs>
          <w:tab w:val="left" w:pos="1170"/>
          <w:tab w:val="left" w:pos="1620"/>
        </w:tabs>
        <w:spacing w:after="240"/>
        <w:ind w:left="1620" w:hanging="1620"/>
        <w:jc w:val="both"/>
        <w:rPr>
          <w:lang w:val="fr-FR"/>
        </w:rPr>
      </w:pPr>
      <w:r>
        <w:rPr>
          <w:i/>
          <w:lang w:val="fr-FR"/>
        </w:rPr>
        <w:tab/>
      </w:r>
      <w:r>
        <w:rPr>
          <w:i/>
          <w:lang w:val="fr-FR"/>
        </w:rPr>
        <w:tab/>
      </w:r>
      <w:r w:rsidR="000F48EC" w:rsidRPr="00087EE1">
        <w:rPr>
          <w:i/>
          <w:lang w:val="fr-FR"/>
        </w:rPr>
        <w:t>b</w:t>
      </w:r>
      <w:r>
        <w:rPr>
          <w:lang w:val="fr-FR"/>
        </w:rPr>
        <w:t>) </w:t>
      </w:r>
      <w:r w:rsidR="000F48EC" w:rsidRPr="001A1E3F">
        <w:rPr>
          <w:szCs w:val="24"/>
          <w:lang w:val="fr-CA"/>
        </w:rPr>
        <w:t xml:space="preserve">de placer son actif en vue d’un rendement maximal tout en évitant des risques de perte indus et compte tenu du financement et des principes et exigences des régimes ainsi que de l’aptitude de </w:t>
      </w:r>
      <w:proofErr w:type="spellStart"/>
      <w:r w:rsidR="000F48EC" w:rsidRPr="001A1E3F">
        <w:rPr>
          <w:szCs w:val="24"/>
          <w:lang w:val="fr-CA"/>
        </w:rPr>
        <w:t>ceux</w:t>
      </w:r>
      <w:r w:rsidR="000F48EC">
        <w:rPr>
          <w:szCs w:val="24"/>
          <w:lang w:val="fr-CA"/>
        </w:rPr>
        <w:noBreakHyphen/>
      </w:r>
      <w:r w:rsidR="000F48EC" w:rsidRPr="001A1E3F">
        <w:rPr>
          <w:szCs w:val="24"/>
          <w:lang w:val="fr-CA"/>
        </w:rPr>
        <w:t>ci</w:t>
      </w:r>
      <w:proofErr w:type="spellEnd"/>
      <w:r w:rsidR="000F48EC" w:rsidRPr="001A1E3F">
        <w:rPr>
          <w:szCs w:val="24"/>
          <w:lang w:val="fr-CA"/>
        </w:rPr>
        <w:t xml:space="preserve"> à s’acquitter de leurs obligations financières</w:t>
      </w:r>
      <w:r w:rsidR="000F48EC" w:rsidRPr="00087EE1">
        <w:rPr>
          <w:lang w:val="fr-FR"/>
        </w:rPr>
        <w:t>.</w:t>
      </w:r>
    </w:p>
    <w:p w:rsidR="000F48EC" w:rsidRPr="00087EE1" w:rsidRDefault="000F48EC" w:rsidP="00661517">
      <w:pPr>
        <w:tabs>
          <w:tab w:val="left" w:pos="1620"/>
        </w:tabs>
        <w:spacing w:after="240"/>
        <w:ind w:left="1170" w:hanging="1170"/>
        <w:jc w:val="both"/>
        <w:rPr>
          <w:lang w:val="fr-FR"/>
        </w:rPr>
      </w:pPr>
      <w:r w:rsidRPr="00087EE1">
        <w:rPr>
          <w:lang w:val="fr-FR"/>
        </w:rPr>
        <w:tab/>
      </w:r>
      <w:r w:rsidR="00661517">
        <w:rPr>
          <w:lang w:val="fr-FR"/>
        </w:rPr>
        <w:tab/>
        <w:t>(2) </w:t>
      </w:r>
      <w:r w:rsidRPr="004C3686">
        <w:rPr>
          <w:szCs w:val="24"/>
          <w:lang w:val="fr-CA"/>
        </w:rPr>
        <w:t xml:space="preserve">Les coûts liés à la </w:t>
      </w:r>
      <w:r w:rsidRPr="00661517">
        <w:rPr>
          <w:lang w:val="fr-CA"/>
        </w:rPr>
        <w:t>gestion</w:t>
      </w:r>
      <w:r w:rsidRPr="004C3686">
        <w:rPr>
          <w:szCs w:val="24"/>
          <w:lang w:val="fr-CA"/>
        </w:rPr>
        <w:t xml:space="preserve"> de l’Office sont payés sur les fonds</w:t>
      </w:r>
      <w:r w:rsidRPr="00087EE1">
        <w:rPr>
          <w:lang w:val="fr-FR"/>
        </w:rPr>
        <w:t>.</w:t>
      </w:r>
    </w:p>
    <w:p w:rsidR="000F48EC" w:rsidRPr="00087EE1" w:rsidRDefault="000F48EC" w:rsidP="00661517">
      <w:pPr>
        <w:tabs>
          <w:tab w:val="left" w:pos="1620"/>
        </w:tabs>
        <w:spacing w:after="720"/>
        <w:ind w:left="1166" w:hanging="1166"/>
        <w:jc w:val="both"/>
        <w:rPr>
          <w:lang w:val="fr-FR"/>
        </w:rPr>
      </w:pPr>
      <w:r w:rsidRPr="00087EE1">
        <w:rPr>
          <w:lang w:val="fr-FR"/>
        </w:rPr>
        <w:tab/>
      </w:r>
      <w:r w:rsidR="00661517">
        <w:rPr>
          <w:lang w:val="fr-FR"/>
        </w:rPr>
        <w:tab/>
        <w:t>(3) </w:t>
      </w:r>
      <w:r w:rsidRPr="004C3686">
        <w:rPr>
          <w:szCs w:val="24"/>
          <w:lang w:val="fr-CA"/>
        </w:rPr>
        <w:t xml:space="preserve">Le ministre détermine </w:t>
      </w:r>
      <w:r w:rsidRPr="00661517">
        <w:rPr>
          <w:lang w:val="fr-CA"/>
        </w:rPr>
        <w:t>sur</w:t>
      </w:r>
      <w:r w:rsidRPr="004C3686">
        <w:rPr>
          <w:szCs w:val="24"/>
          <w:lang w:val="fr-CA"/>
        </w:rPr>
        <w:t xml:space="preserve"> quels fonds les coûts sont payés. Aucune somme ne peut être payée en ce qui touche la Caisse de retraite des Forces canadiennes, le Fonds de placement du compte de pension de retraite des Forces canadiennes et, si des règlements sont pris en vertu de l’article 59.1 de la </w:t>
      </w:r>
      <w:r w:rsidRPr="004C3686">
        <w:rPr>
          <w:i/>
          <w:iCs/>
          <w:szCs w:val="24"/>
          <w:lang w:val="fr-CA"/>
        </w:rPr>
        <w:t>Loi sur la pension de retraite des Forces canadiennes</w:t>
      </w:r>
      <w:r w:rsidRPr="004C3686">
        <w:rPr>
          <w:szCs w:val="24"/>
          <w:lang w:val="fr-CA"/>
        </w:rPr>
        <w:t>, en ce qui touche le fonds visé à l’article 59.3 de cette loi sauf après consultation du ministre de la Défense nationale et, en ce qui touche la Caisse de retraite de la Gendarmerie royale du Canada et le Fonds de placement du compte de pension de retraite de la Gendarmerie royale du Canada, sauf après consultation du ministre de la Sécurité publique et de la Protection civile</w:t>
      </w:r>
      <w:r w:rsidRPr="00087EE1">
        <w:rPr>
          <w:lang w:val="fr-FR"/>
        </w:rPr>
        <w:t>.</w:t>
      </w:r>
    </w:p>
    <w:p w:rsidR="000F48EC" w:rsidRPr="00087EE1" w:rsidRDefault="000F48EC" w:rsidP="00661517">
      <w:pPr>
        <w:shd w:val="clear" w:color="auto" w:fill="FFFFFF"/>
        <w:spacing w:after="480"/>
        <w:rPr>
          <w:lang w:val="fr-FR"/>
        </w:rPr>
      </w:pPr>
      <w:r w:rsidRPr="004C3686">
        <w:rPr>
          <w:bCs/>
          <w:i/>
          <w:szCs w:val="24"/>
          <w:lang w:val="fr-CA"/>
        </w:rPr>
        <w:t>Loi sur les rapports relatifs aux pensions publiques</w:t>
      </w:r>
      <w:r w:rsidRPr="004C3686">
        <w:rPr>
          <w:bCs/>
          <w:szCs w:val="24"/>
          <w:lang w:val="fr-CA"/>
        </w:rPr>
        <w:t>,</w:t>
      </w:r>
      <w:r>
        <w:rPr>
          <w:bCs/>
          <w:szCs w:val="24"/>
          <w:lang w:val="fr-CA"/>
        </w:rPr>
        <w:t xml:space="preserve"> </w:t>
      </w:r>
      <w:r w:rsidR="00316630">
        <w:rPr>
          <w:bCs/>
          <w:szCs w:val="24"/>
          <w:lang w:val="fr-FR"/>
        </w:rPr>
        <w:t xml:space="preserve">L.R.C. </w:t>
      </w:r>
      <w:r w:rsidRPr="00087EE1">
        <w:rPr>
          <w:bCs/>
          <w:szCs w:val="24"/>
          <w:lang w:val="fr-FR"/>
        </w:rPr>
        <w:t xml:space="preserve">1985, </w:t>
      </w:r>
      <w:r>
        <w:rPr>
          <w:bCs/>
          <w:szCs w:val="24"/>
          <w:lang w:val="fr-FR"/>
        </w:rPr>
        <w:t>ch. </w:t>
      </w:r>
      <w:r w:rsidRPr="00087EE1">
        <w:rPr>
          <w:bCs/>
          <w:szCs w:val="24"/>
          <w:lang w:val="fr-FR"/>
        </w:rPr>
        <w:t>13 (2</w:t>
      </w:r>
      <w:r w:rsidRPr="00661517">
        <w:rPr>
          <w:bCs/>
          <w:szCs w:val="24"/>
          <w:vertAlign w:val="superscript"/>
          <w:lang w:val="fr-FR"/>
        </w:rPr>
        <w:t xml:space="preserve">e </w:t>
      </w:r>
      <w:r w:rsidRPr="00087EE1">
        <w:rPr>
          <w:bCs/>
          <w:szCs w:val="24"/>
          <w:lang w:val="fr-FR"/>
        </w:rPr>
        <w:t>suppl.)</w:t>
      </w:r>
    </w:p>
    <w:p w:rsidR="000F48EC" w:rsidRPr="00087EE1" w:rsidRDefault="000F48EC" w:rsidP="00661517">
      <w:pPr>
        <w:tabs>
          <w:tab w:val="left" w:pos="1620"/>
        </w:tabs>
        <w:spacing w:after="240"/>
        <w:ind w:left="1166" w:hanging="1166"/>
        <w:jc w:val="both"/>
        <w:rPr>
          <w:lang w:val="fr-FR"/>
        </w:rPr>
      </w:pPr>
      <w:r w:rsidRPr="00087EE1">
        <w:rPr>
          <w:b/>
          <w:lang w:val="fr-FR"/>
        </w:rPr>
        <w:tab/>
      </w:r>
      <w:r w:rsidR="00661517">
        <w:rPr>
          <w:b/>
          <w:lang w:val="fr-FR"/>
        </w:rPr>
        <w:tab/>
      </w:r>
      <w:r w:rsidRPr="00087EE1">
        <w:rPr>
          <w:b/>
          <w:lang w:val="fr-FR"/>
        </w:rPr>
        <w:t>7.</w:t>
      </w:r>
      <w:r w:rsidR="00661517">
        <w:rPr>
          <w:lang w:val="fr-FR"/>
        </w:rPr>
        <w:t> </w:t>
      </w:r>
      <w:r w:rsidRPr="004C3686">
        <w:rPr>
          <w:szCs w:val="24"/>
          <w:lang w:val="fr-CA"/>
        </w:rPr>
        <w:t>Lorsque la révision d’un régime de pensions se fait selon des hypothèses ou des méthodes actuarielles différentes de celles utilisées pour la dernière révision pour laquelle le certificat visé à l’article 5 a été présenté et que ces hypothèses ou méthodes différentes entraînent</w:t>
      </w:r>
      <w:r>
        <w:rPr>
          <w:szCs w:val="24"/>
          <w:lang w:val="fr-CA"/>
        </w:rPr>
        <w:t> :</w:t>
      </w:r>
    </w:p>
    <w:p w:rsidR="000F48EC" w:rsidRPr="00087EE1" w:rsidRDefault="00661517" w:rsidP="00661517">
      <w:pPr>
        <w:tabs>
          <w:tab w:val="left" w:pos="1170"/>
          <w:tab w:val="left" w:pos="1620"/>
        </w:tabs>
        <w:spacing w:after="240"/>
        <w:ind w:left="1620" w:hanging="1620"/>
        <w:jc w:val="both"/>
        <w:rPr>
          <w:lang w:val="fr-FR"/>
        </w:rPr>
      </w:pPr>
      <w:r>
        <w:rPr>
          <w:i/>
          <w:lang w:val="fr-FR"/>
        </w:rPr>
        <w:tab/>
      </w:r>
      <w:r>
        <w:rPr>
          <w:i/>
          <w:lang w:val="fr-FR"/>
        </w:rPr>
        <w:tab/>
      </w:r>
      <w:r w:rsidR="000F48EC" w:rsidRPr="00087EE1">
        <w:rPr>
          <w:i/>
          <w:lang w:val="fr-FR"/>
        </w:rPr>
        <w:t>a</w:t>
      </w:r>
      <w:r>
        <w:rPr>
          <w:lang w:val="fr-FR"/>
        </w:rPr>
        <w:t>) </w:t>
      </w:r>
      <w:r w:rsidR="000F48EC" w:rsidRPr="004C3686">
        <w:rPr>
          <w:szCs w:val="24"/>
          <w:lang w:val="fr-CA"/>
        </w:rPr>
        <w:t xml:space="preserve">soit une diminution du passif actuariel à long terme non capitalisé mais non un </w:t>
      </w:r>
      <w:r w:rsidR="000F48EC">
        <w:rPr>
          <w:szCs w:val="24"/>
          <w:lang w:val="fr-CA"/>
        </w:rPr>
        <w:t>excédent</w:t>
      </w:r>
      <w:r w:rsidR="000F48EC" w:rsidRPr="004C3686">
        <w:rPr>
          <w:szCs w:val="24"/>
          <w:lang w:val="fr-CA"/>
        </w:rPr>
        <w:t xml:space="preserve"> de l’actif à </w:t>
      </w:r>
      <w:r w:rsidR="000F48EC" w:rsidRPr="00661517">
        <w:rPr>
          <w:lang w:val="fr-CA"/>
        </w:rPr>
        <w:t>long</w:t>
      </w:r>
      <w:r w:rsidR="000F48EC" w:rsidRPr="004C3686">
        <w:rPr>
          <w:szCs w:val="24"/>
          <w:lang w:val="fr-CA"/>
        </w:rPr>
        <w:t xml:space="preserve"> terme sur le passif actuariel à long terme, les paiements spéciaux restants sont recalculés en multipliant chacun des montants par un coefficient, ayant pour </w:t>
      </w:r>
      <w:r w:rsidR="000F48EC" w:rsidRPr="004C3686">
        <w:rPr>
          <w:szCs w:val="24"/>
          <w:lang w:val="fr-CA"/>
        </w:rPr>
        <w:lastRenderedPageBreak/>
        <w:t>numérateur le passif actuariel à long terme non capitalisé et, pour dénominateur, la somme des valeurs actuelles des paiements spéciaux déjà déterminés lorsqu’elles sont calculées d’après les hypothèses actuarielles utilisées lors de la révision actuelle</w:t>
      </w:r>
      <w:r w:rsidR="000F48EC" w:rsidRPr="00087EE1">
        <w:rPr>
          <w:lang w:val="fr-FR"/>
        </w:rPr>
        <w:t xml:space="preserve">; </w:t>
      </w:r>
    </w:p>
    <w:p w:rsidR="000F48EC" w:rsidRPr="00087EE1" w:rsidRDefault="00661517" w:rsidP="00661517">
      <w:pPr>
        <w:tabs>
          <w:tab w:val="left" w:pos="1170"/>
          <w:tab w:val="left" w:pos="1620"/>
        </w:tabs>
        <w:spacing w:after="240"/>
        <w:ind w:left="1620" w:hanging="1620"/>
        <w:jc w:val="both"/>
        <w:rPr>
          <w:lang w:val="fr-FR"/>
        </w:rPr>
      </w:pPr>
      <w:r>
        <w:rPr>
          <w:i/>
          <w:lang w:val="fr-FR"/>
        </w:rPr>
        <w:tab/>
      </w:r>
      <w:r>
        <w:rPr>
          <w:i/>
          <w:lang w:val="fr-FR"/>
        </w:rPr>
        <w:tab/>
      </w:r>
      <w:r w:rsidR="000F48EC" w:rsidRPr="00087EE1">
        <w:rPr>
          <w:i/>
          <w:lang w:val="fr-FR"/>
        </w:rPr>
        <w:t>b</w:t>
      </w:r>
      <w:r w:rsidR="000F48EC" w:rsidRPr="00087EE1">
        <w:rPr>
          <w:lang w:val="fr-FR"/>
        </w:rPr>
        <w:t>)</w:t>
      </w:r>
      <w:r>
        <w:rPr>
          <w:lang w:val="fr-FR"/>
        </w:rPr>
        <w:t> </w:t>
      </w:r>
      <w:r w:rsidR="000F48EC" w:rsidRPr="004C3686">
        <w:rPr>
          <w:szCs w:val="24"/>
          <w:lang w:val="fr-CA"/>
        </w:rPr>
        <w:t xml:space="preserve">soit un </w:t>
      </w:r>
      <w:r w:rsidR="000F48EC">
        <w:rPr>
          <w:szCs w:val="24"/>
          <w:lang w:val="fr-CA"/>
        </w:rPr>
        <w:t>excédent</w:t>
      </w:r>
      <w:r w:rsidR="000F48EC" w:rsidRPr="004C3686">
        <w:rPr>
          <w:szCs w:val="24"/>
          <w:lang w:val="fr-CA"/>
        </w:rPr>
        <w:t xml:space="preserve"> de l’actif à long terme sur le passif actuariel à long terme, le rapport d’évaluation visé à l’article 6 comprend une déclaration quant à la méthode, s’il y a lieu, proposée pour l’élimination de cet </w:t>
      </w:r>
      <w:r w:rsidR="000F48EC">
        <w:rPr>
          <w:szCs w:val="24"/>
          <w:lang w:val="fr-CA"/>
        </w:rPr>
        <w:t>excédent</w:t>
      </w:r>
      <w:r w:rsidR="000F48EC" w:rsidRPr="00087EE1">
        <w:rPr>
          <w:lang w:val="fr-FR"/>
        </w:rPr>
        <w:t>.</w:t>
      </w:r>
    </w:p>
    <w:p w:rsidR="000F48EC" w:rsidRPr="00087EE1" w:rsidRDefault="000F48EC" w:rsidP="00661517">
      <w:pPr>
        <w:tabs>
          <w:tab w:val="left" w:pos="1620"/>
        </w:tabs>
        <w:spacing w:after="240"/>
        <w:ind w:left="1166" w:hanging="1166"/>
        <w:jc w:val="both"/>
        <w:rPr>
          <w:lang w:val="fr-FR"/>
        </w:rPr>
      </w:pPr>
      <w:r w:rsidRPr="00087EE1">
        <w:rPr>
          <w:b/>
          <w:lang w:val="fr-FR"/>
        </w:rPr>
        <w:tab/>
      </w:r>
      <w:r w:rsidR="00661517">
        <w:rPr>
          <w:b/>
          <w:lang w:val="fr-FR"/>
        </w:rPr>
        <w:tab/>
      </w:r>
      <w:r w:rsidRPr="00087EE1">
        <w:rPr>
          <w:b/>
          <w:lang w:val="fr-FR"/>
        </w:rPr>
        <w:t>8.</w:t>
      </w:r>
      <w:r w:rsidR="00661517">
        <w:rPr>
          <w:lang w:val="fr-FR"/>
        </w:rPr>
        <w:t xml:space="preserve"> (1) </w:t>
      </w:r>
      <w:r w:rsidRPr="004C3686">
        <w:rPr>
          <w:szCs w:val="24"/>
          <w:lang w:val="fr-CA"/>
        </w:rPr>
        <w:t xml:space="preserve">Le ministre fait certifier l’actif d’un régime de pensions établi en vertu de la </w:t>
      </w:r>
      <w:r w:rsidRPr="004C3686">
        <w:rPr>
          <w:i/>
          <w:iCs/>
          <w:szCs w:val="24"/>
          <w:lang w:val="fr-CA"/>
        </w:rPr>
        <w:t>Loi sur la pension de retraite des Forces canadiennes</w:t>
      </w:r>
      <w:r w:rsidRPr="004C3686">
        <w:rPr>
          <w:szCs w:val="24"/>
          <w:lang w:val="fr-CA"/>
        </w:rPr>
        <w:t xml:space="preserve">, </w:t>
      </w:r>
      <w:r w:rsidR="00661517">
        <w:rPr>
          <w:szCs w:val="24"/>
          <w:lang w:val="fr-CA"/>
        </w:rPr>
        <w:t>[</w:t>
      </w:r>
      <w:r w:rsidRPr="004C3686">
        <w:rPr>
          <w:szCs w:val="24"/>
          <w:lang w:val="fr-CA"/>
        </w:rPr>
        <w:t>. . .</w:t>
      </w:r>
      <w:r w:rsidR="00661517">
        <w:rPr>
          <w:szCs w:val="24"/>
          <w:lang w:val="fr-CA"/>
        </w:rPr>
        <w:t>]</w:t>
      </w:r>
      <w:r w:rsidRPr="004C3686">
        <w:rPr>
          <w:szCs w:val="24"/>
          <w:lang w:val="fr-CA"/>
        </w:rPr>
        <w:t xml:space="preserve"> la </w:t>
      </w:r>
      <w:r w:rsidRPr="004C3686">
        <w:rPr>
          <w:i/>
          <w:iCs/>
          <w:szCs w:val="24"/>
          <w:lang w:val="fr-CA"/>
        </w:rPr>
        <w:t>Loi sur la pension de la fonction publique</w:t>
      </w:r>
      <w:r w:rsidRPr="004C3686">
        <w:rPr>
          <w:szCs w:val="24"/>
          <w:lang w:val="fr-CA"/>
        </w:rPr>
        <w:t xml:space="preserve"> [</w:t>
      </w:r>
      <w:r>
        <w:rPr>
          <w:szCs w:val="24"/>
          <w:lang w:val="fr-CA"/>
        </w:rPr>
        <w:t>et</w:t>
      </w:r>
      <w:r w:rsidRPr="004C3686">
        <w:rPr>
          <w:szCs w:val="24"/>
          <w:lang w:val="fr-CA"/>
        </w:rPr>
        <w:t xml:space="preserve">] la </w:t>
      </w:r>
      <w:r w:rsidRPr="004C3686">
        <w:rPr>
          <w:i/>
          <w:iCs/>
          <w:szCs w:val="24"/>
          <w:lang w:val="fr-CA"/>
        </w:rPr>
        <w:t>Loi sur la pension de retraite de la Gendarmerie royale du Canada</w:t>
      </w:r>
      <w:r w:rsidRPr="004C3686">
        <w:rPr>
          <w:szCs w:val="24"/>
          <w:lang w:val="fr-CA"/>
        </w:rPr>
        <w:t xml:space="preserve"> </w:t>
      </w:r>
      <w:r w:rsidR="00661517">
        <w:rPr>
          <w:szCs w:val="24"/>
          <w:lang w:val="fr-CA"/>
        </w:rPr>
        <w:t>[</w:t>
      </w:r>
      <w:r w:rsidRPr="004C3686">
        <w:rPr>
          <w:szCs w:val="24"/>
          <w:lang w:val="fr-CA"/>
        </w:rPr>
        <w:t>. . .</w:t>
      </w:r>
      <w:r w:rsidR="00661517">
        <w:rPr>
          <w:szCs w:val="24"/>
          <w:lang w:val="fr-CA"/>
        </w:rPr>
        <w:t>]</w:t>
      </w:r>
      <w:r w:rsidRPr="004C3686">
        <w:rPr>
          <w:szCs w:val="24"/>
          <w:lang w:val="fr-CA"/>
        </w:rPr>
        <w:t xml:space="preserve"> et exige qu’un rapport à ce sujet lui soit présenté en même temps que le certificat de coût présenté conformément au paragraphe 5(1)</w:t>
      </w:r>
      <w:r w:rsidRPr="00087EE1">
        <w:rPr>
          <w:lang w:val="fr-FR"/>
        </w:rPr>
        <w:t>.</w:t>
      </w:r>
    </w:p>
    <w:p w:rsidR="000F48EC" w:rsidRPr="00087EE1" w:rsidRDefault="000F48EC" w:rsidP="00661517">
      <w:pPr>
        <w:tabs>
          <w:tab w:val="left" w:pos="1620"/>
        </w:tabs>
        <w:spacing w:after="240"/>
        <w:ind w:left="1166" w:hanging="1166"/>
        <w:jc w:val="both"/>
        <w:rPr>
          <w:lang w:val="fr-FR"/>
        </w:rPr>
      </w:pPr>
      <w:r w:rsidRPr="00087EE1">
        <w:rPr>
          <w:lang w:val="fr-FR"/>
        </w:rPr>
        <w:tab/>
      </w:r>
      <w:r w:rsidR="00661517">
        <w:rPr>
          <w:lang w:val="fr-FR"/>
        </w:rPr>
        <w:tab/>
        <w:t>(2) </w:t>
      </w:r>
      <w:r w:rsidRPr="004C3686">
        <w:rPr>
          <w:szCs w:val="24"/>
          <w:lang w:val="fr-CA"/>
        </w:rPr>
        <w:t>La certification et le rapport sur l’actif visés au paragraphe (1) sont faits par le contrôleur général du Canada</w:t>
      </w:r>
      <w:r w:rsidRPr="00087EE1">
        <w:rPr>
          <w:lang w:val="fr-FR"/>
        </w:rPr>
        <w:t>.</w:t>
      </w:r>
    </w:p>
    <w:p w:rsidR="000F48EC" w:rsidRPr="00087EE1" w:rsidRDefault="000F48EC" w:rsidP="00661517">
      <w:pPr>
        <w:tabs>
          <w:tab w:val="left" w:pos="1620"/>
        </w:tabs>
        <w:spacing w:after="720"/>
        <w:ind w:left="1166" w:hanging="1166"/>
        <w:jc w:val="both"/>
        <w:rPr>
          <w:lang w:val="fr-FR"/>
        </w:rPr>
      </w:pPr>
      <w:r w:rsidRPr="00087EE1">
        <w:rPr>
          <w:b/>
          <w:lang w:val="fr-FR"/>
        </w:rPr>
        <w:tab/>
      </w:r>
      <w:r w:rsidR="00661517">
        <w:rPr>
          <w:b/>
          <w:lang w:val="fr-FR"/>
        </w:rPr>
        <w:tab/>
      </w:r>
      <w:r w:rsidRPr="00087EE1">
        <w:rPr>
          <w:b/>
          <w:lang w:val="fr-FR"/>
        </w:rPr>
        <w:t>9.</w:t>
      </w:r>
      <w:r w:rsidR="00661517">
        <w:rPr>
          <w:lang w:val="fr-FR"/>
        </w:rPr>
        <w:t xml:space="preserve"> (1) </w:t>
      </w:r>
      <w:r w:rsidRPr="004C3686">
        <w:rPr>
          <w:szCs w:val="24"/>
          <w:lang w:val="fr-CA"/>
        </w:rPr>
        <w:t>Le ministre dépose au Parlement tout certificat de coût, rapport d’évaluation ou rapport sur l’actif qui lui est présenté en vertu de la présente loi, dans les trente jours de séance suivant leur présentation ou, si le Parlement ne siège pas, dans les trente premiers jours de séance ultérieurs</w:t>
      </w:r>
      <w:r w:rsidRPr="00087EE1">
        <w:rPr>
          <w:lang w:val="fr-FR"/>
        </w:rPr>
        <w:t>.</w:t>
      </w:r>
    </w:p>
    <w:p w:rsidR="000F48EC" w:rsidRPr="00087EE1" w:rsidRDefault="000F48EC" w:rsidP="00661517">
      <w:pPr>
        <w:spacing w:after="480"/>
        <w:jc w:val="both"/>
        <w:rPr>
          <w:lang w:val="fr-FR"/>
        </w:rPr>
      </w:pPr>
      <w:r w:rsidRPr="004C3686">
        <w:rPr>
          <w:bCs/>
          <w:i/>
          <w:kern w:val="36"/>
          <w:szCs w:val="24"/>
          <w:lang w:val="fr-CA"/>
        </w:rPr>
        <w:t>Loi sur la gestion des finances publiques</w:t>
      </w:r>
      <w:r w:rsidRPr="004C3686">
        <w:rPr>
          <w:bCs/>
          <w:kern w:val="36"/>
          <w:szCs w:val="24"/>
          <w:lang w:val="fr-CA"/>
        </w:rPr>
        <w:t xml:space="preserve">, </w:t>
      </w:r>
      <w:r w:rsidR="00661517">
        <w:rPr>
          <w:bCs/>
          <w:szCs w:val="24"/>
          <w:lang w:val="fr-CA"/>
        </w:rPr>
        <w:t>L.R.C. 1985</w:t>
      </w:r>
      <w:r w:rsidRPr="004C3686">
        <w:rPr>
          <w:bCs/>
          <w:szCs w:val="24"/>
          <w:lang w:val="fr-CA"/>
        </w:rPr>
        <w:t xml:space="preserve">, </w:t>
      </w:r>
      <w:r>
        <w:rPr>
          <w:bCs/>
          <w:szCs w:val="24"/>
          <w:lang w:val="fr-CA"/>
        </w:rPr>
        <w:t>ch. </w:t>
      </w:r>
      <w:r w:rsidRPr="004C3686">
        <w:rPr>
          <w:bCs/>
          <w:szCs w:val="24"/>
          <w:lang w:val="fr-CA"/>
        </w:rPr>
        <w:t>F</w:t>
      </w:r>
      <w:r w:rsidR="00661517">
        <w:rPr>
          <w:bCs/>
          <w:szCs w:val="24"/>
          <w:lang w:val="fr-CA"/>
        </w:rPr>
        <w:t>-</w:t>
      </w:r>
      <w:r w:rsidRPr="004C3686">
        <w:rPr>
          <w:bCs/>
          <w:szCs w:val="24"/>
          <w:lang w:val="fr-CA"/>
        </w:rPr>
        <w:t>11</w:t>
      </w:r>
    </w:p>
    <w:p w:rsidR="000F48EC" w:rsidRPr="00087EE1" w:rsidRDefault="000F48EC" w:rsidP="00661517">
      <w:pPr>
        <w:tabs>
          <w:tab w:val="left" w:pos="1620"/>
        </w:tabs>
        <w:spacing w:after="240"/>
        <w:ind w:left="1166" w:hanging="1166"/>
        <w:jc w:val="both"/>
        <w:rPr>
          <w:lang w:val="fr-FR"/>
        </w:rPr>
      </w:pPr>
      <w:r w:rsidRPr="00087EE1">
        <w:rPr>
          <w:b/>
          <w:lang w:val="fr-FR"/>
        </w:rPr>
        <w:tab/>
      </w:r>
      <w:r w:rsidR="00661517">
        <w:rPr>
          <w:b/>
          <w:lang w:val="fr-FR"/>
        </w:rPr>
        <w:tab/>
      </w:r>
      <w:r w:rsidRPr="00087EE1">
        <w:rPr>
          <w:b/>
          <w:lang w:val="fr-FR"/>
        </w:rPr>
        <w:t>2.</w:t>
      </w:r>
      <w:r w:rsidR="00661517">
        <w:rPr>
          <w:lang w:val="fr-FR"/>
        </w:rPr>
        <w:t> </w:t>
      </w:r>
      <w:r w:rsidRPr="004C3686">
        <w:rPr>
          <w:szCs w:val="24"/>
          <w:lang w:val="fr-CA"/>
        </w:rPr>
        <w:t>Les définitions qui suivent s’appliquent à la présente loi</w:t>
      </w:r>
      <w:r>
        <w:rPr>
          <w:szCs w:val="24"/>
          <w:lang w:val="fr-CA"/>
        </w:rPr>
        <w:t>.</w:t>
      </w:r>
    </w:p>
    <w:p w:rsidR="000F48EC" w:rsidRDefault="000F48EC" w:rsidP="000F48EC">
      <w:pPr>
        <w:spacing w:after="240"/>
        <w:jc w:val="center"/>
        <w:rPr>
          <w:lang w:val="fr-FR"/>
        </w:rPr>
      </w:pPr>
      <w:r>
        <w:rPr>
          <w:lang w:val="fr-FR"/>
        </w:rPr>
        <w:t>. </w:t>
      </w:r>
      <w:r w:rsidRPr="00882D52">
        <w:rPr>
          <w:lang w:val="fr-FR"/>
        </w:rPr>
        <w:t>.</w:t>
      </w:r>
      <w:r>
        <w:rPr>
          <w:lang w:val="fr-FR"/>
        </w:rPr>
        <w:t> </w:t>
      </w:r>
      <w:r w:rsidRPr="00882D52">
        <w:rPr>
          <w:lang w:val="fr-FR"/>
        </w:rPr>
        <w:t>.</w:t>
      </w:r>
    </w:p>
    <w:p w:rsidR="000F48EC" w:rsidRPr="00882D52" w:rsidRDefault="00661517" w:rsidP="00661517">
      <w:pPr>
        <w:tabs>
          <w:tab w:val="left" w:pos="1170"/>
          <w:tab w:val="right" w:pos="1620"/>
        </w:tabs>
        <w:spacing w:after="240"/>
        <w:ind w:left="1620" w:hanging="1620"/>
        <w:jc w:val="both"/>
        <w:rPr>
          <w:lang w:val="fr-FR"/>
        </w:rPr>
      </w:pPr>
      <w:r>
        <w:rPr>
          <w:szCs w:val="24"/>
          <w:lang w:val="fr-CA"/>
        </w:rPr>
        <w:tab/>
      </w:r>
      <w:r w:rsidR="000F48EC" w:rsidRPr="004C3686">
        <w:rPr>
          <w:szCs w:val="24"/>
          <w:lang w:val="fr-CA"/>
        </w:rPr>
        <w:t>« </w:t>
      </w:r>
      <w:proofErr w:type="gramStart"/>
      <w:r w:rsidR="000F48EC" w:rsidRPr="004C3686">
        <w:rPr>
          <w:szCs w:val="24"/>
          <w:lang w:val="fr-CA"/>
        </w:rPr>
        <w:t>effet</w:t>
      </w:r>
      <w:proofErr w:type="gramEnd"/>
      <w:r w:rsidR="000F48EC" w:rsidRPr="004C3686">
        <w:rPr>
          <w:szCs w:val="24"/>
          <w:lang w:val="fr-CA"/>
        </w:rPr>
        <w:t xml:space="preserve"> de commerce » Titre négociable, notamment chèque, chèque de voyage, traite, lettre de change ou titre de versement postal.</w:t>
      </w:r>
    </w:p>
    <w:p w:rsidR="000F48EC" w:rsidRPr="00882D52" w:rsidRDefault="000F48EC" w:rsidP="000F48EC">
      <w:pPr>
        <w:spacing w:after="240"/>
        <w:jc w:val="center"/>
        <w:rPr>
          <w:lang w:val="fr-FR"/>
        </w:rPr>
      </w:pPr>
      <w:r>
        <w:rPr>
          <w:lang w:val="fr-FR"/>
        </w:rPr>
        <w:t>. </w:t>
      </w:r>
      <w:r w:rsidRPr="00882D52">
        <w:rPr>
          <w:lang w:val="fr-FR"/>
        </w:rPr>
        <w:t>.</w:t>
      </w:r>
      <w:r>
        <w:rPr>
          <w:lang w:val="fr-FR"/>
        </w:rPr>
        <w:t> </w:t>
      </w:r>
      <w:r w:rsidRPr="00882D52">
        <w:rPr>
          <w:lang w:val="fr-FR"/>
        </w:rPr>
        <w:t>.</w:t>
      </w:r>
    </w:p>
    <w:p w:rsidR="000F48EC" w:rsidRPr="00087EE1" w:rsidRDefault="00661517" w:rsidP="00661517">
      <w:pPr>
        <w:tabs>
          <w:tab w:val="left" w:pos="1170"/>
          <w:tab w:val="right" w:pos="1620"/>
        </w:tabs>
        <w:spacing w:after="240"/>
        <w:ind w:left="1620" w:hanging="1620"/>
        <w:jc w:val="both"/>
        <w:rPr>
          <w:lang w:val="fr-FR"/>
        </w:rPr>
      </w:pPr>
      <w:r>
        <w:rPr>
          <w:szCs w:val="24"/>
          <w:lang w:val="fr-CA"/>
        </w:rPr>
        <w:tab/>
      </w:r>
      <w:r w:rsidR="000F48EC" w:rsidRPr="004C3686">
        <w:rPr>
          <w:szCs w:val="24"/>
          <w:lang w:val="fr-CA"/>
        </w:rPr>
        <w:t>« </w:t>
      </w:r>
      <w:proofErr w:type="gramStart"/>
      <w:r w:rsidR="000F48EC" w:rsidRPr="004C3686">
        <w:rPr>
          <w:szCs w:val="24"/>
          <w:lang w:val="fr-CA"/>
        </w:rPr>
        <w:t>fonds</w:t>
      </w:r>
      <w:proofErr w:type="gramEnd"/>
      <w:r w:rsidR="000F48EC" w:rsidRPr="004C3686">
        <w:rPr>
          <w:szCs w:val="24"/>
          <w:lang w:val="fr-CA"/>
        </w:rPr>
        <w:t xml:space="preserve"> » Sommes </w:t>
      </w:r>
      <w:r w:rsidR="000F48EC" w:rsidRPr="00FD64B3">
        <w:rPr>
          <w:lang w:val="fr-CA"/>
        </w:rPr>
        <w:t>d’argent</w:t>
      </w:r>
      <w:r w:rsidR="000F48EC" w:rsidRPr="004C3686">
        <w:rPr>
          <w:szCs w:val="24"/>
          <w:lang w:val="fr-CA"/>
        </w:rPr>
        <w:t>; y sont assimilés les effets de commerce.</w:t>
      </w:r>
    </w:p>
    <w:p w:rsidR="000F48EC" w:rsidRPr="004C3686" w:rsidRDefault="00661517" w:rsidP="00661517">
      <w:pPr>
        <w:tabs>
          <w:tab w:val="left" w:pos="1170"/>
          <w:tab w:val="right" w:pos="1620"/>
        </w:tabs>
        <w:spacing w:after="240"/>
        <w:ind w:left="1620" w:hanging="1620"/>
        <w:jc w:val="both"/>
        <w:rPr>
          <w:szCs w:val="24"/>
          <w:lang w:val="fr-CA"/>
        </w:rPr>
      </w:pPr>
      <w:r>
        <w:rPr>
          <w:szCs w:val="24"/>
          <w:lang w:val="fr-CA"/>
        </w:rPr>
        <w:tab/>
      </w:r>
      <w:r w:rsidR="000F48EC" w:rsidRPr="004C3686">
        <w:rPr>
          <w:szCs w:val="24"/>
          <w:lang w:val="fr-CA"/>
        </w:rPr>
        <w:t>« fonds publics » Fonds appartenant au Canada, perçus ou reçus par le receveur général ou un autre fonctionnaire public agissant en sa qualité officielle ou toute autre personne autorisée à en percevoir ou recevoir. La présente définition vise notamment</w:t>
      </w:r>
      <w:r w:rsidR="000F48EC">
        <w:rPr>
          <w:szCs w:val="24"/>
          <w:lang w:val="fr-CA"/>
        </w:rPr>
        <w:t> :</w:t>
      </w:r>
    </w:p>
    <w:p w:rsidR="000F48EC" w:rsidRPr="00087EE1" w:rsidRDefault="00661517" w:rsidP="00661517">
      <w:pPr>
        <w:tabs>
          <w:tab w:val="left" w:pos="1170"/>
          <w:tab w:val="left" w:pos="1620"/>
        </w:tabs>
        <w:spacing w:after="240"/>
        <w:ind w:left="1620" w:hanging="1620"/>
        <w:jc w:val="both"/>
        <w:rPr>
          <w:lang w:val="fr-FR"/>
        </w:rPr>
      </w:pPr>
      <w:r>
        <w:rPr>
          <w:i/>
          <w:lang w:val="fr-FR"/>
        </w:rPr>
        <w:tab/>
      </w:r>
      <w:r>
        <w:rPr>
          <w:i/>
          <w:lang w:val="fr-FR"/>
        </w:rPr>
        <w:tab/>
      </w:r>
      <w:r w:rsidR="000F48EC" w:rsidRPr="00087EE1">
        <w:rPr>
          <w:i/>
          <w:lang w:val="fr-FR"/>
        </w:rPr>
        <w:t>a</w:t>
      </w:r>
      <w:r>
        <w:rPr>
          <w:lang w:val="fr-FR"/>
        </w:rPr>
        <w:t>) </w:t>
      </w:r>
      <w:r w:rsidR="000F48EC" w:rsidRPr="004C3686">
        <w:rPr>
          <w:szCs w:val="24"/>
          <w:lang w:val="fr-CA"/>
        </w:rPr>
        <w:t>les recettes de l’État;</w:t>
      </w:r>
    </w:p>
    <w:p w:rsidR="000F48EC" w:rsidRPr="00087EE1" w:rsidRDefault="00661517" w:rsidP="00661517">
      <w:pPr>
        <w:tabs>
          <w:tab w:val="left" w:pos="1170"/>
          <w:tab w:val="left" w:pos="1620"/>
        </w:tabs>
        <w:spacing w:after="240"/>
        <w:ind w:left="1620" w:hanging="1620"/>
        <w:jc w:val="both"/>
        <w:rPr>
          <w:lang w:val="fr-FR"/>
        </w:rPr>
      </w:pPr>
      <w:r>
        <w:rPr>
          <w:i/>
          <w:lang w:val="fr-FR"/>
        </w:rPr>
        <w:lastRenderedPageBreak/>
        <w:tab/>
      </w:r>
      <w:r>
        <w:rPr>
          <w:i/>
          <w:lang w:val="fr-FR"/>
        </w:rPr>
        <w:tab/>
      </w:r>
      <w:r w:rsidR="000F48EC" w:rsidRPr="00087EE1">
        <w:rPr>
          <w:i/>
          <w:lang w:val="fr-FR"/>
        </w:rPr>
        <w:t>b</w:t>
      </w:r>
      <w:r>
        <w:rPr>
          <w:lang w:val="fr-FR"/>
        </w:rPr>
        <w:t>) </w:t>
      </w:r>
      <w:r w:rsidR="000F48EC" w:rsidRPr="004C3686">
        <w:rPr>
          <w:szCs w:val="24"/>
          <w:lang w:val="fr-CA"/>
        </w:rPr>
        <w:t>les emprunts effectués par le Canada ou les produits de l’émission ou de la vente de titres;</w:t>
      </w:r>
    </w:p>
    <w:p w:rsidR="000F48EC" w:rsidRPr="00087EE1" w:rsidRDefault="00661517" w:rsidP="00661517">
      <w:pPr>
        <w:tabs>
          <w:tab w:val="left" w:pos="1170"/>
          <w:tab w:val="left" w:pos="1620"/>
        </w:tabs>
        <w:spacing w:after="240"/>
        <w:ind w:left="1620" w:hanging="1620"/>
        <w:jc w:val="both"/>
        <w:rPr>
          <w:lang w:val="fr-FR"/>
        </w:rPr>
      </w:pPr>
      <w:r>
        <w:rPr>
          <w:i/>
          <w:lang w:val="fr-FR"/>
        </w:rPr>
        <w:tab/>
      </w:r>
      <w:r>
        <w:rPr>
          <w:i/>
          <w:lang w:val="fr-FR"/>
        </w:rPr>
        <w:tab/>
      </w:r>
      <w:r w:rsidR="000F48EC" w:rsidRPr="00087EE1">
        <w:rPr>
          <w:i/>
          <w:lang w:val="fr-FR"/>
        </w:rPr>
        <w:t>c</w:t>
      </w:r>
      <w:r w:rsidR="000F48EC" w:rsidRPr="00087EE1">
        <w:rPr>
          <w:lang w:val="fr-FR"/>
        </w:rPr>
        <w:t>)</w:t>
      </w:r>
      <w:r>
        <w:rPr>
          <w:lang w:val="fr-FR"/>
        </w:rPr>
        <w:t> </w:t>
      </w:r>
      <w:r w:rsidR="000F48EC" w:rsidRPr="004C3686">
        <w:rPr>
          <w:szCs w:val="24"/>
          <w:lang w:val="fr-CA"/>
        </w:rPr>
        <w:t>les fonds perçus ou reçus pour le compte du Canada ou en son nom;</w:t>
      </w:r>
    </w:p>
    <w:p w:rsidR="000F48EC" w:rsidRPr="00087EE1" w:rsidRDefault="00661517" w:rsidP="00661517">
      <w:pPr>
        <w:tabs>
          <w:tab w:val="left" w:pos="1170"/>
          <w:tab w:val="left" w:pos="1620"/>
        </w:tabs>
        <w:spacing w:after="240"/>
        <w:ind w:left="1620" w:hanging="1620"/>
        <w:jc w:val="both"/>
        <w:rPr>
          <w:lang w:val="fr-FR"/>
        </w:rPr>
      </w:pPr>
      <w:r>
        <w:rPr>
          <w:i/>
          <w:lang w:val="fr-FR"/>
        </w:rPr>
        <w:tab/>
      </w:r>
      <w:r>
        <w:rPr>
          <w:i/>
          <w:lang w:val="fr-FR"/>
        </w:rPr>
        <w:tab/>
      </w:r>
      <w:r w:rsidR="000F48EC" w:rsidRPr="00087EE1">
        <w:rPr>
          <w:i/>
          <w:lang w:val="fr-FR"/>
        </w:rPr>
        <w:t>d</w:t>
      </w:r>
      <w:r>
        <w:rPr>
          <w:lang w:val="fr-FR"/>
        </w:rPr>
        <w:t>) </w:t>
      </w:r>
      <w:r w:rsidR="000F48EC" w:rsidRPr="004C3686">
        <w:rPr>
          <w:szCs w:val="24"/>
          <w:lang w:val="fr-CA"/>
        </w:rPr>
        <w:t>les fonds perçus ou reçus par un fonctionnaire public sous le régime d’un traité, d’une loi, d’une fiducie, d’un contrat ou d’un engagement et affectés à une fin particulière précisée dans l’acte en question ou conformément à celui</w:t>
      </w:r>
      <w:r>
        <w:rPr>
          <w:szCs w:val="24"/>
          <w:lang w:val="fr-CA"/>
        </w:rPr>
        <w:t>-</w:t>
      </w:r>
      <w:r w:rsidR="000F48EC" w:rsidRPr="004C3686">
        <w:rPr>
          <w:szCs w:val="24"/>
          <w:lang w:val="fr-CA"/>
        </w:rPr>
        <w:t>ci.</w:t>
      </w:r>
    </w:p>
    <w:p w:rsidR="000F48EC" w:rsidRDefault="000F48EC" w:rsidP="000F48EC">
      <w:pPr>
        <w:spacing w:after="240"/>
        <w:jc w:val="center"/>
        <w:rPr>
          <w:lang w:val="fr-FR"/>
        </w:rPr>
      </w:pPr>
      <w:r w:rsidRPr="00882D52">
        <w:rPr>
          <w:lang w:val="fr-FR"/>
        </w:rPr>
        <w:t>.</w:t>
      </w:r>
      <w:r>
        <w:rPr>
          <w:lang w:val="fr-FR"/>
        </w:rPr>
        <w:t> </w:t>
      </w:r>
      <w:r w:rsidRPr="00882D52">
        <w:rPr>
          <w:lang w:val="fr-FR"/>
        </w:rPr>
        <w:t>.</w:t>
      </w:r>
      <w:r>
        <w:rPr>
          <w:lang w:val="fr-FR"/>
        </w:rPr>
        <w:t> </w:t>
      </w:r>
      <w:r w:rsidRPr="00882D52">
        <w:rPr>
          <w:lang w:val="fr-FR"/>
        </w:rPr>
        <w:t>.</w:t>
      </w:r>
    </w:p>
    <w:p w:rsidR="000F48EC" w:rsidRDefault="00661517" w:rsidP="00661517">
      <w:pPr>
        <w:tabs>
          <w:tab w:val="left" w:pos="1170"/>
          <w:tab w:val="right" w:pos="1620"/>
        </w:tabs>
        <w:spacing w:after="240"/>
        <w:ind w:left="1620" w:hanging="1620"/>
        <w:jc w:val="both"/>
        <w:rPr>
          <w:szCs w:val="24"/>
          <w:lang w:val="fr-CA"/>
        </w:rPr>
      </w:pPr>
      <w:r>
        <w:rPr>
          <w:szCs w:val="24"/>
          <w:lang w:val="fr-CA"/>
        </w:rPr>
        <w:tab/>
      </w:r>
      <w:r w:rsidR="000F48EC" w:rsidRPr="004C3686">
        <w:rPr>
          <w:szCs w:val="24"/>
          <w:lang w:val="fr-CA"/>
        </w:rPr>
        <w:t xml:space="preserve">« Trésor » Le total des fonds </w:t>
      </w:r>
      <w:r w:rsidR="000F48EC" w:rsidRPr="00FD64B3">
        <w:rPr>
          <w:lang w:val="fr-CA"/>
        </w:rPr>
        <w:t>publics</w:t>
      </w:r>
      <w:r w:rsidR="000F48EC" w:rsidRPr="004C3686">
        <w:rPr>
          <w:szCs w:val="24"/>
          <w:lang w:val="fr-CA"/>
        </w:rPr>
        <w:t xml:space="preserve"> en dépôt au crédit du receveur général</w:t>
      </w:r>
      <w:r w:rsidR="000F48EC">
        <w:rPr>
          <w:szCs w:val="24"/>
          <w:lang w:val="fr-CA"/>
        </w:rPr>
        <w:t>.</w:t>
      </w:r>
    </w:p>
    <w:p w:rsidR="000F48EC" w:rsidRDefault="000F48EC" w:rsidP="000F48EC">
      <w:pPr>
        <w:spacing w:after="240"/>
        <w:jc w:val="center"/>
        <w:rPr>
          <w:lang w:val="fr-FR"/>
        </w:rPr>
      </w:pPr>
      <w:r w:rsidRPr="00882D52">
        <w:rPr>
          <w:lang w:val="fr-FR"/>
        </w:rPr>
        <w:t>.</w:t>
      </w:r>
      <w:r>
        <w:rPr>
          <w:lang w:val="fr-FR"/>
        </w:rPr>
        <w:t> </w:t>
      </w:r>
      <w:r w:rsidRPr="00882D52">
        <w:rPr>
          <w:lang w:val="fr-FR"/>
        </w:rPr>
        <w:t>.</w:t>
      </w:r>
      <w:r>
        <w:rPr>
          <w:lang w:val="fr-FR"/>
        </w:rPr>
        <w:t> </w:t>
      </w:r>
      <w:r w:rsidRPr="00882D52">
        <w:rPr>
          <w:lang w:val="fr-FR"/>
        </w:rPr>
        <w:t>.</w:t>
      </w:r>
    </w:p>
    <w:p w:rsidR="000F48EC" w:rsidRPr="00F62AFD" w:rsidRDefault="000F48EC" w:rsidP="00661517">
      <w:pPr>
        <w:tabs>
          <w:tab w:val="left" w:pos="1620"/>
        </w:tabs>
        <w:spacing w:after="240"/>
        <w:ind w:left="1166" w:hanging="1166"/>
        <w:jc w:val="both"/>
        <w:rPr>
          <w:lang w:val="fr-FR"/>
        </w:rPr>
      </w:pPr>
      <w:r w:rsidRPr="00882D52">
        <w:rPr>
          <w:b/>
          <w:lang w:val="fr-FR"/>
        </w:rPr>
        <w:tab/>
      </w:r>
      <w:r w:rsidR="00661517">
        <w:rPr>
          <w:b/>
          <w:lang w:val="fr-FR"/>
        </w:rPr>
        <w:tab/>
      </w:r>
      <w:r w:rsidRPr="00F62AFD">
        <w:rPr>
          <w:b/>
          <w:lang w:val="fr-FR"/>
        </w:rPr>
        <w:t>17.</w:t>
      </w:r>
      <w:r w:rsidR="00661517">
        <w:rPr>
          <w:lang w:val="fr-FR"/>
        </w:rPr>
        <w:t xml:space="preserve"> (1) </w:t>
      </w:r>
      <w:r w:rsidRPr="004C3686">
        <w:rPr>
          <w:szCs w:val="24"/>
          <w:lang w:val="fr-CA"/>
        </w:rPr>
        <w:t>Sous réserve des autres dispositions de la présente partie, les fonds publics sont déposés au crédit du receveur général</w:t>
      </w:r>
      <w:r w:rsidRPr="00F62AFD">
        <w:rPr>
          <w:lang w:val="fr-FR"/>
        </w:rPr>
        <w:t>.</w:t>
      </w:r>
    </w:p>
    <w:p w:rsidR="000F48EC" w:rsidRPr="00F62AFD" w:rsidRDefault="000F48EC" w:rsidP="00661517">
      <w:pPr>
        <w:tabs>
          <w:tab w:val="left" w:pos="1620"/>
        </w:tabs>
        <w:spacing w:after="240"/>
        <w:ind w:left="1166" w:hanging="1166"/>
        <w:jc w:val="both"/>
        <w:rPr>
          <w:lang w:val="fr-FR"/>
        </w:rPr>
      </w:pPr>
      <w:r w:rsidRPr="00F62AFD">
        <w:rPr>
          <w:lang w:val="fr-FR"/>
        </w:rPr>
        <w:tab/>
      </w:r>
      <w:r w:rsidR="00661517">
        <w:rPr>
          <w:lang w:val="fr-FR"/>
        </w:rPr>
        <w:tab/>
        <w:t>(2) </w:t>
      </w:r>
      <w:r w:rsidRPr="004C3686">
        <w:rPr>
          <w:szCs w:val="24"/>
          <w:lang w:val="fr-CA"/>
        </w:rPr>
        <w:t>Le receveur général peut, pour le dépôt des fonds publics, ouvrir, sous son nom, des comptes auprès</w:t>
      </w:r>
      <w:r>
        <w:rPr>
          <w:szCs w:val="24"/>
          <w:lang w:val="fr-CA"/>
        </w:rPr>
        <w:t> :</w:t>
      </w:r>
    </w:p>
    <w:p w:rsidR="000F48EC" w:rsidRPr="00F62AFD" w:rsidRDefault="00661517" w:rsidP="00661517">
      <w:pPr>
        <w:tabs>
          <w:tab w:val="left" w:pos="1170"/>
          <w:tab w:val="left" w:pos="1620"/>
        </w:tabs>
        <w:spacing w:after="240"/>
        <w:ind w:left="1620" w:hanging="1620"/>
        <w:jc w:val="both"/>
        <w:rPr>
          <w:lang w:val="fr-FR"/>
        </w:rPr>
      </w:pPr>
      <w:r>
        <w:rPr>
          <w:i/>
          <w:lang w:val="fr-FR"/>
        </w:rPr>
        <w:tab/>
      </w:r>
      <w:r>
        <w:rPr>
          <w:i/>
          <w:lang w:val="fr-FR"/>
        </w:rPr>
        <w:tab/>
      </w:r>
      <w:r w:rsidR="000F48EC" w:rsidRPr="00F62AFD">
        <w:rPr>
          <w:i/>
          <w:lang w:val="fr-FR"/>
        </w:rPr>
        <w:t>a</w:t>
      </w:r>
      <w:r>
        <w:rPr>
          <w:lang w:val="fr-FR"/>
        </w:rPr>
        <w:t>) </w:t>
      </w:r>
      <w:r w:rsidR="000F48EC" w:rsidRPr="004C3686">
        <w:rPr>
          <w:szCs w:val="24"/>
          <w:lang w:val="fr-CA"/>
        </w:rPr>
        <w:t>d’une institution membre de l’Association canadienne des paiements</w:t>
      </w:r>
      <w:r w:rsidR="000F48EC" w:rsidRPr="00F62AFD">
        <w:rPr>
          <w:lang w:val="fr-FR"/>
        </w:rPr>
        <w:t>;</w:t>
      </w:r>
    </w:p>
    <w:p w:rsidR="000F48EC" w:rsidRPr="00F62AFD" w:rsidRDefault="00661517" w:rsidP="00661517">
      <w:pPr>
        <w:tabs>
          <w:tab w:val="left" w:pos="1170"/>
          <w:tab w:val="left" w:pos="1620"/>
        </w:tabs>
        <w:spacing w:after="240"/>
        <w:ind w:left="1620" w:hanging="1620"/>
        <w:jc w:val="both"/>
        <w:rPr>
          <w:lang w:val="fr-FR"/>
        </w:rPr>
      </w:pPr>
      <w:r>
        <w:rPr>
          <w:i/>
          <w:lang w:val="fr-FR"/>
        </w:rPr>
        <w:tab/>
      </w:r>
      <w:r>
        <w:rPr>
          <w:i/>
          <w:lang w:val="fr-FR"/>
        </w:rPr>
        <w:tab/>
      </w:r>
      <w:r w:rsidR="000F48EC" w:rsidRPr="00F62AFD">
        <w:rPr>
          <w:i/>
          <w:lang w:val="fr-FR"/>
        </w:rPr>
        <w:t>b</w:t>
      </w:r>
      <w:r>
        <w:rPr>
          <w:lang w:val="fr-FR"/>
        </w:rPr>
        <w:t>) </w:t>
      </w:r>
      <w:r w:rsidR="000F48EC" w:rsidRPr="004C3686">
        <w:rPr>
          <w:szCs w:val="24"/>
          <w:lang w:val="fr-CA"/>
        </w:rPr>
        <w:t>d’une société coopérative de crédit locale membre d’une société coopérative de crédit centrale qui est membre de l’Association canadienne des paiements</w:t>
      </w:r>
      <w:r w:rsidR="000F48EC" w:rsidRPr="00F62AFD">
        <w:rPr>
          <w:lang w:val="fr-FR"/>
        </w:rPr>
        <w:t>;</w:t>
      </w:r>
    </w:p>
    <w:p w:rsidR="000F48EC" w:rsidRPr="00F62AFD" w:rsidRDefault="00661517" w:rsidP="00661517">
      <w:pPr>
        <w:tabs>
          <w:tab w:val="left" w:pos="1170"/>
          <w:tab w:val="left" w:pos="1620"/>
        </w:tabs>
        <w:spacing w:after="240"/>
        <w:ind w:left="1620" w:hanging="1620"/>
        <w:jc w:val="both"/>
        <w:rPr>
          <w:lang w:val="fr-FR"/>
        </w:rPr>
      </w:pPr>
      <w:r>
        <w:rPr>
          <w:i/>
          <w:lang w:val="fr-FR"/>
        </w:rPr>
        <w:tab/>
      </w:r>
      <w:r>
        <w:rPr>
          <w:i/>
          <w:lang w:val="fr-FR"/>
        </w:rPr>
        <w:tab/>
      </w:r>
      <w:r w:rsidR="000F48EC" w:rsidRPr="00F62AFD">
        <w:rPr>
          <w:i/>
          <w:lang w:val="fr-FR"/>
        </w:rPr>
        <w:t>c</w:t>
      </w:r>
      <w:r>
        <w:rPr>
          <w:lang w:val="fr-FR"/>
        </w:rPr>
        <w:t>) </w:t>
      </w:r>
      <w:r w:rsidR="000F48EC" w:rsidRPr="004C3686">
        <w:rPr>
          <w:szCs w:val="24"/>
          <w:lang w:val="fr-CA"/>
        </w:rPr>
        <w:t>d’un agent financier désigné par le ministre;</w:t>
      </w:r>
    </w:p>
    <w:p w:rsidR="000F48EC" w:rsidRPr="00F62AFD" w:rsidRDefault="00661517" w:rsidP="00661517">
      <w:pPr>
        <w:tabs>
          <w:tab w:val="left" w:pos="1170"/>
          <w:tab w:val="left" w:pos="1620"/>
        </w:tabs>
        <w:spacing w:after="240"/>
        <w:ind w:left="1620" w:hanging="1620"/>
        <w:jc w:val="both"/>
        <w:rPr>
          <w:lang w:val="fr-FR"/>
        </w:rPr>
      </w:pPr>
      <w:r>
        <w:rPr>
          <w:i/>
          <w:lang w:val="fr-FR"/>
        </w:rPr>
        <w:tab/>
      </w:r>
      <w:r>
        <w:rPr>
          <w:i/>
          <w:lang w:val="fr-FR"/>
        </w:rPr>
        <w:tab/>
      </w:r>
      <w:r w:rsidR="000F48EC" w:rsidRPr="00F62AFD">
        <w:rPr>
          <w:i/>
          <w:lang w:val="fr-FR"/>
        </w:rPr>
        <w:t>d</w:t>
      </w:r>
      <w:r>
        <w:rPr>
          <w:lang w:val="fr-FR"/>
        </w:rPr>
        <w:t>) </w:t>
      </w:r>
      <w:r w:rsidR="000F48EC" w:rsidRPr="004C3686">
        <w:rPr>
          <w:szCs w:val="24"/>
          <w:lang w:val="fr-CA"/>
        </w:rPr>
        <w:t>d’un établissement financier de l’étranger désigné par le ministre</w:t>
      </w:r>
      <w:r w:rsidR="000F48EC" w:rsidRPr="00F62AFD">
        <w:rPr>
          <w:lang w:val="fr-FR"/>
        </w:rPr>
        <w:t>.</w:t>
      </w:r>
    </w:p>
    <w:p w:rsidR="000F48EC" w:rsidRPr="00882D52" w:rsidRDefault="000F48EC" w:rsidP="000F48EC">
      <w:pPr>
        <w:spacing w:after="240"/>
        <w:jc w:val="center"/>
        <w:rPr>
          <w:lang w:val="fr-FR"/>
        </w:rPr>
      </w:pPr>
      <w:r w:rsidRPr="00882D52">
        <w:rPr>
          <w:lang w:val="fr-FR"/>
        </w:rPr>
        <w:t>.</w:t>
      </w:r>
      <w:r>
        <w:rPr>
          <w:lang w:val="fr-FR"/>
        </w:rPr>
        <w:t> </w:t>
      </w:r>
      <w:r w:rsidRPr="00882D52">
        <w:rPr>
          <w:lang w:val="fr-FR"/>
        </w:rPr>
        <w:t>.</w:t>
      </w:r>
      <w:r>
        <w:rPr>
          <w:lang w:val="fr-FR"/>
        </w:rPr>
        <w:t> </w:t>
      </w:r>
      <w:r w:rsidRPr="00882D52">
        <w:rPr>
          <w:lang w:val="fr-FR"/>
        </w:rPr>
        <w:t>.</w:t>
      </w:r>
    </w:p>
    <w:p w:rsidR="000F48EC" w:rsidRPr="00F62AFD" w:rsidRDefault="000F48EC" w:rsidP="00661517">
      <w:pPr>
        <w:tabs>
          <w:tab w:val="left" w:pos="1620"/>
        </w:tabs>
        <w:spacing w:after="240"/>
        <w:ind w:left="1166" w:hanging="1166"/>
        <w:jc w:val="both"/>
        <w:rPr>
          <w:lang w:val="fr-FR"/>
        </w:rPr>
      </w:pPr>
      <w:r w:rsidRPr="00882D52">
        <w:rPr>
          <w:lang w:val="fr-FR"/>
        </w:rPr>
        <w:tab/>
      </w:r>
      <w:r w:rsidR="00661517">
        <w:rPr>
          <w:lang w:val="fr-FR"/>
        </w:rPr>
        <w:tab/>
        <w:t>(4) </w:t>
      </w:r>
      <w:r w:rsidRPr="004C3686">
        <w:rPr>
          <w:szCs w:val="24"/>
          <w:lang w:val="fr-CA"/>
        </w:rPr>
        <w:t xml:space="preserve">Sous réserve des règlements pris au titre du paragraphe (5), tout percepteur, gestionnaire ou receveur de fonds publics verse </w:t>
      </w:r>
      <w:proofErr w:type="spellStart"/>
      <w:r w:rsidRPr="004C3686">
        <w:rPr>
          <w:szCs w:val="24"/>
          <w:lang w:val="fr-CA"/>
        </w:rPr>
        <w:t>ceux</w:t>
      </w:r>
      <w:r>
        <w:rPr>
          <w:szCs w:val="24"/>
          <w:lang w:val="fr-CA"/>
        </w:rPr>
        <w:noBreakHyphen/>
      </w:r>
      <w:r w:rsidRPr="004C3686">
        <w:rPr>
          <w:szCs w:val="24"/>
          <w:lang w:val="fr-CA"/>
        </w:rPr>
        <w:t>ci</w:t>
      </w:r>
      <w:proofErr w:type="spellEnd"/>
      <w:r w:rsidRPr="004C3686">
        <w:rPr>
          <w:szCs w:val="24"/>
          <w:lang w:val="fr-CA"/>
        </w:rPr>
        <w:t xml:space="preserve"> au crédit du receveur général</w:t>
      </w:r>
      <w:r w:rsidRPr="00F62AFD">
        <w:rPr>
          <w:lang w:val="fr-FR"/>
        </w:rPr>
        <w:t>.</w:t>
      </w:r>
    </w:p>
    <w:p w:rsidR="000F48EC" w:rsidRPr="00882D52" w:rsidRDefault="000F48EC" w:rsidP="000F48EC">
      <w:pPr>
        <w:spacing w:after="240"/>
        <w:jc w:val="center"/>
        <w:rPr>
          <w:lang w:val="fr-FR"/>
        </w:rPr>
      </w:pPr>
      <w:r w:rsidRPr="00882D52">
        <w:rPr>
          <w:lang w:val="fr-FR"/>
        </w:rPr>
        <w:t>.</w:t>
      </w:r>
      <w:r>
        <w:rPr>
          <w:lang w:val="fr-FR"/>
        </w:rPr>
        <w:t> </w:t>
      </w:r>
      <w:r w:rsidRPr="00882D52">
        <w:rPr>
          <w:lang w:val="fr-FR"/>
        </w:rPr>
        <w:t>.</w:t>
      </w:r>
      <w:r>
        <w:rPr>
          <w:lang w:val="fr-FR"/>
        </w:rPr>
        <w:t> </w:t>
      </w:r>
      <w:r w:rsidRPr="00882D52">
        <w:rPr>
          <w:lang w:val="fr-FR"/>
        </w:rPr>
        <w:t>.</w:t>
      </w:r>
    </w:p>
    <w:p w:rsidR="000F48EC" w:rsidRPr="00F62AFD" w:rsidRDefault="000F48EC" w:rsidP="00661517">
      <w:pPr>
        <w:tabs>
          <w:tab w:val="left" w:pos="1620"/>
        </w:tabs>
        <w:spacing w:after="240"/>
        <w:ind w:left="1166" w:hanging="1166"/>
        <w:jc w:val="both"/>
        <w:rPr>
          <w:lang w:val="fr-FR"/>
        </w:rPr>
      </w:pPr>
      <w:r w:rsidRPr="00882D52">
        <w:rPr>
          <w:b/>
          <w:lang w:val="fr-FR"/>
        </w:rPr>
        <w:tab/>
      </w:r>
      <w:r w:rsidR="00661517">
        <w:rPr>
          <w:b/>
          <w:lang w:val="fr-FR"/>
        </w:rPr>
        <w:tab/>
      </w:r>
      <w:r w:rsidRPr="00F62AFD">
        <w:rPr>
          <w:b/>
          <w:lang w:val="fr-FR"/>
        </w:rPr>
        <w:t>63.</w:t>
      </w:r>
      <w:r w:rsidR="00661517">
        <w:rPr>
          <w:lang w:val="fr-FR"/>
        </w:rPr>
        <w:t xml:space="preserve"> (1) </w:t>
      </w:r>
      <w:r w:rsidRPr="004C3686">
        <w:rPr>
          <w:szCs w:val="24"/>
          <w:lang w:val="fr-CA"/>
        </w:rPr>
        <w:t>Sous réserve des règlements du Conseil du Trésor, le receveur général fait tenir des comptes retraçant</w:t>
      </w:r>
      <w:r>
        <w:rPr>
          <w:szCs w:val="24"/>
          <w:lang w:val="fr-CA"/>
        </w:rPr>
        <w:t> :</w:t>
      </w:r>
    </w:p>
    <w:p w:rsidR="000F48EC" w:rsidRPr="00F62AFD" w:rsidRDefault="00661517" w:rsidP="00661517">
      <w:pPr>
        <w:tabs>
          <w:tab w:val="left" w:pos="1170"/>
          <w:tab w:val="left" w:pos="1620"/>
        </w:tabs>
        <w:spacing w:after="240"/>
        <w:ind w:left="1620" w:hanging="1620"/>
        <w:jc w:val="both"/>
        <w:rPr>
          <w:lang w:val="fr-FR"/>
        </w:rPr>
      </w:pPr>
      <w:r>
        <w:rPr>
          <w:i/>
          <w:lang w:val="fr-FR"/>
        </w:rPr>
        <w:tab/>
      </w:r>
      <w:r>
        <w:rPr>
          <w:i/>
          <w:lang w:val="fr-FR"/>
        </w:rPr>
        <w:tab/>
      </w:r>
      <w:r w:rsidR="000F48EC" w:rsidRPr="00F62AFD">
        <w:rPr>
          <w:i/>
          <w:lang w:val="fr-FR"/>
        </w:rPr>
        <w:t>a</w:t>
      </w:r>
      <w:r>
        <w:rPr>
          <w:lang w:val="fr-FR"/>
        </w:rPr>
        <w:t>) </w:t>
      </w:r>
      <w:r w:rsidR="000F48EC" w:rsidRPr="004C3686">
        <w:rPr>
          <w:szCs w:val="24"/>
          <w:lang w:val="fr-CA"/>
        </w:rPr>
        <w:t>les dépenses effectuées au titre de chaque crédit</w:t>
      </w:r>
      <w:r w:rsidR="000F48EC" w:rsidRPr="00F62AFD">
        <w:rPr>
          <w:lang w:val="fr-FR"/>
        </w:rPr>
        <w:t>;</w:t>
      </w:r>
    </w:p>
    <w:p w:rsidR="000F48EC" w:rsidRPr="00F62AFD" w:rsidRDefault="00661517" w:rsidP="00661517">
      <w:pPr>
        <w:tabs>
          <w:tab w:val="left" w:pos="1170"/>
          <w:tab w:val="left" w:pos="1620"/>
        </w:tabs>
        <w:spacing w:after="240"/>
        <w:ind w:left="1620" w:hanging="1620"/>
        <w:jc w:val="both"/>
        <w:rPr>
          <w:lang w:val="fr-FR"/>
        </w:rPr>
      </w:pPr>
      <w:r>
        <w:rPr>
          <w:i/>
          <w:lang w:val="fr-FR"/>
        </w:rPr>
        <w:lastRenderedPageBreak/>
        <w:tab/>
      </w:r>
      <w:r>
        <w:rPr>
          <w:i/>
          <w:lang w:val="fr-FR"/>
        </w:rPr>
        <w:tab/>
      </w:r>
      <w:r w:rsidR="000F48EC" w:rsidRPr="00F62AFD">
        <w:rPr>
          <w:i/>
          <w:lang w:val="fr-FR"/>
        </w:rPr>
        <w:t>b</w:t>
      </w:r>
      <w:r>
        <w:rPr>
          <w:lang w:val="fr-FR"/>
        </w:rPr>
        <w:t>) </w:t>
      </w:r>
      <w:r w:rsidR="000F48EC" w:rsidRPr="004C3686">
        <w:rPr>
          <w:szCs w:val="24"/>
          <w:lang w:val="fr-CA"/>
        </w:rPr>
        <w:t>les recettes de l’État;</w:t>
      </w:r>
    </w:p>
    <w:p w:rsidR="000F48EC" w:rsidRPr="00F62AFD" w:rsidRDefault="00661517" w:rsidP="00661517">
      <w:pPr>
        <w:tabs>
          <w:tab w:val="left" w:pos="1170"/>
          <w:tab w:val="left" w:pos="1620"/>
        </w:tabs>
        <w:spacing w:after="240"/>
        <w:ind w:left="1620" w:hanging="1620"/>
        <w:jc w:val="both"/>
        <w:rPr>
          <w:lang w:val="fr-FR"/>
        </w:rPr>
      </w:pPr>
      <w:r>
        <w:rPr>
          <w:i/>
          <w:lang w:val="fr-FR"/>
        </w:rPr>
        <w:tab/>
      </w:r>
      <w:r>
        <w:rPr>
          <w:i/>
          <w:lang w:val="fr-FR"/>
        </w:rPr>
        <w:tab/>
      </w:r>
      <w:r w:rsidR="000F48EC" w:rsidRPr="00F62AFD">
        <w:rPr>
          <w:i/>
          <w:lang w:val="fr-FR"/>
        </w:rPr>
        <w:t>c</w:t>
      </w:r>
      <w:r>
        <w:rPr>
          <w:lang w:val="fr-FR"/>
        </w:rPr>
        <w:t>) </w:t>
      </w:r>
      <w:r w:rsidR="000F48EC" w:rsidRPr="004C3686">
        <w:rPr>
          <w:szCs w:val="24"/>
          <w:lang w:val="fr-CA"/>
        </w:rPr>
        <w:t>les autres entrées et sorties de fonds du Trésor</w:t>
      </w:r>
      <w:r w:rsidR="000F48EC" w:rsidRPr="00F62AFD">
        <w:rPr>
          <w:lang w:val="fr-FR"/>
        </w:rPr>
        <w:t>.</w:t>
      </w:r>
    </w:p>
    <w:p w:rsidR="000F48EC" w:rsidRPr="00F62AFD" w:rsidRDefault="000F48EC" w:rsidP="00661517">
      <w:pPr>
        <w:tabs>
          <w:tab w:val="left" w:pos="1620"/>
        </w:tabs>
        <w:spacing w:after="240"/>
        <w:ind w:left="1166" w:hanging="1166"/>
        <w:jc w:val="both"/>
        <w:rPr>
          <w:lang w:val="fr-FR"/>
        </w:rPr>
      </w:pPr>
      <w:r w:rsidRPr="00F62AFD">
        <w:rPr>
          <w:lang w:val="fr-FR"/>
        </w:rPr>
        <w:tab/>
      </w:r>
      <w:r w:rsidR="00661517">
        <w:rPr>
          <w:lang w:val="fr-FR"/>
        </w:rPr>
        <w:tab/>
        <w:t>(2) </w:t>
      </w:r>
      <w:r w:rsidRPr="004C3686">
        <w:rPr>
          <w:szCs w:val="24"/>
          <w:lang w:val="fr-CA"/>
        </w:rPr>
        <w:t>Le receveur général fait tenir des comptes retraçant les actifs, les passifs et les passifs éventuels de l’État, ainsi que les provisions constituées à cet égard, qui, selon le président du Conseil du Trésor et le ministre, sont nécessaires à une présentation fidèle de la situation financière du Canada</w:t>
      </w:r>
      <w:r w:rsidRPr="00F62AFD">
        <w:rPr>
          <w:lang w:val="fr-FR"/>
        </w:rPr>
        <w:t>.</w:t>
      </w:r>
    </w:p>
    <w:p w:rsidR="000F48EC" w:rsidRPr="00F62AFD" w:rsidRDefault="000F48EC" w:rsidP="00661517">
      <w:pPr>
        <w:tabs>
          <w:tab w:val="left" w:pos="1620"/>
        </w:tabs>
        <w:spacing w:after="240"/>
        <w:ind w:left="1166" w:hanging="1166"/>
        <w:jc w:val="both"/>
        <w:rPr>
          <w:lang w:val="fr-FR"/>
        </w:rPr>
      </w:pPr>
      <w:r w:rsidRPr="00F62AFD">
        <w:rPr>
          <w:lang w:val="fr-FR"/>
        </w:rPr>
        <w:tab/>
      </w:r>
      <w:r w:rsidR="00661517">
        <w:rPr>
          <w:lang w:val="fr-FR"/>
        </w:rPr>
        <w:tab/>
        <w:t>(3) </w:t>
      </w:r>
      <w:r w:rsidRPr="004C3686">
        <w:rPr>
          <w:szCs w:val="24"/>
          <w:lang w:val="fr-CA"/>
        </w:rPr>
        <w:t>Les comptes du Canada sont tenus en monnaie canadienne</w:t>
      </w:r>
      <w:r w:rsidRPr="00F62AFD">
        <w:rPr>
          <w:lang w:val="fr-FR"/>
        </w:rPr>
        <w:t>.</w:t>
      </w:r>
    </w:p>
    <w:p w:rsidR="000F48EC" w:rsidRPr="00F62AFD" w:rsidRDefault="000F48EC" w:rsidP="00661517">
      <w:pPr>
        <w:tabs>
          <w:tab w:val="left" w:pos="1620"/>
        </w:tabs>
        <w:spacing w:after="240"/>
        <w:ind w:left="1166" w:hanging="1166"/>
        <w:jc w:val="both"/>
        <w:rPr>
          <w:lang w:val="fr-FR"/>
        </w:rPr>
      </w:pPr>
      <w:r w:rsidRPr="00F62AFD">
        <w:rPr>
          <w:b/>
          <w:lang w:val="fr-FR"/>
        </w:rPr>
        <w:tab/>
      </w:r>
      <w:r w:rsidR="00661517">
        <w:rPr>
          <w:b/>
          <w:lang w:val="fr-FR"/>
        </w:rPr>
        <w:tab/>
      </w:r>
      <w:r w:rsidRPr="00F62AFD">
        <w:rPr>
          <w:b/>
          <w:lang w:val="fr-FR"/>
        </w:rPr>
        <w:t>64.</w:t>
      </w:r>
      <w:r w:rsidR="00661517">
        <w:rPr>
          <w:lang w:val="fr-FR"/>
        </w:rPr>
        <w:t xml:space="preserve"> (1) </w:t>
      </w:r>
      <w:r w:rsidRPr="004C3686">
        <w:rPr>
          <w:szCs w:val="24"/>
          <w:lang w:val="fr-CA"/>
        </w:rPr>
        <w:t>Le receveur général établit pour chaque exercice un rapport intitulé « Comptes publics »; ce rapport est déposé devant la Chambre des communes par le président du Conseil du Trésor au plus tard le 31 décembre suivant la fin de l’exercice ou, si la chambre ne siège pas, dans les quinze premiers jours de séance ultérieurs</w:t>
      </w:r>
      <w:r w:rsidRPr="00F62AFD">
        <w:rPr>
          <w:lang w:val="fr-FR"/>
        </w:rPr>
        <w:t>.</w:t>
      </w:r>
    </w:p>
    <w:p w:rsidR="000F48EC" w:rsidRPr="00F62AFD" w:rsidRDefault="000F48EC" w:rsidP="00661517">
      <w:pPr>
        <w:tabs>
          <w:tab w:val="left" w:pos="1620"/>
        </w:tabs>
        <w:spacing w:after="240"/>
        <w:ind w:left="1166" w:hanging="1166"/>
        <w:jc w:val="both"/>
        <w:rPr>
          <w:lang w:val="fr-FR"/>
        </w:rPr>
      </w:pPr>
      <w:r w:rsidRPr="00F62AFD">
        <w:rPr>
          <w:lang w:val="fr-FR"/>
        </w:rPr>
        <w:tab/>
      </w:r>
      <w:r w:rsidR="00661517">
        <w:rPr>
          <w:lang w:val="fr-FR"/>
        </w:rPr>
        <w:tab/>
        <w:t>(2) </w:t>
      </w:r>
      <w:r w:rsidRPr="004C3686">
        <w:rPr>
          <w:szCs w:val="24"/>
          <w:lang w:val="fr-CA"/>
        </w:rPr>
        <w:t>Les Comptes publics, à présenter en la forme fixée par le président du Conseil du Trésor et le ministre, comportent les éléments suivants</w:t>
      </w:r>
      <w:r>
        <w:rPr>
          <w:szCs w:val="24"/>
          <w:lang w:val="fr-CA"/>
        </w:rPr>
        <w:t> :</w:t>
      </w:r>
    </w:p>
    <w:p w:rsidR="000F48EC" w:rsidRPr="00F62AFD" w:rsidRDefault="00661517" w:rsidP="00661517">
      <w:pPr>
        <w:tabs>
          <w:tab w:val="left" w:pos="1170"/>
          <w:tab w:val="left" w:pos="1620"/>
        </w:tabs>
        <w:spacing w:after="240"/>
        <w:ind w:left="1620" w:hanging="1620"/>
        <w:jc w:val="both"/>
        <w:rPr>
          <w:lang w:val="fr-FR"/>
        </w:rPr>
      </w:pPr>
      <w:r>
        <w:rPr>
          <w:i/>
          <w:lang w:val="fr-FR"/>
        </w:rPr>
        <w:tab/>
      </w:r>
      <w:r>
        <w:rPr>
          <w:i/>
          <w:lang w:val="fr-FR"/>
        </w:rPr>
        <w:tab/>
      </w:r>
      <w:r w:rsidR="000F48EC" w:rsidRPr="00F62AFD">
        <w:rPr>
          <w:i/>
          <w:lang w:val="fr-FR"/>
        </w:rPr>
        <w:t>a</w:t>
      </w:r>
      <w:r>
        <w:rPr>
          <w:lang w:val="fr-FR"/>
        </w:rPr>
        <w:t>) </w:t>
      </w:r>
      <w:r w:rsidR="000F48EC" w:rsidRPr="004C3686">
        <w:rPr>
          <w:szCs w:val="24"/>
          <w:lang w:val="fr-CA"/>
        </w:rPr>
        <w:t>des états portant sur</w:t>
      </w:r>
      <w:r w:rsidR="000F48EC">
        <w:rPr>
          <w:szCs w:val="24"/>
          <w:lang w:val="fr-CA"/>
        </w:rPr>
        <w:t> :</w:t>
      </w:r>
    </w:p>
    <w:p w:rsidR="000F48EC" w:rsidRPr="00F62AFD" w:rsidRDefault="00414C41" w:rsidP="00661517">
      <w:pPr>
        <w:tabs>
          <w:tab w:val="left" w:pos="1170"/>
          <w:tab w:val="left" w:pos="1620"/>
          <w:tab w:val="left" w:pos="1980"/>
        </w:tabs>
        <w:spacing w:after="240"/>
        <w:ind w:left="1980" w:hanging="1980"/>
        <w:jc w:val="both"/>
        <w:rPr>
          <w:lang w:val="fr-FR"/>
        </w:rPr>
      </w:pPr>
      <w:r>
        <w:rPr>
          <w:lang w:val="fr-FR"/>
        </w:rPr>
        <w:tab/>
      </w:r>
      <w:r>
        <w:rPr>
          <w:lang w:val="fr-FR"/>
        </w:rPr>
        <w:tab/>
      </w:r>
      <w:r>
        <w:rPr>
          <w:lang w:val="fr-FR"/>
        </w:rPr>
        <w:tab/>
      </w:r>
      <w:r w:rsidR="000F48EC" w:rsidRPr="00F62AFD">
        <w:rPr>
          <w:lang w:val="fr-FR"/>
        </w:rPr>
        <w:t>(i)</w:t>
      </w:r>
      <w:r>
        <w:rPr>
          <w:lang w:val="fr-FR"/>
        </w:rPr>
        <w:t> </w:t>
      </w:r>
      <w:r w:rsidR="000F48EC" w:rsidRPr="004C3686">
        <w:rPr>
          <w:szCs w:val="24"/>
          <w:lang w:val="fr-CA"/>
        </w:rPr>
        <w:t>les opérations financières de l’exercice,</w:t>
      </w:r>
    </w:p>
    <w:p w:rsidR="000F48EC" w:rsidRPr="00F62AFD" w:rsidRDefault="00414C41" w:rsidP="00661517">
      <w:pPr>
        <w:tabs>
          <w:tab w:val="left" w:pos="1170"/>
          <w:tab w:val="left" w:pos="1620"/>
          <w:tab w:val="left" w:pos="1980"/>
        </w:tabs>
        <w:spacing w:after="240"/>
        <w:ind w:left="1980" w:hanging="1980"/>
        <w:jc w:val="both"/>
        <w:rPr>
          <w:lang w:val="fr-FR"/>
        </w:rPr>
      </w:pPr>
      <w:r>
        <w:rPr>
          <w:lang w:val="fr-FR"/>
        </w:rPr>
        <w:tab/>
      </w:r>
      <w:r>
        <w:rPr>
          <w:lang w:val="fr-FR"/>
        </w:rPr>
        <w:tab/>
      </w:r>
      <w:r>
        <w:rPr>
          <w:lang w:val="fr-FR"/>
        </w:rPr>
        <w:tab/>
        <w:t>(ii) </w:t>
      </w:r>
      <w:r w:rsidR="000F48EC" w:rsidRPr="004C3686">
        <w:rPr>
          <w:szCs w:val="24"/>
          <w:lang w:val="fr-CA"/>
        </w:rPr>
        <w:t xml:space="preserve">les dépenses et les </w:t>
      </w:r>
      <w:r w:rsidR="000F48EC" w:rsidRPr="00414C41">
        <w:rPr>
          <w:lang w:val="fr-CA"/>
        </w:rPr>
        <w:t>recettes</w:t>
      </w:r>
      <w:r w:rsidR="000F48EC" w:rsidRPr="004C3686">
        <w:rPr>
          <w:szCs w:val="24"/>
          <w:lang w:val="fr-CA"/>
        </w:rPr>
        <w:t xml:space="preserve"> de l’État pour l’exercice,</w:t>
      </w:r>
    </w:p>
    <w:p w:rsidR="000F48EC" w:rsidRPr="00F62AFD" w:rsidRDefault="00414C41" w:rsidP="00661517">
      <w:pPr>
        <w:tabs>
          <w:tab w:val="left" w:pos="1170"/>
          <w:tab w:val="left" w:pos="1620"/>
          <w:tab w:val="left" w:pos="1980"/>
        </w:tabs>
        <w:spacing w:after="240"/>
        <w:ind w:left="1980" w:hanging="1980"/>
        <w:jc w:val="both"/>
        <w:rPr>
          <w:lang w:val="fr-FR"/>
        </w:rPr>
      </w:pPr>
      <w:r>
        <w:rPr>
          <w:lang w:val="fr-FR"/>
        </w:rPr>
        <w:tab/>
      </w:r>
      <w:r>
        <w:rPr>
          <w:lang w:val="fr-FR"/>
        </w:rPr>
        <w:tab/>
      </w:r>
      <w:r>
        <w:rPr>
          <w:lang w:val="fr-FR"/>
        </w:rPr>
        <w:tab/>
        <w:t>(iii) </w:t>
      </w:r>
      <w:r w:rsidR="000F48EC" w:rsidRPr="004C3686">
        <w:rPr>
          <w:szCs w:val="24"/>
          <w:lang w:val="fr-CA"/>
        </w:rPr>
        <w:t xml:space="preserve">les actifs et les </w:t>
      </w:r>
      <w:r w:rsidR="000F48EC" w:rsidRPr="00414C41">
        <w:rPr>
          <w:lang w:val="fr-CA"/>
        </w:rPr>
        <w:t>passifs</w:t>
      </w:r>
      <w:r w:rsidR="000F48EC" w:rsidRPr="004C3686">
        <w:rPr>
          <w:szCs w:val="24"/>
          <w:lang w:val="fr-CA"/>
        </w:rPr>
        <w:t xml:space="preserve"> de l’État qui, selon le président du Conseil du Trésor et le ministre, sont nécessaires à la présentation de la situation financière du Canada à la fin de l’exercice</w:t>
      </w:r>
      <w:r w:rsidR="000F48EC" w:rsidRPr="00F62AFD">
        <w:rPr>
          <w:lang w:val="fr-FR"/>
        </w:rPr>
        <w:t>;</w:t>
      </w:r>
    </w:p>
    <w:p w:rsidR="000F48EC" w:rsidRPr="00F62AFD" w:rsidRDefault="00661517" w:rsidP="00661517">
      <w:pPr>
        <w:tabs>
          <w:tab w:val="left" w:pos="1170"/>
          <w:tab w:val="left" w:pos="1620"/>
        </w:tabs>
        <w:spacing w:after="240"/>
        <w:ind w:left="1620" w:hanging="1620"/>
        <w:jc w:val="both"/>
        <w:rPr>
          <w:lang w:val="fr-FR"/>
        </w:rPr>
      </w:pPr>
      <w:r>
        <w:rPr>
          <w:i/>
          <w:lang w:val="fr-FR"/>
        </w:rPr>
        <w:tab/>
      </w:r>
      <w:r>
        <w:rPr>
          <w:i/>
          <w:lang w:val="fr-FR"/>
        </w:rPr>
        <w:tab/>
      </w:r>
      <w:r w:rsidR="000F48EC" w:rsidRPr="00F62AFD">
        <w:rPr>
          <w:i/>
          <w:lang w:val="fr-FR"/>
        </w:rPr>
        <w:t>b</w:t>
      </w:r>
      <w:r>
        <w:rPr>
          <w:lang w:val="fr-FR"/>
        </w:rPr>
        <w:t>) </w:t>
      </w:r>
      <w:r w:rsidR="000F48EC" w:rsidRPr="004C3686">
        <w:rPr>
          <w:szCs w:val="24"/>
          <w:lang w:val="fr-CA"/>
        </w:rPr>
        <w:t>les passifs éventuels de l’État</w:t>
      </w:r>
      <w:r w:rsidR="000F48EC" w:rsidRPr="00F62AFD">
        <w:rPr>
          <w:lang w:val="fr-FR"/>
        </w:rPr>
        <w:t>;</w:t>
      </w:r>
    </w:p>
    <w:p w:rsidR="000F48EC" w:rsidRPr="00F62AFD" w:rsidRDefault="00661517" w:rsidP="00661517">
      <w:pPr>
        <w:tabs>
          <w:tab w:val="left" w:pos="1170"/>
          <w:tab w:val="left" w:pos="1620"/>
        </w:tabs>
        <w:spacing w:after="240"/>
        <w:ind w:left="1620" w:hanging="1620"/>
        <w:jc w:val="both"/>
        <w:rPr>
          <w:lang w:val="fr-FR"/>
        </w:rPr>
      </w:pPr>
      <w:r>
        <w:rPr>
          <w:i/>
          <w:lang w:val="fr-FR"/>
        </w:rPr>
        <w:tab/>
      </w:r>
      <w:r>
        <w:rPr>
          <w:i/>
          <w:lang w:val="fr-FR"/>
        </w:rPr>
        <w:tab/>
      </w:r>
      <w:r w:rsidR="000F48EC" w:rsidRPr="00F62AFD">
        <w:rPr>
          <w:i/>
          <w:lang w:val="fr-FR"/>
        </w:rPr>
        <w:t>c</w:t>
      </w:r>
      <w:r w:rsidR="000F48EC" w:rsidRPr="00F62AFD">
        <w:rPr>
          <w:lang w:val="fr-FR"/>
        </w:rPr>
        <w:t>)</w:t>
      </w:r>
      <w:r>
        <w:rPr>
          <w:lang w:val="fr-FR"/>
        </w:rPr>
        <w:t> </w:t>
      </w:r>
      <w:r w:rsidR="000F48EC" w:rsidRPr="004C3686">
        <w:rPr>
          <w:szCs w:val="24"/>
          <w:lang w:val="fr-CA"/>
        </w:rPr>
        <w:t>l’avis du vérificateur général donné en application de l’article 6 de la </w:t>
      </w:r>
      <w:r w:rsidR="000F48EC" w:rsidRPr="004C3686">
        <w:rPr>
          <w:i/>
          <w:iCs/>
          <w:szCs w:val="24"/>
          <w:lang w:val="fr-CA"/>
        </w:rPr>
        <w:t>Loi sur le vérificateur général</w:t>
      </w:r>
      <w:r w:rsidR="000F48EC">
        <w:rPr>
          <w:iCs/>
          <w:szCs w:val="24"/>
          <w:lang w:val="fr-CA"/>
        </w:rPr>
        <w:t>;</w:t>
      </w:r>
    </w:p>
    <w:p w:rsidR="000F48EC" w:rsidRPr="00882D52" w:rsidRDefault="00661517" w:rsidP="00661517">
      <w:pPr>
        <w:tabs>
          <w:tab w:val="left" w:pos="1170"/>
          <w:tab w:val="left" w:pos="1620"/>
        </w:tabs>
        <w:spacing w:after="720"/>
        <w:ind w:left="1627" w:hanging="1627"/>
        <w:jc w:val="both"/>
        <w:rPr>
          <w:szCs w:val="24"/>
          <w:lang w:val="fr-FR"/>
        </w:rPr>
      </w:pPr>
      <w:r>
        <w:rPr>
          <w:i/>
          <w:lang w:val="fr-FR"/>
        </w:rPr>
        <w:tab/>
      </w:r>
      <w:r>
        <w:rPr>
          <w:i/>
          <w:lang w:val="fr-FR"/>
        </w:rPr>
        <w:tab/>
      </w:r>
      <w:r w:rsidR="000F48EC" w:rsidRPr="00F62AFD">
        <w:rPr>
          <w:i/>
          <w:lang w:val="fr-FR"/>
        </w:rPr>
        <w:t>d</w:t>
      </w:r>
      <w:r>
        <w:rPr>
          <w:lang w:val="fr-FR"/>
        </w:rPr>
        <w:t>) </w:t>
      </w:r>
      <w:r w:rsidR="000F48EC" w:rsidRPr="004C3686">
        <w:rPr>
          <w:szCs w:val="24"/>
          <w:lang w:val="fr-CA"/>
        </w:rPr>
        <w:t>les autres comptes et renseignements relatifs à l’exercice que le président du Conseil du Trésor et le ministre jugent nécessaires à une présentation fidèle des opérations et de la situation financières du Canada ou à faire figurer aux termes de la présente loi ou d’une autre loi fédérale</w:t>
      </w:r>
      <w:r w:rsidR="000F48EC" w:rsidRPr="00F62AFD">
        <w:rPr>
          <w:lang w:val="fr-FR"/>
        </w:rPr>
        <w:t xml:space="preserve">. </w:t>
      </w:r>
    </w:p>
    <w:p w:rsidR="004D7D95" w:rsidRPr="002037D2" w:rsidRDefault="004D7D95" w:rsidP="002037D2">
      <w:pPr>
        <w:pStyle w:val="SCCNormalDoubleSpacing"/>
        <w:spacing w:after="480"/>
        <w:rPr>
          <w:lang w:val="fr-CA"/>
        </w:rPr>
      </w:pPr>
      <w:r w:rsidRPr="002037D2">
        <w:rPr>
          <w:lang w:val="fr-CA"/>
        </w:rPr>
        <w:tab/>
      </w:r>
      <w:r w:rsidR="00865BD8" w:rsidRPr="002037D2">
        <w:rPr>
          <w:i/>
          <w:lang w:val="fr-CA"/>
        </w:rPr>
        <w:t xml:space="preserve">Pourvoi </w:t>
      </w:r>
      <w:r w:rsidR="005A3A36" w:rsidRPr="002037D2">
        <w:rPr>
          <w:i/>
          <w:lang w:val="fr-CA"/>
        </w:rPr>
        <w:t>rejeté avec dépens</w:t>
      </w:r>
      <w:r w:rsidR="00865BD8" w:rsidRPr="002037D2">
        <w:rPr>
          <w:i/>
          <w:lang w:val="fr-CA"/>
        </w:rPr>
        <w:t>.</w:t>
      </w:r>
    </w:p>
    <w:p w:rsidR="00865BD8" w:rsidRPr="002037D2" w:rsidRDefault="00865BD8" w:rsidP="002037D2">
      <w:pPr>
        <w:pStyle w:val="SCCLawFirm"/>
        <w:spacing w:after="480"/>
        <w:rPr>
          <w:lang w:val="fr-CA"/>
        </w:rPr>
      </w:pPr>
      <w:r w:rsidRPr="002037D2">
        <w:rPr>
          <w:lang w:val="fr-CA"/>
        </w:rPr>
        <w:lastRenderedPageBreak/>
        <w:tab/>
        <w:t>Procureurs des appelants l’Institut professionnel de la fonction publique du Canada et autres</w:t>
      </w:r>
      <w:r w:rsidR="00895D2F">
        <w:rPr>
          <w:lang w:val="fr-CA"/>
        </w:rPr>
        <w:t> : </w:t>
      </w:r>
      <w:proofErr w:type="spellStart"/>
      <w:r w:rsidRPr="002037D2">
        <w:rPr>
          <w:lang w:val="fr-CA"/>
        </w:rPr>
        <w:t>Cavalluzzo</w:t>
      </w:r>
      <w:proofErr w:type="spellEnd"/>
      <w:r w:rsidRPr="002037D2">
        <w:rPr>
          <w:lang w:val="fr-CA"/>
        </w:rPr>
        <w:t xml:space="preserve"> Hayes </w:t>
      </w:r>
      <w:proofErr w:type="spellStart"/>
      <w:r w:rsidRPr="002037D2">
        <w:rPr>
          <w:lang w:val="fr-CA"/>
        </w:rPr>
        <w:t>Shilton</w:t>
      </w:r>
      <w:proofErr w:type="spellEnd"/>
      <w:r w:rsidRPr="002037D2">
        <w:rPr>
          <w:lang w:val="fr-CA"/>
        </w:rPr>
        <w:t xml:space="preserve"> McIntyre &amp; </w:t>
      </w:r>
      <w:proofErr w:type="spellStart"/>
      <w:r w:rsidRPr="002037D2">
        <w:rPr>
          <w:lang w:val="fr-CA"/>
        </w:rPr>
        <w:t>Cornish</w:t>
      </w:r>
      <w:proofErr w:type="spellEnd"/>
      <w:r w:rsidRPr="002037D2">
        <w:rPr>
          <w:lang w:val="fr-CA"/>
        </w:rPr>
        <w:t>, Toronto.</w:t>
      </w:r>
    </w:p>
    <w:p w:rsidR="00865BD8" w:rsidRPr="002037D2" w:rsidRDefault="00865BD8" w:rsidP="002037D2">
      <w:pPr>
        <w:pStyle w:val="SCCLawFirm"/>
        <w:spacing w:after="480"/>
        <w:rPr>
          <w:lang w:val="fr-CA"/>
        </w:rPr>
      </w:pPr>
      <w:r w:rsidRPr="002037D2">
        <w:rPr>
          <w:lang w:val="fr-CA"/>
        </w:rPr>
        <w:tab/>
        <w:t xml:space="preserve">Procureurs des appelantes l’Alliance de la Fonction publique du Canada, l’Association </w:t>
      </w:r>
      <w:r w:rsidR="005F57B2" w:rsidRPr="002037D2">
        <w:rPr>
          <w:lang w:val="fr-CA"/>
        </w:rPr>
        <w:t xml:space="preserve">canadienne </w:t>
      </w:r>
      <w:r w:rsidRPr="002037D2">
        <w:rPr>
          <w:lang w:val="fr-CA"/>
        </w:rPr>
        <w:t>des pensionnés et rentiers militaires et autres</w:t>
      </w:r>
      <w:r w:rsidR="00895D2F">
        <w:rPr>
          <w:lang w:val="fr-CA"/>
        </w:rPr>
        <w:t> : </w:t>
      </w:r>
      <w:proofErr w:type="spellStart"/>
      <w:r w:rsidRPr="002037D2">
        <w:rPr>
          <w:lang w:val="fr-CA"/>
        </w:rPr>
        <w:t>Raven</w:t>
      </w:r>
      <w:proofErr w:type="spellEnd"/>
      <w:r w:rsidRPr="002037D2">
        <w:rPr>
          <w:lang w:val="fr-CA"/>
        </w:rPr>
        <w:t xml:space="preserve">, Cameron, </w:t>
      </w:r>
      <w:proofErr w:type="spellStart"/>
      <w:r w:rsidRPr="002037D2">
        <w:rPr>
          <w:lang w:val="fr-CA"/>
        </w:rPr>
        <w:t>Ballantyne</w:t>
      </w:r>
      <w:proofErr w:type="spellEnd"/>
      <w:r w:rsidRPr="002037D2">
        <w:rPr>
          <w:lang w:val="fr-CA"/>
        </w:rPr>
        <w:t xml:space="preserve"> &amp; </w:t>
      </w:r>
      <w:proofErr w:type="spellStart"/>
      <w:r w:rsidRPr="002037D2">
        <w:rPr>
          <w:lang w:val="fr-CA"/>
        </w:rPr>
        <w:t>Yazbeck</w:t>
      </w:r>
      <w:proofErr w:type="spellEnd"/>
      <w:r w:rsidRPr="002037D2">
        <w:rPr>
          <w:lang w:val="fr-CA"/>
        </w:rPr>
        <w:t>, Ottawa.</w:t>
      </w:r>
    </w:p>
    <w:p w:rsidR="00865BD8" w:rsidRPr="002037D2" w:rsidRDefault="00865BD8" w:rsidP="002037D2">
      <w:pPr>
        <w:pStyle w:val="SCCLawFirm"/>
        <w:spacing w:after="480"/>
        <w:rPr>
          <w:lang w:val="fr-CA"/>
        </w:rPr>
      </w:pPr>
      <w:r w:rsidRPr="002037D2">
        <w:rPr>
          <w:lang w:val="fr-CA"/>
        </w:rPr>
        <w:tab/>
        <w:t>Procureur de l’intimé</w:t>
      </w:r>
      <w:r w:rsidR="00895D2F">
        <w:rPr>
          <w:lang w:val="fr-CA"/>
        </w:rPr>
        <w:t> : </w:t>
      </w:r>
      <w:r w:rsidRPr="002037D2">
        <w:rPr>
          <w:lang w:val="fr-CA"/>
        </w:rPr>
        <w:t>Procureur général du Canada, Toronto.</w:t>
      </w:r>
    </w:p>
    <w:p w:rsidR="009B57B3" w:rsidRDefault="00865BD8" w:rsidP="000F48EC">
      <w:pPr>
        <w:pStyle w:val="SCCLawFirm"/>
        <w:rPr>
          <w:b/>
          <w:i w:val="0"/>
          <w:lang w:val="fr-CA"/>
        </w:rPr>
      </w:pPr>
      <w:r w:rsidRPr="002037D2">
        <w:rPr>
          <w:lang w:val="fr-CA"/>
        </w:rPr>
        <w:tab/>
        <w:t>Procureur de l’intervenant</w:t>
      </w:r>
      <w:r w:rsidR="00895D2F">
        <w:rPr>
          <w:lang w:val="fr-CA"/>
        </w:rPr>
        <w:t> : </w:t>
      </w:r>
      <w:r w:rsidRPr="002037D2">
        <w:rPr>
          <w:lang w:val="fr-CA"/>
        </w:rPr>
        <w:t xml:space="preserve">Procureur général de la </w:t>
      </w:r>
      <w:proofErr w:type="spellStart"/>
      <w:r w:rsidRPr="002037D2">
        <w:rPr>
          <w:lang w:val="fr-CA"/>
        </w:rPr>
        <w:t>Colombie</w:t>
      </w:r>
      <w:r w:rsidR="002037D2">
        <w:rPr>
          <w:lang w:val="fr-CA"/>
        </w:rPr>
        <w:noBreakHyphen/>
      </w:r>
      <w:r w:rsidRPr="002037D2">
        <w:rPr>
          <w:lang w:val="fr-CA"/>
        </w:rPr>
        <w:t>Britannique</w:t>
      </w:r>
      <w:proofErr w:type="spellEnd"/>
      <w:r w:rsidRPr="002037D2">
        <w:rPr>
          <w:lang w:val="fr-CA"/>
        </w:rPr>
        <w:t>, Victoria.</w:t>
      </w:r>
    </w:p>
    <w:p w:rsidR="000F48EC" w:rsidRDefault="000F48EC" w:rsidP="000F48EC">
      <w:pPr>
        <w:pStyle w:val="SCCNormalDoubleSpacing"/>
        <w:rPr>
          <w:lang w:val="fr-CA"/>
        </w:rPr>
      </w:pPr>
    </w:p>
    <w:p w:rsidR="000F48EC" w:rsidRPr="000F48EC" w:rsidRDefault="000F48EC" w:rsidP="000F48EC">
      <w:pPr>
        <w:pStyle w:val="SCCNormalDoubleSpacing"/>
        <w:rPr>
          <w:lang w:val="fr-CA"/>
        </w:rPr>
      </w:pPr>
    </w:p>
    <w:sectPr w:rsidR="000F48EC" w:rsidRPr="000F48EC" w:rsidSect="000B4893">
      <w:headerReference w:type="default" r:id="rId10"/>
      <w:pgSz w:w="12240" w:h="15840"/>
      <w:pgMar w:top="1267" w:right="2160" w:bottom="720" w:left="1800" w:header="1802"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676F" w:rsidRDefault="00EA676F">
      <w:r>
        <w:separator/>
      </w:r>
    </w:p>
  </w:endnote>
  <w:endnote w:type="continuationSeparator" w:id="0">
    <w:p w:rsidR="00EA676F" w:rsidRDefault="00EA67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676F" w:rsidRDefault="00EA676F">
      <w:r>
        <w:separator/>
      </w:r>
    </w:p>
  </w:footnote>
  <w:footnote w:type="continuationSeparator" w:id="0">
    <w:p w:rsidR="00EA676F" w:rsidRDefault="00EA67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96574"/>
      <w:docPartObj>
        <w:docPartGallery w:val="Page Numbers (Top of Page)"/>
        <w:docPartUnique/>
      </w:docPartObj>
    </w:sdtPr>
    <w:sdtContent>
      <w:p w:rsidR="00EA676F" w:rsidRDefault="00EA676F">
        <w:pPr>
          <w:pStyle w:val="Header"/>
          <w:jc w:val="center"/>
        </w:pPr>
        <w:r>
          <w:t xml:space="preserve">- </w:t>
        </w:r>
        <w:fldSimple w:instr=" PAGE   \* MERGEFORMAT ">
          <w:r w:rsidR="00823601">
            <w:rPr>
              <w:noProof/>
            </w:rPr>
            <w:t>2</w:t>
          </w:r>
        </w:fldSimple>
        <w:r>
          <w:t xml:space="preserve"> -</w:t>
        </w:r>
      </w:p>
    </w:sdtContent>
  </w:sdt>
  <w:p w:rsidR="00EA676F" w:rsidRPr="00450352" w:rsidRDefault="00EA676F" w:rsidP="0045035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3in;height:3in" o:bullet="t"/>
    </w:pict>
  </w:numPicBullet>
  <w:numPicBullet w:numPicBulletId="1">
    <w:pict>
      <v:shape id="_x0000_i1036" type="#_x0000_t75" style="width:3in;height:3in" o:bullet="t"/>
    </w:pict>
  </w:numPicBullet>
  <w:abstractNum w:abstractNumId="0">
    <w:nsid w:val="005142D2"/>
    <w:multiLevelType w:val="hybridMultilevel"/>
    <w:tmpl w:val="6BA870E2"/>
    <w:lvl w:ilvl="0" w:tplc="25408DC4">
      <w:start w:val="2"/>
      <w:numFmt w:val="lowerRoman"/>
      <w:lvlText w:val="%1."/>
      <w:lvlJc w:val="right"/>
      <w:pPr>
        <w:ind w:left="2160" w:hanging="18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1F8D0BFE"/>
    <w:multiLevelType w:val="multilevel"/>
    <w:tmpl w:val="A8789A78"/>
    <w:lvl w:ilvl="0">
      <w:start w:val="1"/>
      <w:numFmt w:val="decimal"/>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21F86F9A"/>
    <w:multiLevelType w:val="hybridMultilevel"/>
    <w:tmpl w:val="D9F89DFA"/>
    <w:lvl w:ilvl="0" w:tplc="12FED97C">
      <w:start w:val="1"/>
      <w:numFmt w:val="upperRoman"/>
      <w:pStyle w:val="Level1"/>
      <w:lvlText w:val="%1."/>
      <w:lvlJc w:val="left"/>
      <w:pPr>
        <w:ind w:left="1080" w:hanging="720"/>
      </w:pPr>
      <w:rPr>
        <w:rFonts w:hint="default"/>
      </w:rPr>
    </w:lvl>
    <w:lvl w:ilvl="1" w:tplc="10090019">
      <w:start w:val="1"/>
      <w:numFmt w:val="lowerLetter"/>
      <w:lvlText w:val="%2."/>
      <w:lvlJc w:val="left"/>
      <w:pPr>
        <w:ind w:left="1440" w:hanging="360"/>
      </w:pPr>
    </w:lvl>
    <w:lvl w:ilvl="2" w:tplc="C194E936">
      <w:start w:val="1"/>
      <w:numFmt w:val="decimal"/>
      <w:lvlText w:val="(%3)"/>
      <w:lvlJc w:val="left"/>
      <w:pPr>
        <w:ind w:left="2700" w:hanging="720"/>
      </w:pPr>
      <w:rPr>
        <w:rFonts w:cs="Times New Roman"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277B4F56"/>
    <w:multiLevelType w:val="hybridMultilevel"/>
    <w:tmpl w:val="B2BEB270"/>
    <w:lvl w:ilvl="0" w:tplc="1009000F">
      <w:start w:val="1"/>
      <w:numFmt w:val="decimal"/>
      <w:lvlText w:val="%1."/>
      <w:lvlJc w:val="left"/>
      <w:pPr>
        <w:ind w:left="1080" w:hanging="72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402C1EE9"/>
    <w:multiLevelType w:val="hybridMultilevel"/>
    <w:tmpl w:val="A3740454"/>
    <w:lvl w:ilvl="0" w:tplc="FAB494B0">
      <w:start w:val="1"/>
      <w:numFmt w:val="upperRoman"/>
      <w:lvlText w:val="%1."/>
      <w:lvlJc w:val="left"/>
      <w:pPr>
        <w:ind w:left="720" w:hanging="720"/>
      </w:pPr>
      <w:rPr>
        <w:rFonts w:hint="default"/>
      </w:rPr>
    </w:lvl>
    <w:lvl w:ilvl="1" w:tplc="98E40512">
      <w:start w:val="1"/>
      <w:numFmt w:val="upperLetter"/>
      <w:lvlText w:val="%2."/>
      <w:lvlJc w:val="left"/>
      <w:pPr>
        <w:ind w:left="1080" w:hanging="360"/>
      </w:pPr>
      <w:rPr>
        <w:i w:val="0"/>
      </w:rPr>
    </w:lvl>
    <w:lvl w:ilvl="2" w:tplc="86D878AA">
      <w:start w:val="1"/>
      <w:numFmt w:val="decimal"/>
      <w:lvlText w:val="(%3)"/>
      <w:lvlJc w:val="right"/>
      <w:pPr>
        <w:ind w:left="1800" w:hanging="180"/>
      </w:pPr>
      <w:rPr>
        <w:rFonts w:hint="default"/>
        <w:b w:val="0"/>
        <w:i w:val="0"/>
      </w:rPr>
    </w:lvl>
    <w:lvl w:ilvl="3" w:tplc="1009000F">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nsid w:val="405B24EA"/>
    <w:multiLevelType w:val="hybridMultilevel"/>
    <w:tmpl w:val="E07EC324"/>
    <w:lvl w:ilvl="0" w:tplc="E326E348">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73B56C1"/>
    <w:multiLevelType w:val="hybridMultilevel"/>
    <w:tmpl w:val="5E1CDA44"/>
    <w:lvl w:ilvl="0" w:tplc="5226EA80">
      <w:start w:val="1"/>
      <w:numFmt w:val="upperLetter"/>
      <w:pStyle w:val="Level2"/>
      <w:lvlText w:val="%1."/>
      <w:lvlJc w:val="left"/>
      <w:pPr>
        <w:ind w:left="720" w:hanging="360"/>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4CC97259"/>
    <w:multiLevelType w:val="multilevel"/>
    <w:tmpl w:val="1040A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0686D3A"/>
    <w:multiLevelType w:val="hybridMultilevel"/>
    <w:tmpl w:val="6E0C3B20"/>
    <w:lvl w:ilvl="0" w:tplc="19A08AFA">
      <w:start w:val="1"/>
      <w:numFmt w:val="lowerRoman"/>
      <w:pStyle w:val="Level3"/>
      <w:lvlText w:val="%1."/>
      <w:lvlJc w:val="left"/>
      <w:pPr>
        <w:ind w:left="1080" w:hanging="72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54283EE8"/>
    <w:multiLevelType w:val="multilevel"/>
    <w:tmpl w:val="CA525F5E"/>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65535E44"/>
    <w:multiLevelType w:val="multilevel"/>
    <w:tmpl w:val="3EFCA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98975A4"/>
    <w:multiLevelType w:val="hybridMultilevel"/>
    <w:tmpl w:val="6046BD7E"/>
    <w:lvl w:ilvl="0" w:tplc="27541218">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6A185E97"/>
    <w:multiLevelType w:val="hybridMultilevel"/>
    <w:tmpl w:val="03DC503A"/>
    <w:lvl w:ilvl="0" w:tplc="D14A887E">
      <w:start w:val="1"/>
      <w:numFmt w:val="lowerRoman"/>
      <w:lvlText w:val="%1."/>
      <w:lvlJc w:val="right"/>
      <w:pPr>
        <w:ind w:left="2160" w:hanging="18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74A07910"/>
    <w:multiLevelType w:val="multilevel"/>
    <w:tmpl w:val="42507ACA"/>
    <w:lvl w:ilvl="0">
      <w:start w:val="1"/>
      <w:numFmt w:val="decimal"/>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74A414D7"/>
    <w:multiLevelType w:val="hybridMultilevel"/>
    <w:tmpl w:val="B2BEB270"/>
    <w:lvl w:ilvl="0" w:tplc="1009000F">
      <w:start w:val="1"/>
      <w:numFmt w:val="decimal"/>
      <w:lvlText w:val="%1."/>
      <w:lvlJc w:val="left"/>
      <w:pPr>
        <w:ind w:left="1080" w:hanging="72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9"/>
  </w:num>
  <w:num w:numId="2">
    <w:abstractNumId w:val="4"/>
  </w:num>
  <w:num w:numId="3">
    <w:abstractNumId w:val="9"/>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2"/>
    </w:lvlOverride>
  </w:num>
  <w:num w:numId="4">
    <w:abstractNumId w:val="13"/>
  </w:num>
  <w:num w:numId="5">
    <w:abstractNumId w:val="8"/>
  </w:num>
  <w:num w:numId="6">
    <w:abstractNumId w:val="6"/>
    <w:lvlOverride w:ilvl="0">
      <w:startOverride w:val="1"/>
    </w:lvlOverride>
  </w:num>
  <w:num w:numId="7">
    <w:abstractNumId w:val="3"/>
  </w:num>
  <w:num w:numId="8">
    <w:abstractNumId w:val="14"/>
  </w:num>
  <w:num w:numId="9">
    <w:abstractNumId w:val="2"/>
  </w:num>
  <w:num w:numId="10">
    <w:abstractNumId w:val="1"/>
  </w:num>
  <w:num w:numId="11">
    <w:abstractNumId w:val="0"/>
  </w:num>
  <w:num w:numId="12">
    <w:abstractNumId w:val="9"/>
    <w:lvlOverride w:ilvl="0">
      <w:startOverride w:val="4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5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5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6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6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6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9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7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10"/>
  </w:num>
  <w:num w:numId="23">
    <w:abstractNumId w:val="12"/>
  </w:num>
  <w:num w:numId="24">
    <w:abstractNumId w:val="5"/>
  </w:num>
  <w:num w:numId="2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proofState w:spelling="clean" w:grammar="clean"/>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rsids>
    <w:rsidRoot w:val="0031414C"/>
    <w:rsid w:val="00000ED4"/>
    <w:rsid w:val="00023FC7"/>
    <w:rsid w:val="00024BA7"/>
    <w:rsid w:val="00025198"/>
    <w:rsid w:val="00050474"/>
    <w:rsid w:val="000578A3"/>
    <w:rsid w:val="00063E3E"/>
    <w:rsid w:val="000648CC"/>
    <w:rsid w:val="00082F8D"/>
    <w:rsid w:val="00094C69"/>
    <w:rsid w:val="000956A0"/>
    <w:rsid w:val="000B4893"/>
    <w:rsid w:val="000C59B8"/>
    <w:rsid w:val="000C6AF0"/>
    <w:rsid w:val="000D0A77"/>
    <w:rsid w:val="000F1C6B"/>
    <w:rsid w:val="000F48EC"/>
    <w:rsid w:val="000F7993"/>
    <w:rsid w:val="00104F33"/>
    <w:rsid w:val="00106FB9"/>
    <w:rsid w:val="00110A0D"/>
    <w:rsid w:val="00111DE2"/>
    <w:rsid w:val="00116B38"/>
    <w:rsid w:val="00133BB1"/>
    <w:rsid w:val="00135406"/>
    <w:rsid w:val="00135972"/>
    <w:rsid w:val="001366DD"/>
    <w:rsid w:val="001426A9"/>
    <w:rsid w:val="00154D7C"/>
    <w:rsid w:val="001570B0"/>
    <w:rsid w:val="0015752C"/>
    <w:rsid w:val="00157737"/>
    <w:rsid w:val="00161744"/>
    <w:rsid w:val="00162DF8"/>
    <w:rsid w:val="00165277"/>
    <w:rsid w:val="00170592"/>
    <w:rsid w:val="00170FF5"/>
    <w:rsid w:val="001720F7"/>
    <w:rsid w:val="00180731"/>
    <w:rsid w:val="00181BB2"/>
    <w:rsid w:val="00183681"/>
    <w:rsid w:val="00186731"/>
    <w:rsid w:val="00195D83"/>
    <w:rsid w:val="001A00C1"/>
    <w:rsid w:val="001B1EB9"/>
    <w:rsid w:val="001B33E0"/>
    <w:rsid w:val="001B4573"/>
    <w:rsid w:val="001C779F"/>
    <w:rsid w:val="001D1AD7"/>
    <w:rsid w:val="001D2AC1"/>
    <w:rsid w:val="001D3900"/>
    <w:rsid w:val="001D4E88"/>
    <w:rsid w:val="001D5386"/>
    <w:rsid w:val="001E25CB"/>
    <w:rsid w:val="002037D2"/>
    <w:rsid w:val="00210502"/>
    <w:rsid w:val="00220FC2"/>
    <w:rsid w:val="002222F4"/>
    <w:rsid w:val="00224FC0"/>
    <w:rsid w:val="00225EA4"/>
    <w:rsid w:val="00226EAF"/>
    <w:rsid w:val="00231F3A"/>
    <w:rsid w:val="002336D3"/>
    <w:rsid w:val="002406EE"/>
    <w:rsid w:val="00243EC8"/>
    <w:rsid w:val="00264FD7"/>
    <w:rsid w:val="0026622D"/>
    <w:rsid w:val="00270D93"/>
    <w:rsid w:val="002745CC"/>
    <w:rsid w:val="002B1F7F"/>
    <w:rsid w:val="002B6FBE"/>
    <w:rsid w:val="002B7924"/>
    <w:rsid w:val="002C10A6"/>
    <w:rsid w:val="002D0DA0"/>
    <w:rsid w:val="002D28C3"/>
    <w:rsid w:val="002D39A4"/>
    <w:rsid w:val="002E6705"/>
    <w:rsid w:val="0030329A"/>
    <w:rsid w:val="00305CC5"/>
    <w:rsid w:val="0031086F"/>
    <w:rsid w:val="0031414C"/>
    <w:rsid w:val="00314E01"/>
    <w:rsid w:val="00314E0D"/>
    <w:rsid w:val="00316630"/>
    <w:rsid w:val="0032089D"/>
    <w:rsid w:val="003224A3"/>
    <w:rsid w:val="003310DE"/>
    <w:rsid w:val="003323B0"/>
    <w:rsid w:val="00337D23"/>
    <w:rsid w:val="00340A49"/>
    <w:rsid w:val="00345213"/>
    <w:rsid w:val="0035169A"/>
    <w:rsid w:val="0035259D"/>
    <w:rsid w:val="0036471F"/>
    <w:rsid w:val="00364B18"/>
    <w:rsid w:val="0037056F"/>
    <w:rsid w:val="0037436E"/>
    <w:rsid w:val="00377114"/>
    <w:rsid w:val="003A125D"/>
    <w:rsid w:val="003A4C70"/>
    <w:rsid w:val="003B215F"/>
    <w:rsid w:val="003C49AC"/>
    <w:rsid w:val="003C799C"/>
    <w:rsid w:val="003D0399"/>
    <w:rsid w:val="003D0D7F"/>
    <w:rsid w:val="003D2112"/>
    <w:rsid w:val="003D2CFB"/>
    <w:rsid w:val="003E1C71"/>
    <w:rsid w:val="003F327B"/>
    <w:rsid w:val="00406166"/>
    <w:rsid w:val="0040656D"/>
    <w:rsid w:val="0040704B"/>
    <w:rsid w:val="00410A55"/>
    <w:rsid w:val="00411300"/>
    <w:rsid w:val="00413F17"/>
    <w:rsid w:val="00414C41"/>
    <w:rsid w:val="00415417"/>
    <w:rsid w:val="00426659"/>
    <w:rsid w:val="00426B03"/>
    <w:rsid w:val="00445B05"/>
    <w:rsid w:val="00450352"/>
    <w:rsid w:val="00454BDB"/>
    <w:rsid w:val="004563E4"/>
    <w:rsid w:val="00465132"/>
    <w:rsid w:val="00480C90"/>
    <w:rsid w:val="0048396F"/>
    <w:rsid w:val="00490580"/>
    <w:rsid w:val="00493C18"/>
    <w:rsid w:val="004A11F0"/>
    <w:rsid w:val="004A600C"/>
    <w:rsid w:val="004A6118"/>
    <w:rsid w:val="004C478D"/>
    <w:rsid w:val="004C71DF"/>
    <w:rsid w:val="004D0C72"/>
    <w:rsid w:val="004D7204"/>
    <w:rsid w:val="004D7D95"/>
    <w:rsid w:val="004E2C26"/>
    <w:rsid w:val="004E3199"/>
    <w:rsid w:val="004F36E0"/>
    <w:rsid w:val="005068C9"/>
    <w:rsid w:val="005125A8"/>
    <w:rsid w:val="00517549"/>
    <w:rsid w:val="00520ABC"/>
    <w:rsid w:val="005216B3"/>
    <w:rsid w:val="00521AE8"/>
    <w:rsid w:val="00527180"/>
    <w:rsid w:val="00537B2C"/>
    <w:rsid w:val="005437DE"/>
    <w:rsid w:val="00555291"/>
    <w:rsid w:val="00566AD1"/>
    <w:rsid w:val="00583EDE"/>
    <w:rsid w:val="0059152E"/>
    <w:rsid w:val="005A1AB9"/>
    <w:rsid w:val="005A1B8D"/>
    <w:rsid w:val="005A3A36"/>
    <w:rsid w:val="005A6079"/>
    <w:rsid w:val="005B08BF"/>
    <w:rsid w:val="005B2EB9"/>
    <w:rsid w:val="005B3302"/>
    <w:rsid w:val="005E4698"/>
    <w:rsid w:val="005F57B2"/>
    <w:rsid w:val="00602875"/>
    <w:rsid w:val="00603924"/>
    <w:rsid w:val="00610539"/>
    <w:rsid w:val="00613969"/>
    <w:rsid w:val="00625C35"/>
    <w:rsid w:val="00647E49"/>
    <w:rsid w:val="00656313"/>
    <w:rsid w:val="006565F4"/>
    <w:rsid w:val="00661517"/>
    <w:rsid w:val="0067022E"/>
    <w:rsid w:val="00675BAB"/>
    <w:rsid w:val="00684EEA"/>
    <w:rsid w:val="0069689B"/>
    <w:rsid w:val="00697085"/>
    <w:rsid w:val="006B5FF5"/>
    <w:rsid w:val="006C0314"/>
    <w:rsid w:val="006E5F7C"/>
    <w:rsid w:val="006F30AF"/>
    <w:rsid w:val="006F575B"/>
    <w:rsid w:val="00701759"/>
    <w:rsid w:val="007043FB"/>
    <w:rsid w:val="00705C15"/>
    <w:rsid w:val="007077C6"/>
    <w:rsid w:val="007110F6"/>
    <w:rsid w:val="007208D1"/>
    <w:rsid w:val="00744518"/>
    <w:rsid w:val="00747288"/>
    <w:rsid w:val="00747DD3"/>
    <w:rsid w:val="007549C8"/>
    <w:rsid w:val="0075603D"/>
    <w:rsid w:val="00766D14"/>
    <w:rsid w:val="00767A0F"/>
    <w:rsid w:val="0077444C"/>
    <w:rsid w:val="00791272"/>
    <w:rsid w:val="007A05F6"/>
    <w:rsid w:val="007B55D2"/>
    <w:rsid w:val="007B5AA7"/>
    <w:rsid w:val="007B6F4A"/>
    <w:rsid w:val="007B7B9E"/>
    <w:rsid w:val="007E1C47"/>
    <w:rsid w:val="007E337A"/>
    <w:rsid w:val="007E4D04"/>
    <w:rsid w:val="007E5C70"/>
    <w:rsid w:val="007F2FF5"/>
    <w:rsid w:val="007F3F08"/>
    <w:rsid w:val="007F736F"/>
    <w:rsid w:val="00804CC6"/>
    <w:rsid w:val="00817190"/>
    <w:rsid w:val="00823601"/>
    <w:rsid w:val="008260E2"/>
    <w:rsid w:val="008322BD"/>
    <w:rsid w:val="00834F73"/>
    <w:rsid w:val="008446CC"/>
    <w:rsid w:val="00864C8A"/>
    <w:rsid w:val="00864CF8"/>
    <w:rsid w:val="00865BD8"/>
    <w:rsid w:val="00874914"/>
    <w:rsid w:val="00881979"/>
    <w:rsid w:val="00891422"/>
    <w:rsid w:val="00892E1A"/>
    <w:rsid w:val="00895D2F"/>
    <w:rsid w:val="008B50EA"/>
    <w:rsid w:val="008B660A"/>
    <w:rsid w:val="008C01DA"/>
    <w:rsid w:val="008C62A5"/>
    <w:rsid w:val="008C6AFB"/>
    <w:rsid w:val="008F2674"/>
    <w:rsid w:val="008F78E9"/>
    <w:rsid w:val="009110CD"/>
    <w:rsid w:val="009179F9"/>
    <w:rsid w:val="00917C7A"/>
    <w:rsid w:val="00922572"/>
    <w:rsid w:val="00926FCB"/>
    <w:rsid w:val="00933E5E"/>
    <w:rsid w:val="00935218"/>
    <w:rsid w:val="00937C52"/>
    <w:rsid w:val="009403F3"/>
    <w:rsid w:val="009555B7"/>
    <w:rsid w:val="009567AA"/>
    <w:rsid w:val="0096002F"/>
    <w:rsid w:val="009602C9"/>
    <w:rsid w:val="00967374"/>
    <w:rsid w:val="00995D1F"/>
    <w:rsid w:val="009A343A"/>
    <w:rsid w:val="009B2F23"/>
    <w:rsid w:val="009B57B3"/>
    <w:rsid w:val="009D0AB1"/>
    <w:rsid w:val="009D2920"/>
    <w:rsid w:val="009D5AEB"/>
    <w:rsid w:val="009F0E33"/>
    <w:rsid w:val="009F4AC8"/>
    <w:rsid w:val="009F7CA6"/>
    <w:rsid w:val="00A149DF"/>
    <w:rsid w:val="00A1755C"/>
    <w:rsid w:val="00A21B90"/>
    <w:rsid w:val="00A22AAC"/>
    <w:rsid w:val="00A41805"/>
    <w:rsid w:val="00A5136E"/>
    <w:rsid w:val="00A51882"/>
    <w:rsid w:val="00A52AFB"/>
    <w:rsid w:val="00A548CB"/>
    <w:rsid w:val="00A5521C"/>
    <w:rsid w:val="00A643E7"/>
    <w:rsid w:val="00A73C38"/>
    <w:rsid w:val="00A81CD8"/>
    <w:rsid w:val="00AB670D"/>
    <w:rsid w:val="00AC55FF"/>
    <w:rsid w:val="00AE7F2D"/>
    <w:rsid w:val="00AF03C5"/>
    <w:rsid w:val="00AF2870"/>
    <w:rsid w:val="00B000D8"/>
    <w:rsid w:val="00B00F75"/>
    <w:rsid w:val="00B145B6"/>
    <w:rsid w:val="00B279EB"/>
    <w:rsid w:val="00B43A38"/>
    <w:rsid w:val="00B45AE6"/>
    <w:rsid w:val="00B47511"/>
    <w:rsid w:val="00B50C81"/>
    <w:rsid w:val="00B557F8"/>
    <w:rsid w:val="00B815FC"/>
    <w:rsid w:val="00B93FBC"/>
    <w:rsid w:val="00BA7DA0"/>
    <w:rsid w:val="00BB2EE4"/>
    <w:rsid w:val="00BB4C92"/>
    <w:rsid w:val="00BC2108"/>
    <w:rsid w:val="00BD0E9E"/>
    <w:rsid w:val="00BD1BEC"/>
    <w:rsid w:val="00BD32FF"/>
    <w:rsid w:val="00BF6FE9"/>
    <w:rsid w:val="00C02092"/>
    <w:rsid w:val="00C24D91"/>
    <w:rsid w:val="00C26DB2"/>
    <w:rsid w:val="00C4348E"/>
    <w:rsid w:val="00C501D2"/>
    <w:rsid w:val="00C53F14"/>
    <w:rsid w:val="00C600CF"/>
    <w:rsid w:val="00C6084F"/>
    <w:rsid w:val="00C62A66"/>
    <w:rsid w:val="00C66359"/>
    <w:rsid w:val="00C71458"/>
    <w:rsid w:val="00C73F54"/>
    <w:rsid w:val="00C77613"/>
    <w:rsid w:val="00C81A83"/>
    <w:rsid w:val="00C82227"/>
    <w:rsid w:val="00C828E7"/>
    <w:rsid w:val="00C83500"/>
    <w:rsid w:val="00C86719"/>
    <w:rsid w:val="00C921DD"/>
    <w:rsid w:val="00CA1445"/>
    <w:rsid w:val="00CA55D4"/>
    <w:rsid w:val="00CA6391"/>
    <w:rsid w:val="00CB1B43"/>
    <w:rsid w:val="00CB71CA"/>
    <w:rsid w:val="00CC57F6"/>
    <w:rsid w:val="00CD110C"/>
    <w:rsid w:val="00CE036E"/>
    <w:rsid w:val="00CE3171"/>
    <w:rsid w:val="00CF1601"/>
    <w:rsid w:val="00CF2106"/>
    <w:rsid w:val="00D0172F"/>
    <w:rsid w:val="00D01E33"/>
    <w:rsid w:val="00D068A7"/>
    <w:rsid w:val="00D14068"/>
    <w:rsid w:val="00D15E02"/>
    <w:rsid w:val="00D17476"/>
    <w:rsid w:val="00D32086"/>
    <w:rsid w:val="00D37A3F"/>
    <w:rsid w:val="00D4431D"/>
    <w:rsid w:val="00D4667A"/>
    <w:rsid w:val="00D57988"/>
    <w:rsid w:val="00D63A1C"/>
    <w:rsid w:val="00D7516F"/>
    <w:rsid w:val="00D77041"/>
    <w:rsid w:val="00D80391"/>
    <w:rsid w:val="00D92564"/>
    <w:rsid w:val="00D95F8E"/>
    <w:rsid w:val="00DA0590"/>
    <w:rsid w:val="00DA7C9E"/>
    <w:rsid w:val="00DC067F"/>
    <w:rsid w:val="00DC1739"/>
    <w:rsid w:val="00DC1788"/>
    <w:rsid w:val="00DE2CC2"/>
    <w:rsid w:val="00DE319C"/>
    <w:rsid w:val="00DF0CA8"/>
    <w:rsid w:val="00DF2B48"/>
    <w:rsid w:val="00DF49A7"/>
    <w:rsid w:val="00E07EE2"/>
    <w:rsid w:val="00E07FD1"/>
    <w:rsid w:val="00E24573"/>
    <w:rsid w:val="00E25E1E"/>
    <w:rsid w:val="00E26791"/>
    <w:rsid w:val="00E27EE7"/>
    <w:rsid w:val="00E35404"/>
    <w:rsid w:val="00E416ED"/>
    <w:rsid w:val="00E45109"/>
    <w:rsid w:val="00E4646C"/>
    <w:rsid w:val="00E46B5B"/>
    <w:rsid w:val="00E47B7A"/>
    <w:rsid w:val="00E56A44"/>
    <w:rsid w:val="00E60269"/>
    <w:rsid w:val="00E77C1F"/>
    <w:rsid w:val="00E85E10"/>
    <w:rsid w:val="00E97830"/>
    <w:rsid w:val="00EA676F"/>
    <w:rsid w:val="00EB2BAC"/>
    <w:rsid w:val="00EB3513"/>
    <w:rsid w:val="00ED454E"/>
    <w:rsid w:val="00ED5777"/>
    <w:rsid w:val="00EE0830"/>
    <w:rsid w:val="00EE6CB8"/>
    <w:rsid w:val="00EF0683"/>
    <w:rsid w:val="00F0070C"/>
    <w:rsid w:val="00F00EB7"/>
    <w:rsid w:val="00F14B17"/>
    <w:rsid w:val="00F160C7"/>
    <w:rsid w:val="00F36AB6"/>
    <w:rsid w:val="00F37A09"/>
    <w:rsid w:val="00F409CE"/>
    <w:rsid w:val="00F4379D"/>
    <w:rsid w:val="00F50D2D"/>
    <w:rsid w:val="00F56C8B"/>
    <w:rsid w:val="00F62639"/>
    <w:rsid w:val="00F631DB"/>
    <w:rsid w:val="00F66810"/>
    <w:rsid w:val="00F822DF"/>
    <w:rsid w:val="00F84DF4"/>
    <w:rsid w:val="00F85C97"/>
    <w:rsid w:val="00F91A91"/>
    <w:rsid w:val="00FA2381"/>
    <w:rsid w:val="00FA6F73"/>
    <w:rsid w:val="00FB37D2"/>
    <w:rsid w:val="00FC4EFB"/>
    <w:rsid w:val="00FD068D"/>
    <w:rsid w:val="00FD4F28"/>
    <w:rsid w:val="00FD64B3"/>
    <w:rsid w:val="00FE6784"/>
    <w:rsid w:val="00FE7A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1"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semiHidden/>
    <w:unhideWhenUsed/>
    <w:rsid w:val="000C59B8"/>
    <w:pPr>
      <w:tabs>
        <w:tab w:val="center" w:pos="4680"/>
        <w:tab w:val="right" w:pos="9360"/>
      </w:tabs>
    </w:pPr>
  </w:style>
  <w:style w:type="character" w:customStyle="1" w:styleId="FooterChar">
    <w:name w:val="Footer Char"/>
    <w:basedOn w:val="DefaultParagraphFont"/>
    <w:link w:val="Footer"/>
    <w:uiPriority w:val="99"/>
    <w:semiHidden/>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i/>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Italic">
    <w:name w:val="SCC.Italic"/>
    <w:basedOn w:val="SCCNormalDoubleSpacing"/>
    <w:next w:val="SCCNormalDoubleSpacing"/>
    <w:rsid w:val="00DF0CA8"/>
    <w:rPr>
      <w:i/>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rPr>
  </w:style>
  <w:style w:type="paragraph" w:customStyle="1" w:styleId="SCCLsocLastPartyInRole">
    <w:name w:val="SCC.Lsoc.LastPartyInRole"/>
    <w:basedOn w:val="Normal"/>
    <w:next w:val="Normal"/>
    <w:link w:val="SCCLsocLastPartyInRoleChar"/>
    <w:qFormat/>
    <w:rsid w:val="00FE7A8B"/>
    <w:pPr>
      <w:tabs>
        <w:tab w:val="right" w:pos="8222"/>
      </w:tabs>
      <w:spacing w:after="720"/>
    </w:pPr>
    <w:rPr>
      <w:b/>
    </w:rPr>
  </w:style>
  <w:style w:type="character" w:customStyle="1" w:styleId="SCCLsocLastPartyInRoleChar">
    <w:name w:val="SCC.Lsoc.LastPartyInRole Char"/>
    <w:basedOn w:val="SCCLsocPartyChar"/>
    <w:link w:val="SCCLsocLastPartyInRole"/>
    <w:rsid w:val="00FE7A8B"/>
    <w:rPr>
      <w:b/>
    </w:rPr>
  </w:style>
  <w:style w:type="paragraph" w:customStyle="1" w:styleId="ParaNoNdepar-AltN">
    <w:name w:val="Para. No. / Nº de par. - Alt N"/>
    <w:qFormat/>
    <w:rsid w:val="0077444C"/>
    <w:pPr>
      <w:numPr>
        <w:numId w:val="1"/>
      </w:numPr>
      <w:spacing w:before="480" w:after="480" w:line="480" w:lineRule="auto"/>
      <w:jc w:val="both"/>
    </w:pPr>
    <w:rPr>
      <w:rFonts w:eastAsiaTheme="minorEastAsia" w:cstheme="minorBidi"/>
      <w:sz w:val="24"/>
      <w:szCs w:val="22"/>
      <w:lang w:eastAsia="en-US"/>
    </w:rPr>
  </w:style>
  <w:style w:type="paragraph" w:customStyle="1" w:styleId="TitleTitre-AltT">
    <w:name w:val="Title / Titre - Alt T"/>
    <w:next w:val="ParaNoNdepar-AltN"/>
    <w:uiPriority w:val="3"/>
    <w:qFormat/>
    <w:rsid w:val="0077444C"/>
    <w:pPr>
      <w:tabs>
        <w:tab w:val="left" w:pos="360"/>
      </w:tabs>
      <w:spacing w:before="480" w:after="720"/>
      <w:ind w:left="360" w:hanging="360"/>
      <w:jc w:val="both"/>
    </w:pPr>
    <w:rPr>
      <w:rFonts w:eastAsiaTheme="minorHAnsi" w:cstheme="minorBidi"/>
      <w:sz w:val="24"/>
      <w:szCs w:val="22"/>
      <w:lang w:eastAsia="en-US"/>
    </w:rPr>
  </w:style>
  <w:style w:type="paragraph" w:customStyle="1" w:styleId="SCCLsocOtherPartyRoleSeparator">
    <w:name w:val="SCC.Lsoc.OtherPartyRoleSeparator"/>
    <w:basedOn w:val="Normal"/>
    <w:next w:val="Normal"/>
    <w:link w:val="SCCLsocOtherPartyRoleSeparatorChar"/>
    <w:rsid w:val="000F48EC"/>
    <w:pPr>
      <w:spacing w:after="480"/>
    </w:pPr>
    <w:rPr>
      <w:rFonts w:eastAsiaTheme="minorHAnsi" w:cstheme="minorBidi"/>
      <w:szCs w:val="22"/>
      <w:lang w:eastAsia="en-US"/>
    </w:rPr>
  </w:style>
  <w:style w:type="character" w:customStyle="1" w:styleId="SCCLsocOtherPartyRoleSeparatorChar">
    <w:name w:val="SCC.Lsoc.OtherPartyRoleSeparator Char"/>
    <w:basedOn w:val="DefaultParagraphFont"/>
    <w:link w:val="SCCLsocOtherPartyRoleSeparator"/>
    <w:rsid w:val="000F48EC"/>
    <w:rPr>
      <w:rFonts w:eastAsiaTheme="minorHAnsi" w:cstheme="minorBidi"/>
      <w:sz w:val="24"/>
      <w:szCs w:val="22"/>
      <w:lang w:eastAsia="en-US"/>
    </w:rPr>
  </w:style>
  <w:style w:type="character" w:customStyle="1" w:styleId="SCCBanSummaryChar">
    <w:name w:val="SCC.BanSummary Char"/>
    <w:basedOn w:val="DefaultParagraphFont"/>
    <w:link w:val="SCCBanSummary"/>
    <w:rsid w:val="000F48EC"/>
    <w:rPr>
      <w:b/>
      <w:sz w:val="24"/>
    </w:rPr>
  </w:style>
  <w:style w:type="table" w:styleId="TableGrid">
    <w:name w:val="Table Grid"/>
    <w:basedOn w:val="TableNormal"/>
    <w:uiPriority w:val="59"/>
    <w:rsid w:val="000F48E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itation-AltC">
    <w:name w:val="Citation - Alt C"/>
    <w:uiPriority w:val="2"/>
    <w:qFormat/>
    <w:rsid w:val="000F48EC"/>
    <w:pPr>
      <w:spacing w:after="720"/>
      <w:ind w:left="1166"/>
      <w:contextualSpacing/>
      <w:jc w:val="both"/>
    </w:pPr>
    <w:rPr>
      <w:sz w:val="24"/>
    </w:rPr>
  </w:style>
  <w:style w:type="paragraph" w:customStyle="1" w:styleId="ContinueParaSuitedupar-AltP">
    <w:name w:val="Continue Para. / Suite du par. - Alt P"/>
    <w:next w:val="ParaNoNdepar-AltN"/>
    <w:uiPriority w:val="1"/>
    <w:qFormat/>
    <w:rsid w:val="000F48EC"/>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0F48EC"/>
    <w:pPr>
      <w:tabs>
        <w:tab w:val="left" w:pos="1166"/>
      </w:tabs>
      <w:spacing w:after="480" w:line="480" w:lineRule="auto"/>
    </w:pPr>
    <w:rPr>
      <w:smallCaps/>
      <w:sz w:val="24"/>
    </w:rPr>
  </w:style>
  <w:style w:type="paragraph" w:styleId="FootnoteText">
    <w:name w:val="footnote text"/>
    <w:basedOn w:val="Normal"/>
    <w:link w:val="FootnoteTextChar"/>
    <w:uiPriority w:val="99"/>
    <w:unhideWhenUsed/>
    <w:rsid w:val="000F48EC"/>
    <w:rPr>
      <w:rFonts w:eastAsiaTheme="minorHAnsi" w:cstheme="minorBidi"/>
      <w:sz w:val="20"/>
      <w:lang w:eastAsia="en-US"/>
    </w:rPr>
  </w:style>
  <w:style w:type="character" w:customStyle="1" w:styleId="FootnoteTextChar">
    <w:name w:val="Footnote Text Char"/>
    <w:basedOn w:val="DefaultParagraphFont"/>
    <w:link w:val="FootnoteText"/>
    <w:uiPriority w:val="99"/>
    <w:rsid w:val="000F48EC"/>
    <w:rPr>
      <w:rFonts w:eastAsiaTheme="minorHAnsi" w:cstheme="minorBidi"/>
      <w:lang w:eastAsia="en-US"/>
    </w:rPr>
  </w:style>
  <w:style w:type="character" w:styleId="FootnoteReference">
    <w:name w:val="footnote reference"/>
    <w:basedOn w:val="DefaultParagraphFont"/>
    <w:uiPriority w:val="99"/>
    <w:unhideWhenUsed/>
    <w:rsid w:val="000F48EC"/>
    <w:rPr>
      <w:vertAlign w:val="superscript"/>
    </w:rPr>
  </w:style>
  <w:style w:type="paragraph" w:customStyle="1" w:styleId="Level3">
    <w:name w:val="Level 3"/>
    <w:basedOn w:val="ListParagraph"/>
    <w:link w:val="Level3Char"/>
    <w:qFormat/>
    <w:rsid w:val="000F48EC"/>
    <w:pPr>
      <w:numPr>
        <w:numId w:val="5"/>
      </w:numPr>
      <w:tabs>
        <w:tab w:val="num" w:pos="360"/>
      </w:tabs>
      <w:spacing w:after="200" w:line="276" w:lineRule="auto"/>
      <w:ind w:left="720" w:firstLine="0"/>
      <w:jc w:val="both"/>
    </w:pPr>
    <w:rPr>
      <w:rFonts w:eastAsiaTheme="minorHAnsi" w:cstheme="minorBidi"/>
      <w:i/>
      <w:szCs w:val="22"/>
      <w:lang w:eastAsia="en-US"/>
    </w:rPr>
  </w:style>
  <w:style w:type="character" w:customStyle="1" w:styleId="Level3Char">
    <w:name w:val="Level 3 Char"/>
    <w:basedOn w:val="DefaultParagraphFont"/>
    <w:link w:val="Level3"/>
    <w:rsid w:val="000F48EC"/>
    <w:rPr>
      <w:rFonts w:eastAsiaTheme="minorHAnsi" w:cstheme="minorBidi"/>
      <w:i/>
      <w:sz w:val="24"/>
      <w:szCs w:val="22"/>
      <w:lang w:eastAsia="en-US"/>
    </w:rPr>
  </w:style>
  <w:style w:type="paragraph" w:styleId="ListParagraph">
    <w:name w:val="List Paragraph"/>
    <w:basedOn w:val="Normal"/>
    <w:link w:val="ListParagraphChar"/>
    <w:uiPriority w:val="34"/>
    <w:qFormat/>
    <w:rsid w:val="000F48EC"/>
    <w:pPr>
      <w:ind w:left="720"/>
      <w:contextualSpacing/>
    </w:pPr>
  </w:style>
  <w:style w:type="paragraph" w:customStyle="1" w:styleId="Level2">
    <w:name w:val="Level 2"/>
    <w:basedOn w:val="ListParagraph"/>
    <w:link w:val="Level2Char"/>
    <w:qFormat/>
    <w:rsid w:val="000F48EC"/>
    <w:pPr>
      <w:numPr>
        <w:numId w:val="6"/>
      </w:numPr>
      <w:tabs>
        <w:tab w:val="num" w:pos="360"/>
      </w:tabs>
      <w:spacing w:after="200" w:line="276" w:lineRule="auto"/>
      <w:ind w:firstLine="0"/>
      <w:jc w:val="both"/>
    </w:pPr>
    <w:rPr>
      <w:rFonts w:eastAsiaTheme="minorHAnsi" w:cstheme="minorBidi"/>
      <w:b/>
      <w:szCs w:val="22"/>
      <w:lang w:eastAsia="en-US"/>
    </w:rPr>
  </w:style>
  <w:style w:type="character" w:customStyle="1" w:styleId="Level2Char">
    <w:name w:val="Level 2 Char"/>
    <w:basedOn w:val="DefaultParagraphFont"/>
    <w:link w:val="Level2"/>
    <w:rsid w:val="000F48EC"/>
    <w:rPr>
      <w:rFonts w:eastAsiaTheme="minorHAnsi" w:cstheme="minorBidi"/>
      <w:b/>
      <w:sz w:val="24"/>
      <w:szCs w:val="22"/>
      <w:lang w:eastAsia="en-US"/>
    </w:rPr>
  </w:style>
  <w:style w:type="paragraph" w:customStyle="1" w:styleId="Level1">
    <w:name w:val="Level 1"/>
    <w:basedOn w:val="ListParagraph"/>
    <w:link w:val="Level1Char"/>
    <w:qFormat/>
    <w:rsid w:val="000F48EC"/>
    <w:pPr>
      <w:numPr>
        <w:numId w:val="9"/>
      </w:numPr>
      <w:spacing w:after="200" w:line="276" w:lineRule="auto"/>
      <w:jc w:val="both"/>
    </w:pPr>
    <w:rPr>
      <w:rFonts w:eastAsiaTheme="minorHAnsi" w:cstheme="minorBidi"/>
      <w:b/>
      <w:szCs w:val="22"/>
      <w:u w:val="single"/>
      <w:lang w:eastAsia="en-US"/>
    </w:rPr>
  </w:style>
  <w:style w:type="character" w:customStyle="1" w:styleId="ListParagraphChar">
    <w:name w:val="List Paragraph Char"/>
    <w:basedOn w:val="DefaultParagraphFont"/>
    <w:link w:val="ListParagraph"/>
    <w:uiPriority w:val="34"/>
    <w:rsid w:val="000F48EC"/>
    <w:rPr>
      <w:sz w:val="24"/>
    </w:rPr>
  </w:style>
  <w:style w:type="paragraph" w:styleId="EndnoteText">
    <w:name w:val="endnote text"/>
    <w:basedOn w:val="Normal"/>
    <w:link w:val="EndnoteTextChar"/>
    <w:uiPriority w:val="99"/>
    <w:semiHidden/>
    <w:unhideWhenUsed/>
    <w:rsid w:val="000F48EC"/>
    <w:rPr>
      <w:rFonts w:eastAsiaTheme="minorHAnsi" w:cstheme="minorBidi"/>
      <w:sz w:val="20"/>
      <w:lang w:eastAsia="en-US"/>
    </w:rPr>
  </w:style>
  <w:style w:type="character" w:customStyle="1" w:styleId="EndnoteTextChar">
    <w:name w:val="Endnote Text Char"/>
    <w:basedOn w:val="DefaultParagraphFont"/>
    <w:link w:val="EndnoteText"/>
    <w:uiPriority w:val="99"/>
    <w:semiHidden/>
    <w:rsid w:val="000F48EC"/>
    <w:rPr>
      <w:rFonts w:eastAsiaTheme="minorHAnsi" w:cstheme="minorBidi"/>
      <w:lang w:eastAsia="en-US"/>
    </w:rPr>
  </w:style>
  <w:style w:type="character" w:styleId="Hyperlink">
    <w:name w:val="Hyperlink"/>
    <w:basedOn w:val="DefaultParagraphFont"/>
    <w:uiPriority w:val="99"/>
    <w:unhideWhenUsed/>
    <w:rsid w:val="000F48EC"/>
    <w:rPr>
      <w:rFonts w:ascii="Verdana" w:hAnsi="Verdana" w:hint="default"/>
      <w:strike w:val="0"/>
      <w:dstrike w:val="0"/>
      <w:color w:val="3300CC"/>
      <w:u w:val="none"/>
      <w:effect w:val="none"/>
    </w:rPr>
  </w:style>
  <w:style w:type="character" w:customStyle="1" w:styleId="Level1Char">
    <w:name w:val="Level 1 Char"/>
    <w:basedOn w:val="ListParagraphChar"/>
    <w:link w:val="Level1"/>
    <w:rsid w:val="000F48EC"/>
    <w:rPr>
      <w:rFonts w:eastAsiaTheme="minorHAnsi" w:cstheme="minorBidi"/>
      <w:b/>
      <w:szCs w:val="22"/>
      <w:u w:val="single"/>
      <w:lang w:eastAsia="en-US"/>
    </w:rPr>
  </w:style>
  <w:style w:type="paragraph" w:customStyle="1" w:styleId="clause-e1">
    <w:name w:val="clause-e1"/>
    <w:basedOn w:val="Normal"/>
    <w:rsid w:val="000F48EC"/>
    <w:pPr>
      <w:snapToGrid w:val="0"/>
      <w:spacing w:after="120"/>
      <w:ind w:left="1111" w:hanging="400"/>
    </w:pPr>
    <w:rPr>
      <w:sz w:val="26"/>
      <w:szCs w:val="26"/>
    </w:rPr>
  </w:style>
  <w:style w:type="paragraph" w:customStyle="1" w:styleId="clause-f1">
    <w:name w:val="clause-f1"/>
    <w:basedOn w:val="Normal"/>
    <w:rsid w:val="000F48EC"/>
    <w:pPr>
      <w:snapToGrid w:val="0"/>
      <w:spacing w:after="120"/>
      <w:ind w:left="1111" w:hanging="400"/>
    </w:pPr>
    <w:rPr>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DFF53F-1969-44AE-8FFF-20F2B9137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91</Pages>
  <Words>23342</Words>
  <Characters>120326</Characters>
  <Application>Microsoft Office Word</Application>
  <DocSecurity>0</DocSecurity>
  <Lines>1002</Lines>
  <Paragraphs>286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LinksUpToDate>false</LinksUpToDate>
  <CharactersWithSpaces>143382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2013-01-17T15:47:00Z</dcterms:created>
  <dcterms:modified xsi:type="dcterms:W3CDTF">2013-07-26T19:00:00Z</dcterms:modified>
</cp:coreProperties>
</file>