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630" w:rsidRPr="005B4C3C" w:rsidRDefault="00A83630" w:rsidP="00A83630">
      <w:pPr>
        <w:tabs>
          <w:tab w:val="center" w:pos="4680"/>
          <w:tab w:val="right" w:pos="9360"/>
        </w:tabs>
        <w:jc w:val="center"/>
        <w:rPr>
          <w:rFonts w:eastAsiaTheme="minorHAnsi" w:cstheme="minorBidi"/>
          <w:szCs w:val="24"/>
          <w:lang w:val="fr-CA" w:eastAsia="en-US"/>
        </w:rPr>
      </w:pPr>
      <w:r w:rsidRPr="005B4C3C">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51396565" r:id="rId9"/>
        </w:object>
      </w:r>
    </w:p>
    <w:p w:rsidR="00A83630" w:rsidRPr="005B4C3C" w:rsidRDefault="00A83630" w:rsidP="00A83630">
      <w:pPr>
        <w:tabs>
          <w:tab w:val="center" w:pos="4680"/>
          <w:tab w:val="right" w:pos="9360"/>
        </w:tabs>
        <w:rPr>
          <w:rFonts w:eastAsiaTheme="minorHAnsi" w:cstheme="minorBidi"/>
          <w:szCs w:val="24"/>
          <w:lang w:val="fr-CA" w:eastAsia="en-US"/>
        </w:rPr>
      </w:pPr>
    </w:p>
    <w:p w:rsidR="00A83630" w:rsidRPr="005B4C3C" w:rsidRDefault="00A83630" w:rsidP="00A83630">
      <w:pPr>
        <w:jc w:val="center"/>
        <w:rPr>
          <w:rFonts w:eastAsiaTheme="minorHAnsi" w:cstheme="minorBidi"/>
          <w:b/>
          <w:szCs w:val="24"/>
          <w:lang w:val="fr-CA" w:eastAsia="en-US"/>
        </w:rPr>
      </w:pPr>
      <w:r w:rsidRPr="005B4C3C">
        <w:rPr>
          <w:rFonts w:eastAsiaTheme="minorHAnsi" w:cstheme="minorBidi"/>
          <w:b/>
          <w:szCs w:val="24"/>
          <w:lang w:val="fr-CA" w:eastAsia="en-US"/>
        </w:rPr>
        <w:t>COUR SUPRÊME DU CANADA</w:t>
      </w:r>
    </w:p>
    <w:p w:rsidR="00A83630" w:rsidRPr="005B4C3C" w:rsidRDefault="00A83630" w:rsidP="00A83630">
      <w:pPr>
        <w:rPr>
          <w:rFonts w:eastAsiaTheme="minorHAnsi" w:cstheme="minorBidi"/>
          <w:szCs w:val="24"/>
          <w:lang w:val="fr-CA"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83630" w:rsidRPr="005B4C3C" w:rsidTr="00AE3D06">
        <w:trPr>
          <w:cantSplit/>
        </w:trPr>
        <w:tc>
          <w:tcPr>
            <w:tcW w:w="6768" w:type="dxa"/>
          </w:tcPr>
          <w:p w:rsidR="00A83630" w:rsidRPr="005B4C3C" w:rsidRDefault="00A83630" w:rsidP="00AE3D06">
            <w:pPr>
              <w:rPr>
                <w:lang w:val="fr-CA"/>
              </w:rPr>
            </w:pPr>
            <w:r w:rsidRPr="005B4C3C">
              <w:rPr>
                <w:b/>
                <w:smallCaps/>
                <w:lang w:val="fr-CA"/>
              </w:rPr>
              <w:t>Référence :</w:t>
            </w:r>
            <w:r w:rsidRPr="005B4C3C">
              <w:rPr>
                <w:lang w:val="fr-CA"/>
              </w:rPr>
              <w:t xml:space="preserve"> R. c. O’Brien, </w:t>
            </w:r>
            <w:r w:rsidRPr="006A3CAE">
              <w:rPr>
                <w:lang w:val="fr-CA"/>
              </w:rPr>
              <w:t>2013 CSC 2, [2013] 1 R.C.S. 7</w:t>
            </w:r>
          </w:p>
        </w:tc>
        <w:tc>
          <w:tcPr>
            <w:tcW w:w="2808" w:type="dxa"/>
          </w:tcPr>
          <w:p w:rsidR="00A83630" w:rsidRPr="005B4C3C" w:rsidRDefault="00A83630" w:rsidP="00AE3D06">
            <w:pPr>
              <w:rPr>
                <w:lang w:val="fr-CA"/>
              </w:rPr>
            </w:pPr>
            <w:r w:rsidRPr="005B4C3C">
              <w:rPr>
                <w:b/>
                <w:smallCaps/>
                <w:lang w:val="fr-CA"/>
              </w:rPr>
              <w:t>Date :</w:t>
            </w:r>
            <w:r w:rsidRPr="005B4C3C">
              <w:rPr>
                <w:lang w:val="fr-CA"/>
              </w:rPr>
              <w:t xml:space="preserve"> 20130117</w:t>
            </w:r>
          </w:p>
          <w:p w:rsidR="00A83630" w:rsidRPr="005B4C3C" w:rsidRDefault="00A83630" w:rsidP="00AE3D06">
            <w:pPr>
              <w:rPr>
                <w:lang w:val="fr-CA"/>
              </w:rPr>
            </w:pPr>
            <w:r w:rsidRPr="005B4C3C">
              <w:rPr>
                <w:b/>
                <w:smallCaps/>
                <w:lang w:val="fr-CA"/>
              </w:rPr>
              <w:t>Dossier :</w:t>
            </w:r>
            <w:r w:rsidRPr="005B4C3C">
              <w:rPr>
                <w:lang w:val="fr-CA"/>
              </w:rPr>
              <w:t xml:space="preserve"> 34694</w:t>
            </w:r>
          </w:p>
        </w:tc>
      </w:tr>
    </w:tbl>
    <w:p w:rsidR="00A83630" w:rsidRPr="005B4C3C" w:rsidRDefault="00A83630" w:rsidP="00A83630">
      <w:pPr>
        <w:rPr>
          <w:rFonts w:eastAsiaTheme="minorHAnsi" w:cstheme="minorBidi"/>
          <w:szCs w:val="24"/>
          <w:lang w:val="fr-CA" w:eastAsia="en-US"/>
        </w:rPr>
      </w:pPr>
    </w:p>
    <w:p w:rsidR="00A83630" w:rsidRPr="005B4C3C" w:rsidRDefault="00A83630" w:rsidP="00A83630">
      <w:pPr>
        <w:rPr>
          <w:rFonts w:eastAsiaTheme="minorHAnsi" w:cstheme="minorBidi"/>
          <w:b/>
          <w:smallCaps/>
          <w:szCs w:val="24"/>
          <w:lang w:val="fr-CA" w:eastAsia="en-US"/>
        </w:rPr>
      </w:pPr>
      <w:r w:rsidRPr="005B4C3C">
        <w:rPr>
          <w:rFonts w:eastAsiaTheme="minorHAnsi" w:cstheme="minorBidi"/>
          <w:b/>
          <w:smallCaps/>
          <w:szCs w:val="24"/>
          <w:lang w:val="fr-CA" w:eastAsia="en-US"/>
        </w:rPr>
        <w:t>Entre :</w:t>
      </w:r>
    </w:p>
    <w:p w:rsidR="00A83630" w:rsidRPr="005B4C3C" w:rsidRDefault="00A83630" w:rsidP="00A83630">
      <w:pPr>
        <w:jc w:val="center"/>
        <w:rPr>
          <w:rFonts w:eastAsiaTheme="minorHAnsi" w:cstheme="minorBidi"/>
          <w:b/>
          <w:szCs w:val="24"/>
          <w:lang w:val="fr-CA" w:eastAsia="en-US"/>
        </w:rPr>
      </w:pPr>
      <w:r w:rsidRPr="005B4C3C">
        <w:rPr>
          <w:rFonts w:eastAsiaTheme="minorHAnsi" w:cstheme="minorBidi"/>
          <w:b/>
          <w:szCs w:val="24"/>
          <w:lang w:val="fr-CA" w:eastAsia="en-US"/>
        </w:rPr>
        <w:t>Sa Majesté la Reine</w:t>
      </w:r>
    </w:p>
    <w:p w:rsidR="00A83630" w:rsidRPr="005B4C3C" w:rsidRDefault="00A83630" w:rsidP="00A83630">
      <w:pPr>
        <w:jc w:val="center"/>
        <w:rPr>
          <w:rFonts w:eastAsiaTheme="minorHAnsi" w:cstheme="minorBidi"/>
          <w:szCs w:val="24"/>
          <w:lang w:val="fr-CA" w:eastAsia="en-US"/>
        </w:rPr>
      </w:pPr>
      <w:r w:rsidRPr="005B4C3C">
        <w:rPr>
          <w:rFonts w:eastAsiaTheme="minorHAnsi" w:cstheme="minorBidi"/>
          <w:szCs w:val="24"/>
          <w:lang w:val="fr-CA" w:eastAsia="en-US"/>
        </w:rPr>
        <w:t>Appelante</w:t>
      </w:r>
    </w:p>
    <w:p w:rsidR="00A83630" w:rsidRPr="005B4C3C" w:rsidRDefault="00A83630" w:rsidP="00A83630">
      <w:pPr>
        <w:jc w:val="center"/>
        <w:rPr>
          <w:rFonts w:eastAsiaTheme="minorHAnsi" w:cstheme="minorBidi"/>
          <w:szCs w:val="24"/>
          <w:lang w:val="fr-CA" w:eastAsia="en-US"/>
        </w:rPr>
      </w:pPr>
      <w:proofErr w:type="gramStart"/>
      <w:r w:rsidRPr="005B4C3C">
        <w:rPr>
          <w:rFonts w:eastAsiaTheme="minorHAnsi" w:cstheme="minorBidi"/>
          <w:szCs w:val="24"/>
          <w:lang w:val="fr-CA" w:eastAsia="en-US"/>
        </w:rPr>
        <w:t>et</w:t>
      </w:r>
      <w:proofErr w:type="gramEnd"/>
    </w:p>
    <w:p w:rsidR="00A83630" w:rsidRPr="005B4C3C" w:rsidRDefault="00A83630" w:rsidP="00A83630">
      <w:pPr>
        <w:jc w:val="center"/>
        <w:rPr>
          <w:rFonts w:eastAsiaTheme="minorHAnsi" w:cstheme="minorBidi"/>
          <w:b/>
          <w:szCs w:val="24"/>
          <w:lang w:val="fr-CA" w:eastAsia="en-US"/>
        </w:rPr>
      </w:pPr>
      <w:r w:rsidRPr="005B4C3C">
        <w:rPr>
          <w:rFonts w:eastAsiaTheme="minorHAnsi" w:cstheme="minorBidi"/>
          <w:b/>
          <w:szCs w:val="24"/>
          <w:lang w:val="fr-CA" w:eastAsia="en-US"/>
        </w:rPr>
        <w:t>Kelly Joseph O’Brien</w:t>
      </w:r>
    </w:p>
    <w:p w:rsidR="00A83630" w:rsidRPr="005B4C3C" w:rsidRDefault="00A83630" w:rsidP="00A83630">
      <w:pPr>
        <w:jc w:val="center"/>
        <w:rPr>
          <w:rFonts w:eastAsiaTheme="minorHAnsi" w:cstheme="minorBidi"/>
          <w:szCs w:val="24"/>
          <w:lang w:val="fr-CA" w:eastAsia="en-US"/>
        </w:rPr>
      </w:pPr>
      <w:r w:rsidRPr="005B4C3C">
        <w:rPr>
          <w:rFonts w:eastAsiaTheme="minorHAnsi" w:cstheme="minorBidi"/>
          <w:szCs w:val="24"/>
          <w:lang w:val="fr-CA" w:eastAsia="en-US"/>
        </w:rPr>
        <w:t>Intimé</w:t>
      </w:r>
    </w:p>
    <w:p w:rsidR="00A83630" w:rsidRPr="005B4C3C" w:rsidRDefault="00A83630" w:rsidP="00A83630">
      <w:pPr>
        <w:rPr>
          <w:rFonts w:eastAsiaTheme="minorHAnsi" w:cstheme="minorBidi"/>
          <w:szCs w:val="24"/>
          <w:lang w:val="fr-CA" w:eastAsia="en-US"/>
        </w:rPr>
      </w:pPr>
    </w:p>
    <w:p w:rsidR="00A83630" w:rsidRPr="005B4C3C" w:rsidRDefault="00A83630" w:rsidP="00A83630">
      <w:pPr>
        <w:rPr>
          <w:rFonts w:eastAsiaTheme="minorHAnsi" w:cstheme="minorBidi"/>
          <w:szCs w:val="24"/>
          <w:lang w:val="fr-CA" w:eastAsia="en-US"/>
        </w:rPr>
      </w:pPr>
    </w:p>
    <w:p w:rsidR="00A83630" w:rsidRPr="005B4C3C" w:rsidRDefault="00A83630" w:rsidP="00A83630">
      <w:pPr>
        <w:jc w:val="center"/>
        <w:rPr>
          <w:rFonts w:eastAsiaTheme="minorHAnsi" w:cstheme="minorBidi"/>
          <w:b/>
          <w:smallCaps/>
          <w:szCs w:val="24"/>
          <w:lang w:val="fr-CA" w:eastAsia="en-US"/>
        </w:rPr>
      </w:pPr>
      <w:r w:rsidRPr="005B4C3C">
        <w:rPr>
          <w:rFonts w:eastAsiaTheme="minorHAnsi" w:cstheme="minorBidi"/>
          <w:b/>
          <w:smallCaps/>
          <w:szCs w:val="24"/>
          <w:lang w:val="fr-CA" w:eastAsia="en-US"/>
        </w:rPr>
        <w:t>Traduction française officielle</w:t>
      </w:r>
    </w:p>
    <w:p w:rsidR="00A83630" w:rsidRPr="005B4C3C" w:rsidRDefault="00A83630" w:rsidP="00A83630">
      <w:pPr>
        <w:rPr>
          <w:rFonts w:eastAsiaTheme="minorHAnsi" w:cstheme="minorBidi"/>
          <w:szCs w:val="24"/>
          <w:lang w:val="fr-CA" w:eastAsia="en-US"/>
        </w:rPr>
      </w:pPr>
    </w:p>
    <w:p w:rsidR="00A83630" w:rsidRPr="005B4C3C" w:rsidRDefault="00A83630" w:rsidP="00A83630">
      <w:pPr>
        <w:rPr>
          <w:rFonts w:eastAsiaTheme="minorHAnsi" w:cstheme="minorBidi"/>
          <w:szCs w:val="24"/>
          <w:lang w:val="fr-CA" w:eastAsia="en-US"/>
        </w:rPr>
      </w:pPr>
      <w:r w:rsidRPr="005B4C3C">
        <w:rPr>
          <w:rFonts w:eastAsiaTheme="minorHAnsi" w:cstheme="minorBidi"/>
          <w:b/>
          <w:smallCaps/>
          <w:szCs w:val="24"/>
          <w:lang w:val="fr-CA" w:eastAsia="en-US"/>
        </w:rPr>
        <w:t>Coram :</w:t>
      </w:r>
      <w:r w:rsidRPr="005B4C3C">
        <w:rPr>
          <w:rFonts w:eastAsiaTheme="minorHAnsi" w:cstheme="minorBidi"/>
          <w:szCs w:val="24"/>
          <w:lang w:val="fr-CA" w:eastAsia="en-US"/>
        </w:rPr>
        <w:t xml:space="preserve"> La juge en chef McLachlin et les juges Fish, Abella, </w:t>
      </w:r>
      <w:proofErr w:type="spellStart"/>
      <w:r w:rsidRPr="005B4C3C">
        <w:rPr>
          <w:rFonts w:eastAsiaTheme="minorHAnsi" w:cstheme="minorBidi"/>
          <w:szCs w:val="24"/>
          <w:lang w:val="fr-CA" w:eastAsia="en-US"/>
        </w:rPr>
        <w:t>Rothstein</w:t>
      </w:r>
      <w:proofErr w:type="spellEnd"/>
      <w:r w:rsidRPr="005B4C3C">
        <w:rPr>
          <w:rFonts w:eastAsiaTheme="minorHAnsi" w:cstheme="minorBidi"/>
          <w:szCs w:val="24"/>
          <w:lang w:val="fr-CA" w:eastAsia="en-US"/>
        </w:rPr>
        <w:t xml:space="preserve">, Cromwell, </w:t>
      </w:r>
      <w:proofErr w:type="spellStart"/>
      <w:r w:rsidRPr="005B4C3C">
        <w:rPr>
          <w:rFonts w:eastAsiaTheme="minorHAnsi" w:cstheme="minorBidi"/>
          <w:szCs w:val="24"/>
          <w:lang w:val="fr-CA" w:eastAsia="en-US"/>
        </w:rPr>
        <w:t>Moldaver</w:t>
      </w:r>
      <w:proofErr w:type="spellEnd"/>
      <w:r w:rsidRPr="005B4C3C">
        <w:rPr>
          <w:rFonts w:eastAsiaTheme="minorHAnsi" w:cstheme="minorBidi"/>
          <w:szCs w:val="24"/>
          <w:lang w:val="fr-CA" w:eastAsia="en-US"/>
        </w:rPr>
        <w:t xml:space="preserve"> et Wagner</w:t>
      </w:r>
    </w:p>
    <w:p w:rsidR="00A83630" w:rsidRPr="005B4C3C" w:rsidRDefault="00A83630" w:rsidP="00A83630">
      <w:pPr>
        <w:rPr>
          <w:rFonts w:eastAsiaTheme="minorHAnsi" w:cstheme="minorBidi"/>
          <w:szCs w:val="24"/>
          <w:lang w:val="fr-CA"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83630" w:rsidRPr="00A83630" w:rsidTr="00AE3D06">
        <w:trPr>
          <w:cantSplit/>
        </w:trPr>
        <w:tc>
          <w:tcPr>
            <w:tcW w:w="3618" w:type="dxa"/>
          </w:tcPr>
          <w:p w:rsidR="00A83630" w:rsidRPr="005B4C3C" w:rsidRDefault="00A83630" w:rsidP="00AE3D06">
            <w:pPr>
              <w:rPr>
                <w:b/>
                <w:smallCaps/>
                <w:lang w:val="fr-CA"/>
              </w:rPr>
            </w:pPr>
            <w:r w:rsidRPr="005B4C3C">
              <w:rPr>
                <w:b/>
                <w:smallCaps/>
                <w:lang w:val="fr-CA"/>
              </w:rPr>
              <w:t>Motifs de jugement :</w:t>
            </w:r>
          </w:p>
          <w:p w:rsidR="00A83630" w:rsidRPr="005B4C3C" w:rsidRDefault="00A83630" w:rsidP="00AE3D06">
            <w:pPr>
              <w:rPr>
                <w:b/>
                <w:smallCaps/>
                <w:lang w:val="fr-CA"/>
              </w:rPr>
            </w:pPr>
            <w:r w:rsidRPr="005B4C3C">
              <w:rPr>
                <w:lang w:val="fr-CA"/>
              </w:rPr>
              <w:t>(par. 1 à 15):</w:t>
            </w:r>
          </w:p>
          <w:p w:rsidR="00A83630" w:rsidRPr="005B4C3C" w:rsidRDefault="00A83630" w:rsidP="00AE3D06">
            <w:pPr>
              <w:rPr>
                <w:b/>
                <w:smallCaps/>
                <w:lang w:val="fr-CA"/>
              </w:rPr>
            </w:pPr>
          </w:p>
          <w:p w:rsidR="00A83630" w:rsidRPr="005B4C3C" w:rsidRDefault="00A83630" w:rsidP="00AE3D06">
            <w:pPr>
              <w:rPr>
                <w:b/>
                <w:smallCaps/>
                <w:lang w:val="fr-CA"/>
              </w:rPr>
            </w:pPr>
            <w:r w:rsidRPr="005B4C3C">
              <w:rPr>
                <w:b/>
                <w:smallCaps/>
                <w:lang w:val="fr-CA"/>
              </w:rPr>
              <w:t>Motifs dissidents :</w:t>
            </w:r>
          </w:p>
          <w:p w:rsidR="00A83630" w:rsidRPr="005B4C3C" w:rsidRDefault="00A83630" w:rsidP="00AE3D06">
            <w:pPr>
              <w:rPr>
                <w:lang w:val="fr-CA"/>
              </w:rPr>
            </w:pPr>
            <w:r w:rsidRPr="005B4C3C">
              <w:rPr>
                <w:lang w:val="fr-CA"/>
              </w:rPr>
              <w:t>(par. 16 à 26):</w:t>
            </w:r>
          </w:p>
        </w:tc>
        <w:tc>
          <w:tcPr>
            <w:tcW w:w="5958" w:type="dxa"/>
          </w:tcPr>
          <w:p w:rsidR="00A83630" w:rsidRPr="005B4C3C" w:rsidRDefault="00A83630" w:rsidP="00AE3D06">
            <w:pPr>
              <w:rPr>
                <w:lang w:val="fr-CA"/>
              </w:rPr>
            </w:pPr>
            <w:r w:rsidRPr="005B4C3C">
              <w:rPr>
                <w:lang w:val="fr-CA"/>
              </w:rPr>
              <w:t xml:space="preserve">Le juge Fish (avec l’accord des juges Cromwell, </w:t>
            </w:r>
            <w:proofErr w:type="spellStart"/>
            <w:r w:rsidRPr="005B4C3C">
              <w:rPr>
                <w:lang w:val="fr-CA"/>
              </w:rPr>
              <w:t>Moldaver</w:t>
            </w:r>
            <w:proofErr w:type="spellEnd"/>
            <w:r w:rsidRPr="005B4C3C">
              <w:rPr>
                <w:lang w:val="fr-CA"/>
              </w:rPr>
              <w:t xml:space="preserve"> et Wagner)</w:t>
            </w:r>
          </w:p>
          <w:p w:rsidR="00A83630" w:rsidRPr="005B4C3C" w:rsidRDefault="00A83630" w:rsidP="00AE3D06">
            <w:pPr>
              <w:rPr>
                <w:lang w:val="fr-CA"/>
              </w:rPr>
            </w:pPr>
          </w:p>
          <w:p w:rsidR="00A83630" w:rsidRPr="005B4C3C" w:rsidRDefault="00A83630" w:rsidP="00AE3D06">
            <w:pPr>
              <w:rPr>
                <w:lang w:val="fr-CA"/>
              </w:rPr>
            </w:pPr>
            <w:r w:rsidRPr="005B4C3C">
              <w:rPr>
                <w:lang w:val="fr-CA"/>
              </w:rPr>
              <w:t xml:space="preserve">Le juge </w:t>
            </w:r>
            <w:proofErr w:type="spellStart"/>
            <w:r w:rsidRPr="005B4C3C">
              <w:rPr>
                <w:lang w:val="fr-CA"/>
              </w:rPr>
              <w:t>Rothstein</w:t>
            </w:r>
            <w:proofErr w:type="spellEnd"/>
            <w:r w:rsidRPr="005B4C3C">
              <w:rPr>
                <w:lang w:val="fr-CA"/>
              </w:rPr>
              <w:t xml:space="preserve"> (avec l’accord de la juge en chef McLachlin et la juge Abella)</w:t>
            </w:r>
          </w:p>
        </w:tc>
      </w:tr>
    </w:tbl>
    <w:p w:rsidR="00A83630" w:rsidRPr="005B4C3C" w:rsidRDefault="00A83630" w:rsidP="00A83630">
      <w:pPr>
        <w:rPr>
          <w:rFonts w:eastAsiaTheme="minorHAnsi" w:cstheme="minorBidi"/>
          <w:szCs w:val="24"/>
          <w:lang w:val="fr-CA" w:eastAsia="en-US"/>
        </w:rPr>
      </w:pPr>
    </w:p>
    <w:p w:rsidR="00A83630" w:rsidRPr="005B4C3C" w:rsidRDefault="00A83630" w:rsidP="00A83630">
      <w:pPr>
        <w:rPr>
          <w:rFonts w:eastAsiaTheme="minorHAnsi" w:cstheme="minorBidi"/>
          <w:szCs w:val="24"/>
          <w:lang w:val="fr-CA" w:eastAsia="en-US"/>
        </w:rPr>
      </w:pPr>
    </w:p>
    <w:p w:rsidR="00A83630" w:rsidRPr="005B4C3C" w:rsidRDefault="00103A4C" w:rsidP="00A83630">
      <w:pPr>
        <w:rPr>
          <w:rFonts w:eastAsiaTheme="minorHAnsi" w:cstheme="minorBidi"/>
          <w:szCs w:val="24"/>
          <w:lang w:val="fr-CA" w:eastAsia="en-US"/>
        </w:rPr>
      </w:pPr>
      <w:r>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A83630" w:rsidRDefault="00A83630" w:rsidP="00A83630">
      <w:pPr>
        <w:rPr>
          <w:smallCaps/>
          <w:lang w:val="fr-CA"/>
        </w:rPr>
      </w:pPr>
      <w:r>
        <w:rPr>
          <w:smallCaps/>
          <w:lang w:val="fr-CA"/>
        </w:rPr>
        <w:br w:type="page"/>
      </w:r>
    </w:p>
    <w:p w:rsidR="0029540D" w:rsidRPr="006A3CAE" w:rsidRDefault="0029540D" w:rsidP="0029540D">
      <w:pPr>
        <w:spacing w:after="720"/>
        <w:jc w:val="both"/>
        <w:rPr>
          <w:lang w:val="fr-CA"/>
        </w:rPr>
      </w:pPr>
      <w:r w:rsidRPr="006A3CAE">
        <w:rPr>
          <w:lang w:val="fr-CA"/>
        </w:rPr>
        <w:lastRenderedPageBreak/>
        <w:t xml:space="preserve">R. </w:t>
      </w:r>
      <w:r w:rsidRPr="006A3CAE">
        <w:rPr>
          <w:i/>
          <w:lang w:val="fr-CA"/>
        </w:rPr>
        <w:t>c.</w:t>
      </w:r>
      <w:r w:rsidRPr="006A3CAE">
        <w:rPr>
          <w:lang w:val="fr-CA"/>
        </w:rPr>
        <w:t xml:space="preserve"> O’Brien, 2013 CSC 2, [2013] 1 R.C.S. 7</w:t>
      </w:r>
    </w:p>
    <w:p w:rsidR="003F485A" w:rsidRPr="000225ED" w:rsidRDefault="00F04E79" w:rsidP="00C56DD8">
      <w:pPr>
        <w:pStyle w:val="SCCLsocLastPartyInRole"/>
        <w:rPr>
          <w:lang w:val="fr-CA"/>
        </w:rPr>
      </w:pPr>
      <w:r w:rsidRPr="000225ED">
        <w:rPr>
          <w:lang w:val="fr-CA"/>
        </w:rPr>
        <w:t>Sa Majesté la Reine</w:t>
      </w:r>
      <w:r w:rsidRPr="000225ED">
        <w:rPr>
          <w:rStyle w:val="SCCLsocPartyRole"/>
          <w:lang w:val="fr-CA"/>
        </w:rPr>
        <w:tab/>
        <w:t>Appelante</w:t>
      </w:r>
    </w:p>
    <w:p w:rsidR="003F485A" w:rsidRPr="000225ED" w:rsidRDefault="00F04E79" w:rsidP="00C56DD8">
      <w:pPr>
        <w:pStyle w:val="SCCLsocVersus"/>
        <w:rPr>
          <w:lang w:val="fr-CA"/>
        </w:rPr>
      </w:pPr>
      <w:proofErr w:type="gramStart"/>
      <w:r w:rsidRPr="000225ED">
        <w:rPr>
          <w:lang w:val="fr-CA"/>
        </w:rPr>
        <w:t>c</w:t>
      </w:r>
      <w:proofErr w:type="gramEnd"/>
      <w:r w:rsidRPr="000225ED">
        <w:rPr>
          <w:lang w:val="fr-CA"/>
        </w:rPr>
        <w:t>.</w:t>
      </w:r>
    </w:p>
    <w:p w:rsidR="003F485A" w:rsidRPr="000225ED" w:rsidRDefault="00F04E79" w:rsidP="00C56DD8">
      <w:pPr>
        <w:pStyle w:val="SCCLsocLastPartyInRole"/>
        <w:rPr>
          <w:lang w:val="fr-CA"/>
        </w:rPr>
      </w:pPr>
      <w:r w:rsidRPr="000225ED">
        <w:rPr>
          <w:lang w:val="fr-CA"/>
        </w:rPr>
        <w:t>Kelly Joseph O</w:t>
      </w:r>
      <w:r w:rsidR="0055642C" w:rsidRPr="000225ED">
        <w:rPr>
          <w:lang w:val="fr-CA"/>
        </w:rPr>
        <w:t>’</w:t>
      </w:r>
      <w:r w:rsidRPr="000225ED">
        <w:rPr>
          <w:lang w:val="fr-CA"/>
        </w:rPr>
        <w:t>Brien</w:t>
      </w:r>
      <w:r w:rsidRPr="000225ED">
        <w:rPr>
          <w:rStyle w:val="SCCLsocPartyRole"/>
          <w:lang w:val="fr-CA"/>
        </w:rPr>
        <w:tab/>
        <w:t>Intimé</w:t>
      </w:r>
    </w:p>
    <w:p w:rsidR="004D7D95" w:rsidRPr="000225ED" w:rsidRDefault="004D7D95" w:rsidP="00C56DD8">
      <w:pPr>
        <w:spacing w:after="720"/>
        <w:jc w:val="both"/>
        <w:rPr>
          <w:b/>
          <w:lang w:val="fr-CA"/>
        </w:rPr>
      </w:pPr>
      <w:r w:rsidRPr="000225ED">
        <w:rPr>
          <w:b/>
          <w:lang w:val="fr-CA"/>
        </w:rPr>
        <w:t>Répertorié</w:t>
      </w:r>
      <w:r w:rsidR="00992664" w:rsidRPr="000225ED">
        <w:rPr>
          <w:b/>
          <w:lang w:val="fr-CA"/>
        </w:rPr>
        <w:t> :</w:t>
      </w:r>
      <w:r w:rsidRPr="000225ED">
        <w:rPr>
          <w:b/>
          <w:lang w:val="fr-CA"/>
        </w:rPr>
        <w:t xml:space="preserve"> R. </w:t>
      </w:r>
      <w:r w:rsidRPr="000225ED">
        <w:rPr>
          <w:b/>
          <w:i/>
          <w:lang w:val="fr-CA"/>
        </w:rPr>
        <w:t>c.</w:t>
      </w:r>
      <w:r w:rsidRPr="000225ED">
        <w:rPr>
          <w:b/>
          <w:lang w:val="fr-CA"/>
        </w:rPr>
        <w:t xml:space="preserve"> </w:t>
      </w:r>
      <w:r w:rsidR="0055642C" w:rsidRPr="000225ED">
        <w:rPr>
          <w:b/>
          <w:lang w:val="fr-CA"/>
        </w:rPr>
        <w:t>O’</w:t>
      </w:r>
      <w:r w:rsidRPr="000225ED">
        <w:rPr>
          <w:b/>
          <w:lang w:val="fr-CA"/>
        </w:rPr>
        <w:t>Brien</w:t>
      </w:r>
    </w:p>
    <w:p w:rsidR="004D7D95" w:rsidRPr="000225ED" w:rsidRDefault="00F62639" w:rsidP="00C56DD8">
      <w:pPr>
        <w:pStyle w:val="SCCSystemYear"/>
        <w:spacing w:after="720"/>
        <w:jc w:val="both"/>
        <w:rPr>
          <w:lang w:val="fr-CA"/>
        </w:rPr>
      </w:pPr>
      <w:r w:rsidRPr="000225ED">
        <w:rPr>
          <w:lang w:val="fr-CA"/>
        </w:rPr>
        <w:t>2013</w:t>
      </w:r>
      <w:r w:rsidR="002D6D0E" w:rsidRPr="000225ED">
        <w:rPr>
          <w:lang w:val="fr-CA"/>
        </w:rPr>
        <w:t xml:space="preserve"> CSC 2</w:t>
      </w:r>
    </w:p>
    <w:p w:rsidR="004D7D95" w:rsidRPr="000225ED" w:rsidRDefault="004D7D95" w:rsidP="00C56DD8">
      <w:pPr>
        <w:spacing w:after="720"/>
        <w:jc w:val="both"/>
        <w:rPr>
          <w:lang w:val="fr-CA"/>
        </w:rPr>
      </w:pPr>
      <w:r w:rsidRPr="000225ED">
        <w:rPr>
          <w:lang w:val="fr-CA"/>
        </w:rPr>
        <w:t>N</w:t>
      </w:r>
      <w:r w:rsidRPr="000225ED">
        <w:rPr>
          <w:vertAlign w:val="superscript"/>
          <w:lang w:val="fr-CA"/>
        </w:rPr>
        <w:t>o</w:t>
      </w:r>
      <w:r w:rsidRPr="000225ED">
        <w:rPr>
          <w:lang w:val="fr-CA"/>
        </w:rPr>
        <w:t xml:space="preserve"> du greffe</w:t>
      </w:r>
      <w:r w:rsidR="00992664" w:rsidRPr="000225ED">
        <w:rPr>
          <w:lang w:val="fr-CA"/>
        </w:rPr>
        <w:t> :</w:t>
      </w:r>
      <w:r w:rsidRPr="000225ED">
        <w:rPr>
          <w:lang w:val="fr-CA"/>
        </w:rPr>
        <w:t> 34694.</w:t>
      </w:r>
    </w:p>
    <w:p w:rsidR="004D7D95" w:rsidRPr="000225ED" w:rsidRDefault="00F62639" w:rsidP="00C56DD8">
      <w:pPr>
        <w:spacing w:after="720"/>
        <w:jc w:val="both"/>
        <w:rPr>
          <w:lang w:val="fr-CA"/>
        </w:rPr>
      </w:pPr>
      <w:r w:rsidRPr="000225ED">
        <w:rPr>
          <w:lang w:val="fr-CA"/>
        </w:rPr>
        <w:t>2012</w:t>
      </w:r>
      <w:r w:rsidR="00992664" w:rsidRPr="000225ED">
        <w:rPr>
          <w:lang w:val="fr-CA"/>
        </w:rPr>
        <w:t> :</w:t>
      </w:r>
      <w:r w:rsidR="0055642C" w:rsidRPr="000225ED">
        <w:rPr>
          <w:lang w:val="fr-CA"/>
        </w:rPr>
        <w:t> </w:t>
      </w:r>
      <w:r w:rsidR="00C54D58" w:rsidRPr="000225ED">
        <w:rPr>
          <w:lang w:val="fr-CA"/>
        </w:rPr>
        <w:t>6 </w:t>
      </w:r>
      <w:r w:rsidRPr="000225ED">
        <w:rPr>
          <w:lang w:val="fr-CA"/>
        </w:rPr>
        <w:t>décembre</w:t>
      </w:r>
      <w:r w:rsidR="004D7D95" w:rsidRPr="000225ED">
        <w:rPr>
          <w:lang w:val="fr-CA"/>
        </w:rPr>
        <w:t xml:space="preserve">; </w:t>
      </w:r>
      <w:r w:rsidR="0055642C" w:rsidRPr="000225ED">
        <w:rPr>
          <w:lang w:val="fr-CA"/>
        </w:rPr>
        <w:t>2013</w:t>
      </w:r>
      <w:r w:rsidR="00992664" w:rsidRPr="000225ED">
        <w:rPr>
          <w:lang w:val="fr-CA"/>
        </w:rPr>
        <w:t> :</w:t>
      </w:r>
      <w:r w:rsidR="0055642C" w:rsidRPr="000225ED">
        <w:rPr>
          <w:lang w:val="fr-CA"/>
        </w:rPr>
        <w:t> </w:t>
      </w:r>
      <w:r w:rsidR="00C54D58" w:rsidRPr="000225ED">
        <w:rPr>
          <w:lang w:val="fr-CA"/>
        </w:rPr>
        <w:t>17 janvier</w:t>
      </w:r>
      <w:r w:rsidR="004D7D95" w:rsidRPr="000225ED">
        <w:rPr>
          <w:lang w:val="fr-CA"/>
        </w:rPr>
        <w:t>.</w:t>
      </w:r>
    </w:p>
    <w:p w:rsidR="004D7D95" w:rsidRPr="000225ED" w:rsidRDefault="004D7D95" w:rsidP="00C56DD8">
      <w:pPr>
        <w:spacing w:after="720"/>
        <w:jc w:val="both"/>
        <w:rPr>
          <w:lang w:val="fr-CA"/>
        </w:rPr>
      </w:pPr>
      <w:r w:rsidRPr="000225ED">
        <w:rPr>
          <w:lang w:val="fr-CA"/>
        </w:rPr>
        <w:t>Présents</w:t>
      </w:r>
      <w:r w:rsidR="00992664" w:rsidRPr="000225ED">
        <w:rPr>
          <w:lang w:val="fr-CA"/>
        </w:rPr>
        <w:t> :</w:t>
      </w:r>
      <w:r w:rsidRPr="000225ED">
        <w:rPr>
          <w:lang w:val="fr-CA"/>
        </w:rPr>
        <w:t xml:space="preserve"> La juge en chef McLachlin et les juges Fish, Abella, </w:t>
      </w:r>
      <w:proofErr w:type="spellStart"/>
      <w:r w:rsidRPr="000225ED">
        <w:rPr>
          <w:lang w:val="fr-CA"/>
        </w:rPr>
        <w:t>Rothstein</w:t>
      </w:r>
      <w:proofErr w:type="spellEnd"/>
      <w:r w:rsidRPr="000225ED">
        <w:rPr>
          <w:lang w:val="fr-CA"/>
        </w:rPr>
        <w:t xml:space="preserve">, Cromwell, </w:t>
      </w:r>
      <w:proofErr w:type="spellStart"/>
      <w:r w:rsidRPr="000225ED">
        <w:rPr>
          <w:lang w:val="fr-CA"/>
        </w:rPr>
        <w:t>Moldaver</w:t>
      </w:r>
      <w:proofErr w:type="spellEnd"/>
      <w:r w:rsidRPr="000225ED">
        <w:rPr>
          <w:lang w:val="fr-CA"/>
        </w:rPr>
        <w:t xml:space="preserve"> et Wagner.</w:t>
      </w:r>
    </w:p>
    <w:p w:rsidR="004D7D95" w:rsidRPr="000225ED" w:rsidRDefault="004D7D95" w:rsidP="00C56DD8">
      <w:pPr>
        <w:spacing w:after="720"/>
        <w:jc w:val="both"/>
        <w:rPr>
          <w:smallCaps/>
          <w:lang w:val="fr-CA"/>
        </w:rPr>
      </w:pPr>
      <w:r w:rsidRPr="000225ED">
        <w:rPr>
          <w:smallCaps/>
          <w:lang w:val="fr-CA"/>
        </w:rPr>
        <w:t xml:space="preserve">en appel de la cour d’appel du </w:t>
      </w:r>
      <w:proofErr w:type="spellStart"/>
      <w:r w:rsidRPr="000225ED">
        <w:rPr>
          <w:smallCaps/>
          <w:lang w:val="fr-CA"/>
        </w:rPr>
        <w:t>manitoba</w:t>
      </w:r>
      <w:proofErr w:type="spellEnd"/>
    </w:p>
    <w:p w:rsidR="00FA2953" w:rsidRPr="000225ED" w:rsidRDefault="00992664" w:rsidP="00992664">
      <w:pPr>
        <w:pStyle w:val="SCCNormalDoubleSpacing"/>
        <w:spacing w:after="480"/>
        <w:rPr>
          <w:i/>
          <w:lang w:val="fr-CA"/>
        </w:rPr>
      </w:pPr>
      <w:r w:rsidRPr="000225ED">
        <w:rPr>
          <w:i/>
          <w:lang w:val="fr-CA"/>
        </w:rPr>
        <w:tab/>
      </w:r>
      <w:r w:rsidR="00FA2953" w:rsidRPr="000225ED">
        <w:rPr>
          <w:i/>
          <w:lang w:val="fr-CA"/>
        </w:rPr>
        <w:t xml:space="preserve">Droit criminel — Infractions — </w:t>
      </w:r>
      <w:r w:rsidR="00300695" w:rsidRPr="000225ED">
        <w:rPr>
          <w:i/>
          <w:lang w:val="fr-CA"/>
        </w:rPr>
        <w:t>M</w:t>
      </w:r>
      <w:r w:rsidR="00FA2953" w:rsidRPr="000225ED">
        <w:rPr>
          <w:i/>
          <w:lang w:val="fr-CA"/>
        </w:rPr>
        <w:t xml:space="preserve">enaces — Éléments de l’infraction — Mens </w:t>
      </w:r>
      <w:proofErr w:type="spellStart"/>
      <w:r w:rsidR="00FA2953" w:rsidRPr="000225ED">
        <w:rPr>
          <w:i/>
          <w:lang w:val="fr-CA"/>
        </w:rPr>
        <w:t>rea</w:t>
      </w:r>
      <w:proofErr w:type="spellEnd"/>
      <w:r w:rsidR="00FA2953" w:rsidRPr="000225ED">
        <w:rPr>
          <w:i/>
          <w:lang w:val="fr-CA"/>
        </w:rPr>
        <w:t xml:space="preserve"> — Intimé ayant </w:t>
      </w:r>
      <w:r w:rsidR="00CF2037" w:rsidRPr="000225ED">
        <w:rPr>
          <w:i/>
          <w:lang w:val="fr-CA"/>
        </w:rPr>
        <w:t>dit</w:t>
      </w:r>
      <w:r w:rsidR="00FA2953" w:rsidRPr="000225ED">
        <w:rPr>
          <w:i/>
          <w:lang w:val="fr-CA"/>
        </w:rPr>
        <w:t xml:space="preserve"> à plusieurs reprises </w:t>
      </w:r>
      <w:r w:rsidR="00CF2037" w:rsidRPr="000225ED">
        <w:rPr>
          <w:i/>
          <w:lang w:val="fr-CA"/>
        </w:rPr>
        <w:t xml:space="preserve">à </w:t>
      </w:r>
      <w:r w:rsidR="00FA2953" w:rsidRPr="000225ED">
        <w:rPr>
          <w:i/>
          <w:lang w:val="fr-CA"/>
        </w:rPr>
        <w:t xml:space="preserve">son </w:t>
      </w:r>
      <w:proofErr w:type="spellStart"/>
      <w:r w:rsidR="00FA2953" w:rsidRPr="000225ED">
        <w:rPr>
          <w:i/>
          <w:lang w:val="fr-CA"/>
        </w:rPr>
        <w:t>ex</w:t>
      </w:r>
      <w:r w:rsidRPr="000225ED">
        <w:rPr>
          <w:i/>
          <w:lang w:val="fr-CA"/>
        </w:rPr>
        <w:noBreakHyphen/>
      </w:r>
      <w:r w:rsidR="00FA2953" w:rsidRPr="000225ED">
        <w:rPr>
          <w:i/>
          <w:lang w:val="fr-CA"/>
        </w:rPr>
        <w:t>petite</w:t>
      </w:r>
      <w:proofErr w:type="spellEnd"/>
      <w:r w:rsidR="00FA2953" w:rsidRPr="000225ED">
        <w:rPr>
          <w:i/>
          <w:lang w:val="fr-CA"/>
        </w:rPr>
        <w:t xml:space="preserve"> amie </w:t>
      </w:r>
      <w:r w:rsidR="00CF2037" w:rsidRPr="000225ED">
        <w:rPr>
          <w:i/>
          <w:lang w:val="fr-CA"/>
        </w:rPr>
        <w:t>qu’il la tuerait</w:t>
      </w:r>
      <w:r w:rsidR="00300695" w:rsidRPr="000225ED">
        <w:rPr>
          <w:i/>
          <w:lang w:val="fr-CA"/>
        </w:rPr>
        <w:t xml:space="preserve"> </w:t>
      </w:r>
      <w:r w:rsidR="00FA2953" w:rsidRPr="000225ED">
        <w:rPr>
          <w:i/>
          <w:lang w:val="fr-CA"/>
        </w:rPr>
        <w:t xml:space="preserve">— </w:t>
      </w:r>
      <w:proofErr w:type="spellStart"/>
      <w:r w:rsidR="00300695" w:rsidRPr="000225ED">
        <w:rPr>
          <w:i/>
          <w:lang w:val="fr-CA"/>
        </w:rPr>
        <w:t>Ex</w:t>
      </w:r>
      <w:r w:rsidRPr="000225ED">
        <w:rPr>
          <w:i/>
          <w:lang w:val="fr-CA"/>
        </w:rPr>
        <w:noBreakHyphen/>
      </w:r>
      <w:r w:rsidR="00300695" w:rsidRPr="000225ED">
        <w:rPr>
          <w:i/>
          <w:lang w:val="fr-CA"/>
        </w:rPr>
        <w:t>petite</w:t>
      </w:r>
      <w:proofErr w:type="spellEnd"/>
      <w:r w:rsidR="00300695" w:rsidRPr="000225ED">
        <w:rPr>
          <w:i/>
          <w:lang w:val="fr-CA"/>
        </w:rPr>
        <w:t xml:space="preserve"> amie témoignant ne pas avoir été intimidée ni effrayée par les paroles de l’accusé</w:t>
      </w:r>
      <w:r w:rsidR="00FA2953" w:rsidRPr="000225ED">
        <w:rPr>
          <w:i/>
          <w:lang w:val="fr-CA"/>
        </w:rPr>
        <w:t xml:space="preserve"> </w:t>
      </w:r>
      <w:r w:rsidR="00300695" w:rsidRPr="000225ED">
        <w:rPr>
          <w:i/>
          <w:lang w:val="fr-CA"/>
        </w:rPr>
        <w:t xml:space="preserve">parce qu’il lui parlait souvent </w:t>
      </w:r>
      <w:r w:rsidR="009629E7" w:rsidRPr="000225ED">
        <w:rPr>
          <w:i/>
          <w:lang w:val="fr-CA"/>
        </w:rPr>
        <w:t xml:space="preserve">ainsi </w:t>
      </w:r>
      <w:r w:rsidR="00FA2953" w:rsidRPr="000225ED">
        <w:rPr>
          <w:i/>
          <w:lang w:val="fr-CA"/>
        </w:rPr>
        <w:t xml:space="preserve">— </w:t>
      </w:r>
      <w:r w:rsidR="00300695" w:rsidRPr="000225ED">
        <w:rPr>
          <w:i/>
          <w:lang w:val="fr-CA"/>
        </w:rPr>
        <w:t xml:space="preserve">Le juge du procès </w:t>
      </w:r>
      <w:proofErr w:type="spellStart"/>
      <w:r w:rsidR="00300695" w:rsidRPr="000225ED">
        <w:rPr>
          <w:i/>
          <w:lang w:val="fr-CA"/>
        </w:rPr>
        <w:t>a</w:t>
      </w:r>
      <w:r w:rsidRPr="000225ED">
        <w:rPr>
          <w:i/>
          <w:lang w:val="fr-CA"/>
        </w:rPr>
        <w:noBreakHyphen/>
      </w:r>
      <w:r w:rsidR="00300695" w:rsidRPr="000225ED">
        <w:rPr>
          <w:i/>
          <w:lang w:val="fr-CA"/>
        </w:rPr>
        <w:t>t</w:t>
      </w:r>
      <w:r w:rsidRPr="000225ED">
        <w:rPr>
          <w:i/>
          <w:lang w:val="fr-CA"/>
        </w:rPr>
        <w:noBreakHyphen/>
      </w:r>
      <w:r w:rsidR="00300695" w:rsidRPr="000225ED">
        <w:rPr>
          <w:i/>
          <w:lang w:val="fr-CA"/>
        </w:rPr>
        <w:t>il</w:t>
      </w:r>
      <w:proofErr w:type="spellEnd"/>
      <w:r w:rsidR="00300695" w:rsidRPr="000225ED">
        <w:rPr>
          <w:i/>
          <w:lang w:val="fr-CA"/>
        </w:rPr>
        <w:t xml:space="preserve"> commis une </w:t>
      </w:r>
      <w:r w:rsidR="00300695" w:rsidRPr="000225ED">
        <w:rPr>
          <w:i/>
          <w:lang w:val="fr-CA"/>
        </w:rPr>
        <w:lastRenderedPageBreak/>
        <w:t xml:space="preserve">erreur de droit en concluant que l’accusé n’avait pas la mens </w:t>
      </w:r>
      <w:proofErr w:type="spellStart"/>
      <w:r w:rsidR="00300695" w:rsidRPr="000225ED">
        <w:rPr>
          <w:i/>
          <w:lang w:val="fr-CA"/>
        </w:rPr>
        <w:t>rea</w:t>
      </w:r>
      <w:proofErr w:type="spellEnd"/>
      <w:r w:rsidR="00300695" w:rsidRPr="000225ED">
        <w:rPr>
          <w:i/>
          <w:lang w:val="fr-CA"/>
        </w:rPr>
        <w:t xml:space="preserve"> requise? </w:t>
      </w:r>
      <w:r w:rsidR="00FA2953" w:rsidRPr="000225ED">
        <w:rPr>
          <w:i/>
          <w:lang w:val="fr-CA"/>
        </w:rPr>
        <w:t>— C</w:t>
      </w:r>
      <w:r w:rsidR="00300695" w:rsidRPr="000225ED">
        <w:rPr>
          <w:i/>
          <w:lang w:val="fr-CA"/>
        </w:rPr>
        <w:t>ode c</w:t>
      </w:r>
      <w:r w:rsidR="00FA2953" w:rsidRPr="000225ED">
        <w:rPr>
          <w:i/>
          <w:lang w:val="fr-CA"/>
        </w:rPr>
        <w:t>rimin</w:t>
      </w:r>
      <w:r w:rsidR="00300695" w:rsidRPr="000225ED">
        <w:rPr>
          <w:i/>
          <w:lang w:val="fr-CA"/>
        </w:rPr>
        <w:t>e</w:t>
      </w:r>
      <w:r w:rsidR="00FA2953" w:rsidRPr="000225ED">
        <w:rPr>
          <w:i/>
          <w:lang w:val="fr-CA"/>
        </w:rPr>
        <w:t xml:space="preserve">l, </w:t>
      </w:r>
      <w:r w:rsidR="00300695" w:rsidRPr="000225ED">
        <w:rPr>
          <w:i/>
          <w:lang w:val="fr-CA"/>
        </w:rPr>
        <w:t>L.</w:t>
      </w:r>
      <w:r w:rsidR="00FA2953" w:rsidRPr="000225ED">
        <w:rPr>
          <w:i/>
          <w:lang w:val="fr-CA"/>
        </w:rPr>
        <w:t xml:space="preserve">R.C. 1985, </w:t>
      </w:r>
      <w:r w:rsidRPr="000225ED">
        <w:rPr>
          <w:i/>
          <w:lang w:val="fr-CA"/>
        </w:rPr>
        <w:t>ch. </w:t>
      </w:r>
      <w:r w:rsidR="00FA2953" w:rsidRPr="000225ED">
        <w:rPr>
          <w:i/>
          <w:lang w:val="fr-CA"/>
        </w:rPr>
        <w:t>C</w:t>
      </w:r>
      <w:r w:rsidRPr="000225ED">
        <w:rPr>
          <w:i/>
          <w:lang w:val="fr-CA"/>
        </w:rPr>
        <w:noBreakHyphen/>
      </w:r>
      <w:r w:rsidR="00FA2953" w:rsidRPr="000225ED">
        <w:rPr>
          <w:i/>
          <w:lang w:val="fr-CA"/>
        </w:rPr>
        <w:t xml:space="preserve">46, </w:t>
      </w:r>
      <w:r w:rsidRPr="000225ED">
        <w:rPr>
          <w:i/>
          <w:lang w:val="fr-CA"/>
        </w:rPr>
        <w:t>art. </w:t>
      </w:r>
      <w:r w:rsidR="00FA2953" w:rsidRPr="000225ED">
        <w:rPr>
          <w:i/>
          <w:lang w:val="fr-CA"/>
        </w:rPr>
        <w:t>264.1(1)a).</w:t>
      </w:r>
    </w:p>
    <w:p w:rsidR="00FA2953" w:rsidRPr="000225ED" w:rsidRDefault="00992664" w:rsidP="00992664">
      <w:pPr>
        <w:pStyle w:val="SCCNormalDoubleSpacing"/>
        <w:spacing w:after="480"/>
        <w:rPr>
          <w:lang w:val="fr-FR"/>
        </w:rPr>
      </w:pPr>
      <w:r w:rsidRPr="000225ED">
        <w:rPr>
          <w:lang w:val="fr-CA"/>
        </w:rPr>
        <w:tab/>
      </w:r>
      <w:r w:rsidR="00300695" w:rsidRPr="000225ED">
        <w:rPr>
          <w:lang w:val="fr-CA"/>
        </w:rPr>
        <w:t xml:space="preserve">Lors d’une conversation téléphonique tenue pendant son incarcération, l’accusé a dit à plusieurs reprises à son </w:t>
      </w:r>
      <w:proofErr w:type="spellStart"/>
      <w:r w:rsidR="00300695" w:rsidRPr="000225ED">
        <w:rPr>
          <w:lang w:val="fr-CA"/>
        </w:rPr>
        <w:t>ex</w:t>
      </w:r>
      <w:r w:rsidRPr="000225ED">
        <w:rPr>
          <w:lang w:val="fr-CA"/>
        </w:rPr>
        <w:noBreakHyphen/>
      </w:r>
      <w:r w:rsidR="00300695" w:rsidRPr="000225ED">
        <w:rPr>
          <w:lang w:val="fr-CA"/>
        </w:rPr>
        <w:t>petite</w:t>
      </w:r>
      <w:proofErr w:type="spellEnd"/>
      <w:r w:rsidR="00300695" w:rsidRPr="000225ED">
        <w:rPr>
          <w:lang w:val="fr-CA"/>
        </w:rPr>
        <w:t xml:space="preserve"> amie, enceinte de lui, qu’il la tuerait à sa libération si elle se faisait avorter comme elle le prévoyait. </w:t>
      </w:r>
      <w:r w:rsidR="00FA2953" w:rsidRPr="000225ED">
        <w:rPr>
          <w:lang w:val="fr-CA"/>
        </w:rPr>
        <w:t xml:space="preserve"> </w:t>
      </w:r>
      <w:r w:rsidR="00C67893" w:rsidRPr="000225ED">
        <w:rPr>
          <w:lang w:val="fr-FR"/>
        </w:rPr>
        <w:t xml:space="preserve">Il a été </w:t>
      </w:r>
      <w:r w:rsidR="00300695" w:rsidRPr="000225ED">
        <w:rPr>
          <w:lang w:val="fr-FR"/>
        </w:rPr>
        <w:t xml:space="preserve">accusé </w:t>
      </w:r>
      <w:r w:rsidR="00C67893" w:rsidRPr="000225ED">
        <w:rPr>
          <w:lang w:val="fr-FR"/>
        </w:rPr>
        <w:t>d’avoir</w:t>
      </w:r>
      <w:r w:rsidR="00300695" w:rsidRPr="000225ED">
        <w:rPr>
          <w:lang w:val="fr-FR"/>
        </w:rPr>
        <w:t xml:space="preserve"> profér</w:t>
      </w:r>
      <w:r w:rsidR="00C67893" w:rsidRPr="000225ED">
        <w:rPr>
          <w:lang w:val="fr-FR"/>
        </w:rPr>
        <w:t>é</w:t>
      </w:r>
      <w:r w:rsidR="00300695" w:rsidRPr="000225ED">
        <w:rPr>
          <w:lang w:val="fr-FR"/>
        </w:rPr>
        <w:t xml:space="preserve"> des menaces.  </w:t>
      </w:r>
      <w:r w:rsidR="00C67893" w:rsidRPr="000225ED">
        <w:rPr>
          <w:lang w:val="fr-FR"/>
        </w:rPr>
        <w:t>Dans son témoignage a</w:t>
      </w:r>
      <w:r w:rsidR="00300695" w:rsidRPr="000225ED">
        <w:rPr>
          <w:lang w:val="fr-FR"/>
        </w:rPr>
        <w:t>u procès, l’</w:t>
      </w:r>
      <w:proofErr w:type="spellStart"/>
      <w:r w:rsidR="00300695" w:rsidRPr="000225ED">
        <w:rPr>
          <w:lang w:val="fr-FR"/>
        </w:rPr>
        <w:t>ex</w:t>
      </w:r>
      <w:r w:rsidRPr="000225ED">
        <w:rPr>
          <w:lang w:val="fr-FR"/>
        </w:rPr>
        <w:noBreakHyphen/>
      </w:r>
      <w:r w:rsidR="00300695" w:rsidRPr="000225ED">
        <w:rPr>
          <w:lang w:val="fr-FR"/>
        </w:rPr>
        <w:t>petite</w:t>
      </w:r>
      <w:proofErr w:type="spellEnd"/>
      <w:r w:rsidR="00300695" w:rsidRPr="000225ED">
        <w:rPr>
          <w:lang w:val="fr-FR"/>
        </w:rPr>
        <w:t xml:space="preserve"> amie a affirmé que les paroles de l’accusé ne l’</w:t>
      </w:r>
      <w:r w:rsidR="009629E7" w:rsidRPr="000225ED">
        <w:rPr>
          <w:lang w:val="fr-FR"/>
        </w:rPr>
        <w:t>avaient</w:t>
      </w:r>
      <w:r w:rsidR="00300695" w:rsidRPr="000225ED">
        <w:rPr>
          <w:lang w:val="fr-FR"/>
        </w:rPr>
        <w:t xml:space="preserve"> pas intimidée ni effrayée, parce que</w:t>
      </w:r>
      <w:r w:rsidR="004116D8" w:rsidRPr="000225ED">
        <w:rPr>
          <w:lang w:val="fr-FR"/>
        </w:rPr>
        <w:t xml:space="preserve"> l’accusé lui parlait souvent ainsi.  L’accusé a été acquitté, le juge du procès ayant un doute raisonnable quant à savoir si l’accusé </w:t>
      </w:r>
      <w:r w:rsidR="00C67893" w:rsidRPr="000225ED">
        <w:rPr>
          <w:lang w:val="fr-FR"/>
        </w:rPr>
        <w:t>avait prononcé ces paroles dans l’intention d’</w:t>
      </w:r>
      <w:r w:rsidR="004116D8" w:rsidRPr="000225ED">
        <w:rPr>
          <w:lang w:val="fr-FR"/>
        </w:rPr>
        <w:t xml:space="preserve">intimider ou </w:t>
      </w:r>
      <w:r w:rsidR="00C67893" w:rsidRPr="000225ED">
        <w:rPr>
          <w:lang w:val="fr-FR"/>
        </w:rPr>
        <w:t>d’</w:t>
      </w:r>
      <w:r w:rsidR="004116D8" w:rsidRPr="000225ED">
        <w:rPr>
          <w:lang w:val="fr-FR"/>
        </w:rPr>
        <w:t>être pris au sérieux.  La Cour d’appel a rejeté l’</w:t>
      </w:r>
      <w:r w:rsidR="009629E7" w:rsidRPr="000225ED">
        <w:rPr>
          <w:lang w:val="fr-FR"/>
        </w:rPr>
        <w:t xml:space="preserve">appel </w:t>
      </w:r>
      <w:r w:rsidR="004116D8" w:rsidRPr="000225ED">
        <w:rPr>
          <w:lang w:val="fr-FR"/>
        </w:rPr>
        <w:t>du ministère public</w:t>
      </w:r>
      <w:r w:rsidR="00FA2953" w:rsidRPr="000225ED">
        <w:rPr>
          <w:lang w:val="fr-FR"/>
        </w:rPr>
        <w:t xml:space="preserve">. </w:t>
      </w:r>
    </w:p>
    <w:p w:rsidR="00FA2953" w:rsidRPr="000225ED" w:rsidRDefault="00992664" w:rsidP="00992664">
      <w:pPr>
        <w:pStyle w:val="SCCNormalDoubleSpacing"/>
        <w:spacing w:after="480"/>
        <w:rPr>
          <w:lang w:val="fr-FR"/>
        </w:rPr>
      </w:pPr>
      <w:r w:rsidRPr="000225ED">
        <w:rPr>
          <w:i/>
          <w:lang w:val="fr-FR"/>
        </w:rPr>
        <w:tab/>
      </w:r>
      <w:r w:rsidR="004116D8" w:rsidRPr="000225ED">
        <w:rPr>
          <w:i/>
          <w:lang w:val="fr-FR"/>
        </w:rPr>
        <w:t>Arrêt</w:t>
      </w:r>
      <w:r w:rsidR="00FA2953" w:rsidRPr="000225ED">
        <w:rPr>
          <w:lang w:val="fr-FR"/>
        </w:rPr>
        <w:t xml:space="preserve"> (</w:t>
      </w:r>
      <w:r w:rsidR="004116D8" w:rsidRPr="000225ED">
        <w:rPr>
          <w:lang w:val="fr-FR"/>
        </w:rPr>
        <w:t xml:space="preserve">la juge en chef </w:t>
      </w:r>
      <w:r w:rsidR="00FA2953" w:rsidRPr="000225ED">
        <w:rPr>
          <w:lang w:val="fr-FR"/>
        </w:rPr>
        <w:t xml:space="preserve">McLachlin </w:t>
      </w:r>
      <w:r w:rsidR="004116D8" w:rsidRPr="000225ED">
        <w:rPr>
          <w:lang w:val="fr-FR"/>
        </w:rPr>
        <w:t>et les juges</w:t>
      </w:r>
      <w:r w:rsidR="00FA2953" w:rsidRPr="000225ED">
        <w:rPr>
          <w:lang w:val="fr-FR"/>
        </w:rPr>
        <w:t xml:space="preserve"> Abella </w:t>
      </w:r>
      <w:r w:rsidR="004116D8" w:rsidRPr="000225ED">
        <w:rPr>
          <w:lang w:val="fr-FR"/>
        </w:rPr>
        <w:t>et</w:t>
      </w:r>
      <w:r w:rsidR="00FA2953" w:rsidRPr="000225ED">
        <w:rPr>
          <w:lang w:val="fr-FR"/>
        </w:rPr>
        <w:t xml:space="preserve"> </w:t>
      </w:r>
      <w:proofErr w:type="spellStart"/>
      <w:r w:rsidR="00FA2953" w:rsidRPr="000225ED">
        <w:rPr>
          <w:lang w:val="fr-FR"/>
        </w:rPr>
        <w:t>Rothstein</w:t>
      </w:r>
      <w:proofErr w:type="spellEnd"/>
      <w:r w:rsidR="00FA2953" w:rsidRPr="000225ED">
        <w:rPr>
          <w:lang w:val="fr-FR"/>
        </w:rPr>
        <w:t xml:space="preserve"> </w:t>
      </w:r>
      <w:r w:rsidR="004116D8" w:rsidRPr="000225ED">
        <w:rPr>
          <w:lang w:val="fr-FR"/>
        </w:rPr>
        <w:t>sont dissidents</w:t>
      </w:r>
      <w:r w:rsidR="00FA2953" w:rsidRPr="000225ED">
        <w:rPr>
          <w:lang w:val="fr-FR"/>
        </w:rPr>
        <w:t>)</w:t>
      </w:r>
      <w:r w:rsidRPr="000225ED">
        <w:rPr>
          <w:lang w:val="fr-FR"/>
        </w:rPr>
        <w:t> :</w:t>
      </w:r>
      <w:r w:rsidR="00FA2953" w:rsidRPr="000225ED">
        <w:rPr>
          <w:lang w:val="fr-FR"/>
        </w:rPr>
        <w:t xml:space="preserve"> </w:t>
      </w:r>
      <w:r w:rsidR="004116D8" w:rsidRPr="000225ED">
        <w:rPr>
          <w:lang w:val="fr-FR"/>
        </w:rPr>
        <w:t xml:space="preserve">Le pourvoi est rejeté.  </w:t>
      </w:r>
    </w:p>
    <w:p w:rsidR="00FA2953" w:rsidRPr="000225ED" w:rsidRDefault="00992664" w:rsidP="00992664">
      <w:pPr>
        <w:pStyle w:val="SCCNormalDoubleSpacing"/>
        <w:spacing w:after="480"/>
        <w:rPr>
          <w:lang w:val="fr-FR"/>
        </w:rPr>
      </w:pPr>
      <w:r w:rsidRPr="000225ED">
        <w:rPr>
          <w:i/>
          <w:lang w:val="fr-FR"/>
        </w:rPr>
        <w:tab/>
      </w:r>
      <w:r w:rsidR="004116D8" w:rsidRPr="000225ED">
        <w:rPr>
          <w:i/>
          <w:lang w:val="fr-FR"/>
        </w:rPr>
        <w:t xml:space="preserve">Les </w:t>
      </w:r>
      <w:r w:rsidR="004116D8" w:rsidRPr="000225ED">
        <w:rPr>
          <w:lang w:val="fr-FR"/>
        </w:rPr>
        <w:t>juge</w:t>
      </w:r>
      <w:r w:rsidR="001E628F">
        <w:rPr>
          <w:lang w:val="fr-FR"/>
        </w:rPr>
        <w:t>s</w:t>
      </w:r>
      <w:r w:rsidR="00FA2953" w:rsidRPr="000225ED">
        <w:rPr>
          <w:lang w:val="fr-FR"/>
        </w:rPr>
        <w:t xml:space="preserve"> </w:t>
      </w:r>
      <w:r w:rsidR="00FA2953" w:rsidRPr="001E628F">
        <w:rPr>
          <w:lang w:val="fr-FR"/>
        </w:rPr>
        <w:t>Fish</w:t>
      </w:r>
      <w:r w:rsidR="00FA2953" w:rsidRPr="000225ED">
        <w:rPr>
          <w:lang w:val="fr-FR"/>
        </w:rPr>
        <w:t xml:space="preserve">, Cromwell, </w:t>
      </w:r>
      <w:proofErr w:type="spellStart"/>
      <w:r w:rsidR="00FA2953" w:rsidRPr="000225ED">
        <w:rPr>
          <w:lang w:val="fr-FR"/>
        </w:rPr>
        <w:t>Moldaver</w:t>
      </w:r>
      <w:proofErr w:type="spellEnd"/>
      <w:r w:rsidR="00FA2953" w:rsidRPr="000225ED">
        <w:rPr>
          <w:lang w:val="fr-FR"/>
        </w:rPr>
        <w:t xml:space="preserve"> </w:t>
      </w:r>
      <w:r w:rsidR="004116D8" w:rsidRPr="000225ED">
        <w:rPr>
          <w:lang w:val="fr-FR"/>
        </w:rPr>
        <w:t>et Wagner</w:t>
      </w:r>
      <w:r w:rsidRPr="000225ED">
        <w:rPr>
          <w:lang w:val="fr-FR"/>
        </w:rPr>
        <w:t> :</w:t>
      </w:r>
      <w:r w:rsidR="004116D8" w:rsidRPr="000225ED">
        <w:rPr>
          <w:lang w:val="fr-FR"/>
        </w:rPr>
        <w:t xml:space="preserve"> Le fait que l’accusé </w:t>
      </w:r>
      <w:r w:rsidR="009A5C96" w:rsidRPr="000225ED">
        <w:rPr>
          <w:lang w:val="fr-FR"/>
        </w:rPr>
        <w:t>prononce l</w:t>
      </w:r>
      <w:r w:rsidR="00C67893" w:rsidRPr="000225ED">
        <w:rPr>
          <w:lang w:val="fr-FR"/>
        </w:rPr>
        <w:t xml:space="preserve">es paroles </w:t>
      </w:r>
      <w:r w:rsidR="009A5C96" w:rsidRPr="000225ED">
        <w:rPr>
          <w:lang w:val="fr-FR"/>
        </w:rPr>
        <w:t xml:space="preserve">en cause </w:t>
      </w:r>
      <w:r w:rsidR="00C67893" w:rsidRPr="000225ED">
        <w:rPr>
          <w:lang w:val="fr-FR"/>
        </w:rPr>
        <w:t>dans l’intention d’</w:t>
      </w:r>
      <w:r w:rsidR="004116D8" w:rsidRPr="000225ED">
        <w:rPr>
          <w:lang w:val="fr-FR"/>
        </w:rPr>
        <w:t xml:space="preserve">intimider ou </w:t>
      </w:r>
      <w:r w:rsidR="00C67893" w:rsidRPr="000225ED">
        <w:rPr>
          <w:lang w:val="fr-FR"/>
        </w:rPr>
        <w:t>d’</w:t>
      </w:r>
      <w:r w:rsidR="004116D8" w:rsidRPr="000225ED">
        <w:rPr>
          <w:lang w:val="fr-FR"/>
        </w:rPr>
        <w:t>être pris au sérieux constitue un élément essentiel de l’infraction consistant à proférer des menaces prévue à l’</w:t>
      </w:r>
      <w:r w:rsidR="0090450B">
        <w:rPr>
          <w:lang w:val="fr-FR"/>
        </w:rPr>
        <w:t xml:space="preserve">al. </w:t>
      </w:r>
      <w:r w:rsidR="004116D8" w:rsidRPr="000225ED">
        <w:rPr>
          <w:lang w:val="fr-CA"/>
        </w:rPr>
        <w:t>264.1(1)</w:t>
      </w:r>
      <w:r w:rsidR="00FA2953" w:rsidRPr="000225ED">
        <w:rPr>
          <w:i/>
          <w:lang w:val="fr-CA"/>
        </w:rPr>
        <w:t>a</w:t>
      </w:r>
      <w:r w:rsidR="00FA2953" w:rsidRPr="000225ED">
        <w:rPr>
          <w:lang w:val="fr-CA"/>
        </w:rPr>
        <w:t xml:space="preserve">) </w:t>
      </w:r>
      <w:r w:rsidR="004116D8" w:rsidRPr="000225ED">
        <w:rPr>
          <w:lang w:val="fr-CA"/>
        </w:rPr>
        <w:t xml:space="preserve">du </w:t>
      </w:r>
      <w:r w:rsidR="004116D8" w:rsidRPr="000225ED">
        <w:rPr>
          <w:i/>
          <w:lang w:val="fr-CA"/>
        </w:rPr>
        <w:t>Code criminel</w:t>
      </w:r>
      <w:r w:rsidR="004116D8" w:rsidRPr="000225ED">
        <w:rPr>
          <w:lang w:val="fr-CA"/>
        </w:rPr>
        <w:t>.</w:t>
      </w:r>
      <w:r w:rsidR="004116D8" w:rsidRPr="000225ED">
        <w:rPr>
          <w:i/>
          <w:lang w:val="fr-CA"/>
        </w:rPr>
        <w:t xml:space="preserve">  </w:t>
      </w:r>
      <w:r w:rsidR="004116D8" w:rsidRPr="000225ED">
        <w:rPr>
          <w:lang w:val="fr-FR"/>
        </w:rPr>
        <w:t xml:space="preserve">La juge du procès a envisagé à juste titre les mots prononcés à la lumière du témoignage de la personne à qui ils étaient </w:t>
      </w:r>
      <w:r w:rsidR="009629E7" w:rsidRPr="000225ED">
        <w:rPr>
          <w:lang w:val="fr-FR"/>
        </w:rPr>
        <w:t xml:space="preserve">destinés </w:t>
      </w:r>
      <w:r w:rsidR="004116D8" w:rsidRPr="000225ED">
        <w:rPr>
          <w:lang w:val="fr-FR"/>
        </w:rPr>
        <w:t xml:space="preserve">et elle a conclu qu’il subsistait un doute quant à savoir si l’accusé avait l’intention requise. </w:t>
      </w:r>
      <w:r w:rsidR="00FA2953" w:rsidRPr="000225ED">
        <w:rPr>
          <w:lang w:val="fr-FR"/>
        </w:rPr>
        <w:t xml:space="preserve"> </w:t>
      </w:r>
      <w:r w:rsidR="0033437A" w:rsidRPr="000225ED">
        <w:rPr>
          <w:lang w:val="fr-FR"/>
        </w:rPr>
        <w:t>Rien ne permet de conclure que la juge du procès a commis une erreur de droit en concluant comme elle l’a fait.</w:t>
      </w:r>
    </w:p>
    <w:p w:rsidR="004D7D95" w:rsidRPr="000225ED" w:rsidRDefault="00992664" w:rsidP="00992664">
      <w:pPr>
        <w:pStyle w:val="SCCNormalDoubleSpacing"/>
        <w:spacing w:after="480"/>
        <w:rPr>
          <w:lang w:val="fr-FR"/>
        </w:rPr>
      </w:pPr>
      <w:r w:rsidRPr="000225ED">
        <w:rPr>
          <w:i/>
          <w:lang w:val="fr-FR"/>
        </w:rPr>
        <w:lastRenderedPageBreak/>
        <w:tab/>
      </w:r>
      <w:r w:rsidR="0033437A" w:rsidRPr="000225ED">
        <w:rPr>
          <w:i/>
          <w:lang w:val="fr-FR"/>
        </w:rPr>
        <w:t>La</w:t>
      </w:r>
      <w:r w:rsidR="00FA2953" w:rsidRPr="000225ED">
        <w:rPr>
          <w:lang w:val="fr-FR"/>
        </w:rPr>
        <w:t xml:space="preserve"> </w:t>
      </w:r>
      <w:r w:rsidR="0033437A" w:rsidRPr="000225ED">
        <w:rPr>
          <w:lang w:val="fr-FR"/>
        </w:rPr>
        <w:t xml:space="preserve">juge en chef </w:t>
      </w:r>
      <w:r w:rsidR="00FA2953" w:rsidRPr="000225ED">
        <w:rPr>
          <w:lang w:val="fr-FR"/>
        </w:rPr>
        <w:t xml:space="preserve">McLachlin </w:t>
      </w:r>
      <w:r w:rsidR="0033437A" w:rsidRPr="000225ED">
        <w:rPr>
          <w:lang w:val="fr-FR"/>
        </w:rPr>
        <w:t>et les juges</w:t>
      </w:r>
      <w:r w:rsidR="00FA2953" w:rsidRPr="000225ED">
        <w:rPr>
          <w:lang w:val="fr-FR"/>
        </w:rPr>
        <w:t xml:space="preserve"> Abella </w:t>
      </w:r>
      <w:r w:rsidR="0033437A" w:rsidRPr="000225ED">
        <w:rPr>
          <w:lang w:val="fr-FR"/>
        </w:rPr>
        <w:t>et</w:t>
      </w:r>
      <w:r w:rsidR="00FA2953" w:rsidRPr="000225ED">
        <w:rPr>
          <w:lang w:val="fr-FR"/>
        </w:rPr>
        <w:t xml:space="preserve"> </w:t>
      </w:r>
      <w:proofErr w:type="spellStart"/>
      <w:r w:rsidR="00FA2953" w:rsidRPr="001E628F">
        <w:rPr>
          <w:lang w:val="fr-FR"/>
        </w:rPr>
        <w:t>Rothstein</w:t>
      </w:r>
      <w:proofErr w:type="spellEnd"/>
      <w:r w:rsidR="00FA2953" w:rsidRPr="000225ED">
        <w:rPr>
          <w:lang w:val="fr-FR"/>
        </w:rPr>
        <w:t xml:space="preserve"> (diss</w:t>
      </w:r>
      <w:r w:rsidR="0033437A" w:rsidRPr="000225ED">
        <w:rPr>
          <w:lang w:val="fr-FR"/>
        </w:rPr>
        <w:t>idents)</w:t>
      </w:r>
      <w:r w:rsidRPr="000225ED">
        <w:rPr>
          <w:lang w:val="fr-FR"/>
        </w:rPr>
        <w:t> :</w:t>
      </w:r>
      <w:r w:rsidR="009629E7" w:rsidRPr="000225ED">
        <w:rPr>
          <w:lang w:val="fr-FR"/>
        </w:rPr>
        <w:t xml:space="preserve"> </w:t>
      </w:r>
      <w:r w:rsidR="0033437A" w:rsidRPr="000225ED">
        <w:rPr>
          <w:lang w:val="fr-FR"/>
        </w:rPr>
        <w:t xml:space="preserve">La juge du procès a </w:t>
      </w:r>
      <w:r w:rsidR="009629E7" w:rsidRPr="000225ED">
        <w:rPr>
          <w:lang w:val="fr-FR"/>
        </w:rPr>
        <w:t>commis</w:t>
      </w:r>
      <w:r w:rsidR="0033437A" w:rsidRPr="000225ED">
        <w:rPr>
          <w:lang w:val="fr-FR"/>
        </w:rPr>
        <w:t xml:space="preserve"> une erreur en considérant</w:t>
      </w:r>
      <w:r w:rsidR="0033437A" w:rsidRPr="000225ED">
        <w:rPr>
          <w:lang w:val="fr-CA"/>
        </w:rPr>
        <w:t xml:space="preserve"> la perception de la personne ayant fait l’objet des menaces</w:t>
      </w:r>
      <w:r w:rsidR="00253542" w:rsidRPr="000225ED">
        <w:rPr>
          <w:lang w:val="fr-CA"/>
        </w:rPr>
        <w:t xml:space="preserve"> </w:t>
      </w:r>
      <w:r w:rsidR="0033437A" w:rsidRPr="000225ED">
        <w:rPr>
          <w:lang w:val="fr-CA"/>
        </w:rPr>
        <w:t xml:space="preserve">comme le facteur déterminant de l’analyse de l’intention de l’accusé.  La nature des rapports entre l’accusé et la personne ayant fait l’objet des menaces </w:t>
      </w:r>
      <w:r w:rsidR="0033437A" w:rsidRPr="000225ED">
        <w:rPr>
          <w:szCs w:val="24"/>
          <w:lang w:val="fr-CA"/>
        </w:rPr>
        <w:t>font partie des circonstances dans lesquelles s’inscrit l’infraction</w:t>
      </w:r>
      <w:r w:rsidR="00FA2953" w:rsidRPr="000225ED">
        <w:rPr>
          <w:lang w:val="fr-CA"/>
        </w:rPr>
        <w:t xml:space="preserve">.  </w:t>
      </w:r>
      <w:r w:rsidR="0033437A" w:rsidRPr="000225ED">
        <w:rPr>
          <w:szCs w:val="24"/>
          <w:lang w:val="fr-CA"/>
        </w:rPr>
        <w:t xml:space="preserve">Toutefois, le fait que le destinataire d’une menace la prenne ou non au sérieux ne constitue pas un élément de la </w:t>
      </w:r>
      <w:r w:rsidR="0033437A" w:rsidRPr="000225ED">
        <w:rPr>
          <w:i/>
          <w:szCs w:val="24"/>
          <w:lang w:val="fr-CA"/>
        </w:rPr>
        <w:t xml:space="preserve">mens </w:t>
      </w:r>
      <w:proofErr w:type="spellStart"/>
      <w:r w:rsidR="0033437A" w:rsidRPr="000225ED">
        <w:rPr>
          <w:i/>
          <w:szCs w:val="24"/>
          <w:lang w:val="fr-CA"/>
        </w:rPr>
        <w:t>rea</w:t>
      </w:r>
      <w:proofErr w:type="spellEnd"/>
      <w:r w:rsidR="0033437A" w:rsidRPr="000225ED">
        <w:rPr>
          <w:i/>
          <w:szCs w:val="24"/>
          <w:lang w:val="fr-CA"/>
        </w:rPr>
        <w:t xml:space="preserve"> </w:t>
      </w:r>
      <w:r w:rsidR="0033437A" w:rsidRPr="000225ED">
        <w:rPr>
          <w:szCs w:val="24"/>
          <w:lang w:val="fr-CA"/>
        </w:rPr>
        <w:t>requise</w:t>
      </w:r>
      <w:r w:rsidR="00FA2953" w:rsidRPr="000225ED">
        <w:rPr>
          <w:lang w:val="fr-FR"/>
        </w:rPr>
        <w:t>.</w:t>
      </w:r>
    </w:p>
    <w:p w:rsidR="004D7D95" w:rsidRPr="000225ED" w:rsidRDefault="004D7D95" w:rsidP="00C56DD8">
      <w:pPr>
        <w:pStyle w:val="SCCNormalDoubleSpacing"/>
        <w:keepNext/>
        <w:spacing w:after="720" w:line="240" w:lineRule="auto"/>
        <w:rPr>
          <w:b/>
          <w:lang w:val="fr-CA"/>
        </w:rPr>
      </w:pPr>
      <w:r w:rsidRPr="000225ED">
        <w:rPr>
          <w:b/>
          <w:lang w:val="fr-CA"/>
        </w:rPr>
        <w:t>Jurisprudence</w:t>
      </w:r>
    </w:p>
    <w:p w:rsidR="00BB43EF" w:rsidRPr="000225ED" w:rsidRDefault="00BB43EF" w:rsidP="00C56DD8">
      <w:pPr>
        <w:pStyle w:val="SCCNormalDoubleSpacing"/>
        <w:spacing w:after="480"/>
        <w:rPr>
          <w:lang w:val="fr-CA"/>
        </w:rPr>
      </w:pPr>
      <w:r w:rsidRPr="000225ED">
        <w:rPr>
          <w:lang w:val="fr-CA"/>
        </w:rPr>
        <w:t>Citée par le juge Fish</w:t>
      </w:r>
    </w:p>
    <w:p w:rsidR="004D7D95" w:rsidRPr="000225ED" w:rsidRDefault="004D7D95" w:rsidP="00C56DD8">
      <w:pPr>
        <w:pStyle w:val="SCCNormalDoubleSpacing"/>
        <w:spacing w:after="480"/>
        <w:rPr>
          <w:b/>
          <w:lang w:val="fr-CA"/>
        </w:rPr>
      </w:pPr>
      <w:r w:rsidRPr="000225ED">
        <w:rPr>
          <w:lang w:val="fr-CA"/>
        </w:rPr>
        <w:tab/>
      </w:r>
      <w:r w:rsidR="002D6D0E" w:rsidRPr="000225ED">
        <w:rPr>
          <w:b/>
          <w:lang w:val="fr-CA"/>
        </w:rPr>
        <w:t>A</w:t>
      </w:r>
      <w:proofErr w:type="spellStart"/>
      <w:r w:rsidR="002D6D0E" w:rsidRPr="000225ED">
        <w:rPr>
          <w:b/>
          <w:szCs w:val="24"/>
          <w:lang w:val="fr-FR"/>
        </w:rPr>
        <w:t>rrêts</w:t>
      </w:r>
      <w:proofErr w:type="spellEnd"/>
      <w:r w:rsidR="002D6D0E" w:rsidRPr="000225ED">
        <w:rPr>
          <w:b/>
          <w:szCs w:val="24"/>
          <w:lang w:val="fr-FR"/>
        </w:rPr>
        <w:t xml:space="preserve"> analysés</w:t>
      </w:r>
      <w:r w:rsidR="00992664" w:rsidRPr="000225ED">
        <w:rPr>
          <w:b/>
          <w:lang w:val="fr-CA"/>
        </w:rPr>
        <w:t> :</w:t>
      </w:r>
      <w:r w:rsidRPr="000225ED">
        <w:rPr>
          <w:lang w:val="fr-CA"/>
        </w:rPr>
        <w:t xml:space="preserve"> </w:t>
      </w:r>
      <w:r w:rsidR="00BB43EF" w:rsidRPr="000225ED">
        <w:rPr>
          <w:i/>
          <w:lang w:val="fr-CA"/>
        </w:rPr>
        <w:t xml:space="preserve">R. </w:t>
      </w:r>
      <w:r w:rsidR="007D20D2" w:rsidRPr="000225ED">
        <w:rPr>
          <w:i/>
          <w:lang w:val="fr-CA"/>
        </w:rPr>
        <w:t>c</w:t>
      </w:r>
      <w:r w:rsidR="00BB43EF" w:rsidRPr="000225ED">
        <w:rPr>
          <w:i/>
          <w:lang w:val="fr-CA"/>
        </w:rPr>
        <w:t xml:space="preserve">. </w:t>
      </w:r>
      <w:proofErr w:type="spellStart"/>
      <w:r w:rsidR="00BB43EF" w:rsidRPr="000225ED">
        <w:rPr>
          <w:i/>
          <w:lang w:val="fr-CA"/>
        </w:rPr>
        <w:t>Clemente</w:t>
      </w:r>
      <w:proofErr w:type="spellEnd"/>
      <w:r w:rsidR="00BB43EF" w:rsidRPr="000225ED">
        <w:rPr>
          <w:lang w:val="fr-CA"/>
        </w:rPr>
        <w:t xml:space="preserve">, [1994] 2 </w:t>
      </w:r>
      <w:r w:rsidR="007D20D2" w:rsidRPr="000225ED">
        <w:rPr>
          <w:lang w:val="fr-CA"/>
        </w:rPr>
        <w:t>R.C.</w:t>
      </w:r>
      <w:r w:rsidR="00BB43EF" w:rsidRPr="000225ED">
        <w:rPr>
          <w:lang w:val="fr-CA"/>
        </w:rPr>
        <w:t xml:space="preserve">S. 758; </w:t>
      </w:r>
      <w:r w:rsidR="00BB43EF" w:rsidRPr="000225ED">
        <w:rPr>
          <w:i/>
          <w:lang w:val="fr-CA"/>
        </w:rPr>
        <w:t xml:space="preserve">R. </w:t>
      </w:r>
      <w:r w:rsidR="007D20D2" w:rsidRPr="000225ED">
        <w:rPr>
          <w:i/>
          <w:lang w:val="fr-CA"/>
        </w:rPr>
        <w:t>c</w:t>
      </w:r>
      <w:r w:rsidR="00BB43EF" w:rsidRPr="000225ED">
        <w:rPr>
          <w:i/>
          <w:lang w:val="fr-CA"/>
        </w:rPr>
        <w:t xml:space="preserve">. </w:t>
      </w:r>
      <w:proofErr w:type="spellStart"/>
      <w:r w:rsidR="00BB43EF" w:rsidRPr="000225ED">
        <w:rPr>
          <w:i/>
          <w:lang w:val="fr-CA"/>
        </w:rPr>
        <w:t>McCraw</w:t>
      </w:r>
      <w:proofErr w:type="spellEnd"/>
      <w:r w:rsidR="00BB43EF" w:rsidRPr="000225ED">
        <w:rPr>
          <w:lang w:val="fr-CA"/>
        </w:rPr>
        <w:t xml:space="preserve">, [1991] 3 </w:t>
      </w:r>
      <w:r w:rsidR="007D20D2" w:rsidRPr="000225ED">
        <w:rPr>
          <w:lang w:val="fr-CA"/>
        </w:rPr>
        <w:t>R.C.</w:t>
      </w:r>
      <w:r w:rsidR="00BB43EF" w:rsidRPr="000225ED">
        <w:rPr>
          <w:lang w:val="fr-CA"/>
        </w:rPr>
        <w:t>S. 72.</w:t>
      </w:r>
    </w:p>
    <w:p w:rsidR="00BB43EF" w:rsidRPr="000225ED" w:rsidRDefault="00BB43EF" w:rsidP="00C56DD8">
      <w:pPr>
        <w:pStyle w:val="SCCNormalDoubleSpacing"/>
        <w:spacing w:after="720" w:line="240" w:lineRule="auto"/>
        <w:rPr>
          <w:lang w:val="fr-CA"/>
        </w:rPr>
      </w:pPr>
      <w:r w:rsidRPr="000225ED">
        <w:rPr>
          <w:lang w:val="fr-CA"/>
        </w:rPr>
        <w:t xml:space="preserve">Citée par le juge </w:t>
      </w:r>
      <w:proofErr w:type="spellStart"/>
      <w:r w:rsidRPr="000225ED">
        <w:rPr>
          <w:lang w:val="fr-CA"/>
        </w:rPr>
        <w:t>Rothstein</w:t>
      </w:r>
      <w:proofErr w:type="spellEnd"/>
      <w:r w:rsidRPr="000225ED">
        <w:rPr>
          <w:lang w:val="fr-CA"/>
        </w:rPr>
        <w:t xml:space="preserve"> (dissident)</w:t>
      </w:r>
    </w:p>
    <w:p w:rsidR="00BB43EF" w:rsidRPr="000225ED" w:rsidRDefault="00BB43EF" w:rsidP="00C56DD8">
      <w:pPr>
        <w:pStyle w:val="SCCNormalDoubleSpacing"/>
        <w:spacing w:after="480"/>
        <w:rPr>
          <w:lang w:val="fr-CA"/>
        </w:rPr>
      </w:pPr>
      <w:r w:rsidRPr="000225ED">
        <w:rPr>
          <w:lang w:val="fr-CA"/>
        </w:rPr>
        <w:tab/>
      </w:r>
      <w:r w:rsidR="007D20D2" w:rsidRPr="000225ED">
        <w:rPr>
          <w:i/>
          <w:lang w:val="fr-CA"/>
        </w:rPr>
        <w:t xml:space="preserve">R. c. </w:t>
      </w:r>
      <w:proofErr w:type="spellStart"/>
      <w:r w:rsidR="007D20D2" w:rsidRPr="000225ED">
        <w:rPr>
          <w:i/>
          <w:lang w:val="fr-CA"/>
        </w:rPr>
        <w:t>Clemente</w:t>
      </w:r>
      <w:proofErr w:type="spellEnd"/>
      <w:r w:rsidR="007D20D2" w:rsidRPr="000225ED">
        <w:rPr>
          <w:lang w:val="fr-CA"/>
        </w:rPr>
        <w:t xml:space="preserve">, [1994] 2 R.C.S. 758; </w:t>
      </w:r>
      <w:r w:rsidR="007D20D2" w:rsidRPr="000225ED">
        <w:rPr>
          <w:i/>
          <w:lang w:val="fr-CA"/>
        </w:rPr>
        <w:t xml:space="preserve">R. c. </w:t>
      </w:r>
      <w:proofErr w:type="spellStart"/>
      <w:r w:rsidR="007D20D2" w:rsidRPr="000225ED">
        <w:rPr>
          <w:i/>
          <w:lang w:val="fr-CA"/>
        </w:rPr>
        <w:t>McCraw</w:t>
      </w:r>
      <w:proofErr w:type="spellEnd"/>
      <w:r w:rsidR="007D20D2" w:rsidRPr="000225ED">
        <w:rPr>
          <w:lang w:val="fr-CA"/>
        </w:rPr>
        <w:t>, [1991] 3 R.C.S. 72</w:t>
      </w:r>
      <w:r w:rsidRPr="000225ED">
        <w:rPr>
          <w:lang w:val="fr-CA"/>
        </w:rPr>
        <w:t xml:space="preserve">; </w:t>
      </w:r>
      <w:r w:rsidRPr="000225ED">
        <w:rPr>
          <w:i/>
          <w:lang w:val="fr-CA"/>
        </w:rPr>
        <w:t xml:space="preserve">R. </w:t>
      </w:r>
      <w:r w:rsidR="007D20D2" w:rsidRPr="000225ED">
        <w:rPr>
          <w:i/>
          <w:lang w:val="fr-CA"/>
        </w:rPr>
        <w:t>c</w:t>
      </w:r>
      <w:r w:rsidRPr="000225ED">
        <w:rPr>
          <w:i/>
          <w:lang w:val="fr-CA"/>
        </w:rPr>
        <w:t>. C.L.Y.</w:t>
      </w:r>
      <w:r w:rsidRPr="000225ED">
        <w:rPr>
          <w:lang w:val="fr-CA"/>
        </w:rPr>
        <w:t xml:space="preserve">, 2008 </w:t>
      </w:r>
      <w:r w:rsidR="007D20D2" w:rsidRPr="000225ED">
        <w:rPr>
          <w:lang w:val="fr-CA"/>
        </w:rPr>
        <w:t>C</w:t>
      </w:r>
      <w:r w:rsidRPr="000225ED">
        <w:rPr>
          <w:lang w:val="fr-CA"/>
        </w:rPr>
        <w:t xml:space="preserve">SC 2, [2008] 1 </w:t>
      </w:r>
      <w:r w:rsidR="007D20D2" w:rsidRPr="000225ED">
        <w:rPr>
          <w:lang w:val="fr-CA"/>
        </w:rPr>
        <w:t>R.C.</w:t>
      </w:r>
      <w:r w:rsidRPr="000225ED">
        <w:rPr>
          <w:lang w:val="fr-CA"/>
        </w:rPr>
        <w:t xml:space="preserve">S. 5; </w:t>
      </w:r>
      <w:r w:rsidRPr="000225ED">
        <w:rPr>
          <w:i/>
          <w:lang w:val="fr-CA"/>
        </w:rPr>
        <w:t xml:space="preserve">R. </w:t>
      </w:r>
      <w:r w:rsidR="007D20D2" w:rsidRPr="000225ED">
        <w:rPr>
          <w:i/>
          <w:lang w:val="fr-CA"/>
        </w:rPr>
        <w:t>c</w:t>
      </w:r>
      <w:r w:rsidRPr="000225ED">
        <w:rPr>
          <w:i/>
          <w:lang w:val="fr-CA"/>
        </w:rPr>
        <w:t xml:space="preserve">. </w:t>
      </w:r>
      <w:proofErr w:type="spellStart"/>
      <w:r w:rsidRPr="000225ED">
        <w:rPr>
          <w:i/>
          <w:lang w:val="fr-CA"/>
        </w:rPr>
        <w:t>Morrissey</w:t>
      </w:r>
      <w:proofErr w:type="spellEnd"/>
      <w:r w:rsidRPr="000225ED">
        <w:rPr>
          <w:lang w:val="fr-CA"/>
        </w:rPr>
        <w:t xml:space="preserve"> (1995), 97 C.C.C. (3d) 193.</w:t>
      </w:r>
    </w:p>
    <w:p w:rsidR="004D7D95" w:rsidRPr="000225ED" w:rsidRDefault="004D7D95" w:rsidP="00C56DD8">
      <w:pPr>
        <w:pStyle w:val="SCCNormalDoubleSpacing"/>
        <w:keepNext/>
        <w:spacing w:after="720" w:line="240" w:lineRule="auto"/>
        <w:rPr>
          <w:b/>
          <w:lang w:val="fr-CA"/>
        </w:rPr>
      </w:pPr>
      <w:r w:rsidRPr="000225ED">
        <w:rPr>
          <w:b/>
          <w:lang w:val="fr-CA"/>
        </w:rPr>
        <w:t>Lois et règlements cités</w:t>
      </w:r>
    </w:p>
    <w:p w:rsidR="0055642C" w:rsidRPr="000225ED" w:rsidRDefault="0055642C" w:rsidP="00C56DD8">
      <w:pPr>
        <w:pStyle w:val="SCCNormalDoubleSpacing"/>
        <w:spacing w:after="720" w:line="240" w:lineRule="auto"/>
        <w:ind w:left="540" w:hanging="540"/>
        <w:rPr>
          <w:lang w:val="fr-CA"/>
        </w:rPr>
      </w:pPr>
      <w:r w:rsidRPr="000225ED">
        <w:rPr>
          <w:i/>
          <w:lang w:val="fr-CA"/>
        </w:rPr>
        <w:t>Code criminel</w:t>
      </w:r>
      <w:r w:rsidRPr="000225ED">
        <w:rPr>
          <w:lang w:val="fr-CA"/>
        </w:rPr>
        <w:t xml:space="preserve">, L.R.C. 1985, </w:t>
      </w:r>
      <w:r w:rsidR="00992664" w:rsidRPr="000225ED">
        <w:rPr>
          <w:lang w:val="fr-CA"/>
        </w:rPr>
        <w:t>ch. </w:t>
      </w:r>
      <w:r w:rsidRPr="000225ED">
        <w:rPr>
          <w:lang w:val="fr-CA"/>
        </w:rPr>
        <w:t>C</w:t>
      </w:r>
      <w:r w:rsidR="00992664" w:rsidRPr="000225ED">
        <w:rPr>
          <w:lang w:val="fr-CA"/>
        </w:rPr>
        <w:noBreakHyphen/>
      </w:r>
      <w:r w:rsidRPr="000225ED">
        <w:rPr>
          <w:lang w:val="fr-CA"/>
        </w:rPr>
        <w:t xml:space="preserve">46, </w:t>
      </w:r>
      <w:r w:rsidR="00992664" w:rsidRPr="000225ED">
        <w:rPr>
          <w:lang w:val="fr-CA"/>
        </w:rPr>
        <w:t>art. </w:t>
      </w:r>
      <w:r w:rsidRPr="000225ED">
        <w:rPr>
          <w:lang w:val="fr-CA"/>
        </w:rPr>
        <w:t>264.1(1), 693(1)</w:t>
      </w:r>
      <w:r w:rsidRPr="000225ED">
        <w:rPr>
          <w:i/>
          <w:lang w:val="fr-CA"/>
        </w:rPr>
        <w:t>a</w:t>
      </w:r>
      <w:r w:rsidRPr="000225ED">
        <w:rPr>
          <w:lang w:val="fr-CA"/>
        </w:rPr>
        <w:t>).</w:t>
      </w:r>
    </w:p>
    <w:p w:rsidR="004D7D95" w:rsidRPr="000225ED" w:rsidRDefault="004D7D95" w:rsidP="00C56DD8">
      <w:pPr>
        <w:pStyle w:val="SCCNormalDoubleSpacing"/>
        <w:spacing w:after="480"/>
        <w:rPr>
          <w:lang w:val="fr-CA"/>
        </w:rPr>
      </w:pPr>
      <w:r w:rsidRPr="000225ED">
        <w:rPr>
          <w:lang w:val="fr-CA"/>
        </w:rPr>
        <w:lastRenderedPageBreak/>
        <w:tab/>
        <w:t>POURVOI contre un arrêt de la Cour d’appel du Manitoba</w:t>
      </w:r>
      <w:r w:rsidR="00725DFC" w:rsidRPr="000225ED">
        <w:rPr>
          <w:lang w:val="fr-CA"/>
        </w:rPr>
        <w:t xml:space="preserve"> (les juges </w:t>
      </w:r>
      <w:proofErr w:type="spellStart"/>
      <w:r w:rsidR="00725DFC" w:rsidRPr="000225ED">
        <w:rPr>
          <w:lang w:val="fr-CA"/>
        </w:rPr>
        <w:t>Steel</w:t>
      </w:r>
      <w:proofErr w:type="spellEnd"/>
      <w:r w:rsidR="00725DFC" w:rsidRPr="000225ED">
        <w:rPr>
          <w:lang w:val="fr-CA"/>
        </w:rPr>
        <w:t xml:space="preserve">, </w:t>
      </w:r>
      <w:proofErr w:type="spellStart"/>
      <w:r w:rsidR="00725DFC" w:rsidRPr="000225ED">
        <w:rPr>
          <w:lang w:val="fr-CA"/>
        </w:rPr>
        <w:t>Beard</w:t>
      </w:r>
      <w:proofErr w:type="spellEnd"/>
      <w:r w:rsidR="00725DFC" w:rsidRPr="000225ED">
        <w:rPr>
          <w:lang w:val="fr-CA"/>
        </w:rPr>
        <w:t xml:space="preserve"> et </w:t>
      </w:r>
      <w:proofErr w:type="spellStart"/>
      <w:r w:rsidR="00725DFC" w:rsidRPr="000225ED">
        <w:rPr>
          <w:lang w:val="fr-CA"/>
        </w:rPr>
        <w:t>MacInnes</w:t>
      </w:r>
      <w:proofErr w:type="spellEnd"/>
      <w:r w:rsidR="00725DFC" w:rsidRPr="000225ED">
        <w:rPr>
          <w:lang w:val="fr-CA"/>
        </w:rPr>
        <w:t xml:space="preserve">), 2012 MBCA 6, 275 Man. R. (2d) 144, </w:t>
      </w:r>
      <w:r w:rsidR="001E628F" w:rsidRPr="000225ED">
        <w:rPr>
          <w:lang w:val="fr-CA"/>
        </w:rPr>
        <w:t>538 W.A.C. 144,</w:t>
      </w:r>
      <w:r w:rsidR="00806565">
        <w:rPr>
          <w:lang w:val="fr-CA"/>
        </w:rPr>
        <w:t xml:space="preserve"> </w:t>
      </w:r>
      <w:r w:rsidR="00725DFC" w:rsidRPr="000225ED">
        <w:rPr>
          <w:lang w:val="fr-CA"/>
        </w:rPr>
        <w:t xml:space="preserve">280 C.C.C. (3d) 481, [2012] 5 W.W.R. 265, [2012] M.J. </w:t>
      </w:r>
      <w:r w:rsidR="00992664" w:rsidRPr="000225ED">
        <w:rPr>
          <w:lang w:val="fr-CA"/>
        </w:rPr>
        <w:t>No. </w:t>
      </w:r>
      <w:r w:rsidR="00725DFC" w:rsidRPr="000225ED">
        <w:rPr>
          <w:lang w:val="fr-CA"/>
        </w:rPr>
        <w:t xml:space="preserve">28 (QL), 2012 </w:t>
      </w:r>
      <w:proofErr w:type="spellStart"/>
      <w:r w:rsidR="00725DFC" w:rsidRPr="000225ED">
        <w:rPr>
          <w:lang w:val="fr-CA"/>
        </w:rPr>
        <w:t>CarswellMan</w:t>
      </w:r>
      <w:proofErr w:type="spellEnd"/>
      <w:r w:rsidR="00725DFC" w:rsidRPr="000225ED">
        <w:rPr>
          <w:lang w:val="fr-CA"/>
        </w:rPr>
        <w:t xml:space="preserve"> 25, qui a confirmé l’acquittement de l’intimé.</w:t>
      </w:r>
      <w:r w:rsidR="0055642C" w:rsidRPr="000225ED">
        <w:rPr>
          <w:lang w:val="fr-CA"/>
        </w:rPr>
        <w:t xml:space="preserve">  Pourvoi rejeté, la juge en chef McLachlin et les juges Abella et </w:t>
      </w:r>
      <w:proofErr w:type="spellStart"/>
      <w:r w:rsidR="0055642C" w:rsidRPr="000225ED">
        <w:rPr>
          <w:lang w:val="fr-CA"/>
        </w:rPr>
        <w:t>Rothstein</w:t>
      </w:r>
      <w:proofErr w:type="spellEnd"/>
      <w:r w:rsidR="0055642C" w:rsidRPr="000225ED">
        <w:rPr>
          <w:lang w:val="fr-CA"/>
        </w:rPr>
        <w:t xml:space="preserve"> sont dissidents.</w:t>
      </w:r>
    </w:p>
    <w:p w:rsidR="003F485A" w:rsidRPr="000225ED" w:rsidRDefault="00F04E79" w:rsidP="00C56DD8">
      <w:pPr>
        <w:pStyle w:val="SCCNormalDoubleSpacing"/>
        <w:spacing w:after="480"/>
        <w:rPr>
          <w:lang w:val="fr-CA"/>
        </w:rPr>
      </w:pPr>
      <w:r w:rsidRPr="000225ED">
        <w:rPr>
          <w:i/>
          <w:lang w:val="fr-CA"/>
        </w:rPr>
        <w:tab/>
      </w:r>
      <w:r w:rsidR="0055642C" w:rsidRPr="000225ED">
        <w:rPr>
          <w:i/>
          <w:lang w:val="fr-CA"/>
        </w:rPr>
        <w:t xml:space="preserve">Rekha </w:t>
      </w:r>
      <w:proofErr w:type="spellStart"/>
      <w:r w:rsidR="0055642C" w:rsidRPr="000225ED">
        <w:rPr>
          <w:i/>
          <w:lang w:val="fr-CA"/>
        </w:rPr>
        <w:t>Malaviya</w:t>
      </w:r>
      <w:proofErr w:type="spellEnd"/>
      <w:r w:rsidR="0055642C" w:rsidRPr="001E628F">
        <w:rPr>
          <w:lang w:val="fr-CA"/>
        </w:rPr>
        <w:t xml:space="preserve"> et</w:t>
      </w:r>
      <w:r w:rsidR="0055642C" w:rsidRPr="000225ED">
        <w:rPr>
          <w:i/>
          <w:lang w:val="fr-CA"/>
        </w:rPr>
        <w:t xml:space="preserve"> </w:t>
      </w:r>
      <w:proofErr w:type="spellStart"/>
      <w:r w:rsidR="0055642C" w:rsidRPr="000225ED">
        <w:rPr>
          <w:i/>
          <w:lang w:val="fr-CA"/>
        </w:rPr>
        <w:t>Amiram</w:t>
      </w:r>
      <w:proofErr w:type="spellEnd"/>
      <w:r w:rsidR="0055642C" w:rsidRPr="000225ED">
        <w:rPr>
          <w:i/>
          <w:lang w:val="fr-CA"/>
        </w:rPr>
        <w:t xml:space="preserve"> </w:t>
      </w:r>
      <w:proofErr w:type="spellStart"/>
      <w:r w:rsidR="0055642C" w:rsidRPr="000225ED">
        <w:rPr>
          <w:i/>
          <w:lang w:val="fr-CA"/>
        </w:rPr>
        <w:t>Kotler</w:t>
      </w:r>
      <w:proofErr w:type="spellEnd"/>
      <w:r w:rsidRPr="000225ED">
        <w:rPr>
          <w:lang w:val="fr-CA"/>
        </w:rPr>
        <w:t>, pour l</w:t>
      </w:r>
      <w:r w:rsidR="0055642C" w:rsidRPr="000225ED">
        <w:rPr>
          <w:lang w:val="fr-CA"/>
        </w:rPr>
        <w:t>’</w:t>
      </w:r>
      <w:r w:rsidRPr="000225ED">
        <w:rPr>
          <w:lang w:val="fr-CA"/>
        </w:rPr>
        <w:t>appelante.</w:t>
      </w:r>
    </w:p>
    <w:p w:rsidR="003F485A" w:rsidRDefault="00F04E79" w:rsidP="00C56DD8">
      <w:pPr>
        <w:pStyle w:val="SCCNormalDoubleSpacing"/>
        <w:spacing w:after="480"/>
        <w:rPr>
          <w:lang w:val="fr-CA"/>
        </w:rPr>
      </w:pPr>
      <w:r w:rsidRPr="000225ED">
        <w:rPr>
          <w:i/>
          <w:lang w:val="fr-CA"/>
        </w:rPr>
        <w:tab/>
      </w:r>
      <w:r w:rsidR="00A733AC" w:rsidRPr="000225ED">
        <w:rPr>
          <w:i/>
          <w:lang w:val="fr-CA"/>
        </w:rPr>
        <w:t>Michael </w:t>
      </w:r>
      <w:r w:rsidR="00253542" w:rsidRPr="000225ED">
        <w:rPr>
          <w:i/>
          <w:lang w:val="fr-CA"/>
        </w:rPr>
        <w:t xml:space="preserve">P. </w:t>
      </w:r>
      <w:r w:rsidR="0055642C" w:rsidRPr="000225ED">
        <w:rPr>
          <w:i/>
          <w:lang w:val="fr-CA"/>
        </w:rPr>
        <w:t>Cook</w:t>
      </w:r>
      <w:r w:rsidR="0055642C" w:rsidRPr="001E628F">
        <w:rPr>
          <w:lang w:val="fr-CA"/>
        </w:rPr>
        <w:t xml:space="preserve"> et</w:t>
      </w:r>
      <w:r w:rsidR="0055642C" w:rsidRPr="000225ED">
        <w:rPr>
          <w:i/>
          <w:lang w:val="fr-CA"/>
        </w:rPr>
        <w:t xml:space="preserve"> </w:t>
      </w:r>
      <w:proofErr w:type="spellStart"/>
      <w:r w:rsidR="0055642C" w:rsidRPr="000225ED">
        <w:rPr>
          <w:i/>
          <w:lang w:val="fr-CA"/>
        </w:rPr>
        <w:t>Marie</w:t>
      </w:r>
      <w:r w:rsidR="00992664" w:rsidRPr="000225ED">
        <w:rPr>
          <w:i/>
          <w:lang w:val="fr-CA"/>
        </w:rPr>
        <w:noBreakHyphen/>
      </w:r>
      <w:r w:rsidR="0055642C" w:rsidRPr="000225ED">
        <w:rPr>
          <w:i/>
          <w:lang w:val="fr-CA"/>
        </w:rPr>
        <w:t>France</w:t>
      </w:r>
      <w:proofErr w:type="spellEnd"/>
      <w:r w:rsidR="0055642C" w:rsidRPr="000225ED">
        <w:rPr>
          <w:i/>
          <w:lang w:val="fr-CA"/>
        </w:rPr>
        <w:t xml:space="preserve"> Major</w:t>
      </w:r>
      <w:r w:rsidRPr="000225ED">
        <w:rPr>
          <w:lang w:val="fr-CA"/>
        </w:rPr>
        <w:t>, pour l</w:t>
      </w:r>
      <w:r w:rsidR="0055642C" w:rsidRPr="000225ED">
        <w:rPr>
          <w:lang w:val="fr-CA"/>
        </w:rPr>
        <w:t>’</w:t>
      </w:r>
      <w:r w:rsidRPr="000225ED">
        <w:rPr>
          <w:lang w:val="fr-CA"/>
        </w:rPr>
        <w:t>intimé.</w:t>
      </w:r>
    </w:p>
    <w:p w:rsidR="001E628F" w:rsidRDefault="001E628F" w:rsidP="00C56DD8">
      <w:pPr>
        <w:pStyle w:val="SCCNormalDoubleSpacing"/>
        <w:spacing w:after="480"/>
        <w:rPr>
          <w:lang w:val="fr-CA"/>
        </w:rPr>
      </w:pPr>
      <w:r>
        <w:rPr>
          <w:lang w:val="fr-CA"/>
        </w:rPr>
        <w:tab/>
        <w:t xml:space="preserve">Version française du jugement des juges Fish, Cromwell, </w:t>
      </w:r>
      <w:proofErr w:type="spellStart"/>
      <w:r>
        <w:rPr>
          <w:lang w:val="fr-CA"/>
        </w:rPr>
        <w:t>Moldaver</w:t>
      </w:r>
      <w:proofErr w:type="spellEnd"/>
      <w:r>
        <w:rPr>
          <w:lang w:val="fr-CA"/>
        </w:rPr>
        <w:t xml:space="preserve"> et Wagner rendu par</w:t>
      </w:r>
    </w:p>
    <w:p w:rsidR="00321581" w:rsidRPr="00867976" w:rsidRDefault="00321581" w:rsidP="00321581">
      <w:pPr>
        <w:pStyle w:val="JudgeJuge"/>
        <w:spacing w:before="240"/>
        <w:rPr>
          <w:lang w:val="fr-CA"/>
        </w:rPr>
      </w:pPr>
      <w:r w:rsidRPr="00867976">
        <w:rPr>
          <w:lang w:val="fr-CA"/>
        </w:rPr>
        <w:tab/>
        <w:t xml:space="preserve">Le juge Fish — </w:t>
      </w:r>
    </w:p>
    <w:p w:rsidR="00321581" w:rsidRPr="00867976" w:rsidRDefault="00321581" w:rsidP="00321581">
      <w:pPr>
        <w:pStyle w:val="TitleTitre-AltT"/>
        <w:jc w:val="center"/>
        <w:rPr>
          <w:rFonts w:cs="Times New Roman"/>
          <w:lang w:val="fr-CA"/>
        </w:rPr>
      </w:pPr>
      <w:r w:rsidRPr="00867976">
        <w:rPr>
          <w:rFonts w:cs="Times New Roman"/>
          <w:lang w:val="fr-CA"/>
        </w:rPr>
        <w:t>I</w:t>
      </w:r>
    </w:p>
    <w:p w:rsidR="00321581" w:rsidRPr="00867976" w:rsidRDefault="00321581" w:rsidP="00321581">
      <w:pPr>
        <w:pStyle w:val="ParaNoNdepar-AltN"/>
        <w:rPr>
          <w:rFonts w:cs="Times New Roman"/>
          <w:lang w:val="fr-CA"/>
        </w:rPr>
      </w:pPr>
      <w:r w:rsidRPr="00867976">
        <w:rPr>
          <w:rFonts w:cs="Times New Roman"/>
          <w:lang w:val="fr-CA"/>
        </w:rPr>
        <w:t>Il s’agit d’un appel interjeté de plein droit, en vertu de l’al. 693(1)</w:t>
      </w:r>
      <w:r w:rsidRPr="00867976">
        <w:rPr>
          <w:rFonts w:cs="Times New Roman"/>
          <w:i/>
          <w:lang w:val="fr-CA"/>
        </w:rPr>
        <w:t>a</w:t>
      </w:r>
      <w:r w:rsidRPr="00867976">
        <w:rPr>
          <w:rFonts w:cs="Times New Roman"/>
          <w:lang w:val="fr-CA"/>
        </w:rPr>
        <w:t xml:space="preserve">) du </w:t>
      </w:r>
      <w:r w:rsidRPr="00867976">
        <w:rPr>
          <w:rFonts w:cs="Times New Roman"/>
          <w:i/>
          <w:lang w:val="fr-CA"/>
        </w:rPr>
        <w:t>Code criminel</w:t>
      </w:r>
      <w:r w:rsidRPr="00867976">
        <w:rPr>
          <w:rFonts w:cs="Times New Roman"/>
          <w:lang w:val="fr-CA"/>
        </w:rPr>
        <w:t xml:space="preserve">, à l’encontre d’un jugement de la Cour d’appel du Manitoba. </w:t>
      </w:r>
    </w:p>
    <w:p w:rsidR="00321581" w:rsidRPr="00867976" w:rsidRDefault="00321581" w:rsidP="00321581">
      <w:pPr>
        <w:pStyle w:val="ParaNoNdepar-AltN"/>
        <w:rPr>
          <w:rFonts w:cs="Times New Roman"/>
          <w:lang w:val="fr-CA"/>
        </w:rPr>
      </w:pPr>
      <w:r w:rsidRPr="00867976">
        <w:rPr>
          <w:rFonts w:cs="Times New Roman"/>
          <w:lang w:val="fr-CA"/>
        </w:rPr>
        <w:t xml:space="preserve">Aux termes de cette disposition, le procureur général peut interjeter appel devant notre Cour « sur toute question de droit au sujet de laquelle un juge de la cour d’appel est dissident ».  En l’espèce, la question est celle de savoir si, en acquittant l’intimé Kelly Joseph O’Brien, la juge du procès a fait erreur en droit quant à la </w:t>
      </w:r>
      <w:r w:rsidRPr="00867976">
        <w:rPr>
          <w:rFonts w:cs="Times New Roman"/>
          <w:i/>
          <w:lang w:val="fr-CA"/>
        </w:rPr>
        <w:t xml:space="preserve">mens </w:t>
      </w:r>
      <w:proofErr w:type="spellStart"/>
      <w:r w:rsidRPr="00867976">
        <w:rPr>
          <w:rFonts w:cs="Times New Roman"/>
          <w:i/>
          <w:lang w:val="fr-CA"/>
        </w:rPr>
        <w:lastRenderedPageBreak/>
        <w:t>rea</w:t>
      </w:r>
      <w:proofErr w:type="spellEnd"/>
      <w:r w:rsidRPr="00867976">
        <w:rPr>
          <w:rFonts w:cs="Times New Roman"/>
          <w:lang w:val="fr-CA"/>
        </w:rPr>
        <w:t xml:space="preserve"> de l’infraction dont il était accusé.  Tout comme les juges majoritaires de la Cour d’appel, j’estime qu’elle n’a pas commis d’erreur à cet égard (2012 MBCA 6, 275 Man. R. (2d) 144).  </w:t>
      </w:r>
    </w:p>
    <w:p w:rsidR="00321581" w:rsidRPr="00867976" w:rsidRDefault="00321581" w:rsidP="00321581">
      <w:pPr>
        <w:pStyle w:val="ParaNoNdepar-AltN"/>
        <w:rPr>
          <w:rFonts w:cs="Times New Roman"/>
          <w:lang w:val="fr-CA"/>
        </w:rPr>
      </w:pPr>
      <w:r w:rsidRPr="00867976">
        <w:rPr>
          <w:rFonts w:cs="Times New Roman"/>
          <w:lang w:val="fr-CA"/>
        </w:rPr>
        <w:t>Par conséquent, je suis d’avis de rejeter l’appel.</w:t>
      </w:r>
    </w:p>
    <w:p w:rsidR="00321581" w:rsidRPr="00867976" w:rsidRDefault="00321581" w:rsidP="00321581">
      <w:pPr>
        <w:pStyle w:val="TitleTitre-AltT"/>
        <w:jc w:val="center"/>
        <w:rPr>
          <w:rFonts w:cs="Times New Roman"/>
          <w:lang w:val="fr-CA"/>
        </w:rPr>
      </w:pPr>
      <w:r w:rsidRPr="00867976">
        <w:rPr>
          <w:rFonts w:cs="Times New Roman"/>
          <w:lang w:val="fr-CA"/>
        </w:rPr>
        <w:t>II</w:t>
      </w:r>
    </w:p>
    <w:p w:rsidR="00321581" w:rsidRPr="00867976" w:rsidRDefault="00321581" w:rsidP="00321581">
      <w:pPr>
        <w:pStyle w:val="ParaNoNdepar-AltN"/>
        <w:rPr>
          <w:rFonts w:cs="Times New Roman"/>
          <w:lang w:val="fr-CA"/>
        </w:rPr>
      </w:pPr>
      <w:r w:rsidRPr="00867976">
        <w:rPr>
          <w:rFonts w:cs="Times New Roman"/>
          <w:lang w:val="fr-CA"/>
        </w:rPr>
        <w:t>L’intimé a été accusé d’avoir menacé de causer la mort ou des lésions corporelles à une personne, une infraction prévue à l’al. 264.1(1)</w:t>
      </w:r>
      <w:r w:rsidRPr="00867976">
        <w:rPr>
          <w:rFonts w:cs="Times New Roman"/>
          <w:i/>
          <w:lang w:val="fr-CA"/>
        </w:rPr>
        <w:t>a</w:t>
      </w:r>
      <w:r w:rsidRPr="00867976">
        <w:rPr>
          <w:rFonts w:cs="Times New Roman"/>
          <w:lang w:val="fr-CA"/>
        </w:rPr>
        <w:t xml:space="preserve">) du </w:t>
      </w:r>
      <w:r w:rsidRPr="00867976">
        <w:rPr>
          <w:rFonts w:cs="Times New Roman"/>
          <w:i/>
          <w:lang w:val="fr-CA"/>
        </w:rPr>
        <w:t>Code criminel</w:t>
      </w:r>
      <w:r w:rsidRPr="00867976">
        <w:rPr>
          <w:rFonts w:cs="Times New Roman"/>
          <w:lang w:val="fr-CA"/>
        </w:rPr>
        <w:t>, L.R.C. 1985, ch. C</w:t>
      </w:r>
      <w:r w:rsidRPr="00867976">
        <w:rPr>
          <w:rFonts w:cs="Times New Roman"/>
          <w:lang w:val="fr-CA"/>
        </w:rPr>
        <w:noBreakHyphen/>
        <w:t>46.  On lui reprochait également, dans un chef distinct, d’avoir menacé d’endommager les biens de cette personne, en contravention à l’al. 264.1(1)</w:t>
      </w:r>
      <w:r w:rsidRPr="00867976">
        <w:rPr>
          <w:rFonts w:cs="Times New Roman"/>
          <w:i/>
          <w:lang w:val="fr-CA"/>
        </w:rPr>
        <w:t>b</w:t>
      </w:r>
      <w:r w:rsidRPr="00867976">
        <w:rPr>
          <w:rFonts w:cs="Times New Roman"/>
          <w:lang w:val="fr-CA"/>
        </w:rPr>
        <w:t xml:space="preserve">).  </w:t>
      </w:r>
    </w:p>
    <w:p w:rsidR="00321581" w:rsidRPr="00867976" w:rsidRDefault="00321581" w:rsidP="00321581">
      <w:pPr>
        <w:pStyle w:val="ParaNoNdepar-AltN"/>
        <w:rPr>
          <w:rFonts w:cs="Times New Roman"/>
          <w:lang w:val="fr-CA"/>
        </w:rPr>
      </w:pPr>
      <w:r w:rsidRPr="00867976">
        <w:rPr>
          <w:rFonts w:cs="Times New Roman"/>
          <w:lang w:val="fr-CA"/>
        </w:rPr>
        <w:t xml:space="preserve">Dans de brefs motifs prononcés à l’audience, la juge du procès a conclu — à juste titre selon moi — que </w:t>
      </w:r>
      <w:proofErr w:type="gramStart"/>
      <w:r w:rsidRPr="00867976">
        <w:rPr>
          <w:rFonts w:cs="Times New Roman"/>
          <w:lang w:val="fr-CA"/>
        </w:rPr>
        <w:t>l’</w:t>
      </w:r>
      <w:r w:rsidRPr="00867976">
        <w:rPr>
          <w:rFonts w:cs="Times New Roman"/>
          <w:i/>
          <w:lang w:val="fr-CA"/>
        </w:rPr>
        <w:t>actus</w:t>
      </w:r>
      <w:proofErr w:type="gramEnd"/>
      <w:r w:rsidRPr="00867976">
        <w:rPr>
          <w:rFonts w:cs="Times New Roman"/>
          <w:i/>
          <w:lang w:val="fr-CA"/>
        </w:rPr>
        <w:t xml:space="preserve"> </w:t>
      </w:r>
      <w:proofErr w:type="spellStart"/>
      <w:r w:rsidRPr="00867976">
        <w:rPr>
          <w:rFonts w:cs="Times New Roman"/>
          <w:i/>
          <w:lang w:val="fr-CA"/>
        </w:rPr>
        <w:t>reus</w:t>
      </w:r>
      <w:proofErr w:type="spellEnd"/>
      <w:r w:rsidRPr="00867976">
        <w:rPr>
          <w:rFonts w:cs="Times New Roman"/>
          <w:lang w:val="fr-CA"/>
        </w:rPr>
        <w:t xml:space="preserve"> de l’infraction créée par l’al. 264.1(1)</w:t>
      </w:r>
      <w:r w:rsidRPr="00867976">
        <w:rPr>
          <w:rFonts w:cs="Times New Roman"/>
          <w:i/>
          <w:lang w:val="fr-CA"/>
        </w:rPr>
        <w:t>a</w:t>
      </w:r>
      <w:r w:rsidRPr="00867976">
        <w:rPr>
          <w:rFonts w:cs="Times New Roman"/>
          <w:lang w:val="fr-CA"/>
        </w:rPr>
        <w:t>) consiste dans [</w:t>
      </w:r>
      <w:r w:rsidRPr="00867976">
        <w:rPr>
          <w:rFonts w:cs="Times New Roman"/>
          <w:smallCaps/>
          <w:lang w:val="fr-CA"/>
        </w:rPr>
        <w:t>traduction</w:t>
      </w:r>
      <w:r w:rsidRPr="00867976">
        <w:rPr>
          <w:rFonts w:cs="Times New Roman"/>
          <w:lang w:val="fr-CA"/>
        </w:rPr>
        <w:t xml:space="preserve">] « le fait de proférer ou de prononcer les menaces de mort ou de lésions corporelles graves ».  Et elle a défini ainsi — également à juste titre — la </w:t>
      </w:r>
      <w:r w:rsidRPr="00867976">
        <w:rPr>
          <w:rFonts w:cs="Times New Roman"/>
          <w:i/>
          <w:lang w:val="fr-CA"/>
        </w:rPr>
        <w:t xml:space="preserve">mens </w:t>
      </w:r>
      <w:proofErr w:type="spellStart"/>
      <w:r w:rsidRPr="00867976">
        <w:rPr>
          <w:rFonts w:cs="Times New Roman"/>
          <w:i/>
          <w:lang w:val="fr-CA"/>
        </w:rPr>
        <w:t>rea</w:t>
      </w:r>
      <w:proofErr w:type="spellEnd"/>
      <w:r w:rsidRPr="00867976">
        <w:rPr>
          <w:rFonts w:cs="Times New Roman"/>
          <w:lang w:val="fr-CA"/>
        </w:rPr>
        <w:t xml:space="preserve"> de l’infraction : « les paroles visent [à transmettre] une menace.  Autrement dit, elles visent à intimider ».</w:t>
      </w:r>
    </w:p>
    <w:p w:rsidR="00321581" w:rsidRPr="00867976" w:rsidRDefault="00321581" w:rsidP="00321581">
      <w:pPr>
        <w:pStyle w:val="ParaNoNdepar-AltN"/>
        <w:rPr>
          <w:rFonts w:cs="Times New Roman"/>
          <w:lang w:val="fr-CA"/>
        </w:rPr>
      </w:pPr>
      <w:r w:rsidRPr="00867976">
        <w:rPr>
          <w:rFonts w:cs="Times New Roman"/>
          <w:lang w:val="fr-CA"/>
        </w:rPr>
        <w:t>Cette interprétation des éléments essentiels de l’infraction prévue à l’al. 264.1(1)</w:t>
      </w:r>
      <w:r w:rsidRPr="00867976">
        <w:rPr>
          <w:rFonts w:cs="Times New Roman"/>
          <w:i/>
          <w:lang w:val="fr-CA"/>
        </w:rPr>
        <w:t>a</w:t>
      </w:r>
      <w:r w:rsidRPr="00867976">
        <w:rPr>
          <w:rFonts w:cs="Times New Roman"/>
          <w:lang w:val="fr-CA"/>
        </w:rPr>
        <w:t xml:space="preserve">) est tout à fait conforme aux arrêts pertinents de notre Cour. </w:t>
      </w:r>
    </w:p>
    <w:p w:rsidR="00321581" w:rsidRPr="00867976" w:rsidRDefault="00321581" w:rsidP="00321581">
      <w:pPr>
        <w:pStyle w:val="ParaNoNdepar-AltN"/>
        <w:rPr>
          <w:rFonts w:cs="Times New Roman"/>
          <w:lang w:val="fr-CA"/>
        </w:rPr>
      </w:pPr>
      <w:r w:rsidRPr="00867976">
        <w:rPr>
          <w:rFonts w:cs="Times New Roman"/>
          <w:lang w:val="fr-CA"/>
        </w:rPr>
        <w:lastRenderedPageBreak/>
        <w:t xml:space="preserve">Le juge Cory, qui s’exprimait au nom de la Cour dans l’arrêt </w:t>
      </w:r>
      <w:r w:rsidRPr="00867976">
        <w:rPr>
          <w:rFonts w:cs="Times New Roman"/>
          <w:i/>
          <w:lang w:val="fr-CA"/>
        </w:rPr>
        <w:t xml:space="preserve">R. c. </w:t>
      </w:r>
      <w:proofErr w:type="spellStart"/>
      <w:r w:rsidRPr="00867976">
        <w:rPr>
          <w:rFonts w:cs="Times New Roman"/>
          <w:i/>
          <w:lang w:val="fr-CA"/>
        </w:rPr>
        <w:t>Clemente</w:t>
      </w:r>
      <w:proofErr w:type="spellEnd"/>
      <w:r w:rsidRPr="00867976">
        <w:rPr>
          <w:rFonts w:cs="Times New Roman"/>
          <w:lang w:val="fr-CA"/>
        </w:rPr>
        <w:t>, [1994] 2 R.C.S. 758, a tenu les propos suivants, à la p. 763 :</w:t>
      </w:r>
    </w:p>
    <w:p w:rsidR="00321581" w:rsidRPr="00867976" w:rsidRDefault="00321581" w:rsidP="00321581">
      <w:pPr>
        <w:pStyle w:val="Citation-AltC"/>
        <w:tabs>
          <w:tab w:val="left" w:pos="1620"/>
        </w:tabs>
        <w:ind w:hanging="1166"/>
        <w:rPr>
          <w:i/>
          <w:lang w:val="fr-CA"/>
        </w:rPr>
      </w:pPr>
      <w:r w:rsidRPr="00867976">
        <w:rPr>
          <w:lang w:val="fr-CA"/>
        </w:rPr>
        <w:tab/>
      </w:r>
      <w:r w:rsidRPr="00867976">
        <w:rPr>
          <w:lang w:val="fr-CA"/>
        </w:rPr>
        <w:tab/>
        <w:t xml:space="preserve">Sous le régime de la présente disposition, </w:t>
      </w:r>
      <w:proofErr w:type="gramStart"/>
      <w:r w:rsidRPr="00867976">
        <w:rPr>
          <w:lang w:val="fr-CA"/>
        </w:rPr>
        <w:t>l’</w:t>
      </w:r>
      <w:r w:rsidRPr="00867976">
        <w:rPr>
          <w:i/>
          <w:iCs/>
          <w:lang w:val="fr-CA"/>
        </w:rPr>
        <w:t>actus</w:t>
      </w:r>
      <w:proofErr w:type="gramEnd"/>
      <w:r w:rsidRPr="00867976">
        <w:rPr>
          <w:i/>
          <w:iCs/>
          <w:lang w:val="fr-CA"/>
        </w:rPr>
        <w:t xml:space="preserve"> </w:t>
      </w:r>
      <w:proofErr w:type="spellStart"/>
      <w:r w:rsidRPr="00867976">
        <w:rPr>
          <w:i/>
          <w:iCs/>
          <w:lang w:val="fr-CA"/>
        </w:rPr>
        <w:t>reus</w:t>
      </w:r>
      <w:proofErr w:type="spellEnd"/>
      <w:r w:rsidRPr="00867976">
        <w:rPr>
          <w:lang w:val="fr-CA"/>
        </w:rPr>
        <w:t xml:space="preserve"> de l’infraction est le fait de proférer des menaces de mort ou de blessures graves.  La </w:t>
      </w:r>
      <w:r w:rsidRPr="00867976">
        <w:rPr>
          <w:i/>
          <w:iCs/>
          <w:lang w:val="fr-CA"/>
        </w:rPr>
        <w:t xml:space="preserve">mens </w:t>
      </w:r>
      <w:proofErr w:type="spellStart"/>
      <w:r w:rsidRPr="00867976">
        <w:rPr>
          <w:i/>
          <w:iCs/>
          <w:lang w:val="fr-CA"/>
        </w:rPr>
        <w:t>rea</w:t>
      </w:r>
      <w:proofErr w:type="spellEnd"/>
      <w:r w:rsidRPr="00867976">
        <w:rPr>
          <w:lang w:val="fr-CA"/>
        </w:rPr>
        <w:t xml:space="preserve"> est l’intention de faire en sorte que les paroles prononcées ou les mots écrits soient perçus comme une menace de causer la mort ou des blessures graves, c’est</w:t>
      </w:r>
      <w:r w:rsidRPr="00867976">
        <w:rPr>
          <w:lang w:val="fr-CA"/>
        </w:rPr>
        <w:noBreakHyphen/>
      </w:r>
      <w:proofErr w:type="spellStart"/>
      <w:r w:rsidRPr="00867976">
        <w:rPr>
          <w:lang w:val="fr-CA"/>
        </w:rPr>
        <w:t>à</w:t>
      </w:r>
      <w:r w:rsidRPr="00867976">
        <w:rPr>
          <w:lang w:val="fr-CA"/>
        </w:rPr>
        <w:noBreakHyphen/>
        <w:t>dire</w:t>
      </w:r>
      <w:proofErr w:type="spellEnd"/>
      <w:r w:rsidRPr="00867976">
        <w:rPr>
          <w:lang w:val="fr-CA"/>
        </w:rPr>
        <w:t xml:space="preserve"> comme visant à intimider ou à être pris </w:t>
      </w:r>
      <w:r w:rsidR="00893524">
        <w:rPr>
          <w:lang w:val="fr-CA"/>
        </w:rPr>
        <w:t>au sérieux.  [Soulignement omis.</w:t>
      </w:r>
      <w:r w:rsidRPr="00867976">
        <w:rPr>
          <w:lang w:val="fr-CA"/>
        </w:rPr>
        <w:t>]</w:t>
      </w:r>
    </w:p>
    <w:p w:rsidR="00321581" w:rsidRPr="00867976" w:rsidRDefault="00321581" w:rsidP="00321581">
      <w:pPr>
        <w:pStyle w:val="ContinueParaSuitedupar-AltP"/>
        <w:rPr>
          <w:rFonts w:cs="Times New Roman"/>
          <w:lang w:val="fr-CA"/>
        </w:rPr>
      </w:pPr>
      <w:r w:rsidRPr="00867976">
        <w:rPr>
          <w:rFonts w:cs="Times New Roman"/>
          <w:lang w:val="fr-CA"/>
        </w:rPr>
        <w:t xml:space="preserve">Voir, au même effet, </w:t>
      </w:r>
      <w:r w:rsidRPr="00867976">
        <w:rPr>
          <w:rFonts w:cs="Times New Roman"/>
          <w:i/>
          <w:lang w:val="fr-CA"/>
        </w:rPr>
        <w:t xml:space="preserve">R. c. </w:t>
      </w:r>
      <w:proofErr w:type="spellStart"/>
      <w:r w:rsidRPr="00867976">
        <w:rPr>
          <w:rFonts w:cs="Times New Roman"/>
          <w:i/>
          <w:lang w:val="fr-CA"/>
        </w:rPr>
        <w:t>McCraw</w:t>
      </w:r>
      <w:proofErr w:type="spellEnd"/>
      <w:r w:rsidRPr="00867976">
        <w:rPr>
          <w:rFonts w:cs="Times New Roman"/>
          <w:lang w:val="fr-CA"/>
        </w:rPr>
        <w:t>, [1991] 3 R.C.S. 72, p. 82.</w:t>
      </w:r>
    </w:p>
    <w:p w:rsidR="00321581" w:rsidRPr="00867976" w:rsidRDefault="00321581" w:rsidP="00321581">
      <w:pPr>
        <w:pStyle w:val="ParaNoNdepar-AltN"/>
        <w:rPr>
          <w:rFonts w:cs="Times New Roman"/>
          <w:lang w:val="fr-CA"/>
        </w:rPr>
      </w:pPr>
      <w:r w:rsidRPr="00867976">
        <w:rPr>
          <w:rFonts w:cs="Times New Roman"/>
          <w:lang w:val="fr-CA"/>
        </w:rPr>
        <w:t xml:space="preserve">En outre, avant de rendre jugement, la juge du procès a pris le soin de suspendre l’audience dans le but exprès d’examiner l’arrêt </w:t>
      </w:r>
      <w:proofErr w:type="spellStart"/>
      <w:r w:rsidRPr="00867976">
        <w:rPr>
          <w:rFonts w:cs="Times New Roman"/>
          <w:i/>
          <w:lang w:val="fr-CA"/>
        </w:rPr>
        <w:t>Clemente</w:t>
      </w:r>
      <w:proofErr w:type="spellEnd"/>
      <w:r w:rsidRPr="00867976">
        <w:rPr>
          <w:rFonts w:cs="Times New Roman"/>
          <w:lang w:val="fr-CA"/>
        </w:rPr>
        <w:t xml:space="preserve"> rendu par notre Cour.  Dans ses motifs, comme je l’ai expliqué précédemment, la juge a ensuite exposé son interprétation du droit applicable, interprétation en parfaite conformité avec cette décision.  </w:t>
      </w:r>
    </w:p>
    <w:p w:rsidR="00321581" w:rsidRPr="00867976" w:rsidRDefault="00321581" w:rsidP="00321581">
      <w:pPr>
        <w:pStyle w:val="TitleTitre-AltT"/>
        <w:jc w:val="center"/>
        <w:rPr>
          <w:rFonts w:cs="Times New Roman"/>
          <w:lang w:val="fr-CA"/>
        </w:rPr>
      </w:pPr>
      <w:r w:rsidRPr="00867976">
        <w:rPr>
          <w:rFonts w:cs="Times New Roman"/>
          <w:lang w:val="fr-CA"/>
        </w:rPr>
        <w:t>III</w:t>
      </w:r>
    </w:p>
    <w:p w:rsidR="00321581" w:rsidRPr="00867976" w:rsidRDefault="00321581" w:rsidP="00321581">
      <w:pPr>
        <w:pStyle w:val="ParaNoNdepar-AltN"/>
        <w:rPr>
          <w:rFonts w:cs="Times New Roman"/>
          <w:lang w:val="fr-CA"/>
        </w:rPr>
      </w:pPr>
      <w:r w:rsidRPr="00867976">
        <w:rPr>
          <w:rFonts w:cs="Times New Roman"/>
          <w:lang w:val="fr-CA"/>
        </w:rPr>
        <w:t xml:space="preserve">Contrairement à ce que prétend le ministère public, nulle part dans ses motifs la juge du procès n’a affirmé avoir acquitté l’accusé pour la seule raison que la personne ayant fait l’objet des menaces ne les avait pas prises au sérieux.  </w:t>
      </w:r>
    </w:p>
    <w:p w:rsidR="00321581" w:rsidRPr="00867976" w:rsidRDefault="00321581" w:rsidP="00321581">
      <w:pPr>
        <w:pStyle w:val="ParaNoNdepar-AltN"/>
        <w:rPr>
          <w:rFonts w:cs="Times New Roman"/>
          <w:lang w:val="fr-CA"/>
        </w:rPr>
      </w:pPr>
      <w:r w:rsidRPr="00867976">
        <w:rPr>
          <w:rFonts w:cs="Times New Roman"/>
          <w:lang w:val="fr-CA"/>
        </w:rPr>
        <w:t>Après avoir correctement exposé les principes applicables, la juge du procès a plutôt estimé, à juste titre, qu’elle était tenue [</w:t>
      </w:r>
      <w:r w:rsidRPr="00867976">
        <w:rPr>
          <w:rFonts w:cs="Times New Roman"/>
          <w:smallCaps/>
          <w:lang w:val="fr-CA"/>
        </w:rPr>
        <w:t>traduction</w:t>
      </w:r>
      <w:r w:rsidRPr="00867976">
        <w:rPr>
          <w:rFonts w:cs="Times New Roman"/>
          <w:lang w:val="fr-CA"/>
        </w:rPr>
        <w:t xml:space="preserve">] « d’envisager les mots [prononcés par M. O’Brien] à la lumière du témoignage de [la personne à qui ils </w:t>
      </w:r>
      <w:r w:rsidRPr="00867976">
        <w:rPr>
          <w:rFonts w:cs="Times New Roman"/>
          <w:lang w:val="fr-CA"/>
        </w:rPr>
        <w:lastRenderedPageBreak/>
        <w:t xml:space="preserve">étaient destinés] ».  Ce témoignage était pertinent, et donc admissible pour apprécier le contexte dans lequel les mots s’inscrivaient. </w:t>
      </w:r>
    </w:p>
    <w:p w:rsidR="00321581" w:rsidRPr="00867976" w:rsidRDefault="00321581" w:rsidP="00321581">
      <w:pPr>
        <w:pStyle w:val="ParaNoNdepar-AltN"/>
        <w:rPr>
          <w:rFonts w:cs="Times New Roman"/>
          <w:lang w:val="fr-CA"/>
        </w:rPr>
      </w:pPr>
      <w:r w:rsidRPr="00867976">
        <w:rPr>
          <w:rFonts w:cs="Times New Roman"/>
          <w:lang w:val="fr-CA"/>
        </w:rPr>
        <w:t xml:space="preserve">Comme l’a expliqué le juge Cory dans l’arrêt </w:t>
      </w:r>
      <w:proofErr w:type="spellStart"/>
      <w:r w:rsidRPr="00867976">
        <w:rPr>
          <w:rFonts w:cs="Times New Roman"/>
          <w:i/>
          <w:lang w:val="fr-CA"/>
        </w:rPr>
        <w:t>Clemente</w:t>
      </w:r>
      <w:proofErr w:type="spellEnd"/>
      <w:r w:rsidRPr="00867976">
        <w:rPr>
          <w:rFonts w:cs="Times New Roman"/>
          <w:lang w:val="fr-CA"/>
        </w:rPr>
        <w:t>, p. 762 :</w:t>
      </w:r>
    </w:p>
    <w:p w:rsidR="00321581" w:rsidRPr="00867976" w:rsidRDefault="00893524" w:rsidP="00321581">
      <w:pPr>
        <w:pStyle w:val="Citation-AltC"/>
        <w:ind w:hanging="1166"/>
        <w:rPr>
          <w:lang w:val="fr-CA"/>
        </w:rPr>
      </w:pPr>
      <w:r>
        <w:rPr>
          <w:lang w:val="fr-CA"/>
        </w:rPr>
        <w:tab/>
      </w:r>
      <w:r>
        <w:rPr>
          <w:lang w:val="fr-CA"/>
        </w:rPr>
        <w:tab/>
      </w:r>
      <w:r w:rsidR="00321581" w:rsidRPr="00867976">
        <w:rPr>
          <w:lang w:val="fr-CA"/>
        </w:rPr>
        <w:t>. . . la question de savoir si l’accusé avait l’intention d’intimider ou si les termes qu’il a employés visaient à être pris au sérieux sera habituellement tranchée, en l’absence d’explication de la part de l’accusé, en fonction des mots utilisés, du contexte dans lequel ils s’inscrivent et de la personne à qui ils étaient destinés.</w:t>
      </w:r>
    </w:p>
    <w:p w:rsidR="00321581" w:rsidRPr="00867976" w:rsidRDefault="00321581" w:rsidP="00321581">
      <w:pPr>
        <w:pStyle w:val="ParaNoNdepar-AltN"/>
        <w:rPr>
          <w:rFonts w:cs="Times New Roman"/>
          <w:lang w:val="fr-CA"/>
        </w:rPr>
      </w:pPr>
      <w:r w:rsidRPr="00867976">
        <w:rPr>
          <w:rFonts w:cs="Times New Roman"/>
          <w:lang w:val="fr-CA"/>
        </w:rPr>
        <w:t xml:space="preserve">Manifestement, la juge du procès s’est posé la bonne question.  Elle y a répondu en concluant que la preuve soulevait un doute raisonnable quant à savoir si M. O’Brien avait la </w:t>
      </w:r>
      <w:r w:rsidRPr="00867976">
        <w:rPr>
          <w:rFonts w:cs="Times New Roman"/>
          <w:i/>
          <w:lang w:val="fr-CA"/>
        </w:rPr>
        <w:t xml:space="preserve">mens </w:t>
      </w:r>
      <w:proofErr w:type="spellStart"/>
      <w:r w:rsidRPr="00867976">
        <w:rPr>
          <w:rFonts w:cs="Times New Roman"/>
          <w:i/>
          <w:lang w:val="fr-CA"/>
        </w:rPr>
        <w:t>rea</w:t>
      </w:r>
      <w:proofErr w:type="spellEnd"/>
      <w:r w:rsidRPr="00867976">
        <w:rPr>
          <w:rFonts w:cs="Times New Roman"/>
          <w:lang w:val="fr-CA"/>
        </w:rPr>
        <w:t xml:space="preserve"> nécessaire pour commettre l’infraction reprochée.  Et c’est pour cette raison qu’elle a prononcé son acquittement.  </w:t>
      </w:r>
    </w:p>
    <w:p w:rsidR="00321581" w:rsidRPr="00867976" w:rsidRDefault="00321581" w:rsidP="00321581">
      <w:pPr>
        <w:pStyle w:val="TitleTitre-AltT"/>
        <w:jc w:val="center"/>
        <w:rPr>
          <w:rFonts w:cs="Times New Roman"/>
          <w:lang w:val="fr-CA"/>
        </w:rPr>
      </w:pPr>
      <w:r w:rsidRPr="00867976">
        <w:rPr>
          <w:rFonts w:cs="Times New Roman"/>
          <w:lang w:val="fr-CA"/>
        </w:rPr>
        <w:t>IV</w:t>
      </w:r>
    </w:p>
    <w:p w:rsidR="00321581" w:rsidRPr="00867976" w:rsidRDefault="00321581" w:rsidP="00321581">
      <w:pPr>
        <w:pStyle w:val="ParaNoNdepar-AltN"/>
        <w:rPr>
          <w:rFonts w:cs="Times New Roman"/>
          <w:lang w:val="fr-CA"/>
        </w:rPr>
      </w:pPr>
      <w:r w:rsidRPr="00867976">
        <w:rPr>
          <w:rFonts w:cs="Times New Roman"/>
          <w:lang w:val="fr-CA"/>
        </w:rPr>
        <w:t>À l’instar du ministère public, j’estime qu’il n’est pas essentiel, pour faire la preuve de l’infraction prévue à l’al. 264.1(1)</w:t>
      </w:r>
      <w:r w:rsidRPr="00867976">
        <w:rPr>
          <w:rFonts w:cs="Times New Roman"/>
          <w:i/>
          <w:lang w:val="fr-CA"/>
        </w:rPr>
        <w:t>a</w:t>
      </w:r>
      <w:r w:rsidRPr="00867976">
        <w:rPr>
          <w:rFonts w:cs="Times New Roman"/>
          <w:lang w:val="fr-CA"/>
        </w:rPr>
        <w:t xml:space="preserve">), de démontrer que la personne ayant fait l’objet des menaces proférées par l’accusé s’est sentie intimidée par ces dernières ou les a prises au sérieux.  Il suffit de prouver que l’accusé </w:t>
      </w:r>
      <w:r w:rsidRPr="00867976">
        <w:rPr>
          <w:rFonts w:cs="Times New Roman"/>
          <w:i/>
          <w:lang w:val="fr-CA"/>
        </w:rPr>
        <w:t>avait l’intention qu’elles produisent un tel effet</w:t>
      </w:r>
      <w:r w:rsidRPr="00867976">
        <w:rPr>
          <w:rFonts w:cs="Times New Roman"/>
          <w:lang w:val="fr-CA"/>
        </w:rPr>
        <w:t xml:space="preserve">. </w:t>
      </w:r>
    </w:p>
    <w:p w:rsidR="00321581" w:rsidRPr="00867976" w:rsidRDefault="00321581" w:rsidP="00321581">
      <w:pPr>
        <w:pStyle w:val="ParaNoNdepar-AltN"/>
        <w:rPr>
          <w:rFonts w:cs="Times New Roman"/>
          <w:lang w:val="fr-CA"/>
        </w:rPr>
      </w:pPr>
      <w:r w:rsidRPr="00867976">
        <w:rPr>
          <w:rFonts w:cs="Times New Roman"/>
          <w:lang w:val="fr-CA"/>
        </w:rPr>
        <w:t xml:space="preserve">En l’espèce, la juge du procès a considéré qu’il subsistait un doute raisonnable à cet égard.  Un autre juge aurait pu arriver à une conclusion différente, </w:t>
      </w:r>
      <w:r w:rsidRPr="00867976">
        <w:rPr>
          <w:rFonts w:cs="Times New Roman"/>
          <w:lang w:val="fr-CA"/>
        </w:rPr>
        <w:lastRenderedPageBreak/>
        <w:t>mais je ne suis pas convaincu, pour les motifs exposés précédemment, que la juge du procès a commis l’erreur de droit que lui reproche le ministère public en concluant comme elle l’a fait.</w:t>
      </w:r>
    </w:p>
    <w:p w:rsidR="00321581" w:rsidRPr="00321581" w:rsidRDefault="00321581" w:rsidP="00321581">
      <w:pPr>
        <w:pStyle w:val="ParaNoNdepar-AltN"/>
        <w:rPr>
          <w:szCs w:val="24"/>
          <w:lang w:val="fr-CA"/>
        </w:rPr>
      </w:pPr>
      <w:r w:rsidRPr="00867976">
        <w:rPr>
          <w:rFonts w:cs="Times New Roman"/>
          <w:lang w:val="fr-CA"/>
        </w:rPr>
        <w:t>Par conséquent, je suis d’avis de rejeter l’appel.</w:t>
      </w:r>
    </w:p>
    <w:p w:rsidR="00321581" w:rsidRPr="00C30089" w:rsidRDefault="007F09A9" w:rsidP="007F09A9">
      <w:pPr>
        <w:pStyle w:val="ParaNoNdepar-AltN"/>
        <w:numPr>
          <w:ilvl w:val="0"/>
          <w:numId w:val="0"/>
        </w:numPr>
        <w:tabs>
          <w:tab w:val="left" w:pos="1170"/>
        </w:tabs>
        <w:rPr>
          <w:szCs w:val="24"/>
          <w:lang w:val="fr-CA"/>
        </w:rPr>
      </w:pPr>
      <w:r>
        <w:rPr>
          <w:szCs w:val="24"/>
          <w:lang w:val="fr-CA"/>
        </w:rPr>
        <w:tab/>
        <w:t xml:space="preserve">Version française des motifs de la juge en chef McLachlin et des juges Abella et </w:t>
      </w:r>
      <w:proofErr w:type="spellStart"/>
      <w:r>
        <w:rPr>
          <w:szCs w:val="24"/>
          <w:lang w:val="fr-CA"/>
        </w:rPr>
        <w:t>Rothstein</w:t>
      </w:r>
      <w:proofErr w:type="spellEnd"/>
      <w:r>
        <w:rPr>
          <w:szCs w:val="24"/>
          <w:lang w:val="fr-CA"/>
        </w:rPr>
        <w:t xml:space="preserve"> rendus par</w:t>
      </w:r>
    </w:p>
    <w:p w:rsidR="00321581" w:rsidRPr="00C30089" w:rsidRDefault="00321581" w:rsidP="00321581">
      <w:pPr>
        <w:pStyle w:val="ParaNoNdepar-AltN"/>
        <w:tabs>
          <w:tab w:val="clear" w:pos="1166"/>
          <w:tab w:val="num" w:pos="1152"/>
        </w:tabs>
        <w:rPr>
          <w:rFonts w:cs="Times New Roman"/>
          <w:szCs w:val="24"/>
          <w:lang w:val="fr-CA"/>
        </w:rPr>
      </w:pPr>
      <w:r w:rsidRPr="00321581">
        <w:rPr>
          <w:smallCaps/>
          <w:szCs w:val="24"/>
          <w:lang w:val="fr-CA"/>
        </w:rPr>
        <w:t xml:space="preserve">Le juge </w:t>
      </w:r>
      <w:proofErr w:type="spellStart"/>
      <w:r w:rsidRPr="00321581">
        <w:rPr>
          <w:smallCaps/>
          <w:szCs w:val="24"/>
          <w:lang w:val="fr-CA"/>
        </w:rPr>
        <w:t>Rothstein</w:t>
      </w:r>
      <w:proofErr w:type="spellEnd"/>
      <w:r w:rsidRPr="00C30089">
        <w:rPr>
          <w:szCs w:val="24"/>
          <w:lang w:val="fr-CA"/>
        </w:rPr>
        <w:t xml:space="preserve"> </w:t>
      </w:r>
      <w:r w:rsidR="00C6299D">
        <w:rPr>
          <w:szCs w:val="24"/>
          <w:lang w:val="fr-CA"/>
        </w:rPr>
        <w:t xml:space="preserve">(dissident) </w:t>
      </w:r>
      <w:r w:rsidRPr="00C30089">
        <w:rPr>
          <w:szCs w:val="24"/>
          <w:lang w:val="fr-CA"/>
        </w:rPr>
        <w:t xml:space="preserve">— </w:t>
      </w:r>
      <w:r w:rsidRPr="00C30089">
        <w:rPr>
          <w:rFonts w:cs="Times New Roman"/>
          <w:szCs w:val="24"/>
          <w:lang w:val="fr-CA"/>
        </w:rPr>
        <w:t xml:space="preserve">Kelly O’Brien devait répondre à deux chefs d’accusation selon lesquels il avait proféré des menaces, une infraction prévue au par. 264.1(1) du </w:t>
      </w:r>
      <w:r w:rsidRPr="00C30089">
        <w:rPr>
          <w:rFonts w:cs="Times New Roman"/>
          <w:i/>
          <w:szCs w:val="24"/>
          <w:lang w:val="fr-CA"/>
        </w:rPr>
        <w:t>Code criminel</w:t>
      </w:r>
      <w:r w:rsidRPr="00C30089">
        <w:rPr>
          <w:rFonts w:cs="Times New Roman"/>
          <w:szCs w:val="24"/>
          <w:lang w:val="fr-CA"/>
        </w:rPr>
        <w:t>, L.R.C. 1985, ch. C</w:t>
      </w:r>
      <w:r w:rsidRPr="00C30089">
        <w:rPr>
          <w:rFonts w:cs="Times New Roman"/>
          <w:szCs w:val="24"/>
          <w:lang w:val="fr-CA"/>
        </w:rPr>
        <w:noBreakHyphen/>
        <w:t xml:space="preserve">46, et à deux chefs d’accusation pour défaut de se conformer à une ordonnance de probation. </w:t>
      </w:r>
    </w:p>
    <w:p w:rsidR="00321581" w:rsidRPr="00C30089" w:rsidRDefault="00321581" w:rsidP="00321581">
      <w:pPr>
        <w:pStyle w:val="ParaNoNdepar-AltN"/>
        <w:tabs>
          <w:tab w:val="clear" w:pos="1166"/>
          <w:tab w:val="num" w:pos="1152"/>
        </w:tabs>
        <w:rPr>
          <w:rFonts w:cs="Times New Roman"/>
          <w:szCs w:val="24"/>
          <w:lang w:val="fr-CA"/>
        </w:rPr>
      </w:pPr>
      <w:r w:rsidRPr="00C30089">
        <w:rPr>
          <w:rFonts w:cs="Times New Roman"/>
          <w:szCs w:val="24"/>
          <w:lang w:val="fr-CA"/>
        </w:rPr>
        <w:t xml:space="preserve">Les accusations découlaient des déclarations faites par M. O’Brien à son </w:t>
      </w:r>
      <w:proofErr w:type="spellStart"/>
      <w:r w:rsidRPr="00C30089">
        <w:rPr>
          <w:rFonts w:cs="Times New Roman"/>
          <w:szCs w:val="24"/>
          <w:lang w:val="fr-CA"/>
        </w:rPr>
        <w:t>ex</w:t>
      </w:r>
      <w:r w:rsidRPr="00C30089">
        <w:rPr>
          <w:rFonts w:cs="Times New Roman"/>
          <w:szCs w:val="24"/>
          <w:lang w:val="fr-CA"/>
        </w:rPr>
        <w:noBreakHyphen/>
        <w:t>petite</w:t>
      </w:r>
      <w:proofErr w:type="spellEnd"/>
      <w:r w:rsidRPr="00C30089">
        <w:rPr>
          <w:rFonts w:cs="Times New Roman"/>
          <w:szCs w:val="24"/>
          <w:lang w:val="fr-CA"/>
        </w:rPr>
        <w:t xml:space="preserve"> amie, M</w:t>
      </w:r>
      <w:r w:rsidRPr="00C30089">
        <w:rPr>
          <w:rFonts w:cs="Times New Roman"/>
          <w:szCs w:val="24"/>
          <w:vertAlign w:val="superscript"/>
          <w:lang w:val="fr-CA"/>
        </w:rPr>
        <w:t>me</w:t>
      </w:r>
      <w:r w:rsidRPr="00C30089">
        <w:rPr>
          <w:rFonts w:cs="Times New Roman"/>
          <w:szCs w:val="24"/>
          <w:lang w:val="fr-CA"/>
        </w:rPr>
        <w:t> W, lors d’une conversation téléphonique tenue tandis qu’il était incarcéré.  M</w:t>
      </w:r>
      <w:r w:rsidRPr="00C30089">
        <w:rPr>
          <w:rFonts w:cs="Times New Roman"/>
          <w:szCs w:val="24"/>
          <w:vertAlign w:val="superscript"/>
          <w:lang w:val="fr-CA"/>
        </w:rPr>
        <w:t>me</w:t>
      </w:r>
      <w:r w:rsidRPr="00C30089">
        <w:rPr>
          <w:rFonts w:cs="Times New Roman"/>
          <w:szCs w:val="24"/>
          <w:lang w:val="fr-CA"/>
        </w:rPr>
        <w:t> W, qui attendait un enfant de lui, avait l’intention de se faire avorter, car elle soupçonnait M. O’Brien d’avoir eu une aventure avec une autre femme.  Ce dernier a dit à M</w:t>
      </w:r>
      <w:r w:rsidRPr="00C30089">
        <w:rPr>
          <w:rFonts w:cs="Times New Roman"/>
          <w:szCs w:val="24"/>
          <w:vertAlign w:val="superscript"/>
          <w:lang w:val="fr-CA"/>
        </w:rPr>
        <w:t>me</w:t>
      </w:r>
      <w:r w:rsidRPr="00C30089">
        <w:rPr>
          <w:rFonts w:cs="Times New Roman"/>
          <w:szCs w:val="24"/>
          <w:lang w:val="fr-CA"/>
        </w:rPr>
        <w:t xml:space="preserve"> W qu’il la tuerait si elle se faisait avorter. </w:t>
      </w:r>
    </w:p>
    <w:p w:rsidR="00321581" w:rsidRPr="00C30089" w:rsidRDefault="00321581" w:rsidP="00321581">
      <w:pPr>
        <w:pStyle w:val="ParaNoNdepar-AltN"/>
        <w:tabs>
          <w:tab w:val="clear" w:pos="1166"/>
          <w:tab w:val="num" w:pos="1152"/>
        </w:tabs>
        <w:rPr>
          <w:rFonts w:cs="Times New Roman"/>
          <w:szCs w:val="24"/>
          <w:lang w:val="fr-CA"/>
        </w:rPr>
      </w:pPr>
      <w:r w:rsidRPr="00C30089">
        <w:rPr>
          <w:rFonts w:cs="Times New Roman"/>
          <w:szCs w:val="24"/>
          <w:lang w:val="fr-CA"/>
        </w:rPr>
        <w:t xml:space="preserve">M. O’Brien a reconnu avoir commis les actes qui constituent </w:t>
      </w:r>
      <w:proofErr w:type="gramStart"/>
      <w:r w:rsidRPr="00C30089">
        <w:rPr>
          <w:rFonts w:cs="Times New Roman"/>
          <w:szCs w:val="24"/>
          <w:lang w:val="fr-CA"/>
        </w:rPr>
        <w:t>l’</w:t>
      </w:r>
      <w:r w:rsidRPr="00C30089">
        <w:rPr>
          <w:rFonts w:cs="Times New Roman"/>
          <w:i/>
          <w:szCs w:val="24"/>
          <w:lang w:val="fr-CA"/>
        </w:rPr>
        <w:t>actus</w:t>
      </w:r>
      <w:proofErr w:type="gramEnd"/>
      <w:r w:rsidRPr="00C30089">
        <w:rPr>
          <w:rFonts w:cs="Times New Roman"/>
          <w:i/>
          <w:szCs w:val="24"/>
          <w:lang w:val="fr-CA"/>
        </w:rPr>
        <w:t xml:space="preserve"> </w:t>
      </w:r>
      <w:proofErr w:type="spellStart"/>
      <w:r w:rsidRPr="00C30089">
        <w:rPr>
          <w:rFonts w:cs="Times New Roman"/>
          <w:i/>
          <w:szCs w:val="24"/>
          <w:lang w:val="fr-CA"/>
        </w:rPr>
        <w:t>reus</w:t>
      </w:r>
      <w:proofErr w:type="spellEnd"/>
      <w:r w:rsidRPr="00C30089">
        <w:rPr>
          <w:rFonts w:cs="Times New Roman"/>
          <w:i/>
          <w:szCs w:val="24"/>
          <w:lang w:val="fr-CA"/>
        </w:rPr>
        <w:t xml:space="preserve"> </w:t>
      </w:r>
      <w:r w:rsidRPr="00C30089">
        <w:rPr>
          <w:rFonts w:cs="Times New Roman"/>
          <w:szCs w:val="24"/>
          <w:lang w:val="fr-CA"/>
        </w:rPr>
        <w:t xml:space="preserve">de l’infraction consistant à proférer des menaces, et cette question n’est pas en litige dans le présent pourvoi.  La seule question que la Cour doit trancher est celle de savoir si la juge du procès </w:t>
      </w:r>
      <w:proofErr w:type="gramStart"/>
      <w:r w:rsidRPr="00C30089">
        <w:rPr>
          <w:rFonts w:cs="Times New Roman"/>
          <w:szCs w:val="24"/>
          <w:lang w:val="fr-CA"/>
        </w:rPr>
        <w:t>a</w:t>
      </w:r>
      <w:proofErr w:type="gramEnd"/>
      <w:r w:rsidRPr="00C30089">
        <w:rPr>
          <w:rFonts w:cs="Times New Roman"/>
          <w:szCs w:val="24"/>
          <w:lang w:val="fr-CA"/>
        </w:rPr>
        <w:t xml:space="preserve"> bien analysé la </w:t>
      </w:r>
      <w:r w:rsidRPr="00C30089">
        <w:rPr>
          <w:rFonts w:cs="Times New Roman"/>
          <w:i/>
          <w:szCs w:val="24"/>
          <w:lang w:val="fr-CA"/>
        </w:rPr>
        <w:t xml:space="preserve">mens </w:t>
      </w:r>
      <w:proofErr w:type="spellStart"/>
      <w:r w:rsidRPr="00C30089">
        <w:rPr>
          <w:rFonts w:cs="Times New Roman"/>
          <w:i/>
          <w:szCs w:val="24"/>
          <w:lang w:val="fr-CA"/>
        </w:rPr>
        <w:t>rea</w:t>
      </w:r>
      <w:proofErr w:type="spellEnd"/>
      <w:r w:rsidRPr="00C30089">
        <w:rPr>
          <w:rFonts w:cs="Times New Roman"/>
          <w:szCs w:val="24"/>
          <w:lang w:val="fr-CA"/>
        </w:rPr>
        <w:t xml:space="preserve"> relative à cette infraction. </w:t>
      </w:r>
    </w:p>
    <w:p w:rsidR="00321581" w:rsidRPr="00C30089" w:rsidRDefault="00321581" w:rsidP="00321581">
      <w:pPr>
        <w:pStyle w:val="ParaNoNdepar-AltN"/>
        <w:tabs>
          <w:tab w:val="clear" w:pos="1166"/>
          <w:tab w:val="num" w:pos="1152"/>
        </w:tabs>
        <w:rPr>
          <w:rFonts w:cs="Times New Roman"/>
          <w:szCs w:val="24"/>
          <w:lang w:val="fr-CA"/>
        </w:rPr>
      </w:pPr>
      <w:r w:rsidRPr="00C30089">
        <w:rPr>
          <w:rFonts w:cs="Times New Roman"/>
          <w:szCs w:val="24"/>
          <w:lang w:val="fr-CA"/>
        </w:rPr>
        <w:lastRenderedPageBreak/>
        <w:t>Au procès, l’avocat de M. O’Brien a utilisé l’argument suivant : [</w:t>
      </w:r>
      <w:r w:rsidRPr="00C30089">
        <w:rPr>
          <w:rFonts w:cs="Times New Roman"/>
          <w:smallCaps/>
          <w:szCs w:val="24"/>
          <w:lang w:val="fr-CA"/>
        </w:rPr>
        <w:t>traduction</w:t>
      </w:r>
      <w:r w:rsidRPr="00C30089">
        <w:rPr>
          <w:rFonts w:cs="Times New Roman"/>
          <w:szCs w:val="24"/>
          <w:lang w:val="fr-CA"/>
        </w:rPr>
        <w:t>] « en fin de compte, [si la destinataire des menaces] ne s’est tout simplement pas sentie menacée [. . .] n’a tout simplement pas eu peur, je soutiens respectueusement que la perpétration de l’infraction n’a pas été établie en droit » (</w:t>
      </w:r>
      <w:proofErr w:type="gramStart"/>
      <w:r w:rsidR="007F09A9">
        <w:rPr>
          <w:rFonts w:cs="Times New Roman"/>
          <w:szCs w:val="24"/>
          <w:lang w:val="fr-CA"/>
        </w:rPr>
        <w:t>d.a</w:t>
      </w:r>
      <w:r w:rsidRPr="00C30089">
        <w:rPr>
          <w:rFonts w:cs="Times New Roman"/>
          <w:szCs w:val="24"/>
          <w:lang w:val="fr-CA"/>
        </w:rPr>
        <w:t>.,</w:t>
      </w:r>
      <w:proofErr w:type="gramEnd"/>
      <w:r w:rsidRPr="00C30089">
        <w:rPr>
          <w:rFonts w:cs="Times New Roman"/>
          <w:szCs w:val="24"/>
          <w:lang w:val="fr-CA"/>
        </w:rPr>
        <w:t xml:space="preserve"> p. 57).  Pour sa part, le ministère public a fait valoir que, [</w:t>
      </w:r>
      <w:r w:rsidRPr="00C30089">
        <w:rPr>
          <w:rFonts w:cs="Times New Roman"/>
          <w:smallCaps/>
          <w:szCs w:val="24"/>
          <w:lang w:val="fr-CA"/>
        </w:rPr>
        <w:t>traduction</w:t>
      </w:r>
      <w:r w:rsidRPr="00C30089">
        <w:rPr>
          <w:rFonts w:cs="Times New Roman"/>
          <w:szCs w:val="24"/>
          <w:lang w:val="fr-CA"/>
        </w:rPr>
        <w:t>] « en droit, [. . .] il n’importe pas que les déclarations ne soient pas prises au sérieux » (</w:t>
      </w:r>
      <w:proofErr w:type="gramStart"/>
      <w:r w:rsidR="007F09A9">
        <w:rPr>
          <w:rFonts w:cs="Times New Roman"/>
          <w:szCs w:val="24"/>
          <w:lang w:val="fr-CA"/>
        </w:rPr>
        <w:t>d.a</w:t>
      </w:r>
      <w:r w:rsidRPr="00C30089">
        <w:rPr>
          <w:rFonts w:cs="Times New Roman"/>
          <w:szCs w:val="24"/>
          <w:lang w:val="fr-CA"/>
        </w:rPr>
        <w:t>.,</w:t>
      </w:r>
      <w:proofErr w:type="gramEnd"/>
      <w:r w:rsidRPr="00C30089">
        <w:rPr>
          <w:rFonts w:cs="Times New Roman"/>
          <w:szCs w:val="24"/>
          <w:lang w:val="fr-CA"/>
        </w:rPr>
        <w:t xml:space="preserve"> p. 57). </w:t>
      </w:r>
    </w:p>
    <w:p w:rsidR="00321581" w:rsidRPr="00C30089" w:rsidRDefault="00321581" w:rsidP="00321581">
      <w:pPr>
        <w:pStyle w:val="ParaNoNdepar-AltN"/>
        <w:tabs>
          <w:tab w:val="clear" w:pos="1166"/>
          <w:tab w:val="num" w:pos="1152"/>
        </w:tabs>
        <w:rPr>
          <w:rFonts w:cs="Times New Roman"/>
          <w:szCs w:val="24"/>
          <w:lang w:val="fr-CA"/>
        </w:rPr>
      </w:pPr>
      <w:r w:rsidRPr="00C30089">
        <w:rPr>
          <w:rFonts w:cs="Times New Roman"/>
          <w:szCs w:val="24"/>
          <w:lang w:val="fr-CA"/>
        </w:rPr>
        <w:t xml:space="preserve">La juge du procès, faisant allusion à l’arrêt </w:t>
      </w:r>
      <w:r w:rsidRPr="00C30089">
        <w:rPr>
          <w:rFonts w:cs="Times New Roman"/>
          <w:i/>
          <w:szCs w:val="24"/>
          <w:lang w:val="fr-CA"/>
        </w:rPr>
        <w:t xml:space="preserve">R. c. </w:t>
      </w:r>
      <w:proofErr w:type="spellStart"/>
      <w:r w:rsidRPr="00C30089">
        <w:rPr>
          <w:rFonts w:cs="Times New Roman"/>
          <w:i/>
          <w:szCs w:val="24"/>
          <w:lang w:val="fr-CA"/>
        </w:rPr>
        <w:t>Clemente</w:t>
      </w:r>
      <w:proofErr w:type="spellEnd"/>
      <w:r w:rsidRPr="00C30089">
        <w:rPr>
          <w:rFonts w:cs="Times New Roman"/>
          <w:szCs w:val="24"/>
          <w:lang w:val="fr-CA"/>
        </w:rPr>
        <w:t>, [1994] 2 R.C.S. 758, a précisé au cours de la plaidoirie que, bien que [</w:t>
      </w:r>
      <w:r w:rsidRPr="00C30089">
        <w:rPr>
          <w:rFonts w:cs="Times New Roman"/>
          <w:smallCaps/>
          <w:szCs w:val="24"/>
          <w:lang w:val="fr-CA"/>
        </w:rPr>
        <w:t>traduction</w:t>
      </w:r>
      <w:r w:rsidRPr="00C30089">
        <w:rPr>
          <w:rFonts w:cs="Times New Roman"/>
          <w:szCs w:val="24"/>
          <w:lang w:val="fr-CA"/>
        </w:rPr>
        <w:t>] « les paroles doivent être prononcées avec l’intention d’intimider ou de susciter [. . .] la crainte</w:t>
      </w:r>
      <w:r w:rsidR="007F09A9">
        <w:rPr>
          <w:rFonts w:cs="Times New Roman"/>
          <w:szCs w:val="24"/>
          <w:lang w:val="fr-CA"/>
        </w:rPr>
        <w:t>.</w:t>
      </w:r>
      <w:r w:rsidRPr="00C30089">
        <w:rPr>
          <w:rFonts w:cs="Times New Roman"/>
          <w:szCs w:val="24"/>
          <w:lang w:val="fr-CA"/>
        </w:rPr>
        <w:t xml:space="preserve"> [. . .] Cet arrêt indique également que les menaces doivent être prises au sérieux » (</w:t>
      </w:r>
      <w:proofErr w:type="gramStart"/>
      <w:r w:rsidR="007F09A9">
        <w:rPr>
          <w:rFonts w:cs="Times New Roman"/>
          <w:szCs w:val="24"/>
          <w:lang w:val="fr-CA"/>
        </w:rPr>
        <w:t>d.a.</w:t>
      </w:r>
      <w:r w:rsidRPr="00C30089">
        <w:rPr>
          <w:rFonts w:cs="Times New Roman"/>
          <w:szCs w:val="24"/>
          <w:lang w:val="fr-CA"/>
        </w:rPr>
        <w:t>,</w:t>
      </w:r>
      <w:proofErr w:type="gramEnd"/>
      <w:r w:rsidRPr="00C30089">
        <w:rPr>
          <w:rFonts w:cs="Times New Roman"/>
          <w:szCs w:val="24"/>
          <w:lang w:val="fr-CA"/>
        </w:rPr>
        <w:t xml:space="preserve"> p. 59).  La juge du procès s’est ensuite retirée pour examiner l’arrêt </w:t>
      </w:r>
      <w:proofErr w:type="spellStart"/>
      <w:r w:rsidRPr="00C30089">
        <w:rPr>
          <w:rFonts w:cs="Times New Roman"/>
          <w:i/>
          <w:szCs w:val="24"/>
          <w:lang w:val="fr-CA"/>
        </w:rPr>
        <w:t>Clemente</w:t>
      </w:r>
      <w:proofErr w:type="spellEnd"/>
      <w:r w:rsidRPr="00C30089">
        <w:rPr>
          <w:rFonts w:cs="Times New Roman"/>
          <w:szCs w:val="24"/>
          <w:lang w:val="fr-CA"/>
        </w:rPr>
        <w:t xml:space="preserve">.  </w:t>
      </w:r>
    </w:p>
    <w:p w:rsidR="00321581" w:rsidRPr="00C30089" w:rsidRDefault="00321581" w:rsidP="00321581">
      <w:pPr>
        <w:pStyle w:val="ParaNoNdepar-AltN"/>
        <w:tabs>
          <w:tab w:val="clear" w:pos="1166"/>
          <w:tab w:val="num" w:pos="1152"/>
        </w:tabs>
        <w:rPr>
          <w:rFonts w:cs="Times New Roman"/>
          <w:szCs w:val="24"/>
          <w:lang w:val="fr-CA"/>
        </w:rPr>
      </w:pPr>
      <w:r w:rsidRPr="00C30089">
        <w:rPr>
          <w:rFonts w:cs="Times New Roman"/>
          <w:szCs w:val="24"/>
          <w:lang w:val="fr-CA"/>
        </w:rPr>
        <w:t>Après une brève suspension de l’audience, elle a rendu ses motifs oralement.  Au sujet de l’élément moral, elle a affirmé qu’il subsistait un doute raisonnable quant à [</w:t>
      </w:r>
      <w:r w:rsidRPr="00C30089">
        <w:rPr>
          <w:rFonts w:cs="Times New Roman"/>
          <w:smallCaps/>
          <w:szCs w:val="24"/>
          <w:lang w:val="fr-CA"/>
        </w:rPr>
        <w:t>traduction</w:t>
      </w:r>
      <w:r w:rsidRPr="00C30089">
        <w:rPr>
          <w:rFonts w:cs="Times New Roman"/>
          <w:szCs w:val="24"/>
          <w:lang w:val="fr-CA"/>
        </w:rPr>
        <w:t xml:space="preserve">] « la </w:t>
      </w:r>
      <w:r w:rsidRPr="00C30089">
        <w:rPr>
          <w:rFonts w:cs="Times New Roman"/>
          <w:i/>
          <w:szCs w:val="24"/>
          <w:lang w:val="fr-CA"/>
        </w:rPr>
        <w:t xml:space="preserve">mens </w:t>
      </w:r>
      <w:proofErr w:type="spellStart"/>
      <w:r w:rsidRPr="00C30089">
        <w:rPr>
          <w:rFonts w:cs="Times New Roman"/>
          <w:i/>
          <w:szCs w:val="24"/>
          <w:lang w:val="fr-CA"/>
        </w:rPr>
        <w:t>rea</w:t>
      </w:r>
      <w:proofErr w:type="spellEnd"/>
      <w:r w:rsidRPr="00C30089">
        <w:rPr>
          <w:rFonts w:cs="Times New Roman"/>
          <w:szCs w:val="24"/>
          <w:lang w:val="fr-CA"/>
        </w:rPr>
        <w:t xml:space="preserve"> de l’infraction en raison du témoignage de M</w:t>
      </w:r>
      <w:r w:rsidRPr="00C30089">
        <w:rPr>
          <w:rFonts w:cs="Times New Roman"/>
          <w:szCs w:val="24"/>
          <w:vertAlign w:val="superscript"/>
          <w:lang w:val="fr-CA"/>
        </w:rPr>
        <w:t>me</w:t>
      </w:r>
      <w:r w:rsidRPr="00C30089">
        <w:rPr>
          <w:rFonts w:cs="Times New Roman"/>
          <w:szCs w:val="24"/>
          <w:lang w:val="fr-CA"/>
        </w:rPr>
        <w:t> [W], du fait qu’elle n’a pas pris [les menaces] au sérieux » (</w:t>
      </w:r>
      <w:proofErr w:type="gramStart"/>
      <w:r w:rsidR="00650B0D">
        <w:rPr>
          <w:rFonts w:cs="Times New Roman"/>
          <w:szCs w:val="24"/>
          <w:lang w:val="fr-CA"/>
        </w:rPr>
        <w:t>d.a.</w:t>
      </w:r>
      <w:r w:rsidRPr="00C30089">
        <w:rPr>
          <w:rFonts w:cs="Times New Roman"/>
          <w:szCs w:val="24"/>
          <w:lang w:val="fr-CA"/>
        </w:rPr>
        <w:t>,</w:t>
      </w:r>
      <w:proofErr w:type="gramEnd"/>
      <w:r w:rsidRPr="00C30089">
        <w:rPr>
          <w:rFonts w:cs="Times New Roman"/>
          <w:szCs w:val="24"/>
          <w:lang w:val="fr-CA"/>
        </w:rPr>
        <w:t xml:space="preserve"> p. 4).</w:t>
      </w:r>
    </w:p>
    <w:p w:rsidR="00321581" w:rsidRPr="00C30089" w:rsidRDefault="00321581" w:rsidP="00321581">
      <w:pPr>
        <w:pStyle w:val="ParaNoNdepar-AltN"/>
        <w:tabs>
          <w:tab w:val="clear" w:pos="1166"/>
          <w:tab w:val="num" w:pos="1152"/>
        </w:tabs>
        <w:rPr>
          <w:rFonts w:cs="Times New Roman"/>
          <w:szCs w:val="24"/>
          <w:lang w:val="fr-FR"/>
        </w:rPr>
      </w:pPr>
      <w:r w:rsidRPr="00C30089">
        <w:rPr>
          <w:rFonts w:cs="Times New Roman"/>
          <w:szCs w:val="24"/>
          <w:lang w:val="fr-CA"/>
        </w:rPr>
        <w:t xml:space="preserve">En toute déférence, je suis d’avis que la juge du procès n’a pas interprété la </w:t>
      </w:r>
      <w:r w:rsidRPr="00C30089">
        <w:rPr>
          <w:rFonts w:cs="Times New Roman"/>
          <w:i/>
          <w:szCs w:val="24"/>
          <w:lang w:val="fr-CA"/>
        </w:rPr>
        <w:t xml:space="preserve">mens </w:t>
      </w:r>
      <w:proofErr w:type="spellStart"/>
      <w:r w:rsidRPr="00C30089">
        <w:rPr>
          <w:rFonts w:cs="Times New Roman"/>
          <w:i/>
          <w:szCs w:val="24"/>
          <w:lang w:val="fr-CA"/>
        </w:rPr>
        <w:t>rea</w:t>
      </w:r>
      <w:proofErr w:type="spellEnd"/>
      <w:r w:rsidRPr="00C30089">
        <w:rPr>
          <w:rFonts w:cs="Times New Roman"/>
          <w:szCs w:val="24"/>
          <w:lang w:val="fr-CA"/>
        </w:rPr>
        <w:t xml:space="preserve"> de l’infraction consistant à proférer des menaces conformément aux arrêts </w:t>
      </w:r>
      <w:proofErr w:type="spellStart"/>
      <w:r w:rsidRPr="00C30089">
        <w:rPr>
          <w:rFonts w:cs="Times New Roman"/>
          <w:i/>
          <w:szCs w:val="24"/>
          <w:lang w:val="fr-CA"/>
        </w:rPr>
        <w:t>Clemente</w:t>
      </w:r>
      <w:proofErr w:type="spellEnd"/>
      <w:r w:rsidRPr="00C30089">
        <w:rPr>
          <w:rFonts w:cs="Times New Roman"/>
          <w:szCs w:val="24"/>
          <w:lang w:val="fr-CA"/>
        </w:rPr>
        <w:t xml:space="preserve"> et </w:t>
      </w:r>
      <w:r w:rsidRPr="00C30089">
        <w:rPr>
          <w:rFonts w:cs="Times New Roman"/>
          <w:i/>
          <w:szCs w:val="24"/>
          <w:lang w:val="fr-CA"/>
        </w:rPr>
        <w:t xml:space="preserve">R. c. </w:t>
      </w:r>
      <w:proofErr w:type="spellStart"/>
      <w:r w:rsidRPr="00C30089">
        <w:rPr>
          <w:rFonts w:cs="Times New Roman"/>
          <w:i/>
          <w:szCs w:val="24"/>
          <w:lang w:val="fr-CA"/>
        </w:rPr>
        <w:t>McCraw</w:t>
      </w:r>
      <w:proofErr w:type="spellEnd"/>
      <w:r w:rsidRPr="00C30089">
        <w:rPr>
          <w:rFonts w:cs="Times New Roman"/>
          <w:szCs w:val="24"/>
          <w:lang w:val="fr-CA"/>
        </w:rPr>
        <w:t xml:space="preserve">, [1991] 3 R.C.S. 72.  Le critère applicable, exposé dans </w:t>
      </w:r>
      <w:r w:rsidRPr="00C30089">
        <w:rPr>
          <w:rFonts w:cs="Times New Roman"/>
          <w:szCs w:val="24"/>
          <w:lang w:val="fr-CA"/>
        </w:rPr>
        <w:lastRenderedPageBreak/>
        <w:t xml:space="preserve">l’arrêt </w:t>
      </w:r>
      <w:proofErr w:type="spellStart"/>
      <w:r w:rsidRPr="00C30089">
        <w:rPr>
          <w:rFonts w:cs="Times New Roman"/>
          <w:i/>
          <w:szCs w:val="24"/>
          <w:lang w:val="fr-CA"/>
        </w:rPr>
        <w:t>Clemente</w:t>
      </w:r>
      <w:proofErr w:type="spellEnd"/>
      <w:r w:rsidRPr="00C30089">
        <w:rPr>
          <w:rFonts w:cs="Times New Roman"/>
          <w:szCs w:val="24"/>
          <w:lang w:val="fr-CA"/>
        </w:rPr>
        <w:t xml:space="preserve"> est le suivant : « Considérés de façon objective, dans le contexte de tous les mots écrits ou énoncés et compte tenu de la personne à qui ils s’adressent, les termes visés </w:t>
      </w:r>
      <w:proofErr w:type="spellStart"/>
      <w:r w:rsidRPr="00C30089">
        <w:rPr>
          <w:rFonts w:cs="Times New Roman"/>
          <w:szCs w:val="24"/>
          <w:lang w:val="fr-CA"/>
        </w:rPr>
        <w:t>constituent</w:t>
      </w:r>
      <w:r w:rsidRPr="00C30089">
        <w:rPr>
          <w:rFonts w:cs="Times New Roman"/>
          <w:szCs w:val="24"/>
          <w:lang w:val="fr-CA"/>
        </w:rPr>
        <w:noBreakHyphen/>
        <w:t>ils</w:t>
      </w:r>
      <w:proofErr w:type="spellEnd"/>
      <w:r w:rsidRPr="00C30089">
        <w:rPr>
          <w:rFonts w:cs="Times New Roman"/>
          <w:szCs w:val="24"/>
          <w:lang w:val="fr-CA"/>
        </w:rPr>
        <w:t xml:space="preserve"> une menace de blessures graves pour une personne raisonnable?</w:t>
      </w:r>
      <w:r w:rsidRPr="00C30089">
        <w:rPr>
          <w:rFonts w:cs="Times New Roman"/>
          <w:szCs w:val="24"/>
          <w:lang w:val="fr-FR"/>
        </w:rPr>
        <w:t> »</w:t>
      </w:r>
      <w:r w:rsidRPr="00C30089">
        <w:rPr>
          <w:rFonts w:cs="Times New Roman"/>
          <w:szCs w:val="24"/>
          <w:lang w:val="fr-CA"/>
        </w:rPr>
        <w:t xml:space="preserve"> (p. 762, citant</w:t>
      </w:r>
      <w:r w:rsidRPr="00C30089">
        <w:rPr>
          <w:rFonts w:cs="Times New Roman"/>
          <w:i/>
          <w:szCs w:val="24"/>
          <w:lang w:val="fr-CA"/>
        </w:rPr>
        <w:t xml:space="preserve"> </w:t>
      </w:r>
      <w:proofErr w:type="spellStart"/>
      <w:r w:rsidRPr="00C30089">
        <w:rPr>
          <w:rFonts w:cs="Times New Roman"/>
          <w:i/>
          <w:szCs w:val="24"/>
          <w:lang w:val="fr-CA"/>
        </w:rPr>
        <w:t>McCraw</w:t>
      </w:r>
      <w:proofErr w:type="spellEnd"/>
      <w:r w:rsidRPr="00C30089">
        <w:rPr>
          <w:rFonts w:cs="Times New Roman"/>
          <w:szCs w:val="24"/>
          <w:lang w:val="fr-CA"/>
        </w:rPr>
        <w:t>,</w:t>
      </w:r>
      <w:r w:rsidRPr="00C30089">
        <w:rPr>
          <w:rFonts w:cs="Times New Roman"/>
          <w:i/>
          <w:szCs w:val="24"/>
          <w:lang w:val="fr-CA"/>
        </w:rPr>
        <w:t xml:space="preserve"> </w:t>
      </w:r>
      <w:r w:rsidRPr="00C30089">
        <w:rPr>
          <w:rFonts w:cs="Times New Roman"/>
          <w:szCs w:val="24"/>
          <w:lang w:val="fr-CA"/>
        </w:rPr>
        <w:t>p. 83).</w:t>
      </w:r>
    </w:p>
    <w:p w:rsidR="00321581" w:rsidRPr="00C30089" w:rsidRDefault="00321581" w:rsidP="00321581">
      <w:pPr>
        <w:pStyle w:val="ParaNoNdepar-AltN"/>
        <w:tabs>
          <w:tab w:val="clear" w:pos="1166"/>
          <w:tab w:val="num" w:pos="1152"/>
        </w:tabs>
        <w:rPr>
          <w:rFonts w:cs="Times New Roman"/>
          <w:szCs w:val="24"/>
          <w:lang w:val="fr-CA"/>
        </w:rPr>
      </w:pPr>
      <w:r w:rsidRPr="00C30089">
        <w:rPr>
          <w:rFonts w:cs="Times New Roman"/>
          <w:szCs w:val="24"/>
          <w:lang w:val="fr-CA"/>
        </w:rPr>
        <w:t>La juge du procès ne s’est pas demandé quelle serait la perception objective d’une personne raisonnable.  Elle a plutôt analysé la perception de M</w:t>
      </w:r>
      <w:r w:rsidRPr="00C30089">
        <w:rPr>
          <w:rFonts w:cs="Times New Roman"/>
          <w:szCs w:val="24"/>
          <w:vertAlign w:val="superscript"/>
          <w:lang w:val="fr-CA"/>
        </w:rPr>
        <w:t>me</w:t>
      </w:r>
      <w:r w:rsidRPr="00C30089">
        <w:rPr>
          <w:rFonts w:cs="Times New Roman"/>
          <w:szCs w:val="24"/>
          <w:lang w:val="fr-CA"/>
        </w:rPr>
        <w:t xml:space="preserve"> W.  Suivant l’arrêt </w:t>
      </w:r>
      <w:proofErr w:type="spellStart"/>
      <w:r w:rsidRPr="00C30089">
        <w:rPr>
          <w:rFonts w:cs="Times New Roman"/>
          <w:i/>
          <w:szCs w:val="24"/>
          <w:lang w:val="fr-CA"/>
        </w:rPr>
        <w:t>Clemente</w:t>
      </w:r>
      <w:proofErr w:type="spellEnd"/>
      <w:r w:rsidRPr="00C30089">
        <w:rPr>
          <w:rFonts w:cs="Times New Roman"/>
          <w:szCs w:val="24"/>
          <w:lang w:val="fr-CA"/>
        </w:rPr>
        <w:t>, la juge du procès était tenue de déterminer si une personne raisonnable considérerait les paroles prononcées comme des menaces en les « </w:t>
      </w:r>
      <w:proofErr w:type="spellStart"/>
      <w:proofErr w:type="gramStart"/>
      <w:r w:rsidRPr="00C30089">
        <w:rPr>
          <w:rFonts w:cs="Times New Roman"/>
          <w:szCs w:val="24"/>
          <w:lang w:val="fr-CA"/>
        </w:rPr>
        <w:t>examin</w:t>
      </w:r>
      <w:proofErr w:type="spellEnd"/>
      <w:r w:rsidRPr="00C30089">
        <w:rPr>
          <w:rFonts w:cs="Times New Roman"/>
          <w:szCs w:val="24"/>
          <w:lang w:val="fr-CA"/>
        </w:rPr>
        <w:t>[</w:t>
      </w:r>
      <w:proofErr w:type="spellStart"/>
      <w:proofErr w:type="gramEnd"/>
      <w:r w:rsidRPr="00C30089">
        <w:rPr>
          <w:rFonts w:cs="Times New Roman"/>
          <w:szCs w:val="24"/>
          <w:lang w:val="fr-CA"/>
        </w:rPr>
        <w:t>ant</w:t>
      </w:r>
      <w:proofErr w:type="spellEnd"/>
      <w:r w:rsidRPr="00C30089">
        <w:rPr>
          <w:rFonts w:cs="Times New Roman"/>
          <w:szCs w:val="24"/>
          <w:lang w:val="fr-CA"/>
        </w:rPr>
        <w:t>] objectivement, en tenant compte des circonstances dans lesquelles elles s’inscrivent, de la manière dont elles ont été prononcées et de la personne à qui elles étaient destinées » (p. 763).  Partant, les rapports qu’entretenaient M. O’Brien et M</w:t>
      </w:r>
      <w:r w:rsidRPr="00C30089">
        <w:rPr>
          <w:rFonts w:cs="Times New Roman"/>
          <w:szCs w:val="24"/>
          <w:vertAlign w:val="superscript"/>
          <w:lang w:val="fr-CA"/>
        </w:rPr>
        <w:t>me</w:t>
      </w:r>
      <w:r w:rsidRPr="00C30089">
        <w:rPr>
          <w:rFonts w:cs="Times New Roman"/>
          <w:szCs w:val="24"/>
          <w:lang w:val="fr-CA"/>
        </w:rPr>
        <w:t xml:space="preserve"> W sont pertinents; ils font partie du contexte et des circonstances dans lesquels s’inscrit l’infraction.  Toutefois, le fait que le destinataire d’une menace la prenne ou non au sérieux ne constitue pas à lui seul un élément de la </w:t>
      </w:r>
      <w:r w:rsidRPr="00C30089">
        <w:rPr>
          <w:rFonts w:cs="Times New Roman"/>
          <w:i/>
          <w:szCs w:val="24"/>
          <w:lang w:val="fr-CA"/>
        </w:rPr>
        <w:t xml:space="preserve">mens </w:t>
      </w:r>
      <w:proofErr w:type="spellStart"/>
      <w:r w:rsidRPr="00C30089">
        <w:rPr>
          <w:rFonts w:cs="Times New Roman"/>
          <w:i/>
          <w:szCs w:val="24"/>
          <w:lang w:val="fr-CA"/>
        </w:rPr>
        <w:t>rea</w:t>
      </w:r>
      <w:proofErr w:type="spellEnd"/>
      <w:r w:rsidRPr="00C30089">
        <w:rPr>
          <w:rFonts w:cs="Times New Roman"/>
          <w:i/>
          <w:szCs w:val="24"/>
          <w:lang w:val="fr-CA"/>
        </w:rPr>
        <w:t xml:space="preserve"> </w:t>
      </w:r>
      <w:r w:rsidRPr="00C30089">
        <w:rPr>
          <w:rFonts w:cs="Times New Roman"/>
          <w:szCs w:val="24"/>
          <w:lang w:val="fr-CA"/>
        </w:rPr>
        <w:t xml:space="preserve">requise. </w:t>
      </w:r>
    </w:p>
    <w:p w:rsidR="00321581" w:rsidRPr="00C30089" w:rsidRDefault="00321581" w:rsidP="00321581">
      <w:pPr>
        <w:pStyle w:val="ParaNoNdepar-AltN"/>
        <w:tabs>
          <w:tab w:val="clear" w:pos="1166"/>
          <w:tab w:val="num" w:pos="1152"/>
        </w:tabs>
        <w:rPr>
          <w:rFonts w:cs="Times New Roman"/>
          <w:szCs w:val="24"/>
          <w:lang w:val="fr-CA"/>
        </w:rPr>
      </w:pPr>
      <w:r w:rsidRPr="00C30089">
        <w:rPr>
          <w:rFonts w:cs="Times New Roman"/>
          <w:szCs w:val="24"/>
          <w:lang w:val="fr-CA"/>
        </w:rPr>
        <w:t>En l’espèce, la juge du procès a considéré à tort la perception de M</w:t>
      </w:r>
      <w:r w:rsidRPr="00C30089">
        <w:rPr>
          <w:rFonts w:cs="Times New Roman"/>
          <w:szCs w:val="24"/>
          <w:vertAlign w:val="superscript"/>
          <w:lang w:val="fr-CA"/>
        </w:rPr>
        <w:t>me</w:t>
      </w:r>
      <w:r w:rsidRPr="00C30089">
        <w:rPr>
          <w:rFonts w:cs="Times New Roman"/>
          <w:szCs w:val="24"/>
          <w:lang w:val="fr-CA"/>
        </w:rPr>
        <w:t> W comme le facteur déterminant de l’analyse visant à décider si l’accusé avait l’intention de susciter la crainte chez M</w:t>
      </w:r>
      <w:r w:rsidRPr="00C30089">
        <w:rPr>
          <w:rFonts w:cs="Times New Roman"/>
          <w:szCs w:val="24"/>
          <w:vertAlign w:val="superscript"/>
          <w:lang w:val="fr-CA"/>
        </w:rPr>
        <w:t>me</w:t>
      </w:r>
      <w:r w:rsidRPr="00C30089">
        <w:rPr>
          <w:rFonts w:cs="Times New Roman"/>
          <w:szCs w:val="24"/>
          <w:lang w:val="fr-CA"/>
        </w:rPr>
        <w:t xml:space="preserve"> W et de l’intimider pour l’empêcher de se faire avorter. </w:t>
      </w:r>
    </w:p>
    <w:p w:rsidR="00321581" w:rsidRPr="00C30089" w:rsidRDefault="00321581" w:rsidP="00321581">
      <w:pPr>
        <w:pStyle w:val="ParaNoNdepar-AltN"/>
        <w:tabs>
          <w:tab w:val="clear" w:pos="1166"/>
          <w:tab w:val="num" w:pos="1152"/>
        </w:tabs>
        <w:rPr>
          <w:rFonts w:cs="Times New Roman"/>
          <w:szCs w:val="24"/>
          <w:lang w:val="fr-CA"/>
        </w:rPr>
      </w:pPr>
      <w:r w:rsidRPr="00C30089">
        <w:rPr>
          <w:rFonts w:cs="Times New Roman"/>
          <w:szCs w:val="24"/>
          <w:lang w:val="fr-CA"/>
        </w:rPr>
        <w:t>Je n’oublie pas les remarques faites antérieurement « pour avertir les juges d’appel de ne pas disséquer, décortiquer ni examiner à la loupe les motifs d’un juge de première instance » (</w:t>
      </w:r>
      <w:r w:rsidRPr="00C30089">
        <w:rPr>
          <w:rFonts w:cs="Times New Roman"/>
          <w:i/>
          <w:szCs w:val="24"/>
          <w:lang w:val="fr-CA"/>
        </w:rPr>
        <w:t>R. c. C.L.Y.</w:t>
      </w:r>
      <w:r w:rsidRPr="00C30089">
        <w:rPr>
          <w:rFonts w:cs="Times New Roman"/>
          <w:szCs w:val="24"/>
          <w:lang w:val="fr-CA"/>
        </w:rPr>
        <w:t>, 2008 CSC 2, [2008] 1 R.C.S. 5, par. 11</w:t>
      </w:r>
      <w:r w:rsidR="001D3531">
        <w:rPr>
          <w:rFonts w:cs="Times New Roman"/>
          <w:szCs w:val="24"/>
          <w:lang w:val="fr-CA"/>
        </w:rPr>
        <w:t>,</w:t>
      </w:r>
      <w:r w:rsidRPr="00C30089">
        <w:rPr>
          <w:rFonts w:cs="Times New Roman"/>
          <w:szCs w:val="24"/>
          <w:lang w:val="fr-CA"/>
        </w:rPr>
        <w:t xml:space="preserve"> </w:t>
      </w:r>
      <w:r w:rsidRPr="00C30089">
        <w:rPr>
          <w:rFonts w:cs="Times New Roman"/>
          <w:szCs w:val="24"/>
          <w:lang w:val="fr-CA"/>
        </w:rPr>
        <w:lastRenderedPageBreak/>
        <w:t xml:space="preserve">mentionnant </w:t>
      </w:r>
      <w:r w:rsidRPr="00C30089">
        <w:rPr>
          <w:rFonts w:cs="Times New Roman"/>
          <w:i/>
          <w:szCs w:val="24"/>
          <w:lang w:val="fr-CA"/>
        </w:rPr>
        <w:t xml:space="preserve">R. c. </w:t>
      </w:r>
      <w:proofErr w:type="spellStart"/>
      <w:r w:rsidRPr="00C30089">
        <w:rPr>
          <w:rFonts w:cs="Times New Roman"/>
          <w:i/>
          <w:szCs w:val="24"/>
          <w:lang w:val="fr-CA"/>
        </w:rPr>
        <w:t>Morrissey</w:t>
      </w:r>
      <w:proofErr w:type="spellEnd"/>
      <w:r w:rsidRPr="00C30089">
        <w:rPr>
          <w:rFonts w:cs="Times New Roman"/>
          <w:szCs w:val="24"/>
          <w:lang w:val="fr-CA"/>
        </w:rPr>
        <w:t xml:space="preserve"> (1995), 97 C.C.C. (3d) 193 (C.A. Ont.), p. 203</w:t>
      </w:r>
      <w:r w:rsidRPr="00C30089">
        <w:rPr>
          <w:rFonts w:cs="Times New Roman"/>
          <w:szCs w:val="24"/>
          <w:lang w:val="fr-CA"/>
        </w:rPr>
        <w:noBreakHyphen/>
        <w:t xml:space="preserve">205).  J’estime néanmoins que l’erreur de droit commise par la juge du procès saute aux yeux. </w:t>
      </w:r>
    </w:p>
    <w:p w:rsidR="00321581" w:rsidRPr="00C30089" w:rsidRDefault="00321581" w:rsidP="00321581">
      <w:pPr>
        <w:pStyle w:val="ParaNoNdepar-AltN"/>
        <w:tabs>
          <w:tab w:val="clear" w:pos="1166"/>
          <w:tab w:val="num" w:pos="1152"/>
        </w:tabs>
        <w:rPr>
          <w:rFonts w:cs="Times New Roman"/>
          <w:szCs w:val="24"/>
          <w:lang w:val="fr-CA"/>
        </w:rPr>
      </w:pPr>
      <w:r w:rsidRPr="00C30089">
        <w:rPr>
          <w:rFonts w:cs="Times New Roman"/>
          <w:szCs w:val="24"/>
          <w:lang w:val="fr-CA"/>
        </w:rPr>
        <w:t xml:space="preserve">Par conséquent, je suis d’avis d’accueillir le pourvoi, d’inscrire une déclaration de culpabilité et de renvoyer l’affaire à la Cour provinciale du Manitoba pour la détermination de la peine. </w:t>
      </w:r>
    </w:p>
    <w:p w:rsidR="004D7D95" w:rsidRPr="000225ED" w:rsidRDefault="004D7D95" w:rsidP="00C56DD8">
      <w:pPr>
        <w:pStyle w:val="SCCNormalDoubleSpacing"/>
        <w:spacing w:after="480"/>
        <w:rPr>
          <w:lang w:val="fr-CA"/>
        </w:rPr>
      </w:pPr>
      <w:r w:rsidRPr="001E628F">
        <w:rPr>
          <w:lang w:val="fr-CA"/>
        </w:rPr>
        <w:tab/>
      </w:r>
      <w:r w:rsidR="0055642C" w:rsidRPr="000225ED">
        <w:rPr>
          <w:i/>
          <w:lang w:val="fr-CA"/>
        </w:rPr>
        <w:t xml:space="preserve">Pourvoi rejeté, la juge en chef </w:t>
      </w:r>
      <w:r w:rsidR="0055642C" w:rsidRPr="000225ED">
        <w:rPr>
          <w:smallCaps/>
          <w:lang w:val="fr-CA"/>
        </w:rPr>
        <w:t>McLachlin</w:t>
      </w:r>
      <w:r w:rsidR="0055642C" w:rsidRPr="000225ED">
        <w:rPr>
          <w:i/>
          <w:lang w:val="fr-CA"/>
        </w:rPr>
        <w:t xml:space="preserve"> et les juges </w:t>
      </w:r>
      <w:r w:rsidR="0055642C" w:rsidRPr="000225ED">
        <w:rPr>
          <w:smallCaps/>
          <w:lang w:val="fr-CA"/>
        </w:rPr>
        <w:t>Abella</w:t>
      </w:r>
      <w:r w:rsidR="0055642C" w:rsidRPr="000225ED">
        <w:rPr>
          <w:i/>
          <w:lang w:val="fr-CA"/>
        </w:rPr>
        <w:t xml:space="preserve"> et </w:t>
      </w:r>
      <w:proofErr w:type="spellStart"/>
      <w:r w:rsidR="0055642C" w:rsidRPr="000225ED">
        <w:rPr>
          <w:smallCaps/>
          <w:lang w:val="fr-CA"/>
        </w:rPr>
        <w:t>Rothstein</w:t>
      </w:r>
      <w:proofErr w:type="spellEnd"/>
      <w:r w:rsidR="0055642C" w:rsidRPr="000225ED">
        <w:rPr>
          <w:i/>
          <w:lang w:val="fr-CA"/>
        </w:rPr>
        <w:t xml:space="preserve"> sont dissidents.</w:t>
      </w:r>
    </w:p>
    <w:p w:rsidR="0055642C" w:rsidRPr="000225ED" w:rsidRDefault="00A733AC" w:rsidP="00C56DD8">
      <w:pPr>
        <w:pStyle w:val="SCCLawFirm"/>
        <w:spacing w:after="480"/>
        <w:rPr>
          <w:lang w:val="fr-CA"/>
        </w:rPr>
      </w:pPr>
      <w:r w:rsidRPr="000225ED">
        <w:rPr>
          <w:lang w:val="fr-CA"/>
        </w:rPr>
        <w:tab/>
        <w:t>Procureur de l’appelante</w:t>
      </w:r>
      <w:r w:rsidR="00992664" w:rsidRPr="000225ED">
        <w:rPr>
          <w:lang w:val="fr-CA"/>
        </w:rPr>
        <w:t> :</w:t>
      </w:r>
      <w:r w:rsidRPr="000225ED">
        <w:rPr>
          <w:lang w:val="fr-CA"/>
        </w:rPr>
        <w:t> </w:t>
      </w:r>
      <w:r w:rsidR="0055642C" w:rsidRPr="000225ED">
        <w:rPr>
          <w:lang w:val="fr-CA"/>
        </w:rPr>
        <w:t>Procureur général du Manitoba, Winnipeg.</w:t>
      </w:r>
    </w:p>
    <w:p w:rsidR="009B57B3" w:rsidRPr="001E628F" w:rsidRDefault="0055642C" w:rsidP="00BB2BCA">
      <w:pPr>
        <w:pStyle w:val="SCCItalic"/>
        <w:rPr>
          <w:b/>
          <w:i w:val="0"/>
          <w:lang w:val="en-US"/>
        </w:rPr>
      </w:pPr>
      <w:r w:rsidRPr="000225ED">
        <w:rPr>
          <w:lang w:val="fr-CA"/>
        </w:rPr>
        <w:tab/>
      </w:r>
      <w:proofErr w:type="spellStart"/>
      <w:r w:rsidR="00A733AC" w:rsidRPr="000225ED">
        <w:t>Procureurs</w:t>
      </w:r>
      <w:proofErr w:type="spellEnd"/>
      <w:r w:rsidR="00A733AC" w:rsidRPr="000225ED">
        <w:t xml:space="preserve"> de </w:t>
      </w:r>
      <w:proofErr w:type="spellStart"/>
      <w:proofErr w:type="gramStart"/>
      <w:r w:rsidR="00A733AC" w:rsidRPr="000225ED">
        <w:t>l’intimé</w:t>
      </w:r>
      <w:proofErr w:type="spellEnd"/>
      <w:r w:rsidR="00992664" w:rsidRPr="000225ED">
        <w:t> :</w:t>
      </w:r>
      <w:proofErr w:type="gramEnd"/>
      <w:r w:rsidR="00A733AC" w:rsidRPr="000225ED">
        <w:t> </w:t>
      </w:r>
      <w:r w:rsidRPr="000225ED">
        <w:t xml:space="preserve">Smith Corona Van </w:t>
      </w:r>
      <w:proofErr w:type="spellStart"/>
      <w:r w:rsidRPr="000225ED">
        <w:t>Dongen</w:t>
      </w:r>
      <w:proofErr w:type="spellEnd"/>
      <w:r w:rsidRPr="000225ED">
        <w:t xml:space="preserve"> &amp; Cook, Winnipeg; Supreme Advocacy, Ottawa.</w:t>
      </w:r>
    </w:p>
    <w:p w:rsidR="00BB2BCA" w:rsidRPr="001E628F" w:rsidRDefault="00BB2BCA" w:rsidP="00BB2BCA">
      <w:pPr>
        <w:pStyle w:val="SCCNormalDoubleSpacing"/>
        <w:rPr>
          <w:lang w:val="en-US"/>
        </w:rPr>
      </w:pPr>
    </w:p>
    <w:sectPr w:rsidR="00BB2BCA" w:rsidRPr="001E628F" w:rsidSect="00806565">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50B" w:rsidRDefault="0090450B">
      <w:r>
        <w:separator/>
      </w:r>
    </w:p>
  </w:endnote>
  <w:endnote w:type="continuationSeparator" w:id="0">
    <w:p w:rsidR="0090450B" w:rsidRDefault="00904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50B" w:rsidRDefault="0090450B">
      <w:r>
        <w:separator/>
      </w:r>
    </w:p>
  </w:footnote>
  <w:footnote w:type="continuationSeparator" w:id="0">
    <w:p w:rsidR="0090450B" w:rsidRDefault="009045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0638"/>
      <w:docPartObj>
        <w:docPartGallery w:val="Page Numbers (Top of Page)"/>
        <w:docPartUnique/>
      </w:docPartObj>
    </w:sdtPr>
    <w:sdtContent>
      <w:p w:rsidR="0090450B" w:rsidRDefault="0090450B">
        <w:pPr>
          <w:pStyle w:val="Header"/>
          <w:jc w:val="center"/>
        </w:pPr>
        <w:r>
          <w:t xml:space="preserve">- </w:t>
        </w:r>
        <w:fldSimple w:instr=" PAGE   \* MERGEFORMAT ">
          <w:r w:rsidR="007F3374">
            <w:rPr>
              <w:noProof/>
            </w:rPr>
            <w:t>12</w:t>
          </w:r>
        </w:fldSimple>
        <w:r>
          <w:t xml:space="preserve"> -</w:t>
        </w:r>
      </w:p>
    </w:sdtContent>
  </w:sdt>
  <w:p w:rsidR="0090450B" w:rsidRPr="00450352" w:rsidRDefault="0090450B"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7761"/>
  </w:hdrShapeDefaults>
  <w:footnotePr>
    <w:footnote w:id="-1"/>
    <w:footnote w:id="0"/>
  </w:footnotePr>
  <w:endnotePr>
    <w:endnote w:id="-1"/>
    <w:endnote w:id="0"/>
  </w:endnotePr>
  <w:compat/>
  <w:rsids>
    <w:rsidRoot w:val="0031414C"/>
    <w:rsid w:val="00000ED4"/>
    <w:rsid w:val="000225ED"/>
    <w:rsid w:val="00023FC7"/>
    <w:rsid w:val="00025198"/>
    <w:rsid w:val="000578A3"/>
    <w:rsid w:val="000648CC"/>
    <w:rsid w:val="000C59B8"/>
    <w:rsid w:val="000C6AF0"/>
    <w:rsid w:val="000D0A77"/>
    <w:rsid w:val="000F7993"/>
    <w:rsid w:val="00103A4C"/>
    <w:rsid w:val="00104F33"/>
    <w:rsid w:val="00111DE2"/>
    <w:rsid w:val="00116B38"/>
    <w:rsid w:val="00125DFF"/>
    <w:rsid w:val="00135406"/>
    <w:rsid w:val="00135972"/>
    <w:rsid w:val="001426A9"/>
    <w:rsid w:val="00154D7C"/>
    <w:rsid w:val="001570B0"/>
    <w:rsid w:val="0015752C"/>
    <w:rsid w:val="00157737"/>
    <w:rsid w:val="00165277"/>
    <w:rsid w:val="00170592"/>
    <w:rsid w:val="001720F7"/>
    <w:rsid w:val="00195D83"/>
    <w:rsid w:val="001A00C1"/>
    <w:rsid w:val="001B33E0"/>
    <w:rsid w:val="001B4573"/>
    <w:rsid w:val="001B7836"/>
    <w:rsid w:val="001C779F"/>
    <w:rsid w:val="001D2AC1"/>
    <w:rsid w:val="001D3531"/>
    <w:rsid w:val="001D4E88"/>
    <w:rsid w:val="001E582F"/>
    <w:rsid w:val="001E628F"/>
    <w:rsid w:val="00220FC2"/>
    <w:rsid w:val="002222F4"/>
    <w:rsid w:val="00223613"/>
    <w:rsid w:val="00224FC0"/>
    <w:rsid w:val="00225EA4"/>
    <w:rsid w:val="00226EAF"/>
    <w:rsid w:val="00231F3A"/>
    <w:rsid w:val="002406EE"/>
    <w:rsid w:val="00243EC8"/>
    <w:rsid w:val="00253542"/>
    <w:rsid w:val="00270D93"/>
    <w:rsid w:val="002745CC"/>
    <w:rsid w:val="0029540D"/>
    <w:rsid w:val="002B6FBE"/>
    <w:rsid w:val="002B7924"/>
    <w:rsid w:val="002C10A6"/>
    <w:rsid w:val="002D28C3"/>
    <w:rsid w:val="002D39A4"/>
    <w:rsid w:val="002D6D0E"/>
    <w:rsid w:val="002E6705"/>
    <w:rsid w:val="00300695"/>
    <w:rsid w:val="0030329A"/>
    <w:rsid w:val="0031086F"/>
    <w:rsid w:val="0031414C"/>
    <w:rsid w:val="00314E01"/>
    <w:rsid w:val="0032089D"/>
    <w:rsid w:val="00321581"/>
    <w:rsid w:val="003310DE"/>
    <w:rsid w:val="003323B0"/>
    <w:rsid w:val="0033437A"/>
    <w:rsid w:val="00340A49"/>
    <w:rsid w:val="0035169A"/>
    <w:rsid w:val="0035259D"/>
    <w:rsid w:val="00364B18"/>
    <w:rsid w:val="0036646D"/>
    <w:rsid w:val="003A125D"/>
    <w:rsid w:val="003A4C70"/>
    <w:rsid w:val="003B215F"/>
    <w:rsid w:val="003C799C"/>
    <w:rsid w:val="003D0399"/>
    <w:rsid w:val="003E1C71"/>
    <w:rsid w:val="003F327B"/>
    <w:rsid w:val="003F485A"/>
    <w:rsid w:val="00406166"/>
    <w:rsid w:val="0040704B"/>
    <w:rsid w:val="00410A55"/>
    <w:rsid w:val="00411300"/>
    <w:rsid w:val="004116D8"/>
    <w:rsid w:val="00413F17"/>
    <w:rsid w:val="00415417"/>
    <w:rsid w:val="00426659"/>
    <w:rsid w:val="00450352"/>
    <w:rsid w:val="00454BDB"/>
    <w:rsid w:val="00465132"/>
    <w:rsid w:val="00480C90"/>
    <w:rsid w:val="0048396F"/>
    <w:rsid w:val="00491BF2"/>
    <w:rsid w:val="00493C18"/>
    <w:rsid w:val="004A600C"/>
    <w:rsid w:val="004A6118"/>
    <w:rsid w:val="004C478D"/>
    <w:rsid w:val="004D7D95"/>
    <w:rsid w:val="004E2C26"/>
    <w:rsid w:val="005125A8"/>
    <w:rsid w:val="0051321C"/>
    <w:rsid w:val="00517549"/>
    <w:rsid w:val="00520ABC"/>
    <w:rsid w:val="00521AE8"/>
    <w:rsid w:val="00527180"/>
    <w:rsid w:val="00555291"/>
    <w:rsid w:val="0055642C"/>
    <w:rsid w:val="00566AD1"/>
    <w:rsid w:val="00583EDE"/>
    <w:rsid w:val="005A6079"/>
    <w:rsid w:val="005E4698"/>
    <w:rsid w:val="00603924"/>
    <w:rsid w:val="00610539"/>
    <w:rsid w:val="00613969"/>
    <w:rsid w:val="00625C35"/>
    <w:rsid w:val="00635162"/>
    <w:rsid w:val="00647E49"/>
    <w:rsid w:val="00650B0D"/>
    <w:rsid w:val="0065315C"/>
    <w:rsid w:val="00656313"/>
    <w:rsid w:val="006565F4"/>
    <w:rsid w:val="00684EEA"/>
    <w:rsid w:val="0069689B"/>
    <w:rsid w:val="006A3CAE"/>
    <w:rsid w:val="006B5FF5"/>
    <w:rsid w:val="006F30AF"/>
    <w:rsid w:val="00701759"/>
    <w:rsid w:val="00705C15"/>
    <w:rsid w:val="007110F6"/>
    <w:rsid w:val="007208D1"/>
    <w:rsid w:val="00725DFC"/>
    <w:rsid w:val="00744518"/>
    <w:rsid w:val="00747288"/>
    <w:rsid w:val="00747DD3"/>
    <w:rsid w:val="007549C8"/>
    <w:rsid w:val="00766D14"/>
    <w:rsid w:val="00767A0F"/>
    <w:rsid w:val="00791272"/>
    <w:rsid w:val="007A05F6"/>
    <w:rsid w:val="007B6F4A"/>
    <w:rsid w:val="007B722B"/>
    <w:rsid w:val="007D20D2"/>
    <w:rsid w:val="007E1C47"/>
    <w:rsid w:val="007E337A"/>
    <w:rsid w:val="007E5C70"/>
    <w:rsid w:val="007F09A9"/>
    <w:rsid w:val="007F2FF5"/>
    <w:rsid w:val="007F3374"/>
    <w:rsid w:val="007F3F08"/>
    <w:rsid w:val="007F6747"/>
    <w:rsid w:val="00804CC6"/>
    <w:rsid w:val="00806565"/>
    <w:rsid w:val="00817190"/>
    <w:rsid w:val="008260E2"/>
    <w:rsid w:val="008322BD"/>
    <w:rsid w:val="00834F73"/>
    <w:rsid w:val="00864C8A"/>
    <w:rsid w:val="00864CF8"/>
    <w:rsid w:val="00874914"/>
    <w:rsid w:val="00891422"/>
    <w:rsid w:val="00892E1A"/>
    <w:rsid w:val="00893524"/>
    <w:rsid w:val="008B660A"/>
    <w:rsid w:val="008C01DA"/>
    <w:rsid w:val="008F2674"/>
    <w:rsid w:val="008F78E9"/>
    <w:rsid w:val="0090450B"/>
    <w:rsid w:val="009179F9"/>
    <w:rsid w:val="00917C7A"/>
    <w:rsid w:val="00933E5E"/>
    <w:rsid w:val="00935218"/>
    <w:rsid w:val="00937C52"/>
    <w:rsid w:val="009403F3"/>
    <w:rsid w:val="009555B7"/>
    <w:rsid w:val="009567AA"/>
    <w:rsid w:val="009602C9"/>
    <w:rsid w:val="009629E7"/>
    <w:rsid w:val="00967374"/>
    <w:rsid w:val="00992664"/>
    <w:rsid w:val="009A343A"/>
    <w:rsid w:val="009A5C96"/>
    <w:rsid w:val="009B2F23"/>
    <w:rsid w:val="009B57B3"/>
    <w:rsid w:val="009D2920"/>
    <w:rsid w:val="009D5AEB"/>
    <w:rsid w:val="009F0D83"/>
    <w:rsid w:val="009F0E33"/>
    <w:rsid w:val="00A149DF"/>
    <w:rsid w:val="00A1755C"/>
    <w:rsid w:val="00A21B90"/>
    <w:rsid w:val="00A22AAC"/>
    <w:rsid w:val="00A41805"/>
    <w:rsid w:val="00A51882"/>
    <w:rsid w:val="00A52AFB"/>
    <w:rsid w:val="00A548CB"/>
    <w:rsid w:val="00A5521C"/>
    <w:rsid w:val="00A6115E"/>
    <w:rsid w:val="00A643E7"/>
    <w:rsid w:val="00A733AC"/>
    <w:rsid w:val="00A73C38"/>
    <w:rsid w:val="00A83630"/>
    <w:rsid w:val="00AB670D"/>
    <w:rsid w:val="00AD1AE8"/>
    <w:rsid w:val="00AF03C5"/>
    <w:rsid w:val="00B000D8"/>
    <w:rsid w:val="00B00F75"/>
    <w:rsid w:val="00B145B6"/>
    <w:rsid w:val="00B279EB"/>
    <w:rsid w:val="00B50C81"/>
    <w:rsid w:val="00B557F8"/>
    <w:rsid w:val="00B729BA"/>
    <w:rsid w:val="00B815FC"/>
    <w:rsid w:val="00B93FBC"/>
    <w:rsid w:val="00BA7DA0"/>
    <w:rsid w:val="00BB2BCA"/>
    <w:rsid w:val="00BB2EE4"/>
    <w:rsid w:val="00BB43EF"/>
    <w:rsid w:val="00BB4C92"/>
    <w:rsid w:val="00BC2108"/>
    <w:rsid w:val="00BD0E9E"/>
    <w:rsid w:val="00BD1BEC"/>
    <w:rsid w:val="00BD32FF"/>
    <w:rsid w:val="00BF6FE9"/>
    <w:rsid w:val="00C02092"/>
    <w:rsid w:val="00C24D91"/>
    <w:rsid w:val="00C26DB2"/>
    <w:rsid w:val="00C53F14"/>
    <w:rsid w:val="00C54D58"/>
    <w:rsid w:val="00C56DD8"/>
    <w:rsid w:val="00C600CF"/>
    <w:rsid w:val="00C6084F"/>
    <w:rsid w:val="00C6299D"/>
    <w:rsid w:val="00C62A66"/>
    <w:rsid w:val="00C66359"/>
    <w:rsid w:val="00C67893"/>
    <w:rsid w:val="00C71458"/>
    <w:rsid w:val="00C77613"/>
    <w:rsid w:val="00C828E7"/>
    <w:rsid w:val="00C86719"/>
    <w:rsid w:val="00C921DD"/>
    <w:rsid w:val="00CA6391"/>
    <w:rsid w:val="00CE036E"/>
    <w:rsid w:val="00CE3171"/>
    <w:rsid w:val="00CF1601"/>
    <w:rsid w:val="00CF2037"/>
    <w:rsid w:val="00D0172F"/>
    <w:rsid w:val="00D01E33"/>
    <w:rsid w:val="00D068A7"/>
    <w:rsid w:val="00D17476"/>
    <w:rsid w:val="00D32086"/>
    <w:rsid w:val="00D37A3F"/>
    <w:rsid w:val="00D4431D"/>
    <w:rsid w:val="00D4667A"/>
    <w:rsid w:val="00D50FA0"/>
    <w:rsid w:val="00D63A1C"/>
    <w:rsid w:val="00D7516F"/>
    <w:rsid w:val="00D95F8E"/>
    <w:rsid w:val="00DA0590"/>
    <w:rsid w:val="00DC1739"/>
    <w:rsid w:val="00DC1788"/>
    <w:rsid w:val="00DE319C"/>
    <w:rsid w:val="00DF0CA8"/>
    <w:rsid w:val="00DF2B48"/>
    <w:rsid w:val="00DF49A7"/>
    <w:rsid w:val="00E07EE2"/>
    <w:rsid w:val="00E07FD1"/>
    <w:rsid w:val="00E24573"/>
    <w:rsid w:val="00E25E1E"/>
    <w:rsid w:val="00E27EE7"/>
    <w:rsid w:val="00E35404"/>
    <w:rsid w:val="00E45109"/>
    <w:rsid w:val="00E47B7A"/>
    <w:rsid w:val="00E56A44"/>
    <w:rsid w:val="00E60269"/>
    <w:rsid w:val="00E97830"/>
    <w:rsid w:val="00EA27CE"/>
    <w:rsid w:val="00EE0830"/>
    <w:rsid w:val="00EE6CB8"/>
    <w:rsid w:val="00EF0683"/>
    <w:rsid w:val="00F0070C"/>
    <w:rsid w:val="00F00EB7"/>
    <w:rsid w:val="00F04E79"/>
    <w:rsid w:val="00F36AB6"/>
    <w:rsid w:val="00F37A09"/>
    <w:rsid w:val="00F409CE"/>
    <w:rsid w:val="00F4379D"/>
    <w:rsid w:val="00F50D2D"/>
    <w:rsid w:val="00F56C8B"/>
    <w:rsid w:val="00F62639"/>
    <w:rsid w:val="00F627D6"/>
    <w:rsid w:val="00F66810"/>
    <w:rsid w:val="00F84DF4"/>
    <w:rsid w:val="00F85C97"/>
    <w:rsid w:val="00FA2953"/>
    <w:rsid w:val="00FB37D2"/>
    <w:rsid w:val="00FC4EFB"/>
    <w:rsid w:val="00FD068D"/>
    <w:rsid w:val="00FD4F28"/>
    <w:rsid w:val="00FE0154"/>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table" w:styleId="TableGrid">
    <w:name w:val="Table Grid"/>
    <w:basedOn w:val="TableNormal"/>
    <w:uiPriority w:val="59"/>
    <w:rsid w:val="003215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321581"/>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32158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321581"/>
    <w:pPr>
      <w:tabs>
        <w:tab w:val="left" w:pos="1166"/>
      </w:tabs>
      <w:spacing w:after="480" w:line="480" w:lineRule="auto"/>
    </w:pPr>
    <w:rPr>
      <w:smallCaps/>
      <w:sz w:val="24"/>
    </w:rPr>
  </w:style>
  <w:style w:type="paragraph" w:customStyle="1" w:styleId="ParaNoNdepar-AltN">
    <w:name w:val="Para. No. / Nº de par. - Alt N"/>
    <w:uiPriority w:val="99"/>
    <w:qFormat/>
    <w:rsid w:val="00321581"/>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321581"/>
    <w:pPr>
      <w:keepNext/>
      <w:tabs>
        <w:tab w:val="left" w:pos="360"/>
      </w:tabs>
      <w:spacing w:after="720"/>
      <w:ind w:left="357" w:hanging="357"/>
      <w:jc w:val="both"/>
    </w:pPr>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3DDCB-14F2-410E-AA07-AF57E8EA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2347</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2014-01-16T21:56:00Z</dcterms:created>
  <dcterms:modified xsi:type="dcterms:W3CDTF">2014-01-16T21:56:00Z</dcterms:modified>
</cp:coreProperties>
</file>