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3D" w:rsidRPr="000A4F69" w:rsidRDefault="006D513D" w:rsidP="006D513D">
      <w:pPr>
        <w:tabs>
          <w:tab w:val="center" w:pos="4680"/>
          <w:tab w:val="right" w:pos="9360"/>
        </w:tabs>
        <w:jc w:val="center"/>
        <w:rPr>
          <w:rFonts w:eastAsiaTheme="minorHAnsi" w:cstheme="minorBidi"/>
          <w:szCs w:val="24"/>
          <w:lang w:val="fr-CA" w:eastAsia="en-US"/>
        </w:rPr>
      </w:pPr>
      <w:r w:rsidRPr="000A4F69">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1388208" r:id="rId8"/>
        </w:object>
      </w:r>
    </w:p>
    <w:p w:rsidR="006D513D" w:rsidRPr="000A4F69" w:rsidRDefault="006D513D" w:rsidP="006D513D">
      <w:pPr>
        <w:tabs>
          <w:tab w:val="center" w:pos="4680"/>
          <w:tab w:val="right" w:pos="9360"/>
        </w:tabs>
        <w:rPr>
          <w:rFonts w:eastAsiaTheme="minorHAnsi" w:cstheme="minorBidi"/>
          <w:szCs w:val="24"/>
          <w:lang w:val="fr-CA" w:eastAsia="en-US"/>
        </w:rPr>
      </w:pPr>
    </w:p>
    <w:p w:rsidR="006D513D" w:rsidRPr="000A4F69" w:rsidRDefault="006D513D" w:rsidP="006D513D">
      <w:pPr>
        <w:jc w:val="center"/>
        <w:rPr>
          <w:rFonts w:eastAsiaTheme="minorHAnsi" w:cstheme="minorBidi"/>
          <w:b/>
          <w:szCs w:val="24"/>
          <w:lang w:val="fr-CA" w:eastAsia="en-US"/>
        </w:rPr>
      </w:pPr>
      <w:r w:rsidRPr="000A4F69">
        <w:rPr>
          <w:rFonts w:eastAsiaTheme="minorHAnsi" w:cstheme="minorBidi"/>
          <w:b/>
          <w:szCs w:val="24"/>
          <w:lang w:val="fr-CA" w:eastAsia="en-US"/>
        </w:rPr>
        <w:t>COUR SUPRÊME DU CANADA</w:t>
      </w:r>
    </w:p>
    <w:p w:rsidR="006D513D" w:rsidRPr="000A4F69" w:rsidRDefault="006D513D" w:rsidP="006D513D">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D513D" w:rsidRPr="000A4F69" w:rsidTr="00380C2B">
        <w:trPr>
          <w:cantSplit/>
        </w:trPr>
        <w:tc>
          <w:tcPr>
            <w:tcW w:w="6768" w:type="dxa"/>
          </w:tcPr>
          <w:p w:rsidR="006D513D" w:rsidRPr="006D513D" w:rsidRDefault="006D513D" w:rsidP="00380C2B">
            <w:pPr>
              <w:rPr>
                <w:lang w:val="fr-CA"/>
              </w:rPr>
            </w:pPr>
            <w:r w:rsidRPr="000A4F69">
              <w:rPr>
                <w:b/>
                <w:smallCaps/>
                <w:lang w:val="fr-CA"/>
              </w:rPr>
              <w:t>Référence :</w:t>
            </w:r>
            <w:r w:rsidRPr="000A4F69">
              <w:rPr>
                <w:lang w:val="fr-CA"/>
              </w:rPr>
              <w:t xml:space="preserve"> R. </w:t>
            </w:r>
            <w:r w:rsidRPr="000A4F69">
              <w:rPr>
                <w:i/>
                <w:lang w:val="fr-CA"/>
              </w:rPr>
              <w:t>c.</w:t>
            </w:r>
            <w:r w:rsidRPr="000A4F69">
              <w:rPr>
                <w:lang w:val="fr-CA"/>
              </w:rPr>
              <w:t xml:space="preserve"> </w:t>
            </w:r>
            <w:proofErr w:type="spellStart"/>
            <w:r w:rsidRPr="000A4F69">
              <w:rPr>
                <w:lang w:val="fr-CA"/>
              </w:rPr>
              <w:t>Sanichar</w:t>
            </w:r>
            <w:proofErr w:type="spellEnd"/>
            <w:r w:rsidRPr="000A4F69">
              <w:rPr>
                <w:lang w:val="fr-CA"/>
              </w:rPr>
              <w:t xml:space="preserve">, </w:t>
            </w:r>
            <w:r w:rsidRPr="006D513D">
              <w:rPr>
                <w:lang w:val="fr-CA"/>
              </w:rPr>
              <w:t>2013 CSC 4, [2013] 1 R.C.S. 54</w:t>
            </w:r>
          </w:p>
        </w:tc>
        <w:tc>
          <w:tcPr>
            <w:tcW w:w="2808" w:type="dxa"/>
          </w:tcPr>
          <w:p w:rsidR="006D513D" w:rsidRPr="000A4F69" w:rsidRDefault="006D513D" w:rsidP="00380C2B">
            <w:pPr>
              <w:rPr>
                <w:lang w:val="fr-CA"/>
              </w:rPr>
            </w:pPr>
            <w:r w:rsidRPr="000A4F69">
              <w:rPr>
                <w:b/>
                <w:smallCaps/>
                <w:lang w:val="fr-CA"/>
              </w:rPr>
              <w:t>Date :</w:t>
            </w:r>
            <w:r w:rsidRPr="000A4F69">
              <w:rPr>
                <w:lang w:val="fr-CA"/>
              </w:rPr>
              <w:t xml:space="preserve"> 20130124</w:t>
            </w:r>
          </w:p>
          <w:p w:rsidR="006D513D" w:rsidRPr="000A4F69" w:rsidRDefault="006D513D" w:rsidP="00380C2B">
            <w:pPr>
              <w:rPr>
                <w:lang w:val="fr-CA"/>
              </w:rPr>
            </w:pPr>
            <w:r w:rsidRPr="000A4F69">
              <w:rPr>
                <w:b/>
                <w:smallCaps/>
                <w:lang w:val="fr-CA"/>
              </w:rPr>
              <w:t>Dossier :</w:t>
            </w:r>
            <w:r w:rsidRPr="000A4F69">
              <w:rPr>
                <w:lang w:val="fr-CA"/>
              </w:rPr>
              <w:t xml:space="preserve"> 34720</w:t>
            </w:r>
          </w:p>
        </w:tc>
      </w:tr>
    </w:tbl>
    <w:p w:rsidR="006D513D" w:rsidRPr="000A4F69" w:rsidRDefault="006D513D" w:rsidP="006D513D">
      <w:pPr>
        <w:rPr>
          <w:rFonts w:eastAsiaTheme="minorHAnsi" w:cstheme="minorBidi"/>
          <w:szCs w:val="24"/>
          <w:lang w:val="fr-CA" w:eastAsia="en-US"/>
        </w:rPr>
      </w:pPr>
    </w:p>
    <w:p w:rsidR="006D513D" w:rsidRPr="000A4F69" w:rsidRDefault="006D513D" w:rsidP="006D513D">
      <w:pPr>
        <w:rPr>
          <w:rFonts w:eastAsiaTheme="minorHAnsi" w:cstheme="minorBidi"/>
          <w:b/>
          <w:smallCaps/>
          <w:szCs w:val="24"/>
          <w:lang w:val="fr-CA" w:eastAsia="en-US"/>
        </w:rPr>
      </w:pPr>
      <w:r w:rsidRPr="000A4F69">
        <w:rPr>
          <w:rFonts w:eastAsiaTheme="minorHAnsi" w:cstheme="minorBidi"/>
          <w:b/>
          <w:smallCaps/>
          <w:szCs w:val="24"/>
          <w:lang w:val="fr-CA" w:eastAsia="en-US"/>
        </w:rPr>
        <w:t>Entre :</w:t>
      </w:r>
    </w:p>
    <w:p w:rsidR="006D513D" w:rsidRPr="000A4F69" w:rsidRDefault="006D513D" w:rsidP="006D513D">
      <w:pPr>
        <w:jc w:val="center"/>
        <w:rPr>
          <w:rFonts w:eastAsiaTheme="minorHAnsi" w:cstheme="minorBidi"/>
          <w:b/>
          <w:szCs w:val="24"/>
          <w:lang w:val="fr-CA" w:eastAsia="en-US"/>
        </w:rPr>
      </w:pPr>
      <w:r w:rsidRPr="000A4F69">
        <w:rPr>
          <w:rFonts w:eastAsiaTheme="minorHAnsi" w:cstheme="minorBidi"/>
          <w:b/>
          <w:szCs w:val="24"/>
          <w:lang w:val="fr-CA" w:eastAsia="en-US"/>
        </w:rPr>
        <w:t>Sa Majesté la Reine</w:t>
      </w:r>
    </w:p>
    <w:p w:rsidR="006D513D" w:rsidRPr="000A4F69" w:rsidRDefault="006D513D" w:rsidP="006D513D">
      <w:pPr>
        <w:jc w:val="center"/>
        <w:rPr>
          <w:rFonts w:eastAsiaTheme="minorHAnsi" w:cstheme="minorBidi"/>
          <w:szCs w:val="24"/>
          <w:lang w:val="fr-CA" w:eastAsia="en-US"/>
        </w:rPr>
      </w:pPr>
      <w:r w:rsidRPr="000A4F69">
        <w:rPr>
          <w:rFonts w:eastAsiaTheme="minorHAnsi" w:cstheme="minorBidi"/>
          <w:szCs w:val="24"/>
          <w:lang w:val="fr-CA" w:eastAsia="en-US"/>
        </w:rPr>
        <w:t>Appelante</w:t>
      </w:r>
    </w:p>
    <w:p w:rsidR="006D513D" w:rsidRPr="000A4F69" w:rsidRDefault="006D513D" w:rsidP="006D513D">
      <w:pPr>
        <w:jc w:val="center"/>
        <w:rPr>
          <w:rFonts w:eastAsiaTheme="minorHAnsi" w:cstheme="minorBidi"/>
          <w:szCs w:val="24"/>
          <w:lang w:val="fr-CA" w:eastAsia="en-US"/>
        </w:rPr>
      </w:pPr>
      <w:proofErr w:type="gramStart"/>
      <w:r w:rsidRPr="000A4F69">
        <w:rPr>
          <w:rFonts w:eastAsiaTheme="minorHAnsi" w:cstheme="minorBidi"/>
          <w:szCs w:val="24"/>
          <w:lang w:val="fr-CA" w:eastAsia="en-US"/>
        </w:rPr>
        <w:t>et</w:t>
      </w:r>
      <w:proofErr w:type="gramEnd"/>
    </w:p>
    <w:p w:rsidR="006D513D" w:rsidRPr="000A4F69" w:rsidRDefault="006D513D" w:rsidP="006D513D">
      <w:pPr>
        <w:jc w:val="center"/>
        <w:rPr>
          <w:rFonts w:eastAsiaTheme="minorHAnsi" w:cstheme="minorBidi"/>
          <w:b/>
          <w:szCs w:val="24"/>
          <w:lang w:val="fr-CA" w:eastAsia="en-US"/>
        </w:rPr>
      </w:pPr>
      <w:r w:rsidRPr="000A4F69">
        <w:rPr>
          <w:rFonts w:eastAsiaTheme="minorHAnsi" w:cstheme="minorBidi"/>
          <w:b/>
          <w:szCs w:val="24"/>
          <w:lang w:val="fr-CA" w:eastAsia="en-US"/>
        </w:rPr>
        <w:t xml:space="preserve">Harry </w:t>
      </w:r>
      <w:proofErr w:type="spellStart"/>
      <w:r w:rsidRPr="000A4F69">
        <w:rPr>
          <w:rFonts w:eastAsiaTheme="minorHAnsi" w:cstheme="minorBidi"/>
          <w:b/>
          <w:szCs w:val="24"/>
          <w:lang w:val="fr-CA" w:eastAsia="en-US"/>
        </w:rPr>
        <w:t>Persaud</w:t>
      </w:r>
      <w:proofErr w:type="spellEnd"/>
      <w:r w:rsidRPr="000A4F69">
        <w:rPr>
          <w:rFonts w:eastAsiaTheme="minorHAnsi" w:cstheme="minorBidi"/>
          <w:b/>
          <w:szCs w:val="24"/>
          <w:lang w:val="fr-CA" w:eastAsia="en-US"/>
        </w:rPr>
        <w:t xml:space="preserve"> </w:t>
      </w:r>
      <w:proofErr w:type="spellStart"/>
      <w:r w:rsidRPr="000A4F69">
        <w:rPr>
          <w:rFonts w:eastAsiaTheme="minorHAnsi" w:cstheme="minorBidi"/>
          <w:b/>
          <w:szCs w:val="24"/>
          <w:lang w:val="fr-CA" w:eastAsia="en-US"/>
        </w:rPr>
        <w:t>Sanichar</w:t>
      </w:r>
      <w:proofErr w:type="spellEnd"/>
    </w:p>
    <w:p w:rsidR="006D513D" w:rsidRPr="000A4F69" w:rsidRDefault="006D513D" w:rsidP="006D513D">
      <w:pPr>
        <w:jc w:val="center"/>
        <w:rPr>
          <w:rFonts w:eastAsiaTheme="minorHAnsi" w:cstheme="minorBidi"/>
          <w:szCs w:val="24"/>
          <w:lang w:val="fr-CA" w:eastAsia="en-US"/>
        </w:rPr>
      </w:pPr>
      <w:r w:rsidRPr="000A4F69">
        <w:rPr>
          <w:rFonts w:eastAsiaTheme="minorHAnsi" w:cstheme="minorBidi"/>
          <w:szCs w:val="24"/>
          <w:lang w:val="fr-CA" w:eastAsia="en-US"/>
        </w:rPr>
        <w:t>Intimé</w:t>
      </w:r>
    </w:p>
    <w:p w:rsidR="006D513D" w:rsidRPr="000A4F69" w:rsidRDefault="006D513D" w:rsidP="006D513D">
      <w:pPr>
        <w:rPr>
          <w:rFonts w:eastAsiaTheme="minorHAnsi" w:cstheme="minorBidi"/>
          <w:szCs w:val="24"/>
          <w:lang w:val="fr-CA" w:eastAsia="en-US"/>
        </w:rPr>
      </w:pPr>
    </w:p>
    <w:p w:rsidR="006D513D" w:rsidRPr="000A4F69" w:rsidRDefault="006D513D" w:rsidP="006D513D">
      <w:pPr>
        <w:rPr>
          <w:rFonts w:eastAsiaTheme="minorHAnsi" w:cstheme="minorBidi"/>
          <w:szCs w:val="24"/>
          <w:lang w:val="fr-CA" w:eastAsia="en-US"/>
        </w:rPr>
      </w:pPr>
    </w:p>
    <w:p w:rsidR="006D513D" w:rsidRPr="000A4F69" w:rsidRDefault="006D513D" w:rsidP="006D513D">
      <w:pPr>
        <w:jc w:val="center"/>
        <w:rPr>
          <w:rFonts w:eastAsiaTheme="minorHAnsi" w:cstheme="minorBidi"/>
          <w:b/>
          <w:smallCaps/>
          <w:szCs w:val="24"/>
          <w:lang w:val="fr-CA" w:eastAsia="en-US"/>
        </w:rPr>
      </w:pPr>
      <w:r w:rsidRPr="000A4F69">
        <w:rPr>
          <w:rFonts w:eastAsiaTheme="minorHAnsi" w:cstheme="minorBidi"/>
          <w:b/>
          <w:smallCaps/>
          <w:szCs w:val="24"/>
          <w:lang w:val="fr-CA" w:eastAsia="en-US"/>
        </w:rPr>
        <w:t>Traduction française officielle</w:t>
      </w:r>
    </w:p>
    <w:p w:rsidR="006D513D" w:rsidRPr="000A4F69" w:rsidRDefault="006D513D" w:rsidP="006D513D">
      <w:pPr>
        <w:rPr>
          <w:rFonts w:eastAsiaTheme="minorHAnsi" w:cstheme="minorBidi"/>
          <w:szCs w:val="24"/>
          <w:lang w:val="fr-CA" w:eastAsia="en-US"/>
        </w:rPr>
      </w:pPr>
    </w:p>
    <w:p w:rsidR="006D513D" w:rsidRPr="000A4F69" w:rsidRDefault="006D513D" w:rsidP="006D513D">
      <w:pPr>
        <w:rPr>
          <w:rFonts w:eastAsiaTheme="minorHAnsi" w:cstheme="minorBidi"/>
          <w:szCs w:val="24"/>
          <w:lang w:val="fr-CA" w:eastAsia="en-US"/>
        </w:rPr>
      </w:pPr>
      <w:r w:rsidRPr="000A4F69">
        <w:rPr>
          <w:rFonts w:eastAsiaTheme="minorHAnsi" w:cstheme="minorBidi"/>
          <w:b/>
          <w:smallCaps/>
          <w:szCs w:val="24"/>
          <w:lang w:val="fr-CA" w:eastAsia="en-US"/>
        </w:rPr>
        <w:t>Coram :</w:t>
      </w:r>
      <w:r w:rsidRPr="000A4F69">
        <w:rPr>
          <w:rFonts w:eastAsiaTheme="minorHAnsi" w:cstheme="minorBidi"/>
          <w:szCs w:val="24"/>
          <w:lang w:val="fr-CA" w:eastAsia="en-US"/>
        </w:rPr>
        <w:t xml:space="preserve"> La juge en chef McLachlin et les juges Fish, Abella, </w:t>
      </w:r>
      <w:proofErr w:type="spellStart"/>
      <w:r w:rsidRPr="000A4F69">
        <w:rPr>
          <w:rFonts w:eastAsiaTheme="minorHAnsi" w:cstheme="minorBidi"/>
          <w:szCs w:val="24"/>
          <w:lang w:val="fr-CA" w:eastAsia="en-US"/>
        </w:rPr>
        <w:t>Rothstein</w:t>
      </w:r>
      <w:proofErr w:type="spellEnd"/>
      <w:r w:rsidRPr="000A4F69">
        <w:rPr>
          <w:rFonts w:eastAsiaTheme="minorHAnsi" w:cstheme="minorBidi"/>
          <w:szCs w:val="24"/>
          <w:lang w:val="fr-CA" w:eastAsia="en-US"/>
        </w:rPr>
        <w:t xml:space="preserve">, </w:t>
      </w:r>
      <w:proofErr w:type="spellStart"/>
      <w:r w:rsidRPr="000A4F69">
        <w:rPr>
          <w:rFonts w:eastAsiaTheme="minorHAnsi" w:cstheme="minorBidi"/>
          <w:szCs w:val="24"/>
          <w:lang w:val="fr-CA" w:eastAsia="en-US"/>
        </w:rPr>
        <w:t>Moldaver</w:t>
      </w:r>
      <w:proofErr w:type="spellEnd"/>
      <w:r w:rsidRPr="000A4F69">
        <w:rPr>
          <w:rFonts w:eastAsiaTheme="minorHAnsi" w:cstheme="minorBidi"/>
          <w:szCs w:val="24"/>
          <w:lang w:val="fr-CA" w:eastAsia="en-US"/>
        </w:rPr>
        <w:t xml:space="preserve">, </w:t>
      </w:r>
      <w:proofErr w:type="spellStart"/>
      <w:r w:rsidRPr="000A4F69">
        <w:rPr>
          <w:rFonts w:eastAsiaTheme="minorHAnsi" w:cstheme="minorBidi"/>
          <w:szCs w:val="24"/>
          <w:lang w:val="fr-CA" w:eastAsia="en-US"/>
        </w:rPr>
        <w:t>Karakatsanis</w:t>
      </w:r>
      <w:proofErr w:type="spellEnd"/>
      <w:r w:rsidRPr="000A4F69">
        <w:rPr>
          <w:rFonts w:eastAsiaTheme="minorHAnsi" w:cstheme="minorBidi"/>
          <w:szCs w:val="24"/>
          <w:lang w:val="fr-CA" w:eastAsia="en-US"/>
        </w:rPr>
        <w:t xml:space="preserve"> et Wagner</w:t>
      </w:r>
    </w:p>
    <w:p w:rsidR="006D513D" w:rsidRPr="000A4F69" w:rsidRDefault="006D513D" w:rsidP="006D513D">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D513D" w:rsidRPr="000A4F69" w:rsidTr="00380C2B">
        <w:trPr>
          <w:cantSplit/>
        </w:trPr>
        <w:tc>
          <w:tcPr>
            <w:tcW w:w="3618" w:type="dxa"/>
          </w:tcPr>
          <w:p w:rsidR="006D513D" w:rsidRPr="000A4F69" w:rsidRDefault="006D513D" w:rsidP="00380C2B">
            <w:pPr>
              <w:rPr>
                <w:b/>
                <w:smallCaps/>
                <w:lang w:val="fr-CA"/>
              </w:rPr>
            </w:pPr>
            <w:r w:rsidRPr="000A4F69">
              <w:rPr>
                <w:b/>
                <w:smallCaps/>
                <w:lang w:val="fr-CA"/>
              </w:rPr>
              <w:t>Motifs de jugement :</w:t>
            </w:r>
          </w:p>
          <w:p w:rsidR="006D513D" w:rsidRPr="000A4F69" w:rsidRDefault="006D513D" w:rsidP="00380C2B">
            <w:pPr>
              <w:rPr>
                <w:lang w:val="fr-CA"/>
              </w:rPr>
            </w:pPr>
            <w:r w:rsidRPr="000A4F69">
              <w:rPr>
                <w:lang w:val="fr-CA"/>
              </w:rPr>
              <w:t>(par. 1 à 4)</w:t>
            </w:r>
          </w:p>
          <w:p w:rsidR="006D513D" w:rsidRPr="000A4F69" w:rsidRDefault="006D513D" w:rsidP="00380C2B">
            <w:pPr>
              <w:rPr>
                <w:lang w:val="fr-CA"/>
              </w:rPr>
            </w:pPr>
          </w:p>
          <w:p w:rsidR="006D513D" w:rsidRPr="000A4F69" w:rsidRDefault="006D513D" w:rsidP="00380C2B">
            <w:pPr>
              <w:rPr>
                <w:b/>
                <w:smallCaps/>
                <w:lang w:val="fr-CA"/>
              </w:rPr>
            </w:pPr>
            <w:r w:rsidRPr="000A4F69">
              <w:rPr>
                <w:b/>
                <w:smallCaps/>
                <w:lang w:val="fr-CA"/>
              </w:rPr>
              <w:t>Motifs dissidents :</w:t>
            </w:r>
          </w:p>
          <w:p w:rsidR="006D513D" w:rsidRPr="000A4F69" w:rsidRDefault="006D513D" w:rsidP="00380C2B">
            <w:pPr>
              <w:rPr>
                <w:lang w:val="fr-CA"/>
              </w:rPr>
            </w:pPr>
            <w:r w:rsidRPr="000A4F69">
              <w:rPr>
                <w:lang w:val="fr-CA"/>
              </w:rPr>
              <w:t>(par. 5 à 22):</w:t>
            </w:r>
          </w:p>
        </w:tc>
        <w:tc>
          <w:tcPr>
            <w:tcW w:w="5958" w:type="dxa"/>
          </w:tcPr>
          <w:p w:rsidR="006D513D" w:rsidRPr="000A4F69" w:rsidRDefault="006D513D" w:rsidP="00380C2B">
            <w:pPr>
              <w:rPr>
                <w:lang w:val="fr-CA"/>
              </w:rPr>
            </w:pPr>
            <w:r w:rsidRPr="000A4F69">
              <w:rPr>
                <w:lang w:val="fr-CA"/>
              </w:rPr>
              <w:t xml:space="preserve">La juge </w:t>
            </w:r>
            <w:proofErr w:type="spellStart"/>
            <w:r w:rsidRPr="000A4F69">
              <w:rPr>
                <w:lang w:val="fr-CA"/>
              </w:rPr>
              <w:t>Karakatsanis</w:t>
            </w:r>
            <w:proofErr w:type="spellEnd"/>
            <w:r w:rsidRPr="000A4F69">
              <w:rPr>
                <w:lang w:val="fr-CA"/>
              </w:rPr>
              <w:t xml:space="preserve"> (avec l’accord de la juge en chef McLachlin et des juges Abella, </w:t>
            </w:r>
            <w:proofErr w:type="spellStart"/>
            <w:r w:rsidRPr="000A4F69">
              <w:rPr>
                <w:lang w:val="fr-CA"/>
              </w:rPr>
              <w:t>Rothstein</w:t>
            </w:r>
            <w:proofErr w:type="spellEnd"/>
            <w:r w:rsidRPr="000A4F69">
              <w:rPr>
                <w:lang w:val="fr-CA"/>
              </w:rPr>
              <w:t xml:space="preserve">, </w:t>
            </w:r>
            <w:proofErr w:type="spellStart"/>
            <w:r w:rsidRPr="000A4F69">
              <w:rPr>
                <w:lang w:val="fr-CA"/>
              </w:rPr>
              <w:t>Moldaver</w:t>
            </w:r>
            <w:proofErr w:type="spellEnd"/>
            <w:r w:rsidRPr="000A4F69">
              <w:rPr>
                <w:lang w:val="fr-CA"/>
              </w:rPr>
              <w:t xml:space="preserve"> et Wagner)</w:t>
            </w:r>
          </w:p>
          <w:p w:rsidR="006D513D" w:rsidRPr="000A4F69" w:rsidRDefault="006D513D" w:rsidP="00380C2B">
            <w:pPr>
              <w:rPr>
                <w:lang w:val="fr-CA"/>
              </w:rPr>
            </w:pPr>
          </w:p>
          <w:p w:rsidR="006D513D" w:rsidRPr="000A4F69" w:rsidRDefault="006D513D" w:rsidP="00380C2B">
            <w:pPr>
              <w:rPr>
                <w:lang w:val="fr-CA"/>
              </w:rPr>
            </w:pPr>
            <w:r w:rsidRPr="000A4F69">
              <w:rPr>
                <w:lang w:val="fr-CA"/>
              </w:rPr>
              <w:t>Le juge Fish</w:t>
            </w:r>
          </w:p>
        </w:tc>
      </w:tr>
    </w:tbl>
    <w:p w:rsidR="006D513D" w:rsidRPr="000A4F69" w:rsidRDefault="006D513D" w:rsidP="006D513D">
      <w:pPr>
        <w:rPr>
          <w:rFonts w:eastAsiaTheme="minorHAnsi" w:cstheme="minorBidi"/>
          <w:szCs w:val="24"/>
          <w:lang w:val="fr-CA" w:eastAsia="en-US"/>
        </w:rPr>
      </w:pPr>
    </w:p>
    <w:p w:rsidR="006D513D" w:rsidRPr="000A4F69" w:rsidRDefault="006D513D" w:rsidP="006D513D">
      <w:pPr>
        <w:rPr>
          <w:rFonts w:eastAsiaTheme="minorHAnsi" w:cstheme="minorBidi"/>
          <w:szCs w:val="24"/>
          <w:lang w:val="fr-CA" w:eastAsia="en-US"/>
        </w:rPr>
      </w:pPr>
    </w:p>
    <w:p w:rsidR="006D513D" w:rsidRPr="000A4F69" w:rsidRDefault="009428B6" w:rsidP="006D513D">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D513D" w:rsidRPr="000A4F69" w:rsidRDefault="006D513D" w:rsidP="006D513D">
      <w:pPr>
        <w:rPr>
          <w:smallCaps/>
          <w:lang w:val="fr-CA"/>
        </w:rPr>
      </w:pPr>
      <w:r w:rsidRPr="000A4F69">
        <w:rPr>
          <w:smallCaps/>
          <w:lang w:val="fr-CA"/>
        </w:rPr>
        <w:br w:type="page"/>
      </w:r>
    </w:p>
    <w:p w:rsidR="004D7D95" w:rsidRPr="006D513D" w:rsidRDefault="003906BB" w:rsidP="006A7307">
      <w:pPr>
        <w:spacing w:after="720" w:line="480" w:lineRule="auto"/>
        <w:jc w:val="both"/>
        <w:rPr>
          <w:lang w:val="en-US"/>
        </w:rPr>
      </w:pPr>
      <w:r w:rsidRPr="006D513D">
        <w:rPr>
          <w:lang w:val="en-US"/>
        </w:rPr>
        <w:lastRenderedPageBreak/>
        <w:t>R</w:t>
      </w:r>
      <w:r w:rsidR="004D7D95" w:rsidRPr="006D513D">
        <w:rPr>
          <w:lang w:val="en-US"/>
        </w:rPr>
        <w:t xml:space="preserve">. </w:t>
      </w:r>
      <w:r w:rsidR="004D7D95" w:rsidRPr="006D513D">
        <w:rPr>
          <w:i/>
          <w:lang w:val="en-US"/>
        </w:rPr>
        <w:t>c.</w:t>
      </w:r>
      <w:r w:rsidR="004D7D95" w:rsidRPr="006D513D">
        <w:rPr>
          <w:lang w:val="en-US"/>
        </w:rPr>
        <w:t xml:space="preserve"> </w:t>
      </w:r>
      <w:proofErr w:type="spellStart"/>
      <w:r w:rsidRPr="006D513D">
        <w:rPr>
          <w:lang w:val="en-US"/>
        </w:rPr>
        <w:t>S</w:t>
      </w:r>
      <w:r w:rsidR="004D7D95" w:rsidRPr="006D513D">
        <w:rPr>
          <w:lang w:val="en-US"/>
        </w:rPr>
        <w:t>anichar</w:t>
      </w:r>
      <w:proofErr w:type="spellEnd"/>
      <w:r w:rsidRPr="006D513D">
        <w:rPr>
          <w:lang w:val="en-US"/>
        </w:rPr>
        <w:t>, 2013 CSC 4, [2013] 1 R.C.S. 54</w:t>
      </w:r>
    </w:p>
    <w:p w:rsidR="001B117D" w:rsidRPr="005A58EA" w:rsidRDefault="00C30BE2" w:rsidP="006A7307">
      <w:pPr>
        <w:pStyle w:val="SCCLsocLastPartyInRole"/>
        <w:rPr>
          <w:lang w:val="fr-CA"/>
        </w:rPr>
      </w:pPr>
      <w:r w:rsidRPr="005A58EA">
        <w:rPr>
          <w:lang w:val="fr-CA"/>
        </w:rPr>
        <w:t>Sa Majesté la Reine</w:t>
      </w:r>
      <w:r w:rsidRPr="005A58EA">
        <w:rPr>
          <w:rStyle w:val="SCCLsocPartyRole"/>
          <w:lang w:val="fr-CA"/>
        </w:rPr>
        <w:tab/>
        <w:t>Appelante</w:t>
      </w:r>
    </w:p>
    <w:p w:rsidR="001B117D" w:rsidRPr="005A58EA" w:rsidRDefault="00C30BE2" w:rsidP="006A7307">
      <w:pPr>
        <w:pStyle w:val="SCCLsocVersus"/>
        <w:rPr>
          <w:lang w:val="fr-CA"/>
        </w:rPr>
      </w:pPr>
      <w:proofErr w:type="gramStart"/>
      <w:r w:rsidRPr="005A58EA">
        <w:rPr>
          <w:lang w:val="fr-CA"/>
        </w:rPr>
        <w:t>c</w:t>
      </w:r>
      <w:proofErr w:type="gramEnd"/>
      <w:r w:rsidRPr="005A58EA">
        <w:rPr>
          <w:lang w:val="fr-CA"/>
        </w:rPr>
        <w:t>.</w:t>
      </w:r>
    </w:p>
    <w:p w:rsidR="001B117D" w:rsidRPr="005A58EA" w:rsidRDefault="00C30BE2" w:rsidP="006A7307">
      <w:pPr>
        <w:pStyle w:val="SCCLsocLastPartyInRole"/>
        <w:rPr>
          <w:lang w:val="fr-CA"/>
        </w:rPr>
      </w:pPr>
      <w:r w:rsidRPr="005A58EA">
        <w:rPr>
          <w:lang w:val="fr-CA"/>
        </w:rPr>
        <w:t xml:space="preserve">Harry </w:t>
      </w:r>
      <w:proofErr w:type="spellStart"/>
      <w:r w:rsidRPr="005A58EA">
        <w:rPr>
          <w:lang w:val="fr-CA"/>
        </w:rPr>
        <w:t>Persaud</w:t>
      </w:r>
      <w:proofErr w:type="spellEnd"/>
      <w:r w:rsidRPr="005A58EA">
        <w:rPr>
          <w:lang w:val="fr-CA"/>
        </w:rPr>
        <w:t xml:space="preserve"> </w:t>
      </w:r>
      <w:proofErr w:type="spellStart"/>
      <w:r w:rsidRPr="005A58EA">
        <w:rPr>
          <w:lang w:val="fr-CA"/>
        </w:rPr>
        <w:t>Sanichar</w:t>
      </w:r>
      <w:proofErr w:type="spellEnd"/>
      <w:r w:rsidRPr="005A58EA">
        <w:rPr>
          <w:rStyle w:val="SCCLsocPartyRole"/>
          <w:lang w:val="fr-CA"/>
        </w:rPr>
        <w:tab/>
        <w:t>Intimé</w:t>
      </w:r>
    </w:p>
    <w:p w:rsidR="004D7D95" w:rsidRPr="005A58EA" w:rsidRDefault="004D7D95" w:rsidP="006A7307">
      <w:pPr>
        <w:spacing w:after="720"/>
        <w:jc w:val="both"/>
        <w:rPr>
          <w:b/>
          <w:lang w:val="fr-CA"/>
        </w:rPr>
      </w:pPr>
      <w:r w:rsidRPr="005A58EA">
        <w:rPr>
          <w:b/>
          <w:lang w:val="fr-CA"/>
        </w:rPr>
        <w:t xml:space="preserve">Répertorié : R. </w:t>
      </w:r>
      <w:r w:rsidRPr="005A58EA">
        <w:rPr>
          <w:b/>
          <w:i/>
          <w:lang w:val="fr-CA"/>
        </w:rPr>
        <w:t>c.</w:t>
      </w:r>
      <w:r w:rsidRPr="005A58EA">
        <w:rPr>
          <w:b/>
          <w:lang w:val="fr-CA"/>
        </w:rPr>
        <w:t xml:space="preserve"> </w:t>
      </w:r>
      <w:proofErr w:type="spellStart"/>
      <w:r w:rsidRPr="005A58EA">
        <w:rPr>
          <w:b/>
          <w:lang w:val="fr-CA"/>
        </w:rPr>
        <w:t>Sanichar</w:t>
      </w:r>
      <w:proofErr w:type="spellEnd"/>
    </w:p>
    <w:p w:rsidR="004D7D95" w:rsidRPr="005A58EA" w:rsidRDefault="00F62639" w:rsidP="006A7307">
      <w:pPr>
        <w:pStyle w:val="SCCSystemYear"/>
        <w:spacing w:after="720"/>
        <w:jc w:val="both"/>
        <w:rPr>
          <w:lang w:val="fr-CA"/>
        </w:rPr>
      </w:pPr>
      <w:r w:rsidRPr="005A58EA">
        <w:rPr>
          <w:lang w:val="fr-CA"/>
        </w:rPr>
        <w:t>2013</w:t>
      </w:r>
      <w:r w:rsidR="002D1862" w:rsidRPr="005A58EA">
        <w:rPr>
          <w:lang w:val="fr-CA"/>
        </w:rPr>
        <w:t xml:space="preserve"> CSC 4</w:t>
      </w:r>
    </w:p>
    <w:p w:rsidR="004D7D95" w:rsidRPr="005A58EA" w:rsidRDefault="004D7D95" w:rsidP="006A7307">
      <w:pPr>
        <w:spacing w:after="720"/>
        <w:jc w:val="both"/>
        <w:rPr>
          <w:lang w:val="fr-CA"/>
        </w:rPr>
      </w:pPr>
      <w:r w:rsidRPr="005A58EA">
        <w:rPr>
          <w:lang w:val="fr-CA"/>
        </w:rPr>
        <w:t>N</w:t>
      </w:r>
      <w:r w:rsidRPr="005A58EA">
        <w:rPr>
          <w:vertAlign w:val="superscript"/>
          <w:lang w:val="fr-CA"/>
        </w:rPr>
        <w:t>o</w:t>
      </w:r>
      <w:r w:rsidRPr="005A58EA">
        <w:rPr>
          <w:lang w:val="fr-CA"/>
        </w:rPr>
        <w:t xml:space="preserve"> du greffe : 34720.</w:t>
      </w:r>
    </w:p>
    <w:p w:rsidR="004D7D95" w:rsidRPr="005A58EA" w:rsidRDefault="00F62639" w:rsidP="006A7307">
      <w:pPr>
        <w:spacing w:after="720"/>
        <w:jc w:val="both"/>
        <w:rPr>
          <w:lang w:val="fr-CA"/>
        </w:rPr>
      </w:pPr>
      <w:r w:rsidRPr="005A58EA">
        <w:rPr>
          <w:lang w:val="fr-CA"/>
        </w:rPr>
        <w:t>2012</w:t>
      </w:r>
      <w:r w:rsidR="00AB415E" w:rsidRPr="005A58EA">
        <w:rPr>
          <w:lang w:val="fr-CA"/>
        </w:rPr>
        <w:t> </w:t>
      </w:r>
      <w:r w:rsidRPr="005A58EA">
        <w:rPr>
          <w:lang w:val="fr-CA"/>
        </w:rPr>
        <w:t>:</w:t>
      </w:r>
      <w:r w:rsidR="00AB415E" w:rsidRPr="005A58EA">
        <w:rPr>
          <w:lang w:val="fr-CA"/>
        </w:rPr>
        <w:t> </w:t>
      </w:r>
      <w:r w:rsidRPr="005A58EA">
        <w:rPr>
          <w:lang w:val="fr-CA"/>
        </w:rPr>
        <w:t>6 décembre</w:t>
      </w:r>
      <w:r w:rsidR="004D7D95" w:rsidRPr="005A58EA">
        <w:rPr>
          <w:lang w:val="fr-CA"/>
        </w:rPr>
        <w:t xml:space="preserve">; </w:t>
      </w:r>
      <w:r w:rsidR="00AB415E" w:rsidRPr="005A58EA">
        <w:rPr>
          <w:lang w:val="fr-CA"/>
        </w:rPr>
        <w:t>2013 : </w:t>
      </w:r>
      <w:r w:rsidR="00EC7E36" w:rsidRPr="005A58EA">
        <w:rPr>
          <w:lang w:val="fr-CA"/>
        </w:rPr>
        <w:t>24 janvier</w:t>
      </w:r>
      <w:r w:rsidR="004D7D95" w:rsidRPr="005A58EA">
        <w:rPr>
          <w:lang w:val="fr-CA"/>
        </w:rPr>
        <w:t>.</w:t>
      </w:r>
    </w:p>
    <w:p w:rsidR="004D7D95" w:rsidRPr="005A58EA" w:rsidRDefault="004D7D95" w:rsidP="006A7307">
      <w:pPr>
        <w:spacing w:after="720"/>
        <w:jc w:val="both"/>
        <w:rPr>
          <w:lang w:val="fr-CA"/>
        </w:rPr>
      </w:pPr>
      <w:r w:rsidRPr="005A58EA">
        <w:rPr>
          <w:lang w:val="fr-CA"/>
        </w:rPr>
        <w:t xml:space="preserve">Présents : La juge en chef McLachlin et les juges Fish, Abella, </w:t>
      </w:r>
      <w:proofErr w:type="spellStart"/>
      <w:r w:rsidRPr="005A58EA">
        <w:rPr>
          <w:lang w:val="fr-CA"/>
        </w:rPr>
        <w:t>Rothstein</w:t>
      </w:r>
      <w:proofErr w:type="spellEnd"/>
      <w:r w:rsidRPr="005A58EA">
        <w:rPr>
          <w:lang w:val="fr-CA"/>
        </w:rPr>
        <w:t xml:space="preserve">, </w:t>
      </w:r>
      <w:proofErr w:type="spellStart"/>
      <w:r w:rsidRPr="005A58EA">
        <w:rPr>
          <w:lang w:val="fr-CA"/>
        </w:rPr>
        <w:t>Moldaver</w:t>
      </w:r>
      <w:proofErr w:type="spellEnd"/>
      <w:r w:rsidRPr="005A58EA">
        <w:rPr>
          <w:lang w:val="fr-CA"/>
        </w:rPr>
        <w:t xml:space="preserve">, </w:t>
      </w:r>
      <w:proofErr w:type="spellStart"/>
      <w:r w:rsidRPr="005A58EA">
        <w:rPr>
          <w:lang w:val="fr-CA"/>
        </w:rPr>
        <w:t>Karakatsanis</w:t>
      </w:r>
      <w:proofErr w:type="spellEnd"/>
      <w:r w:rsidRPr="005A58EA">
        <w:rPr>
          <w:lang w:val="fr-CA"/>
        </w:rPr>
        <w:t xml:space="preserve"> et Wagner.</w:t>
      </w:r>
    </w:p>
    <w:p w:rsidR="004D7D95" w:rsidRPr="005A58EA" w:rsidRDefault="004D7D95" w:rsidP="006A7307">
      <w:pPr>
        <w:spacing w:after="720"/>
        <w:jc w:val="both"/>
        <w:rPr>
          <w:smallCaps/>
          <w:lang w:val="fr-CA"/>
        </w:rPr>
      </w:pPr>
      <w:r w:rsidRPr="005A58EA">
        <w:rPr>
          <w:smallCaps/>
          <w:lang w:val="fr-CA"/>
        </w:rPr>
        <w:t>en appel de la cour d’appel de l’</w:t>
      </w:r>
      <w:proofErr w:type="spellStart"/>
      <w:r w:rsidRPr="005A58EA">
        <w:rPr>
          <w:smallCaps/>
          <w:lang w:val="fr-CA"/>
        </w:rPr>
        <w:t>ontario</w:t>
      </w:r>
      <w:proofErr w:type="spellEnd"/>
    </w:p>
    <w:p w:rsidR="004D7D95" w:rsidRDefault="004D7D95" w:rsidP="00322A0B">
      <w:pPr>
        <w:pStyle w:val="SCCNormalDoubleSpacing"/>
        <w:spacing w:after="480"/>
        <w:rPr>
          <w:lang w:val="fr-CA"/>
        </w:rPr>
      </w:pPr>
      <w:r w:rsidRPr="005A58EA">
        <w:rPr>
          <w:lang w:val="fr-CA"/>
        </w:rPr>
        <w:tab/>
      </w:r>
      <w:r w:rsidR="00BD689A" w:rsidRPr="005A58EA">
        <w:rPr>
          <w:i/>
          <w:lang w:val="fr-CA"/>
        </w:rPr>
        <w:t xml:space="preserve">Droit criminel </w:t>
      </w:r>
      <w:r w:rsidR="006A7307" w:rsidRPr="005A58EA">
        <w:rPr>
          <w:i/>
          <w:lang w:val="fr-CA"/>
        </w:rPr>
        <w:t>—</w:t>
      </w:r>
      <w:r w:rsidR="00E046D4" w:rsidRPr="005A58EA">
        <w:rPr>
          <w:i/>
          <w:lang w:val="fr-CA"/>
        </w:rPr>
        <w:t xml:space="preserve"> </w:t>
      </w:r>
      <w:r w:rsidR="00BD689A" w:rsidRPr="005A58EA">
        <w:rPr>
          <w:i/>
          <w:lang w:val="fr-CA"/>
        </w:rPr>
        <w:t xml:space="preserve">Appels </w:t>
      </w:r>
      <w:r w:rsidR="006A7307" w:rsidRPr="005A58EA">
        <w:rPr>
          <w:i/>
          <w:lang w:val="fr-CA"/>
        </w:rPr>
        <w:t>—</w:t>
      </w:r>
      <w:r w:rsidR="00E046D4" w:rsidRPr="005A58EA">
        <w:rPr>
          <w:i/>
          <w:lang w:val="fr-CA"/>
        </w:rPr>
        <w:t xml:space="preserve"> </w:t>
      </w:r>
      <w:r w:rsidR="00BD689A" w:rsidRPr="005A58EA">
        <w:rPr>
          <w:i/>
          <w:lang w:val="fr-CA"/>
        </w:rPr>
        <w:t xml:space="preserve">Accusé déclaré coupable </w:t>
      </w:r>
      <w:r w:rsidR="0055762C" w:rsidRPr="005A58EA">
        <w:rPr>
          <w:i/>
          <w:lang w:val="fr-CA"/>
        </w:rPr>
        <w:t xml:space="preserve">au procès </w:t>
      </w:r>
      <w:r w:rsidR="00BD689A" w:rsidRPr="005A58EA">
        <w:rPr>
          <w:i/>
          <w:lang w:val="fr-CA"/>
        </w:rPr>
        <w:t xml:space="preserve">relativement à plusieurs </w:t>
      </w:r>
      <w:r w:rsidR="009B0C5F" w:rsidRPr="005A58EA">
        <w:rPr>
          <w:i/>
          <w:lang w:val="fr-CA"/>
        </w:rPr>
        <w:t>chefs d’</w:t>
      </w:r>
      <w:r w:rsidR="00BD689A" w:rsidRPr="005A58EA">
        <w:rPr>
          <w:i/>
          <w:lang w:val="fr-CA"/>
        </w:rPr>
        <w:t xml:space="preserve">accusation </w:t>
      </w:r>
      <w:r w:rsidR="0055762C" w:rsidRPr="005A58EA">
        <w:rPr>
          <w:i/>
          <w:lang w:val="fr-CA"/>
        </w:rPr>
        <w:t xml:space="preserve">liés à des sévices corporels et </w:t>
      </w:r>
      <w:r w:rsidR="00BD689A" w:rsidRPr="005A58EA">
        <w:rPr>
          <w:i/>
          <w:lang w:val="fr-CA"/>
        </w:rPr>
        <w:t>d</w:t>
      </w:r>
      <w:r w:rsidR="0055762C" w:rsidRPr="005A58EA">
        <w:rPr>
          <w:i/>
          <w:lang w:val="fr-CA"/>
        </w:rPr>
        <w:t xml:space="preserve">es </w:t>
      </w:r>
      <w:r w:rsidR="00BD689A" w:rsidRPr="005A58EA">
        <w:rPr>
          <w:i/>
          <w:lang w:val="fr-CA"/>
        </w:rPr>
        <w:t>agression</w:t>
      </w:r>
      <w:r w:rsidR="0055762C" w:rsidRPr="005A58EA">
        <w:rPr>
          <w:i/>
          <w:lang w:val="fr-CA"/>
        </w:rPr>
        <w:t>s</w:t>
      </w:r>
      <w:r w:rsidR="00BD689A" w:rsidRPr="005A58EA">
        <w:rPr>
          <w:i/>
          <w:lang w:val="fr-CA"/>
        </w:rPr>
        <w:t xml:space="preserve"> sexuelle</w:t>
      </w:r>
      <w:r w:rsidR="0055762C" w:rsidRPr="005A58EA">
        <w:rPr>
          <w:i/>
          <w:lang w:val="fr-CA"/>
        </w:rPr>
        <w:t>s</w:t>
      </w:r>
      <w:r w:rsidR="00BD689A" w:rsidRPr="005A58EA">
        <w:rPr>
          <w:i/>
          <w:lang w:val="fr-CA"/>
        </w:rPr>
        <w:t xml:space="preserve"> </w:t>
      </w:r>
      <w:r w:rsidR="006A7307" w:rsidRPr="005A58EA">
        <w:rPr>
          <w:i/>
          <w:lang w:val="fr-CA"/>
        </w:rPr>
        <w:t>—</w:t>
      </w:r>
      <w:r w:rsidR="00E046D4" w:rsidRPr="005A58EA">
        <w:rPr>
          <w:i/>
          <w:lang w:val="fr-CA"/>
        </w:rPr>
        <w:t xml:space="preserve"> </w:t>
      </w:r>
      <w:r w:rsidR="0055762C" w:rsidRPr="005A58EA">
        <w:rPr>
          <w:i/>
          <w:lang w:val="fr-CA"/>
        </w:rPr>
        <w:t xml:space="preserve">Déclarations de culpabilité annulées et nouveau procès ordonné par la Cour d’appel </w:t>
      </w:r>
      <w:r w:rsidR="00E046D4" w:rsidRPr="005A58EA">
        <w:rPr>
          <w:i/>
          <w:lang w:val="fr-CA"/>
        </w:rPr>
        <w:t xml:space="preserve">— </w:t>
      </w:r>
      <w:r w:rsidR="0055762C" w:rsidRPr="005A58EA">
        <w:rPr>
          <w:i/>
          <w:lang w:val="fr-CA"/>
        </w:rPr>
        <w:t>L</w:t>
      </w:r>
      <w:r w:rsidR="00F515FF" w:rsidRPr="005A58EA">
        <w:rPr>
          <w:i/>
          <w:lang w:val="fr-CA"/>
        </w:rPr>
        <w:t xml:space="preserve">e pourvoi </w:t>
      </w:r>
      <w:proofErr w:type="spellStart"/>
      <w:r w:rsidR="0055762C" w:rsidRPr="005A58EA">
        <w:rPr>
          <w:i/>
          <w:lang w:val="fr-CA"/>
        </w:rPr>
        <w:t>soulève</w:t>
      </w:r>
      <w:r w:rsidR="0055762C" w:rsidRPr="005A58EA">
        <w:rPr>
          <w:i/>
          <w:lang w:val="fr-CA"/>
        </w:rPr>
        <w:noBreakHyphen/>
        <w:t>t</w:t>
      </w:r>
      <w:r w:rsidR="0055762C" w:rsidRPr="005A58EA">
        <w:rPr>
          <w:i/>
          <w:lang w:val="fr-CA"/>
        </w:rPr>
        <w:noBreakHyphen/>
        <w:t>il</w:t>
      </w:r>
      <w:proofErr w:type="spellEnd"/>
      <w:r w:rsidR="0055762C" w:rsidRPr="005A58EA">
        <w:rPr>
          <w:i/>
          <w:lang w:val="fr-CA"/>
        </w:rPr>
        <w:t xml:space="preserve"> une question de droit? </w:t>
      </w:r>
      <w:r w:rsidR="006A7307" w:rsidRPr="005A58EA">
        <w:rPr>
          <w:i/>
          <w:lang w:val="fr-CA"/>
        </w:rPr>
        <w:t>—</w:t>
      </w:r>
      <w:r w:rsidR="00E046D4" w:rsidRPr="005A58EA">
        <w:rPr>
          <w:i/>
          <w:lang w:val="fr-CA"/>
        </w:rPr>
        <w:t xml:space="preserve"> </w:t>
      </w:r>
      <w:r w:rsidR="0055762C" w:rsidRPr="005A58EA">
        <w:rPr>
          <w:i/>
          <w:lang w:val="fr-CA"/>
        </w:rPr>
        <w:t xml:space="preserve">La </w:t>
      </w:r>
      <w:r w:rsidR="0055762C" w:rsidRPr="005A58EA">
        <w:rPr>
          <w:i/>
          <w:lang w:val="fr-CA"/>
        </w:rPr>
        <w:lastRenderedPageBreak/>
        <w:t xml:space="preserve">Cour d’appel </w:t>
      </w:r>
      <w:proofErr w:type="spellStart"/>
      <w:r w:rsidR="0055762C" w:rsidRPr="005A58EA">
        <w:rPr>
          <w:i/>
          <w:lang w:val="fr-CA"/>
        </w:rPr>
        <w:t>a</w:t>
      </w:r>
      <w:r w:rsidR="0055762C" w:rsidRPr="005A58EA">
        <w:rPr>
          <w:i/>
          <w:lang w:val="fr-CA"/>
        </w:rPr>
        <w:noBreakHyphen/>
        <w:t>t</w:t>
      </w:r>
      <w:r w:rsidR="0055762C" w:rsidRPr="005A58EA">
        <w:rPr>
          <w:i/>
          <w:lang w:val="fr-CA"/>
        </w:rPr>
        <w:noBreakHyphen/>
        <w:t>elle</w:t>
      </w:r>
      <w:proofErr w:type="spellEnd"/>
      <w:r w:rsidR="0055762C" w:rsidRPr="005A58EA">
        <w:rPr>
          <w:i/>
          <w:lang w:val="fr-CA"/>
        </w:rPr>
        <w:t xml:space="preserve"> commis une erreur en annulant les déclarations de culpabilité et en ordonnant un nouveau procès?</w:t>
      </w:r>
    </w:p>
    <w:p w:rsidR="004D7D95" w:rsidRPr="005A58EA" w:rsidRDefault="0055762C" w:rsidP="00322A0B">
      <w:pPr>
        <w:pStyle w:val="SCCNormalDoubleSpacing"/>
        <w:spacing w:after="480"/>
        <w:rPr>
          <w:lang w:val="fr-CA"/>
        </w:rPr>
      </w:pPr>
      <w:r w:rsidRPr="005A58EA">
        <w:rPr>
          <w:lang w:val="fr-CA"/>
        </w:rPr>
        <w:tab/>
      </w:r>
      <w:r w:rsidR="004D7D95" w:rsidRPr="005A58EA">
        <w:rPr>
          <w:i/>
          <w:lang w:val="fr-CA"/>
        </w:rPr>
        <w:t>Arrêt</w:t>
      </w:r>
      <w:r w:rsidRPr="005A58EA">
        <w:rPr>
          <w:lang w:val="fr-CA"/>
        </w:rPr>
        <w:t xml:space="preserve"> (le juge Fish est dissident) </w:t>
      </w:r>
      <w:r w:rsidR="004D7D95" w:rsidRPr="00541C9B">
        <w:rPr>
          <w:lang w:val="fr-CA"/>
        </w:rPr>
        <w:t>:</w:t>
      </w:r>
      <w:r w:rsidR="004D7D95" w:rsidRPr="005A58EA">
        <w:rPr>
          <w:lang w:val="fr-CA"/>
        </w:rPr>
        <w:t xml:space="preserve"> L</w:t>
      </w:r>
      <w:r w:rsidRPr="005A58EA">
        <w:rPr>
          <w:lang w:val="fr-CA"/>
        </w:rPr>
        <w:t>a requête en cassation de l’appel est rejetée</w:t>
      </w:r>
      <w:r w:rsidR="00F515FF" w:rsidRPr="005A58EA">
        <w:rPr>
          <w:lang w:val="fr-CA"/>
        </w:rPr>
        <w:t xml:space="preserve">. </w:t>
      </w:r>
      <w:r w:rsidR="004D7D95" w:rsidRPr="005A58EA">
        <w:rPr>
          <w:lang w:val="fr-CA"/>
        </w:rPr>
        <w:t xml:space="preserve"> </w:t>
      </w:r>
      <w:r w:rsidR="00F515FF" w:rsidRPr="005A58EA">
        <w:rPr>
          <w:lang w:val="fr-CA"/>
        </w:rPr>
        <w:t xml:space="preserve">Le </w:t>
      </w:r>
      <w:r w:rsidR="004D7D95" w:rsidRPr="005A58EA">
        <w:rPr>
          <w:lang w:val="fr-CA"/>
        </w:rPr>
        <w:t>pourvoi est</w:t>
      </w:r>
      <w:r w:rsidR="00F515FF" w:rsidRPr="005A58EA">
        <w:rPr>
          <w:lang w:val="fr-CA"/>
        </w:rPr>
        <w:t xml:space="preserve"> accueilli et les déclarations de culpabilité sont rétablies</w:t>
      </w:r>
      <w:r w:rsidR="00EC7E36" w:rsidRPr="005A58EA">
        <w:rPr>
          <w:lang w:val="fr-CA"/>
        </w:rPr>
        <w:t>.</w:t>
      </w:r>
    </w:p>
    <w:p w:rsidR="004D7D95" w:rsidRPr="005A58EA" w:rsidRDefault="004D7D95" w:rsidP="00322A0B">
      <w:pPr>
        <w:pStyle w:val="SCCNormalDoubleSpacing"/>
        <w:spacing w:after="480"/>
        <w:rPr>
          <w:lang w:val="fr-CA"/>
        </w:rPr>
      </w:pPr>
      <w:r w:rsidRPr="005A58EA">
        <w:rPr>
          <w:lang w:val="fr-CA"/>
        </w:rPr>
        <w:tab/>
      </w:r>
      <w:r w:rsidR="00F515FF" w:rsidRPr="005A58EA">
        <w:rPr>
          <w:i/>
          <w:lang w:val="fr-CA"/>
        </w:rPr>
        <w:t>La</w:t>
      </w:r>
      <w:r w:rsidR="00F515FF" w:rsidRPr="005A58EA">
        <w:rPr>
          <w:lang w:val="fr-CA"/>
        </w:rPr>
        <w:t xml:space="preserve"> juge </w:t>
      </w:r>
      <w:r w:rsidR="00837119" w:rsidRPr="005A58EA">
        <w:rPr>
          <w:lang w:val="fr-CA"/>
        </w:rPr>
        <w:t xml:space="preserve">en chef McLachlin et les juges Abella, </w:t>
      </w:r>
      <w:proofErr w:type="spellStart"/>
      <w:r w:rsidR="00837119" w:rsidRPr="005A58EA">
        <w:rPr>
          <w:lang w:val="fr-CA"/>
        </w:rPr>
        <w:t>Rothstein</w:t>
      </w:r>
      <w:proofErr w:type="spellEnd"/>
      <w:r w:rsidR="00837119" w:rsidRPr="005A58EA">
        <w:rPr>
          <w:lang w:val="fr-CA"/>
        </w:rPr>
        <w:t xml:space="preserve">, </w:t>
      </w:r>
      <w:proofErr w:type="spellStart"/>
      <w:r w:rsidR="00837119" w:rsidRPr="005A58EA">
        <w:rPr>
          <w:lang w:val="fr-CA"/>
        </w:rPr>
        <w:t>Moldaver</w:t>
      </w:r>
      <w:proofErr w:type="spellEnd"/>
      <w:r w:rsidR="00837119" w:rsidRPr="005A58EA">
        <w:rPr>
          <w:lang w:val="fr-CA"/>
        </w:rPr>
        <w:t xml:space="preserve">, </w:t>
      </w:r>
      <w:proofErr w:type="spellStart"/>
      <w:r w:rsidR="00837119" w:rsidRPr="000179E5">
        <w:rPr>
          <w:lang w:val="fr-CA"/>
        </w:rPr>
        <w:t>Karakatsanis</w:t>
      </w:r>
      <w:proofErr w:type="spellEnd"/>
      <w:r w:rsidR="00837119" w:rsidRPr="005A58EA">
        <w:rPr>
          <w:lang w:val="fr-CA"/>
        </w:rPr>
        <w:t xml:space="preserve"> et Wagner</w:t>
      </w:r>
      <w:r w:rsidR="00F515FF" w:rsidRPr="005A58EA">
        <w:rPr>
          <w:lang w:val="fr-CA"/>
        </w:rPr>
        <w:t> : Le juge du procès n’a pas fait appel à des principes juridiques erronés en appréciant la fiabilité du témoignage de la plaignante ou en appliquant le fardeau de la preuve.  Le</w:t>
      </w:r>
      <w:r w:rsidR="00227988" w:rsidRPr="005A58EA">
        <w:rPr>
          <w:lang w:val="fr-CA"/>
        </w:rPr>
        <w:t xml:space="preserve"> </w:t>
      </w:r>
      <w:r w:rsidR="00F515FF" w:rsidRPr="005A58EA">
        <w:rPr>
          <w:lang w:val="fr-CA"/>
        </w:rPr>
        <w:t xml:space="preserve">pourvoi soulève une question de droit, à savoir si </w:t>
      </w:r>
      <w:r w:rsidR="00227988" w:rsidRPr="005A58EA">
        <w:rPr>
          <w:lang w:val="fr-CA"/>
        </w:rPr>
        <w:t>le juge du procès était tenu de se mettre en garde contre les dangers d’une déclaration de culpabilité, car le témoignage de la plaignante portait sur des faits qui datent d’un passé lointain, comportait diverses faiblesses et n’était pas corroboré alors qu’il aurait été raisonnable de s’attendre à l’existence d’une preuve confirmatoire.</w:t>
      </w:r>
    </w:p>
    <w:p w:rsidR="00227988" w:rsidRPr="005A58EA" w:rsidRDefault="00227988" w:rsidP="0014767C">
      <w:pPr>
        <w:pStyle w:val="SCCNormalDoubleSpacing"/>
        <w:spacing w:after="480"/>
        <w:rPr>
          <w:lang w:val="fr-CA"/>
        </w:rPr>
      </w:pPr>
      <w:r w:rsidRPr="005A58EA">
        <w:rPr>
          <w:lang w:val="fr-CA"/>
        </w:rPr>
        <w:tab/>
      </w:r>
      <w:r w:rsidRPr="005A58EA">
        <w:rPr>
          <w:i/>
          <w:lang w:val="fr-CA"/>
        </w:rPr>
        <w:t>Le</w:t>
      </w:r>
      <w:r w:rsidRPr="005A58EA">
        <w:rPr>
          <w:lang w:val="fr-CA"/>
        </w:rPr>
        <w:t xml:space="preserve"> juge Fish (dissident) : </w:t>
      </w:r>
      <w:r w:rsidR="00EC7E36" w:rsidRPr="005A58EA">
        <w:rPr>
          <w:lang w:val="fr-CA"/>
        </w:rPr>
        <w:t>L</w:t>
      </w:r>
      <w:r w:rsidR="00947283" w:rsidRPr="005A58EA">
        <w:rPr>
          <w:lang w:val="fr-CA"/>
        </w:rPr>
        <w:t>es motifs des juges majoritaires de la Cour d’appel ne</w:t>
      </w:r>
      <w:r w:rsidR="006A7307" w:rsidRPr="005A58EA">
        <w:rPr>
          <w:lang w:val="fr-CA"/>
        </w:rPr>
        <w:t xml:space="preserve"> renferment aucune affirmation — expresse ou implicite —</w:t>
      </w:r>
      <w:r w:rsidR="00947283" w:rsidRPr="005A58EA">
        <w:rPr>
          <w:lang w:val="fr-CA"/>
        </w:rPr>
        <w:t xml:space="preserve"> que le juge du procès était tenu en droit de se mettre en garde contre les dangers que mentionne la juge </w:t>
      </w:r>
      <w:proofErr w:type="spellStart"/>
      <w:r w:rsidR="00947283" w:rsidRPr="005A58EA">
        <w:rPr>
          <w:lang w:val="fr-CA"/>
        </w:rPr>
        <w:t>Karakatsanis</w:t>
      </w:r>
      <w:proofErr w:type="spellEnd"/>
      <w:r w:rsidR="00947283" w:rsidRPr="005A58EA">
        <w:rPr>
          <w:lang w:val="fr-CA"/>
        </w:rPr>
        <w:t>.  En outre, la dissidence en Cour d’appel ne repose pas sur un désaccord, réel ou imputé, avec les motifs des juges majoritaires concernant la mise en garde.  Elle a plutôt trait à des questions de fait ou, au mieux, des questions mixtes de fait et de droit.  Selon l’al. 693(1)</w:t>
      </w:r>
      <w:r w:rsidR="00947283" w:rsidRPr="005A58EA">
        <w:rPr>
          <w:i/>
          <w:lang w:val="fr-CA"/>
        </w:rPr>
        <w:t>a</w:t>
      </w:r>
      <w:r w:rsidR="00947283" w:rsidRPr="005A58EA">
        <w:rPr>
          <w:lang w:val="fr-CA"/>
        </w:rPr>
        <w:t xml:space="preserve">) du </w:t>
      </w:r>
      <w:r w:rsidR="00947283" w:rsidRPr="005A58EA">
        <w:rPr>
          <w:i/>
          <w:lang w:val="fr-CA"/>
        </w:rPr>
        <w:t>Code criminel</w:t>
      </w:r>
      <w:r w:rsidR="00947283" w:rsidRPr="005A58EA">
        <w:rPr>
          <w:lang w:val="fr-CA"/>
        </w:rPr>
        <w:t xml:space="preserve">, le ministère public peut uniquement interjeter appel à notre Cour sur toute question de droit au sujet de </w:t>
      </w:r>
      <w:r w:rsidR="00947283" w:rsidRPr="005A58EA">
        <w:rPr>
          <w:lang w:val="fr-CA"/>
        </w:rPr>
        <w:lastRenderedPageBreak/>
        <w:t>laquelle un juge de la cour d’appel est dissident, ce qui n’est manifestement pas le cas en l’espèce.</w:t>
      </w:r>
    </w:p>
    <w:p w:rsidR="004D7D95" w:rsidRPr="005A58EA" w:rsidRDefault="004D7D95" w:rsidP="00E51844">
      <w:pPr>
        <w:pStyle w:val="SCCNormalDoubleSpacing"/>
        <w:keepNext/>
        <w:keepLines/>
        <w:spacing w:after="720" w:line="240" w:lineRule="auto"/>
        <w:rPr>
          <w:b/>
          <w:lang w:val="fr-CA"/>
        </w:rPr>
      </w:pPr>
      <w:r w:rsidRPr="005A58EA">
        <w:rPr>
          <w:b/>
          <w:lang w:val="fr-CA"/>
        </w:rPr>
        <w:t>Jurisprudence</w:t>
      </w:r>
    </w:p>
    <w:p w:rsidR="004D7D95" w:rsidRPr="005A58EA" w:rsidRDefault="00ED0F79" w:rsidP="00E51844">
      <w:pPr>
        <w:pStyle w:val="SCCNormalDoubleSpacing"/>
        <w:keepNext/>
        <w:keepLines/>
        <w:spacing w:after="720" w:line="240" w:lineRule="auto"/>
        <w:rPr>
          <w:lang w:val="fr-CA"/>
        </w:rPr>
      </w:pPr>
      <w:r w:rsidRPr="005A58EA">
        <w:rPr>
          <w:lang w:val="fr-CA"/>
        </w:rPr>
        <w:t xml:space="preserve">Citée par la juge </w:t>
      </w:r>
      <w:proofErr w:type="spellStart"/>
      <w:r w:rsidRPr="005A58EA">
        <w:rPr>
          <w:lang w:val="fr-CA"/>
        </w:rPr>
        <w:t>Karakatsanis</w:t>
      </w:r>
      <w:proofErr w:type="spellEnd"/>
    </w:p>
    <w:p w:rsidR="004D7D95" w:rsidRPr="005A58EA" w:rsidRDefault="004D7D95" w:rsidP="00E51844">
      <w:pPr>
        <w:pStyle w:val="SCCNormalDoubleSpacing"/>
        <w:keepNext/>
        <w:keepLines/>
        <w:spacing w:after="720" w:line="240" w:lineRule="auto"/>
        <w:rPr>
          <w:lang w:val="fr-CA"/>
        </w:rPr>
      </w:pPr>
      <w:r w:rsidRPr="005A58EA">
        <w:rPr>
          <w:lang w:val="fr-CA"/>
        </w:rPr>
        <w:tab/>
      </w:r>
      <w:r w:rsidRPr="005A58EA">
        <w:rPr>
          <w:b/>
          <w:lang w:val="fr-CA"/>
        </w:rPr>
        <w:t>Arrêt mentionné :</w:t>
      </w:r>
      <w:r w:rsidRPr="005A58EA">
        <w:rPr>
          <w:lang w:val="fr-CA"/>
        </w:rPr>
        <w:t xml:space="preserve"> </w:t>
      </w:r>
      <w:r w:rsidR="00AB415E" w:rsidRPr="005A58EA">
        <w:rPr>
          <w:i/>
          <w:lang w:val="fr-CA"/>
        </w:rPr>
        <w:t>R. c. J.M.H.</w:t>
      </w:r>
      <w:r w:rsidR="00AB415E" w:rsidRPr="005A58EA">
        <w:rPr>
          <w:lang w:val="fr-CA"/>
        </w:rPr>
        <w:t>, 2011 CSC 45, [2011] 3 R.C.S. 197.</w:t>
      </w:r>
    </w:p>
    <w:p w:rsidR="00ED0F79" w:rsidRPr="005A58EA" w:rsidRDefault="00ED0F79" w:rsidP="00E51844">
      <w:pPr>
        <w:pStyle w:val="SCCNormalDoubleSpacing"/>
        <w:keepNext/>
        <w:keepLines/>
        <w:spacing w:after="720" w:line="240" w:lineRule="auto"/>
        <w:rPr>
          <w:lang w:val="fr-CA"/>
        </w:rPr>
      </w:pPr>
      <w:r w:rsidRPr="005A58EA">
        <w:rPr>
          <w:lang w:val="fr-CA"/>
        </w:rPr>
        <w:t>Citée par le juge Fish</w:t>
      </w:r>
      <w:r w:rsidR="00450DAE" w:rsidRPr="005A58EA">
        <w:rPr>
          <w:lang w:val="fr-CA"/>
        </w:rPr>
        <w:t xml:space="preserve"> (dissident)</w:t>
      </w:r>
    </w:p>
    <w:p w:rsidR="00ED0F79" w:rsidRPr="005A58EA" w:rsidRDefault="00ED0F79" w:rsidP="00E51844">
      <w:pPr>
        <w:pStyle w:val="SCCNormalDoubleSpacing"/>
        <w:keepNext/>
        <w:keepLines/>
        <w:spacing w:after="720" w:line="240" w:lineRule="auto"/>
        <w:rPr>
          <w:b/>
          <w:lang w:val="en-US"/>
        </w:rPr>
      </w:pPr>
      <w:r w:rsidRPr="005A58EA">
        <w:rPr>
          <w:lang w:val="fr-CA"/>
        </w:rPr>
        <w:tab/>
      </w:r>
      <w:proofErr w:type="gramStart"/>
      <w:r w:rsidRPr="005A58EA">
        <w:rPr>
          <w:i/>
        </w:rPr>
        <w:t xml:space="preserve">R. </w:t>
      </w:r>
      <w:r w:rsidR="00715163" w:rsidRPr="005A58EA">
        <w:rPr>
          <w:i/>
        </w:rPr>
        <w:t>c</w:t>
      </w:r>
      <w:r w:rsidRPr="005A58EA">
        <w:rPr>
          <w:i/>
        </w:rPr>
        <w:t>. McGrath</w:t>
      </w:r>
      <w:r w:rsidRPr="005A58EA">
        <w:t>, [2000] O.J. No. 5735 (QL).</w:t>
      </w:r>
      <w:proofErr w:type="gramEnd"/>
    </w:p>
    <w:p w:rsidR="00E046D4" w:rsidRPr="005A58EA" w:rsidRDefault="00E046D4" w:rsidP="00E51844">
      <w:pPr>
        <w:pStyle w:val="SCCNormalDoubleSpacing"/>
        <w:keepNext/>
        <w:spacing w:after="720" w:line="240" w:lineRule="auto"/>
        <w:rPr>
          <w:b/>
          <w:lang w:val="fr-CA"/>
        </w:rPr>
      </w:pPr>
      <w:r w:rsidRPr="005A58EA">
        <w:rPr>
          <w:b/>
          <w:lang w:val="fr-CA"/>
        </w:rPr>
        <w:t>Lois et règlements cités</w:t>
      </w:r>
    </w:p>
    <w:p w:rsidR="00E046D4" w:rsidRPr="005A58EA" w:rsidRDefault="00E046D4" w:rsidP="00E51844">
      <w:pPr>
        <w:pStyle w:val="SCCNormalDoubleSpacing"/>
        <w:spacing w:after="720" w:line="240" w:lineRule="auto"/>
        <w:ind w:left="547" w:hanging="547"/>
        <w:rPr>
          <w:lang w:val="fr-CA"/>
        </w:rPr>
      </w:pPr>
      <w:r w:rsidRPr="005A58EA">
        <w:rPr>
          <w:i/>
          <w:lang w:val="fr-CA"/>
        </w:rPr>
        <w:t>Code criminel</w:t>
      </w:r>
      <w:r w:rsidRPr="005A58EA">
        <w:rPr>
          <w:lang w:val="fr-CA"/>
        </w:rPr>
        <w:t>, L.R.C. 1985, ch. C</w:t>
      </w:r>
      <w:r w:rsidRPr="005A58EA">
        <w:rPr>
          <w:lang w:val="fr-CA"/>
        </w:rPr>
        <w:noBreakHyphen/>
        <w:t>46, art. 693(1)</w:t>
      </w:r>
      <w:r w:rsidRPr="005A58EA">
        <w:rPr>
          <w:i/>
          <w:lang w:val="fr-CA"/>
        </w:rPr>
        <w:t>a</w:t>
      </w:r>
      <w:r w:rsidRPr="005A58EA">
        <w:rPr>
          <w:lang w:val="fr-CA"/>
        </w:rPr>
        <w:t>).</w:t>
      </w:r>
    </w:p>
    <w:p w:rsidR="004D7D95" w:rsidRPr="005A58EA" w:rsidRDefault="004D7D95" w:rsidP="00E51844">
      <w:pPr>
        <w:pStyle w:val="SCCNormalDoubleSpacing"/>
        <w:spacing w:after="480"/>
        <w:rPr>
          <w:lang w:val="fr-CA"/>
        </w:rPr>
      </w:pPr>
      <w:r w:rsidRPr="005A58EA">
        <w:rPr>
          <w:lang w:val="fr-CA"/>
        </w:rPr>
        <w:tab/>
        <w:t>POURVOI contre un arrêt de la Cour d’appel de l’Ontario</w:t>
      </w:r>
      <w:r w:rsidR="00445788" w:rsidRPr="005A58EA">
        <w:rPr>
          <w:lang w:val="fr-CA"/>
        </w:rPr>
        <w:t xml:space="preserve"> (les juges </w:t>
      </w:r>
      <w:proofErr w:type="spellStart"/>
      <w:r w:rsidR="00445788" w:rsidRPr="005A58EA">
        <w:rPr>
          <w:lang w:val="fr-CA"/>
        </w:rPr>
        <w:t>Laskin</w:t>
      </w:r>
      <w:proofErr w:type="spellEnd"/>
      <w:r w:rsidR="00445788" w:rsidRPr="005A58EA">
        <w:rPr>
          <w:lang w:val="fr-CA"/>
        </w:rPr>
        <w:t xml:space="preserve">, </w:t>
      </w:r>
      <w:proofErr w:type="spellStart"/>
      <w:r w:rsidR="00445788" w:rsidRPr="005A58EA">
        <w:rPr>
          <w:lang w:val="fr-CA"/>
        </w:rPr>
        <w:t>Cronk</w:t>
      </w:r>
      <w:proofErr w:type="spellEnd"/>
      <w:r w:rsidR="00445788" w:rsidRPr="005A58EA">
        <w:rPr>
          <w:lang w:val="fr-CA"/>
        </w:rPr>
        <w:t xml:space="preserve"> et Blair), 2012 ONCA 117, 288 O.A.C. 164, 280 C.C.C. (3d) 500, 92 C.R. (6th) 303, [2012] O.J. No. 748 (QL), 2012 </w:t>
      </w:r>
      <w:proofErr w:type="spellStart"/>
      <w:r w:rsidR="00445788" w:rsidRPr="005A58EA">
        <w:rPr>
          <w:lang w:val="fr-CA"/>
        </w:rPr>
        <w:t>CarswellOnt</w:t>
      </w:r>
      <w:proofErr w:type="spellEnd"/>
      <w:r w:rsidR="00445788" w:rsidRPr="005A58EA">
        <w:rPr>
          <w:lang w:val="fr-CA"/>
        </w:rPr>
        <w:t xml:space="preserve"> 1914, qui a annulé les déclarations de culpabilité inscrites par le</w:t>
      </w:r>
      <w:r w:rsidR="00E51844" w:rsidRPr="005A58EA">
        <w:rPr>
          <w:lang w:val="fr-CA"/>
        </w:rPr>
        <w:t xml:space="preserve"> juge </w:t>
      </w:r>
      <w:proofErr w:type="spellStart"/>
      <w:r w:rsidR="00E51844" w:rsidRPr="005A58EA">
        <w:rPr>
          <w:lang w:val="fr-CA"/>
        </w:rPr>
        <w:t>Newbould</w:t>
      </w:r>
      <w:proofErr w:type="spellEnd"/>
      <w:r w:rsidR="00E51844" w:rsidRPr="005A58EA">
        <w:rPr>
          <w:lang w:val="fr-CA"/>
        </w:rPr>
        <w:t>, [2008] O.J. No. </w:t>
      </w:r>
      <w:r w:rsidR="00445788" w:rsidRPr="005A58EA">
        <w:rPr>
          <w:lang w:val="fr-CA"/>
        </w:rPr>
        <w:t>4993 (QL), et ordonné la tenue d’un nouveau procès</w:t>
      </w:r>
      <w:r w:rsidR="00AB415E" w:rsidRPr="005A58EA">
        <w:rPr>
          <w:lang w:val="fr-CA"/>
        </w:rPr>
        <w:t xml:space="preserve">.  Pourvoi </w:t>
      </w:r>
      <w:r w:rsidR="0068336E" w:rsidRPr="005A58EA">
        <w:rPr>
          <w:lang w:val="fr-CA"/>
        </w:rPr>
        <w:t>accueilli</w:t>
      </w:r>
      <w:r w:rsidR="00ED0F79" w:rsidRPr="005A58EA">
        <w:rPr>
          <w:lang w:val="fr-CA"/>
        </w:rPr>
        <w:t>, le juge Fish est dissident</w:t>
      </w:r>
      <w:r w:rsidR="00AB415E" w:rsidRPr="005A58EA">
        <w:rPr>
          <w:lang w:val="fr-CA"/>
        </w:rPr>
        <w:t>.</w:t>
      </w:r>
    </w:p>
    <w:p w:rsidR="001B117D" w:rsidRPr="005A58EA" w:rsidRDefault="00C30BE2" w:rsidP="00E51844">
      <w:pPr>
        <w:pStyle w:val="SCCNormalDoubleSpacing"/>
        <w:spacing w:after="480"/>
        <w:rPr>
          <w:lang w:val="fr-CA"/>
        </w:rPr>
      </w:pPr>
      <w:r w:rsidRPr="005A58EA">
        <w:rPr>
          <w:i/>
          <w:lang w:val="fr-CA"/>
        </w:rPr>
        <w:tab/>
        <w:t>Christine Bartlett-Hughes</w:t>
      </w:r>
      <w:r w:rsidRPr="005A58EA">
        <w:rPr>
          <w:lang w:val="fr-CA"/>
        </w:rPr>
        <w:t xml:space="preserve"> et </w:t>
      </w:r>
      <w:r w:rsidRPr="005A58EA">
        <w:rPr>
          <w:i/>
          <w:lang w:val="fr-CA"/>
        </w:rPr>
        <w:t xml:space="preserve">Holly </w:t>
      </w:r>
      <w:proofErr w:type="spellStart"/>
      <w:r w:rsidRPr="005A58EA">
        <w:rPr>
          <w:i/>
          <w:lang w:val="fr-CA"/>
        </w:rPr>
        <w:t>Loubert</w:t>
      </w:r>
      <w:proofErr w:type="spellEnd"/>
      <w:r w:rsidRPr="005A58EA">
        <w:rPr>
          <w:lang w:val="fr-CA"/>
        </w:rPr>
        <w:t>, pour l</w:t>
      </w:r>
      <w:r w:rsidR="00AB415E" w:rsidRPr="005A58EA">
        <w:rPr>
          <w:lang w:val="fr-CA"/>
        </w:rPr>
        <w:t>’</w:t>
      </w:r>
      <w:r w:rsidRPr="005A58EA">
        <w:rPr>
          <w:lang w:val="fr-CA"/>
        </w:rPr>
        <w:t>appelante.</w:t>
      </w:r>
    </w:p>
    <w:p w:rsidR="001B117D" w:rsidRPr="005A58EA" w:rsidRDefault="00C30BE2" w:rsidP="00E51844">
      <w:pPr>
        <w:pStyle w:val="SCCNormalDoubleSpacing"/>
        <w:spacing w:after="480"/>
        <w:rPr>
          <w:lang w:val="fr-CA"/>
        </w:rPr>
      </w:pPr>
      <w:r w:rsidRPr="005A58EA">
        <w:rPr>
          <w:i/>
          <w:lang w:val="fr-CA"/>
        </w:rPr>
        <w:lastRenderedPageBreak/>
        <w:tab/>
        <w:t xml:space="preserve">Mark C. </w:t>
      </w:r>
      <w:proofErr w:type="spellStart"/>
      <w:r w:rsidRPr="005A58EA">
        <w:rPr>
          <w:i/>
          <w:lang w:val="fr-CA"/>
        </w:rPr>
        <w:t>Halfyard</w:t>
      </w:r>
      <w:proofErr w:type="spellEnd"/>
      <w:r w:rsidRPr="005A58EA">
        <w:rPr>
          <w:lang w:val="fr-CA"/>
        </w:rPr>
        <w:t xml:space="preserve"> et </w:t>
      </w:r>
      <w:r w:rsidRPr="005A58EA">
        <w:rPr>
          <w:i/>
          <w:lang w:val="fr-CA"/>
        </w:rPr>
        <w:t xml:space="preserve">Michael </w:t>
      </w:r>
      <w:proofErr w:type="spellStart"/>
      <w:r w:rsidRPr="005A58EA">
        <w:rPr>
          <w:i/>
          <w:lang w:val="fr-CA"/>
        </w:rPr>
        <w:t>Dineen</w:t>
      </w:r>
      <w:proofErr w:type="spellEnd"/>
      <w:r w:rsidRPr="005A58EA">
        <w:rPr>
          <w:lang w:val="fr-CA"/>
        </w:rPr>
        <w:t>, pour l</w:t>
      </w:r>
      <w:r w:rsidR="00AB415E" w:rsidRPr="005A58EA">
        <w:rPr>
          <w:lang w:val="fr-CA"/>
        </w:rPr>
        <w:t>’</w:t>
      </w:r>
      <w:r w:rsidRPr="005A58EA">
        <w:rPr>
          <w:lang w:val="fr-CA"/>
        </w:rPr>
        <w:t>intimé.</w:t>
      </w:r>
    </w:p>
    <w:p w:rsidR="00DF4A8E" w:rsidRPr="000179E5" w:rsidRDefault="000179E5" w:rsidP="000179E5">
      <w:pPr>
        <w:pStyle w:val="SCCNormalDoubleSpacing"/>
        <w:spacing w:after="480"/>
        <w:rPr>
          <w:lang w:val="fr-CA"/>
        </w:rPr>
      </w:pPr>
      <w:r>
        <w:rPr>
          <w:lang w:val="fr-CA"/>
        </w:rPr>
        <w:tab/>
      </w:r>
      <w:r w:rsidRPr="000179E5">
        <w:rPr>
          <w:lang w:val="fr-CA"/>
        </w:rPr>
        <w:t xml:space="preserve">Version française du jugement de la juge en chef McLachlin et des juges Abella, </w:t>
      </w:r>
      <w:proofErr w:type="spellStart"/>
      <w:r w:rsidRPr="000179E5">
        <w:rPr>
          <w:lang w:val="fr-CA"/>
        </w:rPr>
        <w:t>Rothstein</w:t>
      </w:r>
      <w:proofErr w:type="spellEnd"/>
      <w:r w:rsidRPr="000179E5">
        <w:rPr>
          <w:lang w:val="fr-CA"/>
        </w:rPr>
        <w:t xml:space="preserve">, </w:t>
      </w:r>
      <w:proofErr w:type="spellStart"/>
      <w:r w:rsidRPr="000179E5">
        <w:rPr>
          <w:lang w:val="fr-CA"/>
        </w:rPr>
        <w:t>Moldaver</w:t>
      </w:r>
      <w:proofErr w:type="spellEnd"/>
      <w:r w:rsidRPr="000179E5">
        <w:rPr>
          <w:lang w:val="fr-CA"/>
        </w:rPr>
        <w:t xml:space="preserve">, </w:t>
      </w:r>
      <w:proofErr w:type="spellStart"/>
      <w:r w:rsidRPr="000179E5">
        <w:rPr>
          <w:lang w:val="fr-CA"/>
        </w:rPr>
        <w:t>Karakatsanis</w:t>
      </w:r>
      <w:proofErr w:type="spellEnd"/>
      <w:r w:rsidRPr="000179E5">
        <w:rPr>
          <w:lang w:val="fr-CA"/>
        </w:rPr>
        <w:t xml:space="preserve"> et Wagner rendu par</w:t>
      </w:r>
    </w:p>
    <w:p w:rsidR="00DF4A8E" w:rsidRPr="003C19E8" w:rsidRDefault="000179E5" w:rsidP="00DF4A8E">
      <w:pPr>
        <w:pStyle w:val="ParaNoNdepar-AltN"/>
        <w:rPr>
          <w:lang w:val="fr-CA"/>
        </w:rPr>
      </w:pPr>
      <w:r w:rsidRPr="000179E5">
        <w:rPr>
          <w:smallCaps/>
          <w:lang w:val="fr-CA"/>
        </w:rPr>
        <w:t xml:space="preserve">La juge </w:t>
      </w:r>
      <w:proofErr w:type="spellStart"/>
      <w:r w:rsidRPr="000179E5">
        <w:rPr>
          <w:smallCaps/>
          <w:lang w:val="fr-CA"/>
        </w:rPr>
        <w:t>Karakatsanis</w:t>
      </w:r>
      <w:proofErr w:type="spellEnd"/>
      <w:r w:rsidRPr="003C19E8">
        <w:rPr>
          <w:lang w:val="fr-CA"/>
        </w:rPr>
        <w:t xml:space="preserve"> — </w:t>
      </w:r>
      <w:r w:rsidR="00DF4A8E" w:rsidRPr="003C19E8">
        <w:rPr>
          <w:lang w:val="fr-CA"/>
        </w:rPr>
        <w:t xml:space="preserve">Nous sommes convaincus, pour les motifs exposés par le juge </w:t>
      </w:r>
      <w:proofErr w:type="spellStart"/>
      <w:r w:rsidR="00DF4A8E" w:rsidRPr="003C19E8">
        <w:rPr>
          <w:lang w:val="fr-CA"/>
        </w:rPr>
        <w:t>Laskin</w:t>
      </w:r>
      <w:proofErr w:type="spellEnd"/>
      <w:r w:rsidR="00DF4A8E" w:rsidRPr="003C19E8">
        <w:rPr>
          <w:lang w:val="fr-CA"/>
        </w:rPr>
        <w:t xml:space="preserve"> de la Cour d’appel, que le juge du procès n’a pas commis d’erreur et, plus particulièrement, qu’il n’a pas fait appel à des principes juridiques erronés en appréciant la fiabilité du témoignage de la plaignante ou en appliquant le fardeau de la preuve.</w:t>
      </w:r>
    </w:p>
    <w:p w:rsidR="00DF4A8E" w:rsidRPr="003C19E8" w:rsidRDefault="00DF4A8E" w:rsidP="00DF4A8E">
      <w:pPr>
        <w:pStyle w:val="ParaNoNdepar-AltN"/>
        <w:rPr>
          <w:lang w:val="fr-CA"/>
        </w:rPr>
      </w:pPr>
      <w:r w:rsidRPr="003C19E8">
        <w:rPr>
          <w:lang w:val="fr-CA"/>
        </w:rPr>
        <w:t xml:space="preserve">De l’avis des juges majoritaires de la Cour d’appel de l’Ontario, l’approche suivie par le juge du procès pour apprécier le témoignage de la plaignante reposait sur des principes juridiques erronés (2012 ONCA 117, 288 O.A.C. 164).  Tout particulièrement, les juges majoritaires ont conclu que, dans les circonstances de l’espèce, le juge du procès était tenu de se mettre en garde contre les dangers d’une déclaration de culpabilité, car le témoignage de la plaignante portait sur des faits qui datent d’un passé lointain, comportait diverses faiblesses et n’était pas corroboré alors qu’il aurait été raisonnable de s’attendre à l’existence d’une preuve confirmatoire, et que, en conséquence, son omission de le faire constituait une erreur de droit.  </w:t>
      </w:r>
    </w:p>
    <w:p w:rsidR="00DF4A8E" w:rsidRPr="003C19E8" w:rsidRDefault="00DF4A8E" w:rsidP="00DF4A8E">
      <w:pPr>
        <w:pStyle w:val="ParaNoNdepar-AltN"/>
        <w:rPr>
          <w:lang w:val="fr-CA"/>
        </w:rPr>
      </w:pPr>
      <w:r w:rsidRPr="003C19E8">
        <w:rPr>
          <w:lang w:val="fr-CA"/>
        </w:rPr>
        <w:t xml:space="preserve">Le juge </w:t>
      </w:r>
      <w:proofErr w:type="spellStart"/>
      <w:r w:rsidRPr="003C19E8">
        <w:rPr>
          <w:lang w:val="fr-CA"/>
        </w:rPr>
        <w:t>Laskin</w:t>
      </w:r>
      <w:proofErr w:type="spellEnd"/>
      <w:r w:rsidRPr="003C19E8">
        <w:rPr>
          <w:lang w:val="fr-CA"/>
        </w:rPr>
        <w:t xml:space="preserve"> a pour sa part exprimé son désaccord.  Selon lui, la décision de se formuler une telle mise en garde relevait du pouvoir discrétionnaire du juge du procès et ce dernier n’avait aucune obligation en droit de le faire.  Nous </w:t>
      </w:r>
      <w:r w:rsidRPr="003C19E8">
        <w:rPr>
          <w:lang w:val="fr-CA"/>
        </w:rPr>
        <w:lastRenderedPageBreak/>
        <w:t xml:space="preserve">souscrivons à son appréciation de cette question.  Considérés sous cet angle, ses motifs de dissidence soulèvent une question de droit : voir </w:t>
      </w:r>
      <w:r w:rsidRPr="003C19E8">
        <w:rPr>
          <w:i/>
          <w:lang w:val="fr-CA"/>
        </w:rPr>
        <w:t>R. c. J.M.H.</w:t>
      </w:r>
      <w:r w:rsidRPr="003C19E8">
        <w:rPr>
          <w:lang w:val="fr-CA"/>
        </w:rPr>
        <w:t>, 2011 CSC 45, [2011] 3 R.C.S. 197, par. 29</w:t>
      </w:r>
      <w:r w:rsidRPr="003C19E8">
        <w:rPr>
          <w:lang w:val="fr-CA"/>
        </w:rPr>
        <w:noBreakHyphen/>
        <w:t>30.</w:t>
      </w:r>
    </w:p>
    <w:p w:rsidR="00DF4A8E" w:rsidRPr="000179E5" w:rsidRDefault="00DF4A8E" w:rsidP="00DF4A8E">
      <w:pPr>
        <w:pStyle w:val="ParaNoNdepar-AltN"/>
        <w:rPr>
          <w:lang w:val="fr-CA"/>
        </w:rPr>
      </w:pPr>
      <w:r w:rsidRPr="003C19E8">
        <w:rPr>
          <w:lang w:val="fr-CA"/>
        </w:rPr>
        <w:t xml:space="preserve">La requête en cassation de l’appel présentée par l’intimé est rejetée.  Le pourvoi est accueilli et les déclarations de culpabilité sont rétablies, pour les motifs exposés par le juge d’appel </w:t>
      </w:r>
      <w:proofErr w:type="spellStart"/>
      <w:r w:rsidRPr="003C19E8">
        <w:rPr>
          <w:lang w:val="fr-CA"/>
        </w:rPr>
        <w:t>Laskin</w:t>
      </w:r>
      <w:proofErr w:type="spellEnd"/>
      <w:r w:rsidRPr="003C19E8">
        <w:rPr>
          <w:lang w:val="fr-CA"/>
        </w:rPr>
        <w:t xml:space="preserve">.  </w:t>
      </w:r>
    </w:p>
    <w:p w:rsidR="00DF4A8E" w:rsidRPr="000179E5" w:rsidRDefault="003F4A8E" w:rsidP="003F4A8E">
      <w:pPr>
        <w:pStyle w:val="ParaNoNdepar-AltN"/>
        <w:numPr>
          <w:ilvl w:val="0"/>
          <w:numId w:val="0"/>
        </w:numPr>
        <w:tabs>
          <w:tab w:val="left" w:pos="1170"/>
        </w:tabs>
        <w:rPr>
          <w:lang w:val="fr-CA"/>
        </w:rPr>
      </w:pPr>
      <w:r>
        <w:rPr>
          <w:lang w:val="fr-CA"/>
        </w:rPr>
        <w:tab/>
        <w:t xml:space="preserve">Version française des motifs rendus par </w:t>
      </w:r>
    </w:p>
    <w:p w:rsidR="00DF4A8E" w:rsidRPr="000179E5" w:rsidRDefault="003F4A8E" w:rsidP="00DF4A8E">
      <w:pPr>
        <w:pStyle w:val="ParaNoNdepar-AltN"/>
        <w:tabs>
          <w:tab w:val="clear" w:pos="1166"/>
          <w:tab w:val="num" w:pos="1152"/>
        </w:tabs>
        <w:rPr>
          <w:lang w:val="fr-CA"/>
        </w:rPr>
      </w:pPr>
      <w:r w:rsidRPr="003F4A8E">
        <w:rPr>
          <w:smallCaps/>
          <w:lang w:val="fr-CA"/>
        </w:rPr>
        <w:t>Le juge Fish</w:t>
      </w:r>
      <w:r w:rsidRPr="003F4A8E">
        <w:rPr>
          <w:lang w:val="fr-CA"/>
        </w:rPr>
        <w:t xml:space="preserve"> </w:t>
      </w:r>
      <w:r>
        <w:rPr>
          <w:lang w:val="fr-CA"/>
        </w:rPr>
        <w:t xml:space="preserve">(dissident) </w:t>
      </w:r>
      <w:r w:rsidRPr="003F4A8E">
        <w:rPr>
          <w:lang w:val="fr-CA"/>
        </w:rPr>
        <w:t xml:space="preserve">— </w:t>
      </w:r>
      <w:r w:rsidR="00DF4A8E" w:rsidRPr="000179E5">
        <w:rPr>
          <w:lang w:val="fr-CA"/>
        </w:rPr>
        <w:t xml:space="preserve">Contrairement à la juge </w:t>
      </w:r>
      <w:proofErr w:type="spellStart"/>
      <w:r w:rsidR="00DF4A8E" w:rsidRPr="000179E5">
        <w:rPr>
          <w:lang w:val="fr-CA"/>
        </w:rPr>
        <w:t>Karakatsanis</w:t>
      </w:r>
      <w:proofErr w:type="spellEnd"/>
      <w:r w:rsidR="00DF4A8E" w:rsidRPr="000179E5">
        <w:rPr>
          <w:lang w:val="fr-CA"/>
        </w:rPr>
        <w:t>, et soit dit avec égards, je suis d’avis d’accueillir la requête en cassation de l’appel présentée par l’intimé.</w:t>
      </w:r>
    </w:p>
    <w:p w:rsidR="00DF4A8E" w:rsidRPr="000179E5" w:rsidRDefault="00DF4A8E" w:rsidP="00DF4A8E">
      <w:pPr>
        <w:pStyle w:val="ParaNoNdepar-AltN"/>
        <w:rPr>
          <w:lang w:val="fr-CA"/>
        </w:rPr>
      </w:pPr>
      <w:r w:rsidRPr="000179E5">
        <w:rPr>
          <w:lang w:val="fr-CA"/>
        </w:rPr>
        <w:t>Ma collègue écrit ce qui suit :</w:t>
      </w:r>
    </w:p>
    <w:p w:rsidR="00DF4A8E" w:rsidRPr="001B5333" w:rsidRDefault="00DF4A8E" w:rsidP="00DF4A8E">
      <w:pPr>
        <w:pStyle w:val="Citation-AltC"/>
        <w:ind w:hanging="1166"/>
      </w:pPr>
      <w:r>
        <w:tab/>
      </w:r>
      <w:r w:rsidR="003F4A8E">
        <w:t xml:space="preserve">. . . </w:t>
      </w:r>
      <w:r w:rsidRPr="001B5333">
        <w:t xml:space="preserve">les juges majoritaires [de la Cour d’appel] ont conclu que, dans les circonstances de l’espèce, </w:t>
      </w:r>
      <w:r w:rsidRPr="001B5333">
        <w:rPr>
          <w:i/>
        </w:rPr>
        <w:t>le juge du procès était tenu</w:t>
      </w:r>
      <w:r w:rsidRPr="001B5333">
        <w:t xml:space="preserve"> de se mettre en garde contre les dangers d’une déclaration de culpabilité, car le témoignage de la plaignante portait sur des faits qui datent d’un passé lointain, comportait diverses faiblesses et n’était pas corroboré alors qu’il aurait été raisonnable de s’attendre à l’existence d’une preuve confirmatoire, </w:t>
      </w:r>
      <w:r w:rsidRPr="001B5333">
        <w:rPr>
          <w:i/>
        </w:rPr>
        <w:t>et que, en conséquence, son omission de le faire constituait une erreur de droit</w:t>
      </w:r>
      <w:r>
        <w:t>.  [</w:t>
      </w:r>
      <w:r w:rsidRPr="001B5333">
        <w:t>Italiques ajoutés</w:t>
      </w:r>
      <w:r>
        <w:t>; par. 2]</w:t>
      </w:r>
    </w:p>
    <w:p w:rsidR="00DF4A8E" w:rsidRPr="000179E5" w:rsidRDefault="00DF4A8E" w:rsidP="00DF4A8E">
      <w:pPr>
        <w:pStyle w:val="ParaNoNdepar-AltN"/>
        <w:rPr>
          <w:lang w:val="fr-CA"/>
        </w:rPr>
      </w:pPr>
      <w:r w:rsidRPr="000179E5">
        <w:rPr>
          <w:lang w:val="fr-CA"/>
        </w:rPr>
        <w:t>J’ai trois observations à cet égard.</w:t>
      </w:r>
    </w:p>
    <w:p w:rsidR="00DF4A8E" w:rsidRPr="000179E5" w:rsidRDefault="00DF4A8E" w:rsidP="00DF4A8E">
      <w:pPr>
        <w:pStyle w:val="ParaNoNdepar-AltN"/>
        <w:rPr>
          <w:lang w:val="fr-CA"/>
        </w:rPr>
      </w:pPr>
      <w:r w:rsidRPr="000179E5">
        <w:rPr>
          <w:lang w:val="fr-CA"/>
        </w:rPr>
        <w:lastRenderedPageBreak/>
        <w:t xml:space="preserve">Premièrement, je ne puis trouver dans les motifs des juges majoritaires aucune affirmation </w:t>
      </w:r>
      <w:r w:rsidRPr="000179E5">
        <w:rPr>
          <w:rFonts w:cs="Times New Roman"/>
          <w:lang w:val="fr-CA"/>
        </w:rPr>
        <w:t>—</w:t>
      </w:r>
      <w:r w:rsidRPr="000179E5">
        <w:rPr>
          <w:lang w:val="fr-CA"/>
        </w:rPr>
        <w:t xml:space="preserve"> expresse ou implicite </w:t>
      </w:r>
      <w:r w:rsidRPr="000179E5">
        <w:rPr>
          <w:rFonts w:cs="Times New Roman"/>
          <w:lang w:val="fr-CA"/>
        </w:rPr>
        <w:t>—</w:t>
      </w:r>
      <w:r w:rsidRPr="000179E5">
        <w:rPr>
          <w:lang w:val="fr-CA"/>
        </w:rPr>
        <w:t xml:space="preserve"> que le juge du procès était tenu en droit de se mettre en garde contre les dangers que mentionne ma collègue.</w:t>
      </w:r>
    </w:p>
    <w:p w:rsidR="00DF4A8E" w:rsidRPr="000179E5" w:rsidRDefault="00DF4A8E" w:rsidP="00DF4A8E">
      <w:pPr>
        <w:pStyle w:val="ParaNoNdepar-AltN"/>
        <w:rPr>
          <w:lang w:val="fr-CA"/>
        </w:rPr>
      </w:pPr>
      <w:r w:rsidRPr="000179E5">
        <w:rPr>
          <w:lang w:val="fr-CA"/>
        </w:rPr>
        <w:t>S’exprimant au nom des juges majoritaires, le juge Blair a plutôt simplement qualifié de [</w:t>
      </w:r>
      <w:r w:rsidRPr="000179E5">
        <w:rPr>
          <w:smallCaps/>
          <w:lang w:val="fr-CA"/>
        </w:rPr>
        <w:t>traduction]</w:t>
      </w:r>
      <w:r w:rsidRPr="000179E5">
        <w:rPr>
          <w:lang w:val="fr-CA"/>
        </w:rPr>
        <w:t xml:space="preserve"> « judicieuse » « l’idée que les juges du procès </w:t>
      </w:r>
      <w:r w:rsidRPr="000179E5">
        <w:rPr>
          <w:i/>
          <w:lang w:val="fr-CA"/>
        </w:rPr>
        <w:t>devraient envisager</w:t>
      </w:r>
      <w:r w:rsidRPr="000179E5">
        <w:rPr>
          <w:lang w:val="fr-CA"/>
        </w:rPr>
        <w:t xml:space="preserve"> le </w:t>
      </w:r>
      <w:r w:rsidR="003F4A8E">
        <w:rPr>
          <w:rFonts w:cs="Times New Roman"/>
          <w:lang w:val="fr-CA"/>
        </w:rPr>
        <w:t>“</w:t>
      </w:r>
      <w:r w:rsidRPr="000179E5">
        <w:rPr>
          <w:lang w:val="fr-CA"/>
        </w:rPr>
        <w:t>besoin de se mettre en garde contre les faiblesses du témoignage concernant des faits qui datent d’un passé lointain</w:t>
      </w:r>
      <w:r w:rsidR="003F4A8E">
        <w:rPr>
          <w:rFonts w:cs="Times New Roman"/>
          <w:lang w:val="fr-CA"/>
        </w:rPr>
        <w:t>”</w:t>
      </w:r>
      <w:r w:rsidRPr="000179E5">
        <w:rPr>
          <w:lang w:val="fr-CA"/>
        </w:rPr>
        <w:t xml:space="preserve"> [. . .] et ce pour toutes les raisons résumées dans </w:t>
      </w:r>
      <w:r w:rsidRPr="000179E5">
        <w:rPr>
          <w:i/>
          <w:lang w:val="fr-CA"/>
        </w:rPr>
        <w:t>McGrath</w:t>
      </w:r>
      <w:r w:rsidRPr="000179E5">
        <w:rPr>
          <w:lang w:val="fr-CA"/>
        </w:rPr>
        <w:t> » (2012 ONCA 117, 288 O.A.C. 164, par. 41</w:t>
      </w:r>
      <w:r w:rsidR="003F4A8E">
        <w:rPr>
          <w:lang w:val="fr-CA"/>
        </w:rPr>
        <w:t>;</w:t>
      </w:r>
      <w:r w:rsidRPr="000179E5">
        <w:rPr>
          <w:lang w:val="fr-CA"/>
        </w:rPr>
        <w:t xml:space="preserve"> citant </w:t>
      </w:r>
      <w:r w:rsidRPr="000179E5">
        <w:rPr>
          <w:i/>
          <w:lang w:val="fr-CA"/>
        </w:rPr>
        <w:t>R. c. McGrath</w:t>
      </w:r>
      <w:r w:rsidRPr="000179E5">
        <w:rPr>
          <w:lang w:val="fr-CA"/>
        </w:rPr>
        <w:t>, [2000] O.J. No. 5735 (QL) (C.S.J.), par. 11</w:t>
      </w:r>
      <w:r w:rsidRPr="000179E5">
        <w:rPr>
          <w:lang w:val="fr-CA"/>
        </w:rPr>
        <w:noBreakHyphen/>
        <w:t>15</w:t>
      </w:r>
      <w:r w:rsidR="00796FF6">
        <w:rPr>
          <w:lang w:val="fr-CA"/>
        </w:rPr>
        <w:t xml:space="preserve"> (italiques ajoutés)</w:t>
      </w:r>
      <w:r w:rsidRPr="000179E5">
        <w:rPr>
          <w:lang w:val="fr-CA"/>
        </w:rPr>
        <w:t>).</w:t>
      </w:r>
    </w:p>
    <w:p w:rsidR="00DF4A8E" w:rsidRPr="000179E5" w:rsidRDefault="00DF4A8E" w:rsidP="00DF4A8E">
      <w:pPr>
        <w:pStyle w:val="ParaNoNdepar-AltN"/>
        <w:rPr>
          <w:lang w:val="fr-CA"/>
        </w:rPr>
      </w:pPr>
      <w:r w:rsidRPr="000179E5">
        <w:rPr>
          <w:lang w:val="fr-CA"/>
        </w:rPr>
        <w:t xml:space="preserve">En outre, nul ne conteste que les facteurs qu’énonce ma collègue </w:t>
      </w:r>
      <w:proofErr w:type="gramStart"/>
      <w:r w:rsidRPr="000179E5">
        <w:rPr>
          <w:lang w:val="fr-CA"/>
        </w:rPr>
        <w:t>sont</w:t>
      </w:r>
      <w:proofErr w:type="gramEnd"/>
      <w:r w:rsidRPr="000179E5">
        <w:rPr>
          <w:lang w:val="fr-CA"/>
        </w:rPr>
        <w:t xml:space="preserve"> tous présents en l’espèce.  Et je suis d’accord avec le juge Blair pour dire qu’il est judicieux pour les juges du procès</w:t>
      </w:r>
      <w:r w:rsidR="00796FF6">
        <w:rPr>
          <w:lang w:val="fr-CA"/>
        </w:rPr>
        <w:t xml:space="preserve"> [</w:t>
      </w:r>
      <w:r w:rsidR="00796FF6" w:rsidRPr="00796FF6">
        <w:rPr>
          <w:smallCaps/>
          <w:lang w:val="fr-CA"/>
        </w:rPr>
        <w:t>traduction</w:t>
      </w:r>
      <w:r w:rsidR="00796FF6">
        <w:rPr>
          <w:lang w:val="fr-CA"/>
        </w:rPr>
        <w:t>]</w:t>
      </w:r>
      <w:r w:rsidRPr="000179E5">
        <w:rPr>
          <w:lang w:val="fr-CA"/>
        </w:rPr>
        <w:t xml:space="preserve"> </w:t>
      </w:r>
      <w:r w:rsidRPr="000179E5">
        <w:rPr>
          <w:smallCaps/>
          <w:lang w:val="fr-CA"/>
        </w:rPr>
        <w:t>« </w:t>
      </w:r>
      <w:r w:rsidRPr="000179E5">
        <w:rPr>
          <w:lang w:val="fr-CA"/>
        </w:rPr>
        <w:t>d</w:t>
      </w:r>
      <w:r w:rsidRPr="000179E5">
        <w:rPr>
          <w:smallCaps/>
          <w:lang w:val="fr-CA"/>
        </w:rPr>
        <w:t>’</w:t>
      </w:r>
      <w:r w:rsidRPr="000179E5">
        <w:rPr>
          <w:lang w:val="fr-CA"/>
        </w:rPr>
        <w:t xml:space="preserve">envisager </w:t>
      </w:r>
      <w:r w:rsidR="003F4A8E">
        <w:rPr>
          <w:lang w:val="fr-CA"/>
        </w:rPr>
        <w:t xml:space="preserve">le besoin </w:t>
      </w:r>
      <w:r w:rsidRPr="000179E5">
        <w:rPr>
          <w:lang w:val="fr-CA"/>
        </w:rPr>
        <w:t>de se mettre en garde » contre les faiblesses du témoignage dans les cas où ces facteurs sont également présents.</w:t>
      </w:r>
    </w:p>
    <w:p w:rsidR="00DF4A8E" w:rsidRPr="000179E5" w:rsidRDefault="00DF4A8E" w:rsidP="00DF4A8E">
      <w:pPr>
        <w:pStyle w:val="ParaNoNdepar-AltN"/>
        <w:rPr>
          <w:lang w:val="fr-CA"/>
        </w:rPr>
      </w:pPr>
      <w:r w:rsidRPr="000179E5">
        <w:rPr>
          <w:lang w:val="fr-CA"/>
        </w:rPr>
        <w:t xml:space="preserve">Deuxièmement, les motifs du juge </w:t>
      </w:r>
      <w:proofErr w:type="spellStart"/>
      <w:r w:rsidRPr="000179E5">
        <w:rPr>
          <w:lang w:val="fr-CA"/>
        </w:rPr>
        <w:t>Laskin</w:t>
      </w:r>
      <w:proofErr w:type="spellEnd"/>
      <w:r w:rsidRPr="000179E5">
        <w:rPr>
          <w:lang w:val="fr-CA"/>
        </w:rPr>
        <w:t xml:space="preserve">, le juge dissident en Cour d’appel, ne laissent aucunement entendre qu’il ne partageait pas l’avis de la majorité sur ce point.  Au contraire, le juge </w:t>
      </w:r>
      <w:proofErr w:type="spellStart"/>
      <w:r w:rsidRPr="000179E5">
        <w:rPr>
          <w:lang w:val="fr-CA"/>
        </w:rPr>
        <w:t>Laskin</w:t>
      </w:r>
      <w:proofErr w:type="spellEnd"/>
      <w:r w:rsidRPr="000179E5">
        <w:rPr>
          <w:lang w:val="fr-CA"/>
        </w:rPr>
        <w:t xml:space="preserve"> estimait qu’il peut être judicieux pour les juges du procès d’envisager le besoin de se mettre en garde dans de tels cas, mais il a ajouté qu’ils ne sont pas tenus en droit de le faire expressément (par. 70</w:t>
      </w:r>
      <w:r w:rsidRPr="000179E5">
        <w:rPr>
          <w:lang w:val="fr-CA"/>
        </w:rPr>
        <w:noBreakHyphen/>
        <w:t>71).</w:t>
      </w:r>
    </w:p>
    <w:p w:rsidR="00DF4A8E" w:rsidRPr="000179E5" w:rsidRDefault="00DF4A8E" w:rsidP="00DF4A8E">
      <w:pPr>
        <w:pStyle w:val="ParaNoNdepar-AltN"/>
        <w:rPr>
          <w:lang w:val="fr-CA"/>
        </w:rPr>
      </w:pPr>
      <w:r w:rsidRPr="000179E5">
        <w:rPr>
          <w:lang w:val="fr-CA"/>
        </w:rPr>
        <w:lastRenderedPageBreak/>
        <w:t xml:space="preserve">Le juge Blair n’a pas dit qu’ils étaient tenus de le faire.  Comme nous l’avons vu, il a plutôt simplement estimé qu’il était logique ou prudent </w:t>
      </w:r>
      <w:r w:rsidRPr="000179E5">
        <w:rPr>
          <w:rFonts w:cs="Times New Roman"/>
          <w:lang w:val="fr-CA"/>
        </w:rPr>
        <w:t>—</w:t>
      </w:r>
      <w:r w:rsidRPr="000179E5">
        <w:rPr>
          <w:lang w:val="fr-CA"/>
        </w:rPr>
        <w:t xml:space="preserve"> il a employé le terme [</w:t>
      </w:r>
      <w:r w:rsidRPr="000179E5">
        <w:rPr>
          <w:smallCaps/>
          <w:lang w:val="fr-CA"/>
        </w:rPr>
        <w:t>traduction]</w:t>
      </w:r>
      <w:r w:rsidRPr="000179E5">
        <w:rPr>
          <w:lang w:val="fr-CA"/>
        </w:rPr>
        <w:t xml:space="preserve"> « judicieux » </w:t>
      </w:r>
      <w:r w:rsidRPr="000179E5">
        <w:rPr>
          <w:rFonts w:cs="Times New Roman"/>
          <w:lang w:val="fr-CA"/>
        </w:rPr>
        <w:t>—</w:t>
      </w:r>
      <w:r w:rsidRPr="000179E5">
        <w:rPr>
          <w:lang w:val="fr-CA"/>
        </w:rPr>
        <w:t xml:space="preserve"> pour les juges du procès d’</w:t>
      </w:r>
      <w:r w:rsidRPr="000179E5">
        <w:rPr>
          <w:i/>
          <w:lang w:val="fr-CA"/>
        </w:rPr>
        <w:t>envisager le besoin</w:t>
      </w:r>
      <w:r w:rsidRPr="000179E5">
        <w:rPr>
          <w:lang w:val="fr-CA"/>
        </w:rPr>
        <w:t xml:space="preserve"> d’une mise en garde de la sorte.  Il a alors pris soin d’ajouter que « [c</w:t>
      </w:r>
      <w:r w:rsidR="003F4A8E" w:rsidRPr="000179E5">
        <w:rPr>
          <w:lang w:val="fr-CA"/>
        </w:rPr>
        <w:t>]</w:t>
      </w:r>
      <w:proofErr w:type="spellStart"/>
      <w:r w:rsidRPr="000179E5">
        <w:rPr>
          <w:lang w:val="fr-CA"/>
        </w:rPr>
        <w:t>haque</w:t>
      </w:r>
      <w:proofErr w:type="spellEnd"/>
      <w:r w:rsidRPr="000179E5">
        <w:rPr>
          <w:lang w:val="fr-CA"/>
        </w:rPr>
        <w:t xml:space="preserve"> cas dépendra des circonstances qui lui sont propres », et a indiqué</w:t>
      </w:r>
      <w:r w:rsidR="00796FF6">
        <w:rPr>
          <w:lang w:val="fr-CA"/>
        </w:rPr>
        <w:t xml:space="preserve"> clairement qu’il « ne voulait</w:t>
      </w:r>
      <w:r w:rsidRPr="000179E5">
        <w:rPr>
          <w:lang w:val="fr-CA"/>
        </w:rPr>
        <w:t xml:space="preserve"> pas dire qu’il faut nécessairement donner un genre de directive formelle » (par. 41). </w:t>
      </w:r>
    </w:p>
    <w:p w:rsidR="00DF4A8E" w:rsidRPr="000179E5" w:rsidRDefault="00DF4A8E" w:rsidP="00DF4A8E">
      <w:pPr>
        <w:pStyle w:val="ParaNoNdepar-AltN"/>
        <w:rPr>
          <w:lang w:val="fr-CA"/>
        </w:rPr>
      </w:pPr>
      <w:r w:rsidRPr="000179E5">
        <w:rPr>
          <w:lang w:val="fr-CA"/>
        </w:rPr>
        <w:t xml:space="preserve">La déclaration du juge Blair qui en découle confirme, selon moi, que de l’avis des juges majoritaires de la cour d’appel, une mise en garde expresse n’était </w:t>
      </w:r>
      <w:r w:rsidRPr="000179E5">
        <w:rPr>
          <w:i/>
          <w:lang w:val="fr-CA"/>
        </w:rPr>
        <w:t>pas</w:t>
      </w:r>
      <w:r w:rsidRPr="000179E5">
        <w:rPr>
          <w:lang w:val="fr-CA"/>
        </w:rPr>
        <w:t xml:space="preserve"> requise en droit, même si les facteurs que mentionne la juge </w:t>
      </w:r>
      <w:proofErr w:type="spellStart"/>
      <w:r w:rsidRPr="000179E5">
        <w:rPr>
          <w:lang w:val="fr-CA"/>
        </w:rPr>
        <w:t>Karakatsanis</w:t>
      </w:r>
      <w:proofErr w:type="spellEnd"/>
      <w:r w:rsidRPr="000179E5">
        <w:rPr>
          <w:lang w:val="fr-CA"/>
        </w:rPr>
        <w:t xml:space="preserve"> sont présents, ce qui est le cas en l’espèce.</w:t>
      </w:r>
    </w:p>
    <w:p w:rsidR="00DF4A8E" w:rsidRPr="000179E5" w:rsidRDefault="00DF4A8E" w:rsidP="00DF4A8E">
      <w:pPr>
        <w:pStyle w:val="ParaNoNdepar-AltN"/>
        <w:rPr>
          <w:lang w:val="fr-CA"/>
        </w:rPr>
      </w:pPr>
      <w:r w:rsidRPr="000179E5">
        <w:rPr>
          <w:lang w:val="fr-CA"/>
        </w:rPr>
        <w:t xml:space="preserve">Ce qui </w:t>
      </w:r>
      <w:r w:rsidRPr="000179E5">
        <w:rPr>
          <w:i/>
          <w:lang w:val="fr-CA"/>
        </w:rPr>
        <w:t>est</w:t>
      </w:r>
      <w:r w:rsidRPr="000179E5">
        <w:rPr>
          <w:lang w:val="fr-CA"/>
        </w:rPr>
        <w:t xml:space="preserve"> requis, selon les juges de la majorité, c’est que [</w:t>
      </w:r>
      <w:r w:rsidRPr="000179E5">
        <w:rPr>
          <w:smallCaps/>
          <w:lang w:val="fr-CA"/>
        </w:rPr>
        <w:t>traduction</w:t>
      </w:r>
      <w:r w:rsidRPr="000179E5">
        <w:rPr>
          <w:lang w:val="fr-CA"/>
        </w:rPr>
        <w:t xml:space="preserve">] « les motifs du juge du procès devraient démontrer qu’il est conscient des faiblesses du témoignage et des risques qu’il comporte, ainsi que de la nécessité d’examiner le témoignage avec un soin minutieux » </w:t>
      </w:r>
      <w:r w:rsidRPr="000179E5">
        <w:rPr>
          <w:rFonts w:cs="Times New Roman"/>
          <w:lang w:val="fr-CA"/>
        </w:rPr>
        <w:t>—</w:t>
      </w:r>
      <w:r w:rsidRPr="000179E5">
        <w:rPr>
          <w:lang w:val="fr-CA"/>
        </w:rPr>
        <w:t xml:space="preserve"> et, même alors, seulement « </w:t>
      </w:r>
      <w:r w:rsidR="003F4A8E">
        <w:rPr>
          <w:rFonts w:cs="Times New Roman"/>
          <w:lang w:val="fr-CA"/>
        </w:rPr>
        <w:t>[</w:t>
      </w:r>
      <w:r w:rsidRPr="000179E5">
        <w:rPr>
          <w:lang w:val="fr-CA"/>
        </w:rPr>
        <w:t>s</w:t>
      </w:r>
      <w:r w:rsidR="003F4A8E">
        <w:rPr>
          <w:rFonts w:cs="Times New Roman"/>
          <w:lang w:val="fr-CA"/>
        </w:rPr>
        <w:t>]</w:t>
      </w:r>
      <w:r w:rsidRPr="000179E5">
        <w:rPr>
          <w:lang w:val="fr-CA"/>
        </w:rPr>
        <w:t xml:space="preserve">’il existe [. . .] des </w:t>
      </w:r>
      <w:r w:rsidRPr="000179E5">
        <w:rPr>
          <w:i/>
          <w:lang w:val="fr-CA"/>
        </w:rPr>
        <w:t>raisons objectives</w:t>
      </w:r>
      <w:r w:rsidRPr="000179E5">
        <w:rPr>
          <w:lang w:val="fr-CA"/>
        </w:rPr>
        <w:t xml:space="preserve"> d’examiner soigneusement la fiabilité d’un témoin dont la déposition est indispensable pour établir la culpabilité » (par. 41</w:t>
      </w:r>
      <w:r w:rsidR="00796FF6">
        <w:rPr>
          <w:lang w:val="fr-CA"/>
        </w:rPr>
        <w:t xml:space="preserve"> (italiques ajoutés)</w:t>
      </w:r>
      <w:r w:rsidRPr="000179E5">
        <w:rPr>
          <w:lang w:val="fr-CA"/>
        </w:rPr>
        <w:t>).</w:t>
      </w:r>
    </w:p>
    <w:p w:rsidR="00DF4A8E" w:rsidRPr="000179E5" w:rsidRDefault="00DF4A8E" w:rsidP="00DF4A8E">
      <w:pPr>
        <w:pStyle w:val="ParaNoNdepar-AltN"/>
        <w:rPr>
          <w:lang w:val="fr-CA"/>
        </w:rPr>
      </w:pPr>
      <w:r w:rsidRPr="000179E5">
        <w:rPr>
          <w:lang w:val="fr-CA"/>
        </w:rPr>
        <w:t>C’était le cas en l’espèce, selon le juge Blair, et cela s’appliquait également [</w:t>
      </w:r>
      <w:r w:rsidRPr="000179E5">
        <w:rPr>
          <w:smallCaps/>
          <w:lang w:val="fr-CA"/>
        </w:rPr>
        <w:t>traduction</w:t>
      </w:r>
      <w:r w:rsidRPr="000179E5">
        <w:rPr>
          <w:lang w:val="fr-CA"/>
        </w:rPr>
        <w:t>] « dans ce type d’affaire de façon générale » (par. 41).</w:t>
      </w:r>
    </w:p>
    <w:p w:rsidR="00DF4A8E" w:rsidRPr="000179E5" w:rsidRDefault="00DF4A8E" w:rsidP="00DF4A8E">
      <w:pPr>
        <w:pStyle w:val="ParaNoNdepar-AltN"/>
        <w:rPr>
          <w:lang w:val="fr-CA"/>
        </w:rPr>
      </w:pPr>
      <w:r w:rsidRPr="000179E5">
        <w:rPr>
          <w:lang w:val="fr-CA"/>
        </w:rPr>
        <w:lastRenderedPageBreak/>
        <w:t xml:space="preserve">Avec égards, suivant une interprétation objective de ces extraits, je ne puis être d’accord avec la juge </w:t>
      </w:r>
      <w:proofErr w:type="spellStart"/>
      <w:r w:rsidRPr="000179E5">
        <w:rPr>
          <w:lang w:val="fr-CA"/>
        </w:rPr>
        <w:t>Karakatsanis</w:t>
      </w:r>
      <w:proofErr w:type="spellEnd"/>
      <w:r w:rsidRPr="000179E5">
        <w:rPr>
          <w:lang w:val="fr-CA"/>
        </w:rPr>
        <w:t xml:space="preserve"> pour dire que les juges majoritaires de la Cour d’appel ont conclu que le juge du procès </w:t>
      </w:r>
      <w:r w:rsidRPr="000179E5">
        <w:rPr>
          <w:i/>
          <w:lang w:val="fr-CA"/>
        </w:rPr>
        <w:t>était tenu en droit</w:t>
      </w:r>
      <w:r w:rsidRPr="000179E5">
        <w:rPr>
          <w:lang w:val="fr-CA"/>
        </w:rPr>
        <w:t xml:space="preserve"> « de se mettre en garde contre les dangers d’une déclaration de culpabilité, car le témoignage de la plaignante portait sur des faits qui datent d’un passé lointain, comportait diverses faiblesses et n’était pas corroboré alors qu’il aurait été raisonnable de s’attendre à l’existence d’une preuve confirmatoire ».</w:t>
      </w:r>
    </w:p>
    <w:p w:rsidR="00DF4A8E" w:rsidRPr="000179E5" w:rsidRDefault="00DF4A8E" w:rsidP="00DF4A8E">
      <w:pPr>
        <w:pStyle w:val="ParaNoNdepar-AltN"/>
        <w:rPr>
          <w:lang w:val="fr-CA"/>
        </w:rPr>
      </w:pPr>
      <w:r w:rsidRPr="000179E5">
        <w:rPr>
          <w:lang w:val="fr-CA"/>
        </w:rPr>
        <w:t xml:space="preserve">Troisièmement, une observation elle-même décisive de l’issue de l’appel : la dissidence du juge </w:t>
      </w:r>
      <w:proofErr w:type="spellStart"/>
      <w:r w:rsidRPr="000179E5">
        <w:rPr>
          <w:lang w:val="fr-CA"/>
        </w:rPr>
        <w:t>Laskin</w:t>
      </w:r>
      <w:proofErr w:type="spellEnd"/>
      <w:r w:rsidRPr="000179E5">
        <w:rPr>
          <w:lang w:val="fr-CA"/>
        </w:rPr>
        <w:t xml:space="preserve"> </w:t>
      </w:r>
      <w:r w:rsidRPr="003F4A8E">
        <w:rPr>
          <w:i/>
          <w:lang w:val="fr-CA"/>
        </w:rPr>
        <w:t>ne</w:t>
      </w:r>
      <w:r w:rsidRPr="000179E5">
        <w:rPr>
          <w:lang w:val="fr-CA"/>
        </w:rPr>
        <w:t xml:space="preserve"> reposait </w:t>
      </w:r>
      <w:r w:rsidRPr="000179E5">
        <w:rPr>
          <w:i/>
          <w:lang w:val="fr-CA"/>
        </w:rPr>
        <w:t>pas</w:t>
      </w:r>
      <w:r w:rsidRPr="000179E5">
        <w:rPr>
          <w:lang w:val="fr-CA"/>
        </w:rPr>
        <w:t xml:space="preserve"> sur son désaccord, réel ou imputé, avec les motifs des juges majoritaires concernant la mise en garde que s’est faite le juge du procès en l’espèce, ou la mise en garde que se font les juges du procès de façon générale dans les affaires de ce genre.  C’est ce qui ressort de l’ordonnance de la Cour d’appel et, </w:t>
      </w:r>
      <w:proofErr w:type="spellStart"/>
      <w:r w:rsidRPr="000179E5">
        <w:rPr>
          <w:lang w:val="fr-CA"/>
        </w:rPr>
        <w:t>peut</w:t>
      </w:r>
      <w:r w:rsidRPr="000179E5">
        <w:rPr>
          <w:lang w:val="fr-CA"/>
        </w:rPr>
        <w:noBreakHyphen/>
        <w:t>être</w:t>
      </w:r>
      <w:proofErr w:type="spellEnd"/>
      <w:r w:rsidRPr="000179E5">
        <w:rPr>
          <w:lang w:val="fr-CA"/>
        </w:rPr>
        <w:t xml:space="preserve"> de façon plus significative, des motifs du juge </w:t>
      </w:r>
      <w:proofErr w:type="spellStart"/>
      <w:r w:rsidRPr="000179E5">
        <w:rPr>
          <w:lang w:val="fr-CA"/>
        </w:rPr>
        <w:t>Laskin</w:t>
      </w:r>
      <w:proofErr w:type="spellEnd"/>
      <w:r w:rsidRPr="000179E5">
        <w:rPr>
          <w:lang w:val="fr-CA"/>
        </w:rPr>
        <w:t>.</w:t>
      </w:r>
    </w:p>
    <w:p w:rsidR="00DF4A8E" w:rsidRPr="001B5333" w:rsidRDefault="00DF4A8E" w:rsidP="00DF4A8E">
      <w:pPr>
        <w:pStyle w:val="ParaNoNdepar-AltN"/>
      </w:pPr>
      <w:proofErr w:type="spellStart"/>
      <w:r w:rsidRPr="001B5333">
        <w:t>Selon</w:t>
      </w:r>
      <w:proofErr w:type="spellEnd"/>
      <w:r w:rsidRPr="001B5333">
        <w:t xml:space="preserve"> </w:t>
      </w:r>
      <w:proofErr w:type="spellStart"/>
      <w:r w:rsidRPr="001B5333">
        <w:t>l’ordonnance</w:t>
      </w:r>
      <w:proofErr w:type="spellEnd"/>
      <w:r w:rsidRPr="001B5333">
        <w:t> :</w:t>
      </w:r>
    </w:p>
    <w:p w:rsidR="00DF4A8E" w:rsidRDefault="00DF4A8E" w:rsidP="003F4A8E">
      <w:pPr>
        <w:pStyle w:val="Citation-AltC"/>
        <w:tabs>
          <w:tab w:val="left" w:pos="1800"/>
        </w:tabs>
        <w:spacing w:after="0"/>
        <w:ind w:hanging="1166"/>
        <w:contextualSpacing w:val="0"/>
      </w:pPr>
      <w:r>
        <w:tab/>
      </w:r>
      <w:r w:rsidR="003F4A8E">
        <w:tab/>
      </w:r>
      <w:r w:rsidRPr="001B5333">
        <w:t>[</w:t>
      </w:r>
      <w:r w:rsidRPr="001B5333">
        <w:rPr>
          <w:smallCaps/>
        </w:rPr>
        <w:t>traduction</w:t>
      </w:r>
      <w:r w:rsidRPr="001B5333">
        <w:t>]</w:t>
      </w:r>
      <w:r w:rsidR="003F4A8E">
        <w:t xml:space="preserve"> </w:t>
      </w:r>
      <w:r w:rsidRPr="003F4A8E">
        <w:rPr>
          <w:b/>
        </w:rPr>
        <w:t>LA COUR ORDONNE</w:t>
      </w:r>
      <w:r w:rsidRPr="001B5333">
        <w:t xml:space="preserve"> que l’appel soit accueilli et qu’un nouveau procès soit ordonné.</w:t>
      </w:r>
    </w:p>
    <w:p w:rsidR="003F4A8E" w:rsidRPr="001B5333" w:rsidRDefault="003F4A8E" w:rsidP="003F4A8E">
      <w:pPr>
        <w:pStyle w:val="Citation-AltC"/>
        <w:tabs>
          <w:tab w:val="left" w:pos="1800"/>
        </w:tabs>
        <w:spacing w:after="0"/>
        <w:ind w:hanging="1166"/>
        <w:contextualSpacing w:val="0"/>
      </w:pPr>
    </w:p>
    <w:p w:rsidR="00DF4A8E" w:rsidRPr="001B5333" w:rsidRDefault="00DF4A8E" w:rsidP="003F4A8E">
      <w:pPr>
        <w:pStyle w:val="Citation-AltC"/>
        <w:tabs>
          <w:tab w:val="left" w:pos="1800"/>
        </w:tabs>
        <w:spacing w:after="0"/>
        <w:ind w:hanging="1166"/>
        <w:contextualSpacing w:val="0"/>
      </w:pPr>
      <w:r>
        <w:tab/>
      </w:r>
      <w:r w:rsidR="003F4A8E">
        <w:tab/>
      </w:r>
      <w:r w:rsidRPr="003F4A8E">
        <w:rPr>
          <w:b/>
        </w:rPr>
        <w:t>L’HONORABLE JUGE LASKIN, DISSIDENT, A CONCLU</w:t>
      </w:r>
      <w:r w:rsidRPr="001B5333">
        <w:t xml:space="preserve"> que le juge du procès n’a pas commis d’erreur en appréciant comme il l’a fait la fiabilité du témoignage de la [plaignante].  Il a estimé en outre que le juge du procès n’a pas conclu à tort que, si on l’évalue par rapport au témoignage de la plaignante, l’absence de documents de la police ou de l’école confirmant le témoignage de [cette dernière] selon lequel elle avait signalé les agressions sexuelles ne soulevait pas un doute raisonnable.  Par conséquent, il aurait rejeté l’appel.  [</w:t>
      </w:r>
      <w:proofErr w:type="gramStart"/>
      <w:r w:rsidRPr="001B5333">
        <w:t>d.a.,</w:t>
      </w:r>
      <w:proofErr w:type="gramEnd"/>
      <w:r w:rsidRPr="001B5333">
        <w:t xml:space="preserve"> vol. I, p. 106]</w:t>
      </w:r>
    </w:p>
    <w:p w:rsidR="00DF4A8E" w:rsidRPr="000179E5" w:rsidRDefault="00DF4A8E" w:rsidP="00DF4A8E">
      <w:pPr>
        <w:pStyle w:val="ParaNoNdepar-AltN"/>
        <w:rPr>
          <w:lang w:val="fr-CA"/>
        </w:rPr>
      </w:pPr>
      <w:r w:rsidRPr="000179E5">
        <w:rPr>
          <w:lang w:val="fr-CA"/>
        </w:rPr>
        <w:lastRenderedPageBreak/>
        <w:t xml:space="preserve">L’ordonnance de la Cour d’appel est entièrement conforme aux motifs qu’a expressément donnés le juge </w:t>
      </w:r>
      <w:proofErr w:type="spellStart"/>
      <w:r w:rsidRPr="000179E5">
        <w:rPr>
          <w:lang w:val="fr-CA"/>
        </w:rPr>
        <w:t>Laskin</w:t>
      </w:r>
      <w:proofErr w:type="spellEnd"/>
      <w:r w:rsidRPr="000179E5">
        <w:rPr>
          <w:lang w:val="fr-CA"/>
        </w:rPr>
        <w:t xml:space="preserve"> pour se dissocier des juges majoritaires.  Il énonce en ces termes les motifs de sa dissidence :</w:t>
      </w:r>
    </w:p>
    <w:p w:rsidR="00DF4A8E" w:rsidRDefault="00DF4A8E" w:rsidP="003F4A8E">
      <w:pPr>
        <w:pStyle w:val="Citation-AltC"/>
        <w:tabs>
          <w:tab w:val="left" w:pos="1620"/>
        </w:tabs>
        <w:spacing w:after="0"/>
        <w:ind w:hanging="1166"/>
        <w:contextualSpacing w:val="0"/>
      </w:pPr>
      <w:r w:rsidRPr="001B5333">
        <w:tab/>
      </w:r>
      <w:r>
        <w:tab/>
      </w:r>
      <w:r w:rsidRPr="001B5333">
        <w:t>[</w:t>
      </w:r>
      <w:r w:rsidRPr="001B5333">
        <w:rPr>
          <w:smallCaps/>
        </w:rPr>
        <w:t>traduction</w:t>
      </w:r>
      <w:r w:rsidRPr="001B5333">
        <w:t>]</w:t>
      </w:r>
      <w:r>
        <w:t xml:space="preserve"> </w:t>
      </w:r>
      <w:r w:rsidRPr="001B5333">
        <w:t xml:space="preserve">J’ai pris connaissance des motifs de mon collègue, le juge Blair.  Il est d’avis d’accueillir l’appel, d’annuler les déclarations de culpabilité et d’ordonner un nouveau procès, et ce pour deux raisons.  Premièrement, il conclut que le juge du procès n’a pas apprécié correctement la fiabilité du témoignage de la plaignante.  Deuxièmement, il conclut que le juge du procès ne s’est pas demandé si l’absence de preuve documentaire qui aurait pu corroborer le témoignage de la plaignante soulevait un doute raisonnable. </w:t>
      </w:r>
    </w:p>
    <w:p w:rsidR="003F4A8E" w:rsidRPr="001B5333" w:rsidRDefault="003F4A8E" w:rsidP="003F4A8E">
      <w:pPr>
        <w:pStyle w:val="Citation-AltC"/>
        <w:tabs>
          <w:tab w:val="left" w:pos="1620"/>
        </w:tabs>
        <w:spacing w:after="0"/>
        <w:ind w:hanging="1166"/>
        <w:contextualSpacing w:val="0"/>
      </w:pPr>
    </w:p>
    <w:p w:rsidR="00DF4A8E" w:rsidRDefault="00DF4A8E" w:rsidP="003F4A8E">
      <w:pPr>
        <w:pStyle w:val="Citation-AltC"/>
        <w:tabs>
          <w:tab w:val="left" w:pos="1620"/>
        </w:tabs>
        <w:spacing w:after="0"/>
        <w:ind w:hanging="1166"/>
        <w:contextualSpacing w:val="0"/>
      </w:pPr>
      <w:r w:rsidRPr="001B5333">
        <w:tab/>
      </w:r>
      <w:r>
        <w:tab/>
      </w:r>
      <w:r w:rsidRPr="001B5333">
        <w:t xml:space="preserve">Avec égards, je ne puis souscrire à ces deux conclusions.  Tout au long de ses motifs élaborés, le juge du procès a examiné non seulement la crédibilité, mais aussi la fiabilité du témoignage de la plaignante.  En fait, c’est ce qu’il a fait expressément à quelques reprises.  Il a examiné diverses questions au sujet du témoignage de la plaignante qui touchaient l’exactitude de la preuve offerte.  Et, ce qui est </w:t>
      </w:r>
      <w:proofErr w:type="spellStart"/>
      <w:r w:rsidRPr="001B5333">
        <w:t>peut</w:t>
      </w:r>
      <w:r w:rsidRPr="001B5333">
        <w:noBreakHyphen/>
        <w:t>être</w:t>
      </w:r>
      <w:proofErr w:type="spellEnd"/>
      <w:r w:rsidRPr="001B5333">
        <w:t xml:space="preserve"> plus important, il a estimé qu’il serait imprudent de se prononcer relativement à deux des incidents d’agression sexuelle allégués et il a écarté le témoignage de la plaignante relatif à ces incidents.  Il l’a fait non pas parce qu’il estimait que son témoignage n’était pas crédible, mais parce qu’il estimait que son témoignage au sujet de ces deux incidents n’était pas suffisamment fiable.</w:t>
      </w:r>
    </w:p>
    <w:p w:rsidR="009F6785" w:rsidRPr="001B5333" w:rsidRDefault="009F6785" w:rsidP="003F4A8E">
      <w:pPr>
        <w:pStyle w:val="Citation-AltC"/>
        <w:tabs>
          <w:tab w:val="left" w:pos="1620"/>
        </w:tabs>
        <w:spacing w:after="0"/>
        <w:ind w:hanging="1166"/>
        <w:contextualSpacing w:val="0"/>
      </w:pPr>
    </w:p>
    <w:p w:rsidR="00DF4A8E" w:rsidRPr="001B5333" w:rsidRDefault="00DF4A8E" w:rsidP="00DF4A8E">
      <w:pPr>
        <w:pStyle w:val="Citation-AltC"/>
        <w:ind w:hanging="1166"/>
      </w:pPr>
      <w:r w:rsidRPr="001B5333">
        <w:tab/>
      </w:r>
      <w:r>
        <w:tab/>
      </w:r>
      <w:r w:rsidRPr="001B5333">
        <w:t>Le juge du procès a également pris en compte l’effet qu’a pu avoir l’absence de documents de la police et de l’école, mais il est demeuré convaincu hors de tout doute raisonnable de la culpabilité de l’appelant en se fondant sur le témoignage de la plaignante.  Cette décision lui appartenait.  Je suis d’avis de rejeter l’appel.  [par. 64</w:t>
      </w:r>
      <w:r w:rsidRPr="001B5333">
        <w:noBreakHyphen/>
        <w:t>66]</w:t>
      </w:r>
    </w:p>
    <w:p w:rsidR="00DF4A8E" w:rsidRPr="000179E5" w:rsidRDefault="00DF4A8E" w:rsidP="00DF4A8E">
      <w:pPr>
        <w:pStyle w:val="ParaNoNdepar-AltN"/>
        <w:rPr>
          <w:lang w:val="fr-CA"/>
        </w:rPr>
      </w:pPr>
      <w:r w:rsidRPr="000179E5">
        <w:rPr>
          <w:lang w:val="fr-CA"/>
        </w:rPr>
        <w:t xml:space="preserve">Ni l’ordonnance de la Cour d’appel, ni les motifs du juge </w:t>
      </w:r>
      <w:proofErr w:type="spellStart"/>
      <w:r w:rsidRPr="000179E5">
        <w:rPr>
          <w:lang w:val="fr-CA"/>
        </w:rPr>
        <w:t>Laskin</w:t>
      </w:r>
      <w:proofErr w:type="spellEnd"/>
      <w:r w:rsidRPr="000179E5">
        <w:rPr>
          <w:lang w:val="fr-CA"/>
        </w:rPr>
        <w:t xml:space="preserve"> ne peuvent appuyer la prétention du ministère public que ce pourvoi soulève une question de droit.  Les motifs de dissidence du juge </w:t>
      </w:r>
      <w:proofErr w:type="spellStart"/>
      <w:r w:rsidRPr="000179E5">
        <w:rPr>
          <w:lang w:val="fr-CA"/>
        </w:rPr>
        <w:t>Laskin</w:t>
      </w:r>
      <w:proofErr w:type="spellEnd"/>
      <w:r w:rsidRPr="000179E5">
        <w:rPr>
          <w:lang w:val="fr-CA"/>
        </w:rPr>
        <w:t xml:space="preserve"> soulèvent des questions de fait ou, au mieux, des questions mixtes de fait et de droit.</w:t>
      </w:r>
    </w:p>
    <w:p w:rsidR="00DF4A8E" w:rsidRPr="000179E5" w:rsidRDefault="00DF4A8E" w:rsidP="00DF4A8E">
      <w:pPr>
        <w:pStyle w:val="ParaNoNdepar-AltN"/>
        <w:rPr>
          <w:lang w:val="fr-CA"/>
        </w:rPr>
      </w:pPr>
      <w:r w:rsidRPr="000179E5">
        <w:rPr>
          <w:lang w:val="fr-CA"/>
        </w:rPr>
        <w:lastRenderedPageBreak/>
        <w:t>Selon l’al. 693(1)</w:t>
      </w:r>
      <w:r w:rsidRPr="000179E5">
        <w:rPr>
          <w:i/>
          <w:lang w:val="fr-CA"/>
        </w:rPr>
        <w:t>a</w:t>
      </w:r>
      <w:r w:rsidRPr="000179E5">
        <w:rPr>
          <w:lang w:val="fr-CA"/>
        </w:rPr>
        <w:t xml:space="preserve">) du </w:t>
      </w:r>
      <w:r w:rsidRPr="000179E5">
        <w:rPr>
          <w:i/>
          <w:lang w:val="fr-CA"/>
        </w:rPr>
        <w:t>Code criminel</w:t>
      </w:r>
      <w:r w:rsidRPr="000179E5">
        <w:rPr>
          <w:lang w:val="fr-CA"/>
        </w:rPr>
        <w:t>, L.R.C. 1985, ch. C</w:t>
      </w:r>
      <w:r w:rsidRPr="000179E5">
        <w:rPr>
          <w:lang w:val="fr-CA"/>
        </w:rPr>
        <w:noBreakHyphen/>
        <w:t>46, le ministère public peut uniquement interjeter appel à notre Cour « sur toute question de droit au sujet de laquelle un juge de la cour d’appel est dissident », ce qui n’est manifestement pas le cas en l’espèce.</w:t>
      </w:r>
    </w:p>
    <w:p w:rsidR="00DF4A8E" w:rsidRPr="000179E5" w:rsidRDefault="00DF4A8E" w:rsidP="00DF4A8E">
      <w:pPr>
        <w:pStyle w:val="ParaNoNdepar-AltN"/>
        <w:rPr>
          <w:lang w:val="fr-CA"/>
        </w:rPr>
      </w:pPr>
      <w:r w:rsidRPr="000179E5">
        <w:rPr>
          <w:lang w:val="fr-CA"/>
        </w:rPr>
        <w:t>Avec égards pour ceux qui sont d’avis contraire, je casserais l’appel pour défaut de compétence.</w:t>
      </w:r>
    </w:p>
    <w:p w:rsidR="004D7D95" w:rsidRPr="005A58EA" w:rsidRDefault="004D7D95" w:rsidP="00E51844">
      <w:pPr>
        <w:pStyle w:val="SCCNormalDoubleSpacing"/>
        <w:spacing w:after="480"/>
        <w:rPr>
          <w:lang w:val="fr-CA"/>
        </w:rPr>
      </w:pPr>
      <w:r w:rsidRPr="005A58EA">
        <w:rPr>
          <w:lang w:val="fr-CA"/>
        </w:rPr>
        <w:tab/>
      </w:r>
      <w:r w:rsidR="00AB415E" w:rsidRPr="005A58EA">
        <w:rPr>
          <w:i/>
          <w:lang w:val="fr-CA"/>
        </w:rPr>
        <w:t xml:space="preserve">Pourvoi </w:t>
      </w:r>
      <w:r w:rsidR="0068336E" w:rsidRPr="005A58EA">
        <w:rPr>
          <w:i/>
          <w:lang w:val="fr-CA"/>
        </w:rPr>
        <w:t>accueilli</w:t>
      </w:r>
      <w:r w:rsidR="00ED0F79" w:rsidRPr="005A58EA">
        <w:rPr>
          <w:i/>
          <w:lang w:val="fr-CA"/>
        </w:rPr>
        <w:t xml:space="preserve">, le juge </w:t>
      </w:r>
      <w:r w:rsidR="00ED0F79" w:rsidRPr="005A58EA">
        <w:rPr>
          <w:smallCaps/>
          <w:lang w:val="fr-CA"/>
        </w:rPr>
        <w:t>Fish</w:t>
      </w:r>
      <w:r w:rsidR="00ED0F79" w:rsidRPr="005A58EA">
        <w:rPr>
          <w:i/>
          <w:lang w:val="fr-CA"/>
        </w:rPr>
        <w:t xml:space="preserve"> est dissident</w:t>
      </w:r>
      <w:r w:rsidR="00AB415E" w:rsidRPr="005A58EA">
        <w:rPr>
          <w:i/>
          <w:lang w:val="fr-CA"/>
        </w:rPr>
        <w:t>.</w:t>
      </w:r>
    </w:p>
    <w:p w:rsidR="00AB415E" w:rsidRPr="005A58EA" w:rsidRDefault="00AB415E" w:rsidP="00E51844">
      <w:pPr>
        <w:pStyle w:val="SCCLawFirm"/>
        <w:spacing w:after="480"/>
        <w:rPr>
          <w:lang w:val="fr-CA"/>
        </w:rPr>
      </w:pPr>
      <w:r w:rsidRPr="005A58EA">
        <w:rPr>
          <w:lang w:val="fr-CA"/>
        </w:rPr>
        <w:tab/>
        <w:t>Procureur de l’appelante : Procureur général de l’Ontario, Toronto.</w:t>
      </w:r>
    </w:p>
    <w:p w:rsidR="009B57B3" w:rsidRDefault="00AB415E" w:rsidP="00DF4A8E">
      <w:pPr>
        <w:pStyle w:val="SCCLawFirm"/>
        <w:rPr>
          <w:b/>
          <w:i w:val="0"/>
          <w:lang w:val="fr-CA"/>
        </w:rPr>
      </w:pPr>
      <w:r w:rsidRPr="005A58EA">
        <w:rPr>
          <w:lang w:val="fr-CA"/>
        </w:rPr>
        <w:tab/>
        <w:t xml:space="preserve">Procureurs de l’intimé : </w:t>
      </w:r>
      <w:proofErr w:type="spellStart"/>
      <w:r w:rsidRPr="005A58EA">
        <w:rPr>
          <w:lang w:val="fr-CA"/>
        </w:rPr>
        <w:t>Rusonik</w:t>
      </w:r>
      <w:proofErr w:type="spellEnd"/>
      <w:r w:rsidRPr="005A58EA">
        <w:rPr>
          <w:lang w:val="fr-CA"/>
        </w:rPr>
        <w:t xml:space="preserve">, </w:t>
      </w:r>
      <w:proofErr w:type="spellStart"/>
      <w:r w:rsidRPr="005A58EA">
        <w:rPr>
          <w:lang w:val="fr-CA"/>
        </w:rPr>
        <w:t>O’Connor</w:t>
      </w:r>
      <w:proofErr w:type="spellEnd"/>
      <w:r w:rsidRPr="005A58EA">
        <w:rPr>
          <w:lang w:val="fr-CA"/>
        </w:rPr>
        <w:t xml:space="preserve">, Robbins, Ross, </w:t>
      </w:r>
      <w:proofErr w:type="spellStart"/>
      <w:r w:rsidRPr="005A58EA">
        <w:rPr>
          <w:lang w:val="fr-CA"/>
        </w:rPr>
        <w:t>Gorham</w:t>
      </w:r>
      <w:proofErr w:type="spellEnd"/>
      <w:r w:rsidRPr="005A58EA">
        <w:rPr>
          <w:lang w:val="fr-CA"/>
        </w:rPr>
        <w:t xml:space="preserve"> &amp; </w:t>
      </w:r>
      <w:proofErr w:type="spellStart"/>
      <w:r w:rsidRPr="005A58EA">
        <w:rPr>
          <w:lang w:val="fr-CA"/>
        </w:rPr>
        <w:t>Angelini</w:t>
      </w:r>
      <w:proofErr w:type="spellEnd"/>
      <w:r w:rsidRPr="005A58EA">
        <w:rPr>
          <w:lang w:val="fr-CA"/>
        </w:rPr>
        <w:t>, Toronto.</w:t>
      </w:r>
    </w:p>
    <w:p w:rsidR="00DF4A8E" w:rsidRPr="00DF4A8E" w:rsidRDefault="00DF4A8E" w:rsidP="00DF4A8E">
      <w:pPr>
        <w:pStyle w:val="SCCNormalDoubleSpacing"/>
        <w:rPr>
          <w:lang w:val="fr-CA"/>
        </w:rPr>
      </w:pPr>
    </w:p>
    <w:sectPr w:rsidR="00DF4A8E" w:rsidRPr="00DF4A8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F6" w:rsidRDefault="00796FF6">
      <w:r>
        <w:separator/>
      </w:r>
    </w:p>
  </w:endnote>
  <w:endnote w:type="continuationSeparator" w:id="0">
    <w:p w:rsidR="00796FF6" w:rsidRDefault="0079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F6" w:rsidRDefault="00796FF6">
      <w:r>
        <w:separator/>
      </w:r>
    </w:p>
  </w:footnote>
  <w:footnote w:type="continuationSeparator" w:id="0">
    <w:p w:rsidR="00796FF6" w:rsidRDefault="0079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F6" w:rsidRPr="00450352" w:rsidRDefault="00796FF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179E5"/>
    <w:rsid w:val="00023FC7"/>
    <w:rsid w:val="00025198"/>
    <w:rsid w:val="000578A3"/>
    <w:rsid w:val="000648CC"/>
    <w:rsid w:val="00091651"/>
    <w:rsid w:val="000C59B8"/>
    <w:rsid w:val="000C6AF0"/>
    <w:rsid w:val="000D0A77"/>
    <w:rsid w:val="000F7993"/>
    <w:rsid w:val="00104F33"/>
    <w:rsid w:val="00111DE2"/>
    <w:rsid w:val="00116B38"/>
    <w:rsid w:val="00135406"/>
    <w:rsid w:val="00135972"/>
    <w:rsid w:val="001426A9"/>
    <w:rsid w:val="0014767C"/>
    <w:rsid w:val="00154D7C"/>
    <w:rsid w:val="001570B0"/>
    <w:rsid w:val="0015752C"/>
    <w:rsid w:val="00157737"/>
    <w:rsid w:val="00165277"/>
    <w:rsid w:val="00170592"/>
    <w:rsid w:val="001720F7"/>
    <w:rsid w:val="00195D83"/>
    <w:rsid w:val="001A00C1"/>
    <w:rsid w:val="001B117D"/>
    <w:rsid w:val="001B33E0"/>
    <w:rsid w:val="001B4573"/>
    <w:rsid w:val="001C2B1A"/>
    <w:rsid w:val="001C779F"/>
    <w:rsid w:val="001D2AC1"/>
    <w:rsid w:val="001D4E88"/>
    <w:rsid w:val="00220FC2"/>
    <w:rsid w:val="002222F4"/>
    <w:rsid w:val="00224FC0"/>
    <w:rsid w:val="00225EA4"/>
    <w:rsid w:val="00226EAF"/>
    <w:rsid w:val="00227988"/>
    <w:rsid w:val="00231F3A"/>
    <w:rsid w:val="002406EE"/>
    <w:rsid w:val="00243EC8"/>
    <w:rsid w:val="00270D93"/>
    <w:rsid w:val="002745CC"/>
    <w:rsid w:val="002957E9"/>
    <w:rsid w:val="002B6FBE"/>
    <w:rsid w:val="002B7924"/>
    <w:rsid w:val="002C10A6"/>
    <w:rsid w:val="002D1862"/>
    <w:rsid w:val="002D28C3"/>
    <w:rsid w:val="002D3652"/>
    <w:rsid w:val="002D39A4"/>
    <w:rsid w:val="002E6705"/>
    <w:rsid w:val="002F7BDB"/>
    <w:rsid w:val="0030329A"/>
    <w:rsid w:val="0031086F"/>
    <w:rsid w:val="0031414C"/>
    <w:rsid w:val="00314E01"/>
    <w:rsid w:val="0032089D"/>
    <w:rsid w:val="00322A0B"/>
    <w:rsid w:val="003310DE"/>
    <w:rsid w:val="003323B0"/>
    <w:rsid w:val="00340A49"/>
    <w:rsid w:val="00341BAF"/>
    <w:rsid w:val="0035169A"/>
    <w:rsid w:val="003520E4"/>
    <w:rsid w:val="0035259D"/>
    <w:rsid w:val="00364B18"/>
    <w:rsid w:val="003723BC"/>
    <w:rsid w:val="003906BB"/>
    <w:rsid w:val="003A125D"/>
    <w:rsid w:val="003A4C70"/>
    <w:rsid w:val="003B215F"/>
    <w:rsid w:val="003C799C"/>
    <w:rsid w:val="003D0399"/>
    <w:rsid w:val="003E1C71"/>
    <w:rsid w:val="003F327B"/>
    <w:rsid w:val="003F4A8E"/>
    <w:rsid w:val="00406166"/>
    <w:rsid w:val="0040704B"/>
    <w:rsid w:val="00410A55"/>
    <w:rsid w:val="00411300"/>
    <w:rsid w:val="00413F17"/>
    <w:rsid w:val="00415417"/>
    <w:rsid w:val="00426659"/>
    <w:rsid w:val="00445788"/>
    <w:rsid w:val="00450352"/>
    <w:rsid w:val="00450DAE"/>
    <w:rsid w:val="00454BDB"/>
    <w:rsid w:val="00465132"/>
    <w:rsid w:val="00477AAE"/>
    <w:rsid w:val="00480C90"/>
    <w:rsid w:val="0048396F"/>
    <w:rsid w:val="004935AB"/>
    <w:rsid w:val="00493C18"/>
    <w:rsid w:val="004A600C"/>
    <w:rsid w:val="004A6118"/>
    <w:rsid w:val="004C478D"/>
    <w:rsid w:val="004D7D95"/>
    <w:rsid w:val="004E2C26"/>
    <w:rsid w:val="005125A8"/>
    <w:rsid w:val="00517549"/>
    <w:rsid w:val="00520ABC"/>
    <w:rsid w:val="00521AE8"/>
    <w:rsid w:val="00527180"/>
    <w:rsid w:val="00541C9B"/>
    <w:rsid w:val="00555291"/>
    <w:rsid w:val="0055762C"/>
    <w:rsid w:val="00564C13"/>
    <w:rsid w:val="00566AD1"/>
    <w:rsid w:val="00583EDE"/>
    <w:rsid w:val="005A58EA"/>
    <w:rsid w:val="005A6079"/>
    <w:rsid w:val="005E4698"/>
    <w:rsid w:val="005E523A"/>
    <w:rsid w:val="00603924"/>
    <w:rsid w:val="00610539"/>
    <w:rsid w:val="00613969"/>
    <w:rsid w:val="00625C35"/>
    <w:rsid w:val="00647E49"/>
    <w:rsid w:val="00656313"/>
    <w:rsid w:val="006565F4"/>
    <w:rsid w:val="00665E1E"/>
    <w:rsid w:val="0068336E"/>
    <w:rsid w:val="00684EEA"/>
    <w:rsid w:val="0069689B"/>
    <w:rsid w:val="006A4227"/>
    <w:rsid w:val="006A7307"/>
    <w:rsid w:val="006B5FF5"/>
    <w:rsid w:val="006D513D"/>
    <w:rsid w:val="006F30AF"/>
    <w:rsid w:val="00701759"/>
    <w:rsid w:val="00705C15"/>
    <w:rsid w:val="007110F6"/>
    <w:rsid w:val="00715163"/>
    <w:rsid w:val="007208D1"/>
    <w:rsid w:val="00744518"/>
    <w:rsid w:val="00747288"/>
    <w:rsid w:val="00747DD3"/>
    <w:rsid w:val="007549C8"/>
    <w:rsid w:val="00766D14"/>
    <w:rsid w:val="00767A0F"/>
    <w:rsid w:val="00791272"/>
    <w:rsid w:val="00796FF6"/>
    <w:rsid w:val="007A05F6"/>
    <w:rsid w:val="007B6F4A"/>
    <w:rsid w:val="007E1C47"/>
    <w:rsid w:val="007E337A"/>
    <w:rsid w:val="007E5C70"/>
    <w:rsid w:val="007F2FF5"/>
    <w:rsid w:val="007F3F08"/>
    <w:rsid w:val="00804CC6"/>
    <w:rsid w:val="00817190"/>
    <w:rsid w:val="008260E2"/>
    <w:rsid w:val="008322BD"/>
    <w:rsid w:val="00834F73"/>
    <w:rsid w:val="00837119"/>
    <w:rsid w:val="00864C8A"/>
    <w:rsid w:val="00864CF8"/>
    <w:rsid w:val="00874914"/>
    <w:rsid w:val="00891422"/>
    <w:rsid w:val="00892E1A"/>
    <w:rsid w:val="008B660A"/>
    <w:rsid w:val="008C01DA"/>
    <w:rsid w:val="008C61E4"/>
    <w:rsid w:val="008F2674"/>
    <w:rsid w:val="008F78E9"/>
    <w:rsid w:val="009179F9"/>
    <w:rsid w:val="00917C7A"/>
    <w:rsid w:val="00933E5E"/>
    <w:rsid w:val="00935218"/>
    <w:rsid w:val="00937C52"/>
    <w:rsid w:val="009403F3"/>
    <w:rsid w:val="009428B6"/>
    <w:rsid w:val="00947283"/>
    <w:rsid w:val="009555B7"/>
    <w:rsid w:val="009567AA"/>
    <w:rsid w:val="009602C9"/>
    <w:rsid w:val="00967374"/>
    <w:rsid w:val="009A343A"/>
    <w:rsid w:val="009B0C5F"/>
    <w:rsid w:val="009B2F23"/>
    <w:rsid w:val="009B57B3"/>
    <w:rsid w:val="009D2920"/>
    <w:rsid w:val="009D5AEB"/>
    <w:rsid w:val="009F0E33"/>
    <w:rsid w:val="009F6785"/>
    <w:rsid w:val="00A149DF"/>
    <w:rsid w:val="00A1755C"/>
    <w:rsid w:val="00A21B90"/>
    <w:rsid w:val="00A22AAC"/>
    <w:rsid w:val="00A41805"/>
    <w:rsid w:val="00A41951"/>
    <w:rsid w:val="00A51882"/>
    <w:rsid w:val="00A52AFB"/>
    <w:rsid w:val="00A548CB"/>
    <w:rsid w:val="00A5521C"/>
    <w:rsid w:val="00A643E7"/>
    <w:rsid w:val="00A73C38"/>
    <w:rsid w:val="00A91EC1"/>
    <w:rsid w:val="00AB415E"/>
    <w:rsid w:val="00AB670D"/>
    <w:rsid w:val="00AB7823"/>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D689A"/>
    <w:rsid w:val="00BF6FE9"/>
    <w:rsid w:val="00C02092"/>
    <w:rsid w:val="00C109EE"/>
    <w:rsid w:val="00C24D91"/>
    <w:rsid w:val="00C26DB2"/>
    <w:rsid w:val="00C30BE2"/>
    <w:rsid w:val="00C53F14"/>
    <w:rsid w:val="00C600CF"/>
    <w:rsid w:val="00C6084F"/>
    <w:rsid w:val="00C62A66"/>
    <w:rsid w:val="00C66359"/>
    <w:rsid w:val="00C71458"/>
    <w:rsid w:val="00C77613"/>
    <w:rsid w:val="00C828E7"/>
    <w:rsid w:val="00C86719"/>
    <w:rsid w:val="00C921DD"/>
    <w:rsid w:val="00CA6391"/>
    <w:rsid w:val="00CD1E1B"/>
    <w:rsid w:val="00CE036E"/>
    <w:rsid w:val="00CE3171"/>
    <w:rsid w:val="00CF1601"/>
    <w:rsid w:val="00D0172F"/>
    <w:rsid w:val="00D01E33"/>
    <w:rsid w:val="00D068A7"/>
    <w:rsid w:val="00D17476"/>
    <w:rsid w:val="00D32086"/>
    <w:rsid w:val="00D37A3F"/>
    <w:rsid w:val="00D4431D"/>
    <w:rsid w:val="00D4667A"/>
    <w:rsid w:val="00D63A1C"/>
    <w:rsid w:val="00D7516F"/>
    <w:rsid w:val="00D95F8E"/>
    <w:rsid w:val="00DA0590"/>
    <w:rsid w:val="00DB601E"/>
    <w:rsid w:val="00DC1739"/>
    <w:rsid w:val="00DC1788"/>
    <w:rsid w:val="00DE319C"/>
    <w:rsid w:val="00DF0CA8"/>
    <w:rsid w:val="00DF2B48"/>
    <w:rsid w:val="00DF49A7"/>
    <w:rsid w:val="00DF4A8E"/>
    <w:rsid w:val="00E046D4"/>
    <w:rsid w:val="00E07EE2"/>
    <w:rsid w:val="00E07FD1"/>
    <w:rsid w:val="00E11DFA"/>
    <w:rsid w:val="00E24573"/>
    <w:rsid w:val="00E25E1E"/>
    <w:rsid w:val="00E27EE7"/>
    <w:rsid w:val="00E35404"/>
    <w:rsid w:val="00E45109"/>
    <w:rsid w:val="00E47B7A"/>
    <w:rsid w:val="00E51844"/>
    <w:rsid w:val="00E56A44"/>
    <w:rsid w:val="00E60269"/>
    <w:rsid w:val="00E97830"/>
    <w:rsid w:val="00EC7E36"/>
    <w:rsid w:val="00ED0F79"/>
    <w:rsid w:val="00EE0830"/>
    <w:rsid w:val="00EE6CB8"/>
    <w:rsid w:val="00EF0683"/>
    <w:rsid w:val="00F0070C"/>
    <w:rsid w:val="00F00EB7"/>
    <w:rsid w:val="00F36AB6"/>
    <w:rsid w:val="00F37A09"/>
    <w:rsid w:val="00F409CE"/>
    <w:rsid w:val="00F4379D"/>
    <w:rsid w:val="00F50D2D"/>
    <w:rsid w:val="00F515FF"/>
    <w:rsid w:val="00F56C8B"/>
    <w:rsid w:val="00F62639"/>
    <w:rsid w:val="00F66810"/>
    <w:rsid w:val="00F84DF4"/>
    <w:rsid w:val="00F85C97"/>
    <w:rsid w:val="00F91085"/>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table" w:styleId="TableGrid">
    <w:name w:val="Table Grid"/>
    <w:basedOn w:val="TableNormal"/>
    <w:uiPriority w:val="59"/>
    <w:rsid w:val="00DF4A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DF4A8E"/>
    <w:pPr>
      <w:tabs>
        <w:tab w:val="left" w:pos="1166"/>
      </w:tabs>
      <w:spacing w:after="480" w:line="480" w:lineRule="auto"/>
    </w:pPr>
    <w:rPr>
      <w:smallCaps/>
      <w:sz w:val="24"/>
    </w:rPr>
  </w:style>
  <w:style w:type="paragraph" w:customStyle="1" w:styleId="ParaNoNdepar-AltN">
    <w:name w:val="Para. No. / Nº de par. - Alt N"/>
    <w:qFormat/>
    <w:rsid w:val="00DF4A8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DF4A8E"/>
    <w:pPr>
      <w:spacing w:after="720"/>
      <w:ind w:left="1166"/>
      <w:contextualSpacing/>
      <w:jc w:val="both"/>
    </w:pPr>
    <w:rPr>
      <w:sz w:val="2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2294</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2014-01-16T19:35:00Z</dcterms:created>
  <dcterms:modified xsi:type="dcterms:W3CDTF">2014-01-16T19:35:00Z</dcterms:modified>
</cp:coreProperties>
</file>