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83" w:rsidRDefault="00983183" w:rsidP="00983183"/>
    <w:p w:rsidR="00983183" w:rsidRPr="005B4C3C" w:rsidRDefault="00983183" w:rsidP="00983183">
      <w:pPr>
        <w:tabs>
          <w:tab w:val="center" w:pos="4680"/>
          <w:tab w:val="right" w:pos="9360"/>
        </w:tabs>
        <w:jc w:val="center"/>
        <w:rPr>
          <w:rFonts w:eastAsiaTheme="minorHAnsi" w:cstheme="minorBidi"/>
          <w:szCs w:val="24"/>
          <w:lang w:eastAsia="en-US"/>
        </w:rPr>
      </w:pPr>
      <w:r w:rsidRPr="005B4C3C">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56835812" r:id="rId9"/>
        </w:object>
      </w:r>
    </w:p>
    <w:p w:rsidR="00983183" w:rsidRPr="005B4C3C" w:rsidRDefault="00983183" w:rsidP="00983183">
      <w:pPr>
        <w:tabs>
          <w:tab w:val="center" w:pos="4680"/>
          <w:tab w:val="right" w:pos="9360"/>
        </w:tabs>
        <w:rPr>
          <w:rFonts w:eastAsiaTheme="minorHAnsi" w:cstheme="minorBidi"/>
          <w:szCs w:val="24"/>
          <w:lang w:eastAsia="en-US"/>
        </w:rPr>
      </w:pPr>
    </w:p>
    <w:p w:rsidR="00983183" w:rsidRPr="005B4C3C" w:rsidRDefault="00983183" w:rsidP="00983183">
      <w:pPr>
        <w:jc w:val="center"/>
        <w:rPr>
          <w:rFonts w:eastAsiaTheme="minorHAnsi" w:cstheme="minorBidi"/>
          <w:b/>
          <w:szCs w:val="24"/>
          <w:lang w:eastAsia="en-US"/>
        </w:rPr>
      </w:pPr>
      <w:r w:rsidRPr="005B4C3C">
        <w:rPr>
          <w:rFonts w:eastAsiaTheme="minorHAnsi" w:cstheme="minorBidi"/>
          <w:b/>
          <w:szCs w:val="24"/>
          <w:lang w:eastAsia="en-US"/>
        </w:rPr>
        <w:t>COUR SUPRÊME DU CANADA</w:t>
      </w:r>
    </w:p>
    <w:p w:rsidR="00983183" w:rsidRPr="005B4C3C" w:rsidRDefault="00983183" w:rsidP="00983183">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83183" w:rsidRPr="005B4C3C" w:rsidTr="000F4F53">
        <w:trPr>
          <w:cantSplit/>
        </w:trPr>
        <w:tc>
          <w:tcPr>
            <w:tcW w:w="6768" w:type="dxa"/>
          </w:tcPr>
          <w:p w:rsidR="00983183" w:rsidRPr="005B4C3C" w:rsidRDefault="00983183" w:rsidP="000F4F53">
            <w:r w:rsidRPr="005B4C3C">
              <w:rPr>
                <w:b/>
                <w:smallCaps/>
              </w:rPr>
              <w:t>Référence :</w:t>
            </w:r>
            <w:r w:rsidRPr="005B4C3C">
              <w:t xml:space="preserve"> </w:t>
            </w:r>
            <w:r w:rsidRPr="00A7278E">
              <w:t xml:space="preserve">R. </w:t>
            </w:r>
            <w:r w:rsidRPr="00A7278E">
              <w:rPr>
                <w:i/>
              </w:rPr>
              <w:t>c.</w:t>
            </w:r>
            <w:r w:rsidRPr="00A7278E">
              <w:t xml:space="preserve"> Lévesque, 2013 CSC 20, [2013] 2 R.C.S. 176</w:t>
            </w:r>
          </w:p>
        </w:tc>
        <w:tc>
          <w:tcPr>
            <w:tcW w:w="2808" w:type="dxa"/>
          </w:tcPr>
          <w:p w:rsidR="00983183" w:rsidRPr="005B4C3C" w:rsidRDefault="00983183" w:rsidP="000F4F53">
            <w:r w:rsidRPr="005B4C3C">
              <w:rPr>
                <w:b/>
                <w:smallCaps/>
              </w:rPr>
              <w:t>Date :</w:t>
            </w:r>
            <w:r>
              <w:t xml:space="preserve"> 20130416</w:t>
            </w:r>
          </w:p>
          <w:p w:rsidR="00983183" w:rsidRPr="005B4C3C" w:rsidRDefault="00983183" w:rsidP="000F4F53">
            <w:r w:rsidRPr="005B4C3C">
              <w:rPr>
                <w:b/>
                <w:smallCaps/>
              </w:rPr>
              <w:t>Dossier :</w:t>
            </w:r>
            <w:r w:rsidRPr="005B4C3C">
              <w:t xml:space="preserve"> 34</w:t>
            </w:r>
            <w:r>
              <w:t>417</w:t>
            </w:r>
          </w:p>
        </w:tc>
      </w:tr>
    </w:tbl>
    <w:p w:rsidR="00983183" w:rsidRPr="005B4C3C" w:rsidRDefault="00983183" w:rsidP="00983183">
      <w:pPr>
        <w:rPr>
          <w:rFonts w:eastAsiaTheme="minorHAnsi" w:cstheme="minorBidi"/>
          <w:szCs w:val="24"/>
          <w:lang w:eastAsia="en-US"/>
        </w:rPr>
      </w:pPr>
    </w:p>
    <w:p w:rsidR="00983183" w:rsidRDefault="00983183" w:rsidP="00983183">
      <w:pPr>
        <w:rPr>
          <w:rFonts w:eastAsiaTheme="minorHAnsi" w:cstheme="minorBidi"/>
          <w:b/>
          <w:smallCaps/>
          <w:szCs w:val="24"/>
          <w:lang w:eastAsia="en-US"/>
        </w:rPr>
      </w:pPr>
      <w:r w:rsidRPr="005B4C3C">
        <w:rPr>
          <w:rFonts w:eastAsiaTheme="minorHAnsi" w:cstheme="minorBidi"/>
          <w:b/>
          <w:smallCaps/>
          <w:szCs w:val="24"/>
          <w:lang w:eastAsia="en-US"/>
        </w:rPr>
        <w:t>Entre :</w:t>
      </w:r>
    </w:p>
    <w:p w:rsidR="00983183" w:rsidRPr="005B4C3C" w:rsidRDefault="00983183" w:rsidP="00983183">
      <w:pPr>
        <w:jc w:val="center"/>
        <w:rPr>
          <w:rFonts w:eastAsiaTheme="minorHAnsi" w:cstheme="minorBidi"/>
          <w:b/>
          <w:smallCaps/>
          <w:szCs w:val="24"/>
          <w:lang w:eastAsia="en-US"/>
        </w:rPr>
      </w:pPr>
      <w:r w:rsidRPr="00A7278E">
        <w:rPr>
          <w:rFonts w:eastAsiaTheme="minorHAnsi" w:cstheme="minorBidi"/>
          <w:b/>
          <w:szCs w:val="24"/>
          <w:lang w:eastAsia="en-US"/>
        </w:rPr>
        <w:t>Pierre Lévesque</w:t>
      </w:r>
    </w:p>
    <w:p w:rsidR="00983183" w:rsidRPr="005B4C3C" w:rsidRDefault="00983183" w:rsidP="00983183">
      <w:pPr>
        <w:jc w:val="center"/>
        <w:rPr>
          <w:rFonts w:eastAsiaTheme="minorHAnsi" w:cstheme="minorBidi"/>
          <w:szCs w:val="24"/>
          <w:lang w:eastAsia="en-US"/>
        </w:rPr>
      </w:pPr>
      <w:r>
        <w:rPr>
          <w:rFonts w:eastAsiaTheme="minorHAnsi" w:cstheme="minorBidi"/>
          <w:szCs w:val="24"/>
          <w:lang w:eastAsia="en-US"/>
        </w:rPr>
        <w:t>Appelant</w:t>
      </w:r>
    </w:p>
    <w:p w:rsidR="00983183" w:rsidRPr="005B4C3C" w:rsidRDefault="00983183" w:rsidP="00983183">
      <w:pPr>
        <w:jc w:val="center"/>
        <w:rPr>
          <w:rFonts w:eastAsiaTheme="minorHAnsi" w:cstheme="minorBidi"/>
          <w:szCs w:val="24"/>
          <w:lang w:eastAsia="en-US"/>
        </w:rPr>
      </w:pPr>
      <w:proofErr w:type="gramStart"/>
      <w:r w:rsidRPr="005B4C3C">
        <w:rPr>
          <w:rFonts w:eastAsiaTheme="minorHAnsi" w:cstheme="minorBidi"/>
          <w:szCs w:val="24"/>
          <w:lang w:eastAsia="en-US"/>
        </w:rPr>
        <w:t>et</w:t>
      </w:r>
      <w:proofErr w:type="gramEnd"/>
    </w:p>
    <w:p w:rsidR="00983183" w:rsidRPr="005B4C3C" w:rsidRDefault="00983183" w:rsidP="00983183">
      <w:pPr>
        <w:jc w:val="center"/>
        <w:rPr>
          <w:rFonts w:eastAsiaTheme="minorHAnsi" w:cstheme="minorBidi"/>
          <w:b/>
          <w:szCs w:val="24"/>
          <w:lang w:eastAsia="en-US"/>
        </w:rPr>
      </w:pPr>
      <w:r w:rsidRPr="005B4C3C">
        <w:rPr>
          <w:rFonts w:eastAsiaTheme="minorHAnsi" w:cstheme="minorBidi"/>
          <w:b/>
          <w:szCs w:val="24"/>
          <w:lang w:eastAsia="en-US"/>
        </w:rPr>
        <w:t>Sa Majesté la Reine</w:t>
      </w:r>
    </w:p>
    <w:p w:rsidR="00983183" w:rsidRPr="005B4C3C" w:rsidRDefault="00983183" w:rsidP="00983183">
      <w:pPr>
        <w:jc w:val="center"/>
        <w:rPr>
          <w:rFonts w:eastAsiaTheme="minorHAnsi" w:cstheme="minorBidi"/>
          <w:szCs w:val="24"/>
          <w:lang w:eastAsia="en-US"/>
        </w:rPr>
      </w:pPr>
      <w:r w:rsidRPr="005B4C3C">
        <w:rPr>
          <w:rFonts w:eastAsiaTheme="minorHAnsi" w:cstheme="minorBidi"/>
          <w:szCs w:val="24"/>
          <w:lang w:eastAsia="en-US"/>
        </w:rPr>
        <w:t>Intimé</w:t>
      </w:r>
      <w:r>
        <w:rPr>
          <w:rFonts w:eastAsiaTheme="minorHAnsi" w:cstheme="minorBidi"/>
          <w:szCs w:val="24"/>
          <w:lang w:eastAsia="en-US"/>
        </w:rPr>
        <w:t>e</w:t>
      </w:r>
    </w:p>
    <w:p w:rsidR="00983183" w:rsidRDefault="00983183" w:rsidP="00983183">
      <w:pPr>
        <w:rPr>
          <w:rFonts w:eastAsiaTheme="minorHAnsi" w:cstheme="minorBidi"/>
          <w:szCs w:val="24"/>
          <w:lang w:eastAsia="en-US"/>
        </w:rPr>
      </w:pPr>
    </w:p>
    <w:p w:rsidR="00983183" w:rsidRPr="001E12E2" w:rsidRDefault="00983183" w:rsidP="00983183"/>
    <w:p w:rsidR="00983183" w:rsidRPr="005B4C3C" w:rsidRDefault="00983183" w:rsidP="00983183">
      <w:pPr>
        <w:rPr>
          <w:rFonts w:eastAsiaTheme="minorHAnsi" w:cstheme="minorBidi"/>
          <w:szCs w:val="24"/>
          <w:lang w:eastAsia="en-US"/>
        </w:rPr>
      </w:pPr>
    </w:p>
    <w:p w:rsidR="00983183" w:rsidRPr="005B4C3C" w:rsidRDefault="00983183" w:rsidP="00983183">
      <w:pPr>
        <w:rPr>
          <w:rFonts w:eastAsiaTheme="minorHAnsi" w:cstheme="minorBidi"/>
          <w:szCs w:val="24"/>
          <w:lang w:eastAsia="en-US"/>
        </w:rPr>
      </w:pPr>
      <w:r w:rsidRPr="005B4C3C">
        <w:rPr>
          <w:rFonts w:eastAsiaTheme="minorHAnsi" w:cstheme="minorBidi"/>
          <w:b/>
          <w:smallCaps/>
          <w:szCs w:val="24"/>
          <w:lang w:eastAsia="en-US"/>
        </w:rPr>
        <w:t>Coram :</w:t>
      </w:r>
      <w:r w:rsidRPr="005B4C3C">
        <w:rPr>
          <w:rFonts w:eastAsiaTheme="minorHAnsi" w:cstheme="minorBidi"/>
          <w:szCs w:val="24"/>
          <w:lang w:eastAsia="en-US"/>
        </w:rPr>
        <w:t xml:space="preserve"> </w:t>
      </w:r>
      <w:r>
        <w:rPr>
          <w:lang w:val="fr-FR"/>
        </w:rPr>
        <w:t xml:space="preserve">Les juges </w:t>
      </w:r>
      <w:proofErr w:type="spellStart"/>
      <w:r>
        <w:rPr>
          <w:lang w:val="fr-FR"/>
        </w:rPr>
        <w:t>LeBel</w:t>
      </w:r>
      <w:proofErr w:type="spellEnd"/>
      <w:r>
        <w:rPr>
          <w:lang w:val="fr-FR"/>
        </w:rPr>
        <w:t xml:space="preserve">, Fish, Abella, </w:t>
      </w:r>
      <w:proofErr w:type="spellStart"/>
      <w:r>
        <w:rPr>
          <w:lang w:val="fr-FR"/>
        </w:rPr>
        <w:t>Rothstein</w:t>
      </w:r>
      <w:proofErr w:type="spellEnd"/>
      <w:r>
        <w:rPr>
          <w:lang w:val="fr-FR"/>
        </w:rPr>
        <w:t xml:space="preserve">, Cromwell, </w:t>
      </w:r>
      <w:proofErr w:type="spellStart"/>
      <w:r>
        <w:rPr>
          <w:lang w:val="fr-FR"/>
        </w:rPr>
        <w:t>Moldaver</w:t>
      </w:r>
      <w:proofErr w:type="spellEnd"/>
      <w:r>
        <w:rPr>
          <w:lang w:val="fr-FR"/>
        </w:rPr>
        <w:t xml:space="preserve"> et </w:t>
      </w:r>
      <w:proofErr w:type="spellStart"/>
      <w:r>
        <w:rPr>
          <w:lang w:val="fr-FR"/>
        </w:rPr>
        <w:t>Karakatsanis</w:t>
      </w:r>
      <w:proofErr w:type="spellEnd"/>
      <w:r>
        <w:rPr>
          <w:rFonts w:eastAsiaTheme="minorHAnsi" w:cstheme="minorBidi"/>
          <w:szCs w:val="24"/>
          <w:lang w:val="fr-FR" w:eastAsia="en-US"/>
        </w:rPr>
        <w:t>.</w:t>
      </w:r>
    </w:p>
    <w:p w:rsidR="00983183" w:rsidRPr="005B4C3C" w:rsidRDefault="00983183" w:rsidP="00983183">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83183" w:rsidRPr="005B4C3C" w:rsidTr="000F4F53">
        <w:trPr>
          <w:cantSplit/>
        </w:trPr>
        <w:tc>
          <w:tcPr>
            <w:tcW w:w="3618" w:type="dxa"/>
          </w:tcPr>
          <w:p w:rsidR="00983183" w:rsidRPr="005B4C3C" w:rsidRDefault="00983183" w:rsidP="000F4F53">
            <w:pPr>
              <w:rPr>
                <w:b/>
                <w:smallCaps/>
              </w:rPr>
            </w:pPr>
            <w:r w:rsidRPr="005B4C3C">
              <w:rPr>
                <w:b/>
                <w:smallCaps/>
              </w:rPr>
              <w:t>Motifs de jugement :</w:t>
            </w:r>
          </w:p>
          <w:p w:rsidR="00983183" w:rsidRPr="0043206F" w:rsidRDefault="00983183" w:rsidP="000F4F53">
            <w:r>
              <w:t>(par. 1</w:t>
            </w:r>
            <w:r w:rsidRPr="005B4C3C">
              <w:t>)</w:t>
            </w:r>
          </w:p>
          <w:p w:rsidR="00983183" w:rsidRPr="005B4C3C" w:rsidRDefault="00983183" w:rsidP="000F4F53"/>
        </w:tc>
        <w:tc>
          <w:tcPr>
            <w:tcW w:w="5958" w:type="dxa"/>
          </w:tcPr>
          <w:p w:rsidR="00983183" w:rsidRPr="005B4C3C" w:rsidRDefault="00983183" w:rsidP="000F4F53">
            <w:r w:rsidRPr="005B4C3C">
              <w:t xml:space="preserve">Le juge </w:t>
            </w:r>
            <w:proofErr w:type="spellStart"/>
            <w:r>
              <w:t>LeBel</w:t>
            </w:r>
            <w:proofErr w:type="spellEnd"/>
            <w:r w:rsidRPr="005B4C3C">
              <w:t xml:space="preserve"> (avec l’accord </w:t>
            </w:r>
            <w:r>
              <w:t>des juges</w:t>
            </w:r>
            <w:r w:rsidRPr="00527758">
              <w:rPr>
                <w:lang w:val="fr-FR"/>
              </w:rPr>
              <w:t xml:space="preserve"> </w:t>
            </w:r>
            <w:r>
              <w:rPr>
                <w:lang w:val="fr-FR"/>
              </w:rPr>
              <w:t xml:space="preserve">Fish, Abella, </w:t>
            </w:r>
            <w:proofErr w:type="spellStart"/>
            <w:r>
              <w:rPr>
                <w:lang w:val="fr-FR"/>
              </w:rPr>
              <w:t>Rothstein</w:t>
            </w:r>
            <w:proofErr w:type="spellEnd"/>
            <w:r>
              <w:rPr>
                <w:lang w:val="fr-FR"/>
              </w:rPr>
              <w:t xml:space="preserve">, Cromwell, </w:t>
            </w:r>
            <w:proofErr w:type="spellStart"/>
            <w:r>
              <w:rPr>
                <w:lang w:val="fr-FR"/>
              </w:rPr>
              <w:t>Moldaver</w:t>
            </w:r>
            <w:proofErr w:type="spellEnd"/>
            <w:r>
              <w:rPr>
                <w:lang w:val="fr-FR"/>
              </w:rPr>
              <w:t xml:space="preserve"> et </w:t>
            </w:r>
            <w:proofErr w:type="spellStart"/>
            <w:r>
              <w:rPr>
                <w:lang w:val="fr-FR"/>
              </w:rPr>
              <w:t>Karakatsanis</w:t>
            </w:r>
            <w:proofErr w:type="spellEnd"/>
            <w:r w:rsidRPr="005B4C3C">
              <w:t>)</w:t>
            </w:r>
          </w:p>
          <w:p w:rsidR="00983183" w:rsidRPr="005B4C3C" w:rsidRDefault="00983183" w:rsidP="000F4F53"/>
        </w:tc>
      </w:tr>
    </w:tbl>
    <w:p w:rsidR="00983183" w:rsidRPr="005B4C3C" w:rsidRDefault="00983183" w:rsidP="00983183">
      <w:pPr>
        <w:rPr>
          <w:rFonts w:eastAsiaTheme="minorHAnsi" w:cstheme="minorBidi"/>
          <w:szCs w:val="24"/>
          <w:lang w:eastAsia="en-US"/>
        </w:rPr>
      </w:pPr>
    </w:p>
    <w:p w:rsidR="00983183" w:rsidRPr="005B4C3C" w:rsidRDefault="00983183" w:rsidP="00983183">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83183" w:rsidRDefault="00983183" w:rsidP="00983183">
      <w:pPr>
        <w:rPr>
          <w:smallCaps/>
        </w:rPr>
      </w:pPr>
    </w:p>
    <w:p w:rsidR="00983183" w:rsidRDefault="00983183" w:rsidP="00983183"/>
    <w:p w:rsidR="00983183" w:rsidRDefault="00983183">
      <w:pPr>
        <w:rPr>
          <w:rStyle w:val="SCCRespondentForRunningHeadChar"/>
          <w:smallCaps w:val="0"/>
        </w:rPr>
      </w:pPr>
      <w:r>
        <w:rPr>
          <w:rStyle w:val="SCCRespondentForRunningHeadChar"/>
          <w:smallCaps w:val="0"/>
        </w:rPr>
        <w:br w:type="page"/>
      </w:r>
    </w:p>
    <w:p w:rsidR="005B75ED" w:rsidRPr="005154D7" w:rsidRDefault="005154D7" w:rsidP="005B75ED">
      <w:pPr>
        <w:spacing w:after="720"/>
        <w:jc w:val="both"/>
        <w:rPr>
          <w:rStyle w:val="SCCRespondentForRunningHeadChar"/>
          <w:smallCaps w:val="0"/>
        </w:rPr>
      </w:pPr>
      <w:r w:rsidRPr="005154D7">
        <w:rPr>
          <w:rStyle w:val="SCCRespondentForRunningHeadChar"/>
          <w:smallCaps w:val="0"/>
        </w:rPr>
        <w:lastRenderedPageBreak/>
        <w:t xml:space="preserve">R. </w:t>
      </w:r>
      <w:r w:rsidRPr="005154D7">
        <w:rPr>
          <w:rStyle w:val="SCCRespondentForRunningHeadChar"/>
          <w:i/>
          <w:smallCaps w:val="0"/>
        </w:rPr>
        <w:t>c.</w:t>
      </w:r>
      <w:r w:rsidRPr="005154D7">
        <w:rPr>
          <w:rStyle w:val="SCCRespondentForRunningHeadChar"/>
          <w:smallCaps w:val="0"/>
        </w:rPr>
        <w:t xml:space="preserve"> Lévesque</w:t>
      </w:r>
      <w:r>
        <w:rPr>
          <w:rStyle w:val="SCCRespondentForRunningHeadChar"/>
          <w:smallCaps w:val="0"/>
        </w:rPr>
        <w:t>, 2013 CSC 20, [2013] 2 R.C.S. 176</w:t>
      </w:r>
    </w:p>
    <w:p w:rsidR="005B75ED" w:rsidRDefault="00E1700A" w:rsidP="005B75ED">
      <w:pPr>
        <w:pStyle w:val="SCCLsocParty"/>
        <w:tabs>
          <w:tab w:val="right" w:pos="8280"/>
        </w:tabs>
        <w:spacing w:after="720"/>
      </w:pPr>
      <w:r>
        <w:rPr>
          <w:lang w:val="fr-FR"/>
        </w:rPr>
        <w:t>Pierre Lévesque</w:t>
      </w:r>
      <w:r w:rsidR="005B75ED">
        <w:rPr>
          <w:lang w:val="fr-FR"/>
        </w:rPr>
        <w:tab/>
      </w:r>
      <w:r w:rsidR="005B75ED">
        <w:rPr>
          <w:b w:val="0"/>
          <w:i/>
          <w:lang w:val="fr-FR"/>
        </w:rPr>
        <w:t>Appelant</w:t>
      </w:r>
    </w:p>
    <w:p w:rsidR="005B75ED" w:rsidRDefault="005B75ED" w:rsidP="005B75ED">
      <w:pPr>
        <w:pStyle w:val="SCCLsocVersus"/>
        <w:spacing w:after="720"/>
        <w:rPr>
          <w:lang w:val="fr-FR"/>
        </w:rPr>
      </w:pPr>
      <w:proofErr w:type="gramStart"/>
      <w:r>
        <w:rPr>
          <w:lang w:val="fr-FR"/>
        </w:rPr>
        <w:t>c</w:t>
      </w:r>
      <w:proofErr w:type="gramEnd"/>
      <w:r>
        <w:rPr>
          <w:lang w:val="fr-FR"/>
        </w:rPr>
        <w:t>.</w:t>
      </w:r>
    </w:p>
    <w:p w:rsidR="005B75ED" w:rsidRDefault="005B75ED" w:rsidP="005B75ED">
      <w:pPr>
        <w:pStyle w:val="SCCLsocParty"/>
        <w:tabs>
          <w:tab w:val="right" w:pos="8280"/>
        </w:tabs>
        <w:spacing w:after="720"/>
        <w:rPr>
          <w:lang w:val="fr-FR"/>
        </w:rPr>
      </w:pPr>
      <w:r>
        <w:rPr>
          <w:lang w:val="fr-FR"/>
        </w:rPr>
        <w:t>Sa Majesté la Reine</w:t>
      </w:r>
      <w:r>
        <w:rPr>
          <w:i/>
          <w:lang w:val="fr-FR"/>
        </w:rPr>
        <w:tab/>
      </w:r>
      <w:r>
        <w:rPr>
          <w:b w:val="0"/>
          <w:i/>
          <w:lang w:val="fr-FR"/>
        </w:rPr>
        <w:t>Intimée</w:t>
      </w:r>
    </w:p>
    <w:p w:rsidR="005B75ED" w:rsidRDefault="005B75ED" w:rsidP="005B75ED">
      <w:pPr>
        <w:spacing w:after="720"/>
        <w:jc w:val="both"/>
        <w:rPr>
          <w:b/>
          <w:lang w:val="fr-FR"/>
        </w:rPr>
      </w:pPr>
      <w:r>
        <w:rPr>
          <w:b/>
        </w:rPr>
        <w:t xml:space="preserve">Répertorié : R. </w:t>
      </w:r>
      <w:r w:rsidRPr="00D423CE">
        <w:rPr>
          <w:b/>
          <w:i/>
        </w:rPr>
        <w:t>c.</w:t>
      </w:r>
      <w:r>
        <w:rPr>
          <w:b/>
        </w:rPr>
        <w:t xml:space="preserve"> </w:t>
      </w:r>
      <w:r w:rsidR="001804D7">
        <w:rPr>
          <w:b/>
        </w:rPr>
        <w:t>Lévesque</w:t>
      </w:r>
    </w:p>
    <w:p w:rsidR="005B75ED" w:rsidRDefault="004625A8" w:rsidP="005B75ED">
      <w:pPr>
        <w:pStyle w:val="SCCSystemYear"/>
        <w:spacing w:after="720"/>
        <w:jc w:val="both"/>
        <w:rPr>
          <w:lang w:val="fr-FR"/>
        </w:rPr>
      </w:pPr>
      <w:r>
        <w:rPr>
          <w:lang w:val="fr-FR"/>
        </w:rPr>
        <w:t>2013</w:t>
      </w:r>
      <w:r w:rsidR="005B75ED">
        <w:rPr>
          <w:lang w:val="fr-FR"/>
        </w:rPr>
        <w:t xml:space="preserve"> CSC </w:t>
      </w:r>
      <w:r>
        <w:rPr>
          <w:lang w:val="fr-FR"/>
        </w:rPr>
        <w:t>20</w:t>
      </w:r>
    </w:p>
    <w:p w:rsidR="005B75ED" w:rsidRDefault="005B75ED" w:rsidP="005B75ED">
      <w:pPr>
        <w:spacing w:after="720"/>
        <w:jc w:val="both"/>
        <w:rPr>
          <w:lang w:val="fr-FR"/>
        </w:rPr>
      </w:pPr>
      <w:r>
        <w:t>N</w:t>
      </w:r>
      <w:r>
        <w:rPr>
          <w:vertAlign w:val="superscript"/>
        </w:rPr>
        <w:t>o</w:t>
      </w:r>
      <w:r>
        <w:t xml:space="preserve"> du greffe : </w:t>
      </w:r>
      <w:r>
        <w:rPr>
          <w:lang w:val="fr-FR"/>
        </w:rPr>
        <w:t>34</w:t>
      </w:r>
      <w:r w:rsidR="004625A8">
        <w:rPr>
          <w:lang w:val="fr-FR"/>
        </w:rPr>
        <w:t>417</w:t>
      </w:r>
      <w:r>
        <w:rPr>
          <w:lang w:val="fr-FR"/>
        </w:rPr>
        <w:t>.</w:t>
      </w:r>
    </w:p>
    <w:p w:rsidR="005B75ED" w:rsidRDefault="004625A8" w:rsidP="005B75ED">
      <w:pPr>
        <w:spacing w:after="720"/>
        <w:jc w:val="both"/>
        <w:rPr>
          <w:lang w:val="fr-FR"/>
        </w:rPr>
      </w:pPr>
      <w:r>
        <w:rPr>
          <w:lang w:val="fr-FR"/>
        </w:rPr>
        <w:t>2013 : 16</w:t>
      </w:r>
      <w:r w:rsidR="005B75ED">
        <w:rPr>
          <w:lang w:val="fr-FR"/>
        </w:rPr>
        <w:t> </w:t>
      </w:r>
      <w:r>
        <w:rPr>
          <w:lang w:val="fr-FR"/>
        </w:rPr>
        <w:t>avril</w:t>
      </w:r>
      <w:r w:rsidR="005B75ED">
        <w:rPr>
          <w:lang w:val="fr-FR"/>
        </w:rPr>
        <w:t>.</w:t>
      </w:r>
    </w:p>
    <w:p w:rsidR="005B75ED" w:rsidRDefault="005B75ED" w:rsidP="005B75ED">
      <w:pPr>
        <w:spacing w:after="720"/>
        <w:jc w:val="both"/>
        <w:rPr>
          <w:lang w:val="fr-FR"/>
        </w:rPr>
      </w:pPr>
      <w:r>
        <w:rPr>
          <w:lang w:val="fr-FR"/>
        </w:rPr>
        <w:t>Présents :</w:t>
      </w:r>
      <w:proofErr w:type="gramStart"/>
      <w:r>
        <w:rPr>
          <w:lang w:val="fr-FR"/>
        </w:rPr>
        <w:t xml:space="preserve">  </w:t>
      </w:r>
      <w:r w:rsidR="006E6022">
        <w:rPr>
          <w:lang w:val="fr-FR"/>
        </w:rPr>
        <w:t>Les</w:t>
      </w:r>
      <w:proofErr w:type="gramEnd"/>
      <w:r>
        <w:rPr>
          <w:lang w:val="fr-FR"/>
        </w:rPr>
        <w:t xml:space="preserve"> juges </w:t>
      </w:r>
      <w:proofErr w:type="spellStart"/>
      <w:r w:rsidR="006E6022">
        <w:rPr>
          <w:lang w:val="fr-FR"/>
        </w:rPr>
        <w:t>L</w:t>
      </w:r>
      <w:r w:rsidR="00A5480B">
        <w:rPr>
          <w:lang w:val="fr-FR"/>
        </w:rPr>
        <w:t>e</w:t>
      </w:r>
      <w:r w:rsidR="006E6022">
        <w:rPr>
          <w:lang w:val="fr-FR"/>
        </w:rPr>
        <w:t>Bel</w:t>
      </w:r>
      <w:proofErr w:type="spellEnd"/>
      <w:r w:rsidR="006E6022">
        <w:rPr>
          <w:lang w:val="fr-FR"/>
        </w:rPr>
        <w:t xml:space="preserve">, </w:t>
      </w:r>
      <w:r>
        <w:rPr>
          <w:lang w:val="fr-FR"/>
        </w:rPr>
        <w:t xml:space="preserve">Fish, Abella, </w:t>
      </w:r>
      <w:proofErr w:type="spellStart"/>
      <w:r>
        <w:rPr>
          <w:lang w:val="fr-FR"/>
        </w:rPr>
        <w:t>Rothstein</w:t>
      </w:r>
      <w:proofErr w:type="spellEnd"/>
      <w:r>
        <w:rPr>
          <w:lang w:val="fr-FR"/>
        </w:rPr>
        <w:t xml:space="preserve">, </w:t>
      </w:r>
      <w:r w:rsidR="00C64AEA">
        <w:rPr>
          <w:lang w:val="fr-FR"/>
        </w:rPr>
        <w:t xml:space="preserve">Cromwell, </w:t>
      </w:r>
      <w:proofErr w:type="spellStart"/>
      <w:r>
        <w:rPr>
          <w:lang w:val="fr-FR"/>
        </w:rPr>
        <w:t>Moldaver</w:t>
      </w:r>
      <w:proofErr w:type="spellEnd"/>
      <w:r w:rsidR="006E6022">
        <w:rPr>
          <w:lang w:val="fr-FR"/>
        </w:rPr>
        <w:t xml:space="preserve"> et</w:t>
      </w:r>
      <w:r>
        <w:rPr>
          <w:lang w:val="fr-FR"/>
        </w:rPr>
        <w:t xml:space="preserve"> </w:t>
      </w:r>
      <w:proofErr w:type="spellStart"/>
      <w:r>
        <w:rPr>
          <w:lang w:val="fr-FR"/>
        </w:rPr>
        <w:t>Karakatsanis</w:t>
      </w:r>
      <w:proofErr w:type="spellEnd"/>
      <w:r>
        <w:rPr>
          <w:lang w:val="fr-FR"/>
        </w:rPr>
        <w:t>.</w:t>
      </w:r>
    </w:p>
    <w:p w:rsidR="005B75ED" w:rsidRDefault="005B75ED" w:rsidP="005B75ED">
      <w:pPr>
        <w:spacing w:after="480" w:line="480" w:lineRule="auto"/>
        <w:jc w:val="both"/>
        <w:rPr>
          <w:smallCaps/>
          <w:szCs w:val="24"/>
          <w:lang w:val="fr-FR"/>
        </w:rPr>
      </w:pPr>
      <w:r>
        <w:rPr>
          <w:smallCaps/>
          <w:szCs w:val="24"/>
        </w:rPr>
        <w:t xml:space="preserve">en appel de la cour d’appel </w:t>
      </w:r>
      <w:r w:rsidR="006E6022">
        <w:rPr>
          <w:smallCaps/>
          <w:szCs w:val="24"/>
        </w:rPr>
        <w:t xml:space="preserve">du </w:t>
      </w:r>
      <w:proofErr w:type="spellStart"/>
      <w:r w:rsidR="006E6022">
        <w:rPr>
          <w:smallCaps/>
          <w:szCs w:val="24"/>
        </w:rPr>
        <w:t>québec</w:t>
      </w:r>
      <w:proofErr w:type="spellEnd"/>
    </w:p>
    <w:p w:rsidR="001F17CE" w:rsidRPr="00EB2380" w:rsidRDefault="005B75ED" w:rsidP="001F17CE">
      <w:pPr>
        <w:pStyle w:val="SCCNormalDoubleSpacing"/>
        <w:tabs>
          <w:tab w:val="left" w:pos="1170"/>
        </w:tabs>
        <w:spacing w:after="480"/>
        <w:rPr>
          <w:i/>
          <w:szCs w:val="24"/>
        </w:rPr>
      </w:pPr>
      <w:r>
        <w:rPr>
          <w:szCs w:val="24"/>
        </w:rPr>
        <w:tab/>
      </w:r>
      <w:r w:rsidR="00C64AEA">
        <w:rPr>
          <w:i/>
          <w:szCs w:val="24"/>
        </w:rPr>
        <w:t>Droit criminel —</w:t>
      </w:r>
      <w:r w:rsidR="001F17CE">
        <w:rPr>
          <w:i/>
          <w:szCs w:val="24"/>
        </w:rPr>
        <w:t xml:space="preserve"> Exposé au jury </w:t>
      </w:r>
      <w:r w:rsidR="00C64AEA">
        <w:rPr>
          <w:i/>
          <w:szCs w:val="24"/>
        </w:rPr>
        <w:t>—</w:t>
      </w:r>
      <w:r w:rsidR="001F17CE">
        <w:t xml:space="preserve"> </w:t>
      </w:r>
      <w:r w:rsidR="001F17CE" w:rsidRPr="00ED34C6">
        <w:rPr>
          <w:i/>
        </w:rPr>
        <w:t>Directives supplémentaires incomplètes et confuses</w:t>
      </w:r>
      <w:r w:rsidR="001F17CE" w:rsidRPr="00ED34C6">
        <w:rPr>
          <w:i/>
          <w:szCs w:val="24"/>
        </w:rPr>
        <w:t xml:space="preserve"> données par </w:t>
      </w:r>
      <w:r w:rsidR="001F17CE" w:rsidRPr="00ED34C6">
        <w:rPr>
          <w:i/>
        </w:rPr>
        <w:t>le juge du procès en réponse à une question spécifique du jury sur la complicité et la participation criminelle</w:t>
      </w:r>
      <w:r w:rsidR="00C64AEA">
        <w:rPr>
          <w:i/>
          <w:szCs w:val="24"/>
        </w:rPr>
        <w:t xml:space="preserve"> —</w:t>
      </w:r>
      <w:r w:rsidR="001F17CE">
        <w:rPr>
          <w:i/>
        </w:rPr>
        <w:t xml:space="preserve"> Verdict de culpabilité prononcé par le jury</w:t>
      </w:r>
      <w:r w:rsidR="00C64AEA">
        <w:rPr>
          <w:i/>
          <w:szCs w:val="24"/>
        </w:rPr>
        <w:t xml:space="preserve"> —</w:t>
      </w:r>
      <w:r w:rsidR="001F17CE">
        <w:rPr>
          <w:i/>
        </w:rPr>
        <w:t xml:space="preserve"> Verdict </w:t>
      </w:r>
      <w:r w:rsidR="001F17CE" w:rsidRPr="00091E2B">
        <w:rPr>
          <w:i/>
        </w:rPr>
        <w:t xml:space="preserve">de culpabilité </w:t>
      </w:r>
      <w:r w:rsidR="001F17CE">
        <w:rPr>
          <w:i/>
        </w:rPr>
        <w:t>annulé et nouveau procès ordonné</w:t>
      </w:r>
      <w:r w:rsidR="001F17CE">
        <w:rPr>
          <w:szCs w:val="24"/>
        </w:rPr>
        <w:t>.</w:t>
      </w:r>
    </w:p>
    <w:p w:rsidR="00740B68" w:rsidRPr="00740B68" w:rsidRDefault="00740B68" w:rsidP="005B75ED">
      <w:pPr>
        <w:pStyle w:val="SCCNormalDoubleSpacing"/>
        <w:tabs>
          <w:tab w:val="left" w:pos="1170"/>
        </w:tabs>
        <w:spacing w:after="480"/>
        <w:rPr>
          <w:b/>
          <w:szCs w:val="24"/>
        </w:rPr>
      </w:pPr>
      <w:r w:rsidRPr="00740B68">
        <w:rPr>
          <w:b/>
          <w:szCs w:val="24"/>
        </w:rPr>
        <w:lastRenderedPageBreak/>
        <w:t>Lois et règlements cités</w:t>
      </w:r>
    </w:p>
    <w:p w:rsidR="001F17CE" w:rsidRPr="00EB2380" w:rsidRDefault="001F17CE" w:rsidP="001F17CE">
      <w:pPr>
        <w:pStyle w:val="SCCNormalDoubleSpacing"/>
        <w:tabs>
          <w:tab w:val="left" w:pos="1170"/>
        </w:tabs>
        <w:spacing w:after="480"/>
        <w:rPr>
          <w:i/>
          <w:szCs w:val="24"/>
        </w:rPr>
      </w:pPr>
      <w:r>
        <w:rPr>
          <w:i/>
          <w:szCs w:val="24"/>
        </w:rPr>
        <w:t>Code criminel</w:t>
      </w:r>
      <w:r w:rsidRPr="00740B68">
        <w:rPr>
          <w:szCs w:val="24"/>
        </w:rPr>
        <w:t xml:space="preserve">, </w:t>
      </w:r>
      <w:r>
        <w:rPr>
          <w:szCs w:val="24"/>
        </w:rPr>
        <w:t>L.R.C. 1985, ch. C-46, art. 21(2), 231(5).</w:t>
      </w:r>
    </w:p>
    <w:p w:rsidR="005B75ED" w:rsidRDefault="001F17CE" w:rsidP="005B75ED">
      <w:pPr>
        <w:pStyle w:val="SCCNormalDoubleSpacing"/>
        <w:tabs>
          <w:tab w:val="left" w:pos="1170"/>
        </w:tabs>
        <w:spacing w:after="480"/>
        <w:rPr>
          <w:lang w:val="fr-FR"/>
        </w:rPr>
      </w:pPr>
      <w:r>
        <w:tab/>
        <w:t xml:space="preserve">POURVOI contre un arrêt de la Cour d’appel du Québec </w:t>
      </w:r>
      <w:r>
        <w:rPr>
          <w:lang w:val="fr-FR"/>
        </w:rPr>
        <w:t>(les juges Thibault, Rochette et Viens (</w:t>
      </w:r>
      <w:r>
        <w:rPr>
          <w:i/>
          <w:lang w:val="fr-FR"/>
        </w:rPr>
        <w:t>ad hoc</w:t>
      </w:r>
      <w:r>
        <w:rPr>
          <w:lang w:val="fr-FR"/>
        </w:rPr>
        <w:t>)</w:t>
      </w:r>
      <w:r w:rsidRPr="009E02CE">
        <w:rPr>
          <w:lang w:val="fr-FR"/>
        </w:rPr>
        <w:t>),</w:t>
      </w:r>
      <w:r>
        <w:rPr>
          <w:lang w:val="fr-FR"/>
        </w:rPr>
        <w:t xml:space="preserve"> 2011 QCCA 1203</w:t>
      </w:r>
      <w:r>
        <w:t>, SOQUIJ AZ-50763975, [2011] J.Q. n</w:t>
      </w:r>
      <w:r w:rsidRPr="00830715">
        <w:rPr>
          <w:vertAlign w:val="superscript"/>
        </w:rPr>
        <w:t xml:space="preserve">o </w:t>
      </w:r>
      <w:r>
        <w:t xml:space="preserve">8124 (QL), 2011 </w:t>
      </w:r>
      <w:proofErr w:type="spellStart"/>
      <w:r>
        <w:t>CarswellQue</w:t>
      </w:r>
      <w:proofErr w:type="spellEnd"/>
      <w:r>
        <w:t xml:space="preserve"> 6682, </w:t>
      </w:r>
      <w:r w:rsidRPr="00D51078">
        <w:t xml:space="preserve">qui a confirmé </w:t>
      </w:r>
      <w:r w:rsidRPr="002A68ED">
        <w:t>les déclarations de culpabilité prononcées</w:t>
      </w:r>
      <w:r>
        <w:t xml:space="preserve"> contre l’accusé pour meurtre au premier degré. Pourvoi accueilli.</w:t>
      </w:r>
    </w:p>
    <w:p w:rsidR="005B75ED" w:rsidRPr="00A5480B" w:rsidRDefault="005B75ED" w:rsidP="005B75ED">
      <w:pPr>
        <w:pStyle w:val="SCCNormalDoubleSpacing"/>
        <w:tabs>
          <w:tab w:val="left" w:pos="1170"/>
        </w:tabs>
        <w:spacing w:after="480"/>
        <w:rPr>
          <w:rStyle w:val="SCCCounselPartyRoleChar"/>
        </w:rPr>
      </w:pPr>
      <w:r>
        <w:rPr>
          <w:rStyle w:val="SCCCounselNameChar"/>
          <w:lang w:val="fr-FR"/>
        </w:rPr>
        <w:tab/>
      </w:r>
      <w:r w:rsidR="0062487C">
        <w:rPr>
          <w:rStyle w:val="SCCCounselNameChar"/>
        </w:rPr>
        <w:t xml:space="preserve">Sophie </w:t>
      </w:r>
      <w:proofErr w:type="spellStart"/>
      <w:r w:rsidR="0062487C">
        <w:rPr>
          <w:rStyle w:val="SCCCounselNameChar"/>
        </w:rPr>
        <w:t>Dubé</w:t>
      </w:r>
      <w:proofErr w:type="spellEnd"/>
      <w:r w:rsidR="0062487C" w:rsidRPr="0062487C">
        <w:rPr>
          <w:rStyle w:val="SCCCounselNameChar"/>
          <w:i w:val="0"/>
        </w:rPr>
        <w:t xml:space="preserve"> et</w:t>
      </w:r>
      <w:r w:rsidR="0062487C">
        <w:rPr>
          <w:rStyle w:val="SCCCounselNameChar"/>
        </w:rPr>
        <w:t xml:space="preserve"> Caroline Gravel</w:t>
      </w:r>
      <w:r w:rsidRPr="00A5480B">
        <w:rPr>
          <w:rStyle w:val="SCCCounselPartyRoleChar"/>
        </w:rPr>
        <w:t>, pour l’appelant.</w:t>
      </w:r>
    </w:p>
    <w:p w:rsidR="005B75ED" w:rsidRDefault="005B75ED" w:rsidP="005B75ED">
      <w:pPr>
        <w:pStyle w:val="SCCNormalDoubleSpacing"/>
        <w:tabs>
          <w:tab w:val="left" w:pos="1170"/>
        </w:tabs>
        <w:spacing w:after="480"/>
        <w:rPr>
          <w:rStyle w:val="SCCCounselPartyRoleChar"/>
          <w:lang w:val="fr-FR"/>
        </w:rPr>
      </w:pPr>
      <w:r w:rsidRPr="00A5480B">
        <w:rPr>
          <w:rStyle w:val="SCCCounselPartyRoleChar"/>
        </w:rPr>
        <w:tab/>
      </w:r>
      <w:r w:rsidR="0062487C">
        <w:rPr>
          <w:rStyle w:val="SCCCounselPartyRoleChar"/>
          <w:i/>
          <w:lang w:val="fr-FR"/>
        </w:rPr>
        <w:t xml:space="preserve">René </w:t>
      </w:r>
      <w:proofErr w:type="spellStart"/>
      <w:r w:rsidR="0062487C">
        <w:rPr>
          <w:rStyle w:val="SCCCounselPartyRoleChar"/>
          <w:i/>
          <w:lang w:val="fr-FR"/>
        </w:rPr>
        <w:t>Verret</w:t>
      </w:r>
      <w:proofErr w:type="spellEnd"/>
      <w:r w:rsidR="0062487C" w:rsidRPr="0062487C">
        <w:rPr>
          <w:rStyle w:val="SCCCounselPartyRoleChar"/>
          <w:lang w:val="fr-FR"/>
        </w:rPr>
        <w:t xml:space="preserve"> et</w:t>
      </w:r>
      <w:r w:rsidR="0062487C">
        <w:rPr>
          <w:rStyle w:val="SCCCounselPartyRoleChar"/>
          <w:i/>
          <w:lang w:val="fr-FR"/>
        </w:rPr>
        <w:t xml:space="preserve"> Jean </w:t>
      </w:r>
      <w:proofErr w:type="spellStart"/>
      <w:r w:rsidR="0062487C">
        <w:rPr>
          <w:rStyle w:val="SCCCounselPartyRoleChar"/>
          <w:i/>
          <w:lang w:val="fr-FR"/>
        </w:rPr>
        <w:t>Campeau</w:t>
      </w:r>
      <w:proofErr w:type="spellEnd"/>
      <w:r>
        <w:rPr>
          <w:rStyle w:val="SCCCounselPartyRoleChar"/>
          <w:lang w:val="fr-FR"/>
        </w:rPr>
        <w:t xml:space="preserve">, </w:t>
      </w:r>
      <w:r>
        <w:rPr>
          <w:rStyle w:val="SCCCounselPartyRoleChar"/>
        </w:rPr>
        <w:t>pour l’intimée</w:t>
      </w:r>
      <w:r>
        <w:rPr>
          <w:rStyle w:val="SCCCounselPartyRoleChar"/>
          <w:lang w:val="fr-FR"/>
        </w:rPr>
        <w:t>.</w:t>
      </w:r>
    </w:p>
    <w:p w:rsidR="005B75ED" w:rsidRDefault="005B75ED" w:rsidP="005B75ED">
      <w:pPr>
        <w:pStyle w:val="SCCNormalDoubleSpacing"/>
        <w:tabs>
          <w:tab w:val="left" w:pos="1170"/>
        </w:tabs>
        <w:spacing w:after="480"/>
        <w:rPr>
          <w:szCs w:val="24"/>
        </w:rPr>
      </w:pPr>
      <w:r>
        <w:rPr>
          <w:szCs w:val="24"/>
        </w:rPr>
        <w:tab/>
      </w:r>
      <w:r w:rsidR="008B7889">
        <w:rPr>
          <w:szCs w:val="24"/>
        </w:rPr>
        <w:t>Le</w:t>
      </w:r>
      <w:r>
        <w:rPr>
          <w:szCs w:val="24"/>
        </w:rPr>
        <w:t xml:space="preserve"> jugement de la Cour </w:t>
      </w:r>
      <w:r w:rsidR="0076126B">
        <w:rPr>
          <w:szCs w:val="24"/>
        </w:rPr>
        <w:t xml:space="preserve">a été </w:t>
      </w:r>
      <w:r>
        <w:rPr>
          <w:szCs w:val="24"/>
        </w:rPr>
        <w:t xml:space="preserve">rendu oralement par </w:t>
      </w:r>
    </w:p>
    <w:p w:rsidR="005B75ED" w:rsidRPr="00774E06" w:rsidRDefault="005B75ED" w:rsidP="005B75ED">
      <w:pPr>
        <w:pStyle w:val="ParaNoNdepar-AltN"/>
        <w:tabs>
          <w:tab w:val="clear" w:pos="1512"/>
          <w:tab w:val="num" w:pos="1152"/>
        </w:tabs>
        <w:ind w:left="0"/>
        <w:rPr>
          <w:i/>
          <w:lang w:val="fr-FR"/>
        </w:rPr>
      </w:pPr>
      <w:r w:rsidRPr="007E0ED9">
        <w:rPr>
          <w:smallCaps/>
          <w:lang w:val="fr-CA"/>
        </w:rPr>
        <w:t>L</w:t>
      </w:r>
      <w:r w:rsidR="008B7889">
        <w:rPr>
          <w:smallCaps/>
          <w:lang w:val="fr-CA"/>
        </w:rPr>
        <w:t xml:space="preserve">e juge </w:t>
      </w:r>
      <w:proofErr w:type="spellStart"/>
      <w:r w:rsidR="008B7889">
        <w:rPr>
          <w:smallCaps/>
          <w:lang w:val="fr-CA"/>
        </w:rPr>
        <w:t>LeBel</w:t>
      </w:r>
      <w:proofErr w:type="spellEnd"/>
      <w:r w:rsidR="008B7889">
        <w:rPr>
          <w:smallCaps/>
          <w:lang w:val="fr-CA"/>
        </w:rPr>
        <w:t xml:space="preserve"> </w:t>
      </w:r>
      <w:r w:rsidRPr="007E0ED9">
        <w:rPr>
          <w:lang w:val="fr-CA"/>
        </w:rPr>
        <w:t xml:space="preserve">— </w:t>
      </w:r>
      <w:r w:rsidR="008B7889" w:rsidRPr="008B7889">
        <w:rPr>
          <w:lang w:val="fr-CA"/>
        </w:rPr>
        <w:t xml:space="preserve">La Cour est unanimement d’avis que le pourvoi doit être accueilli. En effet, le juge présidant le procès de l’appelant a donné, en réponse à une question spécifique du jury sur la complicité et la participation criminelle, des directives supplémentaires incomplètes et confuses. De plus, sans que nous ayons à statuer sur cette question à l’occasion du présent appel, la nature des accusations portées contre l’appelant soulève la question de la possibilité de fonder une condamnation pour meurtre au premier degré en vertu du par. 231(5) </w:t>
      </w:r>
      <w:r w:rsidR="00F03A54" w:rsidRPr="002A2CCA">
        <w:rPr>
          <w:lang w:val="fr-CA"/>
        </w:rPr>
        <w:t xml:space="preserve">du </w:t>
      </w:r>
      <w:r w:rsidR="00F03A54">
        <w:rPr>
          <w:i/>
          <w:lang w:val="fr-CA"/>
        </w:rPr>
        <w:t>Code criminel</w:t>
      </w:r>
      <w:r w:rsidR="00F03A54" w:rsidRPr="00F03A54">
        <w:rPr>
          <w:lang w:val="fr-CA"/>
        </w:rPr>
        <w:t>, L.R.C. 1985, ch. C-46,</w:t>
      </w:r>
      <w:r w:rsidR="008B7889" w:rsidRPr="008B7889">
        <w:rPr>
          <w:lang w:val="fr-CA"/>
        </w:rPr>
        <w:t xml:space="preserve"> sur la participation criminelle du prévenu suivant le par. 21(2)</w:t>
      </w:r>
      <w:r w:rsidR="008B7889" w:rsidRPr="008B7889">
        <w:rPr>
          <w:i/>
          <w:lang w:val="fr-CA"/>
        </w:rPr>
        <w:t>.</w:t>
      </w:r>
      <w:r w:rsidR="008B7889" w:rsidRPr="008B7889">
        <w:rPr>
          <w:lang w:val="fr-CA"/>
        </w:rPr>
        <w:t xml:space="preserve"> Pour ces motifs, l’appel est accueilli, le verdict de culpabilité est annulé et la Cour ordonne la tenue d’un nouveau procès relativement aux mêmes chefs d’accusation.</w:t>
      </w:r>
    </w:p>
    <w:p w:rsidR="005B75ED" w:rsidRPr="00774E06" w:rsidRDefault="005B75ED" w:rsidP="005B75ED">
      <w:pPr>
        <w:pStyle w:val="ParaNoNdepar-AltN"/>
        <w:numPr>
          <w:ilvl w:val="0"/>
          <w:numId w:val="0"/>
        </w:numPr>
        <w:tabs>
          <w:tab w:val="left" w:pos="1170"/>
        </w:tabs>
        <w:rPr>
          <w:rStyle w:val="SCCCounselPartyRoleChar"/>
          <w:i/>
          <w:lang w:val="fr-FR"/>
        </w:rPr>
      </w:pPr>
      <w:r w:rsidRPr="00774E06">
        <w:rPr>
          <w:i/>
          <w:lang w:val="fr-FR"/>
        </w:rPr>
        <w:lastRenderedPageBreak/>
        <w:tab/>
      </w:r>
      <w:r w:rsidRPr="000E2D69">
        <w:rPr>
          <w:i/>
          <w:lang w:val="fr-CA"/>
        </w:rPr>
        <w:t>Jugement en conséquence</w:t>
      </w:r>
      <w:r w:rsidRPr="00E120C4">
        <w:rPr>
          <w:i/>
          <w:lang w:val="fr-CA"/>
        </w:rPr>
        <w:t>.</w:t>
      </w:r>
    </w:p>
    <w:p w:rsidR="005B75ED" w:rsidRPr="004B29F7" w:rsidRDefault="005B75ED" w:rsidP="005B75ED">
      <w:pPr>
        <w:pStyle w:val="SCCNormalDoubleSpacing"/>
        <w:tabs>
          <w:tab w:val="left" w:pos="1170"/>
        </w:tabs>
        <w:spacing w:after="480"/>
      </w:pPr>
      <w:r>
        <w:rPr>
          <w:lang w:val="fr-FR"/>
        </w:rPr>
        <w:tab/>
      </w:r>
      <w:r w:rsidRPr="004B29F7">
        <w:rPr>
          <w:i/>
        </w:rPr>
        <w:t>Procureur</w:t>
      </w:r>
      <w:r>
        <w:rPr>
          <w:i/>
        </w:rPr>
        <w:t>s de l’appelant : </w:t>
      </w:r>
      <w:r w:rsidR="00EE1177">
        <w:rPr>
          <w:i/>
        </w:rPr>
        <w:t xml:space="preserve">Stein </w:t>
      </w:r>
      <w:proofErr w:type="spellStart"/>
      <w:r w:rsidR="00EE1177">
        <w:rPr>
          <w:i/>
        </w:rPr>
        <w:t>Monast</w:t>
      </w:r>
      <w:proofErr w:type="spellEnd"/>
      <w:r w:rsidRPr="004B29F7">
        <w:rPr>
          <w:i/>
        </w:rPr>
        <w:t xml:space="preserve">, </w:t>
      </w:r>
      <w:r w:rsidR="00EE1177">
        <w:rPr>
          <w:i/>
        </w:rPr>
        <w:t>Québec</w:t>
      </w:r>
      <w:r w:rsidRPr="004B29F7">
        <w:rPr>
          <w:i/>
        </w:rPr>
        <w:t>.</w:t>
      </w:r>
    </w:p>
    <w:p w:rsidR="005B75ED" w:rsidRPr="006102A9" w:rsidRDefault="005B75ED" w:rsidP="005B75ED">
      <w:pPr>
        <w:pStyle w:val="SCCNormalDoubleSpacing"/>
        <w:tabs>
          <w:tab w:val="left" w:pos="1170"/>
        </w:tabs>
        <w:spacing w:after="480"/>
        <w:rPr>
          <w:i/>
        </w:rPr>
      </w:pPr>
      <w:r w:rsidRPr="004B29F7">
        <w:tab/>
      </w:r>
      <w:r>
        <w:rPr>
          <w:i/>
        </w:rPr>
        <w:t>Procureur de l’intimée : </w:t>
      </w:r>
      <w:r w:rsidR="00EE1177">
        <w:rPr>
          <w:i/>
        </w:rPr>
        <w:t>Poursuites criminelles et pénales du Québec</w:t>
      </w:r>
      <w:r w:rsidRPr="0045555D">
        <w:rPr>
          <w:i/>
        </w:rPr>
        <w:t xml:space="preserve">, </w:t>
      </w:r>
      <w:r w:rsidR="00EE1177">
        <w:rPr>
          <w:i/>
        </w:rPr>
        <w:t>Québec</w:t>
      </w:r>
      <w:r w:rsidRPr="0045555D">
        <w:rPr>
          <w:i/>
        </w:rPr>
        <w:t>.</w:t>
      </w:r>
    </w:p>
    <w:sectPr w:rsidR="005B75ED" w:rsidRPr="006102A9" w:rsidSect="009D09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B68" w:rsidRDefault="00740B68" w:rsidP="002D42CD">
      <w:r>
        <w:separator/>
      </w:r>
    </w:p>
  </w:endnote>
  <w:endnote w:type="continuationSeparator" w:id="0">
    <w:p w:rsidR="00740B68" w:rsidRDefault="00740B68" w:rsidP="002D4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0C" w:rsidRDefault="009508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0C" w:rsidRDefault="009508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0C" w:rsidRDefault="009508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B68" w:rsidRDefault="00740B68" w:rsidP="002D42CD">
      <w:r>
        <w:separator/>
      </w:r>
    </w:p>
  </w:footnote>
  <w:footnote w:type="continuationSeparator" w:id="0">
    <w:p w:rsidR="00740B68" w:rsidRDefault="00740B68" w:rsidP="002D4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0C" w:rsidRDefault="009508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532"/>
      <w:docPartObj>
        <w:docPartGallery w:val="Page Numbers (Top of Page)"/>
        <w:docPartUnique/>
      </w:docPartObj>
    </w:sdtPr>
    <w:sdtContent>
      <w:p w:rsidR="00740B68" w:rsidRDefault="00740B68" w:rsidP="009D0965">
        <w:pPr>
          <w:pStyle w:val="Header"/>
          <w:spacing w:after="720"/>
          <w:jc w:val="center"/>
        </w:pPr>
        <w:r>
          <w:t xml:space="preserve">- </w:t>
        </w:r>
        <w:fldSimple w:instr=" PAGE   \* MERGEFORMAT ">
          <w:r w:rsidR="00983183">
            <w:rPr>
              <w:noProof/>
            </w:rPr>
            <w:t>2</w:t>
          </w:r>
        </w:fldSimple>
        <w:r>
          <w:t xml:space="preserve"> -</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0C" w:rsidRDefault="009508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05C00208"/>
    <w:lvl w:ilvl="0">
      <w:start w:val="1"/>
      <w:numFmt w:val="decimal"/>
      <w:pStyle w:val="ParaNoNdepar-AltN"/>
      <w:lvlText w:val="[%1]"/>
      <w:lvlJc w:val="left"/>
      <w:pPr>
        <w:tabs>
          <w:tab w:val="num" w:pos="1512"/>
        </w:tabs>
        <w:ind w:left="36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rsids>
    <w:rsidRoot w:val="005B75ED"/>
    <w:rsid w:val="00102178"/>
    <w:rsid w:val="0013481D"/>
    <w:rsid w:val="00145655"/>
    <w:rsid w:val="00150E8F"/>
    <w:rsid w:val="00160E84"/>
    <w:rsid w:val="001804D7"/>
    <w:rsid w:val="001E4BF7"/>
    <w:rsid w:val="001F17CE"/>
    <w:rsid w:val="00217496"/>
    <w:rsid w:val="00242E70"/>
    <w:rsid w:val="00293A64"/>
    <w:rsid w:val="00295F78"/>
    <w:rsid w:val="002A0198"/>
    <w:rsid w:val="002A2CCA"/>
    <w:rsid w:val="002D0F06"/>
    <w:rsid w:val="002D42CD"/>
    <w:rsid w:val="0030585A"/>
    <w:rsid w:val="00406986"/>
    <w:rsid w:val="0043170F"/>
    <w:rsid w:val="004625A8"/>
    <w:rsid w:val="00474624"/>
    <w:rsid w:val="005154D7"/>
    <w:rsid w:val="0055276C"/>
    <w:rsid w:val="005B75ED"/>
    <w:rsid w:val="005C14FA"/>
    <w:rsid w:val="005C5EB1"/>
    <w:rsid w:val="005C73DF"/>
    <w:rsid w:val="005F2A15"/>
    <w:rsid w:val="006074E8"/>
    <w:rsid w:val="0062487C"/>
    <w:rsid w:val="00697D41"/>
    <w:rsid w:val="006B20A1"/>
    <w:rsid w:val="006E6022"/>
    <w:rsid w:val="0073234A"/>
    <w:rsid w:val="00740B68"/>
    <w:rsid w:val="0076126B"/>
    <w:rsid w:val="0077634F"/>
    <w:rsid w:val="00825940"/>
    <w:rsid w:val="00830715"/>
    <w:rsid w:val="008A660E"/>
    <w:rsid w:val="008B7889"/>
    <w:rsid w:val="008E6D14"/>
    <w:rsid w:val="0095080C"/>
    <w:rsid w:val="00983183"/>
    <w:rsid w:val="00987647"/>
    <w:rsid w:val="009D0965"/>
    <w:rsid w:val="00A02A2D"/>
    <w:rsid w:val="00A34F24"/>
    <w:rsid w:val="00A51AE0"/>
    <w:rsid w:val="00A5480B"/>
    <w:rsid w:val="00A643D4"/>
    <w:rsid w:val="00AB5341"/>
    <w:rsid w:val="00B20805"/>
    <w:rsid w:val="00B60F6B"/>
    <w:rsid w:val="00B71B15"/>
    <w:rsid w:val="00B873CA"/>
    <w:rsid w:val="00C078BF"/>
    <w:rsid w:val="00C10EA5"/>
    <w:rsid w:val="00C334D8"/>
    <w:rsid w:val="00C64AEA"/>
    <w:rsid w:val="00CB54FB"/>
    <w:rsid w:val="00E005E9"/>
    <w:rsid w:val="00E1700A"/>
    <w:rsid w:val="00E23DE9"/>
    <w:rsid w:val="00E40C3E"/>
    <w:rsid w:val="00EE1177"/>
    <w:rsid w:val="00EE3FC6"/>
    <w:rsid w:val="00F03A54"/>
    <w:rsid w:val="00F1312C"/>
    <w:rsid w:val="00F261CB"/>
    <w:rsid w:val="00F63E92"/>
    <w:rsid w:val="00F81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ED"/>
    <w:rPr>
      <w:sz w:val="24"/>
      <w:lang w:val="fr-CA"/>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character" w:customStyle="1" w:styleId="SCCNormalDoubleSpacingChar">
    <w:name w:val="SCC.Normal.DoubleSpacing Char"/>
    <w:basedOn w:val="DefaultParagraphFont"/>
    <w:link w:val="SCCNormalDoubleSpacing"/>
    <w:locked/>
    <w:rsid w:val="005B75ED"/>
    <w:rPr>
      <w:sz w:val="24"/>
      <w:lang w:val="fr-CA"/>
    </w:rPr>
  </w:style>
  <w:style w:type="paragraph" w:customStyle="1" w:styleId="SCCNormalDoubleSpacing">
    <w:name w:val="SCC.Normal.DoubleSpacing"/>
    <w:basedOn w:val="Normal"/>
    <w:link w:val="SCCNormalDoubleSpacingChar"/>
    <w:rsid w:val="005B75ED"/>
    <w:pPr>
      <w:spacing w:line="480" w:lineRule="auto"/>
      <w:jc w:val="both"/>
    </w:pPr>
  </w:style>
  <w:style w:type="character" w:customStyle="1" w:styleId="SCCLsocPartyChar">
    <w:name w:val="SCC.Lsoc.Party Char"/>
    <w:basedOn w:val="DefaultParagraphFont"/>
    <w:link w:val="SCCLsocParty"/>
    <w:locked/>
    <w:rsid w:val="005B75ED"/>
    <w:rPr>
      <w:b/>
      <w:sz w:val="24"/>
      <w:lang w:val="fr-CA"/>
    </w:rPr>
  </w:style>
  <w:style w:type="paragraph" w:customStyle="1" w:styleId="SCCLsocParty">
    <w:name w:val="SCC.Lsoc.Party"/>
    <w:basedOn w:val="Normal"/>
    <w:next w:val="Normal"/>
    <w:link w:val="SCCLsocPartyChar"/>
    <w:rsid w:val="005B75ED"/>
    <w:pPr>
      <w:jc w:val="both"/>
    </w:pPr>
    <w:rPr>
      <w:b/>
    </w:rPr>
  </w:style>
  <w:style w:type="character" w:customStyle="1" w:styleId="SCCLsocVersusChar">
    <w:name w:val="SCC.Lsoc.Versus Char"/>
    <w:basedOn w:val="DefaultParagraphFont"/>
    <w:link w:val="SCCLsocVersus"/>
    <w:locked/>
    <w:rsid w:val="005B75ED"/>
    <w:rPr>
      <w:i/>
      <w:sz w:val="24"/>
      <w:lang w:val="fr-CA"/>
    </w:rPr>
  </w:style>
  <w:style w:type="paragraph" w:customStyle="1" w:styleId="SCCLsocVersus">
    <w:name w:val="SCC.Lsoc.Versus"/>
    <w:basedOn w:val="Normal"/>
    <w:next w:val="Normal"/>
    <w:link w:val="SCCLsocVersusChar"/>
    <w:rsid w:val="005B75ED"/>
    <w:rPr>
      <w:i/>
    </w:rPr>
  </w:style>
  <w:style w:type="character" w:customStyle="1" w:styleId="SCCRespondentForRunningHeadChar">
    <w:name w:val="SCC.RespondentForRunningHead Char"/>
    <w:basedOn w:val="DefaultParagraphFont"/>
    <w:link w:val="SCCRespondentForRunningHead"/>
    <w:locked/>
    <w:rsid w:val="005B75ED"/>
    <w:rPr>
      <w:smallCaps/>
      <w:sz w:val="24"/>
      <w:lang w:val="fr-CA"/>
    </w:rPr>
  </w:style>
  <w:style w:type="paragraph" w:customStyle="1" w:styleId="SCCRespondentForRunningHead">
    <w:name w:val="SCC.RespondentForRunningHead"/>
    <w:basedOn w:val="Normal"/>
    <w:next w:val="Normal"/>
    <w:link w:val="SCCRespondentForRunningHeadChar"/>
    <w:rsid w:val="005B75ED"/>
    <w:rPr>
      <w:smallCaps/>
    </w:rPr>
  </w:style>
  <w:style w:type="character" w:customStyle="1" w:styleId="SCCSystemYearChar">
    <w:name w:val="SCC.SystemYear Char"/>
    <w:basedOn w:val="DefaultParagraphFont"/>
    <w:link w:val="SCCSystemYear"/>
    <w:locked/>
    <w:rsid w:val="005B75ED"/>
    <w:rPr>
      <w:b/>
      <w:sz w:val="24"/>
      <w:lang w:val="fr-CA"/>
    </w:rPr>
  </w:style>
  <w:style w:type="paragraph" w:customStyle="1" w:styleId="SCCSystemYear">
    <w:name w:val="SCC.SystemYear"/>
    <w:basedOn w:val="Normal"/>
    <w:next w:val="Normal"/>
    <w:link w:val="SCCSystemYearChar"/>
    <w:rsid w:val="005B75ED"/>
    <w:rPr>
      <w:b/>
    </w:rPr>
  </w:style>
  <w:style w:type="character" w:customStyle="1" w:styleId="SCCCounselNameChar">
    <w:name w:val="SCC.CounselName Char"/>
    <w:basedOn w:val="SCCNormalDoubleSpacingChar"/>
    <w:link w:val="SCCCounselName"/>
    <w:locked/>
    <w:rsid w:val="005B75ED"/>
    <w:rPr>
      <w:i/>
    </w:rPr>
  </w:style>
  <w:style w:type="paragraph" w:customStyle="1" w:styleId="SCCCounselName">
    <w:name w:val="SCC.CounselName"/>
    <w:basedOn w:val="SCCNormalDoubleSpacing"/>
    <w:next w:val="SCCNormalDoubleSpacing"/>
    <w:link w:val="SCCCounselNameChar"/>
    <w:rsid w:val="005B75ED"/>
    <w:rPr>
      <w:i/>
    </w:rPr>
  </w:style>
  <w:style w:type="character" w:customStyle="1" w:styleId="SCCCounselPartyRoleChar">
    <w:name w:val="SCC.CounselPartyRole Char"/>
    <w:basedOn w:val="SCCNormalDoubleSpacingChar"/>
    <w:link w:val="SCCCounselPartyRole"/>
    <w:locked/>
    <w:rsid w:val="005B75ED"/>
  </w:style>
  <w:style w:type="paragraph" w:customStyle="1" w:styleId="SCCCounselPartyRole">
    <w:name w:val="SCC.CounselPartyRole"/>
    <w:basedOn w:val="SCCNormalDoubleSpacing"/>
    <w:next w:val="SCCNormalDoubleSpacing"/>
    <w:link w:val="SCCCounselPartyRoleChar"/>
    <w:rsid w:val="005B75ED"/>
  </w:style>
  <w:style w:type="paragraph" w:customStyle="1" w:styleId="ParaNoNdepar-AltN">
    <w:name w:val="Para. No. / Nº de par. - Alt N"/>
    <w:qFormat/>
    <w:rsid w:val="005B75ED"/>
    <w:pPr>
      <w:numPr>
        <w:numId w:val="1"/>
      </w:numPr>
      <w:spacing w:before="480" w:after="480" w:line="480" w:lineRule="auto"/>
      <w:jc w:val="both"/>
    </w:pPr>
    <w:rPr>
      <w:rFonts w:eastAsiaTheme="minorEastAsia" w:cstheme="minorBidi"/>
      <w:sz w:val="24"/>
      <w:szCs w:val="22"/>
      <w:lang w:eastAsia="en-US"/>
    </w:rPr>
  </w:style>
  <w:style w:type="paragraph" w:styleId="Header">
    <w:name w:val="header"/>
    <w:basedOn w:val="Normal"/>
    <w:link w:val="HeaderChar"/>
    <w:uiPriority w:val="99"/>
    <w:unhideWhenUsed/>
    <w:rsid w:val="005B75ED"/>
    <w:pPr>
      <w:tabs>
        <w:tab w:val="center" w:pos="4680"/>
        <w:tab w:val="right" w:pos="9360"/>
      </w:tabs>
    </w:pPr>
  </w:style>
  <w:style w:type="character" w:customStyle="1" w:styleId="HeaderChar">
    <w:name w:val="Header Char"/>
    <w:basedOn w:val="DefaultParagraphFont"/>
    <w:link w:val="Header"/>
    <w:uiPriority w:val="99"/>
    <w:rsid w:val="005B75ED"/>
    <w:rPr>
      <w:sz w:val="24"/>
      <w:lang w:val="fr-CA"/>
    </w:rPr>
  </w:style>
  <w:style w:type="paragraph" w:styleId="Footer">
    <w:name w:val="footer"/>
    <w:basedOn w:val="Normal"/>
    <w:link w:val="FooterChar"/>
    <w:uiPriority w:val="99"/>
    <w:semiHidden/>
    <w:unhideWhenUsed/>
    <w:rsid w:val="0095080C"/>
    <w:pPr>
      <w:tabs>
        <w:tab w:val="center" w:pos="4680"/>
        <w:tab w:val="right" w:pos="9360"/>
      </w:tabs>
    </w:pPr>
  </w:style>
  <w:style w:type="character" w:customStyle="1" w:styleId="FooterChar">
    <w:name w:val="Footer Char"/>
    <w:basedOn w:val="DefaultParagraphFont"/>
    <w:link w:val="Footer"/>
    <w:uiPriority w:val="99"/>
    <w:semiHidden/>
    <w:rsid w:val="0095080C"/>
    <w:rPr>
      <w:sz w:val="24"/>
      <w:lang w:val="fr-CA"/>
    </w:rPr>
  </w:style>
  <w:style w:type="table" w:styleId="TableGrid">
    <w:name w:val="Table Grid"/>
    <w:basedOn w:val="TableNormal"/>
    <w:uiPriority w:val="59"/>
    <w:rsid w:val="00983183"/>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DAB9B-81BC-4A16-A8DC-97EE7747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401</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SCC-CSC</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8</cp:revision>
  <cp:lastPrinted>2013-06-14T19:12:00Z</cp:lastPrinted>
  <dcterms:created xsi:type="dcterms:W3CDTF">2013-05-30T15:56:00Z</dcterms:created>
  <dcterms:modified xsi:type="dcterms:W3CDTF">2014-03-20T19:49:00Z</dcterms:modified>
</cp:coreProperties>
</file>