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01" w:rsidRDefault="000D5C01" w:rsidP="000D5C01"/>
    <w:p w:rsidR="000D5C01" w:rsidRPr="005B4C3C" w:rsidRDefault="000D5C01" w:rsidP="000D5C01">
      <w:pPr>
        <w:tabs>
          <w:tab w:val="center" w:pos="4680"/>
          <w:tab w:val="right" w:pos="9360"/>
        </w:tabs>
        <w:jc w:val="center"/>
        <w:rPr>
          <w:rFonts w:eastAsiaTheme="minorHAnsi" w:cstheme="minorBidi"/>
          <w:szCs w:val="24"/>
          <w:lang w:eastAsia="en-US"/>
        </w:rPr>
      </w:pPr>
      <w:r w:rsidRPr="005B4C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6835730" r:id="rId8"/>
        </w:object>
      </w:r>
    </w:p>
    <w:p w:rsidR="000D5C01" w:rsidRPr="005B4C3C" w:rsidRDefault="000D5C01" w:rsidP="000D5C01">
      <w:pPr>
        <w:tabs>
          <w:tab w:val="center" w:pos="4680"/>
          <w:tab w:val="right" w:pos="9360"/>
        </w:tabs>
        <w:rPr>
          <w:rFonts w:eastAsiaTheme="minorHAnsi" w:cstheme="minorBidi"/>
          <w:szCs w:val="24"/>
          <w:lang w:eastAsia="en-US"/>
        </w:rPr>
      </w:pPr>
    </w:p>
    <w:p w:rsidR="000D5C01" w:rsidRPr="005B4C3C" w:rsidRDefault="000D5C01" w:rsidP="000D5C01">
      <w:pPr>
        <w:jc w:val="center"/>
        <w:rPr>
          <w:rFonts w:eastAsiaTheme="minorHAnsi" w:cstheme="minorBidi"/>
          <w:b/>
          <w:szCs w:val="24"/>
          <w:lang w:eastAsia="en-US"/>
        </w:rPr>
      </w:pPr>
      <w:r w:rsidRPr="005B4C3C">
        <w:rPr>
          <w:rFonts w:eastAsiaTheme="minorHAnsi" w:cstheme="minorBidi"/>
          <w:b/>
          <w:szCs w:val="24"/>
          <w:lang w:eastAsia="en-US"/>
        </w:rPr>
        <w:t>COUR SUPRÊME DU CANADA</w:t>
      </w:r>
    </w:p>
    <w:p w:rsidR="000D5C01" w:rsidRPr="005B4C3C" w:rsidRDefault="000D5C01" w:rsidP="000D5C0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D5C01" w:rsidRPr="005B4C3C" w:rsidTr="000F4F53">
        <w:trPr>
          <w:cantSplit/>
        </w:trPr>
        <w:tc>
          <w:tcPr>
            <w:tcW w:w="6768" w:type="dxa"/>
          </w:tcPr>
          <w:p w:rsidR="000D5C01" w:rsidRPr="000D5C01" w:rsidRDefault="000D5C01" w:rsidP="000F4F53">
            <w:pPr>
              <w:rPr>
                <w:lang w:val="fr-CA"/>
              </w:rPr>
            </w:pPr>
            <w:r w:rsidRPr="000D5C01">
              <w:rPr>
                <w:b/>
                <w:smallCaps/>
                <w:lang w:val="fr-CA"/>
              </w:rPr>
              <w:t>Référence :</w:t>
            </w:r>
            <w:r w:rsidRPr="000D5C01">
              <w:rPr>
                <w:lang w:val="fr-CA"/>
              </w:rPr>
              <w:t xml:space="preserve"> R. </w:t>
            </w:r>
            <w:r w:rsidRPr="000D5C01">
              <w:rPr>
                <w:i/>
                <w:lang w:val="fr-CA"/>
              </w:rPr>
              <w:t>c.</w:t>
            </w:r>
            <w:r w:rsidRPr="000D5C01">
              <w:rPr>
                <w:lang w:val="fr-CA"/>
              </w:rPr>
              <w:t xml:space="preserve"> G.M., 2013 CSC 24, [2013] 2 R.C.S. 202</w:t>
            </w:r>
          </w:p>
        </w:tc>
        <w:tc>
          <w:tcPr>
            <w:tcW w:w="2808" w:type="dxa"/>
          </w:tcPr>
          <w:p w:rsidR="000D5C01" w:rsidRPr="005B4C3C" w:rsidRDefault="000D5C01" w:rsidP="000F4F53">
            <w:r w:rsidRPr="005B4C3C">
              <w:rPr>
                <w:b/>
                <w:smallCaps/>
              </w:rPr>
              <w:t>Date :</w:t>
            </w:r>
            <w:r>
              <w:t xml:space="preserve"> 20130425</w:t>
            </w:r>
          </w:p>
          <w:p w:rsidR="000D5C01" w:rsidRPr="005B4C3C" w:rsidRDefault="000D5C01" w:rsidP="000F4F53">
            <w:r w:rsidRPr="005B4C3C">
              <w:rPr>
                <w:b/>
                <w:smallCaps/>
              </w:rPr>
              <w:t>Dossier :</w:t>
            </w:r>
            <w:r w:rsidRPr="005B4C3C">
              <w:t xml:space="preserve"> 34</w:t>
            </w:r>
            <w:r>
              <w:t>952</w:t>
            </w:r>
          </w:p>
        </w:tc>
      </w:tr>
    </w:tbl>
    <w:p w:rsidR="000D5C01" w:rsidRPr="005B4C3C" w:rsidRDefault="000D5C01" w:rsidP="000D5C01">
      <w:pPr>
        <w:rPr>
          <w:rFonts w:eastAsiaTheme="minorHAnsi" w:cstheme="minorBidi"/>
          <w:szCs w:val="24"/>
          <w:lang w:eastAsia="en-US"/>
        </w:rPr>
      </w:pPr>
    </w:p>
    <w:p w:rsidR="000D5C01" w:rsidRDefault="000D5C01" w:rsidP="000D5C01">
      <w:pPr>
        <w:rPr>
          <w:rFonts w:eastAsiaTheme="minorHAnsi" w:cstheme="minorBidi"/>
          <w:b/>
          <w:smallCaps/>
          <w:szCs w:val="24"/>
          <w:lang w:eastAsia="en-US"/>
        </w:rPr>
      </w:pPr>
      <w:proofErr w:type="gramStart"/>
      <w:r w:rsidRPr="005B4C3C">
        <w:rPr>
          <w:rFonts w:eastAsiaTheme="minorHAnsi" w:cstheme="minorBidi"/>
          <w:b/>
          <w:smallCaps/>
          <w:szCs w:val="24"/>
          <w:lang w:eastAsia="en-US"/>
        </w:rPr>
        <w:t>Entre :</w:t>
      </w:r>
      <w:proofErr w:type="gramEnd"/>
    </w:p>
    <w:p w:rsidR="000D5C01" w:rsidRPr="000D5C01" w:rsidRDefault="000D5C01" w:rsidP="000D5C01">
      <w:pPr>
        <w:jc w:val="center"/>
        <w:rPr>
          <w:rFonts w:eastAsiaTheme="minorHAnsi" w:cstheme="minorBidi"/>
          <w:b/>
          <w:smallCaps/>
          <w:szCs w:val="24"/>
          <w:lang w:val="fr-CA" w:eastAsia="en-US"/>
        </w:rPr>
      </w:pPr>
      <w:r w:rsidRPr="000D5C01">
        <w:rPr>
          <w:rFonts w:eastAsiaTheme="minorHAnsi" w:cstheme="minorBidi"/>
          <w:b/>
          <w:szCs w:val="24"/>
          <w:lang w:val="fr-CA" w:eastAsia="en-US"/>
        </w:rPr>
        <w:t>Sa Majesté la Reine</w:t>
      </w:r>
    </w:p>
    <w:p w:rsidR="000D5C01" w:rsidRPr="000D5C01" w:rsidRDefault="000D5C01" w:rsidP="000D5C01">
      <w:pPr>
        <w:jc w:val="center"/>
        <w:rPr>
          <w:rFonts w:eastAsiaTheme="minorHAnsi" w:cstheme="minorBidi"/>
          <w:szCs w:val="24"/>
          <w:lang w:val="fr-CA" w:eastAsia="en-US"/>
        </w:rPr>
      </w:pPr>
      <w:r w:rsidRPr="000D5C01">
        <w:rPr>
          <w:rFonts w:eastAsiaTheme="minorHAnsi" w:cstheme="minorBidi"/>
          <w:szCs w:val="24"/>
          <w:lang w:val="fr-CA" w:eastAsia="en-US"/>
        </w:rPr>
        <w:t>Appelante</w:t>
      </w:r>
    </w:p>
    <w:p w:rsidR="000D5C01" w:rsidRPr="000D5C01" w:rsidRDefault="000D5C01" w:rsidP="000D5C01">
      <w:pPr>
        <w:jc w:val="center"/>
        <w:rPr>
          <w:rFonts w:eastAsiaTheme="minorHAnsi" w:cstheme="minorBidi"/>
          <w:szCs w:val="24"/>
          <w:lang w:val="fr-CA" w:eastAsia="en-US"/>
        </w:rPr>
      </w:pPr>
      <w:proofErr w:type="gramStart"/>
      <w:r w:rsidRPr="000D5C01">
        <w:rPr>
          <w:rFonts w:eastAsiaTheme="minorHAnsi" w:cstheme="minorBidi"/>
          <w:szCs w:val="24"/>
          <w:lang w:val="fr-CA" w:eastAsia="en-US"/>
        </w:rPr>
        <w:t>et</w:t>
      </w:r>
      <w:proofErr w:type="gramEnd"/>
    </w:p>
    <w:p w:rsidR="000D5C01" w:rsidRPr="000D5C01" w:rsidRDefault="000D5C01" w:rsidP="000D5C01">
      <w:pPr>
        <w:jc w:val="center"/>
        <w:rPr>
          <w:rFonts w:eastAsiaTheme="minorHAnsi" w:cstheme="minorBidi"/>
          <w:b/>
          <w:szCs w:val="24"/>
          <w:lang w:val="fr-CA" w:eastAsia="en-US"/>
        </w:rPr>
      </w:pPr>
      <w:r w:rsidRPr="000D5C01">
        <w:rPr>
          <w:rFonts w:eastAsiaTheme="minorHAnsi" w:cstheme="minorBidi"/>
          <w:b/>
          <w:szCs w:val="24"/>
          <w:lang w:val="fr-CA" w:eastAsia="en-US"/>
        </w:rPr>
        <w:t>G.M.</w:t>
      </w:r>
    </w:p>
    <w:p w:rsidR="000D5C01" w:rsidRPr="000D5C01" w:rsidRDefault="000D5C01" w:rsidP="000D5C01">
      <w:pPr>
        <w:jc w:val="center"/>
        <w:rPr>
          <w:rFonts w:eastAsiaTheme="minorHAnsi" w:cstheme="minorBidi"/>
          <w:szCs w:val="24"/>
          <w:lang w:val="fr-CA" w:eastAsia="en-US"/>
        </w:rPr>
      </w:pPr>
      <w:r w:rsidRPr="000D5C01">
        <w:rPr>
          <w:rFonts w:eastAsiaTheme="minorHAnsi" w:cstheme="minorBidi"/>
          <w:szCs w:val="24"/>
          <w:lang w:val="fr-CA" w:eastAsia="en-US"/>
        </w:rPr>
        <w:t>Intimé</w:t>
      </w:r>
    </w:p>
    <w:p w:rsidR="000D5C01" w:rsidRPr="000D5C01" w:rsidRDefault="000D5C01" w:rsidP="000D5C01">
      <w:pPr>
        <w:rPr>
          <w:rFonts w:eastAsiaTheme="minorHAnsi" w:cstheme="minorBidi"/>
          <w:szCs w:val="24"/>
          <w:lang w:val="fr-CA" w:eastAsia="en-US"/>
        </w:rPr>
      </w:pPr>
    </w:p>
    <w:p w:rsidR="000D5C01" w:rsidRPr="000D5C01" w:rsidRDefault="000D5C01" w:rsidP="000D5C01">
      <w:pPr>
        <w:rPr>
          <w:rFonts w:eastAsiaTheme="minorHAnsi" w:cstheme="minorBidi"/>
          <w:szCs w:val="24"/>
          <w:lang w:val="fr-CA" w:eastAsia="en-US"/>
        </w:rPr>
      </w:pPr>
    </w:p>
    <w:p w:rsidR="000D5C01" w:rsidRPr="000D5C01" w:rsidRDefault="000D5C01" w:rsidP="000D5C01">
      <w:pPr>
        <w:jc w:val="center"/>
        <w:rPr>
          <w:b/>
          <w:smallCaps/>
          <w:lang w:val="fr-CA"/>
        </w:rPr>
      </w:pPr>
      <w:r w:rsidRPr="000D5C01">
        <w:rPr>
          <w:b/>
          <w:smallCaps/>
          <w:lang w:val="fr-CA"/>
        </w:rPr>
        <w:t>Traduction française officielle</w:t>
      </w:r>
    </w:p>
    <w:p w:rsidR="000D5C01" w:rsidRPr="000D5C01" w:rsidRDefault="000D5C01" w:rsidP="000D5C01">
      <w:pPr>
        <w:rPr>
          <w:rFonts w:eastAsiaTheme="minorHAnsi" w:cstheme="minorBidi"/>
          <w:szCs w:val="24"/>
          <w:lang w:val="fr-CA" w:eastAsia="en-US"/>
        </w:rPr>
      </w:pPr>
    </w:p>
    <w:p w:rsidR="000D5C01" w:rsidRPr="000D5C01" w:rsidRDefault="000D5C01" w:rsidP="000D5C01">
      <w:pPr>
        <w:rPr>
          <w:rFonts w:eastAsiaTheme="minorHAnsi" w:cstheme="minorBidi"/>
          <w:szCs w:val="24"/>
          <w:lang w:val="fr-CA" w:eastAsia="en-US"/>
        </w:rPr>
      </w:pPr>
      <w:r w:rsidRPr="000D5C01">
        <w:rPr>
          <w:rFonts w:eastAsiaTheme="minorHAnsi" w:cstheme="minorBidi"/>
          <w:b/>
          <w:smallCaps/>
          <w:szCs w:val="24"/>
          <w:lang w:val="fr-CA" w:eastAsia="en-US"/>
        </w:rPr>
        <w:t>Coram :</w:t>
      </w:r>
      <w:r w:rsidRPr="000D5C01">
        <w:rPr>
          <w:rFonts w:eastAsiaTheme="minorHAnsi" w:cstheme="minorBidi"/>
          <w:szCs w:val="24"/>
          <w:lang w:val="fr-CA" w:eastAsia="en-US"/>
        </w:rPr>
        <w:t xml:space="preserve"> </w:t>
      </w:r>
      <w:r w:rsidRPr="000D5C01">
        <w:rPr>
          <w:lang w:val="fr-CA"/>
        </w:rPr>
        <w:t>La juge en chef McLachlin et les juges Fish, Abella, Moldaver et Karakatsanis</w:t>
      </w:r>
      <w:r>
        <w:rPr>
          <w:rFonts w:eastAsiaTheme="minorHAnsi" w:cstheme="minorBidi"/>
          <w:szCs w:val="24"/>
          <w:lang w:val="fr-FR" w:eastAsia="en-US"/>
        </w:rPr>
        <w:t>.</w:t>
      </w:r>
    </w:p>
    <w:p w:rsidR="000D5C01" w:rsidRPr="000D5C01" w:rsidRDefault="000D5C01" w:rsidP="000D5C01">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D5C01" w:rsidRPr="000D5C01" w:rsidTr="000F4F53">
        <w:trPr>
          <w:cantSplit/>
        </w:trPr>
        <w:tc>
          <w:tcPr>
            <w:tcW w:w="3618" w:type="dxa"/>
          </w:tcPr>
          <w:p w:rsidR="000D5C01" w:rsidRPr="000D5C01" w:rsidRDefault="000D5C01" w:rsidP="000F4F53">
            <w:pPr>
              <w:rPr>
                <w:b/>
                <w:smallCaps/>
                <w:lang w:val="fr-CA"/>
              </w:rPr>
            </w:pPr>
            <w:r w:rsidRPr="000D5C01">
              <w:rPr>
                <w:b/>
                <w:smallCaps/>
                <w:lang w:val="fr-CA"/>
              </w:rPr>
              <w:t>Motifs de jugement :</w:t>
            </w:r>
          </w:p>
          <w:p w:rsidR="000D5C01" w:rsidRPr="000D5C01" w:rsidRDefault="000D5C01" w:rsidP="000F4F53">
            <w:pPr>
              <w:rPr>
                <w:lang w:val="fr-CA"/>
              </w:rPr>
            </w:pPr>
            <w:r w:rsidRPr="000D5C01">
              <w:rPr>
                <w:lang w:val="fr-CA"/>
              </w:rPr>
              <w:t>(par. 1 à 2)</w:t>
            </w:r>
          </w:p>
          <w:p w:rsidR="000D5C01" w:rsidRPr="000D5C01" w:rsidRDefault="000D5C01" w:rsidP="000F4F53">
            <w:pPr>
              <w:rPr>
                <w:lang w:val="fr-CA"/>
              </w:rPr>
            </w:pPr>
          </w:p>
        </w:tc>
        <w:tc>
          <w:tcPr>
            <w:tcW w:w="5958" w:type="dxa"/>
          </w:tcPr>
          <w:p w:rsidR="000D5C01" w:rsidRPr="000D5C01" w:rsidRDefault="000D5C01" w:rsidP="000F4F53">
            <w:pPr>
              <w:rPr>
                <w:lang w:val="fr-CA"/>
              </w:rPr>
            </w:pPr>
            <w:r w:rsidRPr="000D5C01">
              <w:rPr>
                <w:lang w:val="fr-CA"/>
              </w:rPr>
              <w:t>La juge en chef McLachlin (avec l’accord des juges</w:t>
            </w:r>
            <w:r w:rsidRPr="00527758">
              <w:rPr>
                <w:lang w:val="fr-FR"/>
              </w:rPr>
              <w:t xml:space="preserve"> </w:t>
            </w:r>
            <w:r w:rsidRPr="000D5C01">
              <w:rPr>
                <w:lang w:val="fr-CA"/>
              </w:rPr>
              <w:t>Fish, Abella, Moldaver et Karakatsanis)</w:t>
            </w:r>
          </w:p>
          <w:p w:rsidR="000D5C01" w:rsidRPr="000D5C01" w:rsidRDefault="000D5C01" w:rsidP="000F4F53">
            <w:pPr>
              <w:rPr>
                <w:lang w:val="fr-CA"/>
              </w:rPr>
            </w:pPr>
          </w:p>
        </w:tc>
      </w:tr>
    </w:tbl>
    <w:p w:rsidR="000D5C01" w:rsidRPr="000D5C01" w:rsidRDefault="000D5C01" w:rsidP="000D5C01">
      <w:pPr>
        <w:rPr>
          <w:rFonts w:eastAsiaTheme="minorHAnsi" w:cstheme="minorBidi"/>
          <w:szCs w:val="24"/>
          <w:lang w:val="fr-CA" w:eastAsia="en-US"/>
        </w:rPr>
      </w:pPr>
    </w:p>
    <w:p w:rsidR="000D5C01" w:rsidRPr="000D5C01" w:rsidRDefault="000D5C01" w:rsidP="000D5C01">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D5C01" w:rsidRPr="000D5C01" w:rsidRDefault="000D5C01" w:rsidP="000D5C01">
      <w:pPr>
        <w:rPr>
          <w:smallCaps/>
          <w:lang w:val="fr-CA"/>
        </w:rPr>
      </w:pPr>
    </w:p>
    <w:p w:rsidR="000D5C01" w:rsidRPr="000D5C01" w:rsidRDefault="000D5C01" w:rsidP="000D5C01">
      <w:pPr>
        <w:rPr>
          <w:lang w:val="fr-CA"/>
        </w:rPr>
      </w:pPr>
    </w:p>
    <w:p w:rsidR="000D5C01" w:rsidRDefault="000D5C01">
      <w:pPr>
        <w:rPr>
          <w:lang w:val="fr-CA"/>
        </w:rPr>
      </w:pPr>
      <w:r>
        <w:rPr>
          <w:lang w:val="fr-CA"/>
        </w:rPr>
        <w:br w:type="page"/>
      </w:r>
    </w:p>
    <w:p w:rsidR="00306979" w:rsidRPr="00456DC2" w:rsidRDefault="00A421CD" w:rsidP="00191FDF">
      <w:pPr>
        <w:spacing w:after="720"/>
        <w:jc w:val="both"/>
        <w:rPr>
          <w:lang w:val="fr-CA"/>
        </w:rPr>
      </w:pPr>
      <w:r w:rsidRPr="00A421CD">
        <w:rPr>
          <w:lang w:val="fr-CA"/>
        </w:rPr>
        <w:lastRenderedPageBreak/>
        <w:t xml:space="preserve">R. </w:t>
      </w:r>
      <w:r w:rsidRPr="00A421CD">
        <w:rPr>
          <w:i/>
          <w:lang w:val="fr-CA"/>
        </w:rPr>
        <w:t>c.</w:t>
      </w:r>
      <w:r w:rsidRPr="00A421CD">
        <w:rPr>
          <w:lang w:val="fr-CA"/>
        </w:rPr>
        <w:t xml:space="preserve"> G.M.</w:t>
      </w:r>
      <w:r>
        <w:rPr>
          <w:lang w:val="fr-CA"/>
        </w:rPr>
        <w:t>, 2013 CSC 24, [2013] 2 R.C.S. 202</w:t>
      </w:r>
    </w:p>
    <w:p w:rsidR="00306979" w:rsidRDefault="00306979" w:rsidP="00191FDF">
      <w:pPr>
        <w:pStyle w:val="SCCLsocLastPartyInRole"/>
        <w:jc w:val="both"/>
        <w:rPr>
          <w:rStyle w:val="SCCLsocPartyRole"/>
          <w:lang w:val="fr-CA"/>
        </w:rPr>
      </w:pPr>
      <w:r w:rsidRPr="00456DC2">
        <w:rPr>
          <w:lang w:val="fr-CA"/>
        </w:rPr>
        <w:t>Sa Majesté la Reine</w:t>
      </w:r>
      <w:r w:rsidRPr="00456DC2">
        <w:rPr>
          <w:rStyle w:val="SCCLsocPartyRole"/>
          <w:lang w:val="fr-CA"/>
        </w:rPr>
        <w:tab/>
      </w:r>
      <w:r w:rsidRPr="00191FDF">
        <w:rPr>
          <w:rStyle w:val="SCCLsocPartyRole"/>
          <w:lang w:val="fr-CA"/>
        </w:rPr>
        <w:t>Appelante</w:t>
      </w:r>
    </w:p>
    <w:p w:rsidR="00306979" w:rsidRDefault="00306979" w:rsidP="00191FDF">
      <w:pPr>
        <w:pStyle w:val="SCCLsocVersus"/>
        <w:jc w:val="both"/>
        <w:rPr>
          <w:lang w:val="fr-CA"/>
        </w:rPr>
      </w:pPr>
      <w:proofErr w:type="gramStart"/>
      <w:r w:rsidRPr="00191FDF">
        <w:rPr>
          <w:lang w:val="fr-CA"/>
        </w:rPr>
        <w:t>c</w:t>
      </w:r>
      <w:proofErr w:type="gramEnd"/>
      <w:r w:rsidRPr="00191FDF">
        <w:rPr>
          <w:lang w:val="fr-CA"/>
        </w:rPr>
        <w:t>.</w:t>
      </w:r>
    </w:p>
    <w:p w:rsidR="00306979" w:rsidRPr="00F202BB" w:rsidRDefault="00F202BB" w:rsidP="00191FDF">
      <w:pPr>
        <w:pStyle w:val="SCCLsocLastPartyInRole"/>
        <w:jc w:val="both"/>
        <w:rPr>
          <w:b w:val="0"/>
          <w:lang w:val="fr-CA"/>
        </w:rPr>
      </w:pPr>
      <w:r w:rsidRPr="00F202BB">
        <w:rPr>
          <w:lang w:val="fr-CA"/>
        </w:rPr>
        <w:t>G.M.</w:t>
      </w:r>
      <w:r w:rsidR="00306979" w:rsidRPr="00F202BB">
        <w:rPr>
          <w:rStyle w:val="SCCLsocPartyRole"/>
          <w:lang w:val="fr-CA"/>
        </w:rPr>
        <w:tab/>
        <w:t>Intimé</w:t>
      </w:r>
    </w:p>
    <w:p w:rsidR="00306979" w:rsidRPr="00F202BB" w:rsidRDefault="00306979" w:rsidP="00191FDF">
      <w:pPr>
        <w:spacing w:after="720"/>
        <w:jc w:val="both"/>
        <w:rPr>
          <w:b/>
          <w:lang w:val="fr-CA"/>
        </w:rPr>
      </w:pPr>
      <w:r w:rsidRPr="00F202BB">
        <w:rPr>
          <w:b/>
          <w:lang w:val="fr-CA"/>
        </w:rPr>
        <w:t>Répertorié : </w:t>
      </w:r>
      <w:r w:rsidRPr="00F202BB">
        <w:rPr>
          <w:rStyle w:val="SCCAppellantForIndexChar"/>
          <w:lang w:val="fr-CA"/>
        </w:rPr>
        <w:t>R.</w:t>
      </w:r>
      <w:r w:rsidRPr="00F202BB">
        <w:rPr>
          <w:b/>
          <w:lang w:val="fr-CA"/>
        </w:rPr>
        <w:t xml:space="preserve"> </w:t>
      </w:r>
      <w:r w:rsidRPr="00F202BB">
        <w:rPr>
          <w:b/>
          <w:i/>
          <w:lang w:val="fr-CA"/>
        </w:rPr>
        <w:t>c.</w:t>
      </w:r>
      <w:r w:rsidRPr="00F202BB">
        <w:rPr>
          <w:b/>
          <w:lang w:val="fr-CA"/>
        </w:rPr>
        <w:t xml:space="preserve"> </w:t>
      </w:r>
      <w:r w:rsidR="00F202BB" w:rsidRPr="00F202BB">
        <w:rPr>
          <w:rStyle w:val="SCCRespondentForIndexChar"/>
          <w:lang w:val="fr-CA"/>
        </w:rPr>
        <w:t>G</w:t>
      </w:r>
      <w:r w:rsidR="00F202BB">
        <w:rPr>
          <w:rStyle w:val="SCCRespondentForIndexChar"/>
          <w:lang w:val="fr-CA"/>
        </w:rPr>
        <w:t>.M.</w:t>
      </w:r>
    </w:p>
    <w:p w:rsidR="00306979" w:rsidRPr="00191FDF" w:rsidRDefault="00C8661B" w:rsidP="00191FDF">
      <w:pPr>
        <w:pStyle w:val="SCCSystemYear"/>
        <w:spacing w:after="720"/>
        <w:jc w:val="both"/>
        <w:rPr>
          <w:lang w:val="fr-CA"/>
        </w:rPr>
      </w:pPr>
      <w:r>
        <w:rPr>
          <w:lang w:val="fr-CA"/>
        </w:rPr>
        <w:t>2013 CSC 24</w:t>
      </w:r>
    </w:p>
    <w:p w:rsidR="00306979" w:rsidRDefault="00306979" w:rsidP="00191FDF">
      <w:pPr>
        <w:spacing w:after="720"/>
        <w:jc w:val="both"/>
        <w:rPr>
          <w:lang w:val="fr-CA"/>
        </w:rPr>
      </w:pPr>
      <w:r w:rsidRPr="00456DC2">
        <w:rPr>
          <w:lang w:val="fr-CA"/>
        </w:rPr>
        <w:t>N</w:t>
      </w:r>
      <w:r w:rsidRPr="00456DC2">
        <w:rPr>
          <w:vertAlign w:val="superscript"/>
          <w:lang w:val="fr-CA"/>
        </w:rPr>
        <w:t>o</w:t>
      </w:r>
      <w:r w:rsidRPr="00456DC2">
        <w:rPr>
          <w:lang w:val="fr-CA"/>
        </w:rPr>
        <w:t xml:space="preserve"> du greffe : 34</w:t>
      </w:r>
      <w:r w:rsidR="00C8661B">
        <w:rPr>
          <w:lang w:val="fr-CA"/>
        </w:rPr>
        <w:t>952</w:t>
      </w:r>
      <w:r w:rsidRPr="00456DC2">
        <w:rPr>
          <w:lang w:val="fr-CA"/>
        </w:rPr>
        <w:t>.</w:t>
      </w:r>
    </w:p>
    <w:p w:rsidR="00306979" w:rsidRPr="00456DC2" w:rsidRDefault="0095088B" w:rsidP="00191FDF">
      <w:pPr>
        <w:spacing w:after="720"/>
        <w:jc w:val="both"/>
        <w:rPr>
          <w:lang w:val="fr-CA"/>
        </w:rPr>
      </w:pPr>
      <w:r>
        <w:rPr>
          <w:lang w:val="fr-CA"/>
        </w:rPr>
        <w:t>2013 : 2</w:t>
      </w:r>
      <w:r w:rsidR="00306979" w:rsidRPr="00456DC2">
        <w:rPr>
          <w:lang w:val="fr-CA"/>
        </w:rPr>
        <w:t xml:space="preserve">5 </w:t>
      </w:r>
      <w:r>
        <w:rPr>
          <w:lang w:val="fr-CA"/>
        </w:rPr>
        <w:t>avril</w:t>
      </w:r>
      <w:r w:rsidR="00306979" w:rsidRPr="00456DC2">
        <w:rPr>
          <w:lang w:val="fr-CA"/>
        </w:rPr>
        <w:t>.</w:t>
      </w:r>
    </w:p>
    <w:p w:rsidR="00306979" w:rsidRPr="00C974C5" w:rsidRDefault="00306979" w:rsidP="00191FDF">
      <w:pPr>
        <w:spacing w:after="720"/>
        <w:jc w:val="both"/>
        <w:rPr>
          <w:lang w:val="fr-CA"/>
        </w:rPr>
      </w:pPr>
      <w:r w:rsidRPr="00C974C5">
        <w:rPr>
          <w:lang w:val="fr-CA"/>
        </w:rPr>
        <w:t xml:space="preserve">Présents : La juge en chef McLachlin et les juges Fish, Abella, </w:t>
      </w:r>
      <w:proofErr w:type="spellStart"/>
      <w:r w:rsidRPr="00C974C5">
        <w:rPr>
          <w:lang w:val="fr-CA"/>
        </w:rPr>
        <w:t>Moldaver</w:t>
      </w:r>
      <w:proofErr w:type="spellEnd"/>
      <w:r w:rsidR="00B64E95">
        <w:rPr>
          <w:lang w:val="fr-CA"/>
        </w:rPr>
        <w:t xml:space="preserve"> et </w:t>
      </w:r>
      <w:proofErr w:type="spellStart"/>
      <w:r w:rsidR="00B64E95">
        <w:rPr>
          <w:lang w:val="fr-CA"/>
        </w:rPr>
        <w:t>Karakatsanis</w:t>
      </w:r>
      <w:proofErr w:type="spellEnd"/>
      <w:r w:rsidRPr="00C974C5">
        <w:rPr>
          <w:lang w:val="fr-CA"/>
        </w:rPr>
        <w:t>.</w:t>
      </w:r>
    </w:p>
    <w:p w:rsidR="00306979" w:rsidRPr="00911A43" w:rsidRDefault="00306979" w:rsidP="00191FDF">
      <w:pPr>
        <w:spacing w:after="720"/>
        <w:jc w:val="both"/>
        <w:rPr>
          <w:smallCaps/>
          <w:lang w:val="fr-CA"/>
        </w:rPr>
      </w:pPr>
      <w:r w:rsidRPr="00911A43">
        <w:rPr>
          <w:smallCaps/>
          <w:lang w:val="fr-CA"/>
        </w:rPr>
        <w:t xml:space="preserve">en appel de la cour d’appel de </w:t>
      </w:r>
      <w:r w:rsidR="00903447">
        <w:rPr>
          <w:smallCaps/>
          <w:lang w:val="fr-CA"/>
        </w:rPr>
        <w:t>terre-neuve-et-labrador</w:t>
      </w:r>
    </w:p>
    <w:p w:rsidR="008A3E3D" w:rsidRPr="008A3E3D" w:rsidRDefault="00191FDF" w:rsidP="00F1397C">
      <w:pPr>
        <w:tabs>
          <w:tab w:val="left" w:pos="1170"/>
        </w:tabs>
        <w:spacing w:after="480" w:line="480" w:lineRule="auto"/>
        <w:jc w:val="both"/>
        <w:rPr>
          <w:i/>
          <w:szCs w:val="24"/>
          <w:lang w:val="fr-CA"/>
        </w:rPr>
      </w:pPr>
      <w:r>
        <w:rPr>
          <w:i/>
          <w:lang w:val="fr-CA"/>
        </w:rPr>
        <w:tab/>
      </w:r>
      <w:r w:rsidR="008A3E3D" w:rsidRPr="008A3E3D">
        <w:rPr>
          <w:i/>
          <w:szCs w:val="24"/>
          <w:lang w:val="fr-CA"/>
        </w:rPr>
        <w:t xml:space="preserve">Droit criminel — Appel — Nouvel élément de preuve — Accusé déclaré coupable d’inceste et d’agression sexuelle — En appel, demande de l’accusé en vue de présenter en preuve un affidavit pour établir l’inefficacité de l’avocat de la défense au procès — Arrêt de la Cour d’appel accueillant le pourvoi, annulant la décision du juge du procès et ordonnant la tenue d’un nouveau procès — La conduite </w:t>
      </w:r>
      <w:r w:rsidR="008A3E3D" w:rsidRPr="008A3E3D">
        <w:rPr>
          <w:i/>
          <w:szCs w:val="24"/>
          <w:lang w:val="fr-CA"/>
        </w:rPr>
        <w:lastRenderedPageBreak/>
        <w:t xml:space="preserve">de l’avocat de la défense au procès n’a aucunement entraîné d’omissions ou de décisions qui, combinées, ont eu pour effet de miner la fiabilité des déclarations de culpabilité et ainsi entraîner une erreur judiciaire dont l’accusé aurait été victime — Déclarations de culpabilité rétablies. </w:t>
      </w:r>
    </w:p>
    <w:p w:rsidR="00306979" w:rsidRPr="004D7D95" w:rsidRDefault="00306979" w:rsidP="00191FDF">
      <w:pPr>
        <w:pStyle w:val="SCCNormalDoubleSpacing"/>
        <w:spacing w:after="480"/>
        <w:rPr>
          <w:lang w:val="fr-CA"/>
        </w:rPr>
      </w:pPr>
      <w:r w:rsidRPr="004D7D95">
        <w:rPr>
          <w:lang w:val="fr-CA"/>
        </w:rPr>
        <w:tab/>
        <w:t xml:space="preserve">POURVOI contre un arrêt de la </w:t>
      </w:r>
      <w:r w:rsidRPr="00456DC2">
        <w:rPr>
          <w:lang w:val="fr-CA"/>
        </w:rPr>
        <w:t xml:space="preserve">Cour d’appel de </w:t>
      </w:r>
      <w:r w:rsidR="00D949CC">
        <w:rPr>
          <w:lang w:val="fr-CA"/>
        </w:rPr>
        <w:t>Terre-Neuve-et-Labrador</w:t>
      </w:r>
      <w:r w:rsidRPr="00456DC2">
        <w:rPr>
          <w:lang w:val="fr-CA"/>
        </w:rPr>
        <w:t xml:space="preserve"> </w:t>
      </w:r>
      <w:r w:rsidRPr="00911A43">
        <w:rPr>
          <w:lang w:val="fr-CA"/>
        </w:rPr>
        <w:t>(</w:t>
      </w:r>
      <w:r>
        <w:rPr>
          <w:lang w:val="fr-CA"/>
        </w:rPr>
        <w:t xml:space="preserve">les juges </w:t>
      </w:r>
      <w:r w:rsidR="00993834">
        <w:rPr>
          <w:lang w:val="fr-CA"/>
        </w:rPr>
        <w:t xml:space="preserve">Wells, </w:t>
      </w:r>
      <w:proofErr w:type="spellStart"/>
      <w:r w:rsidR="00993834">
        <w:rPr>
          <w:lang w:val="fr-CA"/>
        </w:rPr>
        <w:t>Welsh</w:t>
      </w:r>
      <w:proofErr w:type="spellEnd"/>
      <w:r w:rsidR="00993834">
        <w:rPr>
          <w:lang w:val="fr-CA"/>
        </w:rPr>
        <w:t xml:space="preserve"> et </w:t>
      </w:r>
      <w:proofErr w:type="spellStart"/>
      <w:r w:rsidR="00993834">
        <w:rPr>
          <w:lang w:val="fr-CA"/>
        </w:rPr>
        <w:t>Hoegg</w:t>
      </w:r>
      <w:proofErr w:type="spellEnd"/>
      <w:r w:rsidRPr="00911A43">
        <w:rPr>
          <w:lang w:val="fr-CA"/>
        </w:rPr>
        <w:t xml:space="preserve">), 2012 </w:t>
      </w:r>
      <w:r w:rsidR="00993834">
        <w:rPr>
          <w:lang w:val="fr-CA"/>
        </w:rPr>
        <w:t>NLCA 47</w:t>
      </w:r>
      <w:r>
        <w:rPr>
          <w:lang w:val="fr-CA"/>
        </w:rPr>
        <w:t>,</w:t>
      </w:r>
      <w:r w:rsidR="003F3758">
        <w:rPr>
          <w:lang w:val="fr-CA"/>
        </w:rPr>
        <w:t xml:space="preserve"> </w:t>
      </w:r>
      <w:r w:rsidR="003F3758" w:rsidRPr="003F3758">
        <w:rPr>
          <w:lang w:val="fr-CA"/>
        </w:rPr>
        <w:t>1009 A.P.R. 1, 325 Nfld. &amp; P.E.I.R. 1, 289 C.C.C. (3d) 361, [2012] N.J. No. 243</w:t>
      </w:r>
      <w:r w:rsidR="00291A71">
        <w:rPr>
          <w:lang w:val="fr-CA"/>
        </w:rPr>
        <w:t xml:space="preserve"> (QL)</w:t>
      </w:r>
      <w:r w:rsidR="003F3758" w:rsidRPr="003F3758">
        <w:rPr>
          <w:lang w:val="fr-CA"/>
        </w:rPr>
        <w:t xml:space="preserve">, 2012 </w:t>
      </w:r>
      <w:proofErr w:type="spellStart"/>
      <w:r w:rsidR="003F3758" w:rsidRPr="003F3758">
        <w:rPr>
          <w:lang w:val="fr-CA"/>
        </w:rPr>
        <w:t>CarswellNfld</w:t>
      </w:r>
      <w:proofErr w:type="spellEnd"/>
      <w:r w:rsidR="003F3758" w:rsidRPr="003F3758">
        <w:rPr>
          <w:lang w:val="fr-CA"/>
        </w:rPr>
        <w:t xml:space="preserve"> 238</w:t>
      </w:r>
      <w:r w:rsidR="003F3758">
        <w:rPr>
          <w:lang w:val="fr-CA"/>
        </w:rPr>
        <w:t>,</w:t>
      </w:r>
      <w:r>
        <w:rPr>
          <w:lang w:val="fr-CA"/>
        </w:rPr>
        <w:t xml:space="preserve"> </w:t>
      </w:r>
      <w:r w:rsidRPr="00EE2078">
        <w:rPr>
          <w:lang w:val="fr-CA"/>
        </w:rPr>
        <w:t xml:space="preserve">qui a annulé les déclarations de culpabilité </w:t>
      </w:r>
      <w:r w:rsidR="00B977F4" w:rsidRPr="00EE2078">
        <w:rPr>
          <w:lang w:val="fr-CA"/>
        </w:rPr>
        <w:t xml:space="preserve">de l’accusé </w:t>
      </w:r>
      <w:r w:rsidRPr="00EE2078">
        <w:rPr>
          <w:lang w:val="fr-CA"/>
        </w:rPr>
        <w:t xml:space="preserve">pour </w:t>
      </w:r>
      <w:r w:rsidR="00B977F4" w:rsidRPr="00EE2078">
        <w:rPr>
          <w:lang w:val="fr-CA"/>
        </w:rPr>
        <w:t>inceste et agression sexuelle</w:t>
      </w:r>
      <w:r w:rsidR="00391B71">
        <w:rPr>
          <w:lang w:val="fr-CA"/>
        </w:rPr>
        <w:t xml:space="preserve"> et qui a ordonné la tenue d’un nouveau procès</w:t>
      </w:r>
      <w:r w:rsidRPr="00EE2078">
        <w:rPr>
          <w:lang w:val="fr-FR"/>
        </w:rPr>
        <w:t>.</w:t>
      </w:r>
      <w:r w:rsidRPr="00EE2078">
        <w:rPr>
          <w:lang w:val="fr-CA"/>
        </w:rPr>
        <w:t xml:space="preserve"> Pourvoi</w:t>
      </w:r>
      <w:r>
        <w:rPr>
          <w:lang w:val="fr-CA"/>
        </w:rPr>
        <w:t xml:space="preserve"> accueilli</w:t>
      </w:r>
      <w:r w:rsidR="00EE2078">
        <w:rPr>
          <w:lang w:val="fr-CA"/>
        </w:rPr>
        <w:t>, et déclarations de culpabilité rétablies</w:t>
      </w:r>
      <w:r w:rsidRPr="00911A43">
        <w:rPr>
          <w:lang w:val="fr-CA"/>
        </w:rPr>
        <w:t>.</w:t>
      </w:r>
    </w:p>
    <w:p w:rsidR="00306979" w:rsidRPr="00456DC2" w:rsidRDefault="00306979" w:rsidP="00191FDF">
      <w:pPr>
        <w:pStyle w:val="SCCNormalDoubleSpacing"/>
        <w:spacing w:after="720" w:line="240" w:lineRule="auto"/>
        <w:rPr>
          <w:lang w:val="fr-CA"/>
        </w:rPr>
      </w:pPr>
      <w:r w:rsidRPr="00456DC2">
        <w:rPr>
          <w:rStyle w:val="SCCCounselNameChar"/>
          <w:lang w:val="fr-CA"/>
        </w:rPr>
        <w:tab/>
      </w:r>
      <w:r w:rsidR="004F774B">
        <w:rPr>
          <w:rStyle w:val="SCCCounselNameChar"/>
          <w:lang w:val="fr-CA"/>
        </w:rPr>
        <w:t xml:space="preserve">Frances J. </w:t>
      </w:r>
      <w:proofErr w:type="spellStart"/>
      <w:r w:rsidR="004F774B">
        <w:rPr>
          <w:rStyle w:val="SCCCounselNameChar"/>
          <w:lang w:val="fr-CA"/>
        </w:rPr>
        <w:t>Knickle</w:t>
      </w:r>
      <w:proofErr w:type="spellEnd"/>
      <w:r w:rsidR="00901D63">
        <w:rPr>
          <w:rStyle w:val="SCCCounselPartyRoleChar"/>
          <w:lang w:val="fr-CA"/>
        </w:rPr>
        <w:t>, pour l’</w:t>
      </w:r>
      <w:r w:rsidRPr="00456DC2">
        <w:rPr>
          <w:rStyle w:val="SCCCounselPartyRoleChar"/>
          <w:lang w:val="fr-CA"/>
        </w:rPr>
        <w:t>appelante.</w:t>
      </w:r>
    </w:p>
    <w:p w:rsidR="00306979" w:rsidRDefault="00306979" w:rsidP="00306979">
      <w:pPr>
        <w:pStyle w:val="SCCNormalDoubleSpacing"/>
        <w:spacing w:after="480"/>
        <w:rPr>
          <w:rStyle w:val="SCCCounselPartyRoleChar"/>
          <w:lang w:val="fr-CA"/>
        </w:rPr>
      </w:pPr>
      <w:r w:rsidRPr="00456DC2">
        <w:rPr>
          <w:rStyle w:val="SCCCounselNameChar"/>
          <w:lang w:val="fr-CA"/>
        </w:rPr>
        <w:tab/>
      </w:r>
      <w:r w:rsidR="004F774B">
        <w:rPr>
          <w:rStyle w:val="SCCCounselNameChar"/>
          <w:lang w:val="fr-CA"/>
        </w:rPr>
        <w:t>Peter E. Ralph</w:t>
      </w:r>
      <w:r w:rsidR="004F774B" w:rsidRPr="004F774B">
        <w:rPr>
          <w:rStyle w:val="SCCCounselNameChar"/>
          <w:i w:val="0"/>
          <w:lang w:val="fr-CA"/>
        </w:rPr>
        <w:t>,</w:t>
      </w:r>
      <w:r w:rsidR="004F774B" w:rsidRPr="004F774B">
        <w:rPr>
          <w:rStyle w:val="SCCCounselNameChar"/>
          <w:lang w:val="fr-CA"/>
        </w:rPr>
        <w:t xml:space="preserve"> </w:t>
      </w:r>
      <w:proofErr w:type="gramStart"/>
      <w:r w:rsidR="004F774B">
        <w:rPr>
          <w:rStyle w:val="SCCCounselNameChar"/>
          <w:lang w:val="fr-CA"/>
        </w:rPr>
        <w:t>c.r.</w:t>
      </w:r>
      <w:r w:rsidR="004F774B" w:rsidRPr="004F774B">
        <w:rPr>
          <w:rStyle w:val="SCCCounselNameChar"/>
          <w:i w:val="0"/>
          <w:lang w:val="fr-CA"/>
        </w:rPr>
        <w:t>,</w:t>
      </w:r>
      <w:proofErr w:type="gramEnd"/>
      <w:r w:rsidRPr="004F774B">
        <w:rPr>
          <w:rStyle w:val="SCCCounselSeparatorChar"/>
          <w:i/>
          <w:lang w:val="fr-CA"/>
        </w:rPr>
        <w:t xml:space="preserve"> </w:t>
      </w:r>
      <w:r w:rsidRPr="00456DC2">
        <w:rPr>
          <w:rStyle w:val="SCCCounselSeparatorChar"/>
          <w:lang w:val="fr-CA"/>
        </w:rPr>
        <w:t xml:space="preserve">et </w:t>
      </w:r>
      <w:r w:rsidR="004F774B">
        <w:rPr>
          <w:rStyle w:val="SCCCounselNameChar"/>
          <w:lang w:val="fr-CA"/>
        </w:rPr>
        <w:t>Michael A. Crystal</w:t>
      </w:r>
      <w:r w:rsidRPr="00456DC2">
        <w:rPr>
          <w:rStyle w:val="SCCCounselPartyRoleChar"/>
          <w:lang w:val="fr-CA"/>
        </w:rPr>
        <w:t>, pour l</w:t>
      </w:r>
      <w:r>
        <w:rPr>
          <w:rStyle w:val="SCCCounselPartyRoleChar"/>
          <w:lang w:val="fr-CA"/>
        </w:rPr>
        <w:t>’</w:t>
      </w:r>
      <w:r w:rsidRPr="00456DC2">
        <w:rPr>
          <w:rStyle w:val="SCCCounselPartyRoleChar"/>
          <w:lang w:val="fr-CA"/>
        </w:rPr>
        <w:t>intimé.</w:t>
      </w:r>
    </w:p>
    <w:p w:rsidR="00306979" w:rsidRDefault="00306979" w:rsidP="00306979">
      <w:pPr>
        <w:pStyle w:val="SCCNormalDoubleSpacing"/>
        <w:spacing w:after="480"/>
        <w:rPr>
          <w:lang w:val="fr-CA"/>
        </w:rPr>
      </w:pPr>
      <w:r>
        <w:rPr>
          <w:lang w:val="fr-CA"/>
        </w:rPr>
        <w:tab/>
        <w:t xml:space="preserve">Version française du jugement </w:t>
      </w:r>
      <w:r w:rsidR="00291A71">
        <w:rPr>
          <w:lang w:val="fr-CA"/>
        </w:rPr>
        <w:t xml:space="preserve">de la Cour </w:t>
      </w:r>
      <w:r>
        <w:rPr>
          <w:lang w:val="fr-CA"/>
        </w:rPr>
        <w:t>rendu oralement par</w:t>
      </w:r>
    </w:p>
    <w:p w:rsidR="00306979" w:rsidRDefault="00291A71" w:rsidP="009E6278">
      <w:pPr>
        <w:pStyle w:val="SCCNormalDoubleSpacing"/>
        <w:numPr>
          <w:ilvl w:val="0"/>
          <w:numId w:val="1"/>
        </w:numPr>
        <w:spacing w:after="480"/>
        <w:ind w:left="0" w:firstLine="0"/>
        <w:rPr>
          <w:lang w:val="fr-CA"/>
        </w:rPr>
      </w:pPr>
      <w:r>
        <w:rPr>
          <w:rFonts w:asciiTheme="minorBidi" w:hAnsiTheme="minorBidi"/>
          <w:smallCaps/>
          <w:lang w:val="fr-CA"/>
        </w:rPr>
        <w:t>La Juge en c</w:t>
      </w:r>
      <w:r w:rsidR="00306979" w:rsidRPr="00A95A70">
        <w:rPr>
          <w:rFonts w:asciiTheme="minorBidi" w:hAnsiTheme="minorBidi"/>
          <w:smallCaps/>
          <w:lang w:val="fr-CA"/>
        </w:rPr>
        <w:t>hef</w:t>
      </w:r>
      <w:r w:rsidR="00306979" w:rsidRPr="00A95A70">
        <w:rPr>
          <w:rFonts w:asciiTheme="minorBidi" w:hAnsiTheme="minorBidi"/>
          <w:lang w:val="fr-CA"/>
        </w:rPr>
        <w:t xml:space="preserve"> —</w:t>
      </w:r>
      <w:r w:rsidR="009E6278">
        <w:rPr>
          <w:rFonts w:asciiTheme="minorBidi" w:hAnsiTheme="minorBidi"/>
          <w:lang w:val="fr-CA"/>
        </w:rPr>
        <w:t xml:space="preserve"> </w:t>
      </w:r>
      <w:r w:rsidR="009E6278">
        <w:rPr>
          <w:lang w:val="fr-CA"/>
        </w:rPr>
        <w:t xml:space="preserve">Nous sommes tous d’avis que l’appel devrait être accueilli, pour les motifs exprimés par la juge </w:t>
      </w:r>
      <w:proofErr w:type="spellStart"/>
      <w:r w:rsidR="009E6278" w:rsidRPr="009E6278">
        <w:rPr>
          <w:lang w:val="fr-CA"/>
        </w:rPr>
        <w:t>Hoegg</w:t>
      </w:r>
      <w:proofErr w:type="spellEnd"/>
      <w:r w:rsidR="009E6278">
        <w:rPr>
          <w:lang w:val="fr-CA"/>
        </w:rPr>
        <w:t>.</w:t>
      </w:r>
    </w:p>
    <w:p w:rsidR="009E6278" w:rsidRPr="00993834" w:rsidRDefault="009E6278" w:rsidP="009E6278">
      <w:pPr>
        <w:pStyle w:val="SCCNormalDoubleSpacing"/>
        <w:numPr>
          <w:ilvl w:val="0"/>
          <w:numId w:val="1"/>
        </w:numPr>
        <w:spacing w:after="480"/>
        <w:ind w:left="0" w:firstLine="0"/>
        <w:rPr>
          <w:lang w:val="fr-CA"/>
        </w:rPr>
      </w:pPr>
      <w:r>
        <w:rPr>
          <w:lang w:val="fr-CA"/>
        </w:rPr>
        <w:t xml:space="preserve">L’appel est accueilli et les déclarations de culpabilité sont rétablies. Les avocats conviennent que, advenant un tel rétablissement des déclarations de culpabilité, l’ordonnance quant à l’enregistrement de renseignements sur les </w:t>
      </w:r>
      <w:r>
        <w:rPr>
          <w:lang w:val="fr-CA"/>
        </w:rPr>
        <w:lastRenderedPageBreak/>
        <w:t xml:space="preserve">délinquants sexuels doit, en droit, être modifiée, de sorte que l’intimé y sera assujetti durant </w:t>
      </w:r>
      <w:r w:rsidR="00EF1D9A">
        <w:rPr>
          <w:lang w:val="fr-CA"/>
        </w:rPr>
        <w:t>25</w:t>
      </w:r>
      <w:r>
        <w:rPr>
          <w:lang w:val="fr-CA"/>
        </w:rPr>
        <w:t xml:space="preserve"> ans plutôt que </w:t>
      </w:r>
      <w:r w:rsidR="00EF1D9A">
        <w:rPr>
          <w:lang w:val="fr-CA"/>
        </w:rPr>
        <w:t>10</w:t>
      </w:r>
      <w:r>
        <w:rPr>
          <w:lang w:val="fr-CA"/>
        </w:rPr>
        <w:t>.</w:t>
      </w:r>
    </w:p>
    <w:p w:rsidR="00306979" w:rsidRPr="00911A43" w:rsidRDefault="00306979" w:rsidP="009E6278">
      <w:pPr>
        <w:pStyle w:val="SCCNormalDoubleSpacing"/>
        <w:spacing w:after="480"/>
        <w:rPr>
          <w:i/>
          <w:lang w:val="fr-CA"/>
        </w:rPr>
      </w:pPr>
      <w:r w:rsidRPr="00456DC2">
        <w:rPr>
          <w:lang w:val="fr-CA"/>
        </w:rPr>
        <w:tab/>
      </w:r>
      <w:r>
        <w:rPr>
          <w:i/>
          <w:lang w:val="fr-CA"/>
        </w:rPr>
        <w:t>Jugement en conséquence</w:t>
      </w:r>
      <w:r w:rsidRPr="00911A43">
        <w:rPr>
          <w:i/>
          <w:lang w:val="fr-CA"/>
        </w:rPr>
        <w:t>.</w:t>
      </w:r>
    </w:p>
    <w:p w:rsidR="00306979" w:rsidRPr="00911A43" w:rsidRDefault="00FD09E6" w:rsidP="009E6278">
      <w:pPr>
        <w:pStyle w:val="SCCLawFirm"/>
        <w:spacing w:after="480"/>
        <w:rPr>
          <w:lang w:val="fr-CA"/>
        </w:rPr>
      </w:pPr>
      <w:r>
        <w:rPr>
          <w:lang w:val="fr-CA"/>
        </w:rPr>
        <w:tab/>
        <w:t>Procureur de l’</w:t>
      </w:r>
      <w:r w:rsidR="00306979" w:rsidRPr="00911A43">
        <w:rPr>
          <w:lang w:val="fr-CA"/>
        </w:rPr>
        <w:t>appelant</w:t>
      </w:r>
      <w:r w:rsidR="00306979">
        <w:rPr>
          <w:lang w:val="fr-CA"/>
        </w:rPr>
        <w:t>e</w:t>
      </w:r>
      <w:r w:rsidR="00306979" w:rsidRPr="00911A43">
        <w:rPr>
          <w:lang w:val="fr-CA"/>
        </w:rPr>
        <w:t xml:space="preserve"> : </w:t>
      </w:r>
      <w:r w:rsidR="00306979">
        <w:rPr>
          <w:lang w:val="fr-CA"/>
        </w:rPr>
        <w:t xml:space="preserve">Procureur général de </w:t>
      </w:r>
      <w:r w:rsidR="00552FDC">
        <w:rPr>
          <w:lang w:val="fr-CA"/>
        </w:rPr>
        <w:t>Terre-Neuve-et-Labrador</w:t>
      </w:r>
      <w:r w:rsidR="00306979" w:rsidRPr="00911A43">
        <w:rPr>
          <w:lang w:val="fr-CA"/>
        </w:rPr>
        <w:t xml:space="preserve">, </w:t>
      </w:r>
      <w:r w:rsidR="00552FDC">
        <w:rPr>
          <w:lang w:val="fr-CA"/>
        </w:rPr>
        <w:t>St. John’s</w:t>
      </w:r>
      <w:r w:rsidR="00306979" w:rsidRPr="00911A43">
        <w:rPr>
          <w:lang w:val="fr-CA"/>
        </w:rPr>
        <w:t>.</w:t>
      </w:r>
    </w:p>
    <w:p w:rsidR="00306979" w:rsidRPr="00456DC2" w:rsidRDefault="00306979" w:rsidP="00306979">
      <w:pPr>
        <w:pStyle w:val="SCCLawFirm"/>
        <w:rPr>
          <w:lang w:val="fr-CA"/>
        </w:rPr>
      </w:pPr>
      <w:r w:rsidRPr="00911A43">
        <w:rPr>
          <w:lang w:val="fr-CA"/>
        </w:rPr>
        <w:tab/>
      </w:r>
      <w:r w:rsidR="008F4D7E">
        <w:rPr>
          <w:lang w:val="fr-CA"/>
        </w:rPr>
        <w:t>Procureurs de l’</w:t>
      </w:r>
      <w:r w:rsidRPr="00456DC2">
        <w:rPr>
          <w:lang w:val="fr-CA"/>
        </w:rPr>
        <w:t xml:space="preserve">intimé : </w:t>
      </w:r>
      <w:proofErr w:type="spellStart"/>
      <w:r w:rsidR="00552FDC">
        <w:rPr>
          <w:lang w:val="fr-CA"/>
        </w:rPr>
        <w:t>Simmonds</w:t>
      </w:r>
      <w:proofErr w:type="spellEnd"/>
      <w:r w:rsidR="00552FDC">
        <w:rPr>
          <w:lang w:val="fr-CA"/>
        </w:rPr>
        <w:t xml:space="preserve"> &amp; </w:t>
      </w:r>
      <w:proofErr w:type="spellStart"/>
      <w:r w:rsidR="00552FDC">
        <w:rPr>
          <w:lang w:val="fr-CA"/>
        </w:rPr>
        <w:t>Partners</w:t>
      </w:r>
      <w:proofErr w:type="spellEnd"/>
      <w:r w:rsidR="00552FDC">
        <w:rPr>
          <w:lang w:val="fr-CA"/>
        </w:rPr>
        <w:t xml:space="preserve"> </w:t>
      </w:r>
      <w:proofErr w:type="spellStart"/>
      <w:r w:rsidR="00552FDC">
        <w:rPr>
          <w:lang w:val="fr-CA"/>
        </w:rPr>
        <w:t>Defence</w:t>
      </w:r>
      <w:proofErr w:type="spellEnd"/>
      <w:r w:rsidRPr="00456DC2">
        <w:rPr>
          <w:lang w:val="fr-CA"/>
        </w:rPr>
        <w:t xml:space="preserve">, </w:t>
      </w:r>
      <w:r w:rsidR="00552FDC">
        <w:rPr>
          <w:lang w:val="fr-CA"/>
        </w:rPr>
        <w:t>St. John’s</w:t>
      </w:r>
      <w:r w:rsidR="00E41800">
        <w:rPr>
          <w:lang w:val="fr-CA"/>
        </w:rPr>
        <w:t xml:space="preserve">; Crystal Cyr </w:t>
      </w:r>
      <w:r w:rsidR="00E3388F">
        <w:rPr>
          <w:lang w:val="fr-CA"/>
        </w:rPr>
        <w:t>Avocat</w:t>
      </w:r>
      <w:r w:rsidR="00E41800">
        <w:rPr>
          <w:lang w:val="fr-CA"/>
        </w:rPr>
        <w:t>s, Ottawa</w:t>
      </w:r>
      <w:r w:rsidRPr="00456DC2">
        <w:rPr>
          <w:lang w:val="fr-CA"/>
        </w:rPr>
        <w:t>.</w:t>
      </w:r>
    </w:p>
    <w:p w:rsidR="00306979" w:rsidRPr="00456DC2" w:rsidRDefault="00306979" w:rsidP="00306979">
      <w:pPr>
        <w:pStyle w:val="SCCLawFirm"/>
        <w:rPr>
          <w:lang w:val="fr-CA"/>
        </w:rPr>
      </w:pPr>
    </w:p>
    <w:sectPr w:rsidR="00306979" w:rsidRPr="00456DC2" w:rsidSect="00AD195D">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8F" w:rsidRDefault="00E3388F" w:rsidP="00AD195D">
      <w:r>
        <w:separator/>
      </w:r>
    </w:p>
  </w:endnote>
  <w:endnote w:type="continuationSeparator" w:id="0">
    <w:p w:rsidR="00E3388F" w:rsidRDefault="00E3388F" w:rsidP="00AD1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8F" w:rsidRDefault="00E3388F" w:rsidP="00AD195D">
      <w:r>
        <w:separator/>
      </w:r>
    </w:p>
  </w:footnote>
  <w:footnote w:type="continuationSeparator" w:id="0">
    <w:p w:rsidR="00E3388F" w:rsidRDefault="00E3388F" w:rsidP="00AD1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6393"/>
      <w:docPartObj>
        <w:docPartGallery w:val="Page Numbers (Top of Page)"/>
        <w:docPartUnique/>
      </w:docPartObj>
    </w:sdtPr>
    <w:sdtContent>
      <w:p w:rsidR="00E3388F" w:rsidRDefault="00E3388F">
        <w:pPr>
          <w:pStyle w:val="Header"/>
          <w:jc w:val="center"/>
        </w:pPr>
        <w:r>
          <w:t xml:space="preserve">- </w:t>
        </w:r>
        <w:fldSimple w:instr=" PAGE   \* MERGEFORMAT ">
          <w:r w:rsidR="000D5C01">
            <w:rPr>
              <w:noProof/>
            </w:rPr>
            <w:t>2</w:t>
          </w:r>
        </w:fldSimple>
        <w:r>
          <w:t xml:space="preserve"> -</w:t>
        </w:r>
      </w:p>
    </w:sdtContent>
  </w:sdt>
  <w:p w:rsidR="00E3388F" w:rsidRPr="00450352" w:rsidRDefault="00E3388F" w:rsidP="00B97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A799F"/>
    <w:multiLevelType w:val="hybridMultilevel"/>
    <w:tmpl w:val="5AA26A5E"/>
    <w:lvl w:ilvl="0" w:tplc="A27278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306979"/>
    <w:rsid w:val="00044470"/>
    <w:rsid w:val="000954B4"/>
    <w:rsid w:val="000D5C01"/>
    <w:rsid w:val="0013481D"/>
    <w:rsid w:val="00145655"/>
    <w:rsid w:val="00150E8F"/>
    <w:rsid w:val="00160E84"/>
    <w:rsid w:val="00191FDF"/>
    <w:rsid w:val="001A65D3"/>
    <w:rsid w:val="001F471F"/>
    <w:rsid w:val="00217496"/>
    <w:rsid w:val="00242E70"/>
    <w:rsid w:val="00256DE8"/>
    <w:rsid w:val="00290888"/>
    <w:rsid w:val="00291A71"/>
    <w:rsid w:val="00293A64"/>
    <w:rsid w:val="00295F78"/>
    <w:rsid w:val="002A0198"/>
    <w:rsid w:val="002E26AF"/>
    <w:rsid w:val="0030585A"/>
    <w:rsid w:val="00306979"/>
    <w:rsid w:val="00391B71"/>
    <w:rsid w:val="003F3758"/>
    <w:rsid w:val="00406986"/>
    <w:rsid w:val="004745F7"/>
    <w:rsid w:val="004F774B"/>
    <w:rsid w:val="0055276C"/>
    <w:rsid w:val="00552FDC"/>
    <w:rsid w:val="005C73DF"/>
    <w:rsid w:val="005F2B91"/>
    <w:rsid w:val="00697D41"/>
    <w:rsid w:val="006B20A1"/>
    <w:rsid w:val="00735153"/>
    <w:rsid w:val="0080115E"/>
    <w:rsid w:val="00825940"/>
    <w:rsid w:val="008A3E3D"/>
    <w:rsid w:val="008A660E"/>
    <w:rsid w:val="008E6D14"/>
    <w:rsid w:val="008F4D7E"/>
    <w:rsid w:val="00901D63"/>
    <w:rsid w:val="00903447"/>
    <w:rsid w:val="0095088B"/>
    <w:rsid w:val="00993834"/>
    <w:rsid w:val="009E6278"/>
    <w:rsid w:val="009F2F46"/>
    <w:rsid w:val="00A421CD"/>
    <w:rsid w:val="00A51AE0"/>
    <w:rsid w:val="00A643D4"/>
    <w:rsid w:val="00AD195D"/>
    <w:rsid w:val="00B60F6B"/>
    <w:rsid w:val="00B638D2"/>
    <w:rsid w:val="00B64E95"/>
    <w:rsid w:val="00B71B15"/>
    <w:rsid w:val="00B977F4"/>
    <w:rsid w:val="00C078BF"/>
    <w:rsid w:val="00C334D8"/>
    <w:rsid w:val="00C8661B"/>
    <w:rsid w:val="00CB54FB"/>
    <w:rsid w:val="00D675F6"/>
    <w:rsid w:val="00D949CC"/>
    <w:rsid w:val="00DA7A1A"/>
    <w:rsid w:val="00DD2F95"/>
    <w:rsid w:val="00E005E9"/>
    <w:rsid w:val="00E23DE9"/>
    <w:rsid w:val="00E3388F"/>
    <w:rsid w:val="00E41800"/>
    <w:rsid w:val="00E83F99"/>
    <w:rsid w:val="00EE2078"/>
    <w:rsid w:val="00EE3FC6"/>
    <w:rsid w:val="00EF1D9A"/>
    <w:rsid w:val="00F1312C"/>
    <w:rsid w:val="00F1397C"/>
    <w:rsid w:val="00F202BB"/>
    <w:rsid w:val="00F63E92"/>
    <w:rsid w:val="00F81AFB"/>
    <w:rsid w:val="00FD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79"/>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306979"/>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06979"/>
    <w:rPr>
      <w:sz w:val="24"/>
    </w:rPr>
  </w:style>
  <w:style w:type="paragraph" w:styleId="Header">
    <w:name w:val="header"/>
    <w:basedOn w:val="Normal"/>
    <w:link w:val="HeaderChar"/>
    <w:uiPriority w:val="99"/>
    <w:unhideWhenUsed/>
    <w:rsid w:val="00306979"/>
    <w:pPr>
      <w:tabs>
        <w:tab w:val="center" w:pos="4680"/>
        <w:tab w:val="right" w:pos="9360"/>
      </w:tabs>
    </w:pPr>
  </w:style>
  <w:style w:type="character" w:customStyle="1" w:styleId="HeaderChar">
    <w:name w:val="Header Char"/>
    <w:basedOn w:val="DefaultParagraphFont"/>
    <w:link w:val="Header"/>
    <w:uiPriority w:val="99"/>
    <w:rsid w:val="00306979"/>
    <w:rPr>
      <w:sz w:val="24"/>
    </w:rPr>
  </w:style>
  <w:style w:type="paragraph" w:styleId="Footer">
    <w:name w:val="footer"/>
    <w:basedOn w:val="Normal"/>
    <w:link w:val="FooterChar"/>
    <w:uiPriority w:val="99"/>
    <w:semiHidden/>
    <w:unhideWhenUsed/>
    <w:rsid w:val="00306979"/>
    <w:pPr>
      <w:tabs>
        <w:tab w:val="center" w:pos="4680"/>
        <w:tab w:val="right" w:pos="9360"/>
      </w:tabs>
    </w:pPr>
  </w:style>
  <w:style w:type="character" w:customStyle="1" w:styleId="FooterChar">
    <w:name w:val="Footer Char"/>
    <w:basedOn w:val="DefaultParagraphFont"/>
    <w:link w:val="Footer"/>
    <w:uiPriority w:val="99"/>
    <w:semiHidden/>
    <w:rsid w:val="00306979"/>
    <w:rPr>
      <w:sz w:val="24"/>
    </w:rPr>
  </w:style>
  <w:style w:type="paragraph" w:customStyle="1" w:styleId="SCCLsocVersus">
    <w:name w:val="SCC.Lsoc.Versus"/>
    <w:basedOn w:val="Normal"/>
    <w:next w:val="Normal"/>
    <w:link w:val="SCCLsocVersusChar"/>
    <w:rsid w:val="00306979"/>
    <w:pPr>
      <w:spacing w:after="720"/>
    </w:pPr>
    <w:rPr>
      <w:i/>
    </w:rPr>
  </w:style>
  <w:style w:type="character" w:customStyle="1" w:styleId="SCCLsocVersusChar">
    <w:name w:val="SCC.Lsoc.Versus Char"/>
    <w:basedOn w:val="DefaultParagraphFont"/>
    <w:link w:val="SCCLsocVersus"/>
    <w:rsid w:val="00306979"/>
    <w:rPr>
      <w:i/>
      <w:sz w:val="24"/>
    </w:rPr>
  </w:style>
  <w:style w:type="character" w:customStyle="1" w:styleId="SCCLsocPartyRole">
    <w:name w:val="SCC.Lsoc.PartyRole"/>
    <w:basedOn w:val="SCCLsocLastPartyInRoleChar"/>
    <w:uiPriority w:val="1"/>
    <w:rsid w:val="00306979"/>
    <w:rPr>
      <w:i/>
    </w:rPr>
  </w:style>
  <w:style w:type="paragraph" w:customStyle="1" w:styleId="SCCBanSummary">
    <w:name w:val="SCC.BanSummary"/>
    <w:basedOn w:val="Normal"/>
    <w:next w:val="Normal"/>
    <w:rsid w:val="00306979"/>
    <w:pPr>
      <w:jc w:val="right"/>
    </w:pPr>
    <w:rPr>
      <w:b/>
    </w:rPr>
  </w:style>
  <w:style w:type="paragraph" w:customStyle="1" w:styleId="SCCAppellantForRunningHead">
    <w:name w:val="SCC.AppellantForRunningHead"/>
    <w:basedOn w:val="Normal"/>
    <w:next w:val="Normal"/>
    <w:link w:val="SCCAppellantForRunningHeadChar"/>
    <w:rsid w:val="00306979"/>
    <w:rPr>
      <w:smallCaps/>
    </w:rPr>
  </w:style>
  <w:style w:type="character" w:customStyle="1" w:styleId="SCCAppellantForRunningHeadChar">
    <w:name w:val="SCC.AppellantForRunningHead Char"/>
    <w:basedOn w:val="DefaultParagraphFont"/>
    <w:link w:val="SCCAppellantForRunningHead"/>
    <w:rsid w:val="00306979"/>
    <w:rPr>
      <w:smallCaps/>
      <w:sz w:val="24"/>
    </w:rPr>
  </w:style>
  <w:style w:type="paragraph" w:customStyle="1" w:styleId="SCCRespondentForRunningHead">
    <w:name w:val="SCC.RespondentForRunningHead"/>
    <w:basedOn w:val="Normal"/>
    <w:next w:val="Normal"/>
    <w:link w:val="SCCRespondentForRunningHeadChar"/>
    <w:rsid w:val="00306979"/>
    <w:rPr>
      <w:smallCaps/>
    </w:rPr>
  </w:style>
  <w:style w:type="character" w:customStyle="1" w:styleId="SCCRespondentForRunningHeadChar">
    <w:name w:val="SCC.RespondentForRunningHead Char"/>
    <w:basedOn w:val="DefaultParagraphFont"/>
    <w:link w:val="SCCRespondentForRunningHead"/>
    <w:rsid w:val="00306979"/>
    <w:rPr>
      <w:smallCaps/>
      <w:sz w:val="24"/>
    </w:rPr>
  </w:style>
  <w:style w:type="paragraph" w:customStyle="1" w:styleId="SCCAppellantForIndex">
    <w:name w:val="SCC.AppellantForIndex"/>
    <w:basedOn w:val="Normal"/>
    <w:next w:val="Normal"/>
    <w:link w:val="SCCAppellantForIndexChar"/>
    <w:rsid w:val="00306979"/>
    <w:rPr>
      <w:b/>
    </w:rPr>
  </w:style>
  <w:style w:type="character" w:customStyle="1" w:styleId="SCCAppellantForIndexChar">
    <w:name w:val="SCC.AppellantForIndex Char"/>
    <w:basedOn w:val="DefaultParagraphFont"/>
    <w:link w:val="SCCAppellantForIndex"/>
    <w:rsid w:val="00306979"/>
    <w:rPr>
      <w:b/>
      <w:sz w:val="24"/>
    </w:rPr>
  </w:style>
  <w:style w:type="paragraph" w:customStyle="1" w:styleId="SCCRespondentForIndex">
    <w:name w:val="SCC.RespondentForIndex"/>
    <w:basedOn w:val="Normal"/>
    <w:next w:val="Normal"/>
    <w:link w:val="SCCRespondentForIndexChar"/>
    <w:rsid w:val="00306979"/>
    <w:rPr>
      <w:b/>
    </w:rPr>
  </w:style>
  <w:style w:type="character" w:customStyle="1" w:styleId="SCCRespondentForIndexChar">
    <w:name w:val="SCC.RespondentForIndex Char"/>
    <w:basedOn w:val="DefaultParagraphFont"/>
    <w:link w:val="SCCRespondentForIndex"/>
    <w:rsid w:val="00306979"/>
    <w:rPr>
      <w:b/>
      <w:sz w:val="24"/>
    </w:rPr>
  </w:style>
  <w:style w:type="paragraph" w:customStyle="1" w:styleId="SCCSystemYear">
    <w:name w:val="SCC.SystemYear"/>
    <w:basedOn w:val="Normal"/>
    <w:next w:val="Normal"/>
    <w:link w:val="SCCSystemYearChar"/>
    <w:rsid w:val="00306979"/>
    <w:rPr>
      <w:b/>
    </w:rPr>
  </w:style>
  <w:style w:type="character" w:customStyle="1" w:styleId="SCCSystemYearChar">
    <w:name w:val="SCC.SystemYear Char"/>
    <w:basedOn w:val="DefaultParagraphFont"/>
    <w:link w:val="SCCSystemYear"/>
    <w:rsid w:val="00306979"/>
    <w:rPr>
      <w:b/>
      <w:sz w:val="24"/>
    </w:rPr>
  </w:style>
  <w:style w:type="paragraph" w:customStyle="1" w:styleId="SCCCounselName">
    <w:name w:val="SCC.CounselName"/>
    <w:basedOn w:val="SCCNormalDoubleSpacing"/>
    <w:next w:val="SCCNormalDoubleSpacing"/>
    <w:link w:val="SCCCounselNameChar"/>
    <w:rsid w:val="00306979"/>
    <w:rPr>
      <w:i/>
    </w:rPr>
  </w:style>
  <w:style w:type="character" w:customStyle="1" w:styleId="SCCCounselNameChar">
    <w:name w:val="SCC.CounselName Char"/>
    <w:basedOn w:val="SCCNormalDoubleSpacingChar"/>
    <w:link w:val="SCCCounselName"/>
    <w:rsid w:val="00306979"/>
    <w:rPr>
      <w:i/>
    </w:rPr>
  </w:style>
  <w:style w:type="paragraph" w:customStyle="1" w:styleId="SCCItalic">
    <w:name w:val="SCC.Italic"/>
    <w:basedOn w:val="SCCNormalDoubleSpacing"/>
    <w:next w:val="SCCNormalDoubleSpacing"/>
    <w:rsid w:val="00306979"/>
    <w:rPr>
      <w:i/>
    </w:rPr>
  </w:style>
  <w:style w:type="paragraph" w:customStyle="1" w:styleId="SCCCounselSeparator">
    <w:name w:val="SCC.CounselSeparator"/>
    <w:basedOn w:val="SCCNormalDoubleSpacing"/>
    <w:next w:val="SCCNormalDoubleSpacing"/>
    <w:link w:val="SCCCounselSeparatorChar"/>
    <w:rsid w:val="00306979"/>
  </w:style>
  <w:style w:type="character" w:customStyle="1" w:styleId="SCCCounselSeparatorChar">
    <w:name w:val="SCC.CounselSeparator Char"/>
    <w:basedOn w:val="SCCNormalDoubleSpacingChar"/>
    <w:link w:val="SCCCounselSeparator"/>
    <w:rsid w:val="00306979"/>
  </w:style>
  <w:style w:type="paragraph" w:customStyle="1" w:styleId="SCCLawFirm">
    <w:name w:val="SCC.LawFirm"/>
    <w:basedOn w:val="SCCNormalDoubleSpacing"/>
    <w:next w:val="SCCNormalDoubleSpacing"/>
    <w:link w:val="SCCLawFirmChar"/>
    <w:rsid w:val="00306979"/>
    <w:rPr>
      <w:i/>
    </w:rPr>
  </w:style>
  <w:style w:type="character" w:customStyle="1" w:styleId="SCCLawFirmChar">
    <w:name w:val="SCC.LawFirm Char"/>
    <w:basedOn w:val="SCCNormalDoubleSpacingChar"/>
    <w:link w:val="SCCLawFirm"/>
    <w:rsid w:val="00306979"/>
    <w:rPr>
      <w:i/>
    </w:rPr>
  </w:style>
  <w:style w:type="paragraph" w:customStyle="1" w:styleId="SCCCounselPartyRole">
    <w:name w:val="SCC.CounselPartyRole"/>
    <w:basedOn w:val="SCCNormalDoubleSpacing"/>
    <w:next w:val="SCCNormalDoubleSpacing"/>
    <w:link w:val="SCCCounselPartyRoleChar"/>
    <w:rsid w:val="00306979"/>
  </w:style>
  <w:style w:type="character" w:customStyle="1" w:styleId="SCCCounselPartyRoleChar">
    <w:name w:val="SCC.CounselPartyRole Char"/>
    <w:basedOn w:val="SCCNormalDoubleSpacingChar"/>
    <w:link w:val="SCCCounselPartyRole"/>
    <w:rsid w:val="00306979"/>
  </w:style>
  <w:style w:type="paragraph" w:customStyle="1" w:styleId="SCCLsocLastPartyInRole">
    <w:name w:val="SCC.Lsoc.LastPartyInRole"/>
    <w:basedOn w:val="Normal"/>
    <w:next w:val="Normal"/>
    <w:link w:val="SCCLsocLastPartyInRoleChar"/>
    <w:qFormat/>
    <w:rsid w:val="00306979"/>
    <w:pPr>
      <w:tabs>
        <w:tab w:val="right" w:pos="8222"/>
      </w:tabs>
      <w:spacing w:after="720"/>
    </w:pPr>
    <w:rPr>
      <w:b/>
    </w:rPr>
  </w:style>
  <w:style w:type="character" w:customStyle="1" w:styleId="SCCLsocLastPartyInRoleChar">
    <w:name w:val="SCC.Lsoc.LastPartyInRole Char"/>
    <w:basedOn w:val="DefaultParagraphFont"/>
    <w:link w:val="SCCLsocLastPartyInRole"/>
    <w:rsid w:val="00306979"/>
    <w:rPr>
      <w:b/>
      <w:sz w:val="24"/>
    </w:rPr>
  </w:style>
  <w:style w:type="table" w:styleId="TableGrid">
    <w:name w:val="Table Grid"/>
    <w:basedOn w:val="TableNormal"/>
    <w:uiPriority w:val="59"/>
    <w:rsid w:val="000D5C0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420</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32</cp:revision>
  <cp:lastPrinted>2013-07-24T13:35:00Z</cp:lastPrinted>
  <dcterms:created xsi:type="dcterms:W3CDTF">2013-04-30T18:28:00Z</dcterms:created>
  <dcterms:modified xsi:type="dcterms:W3CDTF">2014-03-20T19:47:00Z</dcterms:modified>
</cp:coreProperties>
</file>