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68" w:rsidRPr="00477A02" w:rsidRDefault="00081168" w:rsidP="00081168">
      <w:pPr>
        <w:tabs>
          <w:tab w:val="center" w:pos="4680"/>
          <w:tab w:val="right" w:pos="9360"/>
        </w:tabs>
        <w:jc w:val="center"/>
        <w:rPr>
          <w:rFonts w:eastAsiaTheme="minorHAnsi" w:cstheme="minorBidi"/>
          <w:szCs w:val="24"/>
          <w:lang w:val="fr-CA" w:eastAsia="en-US"/>
        </w:rPr>
      </w:pPr>
      <w:r w:rsidRPr="00477A02">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4.8pt" o:ole="">
            <v:imagedata r:id="rId7" o:title=""/>
          </v:shape>
          <o:OLEObject Type="Embed" ProgID="Presentations.Drawing.13" ShapeID="_x0000_i1025" DrawAspect="Content" ObjectID="_1458381989" r:id="rId8"/>
        </w:object>
      </w:r>
    </w:p>
    <w:p w:rsidR="00081168" w:rsidRPr="00477A02" w:rsidRDefault="00081168" w:rsidP="00081168">
      <w:pPr>
        <w:tabs>
          <w:tab w:val="center" w:pos="4680"/>
          <w:tab w:val="right" w:pos="9360"/>
        </w:tabs>
        <w:rPr>
          <w:rFonts w:eastAsiaTheme="minorHAnsi" w:cstheme="minorBidi"/>
          <w:szCs w:val="24"/>
          <w:lang w:val="fr-CA" w:eastAsia="en-US"/>
        </w:rPr>
      </w:pPr>
    </w:p>
    <w:p w:rsidR="00081168" w:rsidRPr="00477A02" w:rsidRDefault="00081168" w:rsidP="00081168">
      <w:pPr>
        <w:jc w:val="center"/>
        <w:rPr>
          <w:rFonts w:eastAsiaTheme="minorHAnsi" w:cstheme="minorBidi"/>
          <w:b/>
          <w:szCs w:val="24"/>
          <w:lang w:val="fr-CA" w:eastAsia="en-US"/>
        </w:rPr>
      </w:pPr>
      <w:r w:rsidRPr="00477A02">
        <w:rPr>
          <w:rFonts w:eastAsiaTheme="minorHAnsi" w:cstheme="minorBidi"/>
          <w:b/>
          <w:szCs w:val="24"/>
          <w:lang w:val="fr-CA" w:eastAsia="en-US"/>
        </w:rPr>
        <w:t>COUR SUPRÊME DU CANADA</w:t>
      </w:r>
    </w:p>
    <w:p w:rsidR="00081168" w:rsidRPr="00477A02" w:rsidRDefault="00081168" w:rsidP="00081168">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81168" w:rsidRPr="00477A02" w:rsidTr="00666EE5">
        <w:trPr>
          <w:cantSplit/>
        </w:trPr>
        <w:tc>
          <w:tcPr>
            <w:tcW w:w="6768" w:type="dxa"/>
          </w:tcPr>
          <w:p w:rsidR="00081168" w:rsidRPr="00477A02" w:rsidRDefault="00081168" w:rsidP="00666EE5">
            <w:pPr>
              <w:rPr>
                <w:lang w:val="fr-CA"/>
              </w:rPr>
            </w:pPr>
            <w:r w:rsidRPr="00477A02">
              <w:rPr>
                <w:b/>
                <w:smallCaps/>
                <w:lang w:val="fr-CA"/>
              </w:rPr>
              <w:t>Référence :</w:t>
            </w:r>
            <w:r w:rsidRPr="00477A02">
              <w:rPr>
                <w:lang w:val="fr-CA"/>
              </w:rPr>
              <w:t xml:space="preserve"> Compagnie des chemins de fer nationaux du Canada </w:t>
            </w:r>
            <w:r w:rsidRPr="00477A02">
              <w:rPr>
                <w:i/>
                <w:lang w:val="fr-CA"/>
              </w:rPr>
              <w:t>c.</w:t>
            </w:r>
            <w:r w:rsidRPr="00477A02">
              <w:rPr>
                <w:lang w:val="fr-CA"/>
              </w:rPr>
              <w:t xml:space="preserve"> </w:t>
            </w:r>
            <w:proofErr w:type="spellStart"/>
            <w:r w:rsidRPr="00477A02">
              <w:rPr>
                <w:lang w:val="fr-CA"/>
              </w:rPr>
              <w:t>McKercher</w:t>
            </w:r>
            <w:proofErr w:type="spellEnd"/>
            <w:r w:rsidRPr="00477A02">
              <w:rPr>
                <w:lang w:val="fr-CA"/>
              </w:rPr>
              <w:t xml:space="preserve"> LLP, </w:t>
            </w:r>
            <w:r>
              <w:rPr>
                <w:lang w:val="fr-CA"/>
              </w:rPr>
              <w:t>2013 CSC 39, [2013] 2 R.C.S. 649</w:t>
            </w:r>
          </w:p>
        </w:tc>
        <w:tc>
          <w:tcPr>
            <w:tcW w:w="2808" w:type="dxa"/>
          </w:tcPr>
          <w:p w:rsidR="00081168" w:rsidRPr="00477A02" w:rsidRDefault="00081168" w:rsidP="00666EE5">
            <w:pPr>
              <w:rPr>
                <w:lang w:val="fr-CA"/>
              </w:rPr>
            </w:pPr>
            <w:r w:rsidRPr="00477A02">
              <w:rPr>
                <w:b/>
                <w:smallCaps/>
                <w:lang w:val="fr-CA"/>
              </w:rPr>
              <w:t>Date :</w:t>
            </w:r>
            <w:r w:rsidRPr="00477A02">
              <w:rPr>
                <w:lang w:val="fr-CA"/>
              </w:rPr>
              <w:t xml:space="preserve"> 20130705</w:t>
            </w:r>
          </w:p>
          <w:p w:rsidR="00081168" w:rsidRPr="00477A02" w:rsidRDefault="00081168" w:rsidP="00666EE5">
            <w:pPr>
              <w:rPr>
                <w:lang w:val="fr-CA"/>
              </w:rPr>
            </w:pPr>
            <w:r w:rsidRPr="00477A02">
              <w:rPr>
                <w:b/>
                <w:smallCaps/>
                <w:lang w:val="fr-CA"/>
              </w:rPr>
              <w:t>Dossier :</w:t>
            </w:r>
            <w:r w:rsidRPr="00477A02">
              <w:rPr>
                <w:lang w:val="fr-CA"/>
              </w:rPr>
              <w:t xml:space="preserve"> 34545</w:t>
            </w:r>
          </w:p>
        </w:tc>
      </w:tr>
    </w:tbl>
    <w:p w:rsidR="00081168" w:rsidRPr="00477A02" w:rsidRDefault="00081168" w:rsidP="00081168">
      <w:pPr>
        <w:rPr>
          <w:rFonts w:eastAsiaTheme="minorHAnsi" w:cstheme="minorBidi"/>
          <w:szCs w:val="24"/>
          <w:lang w:val="fr-CA" w:eastAsia="en-US"/>
        </w:rPr>
      </w:pPr>
    </w:p>
    <w:p w:rsidR="00081168" w:rsidRPr="00477A02" w:rsidRDefault="00081168" w:rsidP="00081168">
      <w:pPr>
        <w:rPr>
          <w:rFonts w:eastAsiaTheme="minorHAnsi" w:cstheme="minorBidi"/>
          <w:b/>
          <w:smallCaps/>
          <w:szCs w:val="24"/>
          <w:lang w:val="fr-CA" w:eastAsia="en-US"/>
        </w:rPr>
      </w:pPr>
      <w:r w:rsidRPr="00477A02">
        <w:rPr>
          <w:rFonts w:eastAsiaTheme="minorHAnsi" w:cstheme="minorBidi"/>
          <w:b/>
          <w:smallCaps/>
          <w:szCs w:val="24"/>
          <w:lang w:val="fr-CA" w:eastAsia="en-US"/>
        </w:rPr>
        <w:t>Entre :</w:t>
      </w:r>
    </w:p>
    <w:p w:rsidR="00081168" w:rsidRPr="00477A02" w:rsidRDefault="00081168" w:rsidP="00081168">
      <w:pPr>
        <w:jc w:val="center"/>
        <w:rPr>
          <w:rFonts w:eastAsiaTheme="minorHAnsi" w:cstheme="minorBidi"/>
          <w:b/>
          <w:szCs w:val="24"/>
          <w:lang w:val="fr-CA" w:eastAsia="en-US"/>
        </w:rPr>
      </w:pPr>
      <w:r w:rsidRPr="00477A02">
        <w:rPr>
          <w:rFonts w:eastAsiaTheme="minorHAnsi" w:cstheme="minorBidi"/>
          <w:b/>
          <w:szCs w:val="24"/>
          <w:lang w:val="fr-CA" w:eastAsia="en-US"/>
        </w:rPr>
        <w:t>Compagnie des chemins de fers nationaux du Canada</w:t>
      </w:r>
    </w:p>
    <w:p w:rsidR="00081168" w:rsidRPr="00477A02" w:rsidRDefault="00081168" w:rsidP="00081168">
      <w:pPr>
        <w:jc w:val="center"/>
        <w:rPr>
          <w:rFonts w:eastAsiaTheme="minorHAnsi" w:cstheme="minorBidi"/>
          <w:szCs w:val="24"/>
          <w:lang w:val="fr-CA" w:eastAsia="en-US"/>
        </w:rPr>
      </w:pPr>
      <w:r w:rsidRPr="00477A02">
        <w:rPr>
          <w:rFonts w:eastAsiaTheme="minorHAnsi" w:cstheme="minorBidi"/>
          <w:szCs w:val="24"/>
          <w:lang w:val="fr-CA" w:eastAsia="en-US"/>
        </w:rPr>
        <w:t>Appelante</w:t>
      </w:r>
    </w:p>
    <w:p w:rsidR="00081168" w:rsidRPr="00477A02" w:rsidRDefault="00081168" w:rsidP="00081168">
      <w:pPr>
        <w:jc w:val="center"/>
        <w:rPr>
          <w:rFonts w:eastAsiaTheme="minorHAnsi" w:cstheme="minorBidi"/>
          <w:szCs w:val="24"/>
          <w:lang w:val="fr-CA" w:eastAsia="en-US"/>
        </w:rPr>
      </w:pPr>
      <w:proofErr w:type="gramStart"/>
      <w:r w:rsidRPr="00477A02">
        <w:rPr>
          <w:rFonts w:eastAsiaTheme="minorHAnsi" w:cstheme="minorBidi"/>
          <w:szCs w:val="24"/>
          <w:lang w:val="fr-CA" w:eastAsia="en-US"/>
        </w:rPr>
        <w:t>et</w:t>
      </w:r>
      <w:proofErr w:type="gramEnd"/>
    </w:p>
    <w:p w:rsidR="00081168" w:rsidRPr="00477A02" w:rsidRDefault="00081168" w:rsidP="00081168">
      <w:pPr>
        <w:jc w:val="center"/>
        <w:rPr>
          <w:rFonts w:eastAsiaTheme="minorHAnsi" w:cstheme="minorBidi"/>
          <w:b/>
          <w:szCs w:val="24"/>
          <w:lang w:val="fr-CA" w:eastAsia="en-US"/>
        </w:rPr>
      </w:pPr>
      <w:proofErr w:type="spellStart"/>
      <w:r w:rsidRPr="00477A02">
        <w:rPr>
          <w:rFonts w:eastAsiaTheme="minorHAnsi" w:cstheme="minorBidi"/>
          <w:b/>
          <w:szCs w:val="24"/>
          <w:lang w:val="fr-CA" w:eastAsia="en-US"/>
        </w:rPr>
        <w:t>McKercher</w:t>
      </w:r>
      <w:proofErr w:type="spellEnd"/>
      <w:r w:rsidRPr="00477A02">
        <w:rPr>
          <w:rFonts w:eastAsiaTheme="minorHAnsi" w:cstheme="minorBidi"/>
          <w:b/>
          <w:szCs w:val="24"/>
          <w:lang w:val="fr-CA" w:eastAsia="en-US"/>
        </w:rPr>
        <w:t xml:space="preserve"> LLP et Gordon Wallace</w:t>
      </w:r>
    </w:p>
    <w:p w:rsidR="00081168" w:rsidRPr="00477A02" w:rsidRDefault="00081168" w:rsidP="00081168">
      <w:pPr>
        <w:jc w:val="center"/>
        <w:rPr>
          <w:rFonts w:eastAsiaTheme="minorHAnsi" w:cstheme="minorBidi"/>
          <w:szCs w:val="24"/>
          <w:lang w:val="fr-CA" w:eastAsia="en-US"/>
        </w:rPr>
      </w:pPr>
      <w:r w:rsidRPr="00477A02">
        <w:rPr>
          <w:rFonts w:eastAsiaTheme="minorHAnsi" w:cstheme="minorBidi"/>
          <w:szCs w:val="24"/>
          <w:lang w:val="fr-CA" w:eastAsia="en-US"/>
        </w:rPr>
        <w:t>Intimés</w:t>
      </w:r>
    </w:p>
    <w:p w:rsidR="00081168" w:rsidRPr="00477A02" w:rsidRDefault="00081168" w:rsidP="00081168">
      <w:pPr>
        <w:jc w:val="center"/>
        <w:rPr>
          <w:rFonts w:eastAsiaTheme="minorHAnsi" w:cstheme="minorBidi"/>
          <w:szCs w:val="24"/>
          <w:lang w:val="fr-CA" w:eastAsia="en-US"/>
        </w:rPr>
      </w:pPr>
      <w:r w:rsidRPr="00477A02">
        <w:rPr>
          <w:rFonts w:eastAsiaTheme="minorHAnsi" w:cstheme="minorBidi"/>
          <w:szCs w:val="24"/>
          <w:lang w:val="fr-CA" w:eastAsia="en-US"/>
        </w:rPr>
        <w:t>- et -</w:t>
      </w:r>
    </w:p>
    <w:p w:rsidR="00081168" w:rsidRPr="00477A02" w:rsidRDefault="00081168" w:rsidP="00081168">
      <w:pPr>
        <w:jc w:val="center"/>
        <w:rPr>
          <w:rFonts w:eastAsiaTheme="minorHAnsi" w:cstheme="minorBidi"/>
          <w:b/>
          <w:szCs w:val="24"/>
          <w:lang w:val="fr-CA" w:eastAsia="en-US"/>
        </w:rPr>
      </w:pPr>
      <w:r w:rsidRPr="00477A02">
        <w:rPr>
          <w:rFonts w:eastAsiaTheme="minorHAnsi" w:cstheme="minorBidi"/>
          <w:b/>
          <w:szCs w:val="24"/>
          <w:lang w:val="fr-CA" w:eastAsia="en-US"/>
        </w:rPr>
        <w:t xml:space="preserve">Association du Barreau Canadien et </w:t>
      </w:r>
    </w:p>
    <w:p w:rsidR="00081168" w:rsidRPr="00477A02" w:rsidRDefault="00081168" w:rsidP="00081168">
      <w:pPr>
        <w:jc w:val="center"/>
        <w:rPr>
          <w:rFonts w:eastAsiaTheme="minorHAnsi" w:cstheme="minorBidi"/>
          <w:b/>
          <w:szCs w:val="24"/>
          <w:lang w:val="fr-CA" w:eastAsia="en-US"/>
        </w:rPr>
      </w:pPr>
      <w:r w:rsidRPr="00477A02">
        <w:rPr>
          <w:rFonts w:eastAsiaTheme="minorHAnsi" w:cstheme="minorBidi"/>
          <w:b/>
          <w:szCs w:val="24"/>
          <w:lang w:val="fr-CA" w:eastAsia="en-US"/>
        </w:rPr>
        <w:t>Fédération des ordres professionnels de juristes du Canada</w:t>
      </w:r>
    </w:p>
    <w:p w:rsidR="00081168" w:rsidRPr="00477A02" w:rsidRDefault="00081168" w:rsidP="00081168">
      <w:pPr>
        <w:jc w:val="center"/>
        <w:rPr>
          <w:rFonts w:eastAsiaTheme="minorHAnsi" w:cstheme="minorBidi"/>
          <w:szCs w:val="24"/>
          <w:lang w:val="fr-CA" w:eastAsia="en-US"/>
        </w:rPr>
      </w:pPr>
      <w:r w:rsidRPr="00477A02">
        <w:rPr>
          <w:rFonts w:eastAsiaTheme="minorHAnsi" w:cstheme="minorBidi"/>
          <w:szCs w:val="24"/>
          <w:lang w:val="fr-CA" w:eastAsia="en-US"/>
        </w:rPr>
        <w:t>Intervenantes</w:t>
      </w:r>
    </w:p>
    <w:p w:rsidR="00081168" w:rsidRPr="00477A02" w:rsidRDefault="00081168" w:rsidP="00081168">
      <w:pPr>
        <w:rPr>
          <w:rFonts w:eastAsiaTheme="minorHAnsi" w:cstheme="minorBidi"/>
          <w:szCs w:val="24"/>
          <w:lang w:val="fr-CA" w:eastAsia="en-US"/>
        </w:rPr>
      </w:pPr>
    </w:p>
    <w:p w:rsidR="00081168" w:rsidRPr="00477A02" w:rsidRDefault="00081168" w:rsidP="00081168">
      <w:pPr>
        <w:rPr>
          <w:rFonts w:eastAsiaTheme="minorHAnsi" w:cstheme="minorBidi"/>
          <w:szCs w:val="24"/>
          <w:lang w:val="fr-CA" w:eastAsia="en-US"/>
        </w:rPr>
      </w:pPr>
    </w:p>
    <w:p w:rsidR="00081168" w:rsidRPr="00477A02" w:rsidRDefault="00081168" w:rsidP="00081168">
      <w:pPr>
        <w:jc w:val="center"/>
        <w:rPr>
          <w:rFonts w:eastAsiaTheme="minorHAnsi" w:cstheme="minorBidi"/>
          <w:b/>
          <w:smallCaps/>
          <w:szCs w:val="24"/>
          <w:lang w:val="fr-CA" w:eastAsia="en-US"/>
        </w:rPr>
      </w:pPr>
      <w:r w:rsidRPr="00477A02">
        <w:rPr>
          <w:rFonts w:eastAsiaTheme="minorHAnsi" w:cstheme="minorBidi"/>
          <w:b/>
          <w:smallCaps/>
          <w:szCs w:val="24"/>
          <w:lang w:val="fr-CA" w:eastAsia="en-US"/>
        </w:rPr>
        <w:t>Traduction française officielle</w:t>
      </w:r>
    </w:p>
    <w:p w:rsidR="00081168" w:rsidRPr="00477A02" w:rsidRDefault="00081168" w:rsidP="00081168">
      <w:pPr>
        <w:rPr>
          <w:rFonts w:eastAsiaTheme="minorHAnsi" w:cstheme="minorBidi"/>
          <w:szCs w:val="24"/>
          <w:lang w:val="fr-CA" w:eastAsia="en-US"/>
        </w:rPr>
      </w:pPr>
    </w:p>
    <w:p w:rsidR="00081168" w:rsidRPr="00477A02" w:rsidRDefault="00081168" w:rsidP="00081168">
      <w:pPr>
        <w:rPr>
          <w:rFonts w:eastAsiaTheme="minorHAnsi" w:cstheme="minorBidi"/>
          <w:szCs w:val="24"/>
          <w:lang w:val="fr-CA" w:eastAsia="en-US"/>
        </w:rPr>
      </w:pPr>
      <w:r w:rsidRPr="00477A02">
        <w:rPr>
          <w:rFonts w:eastAsiaTheme="minorHAnsi" w:cstheme="minorBidi"/>
          <w:b/>
          <w:smallCaps/>
          <w:szCs w:val="24"/>
          <w:lang w:val="fr-CA" w:eastAsia="en-US"/>
        </w:rPr>
        <w:t>Coram :</w:t>
      </w:r>
      <w:r w:rsidRPr="00477A02">
        <w:rPr>
          <w:rFonts w:eastAsiaTheme="minorHAnsi" w:cstheme="minorBidi"/>
          <w:szCs w:val="24"/>
          <w:lang w:val="fr-CA" w:eastAsia="en-US"/>
        </w:rPr>
        <w:t xml:space="preserve"> La juge en chef McLachlin et les juges </w:t>
      </w:r>
      <w:proofErr w:type="spellStart"/>
      <w:r w:rsidRPr="00477A02">
        <w:rPr>
          <w:rFonts w:eastAsiaTheme="minorHAnsi" w:cstheme="minorBidi"/>
          <w:szCs w:val="24"/>
          <w:lang w:val="fr-CA" w:eastAsia="en-US"/>
        </w:rPr>
        <w:t>LeBel</w:t>
      </w:r>
      <w:proofErr w:type="spellEnd"/>
      <w:r w:rsidRPr="00477A02">
        <w:rPr>
          <w:rFonts w:eastAsiaTheme="minorHAnsi" w:cstheme="minorBidi"/>
          <w:szCs w:val="24"/>
          <w:lang w:val="fr-CA" w:eastAsia="en-US"/>
        </w:rPr>
        <w:t xml:space="preserve">, Fish, Abella, </w:t>
      </w:r>
      <w:proofErr w:type="spellStart"/>
      <w:r w:rsidRPr="00477A02">
        <w:rPr>
          <w:rFonts w:eastAsiaTheme="minorHAnsi" w:cstheme="minorBidi"/>
          <w:szCs w:val="24"/>
          <w:lang w:val="fr-CA" w:eastAsia="en-US"/>
        </w:rPr>
        <w:t>Rothstein</w:t>
      </w:r>
      <w:proofErr w:type="spellEnd"/>
      <w:r w:rsidRPr="00477A02">
        <w:rPr>
          <w:rFonts w:eastAsiaTheme="minorHAnsi" w:cstheme="minorBidi"/>
          <w:szCs w:val="24"/>
          <w:lang w:val="fr-CA" w:eastAsia="en-US"/>
        </w:rPr>
        <w:t xml:space="preserve">, Cromwell, </w:t>
      </w:r>
      <w:proofErr w:type="spellStart"/>
      <w:r w:rsidRPr="00477A02">
        <w:rPr>
          <w:rFonts w:eastAsiaTheme="minorHAnsi" w:cstheme="minorBidi"/>
          <w:szCs w:val="24"/>
          <w:lang w:val="fr-CA" w:eastAsia="en-US"/>
        </w:rPr>
        <w:t>Moldaver</w:t>
      </w:r>
      <w:proofErr w:type="spellEnd"/>
      <w:r w:rsidRPr="00477A02">
        <w:rPr>
          <w:rFonts w:eastAsiaTheme="minorHAnsi" w:cstheme="minorBidi"/>
          <w:szCs w:val="24"/>
          <w:lang w:val="fr-CA" w:eastAsia="en-US"/>
        </w:rPr>
        <w:t xml:space="preserve">, </w:t>
      </w:r>
      <w:proofErr w:type="spellStart"/>
      <w:r w:rsidRPr="00477A02">
        <w:rPr>
          <w:rFonts w:eastAsiaTheme="minorHAnsi" w:cstheme="minorBidi"/>
          <w:szCs w:val="24"/>
          <w:lang w:val="fr-CA" w:eastAsia="en-US"/>
        </w:rPr>
        <w:t>Karakatsanis</w:t>
      </w:r>
      <w:proofErr w:type="spellEnd"/>
      <w:r w:rsidRPr="00477A02">
        <w:rPr>
          <w:rFonts w:eastAsiaTheme="minorHAnsi" w:cstheme="minorBidi"/>
          <w:szCs w:val="24"/>
          <w:lang w:val="fr-CA" w:eastAsia="en-US"/>
        </w:rPr>
        <w:t xml:space="preserve"> et Wagner</w:t>
      </w:r>
    </w:p>
    <w:p w:rsidR="00081168" w:rsidRPr="00477A02" w:rsidRDefault="00081168" w:rsidP="00081168">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81168" w:rsidRPr="00081168" w:rsidTr="00666EE5">
        <w:trPr>
          <w:cantSplit/>
        </w:trPr>
        <w:tc>
          <w:tcPr>
            <w:tcW w:w="3618" w:type="dxa"/>
          </w:tcPr>
          <w:p w:rsidR="00081168" w:rsidRPr="00477A02" w:rsidRDefault="00081168" w:rsidP="00666EE5">
            <w:pPr>
              <w:rPr>
                <w:b/>
                <w:smallCaps/>
                <w:lang w:val="fr-CA"/>
              </w:rPr>
            </w:pPr>
            <w:r w:rsidRPr="00477A02">
              <w:rPr>
                <w:b/>
                <w:smallCaps/>
                <w:lang w:val="fr-CA"/>
              </w:rPr>
              <w:t>Motifs de jugement :</w:t>
            </w:r>
          </w:p>
          <w:p w:rsidR="00081168" w:rsidRPr="00477A02" w:rsidRDefault="00081168" w:rsidP="00666EE5">
            <w:pPr>
              <w:rPr>
                <w:lang w:val="fr-CA"/>
              </w:rPr>
            </w:pPr>
            <w:r w:rsidRPr="00477A02">
              <w:rPr>
                <w:lang w:val="fr-CA"/>
              </w:rPr>
              <w:t>(par. 1 à 68)</w:t>
            </w:r>
          </w:p>
        </w:tc>
        <w:tc>
          <w:tcPr>
            <w:tcW w:w="5958" w:type="dxa"/>
          </w:tcPr>
          <w:p w:rsidR="00081168" w:rsidRPr="00477A02" w:rsidRDefault="00081168" w:rsidP="00666EE5">
            <w:pPr>
              <w:rPr>
                <w:lang w:val="fr-CA"/>
              </w:rPr>
            </w:pPr>
            <w:r w:rsidRPr="00477A02">
              <w:rPr>
                <w:lang w:val="fr-CA"/>
              </w:rPr>
              <w:t xml:space="preserve">La juge en chef McLachlin (avec l’accord des juges </w:t>
            </w:r>
            <w:proofErr w:type="spellStart"/>
            <w:r w:rsidRPr="00477A02">
              <w:rPr>
                <w:lang w:val="fr-CA"/>
              </w:rPr>
              <w:t>LeBel</w:t>
            </w:r>
            <w:proofErr w:type="spellEnd"/>
            <w:r w:rsidRPr="00477A02">
              <w:rPr>
                <w:lang w:val="fr-CA"/>
              </w:rPr>
              <w:t xml:space="preserve">, Fish, Abella, </w:t>
            </w:r>
            <w:proofErr w:type="spellStart"/>
            <w:r w:rsidRPr="00477A02">
              <w:rPr>
                <w:lang w:val="fr-CA"/>
              </w:rPr>
              <w:t>Rothstein</w:t>
            </w:r>
            <w:proofErr w:type="spellEnd"/>
            <w:r w:rsidRPr="00477A02">
              <w:rPr>
                <w:lang w:val="fr-CA"/>
              </w:rPr>
              <w:t xml:space="preserve">, Cromwell, </w:t>
            </w:r>
            <w:proofErr w:type="spellStart"/>
            <w:r w:rsidRPr="00477A02">
              <w:rPr>
                <w:lang w:val="fr-CA"/>
              </w:rPr>
              <w:t>Moldaver</w:t>
            </w:r>
            <w:proofErr w:type="spellEnd"/>
            <w:r w:rsidRPr="00477A02">
              <w:rPr>
                <w:lang w:val="fr-CA"/>
              </w:rPr>
              <w:t xml:space="preserve">, </w:t>
            </w:r>
            <w:proofErr w:type="spellStart"/>
            <w:r w:rsidRPr="00477A02">
              <w:rPr>
                <w:lang w:val="fr-CA"/>
              </w:rPr>
              <w:t>Karakatsanis</w:t>
            </w:r>
            <w:proofErr w:type="spellEnd"/>
            <w:r w:rsidRPr="00477A02">
              <w:rPr>
                <w:lang w:val="fr-CA"/>
              </w:rPr>
              <w:t xml:space="preserve"> et Wagner)</w:t>
            </w:r>
          </w:p>
        </w:tc>
      </w:tr>
    </w:tbl>
    <w:p w:rsidR="00081168" w:rsidRPr="00477A02" w:rsidRDefault="00081168" w:rsidP="00081168">
      <w:pPr>
        <w:rPr>
          <w:rFonts w:eastAsiaTheme="minorHAnsi" w:cstheme="minorBidi"/>
          <w:szCs w:val="24"/>
          <w:lang w:val="fr-CA" w:eastAsia="en-US"/>
        </w:rPr>
      </w:pPr>
    </w:p>
    <w:p w:rsidR="00081168" w:rsidRPr="00477A02" w:rsidRDefault="00081168" w:rsidP="00081168">
      <w:pPr>
        <w:rPr>
          <w:rFonts w:eastAsiaTheme="minorHAnsi" w:cstheme="minorBidi"/>
          <w:szCs w:val="24"/>
          <w:lang w:val="fr-CA" w:eastAsia="en-US"/>
        </w:rPr>
      </w:pPr>
    </w:p>
    <w:p w:rsidR="00081168" w:rsidRPr="00477A02" w:rsidRDefault="00081168" w:rsidP="00081168">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081168" w:rsidRDefault="00081168" w:rsidP="00081168">
      <w:pPr>
        <w:rPr>
          <w:smallCaps/>
          <w:lang w:val="fr-CA"/>
        </w:rPr>
      </w:pPr>
      <w:r>
        <w:rPr>
          <w:smallCaps/>
          <w:lang w:val="fr-CA"/>
        </w:rPr>
        <w:br w:type="page"/>
      </w:r>
    </w:p>
    <w:p w:rsidR="004D7D95" w:rsidRPr="004628D6" w:rsidRDefault="004628D6" w:rsidP="00A54A1F">
      <w:pPr>
        <w:spacing w:after="720"/>
        <w:jc w:val="both"/>
        <w:rPr>
          <w:lang w:val="fr-CA"/>
        </w:rPr>
      </w:pPr>
      <w:r w:rsidRPr="004628D6">
        <w:rPr>
          <w:lang w:val="fr-CA"/>
        </w:rPr>
        <w:lastRenderedPageBreak/>
        <w:t xml:space="preserve">Compagnie des chemins de fer nationaux du Canada </w:t>
      </w:r>
      <w:r w:rsidRPr="004628D6">
        <w:rPr>
          <w:i/>
          <w:lang w:val="fr-CA"/>
        </w:rPr>
        <w:t>c.</w:t>
      </w:r>
      <w:r w:rsidRPr="004628D6">
        <w:rPr>
          <w:lang w:val="fr-CA"/>
        </w:rPr>
        <w:t xml:space="preserve"> </w:t>
      </w:r>
      <w:proofErr w:type="spellStart"/>
      <w:r w:rsidRPr="004628D6">
        <w:rPr>
          <w:lang w:val="fr-CA"/>
        </w:rPr>
        <w:t>McKercher</w:t>
      </w:r>
      <w:proofErr w:type="spellEnd"/>
      <w:r w:rsidRPr="004628D6">
        <w:rPr>
          <w:lang w:val="fr-CA"/>
        </w:rPr>
        <w:t xml:space="preserve"> LLP</w:t>
      </w:r>
      <w:r>
        <w:rPr>
          <w:lang w:val="fr-CA"/>
        </w:rPr>
        <w:t>, 2013 CSC 39, [2013] 2 R.C.S. 649</w:t>
      </w:r>
    </w:p>
    <w:p w:rsidR="00527C89" w:rsidRPr="00E66750" w:rsidRDefault="00467747" w:rsidP="00A54A1F">
      <w:pPr>
        <w:pStyle w:val="SCCLsocLastPartyInRole"/>
        <w:rPr>
          <w:lang w:val="fr-CA"/>
        </w:rPr>
      </w:pPr>
      <w:r w:rsidRPr="00E66750">
        <w:rPr>
          <w:lang w:val="fr-CA"/>
        </w:rPr>
        <w:t>Compagnie des chemins de fer nationaux du Canada</w:t>
      </w:r>
      <w:r w:rsidRPr="00E66750">
        <w:rPr>
          <w:rStyle w:val="SCCLsocPartyRole"/>
          <w:lang w:val="fr-CA"/>
        </w:rPr>
        <w:tab/>
        <w:t>Appelante</w:t>
      </w:r>
    </w:p>
    <w:p w:rsidR="00527C89" w:rsidRPr="00E66750" w:rsidRDefault="00467747" w:rsidP="00A54A1F">
      <w:pPr>
        <w:pStyle w:val="SCCLsocVersus"/>
        <w:rPr>
          <w:lang w:val="fr-CA"/>
        </w:rPr>
      </w:pPr>
      <w:proofErr w:type="gramStart"/>
      <w:r w:rsidRPr="00E66750">
        <w:rPr>
          <w:lang w:val="fr-CA"/>
        </w:rPr>
        <w:t>c</w:t>
      </w:r>
      <w:proofErr w:type="gramEnd"/>
      <w:r w:rsidRPr="00E66750">
        <w:rPr>
          <w:lang w:val="fr-CA"/>
        </w:rPr>
        <w:t>.</w:t>
      </w:r>
    </w:p>
    <w:p w:rsidR="00527C89" w:rsidRPr="00E66750" w:rsidRDefault="00467747" w:rsidP="00A54A1F">
      <w:pPr>
        <w:pStyle w:val="SCCLsocParty"/>
        <w:spacing w:after="720"/>
        <w:rPr>
          <w:lang w:val="fr-CA"/>
        </w:rPr>
      </w:pPr>
      <w:proofErr w:type="spellStart"/>
      <w:r w:rsidRPr="00E66750">
        <w:rPr>
          <w:lang w:val="fr-CA"/>
        </w:rPr>
        <w:t>McKercher</w:t>
      </w:r>
      <w:proofErr w:type="spellEnd"/>
      <w:r w:rsidRPr="00E66750">
        <w:rPr>
          <w:lang w:val="fr-CA"/>
        </w:rPr>
        <w:t xml:space="preserve"> LLP</w:t>
      </w:r>
      <w:r w:rsidR="00C10782" w:rsidRPr="00E66750">
        <w:rPr>
          <w:lang w:val="fr-CA"/>
        </w:rPr>
        <w:t xml:space="preserve"> et</w:t>
      </w:r>
      <w:r w:rsidR="00A54A1F" w:rsidRPr="00E66750">
        <w:rPr>
          <w:lang w:val="fr-CA"/>
        </w:rPr>
        <w:t xml:space="preserve"> </w:t>
      </w:r>
      <w:r w:rsidRPr="00E66750">
        <w:rPr>
          <w:lang w:val="fr-CA"/>
        </w:rPr>
        <w:t>Gordon Wallace</w:t>
      </w:r>
      <w:r w:rsidRPr="00E66750">
        <w:rPr>
          <w:rStyle w:val="SCCLsocPartyRole"/>
          <w:lang w:val="fr-CA"/>
        </w:rPr>
        <w:tab/>
        <w:t>Intimés</w:t>
      </w:r>
    </w:p>
    <w:p w:rsidR="00527C89" w:rsidRPr="00E66750" w:rsidRDefault="00467747">
      <w:pPr>
        <w:pStyle w:val="SCCLsocOtherPartySeparator"/>
        <w:rPr>
          <w:lang w:val="fr-CA"/>
        </w:rPr>
      </w:pPr>
      <w:proofErr w:type="gramStart"/>
      <w:r w:rsidRPr="00E66750">
        <w:rPr>
          <w:lang w:val="fr-CA"/>
        </w:rPr>
        <w:t>et</w:t>
      </w:r>
      <w:proofErr w:type="gramEnd"/>
    </w:p>
    <w:p w:rsidR="00527C89" w:rsidRPr="00E66750" w:rsidRDefault="00C10782">
      <w:pPr>
        <w:pStyle w:val="SCCLsocParty"/>
        <w:rPr>
          <w:lang w:val="fr-CA"/>
        </w:rPr>
      </w:pPr>
      <w:r w:rsidRPr="00E66750">
        <w:rPr>
          <w:lang w:val="fr-CA"/>
        </w:rPr>
        <w:t>Association du Barreau c</w:t>
      </w:r>
      <w:r w:rsidR="00467747" w:rsidRPr="00E66750">
        <w:rPr>
          <w:lang w:val="fr-CA"/>
        </w:rPr>
        <w:t>anadien</w:t>
      </w:r>
      <w:r w:rsidRPr="00E66750">
        <w:rPr>
          <w:lang w:val="fr-CA"/>
        </w:rPr>
        <w:t xml:space="preserve"> et</w:t>
      </w:r>
    </w:p>
    <w:p w:rsidR="00527C89" w:rsidRPr="00E66750" w:rsidRDefault="00C10782">
      <w:pPr>
        <w:pStyle w:val="SCCLsocLastPartyInRole"/>
        <w:rPr>
          <w:lang w:val="fr-CA"/>
        </w:rPr>
      </w:pPr>
      <w:r w:rsidRPr="00E66750">
        <w:rPr>
          <w:lang w:val="fr-CA"/>
        </w:rPr>
        <w:t>Fédération des ordres professionnels de juristes du Canada</w:t>
      </w:r>
      <w:r w:rsidR="00467747" w:rsidRPr="00E66750">
        <w:rPr>
          <w:rStyle w:val="SCCLsocPartyRole"/>
          <w:lang w:val="fr-CA"/>
        </w:rPr>
        <w:tab/>
        <w:t>Intervenantes</w:t>
      </w:r>
    </w:p>
    <w:p w:rsidR="004D7D95" w:rsidRPr="00E66750" w:rsidRDefault="004D7D95" w:rsidP="00F301E8">
      <w:pPr>
        <w:spacing w:after="720"/>
        <w:jc w:val="both"/>
        <w:rPr>
          <w:b/>
          <w:lang w:val="fr-CA"/>
        </w:rPr>
      </w:pPr>
      <w:r w:rsidRPr="00E66750">
        <w:rPr>
          <w:b/>
          <w:lang w:val="fr-CA"/>
        </w:rPr>
        <w:t>Répertorié</w:t>
      </w:r>
      <w:r w:rsidR="00174CA9" w:rsidRPr="00E66750">
        <w:rPr>
          <w:b/>
          <w:lang w:val="fr-CA"/>
        </w:rPr>
        <w:t> :</w:t>
      </w:r>
      <w:r w:rsidRPr="00E66750">
        <w:rPr>
          <w:b/>
          <w:lang w:val="fr-CA"/>
        </w:rPr>
        <w:t> Compagnie des chemins de fer nati</w:t>
      </w:r>
      <w:r w:rsidR="00C10782" w:rsidRPr="00E66750">
        <w:rPr>
          <w:b/>
          <w:lang w:val="fr-CA"/>
        </w:rPr>
        <w:t>onaux du Canada</w:t>
      </w:r>
      <w:r w:rsidRPr="00E66750">
        <w:rPr>
          <w:b/>
          <w:lang w:val="fr-CA"/>
        </w:rPr>
        <w:t xml:space="preserve"> </w:t>
      </w:r>
      <w:r w:rsidRPr="00E66750">
        <w:rPr>
          <w:b/>
          <w:i/>
          <w:lang w:val="fr-CA"/>
        </w:rPr>
        <w:t>c.</w:t>
      </w:r>
      <w:r w:rsidRPr="00E66750">
        <w:rPr>
          <w:b/>
          <w:lang w:val="fr-CA"/>
        </w:rPr>
        <w:t xml:space="preserve"> </w:t>
      </w:r>
      <w:proofErr w:type="spellStart"/>
      <w:r w:rsidRPr="00E66750">
        <w:rPr>
          <w:b/>
          <w:lang w:val="fr-CA"/>
        </w:rPr>
        <w:t>McKercher</w:t>
      </w:r>
      <w:proofErr w:type="spellEnd"/>
      <w:r w:rsidRPr="00E66750">
        <w:rPr>
          <w:b/>
          <w:lang w:val="fr-CA"/>
        </w:rPr>
        <w:t xml:space="preserve"> LLP</w:t>
      </w:r>
    </w:p>
    <w:p w:rsidR="004D7D95" w:rsidRPr="00E66750" w:rsidRDefault="00F62639" w:rsidP="00F301E8">
      <w:pPr>
        <w:pStyle w:val="SCCSystemYear"/>
        <w:spacing w:after="720"/>
        <w:jc w:val="both"/>
        <w:rPr>
          <w:lang w:val="fr-CA"/>
        </w:rPr>
      </w:pPr>
      <w:r w:rsidRPr="00E66750">
        <w:rPr>
          <w:lang w:val="fr-CA"/>
        </w:rPr>
        <w:t>2013</w:t>
      </w:r>
      <w:r w:rsidR="004D7D95" w:rsidRPr="00E66750">
        <w:rPr>
          <w:lang w:val="fr-CA"/>
        </w:rPr>
        <w:t xml:space="preserve"> CSC </w:t>
      </w:r>
      <w:r w:rsidR="00BD437A" w:rsidRPr="00E66750">
        <w:rPr>
          <w:lang w:val="fr-CA"/>
        </w:rPr>
        <w:t>39</w:t>
      </w:r>
    </w:p>
    <w:p w:rsidR="004D7D95" w:rsidRPr="00E66750" w:rsidRDefault="004D7D95" w:rsidP="00F301E8">
      <w:pPr>
        <w:spacing w:after="720"/>
        <w:jc w:val="both"/>
        <w:rPr>
          <w:lang w:val="fr-CA"/>
        </w:rPr>
      </w:pPr>
      <w:r w:rsidRPr="00E66750">
        <w:rPr>
          <w:lang w:val="fr-CA"/>
        </w:rPr>
        <w:t>N</w:t>
      </w:r>
      <w:r w:rsidRPr="00E66750">
        <w:rPr>
          <w:vertAlign w:val="superscript"/>
          <w:lang w:val="fr-CA"/>
        </w:rPr>
        <w:t>o</w:t>
      </w:r>
      <w:r w:rsidRPr="00E66750">
        <w:rPr>
          <w:lang w:val="fr-CA"/>
        </w:rPr>
        <w:t xml:space="preserve"> du greffe</w:t>
      </w:r>
      <w:r w:rsidR="00174CA9" w:rsidRPr="00E66750">
        <w:rPr>
          <w:lang w:val="fr-CA"/>
        </w:rPr>
        <w:t> :</w:t>
      </w:r>
      <w:r w:rsidRPr="00E66750">
        <w:rPr>
          <w:lang w:val="fr-CA"/>
        </w:rPr>
        <w:t> 34545.</w:t>
      </w:r>
    </w:p>
    <w:p w:rsidR="004D7D95" w:rsidRPr="00E66750" w:rsidRDefault="00F62639" w:rsidP="00F301E8">
      <w:pPr>
        <w:spacing w:after="720"/>
        <w:jc w:val="both"/>
        <w:rPr>
          <w:lang w:val="fr-CA"/>
        </w:rPr>
      </w:pPr>
      <w:r w:rsidRPr="00E66750">
        <w:rPr>
          <w:lang w:val="fr-CA"/>
        </w:rPr>
        <w:t>2013</w:t>
      </w:r>
      <w:r w:rsidR="00174CA9" w:rsidRPr="00E66750">
        <w:rPr>
          <w:lang w:val="fr-CA"/>
        </w:rPr>
        <w:t> :</w:t>
      </w:r>
      <w:r w:rsidR="00C10782" w:rsidRPr="00E66750">
        <w:rPr>
          <w:lang w:val="fr-CA"/>
        </w:rPr>
        <w:t> </w:t>
      </w:r>
      <w:r w:rsidRPr="00E66750">
        <w:rPr>
          <w:lang w:val="fr-CA"/>
        </w:rPr>
        <w:t>24</w:t>
      </w:r>
      <w:r w:rsidR="00F301E8" w:rsidRPr="00E66750">
        <w:rPr>
          <w:lang w:val="fr-CA"/>
        </w:rPr>
        <w:t> </w:t>
      </w:r>
      <w:r w:rsidRPr="00E66750">
        <w:rPr>
          <w:lang w:val="fr-CA"/>
        </w:rPr>
        <w:t>janvier</w:t>
      </w:r>
      <w:r w:rsidR="004D7D95" w:rsidRPr="00E66750">
        <w:rPr>
          <w:lang w:val="fr-CA"/>
        </w:rPr>
        <w:t xml:space="preserve">; </w:t>
      </w:r>
      <w:r w:rsidR="00C10782" w:rsidRPr="00E66750">
        <w:rPr>
          <w:lang w:val="fr-CA"/>
        </w:rPr>
        <w:t>2013</w:t>
      </w:r>
      <w:r w:rsidR="00174CA9" w:rsidRPr="00E66750">
        <w:rPr>
          <w:lang w:val="fr-CA"/>
        </w:rPr>
        <w:t> :</w:t>
      </w:r>
      <w:r w:rsidR="00C10782" w:rsidRPr="00E66750">
        <w:rPr>
          <w:lang w:val="fr-CA"/>
        </w:rPr>
        <w:t> </w:t>
      </w:r>
      <w:r w:rsidR="00F301E8" w:rsidRPr="00E66750">
        <w:rPr>
          <w:lang w:val="fr-CA"/>
        </w:rPr>
        <w:t>5 </w:t>
      </w:r>
      <w:r w:rsidR="00056334" w:rsidRPr="00E66750">
        <w:rPr>
          <w:lang w:val="fr-CA"/>
        </w:rPr>
        <w:t>juillet</w:t>
      </w:r>
      <w:r w:rsidR="004D7D95" w:rsidRPr="00E66750">
        <w:rPr>
          <w:lang w:val="fr-CA"/>
        </w:rPr>
        <w:t>.</w:t>
      </w:r>
    </w:p>
    <w:p w:rsidR="004D7D95" w:rsidRPr="00E66750" w:rsidRDefault="004D7D95" w:rsidP="00F301E8">
      <w:pPr>
        <w:spacing w:after="720"/>
        <w:jc w:val="both"/>
        <w:rPr>
          <w:lang w:val="fr-CA"/>
        </w:rPr>
      </w:pPr>
      <w:r w:rsidRPr="00E66750">
        <w:rPr>
          <w:lang w:val="fr-CA"/>
        </w:rPr>
        <w:t>Présents</w:t>
      </w:r>
      <w:r w:rsidR="00174CA9" w:rsidRPr="00E66750">
        <w:rPr>
          <w:lang w:val="fr-CA"/>
        </w:rPr>
        <w:t> :</w:t>
      </w:r>
      <w:r w:rsidRPr="00E66750">
        <w:rPr>
          <w:lang w:val="fr-CA"/>
        </w:rPr>
        <w:t xml:space="preserve"> La juge en chef McLachlin et les juges </w:t>
      </w:r>
      <w:proofErr w:type="spellStart"/>
      <w:r w:rsidRPr="00E66750">
        <w:rPr>
          <w:lang w:val="fr-CA"/>
        </w:rPr>
        <w:t>LeBel</w:t>
      </w:r>
      <w:proofErr w:type="spellEnd"/>
      <w:r w:rsidRPr="00E66750">
        <w:rPr>
          <w:lang w:val="fr-CA"/>
        </w:rPr>
        <w:t xml:space="preserve">, Fish, Abella, </w:t>
      </w:r>
      <w:proofErr w:type="spellStart"/>
      <w:r w:rsidRPr="00E66750">
        <w:rPr>
          <w:lang w:val="fr-CA"/>
        </w:rPr>
        <w:t>Rothstein</w:t>
      </w:r>
      <w:proofErr w:type="spellEnd"/>
      <w:r w:rsidRPr="00E66750">
        <w:rPr>
          <w:lang w:val="fr-CA"/>
        </w:rPr>
        <w:t xml:space="preserve">, Cromwell, </w:t>
      </w:r>
      <w:proofErr w:type="spellStart"/>
      <w:r w:rsidRPr="00E66750">
        <w:rPr>
          <w:lang w:val="fr-CA"/>
        </w:rPr>
        <w:t>Moldaver</w:t>
      </w:r>
      <w:proofErr w:type="spellEnd"/>
      <w:r w:rsidRPr="00E66750">
        <w:rPr>
          <w:lang w:val="fr-CA"/>
        </w:rPr>
        <w:t xml:space="preserve">, </w:t>
      </w:r>
      <w:proofErr w:type="spellStart"/>
      <w:r w:rsidRPr="00E66750">
        <w:rPr>
          <w:lang w:val="fr-CA"/>
        </w:rPr>
        <w:t>Karakatsanis</w:t>
      </w:r>
      <w:proofErr w:type="spellEnd"/>
      <w:r w:rsidRPr="00E66750">
        <w:rPr>
          <w:lang w:val="fr-CA"/>
        </w:rPr>
        <w:t xml:space="preserve"> et Wagner.</w:t>
      </w:r>
    </w:p>
    <w:p w:rsidR="004D7D95" w:rsidRPr="00E66750" w:rsidRDefault="004D7D95" w:rsidP="00F301E8">
      <w:pPr>
        <w:spacing w:after="720"/>
        <w:jc w:val="both"/>
        <w:rPr>
          <w:smallCaps/>
          <w:lang w:val="fr-CA"/>
        </w:rPr>
      </w:pPr>
      <w:r w:rsidRPr="00E66750">
        <w:rPr>
          <w:smallCaps/>
          <w:lang w:val="fr-CA"/>
        </w:rPr>
        <w:t>en appel de la cour d</w:t>
      </w:r>
      <w:r w:rsidR="00C10782" w:rsidRPr="00E66750">
        <w:rPr>
          <w:smallCaps/>
          <w:lang w:val="fr-CA"/>
        </w:rPr>
        <w:t>’</w:t>
      </w:r>
      <w:r w:rsidRPr="00E66750">
        <w:rPr>
          <w:smallCaps/>
          <w:lang w:val="fr-CA"/>
        </w:rPr>
        <w:t xml:space="preserve">appel de la </w:t>
      </w:r>
      <w:proofErr w:type="spellStart"/>
      <w:r w:rsidRPr="00E66750">
        <w:rPr>
          <w:smallCaps/>
          <w:lang w:val="fr-CA"/>
        </w:rPr>
        <w:t>saskatchewan</w:t>
      </w:r>
      <w:proofErr w:type="spellEnd"/>
    </w:p>
    <w:p w:rsidR="004D7D95" w:rsidRPr="00E66750" w:rsidRDefault="004D7D95" w:rsidP="00F301E8">
      <w:pPr>
        <w:pStyle w:val="SCCNormalDoubleSpacing"/>
        <w:spacing w:before="480" w:after="480"/>
        <w:rPr>
          <w:i/>
          <w:lang w:val="fr-CA"/>
        </w:rPr>
      </w:pPr>
      <w:r w:rsidRPr="00E66750">
        <w:rPr>
          <w:lang w:val="fr-CA"/>
        </w:rPr>
        <w:lastRenderedPageBreak/>
        <w:tab/>
      </w:r>
      <w:r w:rsidR="0047262D" w:rsidRPr="00E66750">
        <w:rPr>
          <w:i/>
          <w:lang w:val="fr-CA"/>
        </w:rPr>
        <w:t xml:space="preserve">Droit des professions </w:t>
      </w:r>
      <w:r w:rsidR="009034F5" w:rsidRPr="00E66750">
        <w:rPr>
          <w:i/>
          <w:lang w:val="fr-CA"/>
        </w:rPr>
        <w:t>—</w:t>
      </w:r>
      <w:r w:rsidR="0047262D" w:rsidRPr="00E66750">
        <w:rPr>
          <w:i/>
          <w:lang w:val="fr-CA"/>
        </w:rPr>
        <w:t xml:space="preserve"> Avocats et procureurs </w:t>
      </w:r>
      <w:r w:rsidR="009034F5" w:rsidRPr="00E66750">
        <w:rPr>
          <w:i/>
          <w:lang w:val="fr-CA"/>
        </w:rPr>
        <w:t xml:space="preserve">— </w:t>
      </w:r>
      <w:r w:rsidR="0047262D" w:rsidRPr="00E66750">
        <w:rPr>
          <w:i/>
          <w:lang w:val="fr-CA"/>
        </w:rPr>
        <w:t xml:space="preserve">Devoir de loyauté </w:t>
      </w:r>
      <w:r w:rsidR="009034F5" w:rsidRPr="00E66750">
        <w:rPr>
          <w:i/>
          <w:lang w:val="fr-CA"/>
        </w:rPr>
        <w:t xml:space="preserve">— </w:t>
      </w:r>
      <w:r w:rsidR="0047262D" w:rsidRPr="00E66750">
        <w:rPr>
          <w:i/>
          <w:lang w:val="fr-CA"/>
        </w:rPr>
        <w:t xml:space="preserve">Conflit d’intérêts </w:t>
      </w:r>
      <w:r w:rsidR="009034F5" w:rsidRPr="00E66750">
        <w:rPr>
          <w:i/>
          <w:lang w:val="fr-CA"/>
        </w:rPr>
        <w:t xml:space="preserve">— </w:t>
      </w:r>
      <w:r w:rsidR="0047262D" w:rsidRPr="00E66750">
        <w:rPr>
          <w:i/>
          <w:lang w:val="fr-CA"/>
        </w:rPr>
        <w:t xml:space="preserve">Abus de confiance </w:t>
      </w:r>
      <w:r w:rsidR="009034F5" w:rsidRPr="00E66750">
        <w:rPr>
          <w:i/>
          <w:lang w:val="fr-CA"/>
        </w:rPr>
        <w:t xml:space="preserve">— </w:t>
      </w:r>
      <w:r w:rsidR="0047262D" w:rsidRPr="00E66750">
        <w:rPr>
          <w:i/>
          <w:lang w:val="fr-CA"/>
        </w:rPr>
        <w:t xml:space="preserve">Un cabinet d’avocats </w:t>
      </w:r>
      <w:proofErr w:type="spellStart"/>
      <w:r w:rsidR="0047262D" w:rsidRPr="00E66750">
        <w:rPr>
          <w:i/>
          <w:lang w:val="fr-CA"/>
        </w:rPr>
        <w:t>peut</w:t>
      </w:r>
      <w:r w:rsidR="00174CA9" w:rsidRPr="00E66750">
        <w:rPr>
          <w:i/>
          <w:lang w:val="fr-CA"/>
        </w:rPr>
        <w:noBreakHyphen/>
      </w:r>
      <w:r w:rsidR="0047262D" w:rsidRPr="00E66750">
        <w:rPr>
          <w:i/>
          <w:lang w:val="fr-CA"/>
        </w:rPr>
        <w:t>il</w:t>
      </w:r>
      <w:proofErr w:type="spellEnd"/>
      <w:r w:rsidR="0047262D" w:rsidRPr="00E66750">
        <w:rPr>
          <w:i/>
          <w:lang w:val="fr-CA"/>
        </w:rPr>
        <w:t xml:space="preserve"> accepter le mandat d’agir contre un client actuel dans une affaire </w:t>
      </w:r>
      <w:r w:rsidR="00827AEE" w:rsidRPr="00E66750">
        <w:rPr>
          <w:i/>
          <w:lang w:val="fr-CA"/>
        </w:rPr>
        <w:t>sans lien</w:t>
      </w:r>
      <w:r w:rsidR="0047262D" w:rsidRPr="00E66750">
        <w:rPr>
          <w:i/>
          <w:lang w:val="fr-CA"/>
        </w:rPr>
        <w:t xml:space="preserve"> avec les dossiers en cours d</w:t>
      </w:r>
      <w:r w:rsidR="00633997" w:rsidRPr="00E66750">
        <w:rPr>
          <w:i/>
          <w:lang w:val="fr-CA"/>
        </w:rPr>
        <w:t>e ce</w:t>
      </w:r>
      <w:r w:rsidR="0047262D" w:rsidRPr="00E66750">
        <w:rPr>
          <w:i/>
          <w:lang w:val="fr-CA"/>
        </w:rPr>
        <w:t xml:space="preserve"> client? </w:t>
      </w:r>
      <w:r w:rsidR="009034F5" w:rsidRPr="00E66750">
        <w:rPr>
          <w:i/>
          <w:lang w:val="fr-CA"/>
        </w:rPr>
        <w:t xml:space="preserve">— </w:t>
      </w:r>
      <w:r w:rsidR="0047262D" w:rsidRPr="00E66750">
        <w:rPr>
          <w:i/>
          <w:lang w:val="fr-CA"/>
        </w:rPr>
        <w:t xml:space="preserve">Un cabinet d’avocats </w:t>
      </w:r>
      <w:proofErr w:type="spellStart"/>
      <w:r w:rsidR="0047262D" w:rsidRPr="00E66750">
        <w:rPr>
          <w:i/>
          <w:lang w:val="fr-CA"/>
        </w:rPr>
        <w:t>peut</w:t>
      </w:r>
      <w:r w:rsidR="00174CA9" w:rsidRPr="00E66750">
        <w:rPr>
          <w:i/>
          <w:lang w:val="fr-CA"/>
        </w:rPr>
        <w:noBreakHyphen/>
      </w:r>
      <w:r w:rsidR="0047262D" w:rsidRPr="00E66750">
        <w:rPr>
          <w:i/>
          <w:lang w:val="fr-CA"/>
        </w:rPr>
        <w:t>il</w:t>
      </w:r>
      <w:proofErr w:type="spellEnd"/>
      <w:r w:rsidR="0047262D" w:rsidRPr="00E66750">
        <w:rPr>
          <w:i/>
          <w:lang w:val="fr-CA"/>
        </w:rPr>
        <w:t xml:space="preserve"> poursuivre un client actuel pour le compte d’un autre client, et</w:t>
      </w:r>
      <w:r w:rsidR="002C3F45" w:rsidRPr="00E66750">
        <w:rPr>
          <w:i/>
          <w:lang w:val="fr-CA"/>
        </w:rPr>
        <w:t>,</w:t>
      </w:r>
      <w:r w:rsidR="0047262D" w:rsidRPr="00E66750">
        <w:rPr>
          <w:i/>
          <w:lang w:val="fr-CA"/>
        </w:rPr>
        <w:t xml:space="preserve"> dans la négative, que</w:t>
      </w:r>
      <w:r w:rsidR="006E270F" w:rsidRPr="00E66750">
        <w:rPr>
          <w:i/>
          <w:lang w:val="fr-CA"/>
        </w:rPr>
        <w:t>l</w:t>
      </w:r>
      <w:r w:rsidR="0047262D" w:rsidRPr="00E66750">
        <w:rPr>
          <w:i/>
          <w:lang w:val="fr-CA"/>
        </w:rPr>
        <w:t xml:space="preserve">s </w:t>
      </w:r>
      <w:r w:rsidR="006E270F" w:rsidRPr="00E66750">
        <w:rPr>
          <w:i/>
          <w:lang w:val="fr-CA"/>
        </w:rPr>
        <w:t>r</w:t>
      </w:r>
      <w:r w:rsidR="0047262D" w:rsidRPr="00E66750">
        <w:rPr>
          <w:i/>
          <w:lang w:val="fr-CA"/>
        </w:rPr>
        <w:t>e</w:t>
      </w:r>
      <w:r w:rsidR="006E270F" w:rsidRPr="00E66750">
        <w:rPr>
          <w:i/>
          <w:lang w:val="fr-CA"/>
        </w:rPr>
        <w:t>co</w:t>
      </w:r>
      <w:r w:rsidR="0047262D" w:rsidRPr="00E66750">
        <w:rPr>
          <w:i/>
          <w:lang w:val="fr-CA"/>
        </w:rPr>
        <w:t>u</w:t>
      </w:r>
      <w:r w:rsidR="006E270F" w:rsidRPr="00E66750">
        <w:rPr>
          <w:i/>
          <w:lang w:val="fr-CA"/>
        </w:rPr>
        <w:t>r</w:t>
      </w:r>
      <w:r w:rsidR="0047262D" w:rsidRPr="00E66750">
        <w:rPr>
          <w:i/>
          <w:lang w:val="fr-CA"/>
        </w:rPr>
        <w:t xml:space="preserve">s s’offrent </w:t>
      </w:r>
      <w:r w:rsidR="008C726A" w:rsidRPr="00E66750">
        <w:rPr>
          <w:i/>
          <w:lang w:val="fr-CA"/>
        </w:rPr>
        <w:t>au</w:t>
      </w:r>
      <w:r w:rsidR="0047262D" w:rsidRPr="00E66750">
        <w:rPr>
          <w:i/>
          <w:lang w:val="fr-CA"/>
        </w:rPr>
        <w:t xml:space="preserve"> client</w:t>
      </w:r>
      <w:r w:rsidR="008C726A" w:rsidRPr="00E66750">
        <w:rPr>
          <w:i/>
          <w:lang w:val="fr-CA"/>
        </w:rPr>
        <w:t xml:space="preserve"> actuel</w:t>
      </w:r>
      <w:r w:rsidR="0047262D" w:rsidRPr="00E66750">
        <w:rPr>
          <w:i/>
          <w:lang w:val="fr-CA"/>
        </w:rPr>
        <w:t>?</w:t>
      </w:r>
    </w:p>
    <w:p w:rsidR="004D7D95" w:rsidRPr="00E66750" w:rsidRDefault="0047262D" w:rsidP="00F301E8">
      <w:pPr>
        <w:pStyle w:val="SCCNormalDoubleSpacing"/>
        <w:spacing w:before="480" w:after="480"/>
        <w:rPr>
          <w:lang w:val="fr-CA"/>
        </w:rPr>
      </w:pPr>
      <w:r w:rsidRPr="00E66750">
        <w:rPr>
          <w:lang w:val="fr-CA"/>
        </w:rPr>
        <w:tab/>
      </w:r>
      <w:r w:rsidR="002C3F45" w:rsidRPr="00E66750">
        <w:rPr>
          <w:lang w:val="fr-CA"/>
        </w:rPr>
        <w:t xml:space="preserve">Le cabinet d’avocats </w:t>
      </w:r>
      <w:proofErr w:type="spellStart"/>
      <w:r w:rsidRPr="00E66750">
        <w:rPr>
          <w:lang w:val="fr-CA" w:bidi="en-US"/>
        </w:rPr>
        <w:t>McKercher</w:t>
      </w:r>
      <w:proofErr w:type="spellEnd"/>
      <w:r w:rsidRPr="00E66750">
        <w:rPr>
          <w:lang w:val="fr-CA" w:bidi="en-US"/>
        </w:rPr>
        <w:t xml:space="preserve"> LLP </w:t>
      </w:r>
      <w:r w:rsidR="00A44B9B" w:rsidRPr="00E66750">
        <w:rPr>
          <w:lang w:val="fr-CA"/>
        </w:rPr>
        <w:t xml:space="preserve">représentait le CN dans quelques dossiers lorsqu’il a accepté, sans que le CN le sache ou y consente, le mandat de représenter le demandeur dans un recours collectif de 1,75 milliard de dollars contre le CN.  </w:t>
      </w:r>
      <w:r w:rsidR="00197D00" w:rsidRPr="00E66750">
        <w:rPr>
          <w:lang w:val="fr-CA"/>
        </w:rPr>
        <w:t>Ce n’est que lorsque la déclaration lui a été signifiée que l</w:t>
      </w:r>
      <w:r w:rsidR="00393BA9" w:rsidRPr="00E66750">
        <w:rPr>
          <w:lang w:val="fr-CA"/>
        </w:rPr>
        <w:t xml:space="preserve">e CN a appris que </w:t>
      </w:r>
      <w:proofErr w:type="spellStart"/>
      <w:r w:rsidR="00393BA9" w:rsidRPr="00E66750">
        <w:rPr>
          <w:lang w:val="fr-CA"/>
        </w:rPr>
        <w:t>McKercher</w:t>
      </w:r>
      <w:proofErr w:type="spellEnd"/>
      <w:r w:rsidR="00393BA9" w:rsidRPr="00E66750">
        <w:rPr>
          <w:lang w:val="fr-CA"/>
        </w:rPr>
        <w:t xml:space="preserve"> occupait contre lui dans le recours collectif.  </w:t>
      </w:r>
      <w:proofErr w:type="spellStart"/>
      <w:r w:rsidR="00393BA9" w:rsidRPr="00E66750">
        <w:rPr>
          <w:lang w:val="fr-CA"/>
        </w:rPr>
        <w:t>McKercher</w:t>
      </w:r>
      <w:proofErr w:type="spellEnd"/>
      <w:r w:rsidR="00393BA9" w:rsidRPr="00E66750">
        <w:rPr>
          <w:lang w:val="fr-CA"/>
        </w:rPr>
        <w:t xml:space="preserve"> s’est hâté d</w:t>
      </w:r>
      <w:r w:rsidR="006E270F" w:rsidRPr="00E66750">
        <w:rPr>
          <w:lang w:val="fr-CA"/>
        </w:rPr>
        <w:t>’abandonn</w:t>
      </w:r>
      <w:r w:rsidR="00393BA9" w:rsidRPr="00E66750">
        <w:rPr>
          <w:lang w:val="fr-CA"/>
        </w:rPr>
        <w:t>e</w:t>
      </w:r>
      <w:r w:rsidR="006E270F" w:rsidRPr="00E66750">
        <w:rPr>
          <w:lang w:val="fr-CA"/>
        </w:rPr>
        <w:t>r</w:t>
      </w:r>
      <w:r w:rsidR="00393BA9" w:rsidRPr="00E66750">
        <w:rPr>
          <w:lang w:val="fr-CA"/>
        </w:rPr>
        <w:t xml:space="preserve"> </w:t>
      </w:r>
      <w:r w:rsidR="006E270F" w:rsidRPr="00E66750">
        <w:rPr>
          <w:lang w:val="fr-CA"/>
        </w:rPr>
        <w:t xml:space="preserve">tous </w:t>
      </w:r>
      <w:r w:rsidR="00393BA9" w:rsidRPr="00E66750">
        <w:rPr>
          <w:lang w:val="fr-CA"/>
        </w:rPr>
        <w:t xml:space="preserve">les mandats du CN, sauf un </w:t>
      </w:r>
      <w:r w:rsidR="006E270F" w:rsidRPr="00E66750">
        <w:rPr>
          <w:lang w:val="fr-CA"/>
        </w:rPr>
        <w:t>au</w:t>
      </w:r>
      <w:r w:rsidR="00393BA9" w:rsidRPr="00E66750">
        <w:rPr>
          <w:lang w:val="fr-CA"/>
        </w:rPr>
        <w:t>que</w:t>
      </w:r>
      <w:r w:rsidR="006E270F" w:rsidRPr="00E66750">
        <w:rPr>
          <w:lang w:val="fr-CA"/>
        </w:rPr>
        <w:t>l</w:t>
      </w:r>
      <w:r w:rsidR="00393BA9" w:rsidRPr="00E66750">
        <w:rPr>
          <w:lang w:val="fr-CA"/>
        </w:rPr>
        <w:t xml:space="preserve"> le CN a </w:t>
      </w:r>
      <w:r w:rsidR="006E270F" w:rsidRPr="00E66750">
        <w:rPr>
          <w:lang w:val="fr-CA"/>
        </w:rPr>
        <w:t xml:space="preserve">mis fin </w:t>
      </w:r>
      <w:proofErr w:type="spellStart"/>
      <w:r w:rsidR="006E270F" w:rsidRPr="00E66750">
        <w:rPr>
          <w:lang w:val="fr-CA"/>
        </w:rPr>
        <w:t>lui</w:t>
      </w:r>
      <w:r w:rsidR="00174CA9" w:rsidRPr="00E66750">
        <w:rPr>
          <w:lang w:val="fr-CA"/>
        </w:rPr>
        <w:noBreakHyphen/>
      </w:r>
      <w:r w:rsidR="006E270F" w:rsidRPr="00E66750">
        <w:rPr>
          <w:lang w:val="fr-CA"/>
        </w:rPr>
        <w:t>même</w:t>
      </w:r>
      <w:proofErr w:type="spellEnd"/>
      <w:r w:rsidR="00393BA9" w:rsidRPr="00E66750">
        <w:rPr>
          <w:lang w:val="fr-CA"/>
        </w:rPr>
        <w:t xml:space="preserve">.  Alléguant l’existence d’un conflit d’intérêts, le CN a demandé </w:t>
      </w:r>
      <w:r w:rsidR="00B55D28" w:rsidRPr="00E66750">
        <w:rPr>
          <w:lang w:val="fr-CA"/>
        </w:rPr>
        <w:t xml:space="preserve">que </w:t>
      </w:r>
      <w:proofErr w:type="spellStart"/>
      <w:r w:rsidR="00393BA9" w:rsidRPr="00E66750">
        <w:rPr>
          <w:lang w:val="fr-CA"/>
        </w:rPr>
        <w:t>McKercher</w:t>
      </w:r>
      <w:proofErr w:type="spellEnd"/>
      <w:r w:rsidR="00393BA9" w:rsidRPr="00E66750">
        <w:rPr>
          <w:lang w:val="fr-CA"/>
        </w:rPr>
        <w:t xml:space="preserve"> </w:t>
      </w:r>
      <w:r w:rsidR="00B55D28" w:rsidRPr="00E66750">
        <w:rPr>
          <w:lang w:val="fr-CA"/>
        </w:rPr>
        <w:t xml:space="preserve">soit écarté </w:t>
      </w:r>
      <w:r w:rsidR="00393BA9" w:rsidRPr="00E66750">
        <w:rPr>
          <w:lang w:val="fr-CA"/>
        </w:rPr>
        <w:t>en tant que procureur au dossier dans le recours collectif</w:t>
      </w:r>
      <w:r w:rsidR="00B55D28" w:rsidRPr="00E66750">
        <w:rPr>
          <w:lang w:val="fr-CA"/>
        </w:rPr>
        <w:t xml:space="preserve">.  Le juge </w:t>
      </w:r>
      <w:r w:rsidR="002954AE" w:rsidRPr="00E66750">
        <w:rPr>
          <w:lang w:val="fr-CA"/>
        </w:rPr>
        <w:t>saisi de la requête</w:t>
      </w:r>
      <w:r w:rsidR="00B55D28" w:rsidRPr="00E66750">
        <w:rPr>
          <w:lang w:val="fr-CA"/>
        </w:rPr>
        <w:t xml:space="preserve"> a accueilli la demande et déclaré </w:t>
      </w:r>
      <w:proofErr w:type="spellStart"/>
      <w:r w:rsidR="00B55D28" w:rsidRPr="00E66750">
        <w:rPr>
          <w:lang w:val="fr-CA"/>
        </w:rPr>
        <w:t>McKercher</w:t>
      </w:r>
      <w:proofErr w:type="spellEnd"/>
      <w:r w:rsidR="00B55D28" w:rsidRPr="00E66750">
        <w:rPr>
          <w:lang w:val="fr-CA"/>
        </w:rPr>
        <w:t xml:space="preserve"> inhabile à occuper dans l’instance.  La Cour d’appel a infirmé l’ordonnance du </w:t>
      </w:r>
      <w:r w:rsidR="002954AE" w:rsidRPr="00E66750">
        <w:rPr>
          <w:lang w:val="fr-CA"/>
        </w:rPr>
        <w:t xml:space="preserve">premier </w:t>
      </w:r>
      <w:r w:rsidR="00B55D28" w:rsidRPr="00E66750">
        <w:rPr>
          <w:lang w:val="fr-CA"/>
        </w:rPr>
        <w:t>juge.</w:t>
      </w:r>
    </w:p>
    <w:p w:rsidR="004D7D95" w:rsidRPr="00E66750" w:rsidRDefault="00B55D28" w:rsidP="00F301E8">
      <w:pPr>
        <w:pStyle w:val="SCCNormalDoubleSpacing"/>
        <w:spacing w:before="480" w:after="480"/>
        <w:rPr>
          <w:lang w:val="fr-CA"/>
        </w:rPr>
      </w:pPr>
      <w:r w:rsidRPr="00E66750">
        <w:rPr>
          <w:lang w:val="fr-CA"/>
        </w:rPr>
        <w:tab/>
      </w:r>
      <w:r w:rsidR="004D7D95" w:rsidRPr="00E66750">
        <w:rPr>
          <w:i/>
          <w:lang w:val="fr-CA"/>
        </w:rPr>
        <w:t>Arrêt</w:t>
      </w:r>
      <w:r w:rsidR="00174CA9" w:rsidRPr="00E66750">
        <w:rPr>
          <w:lang w:val="fr-CA"/>
        </w:rPr>
        <w:t> :</w:t>
      </w:r>
      <w:r w:rsidR="004D7D95" w:rsidRPr="00E66750">
        <w:rPr>
          <w:lang w:val="fr-CA"/>
        </w:rPr>
        <w:t xml:space="preserve"> Le pourvoi est</w:t>
      </w:r>
      <w:r w:rsidRPr="00E66750">
        <w:rPr>
          <w:lang w:val="fr-CA"/>
        </w:rPr>
        <w:t xml:space="preserve"> accueilli </w:t>
      </w:r>
      <w:r w:rsidRPr="00E66750">
        <w:rPr>
          <w:lang w:val="fr-CA" w:bidi="en-US"/>
        </w:rPr>
        <w:t>et l’affaire est renvoyée à la Cour du Banc de la Reine pour qu’elle</w:t>
      </w:r>
      <w:r w:rsidR="005D5BE7" w:rsidRPr="00E66750">
        <w:rPr>
          <w:lang w:val="fr-CA" w:bidi="en-US"/>
        </w:rPr>
        <w:t xml:space="preserve"> détermine à</w:t>
      </w:r>
      <w:r w:rsidRPr="00E66750">
        <w:rPr>
          <w:lang w:val="fr-CA" w:bidi="en-US"/>
        </w:rPr>
        <w:t xml:space="preserve"> nouveau la réparation.</w:t>
      </w:r>
    </w:p>
    <w:p w:rsidR="004D7D95" w:rsidRPr="00E66750" w:rsidRDefault="004D7D95" w:rsidP="00F301E8">
      <w:pPr>
        <w:pStyle w:val="SCCNormalDoubleSpacing"/>
        <w:spacing w:before="480" w:after="480"/>
        <w:rPr>
          <w:lang w:val="fr-CA"/>
        </w:rPr>
      </w:pPr>
      <w:r w:rsidRPr="00E66750">
        <w:rPr>
          <w:lang w:val="fr-CA"/>
        </w:rPr>
        <w:tab/>
      </w:r>
      <w:r w:rsidR="00BA7CBD" w:rsidRPr="00E66750">
        <w:rPr>
          <w:lang w:val="fr-CA"/>
        </w:rPr>
        <w:t>Le devoir de loyauté de l’avocat comporte trois aspects</w:t>
      </w:r>
      <w:r w:rsidR="00A9396C" w:rsidRPr="00E66750">
        <w:rPr>
          <w:lang w:val="fr-CA"/>
        </w:rPr>
        <w:t xml:space="preserve"> importants</w:t>
      </w:r>
      <w:r w:rsidR="00174CA9" w:rsidRPr="00E66750">
        <w:rPr>
          <w:lang w:val="fr-CA"/>
        </w:rPr>
        <w:t> :</w:t>
      </w:r>
      <w:r w:rsidR="00BA7CBD" w:rsidRPr="00E66750">
        <w:rPr>
          <w:lang w:val="fr-CA"/>
        </w:rPr>
        <w:t xml:space="preserve"> un devoir d’éviter les </w:t>
      </w:r>
      <w:r w:rsidR="006E270F" w:rsidRPr="00E66750">
        <w:rPr>
          <w:lang w:val="fr-CA"/>
        </w:rPr>
        <w:t>conflits d’</w:t>
      </w:r>
      <w:r w:rsidR="00BA7CBD" w:rsidRPr="00E66750">
        <w:rPr>
          <w:lang w:val="fr-CA"/>
        </w:rPr>
        <w:t xml:space="preserve">intérêts, un </w:t>
      </w:r>
      <w:r w:rsidR="00BA7CBD" w:rsidRPr="00E66750">
        <w:rPr>
          <w:lang w:val="fr-CA" w:bidi="en-US"/>
        </w:rPr>
        <w:t xml:space="preserve">devoir de dévouement à la cause du client et un </w:t>
      </w:r>
      <w:r w:rsidR="00BA7CBD" w:rsidRPr="00E66750">
        <w:rPr>
          <w:lang w:val="fr-CA"/>
        </w:rPr>
        <w:t xml:space="preserve">devoir de franchise.  </w:t>
      </w:r>
      <w:r w:rsidR="00117B67" w:rsidRPr="00E66750">
        <w:rPr>
          <w:lang w:val="fr-CA" w:bidi="en-US"/>
        </w:rPr>
        <w:t xml:space="preserve">Le devoir d’éviter les conflits </w:t>
      </w:r>
      <w:r w:rsidR="00687CC7" w:rsidRPr="00E66750">
        <w:rPr>
          <w:lang w:val="fr-CA" w:bidi="en-US"/>
        </w:rPr>
        <w:t xml:space="preserve">d’intérêts </w:t>
      </w:r>
      <w:r w:rsidR="00117B67" w:rsidRPr="00E66750">
        <w:rPr>
          <w:lang w:val="fr-CA" w:bidi="en-US"/>
        </w:rPr>
        <w:t>c</w:t>
      </w:r>
      <w:r w:rsidR="006E270F" w:rsidRPr="00E66750">
        <w:rPr>
          <w:lang w:val="fr-CA" w:bidi="en-US"/>
        </w:rPr>
        <w:t>ibl</w:t>
      </w:r>
      <w:r w:rsidR="00117B67" w:rsidRPr="00E66750">
        <w:rPr>
          <w:lang w:val="fr-CA" w:bidi="en-US"/>
        </w:rPr>
        <w:t>e surtout l</w:t>
      </w:r>
      <w:r w:rsidR="00A9396C" w:rsidRPr="00E66750">
        <w:rPr>
          <w:lang w:val="fr-CA" w:bidi="en-US"/>
        </w:rPr>
        <w:t xml:space="preserve">a </w:t>
      </w:r>
      <w:r w:rsidR="00A9396C" w:rsidRPr="00E66750">
        <w:rPr>
          <w:lang w:val="fr-CA" w:bidi="en-US"/>
        </w:rPr>
        <w:lastRenderedPageBreak/>
        <w:t>protect</w:t>
      </w:r>
      <w:r w:rsidR="00117B67" w:rsidRPr="00E66750">
        <w:rPr>
          <w:lang w:val="fr-CA" w:bidi="en-US"/>
        </w:rPr>
        <w:t>ion des renseignements confidentiels obtenus d’un client ancien ou actuel, et le fait d</w:t>
      </w:r>
      <w:r w:rsidR="0051113D" w:rsidRPr="00E66750">
        <w:rPr>
          <w:lang w:val="fr-CA" w:bidi="en-US"/>
        </w:rPr>
        <w:t xml:space="preserve">’assurer la </w:t>
      </w:r>
      <w:r w:rsidR="00674A25" w:rsidRPr="00E66750">
        <w:rPr>
          <w:lang w:val="fr-CA" w:bidi="en-US"/>
        </w:rPr>
        <w:t>représentation</w:t>
      </w:r>
      <w:r w:rsidR="0051113D" w:rsidRPr="00E66750">
        <w:rPr>
          <w:lang w:val="fr-CA" w:bidi="en-US"/>
        </w:rPr>
        <w:t xml:space="preserve"> efficace</w:t>
      </w:r>
      <w:r w:rsidR="00674A25" w:rsidRPr="00E66750">
        <w:rPr>
          <w:lang w:val="fr-CA" w:bidi="en-US"/>
        </w:rPr>
        <w:t xml:space="preserve"> d’un</w:t>
      </w:r>
      <w:r w:rsidR="00117B67" w:rsidRPr="00E66750">
        <w:rPr>
          <w:lang w:val="fr-CA" w:bidi="en-US"/>
        </w:rPr>
        <w:t xml:space="preserve"> client</w:t>
      </w:r>
      <w:r w:rsidR="00674A25" w:rsidRPr="00E66750">
        <w:rPr>
          <w:lang w:val="fr-CA" w:bidi="en-US"/>
        </w:rPr>
        <w:t xml:space="preserve"> actuel.  </w:t>
      </w:r>
      <w:r w:rsidR="00674A25" w:rsidRPr="00E66750">
        <w:rPr>
          <w:lang w:val="fr-CA"/>
        </w:rPr>
        <w:t xml:space="preserve">Le devoir de dévouement </w:t>
      </w:r>
      <w:r w:rsidR="0051113D" w:rsidRPr="00E66750">
        <w:rPr>
          <w:lang w:val="fr-CA"/>
        </w:rPr>
        <w:t>signifie que,</w:t>
      </w:r>
      <w:r w:rsidR="00674A25" w:rsidRPr="00E66750">
        <w:rPr>
          <w:lang w:val="fr-CA"/>
        </w:rPr>
        <w:t xml:space="preserve"> </w:t>
      </w:r>
      <w:r w:rsidR="0051113D" w:rsidRPr="00E66750">
        <w:rPr>
          <w:lang w:val="fr-CA"/>
        </w:rPr>
        <w:t>s</w:t>
      </w:r>
      <w:r w:rsidR="00674A25" w:rsidRPr="00E66750">
        <w:rPr>
          <w:lang w:val="fr-CA"/>
        </w:rPr>
        <w:t xml:space="preserve">auf </w:t>
      </w:r>
      <w:r w:rsidR="00966588" w:rsidRPr="00E66750">
        <w:rPr>
          <w:lang w:val="fr-CA"/>
        </w:rPr>
        <w:t xml:space="preserve">si </w:t>
      </w:r>
      <w:r w:rsidR="00674A25" w:rsidRPr="00E66750">
        <w:rPr>
          <w:lang w:val="fr-CA"/>
        </w:rPr>
        <w:t>l</w:t>
      </w:r>
      <w:r w:rsidR="006E270F" w:rsidRPr="00E66750">
        <w:rPr>
          <w:lang w:val="fr-CA"/>
        </w:rPr>
        <w:t>es règles du b</w:t>
      </w:r>
      <w:r w:rsidR="00674A25" w:rsidRPr="00E66750">
        <w:rPr>
          <w:lang w:val="fr-CA"/>
        </w:rPr>
        <w:t>arreau</w:t>
      </w:r>
      <w:r w:rsidR="00966588" w:rsidRPr="00E66750">
        <w:rPr>
          <w:lang w:val="fr-CA"/>
        </w:rPr>
        <w:t xml:space="preserve"> prévoient différemment</w:t>
      </w:r>
      <w:r w:rsidR="00674A25" w:rsidRPr="00E66750">
        <w:rPr>
          <w:lang w:val="fr-CA"/>
        </w:rPr>
        <w:t xml:space="preserve">, un avocat ou un cabinet d’avocats ne devrait pas, en règle générale, laisser tomber </w:t>
      </w:r>
      <w:r w:rsidR="00AC0BA0">
        <w:rPr>
          <w:lang w:val="fr-CA"/>
        </w:rPr>
        <w:t>de façon expéditive</w:t>
      </w:r>
      <w:r w:rsidR="00674A25" w:rsidRPr="00E66750">
        <w:rPr>
          <w:lang w:val="fr-CA"/>
        </w:rPr>
        <w:t xml:space="preserve"> un client simplement pour éviter des conflits d’intérêts.  </w:t>
      </w:r>
      <w:r w:rsidR="00966588" w:rsidRPr="00E66750">
        <w:rPr>
          <w:lang w:val="fr-CA"/>
        </w:rPr>
        <w:t xml:space="preserve">Le devoir de franchise exige la divulgation de tout facteur influant sur l’aptitude à </w:t>
      </w:r>
      <w:r w:rsidR="0051113D" w:rsidRPr="00E66750">
        <w:rPr>
          <w:lang w:val="fr-CA"/>
        </w:rPr>
        <w:t>offrir au client une</w:t>
      </w:r>
      <w:r w:rsidR="00966588" w:rsidRPr="00E66750">
        <w:rPr>
          <w:lang w:val="fr-CA"/>
        </w:rPr>
        <w:t xml:space="preserve"> représent</w:t>
      </w:r>
      <w:r w:rsidR="0051113D" w:rsidRPr="00E66750">
        <w:rPr>
          <w:lang w:val="fr-CA"/>
        </w:rPr>
        <w:t>ation efficace</w:t>
      </w:r>
      <w:r w:rsidR="00966588" w:rsidRPr="00E66750">
        <w:rPr>
          <w:lang w:val="fr-CA"/>
        </w:rPr>
        <w:t>.  Un avocat doit informer son client actuel avant d’accepter un mandat qui l’obligera à agir contre ce client.</w:t>
      </w:r>
    </w:p>
    <w:p w:rsidR="00966588" w:rsidRPr="00E66750" w:rsidRDefault="00966588" w:rsidP="00F301E8">
      <w:pPr>
        <w:pStyle w:val="SCCNormalDoubleSpacing"/>
        <w:spacing w:before="480" w:after="480"/>
        <w:rPr>
          <w:lang w:val="fr-CA" w:bidi="en-US"/>
        </w:rPr>
      </w:pPr>
      <w:r w:rsidRPr="00E66750">
        <w:rPr>
          <w:lang w:val="fr-CA"/>
        </w:rPr>
        <w:tab/>
      </w:r>
      <w:r w:rsidR="0051113D" w:rsidRPr="00E66750">
        <w:rPr>
          <w:lang w:val="fr-CA" w:bidi="en-US"/>
        </w:rPr>
        <w:t xml:space="preserve">Le pourvoi qui nous occupe porte sur le risque qui se pose pour la représentation efficace lorsqu’un avocat occupe </w:t>
      </w:r>
      <w:r w:rsidR="00F30E51" w:rsidRPr="00E66750">
        <w:rPr>
          <w:lang w:val="fr-CA" w:bidi="en-US"/>
        </w:rPr>
        <w:t xml:space="preserve">simultanément </w:t>
      </w:r>
      <w:r w:rsidR="0051113D" w:rsidRPr="00E66750">
        <w:rPr>
          <w:lang w:val="fr-CA" w:bidi="en-US"/>
        </w:rPr>
        <w:t xml:space="preserve">dans différents dossiers pour des clients dont les intérêts immédiats s’opposent directement dans ces dossiers.  </w:t>
      </w:r>
      <w:r w:rsidRPr="00E66750">
        <w:rPr>
          <w:lang w:val="fr-CA"/>
        </w:rPr>
        <w:t xml:space="preserve">Dans l’arrêt </w:t>
      </w:r>
      <w:r w:rsidRPr="00E66750">
        <w:rPr>
          <w:i/>
          <w:lang w:val="fr-CA"/>
        </w:rPr>
        <w:t>R. c. Neil</w:t>
      </w:r>
      <w:r w:rsidRPr="00E66750">
        <w:rPr>
          <w:lang w:val="fr-CA"/>
        </w:rPr>
        <w:t xml:space="preserve">, 2002 CSC 70, [2002] 3 R.C.S. 631, la Cour a décidé que la ligne de démarcation très nette </w:t>
      </w:r>
      <w:r w:rsidR="006E270F" w:rsidRPr="00E66750">
        <w:rPr>
          <w:lang w:val="fr-CA"/>
        </w:rPr>
        <w:t xml:space="preserve">est tracée par la règle générale </w:t>
      </w:r>
      <w:r w:rsidRPr="00E66750">
        <w:rPr>
          <w:lang w:val="fr-CA"/>
        </w:rPr>
        <w:t>interdi</w:t>
      </w:r>
      <w:r w:rsidR="006E270F" w:rsidRPr="00E66750">
        <w:rPr>
          <w:lang w:val="fr-CA"/>
        </w:rPr>
        <w:t>san</w:t>
      </w:r>
      <w:r w:rsidRPr="00E66750">
        <w:rPr>
          <w:lang w:val="fr-CA"/>
        </w:rPr>
        <w:t xml:space="preserve">t à l’avocat et, par extension, au cabinet d’avocats, de représenter simultanément des clients aux intérêts opposés sans avoir obtenu leur consentement.  </w:t>
      </w:r>
      <w:r w:rsidR="00347FB7" w:rsidRPr="00E66750">
        <w:rPr>
          <w:lang w:val="fr-CA"/>
        </w:rPr>
        <w:t xml:space="preserve">Lorsque </w:t>
      </w:r>
      <w:r w:rsidR="00A81D32" w:rsidRPr="00E66750">
        <w:rPr>
          <w:lang w:val="fr-CA"/>
        </w:rPr>
        <w:t>la</w:t>
      </w:r>
      <w:r w:rsidR="00347FB7" w:rsidRPr="00E66750">
        <w:rPr>
          <w:lang w:val="fr-CA"/>
        </w:rPr>
        <w:t xml:space="preserve"> règle de la démarcation très nette ne s’applique pas, il faut se demander si la représentation simultanée de </w:t>
      </w:r>
      <w:r w:rsidR="00F30E51" w:rsidRPr="00E66750">
        <w:rPr>
          <w:lang w:val="fr-CA"/>
        </w:rPr>
        <w:t>clients</w:t>
      </w:r>
      <w:r w:rsidR="00347FB7" w:rsidRPr="00E66750">
        <w:rPr>
          <w:lang w:val="fr-CA"/>
        </w:rPr>
        <w:t xml:space="preserve"> pose un risque sérieux que les intérêts personnels de l’avocat ou ses devoirs envers un autre client actuel, un ancien cl</w:t>
      </w:r>
      <w:r w:rsidR="00F30E51" w:rsidRPr="00E66750">
        <w:rPr>
          <w:lang w:val="fr-CA"/>
        </w:rPr>
        <w:t xml:space="preserve">ient ou une tierce personne </w:t>
      </w:r>
      <w:r w:rsidR="002C3F45" w:rsidRPr="00E66750">
        <w:rPr>
          <w:lang w:val="fr-CA"/>
        </w:rPr>
        <w:t xml:space="preserve">nuisent </w:t>
      </w:r>
      <w:r w:rsidR="00347FB7" w:rsidRPr="00E66750">
        <w:rPr>
          <w:lang w:val="fr-CA"/>
        </w:rPr>
        <w:t xml:space="preserve">de façon appréciable la représentation du client par l’avocat.  </w:t>
      </w:r>
      <w:r w:rsidR="004444B4" w:rsidRPr="00E66750">
        <w:rPr>
          <w:lang w:val="fr-CA" w:bidi="en-US"/>
        </w:rPr>
        <w:t xml:space="preserve">La règle de la démarcation très nette repose sur l’inévitable conflit d’intérêts inhérent à certains cas de représentation simultanée et elle traduit l’essentiel du devoir de loyauté qu’assume le fiduciaire.  </w:t>
      </w:r>
      <w:r w:rsidR="006E270F" w:rsidRPr="00E66750">
        <w:rPr>
          <w:lang w:val="fr-CA" w:bidi="en-US"/>
        </w:rPr>
        <w:t>La règle</w:t>
      </w:r>
      <w:r w:rsidR="004444B4" w:rsidRPr="00E66750">
        <w:rPr>
          <w:lang w:val="fr-CA" w:bidi="en-US"/>
        </w:rPr>
        <w:t xml:space="preserve"> ne peut être réfutée ou autrement atténuée, et elle s’applique à </w:t>
      </w:r>
      <w:r w:rsidR="004444B4" w:rsidRPr="00E66750">
        <w:rPr>
          <w:lang w:val="fr-CA" w:bidi="en-US"/>
        </w:rPr>
        <w:lastRenderedPageBreak/>
        <w:t xml:space="preserve">la représentation simultanée </w:t>
      </w:r>
      <w:r w:rsidR="006E270F" w:rsidRPr="00E66750">
        <w:rPr>
          <w:lang w:val="fr-CA" w:bidi="en-US"/>
        </w:rPr>
        <w:t xml:space="preserve">tant </w:t>
      </w:r>
      <w:r w:rsidR="004444B4" w:rsidRPr="00E66750">
        <w:rPr>
          <w:lang w:val="fr-CA" w:bidi="en-US"/>
        </w:rPr>
        <w:t xml:space="preserve">dans des dossiers ayant un </w:t>
      </w:r>
      <w:r w:rsidR="006E270F" w:rsidRPr="00E66750">
        <w:rPr>
          <w:lang w:val="fr-CA" w:bidi="en-US"/>
        </w:rPr>
        <w:t>lien</w:t>
      </w:r>
      <w:r w:rsidR="004444B4" w:rsidRPr="00E66750">
        <w:rPr>
          <w:lang w:val="fr-CA" w:bidi="en-US"/>
        </w:rPr>
        <w:t xml:space="preserve"> entre eux </w:t>
      </w:r>
      <w:r w:rsidR="006E270F" w:rsidRPr="00E66750">
        <w:rPr>
          <w:lang w:val="fr-CA" w:bidi="en-US"/>
        </w:rPr>
        <w:t>qu</w:t>
      </w:r>
      <w:r w:rsidR="004444B4" w:rsidRPr="00E66750">
        <w:rPr>
          <w:lang w:val="fr-CA" w:bidi="en-US"/>
        </w:rPr>
        <w:t xml:space="preserve">e dans les dossiers qui n’en ont pas.  Toutefois, </w:t>
      </w:r>
      <w:r w:rsidR="00F30E51" w:rsidRPr="00E66750">
        <w:rPr>
          <w:lang w:val="fr-CA" w:bidi="en-US"/>
        </w:rPr>
        <w:t>l</w:t>
      </w:r>
      <w:r w:rsidR="004444B4" w:rsidRPr="00E66750">
        <w:rPr>
          <w:lang w:val="fr-CA" w:bidi="en-US"/>
        </w:rPr>
        <w:t xml:space="preserve">a portée </w:t>
      </w:r>
      <w:r w:rsidR="00F30E51" w:rsidRPr="00E66750">
        <w:rPr>
          <w:lang w:val="fr-CA" w:bidi="en-US"/>
        </w:rPr>
        <w:t xml:space="preserve">de la règle </w:t>
      </w:r>
      <w:r w:rsidR="004444B4" w:rsidRPr="00E66750">
        <w:rPr>
          <w:lang w:val="fr-CA" w:bidi="en-US"/>
        </w:rPr>
        <w:t xml:space="preserve">est limitée.  </w:t>
      </w:r>
      <w:r w:rsidR="00F30E51" w:rsidRPr="00E66750">
        <w:rPr>
          <w:lang w:val="fr-CA" w:bidi="en-US"/>
        </w:rPr>
        <w:t>El</w:t>
      </w:r>
      <w:r w:rsidR="006E270F" w:rsidRPr="00E66750">
        <w:rPr>
          <w:lang w:val="fr-CA" w:bidi="en-US"/>
        </w:rPr>
        <w:t>le</w:t>
      </w:r>
      <w:r w:rsidR="004444B4" w:rsidRPr="00E66750">
        <w:rPr>
          <w:lang w:val="fr-CA" w:bidi="en-US"/>
        </w:rPr>
        <w:t xml:space="preserve"> s’applique uniquement lorsque les intérêts immédiats des clients s’opposent directement dans les dossiers où occupe l’avocat et elle s’applique uniquement aux intérêts juridiques, et non aux intérêts commerciaux ou stratégiques.  Elle ne peut être invoquée pour des raisons d’ordre tactique.  Elle ne s’applique pas lorsqu’il est déraisonnable pour un client de s’attendre à ce que le cabinet d’avocats n’agira pas contre lui dans des dossiers n’ayant aucun </w:t>
      </w:r>
      <w:r w:rsidR="006E270F" w:rsidRPr="00E66750">
        <w:rPr>
          <w:lang w:val="fr-CA" w:bidi="en-US"/>
        </w:rPr>
        <w:t>lien</w:t>
      </w:r>
      <w:r w:rsidR="004444B4" w:rsidRPr="00E66750">
        <w:rPr>
          <w:lang w:val="fr-CA" w:bidi="en-US"/>
        </w:rPr>
        <w:t xml:space="preserve"> avec le sien.  </w:t>
      </w:r>
    </w:p>
    <w:p w:rsidR="004444B4" w:rsidRPr="00E66750" w:rsidRDefault="004444B4" w:rsidP="00F301E8">
      <w:pPr>
        <w:pStyle w:val="SCCNormalDoubleSpacing"/>
        <w:spacing w:before="480" w:after="480"/>
        <w:rPr>
          <w:lang w:val="fr-CA"/>
        </w:rPr>
      </w:pPr>
      <w:r w:rsidRPr="00E66750">
        <w:rPr>
          <w:lang w:val="fr-CA" w:bidi="en-US"/>
        </w:rPr>
        <w:tab/>
        <w:t xml:space="preserve">La conduite de </w:t>
      </w:r>
      <w:proofErr w:type="spellStart"/>
      <w:r w:rsidRPr="00E66750">
        <w:rPr>
          <w:lang w:val="fr-CA"/>
        </w:rPr>
        <w:t>McKercher</w:t>
      </w:r>
      <w:proofErr w:type="spellEnd"/>
      <w:r w:rsidRPr="00E66750">
        <w:rPr>
          <w:lang w:val="fr-CA"/>
        </w:rPr>
        <w:t xml:space="preserve"> tombait clairement sous le coup de la règle de la démarcation très nette.  </w:t>
      </w:r>
      <w:r w:rsidR="00260D12" w:rsidRPr="00E66750">
        <w:rPr>
          <w:lang w:val="fr-CA"/>
        </w:rPr>
        <w:t>Le CN et le groupe qui le poursui</w:t>
      </w:r>
      <w:r w:rsidR="00CF532E" w:rsidRPr="00E66750">
        <w:rPr>
          <w:lang w:val="fr-CA"/>
        </w:rPr>
        <w:t>vai</w:t>
      </w:r>
      <w:r w:rsidR="00260D12" w:rsidRPr="00E66750">
        <w:rPr>
          <w:lang w:val="fr-CA"/>
        </w:rPr>
        <w:t>t avaient des intérêts juridiques opposés; le CN n’a pas</w:t>
      </w:r>
      <w:r w:rsidR="00CF532E" w:rsidRPr="00E66750">
        <w:rPr>
          <w:lang w:val="fr-CA"/>
        </w:rPr>
        <w:t xml:space="preserve"> </w:t>
      </w:r>
      <w:r w:rsidR="00260D12" w:rsidRPr="00E66750">
        <w:rPr>
          <w:lang w:val="fr-CA"/>
        </w:rPr>
        <w:t>abus</w:t>
      </w:r>
      <w:r w:rsidR="00CF532E" w:rsidRPr="00E66750">
        <w:rPr>
          <w:lang w:val="fr-CA"/>
        </w:rPr>
        <w:t>é</w:t>
      </w:r>
      <w:r w:rsidR="00260D12" w:rsidRPr="00E66750">
        <w:rPr>
          <w:lang w:val="fr-CA"/>
        </w:rPr>
        <w:t xml:space="preserve"> </w:t>
      </w:r>
      <w:r w:rsidR="002C3F45" w:rsidRPr="00E66750">
        <w:rPr>
          <w:lang w:val="fr-CA"/>
        </w:rPr>
        <w:t>tactiquement</w:t>
      </w:r>
      <w:r w:rsidR="00260D12" w:rsidRPr="00E66750">
        <w:rPr>
          <w:lang w:val="fr-CA"/>
        </w:rPr>
        <w:t xml:space="preserve"> de la règle, et dans les circonstances, il était raisonnable pour le CN de s’attendre à ce que </w:t>
      </w:r>
      <w:proofErr w:type="spellStart"/>
      <w:r w:rsidR="00260D12" w:rsidRPr="00E66750">
        <w:rPr>
          <w:lang w:val="fr-CA"/>
        </w:rPr>
        <w:t>McKercher</w:t>
      </w:r>
      <w:proofErr w:type="spellEnd"/>
      <w:r w:rsidR="00260D12" w:rsidRPr="00E66750">
        <w:rPr>
          <w:lang w:val="fr-CA"/>
        </w:rPr>
        <w:t xml:space="preserve"> ne représente pas simultanément une partie qui la poursui</w:t>
      </w:r>
      <w:r w:rsidR="00CF532E" w:rsidRPr="00E66750">
        <w:rPr>
          <w:lang w:val="fr-CA"/>
        </w:rPr>
        <w:t>vait</w:t>
      </w:r>
      <w:r w:rsidR="00260D12" w:rsidRPr="00E66750">
        <w:rPr>
          <w:lang w:val="fr-CA"/>
        </w:rPr>
        <w:t xml:space="preserve"> pour 1,75 mill</w:t>
      </w:r>
      <w:r w:rsidR="00253594">
        <w:rPr>
          <w:lang w:val="fr-CA"/>
        </w:rPr>
        <w:t>i</w:t>
      </w:r>
      <w:r w:rsidR="00260D12" w:rsidRPr="00E66750">
        <w:rPr>
          <w:lang w:val="fr-CA"/>
        </w:rPr>
        <w:t xml:space="preserve">ard de dollars.  Lorsqu’il a accepté le mandat du groupe visé dans le recours collectif sans avoir obtenu le consentement du CN, </w:t>
      </w:r>
      <w:proofErr w:type="spellStart"/>
      <w:r w:rsidR="00260D12" w:rsidRPr="00E66750">
        <w:rPr>
          <w:lang w:val="fr-CA"/>
        </w:rPr>
        <w:t>McKercher</w:t>
      </w:r>
      <w:proofErr w:type="spellEnd"/>
      <w:r w:rsidR="00260D12" w:rsidRPr="00E66750">
        <w:rPr>
          <w:lang w:val="fr-CA"/>
        </w:rPr>
        <w:t xml:space="preserve"> a contrevenu à la règle de la démarcation très nette.  </w:t>
      </w:r>
      <w:r w:rsidR="00CF532E" w:rsidRPr="00E66750">
        <w:rPr>
          <w:lang w:val="fr-CA"/>
        </w:rPr>
        <w:t>Il</w:t>
      </w:r>
      <w:r w:rsidR="006B67F5" w:rsidRPr="00E66750">
        <w:rPr>
          <w:lang w:val="fr-CA"/>
        </w:rPr>
        <w:t xml:space="preserve"> a manqué à son devoir de dévouement en </w:t>
      </w:r>
      <w:r w:rsidR="00CF532E" w:rsidRPr="00E66750">
        <w:rPr>
          <w:lang w:val="fr-CA"/>
        </w:rPr>
        <w:t>abandonnant les</w:t>
      </w:r>
      <w:r w:rsidR="006B67F5" w:rsidRPr="00E66750">
        <w:rPr>
          <w:lang w:val="fr-CA"/>
        </w:rPr>
        <w:t xml:space="preserve"> mandats que lui avait confiés le CN.  Il a manqué à son devoir de franchise en n’avisant pas le CN de son intention de représenter le groupe.  Toutefois, </w:t>
      </w:r>
      <w:proofErr w:type="spellStart"/>
      <w:r w:rsidR="00966852" w:rsidRPr="00E66750">
        <w:rPr>
          <w:lang w:val="fr-CA"/>
        </w:rPr>
        <w:t>McKercher</w:t>
      </w:r>
      <w:proofErr w:type="spellEnd"/>
      <w:r w:rsidR="00966852" w:rsidRPr="00E66750">
        <w:rPr>
          <w:lang w:val="fr-CA"/>
        </w:rPr>
        <w:t xml:space="preserve"> n’avait en sa possession aucun renseignement confidentiel pertinent susceptible de porter préjudice au CN dans ce recours</w:t>
      </w:r>
      <w:r w:rsidR="007F50C6" w:rsidRPr="00E66750">
        <w:rPr>
          <w:lang w:val="fr-CA"/>
        </w:rPr>
        <w:t xml:space="preserve"> collectif</w:t>
      </w:r>
      <w:r w:rsidR="00966852" w:rsidRPr="00E66750">
        <w:rPr>
          <w:lang w:val="fr-CA"/>
        </w:rPr>
        <w:t>.</w:t>
      </w:r>
    </w:p>
    <w:p w:rsidR="00966852" w:rsidRPr="00E66750" w:rsidRDefault="00966852" w:rsidP="00F301E8">
      <w:pPr>
        <w:pStyle w:val="SCCNormalDoubleSpacing"/>
        <w:spacing w:before="480" w:after="480"/>
        <w:rPr>
          <w:lang w:val="fr-CA"/>
        </w:rPr>
      </w:pPr>
      <w:r w:rsidRPr="00E66750">
        <w:rPr>
          <w:lang w:val="fr-CA"/>
        </w:rPr>
        <w:lastRenderedPageBreak/>
        <w:tab/>
      </w:r>
      <w:r w:rsidR="00EA1E20" w:rsidRPr="00E66750">
        <w:rPr>
          <w:lang w:val="fr-CA" w:bidi="en-US"/>
        </w:rPr>
        <w:t xml:space="preserve">La déclaration d’inhabilité peut devenir nécessaire pour éviter le risque d’utilisation à mauvais escient de renseignements confidentiels, pour éviter le risque </w:t>
      </w:r>
      <w:r w:rsidR="003463B1" w:rsidRPr="00E66750">
        <w:rPr>
          <w:lang w:val="fr-CA" w:bidi="en-US"/>
        </w:rPr>
        <w:t>d</w:t>
      </w:r>
      <w:r w:rsidR="00EA1E20" w:rsidRPr="00E66750">
        <w:rPr>
          <w:lang w:val="fr-CA" w:bidi="en-US"/>
        </w:rPr>
        <w:t>e représentation</w:t>
      </w:r>
      <w:r w:rsidR="00540634" w:rsidRPr="00E66750">
        <w:rPr>
          <w:lang w:val="fr-CA" w:bidi="en-US"/>
        </w:rPr>
        <w:t xml:space="preserve"> déficiente</w:t>
      </w:r>
      <w:r w:rsidR="00EA1E20" w:rsidRPr="00E66750">
        <w:rPr>
          <w:lang w:val="fr-CA" w:bidi="en-US"/>
        </w:rPr>
        <w:t xml:space="preserve"> ou pour préserver la considération dont jouit l’administration de la justice.  </w:t>
      </w:r>
      <w:r w:rsidR="003463B1" w:rsidRPr="00E66750">
        <w:rPr>
          <w:lang w:val="fr-CA" w:bidi="en-US"/>
        </w:rPr>
        <w:t>L</w:t>
      </w:r>
      <w:r w:rsidR="000429E3" w:rsidRPr="00E66750">
        <w:rPr>
          <w:lang w:val="fr-CA" w:bidi="en-US"/>
        </w:rPr>
        <w:t xml:space="preserve">a </w:t>
      </w:r>
      <w:r w:rsidR="00CF532E" w:rsidRPr="00E66750">
        <w:rPr>
          <w:lang w:val="fr-CA" w:bidi="en-US"/>
        </w:rPr>
        <w:t xml:space="preserve">protection de la </w:t>
      </w:r>
      <w:r w:rsidR="000429E3" w:rsidRPr="00E66750">
        <w:rPr>
          <w:lang w:val="fr-CA" w:bidi="en-US"/>
        </w:rPr>
        <w:t>considération dont jouit l’administration de la justice</w:t>
      </w:r>
      <w:r w:rsidR="000429E3" w:rsidRPr="00E66750">
        <w:rPr>
          <w:lang w:val="fr-CA"/>
        </w:rPr>
        <w:t xml:space="preserve"> constitue la seule préoccupation qui justifierait en l’espèce une déclaration d’inhabilité</w:t>
      </w:r>
      <w:r w:rsidR="000B2837" w:rsidRPr="00E66750">
        <w:rPr>
          <w:lang w:val="fr-CA"/>
        </w:rPr>
        <w:t xml:space="preserve">. </w:t>
      </w:r>
      <w:r w:rsidR="000429E3" w:rsidRPr="00E66750">
        <w:rPr>
          <w:lang w:val="fr-CA"/>
        </w:rPr>
        <w:t xml:space="preserve"> </w:t>
      </w:r>
      <w:r w:rsidR="000B2837" w:rsidRPr="00E66750">
        <w:rPr>
          <w:lang w:val="fr-CA"/>
        </w:rPr>
        <w:t>Bien qu’une violation de la règle de la démarcation très nette appelle normalement une déclaration d’inhabilité à occuper, les</w:t>
      </w:r>
      <w:r w:rsidR="000429E3" w:rsidRPr="00E66750">
        <w:rPr>
          <w:lang w:val="fr-CA"/>
        </w:rPr>
        <w:t xml:space="preserve"> facteurs</w:t>
      </w:r>
      <w:r w:rsidR="000B2837" w:rsidRPr="00E66750">
        <w:rPr>
          <w:lang w:val="fr-CA"/>
        </w:rPr>
        <w:t xml:space="preserve"> qui</w:t>
      </w:r>
      <w:r w:rsidR="000429E3" w:rsidRPr="00E66750">
        <w:rPr>
          <w:lang w:val="fr-CA"/>
        </w:rPr>
        <w:t xml:space="preserve"> peuvent militer contre la déclaration d’inhabilité</w:t>
      </w:r>
      <w:r w:rsidR="000B2837" w:rsidRPr="00E66750">
        <w:rPr>
          <w:lang w:val="fr-CA"/>
        </w:rPr>
        <w:t xml:space="preserve"> doivent être pris en considération</w:t>
      </w:r>
      <w:r w:rsidR="00174CA9" w:rsidRPr="00E66750">
        <w:rPr>
          <w:lang w:val="fr-CA"/>
        </w:rPr>
        <w:t xml:space="preserve">. </w:t>
      </w:r>
      <w:r w:rsidR="000B2837" w:rsidRPr="00E66750">
        <w:rPr>
          <w:lang w:val="fr-CA" w:bidi="en-US"/>
        </w:rPr>
        <w:t xml:space="preserve"> Ces facteurs peuvent </w:t>
      </w:r>
      <w:r w:rsidR="00174CA9" w:rsidRPr="00E66750">
        <w:rPr>
          <w:lang w:val="fr-CA" w:bidi="en-US"/>
        </w:rPr>
        <w:t>inclure (i) </w:t>
      </w:r>
      <w:r w:rsidR="000B2837" w:rsidRPr="00E66750">
        <w:rPr>
          <w:lang w:val="fr-CA" w:bidi="en-US"/>
        </w:rPr>
        <w:t>un comportement qui prive le plaignant de la possibilité de demander que l’avocat cesse d’occuper, par exemple s’il tarde à présenter la demande de déclaration d’inhabili</w:t>
      </w:r>
      <w:r w:rsidR="00174CA9" w:rsidRPr="00E66750">
        <w:rPr>
          <w:lang w:val="fr-CA" w:bidi="en-US"/>
        </w:rPr>
        <w:t>té</w:t>
      </w:r>
      <w:r w:rsidR="00540634" w:rsidRPr="00E66750">
        <w:rPr>
          <w:lang w:val="fr-CA" w:bidi="en-US"/>
        </w:rPr>
        <w:t xml:space="preserve">, </w:t>
      </w:r>
      <w:r w:rsidR="00174CA9" w:rsidRPr="00E66750">
        <w:rPr>
          <w:lang w:val="fr-CA" w:bidi="en-US"/>
        </w:rPr>
        <w:t>(ii) </w:t>
      </w:r>
      <w:r w:rsidR="000B2837" w:rsidRPr="00E66750">
        <w:rPr>
          <w:lang w:val="fr-CA" w:bidi="en-US"/>
        </w:rPr>
        <w:t>une atteinte grave au droit du client éventuel de retenir les services de l’avocat de son choix, et la capacité de ce client de tr</w:t>
      </w:r>
      <w:r w:rsidR="00174CA9" w:rsidRPr="00E66750">
        <w:rPr>
          <w:lang w:val="fr-CA" w:bidi="en-US"/>
        </w:rPr>
        <w:t>ouver un autre avocat</w:t>
      </w:r>
      <w:r w:rsidR="00540634" w:rsidRPr="00E66750">
        <w:rPr>
          <w:lang w:val="fr-CA" w:bidi="en-US"/>
        </w:rPr>
        <w:t xml:space="preserve">, </w:t>
      </w:r>
      <w:r w:rsidR="00174CA9" w:rsidRPr="00E66750">
        <w:rPr>
          <w:lang w:val="fr-CA" w:bidi="en-US"/>
        </w:rPr>
        <w:t>et (iii) </w:t>
      </w:r>
      <w:r w:rsidR="000B2837" w:rsidRPr="00E66750">
        <w:rPr>
          <w:lang w:val="fr-CA" w:bidi="en-US"/>
        </w:rPr>
        <w:t>le fait que le cabinet d’avocats a accepté en toute bonne foi le mandat à l’origine du conflit d’intérêts, en croyant raisonnablement que la représentation simultanée échappait à la portée de la règle de la démarcation très nette et des restrictions</w:t>
      </w:r>
      <w:r w:rsidR="003463B1" w:rsidRPr="00E66750">
        <w:rPr>
          <w:lang w:val="fr-CA" w:bidi="en-US"/>
        </w:rPr>
        <w:t xml:space="preserve"> du barreau applicables</w:t>
      </w:r>
      <w:r w:rsidR="000429E3" w:rsidRPr="00E66750">
        <w:rPr>
          <w:lang w:val="fr-CA"/>
        </w:rPr>
        <w:t xml:space="preserve">.  </w:t>
      </w:r>
      <w:r w:rsidR="00190FCF" w:rsidRPr="00E66750">
        <w:rPr>
          <w:lang w:val="fr-CA"/>
        </w:rPr>
        <w:t xml:space="preserve">Comme le juge de première instance n’a pas pu bénéficier des présents motifs, </w:t>
      </w:r>
      <w:r w:rsidR="00190FCF" w:rsidRPr="00E66750">
        <w:rPr>
          <w:lang w:val="fr-CA" w:bidi="en-US"/>
        </w:rPr>
        <w:t xml:space="preserve">l’affaire devrait être renvoyée à la Cour du Banc de la Reine pour qu’elle détermine </w:t>
      </w:r>
      <w:r w:rsidR="00CF532E" w:rsidRPr="00E66750">
        <w:rPr>
          <w:lang w:val="fr-CA" w:bidi="en-US"/>
        </w:rPr>
        <w:t>à</w:t>
      </w:r>
      <w:r w:rsidR="00190FCF" w:rsidRPr="00E66750">
        <w:rPr>
          <w:lang w:val="fr-CA" w:bidi="en-US"/>
        </w:rPr>
        <w:t xml:space="preserve"> nouveau la réparation appropriée.</w:t>
      </w:r>
    </w:p>
    <w:p w:rsidR="004D7D95" w:rsidRPr="00E66750" w:rsidRDefault="004D7D95" w:rsidP="00F301E8">
      <w:pPr>
        <w:pStyle w:val="SCCNormalDoubleSpacing"/>
        <w:keepNext/>
        <w:spacing w:after="720" w:line="240" w:lineRule="auto"/>
        <w:rPr>
          <w:b/>
          <w:lang w:val="fr-CA"/>
        </w:rPr>
      </w:pPr>
      <w:r w:rsidRPr="00E66750">
        <w:rPr>
          <w:b/>
          <w:lang w:val="fr-CA"/>
        </w:rPr>
        <w:lastRenderedPageBreak/>
        <w:t>Jurisprudence</w:t>
      </w:r>
    </w:p>
    <w:p w:rsidR="004D7D95" w:rsidRPr="00E66750" w:rsidRDefault="004D7D95" w:rsidP="00F301E8">
      <w:pPr>
        <w:pStyle w:val="SCCNormalDoubleSpacing"/>
        <w:spacing w:after="480"/>
        <w:rPr>
          <w:b/>
          <w:lang w:val="en-US"/>
        </w:rPr>
      </w:pPr>
      <w:r w:rsidRPr="00E66750">
        <w:rPr>
          <w:lang w:val="fr-CA"/>
        </w:rPr>
        <w:tab/>
      </w:r>
      <w:r w:rsidRPr="00E66750">
        <w:rPr>
          <w:b/>
          <w:lang w:val="fr-CA"/>
        </w:rPr>
        <w:t>Arrêts mentionnés</w:t>
      </w:r>
      <w:r w:rsidR="00174CA9" w:rsidRPr="00E66750">
        <w:rPr>
          <w:b/>
          <w:lang w:val="fr-CA"/>
        </w:rPr>
        <w:t> :</w:t>
      </w:r>
      <w:r w:rsidRPr="00E66750">
        <w:rPr>
          <w:lang w:val="fr-CA"/>
        </w:rPr>
        <w:t xml:space="preserve"> </w:t>
      </w:r>
      <w:r w:rsidR="004D1254" w:rsidRPr="00E66750">
        <w:rPr>
          <w:i/>
          <w:lang w:val="fr-CA"/>
        </w:rPr>
        <w:t xml:space="preserve">R. </w:t>
      </w:r>
      <w:r w:rsidR="002F6317" w:rsidRPr="00E66750">
        <w:rPr>
          <w:i/>
          <w:lang w:val="fr-CA"/>
        </w:rPr>
        <w:t>c.</w:t>
      </w:r>
      <w:r w:rsidR="004D1254" w:rsidRPr="00E66750">
        <w:rPr>
          <w:i/>
          <w:lang w:val="fr-CA"/>
        </w:rPr>
        <w:t xml:space="preserve"> Neil</w:t>
      </w:r>
      <w:r w:rsidR="004D1254" w:rsidRPr="00E66750">
        <w:rPr>
          <w:lang w:val="fr-CA"/>
        </w:rPr>
        <w:t xml:space="preserve">, 2002 </w:t>
      </w:r>
      <w:r w:rsidR="002F6317" w:rsidRPr="00E66750">
        <w:rPr>
          <w:lang w:val="fr-CA"/>
        </w:rPr>
        <w:t>CSC</w:t>
      </w:r>
      <w:r w:rsidR="004D1254" w:rsidRPr="00E66750">
        <w:rPr>
          <w:lang w:val="fr-CA"/>
        </w:rPr>
        <w:t xml:space="preserve"> 70, [2002] 3 </w:t>
      </w:r>
      <w:r w:rsidR="002F6317" w:rsidRPr="00E66750">
        <w:rPr>
          <w:lang w:val="fr-CA"/>
        </w:rPr>
        <w:t>R.C.S.</w:t>
      </w:r>
      <w:r w:rsidR="004D1254" w:rsidRPr="00E66750">
        <w:rPr>
          <w:lang w:val="fr-CA"/>
        </w:rPr>
        <w:t xml:space="preserve"> 631; </w:t>
      </w:r>
      <w:r w:rsidR="002F6317" w:rsidRPr="00E66750">
        <w:rPr>
          <w:i/>
          <w:lang w:val="fr-CA"/>
        </w:rPr>
        <w:t xml:space="preserve">Succession </w:t>
      </w:r>
      <w:proofErr w:type="spellStart"/>
      <w:r w:rsidR="004D1254" w:rsidRPr="00E66750">
        <w:rPr>
          <w:i/>
          <w:lang w:val="fr-CA"/>
        </w:rPr>
        <w:t>MacDonald</w:t>
      </w:r>
      <w:proofErr w:type="spellEnd"/>
      <w:r w:rsidR="004D1254" w:rsidRPr="00E66750">
        <w:rPr>
          <w:i/>
          <w:lang w:val="fr-CA"/>
        </w:rPr>
        <w:t xml:space="preserve"> </w:t>
      </w:r>
      <w:r w:rsidR="002F6317" w:rsidRPr="00E66750">
        <w:rPr>
          <w:i/>
          <w:lang w:val="fr-CA"/>
        </w:rPr>
        <w:t>c.</w:t>
      </w:r>
      <w:r w:rsidR="004D1254" w:rsidRPr="00E66750">
        <w:rPr>
          <w:i/>
          <w:lang w:val="fr-CA"/>
        </w:rPr>
        <w:t xml:space="preserve"> Martin</w:t>
      </w:r>
      <w:r w:rsidR="004D1254" w:rsidRPr="00E66750">
        <w:rPr>
          <w:lang w:val="fr-CA"/>
        </w:rPr>
        <w:t xml:space="preserve">, [1990] 3 </w:t>
      </w:r>
      <w:r w:rsidR="002F6317" w:rsidRPr="00E66750">
        <w:rPr>
          <w:lang w:val="fr-CA"/>
        </w:rPr>
        <w:t>R.C.S.</w:t>
      </w:r>
      <w:r w:rsidR="004D1254" w:rsidRPr="00E66750">
        <w:rPr>
          <w:lang w:val="fr-CA"/>
        </w:rPr>
        <w:t xml:space="preserve"> 1235; </w:t>
      </w:r>
      <w:r w:rsidR="00F8038C" w:rsidRPr="00E66750">
        <w:rPr>
          <w:i/>
          <w:lang w:val="fr-CA"/>
        </w:rPr>
        <w:t>R. c. Cunningham</w:t>
      </w:r>
      <w:r w:rsidR="00F8038C" w:rsidRPr="00E66750">
        <w:rPr>
          <w:lang w:val="fr-CA"/>
        </w:rPr>
        <w:t xml:space="preserve">, 2010 CSC 10, [2010] 1 R.C.S. 331; </w:t>
      </w:r>
      <w:proofErr w:type="spellStart"/>
      <w:r w:rsidR="006D36CE" w:rsidRPr="00E66750">
        <w:rPr>
          <w:i/>
          <w:lang w:val="fr-CA"/>
        </w:rPr>
        <w:t>Cholmondeley</w:t>
      </w:r>
      <w:proofErr w:type="spellEnd"/>
      <w:r w:rsidR="006D36CE" w:rsidRPr="00E66750">
        <w:rPr>
          <w:i/>
          <w:lang w:val="fr-CA"/>
        </w:rPr>
        <w:t xml:space="preserve"> c. Clinton</w:t>
      </w:r>
      <w:r w:rsidR="006D36CE" w:rsidRPr="00E66750">
        <w:rPr>
          <w:lang w:val="fr-CA"/>
        </w:rPr>
        <w:t xml:space="preserve"> (1815), 19 </w:t>
      </w:r>
      <w:proofErr w:type="spellStart"/>
      <w:r w:rsidR="006D36CE" w:rsidRPr="00E66750">
        <w:rPr>
          <w:lang w:val="fr-CA"/>
        </w:rPr>
        <w:t>Ves</w:t>
      </w:r>
      <w:proofErr w:type="spellEnd"/>
      <w:r w:rsidR="006D36CE" w:rsidRPr="00E66750">
        <w:rPr>
          <w:lang w:val="fr-CA"/>
        </w:rPr>
        <w:t xml:space="preserve">. Jun. 261, 34 E.R. 515; </w:t>
      </w:r>
      <w:proofErr w:type="spellStart"/>
      <w:r w:rsidR="006D36CE" w:rsidRPr="00E66750">
        <w:rPr>
          <w:i/>
          <w:lang w:val="fr-CA"/>
        </w:rPr>
        <w:t>Bricheno</w:t>
      </w:r>
      <w:proofErr w:type="spellEnd"/>
      <w:r w:rsidR="006D36CE" w:rsidRPr="00E66750">
        <w:rPr>
          <w:i/>
          <w:lang w:val="fr-CA"/>
        </w:rPr>
        <w:t xml:space="preserve"> c. </w:t>
      </w:r>
      <w:proofErr w:type="spellStart"/>
      <w:r w:rsidR="006D36CE" w:rsidRPr="00E66750">
        <w:rPr>
          <w:i/>
          <w:lang w:val="fr-CA"/>
        </w:rPr>
        <w:t>Thorp</w:t>
      </w:r>
      <w:proofErr w:type="spellEnd"/>
      <w:r w:rsidR="006D36CE" w:rsidRPr="00E66750">
        <w:rPr>
          <w:lang w:val="fr-CA"/>
        </w:rPr>
        <w:t xml:space="preserve"> (1821), Jacob 300, 37 E.R. 864; </w:t>
      </w:r>
      <w:r w:rsidR="006D36CE" w:rsidRPr="00E66750">
        <w:rPr>
          <w:i/>
          <w:lang w:val="fr-CA"/>
        </w:rPr>
        <w:t xml:space="preserve">Taylor c. </w:t>
      </w:r>
      <w:proofErr w:type="spellStart"/>
      <w:r w:rsidR="006D36CE" w:rsidRPr="00E66750">
        <w:rPr>
          <w:i/>
          <w:lang w:val="fr-CA"/>
        </w:rPr>
        <w:t>Blacklow</w:t>
      </w:r>
      <w:proofErr w:type="spellEnd"/>
      <w:r w:rsidR="006D36CE" w:rsidRPr="00E66750">
        <w:rPr>
          <w:lang w:val="fr-CA"/>
        </w:rPr>
        <w:t xml:space="preserve"> (1836), 3 Bing. </w:t>
      </w:r>
      <w:r w:rsidR="00745E4C" w:rsidRPr="00E66750">
        <w:rPr>
          <w:lang w:val="fr-CA"/>
        </w:rPr>
        <w:t>(N.</w:t>
      </w:r>
      <w:r w:rsidR="006D36CE" w:rsidRPr="00E66750">
        <w:rPr>
          <w:lang w:val="fr-CA"/>
        </w:rPr>
        <w:t xml:space="preserve">C.) 235, 132 E.R. 401; </w:t>
      </w:r>
      <w:proofErr w:type="spellStart"/>
      <w:r w:rsidR="006D36CE" w:rsidRPr="00E66750">
        <w:rPr>
          <w:i/>
          <w:lang w:val="fr-CA"/>
        </w:rPr>
        <w:t>Rakusen</w:t>
      </w:r>
      <w:proofErr w:type="spellEnd"/>
      <w:r w:rsidR="006D36CE" w:rsidRPr="00E66750">
        <w:rPr>
          <w:i/>
          <w:lang w:val="fr-CA"/>
        </w:rPr>
        <w:t xml:space="preserve"> c. Ellis</w:t>
      </w:r>
      <w:r w:rsidR="006D36CE" w:rsidRPr="00E66750">
        <w:rPr>
          <w:lang w:val="fr-CA"/>
        </w:rPr>
        <w:t xml:space="preserve">, [1912] 1 </w:t>
      </w:r>
      <w:r w:rsidR="00174CA9" w:rsidRPr="00E66750">
        <w:rPr>
          <w:lang w:val="fr-CA"/>
        </w:rPr>
        <w:t>Ch. </w:t>
      </w:r>
      <w:r w:rsidR="006D36CE" w:rsidRPr="00E66750">
        <w:rPr>
          <w:lang w:val="fr-CA"/>
        </w:rPr>
        <w:t>831</w:t>
      </w:r>
      <w:r w:rsidR="006D36CE" w:rsidRPr="00E66750">
        <w:rPr>
          <w:szCs w:val="24"/>
          <w:lang w:val="fr-CA"/>
        </w:rPr>
        <w:t xml:space="preserve">; </w:t>
      </w:r>
      <w:proofErr w:type="spellStart"/>
      <w:r w:rsidR="004D1254" w:rsidRPr="00E66750">
        <w:rPr>
          <w:i/>
          <w:szCs w:val="24"/>
          <w:lang w:val="fr-CA"/>
        </w:rPr>
        <w:t>Strother</w:t>
      </w:r>
      <w:proofErr w:type="spellEnd"/>
      <w:r w:rsidR="004D1254" w:rsidRPr="00E66750">
        <w:rPr>
          <w:i/>
          <w:szCs w:val="24"/>
          <w:lang w:val="fr-CA"/>
        </w:rPr>
        <w:t xml:space="preserve"> </w:t>
      </w:r>
      <w:r w:rsidR="002F6317" w:rsidRPr="00E66750">
        <w:rPr>
          <w:i/>
          <w:szCs w:val="24"/>
          <w:lang w:val="fr-CA"/>
        </w:rPr>
        <w:t>c.</w:t>
      </w:r>
      <w:r w:rsidR="004D1254" w:rsidRPr="00E66750">
        <w:rPr>
          <w:i/>
          <w:szCs w:val="24"/>
          <w:lang w:val="fr-CA"/>
        </w:rPr>
        <w:t xml:space="preserve"> 3464920 Canada Inc.</w:t>
      </w:r>
      <w:r w:rsidR="004D1254" w:rsidRPr="00E66750">
        <w:rPr>
          <w:szCs w:val="24"/>
          <w:lang w:val="fr-CA"/>
        </w:rPr>
        <w:t xml:space="preserve">, 2007 </w:t>
      </w:r>
      <w:r w:rsidR="002F6317" w:rsidRPr="00E66750">
        <w:rPr>
          <w:szCs w:val="24"/>
          <w:lang w:val="fr-CA"/>
        </w:rPr>
        <w:t>CSC</w:t>
      </w:r>
      <w:r w:rsidR="004D1254" w:rsidRPr="00E66750">
        <w:rPr>
          <w:szCs w:val="24"/>
          <w:lang w:val="fr-CA"/>
        </w:rPr>
        <w:t xml:space="preserve"> 24, [2007] 2 </w:t>
      </w:r>
      <w:r w:rsidR="002F6317" w:rsidRPr="00E66750">
        <w:rPr>
          <w:szCs w:val="24"/>
          <w:lang w:val="fr-CA"/>
        </w:rPr>
        <w:t>R.C.S.</w:t>
      </w:r>
      <w:r w:rsidR="004D1254" w:rsidRPr="00E66750">
        <w:rPr>
          <w:szCs w:val="24"/>
          <w:lang w:val="fr-CA"/>
        </w:rPr>
        <w:t xml:space="preserve"> 177; </w:t>
      </w:r>
      <w:proofErr w:type="spellStart"/>
      <w:r w:rsidR="00F8038C" w:rsidRPr="00E66750">
        <w:rPr>
          <w:i/>
          <w:szCs w:val="24"/>
          <w:lang w:val="fr-CA"/>
        </w:rPr>
        <w:t>Bolkiah</w:t>
      </w:r>
      <w:proofErr w:type="spellEnd"/>
      <w:r w:rsidR="00F8038C" w:rsidRPr="00E66750">
        <w:rPr>
          <w:i/>
          <w:szCs w:val="24"/>
          <w:lang w:val="fr-CA"/>
        </w:rPr>
        <w:t xml:space="preserve"> </w:t>
      </w:r>
      <w:r w:rsidR="00A64AB8" w:rsidRPr="00E66750">
        <w:rPr>
          <w:i/>
          <w:szCs w:val="24"/>
          <w:lang w:val="fr-CA"/>
        </w:rPr>
        <w:t>c</w:t>
      </w:r>
      <w:r w:rsidR="00F8038C" w:rsidRPr="00E66750">
        <w:rPr>
          <w:i/>
          <w:szCs w:val="24"/>
          <w:lang w:val="fr-CA"/>
        </w:rPr>
        <w:t>. KPMG</w:t>
      </w:r>
      <w:r w:rsidR="00F8038C" w:rsidRPr="00E66750">
        <w:rPr>
          <w:szCs w:val="24"/>
          <w:lang w:val="fr-CA"/>
        </w:rPr>
        <w:t xml:space="preserve">, [1999] 2 A.C. 222; </w:t>
      </w:r>
      <w:proofErr w:type="spellStart"/>
      <w:r w:rsidR="004D1254" w:rsidRPr="00E66750">
        <w:rPr>
          <w:i/>
          <w:szCs w:val="24"/>
          <w:lang w:val="fr-CA"/>
        </w:rPr>
        <w:t>Moffat</w:t>
      </w:r>
      <w:proofErr w:type="spellEnd"/>
      <w:r w:rsidR="004D1254" w:rsidRPr="00E66750">
        <w:rPr>
          <w:i/>
          <w:szCs w:val="24"/>
          <w:lang w:val="fr-CA"/>
        </w:rPr>
        <w:t xml:space="preserve"> </w:t>
      </w:r>
      <w:r w:rsidR="002F6317" w:rsidRPr="00E66750">
        <w:rPr>
          <w:i/>
          <w:szCs w:val="24"/>
          <w:lang w:val="fr-CA"/>
        </w:rPr>
        <w:t>c.</w:t>
      </w:r>
      <w:r w:rsidR="004D1254" w:rsidRPr="00E66750">
        <w:rPr>
          <w:i/>
          <w:szCs w:val="24"/>
          <w:lang w:val="fr-CA"/>
        </w:rPr>
        <w:t xml:space="preserve"> </w:t>
      </w:r>
      <w:proofErr w:type="spellStart"/>
      <w:r w:rsidR="004D1254" w:rsidRPr="00E66750">
        <w:rPr>
          <w:i/>
          <w:szCs w:val="24"/>
          <w:lang w:val="fr-CA"/>
        </w:rPr>
        <w:t>Wetstein</w:t>
      </w:r>
      <w:proofErr w:type="spellEnd"/>
      <w:r w:rsidR="004D1254" w:rsidRPr="00E66750">
        <w:rPr>
          <w:szCs w:val="24"/>
          <w:lang w:val="fr-CA"/>
        </w:rPr>
        <w:t xml:space="preserve"> (1996), 29 O.R. (3d) 371; </w:t>
      </w:r>
      <w:r w:rsidR="004D1254" w:rsidRPr="00E66750">
        <w:rPr>
          <w:i/>
          <w:szCs w:val="24"/>
          <w:lang w:val="fr-CA"/>
        </w:rPr>
        <w:t xml:space="preserve">Canadian Pacific </w:t>
      </w:r>
      <w:proofErr w:type="spellStart"/>
      <w:r w:rsidR="004D1254" w:rsidRPr="00E66750">
        <w:rPr>
          <w:i/>
          <w:szCs w:val="24"/>
          <w:lang w:val="fr-CA"/>
        </w:rPr>
        <w:t>Railway</w:t>
      </w:r>
      <w:proofErr w:type="spellEnd"/>
      <w:r w:rsidR="004D1254" w:rsidRPr="00E66750">
        <w:rPr>
          <w:i/>
          <w:szCs w:val="24"/>
          <w:lang w:val="fr-CA"/>
        </w:rPr>
        <w:t xml:space="preserve"> </w:t>
      </w:r>
      <w:r w:rsidR="002F6317" w:rsidRPr="00E66750">
        <w:rPr>
          <w:i/>
          <w:szCs w:val="24"/>
          <w:lang w:val="fr-CA"/>
        </w:rPr>
        <w:t>c.</w:t>
      </w:r>
      <w:r w:rsidR="004D1254" w:rsidRPr="00E66750">
        <w:rPr>
          <w:i/>
          <w:szCs w:val="24"/>
          <w:lang w:val="fr-CA"/>
        </w:rPr>
        <w:t xml:space="preserve"> </w:t>
      </w:r>
      <w:proofErr w:type="spellStart"/>
      <w:r w:rsidR="004D1254" w:rsidRPr="00E66750">
        <w:rPr>
          <w:i/>
          <w:szCs w:val="24"/>
          <w:lang w:val="fr-CA"/>
        </w:rPr>
        <w:t>Aikins</w:t>
      </w:r>
      <w:proofErr w:type="spellEnd"/>
      <w:r w:rsidR="004D1254" w:rsidRPr="00E66750">
        <w:rPr>
          <w:i/>
          <w:szCs w:val="24"/>
          <w:lang w:val="fr-CA"/>
        </w:rPr>
        <w:t xml:space="preserve">, </w:t>
      </w:r>
      <w:proofErr w:type="spellStart"/>
      <w:r w:rsidR="004D1254" w:rsidRPr="00E66750">
        <w:rPr>
          <w:i/>
          <w:szCs w:val="24"/>
          <w:lang w:val="fr-CA"/>
        </w:rPr>
        <w:t>MacAulay</w:t>
      </w:r>
      <w:proofErr w:type="spellEnd"/>
      <w:r w:rsidR="004D1254" w:rsidRPr="00E66750">
        <w:rPr>
          <w:i/>
          <w:szCs w:val="24"/>
          <w:lang w:val="fr-CA"/>
        </w:rPr>
        <w:t xml:space="preserve"> &amp; </w:t>
      </w:r>
      <w:proofErr w:type="spellStart"/>
      <w:r w:rsidR="004D1254" w:rsidRPr="00E66750">
        <w:rPr>
          <w:i/>
          <w:szCs w:val="24"/>
          <w:lang w:val="fr-CA"/>
        </w:rPr>
        <w:t>Thorvaldson</w:t>
      </w:r>
      <w:proofErr w:type="spellEnd"/>
      <w:r w:rsidR="004D1254" w:rsidRPr="00E66750">
        <w:rPr>
          <w:szCs w:val="24"/>
          <w:lang w:val="fr-CA"/>
        </w:rPr>
        <w:t xml:space="preserve"> (1998), 23 C.P.C. (4th) 55; </w:t>
      </w:r>
      <w:r w:rsidR="004D1254" w:rsidRPr="00E66750">
        <w:rPr>
          <w:i/>
          <w:szCs w:val="24"/>
          <w:lang w:val="fr-CA"/>
        </w:rPr>
        <w:t xml:space="preserve">De </w:t>
      </w:r>
      <w:proofErr w:type="spellStart"/>
      <w:r w:rsidR="004D1254" w:rsidRPr="00E66750">
        <w:rPr>
          <w:i/>
          <w:szCs w:val="24"/>
          <w:lang w:val="fr-CA"/>
        </w:rPr>
        <w:t>Beers</w:t>
      </w:r>
      <w:proofErr w:type="spellEnd"/>
      <w:r w:rsidR="004D1254" w:rsidRPr="00E66750">
        <w:rPr>
          <w:i/>
          <w:szCs w:val="24"/>
          <w:lang w:val="fr-CA"/>
        </w:rPr>
        <w:t xml:space="preserve"> Canada Inc. </w:t>
      </w:r>
      <w:r w:rsidR="002F6317" w:rsidRPr="00E66750">
        <w:rPr>
          <w:i/>
          <w:szCs w:val="24"/>
          <w:lang w:val="fr-CA"/>
        </w:rPr>
        <w:t>c.</w:t>
      </w:r>
      <w:r w:rsidR="004D1254" w:rsidRPr="00E66750">
        <w:rPr>
          <w:i/>
          <w:szCs w:val="24"/>
          <w:lang w:val="fr-CA"/>
        </w:rPr>
        <w:t xml:space="preserve"> Shore Gold Inc.</w:t>
      </w:r>
      <w:r w:rsidR="004D1254" w:rsidRPr="00E66750">
        <w:rPr>
          <w:szCs w:val="24"/>
          <w:lang w:val="fr-CA"/>
        </w:rPr>
        <w:t xml:space="preserve">, 2006 SKQB 101, 278 </w:t>
      </w:r>
      <w:proofErr w:type="spellStart"/>
      <w:r w:rsidR="004D1254" w:rsidRPr="00E66750">
        <w:rPr>
          <w:szCs w:val="24"/>
          <w:lang w:val="fr-CA"/>
        </w:rPr>
        <w:t>Sask</w:t>
      </w:r>
      <w:proofErr w:type="spellEnd"/>
      <w:r w:rsidR="004D1254" w:rsidRPr="00E66750">
        <w:rPr>
          <w:szCs w:val="24"/>
          <w:lang w:val="fr-CA"/>
        </w:rPr>
        <w:t xml:space="preserve">. R. 171; </w:t>
      </w:r>
      <w:proofErr w:type="spellStart"/>
      <w:r w:rsidR="004D1254" w:rsidRPr="00E66750">
        <w:rPr>
          <w:i/>
          <w:szCs w:val="24"/>
          <w:lang w:val="fr-CA"/>
        </w:rPr>
        <w:t>Toddglen</w:t>
      </w:r>
      <w:proofErr w:type="spellEnd"/>
      <w:r w:rsidR="004D1254" w:rsidRPr="00E66750">
        <w:rPr>
          <w:i/>
          <w:szCs w:val="24"/>
          <w:lang w:val="fr-CA"/>
        </w:rPr>
        <w:t xml:space="preserve"> Construction Ltd. </w:t>
      </w:r>
      <w:r w:rsidR="002F6317" w:rsidRPr="00E66750">
        <w:rPr>
          <w:i/>
          <w:szCs w:val="24"/>
          <w:lang w:val="fr-CA"/>
        </w:rPr>
        <w:t>c.</w:t>
      </w:r>
      <w:r w:rsidR="004D1254" w:rsidRPr="00E66750">
        <w:rPr>
          <w:i/>
          <w:szCs w:val="24"/>
          <w:lang w:val="fr-CA"/>
        </w:rPr>
        <w:t xml:space="preserve"> Concord </w:t>
      </w:r>
      <w:proofErr w:type="spellStart"/>
      <w:r w:rsidR="004D1254" w:rsidRPr="00E66750">
        <w:rPr>
          <w:i/>
          <w:szCs w:val="24"/>
          <w:lang w:val="fr-CA"/>
        </w:rPr>
        <w:t>Adex</w:t>
      </w:r>
      <w:proofErr w:type="spellEnd"/>
      <w:r w:rsidR="004D1254" w:rsidRPr="00E66750">
        <w:rPr>
          <w:i/>
          <w:szCs w:val="24"/>
          <w:lang w:val="fr-CA"/>
        </w:rPr>
        <w:t xml:space="preserve"> </w:t>
      </w:r>
      <w:proofErr w:type="spellStart"/>
      <w:r w:rsidR="004D1254" w:rsidRPr="00E66750">
        <w:rPr>
          <w:i/>
          <w:szCs w:val="24"/>
          <w:lang w:val="fr-CA"/>
        </w:rPr>
        <w:t>Developments</w:t>
      </w:r>
      <w:proofErr w:type="spellEnd"/>
      <w:r w:rsidR="004D1254" w:rsidRPr="00E66750">
        <w:rPr>
          <w:i/>
          <w:szCs w:val="24"/>
          <w:lang w:val="fr-CA"/>
        </w:rPr>
        <w:t xml:space="preserve"> Cor</w:t>
      </w:r>
      <w:r w:rsidR="00174CA9" w:rsidRPr="00E66750">
        <w:rPr>
          <w:i/>
          <w:szCs w:val="24"/>
          <w:lang w:val="fr-CA"/>
        </w:rPr>
        <w:t>p. </w:t>
      </w:r>
      <w:r w:rsidR="004D1254" w:rsidRPr="00E66750">
        <w:rPr>
          <w:szCs w:val="24"/>
        </w:rPr>
        <w:t>(2004), 34 C.L.R. (3d) 111.</w:t>
      </w:r>
    </w:p>
    <w:p w:rsidR="004D7D95" w:rsidRPr="00E66750" w:rsidRDefault="004D7D95" w:rsidP="00F301E8">
      <w:pPr>
        <w:pStyle w:val="SCCNormalDoubleSpacing"/>
        <w:keepNext/>
        <w:spacing w:after="720" w:line="240" w:lineRule="auto"/>
        <w:rPr>
          <w:b/>
          <w:lang w:val="fr-FR"/>
        </w:rPr>
      </w:pPr>
      <w:r w:rsidRPr="00E66750">
        <w:rPr>
          <w:b/>
          <w:lang w:val="fr-FR"/>
        </w:rPr>
        <w:t>Doctrine et autres documents cités</w:t>
      </w:r>
    </w:p>
    <w:p w:rsidR="004D1254" w:rsidRPr="00B96672" w:rsidRDefault="004D1254" w:rsidP="00F301E8">
      <w:pPr>
        <w:pStyle w:val="SCCNormalDoubleSpacing"/>
        <w:spacing w:after="240" w:line="240" w:lineRule="auto"/>
        <w:ind w:left="547" w:hanging="547"/>
        <w:rPr>
          <w:lang w:val="fr-CA"/>
        </w:rPr>
      </w:pPr>
      <w:r w:rsidRPr="00081168">
        <w:rPr>
          <w:lang w:val="fr-CA"/>
        </w:rPr>
        <w:t xml:space="preserve">American Law Institute.  </w:t>
      </w:r>
      <w:r w:rsidRPr="00E66750">
        <w:rPr>
          <w:i/>
        </w:rPr>
        <w:t>Restatement of the Law</w:t>
      </w:r>
      <w:r w:rsidR="008F5D9D">
        <w:rPr>
          <w:i/>
        </w:rPr>
        <w:t>,</w:t>
      </w:r>
      <w:r w:rsidRPr="00E66750">
        <w:rPr>
          <w:i/>
        </w:rPr>
        <w:t xml:space="preserve"> </w:t>
      </w:r>
      <w:proofErr w:type="gramStart"/>
      <w:r w:rsidRPr="00E66750">
        <w:rPr>
          <w:i/>
        </w:rPr>
        <w:t>Third</w:t>
      </w:r>
      <w:r w:rsidR="00174CA9" w:rsidRPr="00E66750">
        <w:rPr>
          <w:i/>
        </w:rPr>
        <w:t> :</w:t>
      </w:r>
      <w:proofErr w:type="gramEnd"/>
      <w:r w:rsidRPr="00E66750">
        <w:rPr>
          <w:i/>
        </w:rPr>
        <w:t xml:space="preserve"> The Law Governing Lawyers</w:t>
      </w:r>
      <w:r w:rsidRPr="00E66750">
        <w:t xml:space="preserve">, </w:t>
      </w:r>
      <w:r w:rsidR="00174CA9" w:rsidRPr="00E66750">
        <w:t>vol. </w:t>
      </w:r>
      <w:r w:rsidRPr="00E66750">
        <w:t xml:space="preserve">2.  </w:t>
      </w:r>
      <w:r w:rsidR="00F301E8" w:rsidRPr="00B96672">
        <w:rPr>
          <w:lang w:val="fr-CA"/>
        </w:rPr>
        <w:t>St. </w:t>
      </w:r>
      <w:r w:rsidRPr="00B96672">
        <w:rPr>
          <w:lang w:val="fr-CA"/>
        </w:rPr>
        <w:t xml:space="preserve">Paul, </w:t>
      </w:r>
      <w:proofErr w:type="spellStart"/>
      <w:r w:rsidRPr="00B96672">
        <w:rPr>
          <w:lang w:val="fr-CA"/>
        </w:rPr>
        <w:t>Minn</w:t>
      </w:r>
      <w:proofErr w:type="spellEnd"/>
      <w:r w:rsidRPr="00B96672">
        <w:rPr>
          <w:lang w:val="fr-CA"/>
        </w:rPr>
        <w:t>.</w:t>
      </w:r>
      <w:r w:rsidR="00174CA9" w:rsidRPr="00B96672">
        <w:rPr>
          <w:lang w:val="fr-CA"/>
        </w:rPr>
        <w:t> :</w:t>
      </w:r>
      <w:r w:rsidRPr="00B96672">
        <w:rPr>
          <w:lang w:val="fr-CA"/>
        </w:rPr>
        <w:t xml:space="preserve"> American Law Institute </w:t>
      </w:r>
      <w:proofErr w:type="spellStart"/>
      <w:r w:rsidRPr="00B96672">
        <w:rPr>
          <w:lang w:val="fr-CA"/>
        </w:rPr>
        <w:t>Publishers</w:t>
      </w:r>
      <w:proofErr w:type="spellEnd"/>
      <w:r w:rsidRPr="00B96672">
        <w:rPr>
          <w:lang w:val="fr-CA"/>
        </w:rPr>
        <w:t>, 2000.</w:t>
      </w:r>
    </w:p>
    <w:p w:rsidR="004351C2" w:rsidRPr="00E66750" w:rsidRDefault="004351C2" w:rsidP="00F301E8">
      <w:pPr>
        <w:pStyle w:val="SCCNormalDoubleSpacing"/>
        <w:spacing w:after="240" w:line="240" w:lineRule="auto"/>
        <w:ind w:left="547" w:hanging="547"/>
        <w:rPr>
          <w:lang w:val="fr-CA"/>
        </w:rPr>
      </w:pPr>
      <w:r w:rsidRPr="00E66750">
        <w:rPr>
          <w:lang w:val="fr-CA"/>
        </w:rPr>
        <w:t xml:space="preserve">Barreau du </w:t>
      </w:r>
      <w:proofErr w:type="spellStart"/>
      <w:r w:rsidRPr="00E66750">
        <w:rPr>
          <w:lang w:val="fr-CA"/>
        </w:rPr>
        <w:t>Haut</w:t>
      </w:r>
      <w:r w:rsidR="00174CA9" w:rsidRPr="00E66750">
        <w:rPr>
          <w:lang w:val="fr-CA"/>
        </w:rPr>
        <w:noBreakHyphen/>
      </w:r>
      <w:r w:rsidRPr="00E66750">
        <w:rPr>
          <w:lang w:val="fr-CA"/>
        </w:rPr>
        <w:t>Canada</w:t>
      </w:r>
      <w:proofErr w:type="spellEnd"/>
      <w:r w:rsidRPr="00E66750">
        <w:rPr>
          <w:lang w:val="fr-CA"/>
        </w:rPr>
        <w:t xml:space="preserve">.  </w:t>
      </w:r>
      <w:r w:rsidRPr="00E66750">
        <w:rPr>
          <w:i/>
          <w:lang w:val="fr-CA"/>
        </w:rPr>
        <w:t>Code de déontologie</w:t>
      </w:r>
      <w:r w:rsidRPr="00E66750">
        <w:rPr>
          <w:lang w:val="fr-CA"/>
        </w:rPr>
        <w:t xml:space="preserve">, mis à jour </w:t>
      </w:r>
      <w:r w:rsidR="008F5D9D">
        <w:rPr>
          <w:lang w:val="fr-CA"/>
        </w:rPr>
        <w:t xml:space="preserve">le </w:t>
      </w:r>
      <w:r w:rsidRPr="00E66750">
        <w:rPr>
          <w:lang w:val="fr-CA"/>
        </w:rPr>
        <w:t>24</w:t>
      </w:r>
      <w:r w:rsidR="00F301E8" w:rsidRPr="00E66750">
        <w:rPr>
          <w:lang w:val="fr-CA"/>
        </w:rPr>
        <w:t> </w:t>
      </w:r>
      <w:r w:rsidRPr="00E66750">
        <w:rPr>
          <w:lang w:val="fr-CA"/>
        </w:rPr>
        <w:t>janvier 2013, règle</w:t>
      </w:r>
      <w:r w:rsidR="00F301E8" w:rsidRPr="00E66750">
        <w:rPr>
          <w:lang w:val="fr-CA"/>
        </w:rPr>
        <w:t> </w:t>
      </w:r>
      <w:proofErr w:type="gramStart"/>
      <w:r w:rsidRPr="00E66750">
        <w:rPr>
          <w:lang w:val="fr-CA"/>
        </w:rPr>
        <w:t>2.02(</w:t>
      </w:r>
      <w:proofErr w:type="gramEnd"/>
      <w:r w:rsidRPr="00E66750">
        <w:rPr>
          <w:lang w:val="fr-CA"/>
        </w:rPr>
        <w:t>6.1), (6.2) (en ligne</w:t>
      </w:r>
      <w:r w:rsidR="00174CA9" w:rsidRPr="00E66750">
        <w:rPr>
          <w:lang w:val="fr-CA"/>
        </w:rPr>
        <w:t> :</w:t>
      </w:r>
      <w:r w:rsidRPr="00E66750">
        <w:rPr>
          <w:lang w:val="fr-CA"/>
        </w:rPr>
        <w:t xml:space="preserve"> http://www.lsuc.on.ca).</w:t>
      </w:r>
    </w:p>
    <w:p w:rsidR="00F8038C" w:rsidRPr="00E66750" w:rsidRDefault="00F8038C" w:rsidP="00F301E8">
      <w:pPr>
        <w:pStyle w:val="SCCNormalDoubleSpacing"/>
        <w:spacing w:after="240" w:line="240" w:lineRule="auto"/>
        <w:ind w:left="547" w:hanging="547"/>
      </w:pPr>
      <w:proofErr w:type="spellStart"/>
      <w:r w:rsidRPr="00E66750">
        <w:t>Dodek</w:t>
      </w:r>
      <w:proofErr w:type="spellEnd"/>
      <w:r w:rsidRPr="00E66750">
        <w:t xml:space="preserve">, </w:t>
      </w:r>
      <w:r w:rsidR="00CC397D" w:rsidRPr="00E66750">
        <w:t>A</w:t>
      </w:r>
      <w:r w:rsidR="00A64AB8" w:rsidRPr="00E66750">
        <w:t>dam</w:t>
      </w:r>
      <w:r w:rsidR="00CC397D" w:rsidRPr="00E66750">
        <w:t>.  « </w:t>
      </w:r>
      <w:r w:rsidRPr="00E66750">
        <w:t xml:space="preserve">Conflicted </w:t>
      </w:r>
      <w:proofErr w:type="gramStart"/>
      <w:r w:rsidRPr="00E66750">
        <w:t>Identities</w:t>
      </w:r>
      <w:r w:rsidR="00174CA9" w:rsidRPr="00E66750">
        <w:t> :</w:t>
      </w:r>
      <w:proofErr w:type="gramEnd"/>
      <w:r w:rsidRPr="00E66750">
        <w:t xml:space="preserve"> The Battle over the Duty of Loyalty in Canada</w:t>
      </w:r>
      <w:r w:rsidR="00CC397D" w:rsidRPr="00E66750">
        <w:t xml:space="preserve"> » </w:t>
      </w:r>
      <w:r w:rsidRPr="00E66750">
        <w:t xml:space="preserve">(2011), 14 </w:t>
      </w:r>
      <w:r w:rsidRPr="00E66750">
        <w:rPr>
          <w:i/>
        </w:rPr>
        <w:t>Legal Ethics</w:t>
      </w:r>
      <w:r w:rsidRPr="00E66750">
        <w:t xml:space="preserve"> 193.</w:t>
      </w:r>
    </w:p>
    <w:p w:rsidR="00871365" w:rsidRPr="00E66750" w:rsidRDefault="00871365" w:rsidP="00F301E8">
      <w:pPr>
        <w:pStyle w:val="SCCNormalDoubleSpacing"/>
        <w:spacing w:after="240" w:line="240" w:lineRule="auto"/>
        <w:ind w:left="547" w:hanging="547"/>
      </w:pPr>
      <w:proofErr w:type="gramStart"/>
      <w:r w:rsidRPr="00E66750">
        <w:t>Law Society of Alberta.</w:t>
      </w:r>
      <w:proofErr w:type="gramEnd"/>
      <w:r w:rsidRPr="00E66750">
        <w:t xml:space="preserve">  </w:t>
      </w:r>
      <w:r w:rsidRPr="00E66750">
        <w:rPr>
          <w:i/>
        </w:rPr>
        <w:t>Code of Conduct</w:t>
      </w:r>
      <w:r w:rsidRPr="00E66750">
        <w:t>, version 2013_V1, r</w:t>
      </w:r>
      <w:r w:rsidR="00F301E8" w:rsidRPr="00E66750">
        <w:t>. </w:t>
      </w:r>
      <w:r w:rsidRPr="00E66750">
        <w:t>2.01(2), Commentary (</w:t>
      </w:r>
      <w:proofErr w:type="gramStart"/>
      <w:r w:rsidRPr="00E66750">
        <w:t>online</w:t>
      </w:r>
      <w:r w:rsidR="00174CA9" w:rsidRPr="00E66750">
        <w:t> :</w:t>
      </w:r>
      <w:proofErr w:type="gramEnd"/>
      <w:r w:rsidRPr="00E66750">
        <w:t xml:space="preserve"> http://www.lawsocietyalberta.com).</w:t>
      </w:r>
    </w:p>
    <w:p w:rsidR="004D1254" w:rsidRPr="00E66750" w:rsidRDefault="004D1254" w:rsidP="00F301E8">
      <w:pPr>
        <w:pStyle w:val="SCCNormalDoubleSpacing"/>
        <w:spacing w:after="240" w:line="240" w:lineRule="auto"/>
        <w:ind w:left="547" w:hanging="547"/>
      </w:pPr>
      <w:proofErr w:type="gramStart"/>
      <w:r w:rsidRPr="00E66750">
        <w:t>Law Society of Saskatchewan.</w:t>
      </w:r>
      <w:proofErr w:type="gramEnd"/>
      <w:r w:rsidRPr="00E66750">
        <w:t xml:space="preserve">  </w:t>
      </w:r>
      <w:proofErr w:type="gramStart"/>
      <w:r w:rsidRPr="00E66750">
        <w:rPr>
          <w:i/>
        </w:rPr>
        <w:t>Code of Professional Conduct</w:t>
      </w:r>
      <w:r w:rsidRPr="00E66750">
        <w:t>.</w:t>
      </w:r>
      <w:proofErr w:type="gramEnd"/>
      <w:r w:rsidRPr="00E66750">
        <w:t xml:space="preserve">  </w:t>
      </w:r>
      <w:proofErr w:type="gramStart"/>
      <w:r w:rsidRPr="00E66750">
        <w:t>Regina</w:t>
      </w:r>
      <w:r w:rsidR="00174CA9" w:rsidRPr="00E66750">
        <w:t> :</w:t>
      </w:r>
      <w:proofErr w:type="gramEnd"/>
      <w:r w:rsidRPr="00E66750">
        <w:t xml:space="preserve"> The Society, 1991 (online</w:t>
      </w:r>
      <w:r w:rsidR="00174CA9" w:rsidRPr="00E66750">
        <w:t> :</w:t>
      </w:r>
      <w:r w:rsidRPr="00E66750">
        <w:t xml:space="preserve"> http://www.lawsociety.sk.ca).</w:t>
      </w:r>
    </w:p>
    <w:p w:rsidR="004D1254" w:rsidRPr="00E66750" w:rsidRDefault="004D1254" w:rsidP="00F301E8">
      <w:pPr>
        <w:pStyle w:val="SCCNormalDoubleSpacing"/>
        <w:spacing w:after="240" w:line="240" w:lineRule="auto"/>
        <w:ind w:left="547" w:hanging="547"/>
      </w:pPr>
      <w:r w:rsidRPr="00E66750">
        <w:t xml:space="preserve">Nightingale, J.  </w:t>
      </w:r>
      <w:r w:rsidRPr="00E66750">
        <w:rPr>
          <w:i/>
        </w:rPr>
        <w:t xml:space="preserve">Report of the Proceedings before the House of Lords, on a Bill of Pains and Penalties against Her Majesty, Caroline Amelia Elizabeth, Queen of </w:t>
      </w:r>
      <w:r w:rsidRPr="00E66750">
        <w:rPr>
          <w:i/>
        </w:rPr>
        <w:lastRenderedPageBreak/>
        <w:t>Great Britain, and Consort of King George the Fourth</w:t>
      </w:r>
      <w:r w:rsidRPr="00E66750">
        <w:t xml:space="preserve">, </w:t>
      </w:r>
      <w:r w:rsidR="00174CA9" w:rsidRPr="00E66750">
        <w:t>vol. </w:t>
      </w:r>
      <w:r w:rsidRPr="00E66750">
        <w:t xml:space="preserve">II.  </w:t>
      </w:r>
      <w:proofErr w:type="gramStart"/>
      <w:r w:rsidRPr="00E66750">
        <w:t>London</w:t>
      </w:r>
      <w:r w:rsidR="00174CA9" w:rsidRPr="00E66750">
        <w:t> :</w:t>
      </w:r>
      <w:proofErr w:type="gramEnd"/>
      <w:r w:rsidR="00F301E8" w:rsidRPr="00E66750">
        <w:t xml:space="preserve"> J. </w:t>
      </w:r>
      <w:r w:rsidRPr="00E66750">
        <w:t>Robins, 1821.</w:t>
      </w:r>
    </w:p>
    <w:p w:rsidR="00871365" w:rsidRPr="00E66750" w:rsidRDefault="00871365" w:rsidP="00F301E8">
      <w:pPr>
        <w:pStyle w:val="SCCNormalDoubleSpacing"/>
        <w:spacing w:after="240" w:line="240" w:lineRule="auto"/>
        <w:ind w:left="547" w:hanging="547"/>
      </w:pPr>
      <w:proofErr w:type="gramStart"/>
      <w:r w:rsidRPr="00E66750">
        <w:t>Nova Scotia Barristers’ Society.</w:t>
      </w:r>
      <w:proofErr w:type="gramEnd"/>
      <w:r w:rsidRPr="00E66750">
        <w:t xml:space="preserve">  </w:t>
      </w:r>
      <w:r w:rsidRPr="00E66750">
        <w:rPr>
          <w:i/>
        </w:rPr>
        <w:t xml:space="preserve">Code of Professional </w:t>
      </w:r>
      <w:proofErr w:type="gramStart"/>
      <w:r w:rsidRPr="00E66750">
        <w:rPr>
          <w:i/>
        </w:rPr>
        <w:t>Conduct</w:t>
      </w:r>
      <w:r w:rsidR="00F301E8" w:rsidRPr="00E66750">
        <w:t>,</w:t>
      </w:r>
      <w:proofErr w:type="gramEnd"/>
      <w:r w:rsidR="00F301E8" w:rsidRPr="00E66750">
        <w:t xml:space="preserve"> updated February </w:t>
      </w:r>
      <w:r w:rsidRPr="00E66750">
        <w:t xml:space="preserve">22, 2013, </w:t>
      </w:r>
      <w:proofErr w:type="spellStart"/>
      <w:r w:rsidRPr="00E66750">
        <w:t>rr</w:t>
      </w:r>
      <w:proofErr w:type="spellEnd"/>
      <w:r w:rsidRPr="00E66750">
        <w:t>. 3.2</w:t>
      </w:r>
      <w:r w:rsidR="00174CA9" w:rsidRPr="00E66750">
        <w:noBreakHyphen/>
      </w:r>
      <w:r w:rsidRPr="00E66750">
        <w:t>1A, 7.2</w:t>
      </w:r>
      <w:r w:rsidR="00174CA9" w:rsidRPr="00E66750">
        <w:noBreakHyphen/>
      </w:r>
      <w:r w:rsidRPr="00E66750">
        <w:t>6A (</w:t>
      </w:r>
      <w:proofErr w:type="gramStart"/>
      <w:r w:rsidRPr="00E66750">
        <w:t>online</w:t>
      </w:r>
      <w:r w:rsidR="00174CA9" w:rsidRPr="00E66750">
        <w:t> :</w:t>
      </w:r>
      <w:proofErr w:type="gramEnd"/>
      <w:r w:rsidRPr="00E66750">
        <w:t xml:space="preserve"> http://nsbs.org).</w:t>
      </w:r>
    </w:p>
    <w:p w:rsidR="00F8038C" w:rsidRPr="00E66750" w:rsidRDefault="00A64AB8" w:rsidP="00F301E8">
      <w:pPr>
        <w:pStyle w:val="SCCNormalDoubleSpacing"/>
        <w:spacing w:after="720" w:line="240" w:lineRule="auto"/>
        <w:ind w:left="547" w:hanging="547"/>
      </w:pPr>
      <w:r w:rsidRPr="00E66750">
        <w:rPr>
          <w:i/>
        </w:rPr>
        <w:t>Waters’ Law of Trusts in Canada</w:t>
      </w:r>
      <w:r w:rsidR="00F301E8" w:rsidRPr="00E66750">
        <w:t>, 4th ed. by Donovan W. M. </w:t>
      </w:r>
      <w:r w:rsidRPr="00E66750">
        <w:t xml:space="preserve">Waters, Mark R. Gillen and Lionel D. Smith, </w:t>
      </w:r>
      <w:proofErr w:type="gramStart"/>
      <w:r w:rsidRPr="00E66750">
        <w:t>eds</w:t>
      </w:r>
      <w:proofErr w:type="gramEnd"/>
      <w:r w:rsidRPr="00E66750">
        <w:t xml:space="preserve">.  </w:t>
      </w:r>
      <w:proofErr w:type="gramStart"/>
      <w:r w:rsidRPr="00E66750">
        <w:t>Toronto</w:t>
      </w:r>
      <w:r w:rsidR="00174CA9" w:rsidRPr="00E66750">
        <w:t> :</w:t>
      </w:r>
      <w:proofErr w:type="gramEnd"/>
      <w:r w:rsidRPr="00E66750">
        <w:t xml:space="preserve"> </w:t>
      </w:r>
      <w:proofErr w:type="spellStart"/>
      <w:r w:rsidRPr="00E66750">
        <w:t>Carswell</w:t>
      </w:r>
      <w:proofErr w:type="spellEnd"/>
      <w:r w:rsidRPr="00E66750">
        <w:t>, 2012.</w:t>
      </w:r>
    </w:p>
    <w:p w:rsidR="004D7D95" w:rsidRPr="00E66750" w:rsidRDefault="00C10782" w:rsidP="00F301E8">
      <w:pPr>
        <w:pStyle w:val="SCCNormalDoubleSpacing"/>
        <w:spacing w:before="480" w:after="480"/>
        <w:rPr>
          <w:lang w:val="fr-CA"/>
        </w:rPr>
      </w:pPr>
      <w:r w:rsidRPr="00E66750">
        <w:tab/>
      </w:r>
      <w:r w:rsidR="004D7D95" w:rsidRPr="00E66750">
        <w:t xml:space="preserve">POURVOI </w:t>
      </w:r>
      <w:proofErr w:type="spellStart"/>
      <w:r w:rsidR="004D7D95" w:rsidRPr="00E66750">
        <w:t>contre</w:t>
      </w:r>
      <w:proofErr w:type="spellEnd"/>
      <w:r w:rsidR="004D7D95" w:rsidRPr="00E66750">
        <w:t xml:space="preserve"> un </w:t>
      </w:r>
      <w:proofErr w:type="spellStart"/>
      <w:r w:rsidR="004D7D95" w:rsidRPr="00E66750">
        <w:t>arrêt</w:t>
      </w:r>
      <w:proofErr w:type="spellEnd"/>
      <w:r w:rsidR="004D7D95" w:rsidRPr="00E66750">
        <w:t xml:space="preserve"> de la </w:t>
      </w:r>
      <w:proofErr w:type="spellStart"/>
      <w:r w:rsidR="004D7D95" w:rsidRPr="00E66750">
        <w:t>Cour</w:t>
      </w:r>
      <w:proofErr w:type="spellEnd"/>
      <w:r w:rsidR="004D7D95" w:rsidRPr="00E66750">
        <w:t xml:space="preserve"> </w:t>
      </w:r>
      <w:proofErr w:type="spellStart"/>
      <w:r w:rsidR="004D7D95" w:rsidRPr="00E66750">
        <w:t>d</w:t>
      </w:r>
      <w:r w:rsidRPr="00E66750">
        <w:t>’</w:t>
      </w:r>
      <w:r w:rsidR="004D7D95" w:rsidRPr="00E66750">
        <w:t>appel</w:t>
      </w:r>
      <w:proofErr w:type="spellEnd"/>
      <w:r w:rsidR="004D7D95" w:rsidRPr="00E66750">
        <w:t xml:space="preserve"> de la Saskatchewan</w:t>
      </w:r>
      <w:r w:rsidR="00967AE6" w:rsidRPr="00E66750">
        <w:t xml:space="preserve"> (les </w:t>
      </w:r>
      <w:proofErr w:type="spellStart"/>
      <w:r w:rsidR="00967AE6" w:rsidRPr="00E66750">
        <w:t>juges</w:t>
      </w:r>
      <w:proofErr w:type="spellEnd"/>
      <w:r w:rsidR="00967AE6" w:rsidRPr="00E66750">
        <w:t xml:space="preserve"> Lane, </w:t>
      </w:r>
      <w:proofErr w:type="spellStart"/>
      <w:r w:rsidR="00967AE6" w:rsidRPr="00E66750">
        <w:t>Ottenbreit</w:t>
      </w:r>
      <w:proofErr w:type="spellEnd"/>
      <w:r w:rsidR="00967AE6" w:rsidRPr="00E66750">
        <w:t xml:space="preserve"> et Caldwell), 2011 SKCA 108, 375 Sask. R. 218, 340 D.L.R. (4th) 402, [2012] 1 W.W.R. 251, 9 C.P.C. (7th) 292, 525 W.A.C. 218, [2011] S.J. </w:t>
      </w:r>
      <w:r w:rsidR="00174CA9" w:rsidRPr="00E66750">
        <w:t>No. </w:t>
      </w:r>
      <w:r w:rsidR="00967AE6" w:rsidRPr="00E66750">
        <w:t xml:space="preserve">589 (QL), 2011 </w:t>
      </w:r>
      <w:proofErr w:type="spellStart"/>
      <w:r w:rsidR="00967AE6" w:rsidRPr="00E66750">
        <w:t>CarswellSask</w:t>
      </w:r>
      <w:proofErr w:type="spellEnd"/>
      <w:r w:rsidR="00967AE6" w:rsidRPr="00E66750">
        <w:t xml:space="preserve"> 625,</w:t>
      </w:r>
      <w:r w:rsidR="00910816" w:rsidRPr="00E66750">
        <w:t xml:space="preserve"> </w:t>
      </w:r>
      <w:r w:rsidR="00967AE6" w:rsidRPr="00E66750">
        <w:t xml:space="preserve">qui a </w:t>
      </w:r>
      <w:proofErr w:type="spellStart"/>
      <w:r w:rsidR="00967AE6" w:rsidRPr="00E66750">
        <w:t>infirmé</w:t>
      </w:r>
      <w:proofErr w:type="spellEnd"/>
      <w:r w:rsidR="00967AE6" w:rsidRPr="00E66750">
        <w:t xml:space="preserve"> </w:t>
      </w:r>
      <w:proofErr w:type="spellStart"/>
      <w:r w:rsidR="00967AE6" w:rsidRPr="00E66750">
        <w:t>une</w:t>
      </w:r>
      <w:proofErr w:type="spellEnd"/>
      <w:r w:rsidR="00967AE6" w:rsidRPr="00E66750">
        <w:t xml:space="preserve"> </w:t>
      </w:r>
      <w:proofErr w:type="spellStart"/>
      <w:r w:rsidR="00967AE6" w:rsidRPr="00E66750">
        <w:t>décision</w:t>
      </w:r>
      <w:proofErr w:type="spellEnd"/>
      <w:r w:rsidR="00967AE6" w:rsidRPr="00E66750">
        <w:t xml:space="preserve"> du </w:t>
      </w:r>
      <w:proofErr w:type="spellStart"/>
      <w:r w:rsidR="00967AE6" w:rsidRPr="00E66750">
        <w:t>juge</w:t>
      </w:r>
      <w:proofErr w:type="spellEnd"/>
      <w:r w:rsidR="00967AE6" w:rsidRPr="00E66750">
        <w:t xml:space="preserve"> </w:t>
      </w:r>
      <w:proofErr w:type="spellStart"/>
      <w:r w:rsidR="00967AE6" w:rsidRPr="00E66750">
        <w:t>Popescul</w:t>
      </w:r>
      <w:proofErr w:type="spellEnd"/>
      <w:r w:rsidR="00967AE6" w:rsidRPr="00E66750">
        <w:t xml:space="preserve">, 2009 SKQB 369, 344 Sask. R. 3, [2009] 12 W.W.R. 157, 77 C.P.C. (6th) 24, [2009] S.J. </w:t>
      </w:r>
      <w:r w:rsidR="00174CA9" w:rsidRPr="00E66750">
        <w:t>No. </w:t>
      </w:r>
      <w:r w:rsidR="00967AE6" w:rsidRPr="00E66750">
        <w:t xml:space="preserve">549 (QL), 2009 </w:t>
      </w:r>
      <w:proofErr w:type="spellStart"/>
      <w:r w:rsidR="00967AE6" w:rsidRPr="00E66750">
        <w:t>CarswellSask</w:t>
      </w:r>
      <w:proofErr w:type="spellEnd"/>
      <w:r w:rsidR="00967AE6" w:rsidRPr="00E66750">
        <w:t xml:space="preserve"> 610 (</w:t>
      </w:r>
      <w:r w:rsidR="00967AE6" w:rsidRPr="00E66750">
        <w:rPr>
          <w:i/>
        </w:rPr>
        <w:t xml:space="preserve">sub nom. </w:t>
      </w:r>
      <w:r w:rsidR="00967AE6" w:rsidRPr="00E66750">
        <w:rPr>
          <w:i/>
          <w:lang w:val="fr-CA"/>
        </w:rPr>
        <w:t xml:space="preserve">Wallace c. Canadian Pacific </w:t>
      </w:r>
      <w:proofErr w:type="spellStart"/>
      <w:r w:rsidR="00967AE6" w:rsidRPr="00E66750">
        <w:rPr>
          <w:i/>
          <w:lang w:val="fr-CA"/>
        </w:rPr>
        <w:t>Railway</w:t>
      </w:r>
      <w:proofErr w:type="spellEnd"/>
      <w:r w:rsidR="00967AE6" w:rsidRPr="00E66750">
        <w:rPr>
          <w:lang w:val="fr-CA"/>
        </w:rPr>
        <w:t>).</w:t>
      </w:r>
      <w:r w:rsidRPr="00E66750">
        <w:rPr>
          <w:lang w:val="fr-CA"/>
        </w:rPr>
        <w:t xml:space="preserve">  Pourvoi </w:t>
      </w:r>
      <w:r w:rsidR="00056334" w:rsidRPr="00E66750">
        <w:rPr>
          <w:lang w:val="fr-CA"/>
        </w:rPr>
        <w:t>accueilli</w:t>
      </w:r>
      <w:r w:rsidRPr="00E66750">
        <w:rPr>
          <w:lang w:val="fr-CA"/>
        </w:rPr>
        <w:t>.</w:t>
      </w:r>
    </w:p>
    <w:p w:rsidR="00527C89" w:rsidRPr="00E66750" w:rsidRDefault="00C10782" w:rsidP="00F301E8">
      <w:pPr>
        <w:pStyle w:val="SCCNormalDoubleSpacing"/>
        <w:spacing w:before="480" w:after="480"/>
        <w:rPr>
          <w:lang w:val="fr-CA"/>
        </w:rPr>
      </w:pPr>
      <w:r w:rsidRPr="00E66750">
        <w:rPr>
          <w:i/>
          <w:lang w:val="fr-CA"/>
        </w:rPr>
        <w:tab/>
        <w:t>Douglas </w:t>
      </w:r>
      <w:r w:rsidR="00467747" w:rsidRPr="00E66750">
        <w:rPr>
          <w:i/>
          <w:lang w:val="fr-CA"/>
        </w:rPr>
        <w:t>C. Hodson</w:t>
      </w:r>
      <w:r w:rsidR="00467747" w:rsidRPr="00E66750">
        <w:rPr>
          <w:lang w:val="fr-CA"/>
        </w:rPr>
        <w:t xml:space="preserve">, </w:t>
      </w:r>
      <w:proofErr w:type="gramStart"/>
      <w:r w:rsidRPr="00E66750">
        <w:rPr>
          <w:i/>
          <w:lang w:val="fr-CA"/>
        </w:rPr>
        <w:t>c.r.</w:t>
      </w:r>
      <w:r w:rsidR="00467747" w:rsidRPr="00E66750">
        <w:rPr>
          <w:lang w:val="fr-CA"/>
        </w:rPr>
        <w:t>,</w:t>
      </w:r>
      <w:proofErr w:type="gramEnd"/>
      <w:r w:rsidR="00467747" w:rsidRPr="00E66750">
        <w:rPr>
          <w:lang w:val="fr-CA"/>
        </w:rPr>
        <w:t xml:space="preserve"> </w:t>
      </w:r>
      <w:r w:rsidR="00467747" w:rsidRPr="00E66750">
        <w:rPr>
          <w:i/>
          <w:lang w:val="fr-CA"/>
        </w:rPr>
        <w:t xml:space="preserve">Vanessa </w:t>
      </w:r>
      <w:proofErr w:type="spellStart"/>
      <w:r w:rsidR="00467747" w:rsidRPr="00E66750">
        <w:rPr>
          <w:i/>
          <w:lang w:val="fr-CA"/>
        </w:rPr>
        <w:t>Monar</w:t>
      </w:r>
      <w:proofErr w:type="spellEnd"/>
      <w:r w:rsidR="00467747" w:rsidRPr="00E66750">
        <w:rPr>
          <w:i/>
          <w:lang w:val="fr-CA"/>
        </w:rPr>
        <w:t xml:space="preserve"> </w:t>
      </w:r>
      <w:proofErr w:type="spellStart"/>
      <w:r w:rsidR="00467747" w:rsidRPr="00E66750">
        <w:rPr>
          <w:i/>
          <w:lang w:val="fr-CA"/>
        </w:rPr>
        <w:t>Enweani</w:t>
      </w:r>
      <w:proofErr w:type="spellEnd"/>
      <w:r w:rsidR="00467747" w:rsidRPr="00E66750">
        <w:rPr>
          <w:lang w:val="fr-CA"/>
        </w:rPr>
        <w:t xml:space="preserve"> et </w:t>
      </w:r>
      <w:r w:rsidRPr="00E66750">
        <w:rPr>
          <w:i/>
          <w:lang w:val="fr-CA"/>
        </w:rPr>
        <w:t>C. </w:t>
      </w:r>
      <w:r w:rsidR="00467747" w:rsidRPr="00E66750">
        <w:rPr>
          <w:i/>
          <w:lang w:val="fr-CA"/>
        </w:rPr>
        <w:t>Ryan Lepage</w:t>
      </w:r>
      <w:r w:rsidR="00467747" w:rsidRPr="00E66750">
        <w:rPr>
          <w:lang w:val="fr-CA"/>
        </w:rPr>
        <w:t>, pour l</w:t>
      </w:r>
      <w:r w:rsidRPr="00E66750">
        <w:rPr>
          <w:lang w:val="fr-CA"/>
        </w:rPr>
        <w:t>’</w:t>
      </w:r>
      <w:r w:rsidR="00467747" w:rsidRPr="00E66750">
        <w:rPr>
          <w:lang w:val="fr-CA"/>
        </w:rPr>
        <w:t>appelante.</w:t>
      </w:r>
    </w:p>
    <w:p w:rsidR="00527C89" w:rsidRPr="00E66750" w:rsidRDefault="00467747" w:rsidP="00F301E8">
      <w:pPr>
        <w:pStyle w:val="SCCNormalDoubleSpacing"/>
        <w:spacing w:before="480" w:after="480"/>
        <w:rPr>
          <w:lang w:val="fr-CA"/>
        </w:rPr>
      </w:pPr>
      <w:r w:rsidRPr="00E66750">
        <w:rPr>
          <w:i/>
          <w:lang w:val="fr-CA"/>
        </w:rPr>
        <w:tab/>
        <w:t xml:space="preserve">Gavin </w:t>
      </w:r>
      <w:proofErr w:type="spellStart"/>
      <w:r w:rsidRPr="00E66750">
        <w:rPr>
          <w:i/>
          <w:lang w:val="fr-CA"/>
        </w:rPr>
        <w:t>MacKenzie</w:t>
      </w:r>
      <w:proofErr w:type="spellEnd"/>
      <w:r w:rsidRPr="00E66750">
        <w:rPr>
          <w:lang w:val="fr-CA"/>
        </w:rPr>
        <w:t xml:space="preserve"> et </w:t>
      </w:r>
      <w:r w:rsidRPr="00E66750">
        <w:rPr>
          <w:i/>
          <w:lang w:val="fr-CA"/>
        </w:rPr>
        <w:t xml:space="preserve">Lauren </w:t>
      </w:r>
      <w:proofErr w:type="spellStart"/>
      <w:r w:rsidRPr="00E66750">
        <w:rPr>
          <w:i/>
          <w:lang w:val="fr-CA"/>
        </w:rPr>
        <w:t>Wihak</w:t>
      </w:r>
      <w:proofErr w:type="spellEnd"/>
      <w:r w:rsidRPr="00E66750">
        <w:rPr>
          <w:lang w:val="fr-CA"/>
        </w:rPr>
        <w:t>, pour l</w:t>
      </w:r>
      <w:r w:rsidR="00C10782" w:rsidRPr="00E66750">
        <w:rPr>
          <w:lang w:val="fr-CA"/>
        </w:rPr>
        <w:t xml:space="preserve">es </w:t>
      </w:r>
      <w:r w:rsidRPr="00E66750">
        <w:rPr>
          <w:lang w:val="fr-CA"/>
        </w:rPr>
        <w:t>intimé</w:t>
      </w:r>
      <w:r w:rsidR="00C10782" w:rsidRPr="00E66750">
        <w:rPr>
          <w:lang w:val="fr-CA"/>
        </w:rPr>
        <w:t>s</w:t>
      </w:r>
      <w:r w:rsidRPr="00E66750">
        <w:rPr>
          <w:lang w:val="fr-CA"/>
        </w:rPr>
        <w:t>.</w:t>
      </w:r>
    </w:p>
    <w:p w:rsidR="00527C89" w:rsidRPr="00E66750" w:rsidRDefault="00C10782" w:rsidP="00F301E8">
      <w:pPr>
        <w:pStyle w:val="SCCNormalDoubleSpacing"/>
        <w:spacing w:before="480" w:after="480"/>
        <w:rPr>
          <w:lang w:val="fr-CA"/>
        </w:rPr>
      </w:pPr>
      <w:r w:rsidRPr="00E66750">
        <w:rPr>
          <w:i/>
          <w:lang w:val="fr-CA"/>
        </w:rPr>
        <w:tab/>
        <w:t>Malcolm </w:t>
      </w:r>
      <w:r w:rsidR="00467747" w:rsidRPr="00E66750">
        <w:rPr>
          <w:i/>
          <w:lang w:val="fr-CA"/>
        </w:rPr>
        <w:t xml:space="preserve">M. </w:t>
      </w:r>
      <w:proofErr w:type="spellStart"/>
      <w:r w:rsidR="00467747" w:rsidRPr="00E66750">
        <w:rPr>
          <w:i/>
          <w:lang w:val="fr-CA"/>
        </w:rPr>
        <w:t>Mercer</w:t>
      </w:r>
      <w:proofErr w:type="spellEnd"/>
      <w:r w:rsidR="00467747" w:rsidRPr="00E66750">
        <w:rPr>
          <w:lang w:val="fr-CA"/>
        </w:rPr>
        <w:t xml:space="preserve">, </w:t>
      </w:r>
      <w:proofErr w:type="spellStart"/>
      <w:r w:rsidRPr="00E66750">
        <w:rPr>
          <w:i/>
          <w:lang w:val="fr-CA"/>
        </w:rPr>
        <w:t>Eric</w:t>
      </w:r>
      <w:proofErr w:type="spellEnd"/>
      <w:r w:rsidRPr="00E66750">
        <w:rPr>
          <w:i/>
          <w:lang w:val="fr-CA"/>
        </w:rPr>
        <w:t> </w:t>
      </w:r>
      <w:r w:rsidR="00467747" w:rsidRPr="00E66750">
        <w:rPr>
          <w:i/>
          <w:lang w:val="fr-CA"/>
        </w:rPr>
        <w:t>S. Block</w:t>
      </w:r>
      <w:r w:rsidR="00467747" w:rsidRPr="00E66750">
        <w:rPr>
          <w:lang w:val="fr-CA"/>
        </w:rPr>
        <w:t xml:space="preserve"> et </w:t>
      </w:r>
      <w:r w:rsidR="00467747" w:rsidRPr="00E66750">
        <w:rPr>
          <w:i/>
          <w:lang w:val="fr-CA"/>
        </w:rPr>
        <w:t xml:space="preserve">Brendan </w:t>
      </w:r>
      <w:proofErr w:type="spellStart"/>
      <w:r w:rsidR="00467747" w:rsidRPr="00E66750">
        <w:rPr>
          <w:i/>
          <w:lang w:val="fr-CA"/>
        </w:rPr>
        <w:t>Brammall</w:t>
      </w:r>
      <w:proofErr w:type="spellEnd"/>
      <w:r w:rsidR="00467747" w:rsidRPr="00E66750">
        <w:rPr>
          <w:lang w:val="fr-CA"/>
        </w:rPr>
        <w:t>, pour l</w:t>
      </w:r>
      <w:r w:rsidRPr="00E66750">
        <w:rPr>
          <w:lang w:val="fr-CA"/>
        </w:rPr>
        <w:t>’</w:t>
      </w:r>
      <w:r w:rsidR="00467747" w:rsidRPr="00E66750">
        <w:rPr>
          <w:lang w:val="fr-CA"/>
        </w:rPr>
        <w:t xml:space="preserve">intervenante </w:t>
      </w:r>
      <w:r w:rsidR="008A316E" w:rsidRPr="00E66750">
        <w:rPr>
          <w:lang w:val="fr-CA"/>
        </w:rPr>
        <w:t>l’</w:t>
      </w:r>
      <w:r w:rsidR="00467747" w:rsidRPr="00E66750">
        <w:rPr>
          <w:lang w:val="fr-CA"/>
        </w:rPr>
        <w:t xml:space="preserve">Association du Barreau </w:t>
      </w:r>
      <w:r w:rsidR="008A316E" w:rsidRPr="00E66750">
        <w:rPr>
          <w:lang w:val="fr-CA"/>
        </w:rPr>
        <w:t>c</w:t>
      </w:r>
      <w:r w:rsidR="00467747" w:rsidRPr="00E66750">
        <w:rPr>
          <w:lang w:val="fr-CA"/>
        </w:rPr>
        <w:t>anadien.</w:t>
      </w:r>
    </w:p>
    <w:p w:rsidR="00527C89" w:rsidRDefault="00467747" w:rsidP="00F301E8">
      <w:pPr>
        <w:pStyle w:val="SCCNormalDoubleSpacing"/>
        <w:spacing w:before="480" w:after="480"/>
        <w:rPr>
          <w:lang w:val="fr-CA"/>
        </w:rPr>
      </w:pPr>
      <w:r w:rsidRPr="00E66750">
        <w:rPr>
          <w:i/>
          <w:lang w:val="fr-CA"/>
        </w:rPr>
        <w:tab/>
        <w:t>John</w:t>
      </w:r>
      <w:r w:rsidR="008A316E" w:rsidRPr="00E66750">
        <w:rPr>
          <w:i/>
          <w:lang w:val="fr-CA"/>
        </w:rPr>
        <w:t> </w:t>
      </w:r>
      <w:r w:rsidRPr="00E66750">
        <w:rPr>
          <w:i/>
          <w:lang w:val="fr-CA"/>
        </w:rPr>
        <w:t>J.</w:t>
      </w:r>
      <w:r w:rsidR="008A316E" w:rsidRPr="00E66750">
        <w:rPr>
          <w:i/>
          <w:lang w:val="fr-CA"/>
        </w:rPr>
        <w:t> </w:t>
      </w:r>
      <w:r w:rsidRPr="00E66750">
        <w:rPr>
          <w:i/>
          <w:lang w:val="fr-CA"/>
        </w:rPr>
        <w:t>L. Hunter</w:t>
      </w:r>
      <w:r w:rsidRPr="00E66750">
        <w:rPr>
          <w:lang w:val="fr-CA"/>
        </w:rPr>
        <w:t xml:space="preserve">, </w:t>
      </w:r>
      <w:proofErr w:type="gramStart"/>
      <w:r w:rsidR="008A316E" w:rsidRPr="00E66750">
        <w:rPr>
          <w:i/>
          <w:lang w:val="fr-CA"/>
        </w:rPr>
        <w:t>c.r.</w:t>
      </w:r>
      <w:r w:rsidR="008A316E" w:rsidRPr="00E66750">
        <w:rPr>
          <w:lang w:val="fr-CA"/>
        </w:rPr>
        <w:t>,</w:t>
      </w:r>
      <w:proofErr w:type="gramEnd"/>
      <w:r w:rsidRPr="00E66750">
        <w:rPr>
          <w:lang w:val="fr-CA"/>
        </w:rPr>
        <w:t xml:space="preserve"> et </w:t>
      </w:r>
      <w:r w:rsidRPr="00E66750">
        <w:rPr>
          <w:i/>
          <w:lang w:val="fr-CA"/>
        </w:rPr>
        <w:t>Stanley Martin</w:t>
      </w:r>
      <w:r w:rsidRPr="00E66750">
        <w:rPr>
          <w:lang w:val="fr-CA"/>
        </w:rPr>
        <w:t>, pour l</w:t>
      </w:r>
      <w:r w:rsidR="00C10782" w:rsidRPr="00E66750">
        <w:rPr>
          <w:lang w:val="fr-CA"/>
        </w:rPr>
        <w:t>’</w:t>
      </w:r>
      <w:r w:rsidRPr="00E66750">
        <w:rPr>
          <w:lang w:val="fr-CA"/>
        </w:rPr>
        <w:t xml:space="preserve">intervenante </w:t>
      </w:r>
      <w:r w:rsidR="008A316E" w:rsidRPr="00E66750">
        <w:rPr>
          <w:lang w:val="fr-CA"/>
        </w:rPr>
        <w:t>la Fédération des ordres professionnels de juristes du Canada</w:t>
      </w:r>
      <w:r w:rsidRPr="00E66750">
        <w:rPr>
          <w:lang w:val="fr-CA"/>
        </w:rPr>
        <w:t>.</w:t>
      </w:r>
    </w:p>
    <w:p w:rsidR="008F5D9D" w:rsidRPr="00E66750" w:rsidRDefault="008F5D9D" w:rsidP="00F301E8">
      <w:pPr>
        <w:pStyle w:val="SCCNormalDoubleSpacing"/>
        <w:spacing w:before="480" w:after="480"/>
        <w:rPr>
          <w:lang w:val="fr-CA"/>
        </w:rPr>
      </w:pPr>
      <w:r>
        <w:rPr>
          <w:lang w:val="fr-CA"/>
        </w:rPr>
        <w:lastRenderedPageBreak/>
        <w:tab/>
        <w:t>Version française du jugement de la Cour rendu par</w:t>
      </w:r>
    </w:p>
    <w:p w:rsidR="00807172" w:rsidRPr="000B15B3" w:rsidRDefault="008F5D9D" w:rsidP="00807172">
      <w:pPr>
        <w:pStyle w:val="ParaNoNdepar-AltN"/>
        <w:rPr>
          <w:rFonts w:cs="Times New Roman"/>
          <w:lang w:val="fr-CA"/>
        </w:rPr>
      </w:pPr>
      <w:r w:rsidRPr="008F5D9D">
        <w:rPr>
          <w:smallCaps/>
          <w:lang w:val="fr-CA"/>
        </w:rPr>
        <w:t>La Juge en chef</w:t>
      </w:r>
      <w:r w:rsidRPr="000B15B3">
        <w:rPr>
          <w:lang w:val="fr-CA"/>
        </w:rPr>
        <w:t xml:space="preserve"> —</w:t>
      </w:r>
      <w:r>
        <w:rPr>
          <w:lang w:val="fr-CA"/>
        </w:rPr>
        <w:t xml:space="preserve"> </w:t>
      </w:r>
      <w:r w:rsidR="00807172" w:rsidRPr="000B15B3">
        <w:rPr>
          <w:rFonts w:cs="Times New Roman"/>
          <w:lang w:val="fr-CA"/>
        </w:rPr>
        <w:t xml:space="preserve">Un cabinet d’avocats </w:t>
      </w:r>
      <w:proofErr w:type="spellStart"/>
      <w:r w:rsidR="00807172" w:rsidRPr="000B15B3">
        <w:rPr>
          <w:rFonts w:cs="Times New Roman"/>
          <w:lang w:val="fr-CA"/>
        </w:rPr>
        <w:t>peut</w:t>
      </w:r>
      <w:r w:rsidR="00807172" w:rsidRPr="000B15B3">
        <w:rPr>
          <w:rFonts w:cs="Times New Roman"/>
          <w:lang w:val="fr-CA"/>
        </w:rPr>
        <w:noBreakHyphen/>
        <w:t>il</w:t>
      </w:r>
      <w:proofErr w:type="spellEnd"/>
      <w:r w:rsidR="00807172" w:rsidRPr="000B15B3">
        <w:rPr>
          <w:rFonts w:cs="Times New Roman"/>
          <w:lang w:val="fr-CA"/>
        </w:rPr>
        <w:t xml:space="preserve"> accepter le mandat d’agir contre un de ses clients actuels dans une affaire sans lien avec les dossiers en cours de ce client?  Plus précisément, un cabinet d’avocats </w:t>
      </w:r>
      <w:proofErr w:type="spellStart"/>
      <w:r w:rsidR="00807172" w:rsidRPr="000B15B3">
        <w:rPr>
          <w:rFonts w:cs="Times New Roman"/>
          <w:lang w:val="fr-CA"/>
        </w:rPr>
        <w:t>peut</w:t>
      </w:r>
      <w:r w:rsidR="00807172" w:rsidRPr="000B15B3">
        <w:rPr>
          <w:rFonts w:cs="Times New Roman"/>
          <w:lang w:val="fr-CA"/>
        </w:rPr>
        <w:noBreakHyphen/>
        <w:t>il</w:t>
      </w:r>
      <w:proofErr w:type="spellEnd"/>
      <w:r w:rsidR="00807172" w:rsidRPr="000B15B3">
        <w:rPr>
          <w:rFonts w:cs="Times New Roman"/>
          <w:lang w:val="fr-CA"/>
        </w:rPr>
        <w:t xml:space="preserve"> poursuivre son client actuel pour le compte d’un autre client?  Dans la négative, quels recours s’offrent au client poursuivi par son avocat?  Telles sont les questions que soulève le présent pourvoi. </w:t>
      </w:r>
    </w:p>
    <w:p w:rsidR="00807172" w:rsidRPr="000B15B3" w:rsidRDefault="00807172" w:rsidP="00807172">
      <w:pPr>
        <w:pStyle w:val="TitleTitre-AltT"/>
        <w:keepNext/>
        <w:tabs>
          <w:tab w:val="clear" w:pos="360"/>
        </w:tabs>
        <w:spacing w:before="0"/>
        <w:ind w:left="450" w:hanging="450"/>
        <w:rPr>
          <w:rFonts w:cs="Times New Roman"/>
          <w:lang w:val="fr-CA"/>
        </w:rPr>
      </w:pPr>
      <w:r w:rsidRPr="000B15B3">
        <w:rPr>
          <w:rFonts w:cs="Times New Roman"/>
          <w:lang w:val="fr-CA"/>
        </w:rPr>
        <w:t>I.</w:t>
      </w:r>
      <w:r w:rsidRPr="000B15B3">
        <w:rPr>
          <w:rFonts w:cs="Times New Roman"/>
          <w:lang w:val="fr-CA"/>
        </w:rPr>
        <w:tab/>
      </w:r>
      <w:r w:rsidRPr="000B15B3">
        <w:rPr>
          <w:rFonts w:cs="Times New Roman"/>
          <w:u w:val="single"/>
          <w:lang w:val="fr-CA"/>
        </w:rPr>
        <w:t>Contexte</w:t>
      </w:r>
    </w:p>
    <w:p w:rsidR="00807172" w:rsidRPr="000B15B3" w:rsidRDefault="00807172" w:rsidP="00807172">
      <w:pPr>
        <w:pStyle w:val="ParaNoNdepar-AltN"/>
        <w:rPr>
          <w:rFonts w:cs="Times New Roman"/>
          <w:lang w:val="fr-CA"/>
        </w:rPr>
      </w:pPr>
      <w:proofErr w:type="spellStart"/>
      <w:r w:rsidRPr="000B15B3">
        <w:rPr>
          <w:rFonts w:cs="Times New Roman"/>
          <w:lang w:val="fr-CA"/>
        </w:rPr>
        <w:t>McKercher</w:t>
      </w:r>
      <w:proofErr w:type="spellEnd"/>
      <w:r w:rsidRPr="000B15B3">
        <w:rPr>
          <w:rFonts w:cs="Times New Roman"/>
          <w:lang w:val="fr-CA"/>
        </w:rPr>
        <w:t xml:space="preserve"> LLP (« </w:t>
      </w:r>
      <w:proofErr w:type="spellStart"/>
      <w:r w:rsidRPr="000B15B3">
        <w:rPr>
          <w:rFonts w:cs="Times New Roman"/>
          <w:lang w:val="fr-CA"/>
        </w:rPr>
        <w:t>McKercher</w:t>
      </w:r>
      <w:proofErr w:type="spellEnd"/>
      <w:r w:rsidRPr="000B15B3">
        <w:rPr>
          <w:rFonts w:cs="Times New Roman"/>
          <w:lang w:val="fr-CA"/>
        </w:rPr>
        <w:t xml:space="preserve"> ») est un grand cabinet d’avocats en Saskatchewan.  La Compagnie des chemins de fer nationaux du Canada (« CN ») a retenu les services de </w:t>
      </w:r>
      <w:proofErr w:type="spellStart"/>
      <w:r w:rsidRPr="000B15B3">
        <w:rPr>
          <w:rFonts w:cs="Times New Roman"/>
          <w:lang w:val="fr-CA"/>
        </w:rPr>
        <w:t>McKercher</w:t>
      </w:r>
      <w:proofErr w:type="spellEnd"/>
      <w:r w:rsidRPr="000B15B3">
        <w:rPr>
          <w:rFonts w:cs="Times New Roman"/>
          <w:lang w:val="fr-CA"/>
        </w:rPr>
        <w:t xml:space="preserve"> qui la représente dans divers dossiers.  À la fin de 2008, </w:t>
      </w:r>
      <w:proofErr w:type="spellStart"/>
      <w:r w:rsidRPr="000B15B3">
        <w:rPr>
          <w:rFonts w:cs="Times New Roman"/>
          <w:lang w:val="fr-CA"/>
        </w:rPr>
        <w:t>McKercher</w:t>
      </w:r>
      <w:proofErr w:type="spellEnd"/>
      <w:r w:rsidRPr="000B15B3">
        <w:rPr>
          <w:rFonts w:cs="Times New Roman"/>
          <w:lang w:val="fr-CA"/>
        </w:rPr>
        <w:t xml:space="preserve"> représentait le CN dans trois dossiers en cours : une réclamation pour préjudice corporel relative à des blessures subies par des enfants dans une gare de triage, l’acquisition d’un immeuble et une affaire de séquestre où le CN était créancier.  De plus, deux des associés de </w:t>
      </w:r>
      <w:proofErr w:type="spellStart"/>
      <w:r w:rsidRPr="000B15B3">
        <w:rPr>
          <w:rFonts w:cs="Times New Roman"/>
          <w:lang w:val="fr-CA"/>
        </w:rPr>
        <w:t>McKercher</w:t>
      </w:r>
      <w:proofErr w:type="spellEnd"/>
      <w:r w:rsidRPr="000B15B3">
        <w:rPr>
          <w:rFonts w:cs="Times New Roman"/>
          <w:lang w:val="fr-CA"/>
        </w:rPr>
        <w:t xml:space="preserve"> étaient habilités par procuration à recevoir la signification d’actes de procédure au nom du CN en Saskatchewan.  </w:t>
      </w:r>
    </w:p>
    <w:p w:rsidR="00807172" w:rsidRPr="000B15B3" w:rsidRDefault="00807172" w:rsidP="00807172">
      <w:pPr>
        <w:pStyle w:val="ParaNoNdepar-AltN"/>
        <w:rPr>
          <w:rFonts w:cs="Times New Roman"/>
          <w:lang w:val="fr-CA"/>
        </w:rPr>
      </w:pPr>
      <w:r w:rsidRPr="000B15B3">
        <w:rPr>
          <w:rFonts w:cs="Times New Roman"/>
          <w:lang w:val="fr-CA"/>
        </w:rPr>
        <w:t xml:space="preserve">À la même époque, le cabinet </w:t>
      </w:r>
      <w:proofErr w:type="spellStart"/>
      <w:r w:rsidRPr="000B15B3">
        <w:rPr>
          <w:rFonts w:cs="Times New Roman"/>
          <w:lang w:val="fr-CA"/>
        </w:rPr>
        <w:t>McKercher</w:t>
      </w:r>
      <w:proofErr w:type="spellEnd"/>
      <w:r w:rsidRPr="000B15B3">
        <w:rPr>
          <w:rFonts w:cs="Times New Roman"/>
          <w:lang w:val="fr-CA"/>
        </w:rPr>
        <w:t xml:space="preserve"> a accepté de Gordon Wallace le mandat d’intenter contre le CN un recours collectif de 1,75 milliard de dollars fondé sur l’allégation que le CN avait illégalement surfacturé</w:t>
      </w:r>
      <w:r w:rsidR="00841CCE">
        <w:rPr>
          <w:rFonts w:cs="Times New Roman"/>
          <w:lang w:val="fr-CA"/>
        </w:rPr>
        <w:t xml:space="preserve"> </w:t>
      </w:r>
      <w:r w:rsidR="00841CCE" w:rsidRPr="000B15B3">
        <w:rPr>
          <w:rFonts w:cs="Times New Roman"/>
          <w:lang w:val="fr-CA"/>
        </w:rPr>
        <w:t>le transport d</w:t>
      </w:r>
      <w:r w:rsidR="0094216E">
        <w:rPr>
          <w:rFonts w:cs="Times New Roman"/>
          <w:lang w:val="fr-CA"/>
        </w:rPr>
        <w:t>u</w:t>
      </w:r>
      <w:r w:rsidR="00841CCE" w:rsidRPr="000B15B3">
        <w:rPr>
          <w:rFonts w:cs="Times New Roman"/>
          <w:lang w:val="fr-CA"/>
        </w:rPr>
        <w:t xml:space="preserve"> grain</w:t>
      </w:r>
      <w:r w:rsidRPr="000B15B3">
        <w:rPr>
          <w:rFonts w:cs="Times New Roman"/>
          <w:lang w:val="fr-CA"/>
        </w:rPr>
        <w:t xml:space="preserve"> </w:t>
      </w:r>
      <w:r w:rsidR="00F445B4">
        <w:rPr>
          <w:rFonts w:cs="Times New Roman"/>
          <w:lang w:val="fr-CA"/>
        </w:rPr>
        <w:t xml:space="preserve">aux </w:t>
      </w:r>
      <w:r w:rsidRPr="000B15B3">
        <w:rPr>
          <w:rFonts w:cs="Times New Roman"/>
          <w:lang w:val="fr-CA"/>
        </w:rPr>
        <w:t xml:space="preserve">agriculteurs de l’Ouest canadien.  Nul ne conteste en appel que le recours intenté par </w:t>
      </w:r>
      <w:r w:rsidRPr="000B15B3">
        <w:rPr>
          <w:rFonts w:cs="Times New Roman"/>
          <w:lang w:val="fr-CA"/>
        </w:rPr>
        <w:lastRenderedPageBreak/>
        <w:t xml:space="preserve">M. Wallace n’avait aucun lien factuel ou juridique avec les mandats en cours que le CN avait confiés à </w:t>
      </w:r>
      <w:proofErr w:type="spellStart"/>
      <w:r w:rsidRPr="000B15B3">
        <w:rPr>
          <w:rFonts w:cs="Times New Roman"/>
          <w:lang w:val="fr-CA"/>
        </w:rPr>
        <w:t>McKercher</w:t>
      </w:r>
      <w:proofErr w:type="spellEnd"/>
      <w:r w:rsidRPr="000B15B3">
        <w:rPr>
          <w:rFonts w:cs="Times New Roman"/>
          <w:lang w:val="fr-CA"/>
        </w:rPr>
        <w:t>.</w:t>
      </w:r>
    </w:p>
    <w:p w:rsidR="00807172" w:rsidRPr="000B15B3" w:rsidRDefault="00807172" w:rsidP="00807172">
      <w:pPr>
        <w:pStyle w:val="ParaNoNdepar-AltN"/>
        <w:rPr>
          <w:rFonts w:cs="Times New Roman"/>
          <w:lang w:val="fr-CA"/>
        </w:rPr>
      </w:pPr>
      <w:r w:rsidRPr="000B15B3">
        <w:rPr>
          <w:rFonts w:cs="Times New Roman"/>
          <w:lang w:val="fr-CA"/>
        </w:rPr>
        <w:t xml:space="preserve">Le cabinet </w:t>
      </w:r>
      <w:proofErr w:type="spellStart"/>
      <w:r w:rsidRPr="000B15B3">
        <w:rPr>
          <w:rFonts w:cs="Times New Roman"/>
          <w:lang w:val="fr-CA"/>
        </w:rPr>
        <w:t>McKercher</w:t>
      </w:r>
      <w:proofErr w:type="spellEnd"/>
      <w:r w:rsidRPr="000B15B3">
        <w:rPr>
          <w:rFonts w:cs="Times New Roman"/>
          <w:lang w:val="fr-CA"/>
        </w:rPr>
        <w:t xml:space="preserve"> n’a pas informé le CN de son intention d’accepter le mandat de M. Wallace.  Le CN ne l’a appris que lorsque la déclaration lui a été signifiée le 9 janvier 2009.  Entre le 5 décembre 2008 et le 15 janvier 2009, des associés de </w:t>
      </w:r>
      <w:proofErr w:type="spellStart"/>
      <w:r w:rsidRPr="000B15B3">
        <w:rPr>
          <w:rFonts w:cs="Times New Roman"/>
          <w:lang w:val="fr-CA"/>
        </w:rPr>
        <w:t>McKercher</w:t>
      </w:r>
      <w:proofErr w:type="spellEnd"/>
      <w:r w:rsidRPr="000B15B3">
        <w:rPr>
          <w:rFonts w:cs="Times New Roman"/>
          <w:lang w:val="fr-CA"/>
        </w:rPr>
        <w:t xml:space="preserve"> se sont hâtés d’abandonner les mandats du CN, sauf le mandat relatif à l’achat d’un immeuble, auquel le CN a mis fin </w:t>
      </w:r>
      <w:proofErr w:type="spellStart"/>
      <w:r w:rsidRPr="000B15B3">
        <w:rPr>
          <w:rFonts w:cs="Times New Roman"/>
          <w:lang w:val="fr-CA"/>
        </w:rPr>
        <w:t>lui</w:t>
      </w:r>
      <w:r w:rsidRPr="000B15B3">
        <w:rPr>
          <w:rFonts w:cs="Times New Roman"/>
          <w:lang w:val="fr-CA"/>
        </w:rPr>
        <w:noBreakHyphen/>
        <w:t>même</w:t>
      </w:r>
      <w:proofErr w:type="spellEnd"/>
      <w:r w:rsidRPr="000B15B3">
        <w:rPr>
          <w:rFonts w:cs="Times New Roman"/>
          <w:lang w:val="fr-CA"/>
        </w:rPr>
        <w:t xml:space="preserve">. </w:t>
      </w:r>
    </w:p>
    <w:p w:rsidR="00807172" w:rsidRPr="000B15B3" w:rsidRDefault="00807172" w:rsidP="00807172">
      <w:pPr>
        <w:pStyle w:val="ParaNoNdepar-AltN"/>
        <w:rPr>
          <w:rFonts w:cs="Times New Roman"/>
          <w:lang w:val="fr-CA"/>
        </w:rPr>
      </w:pPr>
      <w:r w:rsidRPr="000B15B3">
        <w:rPr>
          <w:rFonts w:cs="Times New Roman"/>
          <w:lang w:val="fr-CA"/>
        </w:rPr>
        <w:t xml:space="preserve">Après avoir reçu la déclaration, le CN a demandé une ordonnance écartant </w:t>
      </w:r>
      <w:proofErr w:type="spellStart"/>
      <w:r w:rsidRPr="000B15B3">
        <w:rPr>
          <w:rFonts w:cs="Times New Roman"/>
          <w:lang w:val="fr-CA"/>
        </w:rPr>
        <w:t>McKercher</w:t>
      </w:r>
      <w:proofErr w:type="spellEnd"/>
      <w:r w:rsidRPr="000B15B3">
        <w:rPr>
          <w:rFonts w:cs="Times New Roman"/>
          <w:lang w:val="fr-CA"/>
        </w:rPr>
        <w:t xml:space="preserve"> en tant que procureur au dossier de M. Wallace dans le recours collectif intenté contre le CN.  Ce dernier soutenait que le cabinet </w:t>
      </w:r>
      <w:proofErr w:type="spellStart"/>
      <w:r w:rsidRPr="000B15B3">
        <w:rPr>
          <w:rFonts w:cs="Times New Roman"/>
          <w:lang w:val="fr-CA"/>
        </w:rPr>
        <w:t>McKercher</w:t>
      </w:r>
      <w:proofErr w:type="spellEnd"/>
      <w:r w:rsidRPr="000B15B3">
        <w:rPr>
          <w:rFonts w:cs="Times New Roman"/>
          <w:lang w:val="fr-CA"/>
        </w:rPr>
        <w:t xml:space="preserve"> avait manqué à son devoir de loyauté envers le CN en se plaçant en situation de conflit d’intérêts, qu’il avait irrégulièrement abandonné les mandats en cours que lui avait confiés le CN, et qu’il pourrait utiliser à mauvais escient des renseignements confidentiels obtenus dans le cadre de la relation </w:t>
      </w:r>
      <w:proofErr w:type="spellStart"/>
      <w:r w:rsidRPr="000B15B3">
        <w:rPr>
          <w:rFonts w:cs="Times New Roman"/>
          <w:lang w:val="fr-CA"/>
        </w:rPr>
        <w:t>avocat</w:t>
      </w:r>
      <w:r w:rsidRPr="000B15B3">
        <w:rPr>
          <w:rFonts w:cs="Times New Roman"/>
          <w:lang w:val="fr-CA"/>
        </w:rPr>
        <w:noBreakHyphen/>
        <w:t>client</w:t>
      </w:r>
      <w:proofErr w:type="spellEnd"/>
      <w:r w:rsidRPr="000B15B3">
        <w:rPr>
          <w:rFonts w:cs="Times New Roman"/>
          <w:lang w:val="fr-CA"/>
        </w:rPr>
        <w:t xml:space="preserve">. </w:t>
      </w:r>
    </w:p>
    <w:p w:rsidR="00807172" w:rsidRPr="000B15B3" w:rsidRDefault="00807172" w:rsidP="00807172">
      <w:pPr>
        <w:pStyle w:val="ParaNoNdepar-AltN"/>
        <w:rPr>
          <w:rFonts w:cs="Times New Roman"/>
          <w:lang w:val="fr-CA"/>
        </w:rPr>
      </w:pPr>
      <w:r w:rsidRPr="000B15B3">
        <w:rPr>
          <w:rFonts w:cs="Times New Roman"/>
          <w:lang w:val="fr-CA"/>
        </w:rPr>
        <w:t xml:space="preserve">Le juge de première instance a accueilli la demande et déclaré </w:t>
      </w:r>
      <w:proofErr w:type="spellStart"/>
      <w:r w:rsidRPr="000B15B3">
        <w:rPr>
          <w:rFonts w:cs="Times New Roman"/>
          <w:lang w:val="fr-CA"/>
        </w:rPr>
        <w:t>McKercher</w:t>
      </w:r>
      <w:proofErr w:type="spellEnd"/>
      <w:r w:rsidRPr="000B15B3">
        <w:rPr>
          <w:rFonts w:cs="Times New Roman"/>
          <w:lang w:val="fr-CA"/>
        </w:rPr>
        <w:t xml:space="preserve"> inhabile à occuper dans l’instance introduite par M. Wallace : 2009 SKQB 369, 344 </w:t>
      </w:r>
      <w:proofErr w:type="spellStart"/>
      <w:r w:rsidRPr="000B15B3">
        <w:rPr>
          <w:rFonts w:cs="Times New Roman"/>
          <w:lang w:val="fr-CA"/>
        </w:rPr>
        <w:t>Sask</w:t>
      </w:r>
      <w:proofErr w:type="spellEnd"/>
      <w:r w:rsidR="00C96435">
        <w:rPr>
          <w:rFonts w:cs="Times New Roman"/>
          <w:lang w:val="fr-CA"/>
        </w:rPr>
        <w:t>.</w:t>
      </w:r>
      <w:r w:rsidRPr="000B15B3">
        <w:rPr>
          <w:rFonts w:cs="Times New Roman"/>
          <w:lang w:val="fr-CA"/>
        </w:rPr>
        <w:t xml:space="preserve"> R. 3.  Il a conclu que le cabinet avait manqué à son devoir de loyauté envers le CN et s’était placé en situation de conflit d’intérêts en acceptant le mandat de M. Wallace alors qu’il s’occupait d’autres dossiers pour le compte du CN.  Selon le juge, la capacité du cabinet </w:t>
      </w:r>
      <w:proofErr w:type="spellStart"/>
      <w:r w:rsidRPr="000B15B3">
        <w:rPr>
          <w:rFonts w:cs="Times New Roman"/>
          <w:lang w:val="fr-CA"/>
        </w:rPr>
        <w:t>McKercher</w:t>
      </w:r>
      <w:proofErr w:type="spellEnd"/>
      <w:r w:rsidRPr="000B15B3">
        <w:rPr>
          <w:rFonts w:cs="Times New Roman"/>
          <w:lang w:val="fr-CA"/>
        </w:rPr>
        <w:t xml:space="preserve"> de représenter le CN dans les mandats en cours était sérieusement compromise en raison du sentiment de trahison normal </w:t>
      </w:r>
      <w:r w:rsidRPr="000B15B3">
        <w:rPr>
          <w:rFonts w:cs="Times New Roman"/>
          <w:lang w:val="fr-CA"/>
        </w:rPr>
        <w:lastRenderedPageBreak/>
        <w:t xml:space="preserve">qu’éprouvait le CN.  En outre, </w:t>
      </w:r>
      <w:proofErr w:type="spellStart"/>
      <w:r w:rsidRPr="000B15B3">
        <w:rPr>
          <w:rFonts w:cs="Times New Roman"/>
          <w:lang w:val="fr-CA"/>
        </w:rPr>
        <w:t>McKercher</w:t>
      </w:r>
      <w:proofErr w:type="spellEnd"/>
      <w:r w:rsidRPr="000B15B3">
        <w:rPr>
          <w:rFonts w:cs="Times New Roman"/>
          <w:lang w:val="fr-CA"/>
        </w:rPr>
        <w:t xml:space="preserve"> avait acquis une connaissance particulière des forces, faiblesses et attitudes du CN envers les litiges.  Ces connaissances constituaient des renseignements confidentiels pertinents.  Le juge a conclu qu’en raison du manquement de </w:t>
      </w:r>
      <w:proofErr w:type="spellStart"/>
      <w:r w:rsidRPr="000B15B3">
        <w:rPr>
          <w:rFonts w:cs="Times New Roman"/>
          <w:lang w:val="fr-CA"/>
        </w:rPr>
        <w:t>McKercher</w:t>
      </w:r>
      <w:proofErr w:type="spellEnd"/>
      <w:r w:rsidRPr="000B15B3">
        <w:rPr>
          <w:rFonts w:cs="Times New Roman"/>
          <w:lang w:val="fr-CA"/>
        </w:rPr>
        <w:t xml:space="preserve"> à son devoir de loyauté envers le CN et des renseignements confidentiels pertinents dont il disposait, l’inhabilité de </w:t>
      </w:r>
      <w:proofErr w:type="spellStart"/>
      <w:r w:rsidRPr="000B15B3">
        <w:rPr>
          <w:rFonts w:cs="Times New Roman"/>
          <w:lang w:val="fr-CA"/>
        </w:rPr>
        <w:t>McKercher</w:t>
      </w:r>
      <w:proofErr w:type="spellEnd"/>
      <w:r w:rsidRPr="000B15B3">
        <w:rPr>
          <w:rFonts w:cs="Times New Roman"/>
          <w:lang w:val="fr-CA"/>
        </w:rPr>
        <w:t xml:space="preserve"> à occuper dans le recours intenté par M. Wallace constituait une réparation appropriée. </w:t>
      </w:r>
    </w:p>
    <w:p w:rsidR="00807172" w:rsidRPr="000B15B3" w:rsidRDefault="00807172" w:rsidP="00807172">
      <w:pPr>
        <w:pStyle w:val="ParaNoNdepar-AltN"/>
        <w:rPr>
          <w:rFonts w:cs="Times New Roman"/>
          <w:lang w:val="fr-CA"/>
        </w:rPr>
      </w:pPr>
      <w:r w:rsidRPr="000B15B3">
        <w:rPr>
          <w:rFonts w:cs="Times New Roman"/>
          <w:lang w:val="fr-CA"/>
        </w:rPr>
        <w:t xml:space="preserve">La Cour d’appel a infirmé l’ordonnance du juge de première instance déclarant </w:t>
      </w:r>
      <w:proofErr w:type="spellStart"/>
      <w:r w:rsidRPr="000B15B3">
        <w:rPr>
          <w:rFonts w:cs="Times New Roman"/>
          <w:lang w:val="fr-CA"/>
        </w:rPr>
        <w:t>McKercher</w:t>
      </w:r>
      <w:proofErr w:type="spellEnd"/>
      <w:r w:rsidRPr="000B15B3">
        <w:rPr>
          <w:rFonts w:cs="Times New Roman"/>
          <w:lang w:val="fr-CA"/>
        </w:rPr>
        <w:t xml:space="preserve"> inhabile à occuper : 2011 SKCA 108, 375 </w:t>
      </w:r>
      <w:proofErr w:type="spellStart"/>
      <w:r w:rsidRPr="000B15B3">
        <w:rPr>
          <w:rFonts w:cs="Times New Roman"/>
          <w:lang w:val="fr-CA"/>
        </w:rPr>
        <w:t>Sask</w:t>
      </w:r>
      <w:proofErr w:type="spellEnd"/>
      <w:r w:rsidRPr="000B15B3">
        <w:rPr>
          <w:rFonts w:cs="Times New Roman"/>
          <w:lang w:val="fr-CA"/>
        </w:rPr>
        <w:t xml:space="preserve">. R. 218.  Elle a jugé qu’une connaissance générale des forces et faiblesses du CN en matière contentieuse n’équivalait pas à la possession de renseignements confidentiels pertinents justifiant l’inhabilité à occuper.  Elle a en outre conclu que </w:t>
      </w:r>
      <w:proofErr w:type="spellStart"/>
      <w:r w:rsidRPr="000B15B3">
        <w:rPr>
          <w:rFonts w:cs="Times New Roman"/>
          <w:lang w:val="fr-CA"/>
        </w:rPr>
        <w:t>McKercher</w:t>
      </w:r>
      <w:proofErr w:type="spellEnd"/>
      <w:r w:rsidRPr="000B15B3">
        <w:rPr>
          <w:rFonts w:cs="Times New Roman"/>
          <w:lang w:val="fr-CA"/>
        </w:rPr>
        <w:t xml:space="preserve"> n’avait pas manqué à son devoir de loyauté en acceptant de représenter en même temps M. Wallace.  Le CN, une société d’envergure, ne se trouvait pas en situation de vulnérabilité ou de dépendance </w:t>
      </w:r>
      <w:proofErr w:type="spellStart"/>
      <w:r w:rsidRPr="000B15B3">
        <w:rPr>
          <w:rFonts w:cs="Times New Roman"/>
          <w:lang w:val="fr-CA"/>
        </w:rPr>
        <w:t>vis</w:t>
      </w:r>
      <w:r w:rsidRPr="000B15B3">
        <w:rPr>
          <w:rFonts w:cs="Times New Roman"/>
          <w:lang w:val="fr-CA"/>
        </w:rPr>
        <w:noBreakHyphen/>
        <w:t>à</w:t>
      </w:r>
      <w:r w:rsidRPr="000B15B3">
        <w:rPr>
          <w:rFonts w:cs="Times New Roman"/>
          <w:lang w:val="fr-CA"/>
        </w:rPr>
        <w:noBreakHyphen/>
        <w:t>vis</w:t>
      </w:r>
      <w:proofErr w:type="spellEnd"/>
      <w:r w:rsidRPr="000B15B3">
        <w:rPr>
          <w:rFonts w:cs="Times New Roman"/>
          <w:lang w:val="fr-CA"/>
        </w:rPr>
        <w:t xml:space="preserve"> de </w:t>
      </w:r>
      <w:proofErr w:type="spellStart"/>
      <w:r w:rsidRPr="000B15B3">
        <w:rPr>
          <w:rFonts w:cs="Times New Roman"/>
          <w:lang w:val="fr-CA"/>
        </w:rPr>
        <w:t>McKercher</w:t>
      </w:r>
      <w:proofErr w:type="spellEnd"/>
      <w:r w:rsidRPr="000B15B3">
        <w:rPr>
          <w:rFonts w:cs="Times New Roman"/>
          <w:lang w:val="fr-CA"/>
        </w:rPr>
        <w:t xml:space="preserve">.  On pouvait donc inférer que le CN consentait implicitement à ce que </w:t>
      </w:r>
      <w:proofErr w:type="spellStart"/>
      <w:r w:rsidRPr="000B15B3">
        <w:rPr>
          <w:rFonts w:cs="Times New Roman"/>
          <w:lang w:val="fr-CA"/>
        </w:rPr>
        <w:t>McKercher</w:t>
      </w:r>
      <w:proofErr w:type="spellEnd"/>
      <w:r w:rsidRPr="000B15B3">
        <w:rPr>
          <w:rFonts w:cs="Times New Roman"/>
          <w:lang w:val="fr-CA"/>
        </w:rPr>
        <w:t xml:space="preserve"> représente une partie opposée dans d’autres affaires juridiques n’ayant aucun lien avec ses dossiers en cours.  La Cour d’appel a toutefois estimé que </w:t>
      </w:r>
      <w:proofErr w:type="spellStart"/>
      <w:r w:rsidRPr="000B15B3">
        <w:rPr>
          <w:rFonts w:cs="Times New Roman"/>
          <w:lang w:val="fr-CA"/>
        </w:rPr>
        <w:t>McKercher</w:t>
      </w:r>
      <w:proofErr w:type="spellEnd"/>
      <w:r w:rsidRPr="000B15B3">
        <w:rPr>
          <w:rFonts w:cs="Times New Roman"/>
          <w:lang w:val="fr-CA"/>
        </w:rPr>
        <w:t xml:space="preserve"> avait manqué à son devoir de loyauté envers le CN en mettant fin péremptoirement à la relation </w:t>
      </w:r>
      <w:proofErr w:type="spellStart"/>
      <w:r w:rsidRPr="000B15B3">
        <w:rPr>
          <w:rFonts w:cs="Times New Roman"/>
          <w:lang w:val="fr-CA"/>
        </w:rPr>
        <w:t>avocat</w:t>
      </w:r>
      <w:r w:rsidRPr="000B15B3">
        <w:rPr>
          <w:rFonts w:cs="Times New Roman"/>
          <w:lang w:val="fr-CA"/>
        </w:rPr>
        <w:noBreakHyphen/>
        <w:t>client</w:t>
      </w:r>
      <w:proofErr w:type="spellEnd"/>
      <w:r w:rsidRPr="000B15B3">
        <w:rPr>
          <w:rFonts w:cs="Times New Roman"/>
          <w:lang w:val="fr-CA"/>
        </w:rPr>
        <w:t xml:space="preserve"> dans les dossiers en cours que le CN lui avait confiés.  Néanmoins, l’inhabilité à occuper ne constituait pas une réparation appropriée en l’espèce puisque le fait que </w:t>
      </w:r>
      <w:proofErr w:type="spellStart"/>
      <w:r w:rsidRPr="000B15B3">
        <w:rPr>
          <w:rFonts w:cs="Times New Roman"/>
          <w:lang w:val="fr-CA"/>
        </w:rPr>
        <w:t>McKercher</w:t>
      </w:r>
      <w:proofErr w:type="spellEnd"/>
      <w:r w:rsidRPr="000B15B3">
        <w:rPr>
          <w:rFonts w:cs="Times New Roman"/>
          <w:lang w:val="fr-CA"/>
        </w:rPr>
        <w:t xml:space="preserve"> continue de représenter M. Wallace ne risquait pas de porter préjudice au CN.  En </w:t>
      </w:r>
      <w:r w:rsidRPr="000B15B3">
        <w:rPr>
          <w:rFonts w:cs="Times New Roman"/>
          <w:lang w:val="fr-CA"/>
        </w:rPr>
        <w:lastRenderedPageBreak/>
        <w:t xml:space="preserve">fait, toute possibilité de causer un préjudice a effectivement disparu lorsque la relation </w:t>
      </w:r>
      <w:proofErr w:type="spellStart"/>
      <w:r w:rsidRPr="000B15B3">
        <w:rPr>
          <w:rFonts w:cs="Times New Roman"/>
          <w:lang w:val="fr-CA"/>
        </w:rPr>
        <w:t>avocat</w:t>
      </w:r>
      <w:r w:rsidRPr="000B15B3">
        <w:rPr>
          <w:rFonts w:cs="Times New Roman"/>
          <w:lang w:val="fr-CA"/>
        </w:rPr>
        <w:noBreakHyphen/>
        <w:t>client</w:t>
      </w:r>
      <w:proofErr w:type="spellEnd"/>
      <w:r w:rsidRPr="000B15B3">
        <w:rPr>
          <w:rFonts w:cs="Times New Roman"/>
          <w:lang w:val="fr-CA"/>
        </w:rPr>
        <w:t xml:space="preserve"> a pris fin.</w:t>
      </w:r>
    </w:p>
    <w:p w:rsidR="00807172" w:rsidRPr="000B15B3" w:rsidRDefault="00807172" w:rsidP="00807172">
      <w:pPr>
        <w:pStyle w:val="ParaNoNdepar-AltN"/>
        <w:rPr>
          <w:rFonts w:cs="Times New Roman"/>
          <w:lang w:val="fr-CA"/>
        </w:rPr>
      </w:pPr>
      <w:r w:rsidRPr="000B15B3">
        <w:rPr>
          <w:rFonts w:cs="Times New Roman"/>
          <w:lang w:val="fr-CA"/>
        </w:rPr>
        <w:t xml:space="preserve">En l’espèce, notre Cour doit examiner le devoir de loyauté de l’avocat envers son client, et tout particulièrement son obligation d’éviter les conflits d’intérêts.  Comme nous l’avons décidé dans </w:t>
      </w:r>
      <w:r w:rsidRPr="000B15B3">
        <w:rPr>
          <w:rFonts w:cs="Times New Roman"/>
          <w:i/>
          <w:lang w:val="fr-CA"/>
        </w:rPr>
        <w:t>R. c. Neil</w:t>
      </w:r>
      <w:r w:rsidRPr="000B15B3">
        <w:rPr>
          <w:rFonts w:cs="Times New Roman"/>
          <w:lang w:val="fr-CA"/>
        </w:rPr>
        <w:t xml:space="preserve">, 2002 CSC 70, [2002] 3 R.C.S. 631, la « ligne de démarcation très nette » est tracée par la règle générale interdisant à l’avocat et, par extension, au cabinet d’avocats, de représenter simultanément des clients aux intérêts opposés sans avoir obtenu leur consentement — que leurs dossiers aient ou non un lien entre eux : par. 29.  Toutefois, lorsque cette « règle de la démarcation très nette » ne s’applique pas, il faut se demander si la représentation simultanée de parties opposées pose un « risque sérieux que les intérêts personnels de l’avocat ou ses devoirs envers un autre client actuel, un ancien client ou une tierce personne nuisent de façon appréciable à la représentation du client par l’avocat » : </w:t>
      </w:r>
      <w:r w:rsidRPr="000B15B3">
        <w:rPr>
          <w:rFonts w:cs="Times New Roman"/>
          <w:i/>
          <w:lang w:val="fr-CA"/>
        </w:rPr>
        <w:t>Neil</w:t>
      </w:r>
      <w:r w:rsidRPr="000B15B3">
        <w:rPr>
          <w:rFonts w:cs="Times New Roman"/>
          <w:lang w:val="fr-CA"/>
        </w:rPr>
        <w:t>, par. 31.  Le pourvoi concerne la portée de la règle de la démarcation très nette : cette règle s’</w:t>
      </w:r>
      <w:proofErr w:type="spellStart"/>
      <w:r w:rsidRPr="000B15B3">
        <w:rPr>
          <w:rFonts w:cs="Times New Roman"/>
          <w:lang w:val="fr-CA"/>
        </w:rPr>
        <w:t>appliquait</w:t>
      </w:r>
      <w:r w:rsidRPr="000B15B3">
        <w:rPr>
          <w:rFonts w:cs="Times New Roman"/>
          <w:lang w:val="fr-CA"/>
        </w:rPr>
        <w:noBreakHyphen/>
        <w:t>elle</w:t>
      </w:r>
      <w:proofErr w:type="spellEnd"/>
      <w:r w:rsidRPr="000B15B3">
        <w:rPr>
          <w:rFonts w:cs="Times New Roman"/>
          <w:lang w:val="fr-CA"/>
        </w:rPr>
        <w:t xml:space="preserve"> à la représentation simultanée du CN et de M. Wallace par </w:t>
      </w:r>
      <w:proofErr w:type="spellStart"/>
      <w:r w:rsidRPr="000B15B3">
        <w:rPr>
          <w:rFonts w:cs="Times New Roman"/>
          <w:lang w:val="fr-CA"/>
        </w:rPr>
        <w:t>McKercher</w:t>
      </w:r>
      <w:proofErr w:type="spellEnd"/>
      <w:r w:rsidRPr="000B15B3">
        <w:rPr>
          <w:rFonts w:cs="Times New Roman"/>
          <w:lang w:val="fr-CA"/>
        </w:rPr>
        <w:t xml:space="preserve">?  Ou le critère applicable </w:t>
      </w:r>
      <w:proofErr w:type="spellStart"/>
      <w:r w:rsidRPr="000B15B3">
        <w:rPr>
          <w:rFonts w:cs="Times New Roman"/>
          <w:lang w:val="fr-CA"/>
        </w:rPr>
        <w:t>consiste</w:t>
      </w:r>
      <w:r w:rsidRPr="000B15B3">
        <w:rPr>
          <w:rFonts w:cs="Times New Roman"/>
          <w:lang w:val="fr-CA"/>
        </w:rPr>
        <w:noBreakHyphen/>
        <w:t>t</w:t>
      </w:r>
      <w:r w:rsidRPr="000B15B3">
        <w:rPr>
          <w:rFonts w:cs="Times New Roman"/>
          <w:lang w:val="fr-CA"/>
        </w:rPr>
        <w:noBreakHyphen/>
        <w:t>il</w:t>
      </w:r>
      <w:proofErr w:type="spellEnd"/>
      <w:r w:rsidRPr="000B15B3">
        <w:rPr>
          <w:rFonts w:cs="Times New Roman"/>
          <w:lang w:val="fr-CA"/>
        </w:rPr>
        <w:t xml:space="preserve"> plutôt à décider si leur représentation simultanée par le même cabinet d’avocats a créé un risque substantiel de représentation déficiente?</w:t>
      </w:r>
    </w:p>
    <w:p w:rsidR="00807172" w:rsidRPr="000B15B3" w:rsidRDefault="00807172" w:rsidP="00807172">
      <w:pPr>
        <w:pStyle w:val="ParaNoNdepar-AltN"/>
        <w:rPr>
          <w:rFonts w:cs="Times New Roman"/>
          <w:lang w:val="fr-CA"/>
        </w:rPr>
      </w:pPr>
      <w:r w:rsidRPr="000B15B3">
        <w:rPr>
          <w:rFonts w:cs="Times New Roman"/>
          <w:lang w:val="fr-CA"/>
        </w:rPr>
        <w:t xml:space="preserve">Dans les présents motifs, je conclus que la représentation simultanée du CN et de M. Wallace par </w:t>
      </w:r>
      <w:proofErr w:type="spellStart"/>
      <w:r w:rsidRPr="000B15B3">
        <w:rPr>
          <w:rFonts w:cs="Times New Roman"/>
          <w:lang w:val="fr-CA"/>
        </w:rPr>
        <w:t>McKercher</w:t>
      </w:r>
      <w:proofErr w:type="spellEnd"/>
      <w:r w:rsidRPr="000B15B3">
        <w:rPr>
          <w:rFonts w:cs="Times New Roman"/>
          <w:lang w:val="fr-CA"/>
        </w:rPr>
        <w:t xml:space="preserve"> tombait clairement sous le coup de la règle de la démarcation très nette.  Cette règle s’applique en raison des faits de l’espèce : le CN </w:t>
      </w:r>
      <w:r w:rsidRPr="000B15B3">
        <w:rPr>
          <w:rFonts w:cs="Times New Roman"/>
          <w:lang w:val="fr-CA"/>
        </w:rPr>
        <w:lastRenderedPageBreak/>
        <w:t xml:space="preserve">et M. Wallace avaient des intérêts juridiques opposés; le CN n’a pas tenté d’abuser tactiquement de la règle et, dans les circonstances, il était raisonnable pour le CN de s’attendre à ce que </w:t>
      </w:r>
      <w:proofErr w:type="spellStart"/>
      <w:r w:rsidRPr="000B15B3">
        <w:rPr>
          <w:rFonts w:cs="Times New Roman"/>
          <w:lang w:val="fr-CA"/>
        </w:rPr>
        <w:t>McKercher</w:t>
      </w:r>
      <w:proofErr w:type="spellEnd"/>
      <w:r w:rsidRPr="000B15B3">
        <w:rPr>
          <w:rFonts w:cs="Times New Roman"/>
          <w:lang w:val="fr-CA"/>
        </w:rPr>
        <w:t xml:space="preserve"> ne représente pas simultanément une partie qui la poursuivait pour 1,75 mill</w:t>
      </w:r>
      <w:r w:rsidR="00FB3CCB">
        <w:rPr>
          <w:rFonts w:cs="Times New Roman"/>
          <w:lang w:val="fr-CA"/>
        </w:rPr>
        <w:t>i</w:t>
      </w:r>
      <w:r w:rsidRPr="000B15B3">
        <w:rPr>
          <w:rFonts w:cs="Times New Roman"/>
          <w:lang w:val="fr-CA"/>
        </w:rPr>
        <w:t xml:space="preserve">ard de dollars.  </w:t>
      </w:r>
      <w:proofErr w:type="spellStart"/>
      <w:r w:rsidRPr="000B15B3">
        <w:rPr>
          <w:rFonts w:cs="Times New Roman"/>
          <w:lang w:val="fr-CA"/>
        </w:rPr>
        <w:t>McKercher</w:t>
      </w:r>
      <w:proofErr w:type="spellEnd"/>
      <w:r w:rsidRPr="000B15B3">
        <w:rPr>
          <w:rFonts w:cs="Times New Roman"/>
          <w:lang w:val="fr-CA"/>
        </w:rPr>
        <w:t xml:space="preserve"> a contrevenu à la règle de la démarcation très nette lorsqu’il a accepté, sans avoir obtenu le consentement du CN, de représenter M. Wallace alors qu’il représentait déjà le CN.</w:t>
      </w:r>
    </w:p>
    <w:p w:rsidR="00807172" w:rsidRPr="000B15B3" w:rsidRDefault="00807172" w:rsidP="00807172">
      <w:pPr>
        <w:pStyle w:val="ParaNoNdepar-AltN"/>
        <w:rPr>
          <w:rFonts w:cs="Times New Roman"/>
          <w:lang w:val="fr-CA"/>
        </w:rPr>
      </w:pPr>
      <w:r w:rsidRPr="000B15B3">
        <w:rPr>
          <w:rFonts w:cs="Times New Roman"/>
          <w:lang w:val="fr-CA"/>
        </w:rPr>
        <w:t xml:space="preserve">En plus de devoir éviter les conflits d’intérêts, un cabinet d’avocats est tenu de se dévouer à la cause de son client, ce qui l’empêche de laisser tomber un client de façon </w:t>
      </w:r>
      <w:r w:rsidR="00FB3CCB">
        <w:rPr>
          <w:rFonts w:cs="Times New Roman"/>
          <w:lang w:val="fr-CA"/>
        </w:rPr>
        <w:t xml:space="preserve">expéditive et </w:t>
      </w:r>
      <w:r w:rsidRPr="000B15B3">
        <w:rPr>
          <w:rFonts w:cs="Times New Roman"/>
          <w:lang w:val="fr-CA"/>
        </w:rPr>
        <w:t xml:space="preserve">inattendue afin de contourner les règles relatives au conflit d’intérêts, et il a un devoir de franchise qui l’oblige à informer son client actuel de toutes les questions relatives au mandat.  Je conclus que </w:t>
      </w:r>
      <w:proofErr w:type="spellStart"/>
      <w:r w:rsidRPr="000B15B3">
        <w:rPr>
          <w:rFonts w:cs="Times New Roman"/>
          <w:lang w:val="fr-CA"/>
        </w:rPr>
        <w:t>McKercher</w:t>
      </w:r>
      <w:proofErr w:type="spellEnd"/>
      <w:r w:rsidRPr="000B15B3">
        <w:rPr>
          <w:rFonts w:cs="Times New Roman"/>
          <w:lang w:val="fr-CA"/>
        </w:rPr>
        <w:t xml:space="preserve"> a manqué à son devoir de dévouement à la cause de son client en abandonnant les mandats en cours que lui avait confiés le CN, de même qu’à son devoir de franchise envers son client en n’avisant pas le CN de son intention d’accepter le mandat de M. Wallace.  Toutefois, </w:t>
      </w:r>
      <w:proofErr w:type="spellStart"/>
      <w:r w:rsidRPr="000B15B3">
        <w:rPr>
          <w:rFonts w:cs="Times New Roman"/>
          <w:lang w:val="fr-CA"/>
        </w:rPr>
        <w:t>McKercher</w:t>
      </w:r>
      <w:proofErr w:type="spellEnd"/>
      <w:r w:rsidRPr="000B15B3">
        <w:rPr>
          <w:rFonts w:cs="Times New Roman"/>
          <w:lang w:val="fr-CA"/>
        </w:rPr>
        <w:t xml:space="preserve"> n’avait en sa possession aucun renseignement confidentiel pertinent susceptible de porter préjudice au CN.</w:t>
      </w:r>
    </w:p>
    <w:p w:rsidR="00807172" w:rsidRPr="000B15B3" w:rsidRDefault="00807172" w:rsidP="00807172">
      <w:pPr>
        <w:pStyle w:val="ParaNoNdepar-AltN"/>
        <w:rPr>
          <w:rFonts w:cs="Times New Roman"/>
          <w:lang w:val="fr-CA"/>
        </w:rPr>
      </w:pPr>
      <w:r w:rsidRPr="000B15B3">
        <w:rPr>
          <w:rFonts w:cs="Times New Roman"/>
          <w:lang w:val="fr-CA"/>
        </w:rPr>
        <w:t xml:space="preserve">Concernant la réparation appropriée à l’égard des manquements de </w:t>
      </w:r>
      <w:proofErr w:type="spellStart"/>
      <w:r w:rsidRPr="000B15B3">
        <w:rPr>
          <w:rFonts w:cs="Times New Roman"/>
          <w:lang w:val="fr-CA"/>
        </w:rPr>
        <w:t>McKercher</w:t>
      </w:r>
      <w:proofErr w:type="spellEnd"/>
      <w:r w:rsidRPr="000B15B3">
        <w:rPr>
          <w:rFonts w:cs="Times New Roman"/>
          <w:lang w:val="fr-CA"/>
        </w:rPr>
        <w:t xml:space="preserve">, je conclus que la protection de </w:t>
      </w:r>
      <w:r w:rsidRPr="000B15B3">
        <w:rPr>
          <w:rFonts w:cs="Times New Roman"/>
          <w:lang w:val="fr-CA" w:bidi="en-US"/>
        </w:rPr>
        <w:t>la considération dont jouit l’administration de la justice</w:t>
      </w:r>
      <w:r w:rsidRPr="000B15B3">
        <w:rPr>
          <w:rFonts w:cs="Times New Roman"/>
          <w:lang w:val="fr-CA"/>
        </w:rPr>
        <w:t xml:space="preserve"> constitue la seule préoccupation qui justifierait en l’espèce une déclaration d’inhabilité à occuper.  Une violation de la règle de la démarcation très nette appelle normalement une déclaration d’inhabilité à occuper, et </w:t>
      </w:r>
      <w:r w:rsidRPr="000B15B3">
        <w:rPr>
          <w:rFonts w:cs="Times New Roman"/>
          <w:lang w:val="fr-CA"/>
        </w:rPr>
        <w:lastRenderedPageBreak/>
        <w:t xml:space="preserve">ce, même s’il est mis fin à la relation </w:t>
      </w:r>
      <w:proofErr w:type="spellStart"/>
      <w:r w:rsidRPr="000B15B3">
        <w:rPr>
          <w:rFonts w:cs="Times New Roman"/>
          <w:lang w:val="fr-CA"/>
        </w:rPr>
        <w:t>avocat</w:t>
      </w:r>
      <w:r w:rsidRPr="000B15B3">
        <w:rPr>
          <w:rFonts w:cs="Times New Roman"/>
          <w:lang w:val="fr-CA"/>
        </w:rPr>
        <w:noBreakHyphen/>
        <w:t>client</w:t>
      </w:r>
      <w:proofErr w:type="spellEnd"/>
      <w:r w:rsidRPr="000B15B3">
        <w:rPr>
          <w:rFonts w:cs="Times New Roman"/>
          <w:lang w:val="fr-CA"/>
        </w:rPr>
        <w:t xml:space="preserve"> après le manquement.  Toutefois, certains facteurs peuvent militer contre la déclaration d’inhabilité à occuper, et ces facteurs doivent être pris en considération.  Puisque le juge saisi de la requête ne pouvait bénéficier des présents motifs, je suis d’avis de renvoyer l’affaire à la Cour du Banc de la Reine pour réexamen conformément à </w:t>
      </w:r>
      <w:proofErr w:type="spellStart"/>
      <w:r w:rsidRPr="000B15B3">
        <w:rPr>
          <w:rFonts w:cs="Times New Roman"/>
          <w:lang w:val="fr-CA"/>
        </w:rPr>
        <w:t>ceux</w:t>
      </w:r>
      <w:r w:rsidRPr="000B15B3">
        <w:rPr>
          <w:rFonts w:cs="Times New Roman"/>
          <w:lang w:val="fr-CA"/>
        </w:rPr>
        <w:noBreakHyphen/>
        <w:t>ci</w:t>
      </w:r>
      <w:proofErr w:type="spellEnd"/>
      <w:r w:rsidRPr="000B15B3">
        <w:rPr>
          <w:rFonts w:cs="Times New Roman"/>
          <w:lang w:val="fr-CA"/>
        </w:rPr>
        <w:t>.</w:t>
      </w:r>
    </w:p>
    <w:p w:rsidR="00807172" w:rsidRPr="000B15B3" w:rsidRDefault="00807172" w:rsidP="00807172">
      <w:pPr>
        <w:pStyle w:val="TitleTitre-AltT"/>
        <w:keepNext/>
        <w:tabs>
          <w:tab w:val="clear" w:pos="360"/>
        </w:tabs>
        <w:spacing w:before="0"/>
        <w:ind w:left="450" w:hanging="450"/>
        <w:rPr>
          <w:rFonts w:cs="Times New Roman"/>
          <w:lang w:val="fr-CA"/>
        </w:rPr>
      </w:pPr>
      <w:r w:rsidRPr="000B15B3">
        <w:rPr>
          <w:rFonts w:cs="Times New Roman"/>
          <w:lang w:val="fr-CA"/>
        </w:rPr>
        <w:t>II.</w:t>
      </w:r>
      <w:r w:rsidRPr="000B15B3">
        <w:rPr>
          <w:rFonts w:cs="Times New Roman"/>
          <w:lang w:val="fr-CA"/>
        </w:rPr>
        <w:tab/>
      </w:r>
      <w:r w:rsidRPr="000B15B3">
        <w:rPr>
          <w:rFonts w:cs="Times New Roman"/>
          <w:u w:val="single"/>
          <w:lang w:val="fr-CA"/>
        </w:rPr>
        <w:t>Questions en litige</w:t>
      </w:r>
    </w:p>
    <w:p w:rsidR="00807172" w:rsidRPr="000B15B3" w:rsidRDefault="00807172" w:rsidP="00807172">
      <w:pPr>
        <w:pStyle w:val="ParaNoNdepar-AltN"/>
        <w:rPr>
          <w:rFonts w:cs="Times New Roman"/>
          <w:lang w:val="fr-CA"/>
        </w:rPr>
      </w:pPr>
      <w:r w:rsidRPr="000B15B3">
        <w:rPr>
          <w:rFonts w:cs="Times New Roman"/>
          <w:lang w:val="fr-CA"/>
        </w:rPr>
        <w:t>Le pourvoi soulève les questions suivantes :</w:t>
      </w:r>
    </w:p>
    <w:p w:rsidR="00807172" w:rsidRPr="000B15B3" w:rsidRDefault="00807172" w:rsidP="0076198E">
      <w:pPr>
        <w:pStyle w:val="ParaNoNdepar-AltN"/>
        <w:numPr>
          <w:ilvl w:val="0"/>
          <w:numId w:val="0"/>
        </w:numPr>
        <w:tabs>
          <w:tab w:val="left" w:pos="540"/>
        </w:tabs>
        <w:spacing w:before="0"/>
        <w:ind w:left="547" w:hanging="547"/>
        <w:rPr>
          <w:lang w:val="fr-CA"/>
        </w:rPr>
      </w:pPr>
      <w:r w:rsidRPr="000B15B3">
        <w:rPr>
          <w:lang w:val="fr-CA"/>
        </w:rPr>
        <w:t>A.</w:t>
      </w:r>
      <w:r w:rsidRPr="000B15B3">
        <w:rPr>
          <w:lang w:val="fr-CA"/>
        </w:rPr>
        <w:tab/>
        <w:t>Le rôle des tribunaux dans la résolution des conflits d’intérêts</w:t>
      </w:r>
    </w:p>
    <w:p w:rsidR="00807172" w:rsidRPr="000B15B3" w:rsidRDefault="00807172" w:rsidP="0076198E">
      <w:pPr>
        <w:pStyle w:val="ParaNoNdepar-AltN"/>
        <w:numPr>
          <w:ilvl w:val="0"/>
          <w:numId w:val="0"/>
        </w:numPr>
        <w:tabs>
          <w:tab w:val="left" w:pos="540"/>
        </w:tabs>
        <w:spacing w:before="0"/>
        <w:ind w:left="547" w:hanging="547"/>
        <w:rPr>
          <w:lang w:val="fr-CA"/>
        </w:rPr>
      </w:pPr>
      <w:r w:rsidRPr="000B15B3">
        <w:rPr>
          <w:lang w:val="fr-CA"/>
        </w:rPr>
        <w:t>B.</w:t>
      </w:r>
      <w:r w:rsidRPr="000B15B3">
        <w:rPr>
          <w:lang w:val="fr-CA"/>
        </w:rPr>
        <w:tab/>
        <w:t xml:space="preserve">Les </w:t>
      </w:r>
      <w:r w:rsidRPr="0076198E">
        <w:rPr>
          <w:rFonts w:cs="Times New Roman"/>
          <w:lang w:val="fr-CA"/>
        </w:rPr>
        <w:t>principes</w:t>
      </w:r>
      <w:r w:rsidRPr="000B15B3">
        <w:rPr>
          <w:lang w:val="fr-CA"/>
        </w:rPr>
        <w:t xml:space="preserve"> pertinents</w:t>
      </w:r>
    </w:p>
    <w:p w:rsidR="00807172" w:rsidRPr="000B15B3" w:rsidRDefault="00807172" w:rsidP="0076198E">
      <w:pPr>
        <w:pStyle w:val="ParaNoNdepar-AltN"/>
        <w:numPr>
          <w:ilvl w:val="0"/>
          <w:numId w:val="0"/>
        </w:numPr>
        <w:tabs>
          <w:tab w:val="left" w:pos="540"/>
        </w:tabs>
        <w:spacing w:before="0"/>
        <w:ind w:left="547" w:hanging="547"/>
        <w:rPr>
          <w:lang w:val="fr-CA"/>
        </w:rPr>
      </w:pPr>
      <w:r w:rsidRPr="000B15B3">
        <w:rPr>
          <w:lang w:val="fr-CA"/>
        </w:rPr>
        <w:t>C.</w:t>
      </w:r>
      <w:r w:rsidRPr="000B15B3">
        <w:rPr>
          <w:lang w:val="fr-CA"/>
        </w:rPr>
        <w:tab/>
        <w:t xml:space="preserve">L’application </w:t>
      </w:r>
      <w:r w:rsidRPr="0076198E">
        <w:rPr>
          <w:rFonts w:cs="Times New Roman"/>
          <w:lang w:val="fr-CA"/>
        </w:rPr>
        <w:t>des</w:t>
      </w:r>
      <w:r w:rsidRPr="000B15B3">
        <w:rPr>
          <w:lang w:val="fr-CA"/>
        </w:rPr>
        <w:t xml:space="preserve"> principes</w:t>
      </w:r>
    </w:p>
    <w:p w:rsidR="00807172" w:rsidRPr="000B15B3" w:rsidRDefault="00807172" w:rsidP="0076198E">
      <w:pPr>
        <w:pStyle w:val="ParaNoNdepar-AltN"/>
        <w:numPr>
          <w:ilvl w:val="0"/>
          <w:numId w:val="0"/>
        </w:numPr>
        <w:tabs>
          <w:tab w:val="left" w:pos="540"/>
        </w:tabs>
        <w:spacing w:before="0"/>
        <w:ind w:left="547" w:hanging="547"/>
        <w:rPr>
          <w:lang w:val="fr-CA"/>
        </w:rPr>
      </w:pPr>
      <w:r w:rsidRPr="000B15B3">
        <w:rPr>
          <w:lang w:val="fr-CA"/>
        </w:rPr>
        <w:t>D.</w:t>
      </w:r>
      <w:r w:rsidRPr="000B15B3">
        <w:rPr>
          <w:lang w:val="fr-CA"/>
        </w:rPr>
        <w:tab/>
        <w:t xml:space="preserve">La </w:t>
      </w:r>
      <w:r w:rsidR="0076198E">
        <w:rPr>
          <w:lang w:val="fr-CA"/>
        </w:rPr>
        <w:t xml:space="preserve">réparation </w:t>
      </w:r>
      <w:r w:rsidRPr="000B15B3">
        <w:rPr>
          <w:lang w:val="fr-CA"/>
        </w:rPr>
        <w:t>à accorder</w:t>
      </w:r>
    </w:p>
    <w:p w:rsidR="00807172" w:rsidRPr="000B15B3" w:rsidRDefault="00807172" w:rsidP="0076198E">
      <w:pPr>
        <w:pStyle w:val="TitleTitre-AltT"/>
        <w:keepNext/>
        <w:tabs>
          <w:tab w:val="clear" w:pos="360"/>
        </w:tabs>
        <w:spacing w:before="0"/>
        <w:ind w:left="540" w:hanging="540"/>
        <w:rPr>
          <w:rFonts w:cs="Times New Roman"/>
          <w:lang w:val="fr-CA"/>
        </w:rPr>
      </w:pPr>
      <w:r w:rsidRPr="000B15B3">
        <w:rPr>
          <w:rFonts w:cs="Times New Roman"/>
          <w:lang w:val="fr-CA"/>
        </w:rPr>
        <w:t>III.</w:t>
      </w:r>
      <w:r w:rsidRPr="000B15B3">
        <w:rPr>
          <w:rFonts w:cs="Times New Roman"/>
          <w:lang w:val="fr-CA"/>
        </w:rPr>
        <w:tab/>
      </w:r>
      <w:r w:rsidRPr="000B15B3">
        <w:rPr>
          <w:rFonts w:cs="Times New Roman"/>
          <w:u w:val="single"/>
          <w:lang w:val="fr-CA"/>
        </w:rPr>
        <w:t>Analyse</w:t>
      </w:r>
    </w:p>
    <w:p w:rsidR="00807172" w:rsidRPr="000B15B3" w:rsidRDefault="00807172" w:rsidP="0076198E">
      <w:pPr>
        <w:pStyle w:val="TitleTitre-AltT"/>
        <w:keepNext/>
        <w:tabs>
          <w:tab w:val="clear" w:pos="360"/>
        </w:tabs>
        <w:spacing w:before="0"/>
        <w:ind w:left="540" w:hanging="450"/>
        <w:rPr>
          <w:rFonts w:cs="Times New Roman"/>
          <w:i/>
          <w:lang w:val="fr-CA"/>
        </w:rPr>
      </w:pPr>
      <w:r w:rsidRPr="000B15B3">
        <w:rPr>
          <w:rFonts w:cs="Times New Roman"/>
          <w:lang w:val="fr-CA"/>
        </w:rPr>
        <w:t>A.</w:t>
      </w:r>
      <w:r w:rsidRPr="000B15B3">
        <w:rPr>
          <w:rFonts w:cs="Times New Roman"/>
          <w:lang w:val="fr-CA"/>
        </w:rPr>
        <w:tab/>
      </w:r>
      <w:r w:rsidRPr="000B15B3">
        <w:rPr>
          <w:rFonts w:cs="Times New Roman"/>
          <w:i/>
          <w:lang w:val="fr-CA"/>
        </w:rPr>
        <w:t>Le rôle des tribunaux dans la résolution des conflits d’intérêts</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rPr>
        <w:t xml:space="preserve">Les tribunaux investis d’une compétence inhérente disposent du pouvoir de surveiller la conduite des litiges dont ils sont saisis.  Les avocats sont des </w:t>
      </w:r>
      <w:r w:rsidRPr="000B15B3">
        <w:rPr>
          <w:rFonts w:cs="Times New Roman"/>
          <w:lang w:val="fr-CA"/>
        </w:rPr>
        <w:lastRenderedPageBreak/>
        <w:t xml:space="preserve">auxiliaires de justice et sont tenus, dans l’exercice de leurs activités, de suivre les instructions du tribunal.  Lorsque la représentation d’un client en particulier par un avocat dans une instance soulève des questions, il appartient au tribunal de trancher ces questions.  Dans l’exercice de leur pouvoir de surveillance à l’endroit des avocats, les tribunaux ont habituellement pour objectif </w:t>
      </w:r>
      <w:r w:rsidRPr="000B15B3">
        <w:rPr>
          <w:rFonts w:cs="Times New Roman"/>
          <w:lang w:val="fr-CA" w:bidi="en-US"/>
        </w:rPr>
        <w:t xml:space="preserve">d’éviter tout préjudice aux clients et de préserver la considération dont jouit l’administration de la justice, mais pas de punir les avocats ou de leur imposer des sanctions disciplinaires.  </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En plus de superviser le déroulement des instances, les tribunaux développent les principes en matière fiduciaire qui régissent les obligations de l’avocat envers son client.  Par exemple, les tribunaux se sont souvent penchés sur le secret professionnel de l’avocat.</w:t>
      </w:r>
    </w:p>
    <w:p w:rsidR="00807172" w:rsidRPr="000B15B3" w:rsidRDefault="00807172" w:rsidP="00807172">
      <w:pPr>
        <w:pStyle w:val="ParaNoNdepar-AltN"/>
        <w:tabs>
          <w:tab w:val="clear" w:pos="1152"/>
          <w:tab w:val="left" w:pos="1166"/>
        </w:tabs>
        <w:rPr>
          <w:rFonts w:cs="Times New Roman"/>
          <w:lang w:val="fr-CA"/>
        </w:rPr>
      </w:pPr>
      <w:r w:rsidRPr="000B15B3">
        <w:rPr>
          <w:rFonts w:cs="Times New Roman"/>
          <w:lang w:val="fr-CA"/>
        </w:rPr>
        <w:t>Il ne faut pas confondre le pouvoir inhérent à tout tribunal de résoudre les conflits d’intérêts dans les affaires qui lui sont soumises et les pouvoirs que les législateurs confèrent aux barreaux d’établir des règles applicables à leurs membres, qui forment une profession autonome :</w:t>
      </w:r>
      <w:r w:rsidRPr="000B15B3">
        <w:rPr>
          <w:rFonts w:cs="Times New Roman"/>
          <w:i/>
          <w:lang w:val="fr-CA" w:bidi="en-US"/>
        </w:rPr>
        <w:t xml:space="preserve"> Succession </w:t>
      </w:r>
      <w:proofErr w:type="spellStart"/>
      <w:r w:rsidRPr="000B15B3">
        <w:rPr>
          <w:rFonts w:cs="Times New Roman"/>
          <w:i/>
          <w:lang w:val="fr-CA" w:bidi="en-US"/>
        </w:rPr>
        <w:t>MacDonald</w:t>
      </w:r>
      <w:proofErr w:type="spellEnd"/>
      <w:r w:rsidRPr="000B15B3">
        <w:rPr>
          <w:rFonts w:cs="Times New Roman"/>
          <w:i/>
          <w:lang w:val="fr-CA" w:bidi="en-US"/>
        </w:rPr>
        <w:t xml:space="preserve"> c. Martin</w:t>
      </w:r>
      <w:r w:rsidRPr="000B15B3">
        <w:rPr>
          <w:rFonts w:cs="Times New Roman"/>
          <w:lang w:val="fr-CA" w:bidi="en-US"/>
        </w:rPr>
        <w:t>, [1990] 3 R.C.S. 1235, p. 1244.  Les règles du barreau se veulent des règles générales applicables à tous les membres pour assurer l’éthique professionnelle, protéger le public et imposer des sanctions disciplinaires aux avocats qui enfreignent les règles — en bref, ces règles assurent le bon encadrement de la profession.</w:t>
      </w:r>
    </w:p>
    <w:p w:rsidR="00807172" w:rsidRPr="000B15B3" w:rsidRDefault="00807172" w:rsidP="00807172">
      <w:pPr>
        <w:pStyle w:val="ParaNoNdepar-AltN"/>
        <w:tabs>
          <w:tab w:val="clear" w:pos="1152"/>
          <w:tab w:val="left" w:pos="1166"/>
        </w:tabs>
        <w:rPr>
          <w:rFonts w:cs="Times New Roman"/>
          <w:lang w:val="fr-CA"/>
        </w:rPr>
      </w:pPr>
      <w:r w:rsidRPr="000B15B3">
        <w:rPr>
          <w:rFonts w:cs="Times New Roman"/>
          <w:lang w:val="fr-CA"/>
        </w:rPr>
        <w:t xml:space="preserve">Les tribunaux et les barreaux participent au règlement des questions qui se rapportent aux conflits d’intérêts </w:t>
      </w:r>
      <w:r w:rsidRPr="0076198E">
        <w:rPr>
          <w:rFonts w:cs="Times New Roman"/>
          <w:lang w:val="fr-CA"/>
        </w:rPr>
        <w:t>—</w:t>
      </w:r>
      <w:r w:rsidRPr="000B15B3">
        <w:rPr>
          <w:rFonts w:cs="Times New Roman"/>
          <w:i/>
          <w:lang w:val="fr-CA"/>
        </w:rPr>
        <w:t xml:space="preserve"> </w:t>
      </w:r>
      <w:r w:rsidRPr="000B15B3">
        <w:rPr>
          <w:rFonts w:cs="Times New Roman"/>
          <w:lang w:val="fr-CA"/>
        </w:rPr>
        <w:t xml:space="preserve">du point de vue de la bonne administration de </w:t>
      </w:r>
      <w:r w:rsidRPr="000B15B3">
        <w:rPr>
          <w:rFonts w:cs="Times New Roman"/>
          <w:lang w:val="fr-CA"/>
        </w:rPr>
        <w:lastRenderedPageBreak/>
        <w:t xml:space="preserve">la justice dans le cas des tribunaux, et pour les barreaux, du point de vue du bon encadrement de la profession : voir </w:t>
      </w:r>
      <w:r w:rsidRPr="000B15B3">
        <w:rPr>
          <w:rFonts w:cs="Times New Roman"/>
          <w:i/>
          <w:lang w:val="fr-CA"/>
        </w:rPr>
        <w:t>R. c. Cunningham</w:t>
      </w:r>
      <w:r w:rsidRPr="000B15B3">
        <w:rPr>
          <w:rFonts w:cs="Times New Roman"/>
          <w:lang w:val="fr-CA"/>
        </w:rPr>
        <w:t xml:space="preserve">, 2010 CSC 10, [2010] 1 R.C.S. 331.  Dans l’exercice de ces pouvoirs respectifs, chacun d’eux peut, avec raison, tenir compte des avis de l’autre.  Toutefois, chacun doit s’acquitter de la fonction qui lui est propre.  Rien n’empêche les barreaux d’établir des règles plus strictes que celles appliquées par les tribunaux dans l’exercice de leur fonction de surveillance.  Les tribunaux ne sont pas non plus tenus, dans l’exercice de cette fonction de surveillance, de respecter à la lettre les règles du barreau, bien que « les normes exposées dans un [. . .] code [de déontologie] [. . .] doivent être considérées comme un important énoncé de principes » : </w:t>
      </w:r>
      <w:r w:rsidRPr="000B15B3">
        <w:rPr>
          <w:rFonts w:cs="Times New Roman"/>
          <w:i/>
          <w:lang w:val="fr-CA"/>
        </w:rPr>
        <w:t>Martin</w:t>
      </w:r>
      <w:r w:rsidRPr="000B15B3">
        <w:rPr>
          <w:rFonts w:cs="Times New Roman"/>
          <w:lang w:val="fr-CA"/>
        </w:rPr>
        <w:t xml:space="preserve">, p. 1246. </w:t>
      </w:r>
    </w:p>
    <w:p w:rsidR="00807172" w:rsidRPr="000B15B3" w:rsidRDefault="00807172" w:rsidP="00807172">
      <w:pPr>
        <w:pStyle w:val="ParaNoNdepar-AltN"/>
        <w:tabs>
          <w:tab w:val="clear" w:pos="1152"/>
          <w:tab w:val="left" w:pos="1166"/>
        </w:tabs>
        <w:rPr>
          <w:rFonts w:cs="Times New Roman"/>
          <w:lang w:val="fr-CA"/>
        </w:rPr>
      </w:pPr>
      <w:r w:rsidRPr="000B15B3">
        <w:rPr>
          <w:rFonts w:cs="Times New Roman"/>
          <w:lang w:val="fr-CA"/>
        </w:rPr>
        <w:t>Ces dernières années, l’Association du Barreau canadien et la Fédération des ordres professionnels de juristes du Canada ont œuvré à l’établissement de règles communes en matière de conflits d’intérêts applicables partout au Canada, mais elles ne sont pas parvenues à s’entendre sur le contenu précis de ces règles : voir</w:t>
      </w:r>
      <w:r w:rsidR="0076198E">
        <w:rPr>
          <w:rFonts w:cs="Times New Roman"/>
          <w:lang w:val="fr-CA"/>
        </w:rPr>
        <w:t>,</w:t>
      </w:r>
      <w:r w:rsidRPr="000B15B3">
        <w:rPr>
          <w:rFonts w:cs="Times New Roman"/>
          <w:lang w:val="fr-CA"/>
        </w:rPr>
        <w:t xml:space="preserve"> par exemple</w:t>
      </w:r>
      <w:r w:rsidR="0076198E">
        <w:rPr>
          <w:rFonts w:cs="Times New Roman"/>
          <w:lang w:val="fr-CA"/>
        </w:rPr>
        <w:t>,</w:t>
      </w:r>
      <w:r w:rsidRPr="000B15B3">
        <w:rPr>
          <w:rFonts w:cs="Times New Roman"/>
          <w:lang w:val="fr-CA"/>
        </w:rPr>
        <w:t xml:space="preserve"> </w:t>
      </w:r>
      <w:r w:rsidRPr="000B15B3">
        <w:rPr>
          <w:rFonts w:cs="Times New Roman"/>
          <w:lang w:val="fr-CA" w:bidi="en-US"/>
        </w:rPr>
        <w:t>A. </w:t>
      </w:r>
      <w:proofErr w:type="spellStart"/>
      <w:r w:rsidRPr="000B15B3">
        <w:rPr>
          <w:rFonts w:cs="Times New Roman"/>
          <w:lang w:val="fr-CA" w:bidi="en-US"/>
        </w:rPr>
        <w:t>Dodek</w:t>
      </w:r>
      <w:proofErr w:type="spellEnd"/>
      <w:r w:rsidRPr="000B15B3">
        <w:rPr>
          <w:rFonts w:cs="Times New Roman"/>
          <w:lang w:val="fr-CA" w:bidi="en-US"/>
        </w:rPr>
        <w:t>, « </w:t>
      </w:r>
      <w:proofErr w:type="spellStart"/>
      <w:r w:rsidRPr="000B15B3">
        <w:rPr>
          <w:rFonts w:cs="Times New Roman"/>
          <w:lang w:val="fr-CA" w:bidi="en-US"/>
        </w:rPr>
        <w:t>Conflicted</w:t>
      </w:r>
      <w:proofErr w:type="spellEnd"/>
      <w:r w:rsidRPr="000B15B3">
        <w:rPr>
          <w:rFonts w:cs="Times New Roman"/>
          <w:lang w:val="fr-CA" w:bidi="en-US"/>
        </w:rPr>
        <w:t xml:space="preserve"> </w:t>
      </w:r>
      <w:proofErr w:type="spellStart"/>
      <w:r w:rsidRPr="000B15B3">
        <w:rPr>
          <w:rFonts w:cs="Times New Roman"/>
          <w:lang w:val="fr-CA" w:bidi="en-US"/>
        </w:rPr>
        <w:t>Identities</w:t>
      </w:r>
      <w:proofErr w:type="spellEnd"/>
      <w:r w:rsidRPr="000B15B3">
        <w:rPr>
          <w:rFonts w:cs="Times New Roman"/>
          <w:lang w:val="fr-CA" w:bidi="en-US"/>
        </w:rPr>
        <w:t xml:space="preserve"> : The Battle over the </w:t>
      </w:r>
      <w:proofErr w:type="spellStart"/>
      <w:r w:rsidRPr="000B15B3">
        <w:rPr>
          <w:rFonts w:cs="Times New Roman"/>
          <w:lang w:val="fr-CA" w:bidi="en-US"/>
        </w:rPr>
        <w:t>Duty</w:t>
      </w:r>
      <w:proofErr w:type="spellEnd"/>
      <w:r w:rsidRPr="000B15B3">
        <w:rPr>
          <w:rFonts w:cs="Times New Roman"/>
          <w:lang w:val="fr-CA" w:bidi="en-US"/>
        </w:rPr>
        <w:t xml:space="preserve"> of </w:t>
      </w:r>
      <w:proofErr w:type="spellStart"/>
      <w:r w:rsidRPr="000B15B3">
        <w:rPr>
          <w:rFonts w:cs="Times New Roman"/>
          <w:lang w:val="fr-CA" w:bidi="en-US"/>
        </w:rPr>
        <w:t>Loyalty</w:t>
      </w:r>
      <w:proofErr w:type="spellEnd"/>
      <w:r w:rsidRPr="000B15B3">
        <w:rPr>
          <w:rFonts w:cs="Times New Roman"/>
          <w:lang w:val="fr-CA" w:bidi="en-US"/>
        </w:rPr>
        <w:t xml:space="preserve"> in Canada » (2011), 14 </w:t>
      </w:r>
      <w:proofErr w:type="spellStart"/>
      <w:r w:rsidRPr="000B15B3">
        <w:rPr>
          <w:rFonts w:cs="Times New Roman"/>
          <w:i/>
          <w:lang w:val="fr-CA" w:bidi="en-US"/>
        </w:rPr>
        <w:t>Legal</w:t>
      </w:r>
      <w:proofErr w:type="spellEnd"/>
      <w:r w:rsidRPr="000B15B3">
        <w:rPr>
          <w:rFonts w:cs="Times New Roman"/>
          <w:i/>
          <w:lang w:val="fr-CA" w:bidi="en-US"/>
        </w:rPr>
        <w:t xml:space="preserve"> </w:t>
      </w:r>
      <w:proofErr w:type="spellStart"/>
      <w:r w:rsidRPr="000B15B3">
        <w:rPr>
          <w:rFonts w:cs="Times New Roman"/>
          <w:i/>
          <w:lang w:val="fr-CA" w:bidi="en-US"/>
        </w:rPr>
        <w:t>Ethics</w:t>
      </w:r>
      <w:proofErr w:type="spellEnd"/>
      <w:r w:rsidRPr="000B15B3">
        <w:rPr>
          <w:rFonts w:cs="Times New Roman"/>
          <w:i/>
          <w:lang w:val="fr-CA" w:bidi="en-US"/>
        </w:rPr>
        <w:t xml:space="preserve"> </w:t>
      </w:r>
      <w:r w:rsidRPr="000B15B3">
        <w:rPr>
          <w:rFonts w:cs="Times New Roman"/>
          <w:lang w:val="fr-CA" w:bidi="en-US"/>
        </w:rPr>
        <w:t>193</w:t>
      </w:r>
      <w:r w:rsidRPr="000B15B3">
        <w:rPr>
          <w:rFonts w:cs="Times New Roman"/>
          <w:lang w:val="fr-CA"/>
        </w:rPr>
        <w:t>.  Ce débat s’est poursuivi devant nous, chacune de ces intervenantes demandant à notre Cour de se rallier à son point de vue.  Notre Cour tient compte à juste titre des avis exprimés, mais il ne lui appartient pas d’animer le débat.  Elle doit plutôt s’acquitter de la tâche plus humble de déterminer les principes qui doivent s’appliquer dans un cas comme celui qui nous occupe, et ce, dans l’optique de ce que requiert la bonne administration de la justice.</w:t>
      </w:r>
    </w:p>
    <w:p w:rsidR="00807172" w:rsidRPr="000B15B3" w:rsidRDefault="00807172" w:rsidP="00807172">
      <w:pPr>
        <w:pStyle w:val="ParaNoNdepar-AltN"/>
        <w:tabs>
          <w:tab w:val="clear" w:pos="1152"/>
          <w:tab w:val="left" w:pos="1166"/>
        </w:tabs>
        <w:rPr>
          <w:rFonts w:cs="Times New Roman"/>
          <w:lang w:val="fr-CA"/>
        </w:rPr>
      </w:pPr>
      <w:r w:rsidRPr="000B15B3">
        <w:rPr>
          <w:rFonts w:cs="Times New Roman"/>
          <w:lang w:val="fr-CA"/>
        </w:rPr>
        <w:lastRenderedPageBreak/>
        <w:t xml:space="preserve">C’est sur cette toile de fond que je me penche maintenant sur les principes applicables en l’espèce. </w:t>
      </w:r>
    </w:p>
    <w:p w:rsidR="00807172" w:rsidRPr="000B15B3" w:rsidRDefault="00807172" w:rsidP="00807172">
      <w:pPr>
        <w:pStyle w:val="TitleTitre-AltT"/>
        <w:keepNext/>
        <w:tabs>
          <w:tab w:val="clear" w:pos="360"/>
        </w:tabs>
        <w:spacing w:before="0"/>
        <w:ind w:left="450" w:hanging="450"/>
        <w:rPr>
          <w:rFonts w:cs="Times New Roman"/>
          <w:lang w:val="fr-CA"/>
        </w:rPr>
      </w:pPr>
      <w:r w:rsidRPr="000B15B3">
        <w:rPr>
          <w:rFonts w:cs="Times New Roman"/>
          <w:lang w:val="fr-CA"/>
        </w:rPr>
        <w:t>B.</w:t>
      </w:r>
      <w:r w:rsidRPr="000B15B3">
        <w:rPr>
          <w:rFonts w:cs="Times New Roman"/>
          <w:lang w:val="fr-CA"/>
        </w:rPr>
        <w:tab/>
      </w:r>
      <w:r w:rsidRPr="000B15B3">
        <w:rPr>
          <w:rFonts w:cs="Times New Roman"/>
          <w:i/>
          <w:lang w:val="fr-CA"/>
        </w:rPr>
        <w:t>Les principes pertinents</w:t>
      </w:r>
    </w:p>
    <w:p w:rsidR="00807172" w:rsidRPr="000B15B3" w:rsidRDefault="00807172" w:rsidP="00807172">
      <w:pPr>
        <w:pStyle w:val="ParaNoNdepar-AltN"/>
        <w:rPr>
          <w:rFonts w:cs="Times New Roman"/>
          <w:lang w:val="fr-CA"/>
        </w:rPr>
      </w:pPr>
      <w:r w:rsidRPr="000B15B3">
        <w:rPr>
          <w:rFonts w:cs="Times New Roman"/>
          <w:lang w:val="fr-CA"/>
        </w:rPr>
        <w:t xml:space="preserve">L’avocat et, par extension, le cabinet d’avocats, ont envers leurs clients un devoir de loyauté qui comporte les trois aspects principaux suivants : (1) le devoir d’éviter les conflits d’intérêts; (2) le devoir de dévouement à la cause du client; (3) le devoir de franchise : </w:t>
      </w:r>
      <w:r w:rsidRPr="000B15B3">
        <w:rPr>
          <w:rFonts w:cs="Times New Roman"/>
          <w:i/>
          <w:lang w:val="fr-CA"/>
        </w:rPr>
        <w:t>Neil</w:t>
      </w:r>
      <w:r w:rsidRPr="000B15B3">
        <w:rPr>
          <w:rFonts w:cs="Times New Roman"/>
          <w:lang w:val="fr-CA"/>
        </w:rPr>
        <w:t>, par. 19.  J’examinerai tour à tour chacun d’eux.</w:t>
      </w:r>
    </w:p>
    <w:p w:rsidR="00807172" w:rsidRPr="000B15B3" w:rsidRDefault="00807172" w:rsidP="00807172">
      <w:pPr>
        <w:pStyle w:val="TitleTitre-AltT"/>
        <w:keepNext/>
        <w:tabs>
          <w:tab w:val="clear" w:pos="360"/>
          <w:tab w:val="left" w:pos="1170"/>
        </w:tabs>
        <w:spacing w:before="0"/>
        <w:ind w:left="1620" w:hanging="1620"/>
        <w:rPr>
          <w:rFonts w:cs="Times New Roman"/>
          <w:lang w:val="fr-CA"/>
        </w:rPr>
      </w:pPr>
      <w:r w:rsidRPr="000B15B3">
        <w:rPr>
          <w:rFonts w:cs="Times New Roman"/>
          <w:lang w:val="fr-CA"/>
        </w:rPr>
        <w:tab/>
        <w:t>1.</w:t>
      </w:r>
      <w:r w:rsidRPr="000B15B3">
        <w:rPr>
          <w:rFonts w:cs="Times New Roman"/>
          <w:lang w:val="fr-CA"/>
        </w:rPr>
        <w:tab/>
      </w:r>
      <w:r w:rsidRPr="000B15B3">
        <w:rPr>
          <w:rFonts w:cs="Times New Roman"/>
          <w:u w:val="single"/>
          <w:lang w:val="fr-CA"/>
        </w:rPr>
        <w:t>Éviter les conflits d’intérêts</w:t>
      </w:r>
      <w:r w:rsidRPr="000B15B3">
        <w:rPr>
          <w:rFonts w:cs="Times New Roman"/>
          <w:lang w:val="fr-CA"/>
        </w:rPr>
        <w:t xml:space="preserve"> </w:t>
      </w:r>
    </w:p>
    <w:p w:rsidR="00807172" w:rsidRPr="000B15B3" w:rsidRDefault="005E0A48" w:rsidP="00807172">
      <w:pPr>
        <w:pStyle w:val="TitleTitre-AltT"/>
        <w:keepNext/>
        <w:tabs>
          <w:tab w:val="clear" w:pos="360"/>
          <w:tab w:val="left" w:pos="1170"/>
        </w:tabs>
        <w:spacing w:before="0"/>
        <w:ind w:left="1620" w:hanging="1620"/>
        <w:rPr>
          <w:rFonts w:cs="Times New Roman"/>
          <w:i/>
          <w:lang w:val="fr-CA" w:bidi="en-US"/>
        </w:rPr>
      </w:pPr>
      <w:r>
        <w:rPr>
          <w:rFonts w:cs="Times New Roman"/>
          <w:lang w:val="fr-CA" w:bidi="en-US"/>
        </w:rPr>
        <w:tab/>
      </w:r>
      <w:r w:rsidR="00807172" w:rsidRPr="000B15B3">
        <w:rPr>
          <w:rFonts w:cs="Times New Roman"/>
          <w:lang w:val="fr-CA" w:bidi="en-US"/>
        </w:rPr>
        <w:t>a)</w:t>
      </w:r>
      <w:r w:rsidR="00807172" w:rsidRPr="000B15B3">
        <w:rPr>
          <w:rFonts w:cs="Times New Roman"/>
          <w:lang w:val="fr-CA" w:bidi="en-US"/>
        </w:rPr>
        <w:tab/>
      </w:r>
      <w:r w:rsidR="00807172" w:rsidRPr="000B15B3">
        <w:rPr>
          <w:rFonts w:cs="Times New Roman"/>
          <w:i/>
          <w:lang w:val="fr-CA" w:bidi="en-US"/>
        </w:rPr>
        <w:t>Les origines anglaises</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 xml:space="preserve">Au Canada, le droit des conflits d’intérêts appliqué par les tribunaux repose sur des précédents qui trouvent leur source dans la jurisprudence anglaise.  On cherchait par tradition à éviter que les clients subissent un préjudice du fait qu’un avocat représente — en même temps ou consécutivement — des parties aux intérêts opposés.  L’avocat n’était déclaré inhabile à occuper que dans les cas où il existait un véritable risque de préjudice pour le client plutôt qu’une possibilité théorique de préjudice : voir, par exemple, </w:t>
      </w:r>
      <w:proofErr w:type="spellStart"/>
      <w:r w:rsidRPr="000B15B3">
        <w:rPr>
          <w:rFonts w:cs="Times New Roman"/>
          <w:i/>
          <w:lang w:val="fr-CA"/>
        </w:rPr>
        <w:t>Cholmondeley</w:t>
      </w:r>
      <w:proofErr w:type="spellEnd"/>
      <w:r w:rsidRPr="000B15B3">
        <w:rPr>
          <w:rFonts w:cs="Times New Roman"/>
          <w:i/>
          <w:lang w:val="fr-CA"/>
        </w:rPr>
        <w:t xml:space="preserve"> c. Clinton </w:t>
      </w:r>
      <w:r w:rsidRPr="000B15B3">
        <w:rPr>
          <w:rFonts w:cs="Times New Roman"/>
          <w:lang w:val="fr-CA"/>
        </w:rPr>
        <w:t xml:space="preserve">(1815), 19 </w:t>
      </w:r>
      <w:proofErr w:type="spellStart"/>
      <w:r w:rsidRPr="000B15B3">
        <w:rPr>
          <w:rFonts w:cs="Times New Roman"/>
          <w:lang w:val="fr-CA"/>
        </w:rPr>
        <w:t>Ves</w:t>
      </w:r>
      <w:proofErr w:type="spellEnd"/>
      <w:r w:rsidRPr="000B15B3">
        <w:rPr>
          <w:rFonts w:cs="Times New Roman"/>
          <w:lang w:val="fr-CA"/>
        </w:rPr>
        <w:t xml:space="preserve">. Jun. 261, 34 E.R. 515; </w:t>
      </w:r>
      <w:proofErr w:type="spellStart"/>
      <w:r w:rsidRPr="000B15B3">
        <w:rPr>
          <w:rFonts w:cs="Times New Roman"/>
          <w:i/>
          <w:lang w:val="fr-CA"/>
        </w:rPr>
        <w:t>Bricheno</w:t>
      </w:r>
      <w:proofErr w:type="spellEnd"/>
      <w:r w:rsidRPr="000B15B3">
        <w:rPr>
          <w:rFonts w:cs="Times New Roman"/>
          <w:i/>
          <w:lang w:val="fr-CA"/>
        </w:rPr>
        <w:t xml:space="preserve"> c. </w:t>
      </w:r>
      <w:proofErr w:type="spellStart"/>
      <w:r w:rsidRPr="000B15B3">
        <w:rPr>
          <w:rFonts w:cs="Times New Roman"/>
          <w:i/>
          <w:lang w:val="fr-CA"/>
        </w:rPr>
        <w:t>Thorp</w:t>
      </w:r>
      <w:proofErr w:type="spellEnd"/>
      <w:r w:rsidRPr="000B15B3">
        <w:rPr>
          <w:rFonts w:cs="Times New Roman"/>
          <w:i/>
          <w:lang w:val="fr-CA"/>
        </w:rPr>
        <w:t xml:space="preserve"> </w:t>
      </w:r>
      <w:r w:rsidRPr="000B15B3">
        <w:rPr>
          <w:rFonts w:cs="Times New Roman"/>
          <w:lang w:val="fr-CA"/>
        </w:rPr>
        <w:t xml:space="preserve">(1821), Jacob 300, 37 E.R. 864; </w:t>
      </w:r>
      <w:r w:rsidRPr="000B15B3">
        <w:rPr>
          <w:rFonts w:cs="Times New Roman"/>
          <w:i/>
          <w:lang w:val="fr-CA"/>
        </w:rPr>
        <w:t xml:space="preserve">Taylor c. </w:t>
      </w:r>
      <w:proofErr w:type="spellStart"/>
      <w:r w:rsidRPr="000B15B3">
        <w:rPr>
          <w:rFonts w:cs="Times New Roman"/>
          <w:i/>
          <w:lang w:val="fr-CA"/>
        </w:rPr>
        <w:t>Blacklow</w:t>
      </w:r>
      <w:proofErr w:type="spellEnd"/>
      <w:r w:rsidR="004A29D2">
        <w:rPr>
          <w:rFonts w:cs="Times New Roman"/>
          <w:lang w:val="fr-CA"/>
        </w:rPr>
        <w:t xml:space="preserve"> (1836), 3 Bing. (N.C.) 235</w:t>
      </w:r>
      <w:r w:rsidRPr="000B15B3">
        <w:rPr>
          <w:rFonts w:cs="Times New Roman"/>
          <w:lang w:val="fr-CA"/>
        </w:rPr>
        <w:t xml:space="preserve">, </w:t>
      </w:r>
      <w:r w:rsidR="004A29D2">
        <w:rPr>
          <w:rFonts w:cs="Times New Roman"/>
          <w:lang w:val="fr-CA"/>
        </w:rPr>
        <w:t>132 E.R. 401</w:t>
      </w:r>
      <w:r w:rsidRPr="000B15B3">
        <w:rPr>
          <w:rFonts w:cs="Times New Roman"/>
          <w:lang w:val="fr-CA"/>
        </w:rPr>
        <w:t xml:space="preserve">.  Cette règle n’était pas absolue et ne constituait pas une « démarcation très nette »; il s’agissait d’une règle pragmatique.  </w:t>
      </w:r>
      <w:r w:rsidRPr="000B15B3">
        <w:rPr>
          <w:rFonts w:cs="Times New Roman"/>
          <w:lang w:val="fr-CA"/>
        </w:rPr>
        <w:lastRenderedPageBreak/>
        <w:t>Les tribunaux examinaient les circonstances propres à chaque affaire</w:t>
      </w:r>
      <w:r w:rsidRPr="000B15B3">
        <w:rPr>
          <w:rFonts w:cs="Times New Roman"/>
          <w:lang w:val="fr-CA" w:bidi="en-US"/>
        </w:rPr>
        <w:t xml:space="preserve"> et cherchaient à déterminer si l’on pouvait conclure de façon réaliste que le client subirait un quelconque préjudice.  L’affirmation suivante du lord juge Fletcher </w:t>
      </w:r>
      <w:proofErr w:type="spellStart"/>
      <w:r w:rsidRPr="000B15B3">
        <w:rPr>
          <w:rFonts w:cs="Times New Roman"/>
          <w:lang w:val="fr-CA" w:bidi="en-US"/>
        </w:rPr>
        <w:t>Moulton</w:t>
      </w:r>
      <w:proofErr w:type="spellEnd"/>
      <w:r w:rsidRPr="000B15B3">
        <w:rPr>
          <w:rFonts w:cs="Times New Roman"/>
          <w:lang w:val="fr-CA" w:bidi="en-US"/>
        </w:rPr>
        <w:t xml:space="preserve"> dans </w:t>
      </w:r>
      <w:proofErr w:type="spellStart"/>
      <w:r w:rsidRPr="000B15B3">
        <w:rPr>
          <w:rFonts w:cs="Times New Roman"/>
          <w:i/>
          <w:lang w:val="fr-CA" w:bidi="en-US"/>
        </w:rPr>
        <w:t>Rakusen</w:t>
      </w:r>
      <w:proofErr w:type="spellEnd"/>
      <w:r w:rsidRPr="000B15B3">
        <w:rPr>
          <w:rFonts w:cs="Times New Roman"/>
          <w:i/>
          <w:lang w:val="fr-CA" w:bidi="en-US"/>
        </w:rPr>
        <w:t xml:space="preserve"> c. Ellis</w:t>
      </w:r>
      <w:r w:rsidR="004A29D2" w:rsidRPr="004A29D2">
        <w:rPr>
          <w:rFonts w:cs="Times New Roman"/>
          <w:lang w:val="fr-CA" w:bidi="en-US"/>
        </w:rPr>
        <w:t>,</w:t>
      </w:r>
      <w:r w:rsidRPr="000B15B3">
        <w:rPr>
          <w:rFonts w:cs="Times New Roman"/>
          <w:i/>
          <w:lang w:val="fr-CA" w:bidi="en-US"/>
        </w:rPr>
        <w:t xml:space="preserve"> </w:t>
      </w:r>
      <w:r w:rsidRPr="000B15B3">
        <w:rPr>
          <w:rFonts w:cs="Times New Roman"/>
          <w:lang w:val="fr-CA" w:bidi="en-US"/>
        </w:rPr>
        <w:t>[1912] 1 Ch. 831</w:t>
      </w:r>
      <w:r w:rsidR="004A29D2">
        <w:rPr>
          <w:rFonts w:cs="Times New Roman"/>
          <w:lang w:val="fr-CA" w:bidi="en-US"/>
        </w:rPr>
        <w:t xml:space="preserve"> (C.A.)</w:t>
      </w:r>
      <w:r w:rsidRPr="000B15B3">
        <w:rPr>
          <w:rFonts w:cs="Times New Roman"/>
          <w:lang w:val="fr-CA" w:bidi="en-US"/>
        </w:rPr>
        <w:t>, saisit l’essence de l’approche adoptée dans la jurisprudence anglaise :</w:t>
      </w:r>
    </w:p>
    <w:p w:rsidR="00807172" w:rsidRPr="000B15B3" w:rsidRDefault="00807172" w:rsidP="00807172">
      <w:pPr>
        <w:pStyle w:val="Citation-AltC"/>
        <w:ind w:hanging="1166"/>
        <w:rPr>
          <w:lang w:val="fr-CA"/>
        </w:rPr>
      </w:pPr>
      <w:r w:rsidRPr="000B15B3">
        <w:rPr>
          <w:lang w:val="fr-CA"/>
        </w:rPr>
        <w:tab/>
        <w:t>[</w:t>
      </w:r>
      <w:r w:rsidRPr="000B15B3">
        <w:rPr>
          <w:smallCaps/>
          <w:lang w:val="fr-CA"/>
        </w:rPr>
        <w:t>traduction</w:t>
      </w:r>
      <w:r w:rsidRPr="000B15B3">
        <w:rPr>
          <w:lang w:val="fr-CA"/>
        </w:rPr>
        <w:t>]  En règle générale, le tribunal n’interviendra pas, sauf si un préjudice est prévu avec raison.  [. . .] [E]n cas de probabilité de préjudice telle que le tribunal estime, dans l’exercice de son devoir de pondérer la norme exigeante de conduite qu’il impose à ses auxiliaires et les nécessités pratiques de la vie, qu’il devrait intervenir, il doit le faire et interdire à un avocat d’occuper pour un client.  En l’espèce, il n’y a pas la moindre probabilité raisonnable de préjudice.  [p. 841]</w:t>
      </w:r>
    </w:p>
    <w:p w:rsidR="00807172" w:rsidRPr="000B15B3" w:rsidRDefault="00807172" w:rsidP="004A29D2">
      <w:pPr>
        <w:pStyle w:val="TitleTitre-AltT"/>
        <w:keepNext/>
        <w:tabs>
          <w:tab w:val="clear" w:pos="360"/>
          <w:tab w:val="left" w:pos="1170"/>
        </w:tabs>
        <w:spacing w:before="0"/>
        <w:ind w:left="1800" w:hanging="1800"/>
        <w:rPr>
          <w:rFonts w:cs="Times New Roman"/>
          <w:i/>
          <w:lang w:val="fr-CA" w:bidi="en-US"/>
        </w:rPr>
      </w:pPr>
      <w:r w:rsidRPr="000B15B3">
        <w:rPr>
          <w:rFonts w:cs="Times New Roman"/>
          <w:lang w:val="fr-CA" w:bidi="en-US"/>
        </w:rPr>
        <w:tab/>
        <w:t>b)</w:t>
      </w:r>
      <w:r w:rsidRPr="000B15B3">
        <w:rPr>
          <w:rFonts w:cs="Times New Roman"/>
          <w:lang w:val="fr-CA" w:bidi="en-US"/>
        </w:rPr>
        <w:tab/>
      </w:r>
      <w:r w:rsidRPr="000B15B3">
        <w:rPr>
          <w:rFonts w:cs="Times New Roman"/>
          <w:i/>
          <w:lang w:val="fr-CA" w:bidi="en-US"/>
        </w:rPr>
        <w:t>Le critère de l’arrêt Martin : une analyse axée sur le risque de préjudice et la pondération des valeurs</w:t>
      </w:r>
    </w:p>
    <w:p w:rsidR="00807172" w:rsidRPr="000B15B3" w:rsidRDefault="00807172" w:rsidP="00807172">
      <w:pPr>
        <w:pStyle w:val="ParaNoNdepar-AltN"/>
        <w:rPr>
          <w:rFonts w:cs="Times New Roman"/>
          <w:lang w:val="fr-CA"/>
        </w:rPr>
      </w:pPr>
      <w:r w:rsidRPr="000B15B3">
        <w:rPr>
          <w:rFonts w:cs="Times New Roman"/>
          <w:lang w:val="fr-CA" w:bidi="en-US"/>
        </w:rPr>
        <w:t xml:space="preserve">Dans l’arrêt </w:t>
      </w:r>
      <w:r w:rsidRPr="000B15B3">
        <w:rPr>
          <w:rFonts w:cs="Times New Roman"/>
          <w:i/>
          <w:lang w:val="fr-CA" w:bidi="en-US"/>
        </w:rPr>
        <w:t>Martin</w:t>
      </w:r>
      <w:r w:rsidRPr="000B15B3">
        <w:rPr>
          <w:rFonts w:cs="Times New Roman"/>
          <w:lang w:val="fr-CA" w:bidi="en-US"/>
        </w:rPr>
        <w:t xml:space="preserve">, notre Cour (sous la plume du juge </w:t>
      </w:r>
      <w:proofErr w:type="spellStart"/>
      <w:r w:rsidRPr="000B15B3">
        <w:rPr>
          <w:rFonts w:cs="Times New Roman"/>
          <w:lang w:val="fr-CA" w:bidi="en-US"/>
        </w:rPr>
        <w:t>Sopinka</w:t>
      </w:r>
      <w:proofErr w:type="spellEnd"/>
      <w:r w:rsidRPr="000B15B3">
        <w:rPr>
          <w:rFonts w:cs="Times New Roman"/>
          <w:lang w:val="fr-CA" w:bidi="en-US"/>
        </w:rPr>
        <w:t xml:space="preserve">) a adopté l’objectif </w:t>
      </w:r>
      <w:r w:rsidR="001605F3">
        <w:rPr>
          <w:rFonts w:cs="Times New Roman"/>
          <w:lang w:val="fr-CA" w:bidi="en-US"/>
        </w:rPr>
        <w:t>de</w:t>
      </w:r>
      <w:r w:rsidRPr="000B15B3">
        <w:rPr>
          <w:rFonts w:cs="Times New Roman"/>
          <w:lang w:val="fr-CA" w:bidi="en-US"/>
        </w:rPr>
        <w:t xml:space="preserve"> la jurisprudence anglaise de soustraire le client au risque véritable de préjudice, mais elle s’est dissociée de certaines décisions anglaises quant au degré précis de risque qui devrait commander l’application de la règle </w:t>
      </w:r>
      <w:r w:rsidRPr="000B15B3">
        <w:rPr>
          <w:rFonts w:cs="Times New Roman"/>
          <w:lang w:val="fr-CA"/>
        </w:rPr>
        <w:t>en matière de conflits d’intérêts</w:t>
      </w:r>
      <w:r w:rsidRPr="000B15B3">
        <w:rPr>
          <w:rFonts w:cs="Times New Roman"/>
          <w:lang w:val="fr-CA" w:bidi="en-US"/>
        </w:rPr>
        <w:t xml:space="preserve">.  Dans l’affaire </w:t>
      </w:r>
      <w:r w:rsidRPr="000B15B3">
        <w:rPr>
          <w:rFonts w:cs="Times New Roman"/>
          <w:i/>
          <w:lang w:val="fr-CA" w:bidi="en-US"/>
        </w:rPr>
        <w:t>Martin</w:t>
      </w:r>
      <w:r w:rsidRPr="000B15B3">
        <w:rPr>
          <w:rFonts w:cs="Times New Roman"/>
          <w:lang w:val="fr-CA" w:bidi="en-US"/>
        </w:rPr>
        <w:t xml:space="preserve">, il s’agissait de savoir si un cabinet d’avocats devait être déclaré inhabile à agir contre une partie parce qu’une avocate de ce cabinet avait appris des faits confidentiels pertinents dans l’exercice de ses fonctions pour le compte de cette partie.  Comme je l’expliquerai davantage plus loin, la Cour a décidé qu’un cabinet d’avocats ne peut être déclaré inhabile à occuper, sauf s’il existe un </w:t>
      </w:r>
      <w:r w:rsidRPr="000B15B3">
        <w:rPr>
          <w:rFonts w:cs="Times New Roman"/>
          <w:lang w:val="fr-CA" w:bidi="en-US"/>
        </w:rPr>
        <w:lastRenderedPageBreak/>
        <w:t>risque de préjudice pour le client, bien que ce dernier bénéficie, dans certains cas, d’une présomption de risque de préjudice : p. 1260</w:t>
      </w:r>
      <w:r w:rsidRPr="000B15B3">
        <w:rPr>
          <w:rFonts w:cs="Times New Roman"/>
          <w:lang w:val="fr-CA" w:bidi="en-US"/>
        </w:rPr>
        <w:noBreakHyphen/>
        <w:t>1261.</w:t>
      </w:r>
      <w:r w:rsidRPr="000B15B3">
        <w:rPr>
          <w:rFonts w:cs="Times New Roman"/>
          <w:lang w:val="fr-CA"/>
        </w:rPr>
        <w:t xml:space="preserve">  </w:t>
      </w:r>
    </w:p>
    <w:p w:rsidR="00807172" w:rsidRPr="000B15B3" w:rsidRDefault="00807172" w:rsidP="00807172">
      <w:pPr>
        <w:pStyle w:val="ParaNoNdepar-AltN"/>
        <w:rPr>
          <w:rFonts w:cs="Times New Roman"/>
          <w:lang w:val="fr-CA" w:bidi="en-US"/>
        </w:rPr>
      </w:pPr>
      <w:r w:rsidRPr="000B15B3">
        <w:rPr>
          <w:rFonts w:cs="Times New Roman"/>
          <w:lang w:val="fr-CA" w:bidi="en-US"/>
        </w:rPr>
        <w:t>En plus de conserver l’accent sur le risque de préjudice pour le client, la Cour a conclu da</w:t>
      </w:r>
      <w:r w:rsidRPr="000B15B3">
        <w:rPr>
          <w:rFonts w:cs="Times New Roman"/>
          <w:lang w:val="fr-CA"/>
        </w:rPr>
        <w:t xml:space="preserve">ns </w:t>
      </w:r>
      <w:r w:rsidRPr="000B15B3">
        <w:rPr>
          <w:rFonts w:cs="Times New Roman"/>
          <w:i/>
          <w:lang w:val="fr-CA"/>
        </w:rPr>
        <w:t>Martin</w:t>
      </w:r>
      <w:r w:rsidRPr="000B15B3">
        <w:rPr>
          <w:rFonts w:cs="Times New Roman"/>
          <w:lang w:val="fr-CA"/>
        </w:rPr>
        <w:t xml:space="preserve"> qu’une règle efficace et équitable en matière de conflits d’intérêts doit établir un juste équilibre entre des valeurs opposées.  D’un côté, il y a la haute considération dont jouissent la profession d’avocat et l’administration de la justice.  De l’autre, il y a l’importance de laisser au client le choix de son avocat, et de permettre une mobilité raisonnable au sein de cette profession.  Il faut mettre en balance les réalités des grands cabinets d’avocats et des parties qui choisissent l’un d’entre eux.  À l’instar des tribunaux anglais, la Cour a refusé d’approuver des règles générales qui ne tiennent pas compte du contexte en présence. </w:t>
      </w:r>
    </w:p>
    <w:p w:rsidR="00807172" w:rsidRPr="000B15B3" w:rsidRDefault="00807172" w:rsidP="00807172">
      <w:pPr>
        <w:pStyle w:val="TitleTitre-AltT"/>
        <w:keepNext/>
        <w:tabs>
          <w:tab w:val="clear" w:pos="360"/>
          <w:tab w:val="left" w:pos="1170"/>
        </w:tabs>
        <w:spacing w:before="0"/>
        <w:ind w:left="1620" w:hanging="1620"/>
        <w:rPr>
          <w:rFonts w:cs="Times New Roman"/>
          <w:i/>
          <w:lang w:val="fr-CA" w:bidi="en-US"/>
        </w:rPr>
      </w:pPr>
      <w:r w:rsidRPr="000B15B3">
        <w:rPr>
          <w:rFonts w:cs="Times New Roman"/>
          <w:lang w:val="fr-CA" w:bidi="en-US"/>
        </w:rPr>
        <w:tab/>
        <w:t>c)</w:t>
      </w:r>
      <w:r w:rsidRPr="000B15B3">
        <w:rPr>
          <w:rFonts w:cs="Times New Roman"/>
          <w:lang w:val="fr-CA" w:bidi="en-US"/>
        </w:rPr>
        <w:tab/>
      </w:r>
      <w:r w:rsidRPr="000B15B3">
        <w:rPr>
          <w:rFonts w:cs="Times New Roman"/>
          <w:i/>
          <w:lang w:val="fr-CA" w:bidi="en-US"/>
        </w:rPr>
        <w:t>Les</w:t>
      </w:r>
      <w:r w:rsidRPr="000B15B3">
        <w:rPr>
          <w:rFonts w:cs="Times New Roman"/>
          <w:lang w:val="fr-CA" w:bidi="en-US"/>
        </w:rPr>
        <w:t xml:space="preserve"> </w:t>
      </w:r>
      <w:r w:rsidRPr="000B15B3">
        <w:rPr>
          <w:rFonts w:cs="Times New Roman"/>
          <w:i/>
          <w:lang w:val="fr-CA" w:bidi="en-US"/>
        </w:rPr>
        <w:t>types de préjudice visés par les règles en matière de conflits d’intérêts</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 xml:space="preserve">Le droit relatif aux conflits d’intérêts cible surtout deux types de préjudice : celui découlant de l’utilisation à mauvais escient, par l’avocat, des renseignements confidentiels qu’il a obtenus d’un client; et celui causé lorsque l’avocat « met une sourdine » à la représentation de son client dans ses propres intérêts, ceux d’un autre client ou ceux d’un tiers.  Pour ce qui est de ces préoccupations, le droit établit une distinction entre les anciens clients et les clients actuels.  Le principal devoir de l’avocat envers un ancien client est de s’abstenir d’utiliser à mauvais escient des renseignements confidentiels.  Quant au client actuel </w:t>
      </w:r>
      <w:r w:rsidRPr="000B15B3">
        <w:rPr>
          <w:rFonts w:cs="Times New Roman"/>
          <w:lang w:val="fr-CA" w:bidi="en-US"/>
        </w:rPr>
        <w:lastRenderedPageBreak/>
        <w:t xml:space="preserve">qu’il représente toujours, l’avocat ne doit ni utiliser à mauvais escient des renseignements confidentiels, ni se placer dans une situation où sa représentation efficace est compromise.  J’examinerai tour à tour chacun de ces aspects de la règle applicable aux conflits d’intérêts. </w:t>
      </w:r>
    </w:p>
    <w:p w:rsidR="00807172" w:rsidRPr="000B15B3" w:rsidRDefault="00807172" w:rsidP="00807172">
      <w:pPr>
        <w:pStyle w:val="TitleTitre-AltT"/>
        <w:keepNext/>
        <w:tabs>
          <w:tab w:val="clear" w:pos="360"/>
          <w:tab w:val="left" w:pos="1170"/>
        </w:tabs>
        <w:spacing w:before="0"/>
        <w:ind w:left="1620" w:hanging="1620"/>
        <w:rPr>
          <w:rFonts w:cs="Times New Roman"/>
          <w:i/>
          <w:lang w:val="fr-CA" w:bidi="en-US"/>
        </w:rPr>
      </w:pPr>
      <w:r w:rsidRPr="000B15B3">
        <w:rPr>
          <w:rFonts w:cs="Times New Roman"/>
          <w:lang w:val="fr-CA" w:bidi="en-US"/>
        </w:rPr>
        <w:tab/>
        <w:t>d)</w:t>
      </w:r>
      <w:r w:rsidRPr="000B15B3">
        <w:rPr>
          <w:rFonts w:cs="Times New Roman"/>
          <w:lang w:val="fr-CA" w:bidi="en-US"/>
        </w:rPr>
        <w:tab/>
      </w:r>
      <w:r w:rsidRPr="000B15B3">
        <w:rPr>
          <w:rFonts w:cs="Times New Roman"/>
          <w:i/>
          <w:lang w:val="fr-CA" w:bidi="en-US"/>
        </w:rPr>
        <w:t>Les renseignements confidentiels</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La prévention de l’utilisation à mauvais escient de renseignements confidentiels constitue la première considération importante visée par le devoir d’éviter les conflits d’intérêts.  Ce devoir renforce le devoir de confidentialité de l’avocat — un devoir distinct — en prévenant les situations comportant un risque élevé de manquement à la confidentialité.  Un avocat ne peut agir dans un dossier dans lequel il peut utiliser des renseignements confidentiels obtenus d’un ancien client ou d’un client actuel au détriment de ce client.  On applique un critère à deux volets pour déterminer si le nouveau dossier placera l’avocat en situation de conflit d’intérêts : (1) </w:t>
      </w:r>
      <w:r w:rsidR="00CE168B">
        <w:rPr>
          <w:rFonts w:cs="Times New Roman"/>
          <w:lang w:val="fr-CA" w:bidi="en-US"/>
        </w:rPr>
        <w:t>L</w:t>
      </w:r>
      <w:r w:rsidRPr="000B15B3">
        <w:rPr>
          <w:rFonts w:cs="Times New Roman"/>
          <w:lang w:val="fr-CA" w:bidi="en-US"/>
        </w:rPr>
        <w:t xml:space="preserve">’avocat </w:t>
      </w:r>
      <w:proofErr w:type="spellStart"/>
      <w:r w:rsidRPr="000B15B3">
        <w:rPr>
          <w:rFonts w:cs="Times New Roman"/>
          <w:lang w:val="fr-CA" w:bidi="en-US"/>
        </w:rPr>
        <w:t>a</w:t>
      </w:r>
      <w:r w:rsidRPr="000B15B3">
        <w:rPr>
          <w:rFonts w:cs="Times New Roman"/>
          <w:lang w:val="fr-CA" w:bidi="en-US"/>
        </w:rPr>
        <w:noBreakHyphen/>
        <w:t>t</w:t>
      </w:r>
      <w:r w:rsidRPr="000B15B3">
        <w:rPr>
          <w:rFonts w:cs="Times New Roman"/>
          <w:lang w:val="fr-CA" w:bidi="en-US"/>
        </w:rPr>
        <w:noBreakHyphen/>
        <w:t>il</w:t>
      </w:r>
      <w:proofErr w:type="spellEnd"/>
      <w:r w:rsidRPr="000B15B3">
        <w:rPr>
          <w:rFonts w:cs="Times New Roman"/>
          <w:lang w:val="fr-CA" w:bidi="en-US"/>
        </w:rPr>
        <w:t xml:space="preserve"> appris des faits confidentiels, grâce à des rapports antérieurs d’avocat à client, qui concernent l’objet du litige?  (2) Y </w:t>
      </w:r>
      <w:proofErr w:type="spellStart"/>
      <w:r w:rsidRPr="000B15B3">
        <w:rPr>
          <w:rFonts w:cs="Times New Roman"/>
          <w:lang w:val="fr-CA" w:bidi="en-US"/>
        </w:rPr>
        <w:t>a</w:t>
      </w:r>
      <w:r w:rsidRPr="000B15B3">
        <w:rPr>
          <w:rFonts w:cs="Times New Roman"/>
          <w:lang w:val="fr-CA" w:bidi="en-US"/>
        </w:rPr>
        <w:noBreakHyphen/>
        <w:t>t</w:t>
      </w:r>
      <w:r w:rsidRPr="000B15B3">
        <w:rPr>
          <w:rFonts w:cs="Times New Roman"/>
          <w:lang w:val="fr-CA" w:bidi="en-US"/>
        </w:rPr>
        <w:noBreakHyphen/>
        <w:t>il</w:t>
      </w:r>
      <w:proofErr w:type="spellEnd"/>
      <w:r w:rsidRPr="000B15B3">
        <w:rPr>
          <w:rFonts w:cs="Times New Roman"/>
          <w:lang w:val="fr-CA" w:bidi="en-US"/>
        </w:rPr>
        <w:t xml:space="preserve"> un risque que ces renseignements soient utilisés au détriment du client? : </w:t>
      </w:r>
      <w:r w:rsidRPr="000B15B3">
        <w:rPr>
          <w:rFonts w:cs="Times New Roman"/>
          <w:i/>
          <w:lang w:val="fr-CA" w:bidi="en-US"/>
        </w:rPr>
        <w:t>Martin</w:t>
      </w:r>
      <w:r w:rsidRPr="000B15B3">
        <w:rPr>
          <w:rFonts w:cs="Times New Roman"/>
          <w:lang w:val="fr-CA" w:bidi="en-US"/>
        </w:rPr>
        <w:t>, p. 1260.  L’existence d’une « connexité suffisante » entre le nouveau mandat de l’avocat et les dossiers auxquels il a travaillé pour le compte de l’ancien client fait intervenir une présomption réfutable que l’avocat dispose de renseignements confidentiels susceptibles de causer un préjudice : p. 1260.</w:t>
      </w:r>
    </w:p>
    <w:p w:rsidR="00807172" w:rsidRPr="000B15B3" w:rsidRDefault="008D5CB9" w:rsidP="00807172">
      <w:pPr>
        <w:pStyle w:val="TitleTitre-AltT"/>
        <w:keepNext/>
        <w:tabs>
          <w:tab w:val="clear" w:pos="360"/>
          <w:tab w:val="left" w:pos="1170"/>
        </w:tabs>
        <w:spacing w:before="0"/>
        <w:ind w:left="1620" w:hanging="1620"/>
        <w:rPr>
          <w:rFonts w:cs="Times New Roman"/>
          <w:i/>
          <w:lang w:val="fr-CA" w:bidi="en-US"/>
        </w:rPr>
      </w:pPr>
      <w:r>
        <w:rPr>
          <w:rFonts w:cs="Times New Roman"/>
          <w:lang w:val="fr-CA" w:bidi="en-US"/>
        </w:rPr>
        <w:lastRenderedPageBreak/>
        <w:tab/>
      </w:r>
      <w:r w:rsidR="00807172" w:rsidRPr="000B15B3">
        <w:rPr>
          <w:rFonts w:cs="Times New Roman"/>
          <w:lang w:val="fr-CA" w:bidi="en-US"/>
        </w:rPr>
        <w:t>e)</w:t>
      </w:r>
      <w:r w:rsidR="00807172" w:rsidRPr="000B15B3">
        <w:rPr>
          <w:rFonts w:cs="Times New Roman"/>
          <w:lang w:val="fr-CA" w:bidi="en-US"/>
        </w:rPr>
        <w:tab/>
      </w:r>
      <w:r w:rsidR="00807172" w:rsidRPr="000B15B3">
        <w:rPr>
          <w:rFonts w:cs="Times New Roman"/>
          <w:i/>
          <w:lang w:val="fr-CA" w:bidi="en-US"/>
        </w:rPr>
        <w:t>La représentation efficace</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Selon la deuxième considération importante, qui concerne les clients actuels, l’avocat doit être un représentant efficace — il doit défendre avec zèle les intérêts de son client.  L’avocat doit éviter [</w:t>
      </w:r>
      <w:r w:rsidRPr="000B15B3">
        <w:rPr>
          <w:rFonts w:cs="Times New Roman"/>
          <w:smallCaps/>
          <w:lang w:val="fr-CA" w:bidi="en-US"/>
        </w:rPr>
        <w:t>traduction</w:t>
      </w:r>
      <w:r w:rsidRPr="000B15B3">
        <w:rPr>
          <w:rFonts w:cs="Times New Roman"/>
          <w:lang w:val="fr-CA" w:bidi="en-US"/>
        </w:rPr>
        <w:t>] « de se trouver dans une situation où l’on ne sait jamais s’il s’est acquitté de son obligation fiduciaire d’agir dans ce qui lui semble être l’intérêt</w:t>
      </w:r>
      <w:r w:rsidR="008D5CB9">
        <w:rPr>
          <w:rFonts w:cs="Times New Roman"/>
          <w:lang w:val="fr-CA" w:bidi="en-US"/>
        </w:rPr>
        <w:t xml:space="preserve"> »</w:t>
      </w:r>
      <w:r w:rsidRPr="000B15B3">
        <w:rPr>
          <w:rFonts w:cs="Times New Roman"/>
          <w:lang w:val="fr-CA" w:bidi="en-US"/>
        </w:rPr>
        <w:t xml:space="preserve"> de son client : D. W. M. Waters, M. R. Gillen et L. D. Smith, </w:t>
      </w:r>
      <w:proofErr w:type="spellStart"/>
      <w:proofErr w:type="gramStart"/>
      <w:r w:rsidRPr="000B15B3">
        <w:rPr>
          <w:rFonts w:cs="Times New Roman"/>
          <w:lang w:val="fr-CA" w:bidi="en-US"/>
        </w:rPr>
        <w:t>dir</w:t>
      </w:r>
      <w:proofErr w:type="spellEnd"/>
      <w:r w:rsidRPr="000B15B3">
        <w:rPr>
          <w:rFonts w:cs="Times New Roman"/>
          <w:lang w:val="fr-CA" w:bidi="en-US"/>
        </w:rPr>
        <w:t>.,</w:t>
      </w:r>
      <w:proofErr w:type="gramEnd"/>
      <w:r w:rsidRPr="000B15B3">
        <w:rPr>
          <w:rFonts w:cs="Times New Roman"/>
          <w:lang w:val="fr-CA" w:bidi="en-US"/>
        </w:rPr>
        <w:t xml:space="preserve"> </w:t>
      </w:r>
      <w:r w:rsidRPr="000B15B3">
        <w:rPr>
          <w:rFonts w:cs="Times New Roman"/>
          <w:i/>
          <w:lang w:val="fr-CA" w:bidi="en-US"/>
        </w:rPr>
        <w:t>Waters’ Law of Trusts in Canada</w:t>
      </w:r>
      <w:r w:rsidRPr="000B15B3">
        <w:rPr>
          <w:rFonts w:cs="Times New Roman"/>
          <w:lang w:val="fr-CA" w:bidi="en-US"/>
        </w:rPr>
        <w:t xml:space="preserve"> (4</w:t>
      </w:r>
      <w:r w:rsidRPr="00C46E9A">
        <w:rPr>
          <w:rFonts w:cs="Times New Roman"/>
          <w:vertAlign w:val="superscript"/>
          <w:lang w:val="fr-CA" w:bidi="en-US"/>
        </w:rPr>
        <w:t>e</w:t>
      </w:r>
      <w:r w:rsidR="00C46E9A">
        <w:rPr>
          <w:rFonts w:cs="Times New Roman"/>
          <w:lang w:val="fr-CA" w:bidi="en-US"/>
        </w:rPr>
        <w:t> éd.</w:t>
      </w:r>
      <w:r w:rsidRPr="000B15B3">
        <w:rPr>
          <w:rFonts w:cs="Times New Roman"/>
          <w:lang w:val="fr-CA" w:bidi="en-US"/>
        </w:rPr>
        <w:t xml:space="preserve"> 2012), p. 968.  Suivant le propos de lord Brougham, cité à maintes reprises, [</w:t>
      </w:r>
      <w:r w:rsidRPr="000B15B3">
        <w:rPr>
          <w:rFonts w:cs="Times New Roman"/>
          <w:smallCaps/>
          <w:lang w:val="fr-CA" w:bidi="en-US"/>
        </w:rPr>
        <w:t>traduction</w:t>
      </w:r>
      <w:r w:rsidRPr="000B15B3">
        <w:rPr>
          <w:rFonts w:cs="Times New Roman"/>
          <w:lang w:val="fr-CA" w:bidi="en-US"/>
        </w:rPr>
        <w:t xml:space="preserve">] « l’avocat, dans l’accomplissement de son devoir, ne connaît qu’une personne au monde et cette personne est son client » : </w:t>
      </w:r>
      <w:r w:rsidRPr="000B15B3">
        <w:rPr>
          <w:rFonts w:cs="Times New Roman"/>
          <w:i/>
          <w:lang w:val="fr-CA" w:bidi="en-US"/>
        </w:rPr>
        <w:t xml:space="preserve">Trial of </w:t>
      </w:r>
      <w:proofErr w:type="spellStart"/>
      <w:r w:rsidRPr="000B15B3">
        <w:rPr>
          <w:rFonts w:cs="Times New Roman"/>
          <w:i/>
          <w:lang w:val="fr-CA" w:bidi="en-US"/>
        </w:rPr>
        <w:t>Queen</w:t>
      </w:r>
      <w:proofErr w:type="spellEnd"/>
      <w:r w:rsidRPr="000B15B3">
        <w:rPr>
          <w:rFonts w:cs="Times New Roman"/>
          <w:i/>
          <w:lang w:val="fr-CA" w:bidi="en-US"/>
        </w:rPr>
        <w:t xml:space="preserve"> Caroline</w:t>
      </w:r>
      <w:r w:rsidRPr="000B15B3">
        <w:rPr>
          <w:rFonts w:cs="Times New Roman"/>
          <w:lang w:val="fr-CA" w:bidi="en-US"/>
        </w:rPr>
        <w:t xml:space="preserve"> (1821), par J. Nightingale, vol. </w:t>
      </w:r>
      <w:r w:rsidR="00B16867">
        <w:rPr>
          <w:rFonts w:cs="Times New Roman"/>
          <w:lang w:val="fr-CA" w:bidi="en-US"/>
        </w:rPr>
        <w:t xml:space="preserve">II, The </w:t>
      </w:r>
      <w:proofErr w:type="spellStart"/>
      <w:r w:rsidR="00B16867">
        <w:rPr>
          <w:rFonts w:cs="Times New Roman"/>
          <w:lang w:val="fr-CA" w:bidi="en-US"/>
        </w:rPr>
        <w:t>Defence</w:t>
      </w:r>
      <w:proofErr w:type="spellEnd"/>
      <w:r w:rsidR="00B16867">
        <w:rPr>
          <w:rFonts w:cs="Times New Roman"/>
          <w:lang w:val="fr-CA" w:bidi="en-US"/>
        </w:rPr>
        <w:t>, partie I, p. 8</w:t>
      </w:r>
      <w:r w:rsidRPr="000B15B3">
        <w:rPr>
          <w:rFonts w:cs="Times New Roman"/>
          <w:lang w:val="fr-CA" w:bidi="en-US"/>
        </w:rPr>
        <w:t xml:space="preserve">. </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 xml:space="preserve">La représentation efficace peut être compromise lorsque l’avocat est tenté de privilégier des intérêts autres que ceux de son client : ses propres intérêts, ceux d’un autre client actuel, d’un ancien client ou d’un tiers : </w:t>
      </w:r>
      <w:r w:rsidRPr="000B15B3">
        <w:rPr>
          <w:rFonts w:cs="Times New Roman"/>
          <w:i/>
          <w:lang w:val="fr-CA" w:bidi="en-US"/>
        </w:rPr>
        <w:t>Neil</w:t>
      </w:r>
      <w:r w:rsidRPr="000B15B3">
        <w:rPr>
          <w:rFonts w:cs="Times New Roman"/>
          <w:lang w:val="fr-CA" w:bidi="en-US"/>
        </w:rPr>
        <w:t>, par. 31.  Le pourvoi qui nous occupe porte sur le risque qui se pose pour la représentation efficace lorsqu’un avocat occupe en même temps dans différents dossiers pour des clients dont les intérêts immédiats s’opposent directement dans ces mêmes dossiers.  Notre Cour a décidé que la représentation simultanée de clients aux intérêts opposés est frappée d’une interdiction claire : la règle de la démarcation très nette.</w:t>
      </w:r>
    </w:p>
    <w:p w:rsidR="00807172" w:rsidRPr="000B15B3" w:rsidRDefault="00807172" w:rsidP="00807172">
      <w:pPr>
        <w:pStyle w:val="TitleTitre-AltT"/>
        <w:keepNext/>
        <w:tabs>
          <w:tab w:val="clear" w:pos="360"/>
          <w:tab w:val="left" w:pos="1170"/>
        </w:tabs>
        <w:spacing w:before="0"/>
        <w:ind w:left="1620" w:hanging="1620"/>
        <w:rPr>
          <w:rFonts w:cs="Times New Roman"/>
          <w:i/>
          <w:lang w:val="fr-CA" w:bidi="en-US"/>
        </w:rPr>
      </w:pPr>
      <w:r w:rsidRPr="000B15B3">
        <w:rPr>
          <w:rFonts w:cs="Times New Roman"/>
          <w:lang w:val="fr-CA" w:bidi="en-US"/>
        </w:rPr>
        <w:lastRenderedPageBreak/>
        <w:tab/>
        <w:t>f)</w:t>
      </w:r>
      <w:r w:rsidRPr="000B15B3">
        <w:rPr>
          <w:rFonts w:cs="Times New Roman"/>
          <w:i/>
          <w:lang w:val="fr-CA" w:bidi="en-US"/>
        </w:rPr>
        <w:tab/>
        <w:t>La règle de la démarcation très nette</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 xml:space="preserve">Notre Cour (sous la plume du juge </w:t>
      </w:r>
      <w:proofErr w:type="spellStart"/>
      <w:r w:rsidRPr="000B15B3">
        <w:rPr>
          <w:rFonts w:cs="Times New Roman"/>
          <w:lang w:val="fr-CA" w:bidi="en-US"/>
        </w:rPr>
        <w:t>Binnie</w:t>
      </w:r>
      <w:proofErr w:type="spellEnd"/>
      <w:r w:rsidRPr="000B15B3">
        <w:rPr>
          <w:rFonts w:cs="Times New Roman"/>
          <w:lang w:val="fr-CA" w:bidi="en-US"/>
        </w:rPr>
        <w:t xml:space="preserve">) a affirmé dans </w:t>
      </w:r>
      <w:r w:rsidRPr="000B15B3">
        <w:rPr>
          <w:rFonts w:cs="Times New Roman"/>
          <w:i/>
          <w:lang w:val="fr-CA" w:bidi="en-US"/>
        </w:rPr>
        <w:t xml:space="preserve">Neil </w:t>
      </w:r>
      <w:r w:rsidRPr="000B15B3">
        <w:rPr>
          <w:rFonts w:cs="Times New Roman"/>
          <w:lang w:val="fr-CA" w:bidi="en-US"/>
        </w:rPr>
        <w:t xml:space="preserve">qu’un avocat ne saurait représenter un client dans un dossier tout en représentant l’adversaire de ce client dans un autre dossier, sauf si les deux clients y consentent de manière éclairée.  Le juge </w:t>
      </w:r>
      <w:proofErr w:type="spellStart"/>
      <w:r w:rsidRPr="000B15B3">
        <w:rPr>
          <w:rFonts w:cs="Times New Roman"/>
          <w:lang w:val="fr-CA" w:bidi="en-US"/>
        </w:rPr>
        <w:t>Binnie</w:t>
      </w:r>
      <w:proofErr w:type="spellEnd"/>
      <w:r w:rsidRPr="000B15B3">
        <w:rPr>
          <w:rFonts w:cs="Times New Roman"/>
          <w:lang w:val="fr-CA" w:bidi="en-US"/>
        </w:rPr>
        <w:t xml:space="preserve"> a formulé ainsi cette règle :</w:t>
      </w:r>
    </w:p>
    <w:p w:rsidR="00807172" w:rsidRPr="000B15B3" w:rsidRDefault="00807172" w:rsidP="00774F38">
      <w:pPr>
        <w:pStyle w:val="Citation-AltC"/>
        <w:ind w:hanging="1166"/>
        <w:contextualSpacing w:val="0"/>
        <w:rPr>
          <w:lang w:val="fr-CA"/>
        </w:rPr>
      </w:pPr>
      <w:r w:rsidRPr="000B15B3">
        <w:rPr>
          <w:lang w:val="fr-CA"/>
        </w:rPr>
        <w:tab/>
        <w:t xml:space="preserve">Cette ligne de démarcation très nette est tracée par la règle générale interdisant à un avocat de représenter un client dont les intérêts sont directement opposés aux intérêts immédiats d’un autre client actuel — </w:t>
      </w:r>
      <w:r w:rsidRPr="000B15B3">
        <w:rPr>
          <w:i/>
          <w:lang w:val="fr-CA"/>
        </w:rPr>
        <w:t xml:space="preserve">même si les deux mandats n’ont aucun rapport entre eux </w:t>
      </w:r>
      <w:r w:rsidRPr="000B15B3">
        <w:rPr>
          <w:lang w:val="fr-CA"/>
        </w:rPr>
        <w:t>— à moins que les deux clients n’y aient consenti après avoir été pleinement informés (et de préférence après avoir obtenu des avis juridiques indépendants) et que l’avocat ou l’avocate estime raisonnablement pouvoir représenter chaque client sans nuire à l’autre.  [Italiques dans l’original</w:t>
      </w:r>
      <w:r w:rsidR="00774F38">
        <w:rPr>
          <w:lang w:val="fr-CA"/>
        </w:rPr>
        <w:t>; par. 29</w:t>
      </w:r>
      <w:r w:rsidRPr="000B15B3">
        <w:rPr>
          <w:lang w:val="fr-CA"/>
        </w:rPr>
        <w:t>]</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 xml:space="preserve">La règle s’applique expressément aux dossiers ayant un lien entre eux </w:t>
      </w:r>
      <w:r w:rsidRPr="000B15B3">
        <w:rPr>
          <w:rFonts w:cs="Times New Roman"/>
          <w:i/>
          <w:lang w:val="fr-CA" w:bidi="en-US"/>
        </w:rPr>
        <w:t>et</w:t>
      </w:r>
      <w:r w:rsidRPr="000B15B3">
        <w:rPr>
          <w:rFonts w:cs="Times New Roman"/>
          <w:lang w:val="fr-CA" w:bidi="en-US"/>
        </w:rPr>
        <w:t xml:space="preserve"> à ceux qui n’en ont pas.  On peut soutenir qu’il n’est pas justifié d’interdire totalement la représentation simultanée de parties adverses dans des dossiers n’</w:t>
      </w:r>
      <w:r w:rsidRPr="000B15B3">
        <w:rPr>
          <w:rFonts w:cs="Times New Roman"/>
          <w:lang w:val="fr-CA"/>
        </w:rPr>
        <w:t xml:space="preserve">ayant aucun lien </w:t>
      </w:r>
      <w:r w:rsidRPr="000B15B3">
        <w:rPr>
          <w:rFonts w:cs="Times New Roman"/>
          <w:lang w:val="fr-CA" w:bidi="en-US"/>
        </w:rPr>
        <w:t xml:space="preserve">entre eux en l’absence d’une véritable possibilité de conflit entre les devoirs que l’avocat a concrètement envers chacun des clients.  Cette règle présente toutefois plusieurs avantages.  Elle est claire.  Elle reconnaît qu’il est difficile — et souvent impossible — pour l’avocat ou le cabinet d’avocats de cloisonner nettement les intérêts fondamentalement opposés de différents clients.  Enfin, cette règle s’accorde avec le fait que la relation </w:t>
      </w:r>
      <w:proofErr w:type="spellStart"/>
      <w:r w:rsidRPr="000B15B3">
        <w:rPr>
          <w:rFonts w:cs="Times New Roman"/>
          <w:lang w:val="fr-CA" w:bidi="en-US"/>
        </w:rPr>
        <w:t>avocat</w:t>
      </w:r>
      <w:r w:rsidRPr="000B15B3">
        <w:rPr>
          <w:rFonts w:cs="Times New Roman"/>
          <w:lang w:val="fr-CA" w:bidi="en-US"/>
        </w:rPr>
        <w:noBreakHyphen/>
        <w:t>client</w:t>
      </w:r>
      <w:proofErr w:type="spellEnd"/>
      <w:r w:rsidRPr="000B15B3">
        <w:rPr>
          <w:rFonts w:cs="Times New Roman"/>
          <w:lang w:val="fr-CA" w:bidi="en-US"/>
        </w:rPr>
        <w:t xml:space="preserve"> repose sur la confiance.  Le fait est que [</w:t>
      </w:r>
      <w:r w:rsidRPr="000B15B3">
        <w:rPr>
          <w:rFonts w:cs="Times New Roman"/>
          <w:smallCaps/>
          <w:lang w:val="fr-CA" w:bidi="en-US"/>
        </w:rPr>
        <w:t>traduction</w:t>
      </w:r>
      <w:r w:rsidRPr="000B15B3">
        <w:rPr>
          <w:rFonts w:cs="Times New Roman"/>
          <w:lang w:val="fr-CA" w:bidi="en-US"/>
        </w:rPr>
        <w:t xml:space="preserve">] « la foi du client dans la loyauté de l’avocat envers ses intérêts sera sérieusement ébranlée dès lors que l’avocat doit faire preuve de loyauté envers un </w:t>
      </w:r>
      <w:r w:rsidRPr="000B15B3">
        <w:rPr>
          <w:rFonts w:cs="Times New Roman"/>
          <w:lang w:val="fr-CA" w:bidi="en-US"/>
        </w:rPr>
        <w:lastRenderedPageBreak/>
        <w:t xml:space="preserve">autre client aux intérêts sensiblement opposés » : </w:t>
      </w:r>
      <w:proofErr w:type="spellStart"/>
      <w:r w:rsidRPr="000B15B3">
        <w:rPr>
          <w:rFonts w:cs="Times New Roman"/>
          <w:i/>
          <w:lang w:val="fr-CA"/>
        </w:rPr>
        <w:t>Restatement</w:t>
      </w:r>
      <w:proofErr w:type="spellEnd"/>
      <w:r w:rsidRPr="000B15B3">
        <w:rPr>
          <w:rFonts w:cs="Times New Roman"/>
          <w:i/>
          <w:lang w:val="fr-CA"/>
        </w:rPr>
        <w:t xml:space="preserve"> of the Law</w:t>
      </w:r>
      <w:r w:rsidR="00774F38">
        <w:rPr>
          <w:rFonts w:cs="Times New Roman"/>
          <w:i/>
          <w:lang w:val="fr-CA"/>
        </w:rPr>
        <w:t>,</w:t>
      </w:r>
      <w:r w:rsidRPr="000B15B3">
        <w:rPr>
          <w:rFonts w:cs="Times New Roman"/>
          <w:i/>
          <w:lang w:val="fr-CA"/>
        </w:rPr>
        <w:t xml:space="preserve"> </w:t>
      </w:r>
      <w:proofErr w:type="spellStart"/>
      <w:r w:rsidRPr="000B15B3">
        <w:rPr>
          <w:rFonts w:cs="Times New Roman"/>
          <w:i/>
          <w:lang w:val="fr-CA"/>
        </w:rPr>
        <w:t>Third</w:t>
      </w:r>
      <w:proofErr w:type="spellEnd"/>
      <w:r w:rsidRPr="000B15B3">
        <w:rPr>
          <w:rFonts w:cs="Times New Roman"/>
          <w:i/>
          <w:lang w:val="fr-CA"/>
        </w:rPr>
        <w:t xml:space="preserve"> : The Law </w:t>
      </w:r>
      <w:proofErr w:type="spellStart"/>
      <w:r w:rsidRPr="000B15B3">
        <w:rPr>
          <w:rFonts w:cs="Times New Roman"/>
          <w:i/>
          <w:lang w:val="fr-CA"/>
        </w:rPr>
        <w:t>Governing</w:t>
      </w:r>
      <w:proofErr w:type="spellEnd"/>
      <w:r w:rsidRPr="000B15B3">
        <w:rPr>
          <w:rFonts w:cs="Times New Roman"/>
          <w:i/>
          <w:lang w:val="fr-CA"/>
        </w:rPr>
        <w:t xml:space="preserve"> </w:t>
      </w:r>
      <w:proofErr w:type="spellStart"/>
      <w:r w:rsidRPr="000B15B3">
        <w:rPr>
          <w:rFonts w:cs="Times New Roman"/>
          <w:i/>
          <w:lang w:val="fr-CA"/>
        </w:rPr>
        <w:t>Lawyers</w:t>
      </w:r>
      <w:proofErr w:type="spellEnd"/>
      <w:r w:rsidRPr="000B15B3">
        <w:rPr>
          <w:rFonts w:cs="Times New Roman"/>
          <w:lang w:val="fr-CA"/>
        </w:rPr>
        <w:t xml:space="preserve"> (2000), vol. 2, </w:t>
      </w:r>
      <w:r w:rsidRPr="000B15B3">
        <w:rPr>
          <w:rFonts w:cs="Times New Roman"/>
          <w:lang w:val="fr-FR"/>
        </w:rPr>
        <w:t>§</w:t>
      </w:r>
      <w:r w:rsidRPr="000B15B3">
        <w:rPr>
          <w:rFonts w:cs="Times New Roman"/>
          <w:lang w:val="fr-CA"/>
        </w:rPr>
        <w:t xml:space="preserve"> 128(2), p. 339. </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rPr>
        <w:t xml:space="preserve">Les parties et les intervenantes en l’espèce ne s’entendent pas sur la teneur de la règle de la démarcation très nette.  Divers arguments ont été avancés : la règle de la démarcation très nette n’est qu’une présomption réfutable de conflit; elle ne s’applique pas si les dossiers n’ont aucun lien entre eux; elle commande une pondération de divers facteurs circonstanciels qui peuvent donner lieu à un conflit.  Il faut rejeter ces prétentions.  Si elle s’applique, la règle de la démarcation très nette interdit la représentation simultanée de clients.  Elle ne suppose pas la prise en compte d’autres considérations.  Comme l’a dit le juge </w:t>
      </w:r>
      <w:proofErr w:type="spellStart"/>
      <w:r w:rsidRPr="000B15B3">
        <w:rPr>
          <w:rFonts w:cs="Times New Roman"/>
          <w:lang w:val="fr-CA"/>
        </w:rPr>
        <w:t>Binnie</w:t>
      </w:r>
      <w:proofErr w:type="spellEnd"/>
      <w:r w:rsidRPr="000B15B3">
        <w:rPr>
          <w:rFonts w:cs="Times New Roman"/>
          <w:lang w:val="fr-CA"/>
        </w:rPr>
        <w:t xml:space="preserve"> dans </w:t>
      </w:r>
      <w:proofErr w:type="spellStart"/>
      <w:r w:rsidRPr="000B15B3">
        <w:rPr>
          <w:rFonts w:cs="Times New Roman"/>
          <w:i/>
          <w:lang w:val="fr-CA"/>
        </w:rPr>
        <w:t>Strother</w:t>
      </w:r>
      <w:proofErr w:type="spellEnd"/>
      <w:r w:rsidRPr="000B15B3">
        <w:rPr>
          <w:rFonts w:cs="Times New Roman"/>
          <w:i/>
          <w:lang w:val="fr-CA"/>
        </w:rPr>
        <w:t xml:space="preserve"> c. 3464920 Canada Inc.</w:t>
      </w:r>
      <w:r w:rsidRPr="000B15B3">
        <w:rPr>
          <w:rFonts w:cs="Times New Roman"/>
          <w:lang w:val="fr-CA"/>
        </w:rPr>
        <w:t xml:space="preserve">, 2007 CSC 24, [2007] 2 R.C.S. 177, « [l]a règle de la </w:t>
      </w:r>
      <w:r w:rsidR="00CE168B">
        <w:rPr>
          <w:rFonts w:cs="Times New Roman"/>
          <w:lang w:val="fr-CA"/>
        </w:rPr>
        <w:t>“démarcation très nette”</w:t>
      </w:r>
      <w:r w:rsidRPr="000B15B3">
        <w:rPr>
          <w:rFonts w:cs="Times New Roman"/>
          <w:lang w:val="fr-CA"/>
        </w:rPr>
        <w:t xml:space="preserve"> est le fruit de la mise en balance d’intérêts et non un mécanisme qui donne ouverture à une autre mise en balance interne » : par. 51.  Transformer cette règle en une présomption réfutable ou en un exercice de mise en balance reviendrait à infirmer les arrêts </w:t>
      </w:r>
      <w:r w:rsidRPr="000B15B3">
        <w:rPr>
          <w:rFonts w:cs="Times New Roman"/>
          <w:i/>
          <w:lang w:val="fr-CA"/>
        </w:rPr>
        <w:t xml:space="preserve">Neil </w:t>
      </w:r>
      <w:r w:rsidRPr="000B15B3">
        <w:rPr>
          <w:rFonts w:cs="Times New Roman"/>
          <w:lang w:val="fr-CA"/>
        </w:rPr>
        <w:t xml:space="preserve">et </w:t>
      </w:r>
      <w:proofErr w:type="spellStart"/>
      <w:r w:rsidRPr="000B15B3">
        <w:rPr>
          <w:rFonts w:cs="Times New Roman"/>
          <w:i/>
          <w:lang w:val="fr-CA"/>
        </w:rPr>
        <w:t>Strother</w:t>
      </w:r>
      <w:proofErr w:type="spellEnd"/>
      <w:r w:rsidRPr="000B15B3">
        <w:rPr>
          <w:rFonts w:cs="Times New Roman"/>
          <w:lang w:val="fr-CA"/>
        </w:rPr>
        <w:t xml:space="preserve">.  Je ne suis pas convaincue qu’il convienne en l’espèce de déroger au respect des précédents. </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La règle de la démarcation très nette n’est toutefois pas une règle d’application illimitée.  La portée de la règle constitue la véritable question qui se pose en l’espèce et j’aborde maintenant cette question.</w:t>
      </w:r>
    </w:p>
    <w:p w:rsidR="00807172" w:rsidRPr="000B15B3" w:rsidRDefault="001B4502" w:rsidP="00807172">
      <w:pPr>
        <w:pStyle w:val="TitleTitre-AltT"/>
        <w:keepNext/>
        <w:tabs>
          <w:tab w:val="clear" w:pos="360"/>
          <w:tab w:val="left" w:pos="1170"/>
        </w:tabs>
        <w:spacing w:before="0"/>
        <w:ind w:left="1620" w:hanging="1620"/>
        <w:rPr>
          <w:rFonts w:cs="Times New Roman"/>
          <w:i/>
          <w:lang w:val="fr-CA" w:bidi="en-US"/>
        </w:rPr>
      </w:pPr>
      <w:r>
        <w:rPr>
          <w:rFonts w:cs="Times New Roman"/>
          <w:lang w:val="fr-CA" w:bidi="en-US"/>
        </w:rPr>
        <w:lastRenderedPageBreak/>
        <w:tab/>
      </w:r>
      <w:r w:rsidR="00807172" w:rsidRPr="000B15B3">
        <w:rPr>
          <w:rFonts w:cs="Times New Roman"/>
          <w:lang w:val="fr-CA" w:bidi="en-US"/>
        </w:rPr>
        <w:t>g)</w:t>
      </w:r>
      <w:r w:rsidR="00807172" w:rsidRPr="000B15B3">
        <w:rPr>
          <w:rFonts w:cs="Times New Roman"/>
          <w:lang w:val="fr-CA" w:bidi="en-US"/>
        </w:rPr>
        <w:tab/>
      </w:r>
      <w:r w:rsidR="00807172" w:rsidRPr="000B15B3">
        <w:rPr>
          <w:rFonts w:cs="Times New Roman"/>
          <w:i/>
          <w:lang w:val="fr-CA" w:bidi="en-US"/>
        </w:rPr>
        <w:t xml:space="preserve">La portée de la règle de la démarcation très nette </w:t>
      </w:r>
    </w:p>
    <w:p w:rsidR="00807172" w:rsidRPr="000B15B3" w:rsidRDefault="00807172" w:rsidP="00807172">
      <w:pPr>
        <w:pStyle w:val="ParaNoNdepar-AltN"/>
        <w:rPr>
          <w:rFonts w:cs="Times New Roman"/>
          <w:lang w:val="fr-CA" w:bidi="en-US"/>
        </w:rPr>
      </w:pPr>
      <w:r w:rsidRPr="000B15B3">
        <w:rPr>
          <w:rFonts w:cs="Times New Roman"/>
          <w:lang w:val="fr-CA" w:bidi="en-US"/>
        </w:rPr>
        <w:t>Selon la règle de la démarcation très nette, un cabinet d’avocats ne peut occuper pour un client dont les intérêts s’opposent à ceux d’un autre client actuel, sauf si les deux clients y consentent.  La règle s’applique peu importe que les dossiers des clients aient ou non un lien entre eux.  Cette règle repose sur [</w:t>
      </w:r>
      <w:r w:rsidRPr="000B15B3">
        <w:rPr>
          <w:rFonts w:cs="Times New Roman"/>
          <w:smallCaps/>
          <w:lang w:val="fr-CA" w:bidi="en-US"/>
        </w:rPr>
        <w:t>traduction</w:t>
      </w:r>
      <w:r w:rsidRPr="000B15B3">
        <w:rPr>
          <w:rFonts w:cs="Times New Roman"/>
          <w:lang w:val="fr-CA" w:bidi="en-US"/>
        </w:rPr>
        <w:t xml:space="preserve">] « l’inévitable conflit d’intérêts inhérent » à certains cas de représentation simultanée : </w:t>
      </w:r>
      <w:proofErr w:type="spellStart"/>
      <w:r w:rsidRPr="000B15B3">
        <w:rPr>
          <w:rFonts w:cs="Times New Roman"/>
          <w:i/>
          <w:lang w:val="fr-CA" w:bidi="en-US"/>
        </w:rPr>
        <w:t>Bolkiah</w:t>
      </w:r>
      <w:proofErr w:type="spellEnd"/>
      <w:r w:rsidRPr="000B15B3">
        <w:rPr>
          <w:rFonts w:cs="Times New Roman"/>
          <w:i/>
          <w:lang w:val="fr-CA" w:bidi="en-US"/>
        </w:rPr>
        <w:t xml:space="preserve"> c. KPMG</w:t>
      </w:r>
      <w:r w:rsidRPr="000B15B3">
        <w:rPr>
          <w:rFonts w:cs="Times New Roman"/>
          <w:lang w:val="fr-CA" w:bidi="en-US"/>
        </w:rPr>
        <w:t xml:space="preserve">, [1999] 2 A.C. 222 (H.L.), p. 235, cité dans </w:t>
      </w:r>
      <w:r w:rsidRPr="000B15B3">
        <w:rPr>
          <w:rFonts w:cs="Times New Roman"/>
          <w:i/>
          <w:lang w:val="fr-CA" w:bidi="en-US"/>
        </w:rPr>
        <w:t>Neil</w:t>
      </w:r>
      <w:r w:rsidRPr="000B15B3">
        <w:rPr>
          <w:rFonts w:cs="Times New Roman"/>
          <w:lang w:val="fr-CA" w:bidi="en-US"/>
        </w:rPr>
        <w:t>, par. 27.  Elle traduit l’essentiel du devoir de loyauté qu’assume le fiduciaire : [</w:t>
      </w:r>
      <w:r w:rsidRPr="000B15B3">
        <w:rPr>
          <w:rFonts w:cs="Times New Roman"/>
          <w:smallCaps/>
          <w:lang w:val="fr-CA" w:bidi="en-US"/>
        </w:rPr>
        <w:t>traduction</w:t>
      </w:r>
      <w:r w:rsidRPr="000B15B3">
        <w:rPr>
          <w:rFonts w:cs="Times New Roman"/>
          <w:lang w:val="fr-CA" w:bidi="en-US"/>
        </w:rPr>
        <w:t>] « </w:t>
      </w:r>
      <w:r w:rsidR="00793B80">
        <w:rPr>
          <w:rFonts w:cs="Times New Roman"/>
          <w:lang w:val="fr-CA" w:bidi="en-US"/>
        </w:rPr>
        <w:t xml:space="preserve">. . . </w:t>
      </w:r>
      <w:r w:rsidRPr="000B15B3">
        <w:rPr>
          <w:rFonts w:cs="Times New Roman"/>
          <w:lang w:val="fr-CA" w:bidi="en-US"/>
        </w:rPr>
        <w:t xml:space="preserve">un fiduciaire ne peut agir en même temps à la fois pour et contre un même client, et son cabinet n’est pas en meilleure position » : </w:t>
      </w:r>
      <w:proofErr w:type="spellStart"/>
      <w:r w:rsidRPr="000B15B3">
        <w:rPr>
          <w:rFonts w:cs="Times New Roman"/>
          <w:i/>
          <w:lang w:val="fr-CA" w:bidi="en-US"/>
        </w:rPr>
        <w:t>Bolkiah</w:t>
      </w:r>
      <w:proofErr w:type="spellEnd"/>
      <w:r w:rsidRPr="000B15B3">
        <w:rPr>
          <w:rFonts w:cs="Times New Roman"/>
          <w:lang w:val="fr-CA" w:bidi="en-US"/>
        </w:rPr>
        <w:t>, p. 234.</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 xml:space="preserve">Toutefois, les arrêts </w:t>
      </w:r>
      <w:r w:rsidRPr="000B15B3">
        <w:rPr>
          <w:rFonts w:cs="Times New Roman"/>
          <w:i/>
          <w:lang w:val="fr-CA" w:bidi="en-US"/>
        </w:rPr>
        <w:t xml:space="preserve">Neil </w:t>
      </w:r>
      <w:r w:rsidRPr="000B15B3">
        <w:rPr>
          <w:rFonts w:cs="Times New Roman"/>
          <w:lang w:val="fr-CA" w:bidi="en-US"/>
        </w:rPr>
        <w:t xml:space="preserve">et </w:t>
      </w:r>
      <w:proofErr w:type="spellStart"/>
      <w:r w:rsidRPr="000B15B3">
        <w:rPr>
          <w:rFonts w:cs="Times New Roman"/>
          <w:i/>
          <w:lang w:val="fr-CA" w:bidi="en-US"/>
        </w:rPr>
        <w:t>Strother</w:t>
      </w:r>
      <w:proofErr w:type="spellEnd"/>
      <w:r w:rsidRPr="000B15B3">
        <w:rPr>
          <w:rFonts w:cs="Times New Roman"/>
          <w:i/>
          <w:lang w:val="fr-CA" w:bidi="en-US"/>
        </w:rPr>
        <w:t xml:space="preserve"> </w:t>
      </w:r>
      <w:r w:rsidRPr="000B15B3">
        <w:rPr>
          <w:rFonts w:cs="Times New Roman"/>
          <w:lang w:val="fr-CA" w:bidi="en-US"/>
        </w:rPr>
        <w:t xml:space="preserve">indiquent clairement que cette règle n’a pas une portée illimitée.  Elle s’applique lorsque les intérêts </w:t>
      </w:r>
      <w:r w:rsidRPr="000B15B3">
        <w:rPr>
          <w:rFonts w:cs="Times New Roman"/>
          <w:i/>
          <w:lang w:val="fr-CA" w:bidi="en-US"/>
        </w:rPr>
        <w:t xml:space="preserve">juridiques immédiats </w:t>
      </w:r>
      <w:r w:rsidRPr="000B15B3">
        <w:rPr>
          <w:rFonts w:cs="Times New Roman"/>
          <w:lang w:val="fr-CA" w:bidi="en-US"/>
        </w:rPr>
        <w:t xml:space="preserve">des clients s’opposent </w:t>
      </w:r>
      <w:r w:rsidRPr="000B15B3">
        <w:rPr>
          <w:rFonts w:cs="Times New Roman"/>
          <w:i/>
          <w:lang w:val="fr-CA" w:bidi="en-US"/>
        </w:rPr>
        <w:t>directement</w:t>
      </w:r>
      <w:r w:rsidRPr="000B15B3">
        <w:rPr>
          <w:rFonts w:cs="Times New Roman"/>
          <w:lang w:val="fr-CA" w:bidi="en-US"/>
        </w:rPr>
        <w:t xml:space="preserve">.  Son application ne vise pas à sanctionner les abus tactiques.  Et elle ne s’applique pas dans les cas où il est déraisonnable de s’attendre à ce que l’avocat ne représente pas simultanément des parties adverses dans des dossiers juridiques n’ayant aucun lien entre eux.  Les arrêts </w:t>
      </w:r>
      <w:r w:rsidRPr="000B15B3">
        <w:rPr>
          <w:rFonts w:cs="Times New Roman"/>
          <w:i/>
          <w:lang w:val="fr-CA" w:bidi="en-US"/>
        </w:rPr>
        <w:t xml:space="preserve">Neil </w:t>
      </w:r>
      <w:r w:rsidRPr="000B15B3">
        <w:rPr>
          <w:rFonts w:cs="Times New Roman"/>
          <w:lang w:val="fr-CA" w:bidi="en-US"/>
        </w:rPr>
        <w:t xml:space="preserve">et </w:t>
      </w:r>
      <w:proofErr w:type="spellStart"/>
      <w:r w:rsidRPr="000B15B3">
        <w:rPr>
          <w:rFonts w:cs="Times New Roman"/>
          <w:i/>
          <w:lang w:val="fr-CA" w:bidi="en-US"/>
        </w:rPr>
        <w:t>Strother</w:t>
      </w:r>
      <w:proofErr w:type="spellEnd"/>
      <w:r w:rsidRPr="000B15B3">
        <w:rPr>
          <w:rFonts w:cs="Times New Roman"/>
          <w:lang w:val="fr-CA" w:bidi="en-US"/>
        </w:rPr>
        <w:t xml:space="preserve"> illustrent l’application limitée de la règle.  Notre Cour a conclu que la règle de la démarcation très nette ne s’appliquait pas aux faits de ces deux affaires, et s’est plutôt demandé s’il existait un risque substantiel de représentation déficiente : </w:t>
      </w:r>
      <w:r w:rsidRPr="000B15B3">
        <w:rPr>
          <w:rFonts w:cs="Times New Roman"/>
          <w:i/>
          <w:lang w:val="fr-CA" w:bidi="en-US"/>
        </w:rPr>
        <w:t>Neil</w:t>
      </w:r>
      <w:r w:rsidRPr="000B15B3">
        <w:rPr>
          <w:rFonts w:cs="Times New Roman"/>
          <w:lang w:val="fr-CA" w:bidi="en-US"/>
        </w:rPr>
        <w:t xml:space="preserve">, par. 31; </w:t>
      </w:r>
      <w:proofErr w:type="spellStart"/>
      <w:r w:rsidRPr="000B15B3">
        <w:rPr>
          <w:rFonts w:cs="Times New Roman"/>
          <w:i/>
          <w:lang w:val="fr-CA" w:bidi="en-US"/>
        </w:rPr>
        <w:t>Strother</w:t>
      </w:r>
      <w:proofErr w:type="spellEnd"/>
      <w:r w:rsidRPr="000B15B3">
        <w:rPr>
          <w:rFonts w:cs="Times New Roman"/>
          <w:lang w:val="fr-CA" w:bidi="en-US"/>
        </w:rPr>
        <w:t xml:space="preserve">, par. 54. </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lastRenderedPageBreak/>
        <w:t xml:space="preserve">Premièrement, la règle de la démarcation très nette s’applique uniquement lorsque les intérêts </w:t>
      </w:r>
      <w:r w:rsidRPr="000B15B3">
        <w:rPr>
          <w:rFonts w:cs="Times New Roman"/>
          <w:i/>
          <w:lang w:val="fr-CA" w:bidi="en-US"/>
        </w:rPr>
        <w:t>immédiats</w:t>
      </w:r>
      <w:r w:rsidRPr="000B15B3">
        <w:rPr>
          <w:rFonts w:cs="Times New Roman"/>
          <w:lang w:val="fr-CA" w:bidi="en-US"/>
        </w:rPr>
        <w:t xml:space="preserve"> des clients s’opposent </w:t>
      </w:r>
      <w:r w:rsidRPr="000B15B3">
        <w:rPr>
          <w:rFonts w:cs="Times New Roman"/>
          <w:i/>
          <w:lang w:val="fr-CA" w:bidi="en-US"/>
        </w:rPr>
        <w:t xml:space="preserve">directement </w:t>
      </w:r>
      <w:r w:rsidRPr="000B15B3">
        <w:rPr>
          <w:rFonts w:cs="Times New Roman"/>
          <w:lang w:val="fr-CA" w:bidi="en-US"/>
        </w:rPr>
        <w:t xml:space="preserve">dans les dossiers où occupe l’avocat.  Dans l’affaire </w:t>
      </w:r>
      <w:r w:rsidRPr="000B15B3">
        <w:rPr>
          <w:rFonts w:cs="Times New Roman"/>
          <w:i/>
          <w:lang w:val="fr-CA" w:bidi="en-US"/>
        </w:rPr>
        <w:t>Neil</w:t>
      </w:r>
      <w:r w:rsidRPr="000B15B3">
        <w:rPr>
          <w:rFonts w:cs="Times New Roman"/>
          <w:lang w:val="fr-CA" w:bidi="en-US"/>
        </w:rPr>
        <w:t>, un cabinet d’avocats représentait simultanément M. Neil dans un procès criminel et M</w:t>
      </w:r>
      <w:r w:rsidRPr="000B15B3">
        <w:rPr>
          <w:rFonts w:cs="Times New Roman"/>
          <w:vertAlign w:val="superscript"/>
          <w:lang w:val="fr-CA" w:bidi="en-US"/>
        </w:rPr>
        <w:t>me</w:t>
      </w:r>
      <w:r w:rsidRPr="000B15B3">
        <w:rPr>
          <w:rFonts w:cs="Times New Roman"/>
          <w:lang w:val="fr-CA" w:bidi="en-US"/>
        </w:rPr>
        <w:t> Lambert dans une instance de divorce alors qu’il était prévisible que M</w:t>
      </w:r>
      <w:r w:rsidRPr="000B15B3">
        <w:rPr>
          <w:rFonts w:cs="Times New Roman"/>
          <w:vertAlign w:val="superscript"/>
          <w:lang w:val="fr-CA" w:bidi="en-US"/>
        </w:rPr>
        <w:t>me</w:t>
      </w:r>
      <w:r w:rsidRPr="000B15B3">
        <w:rPr>
          <w:rFonts w:cs="Times New Roman"/>
          <w:lang w:val="fr-CA" w:bidi="en-US"/>
        </w:rPr>
        <w:t> Lambert deviendrait éventuellement la coaccusée de M. Neil dans le procès criminel.  L’avocat de M</w:t>
      </w:r>
      <w:r w:rsidRPr="000B15B3">
        <w:rPr>
          <w:rFonts w:cs="Times New Roman"/>
          <w:vertAlign w:val="superscript"/>
          <w:lang w:val="fr-CA" w:bidi="en-US"/>
        </w:rPr>
        <w:t>me</w:t>
      </w:r>
      <w:r w:rsidRPr="000B15B3">
        <w:rPr>
          <w:rFonts w:cs="Times New Roman"/>
          <w:lang w:val="fr-CA" w:bidi="en-US"/>
        </w:rPr>
        <w:t> Lambert dans l’instance de divorce a commencé à recueillir des renseignements qu’il pourrait éventuellement utiliser contre M. Neil.  En outre, le cabinet d’avocats a incité un autre de ses clients, M. </w:t>
      </w:r>
      <w:proofErr w:type="spellStart"/>
      <w:r w:rsidRPr="000B15B3">
        <w:rPr>
          <w:rFonts w:cs="Times New Roman"/>
          <w:lang w:val="fr-CA" w:bidi="en-US"/>
        </w:rPr>
        <w:t>Doblanko</w:t>
      </w:r>
      <w:proofErr w:type="spellEnd"/>
      <w:r w:rsidRPr="000B15B3">
        <w:rPr>
          <w:rFonts w:cs="Times New Roman"/>
          <w:lang w:val="fr-CA" w:bidi="en-US"/>
        </w:rPr>
        <w:t>, à signaler aux policiers des actes criminels commis par M. Neil.  L’objectif consistait à présenter une « défense traîtresse » en faveur de M</w:t>
      </w:r>
      <w:r w:rsidRPr="000B15B3">
        <w:rPr>
          <w:rFonts w:cs="Times New Roman"/>
          <w:vertAlign w:val="superscript"/>
          <w:lang w:val="fr-CA" w:bidi="en-US"/>
        </w:rPr>
        <w:t>me</w:t>
      </w:r>
      <w:r w:rsidRPr="000B15B3">
        <w:rPr>
          <w:rFonts w:cs="Times New Roman"/>
          <w:lang w:val="fr-CA" w:bidi="en-US"/>
        </w:rPr>
        <w:t xml:space="preserve"> Lambert dans l’instance pénale en dépeignant </w:t>
      </w:r>
      <w:proofErr w:type="spellStart"/>
      <w:r w:rsidRPr="000B15B3">
        <w:rPr>
          <w:rFonts w:cs="Times New Roman"/>
          <w:lang w:val="fr-CA" w:bidi="en-US"/>
        </w:rPr>
        <w:t>celle</w:t>
      </w:r>
      <w:r w:rsidRPr="000B15B3">
        <w:rPr>
          <w:rFonts w:cs="Times New Roman"/>
          <w:lang w:val="fr-CA" w:bidi="en-US"/>
        </w:rPr>
        <w:noBreakHyphen/>
        <w:t>ci</w:t>
      </w:r>
      <w:proofErr w:type="spellEnd"/>
      <w:r w:rsidRPr="000B15B3">
        <w:rPr>
          <w:rFonts w:cs="Times New Roman"/>
          <w:lang w:val="fr-CA" w:bidi="en-US"/>
        </w:rPr>
        <w:t xml:space="preserve"> comme une personne innocente qui avait été dupée et manipulée par M. Neil. </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 xml:space="preserve">Notre Cour n’a pas appliqué la règle de la démarcation très nette aux faits de l’affaire </w:t>
      </w:r>
      <w:r w:rsidRPr="000B15B3">
        <w:rPr>
          <w:rFonts w:cs="Times New Roman"/>
          <w:i/>
          <w:lang w:val="fr-CA" w:bidi="en-US"/>
        </w:rPr>
        <w:t>Neil</w:t>
      </w:r>
      <w:r w:rsidRPr="000B15B3">
        <w:rPr>
          <w:rFonts w:cs="Times New Roman"/>
          <w:lang w:val="fr-CA" w:bidi="en-US"/>
        </w:rPr>
        <w:t xml:space="preserve"> en raison de la nature du conflit.  Ni M. Neil et M</w:t>
      </w:r>
      <w:r w:rsidRPr="000B15B3">
        <w:rPr>
          <w:rFonts w:cs="Times New Roman"/>
          <w:vertAlign w:val="superscript"/>
          <w:lang w:val="fr-CA" w:bidi="en-US"/>
        </w:rPr>
        <w:t>me</w:t>
      </w:r>
      <w:r w:rsidRPr="000B15B3">
        <w:rPr>
          <w:rFonts w:cs="Times New Roman"/>
          <w:lang w:val="fr-CA" w:bidi="en-US"/>
        </w:rPr>
        <w:t xml:space="preserve"> Lambert, ni MM. Neil et </w:t>
      </w:r>
      <w:proofErr w:type="spellStart"/>
      <w:r w:rsidRPr="000B15B3">
        <w:rPr>
          <w:rFonts w:cs="Times New Roman"/>
          <w:lang w:val="fr-CA" w:bidi="en-US"/>
        </w:rPr>
        <w:t>Doblanko</w:t>
      </w:r>
      <w:proofErr w:type="spellEnd"/>
      <w:r w:rsidRPr="000B15B3">
        <w:rPr>
          <w:rFonts w:cs="Times New Roman"/>
          <w:lang w:val="fr-CA" w:bidi="en-US"/>
        </w:rPr>
        <w:t xml:space="preserve"> n’étaient des adversaires </w:t>
      </w:r>
      <w:r w:rsidRPr="000B15B3">
        <w:rPr>
          <w:rFonts w:cs="Times New Roman"/>
          <w:i/>
          <w:lang w:val="fr-CA" w:bidi="en-US"/>
        </w:rPr>
        <w:t>directs</w:t>
      </w:r>
      <w:r w:rsidRPr="000B15B3">
        <w:rPr>
          <w:rFonts w:cs="Times New Roman"/>
          <w:lang w:val="fr-CA" w:bidi="en-US"/>
        </w:rPr>
        <w:t xml:space="preserve"> dans les dossiers juridiques où le cabinet d’avocats les représentait.  M</w:t>
      </w:r>
      <w:r w:rsidR="001B4502">
        <w:rPr>
          <w:rFonts w:cs="Times New Roman"/>
          <w:lang w:val="fr-CA" w:bidi="en-US"/>
        </w:rPr>
        <w:t>.</w:t>
      </w:r>
      <w:r w:rsidRPr="000B15B3">
        <w:rPr>
          <w:rFonts w:cs="Times New Roman"/>
          <w:lang w:val="fr-CA" w:bidi="en-US"/>
        </w:rPr>
        <w:t> Neil n’était partie ni au divorce de M</w:t>
      </w:r>
      <w:r w:rsidRPr="000B15B3">
        <w:rPr>
          <w:rFonts w:cs="Times New Roman"/>
          <w:vertAlign w:val="superscript"/>
          <w:lang w:val="fr-CA" w:bidi="en-US"/>
        </w:rPr>
        <w:t>me</w:t>
      </w:r>
      <w:r w:rsidRPr="000B15B3">
        <w:rPr>
          <w:rFonts w:cs="Times New Roman"/>
          <w:lang w:val="fr-CA" w:bidi="en-US"/>
        </w:rPr>
        <w:t> Lambert, ni à une procédure à laquelle avait participé M. </w:t>
      </w:r>
      <w:proofErr w:type="spellStart"/>
      <w:r w:rsidRPr="000B15B3">
        <w:rPr>
          <w:rFonts w:cs="Times New Roman"/>
          <w:lang w:val="fr-CA" w:bidi="en-US"/>
        </w:rPr>
        <w:t>Doblanko</w:t>
      </w:r>
      <w:proofErr w:type="spellEnd"/>
      <w:r w:rsidRPr="000B15B3">
        <w:rPr>
          <w:rFonts w:cs="Times New Roman"/>
          <w:lang w:val="fr-CA" w:bidi="en-US"/>
        </w:rPr>
        <w:t xml:space="preserve">.  Les intérêts s’opposaient </w:t>
      </w:r>
      <w:r w:rsidRPr="000B15B3">
        <w:rPr>
          <w:rFonts w:cs="Times New Roman"/>
          <w:i/>
          <w:lang w:val="fr-CA" w:bidi="en-US"/>
        </w:rPr>
        <w:t>indirectement </w:t>
      </w:r>
      <w:r w:rsidRPr="004C39B4">
        <w:rPr>
          <w:rFonts w:cs="Times New Roman"/>
          <w:lang w:val="fr-CA" w:bidi="en-US"/>
        </w:rPr>
        <w:t>:</w:t>
      </w:r>
      <w:r w:rsidRPr="000B15B3">
        <w:rPr>
          <w:rFonts w:cs="Times New Roman"/>
          <w:lang w:val="fr-CA" w:bidi="en-US"/>
        </w:rPr>
        <w:t xml:space="preserve"> cette opposition découlait du lien stratégique entre les dossiers plutôt que d’une confrontation directe entre M. Neil et M</w:t>
      </w:r>
      <w:r w:rsidRPr="000B15B3">
        <w:rPr>
          <w:rFonts w:cs="Times New Roman"/>
          <w:vertAlign w:val="superscript"/>
          <w:lang w:val="fr-CA" w:bidi="en-US"/>
        </w:rPr>
        <w:t>me </w:t>
      </w:r>
      <w:r w:rsidRPr="000B15B3">
        <w:rPr>
          <w:rFonts w:cs="Times New Roman"/>
          <w:lang w:val="fr-CA" w:bidi="en-US"/>
        </w:rPr>
        <w:t>Lambert ou M. </w:t>
      </w:r>
      <w:proofErr w:type="spellStart"/>
      <w:r w:rsidRPr="000B15B3">
        <w:rPr>
          <w:rFonts w:cs="Times New Roman"/>
          <w:lang w:val="fr-CA" w:bidi="en-US"/>
        </w:rPr>
        <w:t>Doblanko</w:t>
      </w:r>
      <w:proofErr w:type="spellEnd"/>
      <w:r w:rsidRPr="000B15B3">
        <w:rPr>
          <w:rFonts w:cs="Times New Roman"/>
          <w:lang w:val="fr-CA" w:bidi="en-US"/>
        </w:rPr>
        <w:t xml:space="preserve"> dans l’un ou l’autre de ces dossiers.</w:t>
      </w:r>
    </w:p>
    <w:p w:rsidR="00807172" w:rsidRPr="000B15B3" w:rsidRDefault="00807172" w:rsidP="00807172">
      <w:pPr>
        <w:pStyle w:val="ParaNoNdepar-AltN"/>
        <w:tabs>
          <w:tab w:val="clear" w:pos="1152"/>
          <w:tab w:val="left" w:pos="1166"/>
        </w:tabs>
        <w:rPr>
          <w:rFonts w:cs="Times New Roman"/>
          <w:lang w:val="en-US" w:bidi="en-US"/>
        </w:rPr>
      </w:pPr>
      <w:r w:rsidRPr="000B15B3">
        <w:rPr>
          <w:rFonts w:cs="Times New Roman"/>
          <w:lang w:val="fr-CA" w:bidi="en-US"/>
        </w:rPr>
        <w:lastRenderedPageBreak/>
        <w:t xml:space="preserve">Deuxièmement, la règle de la démarcation très nette ne s’applique que dans le cas de clients aux intérêts </w:t>
      </w:r>
      <w:r w:rsidRPr="000B15B3">
        <w:rPr>
          <w:rFonts w:cs="Times New Roman"/>
          <w:i/>
          <w:lang w:val="fr-CA" w:bidi="en-US"/>
        </w:rPr>
        <w:t>juridiques</w:t>
      </w:r>
      <w:r w:rsidRPr="000B15B3">
        <w:rPr>
          <w:rFonts w:cs="Times New Roman"/>
          <w:lang w:val="fr-CA" w:bidi="en-US"/>
        </w:rPr>
        <w:t xml:space="preserve"> opposés.  Elle s’applique principalement dans les instances civiles et criminelles.  Les arrêts </w:t>
      </w:r>
      <w:r w:rsidRPr="000B15B3">
        <w:rPr>
          <w:rFonts w:cs="Times New Roman"/>
          <w:i/>
          <w:lang w:val="fr-CA" w:bidi="en-US"/>
        </w:rPr>
        <w:t xml:space="preserve">Neil </w:t>
      </w:r>
      <w:r w:rsidRPr="000B15B3">
        <w:rPr>
          <w:rFonts w:cs="Times New Roman"/>
          <w:lang w:val="fr-CA" w:bidi="en-US"/>
        </w:rPr>
        <w:t xml:space="preserve">et </w:t>
      </w:r>
      <w:proofErr w:type="spellStart"/>
      <w:r w:rsidRPr="000B15B3">
        <w:rPr>
          <w:rFonts w:cs="Times New Roman"/>
          <w:i/>
          <w:lang w:val="fr-CA" w:bidi="en-US"/>
        </w:rPr>
        <w:t>Strother</w:t>
      </w:r>
      <w:proofErr w:type="spellEnd"/>
      <w:r w:rsidRPr="000B15B3">
        <w:rPr>
          <w:rFonts w:cs="Times New Roman"/>
          <w:lang w:val="fr-CA" w:bidi="en-US"/>
        </w:rPr>
        <w:t xml:space="preserve"> font ressortir cette limite.  Les intérêts en jeu dans </w:t>
      </w:r>
      <w:r w:rsidRPr="000B15B3">
        <w:rPr>
          <w:rFonts w:cs="Times New Roman"/>
          <w:i/>
          <w:lang w:val="fr-CA" w:bidi="en-US"/>
        </w:rPr>
        <w:t xml:space="preserve">Neil </w:t>
      </w:r>
      <w:r w:rsidRPr="000B15B3">
        <w:rPr>
          <w:rFonts w:cs="Times New Roman"/>
          <w:lang w:val="fr-CA" w:bidi="en-US"/>
        </w:rPr>
        <w:t xml:space="preserve">étaient de nature stratégique plutôt que juridique.  Ils étaient d’ordre commercial dans </w:t>
      </w:r>
      <w:proofErr w:type="spellStart"/>
      <w:r w:rsidRPr="000B15B3">
        <w:rPr>
          <w:rFonts w:cs="Times New Roman"/>
          <w:i/>
          <w:lang w:val="en-US" w:bidi="en-US"/>
        </w:rPr>
        <w:t>Strother</w:t>
      </w:r>
      <w:proofErr w:type="spellEnd"/>
      <w:r w:rsidRPr="000B15B3">
        <w:rPr>
          <w:rFonts w:cs="Times New Roman"/>
          <w:lang w:val="en-US" w:bidi="en-US"/>
        </w:rPr>
        <w:t> :</w:t>
      </w:r>
    </w:p>
    <w:p w:rsidR="00807172" w:rsidRPr="000B15B3" w:rsidRDefault="00807172" w:rsidP="00807172">
      <w:pPr>
        <w:pStyle w:val="Citation-AltC"/>
        <w:spacing w:after="240"/>
        <w:ind w:hanging="1166"/>
        <w:contextualSpacing w:val="0"/>
        <w:rPr>
          <w:lang w:val="fr-CA"/>
        </w:rPr>
      </w:pPr>
      <w:r w:rsidRPr="000B15B3">
        <w:rPr>
          <w:lang w:val="fr-CA"/>
        </w:rPr>
        <w:tab/>
      </w:r>
      <w:r w:rsidR="006B76AB">
        <w:rPr>
          <w:lang w:val="fr-CA"/>
        </w:rPr>
        <w:t>. . . l</w:t>
      </w:r>
      <w:r w:rsidRPr="000B15B3">
        <w:rPr>
          <w:lang w:val="fr-CA"/>
        </w:rPr>
        <w:t xml:space="preserve">es principes applicables en matière de conflit d’intérêts n’empêchent généralement pas un cabinet d’avocats ou un avocat de représenter simultanément différents clients qui œuvrent dans le même secteur d’activités ou qui se font concurrence. </w:t>
      </w:r>
      <w:r w:rsidR="006B76AB">
        <w:rPr>
          <w:lang w:val="fr-CA"/>
        </w:rPr>
        <w:t>. .</w:t>
      </w:r>
    </w:p>
    <w:p w:rsidR="00807172" w:rsidRPr="000B15B3" w:rsidRDefault="00807172" w:rsidP="006B76AB">
      <w:pPr>
        <w:pStyle w:val="Citation-AltC"/>
        <w:tabs>
          <w:tab w:val="left" w:pos="1710"/>
        </w:tabs>
        <w:ind w:hanging="1166"/>
        <w:contextualSpacing w:val="0"/>
        <w:rPr>
          <w:lang w:val="fr-CA"/>
        </w:rPr>
      </w:pPr>
      <w:r w:rsidRPr="000B15B3">
        <w:rPr>
          <w:lang w:val="fr-CA"/>
        </w:rPr>
        <w:tab/>
      </w:r>
      <w:r w:rsidRPr="000B15B3">
        <w:rPr>
          <w:lang w:val="fr-CA"/>
        </w:rPr>
        <w:tab/>
        <w:t>Les « intérêts » respectifs des clients qui requièrent la protection du devoir de loyauté concernent la pratique du droit et non la prospérité commerciale.  En l’espèce, la présumée « opposition » entre des clients concurrents portait sur des questions comme</w:t>
      </w:r>
      <w:r w:rsidR="006B76AB">
        <w:rPr>
          <w:lang w:val="fr-CA"/>
        </w:rPr>
        <w:t>rciales.  [par. 54-</w:t>
      </w:r>
      <w:r w:rsidRPr="000B15B3">
        <w:rPr>
          <w:lang w:val="fr-CA"/>
        </w:rPr>
        <w:t xml:space="preserve">55, le juge </w:t>
      </w:r>
      <w:proofErr w:type="spellStart"/>
      <w:r w:rsidRPr="000B15B3">
        <w:rPr>
          <w:lang w:val="fr-CA"/>
        </w:rPr>
        <w:t>Binnie</w:t>
      </w:r>
      <w:proofErr w:type="spellEnd"/>
      <w:r w:rsidRPr="000B15B3">
        <w:rPr>
          <w:lang w:val="fr-CA"/>
        </w:rPr>
        <w:t>]</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 xml:space="preserve">Troisièmement, la règle de la démarcation très nette ne peut être invoquée avec succès par une partie qui cherche à en abuser.  Dans certaines circonstances, une partie peut chercher à invoquer cette règle d’une manière qui tient à des considérations de « tactique plutôt que de principe » : </w:t>
      </w:r>
      <w:r w:rsidRPr="000B15B3">
        <w:rPr>
          <w:rFonts w:cs="Times New Roman"/>
          <w:i/>
          <w:lang w:val="fr-CA" w:bidi="en-US"/>
        </w:rPr>
        <w:t>Neil</w:t>
      </w:r>
      <w:r w:rsidRPr="000B15B3">
        <w:rPr>
          <w:rFonts w:cs="Times New Roman"/>
          <w:lang w:val="fr-CA" w:bidi="en-US"/>
        </w:rPr>
        <w:t xml:space="preserve">, par. 28.  La possibilité d’abus tactiques est particulièrement élevée dans le cas de clients institutionnels qui font affaire avec de grands cabinets d’avocats nationaux.  En effet, ces clients ont les moyens de retenir les services d’un nombre important de cabinets, et le recours, par un de ces clients, aux services d’un seul associé dans une ville canadienne peut empêcher tous les autres avocats du cabinet au Canada d’agir contre lui.  Comme l’a fait remarquer le juge </w:t>
      </w:r>
      <w:proofErr w:type="spellStart"/>
      <w:r w:rsidRPr="000B15B3">
        <w:rPr>
          <w:rFonts w:cs="Times New Roman"/>
          <w:lang w:val="fr-CA" w:bidi="en-US"/>
        </w:rPr>
        <w:t>Binnie</w:t>
      </w:r>
      <w:proofErr w:type="spellEnd"/>
      <w:r w:rsidRPr="000B15B3">
        <w:rPr>
          <w:rFonts w:cs="Times New Roman"/>
          <w:lang w:val="fr-CA" w:bidi="en-US"/>
        </w:rPr>
        <w:t xml:space="preserve">, </w:t>
      </w:r>
    </w:p>
    <w:p w:rsidR="00807172" w:rsidRPr="000B15B3" w:rsidRDefault="00807172" w:rsidP="000D10AF">
      <w:pPr>
        <w:pStyle w:val="Citation-AltC"/>
        <w:ind w:hanging="1166"/>
        <w:contextualSpacing w:val="0"/>
        <w:rPr>
          <w:lang w:val="fr-CA"/>
        </w:rPr>
      </w:pPr>
      <w:r w:rsidRPr="000B15B3">
        <w:rPr>
          <w:lang w:val="fr-CA"/>
        </w:rPr>
        <w:lastRenderedPageBreak/>
        <w:tab/>
        <w:t xml:space="preserve">[e]n cette ère de cabinets d’envergure nationale et de roulement élevé des avocats, surtout aux niveaux inférieurs, il se peut que l’imposition d’exigences exagérées et inutiles quant à la loyauté envers le client, réparties entre un grand nombre de cabinets et d’avocats qui ne connaissent, en fait, aucunement le client ni ses affaires particulières, privilégie la forme au détriment du contenu </w:t>
      </w:r>
      <w:r w:rsidRPr="000B15B3">
        <w:rPr>
          <w:u w:val="single"/>
          <w:lang w:val="fr-CA"/>
        </w:rPr>
        <w:t>et l’avantage tactique plutôt que la protection légitime</w:t>
      </w:r>
      <w:r w:rsidRPr="000B15B3">
        <w:rPr>
          <w:lang w:val="fr-CA"/>
        </w:rPr>
        <w:t xml:space="preserve">.  </w:t>
      </w:r>
      <w:r w:rsidRPr="000B15B3">
        <w:rPr>
          <w:lang w:val="fr-CA" w:bidi="en-US"/>
        </w:rPr>
        <w:t>[J</w:t>
      </w:r>
      <w:r w:rsidR="000D10AF">
        <w:rPr>
          <w:lang w:val="fr-CA"/>
        </w:rPr>
        <w:t>e souligne; par. 15</w:t>
      </w:r>
      <w:r w:rsidR="00793B80">
        <w:rPr>
          <w:lang w:val="fr-CA"/>
        </w:rPr>
        <w:t>.</w:t>
      </w:r>
      <w:r w:rsidRPr="000B15B3">
        <w:rPr>
          <w:lang w:val="fr-CA" w:bidi="en-US"/>
        </w:rPr>
        <w:t>]</w:t>
      </w:r>
    </w:p>
    <w:p w:rsidR="00807172" w:rsidRPr="000B15B3" w:rsidRDefault="00807172" w:rsidP="00807172">
      <w:pPr>
        <w:pStyle w:val="ContinueParaSuitedupar-AltP"/>
        <w:rPr>
          <w:rFonts w:cs="Times New Roman"/>
          <w:lang w:val="fr-CA" w:bidi="en-US"/>
        </w:rPr>
      </w:pPr>
      <w:r w:rsidRPr="000B15B3">
        <w:rPr>
          <w:rFonts w:cs="Times New Roman"/>
          <w:lang w:val="fr-CA" w:bidi="en-US"/>
        </w:rPr>
        <w:t xml:space="preserve">Par conséquent, les clients qui créent volontairement des situations où la règle de la démarcation très nette entre en jeu pour priver des adversaires de leur choix d’un avocat renoncent au bénéfice de la règle.  En fait, les clients institutionnels ne devraient pas répartir leurs mandats parmi une multitude de grands cabinets d’avocats pour tenter délibérément de susciter des conflits d’intérêts. </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 xml:space="preserve">Enfin, la règle de la démarcation très nette ne s’applique pas lorsqu’il est déraisonnable pour un client de s’attendre à ce que son cabinet d’avocats n’agisse pas contre lui dans des dossiers sans lien avec le sien.  Dans </w:t>
      </w:r>
      <w:r w:rsidRPr="000B15B3">
        <w:rPr>
          <w:rFonts w:cs="Times New Roman"/>
          <w:i/>
          <w:lang w:val="fr-CA" w:bidi="en-US"/>
        </w:rPr>
        <w:t>Neil</w:t>
      </w:r>
      <w:r w:rsidRPr="000B15B3">
        <w:rPr>
          <w:rFonts w:cs="Times New Roman"/>
          <w:lang w:val="fr-CA" w:bidi="en-US"/>
        </w:rPr>
        <w:t xml:space="preserve">, le juge </w:t>
      </w:r>
      <w:proofErr w:type="spellStart"/>
      <w:r w:rsidRPr="000B15B3">
        <w:rPr>
          <w:rFonts w:cs="Times New Roman"/>
          <w:lang w:val="fr-CA" w:bidi="en-US"/>
        </w:rPr>
        <w:t>Binnie</w:t>
      </w:r>
      <w:proofErr w:type="spellEnd"/>
      <w:r w:rsidRPr="000B15B3">
        <w:rPr>
          <w:rFonts w:cs="Times New Roman"/>
          <w:lang w:val="fr-CA" w:bidi="en-US"/>
        </w:rPr>
        <w:t xml:space="preserve"> a donné l’exemple des « plaideurs d’habitude » dont on peut déduire le consentement à la représentation simultanée de clients aux intérêts juridiques opposés :</w:t>
      </w:r>
    </w:p>
    <w:p w:rsidR="00807172" w:rsidRPr="000B15B3" w:rsidRDefault="00807172" w:rsidP="000D10AF">
      <w:pPr>
        <w:pStyle w:val="Citation-AltC"/>
        <w:tabs>
          <w:tab w:val="left" w:pos="1620"/>
        </w:tabs>
        <w:ind w:hanging="1166"/>
        <w:contextualSpacing w:val="0"/>
        <w:rPr>
          <w:lang w:val="fr-CA"/>
        </w:rPr>
      </w:pPr>
      <w:r w:rsidRPr="000B15B3">
        <w:rPr>
          <w:lang w:val="fr-CA"/>
        </w:rPr>
        <w:tab/>
      </w:r>
      <w:r w:rsidRPr="000B15B3">
        <w:rPr>
          <w:lang w:val="fr-CA"/>
        </w:rPr>
        <w:tab/>
        <w:t xml:space="preserve">Dans des cas exceptionnels, il est possible de déduire qu’il y a eu consentement du client.  Ainsi, les gouvernements reconnaissent généralement que les avocats en cabinet privé qui les représentent au civil ou au criminel agiront contre eux dans le cadre d’affaires qui n’ont aucun rapport avec ces mandats; une position contraire adoptée dans un cas particulier pourra, selon les circonstances, être considérée comme liée à des considérations de tactique plutôt que de principe.  Les banques à charte, tout comme les entités qu’on pourrait qualifier de plaideurs d’habitude, peuvent faire preuve d’une ouverture d’esprit semblable dans des affaires qui sont si peu reliées entre elles que le risque d’utilisation à mauvais escient de renseignements confidentiels est inexistant.  Ces cas exceptionnels s’expliquent par la notion de consentement éclairé, exprès ou implicite.  </w:t>
      </w:r>
      <w:r w:rsidRPr="000B15B3">
        <w:rPr>
          <w:lang w:val="fr-CA" w:bidi="en-US"/>
        </w:rPr>
        <w:t>[</w:t>
      </w:r>
      <w:proofErr w:type="gramStart"/>
      <w:r w:rsidRPr="000B15B3">
        <w:rPr>
          <w:lang w:val="fr-CA"/>
        </w:rPr>
        <w:t>par</w:t>
      </w:r>
      <w:proofErr w:type="gramEnd"/>
      <w:r w:rsidRPr="000B15B3">
        <w:rPr>
          <w:lang w:val="fr-CA"/>
        </w:rPr>
        <w:t>. 28</w:t>
      </w:r>
      <w:r w:rsidRPr="000B15B3">
        <w:rPr>
          <w:lang w:val="fr-CA" w:bidi="en-US"/>
        </w:rPr>
        <w:t>]</w:t>
      </w:r>
    </w:p>
    <w:p w:rsidR="00807172" w:rsidRPr="000B15B3" w:rsidRDefault="00807172" w:rsidP="00807172">
      <w:pPr>
        <w:pStyle w:val="ContinueParaSuitedupar-AltP"/>
        <w:rPr>
          <w:rFonts w:cs="Times New Roman"/>
          <w:lang w:val="fr-CA" w:bidi="en-US"/>
        </w:rPr>
      </w:pPr>
      <w:r w:rsidRPr="000B15B3">
        <w:rPr>
          <w:rFonts w:cs="Times New Roman"/>
          <w:lang w:val="fr-CA" w:bidi="en-US"/>
        </w:rPr>
        <w:lastRenderedPageBreak/>
        <w:t xml:space="preserve">Dans certains cas, il n’est tout simplement pas raisonnable pour un client de prétendre qu’il s’attendait à ce que son cabinet d’avocats lui doive une loyauté sans partage et s’abstienne d’agir contre lui dans des dossiers sans lien avec le sien.  Comme l’a mentionné le juge </w:t>
      </w:r>
      <w:proofErr w:type="spellStart"/>
      <w:r w:rsidRPr="000B15B3">
        <w:rPr>
          <w:rFonts w:cs="Times New Roman"/>
          <w:lang w:val="fr-CA" w:bidi="en-US"/>
        </w:rPr>
        <w:t>Binnie</w:t>
      </w:r>
      <w:proofErr w:type="spellEnd"/>
      <w:r w:rsidRPr="000B15B3">
        <w:rPr>
          <w:rFonts w:cs="Times New Roman"/>
          <w:lang w:val="fr-CA" w:bidi="en-US"/>
        </w:rPr>
        <w:t xml:space="preserve"> dans </w:t>
      </w:r>
      <w:r w:rsidRPr="000B15B3">
        <w:rPr>
          <w:rFonts w:cs="Times New Roman"/>
          <w:i/>
          <w:lang w:val="fr-CA" w:bidi="en-US"/>
        </w:rPr>
        <w:t>Neil</w:t>
      </w:r>
      <w:r w:rsidRPr="000B15B3">
        <w:rPr>
          <w:rFonts w:cs="Times New Roman"/>
          <w:lang w:val="fr-CA" w:bidi="en-US"/>
        </w:rPr>
        <w:t>, les situations de ce genre forment l’exception plutôt que la règle.  Il peut être utile de prendre en considération des facteurs comme la nature de la relation entre le cabinet d’avocats et son client, les modalités du mandat ainsi que les types de dossier en jeu pour décider s’il était raisonnable de s’attendre à ce que le cabinet d’avocats n’agisse pas contre le client dans des dossiers sans lien avec le sien.  En dernière analyse, les tribunaux doivent examiner cette question au cas par cas et écarter l’application de la règle de la démarcation très nette lorsqu’il apparaît qu’un client ne peut s’attendre raisonnablement à ce qu’elle s’applique.</w:t>
      </w:r>
    </w:p>
    <w:p w:rsidR="00807172" w:rsidRPr="000B15B3" w:rsidRDefault="000D10AF" w:rsidP="00807172">
      <w:pPr>
        <w:pStyle w:val="TitleTitre-AltT"/>
        <w:keepNext/>
        <w:tabs>
          <w:tab w:val="clear" w:pos="360"/>
          <w:tab w:val="left" w:pos="1170"/>
        </w:tabs>
        <w:spacing w:before="0"/>
        <w:ind w:left="1620" w:hanging="1620"/>
        <w:rPr>
          <w:rFonts w:cs="Times New Roman"/>
          <w:i/>
          <w:lang w:val="fr-CA" w:bidi="en-US"/>
        </w:rPr>
      </w:pPr>
      <w:r>
        <w:rPr>
          <w:rFonts w:cs="Times New Roman"/>
          <w:lang w:val="fr-CA" w:bidi="en-US"/>
        </w:rPr>
        <w:tab/>
      </w:r>
      <w:r w:rsidR="00807172" w:rsidRPr="000B15B3">
        <w:rPr>
          <w:rFonts w:cs="Times New Roman"/>
          <w:lang w:val="fr-CA" w:bidi="en-US"/>
        </w:rPr>
        <w:t>h)</w:t>
      </w:r>
      <w:r w:rsidR="00807172" w:rsidRPr="000B15B3">
        <w:rPr>
          <w:rFonts w:cs="Times New Roman"/>
          <w:lang w:val="fr-CA" w:bidi="en-US"/>
        </w:rPr>
        <w:tab/>
      </w:r>
      <w:r w:rsidR="00807172" w:rsidRPr="000B15B3">
        <w:rPr>
          <w:rFonts w:cs="Times New Roman"/>
          <w:i/>
          <w:lang w:val="fr-CA" w:bidi="en-US"/>
        </w:rPr>
        <w:t>Le principe du risque sérieux</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En présence d’une situation qui échappe à la portée de la règle de la démarcation très nette pour l’une ou l’autre des raisons exposées précédemment, il faut se demander si la représentation simultanée de clients risque sérieusement de compromettre l’efficacité de la représentation du client par l’avocat.  La détermination de l’existence d’un conflit d’intérêts s’attache alors davantage au contexte et consiste à décider si la situation est [</w:t>
      </w:r>
      <w:r w:rsidRPr="000B15B3">
        <w:rPr>
          <w:rFonts w:cs="Times New Roman"/>
          <w:smallCaps/>
          <w:lang w:val="fr-CA" w:bidi="en-US"/>
        </w:rPr>
        <w:t>traduction</w:t>
      </w:r>
      <w:r w:rsidRPr="000B15B3">
        <w:rPr>
          <w:rFonts w:cs="Times New Roman"/>
          <w:lang w:val="fr-CA" w:bidi="en-US"/>
        </w:rPr>
        <w:t xml:space="preserve">] « susceptible d’exercer des pressions contradictoires sur le jugement » compte tenu de « la présence de facteurs qui peuvent raisonnablement être perçus comme influençant le jugement » : </w:t>
      </w:r>
      <w:r w:rsidRPr="000B15B3">
        <w:rPr>
          <w:rFonts w:cs="Times New Roman"/>
          <w:lang w:val="fr-CA" w:bidi="en-US"/>
        </w:rPr>
        <w:lastRenderedPageBreak/>
        <w:t>Waters, Gillen et Smith, p. 968.  De plus, il incombe au client d’établir, selon la prépondérance des probabilités, l’existence d’un conflit d’intérêts — il n’y a une présomption de conflit d’intérêts que si la règle de la démarcation très nette s’applique.</w:t>
      </w:r>
    </w:p>
    <w:p w:rsidR="00807172" w:rsidRPr="000B15B3" w:rsidRDefault="000D10AF" w:rsidP="00807172">
      <w:pPr>
        <w:pStyle w:val="TitleTitre-AltT"/>
        <w:keepNext/>
        <w:tabs>
          <w:tab w:val="clear" w:pos="360"/>
          <w:tab w:val="left" w:pos="1170"/>
        </w:tabs>
        <w:spacing w:before="0"/>
        <w:ind w:left="1620" w:hanging="1620"/>
        <w:rPr>
          <w:rFonts w:cs="Times New Roman"/>
          <w:lang w:val="fr-CA" w:bidi="en-US"/>
        </w:rPr>
      </w:pPr>
      <w:r>
        <w:rPr>
          <w:rFonts w:cs="Times New Roman"/>
          <w:lang w:val="fr-CA" w:bidi="en-US"/>
        </w:rPr>
        <w:tab/>
      </w:r>
      <w:r w:rsidR="00807172" w:rsidRPr="000B15B3">
        <w:rPr>
          <w:rFonts w:cs="Times New Roman"/>
          <w:lang w:val="fr-CA" w:bidi="en-US"/>
        </w:rPr>
        <w:t>i)</w:t>
      </w:r>
      <w:r w:rsidR="00807172" w:rsidRPr="000B15B3">
        <w:rPr>
          <w:rFonts w:cs="Times New Roman"/>
          <w:lang w:val="fr-CA" w:bidi="en-US"/>
        </w:rPr>
        <w:tab/>
      </w:r>
      <w:r w:rsidR="00807172" w:rsidRPr="000B15B3">
        <w:rPr>
          <w:rFonts w:cs="Times New Roman"/>
          <w:i/>
          <w:lang w:val="fr-CA" w:bidi="en-US"/>
        </w:rPr>
        <w:t>Les conséquences pratiques</w:t>
      </w:r>
    </w:p>
    <w:p w:rsidR="00807172" w:rsidRPr="000B15B3" w:rsidRDefault="00807172" w:rsidP="00807172">
      <w:pPr>
        <w:pStyle w:val="ParaNoNdepar-AltN"/>
        <w:rPr>
          <w:rFonts w:cs="Times New Roman"/>
          <w:lang w:val="fr-CA" w:bidi="en-US"/>
        </w:rPr>
      </w:pPr>
      <w:r w:rsidRPr="000B15B3">
        <w:rPr>
          <w:rFonts w:cs="Times New Roman"/>
          <w:lang w:val="fr-CA" w:bidi="en-US"/>
        </w:rPr>
        <w:t xml:space="preserve">Le cabinet d’avocats auquel on demande d’agir contre son client actuel dans un dossier </w:t>
      </w:r>
      <w:r w:rsidRPr="000B15B3">
        <w:rPr>
          <w:rFonts w:cs="Times New Roman"/>
          <w:lang w:val="fr-CA"/>
        </w:rPr>
        <w:t xml:space="preserve">sans lien </w:t>
      </w:r>
      <w:r w:rsidRPr="000B15B3">
        <w:rPr>
          <w:rFonts w:cs="Times New Roman"/>
          <w:lang w:val="fr-CA" w:bidi="en-US"/>
        </w:rPr>
        <w:t xml:space="preserve">avec celui du client doit décider s’il contreviendrait à la règle de la démarcation très nette en acceptant le mandat.  Il doit se demander (i) si les intérêts </w:t>
      </w:r>
      <w:r w:rsidRPr="000B15B3">
        <w:rPr>
          <w:rFonts w:cs="Times New Roman"/>
          <w:i/>
          <w:lang w:val="fr-CA" w:bidi="en-US"/>
        </w:rPr>
        <w:t xml:space="preserve">juridiques </w:t>
      </w:r>
      <w:r w:rsidRPr="000B15B3">
        <w:rPr>
          <w:rFonts w:cs="Times New Roman"/>
          <w:lang w:val="fr-CA" w:bidi="en-US"/>
        </w:rPr>
        <w:t>immédiats du client éventuel s’opposent directement à ceux de son client actuel; (ii) si le client actuel a tenté de profiter tactiquement de la règle de la démarcation très nette; et (iii) si le client actuel peut raisonnablement s’attendre à ce que le cabinet d’avocats n’agira pas contre lui dans des dossiers sans lien avec le sien.  Dans la plupart des cas, le fait d’agir simultanément pour et contre un même client dans des dossiers juridiques est contraire à la règle de la démarcation très nette, ce qui empêche par conséquent le cabinet d’avocats d’accepter le nouveau mandat, à moins que les clients concernés n’y consentent de manière éclairée.</w:t>
      </w:r>
    </w:p>
    <w:p w:rsidR="00807172" w:rsidRPr="000B15B3" w:rsidRDefault="00807172" w:rsidP="00807172">
      <w:pPr>
        <w:pStyle w:val="ParaNoNdepar-AltN"/>
        <w:rPr>
          <w:rFonts w:cs="Times New Roman"/>
          <w:lang w:val="fr-CA" w:bidi="en-US"/>
        </w:rPr>
      </w:pPr>
      <w:r w:rsidRPr="000B15B3">
        <w:rPr>
          <w:rFonts w:cs="Times New Roman"/>
          <w:lang w:val="fr-CA" w:bidi="en-US"/>
        </w:rPr>
        <w:t xml:space="preserve">Si le cabinet d’avocats conclut que la règle de la démarcation très nette ne peut s’appliquer, il doit se demander si l’acceptation du nouveau mandat crée un risque substantiel de représentation déficiente.  Dans la négative, le cabinet d’avocats peut accepter le mandat.  Le client actuel qui ne partage pas l’avis de son cabinet d’avocats peut demander par requête au tribunal d’empêcher le cabinet de continuer à </w:t>
      </w:r>
      <w:r w:rsidRPr="000B15B3">
        <w:rPr>
          <w:rFonts w:cs="Times New Roman"/>
          <w:lang w:val="fr-CA" w:bidi="en-US"/>
        </w:rPr>
        <w:lastRenderedPageBreak/>
        <w:t>représenter la partie adverse.  Les tribunaux seront ainsi appelés à préciser davantage les limites de la règle de la démarcation très nette et à s’assurer que les avocats n’occupent pas dans des dossiers où ils ne peuvent exercer leur jugement professionnel sans être sujet</w:t>
      </w:r>
      <w:r w:rsidR="000D10AF">
        <w:rPr>
          <w:rFonts w:cs="Times New Roman"/>
          <w:lang w:val="fr-CA" w:bidi="en-US"/>
        </w:rPr>
        <w:t>s</w:t>
      </w:r>
      <w:r w:rsidRPr="000B15B3">
        <w:rPr>
          <w:rFonts w:cs="Times New Roman"/>
          <w:lang w:val="fr-CA" w:bidi="en-US"/>
        </w:rPr>
        <w:t xml:space="preserve"> à des pressions contradictoires. </w:t>
      </w:r>
    </w:p>
    <w:p w:rsidR="00807172" w:rsidRPr="000B15B3" w:rsidRDefault="00807172" w:rsidP="00807172">
      <w:pPr>
        <w:pStyle w:val="TitleTitre-AltT"/>
        <w:keepNext/>
        <w:tabs>
          <w:tab w:val="clear" w:pos="360"/>
          <w:tab w:val="left" w:pos="1170"/>
        </w:tabs>
        <w:spacing w:before="0"/>
        <w:ind w:left="1620" w:hanging="1620"/>
        <w:rPr>
          <w:rFonts w:cs="Times New Roman"/>
          <w:i/>
          <w:lang w:val="fr-CA" w:bidi="en-US"/>
        </w:rPr>
      </w:pPr>
      <w:r w:rsidRPr="000B15B3">
        <w:rPr>
          <w:rFonts w:cs="Times New Roman"/>
          <w:lang w:val="fr-CA" w:bidi="en-US"/>
        </w:rPr>
        <w:tab/>
        <w:t>j)</w:t>
      </w:r>
      <w:r w:rsidRPr="000B15B3">
        <w:rPr>
          <w:rFonts w:cs="Times New Roman"/>
          <w:i/>
          <w:lang w:val="fr-CA" w:bidi="en-US"/>
        </w:rPr>
        <w:tab/>
        <w:t>Résumé</w:t>
      </w:r>
    </w:p>
    <w:p w:rsidR="00807172" w:rsidRPr="000B15B3" w:rsidRDefault="00807172" w:rsidP="00807172">
      <w:pPr>
        <w:pStyle w:val="ParaNoNdepar-AltN"/>
        <w:rPr>
          <w:rFonts w:cs="Times New Roman"/>
          <w:lang w:val="fr-CA" w:bidi="en-US"/>
        </w:rPr>
      </w:pPr>
      <w:r w:rsidRPr="000B15B3">
        <w:rPr>
          <w:rFonts w:cs="Times New Roman"/>
          <w:lang w:val="fr-CA" w:bidi="en-US"/>
        </w:rPr>
        <w:t xml:space="preserve">La règle de la démarcation très nette est précisément ce que son nom indique : une règle prévoyant une ligne de démarcation très nette.  Elle ne peut être réfutée ou autrement atténuée.  Elle s’applique à la représentation simultanée dans des dossiers ayant un lien entre eux </w:t>
      </w:r>
      <w:r w:rsidRPr="000B15B3">
        <w:rPr>
          <w:rFonts w:cs="Times New Roman"/>
          <w:i/>
          <w:lang w:val="fr-CA" w:bidi="en-US"/>
        </w:rPr>
        <w:t>et</w:t>
      </w:r>
      <w:r w:rsidRPr="000B15B3">
        <w:rPr>
          <w:rFonts w:cs="Times New Roman"/>
          <w:lang w:val="fr-CA" w:bidi="en-US"/>
        </w:rPr>
        <w:t xml:space="preserve"> dans les dossiers qui n’en ont pas.  Toutefois, sa portée est limitée.  Elle s’applique uniquement lorsque les intérêts </w:t>
      </w:r>
      <w:r w:rsidRPr="000B15B3">
        <w:rPr>
          <w:rFonts w:cs="Times New Roman"/>
          <w:i/>
          <w:lang w:val="fr-CA" w:bidi="en-US"/>
        </w:rPr>
        <w:t>immédiats</w:t>
      </w:r>
      <w:r w:rsidRPr="000B15B3">
        <w:rPr>
          <w:rFonts w:cs="Times New Roman"/>
          <w:lang w:val="fr-CA" w:bidi="en-US"/>
        </w:rPr>
        <w:t xml:space="preserve"> des clients s’opposent </w:t>
      </w:r>
      <w:r w:rsidRPr="000B15B3">
        <w:rPr>
          <w:rFonts w:cs="Times New Roman"/>
          <w:i/>
          <w:lang w:val="fr-CA" w:bidi="en-US"/>
        </w:rPr>
        <w:t>directement</w:t>
      </w:r>
      <w:r w:rsidRPr="000B15B3">
        <w:rPr>
          <w:rFonts w:cs="Times New Roman"/>
          <w:lang w:val="fr-CA" w:bidi="en-US"/>
        </w:rPr>
        <w:t xml:space="preserve"> dans les dossiers où occupe l’avocat.  Elle s’applique uniquement aux intérêts juridiques, et non aux intérêts commerciaux ou stratégiques.  Elle ne peut être invoquée pour des raisons d’ordre tactique.  Et elle ne s’applique pas lorsqu’il est déraisonnable pour un client de s’attendre à ce que le cabinet d’avocats n’agira pas contre lui dans des dossiers n’ayant aucun</w:t>
      </w:r>
      <w:r w:rsidRPr="000B15B3">
        <w:rPr>
          <w:rFonts w:cs="Times New Roman"/>
          <w:lang w:val="fr-CA"/>
        </w:rPr>
        <w:t xml:space="preserve"> lien </w:t>
      </w:r>
      <w:r w:rsidRPr="000B15B3">
        <w:rPr>
          <w:rFonts w:cs="Times New Roman"/>
          <w:lang w:val="fr-CA" w:bidi="en-US"/>
        </w:rPr>
        <w:t xml:space="preserve">avec le sien.  En présence d’une situation qui échappe à la portée de la règle, le critère applicable consiste à se demander s’il existe un risque sérieux que la représentation du client par l’avocat soit affectée de façon appréciable.  </w:t>
      </w:r>
    </w:p>
    <w:p w:rsidR="00807172" w:rsidRPr="000B15B3" w:rsidRDefault="00807172" w:rsidP="00807172">
      <w:pPr>
        <w:pStyle w:val="ParaNoNdepar-AltN"/>
        <w:rPr>
          <w:rFonts w:cs="Times New Roman"/>
          <w:lang w:val="fr-CA" w:bidi="en-US"/>
        </w:rPr>
      </w:pPr>
      <w:r w:rsidRPr="000B15B3">
        <w:rPr>
          <w:rFonts w:cs="Times New Roman"/>
          <w:lang w:val="fr-CA" w:bidi="en-US"/>
        </w:rPr>
        <w:t xml:space="preserve">Je passe maintenant aux autres aspects du devoir de loyauté qui sont pertinents en l’espèce. </w:t>
      </w:r>
    </w:p>
    <w:p w:rsidR="00807172" w:rsidRPr="000B15B3" w:rsidRDefault="00807172" w:rsidP="00807172">
      <w:pPr>
        <w:pStyle w:val="TitleTitre-AltT"/>
        <w:keepNext/>
        <w:tabs>
          <w:tab w:val="clear" w:pos="360"/>
          <w:tab w:val="left" w:pos="1170"/>
        </w:tabs>
        <w:spacing w:before="0"/>
        <w:ind w:left="1620" w:hanging="1620"/>
        <w:rPr>
          <w:rFonts w:cs="Times New Roman"/>
          <w:lang w:val="fr-CA" w:bidi="en-US"/>
        </w:rPr>
      </w:pPr>
      <w:r w:rsidRPr="000B15B3">
        <w:rPr>
          <w:rFonts w:cs="Times New Roman"/>
          <w:lang w:val="fr-CA" w:bidi="en-US"/>
        </w:rPr>
        <w:lastRenderedPageBreak/>
        <w:tab/>
        <w:t>2.</w:t>
      </w:r>
      <w:r w:rsidRPr="000B15B3">
        <w:rPr>
          <w:rFonts w:cs="Times New Roman"/>
          <w:lang w:val="fr-CA" w:bidi="en-US"/>
        </w:rPr>
        <w:tab/>
      </w:r>
      <w:r w:rsidRPr="000B15B3">
        <w:rPr>
          <w:rFonts w:cs="Times New Roman"/>
          <w:u w:val="single"/>
          <w:lang w:val="fr-CA" w:bidi="en-US"/>
        </w:rPr>
        <w:t>Le devoir de dévouement à la cause du client</w:t>
      </w:r>
    </w:p>
    <w:p w:rsidR="00807172" w:rsidRPr="000B15B3" w:rsidRDefault="00807172" w:rsidP="00807172">
      <w:pPr>
        <w:pStyle w:val="ParaNoNdepar-AltN"/>
        <w:rPr>
          <w:rFonts w:cs="Times New Roman"/>
          <w:lang w:val="fr-CA"/>
        </w:rPr>
      </w:pPr>
      <w:r w:rsidRPr="000B15B3">
        <w:rPr>
          <w:rFonts w:cs="Times New Roman"/>
          <w:lang w:val="fr-CA"/>
        </w:rPr>
        <w:t xml:space="preserve">Le devoir de dévouement est étroitement lié au devoir d’éviter les conflits d’intérêts.  En fait, l’avocat doit éviter les conflits d’intérêts justement pour être en mesure de rester dévoué à son client.  Ensemble, ces devoirs font en sorte </w:t>
      </w:r>
      <w:r w:rsidR="0037511C" w:rsidRPr="000B15B3">
        <w:rPr>
          <w:rFonts w:cs="Times New Roman"/>
          <w:lang w:val="fr-CA"/>
        </w:rPr>
        <w:t>« </w:t>
      </w:r>
      <w:r w:rsidRPr="000B15B3">
        <w:rPr>
          <w:rFonts w:cs="Times New Roman"/>
          <w:lang w:val="fr-CA"/>
        </w:rPr>
        <w:t>qu’une situation de loyauté pa</w:t>
      </w:r>
      <w:r w:rsidR="0037511C">
        <w:rPr>
          <w:rFonts w:cs="Times New Roman"/>
          <w:lang w:val="fr-CA"/>
        </w:rPr>
        <w:t>rtagée n’incite pas l’avocat à “mettre une sourdine” </w:t>
      </w:r>
      <w:r w:rsidRPr="000B15B3">
        <w:rPr>
          <w:rFonts w:cs="Times New Roman"/>
          <w:lang w:val="fr-CA"/>
        </w:rPr>
        <w:t xml:space="preserve">à la </w:t>
      </w:r>
      <w:r w:rsidR="009102BA">
        <w:rPr>
          <w:rFonts w:cs="Times New Roman"/>
          <w:lang w:val="fr-CA"/>
        </w:rPr>
        <w:t>[</w:t>
      </w:r>
      <w:r w:rsidRPr="000B15B3">
        <w:rPr>
          <w:rFonts w:cs="Times New Roman"/>
          <w:lang w:val="fr-CA"/>
        </w:rPr>
        <w:t>représentation</w:t>
      </w:r>
      <w:r w:rsidR="009102BA">
        <w:rPr>
          <w:rFonts w:cs="Times New Roman"/>
          <w:lang w:val="fr-CA"/>
        </w:rPr>
        <w:t>]</w:t>
      </w:r>
      <w:r w:rsidRPr="000B15B3">
        <w:rPr>
          <w:rFonts w:cs="Times New Roman"/>
          <w:lang w:val="fr-CA"/>
        </w:rPr>
        <w:t xml:space="preserve"> de son client par souci d’en ménager un autre » : </w:t>
      </w:r>
      <w:r w:rsidRPr="000B15B3">
        <w:rPr>
          <w:rFonts w:cs="Times New Roman"/>
          <w:i/>
          <w:lang w:val="fr-CA"/>
        </w:rPr>
        <w:t>Neil</w:t>
      </w:r>
      <w:r w:rsidRPr="000B15B3">
        <w:rPr>
          <w:rFonts w:cs="Times New Roman"/>
          <w:lang w:val="fr-CA"/>
        </w:rPr>
        <w:t>, par. 19.</w:t>
      </w:r>
    </w:p>
    <w:p w:rsidR="00807172" w:rsidRPr="000B15B3" w:rsidRDefault="00807172" w:rsidP="00807172">
      <w:pPr>
        <w:pStyle w:val="ParaNoNdepar-AltN"/>
        <w:rPr>
          <w:rFonts w:cs="Times New Roman"/>
          <w:lang w:val="fr-CA" w:bidi="en-US"/>
        </w:rPr>
      </w:pPr>
      <w:r w:rsidRPr="000B15B3">
        <w:rPr>
          <w:rFonts w:cs="Times New Roman"/>
          <w:lang w:val="fr-CA"/>
        </w:rPr>
        <w:t xml:space="preserve">Le devoir de dévouement empêche l’avocat de miner sa relation avec son client.  En règle générale, un avocat ou un cabinet d’avocats ne devraient pas laisser tomber de façon </w:t>
      </w:r>
      <w:r w:rsidR="009102BA">
        <w:rPr>
          <w:rFonts w:cs="Times New Roman"/>
          <w:lang w:val="fr-CA"/>
        </w:rPr>
        <w:t>expéditive et inat</w:t>
      </w:r>
      <w:r w:rsidR="00CE168B">
        <w:rPr>
          <w:rFonts w:cs="Times New Roman"/>
          <w:lang w:val="fr-CA"/>
        </w:rPr>
        <w:t>t</w:t>
      </w:r>
      <w:r w:rsidR="009102BA">
        <w:rPr>
          <w:rFonts w:cs="Times New Roman"/>
          <w:lang w:val="fr-CA"/>
        </w:rPr>
        <w:t>endue</w:t>
      </w:r>
      <w:r w:rsidRPr="000B15B3">
        <w:rPr>
          <w:rFonts w:cs="Times New Roman"/>
          <w:lang w:val="fr-CA"/>
        </w:rPr>
        <w:t xml:space="preserve"> un client simplement pour éviter des conflits d’intérêts avec des clients actuels ou de futurs clients.  Les règles du barreau peuvent toutefois prévoir différemment, par exemple en permettant aux cabinets d’avocats de cesser d’occuper dans un dossier en vertu d’un mandat à portée limitée : voir, par exemple, Barreau du </w:t>
      </w:r>
      <w:proofErr w:type="spellStart"/>
      <w:r w:rsidRPr="000B15B3">
        <w:rPr>
          <w:rFonts w:cs="Times New Roman"/>
          <w:lang w:val="fr-CA"/>
        </w:rPr>
        <w:t>Haut</w:t>
      </w:r>
      <w:r w:rsidRPr="000B15B3">
        <w:rPr>
          <w:rFonts w:cs="Times New Roman"/>
          <w:lang w:val="fr-CA"/>
        </w:rPr>
        <w:noBreakHyphen/>
        <w:t>Canada</w:t>
      </w:r>
      <w:proofErr w:type="spellEnd"/>
      <w:r w:rsidRPr="000B15B3">
        <w:rPr>
          <w:rFonts w:cs="Times New Roman"/>
          <w:lang w:val="fr-CA"/>
        </w:rPr>
        <w:t xml:space="preserve">, </w:t>
      </w:r>
      <w:r w:rsidRPr="000B15B3">
        <w:rPr>
          <w:rFonts w:cs="Times New Roman"/>
          <w:i/>
          <w:lang w:val="fr-CA"/>
        </w:rPr>
        <w:t xml:space="preserve">Code de déontologie </w:t>
      </w:r>
      <w:r w:rsidR="009102BA">
        <w:rPr>
          <w:rFonts w:cs="Times New Roman"/>
          <w:lang w:val="fr-CA"/>
        </w:rPr>
        <w:t>(en ligne), règle</w:t>
      </w:r>
      <w:r w:rsidRPr="000B15B3">
        <w:rPr>
          <w:rFonts w:cs="Times New Roman"/>
          <w:lang w:val="fr-CA"/>
        </w:rPr>
        <w:t xml:space="preserve"> 2.02 (6.1) et (6.2); </w:t>
      </w:r>
      <w:r w:rsidR="009102BA">
        <w:rPr>
          <w:rFonts w:cs="Times New Roman"/>
          <w:lang w:val="fr-CA"/>
        </w:rPr>
        <w:t>Law Society of Alberta</w:t>
      </w:r>
      <w:r w:rsidRPr="000B15B3">
        <w:rPr>
          <w:rFonts w:cs="Times New Roman"/>
          <w:lang w:val="fr-CA"/>
        </w:rPr>
        <w:t xml:space="preserve">, </w:t>
      </w:r>
      <w:r w:rsidRPr="000B15B3">
        <w:rPr>
          <w:rFonts w:cs="Times New Roman"/>
          <w:i/>
          <w:lang w:val="fr-CA"/>
        </w:rPr>
        <w:t xml:space="preserve">Code of </w:t>
      </w:r>
      <w:proofErr w:type="spellStart"/>
      <w:r w:rsidRPr="000B15B3">
        <w:rPr>
          <w:rFonts w:cs="Times New Roman"/>
          <w:i/>
          <w:lang w:val="fr-CA"/>
        </w:rPr>
        <w:t>Conduct</w:t>
      </w:r>
      <w:proofErr w:type="spellEnd"/>
      <w:r w:rsidRPr="000B15B3">
        <w:rPr>
          <w:rFonts w:cs="Times New Roman"/>
          <w:i/>
          <w:lang w:val="fr-CA"/>
        </w:rPr>
        <w:t xml:space="preserve"> </w:t>
      </w:r>
      <w:r w:rsidRPr="000B15B3">
        <w:rPr>
          <w:rFonts w:cs="Times New Roman"/>
          <w:lang w:val="fr-CA"/>
        </w:rPr>
        <w:t xml:space="preserve">(en ligne), </w:t>
      </w:r>
      <w:proofErr w:type="spellStart"/>
      <w:r w:rsidRPr="000B15B3">
        <w:rPr>
          <w:rFonts w:cs="Times New Roman"/>
          <w:lang w:val="fr-CA"/>
        </w:rPr>
        <w:t>Commentary</w:t>
      </w:r>
      <w:proofErr w:type="spellEnd"/>
      <w:r w:rsidRPr="000B15B3">
        <w:rPr>
          <w:rFonts w:cs="Times New Roman"/>
          <w:lang w:val="fr-CA"/>
        </w:rPr>
        <w:t xml:space="preserve"> to r. 2</w:t>
      </w:r>
      <w:r w:rsidR="009102BA">
        <w:rPr>
          <w:rFonts w:cs="Times New Roman"/>
          <w:lang w:val="fr-CA"/>
        </w:rPr>
        <w:t>.</w:t>
      </w:r>
      <w:r w:rsidRPr="000B15B3">
        <w:rPr>
          <w:rFonts w:cs="Times New Roman"/>
          <w:lang w:val="fr-CA"/>
        </w:rPr>
        <w:t>0</w:t>
      </w:r>
      <w:r w:rsidR="009102BA">
        <w:rPr>
          <w:rFonts w:cs="Times New Roman"/>
          <w:lang w:val="fr-CA"/>
        </w:rPr>
        <w:t>1</w:t>
      </w:r>
      <w:r w:rsidRPr="000B15B3">
        <w:rPr>
          <w:rFonts w:cs="Times New Roman"/>
          <w:lang w:val="fr-CA"/>
        </w:rPr>
        <w:t xml:space="preserve">(2); Nova </w:t>
      </w:r>
      <w:proofErr w:type="spellStart"/>
      <w:r w:rsidRPr="000B15B3">
        <w:rPr>
          <w:rFonts w:cs="Times New Roman"/>
          <w:lang w:val="fr-CA"/>
        </w:rPr>
        <w:t>Scotia</w:t>
      </w:r>
      <w:proofErr w:type="spellEnd"/>
      <w:r w:rsidRPr="000B15B3">
        <w:rPr>
          <w:rFonts w:cs="Times New Roman"/>
          <w:lang w:val="fr-CA"/>
        </w:rPr>
        <w:t xml:space="preserve"> </w:t>
      </w:r>
      <w:proofErr w:type="spellStart"/>
      <w:r w:rsidRPr="000B15B3">
        <w:rPr>
          <w:rFonts w:cs="Times New Roman"/>
          <w:lang w:val="fr-CA"/>
        </w:rPr>
        <w:t>Barristers</w:t>
      </w:r>
      <w:proofErr w:type="spellEnd"/>
      <w:r w:rsidRPr="000B15B3">
        <w:rPr>
          <w:rFonts w:cs="Times New Roman"/>
          <w:lang w:val="fr-CA"/>
        </w:rPr>
        <w:t xml:space="preserve">’ Society, </w:t>
      </w:r>
      <w:r w:rsidRPr="000B15B3">
        <w:rPr>
          <w:rFonts w:cs="Times New Roman"/>
          <w:i/>
          <w:lang w:val="fr-CA"/>
        </w:rPr>
        <w:t xml:space="preserve">Code of Professional </w:t>
      </w:r>
      <w:proofErr w:type="spellStart"/>
      <w:r w:rsidRPr="000B15B3">
        <w:rPr>
          <w:rFonts w:cs="Times New Roman"/>
          <w:i/>
          <w:lang w:val="fr-CA"/>
        </w:rPr>
        <w:t>Conduct</w:t>
      </w:r>
      <w:proofErr w:type="spellEnd"/>
      <w:r w:rsidRPr="000B15B3">
        <w:rPr>
          <w:rFonts w:cs="Times New Roman"/>
          <w:i/>
          <w:lang w:val="fr-CA"/>
        </w:rPr>
        <w:t xml:space="preserve"> </w:t>
      </w:r>
      <w:r w:rsidR="009102BA">
        <w:rPr>
          <w:rFonts w:cs="Times New Roman"/>
          <w:lang w:val="fr-CA"/>
        </w:rPr>
        <w:t>(en ligne), règle</w:t>
      </w:r>
      <w:r w:rsidR="00E13CAE">
        <w:rPr>
          <w:rFonts w:cs="Times New Roman"/>
          <w:lang w:val="fr-CA"/>
        </w:rPr>
        <w:t>s</w:t>
      </w:r>
      <w:r w:rsidRPr="000B15B3">
        <w:rPr>
          <w:rFonts w:cs="Times New Roman"/>
          <w:lang w:val="fr-CA"/>
        </w:rPr>
        <w:t> 3.2</w:t>
      </w:r>
      <w:r w:rsidRPr="000B15B3">
        <w:rPr>
          <w:rFonts w:cs="Times New Roman"/>
          <w:lang w:val="fr-CA"/>
        </w:rPr>
        <w:noBreakHyphen/>
        <w:t>1A et 7.2</w:t>
      </w:r>
      <w:r w:rsidRPr="000B15B3">
        <w:rPr>
          <w:rFonts w:cs="Times New Roman"/>
          <w:lang w:val="fr-CA"/>
        </w:rPr>
        <w:noBreakHyphen/>
        <w:t>6A.</w:t>
      </w:r>
    </w:p>
    <w:p w:rsidR="00807172" w:rsidRPr="000B15B3" w:rsidRDefault="00807172" w:rsidP="00807172">
      <w:pPr>
        <w:pStyle w:val="TitleTitre-AltT"/>
        <w:keepNext/>
        <w:tabs>
          <w:tab w:val="clear" w:pos="360"/>
          <w:tab w:val="left" w:pos="1170"/>
        </w:tabs>
        <w:spacing w:before="0"/>
        <w:ind w:left="1620" w:hanging="1620"/>
        <w:rPr>
          <w:rFonts w:cs="Times New Roman"/>
          <w:u w:val="single"/>
          <w:lang w:val="fr-CA"/>
        </w:rPr>
      </w:pPr>
      <w:r w:rsidRPr="000B15B3">
        <w:rPr>
          <w:rFonts w:cs="Times New Roman"/>
          <w:lang w:val="fr-CA"/>
        </w:rPr>
        <w:tab/>
        <w:t>3.</w:t>
      </w:r>
      <w:r w:rsidRPr="000B15B3">
        <w:rPr>
          <w:rFonts w:cs="Times New Roman"/>
          <w:lang w:val="fr-CA"/>
        </w:rPr>
        <w:tab/>
      </w:r>
      <w:r w:rsidRPr="000B15B3">
        <w:rPr>
          <w:rFonts w:cs="Times New Roman"/>
          <w:u w:val="single"/>
          <w:lang w:val="fr-CA"/>
        </w:rPr>
        <w:t>Le devoir de franchise</w:t>
      </w:r>
    </w:p>
    <w:p w:rsidR="00807172" w:rsidRPr="000B15B3" w:rsidRDefault="00807172" w:rsidP="00807172">
      <w:pPr>
        <w:pStyle w:val="ParaNoNdepar-AltN"/>
        <w:rPr>
          <w:rFonts w:cs="Times New Roman"/>
          <w:lang w:val="fr-CA"/>
        </w:rPr>
      </w:pPr>
      <w:r w:rsidRPr="000B15B3">
        <w:rPr>
          <w:rFonts w:cs="Times New Roman"/>
          <w:lang w:val="fr-CA"/>
        </w:rPr>
        <w:t xml:space="preserve">L’avocat ou le cabinet d’avocats a un devoir de franchise envers son client, ce qui l’oblige à faire part à </w:t>
      </w:r>
      <w:proofErr w:type="spellStart"/>
      <w:r w:rsidRPr="000B15B3">
        <w:rPr>
          <w:rFonts w:cs="Times New Roman"/>
          <w:lang w:val="fr-CA"/>
        </w:rPr>
        <w:t>celui</w:t>
      </w:r>
      <w:r w:rsidRPr="000B15B3">
        <w:rPr>
          <w:rFonts w:cs="Times New Roman"/>
          <w:lang w:val="fr-CA"/>
        </w:rPr>
        <w:noBreakHyphen/>
        <w:t>ci</w:t>
      </w:r>
      <w:proofErr w:type="spellEnd"/>
      <w:r w:rsidRPr="000B15B3">
        <w:rPr>
          <w:rFonts w:cs="Times New Roman"/>
          <w:lang w:val="fr-CA"/>
        </w:rPr>
        <w:t xml:space="preserve"> de tout facteur influant sur son aptitude à bien représenter le client.  Comme l’a mentionné le juge </w:t>
      </w:r>
      <w:proofErr w:type="spellStart"/>
      <w:r w:rsidRPr="000B15B3">
        <w:rPr>
          <w:rFonts w:cs="Times New Roman"/>
          <w:lang w:val="fr-CA"/>
        </w:rPr>
        <w:t>Binnie</w:t>
      </w:r>
      <w:proofErr w:type="spellEnd"/>
      <w:r w:rsidRPr="000B15B3">
        <w:rPr>
          <w:rFonts w:cs="Times New Roman"/>
          <w:lang w:val="fr-CA"/>
        </w:rPr>
        <w:t xml:space="preserve"> dans </w:t>
      </w:r>
      <w:proofErr w:type="spellStart"/>
      <w:r w:rsidRPr="000B15B3">
        <w:rPr>
          <w:rFonts w:cs="Times New Roman"/>
          <w:i/>
          <w:lang w:val="fr-CA"/>
        </w:rPr>
        <w:t>Strother</w:t>
      </w:r>
      <w:proofErr w:type="spellEnd"/>
      <w:r w:rsidRPr="000B15B3">
        <w:rPr>
          <w:rFonts w:cs="Times New Roman"/>
          <w:lang w:val="fr-CA"/>
        </w:rPr>
        <w:t xml:space="preserve">, </w:t>
      </w:r>
      <w:r w:rsidRPr="000B15B3">
        <w:rPr>
          <w:rFonts w:cs="Times New Roman"/>
          <w:lang w:val="fr-CA"/>
        </w:rPr>
        <w:lastRenderedPageBreak/>
        <w:t>par. 55, « </w:t>
      </w:r>
      <w:r w:rsidRPr="000B15B3">
        <w:rPr>
          <w:rFonts w:cs="Times New Roman"/>
          <w:lang w:val="fr-CA" w:bidi="en-US"/>
        </w:rPr>
        <w:t>[</w:t>
      </w:r>
      <w:r w:rsidRPr="000B15B3">
        <w:rPr>
          <w:rFonts w:cs="Times New Roman"/>
          <w:lang w:val="fr-CA"/>
        </w:rPr>
        <w:t>c</w:t>
      </w:r>
      <w:r w:rsidRPr="000B15B3">
        <w:rPr>
          <w:rFonts w:cs="Times New Roman"/>
          <w:lang w:val="fr-CA" w:bidi="en-US"/>
        </w:rPr>
        <w:t>]</w:t>
      </w:r>
      <w:r w:rsidRPr="000B15B3">
        <w:rPr>
          <w:rFonts w:cs="Times New Roman"/>
          <w:lang w:val="fr-CA"/>
        </w:rPr>
        <w:t>e que l’avocat doit éviter de faire est de maintenir son client dans l’ignorance au sujet de questions qu’il sait pertinentes quant au mandat » (italiques omis).</w:t>
      </w:r>
    </w:p>
    <w:p w:rsidR="00807172" w:rsidRPr="000B15B3" w:rsidRDefault="00807172" w:rsidP="00807172">
      <w:pPr>
        <w:pStyle w:val="ParaNoNdepar-AltN"/>
        <w:rPr>
          <w:rFonts w:cs="Times New Roman"/>
          <w:lang w:val="fr-CA"/>
        </w:rPr>
      </w:pPr>
      <w:r w:rsidRPr="000B15B3">
        <w:rPr>
          <w:rFonts w:cs="Times New Roman"/>
          <w:lang w:val="fr-CA"/>
        </w:rPr>
        <w:t xml:space="preserve">Par conséquent, l’avocat doit, en règle générale, informer son client actuel avant d’accepter un mandat qui l’obligera à agir contre ce client, même s’il juge que la situation échappe à la portée de la règle de la démarcation très nette.  Le client actuel peut à tout le moins estimer que sa relation avec son avocat s’est dégradée et vouloir retenir les services d’un autre avocat.  </w:t>
      </w:r>
    </w:p>
    <w:p w:rsidR="00807172" w:rsidRPr="000B15B3" w:rsidRDefault="00807172" w:rsidP="00807172">
      <w:pPr>
        <w:pStyle w:val="ParaNoNdepar-AltN"/>
        <w:rPr>
          <w:rFonts w:cs="Times New Roman"/>
          <w:lang w:val="fr-CA"/>
        </w:rPr>
      </w:pPr>
      <w:r w:rsidRPr="000B15B3">
        <w:rPr>
          <w:rFonts w:cs="Times New Roman"/>
          <w:lang w:val="fr-CA"/>
        </w:rPr>
        <w:t xml:space="preserve">J’ajouterai ceci.  Il faut concilier le devoir de franchise de l’avocat envers son client actuel avec l’obligation de confidentialité de l’avocat envers un client éventuel.  Afin de divulguer à son client actuel tous les renseignements utiles, l’avocat doit d’abord obtenir du client éventuel qu’il consente à la divulgation de l’existence, de la nature et de la portée du nouveau mandat.  Si le client éventuel refuse de consentir à la divulgation de ces renseignements, l’avocat ne sera pas en mesure de remplir son devoir de franchise, et il doit donc refuser de représenter le client éventuel. </w:t>
      </w:r>
    </w:p>
    <w:p w:rsidR="00807172" w:rsidRPr="000B15B3" w:rsidRDefault="00807172" w:rsidP="00807172">
      <w:pPr>
        <w:pStyle w:val="TitleTitre-AltT"/>
        <w:keepNext/>
        <w:tabs>
          <w:tab w:val="clear" w:pos="360"/>
        </w:tabs>
        <w:spacing w:before="0"/>
        <w:ind w:left="450" w:hanging="450"/>
        <w:rPr>
          <w:rFonts w:cs="Times New Roman"/>
        </w:rPr>
      </w:pPr>
      <w:r w:rsidRPr="000B15B3">
        <w:rPr>
          <w:rFonts w:cs="Times New Roman"/>
        </w:rPr>
        <w:t>C.</w:t>
      </w:r>
      <w:r w:rsidRPr="000B15B3">
        <w:rPr>
          <w:rFonts w:cs="Times New Roman"/>
        </w:rPr>
        <w:tab/>
      </w:r>
      <w:proofErr w:type="spellStart"/>
      <w:r w:rsidRPr="000B15B3">
        <w:rPr>
          <w:rFonts w:cs="Times New Roman"/>
          <w:i/>
        </w:rPr>
        <w:t>L’application</w:t>
      </w:r>
      <w:proofErr w:type="spellEnd"/>
      <w:r w:rsidRPr="000B15B3">
        <w:rPr>
          <w:rFonts w:cs="Times New Roman"/>
          <w:i/>
        </w:rPr>
        <w:t xml:space="preserve"> des </w:t>
      </w:r>
      <w:proofErr w:type="spellStart"/>
      <w:proofErr w:type="gramStart"/>
      <w:r w:rsidRPr="000B15B3">
        <w:rPr>
          <w:rFonts w:cs="Times New Roman"/>
          <w:i/>
        </w:rPr>
        <w:t>principes</w:t>
      </w:r>
      <w:proofErr w:type="spellEnd"/>
      <w:proofErr w:type="gramEnd"/>
    </w:p>
    <w:p w:rsidR="00807172" w:rsidRPr="000B15B3" w:rsidRDefault="00807172" w:rsidP="00807172">
      <w:pPr>
        <w:pStyle w:val="ParaNoNdepar-AltN"/>
        <w:rPr>
          <w:rFonts w:cs="Times New Roman"/>
          <w:lang w:val="fr-CA"/>
        </w:rPr>
      </w:pPr>
      <w:r w:rsidRPr="000B15B3">
        <w:rPr>
          <w:rFonts w:cs="Times New Roman"/>
          <w:lang w:val="fr-CA"/>
        </w:rPr>
        <w:t xml:space="preserve">Les trois devoirs qui découlent du devoir de loyauté de l’avocat sont en jeu en l’espèce : le devoir d’éviter les conflits d’intérêts, le devoir de dévouement à la </w:t>
      </w:r>
      <w:r w:rsidRPr="000B15B3">
        <w:rPr>
          <w:rFonts w:cs="Times New Roman"/>
          <w:lang w:val="fr-CA"/>
        </w:rPr>
        <w:lastRenderedPageBreak/>
        <w:t>cause du client et le devoir de franchise envers le client.  Je les examinerai l’un après l’autre.</w:t>
      </w:r>
    </w:p>
    <w:p w:rsidR="00807172" w:rsidRPr="000B15B3" w:rsidRDefault="00807172" w:rsidP="00807172">
      <w:pPr>
        <w:pStyle w:val="TitleTitre-AltT"/>
        <w:keepNext/>
        <w:tabs>
          <w:tab w:val="clear" w:pos="360"/>
          <w:tab w:val="left" w:pos="1170"/>
        </w:tabs>
        <w:spacing w:before="0"/>
        <w:ind w:left="1620" w:hanging="1620"/>
        <w:rPr>
          <w:rFonts w:cs="Times New Roman"/>
          <w:lang w:val="fr-CA" w:bidi="en-US"/>
        </w:rPr>
      </w:pPr>
      <w:r w:rsidRPr="000B15B3">
        <w:rPr>
          <w:rFonts w:cs="Times New Roman"/>
          <w:lang w:val="fr-CA"/>
        </w:rPr>
        <w:tab/>
        <w:t>1.</w:t>
      </w:r>
      <w:r w:rsidRPr="000B15B3">
        <w:rPr>
          <w:rFonts w:cs="Times New Roman"/>
          <w:lang w:val="fr-CA"/>
        </w:rPr>
        <w:tab/>
      </w:r>
      <w:r w:rsidRPr="000B15B3">
        <w:rPr>
          <w:rFonts w:cs="Times New Roman"/>
          <w:u w:val="single"/>
          <w:lang w:val="fr-CA"/>
        </w:rPr>
        <w:t>Le devoir d’éviter les conflits d’intérêts</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 xml:space="preserve">La question est de savoir si la règle de la démarcation très nette s’appliquait à la représentation simultanée du CN et de M. Wallace par </w:t>
      </w:r>
      <w:proofErr w:type="spellStart"/>
      <w:r w:rsidRPr="000B15B3">
        <w:rPr>
          <w:rFonts w:cs="Times New Roman"/>
          <w:lang w:val="fr-CA" w:bidi="en-US"/>
        </w:rPr>
        <w:t>McKercher</w:t>
      </w:r>
      <w:proofErr w:type="spellEnd"/>
      <w:r w:rsidRPr="000B15B3">
        <w:rPr>
          <w:rFonts w:cs="Times New Roman"/>
          <w:lang w:val="fr-CA" w:bidi="en-US"/>
        </w:rPr>
        <w:t xml:space="preserve">.  Je conclus qu’elle s’y appliquait. </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rPr>
        <w:t xml:space="preserve">La règle de la démarcation très nette empêche l’avocat de représenter simultanément des clients dont les intérêts juridiques immédiats s’opposent directement, sous réserve des limites examinées dans les présents motifs.  L’absence de lien juridique et factuel entre les mandats de M. Wallace et du CN n’empêchait pas l’application de la règle de la démarcation très nette. </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 xml:space="preserve">En l’espèce, la règle </w:t>
      </w:r>
      <w:r w:rsidRPr="000B15B3">
        <w:rPr>
          <w:rFonts w:cs="Times New Roman"/>
          <w:lang w:val="fr-CA"/>
        </w:rPr>
        <w:t xml:space="preserve">de la démarcation très nette est applicable.  </w:t>
      </w:r>
      <w:r w:rsidRPr="000B15B3">
        <w:rPr>
          <w:rFonts w:cs="Times New Roman"/>
          <w:lang w:val="fr-CA" w:bidi="en-US"/>
        </w:rPr>
        <w:t xml:space="preserve">Les intérêts immédiats du CN et de M. Wallace s’opposaient directement et étaient de nature juridique.  En effet, </w:t>
      </w:r>
      <w:proofErr w:type="spellStart"/>
      <w:r w:rsidRPr="000B15B3">
        <w:rPr>
          <w:rFonts w:cs="Times New Roman"/>
          <w:lang w:val="fr-CA" w:bidi="en-US"/>
        </w:rPr>
        <w:t>McKercher</w:t>
      </w:r>
      <w:proofErr w:type="spellEnd"/>
      <w:r w:rsidRPr="000B15B3">
        <w:rPr>
          <w:rFonts w:cs="Times New Roman"/>
          <w:lang w:val="fr-CA" w:bidi="en-US"/>
        </w:rPr>
        <w:t xml:space="preserve"> a aidé M. Wallace à intenter un recours collectif directement contre le CN.  En outre, aucun élément de preuve au dossier ne démontre que le CN cherche à utiliser la règle de la démarcation très nette pour des raisons tactiques.  Rien ne porte à croire que le CN répartit à dessein ses dossiers juridiques entre les cabinets d’avocats de la Saskatchewan afin d’empêcher M. Wallace ou d’autres personnes de retenir les services d’un bon avocat.  Le juge de première instance a accepté le témoignage de l’avocat général du CN et a conclu que </w:t>
      </w:r>
      <w:r w:rsidRPr="000B15B3">
        <w:rPr>
          <w:rFonts w:cs="Times New Roman"/>
          <w:lang w:val="fr-CA" w:bidi="en-US"/>
        </w:rPr>
        <w:lastRenderedPageBreak/>
        <w:t>le CN avait agi [</w:t>
      </w:r>
      <w:r w:rsidRPr="000B15B3">
        <w:rPr>
          <w:rFonts w:cs="Times New Roman"/>
          <w:smallCaps/>
          <w:lang w:val="fr-CA" w:bidi="en-US"/>
        </w:rPr>
        <w:t>traduction</w:t>
      </w:r>
      <w:r w:rsidRPr="000B15B3">
        <w:rPr>
          <w:rFonts w:cs="Times New Roman"/>
          <w:lang w:val="fr-CA" w:bidi="en-US"/>
        </w:rPr>
        <w:t xml:space="preserve">] « sur le fondement de principes, et non uniquement pour des raisons tactiques » : par. 62.  À mon avis, cette conclusion n’est entachée d’aucune erreur manifeste et dominante.  </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 xml:space="preserve">Enfin, il était raisonnable dans les circonstances que le CN s’attende à ce que </w:t>
      </w:r>
      <w:proofErr w:type="spellStart"/>
      <w:r w:rsidRPr="000B15B3">
        <w:rPr>
          <w:rFonts w:cs="Times New Roman"/>
          <w:lang w:val="fr-CA" w:bidi="en-US"/>
        </w:rPr>
        <w:t>McKercher</w:t>
      </w:r>
      <w:proofErr w:type="spellEnd"/>
      <w:r w:rsidRPr="000B15B3">
        <w:rPr>
          <w:rFonts w:cs="Times New Roman"/>
          <w:lang w:val="fr-CA" w:bidi="en-US"/>
        </w:rPr>
        <w:t xml:space="preserve"> ne représente pas M. Wallace.  Je partage les conclusions du juge de première instance à ce sujet : </w:t>
      </w:r>
    </w:p>
    <w:p w:rsidR="00807172" w:rsidRPr="000B15B3" w:rsidRDefault="00807172" w:rsidP="00807172">
      <w:pPr>
        <w:pStyle w:val="Citation-AltC"/>
        <w:ind w:hanging="1166"/>
        <w:rPr>
          <w:lang w:val="fr-CA"/>
        </w:rPr>
      </w:pPr>
      <w:r w:rsidRPr="000B15B3">
        <w:rPr>
          <w:lang w:val="fr-CA"/>
        </w:rPr>
        <w:tab/>
        <w:t>[</w:t>
      </w:r>
      <w:r w:rsidRPr="000B15B3">
        <w:rPr>
          <w:smallCaps/>
          <w:lang w:val="fr-CA"/>
        </w:rPr>
        <w:t>traduction</w:t>
      </w:r>
      <w:r w:rsidRPr="000B15B3">
        <w:rPr>
          <w:lang w:val="fr-CA"/>
        </w:rPr>
        <w:t xml:space="preserve">]  L’avocat et le client entretenaient une relation de longue date.  Le CN a fait de </w:t>
      </w:r>
      <w:proofErr w:type="spellStart"/>
      <w:r w:rsidRPr="000B15B3">
        <w:rPr>
          <w:lang w:val="fr-CA"/>
        </w:rPr>
        <w:t>McKercher</w:t>
      </w:r>
      <w:proofErr w:type="spellEnd"/>
      <w:r w:rsidRPr="000B15B3">
        <w:rPr>
          <w:lang w:val="fr-CA"/>
        </w:rPr>
        <w:t xml:space="preserve"> son cabinet « de confiance ».  Même si le CN confiait également des dossiers juridiques à au moins deux autres cabinets d’avocats en Saskatchewan, j’accepte le témoignage de M. </w:t>
      </w:r>
      <w:proofErr w:type="spellStart"/>
      <w:r w:rsidRPr="000B15B3">
        <w:rPr>
          <w:lang w:val="fr-CA"/>
        </w:rPr>
        <w:t>Chouc</w:t>
      </w:r>
      <w:proofErr w:type="spellEnd"/>
      <w:r w:rsidRPr="000B15B3">
        <w:rPr>
          <w:lang w:val="fr-CA"/>
        </w:rPr>
        <w:t xml:space="preserve"> selon lequel le cabinet </w:t>
      </w:r>
      <w:proofErr w:type="spellStart"/>
      <w:r w:rsidRPr="000B15B3">
        <w:rPr>
          <w:lang w:val="fr-CA"/>
        </w:rPr>
        <w:t>McKercher</w:t>
      </w:r>
      <w:proofErr w:type="spellEnd"/>
      <w:r w:rsidRPr="000B15B3">
        <w:rPr>
          <w:lang w:val="fr-CA"/>
        </w:rPr>
        <w:t xml:space="preserve"> était le principal cabinet d’avocats du CN dans cette province.  [. . .] La poursuite vise l’obtention de </w:t>
      </w:r>
      <w:proofErr w:type="spellStart"/>
      <w:r w:rsidRPr="000B15B3">
        <w:rPr>
          <w:lang w:val="fr-CA"/>
        </w:rPr>
        <w:t>dommages</w:t>
      </w:r>
      <w:r w:rsidRPr="000B15B3">
        <w:rPr>
          <w:lang w:val="fr-CA"/>
        </w:rPr>
        <w:noBreakHyphen/>
        <w:t>intérêts</w:t>
      </w:r>
      <w:proofErr w:type="spellEnd"/>
      <w:r w:rsidRPr="000B15B3">
        <w:rPr>
          <w:lang w:val="fr-CA"/>
        </w:rPr>
        <w:t xml:space="preserve"> considérables du CN et une condamnation à des </w:t>
      </w:r>
      <w:proofErr w:type="spellStart"/>
      <w:r w:rsidRPr="000B15B3">
        <w:rPr>
          <w:lang w:val="fr-CA"/>
        </w:rPr>
        <w:t>dommages</w:t>
      </w:r>
      <w:r w:rsidRPr="000B15B3">
        <w:rPr>
          <w:lang w:val="fr-CA"/>
        </w:rPr>
        <w:noBreakHyphen/>
        <w:t>intérêts</w:t>
      </w:r>
      <w:proofErr w:type="spellEnd"/>
      <w:r w:rsidRPr="000B15B3">
        <w:rPr>
          <w:lang w:val="fr-CA"/>
        </w:rPr>
        <w:t xml:space="preserve"> majorés et punitifs, ce qui laisse entendre une certaine turpitude morale de la part du CN.  En somme, il est difficile d’imaginer une situation où l’élément de loyauté de la relation </w:t>
      </w:r>
      <w:proofErr w:type="spellStart"/>
      <w:r w:rsidRPr="000B15B3">
        <w:rPr>
          <w:lang w:val="fr-CA"/>
        </w:rPr>
        <w:t>avocat</w:t>
      </w:r>
      <w:r w:rsidRPr="000B15B3">
        <w:rPr>
          <w:lang w:val="fr-CA"/>
        </w:rPr>
        <w:noBreakHyphen/>
        <w:t>client</w:t>
      </w:r>
      <w:proofErr w:type="spellEnd"/>
      <w:r w:rsidRPr="000B15B3">
        <w:rPr>
          <w:lang w:val="fr-CA"/>
        </w:rPr>
        <w:t xml:space="preserve"> serait autant mise à mal.  [</w:t>
      </w:r>
      <w:proofErr w:type="gramStart"/>
      <w:r w:rsidRPr="000B15B3">
        <w:rPr>
          <w:lang w:val="fr-CA"/>
        </w:rPr>
        <w:t>par</w:t>
      </w:r>
      <w:proofErr w:type="gramEnd"/>
      <w:r w:rsidRPr="000B15B3">
        <w:rPr>
          <w:lang w:val="fr-CA"/>
        </w:rPr>
        <w:t>. 56]</w:t>
      </w:r>
    </w:p>
    <w:p w:rsidR="00807172" w:rsidRPr="000B15B3" w:rsidRDefault="00807172" w:rsidP="00807172">
      <w:pPr>
        <w:pStyle w:val="ContinueParaSuitedupar-AltP"/>
        <w:rPr>
          <w:rFonts w:cs="Times New Roman"/>
          <w:lang w:val="fr-CA" w:bidi="en-US"/>
        </w:rPr>
      </w:pPr>
      <w:r w:rsidRPr="000B15B3">
        <w:rPr>
          <w:rFonts w:cs="Times New Roman"/>
          <w:lang w:val="fr-CA" w:bidi="en-US"/>
        </w:rPr>
        <w:t xml:space="preserve">Autrement dit, il était raisonnable que le CN soit étonné et consterné lorsque son principal avocat en Saskatchewan l’a poursuivi pour 1,75 milliard de dollars. </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 xml:space="preserve">En conséquence, la règle de la démarcation très nette s’applique aux faits de l’espèce.  </w:t>
      </w:r>
      <w:proofErr w:type="spellStart"/>
      <w:r w:rsidRPr="000B15B3">
        <w:rPr>
          <w:rFonts w:cs="Times New Roman"/>
          <w:lang w:val="fr-CA" w:bidi="en-US"/>
        </w:rPr>
        <w:t>McKercher</w:t>
      </w:r>
      <w:proofErr w:type="spellEnd"/>
      <w:r w:rsidRPr="000B15B3">
        <w:rPr>
          <w:rFonts w:cs="Times New Roman"/>
          <w:lang w:val="fr-CA" w:bidi="en-US"/>
        </w:rPr>
        <w:t xml:space="preserve"> a enfreint cette règle et, par extension, a manqué à son devoir d’éviter les conflits d’intérêts lorsqu’il a accepté de représenter M. Wallace sans avoir obtenu d’abord le consentement éclairé du CN. </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lastRenderedPageBreak/>
        <w:t xml:space="preserve">Je ne peux cependant me rallier à la thèse voulant qu’il s’agisse d’une situation où existe également un risque d’utilisation à mauvais escient de renseignements confidentiels.  La prétention du CN selon laquelle </w:t>
      </w:r>
      <w:proofErr w:type="spellStart"/>
      <w:r w:rsidRPr="000B15B3">
        <w:rPr>
          <w:rFonts w:cs="Times New Roman"/>
          <w:lang w:val="fr-CA" w:bidi="en-US"/>
        </w:rPr>
        <w:t>McKercher</w:t>
      </w:r>
      <w:proofErr w:type="spellEnd"/>
      <w:r w:rsidRPr="000B15B3">
        <w:rPr>
          <w:rFonts w:cs="Times New Roman"/>
          <w:lang w:val="fr-CA" w:bidi="en-US"/>
        </w:rPr>
        <w:t xml:space="preserve"> a obtenu des renseignements confidentiels qui pourraient lui être utiles dans l’affaire Wallace — à savoir une connaissance générale de la philosophie du CN en matière contentieuse — ne résiste pas à l’examen.  Il ne suffit pas de [</w:t>
      </w:r>
      <w:r w:rsidRPr="000B15B3">
        <w:rPr>
          <w:rFonts w:cs="Times New Roman"/>
          <w:smallCaps/>
          <w:lang w:val="fr-CA" w:bidi="en-US"/>
        </w:rPr>
        <w:t>traduction</w:t>
      </w:r>
      <w:r w:rsidRPr="000B15B3">
        <w:rPr>
          <w:rFonts w:cs="Times New Roman"/>
          <w:lang w:val="fr-CA" w:bidi="en-US"/>
        </w:rPr>
        <w:t xml:space="preserve">] « simplement affirmer </w:t>
      </w:r>
      <w:r w:rsidRPr="000B15B3">
        <w:rPr>
          <w:rFonts w:cs="Times New Roman"/>
          <w:lang w:val="fr-CA"/>
        </w:rPr>
        <w:t>que la relation passée a renseigné l’avocat sur [. . .] la philosophie du client en matière contentieuse</w:t>
      </w:r>
      <w:r w:rsidRPr="000B15B3">
        <w:rPr>
          <w:rFonts w:cs="Times New Roman"/>
          <w:lang w:val="fr-CA" w:bidi="en-US"/>
        </w:rPr>
        <w:t> » :</w:t>
      </w:r>
      <w:r w:rsidRPr="000B15B3">
        <w:rPr>
          <w:rFonts w:cs="Times New Roman"/>
          <w:lang w:val="fr-CA"/>
        </w:rPr>
        <w:t xml:space="preserve"> </w:t>
      </w:r>
      <w:proofErr w:type="spellStart"/>
      <w:r w:rsidRPr="000B15B3">
        <w:rPr>
          <w:rFonts w:cs="Times New Roman"/>
          <w:i/>
          <w:lang w:val="fr-CA"/>
        </w:rPr>
        <w:t>Moffat</w:t>
      </w:r>
      <w:proofErr w:type="spellEnd"/>
      <w:r w:rsidRPr="000B15B3">
        <w:rPr>
          <w:rFonts w:cs="Times New Roman"/>
          <w:i/>
          <w:lang w:val="fr-CA"/>
        </w:rPr>
        <w:t xml:space="preserve"> c. </w:t>
      </w:r>
      <w:proofErr w:type="spellStart"/>
      <w:r w:rsidRPr="000B15B3">
        <w:rPr>
          <w:rFonts w:cs="Times New Roman"/>
          <w:i/>
          <w:lang w:val="fr-CA"/>
        </w:rPr>
        <w:t>Wetstein</w:t>
      </w:r>
      <w:proofErr w:type="spellEnd"/>
      <w:r w:rsidRPr="000B15B3">
        <w:rPr>
          <w:rFonts w:cs="Times New Roman"/>
          <w:lang w:val="fr-CA"/>
        </w:rPr>
        <w:t xml:space="preserve"> (1996), 29 O.R. (3d) 371 (Div. </w:t>
      </w:r>
      <w:proofErr w:type="spellStart"/>
      <w:r w:rsidRPr="000B15B3">
        <w:rPr>
          <w:rFonts w:cs="Times New Roman"/>
          <w:lang w:val="fr-CA"/>
        </w:rPr>
        <w:t>gén</w:t>
      </w:r>
      <w:proofErr w:type="spellEnd"/>
      <w:r w:rsidRPr="000B15B3">
        <w:rPr>
          <w:rFonts w:cs="Times New Roman"/>
          <w:lang w:val="fr-CA"/>
        </w:rPr>
        <w:t xml:space="preserve">.), p. 401.  </w:t>
      </w:r>
      <w:r w:rsidRPr="000B15B3">
        <w:rPr>
          <w:rFonts w:cs="Times New Roman"/>
          <w:lang w:val="fr-CA" w:bidi="en-US"/>
        </w:rPr>
        <w:t>[</w:t>
      </w:r>
      <w:r w:rsidRPr="000B15B3">
        <w:rPr>
          <w:rFonts w:cs="Times New Roman"/>
          <w:smallCaps/>
          <w:lang w:val="fr-CA" w:bidi="en-US"/>
        </w:rPr>
        <w:t>traduction</w:t>
      </w:r>
      <w:r w:rsidRPr="000B15B3">
        <w:rPr>
          <w:rFonts w:cs="Times New Roman"/>
          <w:lang w:val="fr-CA" w:bidi="en-US"/>
        </w:rPr>
        <w:t>]</w:t>
      </w:r>
      <w:r w:rsidRPr="000B15B3">
        <w:rPr>
          <w:rFonts w:cs="Times New Roman"/>
          <w:lang w:val="fr-CA"/>
        </w:rPr>
        <w:t xml:space="preserve"> « Il y a une différence entre disposer de renseignements sur l’affaire en cause et connaître la philosophie d’entreprise » d’un ancien client : </w:t>
      </w:r>
      <w:r w:rsidRPr="000B15B3">
        <w:rPr>
          <w:rFonts w:cs="Times New Roman"/>
          <w:i/>
          <w:lang w:val="fr-CA"/>
        </w:rPr>
        <w:t xml:space="preserve">Canadian Pacific </w:t>
      </w:r>
      <w:proofErr w:type="spellStart"/>
      <w:r w:rsidRPr="000B15B3">
        <w:rPr>
          <w:rFonts w:cs="Times New Roman"/>
          <w:i/>
          <w:lang w:val="fr-CA"/>
        </w:rPr>
        <w:t>Railway</w:t>
      </w:r>
      <w:proofErr w:type="spellEnd"/>
      <w:r w:rsidRPr="000B15B3">
        <w:rPr>
          <w:rFonts w:cs="Times New Roman"/>
          <w:i/>
          <w:lang w:val="fr-CA"/>
        </w:rPr>
        <w:t xml:space="preserve"> c. </w:t>
      </w:r>
      <w:proofErr w:type="spellStart"/>
      <w:r w:rsidRPr="000B15B3">
        <w:rPr>
          <w:rFonts w:cs="Times New Roman"/>
          <w:i/>
          <w:lang w:val="fr-CA"/>
        </w:rPr>
        <w:t>Aikins</w:t>
      </w:r>
      <w:proofErr w:type="spellEnd"/>
      <w:r w:rsidRPr="000B15B3">
        <w:rPr>
          <w:rFonts w:cs="Times New Roman"/>
          <w:i/>
          <w:lang w:val="fr-CA"/>
        </w:rPr>
        <w:t xml:space="preserve">, </w:t>
      </w:r>
      <w:proofErr w:type="spellStart"/>
      <w:r w:rsidRPr="000B15B3">
        <w:rPr>
          <w:rFonts w:cs="Times New Roman"/>
          <w:i/>
          <w:lang w:val="fr-CA"/>
        </w:rPr>
        <w:t>MacAulay</w:t>
      </w:r>
      <w:proofErr w:type="spellEnd"/>
      <w:r w:rsidRPr="000B15B3">
        <w:rPr>
          <w:rFonts w:cs="Times New Roman"/>
          <w:i/>
          <w:lang w:val="fr-CA"/>
        </w:rPr>
        <w:t xml:space="preserve"> &amp; </w:t>
      </w:r>
      <w:proofErr w:type="spellStart"/>
      <w:r w:rsidRPr="000B15B3">
        <w:rPr>
          <w:rFonts w:cs="Times New Roman"/>
          <w:i/>
          <w:lang w:val="fr-CA"/>
        </w:rPr>
        <w:t>Thorvaldson</w:t>
      </w:r>
      <w:proofErr w:type="spellEnd"/>
      <w:r w:rsidRPr="000B15B3">
        <w:rPr>
          <w:rFonts w:cs="Times New Roman"/>
          <w:lang w:val="fr-CA"/>
        </w:rPr>
        <w:t xml:space="preserve"> (1998), 23 C.P.C. (4th) 55 (C.A. Man.), par. 26.  Il faut que les renseignements puissent être utilisés contre le client de façon concrète.  En l’espèce, les dossiers relatifs à la vente d’un immeuble, à l’insolvabilité et au préjudice corporel confiés à </w:t>
      </w:r>
      <w:proofErr w:type="spellStart"/>
      <w:r w:rsidRPr="000B15B3">
        <w:rPr>
          <w:rFonts w:cs="Times New Roman"/>
          <w:lang w:val="fr-CA"/>
        </w:rPr>
        <w:t>McKercher</w:t>
      </w:r>
      <w:proofErr w:type="spellEnd"/>
      <w:r w:rsidRPr="000B15B3">
        <w:rPr>
          <w:rFonts w:cs="Times New Roman"/>
          <w:lang w:val="fr-CA"/>
        </w:rPr>
        <w:t xml:space="preserve"> n’avaient absolument aucun rapport avec l’action intentée par M. Wallace, et le CN n’est pas parvenu à démontrer que ces dossiers ou d’autres dossiers confiés à </w:t>
      </w:r>
      <w:proofErr w:type="spellStart"/>
      <w:r w:rsidRPr="000B15B3">
        <w:rPr>
          <w:rFonts w:cs="Times New Roman"/>
          <w:lang w:val="fr-CA"/>
        </w:rPr>
        <w:t>McKercher</w:t>
      </w:r>
      <w:proofErr w:type="spellEnd"/>
      <w:r w:rsidRPr="000B15B3">
        <w:rPr>
          <w:rFonts w:cs="Times New Roman"/>
          <w:lang w:val="fr-CA"/>
        </w:rPr>
        <w:t xml:space="preserve"> auraient permis la communication de renseignements confidentiels </w:t>
      </w:r>
      <w:r w:rsidRPr="000B15B3">
        <w:rPr>
          <w:rFonts w:cs="Times New Roman"/>
          <w:i/>
          <w:lang w:val="fr-CA"/>
        </w:rPr>
        <w:t>pertinents</w:t>
      </w:r>
      <w:r w:rsidRPr="000B15B3">
        <w:rPr>
          <w:rFonts w:cs="Times New Roman"/>
          <w:lang w:val="fr-CA"/>
        </w:rPr>
        <w:t xml:space="preserve"> susceptibles d’être utilisés contre le CN. </w:t>
      </w:r>
    </w:p>
    <w:p w:rsidR="00807172" w:rsidRPr="000B15B3" w:rsidRDefault="00807172" w:rsidP="00807172">
      <w:pPr>
        <w:pStyle w:val="TitleTitre-AltT"/>
        <w:keepNext/>
        <w:tabs>
          <w:tab w:val="clear" w:pos="360"/>
          <w:tab w:val="left" w:pos="1170"/>
        </w:tabs>
        <w:spacing w:before="0"/>
        <w:ind w:left="1620" w:hanging="1620"/>
        <w:rPr>
          <w:rFonts w:cs="Times New Roman"/>
          <w:lang w:val="fr-CA"/>
        </w:rPr>
      </w:pPr>
      <w:r w:rsidRPr="000B15B3">
        <w:rPr>
          <w:rFonts w:cs="Times New Roman"/>
          <w:lang w:val="fr-CA" w:bidi="en-US"/>
        </w:rPr>
        <w:tab/>
        <w:t>2.</w:t>
      </w:r>
      <w:r w:rsidRPr="000B15B3">
        <w:rPr>
          <w:rFonts w:cs="Times New Roman"/>
          <w:lang w:val="fr-CA" w:bidi="en-US"/>
        </w:rPr>
        <w:tab/>
      </w:r>
      <w:r w:rsidRPr="000B15B3">
        <w:rPr>
          <w:rFonts w:cs="Times New Roman"/>
          <w:u w:val="single"/>
          <w:lang w:val="fr-CA" w:bidi="en-US"/>
        </w:rPr>
        <w:t>Le devoir de dévouement à la cause du c</w:t>
      </w:r>
      <w:r w:rsidRPr="000B15B3">
        <w:rPr>
          <w:rFonts w:cs="Times New Roman"/>
          <w:u w:val="single"/>
          <w:lang w:val="fr-CA"/>
        </w:rPr>
        <w:t>lient</w:t>
      </w:r>
    </w:p>
    <w:p w:rsidR="00807172" w:rsidRPr="000B15B3" w:rsidRDefault="00807172" w:rsidP="00807172">
      <w:pPr>
        <w:pStyle w:val="ParaNoNdepar-AltN"/>
        <w:rPr>
          <w:rFonts w:cs="Times New Roman"/>
          <w:lang w:val="fr-CA"/>
        </w:rPr>
      </w:pPr>
      <w:r w:rsidRPr="000B15B3">
        <w:rPr>
          <w:rFonts w:cs="Times New Roman"/>
          <w:lang w:val="fr-CA"/>
        </w:rPr>
        <w:t>Le devoir de dévouement à la cause du client suppose qu’un cabinet d’avocats ne doit pas résilier un mandat de façon</w:t>
      </w:r>
      <w:r w:rsidR="005F6CD2">
        <w:rPr>
          <w:rFonts w:cs="Times New Roman"/>
          <w:lang w:val="fr-CA"/>
        </w:rPr>
        <w:t xml:space="preserve"> expéditive et</w:t>
      </w:r>
      <w:r w:rsidRPr="000B15B3">
        <w:rPr>
          <w:rFonts w:cs="Times New Roman"/>
          <w:lang w:val="fr-CA"/>
        </w:rPr>
        <w:t xml:space="preserve"> inattendue afin de </w:t>
      </w:r>
      <w:r w:rsidRPr="000B15B3">
        <w:rPr>
          <w:rFonts w:cs="Times New Roman"/>
          <w:lang w:val="fr-CA"/>
        </w:rPr>
        <w:lastRenderedPageBreak/>
        <w:t xml:space="preserve">contourner les règles relatives aux conflits d’intérêts.  Le cabinet </w:t>
      </w:r>
      <w:proofErr w:type="spellStart"/>
      <w:r w:rsidRPr="000B15B3">
        <w:rPr>
          <w:rFonts w:cs="Times New Roman"/>
          <w:lang w:val="fr-CA"/>
        </w:rPr>
        <w:t>McKercher</w:t>
      </w:r>
      <w:proofErr w:type="spellEnd"/>
      <w:r w:rsidRPr="000B15B3">
        <w:rPr>
          <w:rFonts w:cs="Times New Roman"/>
          <w:lang w:val="fr-CA"/>
        </w:rPr>
        <w:t xml:space="preserve"> s’était engagé à faire preuve de loyauté envers le CN dans les dossiers de préjudice corporel, d’achat d’un immeuble et de séquestre.  Il était tenu de mener à bien ces mandats, à moins que son client ne l’en libère ou n’agisse d’une façon qui donne à </w:t>
      </w:r>
      <w:proofErr w:type="spellStart"/>
      <w:r w:rsidRPr="000B15B3">
        <w:rPr>
          <w:rFonts w:cs="Times New Roman"/>
          <w:lang w:val="fr-CA"/>
        </w:rPr>
        <w:t>McKercher</w:t>
      </w:r>
      <w:proofErr w:type="spellEnd"/>
      <w:r w:rsidRPr="000B15B3">
        <w:rPr>
          <w:rFonts w:cs="Times New Roman"/>
          <w:lang w:val="fr-CA"/>
        </w:rPr>
        <w:t xml:space="preserve"> une raison d’y mettre fin.  </w:t>
      </w:r>
      <w:proofErr w:type="spellStart"/>
      <w:r w:rsidRPr="000B15B3">
        <w:rPr>
          <w:rFonts w:cs="Times New Roman"/>
          <w:lang w:val="fr-CA"/>
        </w:rPr>
        <w:t>McKercher</w:t>
      </w:r>
      <w:proofErr w:type="spellEnd"/>
      <w:r w:rsidRPr="000B15B3">
        <w:rPr>
          <w:rFonts w:cs="Times New Roman"/>
          <w:lang w:val="fr-CA"/>
        </w:rPr>
        <w:t xml:space="preserve"> a manqué à son devoir de dévouement envers les causes de CN en résiliant les mandats que le CN lui avait confiés relativement à deux de ces dossiers.  Il est clair qu’un cabinet d’avocats ne peut tenter de se dérober à son devoir de loyauté envers un client en mettant fin à sa relation avec lui : </w:t>
      </w:r>
      <w:r w:rsidRPr="000B15B3">
        <w:rPr>
          <w:rFonts w:cs="Times New Roman"/>
          <w:i/>
          <w:lang w:val="fr-CA"/>
        </w:rPr>
        <w:t xml:space="preserve">De </w:t>
      </w:r>
      <w:proofErr w:type="spellStart"/>
      <w:r w:rsidRPr="000B15B3">
        <w:rPr>
          <w:rFonts w:cs="Times New Roman"/>
          <w:i/>
          <w:lang w:val="fr-CA"/>
        </w:rPr>
        <w:t>Beers</w:t>
      </w:r>
      <w:proofErr w:type="spellEnd"/>
      <w:r w:rsidRPr="000B15B3">
        <w:rPr>
          <w:rFonts w:cs="Times New Roman"/>
          <w:i/>
          <w:lang w:val="fr-CA"/>
        </w:rPr>
        <w:t xml:space="preserve"> Canada Inc. c. Shore Gold Inc.</w:t>
      </w:r>
      <w:r w:rsidRPr="000B15B3">
        <w:rPr>
          <w:rFonts w:cs="Times New Roman"/>
          <w:lang w:val="fr-CA"/>
        </w:rPr>
        <w:t xml:space="preserve">, 2006 SKQB 101, 278 </w:t>
      </w:r>
      <w:proofErr w:type="spellStart"/>
      <w:r w:rsidRPr="000B15B3">
        <w:rPr>
          <w:rFonts w:cs="Times New Roman"/>
          <w:lang w:val="fr-CA"/>
        </w:rPr>
        <w:t>Sask</w:t>
      </w:r>
      <w:proofErr w:type="spellEnd"/>
      <w:r w:rsidRPr="000B15B3">
        <w:rPr>
          <w:rFonts w:cs="Times New Roman"/>
          <w:lang w:val="fr-CA"/>
        </w:rPr>
        <w:t xml:space="preserve">. R. 171, par. 17; </w:t>
      </w:r>
      <w:proofErr w:type="spellStart"/>
      <w:r w:rsidRPr="000B15B3">
        <w:rPr>
          <w:rFonts w:cs="Times New Roman"/>
          <w:i/>
          <w:lang w:val="fr-CA"/>
        </w:rPr>
        <w:t>Toddglen</w:t>
      </w:r>
      <w:proofErr w:type="spellEnd"/>
      <w:r w:rsidRPr="000B15B3">
        <w:rPr>
          <w:rFonts w:cs="Times New Roman"/>
          <w:i/>
          <w:lang w:val="fr-CA"/>
        </w:rPr>
        <w:t xml:space="preserve"> Construction Ltd. c. Concord </w:t>
      </w:r>
      <w:proofErr w:type="spellStart"/>
      <w:r w:rsidRPr="000B15B3">
        <w:rPr>
          <w:rFonts w:cs="Times New Roman"/>
          <w:i/>
          <w:lang w:val="fr-CA"/>
        </w:rPr>
        <w:t>Adex</w:t>
      </w:r>
      <w:proofErr w:type="spellEnd"/>
      <w:r w:rsidRPr="000B15B3">
        <w:rPr>
          <w:rFonts w:cs="Times New Roman"/>
          <w:i/>
          <w:lang w:val="fr-CA"/>
        </w:rPr>
        <w:t xml:space="preserve"> </w:t>
      </w:r>
      <w:proofErr w:type="spellStart"/>
      <w:r w:rsidRPr="000B15B3">
        <w:rPr>
          <w:rFonts w:cs="Times New Roman"/>
          <w:i/>
          <w:lang w:val="fr-CA"/>
        </w:rPr>
        <w:t>Developments</w:t>
      </w:r>
      <w:proofErr w:type="spellEnd"/>
      <w:r w:rsidRPr="000B15B3">
        <w:rPr>
          <w:rFonts w:cs="Times New Roman"/>
          <w:i/>
          <w:lang w:val="fr-CA"/>
        </w:rPr>
        <w:t xml:space="preserve"> Corp. </w:t>
      </w:r>
      <w:r w:rsidRPr="000B15B3">
        <w:rPr>
          <w:rFonts w:cs="Times New Roman"/>
          <w:lang w:val="fr-CA"/>
        </w:rPr>
        <w:t xml:space="preserve">(2004), 34 C.L.R. (3d) 111 (C.S.J. Ont., le protonotaire </w:t>
      </w:r>
      <w:proofErr w:type="spellStart"/>
      <w:r w:rsidRPr="000B15B3">
        <w:rPr>
          <w:rFonts w:cs="Times New Roman"/>
          <w:lang w:val="fr-CA"/>
        </w:rPr>
        <w:t>Sandler</w:t>
      </w:r>
      <w:proofErr w:type="spellEnd"/>
      <w:r w:rsidRPr="000B15B3">
        <w:rPr>
          <w:rFonts w:cs="Times New Roman"/>
          <w:lang w:val="fr-CA"/>
        </w:rPr>
        <w:t>).</w:t>
      </w:r>
    </w:p>
    <w:p w:rsidR="00807172" w:rsidRPr="000B15B3" w:rsidRDefault="00807172" w:rsidP="00807172">
      <w:pPr>
        <w:pStyle w:val="ParaNoNdepar-AltN"/>
        <w:rPr>
          <w:rFonts w:cs="Times New Roman"/>
          <w:lang w:val="fr-CA"/>
        </w:rPr>
      </w:pPr>
      <w:r w:rsidRPr="000B15B3">
        <w:rPr>
          <w:rFonts w:cs="Times New Roman"/>
          <w:lang w:val="fr-CA"/>
        </w:rPr>
        <w:t xml:space="preserve">La conclusion sur ce point prend appui sur l’obligation imposée à </w:t>
      </w:r>
      <w:proofErr w:type="spellStart"/>
      <w:r w:rsidRPr="000B15B3">
        <w:rPr>
          <w:rFonts w:cs="Times New Roman"/>
          <w:lang w:val="fr-CA"/>
        </w:rPr>
        <w:t>McKercher</w:t>
      </w:r>
      <w:proofErr w:type="spellEnd"/>
      <w:r w:rsidRPr="000B15B3">
        <w:rPr>
          <w:rFonts w:cs="Times New Roman"/>
          <w:lang w:val="fr-CA"/>
        </w:rPr>
        <w:t xml:space="preserve"> par le barreau dont il relève de ne pas retirer ses services à un client sans motif valable et sans lui donner un préavis suffisant : voir les règles de déontologie applicables à l’époque en cause, </w:t>
      </w:r>
      <w:r w:rsidR="002E1644">
        <w:rPr>
          <w:rFonts w:cs="Times New Roman"/>
          <w:lang w:val="fr-CA"/>
        </w:rPr>
        <w:t>Law Society of</w:t>
      </w:r>
      <w:r w:rsidRPr="000B15B3">
        <w:rPr>
          <w:rFonts w:cs="Times New Roman"/>
          <w:lang w:val="fr-CA"/>
        </w:rPr>
        <w:t xml:space="preserve"> Saskatchewan,</w:t>
      </w:r>
      <w:r w:rsidRPr="000B15B3">
        <w:rPr>
          <w:rFonts w:cs="Times New Roman"/>
          <w:i/>
          <w:lang w:val="fr-CA"/>
        </w:rPr>
        <w:t xml:space="preserve"> Code of Professional </w:t>
      </w:r>
      <w:proofErr w:type="spellStart"/>
      <w:r w:rsidRPr="000B15B3">
        <w:rPr>
          <w:rFonts w:cs="Times New Roman"/>
          <w:i/>
          <w:lang w:val="fr-CA"/>
        </w:rPr>
        <w:t>Conduct</w:t>
      </w:r>
      <w:proofErr w:type="spellEnd"/>
      <w:r w:rsidRPr="000B15B3">
        <w:rPr>
          <w:rFonts w:cs="Times New Roman"/>
          <w:i/>
          <w:lang w:val="fr-CA"/>
        </w:rPr>
        <w:t xml:space="preserve"> </w:t>
      </w:r>
      <w:r w:rsidRPr="000B15B3">
        <w:rPr>
          <w:rFonts w:cs="Times New Roman"/>
          <w:lang w:val="fr-CA"/>
        </w:rPr>
        <w:t xml:space="preserve">(1991), ch. XII, p. 47.  Le désir d’accepter un éventuel mandat potentiellement très profitable ne constituait pas une raison valable de priver le CN de ses services. </w:t>
      </w:r>
    </w:p>
    <w:p w:rsidR="00807172" w:rsidRPr="000B15B3" w:rsidRDefault="00807172" w:rsidP="00807172">
      <w:pPr>
        <w:pStyle w:val="TitleTitre-AltT"/>
        <w:keepNext/>
        <w:tabs>
          <w:tab w:val="clear" w:pos="360"/>
          <w:tab w:val="left" w:pos="1170"/>
        </w:tabs>
        <w:spacing w:before="0"/>
        <w:ind w:left="1620" w:hanging="1620"/>
        <w:rPr>
          <w:rFonts w:cs="Times New Roman"/>
        </w:rPr>
      </w:pPr>
      <w:r w:rsidRPr="000B15B3">
        <w:rPr>
          <w:rFonts w:cs="Times New Roman"/>
          <w:lang w:val="fr-CA"/>
        </w:rPr>
        <w:tab/>
      </w:r>
      <w:r w:rsidRPr="000B15B3">
        <w:rPr>
          <w:rFonts w:cs="Times New Roman"/>
        </w:rPr>
        <w:t>3.</w:t>
      </w:r>
      <w:r w:rsidRPr="000B15B3">
        <w:rPr>
          <w:rFonts w:cs="Times New Roman"/>
        </w:rPr>
        <w:tab/>
      </w:r>
      <w:r w:rsidRPr="000B15B3">
        <w:rPr>
          <w:rFonts w:cs="Times New Roman"/>
          <w:u w:val="single"/>
        </w:rPr>
        <w:t>Le devoir de franchise</w:t>
      </w:r>
    </w:p>
    <w:p w:rsidR="00807172" w:rsidRPr="000B15B3" w:rsidRDefault="00807172" w:rsidP="00807172">
      <w:pPr>
        <w:pStyle w:val="ParaNoNdepar-AltN"/>
        <w:rPr>
          <w:rFonts w:cs="Times New Roman"/>
          <w:lang w:val="fr-CA"/>
        </w:rPr>
      </w:pPr>
      <w:r w:rsidRPr="000B15B3">
        <w:rPr>
          <w:rFonts w:cs="Times New Roman"/>
          <w:lang w:val="fr-CA"/>
        </w:rPr>
        <w:t xml:space="preserve">Le cabinet </w:t>
      </w:r>
      <w:proofErr w:type="spellStart"/>
      <w:r w:rsidRPr="000B15B3">
        <w:rPr>
          <w:rFonts w:cs="Times New Roman"/>
          <w:lang w:val="fr-CA"/>
        </w:rPr>
        <w:t>McKercher</w:t>
      </w:r>
      <w:proofErr w:type="spellEnd"/>
      <w:r w:rsidRPr="000B15B3">
        <w:rPr>
          <w:rFonts w:cs="Times New Roman"/>
          <w:lang w:val="fr-CA"/>
        </w:rPr>
        <w:t xml:space="preserve"> a manqué à son devoir de franchise envers le CN en n’informant pas le CN de son intention d’accepter le mandat de M. Wallace.</w:t>
      </w:r>
    </w:p>
    <w:p w:rsidR="00807172" w:rsidRPr="000B15B3" w:rsidRDefault="00807172" w:rsidP="00807172">
      <w:pPr>
        <w:pStyle w:val="ParaNoNdepar-AltN"/>
        <w:rPr>
          <w:rFonts w:cs="Times New Roman"/>
          <w:lang w:val="fr-CA"/>
        </w:rPr>
      </w:pPr>
      <w:r w:rsidRPr="000B15B3">
        <w:rPr>
          <w:rFonts w:cs="Times New Roman"/>
          <w:lang w:val="fr-CA"/>
        </w:rPr>
        <w:lastRenderedPageBreak/>
        <w:t xml:space="preserve">Il convient de le répéter : un avocat ne doit pas « maintenir son client dans l’ignorance au sujet de questions qu’il sait pertinentes quant au mandat » : </w:t>
      </w:r>
      <w:proofErr w:type="spellStart"/>
      <w:r w:rsidRPr="000B15B3">
        <w:rPr>
          <w:rFonts w:cs="Times New Roman"/>
          <w:i/>
          <w:lang w:val="fr-CA"/>
        </w:rPr>
        <w:t>Strother</w:t>
      </w:r>
      <w:proofErr w:type="spellEnd"/>
      <w:r w:rsidRPr="000B15B3">
        <w:rPr>
          <w:rFonts w:cs="Times New Roman"/>
          <w:lang w:val="fr-CA"/>
        </w:rPr>
        <w:t xml:space="preserve">, par. 55.  Comme nous l’avons vu, il faut interpréter largement cette règle pour donner au client l’occasion de juger </w:t>
      </w:r>
      <w:proofErr w:type="spellStart"/>
      <w:r w:rsidRPr="000B15B3">
        <w:rPr>
          <w:rFonts w:cs="Times New Roman"/>
          <w:lang w:val="fr-CA"/>
        </w:rPr>
        <w:t>lui</w:t>
      </w:r>
      <w:r w:rsidRPr="000B15B3">
        <w:rPr>
          <w:rFonts w:cs="Times New Roman"/>
          <w:lang w:val="fr-CA"/>
        </w:rPr>
        <w:noBreakHyphen/>
        <w:t>même</w:t>
      </w:r>
      <w:proofErr w:type="spellEnd"/>
      <w:r w:rsidRPr="000B15B3">
        <w:rPr>
          <w:rFonts w:cs="Times New Roman"/>
          <w:lang w:val="fr-CA"/>
        </w:rPr>
        <w:t xml:space="preserve"> si la représentation simultanée proposée risque d’être préjudiciable à ses intérêts et de prendre les mesures qui s’imposent le cas échéant. </w:t>
      </w:r>
    </w:p>
    <w:p w:rsidR="00807172" w:rsidRPr="000B15B3" w:rsidRDefault="00807172" w:rsidP="00807172">
      <w:pPr>
        <w:pStyle w:val="ParaNoNdepar-AltN"/>
        <w:rPr>
          <w:rFonts w:cs="Times New Roman"/>
          <w:lang w:val="fr-CA"/>
        </w:rPr>
      </w:pPr>
      <w:r w:rsidRPr="000B15B3">
        <w:rPr>
          <w:rFonts w:cs="Times New Roman"/>
          <w:lang w:val="fr-CA"/>
        </w:rPr>
        <w:t xml:space="preserve">Le CN aurait dû se voir offrir la possibilité de jauger l’intention de </w:t>
      </w:r>
      <w:proofErr w:type="spellStart"/>
      <w:r w:rsidRPr="000B15B3">
        <w:rPr>
          <w:rFonts w:cs="Times New Roman"/>
          <w:lang w:val="fr-CA"/>
        </w:rPr>
        <w:t>McKercher</w:t>
      </w:r>
      <w:proofErr w:type="spellEnd"/>
      <w:r w:rsidRPr="000B15B3">
        <w:rPr>
          <w:rFonts w:cs="Times New Roman"/>
          <w:lang w:val="fr-CA"/>
        </w:rPr>
        <w:t xml:space="preserve"> de représenter M. Wallace et de prendre une décision opportune en conséquence — résilier ses mandats en cours, les maintenir ou prendre une autre mesure.  Au lieu de cela, le CN n’a appris qu’à la réception d’une déclaration qu’il était poursuivi par son propre avocat.  C’est justement les situations de ce genre que le devoir de franchise vise à éviter.  </w:t>
      </w:r>
    </w:p>
    <w:p w:rsidR="00807172" w:rsidRPr="000B15B3" w:rsidRDefault="00807172" w:rsidP="00807172">
      <w:pPr>
        <w:pStyle w:val="TitleTitre-AltT"/>
        <w:keepNext/>
        <w:tabs>
          <w:tab w:val="clear" w:pos="360"/>
        </w:tabs>
        <w:spacing w:before="0"/>
        <w:ind w:left="450" w:hanging="450"/>
        <w:rPr>
          <w:rFonts w:cs="Times New Roman"/>
          <w:lang w:val="fr-CA"/>
        </w:rPr>
      </w:pPr>
      <w:r w:rsidRPr="000B15B3">
        <w:rPr>
          <w:rFonts w:cs="Times New Roman"/>
          <w:lang w:val="fr-CA"/>
        </w:rPr>
        <w:t>D.</w:t>
      </w:r>
      <w:r w:rsidRPr="000B15B3">
        <w:rPr>
          <w:rFonts w:cs="Times New Roman"/>
          <w:lang w:val="fr-CA"/>
        </w:rPr>
        <w:tab/>
      </w:r>
      <w:r w:rsidRPr="000B15B3">
        <w:rPr>
          <w:rFonts w:cs="Times New Roman"/>
          <w:i/>
          <w:lang w:val="fr-CA"/>
        </w:rPr>
        <w:t>La réparation à accorder</w:t>
      </w:r>
    </w:p>
    <w:p w:rsidR="00807172" w:rsidRPr="000B15B3" w:rsidRDefault="00807172" w:rsidP="00807172">
      <w:pPr>
        <w:pStyle w:val="ParaNoNdepar-AltN"/>
        <w:rPr>
          <w:rFonts w:cs="Times New Roman"/>
          <w:lang w:val="fr-CA"/>
        </w:rPr>
      </w:pPr>
      <w:r w:rsidRPr="000B15B3">
        <w:rPr>
          <w:rFonts w:cs="Times New Roman"/>
          <w:lang w:val="fr-CA"/>
        </w:rPr>
        <w:t xml:space="preserve">J’ai conclu que </w:t>
      </w:r>
      <w:proofErr w:type="spellStart"/>
      <w:r w:rsidRPr="000B15B3">
        <w:rPr>
          <w:rFonts w:cs="Times New Roman"/>
          <w:lang w:val="fr-CA"/>
        </w:rPr>
        <w:t>McKercher</w:t>
      </w:r>
      <w:proofErr w:type="spellEnd"/>
      <w:r w:rsidRPr="000B15B3">
        <w:rPr>
          <w:rFonts w:cs="Times New Roman"/>
          <w:lang w:val="fr-CA"/>
        </w:rPr>
        <w:t xml:space="preserve"> s’était placé en situation de conflit d’intérêts en acceptant le mandat de M. Wallace et qu’il avait manqué à ses devoirs de dévouement et de franchise envers le CN.  La question est de savoir si </w:t>
      </w:r>
      <w:proofErr w:type="spellStart"/>
      <w:r w:rsidRPr="000B15B3">
        <w:rPr>
          <w:rFonts w:cs="Times New Roman"/>
          <w:lang w:val="fr-CA"/>
        </w:rPr>
        <w:t>McKercher</w:t>
      </w:r>
      <w:proofErr w:type="spellEnd"/>
      <w:r w:rsidRPr="000B15B3">
        <w:rPr>
          <w:rFonts w:cs="Times New Roman"/>
          <w:lang w:val="fr-CA"/>
        </w:rPr>
        <w:t xml:space="preserve"> devrait être déclaré inhabile à représenter les demandeurs membres du groupe de M. Wallace parce qu’en acceptant le mandat de M. Wallace, </w:t>
      </w:r>
      <w:proofErr w:type="spellStart"/>
      <w:r w:rsidRPr="000B15B3">
        <w:rPr>
          <w:rFonts w:cs="Times New Roman"/>
          <w:lang w:val="fr-CA"/>
        </w:rPr>
        <w:t>McKercher</w:t>
      </w:r>
      <w:proofErr w:type="spellEnd"/>
      <w:r w:rsidRPr="000B15B3">
        <w:rPr>
          <w:rFonts w:cs="Times New Roman"/>
          <w:lang w:val="fr-CA"/>
        </w:rPr>
        <w:t xml:space="preserve"> a manqué à son obligation de loyauté envers le CN.</w:t>
      </w:r>
    </w:p>
    <w:p w:rsidR="00807172" w:rsidRPr="000B15B3" w:rsidRDefault="00807172" w:rsidP="00807172">
      <w:pPr>
        <w:pStyle w:val="ParaNoNdepar-AltN"/>
        <w:rPr>
          <w:rFonts w:cs="Times New Roman"/>
          <w:lang w:val="fr-CA" w:bidi="en-US"/>
        </w:rPr>
      </w:pPr>
      <w:r w:rsidRPr="000B15B3">
        <w:rPr>
          <w:rFonts w:cs="Times New Roman"/>
          <w:lang w:val="fr-CA"/>
        </w:rPr>
        <w:lastRenderedPageBreak/>
        <w:t xml:space="preserve">Comme nous l’avons vu, les tribunaux, dans l’exercice de leur pouvoir de surveillance à l’égard de l’administration de la justice, ont compétence inhérente pour interdire à un cabinet d’avocats </w:t>
      </w:r>
      <w:r w:rsidRPr="000B15B3">
        <w:rPr>
          <w:rFonts w:cs="Times New Roman"/>
          <w:lang w:val="fr-CA" w:bidi="en-US"/>
        </w:rPr>
        <w:t xml:space="preserve">d’occuper dans un litige en instance.  La déclaration d’inhabilité peut devenir nécessaire (1) pour éviter le risque d’utilisation à mauvais escient de renseignements confidentiels, (2) pour éviter le risque de représentation déficiente et (3) pour préserver la considération dont jouit l’administration de la justice. </w:t>
      </w:r>
    </w:p>
    <w:p w:rsidR="00807172" w:rsidRPr="000B15B3" w:rsidRDefault="00807172" w:rsidP="00807172">
      <w:pPr>
        <w:pStyle w:val="ParaNoNdepar-AltN"/>
        <w:rPr>
          <w:rFonts w:cs="Times New Roman"/>
          <w:lang w:val="fr-CA"/>
        </w:rPr>
      </w:pPr>
      <w:r w:rsidRPr="000B15B3">
        <w:rPr>
          <w:rFonts w:cs="Times New Roman"/>
          <w:lang w:val="fr-CA" w:bidi="en-US"/>
        </w:rPr>
        <w:t xml:space="preserve">S’il est nécessaire d’empêcher l’utilisation à mauvais escient de renseignements confidentiels en vertu du test élaboré dans l’arrêt </w:t>
      </w:r>
      <w:r w:rsidRPr="000B15B3">
        <w:rPr>
          <w:rFonts w:cs="Times New Roman"/>
          <w:i/>
          <w:lang w:val="fr-CA" w:bidi="en-US"/>
        </w:rPr>
        <w:t>Martin</w:t>
      </w:r>
      <w:r w:rsidRPr="000B15B3">
        <w:rPr>
          <w:rFonts w:cs="Times New Roman"/>
          <w:lang w:val="fr-CA" w:bidi="en-US"/>
        </w:rPr>
        <w:t xml:space="preserve">, la déclaration d’inhabilité à occuper est généralement la seule réparation appropriée, si l’on ne peut recourir à des mécanismes prévus par les règles du barreau pour écarter ce risque.  De même, si l’on appréhende un risque de représentation déficiente au sens du test élaboré dans les présents motifs, la déclaration d’inhabilité s’imposera normalement si le cabinet d’avocats continue d’occuper simultanément pour les deux clients. </w:t>
      </w:r>
    </w:p>
    <w:p w:rsidR="00807172" w:rsidRPr="000B15B3" w:rsidRDefault="00807172" w:rsidP="00807172">
      <w:pPr>
        <w:pStyle w:val="ParaNoNdepar-AltN"/>
        <w:tabs>
          <w:tab w:val="clear" w:pos="1152"/>
          <w:tab w:val="left" w:pos="1166"/>
        </w:tabs>
        <w:rPr>
          <w:rFonts w:cs="Times New Roman"/>
          <w:lang w:val="fr-CA"/>
        </w:rPr>
      </w:pPr>
      <w:r w:rsidRPr="000B15B3">
        <w:rPr>
          <w:rFonts w:cs="Times New Roman"/>
          <w:lang w:val="fr-CA"/>
        </w:rPr>
        <w:t xml:space="preserve">Troisièmement, </w:t>
      </w:r>
      <w:r w:rsidRPr="000B15B3">
        <w:rPr>
          <w:rFonts w:cs="Times New Roman"/>
          <w:lang w:val="fr-CA" w:bidi="en-US"/>
        </w:rPr>
        <w:t xml:space="preserve">la déclaration d’inhabilité peut servir à protéger l’intégrité et la considération dont jouit l’administration de la justice.  La déclaration d’inhabilité peut s’avérer nécessaire pour indiquer clairement que les tribunaux n’acceptent pas la conduite déloyale que constitue le manquement du cabinet d’avocats; elle </w:t>
      </w:r>
      <w:r w:rsidR="00A45C19">
        <w:rPr>
          <w:rFonts w:cs="Times New Roman"/>
          <w:lang w:val="fr-CA" w:bidi="en-US"/>
        </w:rPr>
        <w:t>proté</w:t>
      </w:r>
      <w:r w:rsidRPr="000B15B3">
        <w:rPr>
          <w:rFonts w:cs="Times New Roman"/>
          <w:lang w:val="fr-CA" w:bidi="en-US"/>
        </w:rPr>
        <w:t>gerait ainsi la confiance du public envers les avocats et dissuaderait les autres cabinets d’agir de même.</w:t>
      </w:r>
    </w:p>
    <w:p w:rsidR="00807172" w:rsidRPr="000B15B3" w:rsidRDefault="00807172" w:rsidP="00807172">
      <w:pPr>
        <w:pStyle w:val="ParaNoNdepar-AltN"/>
        <w:rPr>
          <w:rFonts w:cs="Times New Roman"/>
          <w:lang w:val="fr-CA"/>
        </w:rPr>
      </w:pPr>
      <w:r w:rsidRPr="000B15B3">
        <w:rPr>
          <w:rFonts w:cs="Times New Roman"/>
          <w:lang w:val="fr-CA" w:bidi="en-US"/>
        </w:rPr>
        <w:lastRenderedPageBreak/>
        <w:t xml:space="preserve">Au moment de déterminer si la déclaration d’inhabilité s’impose pour cette raison, il faut tenir compte de toutes les circonstances pertinentes.  D’une part, le fait pour un avocat d’occuper pour un client en violation de la règle de la démarcation très nette s’avère toujours une circonstance grave qui justifie </w:t>
      </w:r>
      <w:r w:rsidR="008330B6">
        <w:rPr>
          <w:rFonts w:cs="Times New Roman"/>
          <w:lang w:val="fr-CA" w:bidi="en-US"/>
        </w:rPr>
        <w:t>de</w:t>
      </w:r>
      <w:r w:rsidRPr="000B15B3">
        <w:rPr>
          <w:rFonts w:cs="Times New Roman"/>
          <w:lang w:val="fr-CA" w:bidi="en-US"/>
        </w:rPr>
        <w:t xml:space="preserve"> prime abord une déclaration d’inhabilité.  La résiliation des mandats du client — du fait de l’avocat qui cesse d’occuper ou du client qui répudie son avocat en apprenant l’existence d’un manquement — ne suffit pas nécessairement pour apaiser toutes les craintes que la conduite de l’avocat ait porté atteinte à la considération dont jouit l’administration de la justice.</w:t>
      </w:r>
    </w:p>
    <w:p w:rsidR="00807172" w:rsidRPr="000B15B3" w:rsidRDefault="00807172" w:rsidP="00807172">
      <w:pPr>
        <w:pStyle w:val="ParaNoNdepar-AltN"/>
        <w:rPr>
          <w:rFonts w:cs="Times New Roman"/>
          <w:lang w:val="fr-CA"/>
        </w:rPr>
      </w:pPr>
      <w:r w:rsidRPr="000B15B3">
        <w:rPr>
          <w:rFonts w:cs="Times New Roman"/>
          <w:lang w:val="fr-CA" w:bidi="en-US"/>
        </w:rPr>
        <w:t xml:space="preserve">D’autre part, il faut reconnaître que dans les cas où l’on a mis fin à la relation </w:t>
      </w:r>
      <w:proofErr w:type="spellStart"/>
      <w:r w:rsidRPr="000B15B3">
        <w:rPr>
          <w:rFonts w:cs="Times New Roman"/>
          <w:lang w:val="fr-CA" w:bidi="en-US"/>
        </w:rPr>
        <w:t>avocat</w:t>
      </w:r>
      <w:r w:rsidRPr="000B15B3">
        <w:rPr>
          <w:rFonts w:cs="Times New Roman"/>
          <w:lang w:val="fr-CA" w:bidi="en-US"/>
        </w:rPr>
        <w:noBreakHyphen/>
        <w:t>client</w:t>
      </w:r>
      <w:proofErr w:type="spellEnd"/>
      <w:r w:rsidRPr="000B15B3">
        <w:rPr>
          <w:rFonts w:cs="Times New Roman"/>
          <w:lang w:val="fr-CA" w:bidi="en-US"/>
        </w:rPr>
        <w:t xml:space="preserve"> et où il n’y </w:t>
      </w:r>
      <w:r w:rsidR="00430F22">
        <w:rPr>
          <w:rFonts w:cs="Times New Roman"/>
          <w:lang w:val="fr-CA" w:bidi="en-US"/>
        </w:rPr>
        <w:t xml:space="preserve">a </w:t>
      </w:r>
      <w:r w:rsidRPr="000B15B3">
        <w:rPr>
          <w:rFonts w:cs="Times New Roman"/>
          <w:lang w:val="fr-CA" w:bidi="en-US"/>
        </w:rPr>
        <w:t>pas de risque d’utilisation à mauvais escient de renseignements confidentiels, il n’y a généralement plus lieu de craindre que le plaignant subisse un préjudice.  Compte tenu de ce fait, les tribunaux saisis d’une demande de déclaration d’inhabilité uniquement pour cette troisième raison doivent tenir compte de certains facteurs qui peuvent militer contre la déclaration d’inhabilité.  Ces facteurs peuvent inclure (i) un comportement qui prive le plaignant de la possibilité de demander que l’avocat cesse d’occuper, par exemple</w:t>
      </w:r>
      <w:r w:rsidR="0028463C">
        <w:rPr>
          <w:rFonts w:cs="Times New Roman"/>
          <w:lang w:val="fr-CA" w:bidi="en-US"/>
        </w:rPr>
        <w:t>,</w:t>
      </w:r>
      <w:r w:rsidRPr="000B15B3">
        <w:rPr>
          <w:rFonts w:cs="Times New Roman"/>
          <w:lang w:val="fr-CA" w:bidi="en-US"/>
        </w:rPr>
        <w:t xml:space="preserve"> s’il tarde à présenter la demande de déclaration d’inhabilité; (ii) une atteinte grave au droit du client éventuel de retenir les services de l’avocat de son choix, et la capacité de ce client de trouver un autre avocat; et (iii) le fait que le cabinet d’avocats a accepté en toute bonne foi le mandat à l’origine du conflit d’intérêts, en croyant raisonnablement </w:t>
      </w:r>
      <w:r w:rsidRPr="000B15B3">
        <w:rPr>
          <w:rFonts w:cs="Times New Roman"/>
          <w:lang w:val="fr-CA" w:bidi="en-US"/>
        </w:rPr>
        <w:lastRenderedPageBreak/>
        <w:t>que la représentation simultanée échappait à la portée de la règle de la démarcation très nette et des restrictions du barreau applicables.</w:t>
      </w:r>
    </w:p>
    <w:p w:rsidR="00807172" w:rsidRPr="000B15B3" w:rsidRDefault="00807172" w:rsidP="00807172">
      <w:pPr>
        <w:pStyle w:val="ParaNoNdepar-AltN"/>
        <w:rPr>
          <w:rFonts w:cs="Times New Roman"/>
          <w:lang w:val="fr-CA"/>
        </w:rPr>
      </w:pPr>
      <w:r w:rsidRPr="000B15B3">
        <w:rPr>
          <w:rFonts w:cs="Times New Roman"/>
          <w:lang w:val="fr-CA" w:bidi="en-US"/>
        </w:rPr>
        <w:t xml:space="preserve">Dans ce contexte, je reviens à l’espèce qui nous occupe.  Le juge de première instance a conclu que la réparation appropriée consistait à déclarer </w:t>
      </w:r>
      <w:proofErr w:type="spellStart"/>
      <w:r w:rsidRPr="000B15B3">
        <w:rPr>
          <w:rFonts w:cs="Times New Roman"/>
          <w:lang w:val="fr-CA" w:bidi="en-US"/>
        </w:rPr>
        <w:t>McKercher</w:t>
      </w:r>
      <w:proofErr w:type="spellEnd"/>
      <w:r w:rsidRPr="000B15B3">
        <w:rPr>
          <w:rFonts w:cs="Times New Roman"/>
          <w:lang w:val="fr-CA" w:bidi="en-US"/>
        </w:rPr>
        <w:t xml:space="preserve"> inhabile à occuper dans </w:t>
      </w:r>
      <w:r w:rsidRPr="000B15B3">
        <w:rPr>
          <w:rFonts w:cs="Times New Roman"/>
          <w:lang w:val="fr-CA"/>
        </w:rPr>
        <w:t>l’instance introduite</w:t>
      </w:r>
      <w:r w:rsidRPr="000B15B3">
        <w:rPr>
          <w:rFonts w:cs="Times New Roman"/>
          <w:lang w:val="fr-CA" w:bidi="en-US"/>
        </w:rPr>
        <w:t xml:space="preserve"> par M. Wallace.  Il a fondé sa conclusion sur divers facteurs — insistant en particulier sur ce qui lui a semblé être </w:t>
      </w:r>
      <w:r w:rsidRPr="000B15B3">
        <w:rPr>
          <w:rFonts w:cs="Times New Roman"/>
          <w:lang w:val="fr-CA"/>
        </w:rPr>
        <w:t xml:space="preserve">un sentiment de trahison justifié qu’éprouvait le CN, le fait que le mandat de poursuivre le CN nuisait à la capacité de </w:t>
      </w:r>
      <w:proofErr w:type="spellStart"/>
      <w:r w:rsidRPr="000B15B3">
        <w:rPr>
          <w:rFonts w:cs="Times New Roman"/>
          <w:lang w:val="fr-CA"/>
        </w:rPr>
        <w:t>McKercher</w:t>
      </w:r>
      <w:proofErr w:type="spellEnd"/>
      <w:r w:rsidRPr="000B15B3">
        <w:rPr>
          <w:rFonts w:cs="Times New Roman"/>
          <w:lang w:val="fr-CA"/>
        </w:rPr>
        <w:t xml:space="preserve"> de continuer à représenter le CN dans les mandats que ce dernier lui avait confiés, et le risque d’utilisation à mauvais escient de renseignements confidentiels.  Certaines de ces considérations n’étaient pas pertinentes.  En l’espèce, l</w:t>
      </w:r>
      <w:r w:rsidRPr="000B15B3">
        <w:rPr>
          <w:rFonts w:cs="Times New Roman"/>
          <w:lang w:val="fr-CA" w:bidi="en-US"/>
        </w:rPr>
        <w:t xml:space="preserve">a déclaration d’inhabilité n’est pas requise pour prévenir l’utilisation à mauvais escient de renseignements confidentiels.  Elle n’est pas requise non plus pour éviter le risque de représentation déficiente.  En effet, la résiliation des mandats du CN confiés à </w:t>
      </w:r>
      <w:proofErr w:type="spellStart"/>
      <w:r w:rsidRPr="000B15B3">
        <w:rPr>
          <w:rFonts w:cs="Times New Roman"/>
          <w:lang w:val="fr-CA" w:bidi="en-US"/>
        </w:rPr>
        <w:t>McKercher</w:t>
      </w:r>
      <w:proofErr w:type="spellEnd"/>
      <w:r w:rsidRPr="000B15B3">
        <w:rPr>
          <w:rFonts w:cs="Times New Roman"/>
          <w:lang w:val="fr-CA" w:bidi="en-US"/>
        </w:rPr>
        <w:t xml:space="preserve"> a mis fin à la représentation.  La seule question est donc de savoir si la déclaration d’inhabilité est requise en l’espèce pour préserver la confiance du public dans l’administration de la justice.  </w:t>
      </w:r>
    </w:p>
    <w:p w:rsidR="00807172" w:rsidRPr="000B15B3" w:rsidRDefault="00807172" w:rsidP="00807172">
      <w:pPr>
        <w:pStyle w:val="ParaNoNdepar-AltN"/>
        <w:tabs>
          <w:tab w:val="clear" w:pos="1152"/>
          <w:tab w:val="left" w:pos="1166"/>
        </w:tabs>
        <w:rPr>
          <w:rFonts w:cs="Times New Roman"/>
          <w:lang w:val="fr-CA" w:bidi="en-US"/>
        </w:rPr>
      </w:pPr>
      <w:r w:rsidRPr="000B15B3">
        <w:rPr>
          <w:rFonts w:cs="Times New Roman"/>
          <w:lang w:val="fr-CA" w:bidi="en-US"/>
        </w:rPr>
        <w:t xml:space="preserve">Nous avons vu qu’une violation de la règle de la démarcation très nette justifie </w:t>
      </w:r>
      <w:r w:rsidR="000F7A1C">
        <w:rPr>
          <w:rFonts w:cs="Times New Roman"/>
          <w:lang w:val="fr-CA" w:bidi="en-US"/>
        </w:rPr>
        <w:t>de</w:t>
      </w:r>
      <w:r w:rsidRPr="000B15B3">
        <w:rPr>
          <w:rFonts w:cs="Times New Roman"/>
          <w:lang w:val="fr-CA" w:bidi="en-US"/>
        </w:rPr>
        <w:t xml:space="preserve"> prime abord une </w:t>
      </w:r>
      <w:r w:rsidRPr="000B15B3">
        <w:rPr>
          <w:rFonts w:cs="Times New Roman"/>
          <w:lang w:val="fr-CA"/>
        </w:rPr>
        <w:t xml:space="preserve">déclaration d’inhabilité, même lorsque la relation entre l’avocat et le client a pris fin en raison de cette violation.  Toutefois, il est également nécessaire de prendre en compte les facteurs identifiés précédemment, qui peuvent laisser croire que la déclaration d’inhabilité n’est pas appropriée dans les </w:t>
      </w:r>
      <w:r w:rsidRPr="000B15B3">
        <w:rPr>
          <w:rFonts w:cs="Times New Roman"/>
          <w:lang w:val="fr-CA"/>
        </w:rPr>
        <w:lastRenderedPageBreak/>
        <w:t xml:space="preserve">circonstances.  Le juge de première instance n’a pas pu bénéficier des présents motifs et ne pouvait évidemment prendre en compte tous les facteurs que je viens d’examiner et qui sont pertinents à l’égard de la question de la déclaration d’inhabilité.  Les présents motifs remanient le cadre juridique permettant de juger la conduite de </w:t>
      </w:r>
      <w:proofErr w:type="spellStart"/>
      <w:r w:rsidRPr="000B15B3">
        <w:rPr>
          <w:rFonts w:cs="Times New Roman"/>
          <w:lang w:val="fr-CA"/>
        </w:rPr>
        <w:t>McKercher</w:t>
      </w:r>
      <w:proofErr w:type="spellEnd"/>
      <w:r w:rsidRPr="000B15B3">
        <w:rPr>
          <w:rFonts w:cs="Times New Roman"/>
          <w:lang w:val="fr-CA"/>
        </w:rPr>
        <w:t xml:space="preserve"> et de déterminer la réparation qui s’impose.  Il faudrait en toute justice que la question de la réparation soit renvoyée à la cour pour qu’elle l’examine conformément à ces motifs. </w:t>
      </w:r>
    </w:p>
    <w:p w:rsidR="00807172" w:rsidRPr="000B15B3" w:rsidRDefault="00807172" w:rsidP="00807172">
      <w:pPr>
        <w:pStyle w:val="TitleTitre-AltT"/>
        <w:keepNext/>
        <w:tabs>
          <w:tab w:val="clear" w:pos="360"/>
        </w:tabs>
        <w:ind w:left="547" w:hanging="547"/>
        <w:rPr>
          <w:rFonts w:cs="Times New Roman"/>
          <w:lang w:val="fr-CA"/>
        </w:rPr>
      </w:pPr>
      <w:r w:rsidRPr="000B15B3">
        <w:rPr>
          <w:rFonts w:cs="Times New Roman"/>
          <w:lang w:val="fr-CA"/>
        </w:rPr>
        <w:t>IV.</w:t>
      </w:r>
      <w:r w:rsidRPr="000B15B3">
        <w:rPr>
          <w:rFonts w:cs="Times New Roman"/>
          <w:lang w:val="fr-CA"/>
        </w:rPr>
        <w:tab/>
      </w:r>
      <w:r w:rsidRPr="000B15B3">
        <w:rPr>
          <w:rFonts w:cs="Times New Roman"/>
          <w:u w:val="single"/>
          <w:lang w:val="fr-CA"/>
        </w:rPr>
        <w:t>Conclusion</w:t>
      </w:r>
    </w:p>
    <w:p w:rsidR="00807172" w:rsidRPr="000B15B3" w:rsidRDefault="00807172" w:rsidP="00807172">
      <w:pPr>
        <w:pStyle w:val="ParaNoNdepar-AltN"/>
        <w:rPr>
          <w:rFonts w:cs="Times New Roman"/>
          <w:lang w:val="fr-CA" w:bidi="en-US"/>
        </w:rPr>
      </w:pPr>
      <w:r w:rsidRPr="000B15B3">
        <w:rPr>
          <w:rFonts w:cs="Times New Roman"/>
          <w:lang w:val="fr-CA" w:bidi="en-US"/>
        </w:rPr>
        <w:t xml:space="preserve">Je suis d’avis d’accueillir le pourvoi et de renvoyer l’affaire à la Cour du Banc de la Reine pour qu’elle la tranche conformément aux présents motifs.  J’accorderais les dépens à l’appelante CN. </w:t>
      </w:r>
    </w:p>
    <w:p w:rsidR="004D7D95" w:rsidRPr="00E66750" w:rsidRDefault="004D7D95" w:rsidP="00F301E8">
      <w:pPr>
        <w:pStyle w:val="SCCNormalDoubleSpacing"/>
        <w:spacing w:before="480" w:after="480"/>
        <w:rPr>
          <w:lang w:val="fr-CA"/>
        </w:rPr>
      </w:pPr>
      <w:r w:rsidRPr="00E66750">
        <w:rPr>
          <w:lang w:val="fr-CA"/>
        </w:rPr>
        <w:tab/>
      </w:r>
      <w:r w:rsidR="00190FCF" w:rsidRPr="00E66750">
        <w:rPr>
          <w:i/>
          <w:lang w:val="fr-CA"/>
        </w:rPr>
        <w:t>Pourvoi accueilli</w:t>
      </w:r>
      <w:r w:rsidR="009034F5" w:rsidRPr="00E66750">
        <w:rPr>
          <w:i/>
          <w:lang w:val="fr-CA"/>
        </w:rPr>
        <w:t xml:space="preserve"> avec dépens</w:t>
      </w:r>
      <w:r w:rsidR="008A316E" w:rsidRPr="00E66750">
        <w:rPr>
          <w:i/>
          <w:lang w:val="fr-CA"/>
        </w:rPr>
        <w:t>.</w:t>
      </w:r>
    </w:p>
    <w:p w:rsidR="008A316E" w:rsidRPr="00E66750" w:rsidRDefault="008A316E" w:rsidP="00F301E8">
      <w:pPr>
        <w:pStyle w:val="SCCLawFirm"/>
        <w:spacing w:before="480" w:after="480"/>
        <w:rPr>
          <w:lang w:val="fr-CA"/>
        </w:rPr>
      </w:pPr>
      <w:r w:rsidRPr="00E66750">
        <w:rPr>
          <w:lang w:val="fr-CA"/>
        </w:rPr>
        <w:tab/>
        <w:t>Procureurs de l’appelante</w:t>
      </w:r>
      <w:r w:rsidR="00174CA9" w:rsidRPr="00E66750">
        <w:rPr>
          <w:lang w:val="fr-CA"/>
        </w:rPr>
        <w:t> :</w:t>
      </w:r>
      <w:r w:rsidR="00F301E8" w:rsidRPr="00E66750">
        <w:rPr>
          <w:lang w:val="fr-CA"/>
        </w:rPr>
        <w:t> </w:t>
      </w:r>
      <w:proofErr w:type="spellStart"/>
      <w:r w:rsidRPr="00E66750">
        <w:rPr>
          <w:lang w:val="fr-CA"/>
        </w:rPr>
        <w:t>MacPherson</w:t>
      </w:r>
      <w:proofErr w:type="spellEnd"/>
      <w:r w:rsidRPr="00E66750">
        <w:rPr>
          <w:lang w:val="fr-CA"/>
        </w:rPr>
        <w:t xml:space="preserve"> Leslie &amp; </w:t>
      </w:r>
      <w:proofErr w:type="spellStart"/>
      <w:r w:rsidRPr="00E66750">
        <w:rPr>
          <w:lang w:val="fr-CA"/>
        </w:rPr>
        <w:t>Tyerman</w:t>
      </w:r>
      <w:proofErr w:type="spellEnd"/>
      <w:r w:rsidRPr="00E66750">
        <w:rPr>
          <w:lang w:val="fr-CA"/>
        </w:rPr>
        <w:t>, Saskatoon.</w:t>
      </w:r>
    </w:p>
    <w:p w:rsidR="008A316E" w:rsidRPr="00E66750" w:rsidRDefault="008A316E" w:rsidP="00F301E8">
      <w:pPr>
        <w:pStyle w:val="SCCLawFirm"/>
        <w:spacing w:before="480" w:after="480"/>
        <w:rPr>
          <w:lang w:val="fr-CA"/>
        </w:rPr>
      </w:pPr>
      <w:r w:rsidRPr="00E66750">
        <w:rPr>
          <w:lang w:val="fr-CA"/>
        </w:rPr>
        <w:tab/>
        <w:t>Procureurs des intimés</w:t>
      </w:r>
      <w:r w:rsidR="00174CA9" w:rsidRPr="00E66750">
        <w:rPr>
          <w:lang w:val="fr-CA"/>
        </w:rPr>
        <w:t> :</w:t>
      </w:r>
      <w:r w:rsidR="00F301E8" w:rsidRPr="00E66750">
        <w:rPr>
          <w:lang w:val="fr-CA"/>
        </w:rPr>
        <w:t> </w:t>
      </w:r>
      <w:proofErr w:type="spellStart"/>
      <w:r w:rsidRPr="00E66750">
        <w:rPr>
          <w:lang w:val="fr-CA"/>
        </w:rPr>
        <w:t>Heenan</w:t>
      </w:r>
      <w:proofErr w:type="spellEnd"/>
      <w:r w:rsidRPr="00E66750">
        <w:rPr>
          <w:lang w:val="fr-CA"/>
        </w:rPr>
        <w:t xml:space="preserve"> </w:t>
      </w:r>
      <w:proofErr w:type="spellStart"/>
      <w:r w:rsidRPr="00E66750">
        <w:rPr>
          <w:lang w:val="fr-CA"/>
        </w:rPr>
        <w:t>Blaikie</w:t>
      </w:r>
      <w:proofErr w:type="spellEnd"/>
      <w:r w:rsidRPr="00E66750">
        <w:rPr>
          <w:lang w:val="fr-CA"/>
        </w:rPr>
        <w:t>, Toronto.</w:t>
      </w:r>
    </w:p>
    <w:p w:rsidR="008A316E" w:rsidRPr="00E66750" w:rsidRDefault="008A316E" w:rsidP="00F301E8">
      <w:pPr>
        <w:pStyle w:val="SCCLawFirm"/>
        <w:spacing w:before="480" w:after="480"/>
        <w:rPr>
          <w:lang w:val="fr-CA"/>
        </w:rPr>
      </w:pPr>
      <w:r w:rsidRPr="00E66750">
        <w:rPr>
          <w:lang w:val="fr-CA"/>
        </w:rPr>
        <w:tab/>
        <w:t>Procureurs de l’intervenante l’Association du Barreau canadien</w:t>
      </w:r>
      <w:r w:rsidR="00174CA9" w:rsidRPr="00E66750">
        <w:rPr>
          <w:lang w:val="fr-CA"/>
        </w:rPr>
        <w:t> :</w:t>
      </w:r>
      <w:r w:rsidR="00F301E8" w:rsidRPr="00E66750">
        <w:rPr>
          <w:lang w:val="fr-CA"/>
        </w:rPr>
        <w:t> </w:t>
      </w:r>
      <w:r w:rsidRPr="00E66750">
        <w:rPr>
          <w:lang w:val="fr-CA"/>
        </w:rPr>
        <w:t xml:space="preserve">McCarthy </w:t>
      </w:r>
      <w:proofErr w:type="spellStart"/>
      <w:r w:rsidRPr="00E66750">
        <w:rPr>
          <w:lang w:val="fr-CA"/>
        </w:rPr>
        <w:t>Tétrault</w:t>
      </w:r>
      <w:proofErr w:type="spellEnd"/>
      <w:r w:rsidRPr="00E66750">
        <w:rPr>
          <w:lang w:val="fr-CA"/>
        </w:rPr>
        <w:t>, Toronto.</w:t>
      </w:r>
    </w:p>
    <w:p w:rsidR="009B57B3" w:rsidRDefault="008A316E" w:rsidP="00807172">
      <w:pPr>
        <w:pStyle w:val="SCCItalic"/>
        <w:rPr>
          <w:b/>
          <w:i w:val="0"/>
          <w:lang w:val="fr-CA"/>
        </w:rPr>
      </w:pPr>
      <w:r w:rsidRPr="00E66750">
        <w:rPr>
          <w:lang w:val="fr-CA"/>
        </w:rPr>
        <w:lastRenderedPageBreak/>
        <w:tab/>
        <w:t>Procureurs de l’intervenante la Fédération des ordres professionnels de juristes du Canada</w:t>
      </w:r>
      <w:r w:rsidR="00174CA9" w:rsidRPr="00E66750">
        <w:rPr>
          <w:lang w:val="fr-CA"/>
        </w:rPr>
        <w:t> :</w:t>
      </w:r>
      <w:r w:rsidR="00F301E8" w:rsidRPr="00E66750">
        <w:rPr>
          <w:lang w:val="fr-CA"/>
        </w:rPr>
        <w:t> </w:t>
      </w:r>
      <w:r w:rsidRPr="00E66750">
        <w:rPr>
          <w:lang w:val="fr-CA"/>
        </w:rPr>
        <w:t xml:space="preserve">Hunter </w:t>
      </w:r>
      <w:proofErr w:type="spellStart"/>
      <w:r w:rsidRPr="00E66750">
        <w:rPr>
          <w:lang w:val="fr-CA"/>
        </w:rPr>
        <w:t>Litigation</w:t>
      </w:r>
      <w:proofErr w:type="spellEnd"/>
      <w:r w:rsidRPr="00E66750">
        <w:rPr>
          <w:lang w:val="fr-CA"/>
        </w:rPr>
        <w:t xml:space="preserve"> Chambers, Vancouver; </w:t>
      </w:r>
      <w:proofErr w:type="spellStart"/>
      <w:r w:rsidRPr="00E66750">
        <w:rPr>
          <w:lang w:val="fr-CA"/>
        </w:rPr>
        <w:t>Fasken</w:t>
      </w:r>
      <w:proofErr w:type="spellEnd"/>
      <w:r w:rsidRPr="00E66750">
        <w:rPr>
          <w:lang w:val="fr-CA"/>
        </w:rPr>
        <w:t xml:space="preserve"> Martineau </w:t>
      </w:r>
      <w:proofErr w:type="spellStart"/>
      <w:r w:rsidRPr="00E66750">
        <w:rPr>
          <w:lang w:val="fr-CA"/>
        </w:rPr>
        <w:t>DuMoulin</w:t>
      </w:r>
      <w:proofErr w:type="spellEnd"/>
      <w:r w:rsidRPr="00E66750">
        <w:rPr>
          <w:lang w:val="fr-CA"/>
        </w:rPr>
        <w:t>, Vancouver.</w:t>
      </w:r>
    </w:p>
    <w:p w:rsidR="00807172" w:rsidRPr="00807172" w:rsidRDefault="00807172" w:rsidP="00807172">
      <w:pPr>
        <w:pStyle w:val="SCCNormalDoubleSpacing"/>
        <w:rPr>
          <w:lang w:val="fr-CA"/>
        </w:rPr>
      </w:pPr>
    </w:p>
    <w:sectPr w:rsidR="00807172" w:rsidRPr="00807172" w:rsidSect="004F3850">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79" w:rsidRDefault="006E7A79">
      <w:r>
        <w:separator/>
      </w:r>
    </w:p>
  </w:endnote>
  <w:endnote w:type="continuationSeparator" w:id="0">
    <w:p w:rsidR="006E7A79" w:rsidRDefault="006E7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79" w:rsidRDefault="006E7A79">
      <w:r>
        <w:separator/>
      </w:r>
    </w:p>
  </w:footnote>
  <w:footnote w:type="continuationSeparator" w:id="0">
    <w:p w:rsidR="006E7A79" w:rsidRDefault="006E7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657"/>
      <w:docPartObj>
        <w:docPartGallery w:val="Page Numbers (Top of Page)"/>
        <w:docPartUnique/>
      </w:docPartObj>
    </w:sdtPr>
    <w:sdtContent>
      <w:p w:rsidR="006E7A79" w:rsidRDefault="006E7A79">
        <w:pPr>
          <w:pStyle w:val="Header"/>
          <w:jc w:val="center"/>
        </w:pPr>
        <w:r>
          <w:t xml:space="preserve">- </w:t>
        </w:r>
        <w:fldSimple w:instr=" PAGE   \* MERGEFORMAT ">
          <w:r w:rsidR="00081168">
            <w:rPr>
              <w:noProof/>
            </w:rPr>
            <w:t>2</w:t>
          </w:r>
        </w:fldSimple>
        <w:r>
          <w:t xml:space="preserve"> -</w:t>
        </w:r>
      </w:p>
    </w:sdtContent>
  </w:sdt>
  <w:p w:rsidR="006E7A79" w:rsidRPr="00450352" w:rsidRDefault="006E7A7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CEF7766"/>
    <w:multiLevelType w:val="hybridMultilevel"/>
    <w:tmpl w:val="9FAC33CA"/>
    <w:lvl w:ilvl="0" w:tplc="701442A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9022134"/>
    <w:multiLevelType w:val="hybridMultilevel"/>
    <w:tmpl w:val="4E86F880"/>
    <w:lvl w:ilvl="0" w:tplc="74BE0FCC">
      <w:start w:val="4"/>
      <w:numFmt w:val="upp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E740E7"/>
    <w:multiLevelType w:val="hybridMultilevel"/>
    <w:tmpl w:val="6AF25040"/>
    <w:lvl w:ilvl="0" w:tplc="E7C6326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F32AC3"/>
    <w:multiLevelType w:val="hybridMultilevel"/>
    <w:tmpl w:val="F2F66D00"/>
    <w:lvl w:ilvl="0" w:tplc="F7E0FC9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88E371C"/>
    <w:multiLevelType w:val="multilevel"/>
    <w:tmpl w:val="1A36C7A6"/>
    <w:lvl w:ilvl="0">
      <w:start w:val="1"/>
      <w:numFmt w:val="upperRoman"/>
      <w:lvlText w:val="%1."/>
      <w:lvlJc w:val="left"/>
      <w:pPr>
        <w:ind w:left="1080" w:hanging="720"/>
      </w:pPr>
      <w:rPr>
        <w:rFonts w:hint="default"/>
      </w:rPr>
    </w:lvl>
    <w:lvl w:ilvl="1">
      <w:start w:val="7"/>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nsid w:val="78C91BFD"/>
    <w:multiLevelType w:val="hybridMultilevel"/>
    <w:tmpl w:val="F6548CB8"/>
    <w:lvl w:ilvl="0" w:tplc="2940F65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4"/>
  </w:num>
  <w:num w:numId="5">
    <w:abstractNumId w:val="5"/>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6"/>
  </w:num>
  <w:num w:numId="11">
    <w:abstractNumId w:val="11"/>
  </w:num>
  <w:num w:numId="12">
    <w:abstractNumId w:val="10"/>
  </w:num>
  <w:num w:numId="13">
    <w:abstractNumId w:val="3"/>
  </w:num>
  <w:num w:numId="14">
    <w:abstractNumId w:val="7"/>
  </w:num>
  <w:num w:numId="15">
    <w:abstractNumId w:val="7"/>
  </w:num>
  <w:num w:numId="16">
    <w:abstractNumId w:val="7"/>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rsids>
    <w:rsidRoot w:val="0031414C"/>
    <w:rsid w:val="00000ED4"/>
    <w:rsid w:val="00023FC7"/>
    <w:rsid w:val="00025198"/>
    <w:rsid w:val="000275FE"/>
    <w:rsid w:val="000429E3"/>
    <w:rsid w:val="00052AE6"/>
    <w:rsid w:val="0005370F"/>
    <w:rsid w:val="00056334"/>
    <w:rsid w:val="000578A3"/>
    <w:rsid w:val="000648CC"/>
    <w:rsid w:val="00081168"/>
    <w:rsid w:val="000A5ED3"/>
    <w:rsid w:val="000B2837"/>
    <w:rsid w:val="000C59B8"/>
    <w:rsid w:val="000C6AF0"/>
    <w:rsid w:val="000D0A77"/>
    <w:rsid w:val="000D10AF"/>
    <w:rsid w:val="000F7993"/>
    <w:rsid w:val="000F7A1C"/>
    <w:rsid w:val="00104F33"/>
    <w:rsid w:val="001076B2"/>
    <w:rsid w:val="00111DE2"/>
    <w:rsid w:val="00116B38"/>
    <w:rsid w:val="00117B67"/>
    <w:rsid w:val="001211F9"/>
    <w:rsid w:val="00135406"/>
    <w:rsid w:val="00135972"/>
    <w:rsid w:val="001426A9"/>
    <w:rsid w:val="0014362F"/>
    <w:rsid w:val="00154D7C"/>
    <w:rsid w:val="001570B0"/>
    <w:rsid w:val="0015752C"/>
    <w:rsid w:val="00157737"/>
    <w:rsid w:val="001605F3"/>
    <w:rsid w:val="00165277"/>
    <w:rsid w:val="00170592"/>
    <w:rsid w:val="001720F7"/>
    <w:rsid w:val="00174CA9"/>
    <w:rsid w:val="00190FCF"/>
    <w:rsid w:val="00195D83"/>
    <w:rsid w:val="00197D00"/>
    <w:rsid w:val="001A00C1"/>
    <w:rsid w:val="001B33E0"/>
    <w:rsid w:val="001B4502"/>
    <w:rsid w:val="001B4573"/>
    <w:rsid w:val="001C779F"/>
    <w:rsid w:val="001D2AC1"/>
    <w:rsid w:val="001D4E88"/>
    <w:rsid w:val="00214CAA"/>
    <w:rsid w:val="00220FC2"/>
    <w:rsid w:val="002222F4"/>
    <w:rsid w:val="00224FC0"/>
    <w:rsid w:val="00225EA4"/>
    <w:rsid w:val="00226EAF"/>
    <w:rsid w:val="00231F3A"/>
    <w:rsid w:val="002406EE"/>
    <w:rsid w:val="00243EC8"/>
    <w:rsid w:val="0024494B"/>
    <w:rsid w:val="00253594"/>
    <w:rsid w:val="0025376B"/>
    <w:rsid w:val="00260D12"/>
    <w:rsid w:val="00261815"/>
    <w:rsid w:val="00270D93"/>
    <w:rsid w:val="002745CC"/>
    <w:rsid w:val="0028463C"/>
    <w:rsid w:val="002954AE"/>
    <w:rsid w:val="002B6FBE"/>
    <w:rsid w:val="002B7924"/>
    <w:rsid w:val="002C10A6"/>
    <w:rsid w:val="002C3F45"/>
    <w:rsid w:val="002D28C3"/>
    <w:rsid w:val="002D39A4"/>
    <w:rsid w:val="002D3E68"/>
    <w:rsid w:val="002E1644"/>
    <w:rsid w:val="002E6705"/>
    <w:rsid w:val="002F6317"/>
    <w:rsid w:val="00300C15"/>
    <w:rsid w:val="0030329A"/>
    <w:rsid w:val="0031086F"/>
    <w:rsid w:val="0031414C"/>
    <w:rsid w:val="00314E01"/>
    <w:rsid w:val="0032089D"/>
    <w:rsid w:val="003310DE"/>
    <w:rsid w:val="003323B0"/>
    <w:rsid w:val="00340A49"/>
    <w:rsid w:val="00342C45"/>
    <w:rsid w:val="003463B1"/>
    <w:rsid w:val="00347FB7"/>
    <w:rsid w:val="0035169A"/>
    <w:rsid w:val="0035259D"/>
    <w:rsid w:val="00364B18"/>
    <w:rsid w:val="0037511C"/>
    <w:rsid w:val="00393BA9"/>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30F22"/>
    <w:rsid w:val="004351C2"/>
    <w:rsid w:val="004444B4"/>
    <w:rsid w:val="00450352"/>
    <w:rsid w:val="00454BDB"/>
    <w:rsid w:val="004628D6"/>
    <w:rsid w:val="00465132"/>
    <w:rsid w:val="00467747"/>
    <w:rsid w:val="0047262D"/>
    <w:rsid w:val="00480C90"/>
    <w:rsid w:val="0048152E"/>
    <w:rsid w:val="004819CA"/>
    <w:rsid w:val="0048396F"/>
    <w:rsid w:val="00493C18"/>
    <w:rsid w:val="004A29D2"/>
    <w:rsid w:val="004A600C"/>
    <w:rsid w:val="004A6118"/>
    <w:rsid w:val="004C39B4"/>
    <w:rsid w:val="004C478D"/>
    <w:rsid w:val="004D1021"/>
    <w:rsid w:val="004D1254"/>
    <w:rsid w:val="004D7D95"/>
    <w:rsid w:val="004E2C26"/>
    <w:rsid w:val="004F3850"/>
    <w:rsid w:val="0051113D"/>
    <w:rsid w:val="005125A8"/>
    <w:rsid w:val="00517549"/>
    <w:rsid w:val="00520ABC"/>
    <w:rsid w:val="00521AE8"/>
    <w:rsid w:val="00527180"/>
    <w:rsid w:val="00527C89"/>
    <w:rsid w:val="00540634"/>
    <w:rsid w:val="00555291"/>
    <w:rsid w:val="00566AD1"/>
    <w:rsid w:val="00582FCF"/>
    <w:rsid w:val="00583EDE"/>
    <w:rsid w:val="005A4A22"/>
    <w:rsid w:val="005A6079"/>
    <w:rsid w:val="005C2E16"/>
    <w:rsid w:val="005D56B0"/>
    <w:rsid w:val="005D5BE7"/>
    <w:rsid w:val="005E0A48"/>
    <w:rsid w:val="005E4698"/>
    <w:rsid w:val="005F22EC"/>
    <w:rsid w:val="005F6CD2"/>
    <w:rsid w:val="005F703D"/>
    <w:rsid w:val="00603924"/>
    <w:rsid w:val="00610539"/>
    <w:rsid w:val="00613969"/>
    <w:rsid w:val="00622715"/>
    <w:rsid w:val="00623EC9"/>
    <w:rsid w:val="00624233"/>
    <w:rsid w:val="00625C35"/>
    <w:rsid w:val="00633997"/>
    <w:rsid w:val="00647E49"/>
    <w:rsid w:val="00656313"/>
    <w:rsid w:val="006565F4"/>
    <w:rsid w:val="00674A25"/>
    <w:rsid w:val="006849B8"/>
    <w:rsid w:val="00684EEA"/>
    <w:rsid w:val="00687CC7"/>
    <w:rsid w:val="0069689B"/>
    <w:rsid w:val="006B5FF5"/>
    <w:rsid w:val="006B67F5"/>
    <w:rsid w:val="006B76AB"/>
    <w:rsid w:val="006D36CE"/>
    <w:rsid w:val="006E270F"/>
    <w:rsid w:val="006E7A79"/>
    <w:rsid w:val="006F30AF"/>
    <w:rsid w:val="00701759"/>
    <w:rsid w:val="0070505A"/>
    <w:rsid w:val="00705C15"/>
    <w:rsid w:val="007110F6"/>
    <w:rsid w:val="007208D1"/>
    <w:rsid w:val="0073110B"/>
    <w:rsid w:val="00744518"/>
    <w:rsid w:val="00745E4C"/>
    <w:rsid w:val="00745F52"/>
    <w:rsid w:val="00747288"/>
    <w:rsid w:val="00747DD3"/>
    <w:rsid w:val="007549C8"/>
    <w:rsid w:val="00756143"/>
    <w:rsid w:val="0076198E"/>
    <w:rsid w:val="00766D14"/>
    <w:rsid w:val="00767A0F"/>
    <w:rsid w:val="00774F38"/>
    <w:rsid w:val="00786043"/>
    <w:rsid w:val="00791272"/>
    <w:rsid w:val="00793B80"/>
    <w:rsid w:val="007A05F6"/>
    <w:rsid w:val="007B6F4A"/>
    <w:rsid w:val="007E1C47"/>
    <w:rsid w:val="007E337A"/>
    <w:rsid w:val="007E5C70"/>
    <w:rsid w:val="007F2FF5"/>
    <w:rsid w:val="007F3F08"/>
    <w:rsid w:val="007F50C6"/>
    <w:rsid w:val="00804CC6"/>
    <w:rsid w:val="00807172"/>
    <w:rsid w:val="00817190"/>
    <w:rsid w:val="008260E2"/>
    <w:rsid w:val="00827AEE"/>
    <w:rsid w:val="008322BD"/>
    <w:rsid w:val="008330B6"/>
    <w:rsid w:val="00834F73"/>
    <w:rsid w:val="00841CCE"/>
    <w:rsid w:val="0085559F"/>
    <w:rsid w:val="00864C8A"/>
    <w:rsid w:val="00864CF8"/>
    <w:rsid w:val="00871365"/>
    <w:rsid w:val="00874914"/>
    <w:rsid w:val="00891422"/>
    <w:rsid w:val="00892E1A"/>
    <w:rsid w:val="008A316E"/>
    <w:rsid w:val="008B660A"/>
    <w:rsid w:val="008C01DA"/>
    <w:rsid w:val="008C726A"/>
    <w:rsid w:val="008D5CB9"/>
    <w:rsid w:val="008F2674"/>
    <w:rsid w:val="008F5D9D"/>
    <w:rsid w:val="008F78E9"/>
    <w:rsid w:val="009034F5"/>
    <w:rsid w:val="009102BA"/>
    <w:rsid w:val="00910816"/>
    <w:rsid w:val="009179F9"/>
    <w:rsid w:val="00917C7A"/>
    <w:rsid w:val="00930898"/>
    <w:rsid w:val="00933388"/>
    <w:rsid w:val="00933E5E"/>
    <w:rsid w:val="00935218"/>
    <w:rsid w:val="00937C52"/>
    <w:rsid w:val="009403F3"/>
    <w:rsid w:val="0094216E"/>
    <w:rsid w:val="009555B7"/>
    <w:rsid w:val="009567AA"/>
    <w:rsid w:val="009602C9"/>
    <w:rsid w:val="00966588"/>
    <w:rsid w:val="00966852"/>
    <w:rsid w:val="00967374"/>
    <w:rsid w:val="00967AE6"/>
    <w:rsid w:val="00994780"/>
    <w:rsid w:val="009A343A"/>
    <w:rsid w:val="009B2F23"/>
    <w:rsid w:val="009B57B3"/>
    <w:rsid w:val="009D2920"/>
    <w:rsid w:val="009D5AEB"/>
    <w:rsid w:val="009F0E33"/>
    <w:rsid w:val="00A149DF"/>
    <w:rsid w:val="00A1755C"/>
    <w:rsid w:val="00A21B90"/>
    <w:rsid w:val="00A22AAC"/>
    <w:rsid w:val="00A41805"/>
    <w:rsid w:val="00A42DF1"/>
    <w:rsid w:val="00A44B9B"/>
    <w:rsid w:val="00A45C19"/>
    <w:rsid w:val="00A51882"/>
    <w:rsid w:val="00A52AFB"/>
    <w:rsid w:val="00A548CB"/>
    <w:rsid w:val="00A54A1F"/>
    <w:rsid w:val="00A5521C"/>
    <w:rsid w:val="00A643E7"/>
    <w:rsid w:val="00A64AB8"/>
    <w:rsid w:val="00A73C38"/>
    <w:rsid w:val="00A81D32"/>
    <w:rsid w:val="00A9396C"/>
    <w:rsid w:val="00AB670D"/>
    <w:rsid w:val="00AC0BA0"/>
    <w:rsid w:val="00AE3462"/>
    <w:rsid w:val="00AF03C5"/>
    <w:rsid w:val="00AF7E6E"/>
    <w:rsid w:val="00B000D8"/>
    <w:rsid w:val="00B00F75"/>
    <w:rsid w:val="00B145B6"/>
    <w:rsid w:val="00B16867"/>
    <w:rsid w:val="00B279EB"/>
    <w:rsid w:val="00B50C81"/>
    <w:rsid w:val="00B557F8"/>
    <w:rsid w:val="00B55D28"/>
    <w:rsid w:val="00B704B4"/>
    <w:rsid w:val="00B815FC"/>
    <w:rsid w:val="00B83442"/>
    <w:rsid w:val="00B93FBC"/>
    <w:rsid w:val="00B96672"/>
    <w:rsid w:val="00BA4AF7"/>
    <w:rsid w:val="00BA7CBD"/>
    <w:rsid w:val="00BA7DA0"/>
    <w:rsid w:val="00BB1BB0"/>
    <w:rsid w:val="00BB2EE4"/>
    <w:rsid w:val="00BB4C92"/>
    <w:rsid w:val="00BC2108"/>
    <w:rsid w:val="00BD0E9E"/>
    <w:rsid w:val="00BD1BEC"/>
    <w:rsid w:val="00BD32FF"/>
    <w:rsid w:val="00BD437A"/>
    <w:rsid w:val="00BF3E21"/>
    <w:rsid w:val="00BF6FE9"/>
    <w:rsid w:val="00C02092"/>
    <w:rsid w:val="00C10782"/>
    <w:rsid w:val="00C24D91"/>
    <w:rsid w:val="00C26DB2"/>
    <w:rsid w:val="00C46E9A"/>
    <w:rsid w:val="00C53F14"/>
    <w:rsid w:val="00C600CF"/>
    <w:rsid w:val="00C6084F"/>
    <w:rsid w:val="00C62A66"/>
    <w:rsid w:val="00C66359"/>
    <w:rsid w:val="00C71458"/>
    <w:rsid w:val="00C77613"/>
    <w:rsid w:val="00C828E7"/>
    <w:rsid w:val="00C86719"/>
    <w:rsid w:val="00C921DD"/>
    <w:rsid w:val="00C96435"/>
    <w:rsid w:val="00CA4490"/>
    <w:rsid w:val="00CA6391"/>
    <w:rsid w:val="00CC223A"/>
    <w:rsid w:val="00CC397D"/>
    <w:rsid w:val="00CE036E"/>
    <w:rsid w:val="00CE168B"/>
    <w:rsid w:val="00CE3171"/>
    <w:rsid w:val="00CE427E"/>
    <w:rsid w:val="00CF1601"/>
    <w:rsid w:val="00CF532E"/>
    <w:rsid w:val="00D0172F"/>
    <w:rsid w:val="00D01E33"/>
    <w:rsid w:val="00D068A7"/>
    <w:rsid w:val="00D17476"/>
    <w:rsid w:val="00D27A8B"/>
    <w:rsid w:val="00D32086"/>
    <w:rsid w:val="00D37A3F"/>
    <w:rsid w:val="00D37EF8"/>
    <w:rsid w:val="00D4431D"/>
    <w:rsid w:val="00D4667A"/>
    <w:rsid w:val="00D63A1C"/>
    <w:rsid w:val="00D7516F"/>
    <w:rsid w:val="00D858E0"/>
    <w:rsid w:val="00D95F8E"/>
    <w:rsid w:val="00DA0590"/>
    <w:rsid w:val="00DB0EAA"/>
    <w:rsid w:val="00DC1739"/>
    <w:rsid w:val="00DC1788"/>
    <w:rsid w:val="00DE319C"/>
    <w:rsid w:val="00DE7F9F"/>
    <w:rsid w:val="00DF0CA8"/>
    <w:rsid w:val="00DF2B48"/>
    <w:rsid w:val="00DF49A7"/>
    <w:rsid w:val="00E07812"/>
    <w:rsid w:val="00E07EE2"/>
    <w:rsid w:val="00E07FD1"/>
    <w:rsid w:val="00E13CAE"/>
    <w:rsid w:val="00E24573"/>
    <w:rsid w:val="00E25E1E"/>
    <w:rsid w:val="00E27EE7"/>
    <w:rsid w:val="00E35404"/>
    <w:rsid w:val="00E45109"/>
    <w:rsid w:val="00E47B7A"/>
    <w:rsid w:val="00E56A44"/>
    <w:rsid w:val="00E60269"/>
    <w:rsid w:val="00E62DC4"/>
    <w:rsid w:val="00E66750"/>
    <w:rsid w:val="00E95993"/>
    <w:rsid w:val="00E97830"/>
    <w:rsid w:val="00EA1E20"/>
    <w:rsid w:val="00ED5E09"/>
    <w:rsid w:val="00EE0830"/>
    <w:rsid w:val="00EE6CB8"/>
    <w:rsid w:val="00EF0683"/>
    <w:rsid w:val="00F0070C"/>
    <w:rsid w:val="00F00EB7"/>
    <w:rsid w:val="00F10E8E"/>
    <w:rsid w:val="00F301E8"/>
    <w:rsid w:val="00F30E51"/>
    <w:rsid w:val="00F36AB6"/>
    <w:rsid w:val="00F37A09"/>
    <w:rsid w:val="00F409CE"/>
    <w:rsid w:val="00F4379D"/>
    <w:rsid w:val="00F445B4"/>
    <w:rsid w:val="00F50D2D"/>
    <w:rsid w:val="00F56C8B"/>
    <w:rsid w:val="00F62639"/>
    <w:rsid w:val="00F66810"/>
    <w:rsid w:val="00F8038C"/>
    <w:rsid w:val="00F8289C"/>
    <w:rsid w:val="00F84DF4"/>
    <w:rsid w:val="00F85C97"/>
    <w:rsid w:val="00F91F9D"/>
    <w:rsid w:val="00FA6B18"/>
    <w:rsid w:val="00FB37D2"/>
    <w:rsid w:val="00FB3CCB"/>
    <w:rsid w:val="00FC4EFB"/>
    <w:rsid w:val="00FC6DD6"/>
    <w:rsid w:val="00FD068D"/>
    <w:rsid w:val="00FD4F28"/>
    <w:rsid w:val="00FE6784"/>
    <w:rsid w:val="00FE6DF9"/>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807172"/>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807172"/>
    <w:rPr>
      <w:rFonts w:eastAsiaTheme="minorHAnsi" w:cstheme="minorBidi"/>
      <w:sz w:val="24"/>
      <w:szCs w:val="22"/>
      <w:lang w:eastAsia="en-US"/>
    </w:rPr>
  </w:style>
  <w:style w:type="character" w:customStyle="1" w:styleId="SCCBanSummaryChar">
    <w:name w:val="SCC.BanSummary Char"/>
    <w:basedOn w:val="DefaultParagraphFont"/>
    <w:link w:val="SCCBanSummary"/>
    <w:rsid w:val="00807172"/>
    <w:rPr>
      <w:b/>
      <w:sz w:val="24"/>
    </w:rPr>
  </w:style>
  <w:style w:type="table" w:styleId="TableGrid">
    <w:name w:val="Table Grid"/>
    <w:basedOn w:val="TableNormal"/>
    <w:uiPriority w:val="59"/>
    <w:rsid w:val="008071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07172"/>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0717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07172"/>
    <w:pPr>
      <w:tabs>
        <w:tab w:val="left" w:pos="1166"/>
      </w:tabs>
      <w:spacing w:after="480" w:line="480" w:lineRule="auto"/>
    </w:pPr>
    <w:rPr>
      <w:smallCaps/>
      <w:sz w:val="24"/>
    </w:rPr>
  </w:style>
  <w:style w:type="paragraph" w:customStyle="1" w:styleId="ParaNoNdepar-AltN">
    <w:name w:val="Para. No. / Nº de par. - Alt N"/>
    <w:qFormat/>
    <w:rsid w:val="00807172"/>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807172"/>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807172"/>
    <w:pPr>
      <w:spacing w:after="240" w:line="480" w:lineRule="auto"/>
      <w:ind w:left="720"/>
      <w:contextualSpacing/>
      <w:jc w:val="both"/>
    </w:pPr>
    <w:rPr>
      <w:rFonts w:asciiTheme="minorHAnsi" w:eastAsiaTheme="minorEastAsia" w:hAnsiTheme="minorHAnsi" w:cstheme="minorBidi"/>
      <w:szCs w:val="22"/>
      <w:lang w:val="en-US" w:eastAsia="en-US" w:bidi="en-US"/>
    </w:rPr>
  </w:style>
  <w:style w:type="paragraph" w:customStyle="1" w:styleId="Citation1">
    <w:name w:val="Citation1"/>
    <w:basedOn w:val="Normal"/>
    <w:next w:val="Normal"/>
    <w:qFormat/>
    <w:rsid w:val="00807172"/>
    <w:pPr>
      <w:spacing w:after="480"/>
      <w:ind w:left="720" w:right="720"/>
      <w:jc w:val="both"/>
    </w:pPr>
    <w:rPr>
      <w:rFonts w:asciiTheme="minorHAnsi" w:eastAsiaTheme="minorEastAsia" w:hAnsiTheme="minorHAnsi" w:cstheme="minorBidi"/>
      <w:szCs w:val="22"/>
      <w:lang w:val="en-US" w:eastAsia="en-US" w:bidi="en-US"/>
    </w:rPr>
  </w:style>
  <w:style w:type="paragraph" w:styleId="NoSpacing">
    <w:name w:val="No Spacing"/>
    <w:uiPriority w:val="1"/>
    <w:qFormat/>
    <w:rsid w:val="00807172"/>
    <w:rPr>
      <w:rFonts w:eastAsiaTheme="minorHAnsi" w:cstheme="minorBidi"/>
      <w:sz w:val="24"/>
      <w:szCs w:val="22"/>
      <w:lang w:val="en-US" w:eastAsia="en-US"/>
    </w:rPr>
  </w:style>
  <w:style w:type="table" w:customStyle="1" w:styleId="TableGrid1">
    <w:name w:val="Table Grid1"/>
    <w:basedOn w:val="TableNormal"/>
    <w:next w:val="TableGrid"/>
    <w:uiPriority w:val="59"/>
    <w:rsid w:val="0008116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10019</Words>
  <Characters>52513</Characters>
  <Application>Microsoft Office Word</Application>
  <DocSecurity>0</DocSecurity>
  <Lines>437</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2013-07-05T12:50:00Z</dcterms:created>
  <dcterms:modified xsi:type="dcterms:W3CDTF">2014-04-07T17:19:00Z</dcterms:modified>
</cp:coreProperties>
</file>