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C4B" w:rsidRPr="001B6019" w:rsidRDefault="00846C4B" w:rsidP="00846C4B">
      <w:pPr>
        <w:tabs>
          <w:tab w:val="center" w:pos="4680"/>
          <w:tab w:val="right" w:pos="9360"/>
        </w:tabs>
        <w:jc w:val="center"/>
        <w:rPr>
          <w:rFonts w:eastAsiaTheme="minorHAnsi" w:cstheme="minorBidi"/>
          <w:szCs w:val="24"/>
          <w:lang w:val="fr-CA" w:eastAsia="en-US"/>
        </w:rPr>
      </w:pPr>
      <w:r w:rsidRPr="001B6019">
        <w:rPr>
          <w:rFonts w:eastAsiaTheme="minorHAnsi" w:cstheme="minorBidi"/>
          <w:szCs w:val="24"/>
          <w:lang w:val="fr-CA"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1pt;height:65pt" o:ole="">
            <v:imagedata r:id="rId8" o:title=""/>
          </v:shape>
          <o:OLEObject Type="Embed" ProgID="Presentations.Drawing.13" ShapeID="_x0000_i1028" DrawAspect="Content" ObjectID="_1458028832" r:id="rId9"/>
        </w:object>
      </w:r>
    </w:p>
    <w:p w:rsidR="00E94921" w:rsidRPr="003A2FC7" w:rsidRDefault="00E94921" w:rsidP="00E94921">
      <w:pPr>
        <w:tabs>
          <w:tab w:val="center" w:pos="4680"/>
          <w:tab w:val="right" w:pos="9360"/>
        </w:tabs>
        <w:rPr>
          <w:rFonts w:eastAsiaTheme="minorHAnsi" w:cstheme="minorBidi"/>
          <w:color w:val="000000" w:themeColor="text1"/>
          <w:szCs w:val="24"/>
          <w:lang w:val="fr-CA" w:eastAsia="en-US"/>
        </w:rPr>
      </w:pPr>
    </w:p>
    <w:p w:rsidR="00E94921" w:rsidRPr="003A2FC7" w:rsidRDefault="00E94921" w:rsidP="00E94921">
      <w:pPr>
        <w:jc w:val="center"/>
        <w:rPr>
          <w:rFonts w:eastAsiaTheme="minorHAnsi" w:cstheme="minorBidi"/>
          <w:b/>
          <w:color w:val="000000" w:themeColor="text1"/>
          <w:szCs w:val="24"/>
          <w:lang w:val="fr-CA" w:eastAsia="en-US"/>
        </w:rPr>
      </w:pPr>
      <w:r w:rsidRPr="003A2FC7">
        <w:rPr>
          <w:rFonts w:eastAsiaTheme="minorHAnsi" w:cstheme="minorBidi"/>
          <w:b/>
          <w:color w:val="000000" w:themeColor="text1"/>
          <w:szCs w:val="24"/>
          <w:lang w:val="fr-CA" w:eastAsia="en-US"/>
        </w:rPr>
        <w:t>COUR SUPRÊME DU CANADA</w:t>
      </w:r>
    </w:p>
    <w:p w:rsidR="00E94921" w:rsidRPr="003A2FC7" w:rsidRDefault="00E94921" w:rsidP="00E94921">
      <w:pPr>
        <w:rPr>
          <w:rFonts w:eastAsiaTheme="minorHAnsi" w:cstheme="minorBidi"/>
          <w:color w:val="000000" w:themeColor="text1"/>
          <w:szCs w:val="24"/>
          <w:lang w:val="fr-CA"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E94921" w:rsidRPr="003A2FC7" w:rsidTr="00A91E19">
        <w:trPr>
          <w:cantSplit/>
        </w:trPr>
        <w:tc>
          <w:tcPr>
            <w:tcW w:w="6768" w:type="dxa"/>
          </w:tcPr>
          <w:p w:rsidR="00E94921" w:rsidRPr="003A2FC7" w:rsidRDefault="00E94921" w:rsidP="00A91E19">
            <w:pPr>
              <w:rPr>
                <w:color w:val="000000" w:themeColor="text1"/>
                <w:lang w:val="fr-CA"/>
              </w:rPr>
            </w:pPr>
            <w:r w:rsidRPr="003A2FC7">
              <w:rPr>
                <w:b/>
                <w:smallCaps/>
                <w:color w:val="000000" w:themeColor="text1"/>
                <w:lang w:val="fr-CA"/>
              </w:rPr>
              <w:t>Référence :</w:t>
            </w:r>
            <w:r w:rsidRPr="003A2FC7">
              <w:rPr>
                <w:color w:val="000000" w:themeColor="text1"/>
                <w:lang w:val="fr-CA"/>
              </w:rPr>
              <w:t xml:space="preserve"> Marine Services International Ltd. </w:t>
            </w:r>
            <w:r w:rsidRPr="003A2FC7">
              <w:rPr>
                <w:i/>
                <w:color w:val="000000" w:themeColor="text1"/>
                <w:lang w:val="fr-CA"/>
              </w:rPr>
              <w:t>c.</w:t>
            </w:r>
            <w:r w:rsidRPr="003A2FC7">
              <w:rPr>
                <w:color w:val="000000" w:themeColor="text1"/>
                <w:lang w:val="fr-CA"/>
              </w:rPr>
              <w:t xml:space="preserve"> Ryan (Succession), 2013 CSC 44</w:t>
            </w:r>
            <w:r>
              <w:rPr>
                <w:color w:val="000000" w:themeColor="text1"/>
                <w:lang w:val="fr-CA"/>
              </w:rPr>
              <w:t xml:space="preserve">, </w:t>
            </w:r>
            <w:r>
              <w:rPr>
                <w:lang w:val="fr-CA"/>
              </w:rPr>
              <w:t>[2013] 3 R.C.S. 53</w:t>
            </w:r>
          </w:p>
        </w:tc>
        <w:tc>
          <w:tcPr>
            <w:tcW w:w="2808" w:type="dxa"/>
          </w:tcPr>
          <w:p w:rsidR="00E94921" w:rsidRPr="003A2FC7" w:rsidRDefault="00E94921" w:rsidP="00A91E19">
            <w:pPr>
              <w:rPr>
                <w:color w:val="000000" w:themeColor="text1"/>
                <w:lang w:val="fr-CA"/>
              </w:rPr>
            </w:pPr>
            <w:r w:rsidRPr="003A2FC7">
              <w:rPr>
                <w:b/>
                <w:smallCaps/>
                <w:color w:val="000000" w:themeColor="text1"/>
                <w:lang w:val="fr-CA"/>
              </w:rPr>
              <w:t>Date :</w:t>
            </w:r>
            <w:r w:rsidRPr="003A2FC7">
              <w:rPr>
                <w:color w:val="000000" w:themeColor="text1"/>
                <w:lang w:val="fr-CA"/>
              </w:rPr>
              <w:t xml:space="preserve"> 20130802</w:t>
            </w:r>
          </w:p>
          <w:p w:rsidR="00E94921" w:rsidRPr="003A2FC7" w:rsidRDefault="00E94921" w:rsidP="00A91E19">
            <w:pPr>
              <w:rPr>
                <w:color w:val="000000" w:themeColor="text1"/>
                <w:lang w:val="fr-CA"/>
              </w:rPr>
            </w:pPr>
            <w:r w:rsidRPr="003A2FC7">
              <w:rPr>
                <w:b/>
                <w:smallCaps/>
                <w:color w:val="000000" w:themeColor="text1"/>
                <w:lang w:val="fr-CA"/>
              </w:rPr>
              <w:t>Dossier :</w:t>
            </w:r>
            <w:r w:rsidRPr="003A2FC7">
              <w:rPr>
                <w:color w:val="000000" w:themeColor="text1"/>
                <w:lang w:val="fr-CA"/>
              </w:rPr>
              <w:t xml:space="preserve"> 34429</w:t>
            </w:r>
          </w:p>
        </w:tc>
      </w:tr>
    </w:tbl>
    <w:p w:rsidR="00E94921" w:rsidRPr="003A2FC7" w:rsidRDefault="00E94921" w:rsidP="00E94921">
      <w:pPr>
        <w:rPr>
          <w:rFonts w:eastAsiaTheme="minorHAnsi" w:cstheme="minorBidi"/>
          <w:color w:val="000000" w:themeColor="text1"/>
          <w:szCs w:val="24"/>
          <w:lang w:val="fr-CA" w:eastAsia="en-US"/>
        </w:rPr>
      </w:pPr>
    </w:p>
    <w:p w:rsidR="00E94921" w:rsidRPr="003A2FC7" w:rsidRDefault="00E94921" w:rsidP="00E94921">
      <w:pPr>
        <w:rPr>
          <w:rFonts w:eastAsiaTheme="minorHAnsi" w:cstheme="minorBidi"/>
          <w:b/>
          <w:smallCaps/>
          <w:color w:val="000000" w:themeColor="text1"/>
          <w:szCs w:val="24"/>
          <w:lang w:val="fr-CA" w:eastAsia="en-US"/>
        </w:rPr>
      </w:pPr>
      <w:r w:rsidRPr="003A2FC7">
        <w:rPr>
          <w:rFonts w:eastAsiaTheme="minorHAnsi" w:cstheme="minorBidi"/>
          <w:b/>
          <w:smallCaps/>
          <w:color w:val="000000" w:themeColor="text1"/>
          <w:szCs w:val="24"/>
          <w:lang w:val="fr-CA" w:eastAsia="en-US"/>
        </w:rPr>
        <w:t>Entre :</w:t>
      </w:r>
    </w:p>
    <w:p w:rsidR="00E94921" w:rsidRPr="003A2FC7" w:rsidRDefault="00E94921" w:rsidP="00E94921">
      <w:pPr>
        <w:jc w:val="center"/>
        <w:rPr>
          <w:rFonts w:eastAsiaTheme="minorHAnsi" w:cstheme="minorBidi"/>
          <w:b/>
          <w:color w:val="000000" w:themeColor="text1"/>
          <w:szCs w:val="24"/>
          <w:lang w:val="fr-CA" w:eastAsia="en-US"/>
        </w:rPr>
      </w:pPr>
      <w:r w:rsidRPr="003A2FC7">
        <w:rPr>
          <w:rFonts w:eastAsiaTheme="minorHAnsi" w:cstheme="minorBidi"/>
          <w:b/>
          <w:color w:val="000000" w:themeColor="text1"/>
          <w:szCs w:val="24"/>
          <w:lang w:val="fr-CA" w:eastAsia="en-US"/>
        </w:rPr>
        <w:t>Marine Services International Limited et David Porter</w:t>
      </w:r>
    </w:p>
    <w:p w:rsidR="00E94921" w:rsidRPr="003A2FC7" w:rsidRDefault="00E94921" w:rsidP="00E94921">
      <w:pPr>
        <w:jc w:val="center"/>
        <w:rPr>
          <w:rFonts w:eastAsiaTheme="minorHAnsi" w:cstheme="minorBidi"/>
          <w:color w:val="000000" w:themeColor="text1"/>
          <w:szCs w:val="24"/>
          <w:lang w:val="fr-CA" w:eastAsia="en-US"/>
        </w:rPr>
      </w:pPr>
      <w:r w:rsidRPr="003A2FC7">
        <w:rPr>
          <w:rFonts w:eastAsiaTheme="minorHAnsi" w:cstheme="minorBidi"/>
          <w:color w:val="000000" w:themeColor="text1"/>
          <w:szCs w:val="24"/>
          <w:lang w:val="fr-CA" w:eastAsia="en-US"/>
        </w:rPr>
        <w:t>Appelants</w:t>
      </w:r>
    </w:p>
    <w:p w:rsidR="00E94921" w:rsidRPr="003A2FC7" w:rsidRDefault="00E94921" w:rsidP="00E94921">
      <w:pPr>
        <w:jc w:val="center"/>
        <w:rPr>
          <w:rFonts w:eastAsiaTheme="minorHAnsi" w:cstheme="minorBidi"/>
          <w:color w:val="000000" w:themeColor="text1"/>
          <w:szCs w:val="24"/>
          <w:lang w:val="fr-CA" w:eastAsia="en-US"/>
        </w:rPr>
      </w:pPr>
      <w:r w:rsidRPr="003A2FC7">
        <w:rPr>
          <w:rFonts w:eastAsiaTheme="minorHAnsi" w:cstheme="minorBidi"/>
          <w:color w:val="000000" w:themeColor="text1"/>
          <w:szCs w:val="24"/>
          <w:lang w:val="fr-CA" w:eastAsia="en-US"/>
        </w:rPr>
        <w:t>et</w:t>
      </w:r>
    </w:p>
    <w:p w:rsidR="00E94921" w:rsidRPr="003A2FC7" w:rsidRDefault="00E94921" w:rsidP="00E94921">
      <w:pPr>
        <w:jc w:val="center"/>
        <w:rPr>
          <w:rFonts w:eastAsiaTheme="minorHAnsi" w:cstheme="minorBidi"/>
          <w:b/>
          <w:color w:val="000000" w:themeColor="text1"/>
          <w:szCs w:val="24"/>
          <w:lang w:val="fr-CA" w:eastAsia="en-US"/>
        </w:rPr>
      </w:pPr>
      <w:r w:rsidRPr="003A2FC7">
        <w:rPr>
          <w:rFonts w:eastAsiaTheme="minorHAnsi" w:cstheme="minorBidi"/>
          <w:b/>
          <w:color w:val="000000" w:themeColor="text1"/>
          <w:szCs w:val="24"/>
          <w:lang w:val="fr-CA" w:eastAsia="en-US"/>
        </w:rPr>
        <w:t>Succession de Joseph Ryan, représentée par son administratrice Yvonne Ryan, Yvonne Ryan, en son nom, Stephen Ryan, un mineur représenté par sa tutrice à l’instance Yvonne Ryan, Jennifer Ryan, une mineure représentée par sa tutrice à l’instance Yvonne Ryan, Succession de David Ryan, représentée par son administratrice Marilyn Ryan, Marilyn Ryan, en son nom, David Michael Ryan, un mineur représenté par sa tutrice à l’instance Marilyn Ryan, J and Y Fisheries Inc. et D and M Fisheries Inc., des personnes morales, faisant affaire sous la dénomination sociale Ryan’s Fisheries Partnership, Universal Marine Limited et procureur général du Canada</w:t>
      </w:r>
    </w:p>
    <w:p w:rsidR="00E94921" w:rsidRPr="003A2FC7" w:rsidRDefault="00E94921" w:rsidP="00E94921">
      <w:pPr>
        <w:jc w:val="center"/>
        <w:rPr>
          <w:rFonts w:eastAsiaTheme="minorHAnsi" w:cstheme="minorBidi"/>
          <w:color w:val="000000" w:themeColor="text1"/>
          <w:szCs w:val="24"/>
          <w:lang w:val="fr-CA" w:eastAsia="en-US"/>
        </w:rPr>
      </w:pPr>
      <w:r w:rsidRPr="003A2FC7">
        <w:rPr>
          <w:rFonts w:eastAsiaTheme="minorHAnsi" w:cstheme="minorBidi"/>
          <w:color w:val="000000" w:themeColor="text1"/>
          <w:szCs w:val="24"/>
          <w:lang w:val="fr-CA" w:eastAsia="en-US"/>
        </w:rPr>
        <w:t>Intimés</w:t>
      </w:r>
    </w:p>
    <w:p w:rsidR="00E94921" w:rsidRPr="003A2FC7" w:rsidRDefault="00E94921" w:rsidP="00E94921">
      <w:pPr>
        <w:jc w:val="center"/>
        <w:rPr>
          <w:rFonts w:eastAsiaTheme="minorHAnsi" w:cstheme="minorBidi"/>
          <w:color w:val="000000" w:themeColor="text1"/>
          <w:szCs w:val="24"/>
          <w:lang w:val="fr-CA" w:eastAsia="en-US"/>
        </w:rPr>
      </w:pPr>
      <w:r w:rsidRPr="003A2FC7">
        <w:rPr>
          <w:rFonts w:eastAsiaTheme="minorHAnsi" w:cstheme="minorBidi"/>
          <w:color w:val="000000" w:themeColor="text1"/>
          <w:szCs w:val="24"/>
          <w:lang w:val="fr-CA" w:eastAsia="en-US"/>
        </w:rPr>
        <w:t>- et -</w:t>
      </w:r>
    </w:p>
    <w:p w:rsidR="00E94921" w:rsidRPr="003A2FC7" w:rsidRDefault="00E94921" w:rsidP="00E94921">
      <w:pPr>
        <w:jc w:val="center"/>
        <w:rPr>
          <w:rFonts w:eastAsiaTheme="minorHAnsi" w:cstheme="minorBidi"/>
          <w:b/>
          <w:color w:val="000000" w:themeColor="text1"/>
          <w:szCs w:val="24"/>
          <w:lang w:val="fr-CA" w:eastAsia="en-US"/>
        </w:rPr>
      </w:pPr>
      <w:r w:rsidRPr="003A2FC7">
        <w:rPr>
          <w:rFonts w:eastAsiaTheme="minorHAnsi" w:cstheme="minorBidi"/>
          <w:b/>
          <w:color w:val="000000" w:themeColor="text1"/>
          <w:szCs w:val="24"/>
          <w:lang w:val="fr-CA" w:eastAsia="en-US"/>
        </w:rPr>
        <w:t>Procureur général de l’Ontario, procureur général de la Nouvelle-Écosse, procureur général de la Colombie-Britannique, procureur général de Terre-Neuve-et-Labrador, Workplace Health, Safety and Compensation Commission et Workers’ Compensation Board de la Colombie-Britannique</w:t>
      </w:r>
    </w:p>
    <w:p w:rsidR="00E94921" w:rsidRPr="003A2FC7" w:rsidRDefault="00E94921" w:rsidP="00E94921">
      <w:pPr>
        <w:jc w:val="center"/>
        <w:rPr>
          <w:rFonts w:eastAsiaTheme="minorHAnsi" w:cstheme="minorBidi"/>
          <w:color w:val="000000" w:themeColor="text1"/>
          <w:szCs w:val="24"/>
          <w:lang w:val="fr-CA" w:eastAsia="en-US"/>
        </w:rPr>
      </w:pPr>
      <w:r w:rsidRPr="003A2FC7">
        <w:rPr>
          <w:rFonts w:eastAsiaTheme="minorHAnsi" w:cstheme="minorBidi"/>
          <w:color w:val="000000" w:themeColor="text1"/>
          <w:szCs w:val="24"/>
          <w:lang w:val="fr-CA" w:eastAsia="en-US"/>
        </w:rPr>
        <w:t>Intervenants</w:t>
      </w:r>
    </w:p>
    <w:p w:rsidR="00E94921" w:rsidRPr="003A2FC7" w:rsidRDefault="00E94921" w:rsidP="00E94921">
      <w:pPr>
        <w:rPr>
          <w:rFonts w:eastAsiaTheme="minorHAnsi" w:cstheme="minorBidi"/>
          <w:color w:val="000000" w:themeColor="text1"/>
          <w:szCs w:val="24"/>
          <w:lang w:val="fr-CA" w:eastAsia="en-US"/>
        </w:rPr>
      </w:pPr>
    </w:p>
    <w:p w:rsidR="00E94921" w:rsidRPr="003A2FC7" w:rsidRDefault="00E94921" w:rsidP="00E94921">
      <w:pPr>
        <w:jc w:val="center"/>
        <w:rPr>
          <w:rFonts w:eastAsiaTheme="minorHAnsi" w:cstheme="minorBidi"/>
          <w:b/>
          <w:smallCaps/>
          <w:color w:val="000000" w:themeColor="text1"/>
          <w:szCs w:val="24"/>
          <w:lang w:val="fr-CA" w:eastAsia="en-US"/>
        </w:rPr>
      </w:pPr>
      <w:r w:rsidRPr="003A2FC7">
        <w:rPr>
          <w:rFonts w:eastAsiaTheme="minorHAnsi" w:cstheme="minorBidi"/>
          <w:b/>
          <w:smallCaps/>
          <w:color w:val="000000" w:themeColor="text1"/>
          <w:szCs w:val="24"/>
          <w:lang w:val="fr-CA" w:eastAsia="en-US"/>
        </w:rPr>
        <w:t>Traduction française officielle</w:t>
      </w:r>
    </w:p>
    <w:p w:rsidR="00E94921" w:rsidRPr="003A2FC7" w:rsidRDefault="00E94921" w:rsidP="00E94921">
      <w:pPr>
        <w:rPr>
          <w:rFonts w:eastAsiaTheme="minorHAnsi" w:cstheme="minorBidi"/>
          <w:color w:val="000000" w:themeColor="text1"/>
          <w:szCs w:val="24"/>
          <w:lang w:val="fr-CA" w:eastAsia="en-US"/>
        </w:rPr>
      </w:pPr>
    </w:p>
    <w:p w:rsidR="00E94921" w:rsidRPr="003A2FC7" w:rsidRDefault="00E94921" w:rsidP="00E94921">
      <w:pPr>
        <w:rPr>
          <w:rFonts w:eastAsiaTheme="minorHAnsi" w:cstheme="minorBidi"/>
          <w:color w:val="000000" w:themeColor="text1"/>
          <w:szCs w:val="24"/>
          <w:lang w:val="fr-CA" w:eastAsia="en-US"/>
        </w:rPr>
      </w:pPr>
      <w:r w:rsidRPr="003A2FC7">
        <w:rPr>
          <w:rFonts w:eastAsiaTheme="minorHAnsi" w:cstheme="minorBidi"/>
          <w:b/>
          <w:smallCaps/>
          <w:color w:val="000000" w:themeColor="text1"/>
          <w:szCs w:val="24"/>
          <w:lang w:val="fr-CA" w:eastAsia="en-US"/>
        </w:rPr>
        <w:t>Coram :</w:t>
      </w:r>
      <w:r w:rsidRPr="003A2FC7">
        <w:rPr>
          <w:rFonts w:eastAsiaTheme="minorHAnsi" w:cstheme="minorBidi"/>
          <w:color w:val="000000" w:themeColor="text1"/>
          <w:szCs w:val="24"/>
          <w:lang w:val="fr-CA" w:eastAsia="en-US"/>
        </w:rPr>
        <w:t xml:space="preserve"> La juge en chef McLachlin et les juges LeBel, Fish, Abella, Rothstein, Cromwell, Moldaver, Karakatsanis et Wagner</w:t>
      </w:r>
    </w:p>
    <w:p w:rsidR="00E94921" w:rsidRPr="003A2FC7" w:rsidRDefault="00E94921" w:rsidP="00E94921">
      <w:pPr>
        <w:rPr>
          <w:rFonts w:eastAsiaTheme="minorHAnsi" w:cstheme="minorBidi"/>
          <w:color w:val="000000" w:themeColor="text1"/>
          <w:szCs w:val="24"/>
          <w:lang w:val="fr-CA"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E94921" w:rsidRPr="00873643" w:rsidTr="00A91E19">
        <w:trPr>
          <w:cantSplit/>
        </w:trPr>
        <w:tc>
          <w:tcPr>
            <w:tcW w:w="3618" w:type="dxa"/>
          </w:tcPr>
          <w:p w:rsidR="00E94921" w:rsidRPr="003A2FC7" w:rsidRDefault="00E94921" w:rsidP="00A91E19">
            <w:pPr>
              <w:rPr>
                <w:b/>
                <w:smallCaps/>
                <w:color w:val="000000" w:themeColor="text1"/>
                <w:lang w:val="fr-CA"/>
              </w:rPr>
            </w:pPr>
            <w:r w:rsidRPr="003A2FC7">
              <w:rPr>
                <w:b/>
                <w:smallCaps/>
                <w:color w:val="000000" w:themeColor="text1"/>
                <w:lang w:val="fr-CA"/>
              </w:rPr>
              <w:t>Motifs de jugement :</w:t>
            </w:r>
          </w:p>
          <w:p w:rsidR="00E94921" w:rsidRPr="003A2FC7" w:rsidRDefault="00E94921" w:rsidP="00A91E19">
            <w:pPr>
              <w:rPr>
                <w:color w:val="000000" w:themeColor="text1"/>
                <w:lang w:val="fr-CA"/>
              </w:rPr>
            </w:pPr>
            <w:r w:rsidRPr="003A2FC7">
              <w:rPr>
                <w:color w:val="000000" w:themeColor="text1"/>
                <w:lang w:val="fr-CA"/>
              </w:rPr>
              <w:t>(par. 1 à 86)</w:t>
            </w:r>
          </w:p>
        </w:tc>
        <w:tc>
          <w:tcPr>
            <w:tcW w:w="5958" w:type="dxa"/>
          </w:tcPr>
          <w:p w:rsidR="00E94921" w:rsidRPr="003A2FC7" w:rsidRDefault="00E94921" w:rsidP="00E94921">
            <w:pPr>
              <w:rPr>
                <w:color w:val="000000" w:themeColor="text1"/>
                <w:lang w:val="fr-CA"/>
              </w:rPr>
            </w:pPr>
            <w:r w:rsidRPr="003A2FC7">
              <w:rPr>
                <w:color w:val="000000" w:themeColor="text1"/>
                <w:lang w:val="fr-CA"/>
              </w:rPr>
              <w:t xml:space="preserve">Les juges LeBel et Karakatsanis (avec l’accord de la juge en chef McLachlin et des juges Fish, Abella, Rothstein, Cromwell, Moldaver et Wagner) </w:t>
            </w:r>
          </w:p>
        </w:tc>
      </w:tr>
    </w:tbl>
    <w:p w:rsidR="00E94921" w:rsidRPr="003A2FC7" w:rsidRDefault="00E94921" w:rsidP="00E94921">
      <w:pPr>
        <w:rPr>
          <w:rFonts w:eastAsiaTheme="minorHAnsi" w:cstheme="minorBidi"/>
          <w:color w:val="000000" w:themeColor="text1"/>
          <w:szCs w:val="24"/>
          <w:lang w:val="fr-CA" w:eastAsia="en-US"/>
        </w:rPr>
      </w:pPr>
      <w:r w:rsidRPr="005C4DAA">
        <w:rPr>
          <w:rFonts w:eastAsiaTheme="minorHAnsi" w:cstheme="minorBidi"/>
          <w:noProof/>
          <w:color w:val="000000" w:themeColor="text1"/>
          <w:szCs w:val="24"/>
          <w:lang w:val="fr-CA"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mso-position-horizontal-relative:text;mso-position-vertical-relative:text" o:connectortype="straight"/>
        </w:pict>
      </w:r>
    </w:p>
    <w:p w:rsidR="004D7D95" w:rsidRPr="009104A3" w:rsidRDefault="00E94921" w:rsidP="00E94921">
      <w:pPr>
        <w:spacing w:after="720"/>
        <w:jc w:val="both"/>
        <w:rPr>
          <w:lang w:val="fr-CA"/>
        </w:rPr>
      </w:pPr>
      <w:r w:rsidRPr="003A2FC7">
        <w:rPr>
          <w:smallCaps/>
          <w:color w:val="000000" w:themeColor="text1"/>
          <w:lang w:val="fr-CA"/>
        </w:rPr>
        <w:br w:type="page"/>
      </w:r>
      <w:r w:rsidR="009104A3" w:rsidRPr="009104A3">
        <w:rPr>
          <w:lang w:val="fr-CA"/>
        </w:rPr>
        <w:lastRenderedPageBreak/>
        <w:t xml:space="preserve">Marine Services International Ltd. </w:t>
      </w:r>
      <w:r w:rsidR="009104A3" w:rsidRPr="009104A3">
        <w:rPr>
          <w:i/>
          <w:lang w:val="fr-CA"/>
        </w:rPr>
        <w:t>c.</w:t>
      </w:r>
      <w:r w:rsidR="009104A3" w:rsidRPr="009104A3">
        <w:rPr>
          <w:lang w:val="fr-CA"/>
        </w:rPr>
        <w:t xml:space="preserve"> Ryan (Succession)</w:t>
      </w:r>
      <w:r w:rsidR="009104A3">
        <w:rPr>
          <w:lang w:val="fr-CA"/>
        </w:rPr>
        <w:t>, 2013 CSC 44, [2013] 3 R.C.S. 53</w:t>
      </w:r>
    </w:p>
    <w:p w:rsidR="002321F2" w:rsidRPr="004E7607" w:rsidRDefault="00A853DB" w:rsidP="004C4E28">
      <w:pPr>
        <w:pStyle w:val="SCCLsocParty"/>
        <w:spacing w:after="720"/>
        <w:rPr>
          <w:rStyle w:val="SCCLsocPartyRole"/>
          <w:lang w:val="fr-CA"/>
        </w:rPr>
      </w:pPr>
      <w:r w:rsidRPr="004E7607">
        <w:rPr>
          <w:lang w:val="fr-CA"/>
        </w:rPr>
        <w:t>Marine Services International Limited</w:t>
      </w:r>
      <w:r w:rsidR="00026532" w:rsidRPr="004E7607">
        <w:rPr>
          <w:lang w:val="fr-CA"/>
        </w:rPr>
        <w:t xml:space="preserve"> et </w:t>
      </w:r>
      <w:r w:rsidRPr="004E7607">
        <w:rPr>
          <w:lang w:val="fr-CA"/>
        </w:rPr>
        <w:t>David Porter</w:t>
      </w:r>
      <w:r w:rsidRPr="004E7607">
        <w:rPr>
          <w:rStyle w:val="SCCLsocPartyRole"/>
          <w:lang w:val="fr-CA"/>
        </w:rPr>
        <w:tab/>
        <w:t>Appelants</w:t>
      </w:r>
    </w:p>
    <w:p w:rsidR="002321F2" w:rsidRPr="004E7607" w:rsidRDefault="00F96E46" w:rsidP="004C4E28">
      <w:pPr>
        <w:pStyle w:val="SCCLsocVersus"/>
        <w:rPr>
          <w:i w:val="0"/>
          <w:lang w:val="fr-CA"/>
        </w:rPr>
      </w:pPr>
      <w:r w:rsidRPr="004E7607">
        <w:rPr>
          <w:lang w:val="fr-CA"/>
        </w:rPr>
        <w:t>c.</w:t>
      </w:r>
    </w:p>
    <w:p w:rsidR="00026532" w:rsidRPr="004E7607" w:rsidRDefault="00A853DB" w:rsidP="00026532">
      <w:pPr>
        <w:pStyle w:val="SCCLsocParty"/>
        <w:rPr>
          <w:lang w:val="fr-CA"/>
        </w:rPr>
      </w:pPr>
      <w:r w:rsidRPr="004E7607">
        <w:rPr>
          <w:lang w:val="fr-CA"/>
        </w:rPr>
        <w:t xml:space="preserve">Succession de Joseph Ryan, représentée par son administratrice </w:t>
      </w:r>
    </w:p>
    <w:p w:rsidR="00850DBB" w:rsidRPr="004E7607" w:rsidRDefault="00A853DB" w:rsidP="00026532">
      <w:pPr>
        <w:pStyle w:val="SCCLsocParty"/>
        <w:rPr>
          <w:lang w:val="fr-CA"/>
        </w:rPr>
      </w:pPr>
      <w:r w:rsidRPr="004E7607">
        <w:rPr>
          <w:lang w:val="fr-CA"/>
        </w:rPr>
        <w:t>Yvonne Ryan,</w:t>
      </w:r>
      <w:r w:rsidR="00026532" w:rsidRPr="004E7607">
        <w:rPr>
          <w:lang w:val="fr-CA"/>
        </w:rPr>
        <w:t xml:space="preserve"> </w:t>
      </w:r>
      <w:r w:rsidRPr="004E7607">
        <w:rPr>
          <w:lang w:val="fr-CA"/>
        </w:rPr>
        <w:t xml:space="preserve">Yvonne Ryan, </w:t>
      </w:r>
      <w:r w:rsidR="0074015E" w:rsidRPr="004E7607">
        <w:rPr>
          <w:lang w:val="fr-CA"/>
        </w:rPr>
        <w:t>en son nom</w:t>
      </w:r>
      <w:r w:rsidRPr="004E7607">
        <w:rPr>
          <w:lang w:val="fr-CA"/>
        </w:rPr>
        <w:t xml:space="preserve">, Stephen Ryan, </w:t>
      </w:r>
    </w:p>
    <w:p w:rsidR="00026532" w:rsidRPr="004E7607" w:rsidRDefault="00A853DB" w:rsidP="00026532">
      <w:pPr>
        <w:pStyle w:val="SCCLsocParty"/>
        <w:rPr>
          <w:lang w:val="fr-CA"/>
        </w:rPr>
      </w:pPr>
      <w:r w:rsidRPr="004E7607">
        <w:rPr>
          <w:lang w:val="fr-CA"/>
        </w:rPr>
        <w:t>un mineur représenté par sa tutrice à l</w:t>
      </w:r>
      <w:r w:rsidR="00C768B7">
        <w:rPr>
          <w:lang w:val="fr-CA"/>
        </w:rPr>
        <w:t>’</w:t>
      </w:r>
      <w:r w:rsidR="00026532" w:rsidRPr="004E7607">
        <w:rPr>
          <w:lang w:val="fr-CA"/>
        </w:rPr>
        <w:t>i</w:t>
      </w:r>
      <w:r w:rsidRPr="004E7607">
        <w:rPr>
          <w:lang w:val="fr-CA"/>
        </w:rPr>
        <w:t xml:space="preserve">nstance Yvonne </w:t>
      </w:r>
    </w:p>
    <w:p w:rsidR="00026532" w:rsidRPr="004E7607" w:rsidRDefault="00A853DB" w:rsidP="00026532">
      <w:pPr>
        <w:pStyle w:val="SCCLsocParty"/>
        <w:rPr>
          <w:lang w:val="fr-CA"/>
        </w:rPr>
      </w:pPr>
      <w:r w:rsidRPr="004E7607">
        <w:rPr>
          <w:lang w:val="fr-CA"/>
        </w:rPr>
        <w:t xml:space="preserve">Ryan, Jennifer Ryan, une mineure représentée par sa tutrice à </w:t>
      </w:r>
    </w:p>
    <w:p w:rsidR="00026532" w:rsidRPr="004E7607" w:rsidRDefault="00A853DB" w:rsidP="00026532">
      <w:pPr>
        <w:pStyle w:val="SCCLsocParty"/>
        <w:rPr>
          <w:lang w:val="fr-CA"/>
        </w:rPr>
      </w:pPr>
      <w:r w:rsidRPr="004E7607">
        <w:rPr>
          <w:lang w:val="fr-CA"/>
        </w:rPr>
        <w:t>l</w:t>
      </w:r>
      <w:r w:rsidR="00C768B7">
        <w:rPr>
          <w:lang w:val="fr-CA"/>
        </w:rPr>
        <w:t>’</w:t>
      </w:r>
      <w:r w:rsidRPr="004E7607">
        <w:rPr>
          <w:lang w:val="fr-CA"/>
        </w:rPr>
        <w:t>instance Yvonne Ryan,</w:t>
      </w:r>
      <w:r w:rsidR="00026532" w:rsidRPr="004E7607">
        <w:rPr>
          <w:lang w:val="fr-CA"/>
        </w:rPr>
        <w:t xml:space="preserve"> </w:t>
      </w:r>
      <w:r w:rsidRPr="004E7607">
        <w:rPr>
          <w:lang w:val="fr-CA"/>
        </w:rPr>
        <w:t xml:space="preserve">Succession de David Ryan, représentée </w:t>
      </w:r>
    </w:p>
    <w:p w:rsidR="00026532" w:rsidRPr="004E7607" w:rsidRDefault="00A853DB" w:rsidP="00026532">
      <w:pPr>
        <w:pStyle w:val="SCCLsocParty"/>
        <w:rPr>
          <w:lang w:val="fr-CA"/>
        </w:rPr>
      </w:pPr>
      <w:r w:rsidRPr="004E7607">
        <w:rPr>
          <w:lang w:val="fr-CA"/>
        </w:rPr>
        <w:t>par son administratrice Marilyn Ryan</w:t>
      </w:r>
      <w:r w:rsidR="00026532" w:rsidRPr="004E7607">
        <w:rPr>
          <w:lang w:val="fr-CA"/>
        </w:rPr>
        <w:t>,</w:t>
      </w:r>
      <w:r w:rsidRPr="004E7607">
        <w:rPr>
          <w:lang w:val="fr-CA"/>
        </w:rPr>
        <w:t xml:space="preserve"> Marilyn Ryan, </w:t>
      </w:r>
      <w:r w:rsidR="00850DBB" w:rsidRPr="004E7607">
        <w:rPr>
          <w:lang w:val="fr-CA"/>
        </w:rPr>
        <w:t>en</w:t>
      </w:r>
      <w:r w:rsidRPr="004E7607">
        <w:rPr>
          <w:lang w:val="fr-CA"/>
        </w:rPr>
        <w:t xml:space="preserve"> son </w:t>
      </w:r>
    </w:p>
    <w:p w:rsidR="001D36BF" w:rsidRPr="004E7607" w:rsidRDefault="00850DBB" w:rsidP="00026532">
      <w:pPr>
        <w:pStyle w:val="SCCLsocParty"/>
        <w:rPr>
          <w:lang w:val="fr-CA"/>
        </w:rPr>
      </w:pPr>
      <w:r w:rsidRPr="004E7607">
        <w:rPr>
          <w:lang w:val="fr-CA"/>
        </w:rPr>
        <w:t>nom</w:t>
      </w:r>
      <w:r w:rsidR="00A853DB" w:rsidRPr="004E7607">
        <w:rPr>
          <w:lang w:val="fr-CA"/>
        </w:rPr>
        <w:t xml:space="preserve">, David Michael Ryan, un mineur représenté par </w:t>
      </w:r>
    </w:p>
    <w:p w:rsidR="001D36BF" w:rsidRPr="004E7607" w:rsidRDefault="00A853DB" w:rsidP="00026532">
      <w:pPr>
        <w:pStyle w:val="SCCLsocParty"/>
        <w:rPr>
          <w:lang w:val="fr-CA"/>
        </w:rPr>
      </w:pPr>
      <w:r w:rsidRPr="004E7607">
        <w:rPr>
          <w:lang w:val="fr-CA"/>
        </w:rPr>
        <w:t>sa tutrice à l</w:t>
      </w:r>
      <w:r w:rsidR="00C768B7">
        <w:rPr>
          <w:lang w:val="fr-CA"/>
        </w:rPr>
        <w:t>’</w:t>
      </w:r>
      <w:r w:rsidRPr="004E7607">
        <w:rPr>
          <w:lang w:val="fr-CA"/>
        </w:rPr>
        <w:t>instance Marilyn Ryan,</w:t>
      </w:r>
      <w:r w:rsidR="00026532" w:rsidRPr="004E7607">
        <w:rPr>
          <w:lang w:val="fr-CA"/>
        </w:rPr>
        <w:t xml:space="preserve"> </w:t>
      </w:r>
      <w:r w:rsidRPr="004E7607">
        <w:rPr>
          <w:lang w:val="fr-CA"/>
        </w:rPr>
        <w:t>J and Y Fisheries Inc.</w:t>
      </w:r>
      <w:r w:rsidR="00403096" w:rsidRPr="004E7607">
        <w:rPr>
          <w:lang w:val="fr-CA"/>
        </w:rPr>
        <w:t xml:space="preserve"> et</w:t>
      </w:r>
      <w:r w:rsidR="00026532" w:rsidRPr="004E7607">
        <w:rPr>
          <w:lang w:val="fr-CA"/>
        </w:rPr>
        <w:t xml:space="preserve"> </w:t>
      </w:r>
    </w:p>
    <w:p w:rsidR="001D36BF" w:rsidRPr="004E7607" w:rsidRDefault="00A853DB" w:rsidP="00026532">
      <w:pPr>
        <w:pStyle w:val="SCCLsocParty"/>
        <w:rPr>
          <w:lang w:val="fr-CA"/>
        </w:rPr>
      </w:pPr>
      <w:r w:rsidRPr="004E7607">
        <w:rPr>
          <w:lang w:val="fr-CA"/>
        </w:rPr>
        <w:t xml:space="preserve">D and M Fisheries Inc., des personnes morales, faisant affaire </w:t>
      </w:r>
    </w:p>
    <w:p w:rsidR="001D36BF" w:rsidRPr="004E7607" w:rsidRDefault="00A853DB" w:rsidP="00026532">
      <w:pPr>
        <w:pStyle w:val="SCCLsocParty"/>
        <w:rPr>
          <w:lang w:val="fr-CA"/>
        </w:rPr>
      </w:pPr>
      <w:r w:rsidRPr="004E7607">
        <w:rPr>
          <w:lang w:val="fr-CA"/>
        </w:rPr>
        <w:t>sous la dénomination sociale Ryan</w:t>
      </w:r>
      <w:r w:rsidR="00C768B7">
        <w:rPr>
          <w:lang w:val="fr-CA"/>
        </w:rPr>
        <w:t>’</w:t>
      </w:r>
      <w:r w:rsidRPr="004E7607">
        <w:rPr>
          <w:lang w:val="fr-CA"/>
        </w:rPr>
        <w:t>s Fisheries Partnership,</w:t>
      </w:r>
      <w:r w:rsidR="00026532" w:rsidRPr="004E7607">
        <w:rPr>
          <w:lang w:val="fr-CA"/>
        </w:rPr>
        <w:t xml:space="preserve"> </w:t>
      </w:r>
    </w:p>
    <w:p w:rsidR="002321F2" w:rsidRPr="004E7607" w:rsidRDefault="00A853DB" w:rsidP="004C4E28">
      <w:pPr>
        <w:pStyle w:val="SCCLsocParty"/>
        <w:spacing w:after="720"/>
        <w:rPr>
          <w:rStyle w:val="SCCLsocPartyRole"/>
          <w:lang w:val="fr-CA"/>
        </w:rPr>
      </w:pPr>
      <w:r w:rsidRPr="004E7607">
        <w:rPr>
          <w:lang w:val="fr-CA"/>
        </w:rPr>
        <w:t>Universal Marine Limited</w:t>
      </w:r>
      <w:r w:rsidR="00026532" w:rsidRPr="004E7607">
        <w:rPr>
          <w:lang w:val="fr-CA"/>
        </w:rPr>
        <w:t xml:space="preserve"> et p</w:t>
      </w:r>
      <w:r w:rsidR="009815D0" w:rsidRPr="004E7607">
        <w:rPr>
          <w:lang w:val="fr-CA"/>
        </w:rPr>
        <w:t>rocureur</w:t>
      </w:r>
      <w:r w:rsidRPr="004E7607">
        <w:rPr>
          <w:lang w:val="fr-CA"/>
        </w:rPr>
        <w:t xml:space="preserve"> </w:t>
      </w:r>
      <w:r w:rsidR="00751A98" w:rsidRPr="004E7607">
        <w:rPr>
          <w:lang w:val="fr-CA"/>
        </w:rPr>
        <w:t xml:space="preserve">général </w:t>
      </w:r>
      <w:r w:rsidRPr="004E7607">
        <w:rPr>
          <w:lang w:val="fr-CA"/>
        </w:rPr>
        <w:t>du Canada</w:t>
      </w:r>
      <w:r w:rsidRPr="004E7607">
        <w:rPr>
          <w:rStyle w:val="SCCLsocPartyRole"/>
          <w:lang w:val="fr-CA"/>
        </w:rPr>
        <w:tab/>
        <w:t>Intimés</w:t>
      </w:r>
    </w:p>
    <w:p w:rsidR="002321F2" w:rsidRPr="004E7607" w:rsidRDefault="00026532" w:rsidP="004C4E28">
      <w:pPr>
        <w:pStyle w:val="SCCLsocOtherPartySeparator"/>
        <w:rPr>
          <w:lang w:val="fr-CA"/>
        </w:rPr>
      </w:pPr>
      <w:r w:rsidRPr="004E7607">
        <w:rPr>
          <w:lang w:val="fr-CA"/>
        </w:rPr>
        <w:t>e</w:t>
      </w:r>
      <w:r w:rsidR="00A853DB" w:rsidRPr="004E7607">
        <w:rPr>
          <w:lang w:val="fr-CA"/>
        </w:rPr>
        <w:t>t</w:t>
      </w:r>
    </w:p>
    <w:p w:rsidR="00026532" w:rsidRPr="004E7607" w:rsidRDefault="00A853DB" w:rsidP="00026532">
      <w:pPr>
        <w:pStyle w:val="SCCLsocParty"/>
        <w:rPr>
          <w:lang w:val="fr-CA"/>
        </w:rPr>
      </w:pPr>
      <w:r w:rsidRPr="004E7607">
        <w:rPr>
          <w:lang w:val="fr-CA"/>
        </w:rPr>
        <w:t>Procureur général de l</w:t>
      </w:r>
      <w:r w:rsidR="00C768B7">
        <w:rPr>
          <w:lang w:val="fr-CA"/>
        </w:rPr>
        <w:t>’</w:t>
      </w:r>
      <w:r w:rsidRPr="004E7607">
        <w:rPr>
          <w:lang w:val="fr-CA"/>
        </w:rPr>
        <w:t>Ontario,</w:t>
      </w:r>
      <w:r w:rsidR="00026532" w:rsidRPr="004E7607">
        <w:rPr>
          <w:lang w:val="fr-CA"/>
        </w:rPr>
        <w:t xml:space="preserve"> p</w:t>
      </w:r>
      <w:r w:rsidRPr="004E7607">
        <w:rPr>
          <w:lang w:val="fr-CA"/>
        </w:rPr>
        <w:t xml:space="preserve">rocureur général de la </w:t>
      </w:r>
    </w:p>
    <w:p w:rsidR="002321F2" w:rsidRPr="004E7607" w:rsidRDefault="00A853DB" w:rsidP="00026532">
      <w:pPr>
        <w:pStyle w:val="SCCLsocParty"/>
        <w:rPr>
          <w:lang w:val="fr-CA"/>
        </w:rPr>
      </w:pPr>
      <w:r w:rsidRPr="004E7607">
        <w:rPr>
          <w:lang w:val="fr-CA"/>
        </w:rPr>
        <w:t>Nouvelle</w:t>
      </w:r>
      <w:r w:rsidR="00A44E93" w:rsidRPr="004E7607">
        <w:rPr>
          <w:lang w:val="fr-CA"/>
        </w:rPr>
        <w:noBreakHyphen/>
      </w:r>
      <w:r w:rsidRPr="004E7607">
        <w:rPr>
          <w:lang w:val="fr-CA"/>
        </w:rPr>
        <w:t>Écosse,</w:t>
      </w:r>
      <w:r w:rsidR="00026532" w:rsidRPr="004E7607">
        <w:rPr>
          <w:lang w:val="fr-CA"/>
        </w:rPr>
        <w:t xml:space="preserve"> p</w:t>
      </w:r>
      <w:r w:rsidR="00D6427D" w:rsidRPr="004E7607">
        <w:rPr>
          <w:lang w:val="fr-CA"/>
        </w:rPr>
        <w:t>rocureur général de la Colombie</w:t>
      </w:r>
      <w:r w:rsidR="00A44E93" w:rsidRPr="004E7607">
        <w:rPr>
          <w:lang w:val="fr-CA"/>
        </w:rPr>
        <w:noBreakHyphen/>
      </w:r>
      <w:r w:rsidRPr="004E7607">
        <w:rPr>
          <w:lang w:val="fr-CA"/>
        </w:rPr>
        <w:t>Britannique,</w:t>
      </w:r>
    </w:p>
    <w:p w:rsidR="000D429A" w:rsidRPr="004E7607" w:rsidRDefault="00026532" w:rsidP="000D429A">
      <w:pPr>
        <w:pStyle w:val="SCCLsocParty"/>
        <w:rPr>
          <w:lang w:val="fr-CA"/>
        </w:rPr>
      </w:pPr>
      <w:r w:rsidRPr="004E7607">
        <w:rPr>
          <w:lang w:val="fr-CA"/>
        </w:rPr>
        <w:t>p</w:t>
      </w:r>
      <w:r w:rsidR="00A853DB" w:rsidRPr="004E7607">
        <w:rPr>
          <w:lang w:val="fr-CA"/>
        </w:rPr>
        <w:t>rocureur général de Terre</w:t>
      </w:r>
      <w:r w:rsidR="00A44E93" w:rsidRPr="004E7607">
        <w:rPr>
          <w:lang w:val="fr-CA"/>
        </w:rPr>
        <w:noBreakHyphen/>
      </w:r>
      <w:r w:rsidR="00A853DB" w:rsidRPr="004E7607">
        <w:rPr>
          <w:lang w:val="fr-CA"/>
        </w:rPr>
        <w:t>Neuve</w:t>
      </w:r>
      <w:r w:rsidR="00A44E93" w:rsidRPr="004E7607">
        <w:rPr>
          <w:lang w:val="fr-CA"/>
        </w:rPr>
        <w:noBreakHyphen/>
      </w:r>
      <w:r w:rsidR="00A853DB" w:rsidRPr="004E7607">
        <w:rPr>
          <w:lang w:val="fr-CA"/>
        </w:rPr>
        <w:t>et</w:t>
      </w:r>
      <w:r w:rsidR="00A44E93" w:rsidRPr="004E7607">
        <w:rPr>
          <w:lang w:val="fr-CA"/>
        </w:rPr>
        <w:noBreakHyphen/>
      </w:r>
      <w:r w:rsidR="00A853DB" w:rsidRPr="004E7607">
        <w:rPr>
          <w:lang w:val="fr-CA"/>
        </w:rPr>
        <w:t>Labrador,</w:t>
      </w:r>
      <w:r w:rsidRPr="004E7607">
        <w:rPr>
          <w:lang w:val="fr-CA"/>
        </w:rPr>
        <w:t xml:space="preserve"> </w:t>
      </w:r>
      <w:r w:rsidR="000D429A" w:rsidRPr="004E7607">
        <w:rPr>
          <w:lang w:val="fr-CA"/>
        </w:rPr>
        <w:t xml:space="preserve">Workplace </w:t>
      </w:r>
    </w:p>
    <w:p w:rsidR="000D429A" w:rsidRPr="004E7607" w:rsidRDefault="000D429A" w:rsidP="000D429A">
      <w:pPr>
        <w:pStyle w:val="SCCLsocParty"/>
        <w:rPr>
          <w:lang w:val="en-US"/>
        </w:rPr>
      </w:pPr>
      <w:r w:rsidRPr="004E7607">
        <w:rPr>
          <w:lang w:val="en-US"/>
        </w:rPr>
        <w:t xml:space="preserve">Health, Safety and Compensation </w:t>
      </w:r>
      <w:r w:rsidR="00A853DB" w:rsidRPr="004E7607">
        <w:rPr>
          <w:lang w:val="en-US"/>
        </w:rPr>
        <w:t>Commission</w:t>
      </w:r>
      <w:r w:rsidRPr="004E7607">
        <w:rPr>
          <w:lang w:val="en-US"/>
        </w:rPr>
        <w:t xml:space="preserve"> </w:t>
      </w:r>
      <w:r w:rsidR="00026532" w:rsidRPr="004E7607">
        <w:rPr>
          <w:lang w:val="en-US"/>
        </w:rPr>
        <w:t xml:space="preserve">et </w:t>
      </w:r>
      <w:r w:rsidR="00A853DB" w:rsidRPr="004E7607">
        <w:rPr>
          <w:lang w:val="en-US"/>
        </w:rPr>
        <w:t>Workers</w:t>
      </w:r>
      <w:r w:rsidR="00C768B7">
        <w:rPr>
          <w:lang w:val="en-US"/>
        </w:rPr>
        <w:t>’</w:t>
      </w:r>
      <w:r w:rsidR="00A853DB" w:rsidRPr="004E7607">
        <w:rPr>
          <w:lang w:val="en-US"/>
        </w:rPr>
        <w:t xml:space="preserve"> </w:t>
      </w:r>
    </w:p>
    <w:p w:rsidR="000D429A" w:rsidRPr="004E7607" w:rsidRDefault="00A853DB" w:rsidP="00A44E93">
      <w:pPr>
        <w:pStyle w:val="SCCLsocParty"/>
        <w:spacing w:after="720"/>
        <w:rPr>
          <w:lang w:val="fr-CA"/>
        </w:rPr>
      </w:pPr>
      <w:r w:rsidRPr="004E7607">
        <w:rPr>
          <w:lang w:val="fr-CA"/>
        </w:rPr>
        <w:t xml:space="preserve">Compensation Board </w:t>
      </w:r>
      <w:r w:rsidR="00EC11F0" w:rsidRPr="004E7607">
        <w:rPr>
          <w:lang w:val="fr-CA"/>
        </w:rPr>
        <w:t>de la Colombie</w:t>
      </w:r>
      <w:r w:rsidR="00A44E93" w:rsidRPr="004E7607">
        <w:rPr>
          <w:lang w:val="fr-CA"/>
        </w:rPr>
        <w:noBreakHyphen/>
      </w:r>
      <w:r w:rsidR="00EC11F0" w:rsidRPr="004E7607">
        <w:rPr>
          <w:lang w:val="fr-CA"/>
        </w:rPr>
        <w:t>Britannique</w:t>
      </w:r>
      <w:r w:rsidRPr="004E7607">
        <w:rPr>
          <w:rStyle w:val="SCCLsocPartyRole"/>
          <w:lang w:val="fr-CA"/>
        </w:rPr>
        <w:tab/>
        <w:t>Intervenants</w:t>
      </w:r>
    </w:p>
    <w:p w:rsidR="004D7D95" w:rsidRPr="004E7607" w:rsidRDefault="004D7D95" w:rsidP="004C4E28">
      <w:pPr>
        <w:spacing w:after="720"/>
        <w:jc w:val="both"/>
        <w:rPr>
          <w:b/>
          <w:lang w:val="fr-CA"/>
        </w:rPr>
      </w:pPr>
      <w:r w:rsidRPr="004E7607">
        <w:rPr>
          <w:b/>
          <w:lang w:val="fr-CA"/>
        </w:rPr>
        <w:t>Répertorié</w:t>
      </w:r>
      <w:r w:rsidR="00A44E93" w:rsidRPr="004E7607">
        <w:rPr>
          <w:b/>
          <w:lang w:val="fr-CA"/>
        </w:rPr>
        <w:t> :</w:t>
      </w:r>
      <w:r w:rsidRPr="004E7607">
        <w:rPr>
          <w:b/>
          <w:lang w:val="fr-CA"/>
        </w:rPr>
        <w:t> Marine Services Int</w:t>
      </w:r>
      <w:r w:rsidR="00026532" w:rsidRPr="004E7607">
        <w:rPr>
          <w:b/>
          <w:lang w:val="fr-CA"/>
        </w:rPr>
        <w:t>ernational Ltd.</w:t>
      </w:r>
      <w:r w:rsidRPr="004E7607">
        <w:rPr>
          <w:b/>
          <w:lang w:val="fr-CA"/>
        </w:rPr>
        <w:t xml:space="preserve"> </w:t>
      </w:r>
      <w:r w:rsidRPr="004E7607">
        <w:rPr>
          <w:b/>
          <w:i/>
          <w:lang w:val="fr-CA"/>
        </w:rPr>
        <w:t>c.</w:t>
      </w:r>
      <w:r w:rsidRPr="004E7607">
        <w:rPr>
          <w:b/>
          <w:lang w:val="fr-CA"/>
        </w:rPr>
        <w:t xml:space="preserve"> </w:t>
      </w:r>
      <w:r w:rsidR="00026532" w:rsidRPr="004E7607">
        <w:rPr>
          <w:b/>
          <w:lang w:val="fr-CA"/>
        </w:rPr>
        <w:t>Ryan (Succession)</w:t>
      </w:r>
    </w:p>
    <w:p w:rsidR="004D7D95" w:rsidRPr="004E7607" w:rsidRDefault="00F62639" w:rsidP="004C4E28">
      <w:pPr>
        <w:pStyle w:val="SCCSystemYear"/>
        <w:spacing w:after="720"/>
        <w:jc w:val="both"/>
        <w:rPr>
          <w:lang w:val="fr-CA"/>
        </w:rPr>
      </w:pPr>
      <w:r w:rsidRPr="004E7607">
        <w:rPr>
          <w:lang w:val="fr-CA"/>
        </w:rPr>
        <w:t>2013</w:t>
      </w:r>
      <w:r w:rsidR="004D7D95" w:rsidRPr="004E7607">
        <w:rPr>
          <w:lang w:val="fr-CA"/>
        </w:rPr>
        <w:t xml:space="preserve"> CSC </w:t>
      </w:r>
      <w:r w:rsidR="00F45B1D" w:rsidRPr="004E7607">
        <w:rPr>
          <w:lang w:val="fr-CA"/>
        </w:rPr>
        <w:t>44</w:t>
      </w:r>
    </w:p>
    <w:p w:rsidR="004D7D95" w:rsidRPr="004E7607" w:rsidRDefault="004D7D95" w:rsidP="004C4E28">
      <w:pPr>
        <w:spacing w:after="720"/>
        <w:jc w:val="both"/>
        <w:rPr>
          <w:lang w:val="fr-CA"/>
        </w:rPr>
      </w:pPr>
      <w:r w:rsidRPr="004E7607">
        <w:rPr>
          <w:lang w:val="fr-CA"/>
        </w:rPr>
        <w:t>N</w:t>
      </w:r>
      <w:r w:rsidRPr="004E7607">
        <w:rPr>
          <w:vertAlign w:val="superscript"/>
          <w:lang w:val="fr-CA"/>
        </w:rPr>
        <w:t>o</w:t>
      </w:r>
      <w:r w:rsidRPr="004E7607">
        <w:rPr>
          <w:lang w:val="fr-CA"/>
        </w:rPr>
        <w:t xml:space="preserve"> du greffe</w:t>
      </w:r>
      <w:r w:rsidR="00A44E93" w:rsidRPr="004E7607">
        <w:rPr>
          <w:lang w:val="fr-CA"/>
        </w:rPr>
        <w:t> :</w:t>
      </w:r>
      <w:r w:rsidRPr="004E7607">
        <w:rPr>
          <w:lang w:val="fr-CA"/>
        </w:rPr>
        <w:t> 34429.</w:t>
      </w:r>
    </w:p>
    <w:p w:rsidR="004D7D95" w:rsidRPr="004E7607" w:rsidRDefault="00F62639" w:rsidP="004C4E28">
      <w:pPr>
        <w:spacing w:after="720"/>
        <w:jc w:val="both"/>
        <w:rPr>
          <w:lang w:val="fr-CA"/>
        </w:rPr>
      </w:pPr>
      <w:r w:rsidRPr="004E7607">
        <w:rPr>
          <w:lang w:val="fr-CA"/>
        </w:rPr>
        <w:lastRenderedPageBreak/>
        <w:t>2013</w:t>
      </w:r>
      <w:r w:rsidR="00A44E93" w:rsidRPr="004E7607">
        <w:rPr>
          <w:lang w:val="fr-CA"/>
        </w:rPr>
        <w:t> :</w:t>
      </w:r>
      <w:r w:rsidR="00BB4723" w:rsidRPr="004E7607">
        <w:rPr>
          <w:lang w:val="fr-CA"/>
        </w:rPr>
        <w:t> </w:t>
      </w:r>
      <w:r w:rsidRPr="004E7607">
        <w:rPr>
          <w:lang w:val="fr-CA"/>
        </w:rPr>
        <w:t>15</w:t>
      </w:r>
      <w:r w:rsidR="00BB4723" w:rsidRPr="004E7607">
        <w:rPr>
          <w:lang w:val="fr-CA"/>
        </w:rPr>
        <w:t> </w:t>
      </w:r>
      <w:r w:rsidRPr="004E7607">
        <w:rPr>
          <w:lang w:val="fr-CA"/>
        </w:rPr>
        <w:t>janvier</w:t>
      </w:r>
      <w:r w:rsidR="004D7D95" w:rsidRPr="004E7607">
        <w:rPr>
          <w:lang w:val="fr-CA"/>
        </w:rPr>
        <w:t xml:space="preserve">; </w:t>
      </w:r>
      <w:r w:rsidR="00026532" w:rsidRPr="004E7607">
        <w:rPr>
          <w:lang w:val="fr-CA"/>
        </w:rPr>
        <w:t>2013</w:t>
      </w:r>
      <w:r w:rsidR="00A44E93" w:rsidRPr="004E7607">
        <w:rPr>
          <w:lang w:val="fr-CA"/>
        </w:rPr>
        <w:t> : </w:t>
      </w:r>
      <w:r w:rsidR="00343DEA" w:rsidRPr="004E7607">
        <w:rPr>
          <w:lang w:val="fr-CA"/>
        </w:rPr>
        <w:t>2</w:t>
      </w:r>
      <w:r w:rsidR="00A44E93" w:rsidRPr="004E7607">
        <w:rPr>
          <w:lang w:val="fr-CA"/>
        </w:rPr>
        <w:t> </w:t>
      </w:r>
      <w:r w:rsidR="00343DEA" w:rsidRPr="004E7607">
        <w:rPr>
          <w:lang w:val="fr-CA"/>
        </w:rPr>
        <w:t>août</w:t>
      </w:r>
      <w:r w:rsidR="004D7D95" w:rsidRPr="004E7607">
        <w:rPr>
          <w:lang w:val="fr-CA"/>
        </w:rPr>
        <w:t>.</w:t>
      </w:r>
    </w:p>
    <w:p w:rsidR="004D7D95" w:rsidRPr="004E7607" w:rsidRDefault="004D7D95" w:rsidP="004C4E28">
      <w:pPr>
        <w:spacing w:after="720"/>
        <w:jc w:val="both"/>
        <w:rPr>
          <w:lang w:val="fr-CA"/>
        </w:rPr>
      </w:pPr>
      <w:r w:rsidRPr="004E7607">
        <w:rPr>
          <w:lang w:val="fr-CA"/>
        </w:rPr>
        <w:t>Présents</w:t>
      </w:r>
      <w:r w:rsidR="00A44E93" w:rsidRPr="004E7607">
        <w:rPr>
          <w:lang w:val="fr-CA"/>
        </w:rPr>
        <w:t> :</w:t>
      </w:r>
      <w:r w:rsidRPr="004E7607">
        <w:rPr>
          <w:lang w:val="fr-CA"/>
        </w:rPr>
        <w:t> La juge en chef McLachlin et les juges LeBel, Fish, Abella, Rothstein, Cromwell, Moldaver, Karakatsanis et Wagner.</w:t>
      </w:r>
    </w:p>
    <w:p w:rsidR="004D7D95" w:rsidRPr="004E7607" w:rsidRDefault="004D7D95" w:rsidP="004C4E28">
      <w:pPr>
        <w:spacing w:after="720"/>
        <w:jc w:val="both"/>
        <w:rPr>
          <w:smallCaps/>
          <w:lang w:val="fr-CA"/>
        </w:rPr>
      </w:pPr>
      <w:r w:rsidRPr="004E7607">
        <w:rPr>
          <w:smallCaps/>
          <w:lang w:val="fr-CA"/>
        </w:rPr>
        <w:t xml:space="preserve">en appel de la cour </w:t>
      </w:r>
      <w:r w:rsidR="009A7669" w:rsidRPr="004E7607">
        <w:rPr>
          <w:smallCaps/>
          <w:lang w:val="fr-CA"/>
        </w:rPr>
        <w:t>d</w:t>
      </w:r>
      <w:r w:rsidR="00C768B7">
        <w:rPr>
          <w:smallCaps/>
          <w:lang w:val="fr-CA"/>
        </w:rPr>
        <w:t>’</w:t>
      </w:r>
      <w:r w:rsidR="009A7669" w:rsidRPr="004E7607">
        <w:rPr>
          <w:smallCaps/>
          <w:lang w:val="fr-CA"/>
        </w:rPr>
        <w:t xml:space="preserve">appel </w:t>
      </w:r>
      <w:r w:rsidRPr="004E7607">
        <w:rPr>
          <w:smallCaps/>
          <w:lang w:val="fr-CA"/>
        </w:rPr>
        <w:t>de terre</w:t>
      </w:r>
      <w:r w:rsidR="00A44E93" w:rsidRPr="004E7607">
        <w:rPr>
          <w:smallCaps/>
          <w:lang w:val="fr-CA"/>
        </w:rPr>
        <w:noBreakHyphen/>
      </w:r>
      <w:r w:rsidRPr="004E7607">
        <w:rPr>
          <w:smallCaps/>
          <w:lang w:val="fr-CA"/>
        </w:rPr>
        <w:t>neuve</w:t>
      </w:r>
      <w:r w:rsidR="00A44E93" w:rsidRPr="004E7607">
        <w:rPr>
          <w:smallCaps/>
          <w:lang w:val="fr-CA"/>
        </w:rPr>
        <w:noBreakHyphen/>
      </w:r>
      <w:r w:rsidRPr="004E7607">
        <w:rPr>
          <w:smallCaps/>
          <w:lang w:val="fr-CA"/>
        </w:rPr>
        <w:t>et</w:t>
      </w:r>
      <w:r w:rsidR="00A44E93" w:rsidRPr="004E7607">
        <w:rPr>
          <w:smallCaps/>
          <w:lang w:val="fr-CA"/>
        </w:rPr>
        <w:noBreakHyphen/>
      </w:r>
      <w:r w:rsidRPr="004E7607">
        <w:rPr>
          <w:smallCaps/>
          <w:lang w:val="fr-CA"/>
        </w:rPr>
        <w:t>labrador</w:t>
      </w:r>
    </w:p>
    <w:p w:rsidR="004D7D95" w:rsidRPr="004E7607" w:rsidRDefault="004D7D95" w:rsidP="00EA7D78">
      <w:pPr>
        <w:pStyle w:val="SCCNormalDoubleSpacing"/>
        <w:spacing w:after="480"/>
        <w:rPr>
          <w:lang w:val="fr-CA"/>
        </w:rPr>
      </w:pPr>
      <w:r w:rsidRPr="004E7607">
        <w:rPr>
          <w:lang w:val="fr-CA"/>
        </w:rPr>
        <w:tab/>
      </w:r>
      <w:r w:rsidR="00CC343C" w:rsidRPr="004E7607">
        <w:rPr>
          <w:i/>
          <w:lang w:val="fr-CA"/>
        </w:rPr>
        <w:t>Droit constitutionnel — Partage des comp</w:t>
      </w:r>
      <w:r w:rsidR="00350CB9" w:rsidRPr="004E7607">
        <w:rPr>
          <w:i/>
          <w:lang w:val="fr-CA"/>
        </w:rPr>
        <w:t>é</w:t>
      </w:r>
      <w:r w:rsidR="00CC343C" w:rsidRPr="004E7607">
        <w:rPr>
          <w:i/>
          <w:lang w:val="fr-CA"/>
        </w:rPr>
        <w:t>tences — Navigation et bâtiments ou navires —</w:t>
      </w:r>
      <w:r w:rsidR="00A44E93" w:rsidRPr="004E7607">
        <w:rPr>
          <w:i/>
          <w:lang w:val="fr-CA"/>
        </w:rPr>
        <w:t xml:space="preserve"> </w:t>
      </w:r>
      <w:r w:rsidR="00343DEA" w:rsidRPr="004E7607">
        <w:rPr>
          <w:i/>
          <w:lang w:val="fr-CA"/>
        </w:rPr>
        <w:t>Exclusivité des compétences</w:t>
      </w:r>
      <w:r w:rsidR="00CC343C" w:rsidRPr="004E7607">
        <w:rPr>
          <w:i/>
          <w:lang w:val="fr-CA"/>
        </w:rPr>
        <w:t xml:space="preserve"> — </w:t>
      </w:r>
      <w:r w:rsidR="00343DEA" w:rsidRPr="004E7607">
        <w:rPr>
          <w:i/>
          <w:lang w:val="fr-CA"/>
        </w:rPr>
        <w:t>Prépondérance fédérale</w:t>
      </w:r>
      <w:r w:rsidR="00CC343C" w:rsidRPr="004E7607">
        <w:rPr>
          <w:i/>
          <w:lang w:val="fr-CA"/>
        </w:rPr>
        <w:t xml:space="preserve"> — </w:t>
      </w:r>
      <w:r w:rsidR="00AD4E1C" w:rsidRPr="004E7607">
        <w:rPr>
          <w:i/>
          <w:lang w:val="fr-CA"/>
        </w:rPr>
        <w:t>Droit d</w:t>
      </w:r>
      <w:r w:rsidR="00C768B7">
        <w:rPr>
          <w:i/>
          <w:lang w:val="fr-CA"/>
        </w:rPr>
        <w:t>’</w:t>
      </w:r>
      <w:r w:rsidR="00AD4E1C" w:rsidRPr="004E7607">
        <w:rPr>
          <w:i/>
          <w:lang w:val="fr-CA"/>
        </w:rPr>
        <w:t>action conféré aux personnes à charge d</w:t>
      </w:r>
      <w:r w:rsidR="00C768B7">
        <w:rPr>
          <w:i/>
          <w:lang w:val="fr-CA"/>
        </w:rPr>
        <w:t>’</w:t>
      </w:r>
      <w:r w:rsidR="00AD4E1C" w:rsidRPr="004E7607">
        <w:rPr>
          <w:i/>
          <w:lang w:val="fr-CA"/>
        </w:rPr>
        <w:t xml:space="preserve">un défunt par </w:t>
      </w:r>
      <w:r w:rsidR="00FA7650" w:rsidRPr="004E7607">
        <w:rPr>
          <w:i/>
          <w:lang w:val="fr-CA"/>
        </w:rPr>
        <w:t xml:space="preserve">une loi </w:t>
      </w:r>
      <w:r w:rsidR="00AD4E1C" w:rsidRPr="004E7607">
        <w:rPr>
          <w:i/>
          <w:lang w:val="fr-CA"/>
        </w:rPr>
        <w:t xml:space="preserve">maritime fédérale </w:t>
      </w:r>
      <w:r w:rsidR="00E00D3C" w:rsidRPr="004E7607">
        <w:rPr>
          <w:i/>
          <w:lang w:val="fr-CA"/>
        </w:rPr>
        <w:t>—</w:t>
      </w:r>
      <w:r w:rsidR="00A44E93" w:rsidRPr="004E7607">
        <w:rPr>
          <w:i/>
          <w:lang w:val="fr-CA"/>
        </w:rPr>
        <w:t xml:space="preserve"> </w:t>
      </w:r>
      <w:r w:rsidR="00E00D3C" w:rsidRPr="004E7607">
        <w:rPr>
          <w:i/>
          <w:lang w:val="fr-CA"/>
        </w:rPr>
        <w:t xml:space="preserve">Action en dommage prohibée contre </w:t>
      </w:r>
      <w:r w:rsidR="00416448" w:rsidRPr="004E7607">
        <w:rPr>
          <w:i/>
          <w:lang w:val="fr-CA"/>
        </w:rPr>
        <w:t>l</w:t>
      </w:r>
      <w:r w:rsidR="00C768B7">
        <w:rPr>
          <w:i/>
          <w:lang w:val="fr-CA"/>
        </w:rPr>
        <w:t>’</w:t>
      </w:r>
      <w:r w:rsidR="00E00D3C" w:rsidRPr="004E7607">
        <w:rPr>
          <w:i/>
          <w:lang w:val="fr-CA"/>
        </w:rPr>
        <w:t>employeur ou un travailleur par une l</w:t>
      </w:r>
      <w:r w:rsidR="00FA7650" w:rsidRPr="004E7607">
        <w:rPr>
          <w:i/>
          <w:lang w:val="fr-CA"/>
        </w:rPr>
        <w:t xml:space="preserve">oi provinciale sur les accidents du travail si une indemnité </w:t>
      </w:r>
      <w:r w:rsidR="00E00D3C" w:rsidRPr="004E7607">
        <w:rPr>
          <w:i/>
          <w:lang w:val="fr-CA"/>
        </w:rPr>
        <w:t>est payable au titre de ce</w:t>
      </w:r>
      <w:r w:rsidR="001F440C" w:rsidRPr="004E7607">
        <w:rPr>
          <w:i/>
          <w:lang w:val="fr-CA"/>
        </w:rPr>
        <w:t>tt</w:t>
      </w:r>
      <w:r w:rsidR="00E00D3C" w:rsidRPr="004E7607">
        <w:rPr>
          <w:i/>
          <w:lang w:val="fr-CA"/>
        </w:rPr>
        <w:t>e loi</w:t>
      </w:r>
      <w:r w:rsidR="00FA7650" w:rsidRPr="004E7607">
        <w:rPr>
          <w:i/>
          <w:lang w:val="fr-CA"/>
        </w:rPr>
        <w:t xml:space="preserve"> </w:t>
      </w:r>
      <w:r w:rsidR="00CC343C" w:rsidRPr="004E7607">
        <w:rPr>
          <w:i/>
          <w:lang w:val="fr-CA"/>
        </w:rPr>
        <w:t xml:space="preserve">— </w:t>
      </w:r>
      <w:r w:rsidR="00E00D3C" w:rsidRPr="004E7607">
        <w:rPr>
          <w:i/>
          <w:lang w:val="fr-CA"/>
        </w:rPr>
        <w:t>Décès de p</w:t>
      </w:r>
      <w:r w:rsidR="00343DEA" w:rsidRPr="004E7607">
        <w:rPr>
          <w:i/>
          <w:lang w:val="fr-CA"/>
        </w:rPr>
        <w:t>êcheurs lors d</w:t>
      </w:r>
      <w:r w:rsidR="00C768B7">
        <w:rPr>
          <w:i/>
          <w:lang w:val="fr-CA"/>
        </w:rPr>
        <w:t>’</w:t>
      </w:r>
      <w:r w:rsidR="00343DEA" w:rsidRPr="004E7607">
        <w:rPr>
          <w:i/>
          <w:lang w:val="fr-CA"/>
        </w:rPr>
        <w:t>un accident en mer</w:t>
      </w:r>
      <w:r w:rsidR="00CC343C" w:rsidRPr="004E7607">
        <w:rPr>
          <w:i/>
          <w:lang w:val="fr-CA"/>
        </w:rPr>
        <w:t xml:space="preserve"> — </w:t>
      </w:r>
      <w:r w:rsidR="00FA7650" w:rsidRPr="004E7607">
        <w:rPr>
          <w:i/>
          <w:lang w:val="fr-CA"/>
        </w:rPr>
        <w:t xml:space="preserve">Action </w:t>
      </w:r>
      <w:r w:rsidR="001F440C" w:rsidRPr="004E7607">
        <w:rPr>
          <w:i/>
          <w:lang w:val="fr-CA"/>
        </w:rPr>
        <w:t>en</w:t>
      </w:r>
      <w:r w:rsidR="00FA7650" w:rsidRPr="004E7607">
        <w:rPr>
          <w:i/>
          <w:lang w:val="fr-CA"/>
        </w:rPr>
        <w:t xml:space="preserve"> négligence intentée en vertu de la loi maritime fédérale </w:t>
      </w:r>
      <w:r w:rsidR="00E00D3C" w:rsidRPr="004E7607">
        <w:rPr>
          <w:i/>
          <w:lang w:val="fr-CA"/>
        </w:rPr>
        <w:t>par d</w:t>
      </w:r>
      <w:r w:rsidR="00AD4E1C" w:rsidRPr="004E7607">
        <w:rPr>
          <w:i/>
          <w:lang w:val="fr-CA"/>
        </w:rPr>
        <w:t>es personnes à charge</w:t>
      </w:r>
      <w:r w:rsidR="00BF38CF" w:rsidRPr="004E7607">
        <w:rPr>
          <w:i/>
          <w:lang w:val="fr-CA"/>
        </w:rPr>
        <w:t xml:space="preserve"> </w:t>
      </w:r>
      <w:r w:rsidR="006E4C88" w:rsidRPr="004E7607">
        <w:rPr>
          <w:i/>
          <w:lang w:val="fr-CA"/>
        </w:rPr>
        <w:t>subséquemment au versement à ces dernières d</w:t>
      </w:r>
      <w:r w:rsidR="00C768B7">
        <w:rPr>
          <w:i/>
          <w:lang w:val="fr-CA"/>
        </w:rPr>
        <w:t>’</w:t>
      </w:r>
      <w:r w:rsidR="00FA7650" w:rsidRPr="004E7607">
        <w:rPr>
          <w:i/>
          <w:lang w:val="fr-CA"/>
        </w:rPr>
        <w:t xml:space="preserve">une indemnité </w:t>
      </w:r>
      <w:r w:rsidR="006E4C88" w:rsidRPr="004E7607">
        <w:rPr>
          <w:i/>
          <w:lang w:val="fr-CA"/>
        </w:rPr>
        <w:t xml:space="preserve">en vertu </w:t>
      </w:r>
      <w:r w:rsidR="00FA7650" w:rsidRPr="004E7607">
        <w:rPr>
          <w:i/>
          <w:lang w:val="fr-CA"/>
        </w:rPr>
        <w:t>d</w:t>
      </w:r>
      <w:r w:rsidR="009C446F" w:rsidRPr="004E7607">
        <w:rPr>
          <w:i/>
          <w:lang w:val="fr-CA"/>
        </w:rPr>
        <w:t>u régime provincial d</w:t>
      </w:r>
      <w:r w:rsidR="00C768B7">
        <w:rPr>
          <w:i/>
          <w:lang w:val="fr-CA"/>
        </w:rPr>
        <w:t>’</w:t>
      </w:r>
      <w:r w:rsidR="009C446F" w:rsidRPr="004E7607">
        <w:rPr>
          <w:i/>
          <w:lang w:val="fr-CA"/>
        </w:rPr>
        <w:t>indemnisation des accidents du</w:t>
      </w:r>
      <w:r w:rsidR="009C446F" w:rsidRPr="004E7607">
        <w:rPr>
          <w:lang w:val="fr-CA"/>
        </w:rPr>
        <w:t xml:space="preserve"> </w:t>
      </w:r>
      <w:r w:rsidR="009C446F" w:rsidRPr="004E7607">
        <w:rPr>
          <w:i/>
          <w:lang w:val="fr-CA"/>
        </w:rPr>
        <w:t>travail</w:t>
      </w:r>
      <w:r w:rsidR="009C446F" w:rsidRPr="004E7607">
        <w:rPr>
          <w:lang w:val="fr-CA"/>
        </w:rPr>
        <w:t xml:space="preserve"> </w:t>
      </w:r>
      <w:r w:rsidR="00CC343C" w:rsidRPr="004E7607">
        <w:rPr>
          <w:i/>
          <w:lang w:val="fr-CA"/>
        </w:rPr>
        <w:t xml:space="preserve">— </w:t>
      </w:r>
      <w:r w:rsidR="00AD4E1C" w:rsidRPr="004E7607">
        <w:rPr>
          <w:i/>
          <w:lang w:val="fr-CA"/>
        </w:rPr>
        <w:t>La l</w:t>
      </w:r>
      <w:r w:rsidR="009C446F" w:rsidRPr="004E7607">
        <w:rPr>
          <w:i/>
          <w:lang w:val="fr-CA"/>
        </w:rPr>
        <w:t xml:space="preserve">oi </w:t>
      </w:r>
      <w:r w:rsidR="00AD4E1C" w:rsidRPr="004E7607">
        <w:rPr>
          <w:i/>
          <w:lang w:val="fr-CA"/>
        </w:rPr>
        <w:t>provinciale est</w:t>
      </w:r>
      <w:r w:rsidR="00A44E93" w:rsidRPr="004E7607">
        <w:rPr>
          <w:i/>
          <w:lang w:val="fr-CA"/>
        </w:rPr>
        <w:noBreakHyphen/>
      </w:r>
      <w:r w:rsidR="00AD4E1C" w:rsidRPr="004E7607">
        <w:rPr>
          <w:i/>
          <w:lang w:val="fr-CA"/>
        </w:rPr>
        <w:t>elle constitutionne</w:t>
      </w:r>
      <w:r w:rsidR="006E4C88" w:rsidRPr="004E7607">
        <w:rPr>
          <w:i/>
          <w:lang w:val="fr-CA"/>
        </w:rPr>
        <w:t xml:space="preserve">llement inapplicable aux </w:t>
      </w:r>
      <w:r w:rsidR="00AD4E1C" w:rsidRPr="004E7607">
        <w:rPr>
          <w:i/>
          <w:lang w:val="fr-CA"/>
        </w:rPr>
        <w:t>actions en négligence fondées sur le droit maritime fédéral</w:t>
      </w:r>
      <w:r w:rsidR="006E4C88" w:rsidRPr="004E7607">
        <w:rPr>
          <w:i/>
          <w:lang w:val="fr-CA"/>
        </w:rPr>
        <w:t xml:space="preserve"> en raison de la doctrine d</w:t>
      </w:r>
      <w:r w:rsidR="00416448" w:rsidRPr="004E7607">
        <w:rPr>
          <w:i/>
          <w:lang w:val="fr-CA"/>
        </w:rPr>
        <w:t>e l</w:t>
      </w:r>
      <w:r w:rsidR="00C768B7">
        <w:rPr>
          <w:i/>
          <w:lang w:val="fr-CA"/>
        </w:rPr>
        <w:t>’</w:t>
      </w:r>
      <w:r w:rsidR="006E4C88" w:rsidRPr="004E7607">
        <w:rPr>
          <w:i/>
          <w:lang w:val="fr-CA"/>
        </w:rPr>
        <w:t>exclusivité des compétences</w:t>
      </w:r>
      <w:r w:rsidR="00AD4E1C" w:rsidRPr="004E7607">
        <w:rPr>
          <w:i/>
          <w:lang w:val="fr-CA"/>
        </w:rPr>
        <w:t>?</w:t>
      </w:r>
      <w:r w:rsidR="00CC343C" w:rsidRPr="004E7607">
        <w:rPr>
          <w:i/>
          <w:lang w:val="fr-CA"/>
        </w:rPr>
        <w:t xml:space="preserve"> — </w:t>
      </w:r>
      <w:r w:rsidR="009C446F" w:rsidRPr="004E7607">
        <w:rPr>
          <w:i/>
          <w:lang w:val="fr-CA"/>
        </w:rPr>
        <w:t>La loi provinciale est</w:t>
      </w:r>
      <w:r w:rsidR="00A44E93" w:rsidRPr="004E7607">
        <w:rPr>
          <w:i/>
          <w:lang w:val="fr-CA"/>
        </w:rPr>
        <w:noBreakHyphen/>
      </w:r>
      <w:r w:rsidR="009C446F" w:rsidRPr="004E7607">
        <w:rPr>
          <w:i/>
          <w:lang w:val="fr-CA"/>
        </w:rPr>
        <w:t xml:space="preserve">elle </w:t>
      </w:r>
      <w:r w:rsidR="006E4C88" w:rsidRPr="004E7607">
        <w:rPr>
          <w:i/>
          <w:lang w:val="fr-CA"/>
        </w:rPr>
        <w:t xml:space="preserve">constitutionnellement </w:t>
      </w:r>
      <w:r w:rsidR="009C446F" w:rsidRPr="004E7607">
        <w:rPr>
          <w:i/>
          <w:lang w:val="fr-CA"/>
        </w:rPr>
        <w:t xml:space="preserve">inopérante </w:t>
      </w:r>
      <w:r w:rsidR="006E4C88" w:rsidRPr="004E7607">
        <w:rPr>
          <w:i/>
          <w:lang w:val="fr-CA"/>
        </w:rPr>
        <w:t>à l</w:t>
      </w:r>
      <w:r w:rsidR="00C768B7">
        <w:rPr>
          <w:i/>
          <w:lang w:val="fr-CA"/>
        </w:rPr>
        <w:t>’</w:t>
      </w:r>
      <w:r w:rsidR="006E4C88" w:rsidRPr="004E7607">
        <w:rPr>
          <w:i/>
          <w:lang w:val="fr-CA"/>
        </w:rPr>
        <w:t xml:space="preserve">égard des actions en négligence fondées sur le droit maritime fédéral </w:t>
      </w:r>
      <w:r w:rsidR="009C446F" w:rsidRPr="004E7607">
        <w:rPr>
          <w:i/>
          <w:lang w:val="fr-CA"/>
        </w:rPr>
        <w:t>en raison de la doctrine de la prépondérance des lois fédérales?</w:t>
      </w:r>
      <w:r w:rsidR="00CC343C" w:rsidRPr="004E7607">
        <w:rPr>
          <w:i/>
          <w:lang w:val="fr-CA"/>
        </w:rPr>
        <w:t xml:space="preserve"> — </w:t>
      </w:r>
      <w:r w:rsidR="009C446F" w:rsidRPr="004E7607">
        <w:rPr>
          <w:i/>
          <w:lang w:val="fr-CA"/>
        </w:rPr>
        <w:t xml:space="preserve">Loi constitutionnelle de </w:t>
      </w:r>
      <w:r w:rsidR="00CC343C" w:rsidRPr="004E7607">
        <w:rPr>
          <w:i/>
          <w:lang w:val="fr-CA"/>
        </w:rPr>
        <w:t xml:space="preserve">1867, </w:t>
      </w:r>
      <w:r w:rsidR="00A44E93" w:rsidRPr="004E7607">
        <w:rPr>
          <w:i/>
          <w:lang w:val="fr-CA"/>
        </w:rPr>
        <w:t>art. </w:t>
      </w:r>
      <w:r w:rsidR="00CC343C" w:rsidRPr="004E7607">
        <w:rPr>
          <w:i/>
          <w:lang w:val="fr-CA"/>
        </w:rPr>
        <w:t xml:space="preserve">91(10) — Workplace Health, Safety and Compensation Act, R.S.N.L. 1990, </w:t>
      </w:r>
      <w:r w:rsidR="00A44E93" w:rsidRPr="004E7607">
        <w:rPr>
          <w:i/>
          <w:lang w:val="fr-CA"/>
        </w:rPr>
        <w:t>ch. </w:t>
      </w:r>
      <w:r w:rsidR="00CC343C" w:rsidRPr="004E7607">
        <w:rPr>
          <w:i/>
          <w:lang w:val="fr-CA"/>
        </w:rPr>
        <w:t>W</w:t>
      </w:r>
      <w:r w:rsidR="00A44E93" w:rsidRPr="004E7607">
        <w:rPr>
          <w:i/>
          <w:lang w:val="fr-CA"/>
        </w:rPr>
        <w:noBreakHyphen/>
      </w:r>
      <w:r w:rsidR="00CC343C" w:rsidRPr="004E7607">
        <w:rPr>
          <w:i/>
          <w:lang w:val="fr-CA"/>
        </w:rPr>
        <w:t xml:space="preserve">11, </w:t>
      </w:r>
      <w:r w:rsidR="00A44E93" w:rsidRPr="004E7607">
        <w:rPr>
          <w:i/>
          <w:lang w:val="fr-CA"/>
        </w:rPr>
        <w:t>art. </w:t>
      </w:r>
      <w:r w:rsidR="00CC343C" w:rsidRPr="004E7607">
        <w:rPr>
          <w:i/>
          <w:lang w:val="fr-CA"/>
        </w:rPr>
        <w:t xml:space="preserve">44 — </w:t>
      </w:r>
      <w:r w:rsidR="009C446F" w:rsidRPr="004E7607">
        <w:rPr>
          <w:i/>
          <w:lang w:val="fr-CA"/>
        </w:rPr>
        <w:t>Loi sur la responsabilité en matière maritime</w:t>
      </w:r>
      <w:r w:rsidR="00CC343C" w:rsidRPr="004E7607">
        <w:rPr>
          <w:i/>
          <w:lang w:val="fr-CA"/>
        </w:rPr>
        <w:t xml:space="preserve">, </w:t>
      </w:r>
      <w:r w:rsidR="009C446F" w:rsidRPr="004E7607">
        <w:rPr>
          <w:i/>
          <w:lang w:val="fr-CA"/>
        </w:rPr>
        <w:t>L</w:t>
      </w:r>
      <w:r w:rsidR="00CC343C" w:rsidRPr="004E7607">
        <w:rPr>
          <w:i/>
          <w:lang w:val="fr-CA"/>
        </w:rPr>
        <w:t xml:space="preserve">.C. 2001, </w:t>
      </w:r>
      <w:r w:rsidR="00A44E93" w:rsidRPr="004E7607">
        <w:rPr>
          <w:i/>
          <w:lang w:val="fr-CA"/>
        </w:rPr>
        <w:t>ch. </w:t>
      </w:r>
      <w:r w:rsidR="00CC343C" w:rsidRPr="004E7607">
        <w:rPr>
          <w:i/>
          <w:lang w:val="fr-CA"/>
        </w:rPr>
        <w:t xml:space="preserve">6, </w:t>
      </w:r>
      <w:r w:rsidR="00A44E93" w:rsidRPr="004E7607">
        <w:rPr>
          <w:i/>
          <w:lang w:val="fr-CA"/>
        </w:rPr>
        <w:t>art. </w:t>
      </w:r>
      <w:r w:rsidR="00CC343C" w:rsidRPr="004E7607">
        <w:rPr>
          <w:i/>
          <w:lang w:val="fr-CA"/>
        </w:rPr>
        <w:t>6(2).</w:t>
      </w:r>
    </w:p>
    <w:p w:rsidR="00A3271E" w:rsidRPr="004E7607" w:rsidRDefault="004D7D95" w:rsidP="00A3271E">
      <w:pPr>
        <w:pStyle w:val="SCCNormalDoubleSpacing"/>
        <w:spacing w:after="480"/>
        <w:rPr>
          <w:i/>
          <w:lang w:val="fr-CA"/>
        </w:rPr>
      </w:pPr>
      <w:r w:rsidRPr="004E7607">
        <w:rPr>
          <w:lang w:val="fr-CA"/>
        </w:rPr>
        <w:lastRenderedPageBreak/>
        <w:tab/>
      </w:r>
      <w:r w:rsidR="00A3271E" w:rsidRPr="004E7607">
        <w:rPr>
          <w:i/>
          <w:lang w:val="fr-CA"/>
        </w:rPr>
        <w:t xml:space="preserve">Droit maritime — Responsabilité délictuelle — </w:t>
      </w:r>
      <w:r w:rsidR="00506EE8" w:rsidRPr="004E7607">
        <w:rPr>
          <w:i/>
          <w:lang w:val="fr-CA"/>
        </w:rPr>
        <w:t>Interdiction de p</w:t>
      </w:r>
      <w:r w:rsidR="00A3271E" w:rsidRPr="004E7607">
        <w:rPr>
          <w:i/>
          <w:lang w:val="fr-CA"/>
        </w:rPr>
        <w:t>oursuite</w:t>
      </w:r>
      <w:r w:rsidR="00A710ED" w:rsidRPr="004E7607">
        <w:rPr>
          <w:i/>
          <w:lang w:val="fr-CA"/>
        </w:rPr>
        <w:t>s</w:t>
      </w:r>
      <w:r w:rsidR="00A3271E" w:rsidRPr="004E7607">
        <w:rPr>
          <w:i/>
          <w:lang w:val="fr-CA"/>
        </w:rPr>
        <w:t xml:space="preserve"> </w:t>
      </w:r>
      <w:r w:rsidR="00506EE8" w:rsidRPr="004E7607">
        <w:rPr>
          <w:i/>
          <w:lang w:val="fr-CA"/>
        </w:rPr>
        <w:t xml:space="preserve">prévue </w:t>
      </w:r>
      <w:r w:rsidR="00A3271E" w:rsidRPr="004E7607">
        <w:rPr>
          <w:i/>
          <w:lang w:val="fr-CA"/>
        </w:rPr>
        <w:t>par la loi —</w:t>
      </w:r>
      <w:r w:rsidR="00A9159A">
        <w:rPr>
          <w:i/>
          <w:lang w:val="fr-CA"/>
        </w:rPr>
        <w:t xml:space="preserve"> </w:t>
      </w:r>
      <w:r w:rsidR="006E4C88" w:rsidRPr="004E7607">
        <w:rPr>
          <w:i/>
          <w:lang w:val="fr-CA"/>
        </w:rPr>
        <w:t>Décès de pêcheurs lors d</w:t>
      </w:r>
      <w:r w:rsidR="00C768B7">
        <w:rPr>
          <w:i/>
          <w:lang w:val="fr-CA"/>
        </w:rPr>
        <w:t>’</w:t>
      </w:r>
      <w:r w:rsidR="006E4C88" w:rsidRPr="004E7607">
        <w:rPr>
          <w:i/>
          <w:lang w:val="fr-CA"/>
        </w:rPr>
        <w:t xml:space="preserve">un accident en mer </w:t>
      </w:r>
      <w:r w:rsidR="00A3271E" w:rsidRPr="004E7607">
        <w:rPr>
          <w:i/>
          <w:lang w:val="fr-CA"/>
        </w:rPr>
        <w:t>dans l</w:t>
      </w:r>
      <w:r w:rsidR="00C768B7">
        <w:rPr>
          <w:i/>
          <w:lang w:val="fr-CA"/>
        </w:rPr>
        <w:t>’</w:t>
      </w:r>
      <w:r w:rsidR="00A3271E" w:rsidRPr="004E7607">
        <w:rPr>
          <w:i/>
          <w:lang w:val="fr-CA"/>
        </w:rPr>
        <w:t>exercice de leurs fonctions — La loi provinciale sur les accidents du travail interdit</w:t>
      </w:r>
      <w:r w:rsidR="00A44E93" w:rsidRPr="004E7607">
        <w:rPr>
          <w:i/>
          <w:lang w:val="fr-CA"/>
        </w:rPr>
        <w:noBreakHyphen/>
      </w:r>
      <w:r w:rsidR="00A3271E" w:rsidRPr="004E7607">
        <w:rPr>
          <w:i/>
          <w:lang w:val="fr-CA"/>
        </w:rPr>
        <w:t>elle aux personnes à charge d</w:t>
      </w:r>
      <w:r w:rsidR="00C768B7">
        <w:rPr>
          <w:i/>
          <w:lang w:val="fr-CA"/>
        </w:rPr>
        <w:t>’</w:t>
      </w:r>
      <w:r w:rsidR="00A3271E" w:rsidRPr="004E7607">
        <w:rPr>
          <w:i/>
          <w:lang w:val="fr-CA"/>
        </w:rPr>
        <w:t xml:space="preserve">intenter une </w:t>
      </w:r>
      <w:r w:rsidR="006E4C88" w:rsidRPr="004E7607">
        <w:rPr>
          <w:i/>
          <w:lang w:val="fr-CA"/>
        </w:rPr>
        <w:t xml:space="preserve">action </w:t>
      </w:r>
      <w:r w:rsidR="001F440C" w:rsidRPr="004E7607">
        <w:rPr>
          <w:i/>
          <w:lang w:val="fr-CA"/>
        </w:rPr>
        <w:t xml:space="preserve">en </w:t>
      </w:r>
      <w:r w:rsidR="00DC6DCC" w:rsidRPr="004E7607">
        <w:rPr>
          <w:i/>
          <w:lang w:val="fr-CA"/>
        </w:rPr>
        <w:t>négligence en vertu d</w:t>
      </w:r>
      <w:r w:rsidR="00C768B7">
        <w:rPr>
          <w:i/>
          <w:lang w:val="fr-CA"/>
        </w:rPr>
        <w:t>’</w:t>
      </w:r>
      <w:r w:rsidR="00DC6DCC" w:rsidRPr="004E7607">
        <w:rPr>
          <w:i/>
          <w:lang w:val="fr-CA"/>
        </w:rPr>
        <w:t xml:space="preserve">une </w:t>
      </w:r>
      <w:r w:rsidR="00A3271E" w:rsidRPr="004E7607">
        <w:rPr>
          <w:i/>
          <w:lang w:val="fr-CA"/>
        </w:rPr>
        <w:t xml:space="preserve">loi maritime fédérale? — Workplace Health, Safety and Compensation Act, R.S.N.L. 1990, </w:t>
      </w:r>
      <w:r w:rsidR="00A44E93" w:rsidRPr="004E7607">
        <w:rPr>
          <w:i/>
          <w:lang w:val="fr-CA"/>
        </w:rPr>
        <w:t>ch. </w:t>
      </w:r>
      <w:r w:rsidR="00A3271E" w:rsidRPr="004E7607">
        <w:rPr>
          <w:i/>
          <w:lang w:val="fr-CA"/>
        </w:rPr>
        <w:t>W</w:t>
      </w:r>
      <w:r w:rsidR="00A44E93" w:rsidRPr="004E7607">
        <w:rPr>
          <w:i/>
          <w:lang w:val="fr-CA"/>
        </w:rPr>
        <w:noBreakHyphen/>
      </w:r>
      <w:r w:rsidR="00A3271E" w:rsidRPr="004E7607">
        <w:rPr>
          <w:i/>
          <w:lang w:val="fr-CA"/>
        </w:rPr>
        <w:t xml:space="preserve">11, </w:t>
      </w:r>
      <w:r w:rsidR="00A44E93" w:rsidRPr="004E7607">
        <w:rPr>
          <w:i/>
          <w:lang w:val="fr-CA"/>
        </w:rPr>
        <w:t>art. </w:t>
      </w:r>
      <w:r w:rsidR="00A3271E" w:rsidRPr="004E7607">
        <w:rPr>
          <w:i/>
          <w:lang w:val="fr-CA"/>
        </w:rPr>
        <w:t xml:space="preserve">44 — Loi sur la responsabilité en matière maritime, L.C. 2001, </w:t>
      </w:r>
      <w:r w:rsidR="00A44E93" w:rsidRPr="004E7607">
        <w:rPr>
          <w:i/>
          <w:lang w:val="fr-CA"/>
        </w:rPr>
        <w:t>ch. </w:t>
      </w:r>
      <w:r w:rsidR="00A3271E" w:rsidRPr="004E7607">
        <w:rPr>
          <w:i/>
          <w:lang w:val="fr-CA"/>
        </w:rPr>
        <w:t xml:space="preserve">6, </w:t>
      </w:r>
      <w:r w:rsidR="00A44E93" w:rsidRPr="004E7607">
        <w:rPr>
          <w:i/>
          <w:lang w:val="fr-CA"/>
        </w:rPr>
        <w:t>art. </w:t>
      </w:r>
      <w:r w:rsidR="00A3271E" w:rsidRPr="004E7607">
        <w:rPr>
          <w:i/>
          <w:lang w:val="fr-CA"/>
        </w:rPr>
        <w:t>6(2).</w:t>
      </w:r>
    </w:p>
    <w:p w:rsidR="00A3271E" w:rsidRPr="004E7607" w:rsidRDefault="00A3271E" w:rsidP="00A3271E">
      <w:pPr>
        <w:pStyle w:val="SCCNormalDoubleSpacing"/>
        <w:spacing w:after="480"/>
        <w:rPr>
          <w:lang w:val="fr-CA"/>
        </w:rPr>
      </w:pPr>
      <w:r w:rsidRPr="004E7607">
        <w:rPr>
          <w:i/>
          <w:lang w:val="fr-CA"/>
        </w:rPr>
        <w:tab/>
      </w:r>
      <w:r w:rsidR="001F1DAC">
        <w:rPr>
          <w:i/>
          <w:lang w:val="fr-CA"/>
        </w:rPr>
        <w:t>A</w:t>
      </w:r>
      <w:r w:rsidR="009F2E5B" w:rsidRPr="004E7607">
        <w:rPr>
          <w:i/>
          <w:lang w:val="fr-CA"/>
        </w:rPr>
        <w:t>ccidents du travail</w:t>
      </w:r>
      <w:r w:rsidRPr="004E7607">
        <w:rPr>
          <w:i/>
          <w:lang w:val="fr-CA"/>
        </w:rPr>
        <w:t xml:space="preserve"> — </w:t>
      </w:r>
      <w:r w:rsidR="00506EE8" w:rsidRPr="004E7607">
        <w:rPr>
          <w:i/>
          <w:lang w:val="fr-CA"/>
        </w:rPr>
        <w:t>Interdiction de p</w:t>
      </w:r>
      <w:r w:rsidRPr="004E7607">
        <w:rPr>
          <w:i/>
          <w:lang w:val="fr-CA"/>
        </w:rPr>
        <w:t>oursuite</w:t>
      </w:r>
      <w:r w:rsidR="00506EE8" w:rsidRPr="004E7607">
        <w:rPr>
          <w:i/>
          <w:lang w:val="fr-CA"/>
        </w:rPr>
        <w:t>s</w:t>
      </w:r>
      <w:r w:rsidRPr="004E7607">
        <w:rPr>
          <w:i/>
          <w:lang w:val="fr-CA"/>
        </w:rPr>
        <w:t xml:space="preserve"> </w:t>
      </w:r>
      <w:r w:rsidR="00506EE8" w:rsidRPr="004E7607">
        <w:rPr>
          <w:i/>
          <w:lang w:val="fr-CA"/>
        </w:rPr>
        <w:t xml:space="preserve">prévue </w:t>
      </w:r>
      <w:r w:rsidRPr="004E7607">
        <w:rPr>
          <w:i/>
          <w:lang w:val="fr-CA"/>
        </w:rPr>
        <w:t xml:space="preserve">par la loi — </w:t>
      </w:r>
      <w:r w:rsidR="00942508" w:rsidRPr="004E7607">
        <w:rPr>
          <w:i/>
          <w:lang w:val="fr-CA"/>
        </w:rPr>
        <w:t xml:space="preserve">Action en dommage prohibée contre </w:t>
      </w:r>
      <w:r w:rsidR="00416448" w:rsidRPr="004E7607">
        <w:rPr>
          <w:i/>
          <w:lang w:val="fr-CA"/>
        </w:rPr>
        <w:t>l</w:t>
      </w:r>
      <w:r w:rsidR="00C768B7">
        <w:rPr>
          <w:i/>
          <w:lang w:val="fr-CA"/>
        </w:rPr>
        <w:t>’</w:t>
      </w:r>
      <w:r w:rsidR="00942508" w:rsidRPr="004E7607">
        <w:rPr>
          <w:i/>
          <w:lang w:val="fr-CA"/>
        </w:rPr>
        <w:t>employeur ou un travailleur par une loi provinciale sur les accidents du travail si une indemnité est payable au titre de ce</w:t>
      </w:r>
      <w:r w:rsidR="001F440C" w:rsidRPr="004E7607">
        <w:rPr>
          <w:i/>
          <w:lang w:val="fr-CA"/>
        </w:rPr>
        <w:t>tt</w:t>
      </w:r>
      <w:r w:rsidR="00942508" w:rsidRPr="004E7607">
        <w:rPr>
          <w:i/>
          <w:lang w:val="fr-CA"/>
        </w:rPr>
        <w:t>e loi — Décès de pêcheurs lors d</w:t>
      </w:r>
      <w:r w:rsidR="00C768B7">
        <w:rPr>
          <w:i/>
          <w:lang w:val="fr-CA"/>
        </w:rPr>
        <w:t>’</w:t>
      </w:r>
      <w:r w:rsidR="00942508" w:rsidRPr="004E7607">
        <w:rPr>
          <w:i/>
          <w:lang w:val="fr-CA"/>
        </w:rPr>
        <w:t>un accident en mer dans l</w:t>
      </w:r>
      <w:r w:rsidR="00C768B7">
        <w:rPr>
          <w:i/>
          <w:lang w:val="fr-CA"/>
        </w:rPr>
        <w:t>’</w:t>
      </w:r>
      <w:r w:rsidR="00942508" w:rsidRPr="004E7607">
        <w:rPr>
          <w:i/>
          <w:lang w:val="fr-CA"/>
        </w:rPr>
        <w:t xml:space="preserve">exercice de leurs fonctions — Action </w:t>
      </w:r>
      <w:r w:rsidR="001F440C" w:rsidRPr="004E7607">
        <w:rPr>
          <w:i/>
          <w:lang w:val="fr-CA"/>
        </w:rPr>
        <w:t>en</w:t>
      </w:r>
      <w:r w:rsidR="00942508" w:rsidRPr="004E7607">
        <w:rPr>
          <w:i/>
          <w:lang w:val="fr-CA"/>
        </w:rPr>
        <w:t xml:space="preserve"> négligence intentée par des personnes à charge subséquemment à l</w:t>
      </w:r>
      <w:r w:rsidR="00C768B7">
        <w:rPr>
          <w:i/>
          <w:lang w:val="fr-CA"/>
        </w:rPr>
        <w:t>’</w:t>
      </w:r>
      <w:r w:rsidR="00942508" w:rsidRPr="004E7607">
        <w:rPr>
          <w:i/>
          <w:lang w:val="fr-CA"/>
        </w:rPr>
        <w:t>obtention d</w:t>
      </w:r>
      <w:r w:rsidR="00C768B7">
        <w:rPr>
          <w:i/>
          <w:lang w:val="fr-CA"/>
        </w:rPr>
        <w:t>’</w:t>
      </w:r>
      <w:r w:rsidR="00942508" w:rsidRPr="004E7607">
        <w:rPr>
          <w:i/>
          <w:lang w:val="fr-CA"/>
        </w:rPr>
        <w:t>une indemnité</w:t>
      </w:r>
      <w:r w:rsidR="00942508" w:rsidRPr="004E7607">
        <w:rPr>
          <w:lang w:val="fr-CA"/>
        </w:rPr>
        <w:t xml:space="preserve"> </w:t>
      </w:r>
      <w:r w:rsidR="00942508" w:rsidRPr="004E7607">
        <w:rPr>
          <w:i/>
          <w:lang w:val="fr-CA"/>
        </w:rPr>
        <w:t xml:space="preserve">— </w:t>
      </w:r>
      <w:r w:rsidR="00BA149C" w:rsidRPr="004E7607">
        <w:rPr>
          <w:i/>
          <w:lang w:val="fr-CA"/>
        </w:rPr>
        <w:t>La mort est</w:t>
      </w:r>
      <w:r w:rsidR="00A44E93" w:rsidRPr="004E7607">
        <w:rPr>
          <w:i/>
          <w:lang w:val="fr-CA"/>
        </w:rPr>
        <w:noBreakHyphen/>
      </w:r>
      <w:r w:rsidR="00BA149C" w:rsidRPr="004E7607">
        <w:rPr>
          <w:i/>
          <w:lang w:val="fr-CA"/>
        </w:rPr>
        <w:t xml:space="preserve">elle survenue </w:t>
      </w:r>
      <w:r w:rsidR="00942508" w:rsidRPr="004E7607">
        <w:rPr>
          <w:i/>
          <w:lang w:val="fr-CA"/>
        </w:rPr>
        <w:t>autrement que d</w:t>
      </w:r>
      <w:r w:rsidR="00BA149C" w:rsidRPr="004E7607">
        <w:rPr>
          <w:i/>
          <w:lang w:val="fr-CA"/>
        </w:rPr>
        <w:t>ans l</w:t>
      </w:r>
      <w:r w:rsidR="00FE4957" w:rsidRPr="004E7607">
        <w:rPr>
          <w:i/>
          <w:lang w:val="fr-CA"/>
        </w:rPr>
        <w:t xml:space="preserve">e cours </w:t>
      </w:r>
      <w:r w:rsidR="00BA149C" w:rsidRPr="004E7607">
        <w:rPr>
          <w:i/>
          <w:lang w:val="fr-CA"/>
        </w:rPr>
        <w:t xml:space="preserve">des activités </w:t>
      </w:r>
      <w:r w:rsidR="000F3B92" w:rsidRPr="004E7607">
        <w:rPr>
          <w:i/>
          <w:lang w:val="fr-CA"/>
        </w:rPr>
        <w:t xml:space="preserve">habituelles ou accessoires </w:t>
      </w:r>
      <w:r w:rsidR="00FE4957" w:rsidRPr="004E7607">
        <w:rPr>
          <w:i/>
          <w:lang w:val="fr-CA"/>
        </w:rPr>
        <w:t xml:space="preserve">menées </w:t>
      </w:r>
      <w:r w:rsidR="000F3B92" w:rsidRPr="004E7607">
        <w:rPr>
          <w:i/>
          <w:lang w:val="fr-CA"/>
        </w:rPr>
        <w:t>d</w:t>
      </w:r>
      <w:r w:rsidR="00FE4957" w:rsidRPr="004E7607">
        <w:rPr>
          <w:i/>
          <w:lang w:val="fr-CA"/>
        </w:rPr>
        <w:t>ans</w:t>
      </w:r>
      <w:r w:rsidR="000F3B92" w:rsidRPr="004E7607">
        <w:rPr>
          <w:i/>
          <w:lang w:val="fr-CA"/>
        </w:rPr>
        <w:t xml:space="preserve"> l</w:t>
      </w:r>
      <w:r w:rsidR="00C768B7">
        <w:rPr>
          <w:i/>
          <w:lang w:val="fr-CA"/>
        </w:rPr>
        <w:t>’</w:t>
      </w:r>
      <w:r w:rsidR="000F3B92" w:rsidRPr="004E7607">
        <w:rPr>
          <w:i/>
          <w:lang w:val="fr-CA"/>
        </w:rPr>
        <w:t xml:space="preserve">industrie </w:t>
      </w:r>
      <w:r w:rsidR="00FE4957" w:rsidRPr="004E7607">
        <w:rPr>
          <w:i/>
          <w:lang w:val="fr-CA"/>
        </w:rPr>
        <w:t xml:space="preserve">à laquelle participe </w:t>
      </w:r>
      <w:r w:rsidR="000F3B92" w:rsidRPr="004E7607">
        <w:rPr>
          <w:i/>
          <w:lang w:val="fr-CA"/>
        </w:rPr>
        <w:t>l</w:t>
      </w:r>
      <w:r w:rsidR="00C768B7">
        <w:rPr>
          <w:i/>
          <w:lang w:val="fr-CA"/>
        </w:rPr>
        <w:t>’</w:t>
      </w:r>
      <w:r w:rsidR="000F3B92" w:rsidRPr="004E7607">
        <w:rPr>
          <w:i/>
          <w:lang w:val="fr-CA"/>
        </w:rPr>
        <w:t>employeur?</w:t>
      </w:r>
      <w:r w:rsidR="004E6466">
        <w:rPr>
          <w:i/>
          <w:lang w:val="fr-CA"/>
        </w:rPr>
        <w:t xml:space="preserve"> </w:t>
      </w:r>
      <w:r w:rsidRPr="004E7607">
        <w:rPr>
          <w:i/>
          <w:lang w:val="fr-CA"/>
        </w:rPr>
        <w:t xml:space="preserve">— </w:t>
      </w:r>
      <w:r w:rsidR="00BA149C" w:rsidRPr="004E7607">
        <w:rPr>
          <w:i/>
          <w:lang w:val="fr-CA"/>
        </w:rPr>
        <w:t>L</w:t>
      </w:r>
      <w:r w:rsidR="00C768B7">
        <w:rPr>
          <w:i/>
          <w:lang w:val="fr-CA"/>
        </w:rPr>
        <w:t>’</w:t>
      </w:r>
      <w:r w:rsidR="00BA149C" w:rsidRPr="004E7607">
        <w:rPr>
          <w:i/>
          <w:lang w:val="fr-CA"/>
        </w:rPr>
        <w:t xml:space="preserve">interdiction </w:t>
      </w:r>
      <w:r w:rsidR="00942508" w:rsidRPr="004E7607">
        <w:rPr>
          <w:i/>
          <w:lang w:val="fr-CA"/>
        </w:rPr>
        <w:t xml:space="preserve">légale </w:t>
      </w:r>
      <w:r w:rsidR="00BA149C" w:rsidRPr="004E7607">
        <w:rPr>
          <w:i/>
          <w:lang w:val="fr-CA"/>
        </w:rPr>
        <w:t>de poursuite</w:t>
      </w:r>
      <w:r w:rsidR="005C52A4" w:rsidRPr="004E7607">
        <w:rPr>
          <w:i/>
          <w:lang w:val="fr-CA"/>
        </w:rPr>
        <w:t>s</w:t>
      </w:r>
      <w:r w:rsidR="00BA149C" w:rsidRPr="004E7607">
        <w:rPr>
          <w:i/>
          <w:lang w:val="fr-CA"/>
        </w:rPr>
        <w:t xml:space="preserve"> s</w:t>
      </w:r>
      <w:r w:rsidR="00C768B7">
        <w:rPr>
          <w:i/>
          <w:lang w:val="fr-CA"/>
        </w:rPr>
        <w:t>’</w:t>
      </w:r>
      <w:r w:rsidR="00BA149C" w:rsidRPr="004E7607">
        <w:rPr>
          <w:i/>
          <w:lang w:val="fr-CA"/>
        </w:rPr>
        <w:t>applique</w:t>
      </w:r>
      <w:r w:rsidR="00A44E93" w:rsidRPr="004E7607">
        <w:rPr>
          <w:i/>
          <w:lang w:val="fr-CA"/>
        </w:rPr>
        <w:noBreakHyphen/>
      </w:r>
      <w:r w:rsidR="00BA149C" w:rsidRPr="004E7607">
        <w:rPr>
          <w:i/>
          <w:lang w:val="fr-CA"/>
        </w:rPr>
        <w:t>t</w:t>
      </w:r>
      <w:r w:rsidR="00A44E93" w:rsidRPr="004E7607">
        <w:rPr>
          <w:i/>
          <w:lang w:val="fr-CA"/>
        </w:rPr>
        <w:noBreakHyphen/>
      </w:r>
      <w:r w:rsidR="00BA149C" w:rsidRPr="004E7607">
        <w:rPr>
          <w:i/>
          <w:lang w:val="fr-CA"/>
        </w:rPr>
        <w:t>elle?</w:t>
      </w:r>
      <w:r w:rsidRPr="004E7607">
        <w:rPr>
          <w:i/>
          <w:lang w:val="fr-CA"/>
        </w:rPr>
        <w:t xml:space="preserve"> — Workplace Health, Safety and Compensation Act, R.S.N.L. 1990, </w:t>
      </w:r>
      <w:r w:rsidR="00A44E93" w:rsidRPr="004E7607">
        <w:rPr>
          <w:i/>
          <w:lang w:val="fr-CA"/>
        </w:rPr>
        <w:t>ch. </w:t>
      </w:r>
      <w:r w:rsidRPr="004E7607">
        <w:rPr>
          <w:i/>
          <w:lang w:val="fr-CA"/>
        </w:rPr>
        <w:t>W</w:t>
      </w:r>
      <w:r w:rsidR="00A44E93" w:rsidRPr="004E7607">
        <w:rPr>
          <w:i/>
          <w:lang w:val="fr-CA"/>
        </w:rPr>
        <w:noBreakHyphen/>
      </w:r>
      <w:r w:rsidRPr="004E7607">
        <w:rPr>
          <w:i/>
          <w:lang w:val="fr-CA"/>
        </w:rPr>
        <w:t xml:space="preserve">11, </w:t>
      </w:r>
      <w:r w:rsidR="00A44E93" w:rsidRPr="004E7607">
        <w:rPr>
          <w:i/>
          <w:lang w:val="fr-CA"/>
        </w:rPr>
        <w:t>art. </w:t>
      </w:r>
      <w:r w:rsidRPr="004E7607">
        <w:rPr>
          <w:i/>
          <w:lang w:val="fr-CA"/>
        </w:rPr>
        <w:t>44.</w:t>
      </w:r>
    </w:p>
    <w:p w:rsidR="004D7D95" w:rsidRPr="004E7607" w:rsidRDefault="000F3B92" w:rsidP="00EA7D78">
      <w:pPr>
        <w:pStyle w:val="SCCNormalDoubleSpacing"/>
        <w:spacing w:after="480"/>
        <w:rPr>
          <w:lang w:val="fr-CA"/>
        </w:rPr>
      </w:pPr>
      <w:r w:rsidRPr="004E7607">
        <w:rPr>
          <w:lang w:val="fr-CA"/>
        </w:rPr>
        <w:tab/>
        <w:t>Les frères Ryan ont perdu</w:t>
      </w:r>
      <w:r w:rsidR="005C52A4" w:rsidRPr="004E7607">
        <w:rPr>
          <w:lang w:val="fr-CA"/>
        </w:rPr>
        <w:t xml:space="preserve"> la vie</w:t>
      </w:r>
      <w:r w:rsidRPr="004E7607">
        <w:rPr>
          <w:lang w:val="fr-CA"/>
        </w:rPr>
        <w:t xml:space="preserve"> lorsque leur bateau, le </w:t>
      </w:r>
      <w:r w:rsidRPr="004E7607">
        <w:rPr>
          <w:i/>
          <w:lang w:val="fr-CA"/>
        </w:rPr>
        <w:t>Ryan</w:t>
      </w:r>
      <w:r w:rsidR="00C768B7">
        <w:rPr>
          <w:i/>
          <w:lang w:val="fr-CA"/>
        </w:rPr>
        <w:t>’</w:t>
      </w:r>
      <w:r w:rsidRPr="004E7607">
        <w:rPr>
          <w:i/>
          <w:lang w:val="fr-CA"/>
        </w:rPr>
        <w:t>s Commander</w:t>
      </w:r>
      <w:r w:rsidRPr="004E7607">
        <w:rPr>
          <w:lang w:val="fr-CA"/>
        </w:rPr>
        <w:t>, a chaviré au retour d</w:t>
      </w:r>
      <w:r w:rsidR="00C768B7">
        <w:rPr>
          <w:lang w:val="fr-CA"/>
        </w:rPr>
        <w:t>’</w:t>
      </w:r>
      <w:r w:rsidRPr="004E7607">
        <w:rPr>
          <w:lang w:val="fr-CA"/>
        </w:rPr>
        <w:t>une expédition de pêche au large des côtes de Terre</w:t>
      </w:r>
      <w:r w:rsidR="00A44E93" w:rsidRPr="004E7607">
        <w:rPr>
          <w:lang w:val="fr-CA"/>
        </w:rPr>
        <w:noBreakHyphen/>
      </w:r>
      <w:r w:rsidRPr="004E7607">
        <w:rPr>
          <w:lang w:val="fr-CA"/>
        </w:rPr>
        <w:t>Neuve</w:t>
      </w:r>
      <w:r w:rsidR="00A44E93" w:rsidRPr="004E7607">
        <w:rPr>
          <w:lang w:val="fr-CA"/>
        </w:rPr>
        <w:noBreakHyphen/>
      </w:r>
      <w:r w:rsidRPr="004E7607">
        <w:rPr>
          <w:lang w:val="fr-CA"/>
        </w:rPr>
        <w:t>et</w:t>
      </w:r>
      <w:r w:rsidR="00A44E93" w:rsidRPr="004E7607">
        <w:rPr>
          <w:lang w:val="fr-CA"/>
        </w:rPr>
        <w:noBreakHyphen/>
      </w:r>
      <w:r w:rsidRPr="004E7607">
        <w:rPr>
          <w:lang w:val="fr-CA"/>
        </w:rPr>
        <w:t>Labrador</w:t>
      </w:r>
      <w:r w:rsidR="00A44E93" w:rsidRPr="004E7607">
        <w:rPr>
          <w:lang w:val="fr-CA"/>
        </w:rPr>
        <w:t xml:space="preserve">.  </w:t>
      </w:r>
      <w:r w:rsidR="00073BE1" w:rsidRPr="004E7607">
        <w:rPr>
          <w:lang w:val="fr-CA"/>
        </w:rPr>
        <w:t xml:space="preserve">Leurs veuves et enfants à charge (les « successions Ryan ») ont demandé et reçu des indemnités au titre de la </w:t>
      </w:r>
      <w:r w:rsidR="00073BE1" w:rsidRPr="004E7607">
        <w:rPr>
          <w:i/>
          <w:lang w:val="fr-CA"/>
        </w:rPr>
        <w:t xml:space="preserve">Workplace Health, Safety and Compensation Act </w:t>
      </w:r>
      <w:r w:rsidRPr="004E7607">
        <w:rPr>
          <w:lang w:val="fr-CA"/>
        </w:rPr>
        <w:t>(</w:t>
      </w:r>
      <w:r w:rsidR="00073BE1" w:rsidRPr="004E7607">
        <w:rPr>
          <w:lang w:val="fr-CA"/>
        </w:rPr>
        <w:t>« </w:t>
      </w:r>
      <w:r w:rsidRPr="004E7607">
        <w:rPr>
          <w:i/>
          <w:lang w:val="fr-CA"/>
        </w:rPr>
        <w:t>WHSCA</w:t>
      </w:r>
      <w:r w:rsidR="008E0100">
        <w:rPr>
          <w:i/>
          <w:lang w:val="fr-CA"/>
        </w:rPr>
        <w:t> </w:t>
      </w:r>
      <w:r w:rsidR="00073BE1" w:rsidRPr="004E7607">
        <w:rPr>
          <w:lang w:val="fr-CA"/>
        </w:rPr>
        <w:t>»</w:t>
      </w:r>
      <w:r w:rsidRPr="004E7607">
        <w:rPr>
          <w:lang w:val="fr-CA"/>
        </w:rPr>
        <w:t>)</w:t>
      </w:r>
      <w:r w:rsidR="00073BE1" w:rsidRPr="004E7607">
        <w:rPr>
          <w:lang w:val="fr-CA"/>
        </w:rPr>
        <w:t xml:space="preserve"> de Terre</w:t>
      </w:r>
      <w:r w:rsidR="00A44E93" w:rsidRPr="004E7607">
        <w:rPr>
          <w:lang w:val="fr-CA"/>
        </w:rPr>
        <w:noBreakHyphen/>
      </w:r>
      <w:r w:rsidR="00073BE1" w:rsidRPr="004E7607">
        <w:rPr>
          <w:lang w:val="fr-CA"/>
        </w:rPr>
        <w:t>Neuve</w:t>
      </w:r>
      <w:r w:rsidR="00A44E93" w:rsidRPr="004E7607">
        <w:rPr>
          <w:lang w:val="fr-CA"/>
        </w:rPr>
        <w:noBreakHyphen/>
      </w:r>
      <w:r w:rsidR="00073BE1" w:rsidRPr="004E7607">
        <w:rPr>
          <w:lang w:val="fr-CA"/>
        </w:rPr>
        <w:t>et</w:t>
      </w:r>
      <w:r w:rsidR="00A44E93" w:rsidRPr="004E7607">
        <w:rPr>
          <w:lang w:val="fr-CA"/>
        </w:rPr>
        <w:noBreakHyphen/>
      </w:r>
      <w:r w:rsidR="00073BE1" w:rsidRPr="004E7607">
        <w:rPr>
          <w:lang w:val="fr-CA"/>
        </w:rPr>
        <w:t>Labrador</w:t>
      </w:r>
      <w:r w:rsidR="00A44E93" w:rsidRPr="004E7607">
        <w:rPr>
          <w:lang w:val="fr-CA"/>
        </w:rPr>
        <w:t xml:space="preserve">.  </w:t>
      </w:r>
      <w:r w:rsidR="00073BE1" w:rsidRPr="004E7607">
        <w:rPr>
          <w:lang w:val="fr-CA"/>
        </w:rPr>
        <w:t>E</w:t>
      </w:r>
      <w:r w:rsidRPr="004E7607">
        <w:rPr>
          <w:lang w:val="fr-CA"/>
        </w:rPr>
        <w:t>n</w:t>
      </w:r>
      <w:r w:rsidR="00073BE1" w:rsidRPr="004E7607">
        <w:rPr>
          <w:lang w:val="fr-CA"/>
        </w:rPr>
        <w:t xml:space="preserve"> outre, </w:t>
      </w:r>
      <w:r w:rsidR="00073BE1" w:rsidRPr="004E7607">
        <w:rPr>
          <w:lang w:val="fr-CA"/>
        </w:rPr>
        <w:lastRenderedPageBreak/>
        <w:t>s</w:t>
      </w:r>
      <w:r w:rsidR="00C768B7">
        <w:rPr>
          <w:lang w:val="fr-CA"/>
        </w:rPr>
        <w:t>’</w:t>
      </w:r>
      <w:r w:rsidR="00073BE1" w:rsidRPr="004E7607">
        <w:rPr>
          <w:lang w:val="fr-CA"/>
        </w:rPr>
        <w:t xml:space="preserve">appuyant sur la </w:t>
      </w:r>
      <w:r w:rsidR="00073BE1" w:rsidRPr="004E7607">
        <w:rPr>
          <w:i/>
          <w:lang w:val="fr-CA"/>
        </w:rPr>
        <w:t>Loi sur la responsabilité en matière maritime</w:t>
      </w:r>
      <w:r w:rsidR="00073BE1" w:rsidRPr="004E7607">
        <w:rPr>
          <w:lang w:val="fr-CA"/>
        </w:rPr>
        <w:t xml:space="preserve"> </w:t>
      </w:r>
      <w:r w:rsidR="00211E8D" w:rsidRPr="004E7607">
        <w:rPr>
          <w:lang w:val="fr-CA"/>
        </w:rPr>
        <w:t>(</w:t>
      </w:r>
      <w:r w:rsidR="008E0100">
        <w:rPr>
          <w:lang w:val="fr-CA"/>
        </w:rPr>
        <w:t>« </w:t>
      </w:r>
      <w:r w:rsidR="006365E8" w:rsidRPr="004E7607">
        <w:rPr>
          <w:i/>
          <w:lang w:val="fr-CA"/>
        </w:rPr>
        <w:t>LRMM</w:t>
      </w:r>
      <w:r w:rsidR="008E0100">
        <w:rPr>
          <w:lang w:val="fr-CA"/>
        </w:rPr>
        <w:t> </w:t>
      </w:r>
      <w:r w:rsidR="006365E8" w:rsidRPr="004E7607">
        <w:rPr>
          <w:lang w:val="fr-CA"/>
        </w:rPr>
        <w:t xml:space="preserve">») </w:t>
      </w:r>
      <w:r w:rsidR="00073BE1" w:rsidRPr="004E7607">
        <w:rPr>
          <w:lang w:val="fr-CA"/>
        </w:rPr>
        <w:t>du gouvernement fédéral, les successions Ryan ont intenté une action contre Universal Marine Limited, Marine Services International Limited et P, un employé de cette dernière, leur reprochant d</w:t>
      </w:r>
      <w:r w:rsidR="00C768B7">
        <w:rPr>
          <w:lang w:val="fr-CA"/>
        </w:rPr>
        <w:t>’</w:t>
      </w:r>
      <w:r w:rsidR="00073BE1" w:rsidRPr="004E7607">
        <w:rPr>
          <w:lang w:val="fr-CA"/>
        </w:rPr>
        <w:t xml:space="preserve">avoir fait montre de négligence dans la conception et la construction du </w:t>
      </w:r>
      <w:r w:rsidR="00073BE1" w:rsidRPr="004E7607">
        <w:rPr>
          <w:i/>
          <w:lang w:val="fr-CA"/>
        </w:rPr>
        <w:t>Ryan</w:t>
      </w:r>
      <w:r w:rsidR="00C768B7">
        <w:rPr>
          <w:i/>
          <w:lang w:val="fr-CA"/>
        </w:rPr>
        <w:t>’</w:t>
      </w:r>
      <w:r w:rsidR="00073BE1" w:rsidRPr="004E7607">
        <w:rPr>
          <w:i/>
          <w:lang w:val="fr-CA"/>
        </w:rPr>
        <w:t>s Commander</w:t>
      </w:r>
      <w:r w:rsidR="00BA03E3" w:rsidRPr="004E7607">
        <w:rPr>
          <w:lang w:val="fr-CA"/>
        </w:rPr>
        <w:t xml:space="preserve">, de même que contre le procureur général du Canada, </w:t>
      </w:r>
      <w:r w:rsidR="00416448" w:rsidRPr="004E7607">
        <w:rPr>
          <w:lang w:val="fr-CA"/>
        </w:rPr>
        <w:t xml:space="preserve">pour le </w:t>
      </w:r>
      <w:r w:rsidR="00664302" w:rsidRPr="004E7607">
        <w:rPr>
          <w:lang w:val="fr-CA"/>
        </w:rPr>
        <w:t>motif qu</w:t>
      </w:r>
      <w:r w:rsidR="00C768B7">
        <w:rPr>
          <w:lang w:val="fr-CA"/>
        </w:rPr>
        <w:t>’</w:t>
      </w:r>
      <w:r w:rsidR="00664302" w:rsidRPr="004E7607">
        <w:rPr>
          <w:lang w:val="fr-CA"/>
        </w:rPr>
        <w:t xml:space="preserve">il y aurait eu négligence de la part de </w:t>
      </w:r>
      <w:r w:rsidR="00BA03E3" w:rsidRPr="004E7607">
        <w:rPr>
          <w:lang w:val="fr-CA"/>
        </w:rPr>
        <w:t>Transports Canada dans l</w:t>
      </w:r>
      <w:r w:rsidR="00C768B7">
        <w:rPr>
          <w:lang w:val="fr-CA"/>
        </w:rPr>
        <w:t>’</w:t>
      </w:r>
      <w:r w:rsidR="00BA03E3" w:rsidRPr="004E7607">
        <w:rPr>
          <w:lang w:val="fr-CA"/>
        </w:rPr>
        <w:t>inspection du bateau</w:t>
      </w:r>
      <w:r w:rsidR="00A44E93" w:rsidRPr="004E7607">
        <w:rPr>
          <w:lang w:val="fr-CA"/>
        </w:rPr>
        <w:t xml:space="preserve">.  </w:t>
      </w:r>
      <w:r w:rsidRPr="004E7607">
        <w:rPr>
          <w:lang w:val="fr-CA"/>
        </w:rPr>
        <w:t xml:space="preserve">Marine Services </w:t>
      </w:r>
      <w:r w:rsidR="00BA03E3" w:rsidRPr="004E7607">
        <w:rPr>
          <w:lang w:val="fr-CA"/>
        </w:rPr>
        <w:t xml:space="preserve">et </w:t>
      </w:r>
      <w:r w:rsidRPr="004E7607">
        <w:rPr>
          <w:lang w:val="fr-CA"/>
        </w:rPr>
        <w:t xml:space="preserve">P </w:t>
      </w:r>
      <w:r w:rsidR="005C52A4" w:rsidRPr="004E7607">
        <w:rPr>
          <w:lang w:val="fr-CA"/>
        </w:rPr>
        <w:t xml:space="preserve">ont demandé à la </w:t>
      </w:r>
      <w:r w:rsidRPr="004E7607">
        <w:rPr>
          <w:lang w:val="fr-CA"/>
        </w:rPr>
        <w:t>Workplace Health, Safety and Compensation Commission</w:t>
      </w:r>
      <w:r w:rsidR="005C52A4" w:rsidRPr="004E7607">
        <w:rPr>
          <w:lang w:val="fr-CA"/>
        </w:rPr>
        <w:t xml:space="preserve"> de décider si l</w:t>
      </w:r>
      <w:r w:rsidR="00C768B7">
        <w:rPr>
          <w:lang w:val="fr-CA"/>
        </w:rPr>
        <w:t>’</w:t>
      </w:r>
      <w:r w:rsidR="005C52A4" w:rsidRPr="004E7607">
        <w:rPr>
          <w:lang w:val="fr-CA"/>
        </w:rPr>
        <w:t>action tombait sous le coup de l</w:t>
      </w:r>
      <w:r w:rsidR="00C768B7">
        <w:rPr>
          <w:lang w:val="fr-CA"/>
        </w:rPr>
        <w:t>’</w:t>
      </w:r>
      <w:r w:rsidR="005C52A4" w:rsidRPr="004E7607">
        <w:rPr>
          <w:lang w:val="fr-CA"/>
        </w:rPr>
        <w:t xml:space="preserve">interdiction </w:t>
      </w:r>
      <w:r w:rsidR="00942508" w:rsidRPr="004E7607">
        <w:rPr>
          <w:lang w:val="fr-CA"/>
        </w:rPr>
        <w:t xml:space="preserve">légale </w:t>
      </w:r>
      <w:r w:rsidR="005C52A4" w:rsidRPr="004E7607">
        <w:rPr>
          <w:lang w:val="fr-CA"/>
        </w:rPr>
        <w:t>de poursuites prévue à l</w:t>
      </w:r>
      <w:r w:rsidR="00C768B7">
        <w:rPr>
          <w:lang w:val="fr-CA"/>
        </w:rPr>
        <w:t>’</w:t>
      </w:r>
      <w:r w:rsidR="00A44E93" w:rsidRPr="004E7607">
        <w:rPr>
          <w:lang w:val="fr-CA"/>
        </w:rPr>
        <w:t>art. </w:t>
      </w:r>
      <w:r w:rsidR="005C52A4" w:rsidRPr="004E7607">
        <w:rPr>
          <w:lang w:val="fr-CA"/>
        </w:rPr>
        <w:t xml:space="preserve">44 de la </w:t>
      </w:r>
      <w:r w:rsidR="005C52A4" w:rsidRPr="004E7607">
        <w:rPr>
          <w:i/>
          <w:lang w:val="fr-CA"/>
        </w:rPr>
        <w:t>WHSCA</w:t>
      </w:r>
      <w:r w:rsidR="00A44E93" w:rsidRPr="004E7607">
        <w:rPr>
          <w:lang w:val="fr-CA"/>
        </w:rPr>
        <w:t xml:space="preserve">.  </w:t>
      </w:r>
      <w:r w:rsidR="00431A5E" w:rsidRPr="004E7607">
        <w:rPr>
          <w:lang w:val="fr-CA"/>
        </w:rPr>
        <w:t xml:space="preserve">La </w:t>
      </w:r>
      <w:r w:rsidRPr="004E7607">
        <w:rPr>
          <w:lang w:val="fr-CA"/>
        </w:rPr>
        <w:t>Commission</w:t>
      </w:r>
      <w:r w:rsidR="00431A5E" w:rsidRPr="004E7607">
        <w:rPr>
          <w:lang w:val="fr-CA"/>
        </w:rPr>
        <w:t xml:space="preserve"> a </w:t>
      </w:r>
      <w:r w:rsidR="00942508" w:rsidRPr="004E7607">
        <w:rPr>
          <w:lang w:val="fr-CA"/>
        </w:rPr>
        <w:t xml:space="preserve">statué </w:t>
      </w:r>
      <w:r w:rsidR="00431A5E" w:rsidRPr="004E7607">
        <w:rPr>
          <w:lang w:val="fr-CA"/>
        </w:rPr>
        <w:t>que cette disposition avait pour effet de prohiber l</w:t>
      </w:r>
      <w:r w:rsidR="00C768B7">
        <w:rPr>
          <w:lang w:val="fr-CA"/>
        </w:rPr>
        <w:t>’</w:t>
      </w:r>
      <w:r w:rsidR="00431A5E" w:rsidRPr="004E7607">
        <w:rPr>
          <w:lang w:val="fr-CA"/>
        </w:rPr>
        <w:t>action</w:t>
      </w:r>
      <w:r w:rsidR="00A44E93" w:rsidRPr="004E7607">
        <w:rPr>
          <w:lang w:val="fr-CA"/>
        </w:rPr>
        <w:t xml:space="preserve">.  </w:t>
      </w:r>
      <w:r w:rsidR="00431A5E" w:rsidRPr="004E7607">
        <w:rPr>
          <w:lang w:val="fr-CA"/>
        </w:rPr>
        <w:t>À l</w:t>
      </w:r>
      <w:r w:rsidR="00C768B7">
        <w:rPr>
          <w:lang w:val="fr-CA"/>
        </w:rPr>
        <w:t>’</w:t>
      </w:r>
      <w:r w:rsidR="00431A5E" w:rsidRPr="004E7607">
        <w:rPr>
          <w:lang w:val="fr-CA"/>
        </w:rPr>
        <w:t>issue d</w:t>
      </w:r>
      <w:r w:rsidR="00C768B7">
        <w:rPr>
          <w:lang w:val="fr-CA"/>
        </w:rPr>
        <w:t>’</w:t>
      </w:r>
      <w:r w:rsidR="00431A5E" w:rsidRPr="004E7607">
        <w:rPr>
          <w:lang w:val="fr-CA"/>
        </w:rPr>
        <w:t>un contrôle judiciaire</w:t>
      </w:r>
      <w:r w:rsidRPr="004E7607">
        <w:rPr>
          <w:lang w:val="fr-CA"/>
        </w:rPr>
        <w:t>,</w:t>
      </w:r>
      <w:r w:rsidR="00431A5E" w:rsidRPr="004E7607">
        <w:rPr>
          <w:lang w:val="fr-CA"/>
        </w:rPr>
        <w:t xml:space="preserve"> la Section de première instance de la Cour suprême a infirmé la </w:t>
      </w:r>
      <w:r w:rsidRPr="004E7607">
        <w:rPr>
          <w:lang w:val="fr-CA"/>
        </w:rPr>
        <w:t>d</w:t>
      </w:r>
      <w:r w:rsidR="00431A5E" w:rsidRPr="004E7607">
        <w:rPr>
          <w:lang w:val="fr-CA"/>
        </w:rPr>
        <w:t>é</w:t>
      </w:r>
      <w:r w:rsidRPr="004E7607">
        <w:rPr>
          <w:lang w:val="fr-CA"/>
        </w:rPr>
        <w:t xml:space="preserve">cision </w:t>
      </w:r>
      <w:r w:rsidR="00431A5E" w:rsidRPr="004E7607">
        <w:rPr>
          <w:lang w:val="fr-CA"/>
        </w:rPr>
        <w:t xml:space="preserve">de la </w:t>
      </w:r>
      <w:r w:rsidRPr="004E7607">
        <w:rPr>
          <w:lang w:val="fr-CA"/>
        </w:rPr>
        <w:t xml:space="preserve">Commission, </w:t>
      </w:r>
      <w:r w:rsidR="00431A5E" w:rsidRPr="004E7607">
        <w:rPr>
          <w:lang w:val="fr-CA"/>
        </w:rPr>
        <w:t xml:space="preserve">concluant </w:t>
      </w:r>
      <w:r w:rsidR="008009AA" w:rsidRPr="004E7607">
        <w:rPr>
          <w:lang w:val="fr-CA"/>
        </w:rPr>
        <w:t>que l</w:t>
      </w:r>
      <w:r w:rsidR="00431A5E" w:rsidRPr="004E7607">
        <w:rPr>
          <w:lang w:val="fr-CA"/>
        </w:rPr>
        <w:t>es doctrines de l</w:t>
      </w:r>
      <w:r w:rsidR="00C768B7">
        <w:rPr>
          <w:lang w:val="fr-CA"/>
        </w:rPr>
        <w:t>’</w:t>
      </w:r>
      <w:r w:rsidR="00431A5E" w:rsidRPr="004E7607">
        <w:rPr>
          <w:lang w:val="fr-CA"/>
        </w:rPr>
        <w:t>exclusivité des compétences et de la prépondérance fédérale</w:t>
      </w:r>
      <w:r w:rsidR="008009AA" w:rsidRPr="004E7607">
        <w:rPr>
          <w:lang w:val="fr-CA"/>
        </w:rPr>
        <w:t xml:space="preserve"> s</w:t>
      </w:r>
      <w:r w:rsidR="00C768B7">
        <w:rPr>
          <w:lang w:val="fr-CA"/>
        </w:rPr>
        <w:t>’</w:t>
      </w:r>
      <w:r w:rsidR="008009AA" w:rsidRPr="004E7607">
        <w:rPr>
          <w:lang w:val="fr-CA"/>
        </w:rPr>
        <w:t>appliquent</w:t>
      </w:r>
      <w:r w:rsidR="00431A5E" w:rsidRPr="004E7607">
        <w:rPr>
          <w:lang w:val="fr-CA"/>
        </w:rPr>
        <w:t xml:space="preserve"> et qu</w:t>
      </w:r>
      <w:r w:rsidR="00C768B7">
        <w:rPr>
          <w:lang w:val="fr-CA"/>
        </w:rPr>
        <w:t>’</w:t>
      </w:r>
      <w:r w:rsidR="00431A5E" w:rsidRPr="004E7607">
        <w:rPr>
          <w:lang w:val="fr-CA"/>
        </w:rPr>
        <w:t>il faut donc donner une interprétation atténuée à l</w:t>
      </w:r>
      <w:r w:rsidR="00C768B7">
        <w:rPr>
          <w:lang w:val="fr-CA"/>
        </w:rPr>
        <w:t>’</w:t>
      </w:r>
      <w:r w:rsidR="00A44E93" w:rsidRPr="004E7607">
        <w:rPr>
          <w:lang w:val="fr-CA"/>
        </w:rPr>
        <w:t>art. </w:t>
      </w:r>
      <w:r w:rsidR="00431A5E" w:rsidRPr="004E7607">
        <w:rPr>
          <w:lang w:val="fr-CA"/>
        </w:rPr>
        <w:t>44</w:t>
      </w:r>
      <w:r w:rsidR="009A53C0" w:rsidRPr="004E7607">
        <w:rPr>
          <w:lang w:val="fr-CA"/>
        </w:rPr>
        <w:t>, de façon que l</w:t>
      </w:r>
      <w:r w:rsidR="00C768B7">
        <w:rPr>
          <w:lang w:val="fr-CA"/>
        </w:rPr>
        <w:t>’</w:t>
      </w:r>
      <w:r w:rsidR="009A53C0" w:rsidRPr="004E7607">
        <w:rPr>
          <w:lang w:val="fr-CA"/>
        </w:rPr>
        <w:t>action puisse suivre son cours</w:t>
      </w:r>
      <w:r w:rsidR="00A44E93" w:rsidRPr="004E7607">
        <w:rPr>
          <w:lang w:val="fr-CA"/>
        </w:rPr>
        <w:t xml:space="preserve">.  </w:t>
      </w:r>
      <w:r w:rsidR="009A53C0" w:rsidRPr="004E7607">
        <w:rPr>
          <w:lang w:val="fr-CA"/>
        </w:rPr>
        <w:t>La Cour d</w:t>
      </w:r>
      <w:r w:rsidR="00C768B7">
        <w:rPr>
          <w:lang w:val="fr-CA"/>
        </w:rPr>
        <w:t>’</w:t>
      </w:r>
      <w:r w:rsidR="009A53C0" w:rsidRPr="004E7607">
        <w:rPr>
          <w:lang w:val="fr-CA"/>
        </w:rPr>
        <w:t>appel, à la majorité, a confirmé le jugement de première instance</w:t>
      </w:r>
      <w:r w:rsidRPr="004E7607">
        <w:rPr>
          <w:lang w:val="fr-CA"/>
        </w:rPr>
        <w:t>.</w:t>
      </w:r>
    </w:p>
    <w:p w:rsidR="004D7D95" w:rsidRPr="004E7607" w:rsidRDefault="004D7D95" w:rsidP="00EA7D78">
      <w:pPr>
        <w:pStyle w:val="SCCNormalDoubleSpacing"/>
        <w:spacing w:after="480"/>
        <w:rPr>
          <w:lang w:val="fr-CA"/>
        </w:rPr>
      </w:pPr>
      <w:r w:rsidRPr="004E7607">
        <w:rPr>
          <w:lang w:val="fr-CA"/>
        </w:rPr>
        <w:tab/>
      </w:r>
      <w:r w:rsidRPr="004E7607">
        <w:rPr>
          <w:i/>
          <w:lang w:val="fr-CA"/>
        </w:rPr>
        <w:t>Arrêt</w:t>
      </w:r>
      <w:r w:rsidR="00A44E93" w:rsidRPr="004E7607">
        <w:rPr>
          <w:lang w:val="fr-CA"/>
        </w:rPr>
        <w:t> :</w:t>
      </w:r>
      <w:r w:rsidRPr="004E7607">
        <w:rPr>
          <w:lang w:val="fr-CA"/>
        </w:rPr>
        <w:t xml:space="preserve"> Le pourvoi est</w:t>
      </w:r>
      <w:r w:rsidR="009A53C0" w:rsidRPr="004E7607">
        <w:rPr>
          <w:lang w:val="fr-CA"/>
        </w:rPr>
        <w:t xml:space="preserve"> accueilli</w:t>
      </w:r>
      <w:r w:rsidR="00A44E93" w:rsidRPr="004E7607">
        <w:rPr>
          <w:lang w:val="fr-CA"/>
        </w:rPr>
        <w:t xml:space="preserve">.  </w:t>
      </w:r>
      <w:r w:rsidR="009A53C0" w:rsidRPr="004E7607">
        <w:rPr>
          <w:lang w:val="fr-CA"/>
        </w:rPr>
        <w:t>L</w:t>
      </w:r>
      <w:r w:rsidR="00C768B7">
        <w:rPr>
          <w:lang w:val="fr-CA"/>
        </w:rPr>
        <w:t>’</w:t>
      </w:r>
      <w:r w:rsidR="009A53C0" w:rsidRPr="004E7607">
        <w:rPr>
          <w:lang w:val="fr-CA"/>
        </w:rPr>
        <w:t xml:space="preserve">article 44 de la </w:t>
      </w:r>
      <w:r w:rsidR="009A53C0" w:rsidRPr="004E7607">
        <w:rPr>
          <w:i/>
          <w:lang w:val="fr-CA"/>
        </w:rPr>
        <w:t>WHSCA</w:t>
      </w:r>
      <w:r w:rsidR="009A53C0" w:rsidRPr="004E7607">
        <w:rPr>
          <w:lang w:val="fr-CA"/>
        </w:rPr>
        <w:t xml:space="preserve"> est applicable et opérant du point de vue constitutionnel.</w:t>
      </w:r>
    </w:p>
    <w:p w:rsidR="009A53C0" w:rsidRPr="004E7607" w:rsidRDefault="004D7D95" w:rsidP="009A53C0">
      <w:pPr>
        <w:pStyle w:val="SCCNormalDoubleSpacing"/>
        <w:spacing w:after="480"/>
        <w:rPr>
          <w:lang w:val="fr-CA"/>
        </w:rPr>
      </w:pPr>
      <w:r w:rsidRPr="004E7607">
        <w:rPr>
          <w:lang w:val="fr-CA"/>
        </w:rPr>
        <w:tab/>
      </w:r>
      <w:r w:rsidR="009A53C0" w:rsidRPr="004E7607">
        <w:rPr>
          <w:lang w:val="fr-CA"/>
        </w:rPr>
        <w:t>L</w:t>
      </w:r>
      <w:r w:rsidR="00C768B7">
        <w:rPr>
          <w:lang w:val="fr-CA"/>
        </w:rPr>
        <w:t>’</w:t>
      </w:r>
      <w:r w:rsidR="009A53C0" w:rsidRPr="004E7607">
        <w:rPr>
          <w:lang w:val="fr-CA"/>
        </w:rPr>
        <w:t xml:space="preserve">interdiction </w:t>
      </w:r>
      <w:r w:rsidR="00942508" w:rsidRPr="004E7607">
        <w:rPr>
          <w:lang w:val="fr-CA"/>
        </w:rPr>
        <w:t xml:space="preserve">légale </w:t>
      </w:r>
      <w:r w:rsidR="009A53C0" w:rsidRPr="004E7607">
        <w:rPr>
          <w:lang w:val="fr-CA"/>
        </w:rPr>
        <w:t>de poursuites prévue à l</w:t>
      </w:r>
      <w:r w:rsidR="00C768B7">
        <w:rPr>
          <w:lang w:val="fr-CA"/>
        </w:rPr>
        <w:t>’</w:t>
      </w:r>
      <w:r w:rsidR="00A44E93" w:rsidRPr="004E7607">
        <w:rPr>
          <w:lang w:val="fr-CA"/>
        </w:rPr>
        <w:t>art. </w:t>
      </w:r>
      <w:r w:rsidR="009A53C0" w:rsidRPr="004E7607">
        <w:rPr>
          <w:lang w:val="fr-CA"/>
        </w:rPr>
        <w:t xml:space="preserve">44 de la </w:t>
      </w:r>
      <w:r w:rsidR="009A53C0" w:rsidRPr="004E7607">
        <w:rPr>
          <w:i/>
          <w:lang w:val="fr-CA"/>
        </w:rPr>
        <w:t>WHSCA</w:t>
      </w:r>
      <w:r w:rsidR="009A53C0" w:rsidRPr="004E7607">
        <w:rPr>
          <w:lang w:val="fr-CA"/>
        </w:rPr>
        <w:t xml:space="preserve"> est applicable au vu des faits de l</w:t>
      </w:r>
      <w:r w:rsidR="00C768B7">
        <w:rPr>
          <w:lang w:val="fr-CA"/>
        </w:rPr>
        <w:t>’</w:t>
      </w:r>
      <w:r w:rsidR="009A53C0" w:rsidRPr="004E7607">
        <w:rPr>
          <w:lang w:val="fr-CA"/>
        </w:rPr>
        <w:t>espèce</w:t>
      </w:r>
      <w:r w:rsidR="00A44E93" w:rsidRPr="004E7607">
        <w:rPr>
          <w:lang w:val="fr-CA"/>
        </w:rPr>
        <w:t xml:space="preserve">.  </w:t>
      </w:r>
      <w:r w:rsidR="009A53C0" w:rsidRPr="004E7607">
        <w:rPr>
          <w:lang w:val="fr-CA"/>
        </w:rPr>
        <w:t>Elle ne bénéficie pas seulement à un « employeur » qui se trouve dans une relation d</w:t>
      </w:r>
      <w:r w:rsidR="00C768B7">
        <w:rPr>
          <w:lang w:val="fr-CA"/>
        </w:rPr>
        <w:t>’</w:t>
      </w:r>
      <w:r w:rsidR="009A53C0" w:rsidRPr="004E7607">
        <w:rPr>
          <w:lang w:val="fr-CA"/>
        </w:rPr>
        <w:t>emploi directe avec le travailleur blessé</w:t>
      </w:r>
      <w:r w:rsidR="00A44E93" w:rsidRPr="004E7607">
        <w:rPr>
          <w:lang w:val="fr-CA"/>
        </w:rPr>
        <w:t xml:space="preserve">.  </w:t>
      </w:r>
      <w:r w:rsidR="00FE4957" w:rsidRPr="004E7607">
        <w:rPr>
          <w:lang w:val="fr-CA"/>
        </w:rPr>
        <w:t>Tout employeur contribuant au régime</w:t>
      </w:r>
      <w:r w:rsidR="00942508" w:rsidRPr="004E7607">
        <w:rPr>
          <w:lang w:val="fr-CA"/>
        </w:rPr>
        <w:t xml:space="preserve">, ainsi que </w:t>
      </w:r>
      <w:r w:rsidR="00FE4957" w:rsidRPr="004E7607">
        <w:rPr>
          <w:lang w:val="fr-CA"/>
        </w:rPr>
        <w:t>tout travailleur d</w:t>
      </w:r>
      <w:r w:rsidR="00C768B7">
        <w:rPr>
          <w:lang w:val="fr-CA"/>
        </w:rPr>
        <w:t>’</w:t>
      </w:r>
      <w:r w:rsidR="00FE4957" w:rsidRPr="004E7607">
        <w:rPr>
          <w:lang w:val="fr-CA"/>
        </w:rPr>
        <w:t xml:space="preserve">un tel </w:t>
      </w:r>
      <w:r w:rsidR="00FE4957" w:rsidRPr="004E7607">
        <w:rPr>
          <w:lang w:val="fr-CA"/>
        </w:rPr>
        <w:lastRenderedPageBreak/>
        <w:t>employeur</w:t>
      </w:r>
      <w:r w:rsidR="00942508" w:rsidRPr="004E7607">
        <w:rPr>
          <w:lang w:val="fr-CA"/>
        </w:rPr>
        <w:t xml:space="preserve">, </w:t>
      </w:r>
      <w:r w:rsidR="00FE4957" w:rsidRPr="004E7607">
        <w:rPr>
          <w:lang w:val="fr-CA"/>
        </w:rPr>
        <w:t>bénéficie de l</w:t>
      </w:r>
      <w:r w:rsidR="00C768B7">
        <w:rPr>
          <w:lang w:val="fr-CA"/>
        </w:rPr>
        <w:t>’</w:t>
      </w:r>
      <w:r w:rsidR="00FE4957" w:rsidRPr="004E7607">
        <w:rPr>
          <w:lang w:val="fr-CA"/>
        </w:rPr>
        <w:t xml:space="preserve">interdiction </w:t>
      </w:r>
      <w:r w:rsidR="00942508" w:rsidRPr="004E7607">
        <w:rPr>
          <w:lang w:val="fr-CA"/>
        </w:rPr>
        <w:t xml:space="preserve">légale </w:t>
      </w:r>
      <w:r w:rsidR="00FE4957" w:rsidRPr="004E7607">
        <w:rPr>
          <w:lang w:val="fr-CA"/>
        </w:rPr>
        <w:t>de poursuites, pourvu que le travailleur ait été blessé dans le cours de ses fonctions et que les blessures soient survenues dans le cours des activités habituelles ou accessoires menées dans l</w:t>
      </w:r>
      <w:r w:rsidR="00C768B7">
        <w:rPr>
          <w:lang w:val="fr-CA"/>
        </w:rPr>
        <w:t>’</w:t>
      </w:r>
      <w:r w:rsidR="00FE4957" w:rsidRPr="004E7607">
        <w:rPr>
          <w:lang w:val="fr-CA"/>
        </w:rPr>
        <w:t>industrie à laquelle participe l</w:t>
      </w:r>
      <w:r w:rsidR="00C768B7">
        <w:rPr>
          <w:lang w:val="fr-CA"/>
        </w:rPr>
        <w:t>’</w:t>
      </w:r>
      <w:r w:rsidR="00FE4957" w:rsidRPr="004E7607">
        <w:rPr>
          <w:lang w:val="fr-CA"/>
        </w:rPr>
        <w:t>employeur</w:t>
      </w:r>
      <w:r w:rsidR="00A44E93" w:rsidRPr="004E7607">
        <w:rPr>
          <w:lang w:val="fr-CA"/>
        </w:rPr>
        <w:t xml:space="preserve">.  </w:t>
      </w:r>
      <w:r w:rsidR="006E5474" w:rsidRPr="004E7607">
        <w:rPr>
          <w:lang w:val="fr-CA"/>
        </w:rPr>
        <w:t>En l</w:t>
      </w:r>
      <w:r w:rsidR="00C768B7">
        <w:rPr>
          <w:lang w:val="fr-CA"/>
        </w:rPr>
        <w:t>’</w:t>
      </w:r>
      <w:r w:rsidR="006E5474" w:rsidRPr="004E7607">
        <w:rPr>
          <w:lang w:val="fr-CA"/>
        </w:rPr>
        <w:t xml:space="preserve">espèce, il convient de faire montre de déférence envers la conclusion </w:t>
      </w:r>
      <w:r w:rsidR="00942508" w:rsidRPr="004E7607">
        <w:rPr>
          <w:lang w:val="fr-CA"/>
        </w:rPr>
        <w:t xml:space="preserve">de </w:t>
      </w:r>
      <w:r w:rsidR="006E5474" w:rsidRPr="004E7607">
        <w:rPr>
          <w:lang w:val="fr-CA"/>
        </w:rPr>
        <w:t xml:space="preserve">la Commission </w:t>
      </w:r>
      <w:r w:rsidR="00942508" w:rsidRPr="004E7607">
        <w:rPr>
          <w:lang w:val="fr-CA"/>
        </w:rPr>
        <w:t>su</w:t>
      </w:r>
      <w:r w:rsidR="006E5474" w:rsidRPr="004E7607">
        <w:rPr>
          <w:lang w:val="fr-CA"/>
        </w:rPr>
        <w:t>ivant laquelle les blessures ayant entraîné la mort des frères Ryan sont survenues dans le cours des activités habituelles ou accessoires menées dans l</w:t>
      </w:r>
      <w:r w:rsidR="00C768B7">
        <w:rPr>
          <w:lang w:val="fr-CA"/>
        </w:rPr>
        <w:t>’</w:t>
      </w:r>
      <w:r w:rsidR="006E5474" w:rsidRPr="004E7607">
        <w:rPr>
          <w:lang w:val="fr-CA"/>
        </w:rPr>
        <w:t>industrie à laquelle participe Marine Services</w:t>
      </w:r>
      <w:r w:rsidR="00A44E93" w:rsidRPr="004E7607">
        <w:rPr>
          <w:lang w:val="fr-CA"/>
        </w:rPr>
        <w:t xml:space="preserve">.  </w:t>
      </w:r>
      <w:r w:rsidR="005D7D13" w:rsidRPr="004E7607">
        <w:rPr>
          <w:lang w:val="fr-CA"/>
        </w:rPr>
        <w:t>Il s</w:t>
      </w:r>
      <w:r w:rsidR="00C768B7">
        <w:rPr>
          <w:lang w:val="fr-CA"/>
        </w:rPr>
        <w:t>’</w:t>
      </w:r>
      <w:r w:rsidR="005D7D13" w:rsidRPr="004E7607">
        <w:rPr>
          <w:lang w:val="fr-CA"/>
        </w:rPr>
        <w:t>agit d</w:t>
      </w:r>
      <w:r w:rsidR="00C768B7">
        <w:rPr>
          <w:lang w:val="fr-CA"/>
        </w:rPr>
        <w:t>’</w:t>
      </w:r>
      <w:r w:rsidR="005D7D13" w:rsidRPr="004E7607">
        <w:rPr>
          <w:lang w:val="fr-CA"/>
        </w:rPr>
        <w:t>une question mixte de fait et de droit à laquelle la Commission a répondu en appréciant la preuve et en interprétant sa loi constitutive</w:t>
      </w:r>
      <w:r w:rsidR="00A44E93" w:rsidRPr="004E7607">
        <w:rPr>
          <w:lang w:val="fr-CA"/>
        </w:rPr>
        <w:t xml:space="preserve">.  </w:t>
      </w:r>
      <w:r w:rsidR="005D7D13" w:rsidRPr="004E7607">
        <w:rPr>
          <w:lang w:val="fr-CA"/>
        </w:rPr>
        <w:t xml:space="preserve">De plus, la </w:t>
      </w:r>
      <w:r w:rsidR="005D7D13" w:rsidRPr="004E7607">
        <w:rPr>
          <w:i/>
          <w:lang w:val="fr-CA"/>
        </w:rPr>
        <w:t>WHSCA</w:t>
      </w:r>
      <w:r w:rsidR="005D7D13" w:rsidRPr="004E7607">
        <w:rPr>
          <w:lang w:val="fr-CA"/>
        </w:rPr>
        <w:t xml:space="preserve"> </w:t>
      </w:r>
      <w:r w:rsidR="00942508" w:rsidRPr="004E7607">
        <w:rPr>
          <w:lang w:val="fr-CA"/>
        </w:rPr>
        <w:t xml:space="preserve">renferme </w:t>
      </w:r>
      <w:r w:rsidR="005D7D13" w:rsidRPr="004E7607">
        <w:rPr>
          <w:lang w:val="fr-CA"/>
        </w:rPr>
        <w:t>une clause privative</w:t>
      </w:r>
      <w:r w:rsidR="00A44E93" w:rsidRPr="004E7607">
        <w:rPr>
          <w:lang w:val="fr-CA"/>
        </w:rPr>
        <w:t xml:space="preserve">.  </w:t>
      </w:r>
      <w:r w:rsidR="005D7D13" w:rsidRPr="004E7607">
        <w:rPr>
          <w:lang w:val="fr-CA"/>
        </w:rPr>
        <w:t>À la lumière de ces facteurs, la norme de la décision raisonnable s</w:t>
      </w:r>
      <w:r w:rsidR="00C768B7">
        <w:rPr>
          <w:lang w:val="fr-CA"/>
        </w:rPr>
        <w:t>’</w:t>
      </w:r>
      <w:r w:rsidR="005D7D13" w:rsidRPr="004E7607">
        <w:rPr>
          <w:lang w:val="fr-CA"/>
        </w:rPr>
        <w:t xml:space="preserve">applique. </w:t>
      </w:r>
    </w:p>
    <w:p w:rsidR="009A53C0" w:rsidRPr="004E7607" w:rsidRDefault="009A53C0" w:rsidP="009A53C0">
      <w:pPr>
        <w:pStyle w:val="SCCNormalDoubleSpacing"/>
        <w:spacing w:after="480"/>
        <w:rPr>
          <w:lang w:val="fr-CA"/>
        </w:rPr>
      </w:pPr>
      <w:r w:rsidRPr="004E7607">
        <w:rPr>
          <w:lang w:val="fr-CA"/>
        </w:rPr>
        <w:tab/>
      </w:r>
      <w:r w:rsidR="00A44E93" w:rsidRPr="004E7607">
        <w:rPr>
          <w:lang w:val="fr-CA"/>
        </w:rPr>
        <w:t>L</w:t>
      </w:r>
      <w:r w:rsidR="00C768B7">
        <w:rPr>
          <w:lang w:val="fr-CA"/>
        </w:rPr>
        <w:t>’</w:t>
      </w:r>
      <w:r w:rsidR="00A44E93" w:rsidRPr="004E7607">
        <w:rPr>
          <w:lang w:val="fr-CA"/>
        </w:rPr>
        <w:t>article </w:t>
      </w:r>
      <w:r w:rsidRPr="004E7607">
        <w:rPr>
          <w:lang w:val="fr-CA"/>
        </w:rPr>
        <w:t xml:space="preserve">44 </w:t>
      </w:r>
      <w:r w:rsidR="005D7D13" w:rsidRPr="004E7607">
        <w:rPr>
          <w:lang w:val="fr-CA"/>
        </w:rPr>
        <w:t xml:space="preserve">de la </w:t>
      </w:r>
      <w:r w:rsidRPr="004E7607">
        <w:rPr>
          <w:i/>
          <w:lang w:val="fr-CA"/>
        </w:rPr>
        <w:t>WHSCA</w:t>
      </w:r>
      <w:r w:rsidR="005D7D13" w:rsidRPr="004E7607">
        <w:rPr>
          <w:lang w:val="fr-CA"/>
        </w:rPr>
        <w:t xml:space="preserve"> e</w:t>
      </w:r>
      <w:r w:rsidRPr="004E7607">
        <w:rPr>
          <w:lang w:val="fr-CA"/>
        </w:rPr>
        <w:t>s</w:t>
      </w:r>
      <w:r w:rsidR="005D7D13" w:rsidRPr="004E7607">
        <w:rPr>
          <w:lang w:val="fr-CA"/>
        </w:rPr>
        <w:t>t applicable et opérant du point de vue</w:t>
      </w:r>
      <w:r w:rsidRPr="004E7607">
        <w:rPr>
          <w:lang w:val="fr-CA"/>
        </w:rPr>
        <w:t xml:space="preserve"> constitution</w:t>
      </w:r>
      <w:r w:rsidR="005D7D13" w:rsidRPr="004E7607">
        <w:rPr>
          <w:lang w:val="fr-CA"/>
        </w:rPr>
        <w:t>ne</w:t>
      </w:r>
      <w:r w:rsidRPr="004E7607">
        <w:rPr>
          <w:lang w:val="fr-CA"/>
        </w:rPr>
        <w:t>l</w:t>
      </w:r>
      <w:r w:rsidR="005D7D13" w:rsidRPr="004E7607">
        <w:rPr>
          <w:lang w:val="fr-CA"/>
        </w:rPr>
        <w:t xml:space="preserve"> et il fait donc obstacle à l</w:t>
      </w:r>
      <w:r w:rsidR="00C768B7">
        <w:rPr>
          <w:lang w:val="fr-CA"/>
        </w:rPr>
        <w:t>’</w:t>
      </w:r>
      <w:r w:rsidR="005D7D13" w:rsidRPr="004E7607">
        <w:rPr>
          <w:lang w:val="fr-CA"/>
        </w:rPr>
        <w:t>action introduite par les successions Ryan contre</w:t>
      </w:r>
      <w:r w:rsidRPr="004E7607">
        <w:rPr>
          <w:lang w:val="fr-CA"/>
        </w:rPr>
        <w:t xml:space="preserve"> Marine Services </w:t>
      </w:r>
      <w:r w:rsidR="005D7D13" w:rsidRPr="004E7607">
        <w:rPr>
          <w:lang w:val="fr-CA"/>
        </w:rPr>
        <w:t>et</w:t>
      </w:r>
      <w:r w:rsidRPr="004E7607">
        <w:rPr>
          <w:lang w:val="fr-CA"/>
        </w:rPr>
        <w:t xml:space="preserve"> </w:t>
      </w:r>
      <w:r w:rsidR="00A44E93" w:rsidRPr="004E7607">
        <w:rPr>
          <w:lang w:val="fr-CA"/>
        </w:rPr>
        <w:t>P. </w:t>
      </w:r>
      <w:r w:rsidR="005D7D13" w:rsidRPr="004E7607">
        <w:rPr>
          <w:lang w:val="fr-CA"/>
        </w:rPr>
        <w:t>La résolution d</w:t>
      </w:r>
      <w:r w:rsidR="00C768B7">
        <w:rPr>
          <w:lang w:val="fr-CA"/>
        </w:rPr>
        <w:t>’</w:t>
      </w:r>
      <w:r w:rsidR="005D7D13" w:rsidRPr="004E7607">
        <w:rPr>
          <w:lang w:val="fr-CA"/>
        </w:rPr>
        <w:t>un différend constitutionnel concernant le partage des compétences requiert d</w:t>
      </w:r>
      <w:r w:rsidR="00C768B7">
        <w:rPr>
          <w:lang w:val="fr-CA"/>
        </w:rPr>
        <w:t>’</w:t>
      </w:r>
      <w:r w:rsidR="005D7D13" w:rsidRPr="004E7607">
        <w:rPr>
          <w:lang w:val="fr-CA"/>
        </w:rPr>
        <w:t>abord et avant tout l</w:t>
      </w:r>
      <w:r w:rsidR="00C768B7">
        <w:rPr>
          <w:lang w:val="fr-CA"/>
        </w:rPr>
        <w:t>’</w:t>
      </w:r>
      <w:r w:rsidR="005D7D13" w:rsidRPr="004E7607">
        <w:rPr>
          <w:lang w:val="fr-CA"/>
        </w:rPr>
        <w:t>analyse du « caractère véritable » du texte de loi contesté, laquelle consiste dans une recherche sur la nature véritable de la loi en question afin d</w:t>
      </w:r>
      <w:r w:rsidR="00C768B7">
        <w:rPr>
          <w:lang w:val="fr-CA"/>
        </w:rPr>
        <w:t>’</w:t>
      </w:r>
      <w:r w:rsidR="005D7D13" w:rsidRPr="004E7607">
        <w:rPr>
          <w:lang w:val="fr-CA"/>
        </w:rPr>
        <w:t>identifier la matière sur laquelle elle porte essentiellement</w:t>
      </w:r>
      <w:r w:rsidR="00A44E93" w:rsidRPr="004E7607">
        <w:rPr>
          <w:lang w:val="fr-CA"/>
        </w:rPr>
        <w:t xml:space="preserve">.  </w:t>
      </w:r>
      <w:r w:rsidR="003B388D" w:rsidRPr="004E7607">
        <w:rPr>
          <w:lang w:val="fr-CA"/>
        </w:rPr>
        <w:t>Puis, au terme de l</w:t>
      </w:r>
      <w:r w:rsidR="00C768B7">
        <w:rPr>
          <w:lang w:val="fr-CA"/>
        </w:rPr>
        <w:t>’</w:t>
      </w:r>
      <w:r w:rsidR="003B388D" w:rsidRPr="004E7607">
        <w:rPr>
          <w:lang w:val="fr-CA"/>
        </w:rPr>
        <w:t>analyse du caractère véritable, le tribunal ne doit généralement considérer la doctrine de l</w:t>
      </w:r>
      <w:r w:rsidR="00C768B7">
        <w:rPr>
          <w:lang w:val="fr-CA"/>
        </w:rPr>
        <w:t>’</w:t>
      </w:r>
      <w:r w:rsidR="003B388D" w:rsidRPr="004E7607">
        <w:rPr>
          <w:lang w:val="fr-CA"/>
        </w:rPr>
        <w:t>exclusivité des compétences que s</w:t>
      </w:r>
      <w:r w:rsidR="00C768B7">
        <w:rPr>
          <w:lang w:val="fr-CA"/>
        </w:rPr>
        <w:t>’</w:t>
      </w:r>
      <w:r w:rsidR="003B388D" w:rsidRPr="004E7607">
        <w:rPr>
          <w:lang w:val="fr-CA"/>
        </w:rPr>
        <w:t>il existe de</w:t>
      </w:r>
      <w:r w:rsidR="00642985" w:rsidRPr="004E7607">
        <w:rPr>
          <w:lang w:val="fr-CA"/>
        </w:rPr>
        <w:t xml:space="preserve"> la jurisprudence </w:t>
      </w:r>
      <w:r w:rsidR="003B388D" w:rsidRPr="004E7607">
        <w:rPr>
          <w:lang w:val="fr-CA"/>
        </w:rPr>
        <w:t>préconisant son application à l</w:t>
      </w:r>
      <w:r w:rsidR="00C768B7">
        <w:rPr>
          <w:lang w:val="fr-CA"/>
        </w:rPr>
        <w:t>’</w:t>
      </w:r>
      <w:r w:rsidR="003B388D" w:rsidRPr="004E7607">
        <w:rPr>
          <w:lang w:val="fr-CA"/>
        </w:rPr>
        <w:t>objet du litige</w:t>
      </w:r>
      <w:r w:rsidRPr="004E7607">
        <w:rPr>
          <w:lang w:val="fr-CA"/>
        </w:rPr>
        <w:t xml:space="preserve">, </w:t>
      </w:r>
      <w:r w:rsidR="00FE39A3" w:rsidRPr="004E7607">
        <w:rPr>
          <w:lang w:val="fr-CA"/>
        </w:rPr>
        <w:t>comme c</w:t>
      </w:r>
      <w:r w:rsidR="00C768B7">
        <w:rPr>
          <w:lang w:val="fr-CA"/>
        </w:rPr>
        <w:t>’</w:t>
      </w:r>
      <w:r w:rsidR="00FE39A3" w:rsidRPr="004E7607">
        <w:rPr>
          <w:lang w:val="fr-CA"/>
        </w:rPr>
        <w:t xml:space="preserve">est le cas </w:t>
      </w:r>
      <w:r w:rsidR="00942508" w:rsidRPr="004E7607">
        <w:rPr>
          <w:lang w:val="fr-CA"/>
        </w:rPr>
        <w:t>dans le présent pourvoi</w:t>
      </w:r>
      <w:r w:rsidR="00A44E93" w:rsidRPr="004E7607">
        <w:rPr>
          <w:lang w:val="fr-CA"/>
        </w:rPr>
        <w:t xml:space="preserve">.  </w:t>
      </w:r>
      <w:r w:rsidR="00FE39A3" w:rsidRPr="004E7607">
        <w:rPr>
          <w:lang w:val="fr-CA"/>
        </w:rPr>
        <w:t xml:space="preserve">Il </w:t>
      </w:r>
      <w:r w:rsidR="00942508" w:rsidRPr="004E7607">
        <w:rPr>
          <w:lang w:val="fr-CA"/>
        </w:rPr>
        <w:t>doit être s</w:t>
      </w:r>
      <w:r w:rsidR="00FE39A3" w:rsidRPr="004E7607">
        <w:rPr>
          <w:lang w:val="fr-CA"/>
        </w:rPr>
        <w:t>atisfai</w:t>
      </w:r>
      <w:r w:rsidR="00942508" w:rsidRPr="004E7607">
        <w:rPr>
          <w:lang w:val="fr-CA"/>
        </w:rPr>
        <w:t>t</w:t>
      </w:r>
      <w:r w:rsidR="00FE39A3" w:rsidRPr="004E7607">
        <w:rPr>
          <w:lang w:val="fr-CA"/>
        </w:rPr>
        <w:t xml:space="preserve"> à une analyse à deux volets pour que cette doctrine s</w:t>
      </w:r>
      <w:r w:rsidR="00C768B7">
        <w:rPr>
          <w:lang w:val="fr-CA"/>
        </w:rPr>
        <w:t>’</w:t>
      </w:r>
      <w:r w:rsidR="00FE39A3" w:rsidRPr="004E7607">
        <w:rPr>
          <w:lang w:val="fr-CA"/>
        </w:rPr>
        <w:t>applique</w:t>
      </w:r>
      <w:r w:rsidR="00A44E93" w:rsidRPr="004E7607">
        <w:rPr>
          <w:lang w:val="fr-CA"/>
        </w:rPr>
        <w:t xml:space="preserve">.  </w:t>
      </w:r>
      <w:r w:rsidR="00FE39A3" w:rsidRPr="004E7607">
        <w:rPr>
          <w:lang w:val="fr-CA"/>
        </w:rPr>
        <w:t xml:space="preserve">La première étape consiste à </w:t>
      </w:r>
      <w:r w:rsidR="00942508" w:rsidRPr="004E7607">
        <w:rPr>
          <w:lang w:val="fr-CA"/>
        </w:rPr>
        <w:t>se demander</w:t>
      </w:r>
      <w:r w:rsidR="00FE39A3" w:rsidRPr="004E7607">
        <w:rPr>
          <w:lang w:val="fr-CA"/>
        </w:rPr>
        <w:t xml:space="preserve"> si la loi contestée empiète sur le cœur d</w:t>
      </w:r>
      <w:r w:rsidR="00C768B7">
        <w:rPr>
          <w:lang w:val="fr-CA"/>
        </w:rPr>
        <w:t>’</w:t>
      </w:r>
      <w:r w:rsidR="00FE39A3" w:rsidRPr="004E7607">
        <w:rPr>
          <w:lang w:val="fr-CA"/>
        </w:rPr>
        <w:t>un chef de compétence énuméré à l</w:t>
      </w:r>
      <w:r w:rsidR="00C768B7">
        <w:rPr>
          <w:lang w:val="fr-CA"/>
        </w:rPr>
        <w:t>’</w:t>
      </w:r>
      <w:r w:rsidR="00A44E93" w:rsidRPr="004E7607">
        <w:rPr>
          <w:lang w:val="fr-CA"/>
        </w:rPr>
        <w:t>art. </w:t>
      </w:r>
      <w:r w:rsidR="00FE39A3" w:rsidRPr="004E7607">
        <w:rPr>
          <w:lang w:val="fr-CA"/>
        </w:rPr>
        <w:t xml:space="preserve">91 ou 92 de la </w:t>
      </w:r>
      <w:r w:rsidR="00FE39A3" w:rsidRPr="004E7607">
        <w:rPr>
          <w:i/>
          <w:lang w:val="fr-CA"/>
        </w:rPr>
        <w:t xml:space="preserve">Loi </w:t>
      </w:r>
      <w:r w:rsidR="00FE39A3" w:rsidRPr="004E7607">
        <w:rPr>
          <w:i/>
          <w:lang w:val="fr-CA"/>
        </w:rPr>
        <w:lastRenderedPageBreak/>
        <w:t>constitutionnelle de 1867</w:t>
      </w:r>
      <w:r w:rsidR="00A44E93" w:rsidRPr="004E7607">
        <w:rPr>
          <w:lang w:val="fr-CA"/>
        </w:rPr>
        <w:t xml:space="preserve">.  </w:t>
      </w:r>
      <w:r w:rsidR="00962B2A" w:rsidRPr="004E7607">
        <w:rPr>
          <w:lang w:val="fr-CA"/>
        </w:rPr>
        <w:t>Deuxièmement, si la loi contestée empiète sur le cœur d</w:t>
      </w:r>
      <w:r w:rsidR="00C768B7">
        <w:rPr>
          <w:lang w:val="fr-CA"/>
        </w:rPr>
        <w:t>’</w:t>
      </w:r>
      <w:r w:rsidR="00962B2A" w:rsidRPr="004E7607">
        <w:rPr>
          <w:lang w:val="fr-CA"/>
        </w:rPr>
        <w:t>un chef de compétence, il faut déterminer si cet empiétement est suffisamment grave</w:t>
      </w:r>
      <w:r w:rsidR="00A44E93" w:rsidRPr="004E7607">
        <w:rPr>
          <w:lang w:val="fr-CA"/>
        </w:rPr>
        <w:t xml:space="preserve">.  </w:t>
      </w:r>
      <w:r w:rsidR="00962B2A" w:rsidRPr="004E7607">
        <w:rPr>
          <w:lang w:val="fr-CA"/>
        </w:rPr>
        <w:t>La loi contestée ne doit pas simplement toucher le cœur d</w:t>
      </w:r>
      <w:r w:rsidR="00C768B7">
        <w:rPr>
          <w:lang w:val="fr-CA"/>
        </w:rPr>
        <w:t>’</w:t>
      </w:r>
      <w:r w:rsidR="00962B2A" w:rsidRPr="004E7607">
        <w:rPr>
          <w:lang w:val="fr-CA"/>
        </w:rPr>
        <w:t>une compétence, elle doit l</w:t>
      </w:r>
      <w:r w:rsidR="00C768B7">
        <w:rPr>
          <w:lang w:val="fr-CA"/>
        </w:rPr>
        <w:t>’</w:t>
      </w:r>
      <w:r w:rsidR="00962B2A" w:rsidRPr="004E7607">
        <w:rPr>
          <w:lang w:val="fr-CA"/>
        </w:rPr>
        <w:t>entraver</w:t>
      </w:r>
      <w:r w:rsidR="00A44E93" w:rsidRPr="004E7607">
        <w:rPr>
          <w:lang w:val="fr-CA"/>
        </w:rPr>
        <w:t xml:space="preserve">.  </w:t>
      </w:r>
      <w:r w:rsidR="00962B2A" w:rsidRPr="004E7607">
        <w:rPr>
          <w:lang w:val="fr-CA"/>
        </w:rPr>
        <w:t>Lorsque la doctrine de l</w:t>
      </w:r>
      <w:r w:rsidR="00C768B7">
        <w:rPr>
          <w:lang w:val="fr-CA"/>
        </w:rPr>
        <w:t>’</w:t>
      </w:r>
      <w:r w:rsidR="00962B2A" w:rsidRPr="004E7607">
        <w:rPr>
          <w:lang w:val="fr-CA"/>
        </w:rPr>
        <w:t>exclusivité des compétences s</w:t>
      </w:r>
      <w:r w:rsidR="00C768B7">
        <w:rPr>
          <w:lang w:val="fr-CA"/>
        </w:rPr>
        <w:t>’</w:t>
      </w:r>
      <w:r w:rsidR="00962B2A" w:rsidRPr="004E7607">
        <w:rPr>
          <w:lang w:val="fr-CA"/>
        </w:rPr>
        <w:t>applique, la loi contestée est tout simplement inapplicable à la question excédant la compétence législative conférée</w:t>
      </w:r>
      <w:r w:rsidRPr="004E7607">
        <w:rPr>
          <w:lang w:val="fr-CA"/>
        </w:rPr>
        <w:t>.</w:t>
      </w:r>
    </w:p>
    <w:p w:rsidR="003F23CE" w:rsidRPr="004E7607" w:rsidRDefault="003F23CE" w:rsidP="003F23CE">
      <w:pPr>
        <w:pStyle w:val="SCCNormalDoubleSpacing"/>
        <w:spacing w:after="480"/>
        <w:rPr>
          <w:lang w:val="fr-CA"/>
        </w:rPr>
      </w:pPr>
      <w:r w:rsidRPr="004E7607">
        <w:rPr>
          <w:lang w:val="fr-CA"/>
        </w:rPr>
        <w:tab/>
        <w:t>La doctrine de l</w:t>
      </w:r>
      <w:r w:rsidR="00C768B7">
        <w:rPr>
          <w:lang w:val="fr-CA"/>
        </w:rPr>
        <w:t>’</w:t>
      </w:r>
      <w:r w:rsidRPr="004E7607">
        <w:rPr>
          <w:lang w:val="fr-CA"/>
        </w:rPr>
        <w:t>exclusivité des compétences ne s</w:t>
      </w:r>
      <w:r w:rsidR="00C768B7">
        <w:rPr>
          <w:lang w:val="fr-CA"/>
        </w:rPr>
        <w:t>’</w:t>
      </w:r>
      <w:r w:rsidRPr="004E7607">
        <w:rPr>
          <w:lang w:val="fr-CA"/>
        </w:rPr>
        <w:t>applique pas en l</w:t>
      </w:r>
      <w:r w:rsidR="00C768B7">
        <w:rPr>
          <w:lang w:val="fr-CA"/>
        </w:rPr>
        <w:t>’</w:t>
      </w:r>
      <w:r w:rsidRPr="004E7607">
        <w:rPr>
          <w:lang w:val="fr-CA"/>
        </w:rPr>
        <w:t>espèce</w:t>
      </w:r>
      <w:r w:rsidR="00A44E93" w:rsidRPr="004E7607">
        <w:rPr>
          <w:lang w:val="fr-CA"/>
        </w:rPr>
        <w:t xml:space="preserve">.  </w:t>
      </w:r>
      <w:r w:rsidRPr="004E7607">
        <w:rPr>
          <w:lang w:val="fr-CA"/>
        </w:rPr>
        <w:t>Il est satisfait au premier volet de l</w:t>
      </w:r>
      <w:r w:rsidR="00C768B7">
        <w:rPr>
          <w:lang w:val="fr-CA"/>
        </w:rPr>
        <w:t>’</w:t>
      </w:r>
      <w:r w:rsidRPr="004E7607">
        <w:rPr>
          <w:lang w:val="fr-CA"/>
        </w:rPr>
        <w:t xml:space="preserve">analyse, mais </w:t>
      </w:r>
      <w:r w:rsidR="003531CA" w:rsidRPr="004E7607">
        <w:rPr>
          <w:lang w:val="fr-CA"/>
        </w:rPr>
        <w:t>non</w:t>
      </w:r>
      <w:r w:rsidRPr="004E7607">
        <w:rPr>
          <w:lang w:val="fr-CA"/>
        </w:rPr>
        <w:t xml:space="preserve"> au second</w:t>
      </w:r>
      <w:r w:rsidR="00A44E93" w:rsidRPr="004E7607">
        <w:rPr>
          <w:lang w:val="fr-CA"/>
        </w:rPr>
        <w:t xml:space="preserve">.  </w:t>
      </w:r>
      <w:r w:rsidR="00211E8D" w:rsidRPr="004E7607">
        <w:rPr>
          <w:lang w:val="fr-CA"/>
        </w:rPr>
        <w:t>Une disposition législative provinciale d</w:t>
      </w:r>
      <w:r w:rsidR="00C768B7">
        <w:rPr>
          <w:lang w:val="fr-CA"/>
        </w:rPr>
        <w:t>’</w:t>
      </w:r>
      <w:r w:rsidR="00211E8D" w:rsidRPr="004E7607">
        <w:rPr>
          <w:lang w:val="fr-CA"/>
        </w:rPr>
        <w:t>application générale comme l</w:t>
      </w:r>
      <w:r w:rsidR="00C768B7">
        <w:rPr>
          <w:lang w:val="fr-CA"/>
        </w:rPr>
        <w:t>’</w:t>
      </w:r>
      <w:r w:rsidR="00A44E93" w:rsidRPr="004E7607">
        <w:rPr>
          <w:lang w:val="fr-CA"/>
        </w:rPr>
        <w:t>art. </w:t>
      </w:r>
      <w:r w:rsidR="00211E8D" w:rsidRPr="004E7607">
        <w:rPr>
          <w:lang w:val="fr-CA"/>
        </w:rPr>
        <w:t xml:space="preserve">44 de la </w:t>
      </w:r>
      <w:r w:rsidR="00211E8D" w:rsidRPr="004E7607">
        <w:rPr>
          <w:i/>
          <w:lang w:val="fr-CA"/>
        </w:rPr>
        <w:t>WHSCA</w:t>
      </w:r>
      <w:r w:rsidR="00211E8D" w:rsidRPr="004E7607">
        <w:rPr>
          <w:lang w:val="fr-CA"/>
        </w:rPr>
        <w:t xml:space="preserve"> ne doit pas avoir pour effet de réglementer indirectement un aspect des règles de droit relatives à la négligence en matière maritime</w:t>
      </w:r>
      <w:r w:rsidRPr="004E7607">
        <w:rPr>
          <w:lang w:val="fr-CA"/>
        </w:rPr>
        <w:t xml:space="preserve"> </w:t>
      </w:r>
      <w:r w:rsidR="00211E8D" w:rsidRPr="004E7607">
        <w:rPr>
          <w:lang w:val="fr-CA"/>
        </w:rPr>
        <w:t>qui font partie du cœur de la compétence fédérale sur la navigation et les bâtiments ou navires</w:t>
      </w:r>
      <w:r w:rsidR="00A44E93" w:rsidRPr="004E7607">
        <w:rPr>
          <w:lang w:val="fr-CA"/>
        </w:rPr>
        <w:t xml:space="preserve">.  </w:t>
      </w:r>
      <w:r w:rsidR="00211E8D" w:rsidRPr="004E7607">
        <w:rPr>
          <w:lang w:val="fr-CA"/>
        </w:rPr>
        <w:t>En modifiant l</w:t>
      </w:r>
      <w:r w:rsidR="00C768B7">
        <w:rPr>
          <w:lang w:val="fr-CA"/>
        </w:rPr>
        <w:t>’</w:t>
      </w:r>
      <w:r w:rsidR="00211E8D" w:rsidRPr="004E7607">
        <w:rPr>
          <w:lang w:val="fr-CA"/>
        </w:rPr>
        <w:t>éventail des demandeurs susceptibles d</w:t>
      </w:r>
      <w:r w:rsidR="00C768B7">
        <w:rPr>
          <w:lang w:val="fr-CA"/>
        </w:rPr>
        <w:t>’</w:t>
      </w:r>
      <w:r w:rsidR="00211E8D" w:rsidRPr="004E7607">
        <w:rPr>
          <w:lang w:val="fr-CA"/>
        </w:rPr>
        <w:t xml:space="preserve">exercer </w:t>
      </w:r>
      <w:r w:rsidR="006365E8" w:rsidRPr="004E7607">
        <w:rPr>
          <w:lang w:val="fr-CA"/>
        </w:rPr>
        <w:t>le droit d</w:t>
      </w:r>
      <w:r w:rsidR="00C768B7">
        <w:rPr>
          <w:lang w:val="fr-CA"/>
        </w:rPr>
        <w:t>’</w:t>
      </w:r>
      <w:r w:rsidR="006365E8" w:rsidRPr="004E7607">
        <w:rPr>
          <w:lang w:val="fr-CA"/>
        </w:rPr>
        <w:t xml:space="preserve">action pour négligence en matière maritime conféré par le </w:t>
      </w:r>
      <w:r w:rsidR="00A44E93" w:rsidRPr="004E7607">
        <w:rPr>
          <w:lang w:val="fr-CA"/>
        </w:rPr>
        <w:t>par. </w:t>
      </w:r>
      <w:r w:rsidR="006365E8" w:rsidRPr="004E7607">
        <w:rPr>
          <w:lang w:val="fr-CA"/>
        </w:rPr>
        <w:t xml:space="preserve">6(2) de la </w:t>
      </w:r>
      <w:r w:rsidR="006365E8" w:rsidRPr="004E7607">
        <w:rPr>
          <w:i/>
          <w:lang w:val="fr-CA"/>
        </w:rPr>
        <w:t>LRMM</w:t>
      </w:r>
      <w:r w:rsidRPr="004E7607">
        <w:rPr>
          <w:lang w:val="fr-CA"/>
        </w:rPr>
        <w:t xml:space="preserve">, </w:t>
      </w:r>
      <w:r w:rsidR="006365E8" w:rsidRPr="004E7607">
        <w:rPr>
          <w:lang w:val="fr-CA"/>
        </w:rPr>
        <w:t>l</w:t>
      </w:r>
      <w:r w:rsidR="00C768B7">
        <w:rPr>
          <w:lang w:val="fr-CA"/>
        </w:rPr>
        <w:t>’</w:t>
      </w:r>
      <w:r w:rsidR="00A44E93" w:rsidRPr="004E7607">
        <w:rPr>
          <w:lang w:val="fr-CA"/>
        </w:rPr>
        <w:t>art. </w:t>
      </w:r>
      <w:r w:rsidRPr="004E7607">
        <w:rPr>
          <w:lang w:val="fr-CA"/>
        </w:rPr>
        <w:t xml:space="preserve">44 </w:t>
      </w:r>
      <w:r w:rsidR="006365E8" w:rsidRPr="004E7607">
        <w:rPr>
          <w:lang w:val="fr-CA"/>
        </w:rPr>
        <w:t xml:space="preserve">de la </w:t>
      </w:r>
      <w:r w:rsidRPr="004E7607">
        <w:rPr>
          <w:i/>
          <w:lang w:val="fr-CA"/>
        </w:rPr>
        <w:t>WHSCA</w:t>
      </w:r>
      <w:r w:rsidRPr="004E7607">
        <w:rPr>
          <w:lang w:val="fr-CA"/>
        </w:rPr>
        <w:t xml:space="preserve"> </w:t>
      </w:r>
      <w:r w:rsidR="006365E8" w:rsidRPr="004E7607">
        <w:rPr>
          <w:lang w:val="fr-CA"/>
        </w:rPr>
        <w:t>empiète sur le cœur de la compétence fédérale en matière de navigation et de bâtiments ou navires</w:t>
      </w:r>
      <w:r w:rsidR="00A44E93" w:rsidRPr="004E7607">
        <w:rPr>
          <w:lang w:val="fr-CA"/>
        </w:rPr>
        <w:t xml:space="preserve">.  </w:t>
      </w:r>
      <w:r w:rsidR="006365E8" w:rsidRPr="004E7607">
        <w:rPr>
          <w:lang w:val="fr-CA"/>
        </w:rPr>
        <w:t>Cependant, l</w:t>
      </w:r>
      <w:r w:rsidR="00C768B7">
        <w:rPr>
          <w:lang w:val="fr-CA"/>
        </w:rPr>
        <w:t>’</w:t>
      </w:r>
      <w:r w:rsidR="00A44E93" w:rsidRPr="004E7607">
        <w:rPr>
          <w:lang w:val="fr-CA"/>
        </w:rPr>
        <w:t>art. </w:t>
      </w:r>
      <w:r w:rsidRPr="004E7607">
        <w:rPr>
          <w:lang w:val="fr-CA"/>
        </w:rPr>
        <w:t xml:space="preserve">44 </w:t>
      </w:r>
      <w:r w:rsidR="006365E8" w:rsidRPr="004E7607">
        <w:rPr>
          <w:lang w:val="fr-CA"/>
        </w:rPr>
        <w:t xml:space="preserve">de la </w:t>
      </w:r>
      <w:r w:rsidRPr="004E7607">
        <w:rPr>
          <w:i/>
          <w:lang w:val="fr-CA"/>
        </w:rPr>
        <w:t>WHSCA</w:t>
      </w:r>
      <w:r w:rsidRPr="004E7607">
        <w:rPr>
          <w:lang w:val="fr-CA"/>
        </w:rPr>
        <w:t xml:space="preserve"> </w:t>
      </w:r>
      <w:r w:rsidR="006365E8" w:rsidRPr="004E7607">
        <w:rPr>
          <w:lang w:val="fr-CA"/>
        </w:rPr>
        <w:t>n</w:t>
      </w:r>
      <w:r w:rsidR="00C768B7">
        <w:rPr>
          <w:lang w:val="fr-CA"/>
        </w:rPr>
        <w:t>’</w:t>
      </w:r>
      <w:r w:rsidR="006365E8" w:rsidRPr="004E7607">
        <w:rPr>
          <w:lang w:val="fr-CA"/>
        </w:rPr>
        <w:t>entrave pas l</w:t>
      </w:r>
      <w:r w:rsidR="00C768B7">
        <w:rPr>
          <w:lang w:val="fr-CA"/>
        </w:rPr>
        <w:t>’</w:t>
      </w:r>
      <w:r w:rsidR="006365E8" w:rsidRPr="004E7607">
        <w:rPr>
          <w:lang w:val="fr-CA"/>
        </w:rPr>
        <w:t xml:space="preserve">exercice de </w:t>
      </w:r>
      <w:r w:rsidR="003531CA" w:rsidRPr="004E7607">
        <w:rPr>
          <w:lang w:val="fr-CA"/>
        </w:rPr>
        <w:t>cette</w:t>
      </w:r>
      <w:r w:rsidR="006365E8" w:rsidRPr="004E7607">
        <w:rPr>
          <w:lang w:val="fr-CA"/>
        </w:rPr>
        <w:t xml:space="preserve"> compétence fédérale</w:t>
      </w:r>
      <w:r w:rsidR="00A44E93" w:rsidRPr="004E7607">
        <w:rPr>
          <w:lang w:val="fr-CA"/>
        </w:rPr>
        <w:t xml:space="preserve">.  </w:t>
      </w:r>
      <w:r w:rsidR="009071CE" w:rsidRPr="004E7607">
        <w:rPr>
          <w:lang w:val="fr-CA"/>
        </w:rPr>
        <w:t>Il peut toucher l</w:t>
      </w:r>
      <w:r w:rsidR="00C768B7">
        <w:rPr>
          <w:lang w:val="fr-CA"/>
        </w:rPr>
        <w:t>’</w:t>
      </w:r>
      <w:r w:rsidR="009071CE" w:rsidRPr="004E7607">
        <w:rPr>
          <w:lang w:val="fr-CA"/>
        </w:rPr>
        <w:t xml:space="preserve">exercice de cette compétence fédérale, </w:t>
      </w:r>
      <w:r w:rsidR="00AF5C83" w:rsidRPr="004E7607">
        <w:rPr>
          <w:lang w:val="fr-CA"/>
        </w:rPr>
        <w:t>mais ce degré d</w:t>
      </w:r>
      <w:r w:rsidR="00C768B7">
        <w:rPr>
          <w:lang w:val="fr-CA"/>
        </w:rPr>
        <w:t>’</w:t>
      </w:r>
      <w:r w:rsidR="00AF5C83" w:rsidRPr="004E7607">
        <w:rPr>
          <w:lang w:val="fr-CA"/>
        </w:rPr>
        <w:t>empi</w:t>
      </w:r>
      <w:r w:rsidR="00E00D3C" w:rsidRPr="004E7607">
        <w:rPr>
          <w:lang w:val="fr-CA"/>
        </w:rPr>
        <w:t>é</w:t>
      </w:r>
      <w:r w:rsidR="00AF5C83" w:rsidRPr="004E7607">
        <w:rPr>
          <w:lang w:val="fr-CA"/>
        </w:rPr>
        <w:t>tement ne suffit pas pour que s</w:t>
      </w:r>
      <w:r w:rsidR="00C768B7">
        <w:rPr>
          <w:lang w:val="fr-CA"/>
        </w:rPr>
        <w:t>’</w:t>
      </w:r>
      <w:r w:rsidR="00AF5C83" w:rsidRPr="004E7607">
        <w:rPr>
          <w:lang w:val="fr-CA"/>
        </w:rPr>
        <w:t>applique la doctrine de l</w:t>
      </w:r>
      <w:r w:rsidR="00C768B7">
        <w:rPr>
          <w:lang w:val="fr-CA"/>
        </w:rPr>
        <w:t>’</w:t>
      </w:r>
      <w:r w:rsidR="00AF5C83" w:rsidRPr="004E7607">
        <w:rPr>
          <w:lang w:val="fr-CA"/>
        </w:rPr>
        <w:t>exclusivité des compétences</w:t>
      </w:r>
      <w:r w:rsidR="00A44E93" w:rsidRPr="004E7607">
        <w:rPr>
          <w:lang w:val="fr-CA"/>
        </w:rPr>
        <w:t xml:space="preserve">.  </w:t>
      </w:r>
      <w:r w:rsidR="00AF5C83" w:rsidRPr="004E7607">
        <w:rPr>
          <w:lang w:val="fr-CA"/>
        </w:rPr>
        <w:t>L</w:t>
      </w:r>
      <w:r w:rsidR="00C768B7">
        <w:rPr>
          <w:lang w:val="fr-CA"/>
        </w:rPr>
        <w:t>’</w:t>
      </w:r>
      <w:r w:rsidR="00AF5C83" w:rsidRPr="004E7607">
        <w:rPr>
          <w:lang w:val="fr-CA"/>
        </w:rPr>
        <w:t>empi</w:t>
      </w:r>
      <w:r w:rsidR="00E00D3C" w:rsidRPr="004E7607">
        <w:rPr>
          <w:lang w:val="fr-CA"/>
        </w:rPr>
        <w:t>é</w:t>
      </w:r>
      <w:r w:rsidR="00AF5C83" w:rsidRPr="004E7607">
        <w:rPr>
          <w:lang w:val="fr-CA"/>
        </w:rPr>
        <w:t>tement causé par l</w:t>
      </w:r>
      <w:r w:rsidR="00C768B7">
        <w:rPr>
          <w:lang w:val="fr-CA"/>
        </w:rPr>
        <w:t>’</w:t>
      </w:r>
      <w:r w:rsidR="00A44E93" w:rsidRPr="004E7607">
        <w:rPr>
          <w:lang w:val="fr-CA"/>
        </w:rPr>
        <w:t>art. </w:t>
      </w:r>
      <w:r w:rsidR="00AF5C83" w:rsidRPr="004E7607">
        <w:rPr>
          <w:lang w:val="fr-CA"/>
        </w:rPr>
        <w:t>44 ne saurait être considéré important ou grave si l</w:t>
      </w:r>
      <w:r w:rsidR="00C768B7">
        <w:rPr>
          <w:lang w:val="fr-CA"/>
        </w:rPr>
        <w:t>’</w:t>
      </w:r>
      <w:r w:rsidR="00AF5C83" w:rsidRPr="004E7607">
        <w:rPr>
          <w:lang w:val="fr-CA"/>
        </w:rPr>
        <w:t>on tient compte de l</w:t>
      </w:r>
      <w:r w:rsidR="00C768B7">
        <w:rPr>
          <w:lang w:val="fr-CA"/>
        </w:rPr>
        <w:t>’</w:t>
      </w:r>
      <w:r w:rsidR="00AF5C83" w:rsidRPr="004E7607">
        <w:rPr>
          <w:lang w:val="fr-CA"/>
        </w:rPr>
        <w:t xml:space="preserve">étendue de la compétence </w:t>
      </w:r>
      <w:r w:rsidR="00642985" w:rsidRPr="004E7607">
        <w:rPr>
          <w:lang w:val="fr-CA"/>
        </w:rPr>
        <w:t xml:space="preserve">fédérale </w:t>
      </w:r>
      <w:r w:rsidR="00AF5C83" w:rsidRPr="004E7607">
        <w:rPr>
          <w:lang w:val="fr-CA"/>
        </w:rPr>
        <w:t>sur la navigation et les bâtiments ou navires, de l</w:t>
      </w:r>
      <w:r w:rsidR="00C768B7">
        <w:rPr>
          <w:lang w:val="fr-CA"/>
        </w:rPr>
        <w:t>’</w:t>
      </w:r>
      <w:r w:rsidR="00AF5C83" w:rsidRPr="004E7607">
        <w:rPr>
          <w:lang w:val="fr-CA"/>
        </w:rPr>
        <w:t>absence de répercussions sur l</w:t>
      </w:r>
      <w:r w:rsidR="00C768B7">
        <w:rPr>
          <w:lang w:val="fr-CA"/>
        </w:rPr>
        <w:t>’</w:t>
      </w:r>
      <w:r w:rsidR="00AF5C83" w:rsidRPr="004E7607">
        <w:rPr>
          <w:lang w:val="fr-CA"/>
        </w:rPr>
        <w:t xml:space="preserve">uniformité du droit </w:t>
      </w:r>
      <w:r w:rsidR="00AF5C83" w:rsidRPr="004E7607">
        <w:rPr>
          <w:lang w:val="fr-CA"/>
        </w:rPr>
        <w:lastRenderedPageBreak/>
        <w:t>maritime canadien et de l</w:t>
      </w:r>
      <w:r w:rsidR="00C768B7">
        <w:rPr>
          <w:lang w:val="fr-CA"/>
        </w:rPr>
        <w:t>’</w:t>
      </w:r>
      <w:r w:rsidR="00AF5C83" w:rsidRPr="004E7607">
        <w:rPr>
          <w:lang w:val="fr-CA"/>
        </w:rPr>
        <w:t>application de longue date des régimes d</w:t>
      </w:r>
      <w:r w:rsidR="00C768B7">
        <w:rPr>
          <w:lang w:val="fr-CA"/>
        </w:rPr>
        <w:t>’</w:t>
      </w:r>
      <w:r w:rsidR="00AF5C83" w:rsidRPr="004E7607">
        <w:rPr>
          <w:lang w:val="fr-CA"/>
        </w:rPr>
        <w:t>indemnisation des accidents du travail dans le secteur maritime.</w:t>
      </w:r>
      <w:r w:rsidRPr="004E7607">
        <w:rPr>
          <w:lang w:val="fr-CA"/>
        </w:rPr>
        <w:t xml:space="preserve"> </w:t>
      </w:r>
    </w:p>
    <w:p w:rsidR="003F23CE" w:rsidRPr="004E7607" w:rsidRDefault="003F23CE" w:rsidP="003F23CE">
      <w:pPr>
        <w:pStyle w:val="SCCNormalDoubleSpacing"/>
        <w:spacing w:after="480"/>
        <w:rPr>
          <w:lang w:val="fr-CA"/>
        </w:rPr>
      </w:pPr>
      <w:r w:rsidRPr="004E7607">
        <w:rPr>
          <w:lang w:val="fr-CA"/>
        </w:rPr>
        <w:tab/>
      </w:r>
      <w:r w:rsidR="00DB6190" w:rsidRPr="004E7607">
        <w:rPr>
          <w:lang w:val="fr-CA"/>
        </w:rPr>
        <w:t>Suivant l</w:t>
      </w:r>
      <w:r w:rsidR="00C768B7">
        <w:rPr>
          <w:lang w:val="fr-CA"/>
        </w:rPr>
        <w:t>’</w:t>
      </w:r>
      <w:r w:rsidR="00DB6190" w:rsidRPr="004E7607">
        <w:rPr>
          <w:lang w:val="fr-CA"/>
        </w:rPr>
        <w:t>interprétation qu</w:t>
      </w:r>
      <w:r w:rsidR="00C768B7">
        <w:rPr>
          <w:lang w:val="fr-CA"/>
        </w:rPr>
        <w:t>’</w:t>
      </w:r>
      <w:r w:rsidR="00DB6190" w:rsidRPr="004E7607">
        <w:rPr>
          <w:lang w:val="fr-CA"/>
        </w:rPr>
        <w:t xml:space="preserve">il convient de donner à la </w:t>
      </w:r>
      <w:r w:rsidR="00DB6190" w:rsidRPr="004E7607">
        <w:rPr>
          <w:i/>
          <w:lang w:val="fr-CA"/>
        </w:rPr>
        <w:t>LRMM</w:t>
      </w:r>
      <w:r w:rsidR="00DB6190" w:rsidRPr="004E7607">
        <w:rPr>
          <w:lang w:val="fr-CA"/>
        </w:rPr>
        <w:t>, la doctrine de la prépondérance fédérale ne s</w:t>
      </w:r>
      <w:r w:rsidR="00C768B7">
        <w:rPr>
          <w:lang w:val="fr-CA"/>
        </w:rPr>
        <w:t>’</w:t>
      </w:r>
      <w:r w:rsidR="00DB6190" w:rsidRPr="004E7607">
        <w:rPr>
          <w:lang w:val="fr-CA"/>
        </w:rPr>
        <w:t xml:space="preserve">applique pas non plus </w:t>
      </w:r>
      <w:r w:rsidR="00942508" w:rsidRPr="004E7607">
        <w:rPr>
          <w:lang w:val="fr-CA"/>
        </w:rPr>
        <w:t>à la présente affaire</w:t>
      </w:r>
      <w:r w:rsidR="00A44E93" w:rsidRPr="004E7607">
        <w:rPr>
          <w:lang w:val="fr-CA"/>
        </w:rPr>
        <w:t xml:space="preserve">.  </w:t>
      </w:r>
      <w:r w:rsidR="00772679" w:rsidRPr="004E7607">
        <w:rPr>
          <w:lang w:val="fr-CA"/>
        </w:rPr>
        <w:t xml:space="preserve">Selon cette </w:t>
      </w:r>
      <w:r w:rsidRPr="004E7607">
        <w:rPr>
          <w:lang w:val="fr-CA"/>
        </w:rPr>
        <w:t xml:space="preserve">doctrine, </w:t>
      </w:r>
      <w:r w:rsidR="00772679" w:rsidRPr="004E7607">
        <w:rPr>
          <w:lang w:val="fr-CA"/>
        </w:rPr>
        <w:t>lorsque les effets d</w:t>
      </w:r>
      <w:r w:rsidR="00C768B7">
        <w:rPr>
          <w:lang w:val="fr-CA"/>
        </w:rPr>
        <w:t>’</w:t>
      </w:r>
      <w:r w:rsidR="00772679" w:rsidRPr="004E7607">
        <w:rPr>
          <w:lang w:val="fr-CA"/>
        </w:rPr>
        <w:t>une l</w:t>
      </w:r>
      <w:r w:rsidR="009E36C4" w:rsidRPr="004E7607">
        <w:rPr>
          <w:lang w:val="fr-CA"/>
        </w:rPr>
        <w:t xml:space="preserve">oi </w:t>
      </w:r>
      <w:r w:rsidR="00772679" w:rsidRPr="004E7607">
        <w:rPr>
          <w:lang w:val="fr-CA"/>
        </w:rPr>
        <w:t>provinciale sont incompatibles avec une l</w:t>
      </w:r>
      <w:r w:rsidR="009E36C4" w:rsidRPr="004E7607">
        <w:rPr>
          <w:lang w:val="fr-CA"/>
        </w:rPr>
        <w:t xml:space="preserve">oi </w:t>
      </w:r>
      <w:r w:rsidR="00772679" w:rsidRPr="004E7607">
        <w:rPr>
          <w:lang w:val="fr-CA"/>
        </w:rPr>
        <w:t xml:space="preserve">fédérale, la </w:t>
      </w:r>
      <w:r w:rsidR="009E36C4" w:rsidRPr="004E7607">
        <w:rPr>
          <w:lang w:val="fr-CA"/>
        </w:rPr>
        <w:t xml:space="preserve">seconde </w:t>
      </w:r>
      <w:r w:rsidR="00772679" w:rsidRPr="004E7607">
        <w:rPr>
          <w:lang w:val="fr-CA"/>
        </w:rPr>
        <w:t>doit prévaloir et la l</w:t>
      </w:r>
      <w:r w:rsidR="009E36C4" w:rsidRPr="004E7607">
        <w:rPr>
          <w:lang w:val="fr-CA"/>
        </w:rPr>
        <w:t xml:space="preserve">oi </w:t>
      </w:r>
      <w:r w:rsidR="00772679" w:rsidRPr="004E7607">
        <w:rPr>
          <w:lang w:val="fr-CA"/>
        </w:rPr>
        <w:t>provinciale être déclarée inopérante dans la mesure de l</w:t>
      </w:r>
      <w:r w:rsidR="00C768B7">
        <w:rPr>
          <w:lang w:val="fr-CA"/>
        </w:rPr>
        <w:t>’</w:t>
      </w:r>
      <w:r w:rsidR="00772679" w:rsidRPr="004E7607">
        <w:rPr>
          <w:lang w:val="fr-CA"/>
        </w:rPr>
        <w:t>incompatibilité</w:t>
      </w:r>
      <w:r w:rsidR="00A44E93" w:rsidRPr="004E7607">
        <w:rPr>
          <w:lang w:val="fr-CA"/>
        </w:rPr>
        <w:t xml:space="preserve">.  </w:t>
      </w:r>
      <w:r w:rsidR="00772679" w:rsidRPr="004E7607">
        <w:rPr>
          <w:lang w:val="fr-CA"/>
        </w:rPr>
        <w:t>La doctrine de la prépondérance fédérale s</w:t>
      </w:r>
      <w:r w:rsidR="00C768B7">
        <w:rPr>
          <w:lang w:val="fr-CA"/>
        </w:rPr>
        <w:t>’</w:t>
      </w:r>
      <w:r w:rsidR="00772679" w:rsidRPr="004E7607">
        <w:rPr>
          <w:lang w:val="fr-CA"/>
        </w:rPr>
        <w:t>applique lorsqu</w:t>
      </w:r>
      <w:r w:rsidR="00C768B7">
        <w:rPr>
          <w:lang w:val="fr-CA"/>
        </w:rPr>
        <w:t>’</w:t>
      </w:r>
      <w:r w:rsidR="00772679" w:rsidRPr="004E7607">
        <w:rPr>
          <w:lang w:val="fr-CA"/>
        </w:rPr>
        <w:t>il existe une incompatibilité entre un texte de loi fédéral valide et un texte de loi provincial lui aussi valide</w:t>
      </w:r>
      <w:r w:rsidRPr="004E7607">
        <w:rPr>
          <w:lang w:val="fr-CA"/>
        </w:rPr>
        <w:t>,</w:t>
      </w:r>
      <w:r w:rsidR="00772679" w:rsidRPr="004E7607">
        <w:rPr>
          <w:lang w:val="fr-CA"/>
        </w:rPr>
        <w:t xml:space="preserve"> mais non en cas d</w:t>
      </w:r>
      <w:r w:rsidR="00C768B7">
        <w:rPr>
          <w:lang w:val="fr-CA"/>
        </w:rPr>
        <w:t>’</w:t>
      </w:r>
      <w:r w:rsidR="00772679" w:rsidRPr="004E7607">
        <w:rPr>
          <w:lang w:val="fr-CA"/>
        </w:rPr>
        <w:t>incompatibilité entre une règle de co</w:t>
      </w:r>
      <w:r w:rsidRPr="004E7607">
        <w:rPr>
          <w:lang w:val="fr-CA"/>
        </w:rPr>
        <w:t xml:space="preserve">mmon law </w:t>
      </w:r>
      <w:r w:rsidR="00772679" w:rsidRPr="004E7607">
        <w:rPr>
          <w:lang w:val="fr-CA"/>
        </w:rPr>
        <w:t xml:space="preserve">et une loi provinciale valide. </w:t>
      </w:r>
      <w:r w:rsidRPr="004E7607">
        <w:rPr>
          <w:lang w:val="fr-CA"/>
        </w:rPr>
        <w:t xml:space="preserve"> </w:t>
      </w:r>
      <w:r w:rsidR="00772679" w:rsidRPr="004E7607">
        <w:rPr>
          <w:lang w:val="fr-CA"/>
        </w:rPr>
        <w:t>L</w:t>
      </w:r>
      <w:r w:rsidR="00C768B7">
        <w:rPr>
          <w:lang w:val="fr-CA"/>
        </w:rPr>
        <w:t>’</w:t>
      </w:r>
      <w:r w:rsidR="00772679" w:rsidRPr="004E7607">
        <w:rPr>
          <w:lang w:val="fr-CA"/>
        </w:rPr>
        <w:t>incompatibilité peut résulter de deux formes différentes de conflit</w:t>
      </w:r>
      <w:r w:rsidR="00A44E93" w:rsidRPr="004E7607">
        <w:rPr>
          <w:lang w:val="fr-CA"/>
        </w:rPr>
        <w:t> :</w:t>
      </w:r>
      <w:r w:rsidR="00772679" w:rsidRPr="004E7607">
        <w:rPr>
          <w:lang w:val="fr-CA"/>
        </w:rPr>
        <w:t xml:space="preserve"> le conflit d</w:t>
      </w:r>
      <w:r w:rsidR="00C768B7">
        <w:rPr>
          <w:lang w:val="fr-CA"/>
        </w:rPr>
        <w:t>’</w:t>
      </w:r>
      <w:r w:rsidR="00772679" w:rsidRPr="004E7607">
        <w:rPr>
          <w:lang w:val="fr-CA"/>
        </w:rPr>
        <w:t xml:space="preserve">application, </w:t>
      </w:r>
      <w:r w:rsidR="00942508" w:rsidRPr="004E7607">
        <w:rPr>
          <w:lang w:val="fr-CA"/>
        </w:rPr>
        <w:t xml:space="preserve">à savoir </w:t>
      </w:r>
      <w:r w:rsidR="00772679" w:rsidRPr="004E7607">
        <w:rPr>
          <w:lang w:val="fr-CA"/>
        </w:rPr>
        <w:t>lorsque l</w:t>
      </w:r>
      <w:r w:rsidR="00C768B7">
        <w:rPr>
          <w:lang w:val="fr-CA"/>
        </w:rPr>
        <w:t>’</w:t>
      </w:r>
      <w:r w:rsidR="00772679" w:rsidRPr="004E7607">
        <w:rPr>
          <w:lang w:val="fr-CA"/>
        </w:rPr>
        <w:t>observation d</w:t>
      </w:r>
      <w:r w:rsidR="00C768B7">
        <w:rPr>
          <w:lang w:val="fr-CA"/>
        </w:rPr>
        <w:t>’</w:t>
      </w:r>
      <w:r w:rsidR="00772679" w:rsidRPr="004E7607">
        <w:rPr>
          <w:lang w:val="fr-CA"/>
        </w:rPr>
        <w:t>une loi en</w:t>
      </w:r>
      <w:r w:rsidR="00942508" w:rsidRPr="004E7607">
        <w:rPr>
          <w:lang w:val="fr-CA"/>
        </w:rPr>
        <w:t>traîne la violation de l</w:t>
      </w:r>
      <w:r w:rsidR="00C768B7">
        <w:rPr>
          <w:lang w:val="fr-CA"/>
        </w:rPr>
        <w:t>’</w:t>
      </w:r>
      <w:r w:rsidR="00942508" w:rsidRPr="004E7607">
        <w:rPr>
          <w:lang w:val="fr-CA"/>
        </w:rPr>
        <w:t xml:space="preserve">autre; </w:t>
      </w:r>
      <w:r w:rsidR="00642985" w:rsidRPr="004E7607">
        <w:rPr>
          <w:lang w:val="fr-CA"/>
        </w:rPr>
        <w:t xml:space="preserve">et </w:t>
      </w:r>
      <w:r w:rsidR="00772679" w:rsidRPr="004E7607">
        <w:rPr>
          <w:lang w:val="fr-CA"/>
        </w:rPr>
        <w:t>l</w:t>
      </w:r>
      <w:r w:rsidR="00C768B7">
        <w:rPr>
          <w:lang w:val="fr-CA"/>
        </w:rPr>
        <w:t>’</w:t>
      </w:r>
      <w:r w:rsidR="00772679" w:rsidRPr="004E7607">
        <w:rPr>
          <w:lang w:val="fr-CA"/>
        </w:rPr>
        <w:t xml:space="preserve">entrave </w:t>
      </w:r>
      <w:r w:rsidR="00942508" w:rsidRPr="004E7607">
        <w:rPr>
          <w:lang w:val="fr-CA"/>
        </w:rPr>
        <w:t xml:space="preserve">à </w:t>
      </w:r>
      <w:r w:rsidR="00772679" w:rsidRPr="004E7607">
        <w:rPr>
          <w:lang w:val="fr-CA"/>
        </w:rPr>
        <w:t xml:space="preserve">la </w:t>
      </w:r>
      <w:r w:rsidR="003856CA" w:rsidRPr="004E7607">
        <w:rPr>
          <w:lang w:val="fr-CA"/>
        </w:rPr>
        <w:t xml:space="preserve">réalisation </w:t>
      </w:r>
      <w:r w:rsidR="00942508" w:rsidRPr="004E7607">
        <w:rPr>
          <w:lang w:val="fr-CA"/>
        </w:rPr>
        <w:t>d</w:t>
      </w:r>
      <w:r w:rsidR="00C768B7">
        <w:rPr>
          <w:lang w:val="fr-CA"/>
        </w:rPr>
        <w:t>’</w:t>
      </w:r>
      <w:r w:rsidR="00942508" w:rsidRPr="004E7607">
        <w:rPr>
          <w:lang w:val="fr-CA"/>
        </w:rPr>
        <w:t xml:space="preserve">un objectif </w:t>
      </w:r>
      <w:r w:rsidR="003856CA" w:rsidRPr="004E7607">
        <w:rPr>
          <w:lang w:val="fr-CA"/>
        </w:rPr>
        <w:t>fédér</w:t>
      </w:r>
      <w:r w:rsidR="00A44E93" w:rsidRPr="004E7607">
        <w:rPr>
          <w:lang w:val="fr-CA"/>
        </w:rPr>
        <w:t xml:space="preserve">al.  </w:t>
      </w:r>
      <w:r w:rsidR="00772679" w:rsidRPr="004E7607">
        <w:rPr>
          <w:lang w:val="fr-CA"/>
        </w:rPr>
        <w:t>La norme d</w:t>
      </w:r>
      <w:r w:rsidR="00C768B7">
        <w:rPr>
          <w:lang w:val="fr-CA"/>
        </w:rPr>
        <w:t>’</w:t>
      </w:r>
      <w:r w:rsidR="00772679" w:rsidRPr="004E7607">
        <w:rPr>
          <w:lang w:val="fr-CA"/>
        </w:rPr>
        <w:t>invalidation d</w:t>
      </w:r>
      <w:r w:rsidR="00C768B7">
        <w:rPr>
          <w:lang w:val="fr-CA"/>
        </w:rPr>
        <w:t>’</w:t>
      </w:r>
      <w:r w:rsidR="00772679" w:rsidRPr="004E7607">
        <w:rPr>
          <w:lang w:val="fr-CA"/>
        </w:rPr>
        <w:t>une loi provinciale au motif qu</w:t>
      </w:r>
      <w:r w:rsidR="00C768B7">
        <w:rPr>
          <w:lang w:val="fr-CA"/>
        </w:rPr>
        <w:t>’</w:t>
      </w:r>
      <w:r w:rsidR="00772679" w:rsidRPr="004E7607">
        <w:rPr>
          <w:lang w:val="fr-CA"/>
        </w:rPr>
        <w:t>elle entrave la réalisation d</w:t>
      </w:r>
      <w:r w:rsidR="00C768B7">
        <w:rPr>
          <w:lang w:val="fr-CA"/>
        </w:rPr>
        <w:t>’</w:t>
      </w:r>
      <w:r w:rsidR="00942508" w:rsidRPr="004E7607">
        <w:rPr>
          <w:lang w:val="fr-CA"/>
        </w:rPr>
        <w:t xml:space="preserve">un objectif </w:t>
      </w:r>
      <w:r w:rsidR="00772679" w:rsidRPr="004E7607">
        <w:rPr>
          <w:lang w:val="fr-CA"/>
        </w:rPr>
        <w:t>fédéral est élevée</w:t>
      </w:r>
      <w:r w:rsidRPr="004E7607">
        <w:rPr>
          <w:lang w:val="fr-CA"/>
        </w:rPr>
        <w:t>.</w:t>
      </w:r>
    </w:p>
    <w:p w:rsidR="004D7D95" w:rsidRPr="004E7607" w:rsidRDefault="00772679" w:rsidP="009A53C0">
      <w:pPr>
        <w:pStyle w:val="SCCNormalDoubleSpacing"/>
        <w:spacing w:after="480"/>
        <w:rPr>
          <w:lang w:val="fr-CA"/>
        </w:rPr>
      </w:pPr>
      <w:r w:rsidRPr="004E7607">
        <w:rPr>
          <w:lang w:val="fr-CA"/>
        </w:rPr>
        <w:tab/>
      </w:r>
      <w:r w:rsidR="002630C4" w:rsidRPr="004E7607">
        <w:rPr>
          <w:lang w:val="fr-CA"/>
        </w:rPr>
        <w:t xml:space="preserve">Le paragraphe </w:t>
      </w:r>
      <w:r w:rsidRPr="004E7607">
        <w:rPr>
          <w:lang w:val="fr-CA"/>
        </w:rPr>
        <w:t xml:space="preserve">6(2) </w:t>
      </w:r>
      <w:r w:rsidR="002630C4" w:rsidRPr="004E7607">
        <w:rPr>
          <w:lang w:val="fr-CA"/>
        </w:rPr>
        <w:t xml:space="preserve">de la </w:t>
      </w:r>
      <w:r w:rsidR="002630C4" w:rsidRPr="004E7607">
        <w:rPr>
          <w:i/>
          <w:lang w:val="fr-CA"/>
        </w:rPr>
        <w:t>LRMM</w:t>
      </w:r>
      <w:r w:rsidR="002630C4" w:rsidRPr="004E7607">
        <w:rPr>
          <w:lang w:val="fr-CA"/>
        </w:rPr>
        <w:t xml:space="preserve"> confère une cause d</w:t>
      </w:r>
      <w:r w:rsidR="00C768B7">
        <w:rPr>
          <w:lang w:val="fr-CA"/>
        </w:rPr>
        <w:t>’</w:t>
      </w:r>
      <w:r w:rsidR="002630C4" w:rsidRPr="004E7607">
        <w:rPr>
          <w:lang w:val="fr-CA"/>
        </w:rPr>
        <w:t>action aux personnes à la charge d</w:t>
      </w:r>
      <w:r w:rsidR="00C768B7">
        <w:rPr>
          <w:lang w:val="fr-CA"/>
        </w:rPr>
        <w:t>’</w:t>
      </w:r>
      <w:r w:rsidR="002630C4" w:rsidRPr="004E7607">
        <w:rPr>
          <w:lang w:val="fr-CA"/>
        </w:rPr>
        <w:t>une personne qui, en raison de la faute ou de la négligence d</w:t>
      </w:r>
      <w:r w:rsidR="00C768B7">
        <w:rPr>
          <w:lang w:val="fr-CA"/>
        </w:rPr>
        <w:t>’</w:t>
      </w:r>
      <w:r w:rsidR="002630C4" w:rsidRPr="004E7607">
        <w:rPr>
          <w:lang w:val="fr-CA"/>
        </w:rPr>
        <w:t>autrui, a perdu la vie dans un accident de navigation assujetti au droit maritime canadien</w:t>
      </w:r>
      <w:r w:rsidR="00A44E93" w:rsidRPr="004E7607">
        <w:rPr>
          <w:lang w:val="fr-CA"/>
        </w:rPr>
        <w:t xml:space="preserve">.  </w:t>
      </w:r>
      <w:r w:rsidR="002630C4" w:rsidRPr="004E7607">
        <w:rPr>
          <w:lang w:val="fr-CA"/>
        </w:rPr>
        <w:t xml:space="preserve">Cependant, le </w:t>
      </w:r>
      <w:r w:rsidR="00A44E93" w:rsidRPr="004E7607">
        <w:rPr>
          <w:lang w:val="fr-CA"/>
        </w:rPr>
        <w:t>par. </w:t>
      </w:r>
      <w:r w:rsidR="002630C4" w:rsidRPr="004E7607">
        <w:rPr>
          <w:lang w:val="fr-CA"/>
        </w:rPr>
        <w:t>6(2) ne fait pas obstacle à</w:t>
      </w:r>
      <w:r w:rsidR="002630C4" w:rsidRPr="004E7607">
        <w:rPr>
          <w:i/>
          <w:lang w:val="fr-CA"/>
        </w:rPr>
        <w:t xml:space="preserve"> </w:t>
      </w:r>
      <w:r w:rsidR="002630C4" w:rsidRPr="004E7607">
        <w:rPr>
          <w:lang w:val="fr-CA"/>
        </w:rPr>
        <w:t>l</w:t>
      </w:r>
      <w:r w:rsidR="00C768B7">
        <w:rPr>
          <w:lang w:val="fr-CA"/>
        </w:rPr>
        <w:t>’</w:t>
      </w:r>
      <w:r w:rsidR="002630C4" w:rsidRPr="004E7607">
        <w:rPr>
          <w:lang w:val="fr-CA"/>
        </w:rPr>
        <w:t>application de régimes provinciaux d</w:t>
      </w:r>
      <w:r w:rsidR="00C768B7">
        <w:rPr>
          <w:lang w:val="fr-CA"/>
        </w:rPr>
        <w:t>’</w:t>
      </w:r>
      <w:r w:rsidR="002630C4" w:rsidRPr="004E7607">
        <w:rPr>
          <w:lang w:val="fr-CA"/>
        </w:rPr>
        <w:t>indemnisation des accidents du travail</w:t>
      </w:r>
      <w:r w:rsidR="00A44E93" w:rsidRPr="004E7607">
        <w:rPr>
          <w:lang w:val="fr-CA"/>
        </w:rPr>
        <w:t xml:space="preserve">.  </w:t>
      </w:r>
      <w:r w:rsidR="002630C4" w:rsidRPr="004E7607">
        <w:rPr>
          <w:lang w:val="fr-CA"/>
        </w:rPr>
        <w:t xml:space="preserve">La </w:t>
      </w:r>
      <w:r w:rsidRPr="004E7607">
        <w:rPr>
          <w:i/>
          <w:lang w:val="fr-CA"/>
        </w:rPr>
        <w:t>WHSCA</w:t>
      </w:r>
      <w:r w:rsidRPr="004E7607">
        <w:rPr>
          <w:lang w:val="fr-CA"/>
        </w:rPr>
        <w:t xml:space="preserve"> </w:t>
      </w:r>
      <w:r w:rsidR="002630C4" w:rsidRPr="004E7607">
        <w:rPr>
          <w:lang w:val="fr-CA"/>
        </w:rPr>
        <w:t xml:space="preserve">et la </w:t>
      </w:r>
      <w:r w:rsidR="002630C4" w:rsidRPr="004E7607">
        <w:rPr>
          <w:i/>
          <w:lang w:val="fr-CA"/>
        </w:rPr>
        <w:t>LRMM</w:t>
      </w:r>
      <w:r w:rsidR="002630C4" w:rsidRPr="004E7607">
        <w:rPr>
          <w:lang w:val="fr-CA"/>
        </w:rPr>
        <w:t xml:space="preserve"> peuvent coexister sans </w:t>
      </w:r>
      <w:r w:rsidRPr="004E7607">
        <w:rPr>
          <w:lang w:val="fr-CA"/>
        </w:rPr>
        <w:t>conflit</w:t>
      </w:r>
      <w:r w:rsidR="00A44E93" w:rsidRPr="004E7607">
        <w:rPr>
          <w:lang w:val="fr-CA"/>
        </w:rPr>
        <w:t xml:space="preserve">.  </w:t>
      </w:r>
      <w:r w:rsidR="0032331A" w:rsidRPr="004E7607">
        <w:rPr>
          <w:lang w:val="fr-CA"/>
        </w:rPr>
        <w:t xml:space="preserve">Le </w:t>
      </w:r>
      <w:r w:rsidR="00A44E93" w:rsidRPr="004E7607">
        <w:rPr>
          <w:lang w:val="fr-CA"/>
        </w:rPr>
        <w:t>par</w:t>
      </w:r>
      <w:r w:rsidR="005D69AA">
        <w:rPr>
          <w:lang w:val="fr-CA"/>
        </w:rPr>
        <w:t>agraphe</w:t>
      </w:r>
      <w:r w:rsidR="00A44E93" w:rsidRPr="004E7607">
        <w:rPr>
          <w:lang w:val="fr-CA"/>
        </w:rPr>
        <w:t> </w:t>
      </w:r>
      <w:r w:rsidR="0032331A" w:rsidRPr="004E7607">
        <w:rPr>
          <w:lang w:val="fr-CA"/>
        </w:rPr>
        <w:t xml:space="preserve">6(2) de la </w:t>
      </w:r>
      <w:r w:rsidR="0032331A" w:rsidRPr="004E7607">
        <w:rPr>
          <w:i/>
          <w:lang w:val="fr-CA"/>
        </w:rPr>
        <w:t>LRMM</w:t>
      </w:r>
      <w:r w:rsidR="0032331A" w:rsidRPr="004E7607">
        <w:rPr>
          <w:lang w:val="fr-CA"/>
        </w:rPr>
        <w:t xml:space="preserve"> précise que les personnes à charge peuvent intenter une action « dans des circonstances qui, si le </w:t>
      </w:r>
      <w:r w:rsidR="0032331A" w:rsidRPr="004E7607">
        <w:rPr>
          <w:lang w:val="fr-CA"/>
        </w:rPr>
        <w:lastRenderedPageBreak/>
        <w:t>décès n</w:t>
      </w:r>
      <w:r w:rsidR="00C768B7">
        <w:rPr>
          <w:lang w:val="fr-CA"/>
        </w:rPr>
        <w:t>’</w:t>
      </w:r>
      <w:r w:rsidR="0032331A" w:rsidRPr="004E7607">
        <w:rPr>
          <w:lang w:val="fr-CA"/>
        </w:rPr>
        <w:t>en était pas résulté, [. . .] auraient donné [à la victime] le droit de réclamer des dommages</w:t>
      </w:r>
      <w:r w:rsidR="00A44E93" w:rsidRPr="004E7607">
        <w:rPr>
          <w:lang w:val="fr-CA"/>
        </w:rPr>
        <w:noBreakHyphen/>
      </w:r>
      <w:r w:rsidR="0032331A" w:rsidRPr="004E7607">
        <w:rPr>
          <w:lang w:val="fr-CA"/>
        </w:rPr>
        <w:t>intérêts »</w:t>
      </w:r>
      <w:r w:rsidR="00A44E93" w:rsidRPr="004E7607">
        <w:rPr>
          <w:lang w:val="fr-CA"/>
        </w:rPr>
        <w:t xml:space="preserve">.  </w:t>
      </w:r>
      <w:r w:rsidR="00E549FE" w:rsidRPr="004E7607">
        <w:rPr>
          <w:lang w:val="fr-CA"/>
        </w:rPr>
        <w:t>Ce texte tend à indiquer qu</w:t>
      </w:r>
      <w:r w:rsidR="00C768B7">
        <w:rPr>
          <w:lang w:val="fr-CA"/>
        </w:rPr>
        <w:t>’</w:t>
      </w:r>
      <w:r w:rsidR="00E549FE" w:rsidRPr="004E7607">
        <w:rPr>
          <w:lang w:val="fr-CA"/>
        </w:rPr>
        <w:t>il existe des situations où une personne à charge n</w:t>
      </w:r>
      <w:r w:rsidR="00C768B7">
        <w:rPr>
          <w:lang w:val="fr-CA"/>
        </w:rPr>
        <w:t>’</w:t>
      </w:r>
      <w:r w:rsidR="00E549FE" w:rsidRPr="004E7607">
        <w:rPr>
          <w:lang w:val="fr-CA"/>
        </w:rPr>
        <w:t xml:space="preserve">est pas autorisée à intenter une action en vertu du </w:t>
      </w:r>
      <w:r w:rsidR="00A44E93" w:rsidRPr="004E7607">
        <w:rPr>
          <w:lang w:val="fr-CA"/>
        </w:rPr>
        <w:t>par. </w:t>
      </w:r>
      <w:r w:rsidR="00E549FE" w:rsidRPr="004E7607">
        <w:rPr>
          <w:lang w:val="fr-CA"/>
        </w:rPr>
        <w:t xml:space="preserve">6(2) de la </w:t>
      </w:r>
      <w:r w:rsidR="00E549FE" w:rsidRPr="004E7607">
        <w:rPr>
          <w:i/>
          <w:lang w:val="fr-CA"/>
        </w:rPr>
        <w:t>LRMM</w:t>
      </w:r>
      <w:r w:rsidR="00A44E93" w:rsidRPr="004E7607">
        <w:rPr>
          <w:lang w:val="fr-CA"/>
        </w:rPr>
        <w:t xml:space="preserve">.  </w:t>
      </w:r>
      <w:r w:rsidR="00E549FE" w:rsidRPr="004E7607">
        <w:rPr>
          <w:lang w:val="fr-CA"/>
        </w:rPr>
        <w:t>C</w:t>
      </w:r>
      <w:r w:rsidR="00C768B7">
        <w:rPr>
          <w:lang w:val="fr-CA"/>
        </w:rPr>
        <w:t>’</w:t>
      </w:r>
      <w:r w:rsidR="00E549FE" w:rsidRPr="004E7607">
        <w:rPr>
          <w:lang w:val="fr-CA"/>
        </w:rPr>
        <w:t>est le cas lorsqu</w:t>
      </w:r>
      <w:r w:rsidR="00C768B7">
        <w:rPr>
          <w:lang w:val="fr-CA"/>
        </w:rPr>
        <w:t>’</w:t>
      </w:r>
      <w:r w:rsidR="00E549FE" w:rsidRPr="004E7607">
        <w:rPr>
          <w:lang w:val="fr-CA"/>
        </w:rPr>
        <w:t xml:space="preserve">une disposition législative </w:t>
      </w:r>
      <w:r w:rsidR="00E549FE" w:rsidRPr="004E7607">
        <w:rPr>
          <w:i/>
          <w:lang w:val="fr-CA"/>
        </w:rPr>
        <w:t xml:space="preserve">— </w:t>
      </w:r>
      <w:r w:rsidR="00E549FE" w:rsidRPr="004E7607">
        <w:rPr>
          <w:lang w:val="fr-CA"/>
        </w:rPr>
        <w:t>tel l</w:t>
      </w:r>
      <w:r w:rsidR="00C768B7">
        <w:rPr>
          <w:lang w:val="fr-CA"/>
        </w:rPr>
        <w:t>’</w:t>
      </w:r>
      <w:r w:rsidR="00A44E93" w:rsidRPr="004E7607">
        <w:rPr>
          <w:lang w:val="fr-CA"/>
        </w:rPr>
        <w:t>art. </w:t>
      </w:r>
      <w:r w:rsidR="00E549FE" w:rsidRPr="004E7607">
        <w:rPr>
          <w:lang w:val="fr-CA"/>
        </w:rPr>
        <w:t xml:space="preserve">44 de la </w:t>
      </w:r>
      <w:r w:rsidR="00E549FE" w:rsidRPr="004E7607">
        <w:rPr>
          <w:i/>
          <w:lang w:val="fr-CA"/>
        </w:rPr>
        <w:t>WHSCA —</w:t>
      </w:r>
      <w:r w:rsidR="00DB5888">
        <w:rPr>
          <w:lang w:val="fr-CA"/>
        </w:rPr>
        <w:t xml:space="preserve"> i</w:t>
      </w:r>
      <w:r w:rsidR="00E549FE" w:rsidRPr="004E7607">
        <w:rPr>
          <w:lang w:val="fr-CA"/>
        </w:rPr>
        <w:t>nterdit les poursuites au motif qu</w:t>
      </w:r>
      <w:r w:rsidR="00C768B7">
        <w:rPr>
          <w:lang w:val="fr-CA"/>
        </w:rPr>
        <w:t>’</w:t>
      </w:r>
      <w:r w:rsidR="00E549FE" w:rsidRPr="004E7607">
        <w:rPr>
          <w:lang w:val="fr-CA"/>
        </w:rPr>
        <w:t>une indemnité a déjà été versée au titre d</w:t>
      </w:r>
      <w:r w:rsidR="00C768B7">
        <w:rPr>
          <w:lang w:val="fr-CA"/>
        </w:rPr>
        <w:t>’</w:t>
      </w:r>
      <w:r w:rsidR="00E549FE" w:rsidRPr="004E7607">
        <w:rPr>
          <w:lang w:val="fr-CA"/>
        </w:rPr>
        <w:t>un régime d</w:t>
      </w:r>
      <w:r w:rsidR="00C768B7">
        <w:rPr>
          <w:lang w:val="fr-CA"/>
        </w:rPr>
        <w:t>’</w:t>
      </w:r>
      <w:r w:rsidR="00E549FE" w:rsidRPr="004E7607">
        <w:rPr>
          <w:lang w:val="fr-CA"/>
        </w:rPr>
        <w:t>indemnisation des accidents du travail</w:t>
      </w:r>
      <w:r w:rsidR="00A44E93" w:rsidRPr="004E7607">
        <w:rPr>
          <w:lang w:val="fr-CA"/>
        </w:rPr>
        <w:t xml:space="preserve">.  </w:t>
      </w:r>
      <w:r w:rsidR="00DA1A93" w:rsidRPr="004E7607">
        <w:rPr>
          <w:lang w:val="fr-CA"/>
        </w:rPr>
        <w:t>L</w:t>
      </w:r>
      <w:r w:rsidR="00C768B7">
        <w:rPr>
          <w:lang w:val="fr-CA"/>
        </w:rPr>
        <w:t>’</w:t>
      </w:r>
      <w:r w:rsidR="00DA1A93" w:rsidRPr="004E7607">
        <w:rPr>
          <w:lang w:val="fr-CA"/>
        </w:rPr>
        <w:t xml:space="preserve">interdiction </w:t>
      </w:r>
      <w:r w:rsidR="007F0060" w:rsidRPr="004E7607">
        <w:rPr>
          <w:lang w:val="fr-CA"/>
        </w:rPr>
        <w:t xml:space="preserve">légale </w:t>
      </w:r>
      <w:r w:rsidR="00DA1A93" w:rsidRPr="004E7607">
        <w:rPr>
          <w:lang w:val="fr-CA"/>
        </w:rPr>
        <w:t>de poursuites prévue à l</w:t>
      </w:r>
      <w:r w:rsidR="00C768B7">
        <w:rPr>
          <w:lang w:val="fr-CA"/>
        </w:rPr>
        <w:t>’</w:t>
      </w:r>
      <w:r w:rsidR="00A44E93" w:rsidRPr="004E7607">
        <w:rPr>
          <w:lang w:val="fr-CA"/>
        </w:rPr>
        <w:t>art. </w:t>
      </w:r>
      <w:r w:rsidR="00DA1A93" w:rsidRPr="004E7607">
        <w:rPr>
          <w:lang w:val="fr-CA"/>
        </w:rPr>
        <w:t xml:space="preserve">44 de la </w:t>
      </w:r>
      <w:r w:rsidRPr="004E7607">
        <w:rPr>
          <w:i/>
          <w:lang w:val="fr-CA"/>
        </w:rPr>
        <w:t>WHSCA</w:t>
      </w:r>
      <w:r w:rsidRPr="004E7607">
        <w:rPr>
          <w:lang w:val="fr-CA"/>
        </w:rPr>
        <w:t xml:space="preserve"> </w:t>
      </w:r>
      <w:r w:rsidR="00DA1A93" w:rsidRPr="004E7607">
        <w:rPr>
          <w:lang w:val="fr-CA"/>
        </w:rPr>
        <w:t>exclut l</w:t>
      </w:r>
      <w:r w:rsidR="00C768B7">
        <w:rPr>
          <w:lang w:val="fr-CA"/>
        </w:rPr>
        <w:t>’</w:t>
      </w:r>
      <w:r w:rsidR="00DA1A93" w:rsidRPr="004E7607">
        <w:rPr>
          <w:lang w:val="fr-CA"/>
        </w:rPr>
        <w:t>indemnisation des accidents du travail du champ d</w:t>
      </w:r>
      <w:r w:rsidR="00C768B7">
        <w:rPr>
          <w:lang w:val="fr-CA"/>
        </w:rPr>
        <w:t>’</w:t>
      </w:r>
      <w:r w:rsidR="00DA1A93" w:rsidRPr="004E7607">
        <w:rPr>
          <w:lang w:val="fr-CA"/>
        </w:rPr>
        <w:t xml:space="preserve">application du régime de la responsabilité délictuelle, régime dont fait partie la </w:t>
      </w:r>
      <w:r w:rsidR="00DA1A93" w:rsidRPr="004E7607">
        <w:rPr>
          <w:i/>
          <w:lang w:val="fr-CA"/>
        </w:rPr>
        <w:t>LRMM</w:t>
      </w:r>
      <w:r w:rsidR="00A44E93" w:rsidRPr="004E7607">
        <w:rPr>
          <w:lang w:val="fr-CA"/>
        </w:rPr>
        <w:t xml:space="preserve">.  </w:t>
      </w:r>
      <w:r w:rsidR="00480BE1" w:rsidRPr="004E7607">
        <w:rPr>
          <w:lang w:val="fr-CA"/>
        </w:rPr>
        <w:t xml:space="preserve">Dans ces circonstances, un travailleur décédé dont les personnes à charge ont droit à une indemnité sous le régime de la </w:t>
      </w:r>
      <w:r w:rsidR="00480BE1" w:rsidRPr="004E7607">
        <w:rPr>
          <w:i/>
          <w:lang w:val="fr-CA"/>
        </w:rPr>
        <w:t>WHSCA</w:t>
      </w:r>
      <w:r w:rsidR="00480BE1" w:rsidRPr="004E7607">
        <w:rPr>
          <w:lang w:val="fr-CA"/>
        </w:rPr>
        <w:t xml:space="preserve"> constitue, pour l</w:t>
      </w:r>
      <w:r w:rsidR="00C768B7">
        <w:rPr>
          <w:lang w:val="fr-CA"/>
        </w:rPr>
        <w:t>’</w:t>
      </w:r>
      <w:r w:rsidR="00480BE1" w:rsidRPr="004E7607">
        <w:rPr>
          <w:lang w:val="fr-CA"/>
        </w:rPr>
        <w:t xml:space="preserve">application du </w:t>
      </w:r>
      <w:r w:rsidR="00A44E93" w:rsidRPr="004E7607">
        <w:rPr>
          <w:lang w:val="fr-CA"/>
        </w:rPr>
        <w:t>par. </w:t>
      </w:r>
      <w:r w:rsidR="00480BE1" w:rsidRPr="004E7607">
        <w:rPr>
          <w:lang w:val="fr-CA"/>
        </w:rPr>
        <w:t xml:space="preserve">6(2) de la </w:t>
      </w:r>
      <w:r w:rsidR="00480BE1" w:rsidRPr="004E7607">
        <w:rPr>
          <w:i/>
          <w:lang w:val="fr-CA"/>
        </w:rPr>
        <w:t>LRMM</w:t>
      </w:r>
      <w:r w:rsidR="00480BE1" w:rsidRPr="004E7607">
        <w:rPr>
          <w:lang w:val="fr-CA"/>
        </w:rPr>
        <w:t>, une personne ayant perdu la vie dans des circonstances qui ne lui auraient pas</w:t>
      </w:r>
      <w:r w:rsidR="00480BE1" w:rsidRPr="004E7607">
        <w:rPr>
          <w:i/>
          <w:lang w:val="fr-CA"/>
        </w:rPr>
        <w:t xml:space="preserve"> </w:t>
      </w:r>
      <w:r w:rsidR="00480BE1" w:rsidRPr="004E7607">
        <w:rPr>
          <w:lang w:val="fr-CA"/>
        </w:rPr>
        <w:t>donné le droit de réclamer des dommages</w:t>
      </w:r>
      <w:r w:rsidR="00A44E93" w:rsidRPr="004E7607">
        <w:rPr>
          <w:lang w:val="fr-CA"/>
        </w:rPr>
        <w:noBreakHyphen/>
      </w:r>
      <w:r w:rsidR="00480BE1" w:rsidRPr="004E7607">
        <w:rPr>
          <w:lang w:val="fr-CA"/>
        </w:rPr>
        <w:t>intérêts si elle avait survécu</w:t>
      </w:r>
      <w:r w:rsidR="00A44E93" w:rsidRPr="004E7607">
        <w:rPr>
          <w:lang w:val="fr-CA"/>
        </w:rPr>
        <w:t xml:space="preserve">.  </w:t>
      </w:r>
      <w:r w:rsidR="00480BE1" w:rsidRPr="004E7607">
        <w:rPr>
          <w:lang w:val="fr-CA"/>
        </w:rPr>
        <w:t xml:space="preserve">La </w:t>
      </w:r>
      <w:r w:rsidR="00480BE1" w:rsidRPr="004E7607">
        <w:rPr>
          <w:i/>
          <w:lang w:val="fr-CA"/>
        </w:rPr>
        <w:t>WHSCA</w:t>
      </w:r>
      <w:r w:rsidR="00480BE1" w:rsidRPr="004E7607">
        <w:rPr>
          <w:lang w:val="fr-CA"/>
        </w:rPr>
        <w:t>, qui établit un régime d</w:t>
      </w:r>
      <w:r w:rsidR="00C768B7">
        <w:rPr>
          <w:lang w:val="fr-CA"/>
        </w:rPr>
        <w:t>’</w:t>
      </w:r>
      <w:r w:rsidR="00480BE1" w:rsidRPr="004E7607">
        <w:rPr>
          <w:lang w:val="fr-CA"/>
        </w:rPr>
        <w:t>indemnisation sans égard à la responsabilité pour les accidents du travail, n</w:t>
      </w:r>
      <w:r w:rsidR="00C768B7">
        <w:rPr>
          <w:lang w:val="fr-CA"/>
        </w:rPr>
        <w:t>’</w:t>
      </w:r>
      <w:r w:rsidR="00480BE1" w:rsidRPr="004E7607">
        <w:rPr>
          <w:lang w:val="fr-CA"/>
        </w:rPr>
        <w:t>entrave pas la réalisation de l</w:t>
      </w:r>
      <w:r w:rsidR="00C768B7">
        <w:rPr>
          <w:lang w:val="fr-CA"/>
        </w:rPr>
        <w:t>’</w:t>
      </w:r>
      <w:r w:rsidR="00480BE1" w:rsidRPr="004E7607">
        <w:rPr>
          <w:lang w:val="fr-CA"/>
        </w:rPr>
        <w:t xml:space="preserve">objectif du </w:t>
      </w:r>
      <w:r w:rsidR="00A44E93" w:rsidRPr="004E7607">
        <w:rPr>
          <w:lang w:val="fr-CA"/>
        </w:rPr>
        <w:t>par. </w:t>
      </w:r>
      <w:r w:rsidRPr="004E7607">
        <w:rPr>
          <w:lang w:val="fr-CA"/>
        </w:rPr>
        <w:t xml:space="preserve">6(2) </w:t>
      </w:r>
      <w:r w:rsidR="00480BE1" w:rsidRPr="004E7607">
        <w:rPr>
          <w:lang w:val="fr-CA"/>
        </w:rPr>
        <w:t xml:space="preserve">de la </w:t>
      </w:r>
      <w:r w:rsidR="00480BE1" w:rsidRPr="004E7607">
        <w:rPr>
          <w:i/>
          <w:lang w:val="fr-CA"/>
        </w:rPr>
        <w:t xml:space="preserve">LRMM </w:t>
      </w:r>
      <w:r w:rsidR="00480BE1" w:rsidRPr="004E7607">
        <w:rPr>
          <w:lang w:val="fr-CA"/>
        </w:rPr>
        <w:t>qui</w:t>
      </w:r>
      <w:r w:rsidRPr="004E7607">
        <w:rPr>
          <w:lang w:val="fr-CA"/>
        </w:rPr>
        <w:t xml:space="preserve"> </w:t>
      </w:r>
      <w:r w:rsidR="00480BE1" w:rsidRPr="004E7607">
        <w:rPr>
          <w:lang w:val="fr-CA"/>
        </w:rPr>
        <w:t>a été édicté en vue d</w:t>
      </w:r>
      <w:r w:rsidR="00C768B7">
        <w:rPr>
          <w:lang w:val="fr-CA"/>
        </w:rPr>
        <w:t>’</w:t>
      </w:r>
      <w:r w:rsidR="00480BE1" w:rsidRPr="004E7607">
        <w:rPr>
          <w:lang w:val="fr-CA"/>
        </w:rPr>
        <w:t xml:space="preserve">élargir la catégorie des personnes admises à intenter une action </w:t>
      </w:r>
      <w:r w:rsidR="009E36C4" w:rsidRPr="004E7607">
        <w:rPr>
          <w:lang w:val="fr-CA"/>
        </w:rPr>
        <w:t xml:space="preserve">en </w:t>
      </w:r>
      <w:r w:rsidR="00480BE1" w:rsidRPr="004E7607">
        <w:rPr>
          <w:lang w:val="fr-CA"/>
        </w:rPr>
        <w:t>négligence fondée sur le droit maritime</w:t>
      </w:r>
      <w:r w:rsidR="00A44E93" w:rsidRPr="004E7607">
        <w:rPr>
          <w:lang w:val="fr-CA"/>
        </w:rPr>
        <w:t xml:space="preserve">.  </w:t>
      </w:r>
      <w:r w:rsidR="00480BE1" w:rsidRPr="004E7607">
        <w:rPr>
          <w:lang w:val="fr-CA"/>
        </w:rPr>
        <w:t xml:space="preserve">La </w:t>
      </w:r>
      <w:r w:rsidRPr="004E7607">
        <w:rPr>
          <w:i/>
          <w:lang w:val="fr-CA"/>
        </w:rPr>
        <w:t>WHSCA</w:t>
      </w:r>
      <w:r w:rsidRPr="004E7607">
        <w:rPr>
          <w:lang w:val="fr-CA"/>
        </w:rPr>
        <w:t xml:space="preserve"> </w:t>
      </w:r>
      <w:r w:rsidR="00480BE1" w:rsidRPr="004E7607">
        <w:rPr>
          <w:lang w:val="fr-CA"/>
        </w:rPr>
        <w:t>instaure tout simplement un régime d</w:t>
      </w:r>
      <w:r w:rsidR="00C768B7">
        <w:rPr>
          <w:lang w:val="fr-CA"/>
        </w:rPr>
        <w:t>’</w:t>
      </w:r>
      <w:r w:rsidR="00480BE1" w:rsidRPr="004E7607">
        <w:rPr>
          <w:lang w:val="fr-CA"/>
        </w:rPr>
        <w:t>indemnisation distinct du droit de la responsabilité délictuelle</w:t>
      </w:r>
      <w:r w:rsidRPr="004E7607">
        <w:rPr>
          <w:lang w:val="fr-CA"/>
        </w:rPr>
        <w:t>.</w:t>
      </w:r>
    </w:p>
    <w:p w:rsidR="004D7D95" w:rsidRPr="004E7607" w:rsidRDefault="004D7D95" w:rsidP="00F909FA">
      <w:pPr>
        <w:pStyle w:val="SCCNormalDoubleSpacing"/>
        <w:keepNext/>
        <w:spacing w:after="720"/>
        <w:rPr>
          <w:b/>
          <w:lang w:val="fr-CA"/>
        </w:rPr>
      </w:pPr>
      <w:r w:rsidRPr="004E7607">
        <w:rPr>
          <w:b/>
          <w:lang w:val="fr-CA"/>
        </w:rPr>
        <w:t>Jurisprudence</w:t>
      </w:r>
    </w:p>
    <w:p w:rsidR="00897746" w:rsidRPr="004E7607" w:rsidRDefault="004D7D95" w:rsidP="000C5036">
      <w:pPr>
        <w:pStyle w:val="SCCNormalDoubleSpacing"/>
        <w:spacing w:before="480" w:after="480"/>
        <w:rPr>
          <w:szCs w:val="24"/>
          <w:lang w:val="fr-CA"/>
        </w:rPr>
      </w:pPr>
      <w:r w:rsidRPr="004E7607">
        <w:rPr>
          <w:lang w:val="fr-CA"/>
        </w:rPr>
        <w:tab/>
      </w:r>
      <w:r w:rsidRPr="004E7607">
        <w:rPr>
          <w:b/>
          <w:lang w:val="fr-CA"/>
        </w:rPr>
        <w:t>Arrêts mentionnés</w:t>
      </w:r>
      <w:r w:rsidR="00A44E93" w:rsidRPr="004E7607">
        <w:rPr>
          <w:b/>
          <w:lang w:val="fr-CA"/>
        </w:rPr>
        <w:t> :</w:t>
      </w:r>
      <w:r w:rsidRPr="004E7607">
        <w:rPr>
          <w:lang w:val="fr-CA"/>
        </w:rPr>
        <w:t xml:space="preserve"> </w:t>
      </w:r>
      <w:r w:rsidR="00897746" w:rsidRPr="004E7607">
        <w:rPr>
          <w:i/>
          <w:lang w:val="fr-CA"/>
        </w:rPr>
        <w:t xml:space="preserve">Succession </w:t>
      </w:r>
      <w:r w:rsidR="00897746" w:rsidRPr="004E7607">
        <w:rPr>
          <w:i/>
          <w:szCs w:val="24"/>
          <w:lang w:val="fr-CA"/>
        </w:rPr>
        <w:t>Ordon c. Grail</w:t>
      </w:r>
      <w:r w:rsidR="00897746" w:rsidRPr="004E7607">
        <w:rPr>
          <w:szCs w:val="24"/>
          <w:lang w:val="fr-CA"/>
        </w:rPr>
        <w:t xml:space="preserve">, [1998] 3 R.C.S. 437; </w:t>
      </w:r>
      <w:r w:rsidR="00897746" w:rsidRPr="004E7607">
        <w:rPr>
          <w:i/>
          <w:szCs w:val="24"/>
          <w:lang w:val="fr-CA"/>
        </w:rPr>
        <w:t>Workmen</w:t>
      </w:r>
      <w:r w:rsidR="00C768B7">
        <w:rPr>
          <w:i/>
          <w:szCs w:val="24"/>
          <w:lang w:val="fr-CA"/>
        </w:rPr>
        <w:t>’</w:t>
      </w:r>
      <w:r w:rsidR="00897746" w:rsidRPr="004E7607">
        <w:rPr>
          <w:i/>
          <w:szCs w:val="24"/>
          <w:lang w:val="fr-CA"/>
        </w:rPr>
        <w:t xml:space="preserve">s </w:t>
      </w:r>
      <w:r w:rsidR="00897746" w:rsidRPr="004E7607">
        <w:rPr>
          <w:i/>
          <w:lang w:val="fr-CA"/>
        </w:rPr>
        <w:t>Compensation</w:t>
      </w:r>
      <w:r w:rsidR="00897746" w:rsidRPr="004E7607">
        <w:rPr>
          <w:i/>
          <w:szCs w:val="24"/>
          <w:lang w:val="fr-CA"/>
        </w:rPr>
        <w:t xml:space="preserve"> Board c. Canadian Pacific Railway Co.</w:t>
      </w:r>
      <w:r w:rsidR="00897746" w:rsidRPr="004E7607">
        <w:rPr>
          <w:szCs w:val="24"/>
          <w:lang w:val="fr-CA"/>
        </w:rPr>
        <w:t xml:space="preserve">, [1920] A.C. 184; </w:t>
      </w:r>
      <w:r w:rsidR="00897746" w:rsidRPr="004E7607">
        <w:rPr>
          <w:i/>
          <w:szCs w:val="24"/>
          <w:lang w:val="fr-CA"/>
        </w:rPr>
        <w:lastRenderedPageBreak/>
        <w:t>Bell Canada c. Qu</w:t>
      </w:r>
      <w:r w:rsidR="00A8644C" w:rsidRPr="004E7607">
        <w:rPr>
          <w:i/>
          <w:szCs w:val="24"/>
          <w:lang w:val="fr-CA"/>
        </w:rPr>
        <w:t>é</w:t>
      </w:r>
      <w:r w:rsidR="00897746" w:rsidRPr="004E7607">
        <w:rPr>
          <w:i/>
          <w:szCs w:val="24"/>
          <w:lang w:val="fr-CA"/>
        </w:rPr>
        <w:t>bec (Commission de la santé et de la sécurité du travail)</w:t>
      </w:r>
      <w:r w:rsidR="00897746" w:rsidRPr="004E7607">
        <w:rPr>
          <w:szCs w:val="24"/>
          <w:lang w:val="fr-CA"/>
        </w:rPr>
        <w:t xml:space="preserve">, [1988] 1 </w:t>
      </w:r>
      <w:r w:rsidR="00A8644C" w:rsidRPr="004E7607">
        <w:rPr>
          <w:szCs w:val="24"/>
          <w:lang w:val="fr-CA"/>
        </w:rPr>
        <w:t>R.C.</w:t>
      </w:r>
      <w:r w:rsidR="00897746" w:rsidRPr="004E7607">
        <w:rPr>
          <w:szCs w:val="24"/>
          <w:lang w:val="fr-CA"/>
        </w:rPr>
        <w:t xml:space="preserve">S. 749; </w:t>
      </w:r>
      <w:r w:rsidR="00897746" w:rsidRPr="004E7607">
        <w:rPr>
          <w:i/>
          <w:szCs w:val="24"/>
          <w:lang w:val="fr-CA"/>
        </w:rPr>
        <w:t xml:space="preserve">Tessier Ltée </w:t>
      </w:r>
      <w:r w:rsidR="00A8644C" w:rsidRPr="004E7607">
        <w:rPr>
          <w:i/>
          <w:szCs w:val="24"/>
          <w:lang w:val="fr-CA"/>
        </w:rPr>
        <w:t>c</w:t>
      </w:r>
      <w:r w:rsidR="00897746" w:rsidRPr="004E7607">
        <w:rPr>
          <w:i/>
          <w:iCs/>
          <w:szCs w:val="24"/>
          <w:lang w:val="fr-CA"/>
        </w:rPr>
        <w:t>.</w:t>
      </w:r>
      <w:r w:rsidR="00897746" w:rsidRPr="004E7607">
        <w:rPr>
          <w:i/>
          <w:szCs w:val="24"/>
          <w:lang w:val="fr-CA"/>
        </w:rPr>
        <w:t xml:space="preserve"> Qu</w:t>
      </w:r>
      <w:r w:rsidR="00A8644C" w:rsidRPr="004E7607">
        <w:rPr>
          <w:i/>
          <w:szCs w:val="24"/>
          <w:lang w:val="fr-CA"/>
        </w:rPr>
        <w:t>é</w:t>
      </w:r>
      <w:r w:rsidR="00897746" w:rsidRPr="004E7607">
        <w:rPr>
          <w:i/>
          <w:szCs w:val="24"/>
          <w:lang w:val="fr-CA"/>
        </w:rPr>
        <w:t>bec (Commission de la santé et de la sécurité du travail)</w:t>
      </w:r>
      <w:r w:rsidR="00897746" w:rsidRPr="004E7607">
        <w:rPr>
          <w:szCs w:val="24"/>
          <w:lang w:val="fr-CA"/>
        </w:rPr>
        <w:t xml:space="preserve">, </w:t>
      </w:r>
      <w:bookmarkStart w:id="0" w:name="reflex-caselaw-86815608"/>
      <w:bookmarkEnd w:id="0"/>
      <w:r w:rsidR="00897746" w:rsidRPr="004E7607">
        <w:rPr>
          <w:szCs w:val="24"/>
          <w:lang w:val="fr-CA"/>
        </w:rPr>
        <w:t xml:space="preserve">2012 </w:t>
      </w:r>
      <w:r w:rsidR="00A8644C" w:rsidRPr="004E7607">
        <w:rPr>
          <w:szCs w:val="24"/>
          <w:lang w:val="fr-CA"/>
        </w:rPr>
        <w:t>C</w:t>
      </w:r>
      <w:r w:rsidR="00897746" w:rsidRPr="004E7607">
        <w:rPr>
          <w:szCs w:val="24"/>
          <w:lang w:val="fr-CA"/>
        </w:rPr>
        <w:t xml:space="preserve">SC 23, [2012] 2 </w:t>
      </w:r>
      <w:r w:rsidR="00A8644C" w:rsidRPr="004E7607">
        <w:rPr>
          <w:szCs w:val="24"/>
          <w:lang w:val="fr-CA"/>
        </w:rPr>
        <w:t>R.C.</w:t>
      </w:r>
      <w:r w:rsidR="00897746" w:rsidRPr="004E7607">
        <w:rPr>
          <w:szCs w:val="24"/>
          <w:lang w:val="fr-CA"/>
        </w:rPr>
        <w:t xml:space="preserve">S. 3; </w:t>
      </w:r>
      <w:r w:rsidR="00897746" w:rsidRPr="004E7607">
        <w:rPr>
          <w:i/>
          <w:iCs/>
          <w:szCs w:val="24"/>
          <w:lang w:val="fr-CA"/>
        </w:rPr>
        <w:t xml:space="preserve">Pasiechnyk </w:t>
      </w:r>
      <w:r w:rsidR="00A8644C" w:rsidRPr="004E7607">
        <w:rPr>
          <w:i/>
          <w:iCs/>
          <w:szCs w:val="24"/>
          <w:lang w:val="fr-CA"/>
        </w:rPr>
        <w:t>c</w:t>
      </w:r>
      <w:r w:rsidR="00897746" w:rsidRPr="004E7607">
        <w:rPr>
          <w:i/>
          <w:iCs/>
          <w:szCs w:val="24"/>
          <w:lang w:val="fr-CA"/>
        </w:rPr>
        <w:t>. Saskatchewan (Workers</w:t>
      </w:r>
      <w:r w:rsidR="00C768B7">
        <w:rPr>
          <w:i/>
          <w:iCs/>
          <w:szCs w:val="24"/>
          <w:lang w:val="fr-CA"/>
        </w:rPr>
        <w:t>’</w:t>
      </w:r>
      <w:r w:rsidR="00897746" w:rsidRPr="004E7607">
        <w:rPr>
          <w:i/>
          <w:iCs/>
          <w:szCs w:val="24"/>
          <w:lang w:val="fr-CA"/>
        </w:rPr>
        <w:t xml:space="preserve"> Compensation Board)</w:t>
      </w:r>
      <w:r w:rsidR="00897746" w:rsidRPr="004E7607">
        <w:rPr>
          <w:szCs w:val="24"/>
          <w:lang w:val="fr-CA"/>
        </w:rPr>
        <w:t xml:space="preserve">, [1997] 2 </w:t>
      </w:r>
      <w:r w:rsidR="00A8644C" w:rsidRPr="004E7607">
        <w:rPr>
          <w:szCs w:val="24"/>
          <w:lang w:val="fr-CA"/>
        </w:rPr>
        <w:t>R.C.</w:t>
      </w:r>
      <w:r w:rsidR="00897746" w:rsidRPr="004E7607">
        <w:rPr>
          <w:szCs w:val="24"/>
          <w:lang w:val="fr-CA"/>
        </w:rPr>
        <w:t xml:space="preserve">S. 890; </w:t>
      </w:r>
      <w:r w:rsidR="00897746" w:rsidRPr="004E7607">
        <w:rPr>
          <w:i/>
          <w:iCs/>
          <w:szCs w:val="24"/>
          <w:lang w:val="fr-CA"/>
        </w:rPr>
        <w:t>Reference re</w:t>
      </w:r>
      <w:r w:rsidR="00A44E93" w:rsidRPr="004E7607">
        <w:rPr>
          <w:i/>
          <w:iCs/>
          <w:szCs w:val="24"/>
          <w:lang w:val="fr-CA"/>
        </w:rPr>
        <w:t> :</w:t>
      </w:r>
      <w:r w:rsidR="00897746" w:rsidRPr="004E7607">
        <w:rPr>
          <w:i/>
          <w:iCs/>
          <w:szCs w:val="24"/>
          <w:lang w:val="fr-CA"/>
        </w:rPr>
        <w:t xml:space="preserve"> Workers</w:t>
      </w:r>
      <w:r w:rsidR="00C768B7">
        <w:rPr>
          <w:i/>
          <w:iCs/>
          <w:szCs w:val="24"/>
          <w:lang w:val="fr-CA"/>
        </w:rPr>
        <w:t>’</w:t>
      </w:r>
      <w:r w:rsidR="00897746" w:rsidRPr="004E7607">
        <w:rPr>
          <w:i/>
          <w:iCs/>
          <w:szCs w:val="24"/>
          <w:lang w:val="fr-CA"/>
        </w:rPr>
        <w:t xml:space="preserve"> Compensation Act, 1983 (Nfld.), </w:t>
      </w:r>
      <w:r w:rsidR="00A44E93" w:rsidRPr="004E7607">
        <w:rPr>
          <w:i/>
          <w:iCs/>
          <w:szCs w:val="24"/>
          <w:lang w:val="fr-CA"/>
        </w:rPr>
        <w:t>ss. </w:t>
      </w:r>
      <w:r w:rsidR="00897746" w:rsidRPr="004E7607">
        <w:rPr>
          <w:i/>
          <w:iCs/>
          <w:szCs w:val="24"/>
          <w:lang w:val="fr-CA"/>
        </w:rPr>
        <w:t>32, 34</w:t>
      </w:r>
      <w:r w:rsidR="00897746" w:rsidRPr="004E7607">
        <w:rPr>
          <w:szCs w:val="24"/>
          <w:lang w:val="fr-CA"/>
        </w:rPr>
        <w:t xml:space="preserve"> (1987), 44 D.L.R. (4th) 501</w:t>
      </w:r>
      <w:r w:rsidR="005A0A41" w:rsidRPr="004E7607">
        <w:rPr>
          <w:szCs w:val="24"/>
          <w:lang w:val="fr-CA"/>
        </w:rPr>
        <w:t xml:space="preserve">; </w:t>
      </w:r>
      <w:r w:rsidR="00897746" w:rsidRPr="004E7607">
        <w:rPr>
          <w:i/>
          <w:szCs w:val="24"/>
          <w:lang w:val="fr-CA"/>
        </w:rPr>
        <w:t xml:space="preserve">Commission du salaire minimum </w:t>
      </w:r>
      <w:r w:rsidR="00A8644C" w:rsidRPr="004E7607">
        <w:rPr>
          <w:i/>
          <w:szCs w:val="24"/>
          <w:lang w:val="fr-CA"/>
        </w:rPr>
        <w:t>c</w:t>
      </w:r>
      <w:r w:rsidR="00897746" w:rsidRPr="004E7607">
        <w:rPr>
          <w:i/>
          <w:szCs w:val="24"/>
          <w:lang w:val="fr-CA"/>
        </w:rPr>
        <w:t>. Bell Telephone Co. of Canada</w:t>
      </w:r>
      <w:r w:rsidR="00897746" w:rsidRPr="004E7607">
        <w:rPr>
          <w:szCs w:val="24"/>
          <w:lang w:val="fr-CA"/>
        </w:rPr>
        <w:t xml:space="preserve">, [1966] </w:t>
      </w:r>
      <w:r w:rsidR="00A8644C" w:rsidRPr="004E7607">
        <w:rPr>
          <w:szCs w:val="24"/>
          <w:lang w:val="fr-CA"/>
        </w:rPr>
        <w:t>R.C.</w:t>
      </w:r>
      <w:r w:rsidR="00897746" w:rsidRPr="004E7607">
        <w:rPr>
          <w:szCs w:val="24"/>
          <w:lang w:val="fr-CA"/>
        </w:rPr>
        <w:t>S. 767</w:t>
      </w:r>
      <w:r w:rsidR="00F719BD" w:rsidRPr="004E7607">
        <w:rPr>
          <w:szCs w:val="24"/>
          <w:lang w:val="fr-CA"/>
        </w:rPr>
        <w:t xml:space="preserve">; </w:t>
      </w:r>
      <w:r w:rsidR="00F719BD" w:rsidRPr="004E7607">
        <w:rPr>
          <w:i/>
          <w:lang w:val="fr-CA"/>
        </w:rPr>
        <w:t>Alltrans Express Ltd. c. Colombie</w:t>
      </w:r>
      <w:r w:rsidR="00A44E93" w:rsidRPr="004E7607">
        <w:rPr>
          <w:i/>
          <w:lang w:val="fr-CA"/>
        </w:rPr>
        <w:noBreakHyphen/>
      </w:r>
      <w:r w:rsidR="00F719BD" w:rsidRPr="004E7607">
        <w:rPr>
          <w:i/>
          <w:lang w:val="fr-CA"/>
        </w:rPr>
        <w:t>Britannique (Workers</w:t>
      </w:r>
      <w:r w:rsidR="00C768B7">
        <w:rPr>
          <w:i/>
          <w:lang w:val="fr-CA"/>
        </w:rPr>
        <w:t>’</w:t>
      </w:r>
      <w:r w:rsidR="00F719BD" w:rsidRPr="004E7607">
        <w:rPr>
          <w:i/>
          <w:lang w:val="fr-CA"/>
        </w:rPr>
        <w:t xml:space="preserve"> Compensation Board)</w:t>
      </w:r>
      <w:r w:rsidR="00F719BD" w:rsidRPr="004E7607">
        <w:rPr>
          <w:lang w:val="fr-CA"/>
        </w:rPr>
        <w:t xml:space="preserve">, [1988] 1 R.C.S. 897; </w:t>
      </w:r>
      <w:r w:rsidR="00F719BD" w:rsidRPr="004E7607">
        <w:rPr>
          <w:i/>
          <w:lang w:val="fr-CA"/>
        </w:rPr>
        <w:t>Husky Oil Operations Ltd. c. Ministre du Revenu national</w:t>
      </w:r>
      <w:r w:rsidR="00F719BD" w:rsidRPr="004E7607">
        <w:rPr>
          <w:lang w:val="fr-CA"/>
        </w:rPr>
        <w:t>, [1995] 3 R.C.S. 453</w:t>
      </w:r>
      <w:r w:rsidR="00684779" w:rsidRPr="004E7607">
        <w:rPr>
          <w:lang w:val="fr-CA"/>
        </w:rPr>
        <w:t xml:space="preserve">; </w:t>
      </w:r>
      <w:r w:rsidR="00684779" w:rsidRPr="004E7607">
        <w:rPr>
          <w:i/>
          <w:lang w:val="fr-CA"/>
        </w:rPr>
        <w:t xml:space="preserve">Procureur général du </w:t>
      </w:r>
      <w:r w:rsidR="00684779" w:rsidRPr="004E7607">
        <w:rPr>
          <w:i/>
          <w:szCs w:val="24"/>
          <w:lang w:val="fr-CA"/>
        </w:rPr>
        <w:t>Canada c. St. Hubert Base Teachers</w:t>
      </w:r>
      <w:r w:rsidR="00C768B7">
        <w:rPr>
          <w:i/>
          <w:szCs w:val="24"/>
          <w:lang w:val="fr-CA"/>
        </w:rPr>
        <w:t>’</w:t>
      </w:r>
      <w:r w:rsidR="00684779" w:rsidRPr="004E7607">
        <w:rPr>
          <w:i/>
          <w:szCs w:val="24"/>
          <w:lang w:val="fr-CA"/>
        </w:rPr>
        <w:t xml:space="preserve"> Association</w:t>
      </w:r>
      <w:r w:rsidR="00684779" w:rsidRPr="004E7607">
        <w:rPr>
          <w:szCs w:val="24"/>
          <w:lang w:val="fr-CA"/>
        </w:rPr>
        <w:t xml:space="preserve">, [1983] 1 R.C.S. 498; </w:t>
      </w:r>
      <w:r w:rsidR="00684779" w:rsidRPr="004E7607">
        <w:rPr>
          <w:i/>
          <w:szCs w:val="24"/>
          <w:lang w:val="fr-CA"/>
        </w:rPr>
        <w:t>Société canadienne des postes c. Commission d</w:t>
      </w:r>
      <w:r w:rsidR="00C768B7">
        <w:rPr>
          <w:i/>
          <w:szCs w:val="24"/>
          <w:lang w:val="fr-CA"/>
        </w:rPr>
        <w:t>’</w:t>
      </w:r>
      <w:r w:rsidR="00684779" w:rsidRPr="004E7607">
        <w:rPr>
          <w:i/>
          <w:szCs w:val="24"/>
          <w:lang w:val="fr-CA"/>
        </w:rPr>
        <w:t>appel en matière de l</w:t>
      </w:r>
      <w:r w:rsidR="00D25DD3" w:rsidRPr="004E7607">
        <w:rPr>
          <w:i/>
          <w:szCs w:val="24"/>
          <w:lang w:val="fr-CA"/>
        </w:rPr>
        <w:t>é</w:t>
      </w:r>
      <w:r w:rsidR="00684779" w:rsidRPr="004E7607">
        <w:rPr>
          <w:i/>
          <w:szCs w:val="24"/>
          <w:lang w:val="fr-CA"/>
        </w:rPr>
        <w:t>sions profe</w:t>
      </w:r>
      <w:r w:rsidR="00D25DD3" w:rsidRPr="004E7607">
        <w:rPr>
          <w:i/>
          <w:szCs w:val="24"/>
          <w:lang w:val="fr-CA"/>
        </w:rPr>
        <w:t>s</w:t>
      </w:r>
      <w:r w:rsidR="00684779" w:rsidRPr="004E7607">
        <w:rPr>
          <w:i/>
          <w:szCs w:val="24"/>
          <w:lang w:val="fr-CA"/>
        </w:rPr>
        <w:t>sionnelles</w:t>
      </w:r>
      <w:r w:rsidR="00684779" w:rsidRPr="004E7607">
        <w:rPr>
          <w:szCs w:val="24"/>
          <w:lang w:val="fr-CA"/>
        </w:rPr>
        <w:t xml:space="preserve">, [1999] R.J.Q. 957; </w:t>
      </w:r>
      <w:r w:rsidR="00684779" w:rsidRPr="004E7607">
        <w:rPr>
          <w:i/>
          <w:szCs w:val="24"/>
          <w:lang w:val="fr-CA"/>
        </w:rPr>
        <w:t>Société canadienne des postes c. Commission de la santé et de la sécurité du travail</w:t>
      </w:r>
      <w:r w:rsidR="00684779" w:rsidRPr="004E7607">
        <w:rPr>
          <w:szCs w:val="24"/>
          <w:lang w:val="fr-CA"/>
        </w:rPr>
        <w:t>, [1996] R.J.Q. 87</w:t>
      </w:r>
      <w:r w:rsidR="008E7080" w:rsidRPr="004E7607">
        <w:rPr>
          <w:szCs w:val="24"/>
          <w:lang w:val="fr-CA"/>
        </w:rPr>
        <w:t>3</w:t>
      </w:r>
      <w:r w:rsidR="005A0A41" w:rsidRPr="004E7607">
        <w:rPr>
          <w:szCs w:val="24"/>
          <w:lang w:val="fr-CA"/>
        </w:rPr>
        <w:t xml:space="preserve">; </w:t>
      </w:r>
      <w:r w:rsidR="005A0A41" w:rsidRPr="004E7607">
        <w:rPr>
          <w:i/>
          <w:szCs w:val="24"/>
          <w:lang w:val="fr-CA"/>
        </w:rPr>
        <w:t>Dunsmuir c. Nouveau</w:t>
      </w:r>
      <w:r w:rsidR="00A44E93" w:rsidRPr="004E7607">
        <w:rPr>
          <w:i/>
          <w:szCs w:val="24"/>
          <w:lang w:val="fr-CA"/>
        </w:rPr>
        <w:noBreakHyphen/>
      </w:r>
      <w:r w:rsidR="005A0A41" w:rsidRPr="004E7607">
        <w:rPr>
          <w:i/>
          <w:szCs w:val="24"/>
          <w:lang w:val="fr-CA"/>
        </w:rPr>
        <w:t>Brunswick</w:t>
      </w:r>
      <w:r w:rsidR="005A0A41" w:rsidRPr="004E7607">
        <w:rPr>
          <w:szCs w:val="24"/>
          <w:lang w:val="fr-CA"/>
        </w:rPr>
        <w:t xml:space="preserve">, 2008 CSC 9, [2008] 1 R.C.S. 190; </w:t>
      </w:r>
      <w:r w:rsidR="005A0A41" w:rsidRPr="004E7607">
        <w:rPr>
          <w:i/>
          <w:szCs w:val="24"/>
          <w:lang w:val="fr-CA"/>
        </w:rPr>
        <w:t>Banque canadienne de l</w:t>
      </w:r>
      <w:r w:rsidR="00C768B7">
        <w:rPr>
          <w:i/>
          <w:szCs w:val="24"/>
          <w:lang w:val="fr-CA"/>
        </w:rPr>
        <w:t>’</w:t>
      </w:r>
      <w:r w:rsidR="005A0A41" w:rsidRPr="004E7607">
        <w:rPr>
          <w:i/>
          <w:szCs w:val="24"/>
          <w:lang w:val="fr-CA"/>
        </w:rPr>
        <w:t>Ouest c. Alberta</w:t>
      </w:r>
      <w:r w:rsidR="005A0A41" w:rsidRPr="004E7607">
        <w:rPr>
          <w:szCs w:val="24"/>
          <w:lang w:val="fr-CA"/>
        </w:rPr>
        <w:t>, 2007 CSC 22, [2007] 2 R.C.S. 3</w:t>
      </w:r>
      <w:r w:rsidR="00684779" w:rsidRPr="004E7607">
        <w:rPr>
          <w:szCs w:val="24"/>
          <w:lang w:val="fr-CA"/>
        </w:rPr>
        <w:t xml:space="preserve">; </w:t>
      </w:r>
      <w:r w:rsidR="00684779" w:rsidRPr="004E7607">
        <w:rPr>
          <w:i/>
          <w:szCs w:val="24"/>
          <w:lang w:val="fr-CA"/>
        </w:rPr>
        <w:t>Québec (Procureur général) c. Canadian Owners and Pilots Association</w:t>
      </w:r>
      <w:r w:rsidR="00684779" w:rsidRPr="004E7607">
        <w:rPr>
          <w:szCs w:val="24"/>
          <w:lang w:val="fr-CA"/>
        </w:rPr>
        <w:t xml:space="preserve">, 2010 CSC 39, [2010] 2 R.C.S. 536; </w:t>
      </w:r>
      <w:r w:rsidR="00684779" w:rsidRPr="004E7607">
        <w:rPr>
          <w:i/>
          <w:szCs w:val="24"/>
          <w:lang w:val="fr-CA"/>
        </w:rPr>
        <w:t>General Motors of Canada Ltd. c. City National Leasing</w:t>
      </w:r>
      <w:r w:rsidR="00684779" w:rsidRPr="004E7607">
        <w:rPr>
          <w:szCs w:val="24"/>
          <w:lang w:val="fr-CA"/>
        </w:rPr>
        <w:t>, [1989] 1 R.C.S. 641</w:t>
      </w:r>
      <w:r w:rsidR="00615716" w:rsidRPr="004E7607">
        <w:rPr>
          <w:szCs w:val="24"/>
          <w:lang w:val="fr-CA"/>
        </w:rPr>
        <w:t xml:space="preserve">; </w:t>
      </w:r>
      <w:r w:rsidR="00615716" w:rsidRPr="004E7607">
        <w:rPr>
          <w:i/>
          <w:szCs w:val="24"/>
          <w:lang w:val="fr-CA"/>
        </w:rPr>
        <w:t>Queddy River Driving Boom Co. c. Davidson</w:t>
      </w:r>
      <w:r w:rsidR="00615716" w:rsidRPr="004E7607">
        <w:rPr>
          <w:szCs w:val="24"/>
          <w:lang w:val="fr-CA"/>
        </w:rPr>
        <w:t xml:space="preserve"> (1883), 10 R.C.S. 222; </w:t>
      </w:r>
      <w:r w:rsidR="00615716" w:rsidRPr="004E7607">
        <w:rPr>
          <w:i/>
          <w:szCs w:val="24"/>
          <w:lang w:val="fr-CA"/>
        </w:rPr>
        <w:t>Montreal City c. Montreal Harbour Commissioners</w:t>
      </w:r>
      <w:r w:rsidR="00615716" w:rsidRPr="004E7607">
        <w:rPr>
          <w:szCs w:val="24"/>
          <w:lang w:val="fr-CA"/>
        </w:rPr>
        <w:t xml:space="preserve">, [1926] A.C. 299; </w:t>
      </w:r>
      <w:r w:rsidR="00615716" w:rsidRPr="004E7607">
        <w:rPr>
          <w:i/>
          <w:szCs w:val="24"/>
          <w:lang w:val="fr-CA"/>
        </w:rPr>
        <w:t>Colombie</w:t>
      </w:r>
      <w:r w:rsidR="00A44E93" w:rsidRPr="004E7607">
        <w:rPr>
          <w:i/>
          <w:szCs w:val="24"/>
          <w:lang w:val="fr-CA"/>
        </w:rPr>
        <w:noBreakHyphen/>
      </w:r>
      <w:r w:rsidR="00615716" w:rsidRPr="004E7607">
        <w:rPr>
          <w:i/>
          <w:szCs w:val="24"/>
          <w:lang w:val="fr-CA"/>
        </w:rPr>
        <w:t>Britannique (Procureur général) c. Lafarge Canada Inc.</w:t>
      </w:r>
      <w:r w:rsidR="00615716" w:rsidRPr="004E7607">
        <w:rPr>
          <w:szCs w:val="24"/>
          <w:lang w:val="fr-CA"/>
        </w:rPr>
        <w:t>, 2007 CSC 23, [2007] 2 R.C.S. 86</w:t>
      </w:r>
      <w:r w:rsidR="00033841" w:rsidRPr="004E7607">
        <w:rPr>
          <w:szCs w:val="24"/>
          <w:lang w:val="fr-CA"/>
        </w:rPr>
        <w:t xml:space="preserve">; </w:t>
      </w:r>
      <w:r w:rsidR="00033841" w:rsidRPr="004E7607">
        <w:rPr>
          <w:i/>
          <w:szCs w:val="24"/>
          <w:lang w:val="fr-CA"/>
        </w:rPr>
        <w:t>Sincennes</w:t>
      </w:r>
      <w:r w:rsidR="00A44E93" w:rsidRPr="004E7607">
        <w:rPr>
          <w:i/>
          <w:szCs w:val="24"/>
          <w:lang w:val="fr-CA"/>
        </w:rPr>
        <w:noBreakHyphen/>
      </w:r>
      <w:r w:rsidR="00033841" w:rsidRPr="004E7607">
        <w:rPr>
          <w:i/>
          <w:szCs w:val="24"/>
          <w:lang w:val="fr-CA"/>
        </w:rPr>
        <w:t>McNaughton Lines, Ltd. c. Bruneau</w:t>
      </w:r>
      <w:r w:rsidR="00033841" w:rsidRPr="004E7607">
        <w:rPr>
          <w:szCs w:val="24"/>
          <w:lang w:val="fr-CA"/>
        </w:rPr>
        <w:t xml:space="preserve">, [1924] R.C.S. 168; </w:t>
      </w:r>
      <w:r w:rsidR="00033841" w:rsidRPr="004E7607">
        <w:rPr>
          <w:i/>
          <w:szCs w:val="24"/>
          <w:lang w:val="fr-CA"/>
        </w:rPr>
        <w:t>Bonavista Cold Storage Co. c. Walters</w:t>
      </w:r>
      <w:r w:rsidR="00033841" w:rsidRPr="004E7607">
        <w:rPr>
          <w:szCs w:val="24"/>
          <w:lang w:val="fr-CA"/>
        </w:rPr>
        <w:t xml:space="preserve"> (1959), 20 D.L.R. (2d) 744; </w:t>
      </w:r>
      <w:r w:rsidR="00033841" w:rsidRPr="004E7607">
        <w:rPr>
          <w:i/>
          <w:szCs w:val="24"/>
          <w:lang w:val="fr-CA"/>
        </w:rPr>
        <w:t>Paré c. Rail &amp; Water Terminal (Quebec) Inc.</w:t>
      </w:r>
      <w:r w:rsidR="00033841" w:rsidRPr="004E7607">
        <w:rPr>
          <w:szCs w:val="24"/>
          <w:lang w:val="fr-CA"/>
        </w:rPr>
        <w:t xml:space="preserve">, [1978] 1 C.F. 23; </w:t>
      </w:r>
      <w:r w:rsidR="00033841" w:rsidRPr="004E7607">
        <w:rPr>
          <w:i/>
          <w:szCs w:val="24"/>
          <w:lang w:val="fr-CA"/>
        </w:rPr>
        <w:t>Laboucane c. Brooks</w:t>
      </w:r>
      <w:r w:rsidR="00033841" w:rsidRPr="004E7607">
        <w:rPr>
          <w:szCs w:val="24"/>
          <w:lang w:val="fr-CA"/>
        </w:rPr>
        <w:t>, 2003 BCSC 1247, 17 B.C.L.R. (4th) 20</w:t>
      </w:r>
      <w:r w:rsidR="0025184A" w:rsidRPr="004E7607">
        <w:rPr>
          <w:szCs w:val="24"/>
          <w:lang w:val="fr-CA"/>
        </w:rPr>
        <w:t xml:space="preserve">; </w:t>
      </w:r>
      <w:r w:rsidR="0025184A" w:rsidRPr="004E7607">
        <w:rPr>
          <w:i/>
          <w:szCs w:val="24"/>
          <w:lang w:val="fr-CA"/>
        </w:rPr>
        <w:t>Bisaillon c. Keable</w:t>
      </w:r>
      <w:r w:rsidR="0025184A" w:rsidRPr="004E7607">
        <w:rPr>
          <w:szCs w:val="24"/>
          <w:lang w:val="fr-CA"/>
        </w:rPr>
        <w:t>, [1983] 2 R.C.S. 60</w:t>
      </w:r>
      <w:r w:rsidR="00684779" w:rsidRPr="004E7607">
        <w:rPr>
          <w:szCs w:val="24"/>
          <w:lang w:val="fr-CA"/>
        </w:rPr>
        <w:t>;</w:t>
      </w:r>
      <w:r w:rsidR="00033841" w:rsidRPr="004E7607">
        <w:rPr>
          <w:szCs w:val="24"/>
          <w:lang w:val="fr-CA"/>
        </w:rPr>
        <w:t xml:space="preserve"> </w:t>
      </w:r>
      <w:r w:rsidR="00684779" w:rsidRPr="004E7607">
        <w:rPr>
          <w:i/>
          <w:szCs w:val="24"/>
          <w:lang w:val="fr-CA"/>
        </w:rPr>
        <w:t xml:space="preserve">Multiple Access Ltd. c. </w:t>
      </w:r>
      <w:r w:rsidR="00684779" w:rsidRPr="004E7607">
        <w:rPr>
          <w:i/>
          <w:szCs w:val="24"/>
          <w:lang w:val="fr-CA"/>
        </w:rPr>
        <w:lastRenderedPageBreak/>
        <w:t>McCutcheon</w:t>
      </w:r>
      <w:r w:rsidR="00684779" w:rsidRPr="004E7607">
        <w:rPr>
          <w:szCs w:val="24"/>
          <w:lang w:val="fr-CA"/>
        </w:rPr>
        <w:t xml:space="preserve">, [1982] 2 R.C.S. 161; </w:t>
      </w:r>
      <w:r w:rsidR="00684779" w:rsidRPr="004E7607">
        <w:rPr>
          <w:i/>
          <w:szCs w:val="24"/>
          <w:lang w:val="fr-CA"/>
        </w:rPr>
        <w:t>Banque de Montréal c. Hall</w:t>
      </w:r>
      <w:r w:rsidR="00684779" w:rsidRPr="004E7607">
        <w:rPr>
          <w:szCs w:val="24"/>
          <w:lang w:val="fr-CA"/>
        </w:rPr>
        <w:t>, [1990] 1 R.C.S. 121</w:t>
      </w:r>
      <w:r w:rsidR="00553A47" w:rsidRPr="004E7607">
        <w:rPr>
          <w:szCs w:val="24"/>
          <w:lang w:val="fr-CA"/>
        </w:rPr>
        <w:t xml:space="preserve">; </w:t>
      </w:r>
      <w:r w:rsidR="00553A47" w:rsidRPr="004E7607">
        <w:rPr>
          <w:i/>
          <w:szCs w:val="24"/>
          <w:lang w:val="fr-CA"/>
        </w:rPr>
        <w:t>R. c. Felawka</w:t>
      </w:r>
      <w:r w:rsidR="00553A47" w:rsidRPr="004E7607">
        <w:rPr>
          <w:szCs w:val="24"/>
          <w:lang w:val="fr-CA"/>
        </w:rPr>
        <w:t>, [1993] 4 R.C.S. 199</w:t>
      </w:r>
      <w:r w:rsidR="00205BCB" w:rsidRPr="004E7607">
        <w:rPr>
          <w:szCs w:val="24"/>
          <w:lang w:val="fr-CA"/>
        </w:rPr>
        <w:t xml:space="preserve">; </w:t>
      </w:r>
      <w:r w:rsidR="00205BCB" w:rsidRPr="004E7607">
        <w:rPr>
          <w:i/>
          <w:szCs w:val="24"/>
          <w:lang w:val="fr-CA"/>
        </w:rPr>
        <w:t>Rothmans, Benson &amp; Hedges Inc. c. Saskatchewan</w:t>
      </w:r>
      <w:r w:rsidR="00205BCB" w:rsidRPr="004E7607">
        <w:rPr>
          <w:szCs w:val="24"/>
          <w:lang w:val="fr-CA"/>
        </w:rPr>
        <w:t>, 2005 CSC 13, [2005] 1 R.C.S. 188</w:t>
      </w:r>
      <w:r w:rsidR="005A0A41" w:rsidRPr="004E7607">
        <w:rPr>
          <w:szCs w:val="24"/>
          <w:lang w:val="fr-CA"/>
        </w:rPr>
        <w:t>;</w:t>
      </w:r>
      <w:r w:rsidR="00205BCB" w:rsidRPr="004E7607">
        <w:rPr>
          <w:szCs w:val="24"/>
          <w:lang w:val="fr-CA"/>
        </w:rPr>
        <w:t xml:space="preserve"> </w:t>
      </w:r>
      <w:r w:rsidR="005A0A41" w:rsidRPr="004E7607">
        <w:rPr>
          <w:i/>
          <w:szCs w:val="24"/>
          <w:lang w:val="fr-CA"/>
        </w:rPr>
        <w:t>Law Society of British Columbia c. Mangat</w:t>
      </w:r>
      <w:r w:rsidR="005A0A41" w:rsidRPr="004E7607">
        <w:rPr>
          <w:szCs w:val="24"/>
          <w:lang w:val="fr-CA"/>
        </w:rPr>
        <w:t>, 2001 CSC 67, [2001] 3 R.C.S. 113</w:t>
      </w:r>
      <w:r w:rsidR="00684779" w:rsidRPr="004E7607">
        <w:rPr>
          <w:szCs w:val="24"/>
          <w:lang w:val="fr-CA"/>
        </w:rPr>
        <w:t xml:space="preserve">; </w:t>
      </w:r>
      <w:r w:rsidR="00EC75EE" w:rsidRPr="004E7607">
        <w:rPr>
          <w:i/>
          <w:szCs w:val="24"/>
          <w:lang w:val="fr-CA"/>
        </w:rPr>
        <w:t>Procureur général du</w:t>
      </w:r>
      <w:r w:rsidR="00684779" w:rsidRPr="004E7607">
        <w:rPr>
          <w:i/>
          <w:szCs w:val="24"/>
          <w:lang w:val="fr-CA"/>
        </w:rPr>
        <w:t xml:space="preserve"> Canada </w:t>
      </w:r>
      <w:r w:rsidR="00EC75EE" w:rsidRPr="004E7607">
        <w:rPr>
          <w:i/>
          <w:szCs w:val="24"/>
          <w:lang w:val="fr-CA"/>
        </w:rPr>
        <w:t>c</w:t>
      </w:r>
      <w:r w:rsidR="00684779" w:rsidRPr="004E7607">
        <w:rPr>
          <w:i/>
          <w:szCs w:val="24"/>
          <w:lang w:val="fr-CA"/>
        </w:rPr>
        <w:t>. Law Society of British Columbia</w:t>
      </w:r>
      <w:r w:rsidR="00684779" w:rsidRPr="004E7607">
        <w:rPr>
          <w:szCs w:val="24"/>
          <w:lang w:val="fr-CA"/>
        </w:rPr>
        <w:t xml:space="preserve">, [1982] 2 </w:t>
      </w:r>
      <w:r w:rsidR="00EC75EE" w:rsidRPr="004E7607">
        <w:rPr>
          <w:szCs w:val="24"/>
          <w:lang w:val="fr-CA"/>
        </w:rPr>
        <w:t>R.C.</w:t>
      </w:r>
      <w:r w:rsidR="00684779" w:rsidRPr="004E7607">
        <w:rPr>
          <w:szCs w:val="24"/>
          <w:lang w:val="fr-CA"/>
        </w:rPr>
        <w:t>S. 307</w:t>
      </w:r>
      <w:r w:rsidR="005C01D5" w:rsidRPr="004E7607">
        <w:rPr>
          <w:szCs w:val="24"/>
          <w:lang w:val="fr-CA"/>
        </w:rPr>
        <w:t xml:space="preserve">; </w:t>
      </w:r>
      <w:r w:rsidR="005C01D5" w:rsidRPr="004E7607">
        <w:rPr>
          <w:i/>
          <w:szCs w:val="24"/>
          <w:lang w:val="fr-CA"/>
        </w:rPr>
        <w:t>Bell ExpressVu</w:t>
      </w:r>
      <w:r w:rsidR="005C01D5" w:rsidRPr="004E7607">
        <w:rPr>
          <w:i/>
          <w:iCs/>
          <w:szCs w:val="24"/>
          <w:lang w:val="fr-CA"/>
        </w:rPr>
        <w:t xml:space="preserve"> Limited Partnership c. Rex</w:t>
      </w:r>
      <w:r w:rsidR="005C01D5" w:rsidRPr="004E7607">
        <w:rPr>
          <w:szCs w:val="24"/>
          <w:lang w:val="fr-CA"/>
        </w:rPr>
        <w:t xml:space="preserve">, 2002 CSC 42, [2002] 2 R.C.S. 559; </w:t>
      </w:r>
      <w:r w:rsidR="005C01D5" w:rsidRPr="004E7607">
        <w:rPr>
          <w:i/>
          <w:szCs w:val="24"/>
          <w:lang w:val="fr-CA"/>
        </w:rPr>
        <w:t>Renvoi relati</w:t>
      </w:r>
      <w:r w:rsidR="00BC3AB1">
        <w:rPr>
          <w:i/>
          <w:szCs w:val="24"/>
          <w:lang w:val="fr-CA"/>
        </w:rPr>
        <w:t>f</w:t>
      </w:r>
      <w:r w:rsidR="005C01D5" w:rsidRPr="004E7607">
        <w:rPr>
          <w:i/>
          <w:szCs w:val="24"/>
          <w:lang w:val="fr-CA"/>
        </w:rPr>
        <w:t xml:space="preserve"> à la Politique réglementaire de radiodiffusion CRTC 2010</w:t>
      </w:r>
      <w:r w:rsidR="00A44E93" w:rsidRPr="004E7607">
        <w:rPr>
          <w:i/>
          <w:szCs w:val="24"/>
          <w:lang w:val="fr-CA"/>
        </w:rPr>
        <w:noBreakHyphen/>
      </w:r>
      <w:r w:rsidR="005C01D5" w:rsidRPr="004E7607">
        <w:rPr>
          <w:i/>
          <w:szCs w:val="24"/>
          <w:lang w:val="fr-CA"/>
        </w:rPr>
        <w:t>167 et l</w:t>
      </w:r>
      <w:r w:rsidR="00C768B7">
        <w:rPr>
          <w:i/>
          <w:szCs w:val="24"/>
          <w:lang w:val="fr-CA"/>
        </w:rPr>
        <w:t>’</w:t>
      </w:r>
      <w:r w:rsidR="00BC3AB1">
        <w:rPr>
          <w:i/>
          <w:szCs w:val="24"/>
          <w:lang w:val="fr-CA"/>
        </w:rPr>
        <w:t>o</w:t>
      </w:r>
      <w:r w:rsidR="005C01D5" w:rsidRPr="004E7607">
        <w:rPr>
          <w:i/>
          <w:szCs w:val="24"/>
          <w:lang w:val="fr-CA"/>
        </w:rPr>
        <w:t>rdonnance de radiodiffusion CRTC 2010</w:t>
      </w:r>
      <w:r w:rsidR="00A44E93" w:rsidRPr="004E7607">
        <w:rPr>
          <w:i/>
          <w:szCs w:val="24"/>
          <w:lang w:val="fr-CA"/>
        </w:rPr>
        <w:noBreakHyphen/>
      </w:r>
      <w:r w:rsidR="005C01D5" w:rsidRPr="004E7607">
        <w:rPr>
          <w:i/>
          <w:szCs w:val="24"/>
          <w:lang w:val="fr-CA"/>
        </w:rPr>
        <w:t>168</w:t>
      </w:r>
      <w:r w:rsidR="005C01D5" w:rsidRPr="004E7607">
        <w:rPr>
          <w:szCs w:val="24"/>
          <w:lang w:val="fr-CA"/>
        </w:rPr>
        <w:t>, 2012 CSC 68</w:t>
      </w:r>
      <w:r w:rsidR="003A1D4B" w:rsidRPr="004E7607">
        <w:rPr>
          <w:szCs w:val="24"/>
          <w:lang w:val="fr-CA"/>
        </w:rPr>
        <w:t>, [2012] 3 R.C.S. 489</w:t>
      </w:r>
      <w:r w:rsidR="005C01D5" w:rsidRPr="004E7607">
        <w:rPr>
          <w:szCs w:val="24"/>
          <w:lang w:val="fr-CA"/>
        </w:rPr>
        <w:t xml:space="preserve">; </w:t>
      </w:r>
      <w:r w:rsidR="005C01D5" w:rsidRPr="004E7607">
        <w:rPr>
          <w:i/>
          <w:szCs w:val="24"/>
          <w:lang w:val="fr-CA"/>
        </w:rPr>
        <w:t>65302 British Columbia Ltd. c. Canada</w:t>
      </w:r>
      <w:r w:rsidR="005C01D5" w:rsidRPr="004E7607">
        <w:rPr>
          <w:szCs w:val="24"/>
          <w:lang w:val="fr-CA"/>
        </w:rPr>
        <w:t>, [1999] 3 R.C.S. 804</w:t>
      </w:r>
      <w:r w:rsidR="00D64FDA" w:rsidRPr="004E7607">
        <w:rPr>
          <w:szCs w:val="24"/>
          <w:lang w:val="fr-CA"/>
        </w:rPr>
        <w:t xml:space="preserve">; </w:t>
      </w:r>
      <w:r w:rsidR="00D64FDA" w:rsidRPr="004E7607">
        <w:rPr>
          <w:i/>
          <w:szCs w:val="24"/>
          <w:lang w:val="fr-CA"/>
        </w:rPr>
        <w:t>Workers</w:t>
      </w:r>
      <w:r w:rsidR="00C768B7">
        <w:rPr>
          <w:i/>
          <w:szCs w:val="24"/>
          <w:lang w:val="fr-CA"/>
        </w:rPr>
        <w:t>’</w:t>
      </w:r>
      <w:r w:rsidR="00D64FDA" w:rsidRPr="004E7607">
        <w:rPr>
          <w:i/>
          <w:szCs w:val="24"/>
          <w:lang w:val="fr-CA"/>
        </w:rPr>
        <w:t xml:space="preserve"> Compensation Appeal Board c. Penney</w:t>
      </w:r>
      <w:r w:rsidR="00D64FDA" w:rsidRPr="004E7607">
        <w:rPr>
          <w:szCs w:val="24"/>
          <w:lang w:val="fr-CA"/>
        </w:rPr>
        <w:t xml:space="preserve"> (1980), 38 N.S.R. (2d) 623; </w:t>
      </w:r>
      <w:r w:rsidR="00D64FDA" w:rsidRPr="004E7607">
        <w:rPr>
          <w:i/>
          <w:szCs w:val="24"/>
          <w:lang w:val="fr-CA"/>
        </w:rPr>
        <w:t>Ferneyhough c. Workers</w:t>
      </w:r>
      <w:r w:rsidR="00C768B7">
        <w:rPr>
          <w:i/>
          <w:szCs w:val="24"/>
          <w:lang w:val="fr-CA"/>
        </w:rPr>
        <w:t>’</w:t>
      </w:r>
      <w:r w:rsidR="00D64FDA" w:rsidRPr="004E7607">
        <w:rPr>
          <w:i/>
          <w:szCs w:val="24"/>
          <w:lang w:val="fr-CA"/>
        </w:rPr>
        <w:t xml:space="preserve"> Compensation Appeals Tribunal</w:t>
      </w:r>
      <w:r w:rsidR="00C719D5">
        <w:rPr>
          <w:i/>
          <w:szCs w:val="24"/>
          <w:lang w:val="fr-CA"/>
        </w:rPr>
        <w:t xml:space="preserve"> (N.S.)</w:t>
      </w:r>
      <w:r w:rsidR="00D64FDA" w:rsidRPr="004E7607">
        <w:rPr>
          <w:szCs w:val="24"/>
          <w:lang w:val="fr-CA"/>
        </w:rPr>
        <w:t xml:space="preserve">, 2000 NSCA 121, 189 N.S.R. (2d) 76; </w:t>
      </w:r>
      <w:r w:rsidR="00D64FDA" w:rsidRPr="004E7607">
        <w:rPr>
          <w:i/>
          <w:szCs w:val="24"/>
          <w:lang w:val="fr-CA"/>
        </w:rPr>
        <w:t>Nova Scotia (Minister of Transportation and Public Works) c. Workers</w:t>
      </w:r>
      <w:r w:rsidR="00C768B7">
        <w:rPr>
          <w:i/>
          <w:szCs w:val="24"/>
          <w:lang w:val="fr-CA"/>
        </w:rPr>
        <w:t>’</w:t>
      </w:r>
      <w:r w:rsidR="00D64FDA" w:rsidRPr="004E7607">
        <w:rPr>
          <w:i/>
          <w:szCs w:val="24"/>
          <w:lang w:val="fr-CA"/>
        </w:rPr>
        <w:t xml:space="preserve"> Compensation Appeals Tribunal</w:t>
      </w:r>
      <w:r w:rsidR="00D64FDA" w:rsidRPr="004E7607">
        <w:rPr>
          <w:szCs w:val="24"/>
          <w:lang w:val="fr-CA"/>
        </w:rPr>
        <w:t xml:space="preserve">, 2005 NSCA 62, 231 N.S.R. (2d) 390; </w:t>
      </w:r>
      <w:r w:rsidR="00D64FDA" w:rsidRPr="004E7607">
        <w:rPr>
          <w:i/>
          <w:szCs w:val="24"/>
          <w:lang w:val="fr-CA"/>
        </w:rPr>
        <w:t>Nouvelle</w:t>
      </w:r>
      <w:r w:rsidR="00A44E93" w:rsidRPr="004E7607">
        <w:rPr>
          <w:i/>
          <w:szCs w:val="24"/>
          <w:lang w:val="fr-CA"/>
        </w:rPr>
        <w:noBreakHyphen/>
      </w:r>
      <w:r w:rsidR="00D64FDA" w:rsidRPr="004E7607">
        <w:rPr>
          <w:i/>
          <w:szCs w:val="24"/>
          <w:lang w:val="fr-CA"/>
        </w:rPr>
        <w:t>Écosse (Workers</w:t>
      </w:r>
      <w:r w:rsidR="00C768B7">
        <w:rPr>
          <w:i/>
          <w:szCs w:val="24"/>
          <w:lang w:val="fr-CA"/>
        </w:rPr>
        <w:t>’</w:t>
      </w:r>
      <w:r w:rsidR="00D64FDA" w:rsidRPr="004E7607">
        <w:rPr>
          <w:i/>
          <w:szCs w:val="24"/>
          <w:lang w:val="fr-CA"/>
        </w:rPr>
        <w:t xml:space="preserve"> Compensation Board) c</w:t>
      </w:r>
      <w:r w:rsidR="00D64FDA" w:rsidRPr="004E7607">
        <w:rPr>
          <w:i/>
          <w:iCs/>
          <w:szCs w:val="24"/>
          <w:lang w:val="fr-CA"/>
        </w:rPr>
        <w:t>.</w:t>
      </w:r>
      <w:r w:rsidR="00D64FDA" w:rsidRPr="004E7607">
        <w:rPr>
          <w:i/>
          <w:szCs w:val="24"/>
          <w:lang w:val="fr-CA"/>
        </w:rPr>
        <w:t xml:space="preserve"> Martin</w:t>
      </w:r>
      <w:r w:rsidR="00D64FDA" w:rsidRPr="004E7607">
        <w:rPr>
          <w:szCs w:val="24"/>
          <w:lang w:val="fr-CA"/>
        </w:rPr>
        <w:t>, 2003 CSC 54, [2003] 2 R.C.S. 504</w:t>
      </w:r>
      <w:r w:rsidR="00EC75EE" w:rsidRPr="004E7607">
        <w:rPr>
          <w:szCs w:val="24"/>
          <w:lang w:val="fr-CA"/>
        </w:rPr>
        <w:t>.</w:t>
      </w:r>
      <w:r w:rsidR="00897746" w:rsidRPr="004E7607">
        <w:rPr>
          <w:szCs w:val="24"/>
          <w:lang w:val="fr-CA"/>
        </w:rPr>
        <w:t xml:space="preserve"> </w:t>
      </w:r>
    </w:p>
    <w:p w:rsidR="004D7D95" w:rsidRPr="004E7607" w:rsidRDefault="004D7D95" w:rsidP="00F909FA">
      <w:pPr>
        <w:pStyle w:val="SCCNormalDoubleSpacing"/>
        <w:keepNext/>
        <w:spacing w:after="720"/>
        <w:rPr>
          <w:b/>
          <w:lang w:val="fr-CA"/>
        </w:rPr>
      </w:pPr>
      <w:r w:rsidRPr="004E7607">
        <w:rPr>
          <w:b/>
          <w:lang w:val="fr-CA"/>
        </w:rPr>
        <w:t>Lois et règlements cités</w:t>
      </w:r>
    </w:p>
    <w:p w:rsidR="004149FF" w:rsidRPr="00E30B35" w:rsidRDefault="004149FF" w:rsidP="00E3060C">
      <w:pPr>
        <w:pStyle w:val="SCCNormalDoubleSpacing"/>
        <w:spacing w:after="240" w:line="240" w:lineRule="auto"/>
        <w:ind w:left="539" w:hanging="539"/>
        <w:rPr>
          <w:szCs w:val="24"/>
          <w:lang w:val="en-US"/>
        </w:rPr>
      </w:pPr>
      <w:r w:rsidRPr="00E30B35">
        <w:rPr>
          <w:i/>
          <w:iCs/>
          <w:szCs w:val="24"/>
          <w:lang w:val="en-US"/>
        </w:rPr>
        <w:t>Fatal Accidents Act, 1846</w:t>
      </w:r>
      <w:r w:rsidRPr="00E30B35">
        <w:rPr>
          <w:szCs w:val="24"/>
          <w:lang w:val="en-US"/>
        </w:rPr>
        <w:t xml:space="preserve"> (</w:t>
      </w:r>
      <w:r w:rsidR="00145F8A" w:rsidRPr="00E30B35">
        <w:rPr>
          <w:szCs w:val="24"/>
          <w:lang w:val="en-US"/>
        </w:rPr>
        <w:t>R.-U</w:t>
      </w:r>
      <w:r w:rsidRPr="00E30B35">
        <w:rPr>
          <w:szCs w:val="24"/>
          <w:lang w:val="en-US"/>
        </w:rPr>
        <w:t xml:space="preserve">.), 9 &amp; 10 Vict., </w:t>
      </w:r>
      <w:r w:rsidR="00A44E93" w:rsidRPr="00E30B35">
        <w:rPr>
          <w:szCs w:val="24"/>
          <w:lang w:val="en-US"/>
        </w:rPr>
        <w:t>ch. </w:t>
      </w:r>
      <w:r w:rsidRPr="00E30B35">
        <w:rPr>
          <w:szCs w:val="24"/>
          <w:lang w:val="en-US"/>
        </w:rPr>
        <w:t xml:space="preserve">93. </w:t>
      </w:r>
    </w:p>
    <w:p w:rsidR="00ED2254" w:rsidRPr="004E7607" w:rsidRDefault="000B67A1" w:rsidP="00E3060C">
      <w:pPr>
        <w:pStyle w:val="SCCNormalDoubleSpacing"/>
        <w:spacing w:after="240" w:line="240" w:lineRule="auto"/>
        <w:ind w:left="539" w:hanging="539"/>
        <w:rPr>
          <w:lang w:val="fr-CA"/>
        </w:rPr>
      </w:pPr>
      <w:r w:rsidRPr="004E7607">
        <w:rPr>
          <w:i/>
          <w:lang w:val="fr-CA"/>
        </w:rPr>
        <w:t>Loi constitutionnelle de 1867</w:t>
      </w:r>
      <w:r w:rsidRPr="004E7607">
        <w:rPr>
          <w:lang w:val="fr-CA"/>
        </w:rPr>
        <w:t xml:space="preserve">, </w:t>
      </w:r>
      <w:r w:rsidR="00A44E93" w:rsidRPr="004E7607">
        <w:rPr>
          <w:lang w:val="fr-CA"/>
        </w:rPr>
        <w:t>art. </w:t>
      </w:r>
      <w:r w:rsidRPr="004E7607">
        <w:rPr>
          <w:lang w:val="fr-CA"/>
        </w:rPr>
        <w:t>91</w:t>
      </w:r>
      <w:r w:rsidR="00264B13" w:rsidRPr="004E7607">
        <w:rPr>
          <w:lang w:val="fr-CA"/>
        </w:rPr>
        <w:t>, 92</w:t>
      </w:r>
      <w:r w:rsidRPr="004E7607">
        <w:rPr>
          <w:lang w:val="fr-CA"/>
        </w:rPr>
        <w:t>.</w:t>
      </w:r>
    </w:p>
    <w:p w:rsidR="00AB320E" w:rsidRPr="004E7607" w:rsidRDefault="00AB320E" w:rsidP="00E3060C">
      <w:pPr>
        <w:pStyle w:val="SCCNormalDoubleSpacing"/>
        <w:spacing w:after="240" w:line="240" w:lineRule="auto"/>
        <w:ind w:left="539" w:hanging="539"/>
        <w:rPr>
          <w:lang w:val="fr-CA"/>
        </w:rPr>
      </w:pPr>
      <w:r w:rsidRPr="004E7607">
        <w:rPr>
          <w:i/>
          <w:lang w:val="fr-CA"/>
        </w:rPr>
        <w:t>Loi sur l</w:t>
      </w:r>
      <w:r w:rsidR="00C768B7">
        <w:rPr>
          <w:i/>
          <w:lang w:val="fr-CA"/>
        </w:rPr>
        <w:t>’</w:t>
      </w:r>
      <w:r w:rsidRPr="004E7607">
        <w:rPr>
          <w:i/>
          <w:lang w:val="fr-CA"/>
        </w:rPr>
        <w:t>indemnisation des agents de l</w:t>
      </w:r>
      <w:r w:rsidR="00C768B7">
        <w:rPr>
          <w:i/>
          <w:lang w:val="fr-CA"/>
        </w:rPr>
        <w:t>’</w:t>
      </w:r>
      <w:r w:rsidRPr="004E7607">
        <w:rPr>
          <w:i/>
          <w:lang w:val="fr-CA"/>
        </w:rPr>
        <w:t>État</w:t>
      </w:r>
      <w:r w:rsidRPr="004E7607">
        <w:rPr>
          <w:lang w:val="fr-CA"/>
        </w:rPr>
        <w:t xml:space="preserve">, L.R.C. 1985, </w:t>
      </w:r>
      <w:r w:rsidR="00A44E93" w:rsidRPr="004E7607">
        <w:rPr>
          <w:lang w:val="fr-CA"/>
        </w:rPr>
        <w:t>ch. </w:t>
      </w:r>
      <w:r w:rsidRPr="004E7607">
        <w:rPr>
          <w:lang w:val="fr-CA"/>
        </w:rPr>
        <w:t>G</w:t>
      </w:r>
      <w:r w:rsidR="00A44E93" w:rsidRPr="004E7607">
        <w:rPr>
          <w:lang w:val="fr-CA"/>
        </w:rPr>
        <w:noBreakHyphen/>
      </w:r>
      <w:r w:rsidRPr="004E7607">
        <w:rPr>
          <w:lang w:val="fr-CA"/>
        </w:rPr>
        <w:t xml:space="preserve">5, </w:t>
      </w:r>
      <w:r w:rsidR="00A44E93" w:rsidRPr="004E7607">
        <w:rPr>
          <w:lang w:val="fr-CA"/>
        </w:rPr>
        <w:t>art. </w:t>
      </w:r>
      <w:r w:rsidRPr="004E7607">
        <w:rPr>
          <w:lang w:val="fr-CA"/>
        </w:rPr>
        <w:t>2</w:t>
      </w:r>
      <w:r w:rsidR="00697688" w:rsidRPr="004E7607">
        <w:rPr>
          <w:lang w:val="fr-CA"/>
        </w:rPr>
        <w:t xml:space="preserve"> « </w:t>
      </w:r>
      <w:r w:rsidR="00E91BD5" w:rsidRPr="004E7607">
        <w:rPr>
          <w:lang w:val="fr-CA"/>
        </w:rPr>
        <w:t>agents de l</w:t>
      </w:r>
      <w:r w:rsidR="00C768B7">
        <w:rPr>
          <w:lang w:val="fr-CA"/>
        </w:rPr>
        <w:t>’</w:t>
      </w:r>
      <w:r w:rsidR="007E2300" w:rsidRPr="004E7607">
        <w:rPr>
          <w:lang w:val="fr-CA"/>
        </w:rPr>
        <w:t>É</w:t>
      </w:r>
      <w:r w:rsidR="00E91BD5" w:rsidRPr="004E7607">
        <w:rPr>
          <w:lang w:val="fr-CA"/>
        </w:rPr>
        <w:t>tat</w:t>
      </w:r>
      <w:r w:rsidR="00697688" w:rsidRPr="004E7607">
        <w:rPr>
          <w:lang w:val="fr-CA"/>
        </w:rPr>
        <w:t> »</w:t>
      </w:r>
      <w:r w:rsidRPr="004E7607">
        <w:rPr>
          <w:lang w:val="fr-CA"/>
        </w:rPr>
        <w:t>, 3(1), 9(1), 12.</w:t>
      </w:r>
    </w:p>
    <w:p w:rsidR="00AB320E" w:rsidRPr="004E7607" w:rsidRDefault="00AB320E" w:rsidP="00E3060C">
      <w:pPr>
        <w:pStyle w:val="SCCNormalDoubleSpacing"/>
        <w:spacing w:after="240" w:line="240" w:lineRule="auto"/>
        <w:ind w:left="539" w:hanging="539"/>
        <w:rPr>
          <w:lang w:val="fr-CA"/>
        </w:rPr>
      </w:pPr>
      <w:r w:rsidRPr="004E7607">
        <w:rPr>
          <w:i/>
          <w:lang w:val="fr-CA"/>
        </w:rPr>
        <w:t>Loi sur l</w:t>
      </w:r>
      <w:r w:rsidR="00C768B7">
        <w:rPr>
          <w:i/>
          <w:lang w:val="fr-CA"/>
        </w:rPr>
        <w:t>’</w:t>
      </w:r>
      <w:r w:rsidRPr="004E7607">
        <w:rPr>
          <w:i/>
          <w:lang w:val="fr-CA"/>
        </w:rPr>
        <w:t>indemnisation des marins marchands</w:t>
      </w:r>
      <w:r w:rsidRPr="004E7607">
        <w:rPr>
          <w:lang w:val="fr-CA"/>
        </w:rPr>
        <w:t xml:space="preserve">, L.R.C. 1985, </w:t>
      </w:r>
      <w:r w:rsidR="00A44E93" w:rsidRPr="004E7607">
        <w:rPr>
          <w:lang w:val="fr-CA"/>
        </w:rPr>
        <w:t>ch. </w:t>
      </w:r>
      <w:r w:rsidRPr="004E7607">
        <w:rPr>
          <w:lang w:val="fr-CA"/>
        </w:rPr>
        <w:t>M</w:t>
      </w:r>
      <w:r w:rsidR="00A44E93" w:rsidRPr="004E7607">
        <w:rPr>
          <w:lang w:val="fr-CA"/>
        </w:rPr>
        <w:noBreakHyphen/>
      </w:r>
      <w:r w:rsidRPr="004E7607">
        <w:rPr>
          <w:lang w:val="fr-CA"/>
        </w:rPr>
        <w:t xml:space="preserve">6, </w:t>
      </w:r>
      <w:r w:rsidR="00A44E93" w:rsidRPr="004E7607">
        <w:rPr>
          <w:lang w:val="fr-CA"/>
        </w:rPr>
        <w:t>art. </w:t>
      </w:r>
      <w:r w:rsidRPr="004E7607">
        <w:rPr>
          <w:lang w:val="fr-CA"/>
        </w:rPr>
        <w:t>2(1)</w:t>
      </w:r>
      <w:r w:rsidR="00C7073B" w:rsidRPr="004E7607">
        <w:rPr>
          <w:lang w:val="fr-CA"/>
        </w:rPr>
        <w:t xml:space="preserve"> « employeur »,</w:t>
      </w:r>
      <w:r w:rsidRPr="004E7607">
        <w:rPr>
          <w:lang w:val="fr-CA"/>
        </w:rPr>
        <w:t xml:space="preserve"> </w:t>
      </w:r>
      <w:r w:rsidR="002E52D6" w:rsidRPr="004E7607">
        <w:rPr>
          <w:lang w:val="fr-CA"/>
        </w:rPr>
        <w:t xml:space="preserve">« marin », </w:t>
      </w:r>
      <w:r w:rsidRPr="004E7607">
        <w:rPr>
          <w:lang w:val="fr-CA"/>
        </w:rPr>
        <w:t>5</w:t>
      </w:r>
      <w:r w:rsidR="00350D1A" w:rsidRPr="004E7607">
        <w:rPr>
          <w:i/>
          <w:lang w:val="fr-CA"/>
        </w:rPr>
        <w:t>a</w:t>
      </w:r>
      <w:r w:rsidR="00350D1A" w:rsidRPr="004E7607">
        <w:rPr>
          <w:lang w:val="fr-CA"/>
        </w:rPr>
        <w:t>),</w:t>
      </w:r>
      <w:r w:rsidR="00C7073B" w:rsidRPr="004E7607">
        <w:rPr>
          <w:lang w:val="fr-CA"/>
        </w:rPr>
        <w:t xml:space="preserve"> 8, 13, 24(1), (5), 30(1)</w:t>
      </w:r>
      <w:r w:rsidRPr="004E7607">
        <w:rPr>
          <w:lang w:val="fr-CA"/>
        </w:rPr>
        <w:t>.</w:t>
      </w:r>
    </w:p>
    <w:p w:rsidR="00B14863" w:rsidRPr="004E7607" w:rsidRDefault="00B14863" w:rsidP="00E3060C">
      <w:pPr>
        <w:pStyle w:val="SCCNormalDoubleSpacing"/>
        <w:spacing w:after="240" w:line="240" w:lineRule="auto"/>
        <w:ind w:left="539" w:hanging="539"/>
        <w:rPr>
          <w:lang w:val="fr-CA"/>
        </w:rPr>
      </w:pPr>
      <w:r w:rsidRPr="004E7607">
        <w:rPr>
          <w:i/>
          <w:lang w:val="fr-CA"/>
        </w:rPr>
        <w:t>Loi sur la marine marchande du Canada</w:t>
      </w:r>
      <w:r w:rsidRPr="004E7607">
        <w:rPr>
          <w:lang w:val="fr-CA"/>
        </w:rPr>
        <w:t xml:space="preserve">, L.R.C. 1985, </w:t>
      </w:r>
      <w:r w:rsidR="00A44E93" w:rsidRPr="004E7607">
        <w:rPr>
          <w:lang w:val="fr-CA"/>
        </w:rPr>
        <w:t>ch. </w:t>
      </w:r>
      <w:r w:rsidRPr="004E7607">
        <w:rPr>
          <w:lang w:val="fr-CA"/>
        </w:rPr>
        <w:t>S</w:t>
      </w:r>
      <w:r w:rsidR="00A44E93" w:rsidRPr="004E7607">
        <w:rPr>
          <w:lang w:val="fr-CA"/>
        </w:rPr>
        <w:noBreakHyphen/>
      </w:r>
      <w:r w:rsidRPr="004E7607">
        <w:rPr>
          <w:lang w:val="fr-CA"/>
        </w:rPr>
        <w:t>9.</w:t>
      </w:r>
    </w:p>
    <w:p w:rsidR="00ED2254" w:rsidRPr="004E7607" w:rsidRDefault="00ED2254" w:rsidP="00E3060C">
      <w:pPr>
        <w:pStyle w:val="SCCNormalDoubleSpacing"/>
        <w:spacing w:after="240" w:line="240" w:lineRule="auto"/>
        <w:ind w:left="539" w:hanging="539"/>
        <w:rPr>
          <w:lang w:val="fr-CA"/>
        </w:rPr>
      </w:pPr>
      <w:r w:rsidRPr="004E7607">
        <w:rPr>
          <w:i/>
          <w:lang w:val="fr-CA"/>
        </w:rPr>
        <w:lastRenderedPageBreak/>
        <w:t>L</w:t>
      </w:r>
      <w:r w:rsidR="005B718F" w:rsidRPr="004E7607">
        <w:rPr>
          <w:i/>
          <w:lang w:val="fr-CA"/>
        </w:rPr>
        <w:t>oi sur la responsabilité en matière maritime</w:t>
      </w:r>
      <w:r w:rsidRPr="004E7607">
        <w:rPr>
          <w:lang w:val="fr-CA"/>
        </w:rPr>
        <w:t xml:space="preserve">, </w:t>
      </w:r>
      <w:r w:rsidR="005B718F" w:rsidRPr="004E7607">
        <w:rPr>
          <w:lang w:val="fr-CA"/>
        </w:rPr>
        <w:t>L</w:t>
      </w:r>
      <w:r w:rsidRPr="004E7607">
        <w:rPr>
          <w:lang w:val="fr-CA"/>
        </w:rPr>
        <w:t xml:space="preserve">.C. 2001, </w:t>
      </w:r>
      <w:r w:rsidR="00A44E93" w:rsidRPr="004E7607">
        <w:rPr>
          <w:lang w:val="fr-CA"/>
        </w:rPr>
        <w:t>ch. </w:t>
      </w:r>
      <w:r w:rsidRPr="004E7607">
        <w:rPr>
          <w:lang w:val="fr-CA"/>
        </w:rPr>
        <w:t xml:space="preserve">6, </w:t>
      </w:r>
      <w:r w:rsidR="00A44E93" w:rsidRPr="004E7607">
        <w:rPr>
          <w:lang w:val="fr-CA"/>
        </w:rPr>
        <w:t>art. </w:t>
      </w:r>
      <w:r w:rsidR="004149FF" w:rsidRPr="004E7607">
        <w:rPr>
          <w:lang w:val="fr-CA"/>
        </w:rPr>
        <w:t xml:space="preserve">4, </w:t>
      </w:r>
      <w:r w:rsidR="00C20489" w:rsidRPr="004E7607">
        <w:rPr>
          <w:lang w:val="fr-CA"/>
        </w:rPr>
        <w:t xml:space="preserve">5, </w:t>
      </w:r>
      <w:r w:rsidRPr="004E7607">
        <w:rPr>
          <w:lang w:val="fr-CA"/>
        </w:rPr>
        <w:t>6</w:t>
      </w:r>
      <w:r w:rsidR="00C719D5">
        <w:rPr>
          <w:lang w:val="fr-CA"/>
        </w:rPr>
        <w:t>, 6(2)</w:t>
      </w:r>
      <w:r w:rsidRPr="004E7607">
        <w:rPr>
          <w:lang w:val="fr-CA"/>
        </w:rPr>
        <w:t>.</w:t>
      </w:r>
    </w:p>
    <w:p w:rsidR="00ED2254" w:rsidRPr="004E7607" w:rsidRDefault="00ED2254" w:rsidP="004C4E28">
      <w:pPr>
        <w:pStyle w:val="SCCNormalDoubleSpacing"/>
        <w:spacing w:after="720" w:line="240" w:lineRule="auto"/>
        <w:ind w:left="540" w:hanging="540"/>
        <w:rPr>
          <w:lang w:val="fr-CA"/>
        </w:rPr>
      </w:pPr>
      <w:r w:rsidRPr="004E7607">
        <w:rPr>
          <w:i/>
        </w:rPr>
        <w:t>Workplace Health, Safety and Compensation Act</w:t>
      </w:r>
      <w:r w:rsidRPr="004E7607">
        <w:t xml:space="preserve">, R.S.N.L. 1990, </w:t>
      </w:r>
      <w:r w:rsidR="00A44E93" w:rsidRPr="004E7607">
        <w:t>ch. </w:t>
      </w:r>
      <w:r w:rsidRPr="004E7607">
        <w:rPr>
          <w:lang w:val="fr-CA"/>
        </w:rPr>
        <w:t>W</w:t>
      </w:r>
      <w:r w:rsidR="00A44E93" w:rsidRPr="004E7607">
        <w:rPr>
          <w:lang w:val="fr-CA"/>
        </w:rPr>
        <w:noBreakHyphen/>
      </w:r>
      <w:r w:rsidRPr="004E7607">
        <w:rPr>
          <w:lang w:val="fr-CA"/>
        </w:rPr>
        <w:t xml:space="preserve">11, </w:t>
      </w:r>
      <w:r w:rsidR="00A44E93" w:rsidRPr="004E7607">
        <w:rPr>
          <w:lang w:val="fr-CA"/>
        </w:rPr>
        <w:t>art. </w:t>
      </w:r>
      <w:r w:rsidR="000B67A1" w:rsidRPr="004E7607">
        <w:rPr>
          <w:lang w:val="fr-CA"/>
        </w:rPr>
        <w:t>2</w:t>
      </w:r>
      <w:r w:rsidR="005E1829" w:rsidRPr="004E7607">
        <w:rPr>
          <w:lang w:val="fr-CA"/>
        </w:rPr>
        <w:t xml:space="preserve">, </w:t>
      </w:r>
      <w:r w:rsidR="006210E6" w:rsidRPr="004E7607">
        <w:rPr>
          <w:lang w:val="fr-CA"/>
        </w:rPr>
        <w:t>19,</w:t>
      </w:r>
      <w:r w:rsidR="000B67A1" w:rsidRPr="004E7607">
        <w:rPr>
          <w:lang w:val="fr-CA"/>
        </w:rPr>
        <w:t xml:space="preserve"> </w:t>
      </w:r>
      <w:r w:rsidR="00A8644C" w:rsidRPr="004E7607">
        <w:rPr>
          <w:lang w:val="fr-CA"/>
        </w:rPr>
        <w:t xml:space="preserve">38(1), </w:t>
      </w:r>
      <w:r w:rsidR="008D2F2B" w:rsidRPr="004E7607">
        <w:rPr>
          <w:lang w:val="fr-CA"/>
        </w:rPr>
        <w:t xml:space="preserve">43(1), </w:t>
      </w:r>
      <w:r w:rsidRPr="004E7607">
        <w:rPr>
          <w:lang w:val="fr-CA"/>
        </w:rPr>
        <w:t>44</w:t>
      </w:r>
      <w:r w:rsidR="000B67A1" w:rsidRPr="004E7607">
        <w:rPr>
          <w:lang w:val="fr-CA"/>
        </w:rPr>
        <w:t xml:space="preserve">, </w:t>
      </w:r>
      <w:r w:rsidR="00093221" w:rsidRPr="004E7607">
        <w:rPr>
          <w:lang w:val="fr-CA"/>
        </w:rPr>
        <w:t xml:space="preserve">45(1), </w:t>
      </w:r>
      <w:r w:rsidR="000B67A1" w:rsidRPr="004E7607">
        <w:rPr>
          <w:lang w:val="fr-CA"/>
        </w:rPr>
        <w:t>46</w:t>
      </w:r>
      <w:r w:rsidR="00A8644C" w:rsidRPr="004E7607">
        <w:rPr>
          <w:lang w:val="fr-CA"/>
        </w:rPr>
        <w:t>, 97, 99</w:t>
      </w:r>
      <w:r w:rsidRPr="004E7607">
        <w:rPr>
          <w:lang w:val="fr-CA"/>
        </w:rPr>
        <w:t>.</w:t>
      </w:r>
    </w:p>
    <w:p w:rsidR="004D7D95" w:rsidRPr="004E7607" w:rsidRDefault="004D7D95" w:rsidP="00F909FA">
      <w:pPr>
        <w:pStyle w:val="SCCNormalDoubleSpacing"/>
        <w:keepNext/>
        <w:spacing w:after="720"/>
        <w:rPr>
          <w:b/>
          <w:lang w:val="fr-CA"/>
        </w:rPr>
      </w:pPr>
      <w:r w:rsidRPr="004E7607">
        <w:rPr>
          <w:b/>
          <w:lang w:val="fr-CA"/>
        </w:rPr>
        <w:t>Doctrine et autres documents cités</w:t>
      </w:r>
    </w:p>
    <w:p w:rsidR="00B5105B" w:rsidRPr="004E7607" w:rsidRDefault="00B5105B" w:rsidP="00E3060C">
      <w:pPr>
        <w:pStyle w:val="SCCNormalDoubleSpacing"/>
        <w:spacing w:after="240" w:line="240" w:lineRule="auto"/>
        <w:ind w:left="539" w:hanging="539"/>
      </w:pPr>
      <w:r w:rsidRPr="00BC3AB1">
        <w:rPr>
          <w:lang w:val="en-US"/>
        </w:rPr>
        <w:t>Driedger,</w:t>
      </w:r>
      <w:r w:rsidR="00550023" w:rsidRPr="00BC3AB1">
        <w:rPr>
          <w:lang w:val="en-US"/>
        </w:rPr>
        <w:t xml:space="preserve"> Elmer </w:t>
      </w:r>
      <w:r w:rsidRPr="00BC3AB1">
        <w:rPr>
          <w:lang w:val="en-US"/>
        </w:rPr>
        <w:t xml:space="preserve">A.  </w:t>
      </w:r>
      <w:r w:rsidRPr="004E7607">
        <w:rPr>
          <w:i/>
          <w:iCs/>
        </w:rPr>
        <w:t>Construction of Statutes</w:t>
      </w:r>
      <w:r w:rsidRPr="004E7607">
        <w:rPr>
          <w:iCs/>
        </w:rPr>
        <w:t>, 2</w:t>
      </w:r>
      <w:r w:rsidRPr="004E7607">
        <w:t>nd ed.  Toronto</w:t>
      </w:r>
      <w:r w:rsidR="00A44E93" w:rsidRPr="004E7607">
        <w:t> :</w:t>
      </w:r>
      <w:r w:rsidRPr="004E7607">
        <w:t xml:space="preserve"> Butterworths, 1983.</w:t>
      </w:r>
    </w:p>
    <w:p w:rsidR="00A8644C" w:rsidRPr="000E3D23" w:rsidRDefault="00A8644C" w:rsidP="004C4E28">
      <w:pPr>
        <w:pStyle w:val="SCCNormalDoubleSpacing"/>
        <w:spacing w:after="720" w:line="240" w:lineRule="auto"/>
        <w:ind w:left="540" w:hanging="540"/>
        <w:rPr>
          <w:lang w:val="fr-CA"/>
        </w:rPr>
      </w:pPr>
      <w:r w:rsidRPr="004E7607">
        <w:t>Hogg</w:t>
      </w:r>
      <w:r w:rsidR="00550023" w:rsidRPr="004E7607">
        <w:t>, Peter </w:t>
      </w:r>
      <w:r w:rsidRPr="004E7607">
        <w:t xml:space="preserve">W.  </w:t>
      </w:r>
      <w:r w:rsidRPr="004E7607">
        <w:rPr>
          <w:i/>
          <w:iCs/>
        </w:rPr>
        <w:t>Constitutional Law of Canada</w:t>
      </w:r>
      <w:r w:rsidRPr="004E7607">
        <w:t xml:space="preserve">, 5th ed. Supp., </w:t>
      </w:r>
      <w:r w:rsidR="00A44E93" w:rsidRPr="004E7607">
        <w:t>vol. </w:t>
      </w:r>
      <w:r w:rsidRPr="004E7607">
        <w:t xml:space="preserve">1.  </w:t>
      </w:r>
      <w:r w:rsidRPr="000E3D23">
        <w:rPr>
          <w:lang w:val="fr-CA"/>
        </w:rPr>
        <w:t>Scarborough, Ont.</w:t>
      </w:r>
      <w:r w:rsidR="00A44E93" w:rsidRPr="000E3D23">
        <w:rPr>
          <w:lang w:val="fr-CA"/>
        </w:rPr>
        <w:t> :</w:t>
      </w:r>
      <w:r w:rsidRPr="000E3D23">
        <w:rPr>
          <w:lang w:val="fr-CA"/>
        </w:rPr>
        <w:t xml:space="preserve"> Thomson/Carswell, 2007 (updated 2012, release 1).</w:t>
      </w:r>
    </w:p>
    <w:p w:rsidR="004519C9" w:rsidRPr="004E7607" w:rsidRDefault="004D7D95" w:rsidP="000C7823">
      <w:pPr>
        <w:pStyle w:val="SCCNormalDoubleSpacing"/>
        <w:spacing w:after="480"/>
        <w:rPr>
          <w:lang w:val="fr-CA"/>
        </w:rPr>
      </w:pPr>
      <w:r w:rsidRPr="000E3D23">
        <w:rPr>
          <w:lang w:val="fr-CA"/>
        </w:rPr>
        <w:tab/>
      </w:r>
      <w:r w:rsidRPr="004E7607">
        <w:rPr>
          <w:lang w:val="fr-CA"/>
        </w:rPr>
        <w:t xml:space="preserve">POURVOI contre un arrêt de la Cour </w:t>
      </w:r>
      <w:r w:rsidR="004519C9" w:rsidRPr="004E7607">
        <w:rPr>
          <w:lang w:val="fr-CA"/>
        </w:rPr>
        <w:t>d</w:t>
      </w:r>
      <w:r w:rsidR="00C768B7">
        <w:rPr>
          <w:lang w:val="fr-CA"/>
        </w:rPr>
        <w:t>’</w:t>
      </w:r>
      <w:r w:rsidR="004519C9" w:rsidRPr="004E7607">
        <w:rPr>
          <w:lang w:val="fr-CA"/>
        </w:rPr>
        <w:t xml:space="preserve">appel </w:t>
      </w:r>
      <w:r w:rsidRPr="004E7607">
        <w:rPr>
          <w:lang w:val="fr-CA"/>
        </w:rPr>
        <w:t>de Terre</w:t>
      </w:r>
      <w:r w:rsidR="00A44E93" w:rsidRPr="004E7607">
        <w:rPr>
          <w:lang w:val="fr-CA"/>
        </w:rPr>
        <w:noBreakHyphen/>
      </w:r>
      <w:r w:rsidRPr="004E7607">
        <w:rPr>
          <w:lang w:val="fr-CA"/>
        </w:rPr>
        <w:t>Neuve</w:t>
      </w:r>
      <w:r w:rsidR="00A44E93" w:rsidRPr="004E7607">
        <w:rPr>
          <w:lang w:val="fr-CA"/>
        </w:rPr>
        <w:noBreakHyphen/>
      </w:r>
      <w:r w:rsidRPr="004E7607">
        <w:rPr>
          <w:lang w:val="fr-CA"/>
        </w:rPr>
        <w:t>et</w:t>
      </w:r>
      <w:r w:rsidR="00A44E93" w:rsidRPr="004E7607">
        <w:rPr>
          <w:lang w:val="fr-CA"/>
        </w:rPr>
        <w:noBreakHyphen/>
      </w:r>
      <w:r w:rsidRPr="004E7607">
        <w:rPr>
          <w:lang w:val="fr-CA"/>
        </w:rPr>
        <w:t>Labrador</w:t>
      </w:r>
      <w:r w:rsidR="004519C9" w:rsidRPr="004E7607">
        <w:rPr>
          <w:lang w:val="fr-CA"/>
        </w:rPr>
        <w:t xml:space="preserve"> (le juge en chef Green et les juges Welsh et Rowe), 2011 NLCA 42</w:t>
      </w:r>
      <w:r w:rsidR="001F1DAC">
        <w:rPr>
          <w:lang w:val="fr-CA"/>
        </w:rPr>
        <w:t>, 308 Nfld. &amp; P.E.I.R. 1,</w:t>
      </w:r>
      <w:r w:rsidR="001F1DAC" w:rsidRPr="004E7607">
        <w:rPr>
          <w:lang w:val="fr-CA"/>
        </w:rPr>
        <w:t xml:space="preserve"> 958 A.P.R. 1, </w:t>
      </w:r>
      <w:r w:rsidR="004519C9" w:rsidRPr="004E7607">
        <w:rPr>
          <w:lang w:val="fr-CA"/>
        </w:rPr>
        <w:t xml:space="preserve">238 C.R.R. (2d) 160, 351 D.L.R. (4th) 666, [2011] N.J. </w:t>
      </w:r>
      <w:r w:rsidR="00A44E93" w:rsidRPr="004E7607">
        <w:rPr>
          <w:lang w:val="fr-CA"/>
        </w:rPr>
        <w:t>No. </w:t>
      </w:r>
      <w:r w:rsidR="004519C9" w:rsidRPr="004E7607">
        <w:rPr>
          <w:lang w:val="fr-CA"/>
        </w:rPr>
        <w:t xml:space="preserve">207 (QL), 2011 CarswellNfld 200, </w:t>
      </w:r>
      <w:r w:rsidR="00864582" w:rsidRPr="004E7607">
        <w:rPr>
          <w:lang w:val="fr-CA"/>
        </w:rPr>
        <w:t>qui a confirmé une d</w:t>
      </w:r>
      <w:r w:rsidR="00EE189B" w:rsidRPr="004E7607">
        <w:rPr>
          <w:lang w:val="fr-CA"/>
        </w:rPr>
        <w:t>é</w:t>
      </w:r>
      <w:r w:rsidR="00864582" w:rsidRPr="004E7607">
        <w:rPr>
          <w:lang w:val="fr-CA"/>
        </w:rPr>
        <w:t>cision du juge Hall,</w:t>
      </w:r>
      <w:r w:rsidR="004519C9" w:rsidRPr="004E7607">
        <w:rPr>
          <w:lang w:val="fr-CA"/>
        </w:rPr>
        <w:t xml:space="preserve"> 2009 NLTD 120, 289 Nfld. </w:t>
      </w:r>
      <w:r w:rsidR="004519C9" w:rsidRPr="004E7607">
        <w:t xml:space="preserve">&amp; P.E.I.R. 198, 890 A.P.R. 198, 99 Admin. L.R. (4th) 308, [2009] N.J. </w:t>
      </w:r>
      <w:r w:rsidR="00A44E93" w:rsidRPr="004E7607">
        <w:t>No. </w:t>
      </w:r>
      <w:r w:rsidR="004519C9" w:rsidRPr="004E7607">
        <w:t xml:space="preserve">204 (QL), 2009 CarswellNfld 197.  </w:t>
      </w:r>
      <w:r w:rsidR="00864582" w:rsidRPr="004E7607">
        <w:rPr>
          <w:lang w:val="fr-CA"/>
        </w:rPr>
        <w:t>Pourvoi accueilli</w:t>
      </w:r>
      <w:r w:rsidR="004519C9" w:rsidRPr="004E7607">
        <w:rPr>
          <w:lang w:val="fr-CA"/>
        </w:rPr>
        <w:t>.</w:t>
      </w:r>
    </w:p>
    <w:p w:rsidR="002321F2" w:rsidRPr="004E7607" w:rsidRDefault="00403096" w:rsidP="004C4E28">
      <w:pPr>
        <w:pStyle w:val="SCCNormalDoubleSpacing"/>
        <w:spacing w:after="720" w:line="240" w:lineRule="auto"/>
        <w:rPr>
          <w:lang w:val="fr-CA"/>
        </w:rPr>
      </w:pPr>
      <w:r w:rsidRPr="004E7607">
        <w:rPr>
          <w:i/>
          <w:lang w:val="fr-CA"/>
        </w:rPr>
        <w:tab/>
        <w:t>Peter O</w:t>
      </w:r>
      <w:r w:rsidR="00C768B7">
        <w:rPr>
          <w:i/>
          <w:lang w:val="fr-CA"/>
        </w:rPr>
        <w:t>’</w:t>
      </w:r>
      <w:r w:rsidR="00A853DB" w:rsidRPr="004E7607">
        <w:rPr>
          <w:i/>
          <w:lang w:val="fr-CA"/>
        </w:rPr>
        <w:t>Flaherty</w:t>
      </w:r>
      <w:r w:rsidR="00A853DB" w:rsidRPr="004E7607">
        <w:rPr>
          <w:lang w:val="fr-CA"/>
        </w:rPr>
        <w:t xml:space="preserve"> et </w:t>
      </w:r>
      <w:r w:rsidR="00A853DB" w:rsidRPr="004E7607">
        <w:rPr>
          <w:i/>
          <w:lang w:val="fr-CA"/>
        </w:rPr>
        <w:t>Brodie Gallant</w:t>
      </w:r>
      <w:r w:rsidRPr="004E7607">
        <w:rPr>
          <w:lang w:val="fr-CA"/>
        </w:rPr>
        <w:t xml:space="preserve">, pour les </w:t>
      </w:r>
      <w:r w:rsidR="00A853DB" w:rsidRPr="004E7607">
        <w:rPr>
          <w:lang w:val="fr-CA"/>
        </w:rPr>
        <w:t>appelant</w:t>
      </w:r>
      <w:r w:rsidRPr="004E7607">
        <w:rPr>
          <w:lang w:val="fr-CA"/>
        </w:rPr>
        <w:t>s</w:t>
      </w:r>
      <w:r w:rsidR="00A853DB" w:rsidRPr="004E7607">
        <w:rPr>
          <w:lang w:val="fr-CA"/>
        </w:rPr>
        <w:t>.</w:t>
      </w:r>
    </w:p>
    <w:p w:rsidR="002321F2" w:rsidRPr="004E7607" w:rsidRDefault="00A853DB" w:rsidP="00EA7D78">
      <w:pPr>
        <w:pStyle w:val="SCCNormalDoubleSpacing"/>
        <w:spacing w:after="480"/>
        <w:rPr>
          <w:lang w:val="fr-CA"/>
        </w:rPr>
      </w:pPr>
      <w:r w:rsidRPr="004E7607">
        <w:rPr>
          <w:i/>
          <w:lang w:val="fr-CA"/>
        </w:rPr>
        <w:tab/>
        <w:t>Corwin Mills</w:t>
      </w:r>
      <w:r w:rsidRPr="00FB265C">
        <w:rPr>
          <w:lang w:val="fr-CA"/>
        </w:rPr>
        <w:t xml:space="preserve">, </w:t>
      </w:r>
      <w:r w:rsidR="00403096" w:rsidRPr="004E7607">
        <w:rPr>
          <w:i/>
          <w:lang w:val="fr-CA"/>
        </w:rPr>
        <w:t>c</w:t>
      </w:r>
      <w:r w:rsidRPr="004E7607">
        <w:rPr>
          <w:i/>
          <w:lang w:val="fr-CA"/>
        </w:rPr>
        <w:t>.</w:t>
      </w:r>
      <w:r w:rsidR="00403096" w:rsidRPr="004E7607">
        <w:rPr>
          <w:i/>
          <w:lang w:val="fr-CA"/>
        </w:rPr>
        <w:t>r</w:t>
      </w:r>
      <w:r w:rsidRPr="004E7607">
        <w:rPr>
          <w:i/>
          <w:lang w:val="fr-CA"/>
        </w:rPr>
        <w:t>.</w:t>
      </w:r>
      <w:r w:rsidRPr="004E7607">
        <w:rPr>
          <w:lang w:val="fr-CA"/>
        </w:rPr>
        <w:t xml:space="preserve">, </w:t>
      </w:r>
      <w:r w:rsidR="009A126B" w:rsidRPr="004E7607">
        <w:rPr>
          <w:i/>
          <w:lang w:val="fr-CA"/>
        </w:rPr>
        <w:t>Joseph Twyne</w:t>
      </w:r>
      <w:r w:rsidR="009A126B" w:rsidRPr="004E7607">
        <w:rPr>
          <w:lang w:val="fr-CA"/>
        </w:rPr>
        <w:t xml:space="preserve"> et </w:t>
      </w:r>
      <w:r w:rsidR="009A126B" w:rsidRPr="004E7607">
        <w:rPr>
          <w:i/>
          <w:lang w:val="fr-CA"/>
        </w:rPr>
        <w:t>Benjamin Piper</w:t>
      </w:r>
      <w:r w:rsidR="009A126B" w:rsidRPr="004E7607">
        <w:rPr>
          <w:lang w:val="fr-CA"/>
        </w:rPr>
        <w:t xml:space="preserve">, </w:t>
      </w:r>
      <w:r w:rsidRPr="004E7607">
        <w:rPr>
          <w:lang w:val="fr-CA"/>
        </w:rPr>
        <w:t>pour l</w:t>
      </w:r>
      <w:r w:rsidR="00403096" w:rsidRPr="004E7607">
        <w:rPr>
          <w:lang w:val="fr-CA"/>
        </w:rPr>
        <w:t>es intimés la Succession de Joseph Ryan</w:t>
      </w:r>
      <w:r w:rsidR="00B507C7" w:rsidRPr="004E7607">
        <w:rPr>
          <w:lang w:val="fr-CA"/>
        </w:rPr>
        <w:t xml:space="preserve"> et autres</w:t>
      </w:r>
      <w:r w:rsidR="00403096" w:rsidRPr="004E7607">
        <w:rPr>
          <w:lang w:val="fr-CA"/>
        </w:rPr>
        <w:t>.</w:t>
      </w:r>
    </w:p>
    <w:p w:rsidR="003937B1" w:rsidRPr="004E7607" w:rsidRDefault="003937B1" w:rsidP="00EA7D78">
      <w:pPr>
        <w:pStyle w:val="SCCNormalDoubleSpacing"/>
        <w:spacing w:after="480"/>
        <w:rPr>
          <w:lang w:val="fr-CA"/>
        </w:rPr>
      </w:pPr>
      <w:r w:rsidRPr="004E7607">
        <w:rPr>
          <w:i/>
          <w:lang w:val="fr-CA"/>
        </w:rPr>
        <w:tab/>
        <w:t xml:space="preserve">Peter Southey </w:t>
      </w:r>
      <w:r w:rsidRPr="001C25E0">
        <w:rPr>
          <w:lang w:val="fr-CA"/>
        </w:rPr>
        <w:t>et</w:t>
      </w:r>
      <w:r w:rsidRPr="004E7607">
        <w:rPr>
          <w:i/>
          <w:lang w:val="fr-CA"/>
        </w:rPr>
        <w:t xml:space="preserve"> Christine Mohr</w:t>
      </w:r>
      <w:r w:rsidRPr="004E7607">
        <w:rPr>
          <w:lang w:val="fr-CA"/>
        </w:rPr>
        <w:t>, pour l</w:t>
      </w:r>
      <w:r w:rsidR="00C768B7">
        <w:rPr>
          <w:lang w:val="fr-CA"/>
        </w:rPr>
        <w:t>’</w:t>
      </w:r>
      <w:r w:rsidRPr="004E7607">
        <w:rPr>
          <w:lang w:val="fr-CA"/>
        </w:rPr>
        <w:t>intimé le procureur g</w:t>
      </w:r>
      <w:r w:rsidR="00BE0B7E" w:rsidRPr="004E7607">
        <w:rPr>
          <w:lang w:val="fr-CA"/>
        </w:rPr>
        <w:t>éné</w:t>
      </w:r>
      <w:r w:rsidRPr="004E7607">
        <w:rPr>
          <w:lang w:val="fr-CA"/>
        </w:rPr>
        <w:t>ral du Canada.</w:t>
      </w:r>
    </w:p>
    <w:p w:rsidR="002321F2" w:rsidRPr="004E7607" w:rsidRDefault="00A853DB" w:rsidP="00EA7D78">
      <w:pPr>
        <w:pStyle w:val="SCCNormalDoubleSpacing"/>
        <w:spacing w:after="480"/>
        <w:rPr>
          <w:lang w:val="fr-CA"/>
        </w:rPr>
      </w:pPr>
      <w:r w:rsidRPr="004E7607">
        <w:rPr>
          <w:i/>
          <w:lang w:val="fr-CA"/>
        </w:rPr>
        <w:lastRenderedPageBreak/>
        <w:tab/>
        <w:t>Hart Schwartz</w:t>
      </w:r>
      <w:r w:rsidRPr="004E7607">
        <w:rPr>
          <w:lang w:val="fr-CA"/>
        </w:rPr>
        <w:t xml:space="preserve"> et </w:t>
      </w:r>
      <w:r w:rsidR="00F909FA" w:rsidRPr="004E7607">
        <w:rPr>
          <w:i/>
          <w:lang w:val="fr-CA"/>
        </w:rPr>
        <w:t>Michael </w:t>
      </w:r>
      <w:r w:rsidRPr="004E7607">
        <w:rPr>
          <w:i/>
          <w:lang w:val="fr-CA"/>
        </w:rPr>
        <w:t>S. Dunn</w:t>
      </w:r>
      <w:r w:rsidRPr="004E7607">
        <w:rPr>
          <w:lang w:val="fr-CA"/>
        </w:rPr>
        <w:t>, pour l</w:t>
      </w:r>
      <w:r w:rsidR="00C768B7">
        <w:rPr>
          <w:lang w:val="fr-CA"/>
        </w:rPr>
        <w:t>’</w:t>
      </w:r>
      <w:r w:rsidRPr="004E7607">
        <w:rPr>
          <w:lang w:val="fr-CA"/>
        </w:rPr>
        <w:t>intervenant</w:t>
      </w:r>
      <w:r w:rsidR="00BE0B7E" w:rsidRPr="004E7607">
        <w:rPr>
          <w:lang w:val="fr-CA"/>
        </w:rPr>
        <w:t xml:space="preserve"> le p</w:t>
      </w:r>
      <w:r w:rsidRPr="004E7607">
        <w:rPr>
          <w:lang w:val="fr-CA"/>
        </w:rPr>
        <w:t>rocureur général de l</w:t>
      </w:r>
      <w:r w:rsidR="00C768B7">
        <w:rPr>
          <w:lang w:val="fr-CA"/>
        </w:rPr>
        <w:t>’</w:t>
      </w:r>
      <w:r w:rsidRPr="004E7607">
        <w:rPr>
          <w:lang w:val="fr-CA"/>
        </w:rPr>
        <w:t>Ontario.</w:t>
      </w:r>
    </w:p>
    <w:p w:rsidR="00BE0B7E" w:rsidRPr="004E7607" w:rsidRDefault="00F909FA" w:rsidP="00EA7D78">
      <w:pPr>
        <w:pStyle w:val="SCCNormalDoubleSpacing"/>
        <w:spacing w:after="480"/>
        <w:rPr>
          <w:lang w:val="fr-CA"/>
        </w:rPr>
      </w:pPr>
      <w:r w:rsidRPr="004E7607">
        <w:rPr>
          <w:i/>
          <w:lang w:val="fr-CA"/>
        </w:rPr>
        <w:tab/>
        <w:t>Nancy </w:t>
      </w:r>
      <w:r w:rsidR="00BE0B7E" w:rsidRPr="004E7607">
        <w:rPr>
          <w:i/>
          <w:lang w:val="fr-CA"/>
        </w:rPr>
        <w:t>E. Brown</w:t>
      </w:r>
      <w:r w:rsidR="00BE0B7E" w:rsidRPr="004E7607">
        <w:rPr>
          <w:lang w:val="fr-CA"/>
        </w:rPr>
        <w:t>, pour l</w:t>
      </w:r>
      <w:r w:rsidR="00C768B7">
        <w:rPr>
          <w:lang w:val="fr-CA"/>
        </w:rPr>
        <w:t>’</w:t>
      </w:r>
      <w:r w:rsidR="00BE0B7E" w:rsidRPr="004E7607">
        <w:rPr>
          <w:lang w:val="fr-CA"/>
        </w:rPr>
        <w:t>intervenant le procureur général de la Colombie</w:t>
      </w:r>
      <w:r w:rsidR="00A44E93" w:rsidRPr="004E7607">
        <w:rPr>
          <w:lang w:val="fr-CA"/>
        </w:rPr>
        <w:noBreakHyphen/>
      </w:r>
      <w:r w:rsidR="00BE0B7E" w:rsidRPr="004E7607">
        <w:rPr>
          <w:lang w:val="fr-CA"/>
        </w:rPr>
        <w:t>Britannique.</w:t>
      </w:r>
    </w:p>
    <w:p w:rsidR="00BE108C" w:rsidRPr="004E7607" w:rsidRDefault="00BE108C" w:rsidP="00EA7D78">
      <w:pPr>
        <w:pStyle w:val="SCCNormalDoubleSpacing"/>
        <w:spacing w:after="480"/>
        <w:rPr>
          <w:lang w:val="fr-CA"/>
        </w:rPr>
      </w:pPr>
      <w:r w:rsidRPr="004E7607">
        <w:rPr>
          <w:i/>
          <w:lang w:val="fr-CA"/>
        </w:rPr>
        <w:tab/>
        <w:t>Rolf Pritchard</w:t>
      </w:r>
      <w:r w:rsidRPr="00FB265C">
        <w:rPr>
          <w:lang w:val="fr-CA"/>
        </w:rPr>
        <w:t xml:space="preserve">, </w:t>
      </w:r>
      <w:r w:rsidRPr="004E7607">
        <w:rPr>
          <w:i/>
          <w:lang w:val="fr-CA"/>
        </w:rPr>
        <w:t>c.r.</w:t>
      </w:r>
      <w:r w:rsidRPr="004E7607">
        <w:rPr>
          <w:lang w:val="fr-CA"/>
        </w:rPr>
        <w:t>, pour l</w:t>
      </w:r>
      <w:r w:rsidR="00C768B7">
        <w:rPr>
          <w:lang w:val="fr-CA"/>
        </w:rPr>
        <w:t>’</w:t>
      </w:r>
      <w:r w:rsidRPr="004E7607">
        <w:rPr>
          <w:lang w:val="fr-CA"/>
        </w:rPr>
        <w:t>intervenant le procureur général de Terre</w:t>
      </w:r>
      <w:r w:rsidR="00A44E93" w:rsidRPr="004E7607">
        <w:rPr>
          <w:lang w:val="fr-CA"/>
        </w:rPr>
        <w:noBreakHyphen/>
      </w:r>
      <w:r w:rsidRPr="004E7607">
        <w:rPr>
          <w:lang w:val="fr-CA"/>
        </w:rPr>
        <w:t>Neuve</w:t>
      </w:r>
      <w:r w:rsidR="00A44E93" w:rsidRPr="004E7607">
        <w:rPr>
          <w:lang w:val="fr-CA"/>
        </w:rPr>
        <w:noBreakHyphen/>
      </w:r>
      <w:r w:rsidRPr="004E7607">
        <w:rPr>
          <w:lang w:val="fr-CA"/>
        </w:rPr>
        <w:t>et</w:t>
      </w:r>
      <w:r w:rsidR="00A44E93" w:rsidRPr="004E7607">
        <w:rPr>
          <w:lang w:val="fr-CA"/>
        </w:rPr>
        <w:noBreakHyphen/>
      </w:r>
      <w:r w:rsidRPr="004E7607">
        <w:rPr>
          <w:lang w:val="fr-CA"/>
        </w:rPr>
        <w:t>Labrador.</w:t>
      </w:r>
    </w:p>
    <w:p w:rsidR="00CA5E84" w:rsidRPr="004E7607" w:rsidRDefault="00CA5E84" w:rsidP="00591D15">
      <w:pPr>
        <w:pStyle w:val="SCCNormalDoubleSpacing"/>
        <w:spacing w:after="480"/>
        <w:rPr>
          <w:lang w:val="en-US"/>
        </w:rPr>
      </w:pPr>
      <w:r w:rsidRPr="004E7607">
        <w:rPr>
          <w:i/>
          <w:lang w:val="fr-CA"/>
        </w:rPr>
        <w:tab/>
      </w:r>
      <w:r w:rsidRPr="004E7607">
        <w:rPr>
          <w:i/>
          <w:lang w:val="en-US"/>
        </w:rPr>
        <w:t>Jamie Martin</w:t>
      </w:r>
      <w:r w:rsidRPr="004E7607">
        <w:rPr>
          <w:lang w:val="en-US"/>
        </w:rPr>
        <w:t>, pour l</w:t>
      </w:r>
      <w:r w:rsidR="00C768B7">
        <w:rPr>
          <w:lang w:val="en-US"/>
        </w:rPr>
        <w:t>’</w:t>
      </w:r>
      <w:r w:rsidRPr="004E7607">
        <w:rPr>
          <w:lang w:val="en-US"/>
        </w:rPr>
        <w:t xml:space="preserve">intervenante </w:t>
      </w:r>
      <w:r w:rsidR="00591D15" w:rsidRPr="004E7607">
        <w:rPr>
          <w:lang w:val="en-US"/>
        </w:rPr>
        <w:t>Workplace Health, Safety and Compensation Commission</w:t>
      </w:r>
      <w:r w:rsidR="00EC11F0" w:rsidRPr="004E7607">
        <w:rPr>
          <w:lang w:val="en-US"/>
        </w:rPr>
        <w:t>.</w:t>
      </w:r>
    </w:p>
    <w:p w:rsidR="00EC11F0" w:rsidRPr="004E7607" w:rsidRDefault="00A853DB" w:rsidP="00EA7D78">
      <w:pPr>
        <w:pStyle w:val="SCCNormalDoubleSpacing"/>
        <w:spacing w:after="480"/>
        <w:rPr>
          <w:lang w:val="fr-CA"/>
        </w:rPr>
      </w:pPr>
      <w:r w:rsidRPr="004E7607">
        <w:rPr>
          <w:i/>
          <w:lang w:val="en-US"/>
        </w:rPr>
        <w:tab/>
      </w:r>
      <w:r w:rsidR="00F909FA" w:rsidRPr="004E7607">
        <w:rPr>
          <w:i/>
          <w:lang w:val="fr-CA"/>
        </w:rPr>
        <w:t>Scott </w:t>
      </w:r>
      <w:r w:rsidRPr="004E7607">
        <w:rPr>
          <w:i/>
          <w:lang w:val="fr-CA"/>
        </w:rPr>
        <w:t>A. Nielsen</w:t>
      </w:r>
      <w:r w:rsidRPr="004E7607">
        <w:rPr>
          <w:lang w:val="fr-CA"/>
        </w:rPr>
        <w:t xml:space="preserve"> et </w:t>
      </w:r>
      <w:r w:rsidRPr="004E7607">
        <w:rPr>
          <w:i/>
          <w:lang w:val="fr-CA"/>
        </w:rPr>
        <w:t>Laurel Courtenay</w:t>
      </w:r>
      <w:r w:rsidRPr="004E7607">
        <w:rPr>
          <w:lang w:val="fr-CA"/>
        </w:rPr>
        <w:t>, pour l</w:t>
      </w:r>
      <w:r w:rsidR="00C768B7">
        <w:rPr>
          <w:lang w:val="fr-CA"/>
        </w:rPr>
        <w:t>’</w:t>
      </w:r>
      <w:r w:rsidRPr="004E7607">
        <w:rPr>
          <w:lang w:val="fr-CA"/>
        </w:rPr>
        <w:t>intervenante Workers</w:t>
      </w:r>
      <w:r w:rsidR="00C768B7">
        <w:rPr>
          <w:lang w:val="fr-CA"/>
        </w:rPr>
        <w:t>’</w:t>
      </w:r>
      <w:r w:rsidRPr="004E7607">
        <w:rPr>
          <w:lang w:val="fr-CA"/>
        </w:rPr>
        <w:t xml:space="preserve"> Compensation Board </w:t>
      </w:r>
      <w:r w:rsidR="00EC11F0" w:rsidRPr="004E7607">
        <w:rPr>
          <w:lang w:val="fr-CA"/>
        </w:rPr>
        <w:t>de la Colombie</w:t>
      </w:r>
      <w:r w:rsidR="00A44E93" w:rsidRPr="004E7607">
        <w:rPr>
          <w:lang w:val="fr-CA"/>
        </w:rPr>
        <w:noBreakHyphen/>
      </w:r>
      <w:r w:rsidR="00EC11F0" w:rsidRPr="004E7607">
        <w:rPr>
          <w:lang w:val="fr-CA"/>
        </w:rPr>
        <w:t>Britannique.</w:t>
      </w:r>
    </w:p>
    <w:p w:rsidR="00B73216" w:rsidRPr="004E7607" w:rsidRDefault="00B73216" w:rsidP="00B73216">
      <w:pPr>
        <w:pStyle w:val="SCCNormalDoubleSpacing"/>
        <w:spacing w:after="480"/>
        <w:rPr>
          <w:lang w:val="fr-CA"/>
        </w:rPr>
      </w:pPr>
      <w:r w:rsidRPr="004E7607">
        <w:rPr>
          <w:lang w:val="fr-CA"/>
        </w:rPr>
        <w:tab/>
        <w:t>Personne n</w:t>
      </w:r>
      <w:r w:rsidR="00C768B7">
        <w:rPr>
          <w:lang w:val="fr-CA"/>
        </w:rPr>
        <w:t>’</w:t>
      </w:r>
      <w:r w:rsidRPr="004E7607">
        <w:rPr>
          <w:lang w:val="fr-CA"/>
        </w:rPr>
        <w:t>a comparu pour l</w:t>
      </w:r>
      <w:r w:rsidR="00C768B7">
        <w:rPr>
          <w:lang w:val="fr-CA"/>
        </w:rPr>
        <w:t>’</w:t>
      </w:r>
      <w:r w:rsidRPr="004E7607">
        <w:rPr>
          <w:lang w:val="fr-CA"/>
        </w:rPr>
        <w:t>intimée Universal Marine Limited.</w:t>
      </w:r>
    </w:p>
    <w:p w:rsidR="00B73216" w:rsidRPr="004E7607" w:rsidRDefault="00B73216" w:rsidP="00B73216">
      <w:pPr>
        <w:pStyle w:val="SCCNormalDoubleSpacing"/>
        <w:spacing w:after="480"/>
        <w:rPr>
          <w:lang w:val="fr-CA"/>
        </w:rPr>
      </w:pPr>
      <w:r w:rsidRPr="004E7607">
        <w:rPr>
          <w:lang w:val="fr-CA"/>
        </w:rPr>
        <w:tab/>
        <w:t>Personne n</w:t>
      </w:r>
      <w:r w:rsidR="00C768B7">
        <w:rPr>
          <w:lang w:val="fr-CA"/>
        </w:rPr>
        <w:t>’</w:t>
      </w:r>
      <w:r w:rsidRPr="004E7607">
        <w:rPr>
          <w:lang w:val="fr-CA"/>
        </w:rPr>
        <w:t>a comparu pour l</w:t>
      </w:r>
      <w:r w:rsidR="00C768B7">
        <w:rPr>
          <w:lang w:val="fr-CA"/>
        </w:rPr>
        <w:t>’</w:t>
      </w:r>
      <w:r w:rsidRPr="004E7607">
        <w:rPr>
          <w:lang w:val="fr-CA"/>
        </w:rPr>
        <w:t>intervenant le procureur général de la Nouvelle</w:t>
      </w:r>
      <w:r w:rsidR="00A44E93" w:rsidRPr="004E7607">
        <w:rPr>
          <w:lang w:val="fr-CA"/>
        </w:rPr>
        <w:noBreakHyphen/>
      </w:r>
      <w:r w:rsidRPr="004E7607">
        <w:rPr>
          <w:lang w:val="fr-CA"/>
        </w:rPr>
        <w:t>Écosse.</w:t>
      </w:r>
    </w:p>
    <w:p w:rsidR="00931170" w:rsidRPr="00FB265C" w:rsidRDefault="00FB265C" w:rsidP="00931170">
      <w:pPr>
        <w:pStyle w:val="JudgeJuge"/>
        <w:spacing w:before="480"/>
        <w:rPr>
          <w:smallCaps w:val="0"/>
          <w:lang w:val="fr-CA"/>
        </w:rPr>
      </w:pPr>
      <w:r w:rsidRPr="00FB265C">
        <w:rPr>
          <w:smallCaps w:val="0"/>
          <w:lang w:val="fr-CA"/>
        </w:rPr>
        <w:tab/>
        <w:t>Vers</w:t>
      </w:r>
      <w:r>
        <w:rPr>
          <w:smallCaps w:val="0"/>
          <w:lang w:val="fr-CA"/>
        </w:rPr>
        <w:t>ion française du jugement de la Cour rendu par</w:t>
      </w:r>
    </w:p>
    <w:p w:rsidR="00931170" w:rsidRPr="002C1B3A" w:rsidRDefault="00931170" w:rsidP="00931170">
      <w:pPr>
        <w:pStyle w:val="JudgeJuge"/>
        <w:spacing w:before="480"/>
        <w:rPr>
          <w:lang w:val="fr-CA"/>
        </w:rPr>
      </w:pPr>
      <w:r w:rsidRPr="002C1B3A">
        <w:rPr>
          <w:lang w:val="fr-CA"/>
        </w:rPr>
        <w:tab/>
        <w:t xml:space="preserve">Les juges LeBel et Karakatsanis — </w:t>
      </w:r>
    </w:p>
    <w:p w:rsidR="00931170" w:rsidRPr="002C1B3A" w:rsidRDefault="00931170" w:rsidP="00931170">
      <w:pPr>
        <w:pStyle w:val="TitleTitre-AltT"/>
        <w:keepNext/>
        <w:rPr>
          <w:rFonts w:cs="Times New Roman"/>
          <w:lang w:val="fr-CA"/>
        </w:rPr>
      </w:pPr>
      <w:r w:rsidRPr="002C1B3A">
        <w:rPr>
          <w:rFonts w:cs="Times New Roman"/>
          <w:lang w:val="fr-CA"/>
        </w:rPr>
        <w:lastRenderedPageBreak/>
        <w:t>I.</w:t>
      </w:r>
      <w:r w:rsidRPr="002C1B3A">
        <w:rPr>
          <w:rFonts w:cs="Times New Roman"/>
          <w:lang w:val="fr-CA"/>
        </w:rPr>
        <w:tab/>
      </w:r>
      <w:r w:rsidRPr="002C1B3A">
        <w:rPr>
          <w:rFonts w:cs="Times New Roman"/>
          <w:u w:val="single"/>
          <w:lang w:val="fr-CA"/>
        </w:rPr>
        <w:t xml:space="preserve">Introduction </w:t>
      </w:r>
      <w:r>
        <w:rPr>
          <w:rFonts w:cs="Times New Roman"/>
          <w:u w:val="single"/>
          <w:lang w:val="fr-CA"/>
        </w:rPr>
        <w:t>et</w:t>
      </w:r>
      <w:r w:rsidRPr="002C1B3A">
        <w:rPr>
          <w:rFonts w:cs="Times New Roman"/>
          <w:u w:val="single"/>
          <w:lang w:val="fr-CA"/>
        </w:rPr>
        <w:t xml:space="preserve"> </w:t>
      </w:r>
      <w:r>
        <w:rPr>
          <w:rFonts w:cs="Times New Roman"/>
          <w:u w:val="single"/>
          <w:lang w:val="fr-CA"/>
        </w:rPr>
        <w:t>a</w:t>
      </w:r>
      <w:r w:rsidRPr="002C1B3A">
        <w:rPr>
          <w:rFonts w:cs="Times New Roman"/>
          <w:u w:val="single"/>
          <w:lang w:val="fr-CA"/>
        </w:rPr>
        <w:t>perçu</w:t>
      </w:r>
    </w:p>
    <w:p w:rsidR="00931170" w:rsidRPr="002C1B3A" w:rsidRDefault="00931170" w:rsidP="00931170">
      <w:pPr>
        <w:pStyle w:val="ParaNoNdepar-AltN"/>
        <w:rPr>
          <w:rFonts w:cs="Times New Roman"/>
          <w:lang w:val="fr-CA"/>
        </w:rPr>
      </w:pPr>
      <w:r w:rsidRPr="002C1B3A">
        <w:rPr>
          <w:rFonts w:cs="Times New Roman"/>
          <w:lang w:val="fr-CA"/>
        </w:rPr>
        <w:t>Deux pêcheurs ont perdu la vie au large des côtes de Terre</w:t>
      </w:r>
      <w:r w:rsidRPr="002C1B3A">
        <w:rPr>
          <w:rFonts w:cs="Times New Roman"/>
          <w:lang w:val="fr-CA"/>
        </w:rPr>
        <w:noBreakHyphen/>
        <w:t>Neuve</w:t>
      </w:r>
      <w:r w:rsidRPr="002C1B3A">
        <w:rPr>
          <w:rFonts w:cs="Times New Roman"/>
          <w:lang w:val="fr-CA"/>
        </w:rPr>
        <w:noBreakHyphen/>
        <w:t>et</w:t>
      </w:r>
      <w:r w:rsidRPr="002C1B3A">
        <w:rPr>
          <w:rFonts w:cs="Times New Roman"/>
          <w:lang w:val="fr-CA"/>
        </w:rPr>
        <w:noBreakHyphen/>
        <w:t>Labrador.  Leurs successions ont réclamé aux parties auxquelles elles imputent le décès des pêcheurs une indemnisation fondée sur la responsabilité délictuelle.  Le présent pourvoi soulève la question de savoir si l</w:t>
      </w:r>
      <w:r>
        <w:rPr>
          <w:rFonts w:cs="Times New Roman"/>
          <w:lang w:val="fr-CA"/>
        </w:rPr>
        <w:t>’</w:t>
      </w:r>
      <w:r w:rsidRPr="002C1B3A">
        <w:rPr>
          <w:rFonts w:cs="Times New Roman"/>
          <w:lang w:val="fr-CA"/>
        </w:rPr>
        <w:t>interdiction légale de poursuites prévue à l</w:t>
      </w:r>
      <w:r>
        <w:rPr>
          <w:rFonts w:cs="Times New Roman"/>
          <w:lang w:val="fr-CA"/>
        </w:rPr>
        <w:t>’</w:t>
      </w:r>
      <w:r w:rsidRPr="002C1B3A">
        <w:rPr>
          <w:rFonts w:cs="Times New Roman"/>
          <w:lang w:val="fr-CA"/>
        </w:rPr>
        <w:t xml:space="preserve">art. 44 de la loi intitulée </w:t>
      </w:r>
      <w:r w:rsidRPr="002C1B3A">
        <w:rPr>
          <w:rFonts w:cs="Times New Roman"/>
          <w:i/>
          <w:lang w:val="fr-CA"/>
        </w:rPr>
        <w:t>Workplace Health, Safety and Compensation Act</w:t>
      </w:r>
      <w:r w:rsidRPr="002C1B3A">
        <w:rPr>
          <w:rFonts w:cs="Times New Roman"/>
          <w:lang w:val="fr-CA"/>
        </w:rPr>
        <w:t>, R.S.N.L. 1990, ch. W</w:t>
      </w:r>
      <w:r w:rsidRPr="002C1B3A">
        <w:rPr>
          <w:rFonts w:cs="Times New Roman"/>
          <w:lang w:val="fr-CA"/>
        </w:rPr>
        <w:noBreakHyphen/>
        <w:t>11 (« </w:t>
      </w:r>
      <w:r w:rsidRPr="002C1B3A">
        <w:rPr>
          <w:rFonts w:cs="Times New Roman"/>
          <w:i/>
          <w:lang w:val="fr-CA"/>
        </w:rPr>
        <w:t>WHSCA</w:t>
      </w:r>
      <w:r w:rsidRPr="002C1B3A">
        <w:rPr>
          <w:rFonts w:cs="Times New Roman"/>
          <w:lang w:val="fr-CA"/>
        </w:rPr>
        <w:t> »), s</w:t>
      </w:r>
      <w:r>
        <w:rPr>
          <w:rFonts w:cs="Times New Roman"/>
          <w:lang w:val="fr-CA"/>
        </w:rPr>
        <w:t>’</w:t>
      </w:r>
      <w:r w:rsidRPr="002C1B3A">
        <w:rPr>
          <w:rFonts w:cs="Times New Roman"/>
          <w:lang w:val="fr-CA"/>
        </w:rPr>
        <w:t>applique et fait obstacle à l</w:t>
      </w:r>
      <w:r>
        <w:rPr>
          <w:rFonts w:cs="Times New Roman"/>
          <w:lang w:val="fr-CA"/>
        </w:rPr>
        <w:t>’</w:t>
      </w:r>
      <w:r w:rsidRPr="002C1B3A">
        <w:rPr>
          <w:rFonts w:cs="Times New Roman"/>
          <w:lang w:val="fr-CA"/>
        </w:rPr>
        <w:t>introduction d</w:t>
      </w:r>
      <w:r>
        <w:rPr>
          <w:rFonts w:cs="Times New Roman"/>
          <w:lang w:val="fr-CA"/>
        </w:rPr>
        <w:t>’</w:t>
      </w:r>
      <w:r w:rsidRPr="002C1B3A">
        <w:rPr>
          <w:rFonts w:cs="Times New Roman"/>
          <w:lang w:val="fr-CA"/>
        </w:rPr>
        <w:t xml:space="preserve">une action en négligence en vertu du par. 6(2) de la </w:t>
      </w:r>
      <w:r w:rsidRPr="002C1B3A">
        <w:rPr>
          <w:rFonts w:cs="Times New Roman"/>
          <w:i/>
          <w:lang w:val="fr-CA"/>
        </w:rPr>
        <w:t>Loi sur la responsabilité en matière maritime</w:t>
      </w:r>
      <w:r w:rsidRPr="002C1B3A">
        <w:rPr>
          <w:rFonts w:cs="Times New Roman"/>
          <w:lang w:val="fr-CA"/>
        </w:rPr>
        <w:t>, L.C. 2001, ch. 6 (« </w:t>
      </w:r>
      <w:r w:rsidRPr="002C1B3A">
        <w:rPr>
          <w:rFonts w:cs="Times New Roman"/>
          <w:i/>
          <w:lang w:val="fr-CA"/>
        </w:rPr>
        <w:t>LRMM </w:t>
      </w:r>
      <w:r w:rsidRPr="002C1B3A">
        <w:rPr>
          <w:rFonts w:cs="Times New Roman"/>
          <w:lang w:val="fr-CA"/>
        </w:rPr>
        <w:t xml:space="preserve">»).  Les veuves et les enfants à la charge des pêcheurs décédés ont intenté une telle action après avoir reçu les indemnités pour accident du travail payables au titre de la </w:t>
      </w:r>
      <w:r w:rsidRPr="002C1B3A">
        <w:rPr>
          <w:rFonts w:cs="Times New Roman"/>
          <w:i/>
          <w:lang w:val="fr-CA"/>
        </w:rPr>
        <w:t>WHSCA</w:t>
      </w:r>
      <w:r w:rsidRPr="002C1B3A">
        <w:rPr>
          <w:rFonts w:cs="Times New Roman"/>
          <w:lang w:val="fr-CA"/>
        </w:rPr>
        <w:t>.</w:t>
      </w:r>
    </w:p>
    <w:p w:rsidR="00931170" w:rsidRPr="002C1B3A" w:rsidRDefault="00931170" w:rsidP="00931170">
      <w:pPr>
        <w:pStyle w:val="ParaNoNdepar-AltN"/>
        <w:rPr>
          <w:rFonts w:cs="Times New Roman"/>
          <w:lang w:val="fr-CA"/>
        </w:rPr>
      </w:pPr>
      <w:r w:rsidRPr="002C1B3A">
        <w:rPr>
          <w:rFonts w:cs="Times New Roman"/>
          <w:lang w:val="fr-CA"/>
        </w:rPr>
        <w:t>La Cour d</w:t>
      </w:r>
      <w:r>
        <w:rPr>
          <w:rFonts w:cs="Times New Roman"/>
          <w:lang w:val="fr-CA"/>
        </w:rPr>
        <w:t>’</w:t>
      </w:r>
      <w:r w:rsidRPr="002C1B3A">
        <w:rPr>
          <w:rFonts w:cs="Times New Roman"/>
          <w:lang w:val="fr-CA"/>
        </w:rPr>
        <w:t>appel, à la majorité, a conclu que l</w:t>
      </w:r>
      <w:r>
        <w:rPr>
          <w:rFonts w:cs="Times New Roman"/>
          <w:lang w:val="fr-CA"/>
        </w:rPr>
        <w:t>’</w:t>
      </w:r>
      <w:r w:rsidRPr="002C1B3A">
        <w:rPr>
          <w:rFonts w:cs="Times New Roman"/>
          <w:lang w:val="fr-CA"/>
        </w:rPr>
        <w:t>interdiction légale de poursuites prévue à l</w:t>
      </w:r>
      <w:r>
        <w:rPr>
          <w:rFonts w:cs="Times New Roman"/>
          <w:lang w:val="fr-CA"/>
        </w:rPr>
        <w:t>’</w:t>
      </w:r>
      <w:r w:rsidRPr="002C1B3A">
        <w:rPr>
          <w:rFonts w:cs="Times New Roman"/>
          <w:lang w:val="fr-CA"/>
        </w:rPr>
        <w:t xml:space="preserve">art. 44 de la </w:t>
      </w:r>
      <w:r w:rsidRPr="002C1B3A">
        <w:rPr>
          <w:rFonts w:cs="Times New Roman"/>
          <w:i/>
          <w:lang w:val="fr-CA"/>
        </w:rPr>
        <w:t>WHSCA</w:t>
      </w:r>
      <w:r w:rsidRPr="002C1B3A">
        <w:rPr>
          <w:rFonts w:cs="Times New Roman"/>
          <w:lang w:val="fr-CA"/>
        </w:rPr>
        <w:t xml:space="preserve"> était inapplicable en raison de la doctrine de l</w:t>
      </w:r>
      <w:r>
        <w:rPr>
          <w:rFonts w:cs="Times New Roman"/>
          <w:lang w:val="fr-CA"/>
        </w:rPr>
        <w:t>’</w:t>
      </w:r>
      <w:r w:rsidRPr="002C1B3A">
        <w:rPr>
          <w:rFonts w:cs="Times New Roman"/>
          <w:lang w:val="fr-CA"/>
        </w:rPr>
        <w:t xml:space="preserve">exclusivité des compétences et inopérante par application de la doctrine de la prépondérance des lois fédérales ou prépondérance fédérale.  </w:t>
      </w:r>
    </w:p>
    <w:p w:rsidR="00931170" w:rsidRPr="002C1B3A" w:rsidRDefault="00931170" w:rsidP="00931170">
      <w:pPr>
        <w:pStyle w:val="ParaNoNdepar-AltN"/>
        <w:rPr>
          <w:rFonts w:cs="Times New Roman"/>
          <w:lang w:val="fr-CA"/>
        </w:rPr>
      </w:pPr>
      <w:r w:rsidRPr="002C1B3A">
        <w:rPr>
          <w:rFonts w:cs="Times New Roman"/>
          <w:lang w:val="fr-CA"/>
        </w:rPr>
        <w:t>Nous sommes d</w:t>
      </w:r>
      <w:r>
        <w:rPr>
          <w:rFonts w:cs="Times New Roman"/>
          <w:lang w:val="fr-CA"/>
        </w:rPr>
        <w:t>’</w:t>
      </w:r>
      <w:r w:rsidRPr="002C1B3A">
        <w:rPr>
          <w:rFonts w:cs="Times New Roman"/>
          <w:lang w:val="fr-CA"/>
        </w:rPr>
        <w:t>avis d</w:t>
      </w:r>
      <w:r>
        <w:rPr>
          <w:rFonts w:cs="Times New Roman"/>
          <w:lang w:val="fr-CA"/>
        </w:rPr>
        <w:t>’</w:t>
      </w:r>
      <w:r w:rsidRPr="002C1B3A">
        <w:rPr>
          <w:rFonts w:cs="Times New Roman"/>
          <w:lang w:val="fr-CA"/>
        </w:rPr>
        <w:t>accueillir le pourvoi.  L</w:t>
      </w:r>
      <w:r>
        <w:rPr>
          <w:rFonts w:cs="Times New Roman"/>
          <w:lang w:val="fr-CA"/>
        </w:rPr>
        <w:t>’</w:t>
      </w:r>
      <w:r w:rsidRPr="002C1B3A">
        <w:rPr>
          <w:rFonts w:cs="Times New Roman"/>
          <w:lang w:val="fr-CA"/>
        </w:rPr>
        <w:t xml:space="preserve">article 44 </w:t>
      </w:r>
      <w:r w:rsidR="00E30B35">
        <w:rPr>
          <w:rFonts w:cs="Times New Roman"/>
          <w:lang w:val="fr-CA"/>
        </w:rPr>
        <w:t xml:space="preserve">de la </w:t>
      </w:r>
      <w:r w:rsidR="00E30B35" w:rsidRPr="00E30B35">
        <w:rPr>
          <w:rFonts w:cs="Times New Roman"/>
          <w:i/>
          <w:lang w:val="fr-CA"/>
        </w:rPr>
        <w:t>WHSCA</w:t>
      </w:r>
      <w:r w:rsidR="00E30B35">
        <w:rPr>
          <w:rFonts w:cs="Times New Roman"/>
          <w:lang w:val="fr-CA"/>
        </w:rPr>
        <w:t xml:space="preserve"> </w:t>
      </w:r>
      <w:r w:rsidRPr="002C1B3A">
        <w:rPr>
          <w:rFonts w:cs="Times New Roman"/>
          <w:lang w:val="fr-CA"/>
        </w:rPr>
        <w:t>s</w:t>
      </w:r>
      <w:r>
        <w:rPr>
          <w:rFonts w:cs="Times New Roman"/>
          <w:lang w:val="fr-CA"/>
        </w:rPr>
        <w:t>’</w:t>
      </w:r>
      <w:r w:rsidRPr="002C1B3A">
        <w:rPr>
          <w:rFonts w:cs="Times New Roman"/>
          <w:lang w:val="fr-CA"/>
        </w:rPr>
        <w:t>applique et il est à la fois applicable et opérant sur le plan constitutionnel.  L</w:t>
      </w:r>
      <w:r>
        <w:rPr>
          <w:rFonts w:cs="Times New Roman"/>
          <w:lang w:val="fr-CA"/>
        </w:rPr>
        <w:t>’</w:t>
      </w:r>
      <w:r w:rsidRPr="002C1B3A">
        <w:rPr>
          <w:rFonts w:cs="Times New Roman"/>
          <w:lang w:val="fr-CA"/>
        </w:rPr>
        <w:t>action en négligence doit donc être rejetée.</w:t>
      </w:r>
    </w:p>
    <w:p w:rsidR="00931170" w:rsidRPr="002C1B3A" w:rsidRDefault="00931170" w:rsidP="00FB265C">
      <w:pPr>
        <w:pStyle w:val="TitleTitre-AltT"/>
        <w:keepNext/>
        <w:tabs>
          <w:tab w:val="clear" w:pos="360"/>
          <w:tab w:val="left" w:pos="540"/>
        </w:tabs>
        <w:ind w:left="540" w:hanging="540"/>
        <w:rPr>
          <w:rFonts w:cs="Times New Roman"/>
          <w:u w:val="single"/>
          <w:lang w:val="fr-CA"/>
        </w:rPr>
      </w:pPr>
      <w:r w:rsidRPr="002C1B3A">
        <w:rPr>
          <w:rFonts w:cs="Times New Roman"/>
          <w:lang w:val="fr-CA"/>
        </w:rPr>
        <w:lastRenderedPageBreak/>
        <w:t>II.</w:t>
      </w:r>
      <w:r w:rsidRPr="002C1B3A">
        <w:rPr>
          <w:rFonts w:cs="Times New Roman"/>
          <w:lang w:val="fr-CA"/>
        </w:rPr>
        <w:tab/>
      </w:r>
      <w:r w:rsidRPr="002C1B3A">
        <w:rPr>
          <w:rFonts w:cs="Times New Roman"/>
          <w:u w:val="single"/>
          <w:lang w:val="fr-CA"/>
        </w:rPr>
        <w:t>Contexte factuel</w:t>
      </w:r>
    </w:p>
    <w:p w:rsidR="00931170" w:rsidRPr="002C1B3A" w:rsidRDefault="00931170" w:rsidP="00931170">
      <w:pPr>
        <w:pStyle w:val="ParaNoNdepar-AltN"/>
        <w:rPr>
          <w:rFonts w:cs="Times New Roman"/>
          <w:lang w:val="fr-CA"/>
        </w:rPr>
      </w:pPr>
      <w:r w:rsidRPr="002C1B3A">
        <w:rPr>
          <w:rFonts w:cs="Times New Roman"/>
          <w:lang w:val="fr-CA"/>
        </w:rPr>
        <w:t xml:space="preserve">Deux frères, Joseph et David Ryan (les « frères Ryan »), ont tragiquement perdu la vie le 19 septembre 2004, lorsque leur bateau, le </w:t>
      </w:r>
      <w:r w:rsidRPr="002C1B3A">
        <w:rPr>
          <w:rFonts w:cs="Times New Roman"/>
          <w:i/>
          <w:lang w:val="fr-CA"/>
        </w:rPr>
        <w:t>Ryan</w:t>
      </w:r>
      <w:r>
        <w:rPr>
          <w:rFonts w:cs="Times New Roman"/>
          <w:i/>
          <w:lang w:val="fr-CA"/>
        </w:rPr>
        <w:t>’</w:t>
      </w:r>
      <w:r w:rsidRPr="002C1B3A">
        <w:rPr>
          <w:rFonts w:cs="Times New Roman"/>
          <w:i/>
          <w:lang w:val="fr-CA"/>
        </w:rPr>
        <w:t>s Commander</w:t>
      </w:r>
      <w:r w:rsidRPr="002C1B3A">
        <w:rPr>
          <w:rFonts w:cs="Times New Roman"/>
          <w:lang w:val="fr-CA"/>
        </w:rPr>
        <w:t>, a chaviré au retour d</w:t>
      </w:r>
      <w:r>
        <w:rPr>
          <w:rFonts w:cs="Times New Roman"/>
          <w:lang w:val="fr-CA"/>
        </w:rPr>
        <w:t>’</w:t>
      </w:r>
      <w:r w:rsidRPr="002C1B3A">
        <w:rPr>
          <w:rFonts w:cs="Times New Roman"/>
          <w:lang w:val="fr-CA"/>
        </w:rPr>
        <w:t>une expédition de pêche au large des côtes de Terre</w:t>
      </w:r>
      <w:r w:rsidRPr="002C1B3A">
        <w:rPr>
          <w:rFonts w:cs="Times New Roman"/>
          <w:lang w:val="fr-CA"/>
        </w:rPr>
        <w:noBreakHyphen/>
        <w:t>Neuve</w:t>
      </w:r>
      <w:r w:rsidRPr="002C1B3A">
        <w:rPr>
          <w:rFonts w:cs="Times New Roman"/>
          <w:lang w:val="fr-CA"/>
        </w:rPr>
        <w:noBreakHyphen/>
        <w:t>et</w:t>
      </w:r>
      <w:r w:rsidRPr="002C1B3A">
        <w:rPr>
          <w:rFonts w:cs="Times New Roman"/>
          <w:lang w:val="fr-CA"/>
        </w:rPr>
        <w:noBreakHyphen/>
        <w:t xml:space="preserve">Labrador.  Les veuves et les enfants à la charge des frères Ryan (les « successions Ryan ») ont demandé et reçu des indemnités au titre de la </w:t>
      </w:r>
      <w:r w:rsidRPr="002C1B3A">
        <w:rPr>
          <w:rFonts w:cs="Times New Roman"/>
          <w:i/>
          <w:lang w:val="fr-CA"/>
        </w:rPr>
        <w:t>WHSCA</w:t>
      </w:r>
      <w:r w:rsidRPr="002C1B3A">
        <w:rPr>
          <w:rFonts w:cs="Times New Roman"/>
          <w:lang w:val="fr-CA"/>
        </w:rPr>
        <w:t>.</w:t>
      </w:r>
    </w:p>
    <w:p w:rsidR="00931170" w:rsidRPr="002C1B3A" w:rsidRDefault="00931170" w:rsidP="00931170">
      <w:pPr>
        <w:pStyle w:val="ParaNoNdepar-AltN"/>
        <w:rPr>
          <w:rFonts w:cs="Times New Roman"/>
          <w:lang w:val="fr-CA"/>
        </w:rPr>
      </w:pPr>
      <w:r w:rsidRPr="002C1B3A">
        <w:rPr>
          <w:rFonts w:cs="Times New Roman"/>
          <w:lang w:val="fr-CA"/>
        </w:rPr>
        <w:t>S</w:t>
      </w:r>
      <w:r>
        <w:rPr>
          <w:rFonts w:cs="Times New Roman"/>
          <w:lang w:val="fr-CA"/>
        </w:rPr>
        <w:t>’</w:t>
      </w:r>
      <w:r w:rsidRPr="002C1B3A">
        <w:rPr>
          <w:rFonts w:cs="Times New Roman"/>
          <w:lang w:val="fr-CA"/>
        </w:rPr>
        <w:t xml:space="preserve">appuyant sur la </w:t>
      </w:r>
      <w:r w:rsidRPr="002C1B3A">
        <w:rPr>
          <w:rFonts w:cs="Times New Roman"/>
          <w:i/>
          <w:lang w:val="fr-CA"/>
        </w:rPr>
        <w:t>LRMM</w:t>
      </w:r>
      <w:r w:rsidRPr="002C1B3A">
        <w:rPr>
          <w:rFonts w:cs="Times New Roman"/>
          <w:lang w:val="fr-CA"/>
        </w:rPr>
        <w:t>, les successions Ryan ont également intenté, en 2006, une action contre Universal Marine Limited (« Universal Marine »), Marine Services International Limited (« Marine Services ») et David Porter, un employé de cette dernière, leur reprochant d</w:t>
      </w:r>
      <w:r>
        <w:rPr>
          <w:rFonts w:cs="Times New Roman"/>
          <w:lang w:val="fr-CA"/>
        </w:rPr>
        <w:t>’</w:t>
      </w:r>
      <w:r w:rsidRPr="002C1B3A">
        <w:rPr>
          <w:rFonts w:cs="Times New Roman"/>
          <w:lang w:val="fr-CA"/>
        </w:rPr>
        <w:t xml:space="preserve">avoir fait montre de négligence dans la conception et la construction du </w:t>
      </w:r>
      <w:r w:rsidRPr="002C1B3A">
        <w:rPr>
          <w:rFonts w:cs="Times New Roman"/>
          <w:i/>
          <w:lang w:val="fr-CA"/>
        </w:rPr>
        <w:t>Ryan</w:t>
      </w:r>
      <w:r>
        <w:rPr>
          <w:rFonts w:cs="Times New Roman"/>
          <w:i/>
          <w:lang w:val="fr-CA"/>
        </w:rPr>
        <w:t>’</w:t>
      </w:r>
      <w:r w:rsidRPr="002C1B3A">
        <w:rPr>
          <w:rFonts w:cs="Times New Roman"/>
          <w:i/>
          <w:lang w:val="fr-CA"/>
        </w:rPr>
        <w:t>s Commander</w:t>
      </w:r>
      <w:r w:rsidRPr="002C1B3A">
        <w:rPr>
          <w:rFonts w:cs="Times New Roman"/>
          <w:lang w:val="fr-CA"/>
        </w:rPr>
        <w:t>, que les frères Ryan avaient commandé en 2003.  L</w:t>
      </w:r>
      <w:r>
        <w:rPr>
          <w:rFonts w:cs="Times New Roman"/>
          <w:lang w:val="fr-CA"/>
        </w:rPr>
        <w:t>’</w:t>
      </w:r>
      <w:r w:rsidRPr="002C1B3A">
        <w:rPr>
          <w:rFonts w:cs="Times New Roman"/>
          <w:lang w:val="fr-CA"/>
        </w:rPr>
        <w:t>action visait également le procureur général du Canada, pour le motif qu</w:t>
      </w:r>
      <w:r>
        <w:rPr>
          <w:rFonts w:cs="Times New Roman"/>
          <w:lang w:val="fr-CA"/>
        </w:rPr>
        <w:t>’</w:t>
      </w:r>
      <w:r w:rsidRPr="002C1B3A">
        <w:rPr>
          <w:rFonts w:cs="Times New Roman"/>
          <w:lang w:val="fr-CA"/>
        </w:rPr>
        <w:t>il y aurait eu négligence de la part de Transports Canada dans l</w:t>
      </w:r>
      <w:r>
        <w:rPr>
          <w:rFonts w:cs="Times New Roman"/>
          <w:lang w:val="fr-CA"/>
        </w:rPr>
        <w:t>’</w:t>
      </w:r>
      <w:r w:rsidRPr="002C1B3A">
        <w:rPr>
          <w:rFonts w:cs="Times New Roman"/>
          <w:lang w:val="fr-CA"/>
        </w:rPr>
        <w:t>inspection du bateau.  Les successions Ryan ont indiqué que, si leur action en négligence était accueillie, la</w:t>
      </w:r>
      <w:r w:rsidRPr="002C1B3A">
        <w:rPr>
          <w:rFonts w:cs="Times New Roman"/>
          <w:i/>
          <w:lang w:val="fr-CA"/>
        </w:rPr>
        <w:t xml:space="preserve"> </w:t>
      </w:r>
      <w:r w:rsidRPr="00FB265C">
        <w:rPr>
          <w:rFonts w:cs="Times New Roman"/>
          <w:lang w:val="fr-CA"/>
        </w:rPr>
        <w:t>Workplace Health, Safety and Compensation Commission</w:t>
      </w:r>
      <w:r w:rsidRPr="002C1B3A">
        <w:rPr>
          <w:rFonts w:cs="Times New Roman"/>
          <w:lang w:val="fr-CA"/>
        </w:rPr>
        <w:t xml:space="preserve"> (« Commission ») solliciterait le remboursement des indemnités qu</w:t>
      </w:r>
      <w:r>
        <w:rPr>
          <w:rFonts w:cs="Times New Roman"/>
          <w:lang w:val="fr-CA"/>
        </w:rPr>
        <w:t>’</w:t>
      </w:r>
      <w:r w:rsidRPr="002C1B3A">
        <w:rPr>
          <w:rFonts w:cs="Times New Roman"/>
          <w:lang w:val="fr-CA"/>
        </w:rPr>
        <w:t xml:space="preserve">elles ont reçues en application de la </w:t>
      </w:r>
      <w:r w:rsidRPr="002C1B3A">
        <w:rPr>
          <w:rFonts w:cs="Times New Roman"/>
          <w:i/>
          <w:lang w:val="fr-CA"/>
        </w:rPr>
        <w:t>WHSCA</w:t>
      </w:r>
      <w:r w:rsidRPr="002C1B3A">
        <w:rPr>
          <w:rFonts w:cs="Times New Roman"/>
          <w:lang w:val="fr-CA"/>
        </w:rPr>
        <w:t>.</w:t>
      </w:r>
    </w:p>
    <w:p w:rsidR="00931170" w:rsidRPr="002C1B3A" w:rsidRDefault="00931170" w:rsidP="00931170">
      <w:pPr>
        <w:pStyle w:val="ParaNoNdepar-AltN"/>
        <w:rPr>
          <w:rFonts w:cs="Times New Roman"/>
          <w:lang w:val="fr-CA"/>
        </w:rPr>
      </w:pPr>
      <w:r w:rsidRPr="002C1B3A">
        <w:rPr>
          <w:rFonts w:cs="Times New Roman"/>
          <w:lang w:val="fr-CA"/>
        </w:rPr>
        <w:t>Marine Services et M. Porter ont demandé à la Commission, en vertu de l</w:t>
      </w:r>
      <w:r>
        <w:rPr>
          <w:rFonts w:cs="Times New Roman"/>
          <w:lang w:val="fr-CA"/>
        </w:rPr>
        <w:t>’</w:t>
      </w:r>
      <w:r w:rsidRPr="002C1B3A">
        <w:rPr>
          <w:rFonts w:cs="Times New Roman"/>
          <w:lang w:val="fr-CA"/>
        </w:rPr>
        <w:t xml:space="preserve">art. 46 de la </w:t>
      </w:r>
      <w:r w:rsidRPr="002C1B3A">
        <w:rPr>
          <w:rFonts w:cs="Times New Roman"/>
          <w:i/>
          <w:lang w:val="fr-CA"/>
        </w:rPr>
        <w:t>WHSCA</w:t>
      </w:r>
      <w:r w:rsidRPr="002C1B3A">
        <w:rPr>
          <w:rFonts w:cs="Times New Roman"/>
          <w:lang w:val="fr-CA"/>
        </w:rPr>
        <w:t>,</w:t>
      </w:r>
      <w:r w:rsidRPr="002C1B3A">
        <w:rPr>
          <w:rFonts w:cs="Times New Roman"/>
          <w:i/>
          <w:lang w:val="fr-CA"/>
        </w:rPr>
        <w:t xml:space="preserve"> </w:t>
      </w:r>
      <w:r w:rsidRPr="002C1B3A">
        <w:rPr>
          <w:rFonts w:cs="Times New Roman"/>
          <w:lang w:val="fr-CA"/>
        </w:rPr>
        <w:t>de décider si l</w:t>
      </w:r>
      <w:r>
        <w:rPr>
          <w:rFonts w:cs="Times New Roman"/>
          <w:lang w:val="fr-CA"/>
        </w:rPr>
        <w:t>’</w:t>
      </w:r>
      <w:r w:rsidRPr="002C1B3A">
        <w:rPr>
          <w:rFonts w:cs="Times New Roman"/>
          <w:lang w:val="fr-CA"/>
        </w:rPr>
        <w:t>action des successions Ryan tombait sous le coup de l</w:t>
      </w:r>
      <w:r>
        <w:rPr>
          <w:rFonts w:cs="Times New Roman"/>
          <w:lang w:val="fr-CA"/>
        </w:rPr>
        <w:t>’</w:t>
      </w:r>
      <w:r w:rsidRPr="002C1B3A">
        <w:rPr>
          <w:rFonts w:cs="Times New Roman"/>
          <w:lang w:val="fr-CA"/>
        </w:rPr>
        <w:t>interdiction légale de poursuites prévue à l</w:t>
      </w:r>
      <w:r>
        <w:rPr>
          <w:rFonts w:cs="Times New Roman"/>
          <w:lang w:val="fr-CA"/>
        </w:rPr>
        <w:t>’</w:t>
      </w:r>
      <w:r w:rsidRPr="002C1B3A">
        <w:rPr>
          <w:rFonts w:cs="Times New Roman"/>
          <w:lang w:val="fr-CA"/>
        </w:rPr>
        <w:t>art. 44 de cette même loi.  La Commission a conclu que cette disposition avait pour effet de prohiber l</w:t>
      </w:r>
      <w:r>
        <w:rPr>
          <w:rFonts w:cs="Times New Roman"/>
          <w:lang w:val="fr-CA"/>
        </w:rPr>
        <w:t>’</w:t>
      </w:r>
      <w:r w:rsidRPr="002C1B3A">
        <w:rPr>
          <w:rFonts w:cs="Times New Roman"/>
          <w:lang w:val="fr-CA"/>
        </w:rPr>
        <w:t xml:space="preserve">action.  </w:t>
      </w:r>
      <w:r w:rsidRPr="002C1B3A">
        <w:rPr>
          <w:rFonts w:cs="Times New Roman"/>
          <w:lang w:val="fr-CA"/>
        </w:rPr>
        <w:lastRenderedPageBreak/>
        <w:t xml:space="preserve">Selon elle, la </w:t>
      </w:r>
      <w:r w:rsidRPr="002C1B3A">
        <w:rPr>
          <w:rFonts w:cs="Times New Roman"/>
          <w:i/>
          <w:lang w:val="fr-CA"/>
        </w:rPr>
        <w:t>WHSCA</w:t>
      </w:r>
      <w:r w:rsidRPr="002C1B3A">
        <w:rPr>
          <w:rFonts w:cs="Times New Roman"/>
          <w:lang w:val="fr-CA"/>
        </w:rPr>
        <w:t xml:space="preserve"> s</w:t>
      </w:r>
      <w:r>
        <w:rPr>
          <w:rFonts w:cs="Times New Roman"/>
          <w:lang w:val="fr-CA"/>
        </w:rPr>
        <w:t>’</w:t>
      </w:r>
      <w:r w:rsidRPr="002C1B3A">
        <w:rPr>
          <w:rFonts w:cs="Times New Roman"/>
          <w:lang w:val="fr-CA"/>
        </w:rPr>
        <w:t>appliquait, parce que les frères Ryan avaient perdu la vie dans l</w:t>
      </w:r>
      <w:r>
        <w:rPr>
          <w:rFonts w:cs="Times New Roman"/>
          <w:lang w:val="fr-CA"/>
        </w:rPr>
        <w:t>’</w:t>
      </w:r>
      <w:r w:rsidRPr="002C1B3A">
        <w:rPr>
          <w:rFonts w:cs="Times New Roman"/>
          <w:lang w:val="fr-CA"/>
        </w:rPr>
        <w:t>exercice de leurs fonctions, et parce que Universal Marine, Marine Services et le procureur général du Canada sont des [</w:t>
      </w:r>
      <w:r w:rsidRPr="002C1B3A">
        <w:rPr>
          <w:rFonts w:cs="Times New Roman"/>
          <w:smallCaps/>
          <w:lang w:val="fr-CA"/>
        </w:rPr>
        <w:t>traduction</w:t>
      </w:r>
      <w:r w:rsidRPr="002C1B3A">
        <w:rPr>
          <w:rFonts w:cs="Times New Roman"/>
          <w:lang w:val="fr-CA"/>
        </w:rPr>
        <w:t>] « employeurs » et David Porter un « travailleur » au sens de l</w:t>
      </w:r>
      <w:r>
        <w:rPr>
          <w:rFonts w:cs="Times New Roman"/>
          <w:lang w:val="fr-CA"/>
        </w:rPr>
        <w:t>’</w:t>
      </w:r>
      <w:r w:rsidRPr="002C1B3A">
        <w:rPr>
          <w:rFonts w:cs="Times New Roman"/>
          <w:lang w:val="fr-CA"/>
        </w:rPr>
        <w:t>art. 2 de cette loi.  La Commission a statué que les doctrines constitutionnelles de l</w:t>
      </w:r>
      <w:r>
        <w:rPr>
          <w:rFonts w:cs="Times New Roman"/>
          <w:lang w:val="fr-CA"/>
        </w:rPr>
        <w:t>’</w:t>
      </w:r>
      <w:r w:rsidRPr="002C1B3A">
        <w:rPr>
          <w:rFonts w:cs="Times New Roman"/>
          <w:lang w:val="fr-CA"/>
        </w:rPr>
        <w:t>exclusivité des compétences et de la prépondérance fédérale ne s</w:t>
      </w:r>
      <w:r>
        <w:rPr>
          <w:rFonts w:cs="Times New Roman"/>
          <w:lang w:val="fr-CA"/>
        </w:rPr>
        <w:t>’</w:t>
      </w:r>
      <w:r w:rsidRPr="002C1B3A">
        <w:rPr>
          <w:rFonts w:cs="Times New Roman"/>
          <w:lang w:val="fr-CA"/>
        </w:rPr>
        <w:t xml:space="preserve">appliquaient pas. </w:t>
      </w:r>
    </w:p>
    <w:p w:rsidR="00931170" w:rsidRPr="002C1B3A" w:rsidRDefault="00931170" w:rsidP="00FB265C">
      <w:pPr>
        <w:pStyle w:val="TitleTitre-AltT"/>
        <w:keepNext/>
        <w:tabs>
          <w:tab w:val="clear" w:pos="360"/>
          <w:tab w:val="left" w:pos="540"/>
        </w:tabs>
        <w:ind w:left="540" w:hanging="540"/>
        <w:rPr>
          <w:rFonts w:cs="Times New Roman"/>
          <w:lang w:val="fr-CA"/>
        </w:rPr>
      </w:pPr>
      <w:r w:rsidRPr="002C1B3A">
        <w:rPr>
          <w:rFonts w:cs="Times New Roman"/>
          <w:lang w:val="fr-CA"/>
        </w:rPr>
        <w:t>III.</w:t>
      </w:r>
      <w:r w:rsidRPr="002C1B3A">
        <w:rPr>
          <w:rFonts w:cs="Times New Roman"/>
          <w:lang w:val="fr-CA"/>
        </w:rPr>
        <w:tab/>
      </w:r>
      <w:r w:rsidRPr="002C1B3A">
        <w:rPr>
          <w:rFonts w:cs="Times New Roman"/>
          <w:u w:val="single"/>
          <w:lang w:val="fr-CA"/>
        </w:rPr>
        <w:t>Historique des procédures judiciaires</w:t>
      </w:r>
    </w:p>
    <w:p w:rsidR="00931170" w:rsidRPr="002C1B3A" w:rsidRDefault="00931170" w:rsidP="00FB265C">
      <w:pPr>
        <w:pStyle w:val="TitleTitre-AltT"/>
        <w:keepNext/>
        <w:tabs>
          <w:tab w:val="clear" w:pos="360"/>
          <w:tab w:val="left" w:pos="540"/>
        </w:tabs>
        <w:ind w:left="540" w:hanging="540"/>
        <w:rPr>
          <w:rFonts w:cs="Times New Roman"/>
          <w:i/>
          <w:lang w:val="fr-CA"/>
        </w:rPr>
      </w:pPr>
      <w:r w:rsidRPr="002C1B3A">
        <w:rPr>
          <w:rFonts w:cs="Times New Roman"/>
          <w:lang w:val="fr-CA"/>
        </w:rPr>
        <w:t>A.</w:t>
      </w:r>
      <w:r w:rsidRPr="002C1B3A">
        <w:rPr>
          <w:rFonts w:cs="Times New Roman"/>
          <w:lang w:val="fr-CA"/>
        </w:rPr>
        <w:tab/>
      </w:r>
      <w:r w:rsidRPr="002C1B3A">
        <w:rPr>
          <w:rFonts w:cs="Times New Roman"/>
          <w:i/>
          <w:lang w:val="fr-CA"/>
        </w:rPr>
        <w:t>Cour suprême de Terre</w:t>
      </w:r>
      <w:r w:rsidRPr="002C1B3A">
        <w:rPr>
          <w:rFonts w:cs="Times New Roman"/>
          <w:i/>
          <w:lang w:val="fr-CA"/>
        </w:rPr>
        <w:noBreakHyphen/>
        <w:t>Neuve</w:t>
      </w:r>
      <w:r w:rsidRPr="002C1B3A">
        <w:rPr>
          <w:rFonts w:cs="Times New Roman"/>
          <w:i/>
          <w:lang w:val="fr-CA"/>
        </w:rPr>
        <w:noBreakHyphen/>
        <w:t>et</w:t>
      </w:r>
      <w:r w:rsidRPr="002C1B3A">
        <w:rPr>
          <w:rFonts w:cs="Times New Roman"/>
          <w:i/>
          <w:lang w:val="fr-CA"/>
        </w:rPr>
        <w:noBreakHyphen/>
        <w:t>Labrador — Section de première instance (le juge Hall), 2009 NLTD 120, 289 Nfld. &amp; P.E.I.R. 198</w:t>
      </w:r>
    </w:p>
    <w:p w:rsidR="00931170" w:rsidRPr="002C1B3A" w:rsidRDefault="00931170" w:rsidP="00931170">
      <w:pPr>
        <w:pStyle w:val="ParaNoNdepar-AltN"/>
        <w:rPr>
          <w:rFonts w:cs="Times New Roman"/>
          <w:lang w:val="fr-CA"/>
        </w:rPr>
      </w:pPr>
      <w:r w:rsidRPr="002C1B3A">
        <w:rPr>
          <w:rFonts w:cs="Times New Roman"/>
          <w:lang w:val="fr-CA"/>
        </w:rPr>
        <w:t>À l</w:t>
      </w:r>
      <w:r>
        <w:rPr>
          <w:rFonts w:cs="Times New Roman"/>
          <w:lang w:val="fr-CA"/>
        </w:rPr>
        <w:t>’</w:t>
      </w:r>
      <w:r w:rsidRPr="002C1B3A">
        <w:rPr>
          <w:rFonts w:cs="Times New Roman"/>
          <w:lang w:val="fr-CA"/>
        </w:rPr>
        <w:t>issue d</w:t>
      </w:r>
      <w:r>
        <w:rPr>
          <w:rFonts w:cs="Times New Roman"/>
          <w:lang w:val="fr-CA"/>
        </w:rPr>
        <w:t>’</w:t>
      </w:r>
      <w:r w:rsidRPr="002C1B3A">
        <w:rPr>
          <w:rFonts w:cs="Times New Roman"/>
          <w:lang w:val="fr-CA"/>
        </w:rPr>
        <w:t xml:space="preserve">un contrôle judiciaire, le juge Hall a infirmé la décision de la Commission.  Il a statué que la </w:t>
      </w:r>
      <w:r w:rsidRPr="002C1B3A">
        <w:rPr>
          <w:rFonts w:cs="Times New Roman"/>
          <w:i/>
          <w:lang w:val="fr-CA"/>
        </w:rPr>
        <w:t>WHSCA</w:t>
      </w:r>
      <w:r w:rsidRPr="002C1B3A">
        <w:rPr>
          <w:rFonts w:cs="Times New Roman"/>
          <w:lang w:val="fr-CA"/>
        </w:rPr>
        <w:t xml:space="preserve"> était, de par son caractère véritable, un régime d</w:t>
      </w:r>
      <w:r>
        <w:rPr>
          <w:rFonts w:cs="Times New Roman"/>
          <w:lang w:val="fr-CA"/>
        </w:rPr>
        <w:t>’</w:t>
      </w:r>
      <w:r w:rsidRPr="002C1B3A">
        <w:rPr>
          <w:rFonts w:cs="Times New Roman"/>
          <w:lang w:val="fr-CA"/>
        </w:rPr>
        <w:t>assurance.  Il a également jugé que la responsabilité en matière maritime relevait de la compétence exclusive du gouvernement fédéral sur « </w:t>
      </w:r>
      <w:r w:rsidR="00FB265C">
        <w:rPr>
          <w:rFonts w:cs="Times New Roman"/>
          <w:lang w:val="fr-CA"/>
        </w:rPr>
        <w:t>[</w:t>
      </w:r>
      <w:r w:rsidRPr="002C1B3A">
        <w:rPr>
          <w:rFonts w:cs="Times New Roman"/>
          <w:lang w:val="fr-CA"/>
        </w:rPr>
        <w:t>l</w:t>
      </w:r>
      <w:r w:rsidR="00FB265C">
        <w:rPr>
          <w:rFonts w:cs="Times New Roman"/>
          <w:lang w:val="fr-CA"/>
        </w:rPr>
        <w:t>]</w:t>
      </w:r>
      <w:r w:rsidRPr="002C1B3A">
        <w:rPr>
          <w:rFonts w:cs="Times New Roman"/>
          <w:lang w:val="fr-CA"/>
        </w:rPr>
        <w:t xml:space="preserve">a navigation et les bâtiments ou navires » prévue au par. 91(10) de la </w:t>
      </w:r>
      <w:r w:rsidRPr="002C1B3A">
        <w:rPr>
          <w:rFonts w:cs="Times New Roman"/>
          <w:i/>
          <w:lang w:val="fr-CA"/>
        </w:rPr>
        <w:t>Loi constitutionnelle de 1867</w:t>
      </w:r>
      <w:r w:rsidRPr="002C1B3A">
        <w:rPr>
          <w:rFonts w:cs="Times New Roman"/>
          <w:lang w:val="fr-CA"/>
        </w:rPr>
        <w:t>.  De l</w:t>
      </w:r>
      <w:r>
        <w:rPr>
          <w:rFonts w:cs="Times New Roman"/>
          <w:lang w:val="fr-CA"/>
        </w:rPr>
        <w:t>’</w:t>
      </w:r>
      <w:r w:rsidRPr="002C1B3A">
        <w:rPr>
          <w:rFonts w:cs="Times New Roman"/>
          <w:lang w:val="fr-CA"/>
        </w:rPr>
        <w:t xml:space="preserve">avis du juge Hall, le droit de présenter une réclamation sous le régime de la </w:t>
      </w:r>
      <w:r w:rsidRPr="002C1B3A">
        <w:rPr>
          <w:rFonts w:cs="Times New Roman"/>
          <w:i/>
          <w:lang w:val="fr-CA"/>
        </w:rPr>
        <w:t>LRMM</w:t>
      </w:r>
      <w:r w:rsidRPr="002C1B3A">
        <w:rPr>
          <w:rFonts w:cs="Times New Roman"/>
          <w:lang w:val="fr-CA"/>
        </w:rPr>
        <w:t xml:space="preserve"> constitue une caractéristique essentielle de cette compétence fédérale.</w:t>
      </w:r>
    </w:p>
    <w:p w:rsidR="00931170" w:rsidRPr="002C1B3A" w:rsidRDefault="00931170" w:rsidP="00931170">
      <w:pPr>
        <w:pStyle w:val="ParaNoNdepar-AltN"/>
        <w:rPr>
          <w:rFonts w:cs="Times New Roman"/>
          <w:lang w:val="fr-CA"/>
        </w:rPr>
      </w:pPr>
      <w:r w:rsidRPr="002C1B3A">
        <w:rPr>
          <w:rFonts w:cs="Times New Roman"/>
          <w:lang w:val="fr-CA"/>
        </w:rPr>
        <w:t>Le juge Hall a conclu que la doctrine de l</w:t>
      </w:r>
      <w:r>
        <w:rPr>
          <w:rFonts w:cs="Times New Roman"/>
          <w:lang w:val="fr-CA"/>
        </w:rPr>
        <w:t>’</w:t>
      </w:r>
      <w:r w:rsidRPr="002C1B3A">
        <w:rPr>
          <w:rFonts w:cs="Times New Roman"/>
          <w:lang w:val="fr-CA"/>
        </w:rPr>
        <w:t>exclusivité des compétences s</w:t>
      </w:r>
      <w:r>
        <w:rPr>
          <w:rFonts w:cs="Times New Roman"/>
          <w:lang w:val="fr-CA"/>
        </w:rPr>
        <w:t>’</w:t>
      </w:r>
      <w:r w:rsidRPr="002C1B3A">
        <w:rPr>
          <w:rFonts w:cs="Times New Roman"/>
          <w:lang w:val="fr-CA"/>
        </w:rPr>
        <w:t>appliquait.  Selon lui, l</w:t>
      </w:r>
      <w:r>
        <w:rPr>
          <w:rFonts w:cs="Times New Roman"/>
          <w:lang w:val="fr-CA"/>
        </w:rPr>
        <w:t>’</w:t>
      </w:r>
      <w:r w:rsidRPr="002C1B3A">
        <w:rPr>
          <w:rFonts w:cs="Times New Roman"/>
          <w:lang w:val="fr-CA"/>
        </w:rPr>
        <w:t>interdiction légale de poursuites édictée à l</w:t>
      </w:r>
      <w:r>
        <w:rPr>
          <w:rFonts w:cs="Times New Roman"/>
          <w:lang w:val="fr-CA"/>
        </w:rPr>
        <w:t>’</w:t>
      </w:r>
      <w:r w:rsidRPr="002C1B3A">
        <w:rPr>
          <w:rFonts w:cs="Times New Roman"/>
          <w:lang w:val="fr-CA"/>
        </w:rPr>
        <w:t xml:space="preserve">art. 44 de la </w:t>
      </w:r>
      <w:r w:rsidRPr="002C1B3A">
        <w:rPr>
          <w:rFonts w:cs="Times New Roman"/>
          <w:i/>
          <w:lang w:val="fr-CA"/>
        </w:rPr>
        <w:t>WHSCA</w:t>
      </w:r>
      <w:r w:rsidRPr="002C1B3A">
        <w:rPr>
          <w:rFonts w:cs="Times New Roman"/>
          <w:lang w:val="fr-CA"/>
        </w:rPr>
        <w:t xml:space="preserve"> porte atteinte au droit de présenter une réclamation en vertu de la </w:t>
      </w:r>
      <w:r w:rsidRPr="002C1B3A">
        <w:rPr>
          <w:rFonts w:cs="Times New Roman"/>
          <w:i/>
          <w:lang w:val="fr-CA"/>
        </w:rPr>
        <w:t>LRMM</w:t>
      </w:r>
      <w:r w:rsidRPr="002C1B3A">
        <w:rPr>
          <w:rFonts w:cs="Times New Roman"/>
          <w:lang w:val="fr-CA"/>
        </w:rPr>
        <w:t xml:space="preserve">, qui est au cœur de la compétence fédérale sur la navigation et les bâtiments ou navires.  Il </w:t>
      </w:r>
      <w:r w:rsidRPr="002C1B3A">
        <w:rPr>
          <w:rFonts w:cs="Times New Roman"/>
          <w:lang w:val="fr-CA"/>
        </w:rPr>
        <w:lastRenderedPageBreak/>
        <w:t>a donc jugé que l</w:t>
      </w:r>
      <w:r>
        <w:rPr>
          <w:rFonts w:cs="Times New Roman"/>
          <w:lang w:val="fr-CA"/>
        </w:rPr>
        <w:t>’</w:t>
      </w:r>
      <w:r w:rsidRPr="002C1B3A">
        <w:rPr>
          <w:rFonts w:cs="Times New Roman"/>
          <w:lang w:val="fr-CA"/>
        </w:rPr>
        <w:t>art. 44 devait recevoir une interprétation atténuée, qui ne fasse pas obstacle à l</w:t>
      </w:r>
      <w:r>
        <w:rPr>
          <w:rFonts w:cs="Times New Roman"/>
          <w:lang w:val="fr-CA"/>
        </w:rPr>
        <w:t>’</w:t>
      </w:r>
      <w:r w:rsidRPr="002C1B3A">
        <w:rPr>
          <w:rFonts w:cs="Times New Roman"/>
          <w:lang w:val="fr-CA"/>
        </w:rPr>
        <w:t>action introduite par les successions Ryan.</w:t>
      </w:r>
    </w:p>
    <w:p w:rsidR="00931170" w:rsidRPr="002C1B3A" w:rsidRDefault="00931170" w:rsidP="00931170">
      <w:pPr>
        <w:pStyle w:val="ParaNoNdepar-AltN"/>
        <w:rPr>
          <w:rFonts w:cs="Times New Roman"/>
          <w:lang w:val="fr-CA"/>
        </w:rPr>
      </w:pPr>
      <w:r w:rsidRPr="002C1B3A">
        <w:rPr>
          <w:rFonts w:cs="Times New Roman"/>
          <w:lang w:val="fr-CA"/>
        </w:rPr>
        <w:t>Le juge Hall a également conclu à l</w:t>
      </w:r>
      <w:r>
        <w:rPr>
          <w:rFonts w:cs="Times New Roman"/>
          <w:lang w:val="fr-CA"/>
        </w:rPr>
        <w:t>’</w:t>
      </w:r>
      <w:r w:rsidRPr="002C1B3A">
        <w:rPr>
          <w:rFonts w:cs="Times New Roman"/>
          <w:lang w:val="fr-CA"/>
        </w:rPr>
        <w:t xml:space="preserve">application de la doctrine de la prépondérance fédérale, au motif que les successions Ryan ne pouvaient se conformer à la fois à la </w:t>
      </w:r>
      <w:r w:rsidRPr="002C1B3A">
        <w:rPr>
          <w:rFonts w:cs="Times New Roman"/>
          <w:i/>
          <w:lang w:val="fr-CA"/>
        </w:rPr>
        <w:t>LRMM</w:t>
      </w:r>
      <w:r w:rsidRPr="002C1B3A">
        <w:rPr>
          <w:rFonts w:cs="Times New Roman"/>
          <w:lang w:val="fr-CA"/>
        </w:rPr>
        <w:t xml:space="preserve"> et à la </w:t>
      </w:r>
      <w:r w:rsidRPr="002C1B3A">
        <w:rPr>
          <w:rFonts w:cs="Times New Roman"/>
          <w:i/>
          <w:lang w:val="fr-CA"/>
        </w:rPr>
        <w:t>WHSCA</w:t>
      </w:r>
      <w:r w:rsidRPr="002C1B3A">
        <w:rPr>
          <w:rFonts w:cs="Times New Roman"/>
          <w:lang w:val="fr-CA"/>
        </w:rPr>
        <w:t>.  Ce conflit commandait donc une interprétation atténuée de l</w:t>
      </w:r>
      <w:r>
        <w:rPr>
          <w:rFonts w:cs="Times New Roman"/>
          <w:lang w:val="fr-CA"/>
        </w:rPr>
        <w:t>’</w:t>
      </w:r>
      <w:r w:rsidRPr="002C1B3A">
        <w:rPr>
          <w:rFonts w:cs="Times New Roman"/>
          <w:lang w:val="fr-CA"/>
        </w:rPr>
        <w:t>art. 44, de façon que l</w:t>
      </w:r>
      <w:r>
        <w:rPr>
          <w:rFonts w:cs="Times New Roman"/>
          <w:lang w:val="fr-CA"/>
        </w:rPr>
        <w:t>’</w:t>
      </w:r>
      <w:r w:rsidRPr="002C1B3A">
        <w:rPr>
          <w:rFonts w:cs="Times New Roman"/>
          <w:lang w:val="fr-CA"/>
        </w:rPr>
        <w:t>action des successions Ryan puisse suivre son cours.  Par ailleurs, lors de l</w:t>
      </w:r>
      <w:r>
        <w:rPr>
          <w:rFonts w:cs="Times New Roman"/>
          <w:lang w:val="fr-CA"/>
        </w:rPr>
        <w:t>’</w:t>
      </w:r>
      <w:r w:rsidRPr="002C1B3A">
        <w:rPr>
          <w:rFonts w:cs="Times New Roman"/>
          <w:lang w:val="fr-CA"/>
        </w:rPr>
        <w:t>audience tenue dans le cadre de ce contrôle judiciaire, les parties ont reconnu que le procureur général du Canada n</w:t>
      </w:r>
      <w:r>
        <w:rPr>
          <w:rFonts w:cs="Times New Roman"/>
          <w:lang w:val="fr-CA"/>
        </w:rPr>
        <w:t>’</w:t>
      </w:r>
      <w:r w:rsidRPr="002C1B3A">
        <w:rPr>
          <w:rFonts w:cs="Times New Roman"/>
          <w:lang w:val="fr-CA"/>
        </w:rPr>
        <w:t xml:space="preserve">était pas un employeur au sens de la </w:t>
      </w:r>
      <w:r w:rsidRPr="002C1B3A">
        <w:rPr>
          <w:rFonts w:cs="Times New Roman"/>
          <w:i/>
          <w:lang w:val="fr-CA"/>
        </w:rPr>
        <w:t>WHSCA</w:t>
      </w:r>
      <w:r w:rsidRPr="002C1B3A">
        <w:rPr>
          <w:rFonts w:cs="Times New Roman"/>
          <w:lang w:val="fr-CA"/>
        </w:rPr>
        <w:t>.</w:t>
      </w:r>
    </w:p>
    <w:p w:rsidR="00931170" w:rsidRPr="002C1B3A" w:rsidRDefault="00931170" w:rsidP="00FB265C">
      <w:pPr>
        <w:pStyle w:val="TitleTitre-AltT"/>
        <w:keepNext/>
        <w:tabs>
          <w:tab w:val="clear" w:pos="360"/>
          <w:tab w:val="left" w:pos="540"/>
        </w:tabs>
        <w:ind w:left="540" w:hanging="540"/>
        <w:rPr>
          <w:rFonts w:cs="Times New Roman"/>
          <w:i/>
          <w:lang w:val="fr-CA"/>
        </w:rPr>
      </w:pPr>
      <w:r w:rsidRPr="002C1B3A">
        <w:rPr>
          <w:rFonts w:cs="Times New Roman"/>
          <w:lang w:val="fr-CA"/>
        </w:rPr>
        <w:t>B.</w:t>
      </w:r>
      <w:r w:rsidRPr="002C1B3A">
        <w:rPr>
          <w:rFonts w:cs="Times New Roman"/>
          <w:lang w:val="fr-CA"/>
        </w:rPr>
        <w:tab/>
      </w:r>
      <w:r w:rsidRPr="002C1B3A">
        <w:rPr>
          <w:rFonts w:cs="Times New Roman"/>
          <w:i/>
          <w:lang w:val="fr-CA"/>
        </w:rPr>
        <w:t>Cour suprême de Terre</w:t>
      </w:r>
      <w:r w:rsidRPr="002C1B3A">
        <w:rPr>
          <w:rFonts w:cs="Times New Roman"/>
          <w:i/>
          <w:lang w:val="fr-CA"/>
        </w:rPr>
        <w:noBreakHyphen/>
        <w:t>Neuve</w:t>
      </w:r>
      <w:r w:rsidRPr="002C1B3A">
        <w:rPr>
          <w:rFonts w:cs="Times New Roman"/>
          <w:i/>
          <w:lang w:val="fr-CA"/>
        </w:rPr>
        <w:noBreakHyphen/>
        <w:t>et</w:t>
      </w:r>
      <w:r w:rsidRPr="002C1B3A">
        <w:rPr>
          <w:rFonts w:cs="Times New Roman"/>
          <w:i/>
          <w:lang w:val="fr-CA"/>
        </w:rPr>
        <w:noBreakHyphen/>
        <w:t>Labrador — Cour d</w:t>
      </w:r>
      <w:r>
        <w:rPr>
          <w:rFonts w:cs="Times New Roman"/>
          <w:i/>
          <w:lang w:val="fr-CA"/>
        </w:rPr>
        <w:t>’</w:t>
      </w:r>
      <w:r w:rsidR="00BD3B51">
        <w:rPr>
          <w:rFonts w:cs="Times New Roman"/>
          <w:i/>
          <w:lang w:val="fr-CA"/>
        </w:rPr>
        <w:t>appel (le juge en chef Green</w:t>
      </w:r>
      <w:r w:rsidRPr="002C1B3A">
        <w:rPr>
          <w:rFonts w:cs="Times New Roman"/>
          <w:i/>
          <w:lang w:val="fr-CA"/>
        </w:rPr>
        <w:t xml:space="preserve"> et les juges Welsh et Ro</w:t>
      </w:r>
      <w:r w:rsidRPr="00BD3B51">
        <w:rPr>
          <w:rFonts w:cs="Times New Roman"/>
          <w:i/>
          <w:lang w:val="fr-CA"/>
        </w:rPr>
        <w:t xml:space="preserve">we), </w:t>
      </w:r>
      <w:r w:rsidRPr="002C1B3A">
        <w:rPr>
          <w:rFonts w:cs="Times New Roman"/>
          <w:i/>
          <w:lang w:val="fr-CA"/>
        </w:rPr>
        <w:t>2011 NLCA 42, 308 Nfld. &amp; P.E.I.R. 1</w:t>
      </w:r>
    </w:p>
    <w:p w:rsidR="00931170" w:rsidRPr="002C1B3A" w:rsidRDefault="00931170" w:rsidP="00931170">
      <w:pPr>
        <w:pStyle w:val="ParaNoNdepar-AltN"/>
        <w:rPr>
          <w:rFonts w:cs="Times New Roman"/>
          <w:lang w:val="fr-CA"/>
        </w:rPr>
      </w:pPr>
      <w:r w:rsidRPr="002C1B3A">
        <w:rPr>
          <w:rFonts w:cs="Times New Roman"/>
          <w:lang w:val="fr-CA"/>
        </w:rPr>
        <w:t>La Cour d</w:t>
      </w:r>
      <w:r>
        <w:rPr>
          <w:rFonts w:cs="Times New Roman"/>
          <w:lang w:val="fr-CA"/>
        </w:rPr>
        <w:t>’</w:t>
      </w:r>
      <w:r w:rsidRPr="002C1B3A">
        <w:rPr>
          <w:rFonts w:cs="Times New Roman"/>
          <w:lang w:val="fr-CA"/>
        </w:rPr>
        <w:t>appel, à la majorité, a confirmé le jugement de première instance.  Elle a souligné que le Parlement et la législature ont choisi d</w:t>
      </w:r>
      <w:r>
        <w:rPr>
          <w:rFonts w:cs="Times New Roman"/>
          <w:lang w:val="fr-CA"/>
        </w:rPr>
        <w:t>’</w:t>
      </w:r>
      <w:r w:rsidRPr="002C1B3A">
        <w:rPr>
          <w:rFonts w:cs="Times New Roman"/>
          <w:lang w:val="fr-CA"/>
        </w:rPr>
        <w:t>établir [</w:t>
      </w:r>
      <w:r w:rsidRPr="002C1B3A">
        <w:rPr>
          <w:rFonts w:cs="Times New Roman"/>
          <w:smallCaps/>
          <w:lang w:val="fr-CA"/>
        </w:rPr>
        <w:t>traduction</w:t>
      </w:r>
      <w:r w:rsidRPr="002C1B3A">
        <w:rPr>
          <w:rFonts w:cs="Times New Roman"/>
          <w:lang w:val="fr-CA"/>
        </w:rPr>
        <w:t>] « deux régimes légaux fondamentalement différents en matière d</w:t>
      </w:r>
      <w:r>
        <w:rPr>
          <w:rFonts w:cs="Times New Roman"/>
          <w:lang w:val="fr-CA"/>
        </w:rPr>
        <w:t>’</w:t>
      </w:r>
      <w:r w:rsidRPr="002C1B3A">
        <w:rPr>
          <w:rFonts w:cs="Times New Roman"/>
          <w:lang w:val="fr-CA"/>
        </w:rPr>
        <w:t xml:space="preserve">indemnisation des blessures et décès, et </w:t>
      </w:r>
      <w:r w:rsidR="00FB265C">
        <w:rPr>
          <w:rFonts w:cs="Times New Roman"/>
          <w:lang w:val="fr-CA"/>
        </w:rPr>
        <w:t>[</w:t>
      </w:r>
      <w:r w:rsidRPr="002C1B3A">
        <w:rPr>
          <w:rFonts w:cs="Times New Roman"/>
          <w:lang w:val="fr-CA"/>
        </w:rPr>
        <w:t>que</w:t>
      </w:r>
      <w:r w:rsidR="00FB265C">
        <w:rPr>
          <w:rFonts w:cs="Times New Roman"/>
          <w:lang w:val="fr-CA"/>
        </w:rPr>
        <w:t>]</w:t>
      </w:r>
      <w:r w:rsidRPr="002C1B3A">
        <w:rPr>
          <w:rFonts w:cs="Times New Roman"/>
          <w:lang w:val="fr-CA"/>
        </w:rPr>
        <w:t xml:space="preserve"> ces deux régimes semblent se chevaucher en cas de demandes découlant de blessures subies en milieu de travail maritime » (par. 54).  La majorité a également souligné que la </w:t>
      </w:r>
      <w:r w:rsidRPr="002C1B3A">
        <w:rPr>
          <w:rFonts w:cs="Times New Roman"/>
          <w:i/>
          <w:lang w:val="fr-CA"/>
        </w:rPr>
        <w:t>LRMM</w:t>
      </w:r>
      <w:r w:rsidRPr="002C1B3A">
        <w:rPr>
          <w:rFonts w:cs="Times New Roman"/>
          <w:lang w:val="fr-CA"/>
        </w:rPr>
        <w:t xml:space="preserve"> prévoit une approche fondée sur la faute, alors que la </w:t>
      </w:r>
      <w:r w:rsidRPr="002C1B3A">
        <w:rPr>
          <w:rFonts w:cs="Times New Roman"/>
          <w:i/>
          <w:lang w:val="fr-CA"/>
        </w:rPr>
        <w:t>WHSCA</w:t>
      </w:r>
      <w:r w:rsidRPr="002C1B3A">
        <w:rPr>
          <w:rFonts w:cs="Times New Roman"/>
          <w:lang w:val="fr-CA"/>
        </w:rPr>
        <w:t xml:space="preserve"> institue un régime d</w:t>
      </w:r>
      <w:r>
        <w:rPr>
          <w:rFonts w:cs="Times New Roman"/>
          <w:lang w:val="fr-CA"/>
        </w:rPr>
        <w:t>’</w:t>
      </w:r>
      <w:r w:rsidRPr="002C1B3A">
        <w:rPr>
          <w:rFonts w:cs="Times New Roman"/>
          <w:lang w:val="fr-CA"/>
        </w:rPr>
        <w:t>assurance sans égard à la responsabilité.</w:t>
      </w:r>
    </w:p>
    <w:p w:rsidR="00931170" w:rsidRPr="002C1B3A" w:rsidRDefault="00931170" w:rsidP="00931170">
      <w:pPr>
        <w:pStyle w:val="ParaNoNdepar-AltN"/>
        <w:rPr>
          <w:rFonts w:cs="Times New Roman"/>
          <w:lang w:val="fr-CA"/>
        </w:rPr>
      </w:pPr>
      <w:r w:rsidRPr="002C1B3A">
        <w:rPr>
          <w:rFonts w:cs="Times New Roman"/>
          <w:lang w:val="fr-CA"/>
        </w:rPr>
        <w:lastRenderedPageBreak/>
        <w:t xml:space="preserve">Les juges majoritaires ont statué que la </w:t>
      </w:r>
      <w:r w:rsidRPr="002C1B3A">
        <w:rPr>
          <w:rFonts w:cs="Times New Roman"/>
          <w:i/>
          <w:lang w:val="fr-CA"/>
        </w:rPr>
        <w:t>WHSCA</w:t>
      </w:r>
      <w:r w:rsidRPr="002C1B3A">
        <w:rPr>
          <w:rFonts w:cs="Times New Roman"/>
          <w:lang w:val="fr-CA"/>
        </w:rPr>
        <w:t xml:space="preserve"> résulte de l</w:t>
      </w:r>
      <w:r>
        <w:rPr>
          <w:rFonts w:cs="Times New Roman"/>
          <w:lang w:val="fr-CA"/>
        </w:rPr>
        <w:t>’</w:t>
      </w:r>
      <w:r w:rsidRPr="002C1B3A">
        <w:rPr>
          <w:rFonts w:cs="Times New Roman"/>
          <w:lang w:val="fr-CA"/>
        </w:rPr>
        <w:t xml:space="preserve">exercice valide par la province de son pouvoir de légiférer en matière de propriété et de droits civils prévu au par. 92(13) de la </w:t>
      </w:r>
      <w:r w:rsidRPr="002C1B3A">
        <w:rPr>
          <w:rFonts w:cs="Times New Roman"/>
          <w:i/>
          <w:lang w:val="fr-CA"/>
        </w:rPr>
        <w:t>Loi constitutionnelle de 1867</w:t>
      </w:r>
      <w:r w:rsidRPr="002C1B3A">
        <w:rPr>
          <w:rFonts w:cs="Times New Roman"/>
          <w:lang w:val="fr-CA"/>
        </w:rPr>
        <w:t>.  Cependant, ils ont conclu que la doctrine de l</w:t>
      </w:r>
      <w:r>
        <w:rPr>
          <w:rFonts w:cs="Times New Roman"/>
          <w:lang w:val="fr-CA"/>
        </w:rPr>
        <w:t>’</w:t>
      </w:r>
      <w:r w:rsidRPr="002C1B3A">
        <w:rPr>
          <w:rFonts w:cs="Times New Roman"/>
          <w:lang w:val="fr-CA"/>
        </w:rPr>
        <w:t>exclusivité des compétences s</w:t>
      </w:r>
      <w:r>
        <w:rPr>
          <w:rFonts w:cs="Times New Roman"/>
          <w:lang w:val="fr-CA"/>
        </w:rPr>
        <w:t>’</w:t>
      </w:r>
      <w:r w:rsidRPr="002C1B3A">
        <w:rPr>
          <w:rFonts w:cs="Times New Roman"/>
          <w:lang w:val="fr-CA"/>
        </w:rPr>
        <w:t>applique, étant donné que l</w:t>
      </w:r>
      <w:r>
        <w:rPr>
          <w:rFonts w:cs="Times New Roman"/>
          <w:lang w:val="fr-CA"/>
        </w:rPr>
        <w:t>’</w:t>
      </w:r>
      <w:r w:rsidRPr="002C1B3A">
        <w:rPr>
          <w:rFonts w:cs="Times New Roman"/>
          <w:lang w:val="fr-CA"/>
        </w:rPr>
        <w:t xml:space="preserve">art. 44 de la </w:t>
      </w:r>
      <w:r w:rsidRPr="002C1B3A">
        <w:rPr>
          <w:rFonts w:cs="Times New Roman"/>
          <w:i/>
          <w:lang w:val="fr-CA"/>
        </w:rPr>
        <w:t>WHSCA</w:t>
      </w:r>
      <w:r w:rsidRPr="002C1B3A">
        <w:rPr>
          <w:rFonts w:cs="Times New Roman"/>
          <w:lang w:val="fr-CA"/>
        </w:rPr>
        <w:t xml:space="preserve"> empiète sur les règles de droit maritime relatives à la négligence, qui font partie du contenu essentiel de la compétence fédérale sur la navigation et les bâtiments ou navires : </w:t>
      </w:r>
      <w:r w:rsidRPr="002C1B3A">
        <w:rPr>
          <w:rFonts w:cs="Times New Roman"/>
          <w:i/>
          <w:lang w:val="fr-CA"/>
        </w:rPr>
        <w:t>Succession Ordon c. Grail</w:t>
      </w:r>
      <w:r w:rsidRPr="002C1B3A">
        <w:rPr>
          <w:rFonts w:cs="Times New Roman"/>
          <w:lang w:val="fr-CA"/>
        </w:rPr>
        <w:t>, [1998] 3 R.C.S. 437.  Comme l</w:t>
      </w:r>
      <w:r>
        <w:rPr>
          <w:rFonts w:cs="Times New Roman"/>
          <w:lang w:val="fr-CA"/>
        </w:rPr>
        <w:t>’</w:t>
      </w:r>
      <w:r w:rsidRPr="002C1B3A">
        <w:rPr>
          <w:rFonts w:cs="Times New Roman"/>
          <w:lang w:val="fr-CA"/>
        </w:rPr>
        <w:t xml:space="preserve">art. 44 de la </w:t>
      </w:r>
      <w:r w:rsidRPr="002C1B3A">
        <w:rPr>
          <w:rFonts w:cs="Times New Roman"/>
          <w:i/>
          <w:lang w:val="fr-CA"/>
        </w:rPr>
        <w:t>WHSCA</w:t>
      </w:r>
      <w:r w:rsidRPr="002C1B3A">
        <w:rPr>
          <w:rFonts w:cs="Times New Roman"/>
          <w:lang w:val="fr-CA"/>
        </w:rPr>
        <w:t xml:space="preserve"> vise à faire obstacle à l</w:t>
      </w:r>
      <w:r>
        <w:rPr>
          <w:rFonts w:cs="Times New Roman"/>
          <w:lang w:val="fr-CA"/>
        </w:rPr>
        <w:t>’</w:t>
      </w:r>
      <w:r w:rsidRPr="002C1B3A">
        <w:rPr>
          <w:rFonts w:cs="Times New Roman"/>
          <w:lang w:val="fr-CA"/>
        </w:rPr>
        <w:t>introduction d</w:t>
      </w:r>
      <w:r>
        <w:rPr>
          <w:rFonts w:cs="Times New Roman"/>
          <w:lang w:val="fr-CA"/>
        </w:rPr>
        <w:t>’</w:t>
      </w:r>
      <w:r w:rsidRPr="002C1B3A">
        <w:rPr>
          <w:rFonts w:cs="Times New Roman"/>
          <w:lang w:val="fr-CA"/>
        </w:rPr>
        <w:t xml:space="preserve">une action fondée sur ces règles, il porte atteinte au contenu essentiel de cette compétence fédérale.  </w:t>
      </w:r>
    </w:p>
    <w:p w:rsidR="00931170" w:rsidRPr="002C1B3A" w:rsidRDefault="00931170" w:rsidP="00931170">
      <w:pPr>
        <w:pStyle w:val="ParaNoNdepar-AltN"/>
        <w:rPr>
          <w:rFonts w:cs="Times New Roman"/>
          <w:lang w:val="fr-CA"/>
        </w:rPr>
      </w:pPr>
      <w:r w:rsidRPr="002C1B3A">
        <w:rPr>
          <w:rFonts w:cs="Times New Roman"/>
          <w:lang w:val="fr-CA"/>
        </w:rPr>
        <w:t>Les juges de la majorité ont aussi conclu à l</w:t>
      </w:r>
      <w:r>
        <w:rPr>
          <w:rFonts w:cs="Times New Roman"/>
          <w:lang w:val="fr-CA"/>
        </w:rPr>
        <w:t>’</w:t>
      </w:r>
      <w:r w:rsidRPr="002C1B3A">
        <w:rPr>
          <w:rFonts w:cs="Times New Roman"/>
          <w:lang w:val="fr-CA"/>
        </w:rPr>
        <w:t>application de la doctrine de la prépondérance fédérale.  Il existe, ont</w:t>
      </w:r>
      <w:r w:rsidRPr="002C1B3A">
        <w:rPr>
          <w:rFonts w:cs="Times New Roman"/>
          <w:lang w:val="fr-CA"/>
        </w:rPr>
        <w:noBreakHyphen/>
        <w:t>ils expliqué, un conflit d</w:t>
      </w:r>
      <w:r>
        <w:rPr>
          <w:rFonts w:cs="Times New Roman"/>
          <w:lang w:val="fr-CA"/>
        </w:rPr>
        <w:t>’</w:t>
      </w:r>
      <w:r w:rsidRPr="002C1B3A">
        <w:rPr>
          <w:rFonts w:cs="Times New Roman"/>
          <w:lang w:val="fr-CA"/>
        </w:rPr>
        <w:t xml:space="preserve">application entre la </w:t>
      </w:r>
      <w:r w:rsidRPr="002C1B3A">
        <w:rPr>
          <w:rFonts w:cs="Times New Roman"/>
          <w:i/>
          <w:lang w:val="fr-CA"/>
        </w:rPr>
        <w:t>LRMM</w:t>
      </w:r>
      <w:r w:rsidRPr="002C1B3A">
        <w:rPr>
          <w:rFonts w:cs="Times New Roman"/>
          <w:lang w:val="fr-CA"/>
        </w:rPr>
        <w:t xml:space="preserve"> et la </w:t>
      </w:r>
      <w:r w:rsidRPr="002C1B3A">
        <w:rPr>
          <w:rFonts w:cs="Times New Roman"/>
          <w:i/>
          <w:lang w:val="fr-CA"/>
        </w:rPr>
        <w:t>WHSCA</w:t>
      </w:r>
      <w:r w:rsidRPr="002C1B3A">
        <w:rPr>
          <w:rFonts w:cs="Times New Roman"/>
          <w:lang w:val="fr-CA"/>
        </w:rPr>
        <w:t>, car, dans les cas où l</w:t>
      </w:r>
      <w:r>
        <w:rPr>
          <w:rFonts w:cs="Times New Roman"/>
          <w:lang w:val="fr-CA"/>
        </w:rPr>
        <w:t>’</w:t>
      </w:r>
      <w:r w:rsidRPr="002C1B3A">
        <w:rPr>
          <w:rFonts w:cs="Times New Roman"/>
          <w:lang w:val="fr-CA"/>
        </w:rPr>
        <w:t>auteur d</w:t>
      </w:r>
      <w:r>
        <w:rPr>
          <w:rFonts w:cs="Times New Roman"/>
          <w:lang w:val="fr-CA"/>
        </w:rPr>
        <w:t>’</w:t>
      </w:r>
      <w:r w:rsidRPr="002C1B3A">
        <w:rPr>
          <w:rFonts w:cs="Times New Roman"/>
          <w:lang w:val="fr-CA"/>
        </w:rPr>
        <w:t>une demande d</w:t>
      </w:r>
      <w:r>
        <w:rPr>
          <w:rFonts w:cs="Times New Roman"/>
          <w:lang w:val="fr-CA"/>
        </w:rPr>
        <w:t>’</w:t>
      </w:r>
      <w:r w:rsidRPr="002C1B3A">
        <w:rPr>
          <w:rFonts w:cs="Times New Roman"/>
          <w:lang w:val="fr-CA"/>
        </w:rPr>
        <w:t xml:space="preserve">indemnisation en matière maritime est assujetti à la </w:t>
      </w:r>
      <w:r w:rsidRPr="002C1B3A">
        <w:rPr>
          <w:rFonts w:cs="Times New Roman"/>
          <w:i/>
          <w:lang w:val="fr-CA"/>
        </w:rPr>
        <w:t>WHSCA</w:t>
      </w:r>
      <w:r w:rsidRPr="002C1B3A">
        <w:rPr>
          <w:rFonts w:cs="Times New Roman"/>
          <w:lang w:val="fr-CA"/>
        </w:rPr>
        <w:t xml:space="preserve">, ce demandeur pourrait intenter une action en vertu de la </w:t>
      </w:r>
      <w:r w:rsidRPr="002C1B3A">
        <w:rPr>
          <w:rFonts w:cs="Times New Roman"/>
          <w:i/>
          <w:lang w:val="fr-CA"/>
        </w:rPr>
        <w:t>LRMM</w:t>
      </w:r>
      <w:r w:rsidRPr="002C1B3A">
        <w:rPr>
          <w:rFonts w:cs="Times New Roman"/>
          <w:lang w:val="fr-CA"/>
        </w:rPr>
        <w:t xml:space="preserve">.  Selon les juges majoritaires, on ne saurait raisonnablement considérer que les mots figurant au par. 6(2) de la </w:t>
      </w:r>
      <w:r w:rsidRPr="002C1B3A">
        <w:rPr>
          <w:rFonts w:cs="Times New Roman"/>
          <w:i/>
          <w:lang w:val="fr-CA"/>
        </w:rPr>
        <w:t>LRMM</w:t>
      </w:r>
      <w:r w:rsidRPr="002C1B3A">
        <w:rPr>
          <w:rFonts w:cs="Times New Roman"/>
          <w:lang w:val="fr-CA"/>
        </w:rPr>
        <w:t xml:space="preserve"> (« circonstances qui, si le décès n</w:t>
      </w:r>
      <w:r>
        <w:rPr>
          <w:rFonts w:cs="Times New Roman"/>
          <w:lang w:val="fr-CA"/>
        </w:rPr>
        <w:t>’</w:t>
      </w:r>
      <w:r w:rsidRPr="002C1B3A">
        <w:rPr>
          <w:rFonts w:cs="Times New Roman"/>
          <w:lang w:val="fr-CA"/>
        </w:rPr>
        <w:t>en était pas résulté, lui auraient donné le droit de réclamer des dommages</w:t>
      </w:r>
      <w:r w:rsidRPr="002C1B3A">
        <w:rPr>
          <w:rFonts w:cs="Times New Roman"/>
          <w:lang w:val="fr-CA"/>
        </w:rPr>
        <w:noBreakHyphen/>
        <w:t>intérêts ») ont pour effet de permettre qu</w:t>
      </w:r>
      <w:r>
        <w:rPr>
          <w:rFonts w:cs="Times New Roman"/>
          <w:lang w:val="fr-CA"/>
        </w:rPr>
        <w:t>’</w:t>
      </w:r>
      <w:r w:rsidRPr="002C1B3A">
        <w:rPr>
          <w:rFonts w:cs="Times New Roman"/>
          <w:lang w:val="fr-CA"/>
        </w:rPr>
        <w:t>une loi provinciale sur les accidents du travail détermine la portée du droit de recourir au régime fédéral de responsabilité délictuelle en matière maritime.  De plus, même s</w:t>
      </w:r>
      <w:r>
        <w:rPr>
          <w:rFonts w:cs="Times New Roman"/>
          <w:lang w:val="fr-CA"/>
        </w:rPr>
        <w:t>’</w:t>
      </w:r>
      <w:r w:rsidRPr="002C1B3A">
        <w:rPr>
          <w:rFonts w:cs="Times New Roman"/>
          <w:lang w:val="fr-CA"/>
        </w:rPr>
        <w:t>il était possible de se conformer aux deux textes de loi, l</w:t>
      </w:r>
      <w:r>
        <w:rPr>
          <w:rFonts w:cs="Times New Roman"/>
          <w:lang w:val="fr-CA"/>
        </w:rPr>
        <w:t>’</w:t>
      </w:r>
      <w:r w:rsidRPr="002C1B3A">
        <w:rPr>
          <w:rFonts w:cs="Times New Roman"/>
          <w:lang w:val="fr-CA"/>
        </w:rPr>
        <w:t>application de l</w:t>
      </w:r>
      <w:r>
        <w:rPr>
          <w:rFonts w:cs="Times New Roman"/>
          <w:lang w:val="fr-CA"/>
        </w:rPr>
        <w:t>’</w:t>
      </w:r>
      <w:r w:rsidRPr="002C1B3A">
        <w:rPr>
          <w:rFonts w:cs="Times New Roman"/>
          <w:lang w:val="fr-CA"/>
        </w:rPr>
        <w:t>art. 44 entrave la réalisation de l</w:t>
      </w:r>
      <w:r>
        <w:rPr>
          <w:rFonts w:cs="Times New Roman"/>
          <w:lang w:val="fr-CA"/>
        </w:rPr>
        <w:t>’</w:t>
      </w:r>
      <w:r w:rsidRPr="002C1B3A">
        <w:rPr>
          <w:rFonts w:cs="Times New Roman"/>
          <w:lang w:val="fr-CA"/>
        </w:rPr>
        <w:t xml:space="preserve">objectif de la </w:t>
      </w:r>
      <w:r w:rsidRPr="002C1B3A">
        <w:rPr>
          <w:rFonts w:cs="Times New Roman"/>
          <w:i/>
          <w:lang w:val="fr-CA"/>
        </w:rPr>
        <w:t>LRMM</w:t>
      </w:r>
      <w:r w:rsidRPr="002C1B3A">
        <w:rPr>
          <w:rFonts w:cs="Times New Roman"/>
          <w:lang w:val="fr-CA"/>
        </w:rPr>
        <w:t xml:space="preserve"> en privant les personnes à la charge d</w:t>
      </w:r>
      <w:r>
        <w:rPr>
          <w:rFonts w:cs="Times New Roman"/>
          <w:lang w:val="fr-CA"/>
        </w:rPr>
        <w:t>’</w:t>
      </w:r>
      <w:r w:rsidRPr="002C1B3A">
        <w:rPr>
          <w:rFonts w:cs="Times New Roman"/>
          <w:lang w:val="fr-CA"/>
        </w:rPr>
        <w:t xml:space="preserve">une personne ayant </w:t>
      </w:r>
      <w:r w:rsidRPr="002C1B3A">
        <w:rPr>
          <w:rFonts w:cs="Times New Roman"/>
          <w:lang w:val="fr-CA"/>
        </w:rPr>
        <w:lastRenderedPageBreak/>
        <w:t>perdu la vie dans un accident de navigation de la possibilité de se prévaloir du régime fédéral.</w:t>
      </w:r>
    </w:p>
    <w:p w:rsidR="00931170" w:rsidRPr="002C1B3A" w:rsidRDefault="00931170" w:rsidP="00931170">
      <w:pPr>
        <w:pStyle w:val="ParaNoNdepar-AltN"/>
        <w:rPr>
          <w:rFonts w:cs="Times New Roman"/>
          <w:lang w:val="fr-CA"/>
        </w:rPr>
      </w:pPr>
      <w:r w:rsidRPr="002C1B3A">
        <w:rPr>
          <w:rFonts w:cs="Times New Roman"/>
          <w:lang w:val="fr-CA"/>
        </w:rPr>
        <w:t>Pour sa part, la juge Welsh, dissidente, a conclu que la doctrine de la prépondérance fédérale ne s</w:t>
      </w:r>
      <w:r>
        <w:rPr>
          <w:rFonts w:cs="Times New Roman"/>
          <w:lang w:val="fr-CA"/>
        </w:rPr>
        <w:t>’</w:t>
      </w:r>
      <w:r w:rsidRPr="002C1B3A">
        <w:rPr>
          <w:rFonts w:cs="Times New Roman"/>
          <w:lang w:val="fr-CA"/>
        </w:rPr>
        <w:t>appliquait pas.  Il n</w:t>
      </w:r>
      <w:r>
        <w:rPr>
          <w:rFonts w:cs="Times New Roman"/>
          <w:lang w:val="fr-CA"/>
        </w:rPr>
        <w:t>’</w:t>
      </w:r>
      <w:r w:rsidRPr="002C1B3A">
        <w:rPr>
          <w:rFonts w:cs="Times New Roman"/>
          <w:lang w:val="fr-CA"/>
        </w:rPr>
        <w:t>existe, selon elle, aucun conflit d</w:t>
      </w:r>
      <w:r>
        <w:rPr>
          <w:rFonts w:cs="Times New Roman"/>
          <w:lang w:val="fr-CA"/>
        </w:rPr>
        <w:t>’</w:t>
      </w:r>
      <w:r w:rsidRPr="002C1B3A">
        <w:rPr>
          <w:rFonts w:cs="Times New Roman"/>
          <w:lang w:val="fr-CA"/>
        </w:rPr>
        <w:t xml:space="preserve">application entre le par. 6(2) de la </w:t>
      </w:r>
      <w:r w:rsidRPr="002C1B3A">
        <w:rPr>
          <w:rFonts w:cs="Times New Roman"/>
          <w:i/>
          <w:lang w:val="fr-CA"/>
        </w:rPr>
        <w:t>LRMM</w:t>
      </w:r>
      <w:r w:rsidRPr="002C1B3A">
        <w:rPr>
          <w:rFonts w:cs="Times New Roman"/>
          <w:lang w:val="fr-CA"/>
        </w:rPr>
        <w:t xml:space="preserve"> et l</w:t>
      </w:r>
      <w:r>
        <w:rPr>
          <w:rFonts w:cs="Times New Roman"/>
          <w:lang w:val="fr-CA"/>
        </w:rPr>
        <w:t>’</w:t>
      </w:r>
      <w:r w:rsidRPr="002C1B3A">
        <w:rPr>
          <w:rFonts w:cs="Times New Roman"/>
          <w:lang w:val="fr-CA"/>
        </w:rPr>
        <w:t xml:space="preserve">art. 44 de la </w:t>
      </w:r>
      <w:r w:rsidRPr="002C1B3A">
        <w:rPr>
          <w:rFonts w:cs="Times New Roman"/>
          <w:i/>
          <w:lang w:val="fr-CA"/>
        </w:rPr>
        <w:t>WHSCA</w:t>
      </w:r>
      <w:r w:rsidRPr="002C1B3A">
        <w:rPr>
          <w:rFonts w:cs="Times New Roman"/>
          <w:lang w:val="fr-CA"/>
        </w:rPr>
        <w:t>.  À son avis, bien que la seconde disposition supprime le droit du défunt d</w:t>
      </w:r>
      <w:r>
        <w:rPr>
          <w:rFonts w:cs="Times New Roman"/>
          <w:lang w:val="fr-CA"/>
        </w:rPr>
        <w:t>’</w:t>
      </w:r>
      <w:r w:rsidRPr="002C1B3A">
        <w:rPr>
          <w:rFonts w:cs="Times New Roman"/>
          <w:lang w:val="fr-CA"/>
        </w:rPr>
        <w:t>intenter une poursuite en dommages</w:t>
      </w:r>
      <w:r w:rsidRPr="002C1B3A">
        <w:rPr>
          <w:rFonts w:cs="Times New Roman"/>
          <w:lang w:val="fr-CA"/>
        </w:rPr>
        <w:noBreakHyphen/>
        <w:t>intérêts, la première indique simplement que les personnes à charge « peuvent » intenter une action « dans des circonstances » où le défunt aurait été autorisé à le faire.  Elle a expliqué qu</w:t>
      </w:r>
      <w:r>
        <w:rPr>
          <w:rFonts w:cs="Times New Roman"/>
          <w:lang w:val="fr-CA"/>
        </w:rPr>
        <w:t>’</w:t>
      </w:r>
      <w:r w:rsidRPr="002C1B3A">
        <w:rPr>
          <w:rFonts w:cs="Times New Roman"/>
          <w:lang w:val="fr-CA"/>
        </w:rPr>
        <w:t xml:space="preserve">une interprétation libérale de la </w:t>
      </w:r>
      <w:r w:rsidRPr="002C1B3A">
        <w:rPr>
          <w:rFonts w:cs="Times New Roman"/>
          <w:i/>
          <w:lang w:val="fr-CA"/>
        </w:rPr>
        <w:t>LRMM</w:t>
      </w:r>
      <w:r w:rsidRPr="002C1B3A">
        <w:rPr>
          <w:rFonts w:cs="Times New Roman"/>
          <w:lang w:val="fr-CA"/>
        </w:rPr>
        <w:t xml:space="preserve"> permet à ces personnes d</w:t>
      </w:r>
      <w:r>
        <w:rPr>
          <w:rFonts w:cs="Times New Roman"/>
          <w:lang w:val="fr-CA"/>
        </w:rPr>
        <w:t>’</w:t>
      </w:r>
      <w:r w:rsidRPr="002C1B3A">
        <w:rPr>
          <w:rFonts w:cs="Times New Roman"/>
          <w:lang w:val="fr-CA"/>
        </w:rPr>
        <w:t>intenter une action, sauf si, eu égard aux circonstances, un motif établi par la loi interdit d</w:t>
      </w:r>
      <w:r>
        <w:rPr>
          <w:rFonts w:cs="Times New Roman"/>
          <w:lang w:val="fr-CA"/>
        </w:rPr>
        <w:t>’</w:t>
      </w:r>
      <w:r w:rsidRPr="002C1B3A">
        <w:rPr>
          <w:rFonts w:cs="Times New Roman"/>
          <w:lang w:val="fr-CA"/>
        </w:rPr>
        <w:t>intenter une action en dommages</w:t>
      </w:r>
      <w:r w:rsidRPr="002C1B3A">
        <w:rPr>
          <w:rFonts w:cs="Times New Roman"/>
          <w:lang w:val="fr-CA"/>
        </w:rPr>
        <w:noBreakHyphen/>
        <w:t>intérêts.  Or, un tel motif existe en l</w:t>
      </w:r>
      <w:r>
        <w:rPr>
          <w:rFonts w:cs="Times New Roman"/>
          <w:lang w:val="fr-CA"/>
        </w:rPr>
        <w:t>’</w:t>
      </w:r>
      <w:r w:rsidRPr="002C1B3A">
        <w:rPr>
          <w:rFonts w:cs="Times New Roman"/>
          <w:lang w:val="fr-CA"/>
        </w:rPr>
        <w:t xml:space="preserve">espèce, car le droit à indemnisation prévu par le régime de la </w:t>
      </w:r>
      <w:r w:rsidRPr="002C1B3A">
        <w:rPr>
          <w:rFonts w:cs="Times New Roman"/>
          <w:i/>
          <w:lang w:val="fr-CA"/>
        </w:rPr>
        <w:t>WHSCA</w:t>
      </w:r>
      <w:r w:rsidRPr="002C1B3A">
        <w:rPr>
          <w:rFonts w:cs="Times New Roman"/>
          <w:lang w:val="fr-CA"/>
        </w:rPr>
        <w:t xml:space="preserve"> fait obstacle au droit du défunt d</w:t>
      </w:r>
      <w:r>
        <w:rPr>
          <w:rFonts w:cs="Times New Roman"/>
          <w:lang w:val="fr-CA"/>
        </w:rPr>
        <w:t>’</w:t>
      </w:r>
      <w:r w:rsidRPr="002C1B3A">
        <w:rPr>
          <w:rFonts w:cs="Times New Roman"/>
          <w:lang w:val="fr-CA"/>
        </w:rPr>
        <w:t>ester en justice.  Cette interprétation permet aux intéressés de se conformer aux deux lois.  Par ailleurs, le fait que l</w:t>
      </w:r>
      <w:r>
        <w:rPr>
          <w:rFonts w:cs="Times New Roman"/>
          <w:lang w:val="fr-CA"/>
        </w:rPr>
        <w:t>’</w:t>
      </w:r>
      <w:r w:rsidRPr="002C1B3A">
        <w:rPr>
          <w:rFonts w:cs="Times New Roman"/>
          <w:lang w:val="fr-CA"/>
        </w:rPr>
        <w:t xml:space="preserve">art. 44 de la </w:t>
      </w:r>
      <w:r w:rsidRPr="002C1B3A">
        <w:rPr>
          <w:rFonts w:cs="Times New Roman"/>
          <w:i/>
          <w:lang w:val="fr-CA"/>
        </w:rPr>
        <w:t>WHSCA</w:t>
      </w:r>
      <w:r w:rsidRPr="002C1B3A">
        <w:rPr>
          <w:rFonts w:cs="Times New Roman"/>
          <w:lang w:val="fr-CA"/>
        </w:rPr>
        <w:t xml:space="preserve"> restreigne la portée du droit conféré au par. 6(2) de la </w:t>
      </w:r>
      <w:r w:rsidRPr="002C1B3A">
        <w:rPr>
          <w:rFonts w:cs="Times New Roman"/>
          <w:i/>
          <w:lang w:val="fr-CA"/>
        </w:rPr>
        <w:t>LRMM</w:t>
      </w:r>
      <w:r w:rsidRPr="002C1B3A">
        <w:rPr>
          <w:rFonts w:cs="Times New Roman"/>
          <w:lang w:val="fr-CA"/>
        </w:rPr>
        <w:t xml:space="preserve"> ne suffit pas, selon la juge, pour établir l</w:t>
      </w:r>
      <w:r>
        <w:rPr>
          <w:rFonts w:cs="Times New Roman"/>
          <w:lang w:val="fr-CA"/>
        </w:rPr>
        <w:t>’</w:t>
      </w:r>
      <w:r w:rsidRPr="002C1B3A">
        <w:rPr>
          <w:rFonts w:cs="Times New Roman"/>
          <w:lang w:val="fr-CA"/>
        </w:rPr>
        <w:t>existence d</w:t>
      </w:r>
      <w:r>
        <w:rPr>
          <w:rFonts w:cs="Times New Roman"/>
          <w:lang w:val="fr-CA"/>
        </w:rPr>
        <w:t>’</w:t>
      </w:r>
      <w:r w:rsidRPr="002C1B3A">
        <w:rPr>
          <w:rFonts w:cs="Times New Roman"/>
          <w:lang w:val="fr-CA"/>
        </w:rPr>
        <w:t>une entrave à la réalisation d</w:t>
      </w:r>
      <w:r>
        <w:rPr>
          <w:rFonts w:cs="Times New Roman"/>
          <w:lang w:val="fr-CA"/>
        </w:rPr>
        <w:t>’</w:t>
      </w:r>
      <w:r w:rsidRPr="002C1B3A">
        <w:rPr>
          <w:rFonts w:cs="Times New Roman"/>
          <w:lang w:val="fr-CA"/>
        </w:rPr>
        <w:t>un objectif fédéral.</w:t>
      </w:r>
    </w:p>
    <w:p w:rsidR="00931170" w:rsidRPr="002C1B3A" w:rsidRDefault="00931170" w:rsidP="00931170">
      <w:pPr>
        <w:pStyle w:val="ParaNoNdepar-AltN"/>
        <w:rPr>
          <w:rFonts w:cs="Times New Roman"/>
          <w:lang w:val="fr-CA"/>
        </w:rPr>
      </w:pPr>
      <w:r w:rsidRPr="002C1B3A">
        <w:rPr>
          <w:rFonts w:cs="Times New Roman"/>
          <w:lang w:val="fr-CA"/>
        </w:rPr>
        <w:t>La juge Welsh a ajouté que la doctrine de l</w:t>
      </w:r>
      <w:r>
        <w:rPr>
          <w:rFonts w:cs="Times New Roman"/>
          <w:lang w:val="fr-CA"/>
        </w:rPr>
        <w:t>’</w:t>
      </w:r>
      <w:r w:rsidRPr="002C1B3A">
        <w:rPr>
          <w:rFonts w:cs="Times New Roman"/>
          <w:lang w:val="fr-CA"/>
        </w:rPr>
        <w:t>exclusivité des compétences ne s</w:t>
      </w:r>
      <w:r>
        <w:rPr>
          <w:rFonts w:cs="Times New Roman"/>
          <w:lang w:val="fr-CA"/>
        </w:rPr>
        <w:t>’</w:t>
      </w:r>
      <w:r w:rsidRPr="002C1B3A">
        <w:rPr>
          <w:rFonts w:cs="Times New Roman"/>
          <w:lang w:val="fr-CA"/>
        </w:rPr>
        <w:t>applique pas, parce que l</w:t>
      </w:r>
      <w:r>
        <w:rPr>
          <w:rFonts w:cs="Times New Roman"/>
          <w:lang w:val="fr-CA"/>
        </w:rPr>
        <w:t>’</w:t>
      </w:r>
      <w:r w:rsidRPr="002C1B3A">
        <w:rPr>
          <w:rFonts w:cs="Times New Roman"/>
          <w:lang w:val="fr-CA"/>
        </w:rPr>
        <w:t xml:space="preserve">art. 44 de la </w:t>
      </w:r>
      <w:r w:rsidRPr="002C1B3A">
        <w:rPr>
          <w:rFonts w:cs="Times New Roman"/>
          <w:i/>
          <w:lang w:val="fr-CA"/>
        </w:rPr>
        <w:t>WHSCA</w:t>
      </w:r>
      <w:r w:rsidRPr="002C1B3A">
        <w:rPr>
          <w:rFonts w:cs="Times New Roman"/>
          <w:lang w:val="fr-CA"/>
        </w:rPr>
        <w:t xml:space="preserve"> n</w:t>
      </w:r>
      <w:r>
        <w:rPr>
          <w:rFonts w:cs="Times New Roman"/>
          <w:lang w:val="fr-CA"/>
        </w:rPr>
        <w:t>’</w:t>
      </w:r>
      <w:r w:rsidRPr="002C1B3A">
        <w:rPr>
          <w:rFonts w:cs="Times New Roman"/>
          <w:lang w:val="fr-CA"/>
        </w:rPr>
        <w:t xml:space="preserve">empiète pas sur le contenu essentiel de la compétence fédérale sur la navigation et les bâtiments ou navires.  Elle a statué que la </w:t>
      </w:r>
      <w:r w:rsidRPr="002C1B3A">
        <w:rPr>
          <w:rFonts w:cs="Times New Roman"/>
          <w:i/>
          <w:lang w:val="fr-CA"/>
        </w:rPr>
        <w:t>WHSCA</w:t>
      </w:r>
      <w:r w:rsidRPr="002C1B3A">
        <w:rPr>
          <w:rFonts w:cs="Times New Roman"/>
          <w:lang w:val="fr-CA"/>
        </w:rPr>
        <w:t xml:space="preserve"> constitue un régime d</w:t>
      </w:r>
      <w:r>
        <w:rPr>
          <w:rFonts w:cs="Times New Roman"/>
          <w:lang w:val="fr-CA"/>
        </w:rPr>
        <w:t>’</w:t>
      </w:r>
      <w:r w:rsidRPr="002C1B3A">
        <w:rPr>
          <w:rFonts w:cs="Times New Roman"/>
          <w:lang w:val="fr-CA"/>
        </w:rPr>
        <w:t xml:space="preserve">indemnisation des accidents du travail </w:t>
      </w:r>
      <w:r w:rsidRPr="002C1B3A">
        <w:rPr>
          <w:rFonts w:cs="Times New Roman"/>
          <w:lang w:val="fr-CA"/>
        </w:rPr>
        <w:lastRenderedPageBreak/>
        <w:t>qui ne s</w:t>
      </w:r>
      <w:r>
        <w:rPr>
          <w:rFonts w:cs="Times New Roman"/>
          <w:lang w:val="fr-CA"/>
        </w:rPr>
        <w:t>’</w:t>
      </w:r>
      <w:r w:rsidRPr="002C1B3A">
        <w:rPr>
          <w:rFonts w:cs="Times New Roman"/>
          <w:lang w:val="fr-CA"/>
        </w:rPr>
        <w:t>attache pas aux questions de négligence.  Pour cette raison, le raisonnement à la base de l</w:t>
      </w:r>
      <w:r>
        <w:rPr>
          <w:rFonts w:cs="Times New Roman"/>
          <w:lang w:val="fr-CA"/>
        </w:rPr>
        <w:t>’</w:t>
      </w:r>
      <w:r w:rsidRPr="002C1B3A">
        <w:rPr>
          <w:rFonts w:cs="Times New Roman"/>
          <w:lang w:val="fr-CA"/>
        </w:rPr>
        <w:t>arrêt de notre Cour dans l</w:t>
      </w:r>
      <w:r>
        <w:rPr>
          <w:rFonts w:cs="Times New Roman"/>
          <w:lang w:val="fr-CA"/>
        </w:rPr>
        <w:t>’</w:t>
      </w:r>
      <w:r w:rsidRPr="002C1B3A">
        <w:rPr>
          <w:rFonts w:cs="Times New Roman"/>
          <w:lang w:val="fr-CA"/>
        </w:rPr>
        <w:t xml:space="preserve">affaire </w:t>
      </w:r>
      <w:r w:rsidRPr="002C1B3A">
        <w:rPr>
          <w:rFonts w:cs="Times New Roman"/>
          <w:i/>
          <w:lang w:val="fr-CA"/>
        </w:rPr>
        <w:t>Ordon</w:t>
      </w:r>
      <w:r w:rsidRPr="002C1B3A">
        <w:rPr>
          <w:rFonts w:cs="Times New Roman"/>
          <w:lang w:val="fr-CA"/>
        </w:rPr>
        <w:t xml:space="preserve"> — à savoir que les règles de droit maritime relatives à la négligence représentent un élément essentiel de la compétence fédérale sur la navigation et les bâtiments ou navires — ne s</w:t>
      </w:r>
      <w:r>
        <w:rPr>
          <w:rFonts w:cs="Times New Roman"/>
          <w:lang w:val="fr-CA"/>
        </w:rPr>
        <w:t>’</w:t>
      </w:r>
      <w:r w:rsidRPr="002C1B3A">
        <w:rPr>
          <w:rFonts w:cs="Times New Roman"/>
          <w:lang w:val="fr-CA"/>
        </w:rPr>
        <w:t>applique pas aux lois sur les accidents du travail.</w:t>
      </w:r>
    </w:p>
    <w:p w:rsidR="00931170" w:rsidRPr="002C1B3A" w:rsidRDefault="00931170" w:rsidP="00FB265C">
      <w:pPr>
        <w:pStyle w:val="TitleTitre-AltT"/>
        <w:keepNext/>
        <w:tabs>
          <w:tab w:val="clear" w:pos="360"/>
          <w:tab w:val="left" w:pos="540"/>
        </w:tabs>
        <w:ind w:left="540" w:hanging="540"/>
        <w:rPr>
          <w:rFonts w:cs="Times New Roman"/>
          <w:u w:val="single"/>
          <w:lang w:val="fr-CA"/>
        </w:rPr>
      </w:pPr>
      <w:r w:rsidRPr="002C1B3A">
        <w:rPr>
          <w:rFonts w:cs="Times New Roman"/>
          <w:lang w:val="fr-CA"/>
        </w:rPr>
        <w:t>IV.</w:t>
      </w:r>
      <w:r w:rsidRPr="002C1B3A">
        <w:rPr>
          <w:rFonts w:cs="Times New Roman"/>
          <w:lang w:val="fr-CA"/>
        </w:rPr>
        <w:tab/>
      </w:r>
      <w:r w:rsidRPr="002C1B3A">
        <w:rPr>
          <w:rFonts w:cs="Times New Roman"/>
          <w:u w:val="single"/>
          <w:lang w:val="fr-CA"/>
        </w:rPr>
        <w:t>Analyse</w:t>
      </w:r>
    </w:p>
    <w:p w:rsidR="00931170" w:rsidRPr="002C1B3A" w:rsidRDefault="00931170" w:rsidP="00FB265C">
      <w:pPr>
        <w:pStyle w:val="TitleTitre-AltT"/>
        <w:keepNext/>
        <w:tabs>
          <w:tab w:val="clear" w:pos="360"/>
          <w:tab w:val="left" w:pos="540"/>
        </w:tabs>
        <w:ind w:left="540" w:hanging="540"/>
        <w:rPr>
          <w:rFonts w:cs="Times New Roman"/>
          <w:lang w:val="fr-CA"/>
        </w:rPr>
      </w:pPr>
      <w:r w:rsidRPr="002C1B3A">
        <w:rPr>
          <w:rFonts w:cs="Times New Roman"/>
          <w:lang w:val="fr-CA"/>
        </w:rPr>
        <w:t>A.</w:t>
      </w:r>
      <w:r w:rsidRPr="002C1B3A">
        <w:rPr>
          <w:rFonts w:cs="Times New Roman"/>
          <w:lang w:val="fr-CA"/>
        </w:rPr>
        <w:tab/>
      </w:r>
      <w:r w:rsidRPr="002C1B3A">
        <w:rPr>
          <w:rFonts w:cs="Times New Roman"/>
          <w:i/>
          <w:lang w:val="fr-CA"/>
        </w:rPr>
        <w:t xml:space="preserve">Questions en litige </w:t>
      </w:r>
    </w:p>
    <w:p w:rsidR="00931170" w:rsidRPr="002C1B3A" w:rsidRDefault="00931170" w:rsidP="00931170">
      <w:pPr>
        <w:pStyle w:val="ParaNoNdepar-AltN"/>
        <w:rPr>
          <w:rFonts w:cs="Times New Roman"/>
          <w:lang w:val="fr-CA"/>
        </w:rPr>
      </w:pPr>
      <w:r w:rsidRPr="002C1B3A">
        <w:rPr>
          <w:rFonts w:cs="Times New Roman"/>
          <w:lang w:val="fr-CA"/>
        </w:rPr>
        <w:t>Le présent pourvoi soulève deux aspects.  Premièrement, l</w:t>
      </w:r>
      <w:r>
        <w:rPr>
          <w:rFonts w:cs="Times New Roman"/>
          <w:lang w:val="fr-CA"/>
        </w:rPr>
        <w:t>’</w:t>
      </w:r>
      <w:r w:rsidRPr="002C1B3A">
        <w:rPr>
          <w:rFonts w:cs="Times New Roman"/>
          <w:lang w:val="fr-CA"/>
        </w:rPr>
        <w:t xml:space="preserve">art. 44 de la </w:t>
      </w:r>
      <w:r w:rsidRPr="002C1B3A">
        <w:rPr>
          <w:rFonts w:cs="Times New Roman"/>
          <w:i/>
          <w:lang w:val="fr-CA"/>
        </w:rPr>
        <w:t>WHSCA</w:t>
      </w:r>
      <w:r w:rsidRPr="002C1B3A">
        <w:rPr>
          <w:rFonts w:cs="Times New Roman"/>
          <w:lang w:val="fr-CA"/>
        </w:rPr>
        <w:t xml:space="preserve"> s</w:t>
      </w:r>
      <w:r>
        <w:rPr>
          <w:rFonts w:cs="Times New Roman"/>
          <w:lang w:val="fr-CA"/>
        </w:rPr>
        <w:t>’</w:t>
      </w:r>
      <w:r w:rsidRPr="002C1B3A">
        <w:rPr>
          <w:rFonts w:cs="Times New Roman"/>
          <w:lang w:val="fr-CA"/>
        </w:rPr>
        <w:t>applique</w:t>
      </w:r>
      <w:r w:rsidRPr="002C1B3A">
        <w:rPr>
          <w:rFonts w:cs="Times New Roman"/>
          <w:lang w:val="fr-CA"/>
        </w:rPr>
        <w:noBreakHyphen/>
        <w:t>t</w:t>
      </w:r>
      <w:r w:rsidRPr="002C1B3A">
        <w:rPr>
          <w:rFonts w:cs="Times New Roman"/>
          <w:lang w:val="fr-CA"/>
        </w:rPr>
        <w:noBreakHyphen/>
        <w:t>il eu égard aux faits de l</w:t>
      </w:r>
      <w:r>
        <w:rPr>
          <w:rFonts w:cs="Times New Roman"/>
          <w:lang w:val="fr-CA"/>
        </w:rPr>
        <w:t>’</w:t>
      </w:r>
      <w:r w:rsidRPr="002C1B3A">
        <w:rPr>
          <w:rFonts w:cs="Times New Roman"/>
          <w:lang w:val="fr-CA"/>
        </w:rPr>
        <w:t>espèce?  Deuxièmement, si l</w:t>
      </w:r>
      <w:r>
        <w:rPr>
          <w:rFonts w:cs="Times New Roman"/>
          <w:lang w:val="fr-CA"/>
        </w:rPr>
        <w:t>’</w:t>
      </w:r>
      <w:r w:rsidRPr="002C1B3A">
        <w:rPr>
          <w:rFonts w:cs="Times New Roman"/>
          <w:lang w:val="fr-CA"/>
        </w:rPr>
        <w:t>art. 44 s</w:t>
      </w:r>
      <w:r>
        <w:rPr>
          <w:rFonts w:cs="Times New Roman"/>
          <w:lang w:val="fr-CA"/>
        </w:rPr>
        <w:t>’</w:t>
      </w:r>
      <w:r w:rsidRPr="002C1B3A">
        <w:rPr>
          <w:rFonts w:cs="Times New Roman"/>
          <w:lang w:val="fr-CA"/>
        </w:rPr>
        <w:t>applique, est</w:t>
      </w:r>
      <w:r w:rsidRPr="002C1B3A">
        <w:rPr>
          <w:rFonts w:cs="Times New Roman"/>
          <w:lang w:val="fr-CA"/>
        </w:rPr>
        <w:noBreakHyphen/>
        <w:t xml:space="preserve">il, sur le plan constitutionnel, applicable et opérant?  Relativement au deuxième aspect, la </w:t>
      </w:r>
      <w:r w:rsidR="00FB265C">
        <w:rPr>
          <w:rFonts w:cs="Times New Roman"/>
          <w:lang w:val="fr-CA"/>
        </w:rPr>
        <w:t>J</w:t>
      </w:r>
      <w:r w:rsidRPr="002C1B3A">
        <w:rPr>
          <w:rFonts w:cs="Times New Roman"/>
          <w:lang w:val="fr-CA"/>
        </w:rPr>
        <w:t>uge en chef a formulé deux questions constitutionnelles :</w:t>
      </w:r>
    </w:p>
    <w:p w:rsidR="00931170" w:rsidRPr="002C1B3A" w:rsidRDefault="00931170" w:rsidP="00FB265C">
      <w:pPr>
        <w:pStyle w:val="Citation-AltC"/>
        <w:tabs>
          <w:tab w:val="left" w:pos="1170"/>
        </w:tabs>
        <w:spacing w:after="240"/>
        <w:ind w:left="1620" w:hanging="1256"/>
        <w:contextualSpacing w:val="0"/>
        <w:rPr>
          <w:lang w:val="fr-CA"/>
        </w:rPr>
      </w:pPr>
      <w:r w:rsidRPr="002C1B3A">
        <w:rPr>
          <w:lang w:val="fr-CA"/>
        </w:rPr>
        <w:tab/>
        <w:t>1.</w:t>
      </w:r>
      <w:r w:rsidRPr="002C1B3A">
        <w:rPr>
          <w:lang w:val="fr-CA"/>
        </w:rPr>
        <w:tab/>
        <w:t>Est</w:t>
      </w:r>
      <w:r w:rsidRPr="002C1B3A">
        <w:rPr>
          <w:lang w:val="fr-CA"/>
        </w:rPr>
        <w:noBreakHyphen/>
        <w:t>ce que l</w:t>
      </w:r>
      <w:r>
        <w:rPr>
          <w:lang w:val="fr-CA"/>
        </w:rPr>
        <w:t>’</w:t>
      </w:r>
      <w:r w:rsidRPr="002C1B3A">
        <w:rPr>
          <w:lang w:val="fr-CA"/>
        </w:rPr>
        <w:t xml:space="preserve">art. 44 de la loi intitulée </w:t>
      </w:r>
      <w:r w:rsidRPr="002C1B3A">
        <w:rPr>
          <w:i/>
          <w:lang w:val="fr-CA"/>
        </w:rPr>
        <w:t>Workplace Health, Safety and Compensation Act</w:t>
      </w:r>
      <w:r w:rsidRPr="002C1B3A">
        <w:rPr>
          <w:lang w:val="fr-CA"/>
        </w:rPr>
        <w:t>, R.S.N.L. 1990, ch. W</w:t>
      </w:r>
      <w:r w:rsidRPr="002C1B3A">
        <w:rPr>
          <w:lang w:val="fr-CA"/>
        </w:rPr>
        <w:noBreakHyphen/>
        <w:t>11, est inopérant du point de vue constitutionnel, en raison de la doctrine de la prépondérance des lois fédérales, à l</w:t>
      </w:r>
      <w:r>
        <w:rPr>
          <w:lang w:val="fr-CA"/>
        </w:rPr>
        <w:t>’</w:t>
      </w:r>
      <w:r w:rsidRPr="002C1B3A">
        <w:rPr>
          <w:lang w:val="fr-CA"/>
        </w:rPr>
        <w:t>égard des actions en négligence fondées sur le droit maritime fédéral qui sont présentées en vertu de l</w:t>
      </w:r>
      <w:r>
        <w:rPr>
          <w:lang w:val="fr-CA"/>
        </w:rPr>
        <w:t>’</w:t>
      </w:r>
      <w:r w:rsidRPr="002C1B3A">
        <w:rPr>
          <w:lang w:val="fr-CA"/>
        </w:rPr>
        <w:t xml:space="preserve">art. 6 de la </w:t>
      </w:r>
      <w:r w:rsidRPr="002C1B3A">
        <w:rPr>
          <w:i/>
          <w:lang w:val="fr-CA"/>
        </w:rPr>
        <w:t>Loi sur la responsabilité en matière maritime</w:t>
      </w:r>
      <w:r w:rsidRPr="002C1B3A">
        <w:rPr>
          <w:lang w:val="fr-CA"/>
        </w:rPr>
        <w:t>, L.C. 2001, ch. 6?</w:t>
      </w:r>
    </w:p>
    <w:p w:rsidR="00931170" w:rsidRPr="002C1B3A" w:rsidRDefault="00931170" w:rsidP="00FB265C">
      <w:pPr>
        <w:pStyle w:val="Citation-AltC"/>
        <w:tabs>
          <w:tab w:val="left" w:pos="1170"/>
        </w:tabs>
        <w:ind w:left="1620" w:hanging="1260"/>
        <w:contextualSpacing w:val="0"/>
        <w:rPr>
          <w:lang w:val="fr-CA"/>
        </w:rPr>
      </w:pPr>
      <w:r w:rsidRPr="002C1B3A">
        <w:rPr>
          <w:lang w:val="fr-CA"/>
        </w:rPr>
        <w:tab/>
        <w:t>2.</w:t>
      </w:r>
      <w:r w:rsidRPr="002C1B3A">
        <w:rPr>
          <w:lang w:val="fr-CA"/>
        </w:rPr>
        <w:tab/>
        <w:t>Est</w:t>
      </w:r>
      <w:r w:rsidRPr="002C1B3A">
        <w:rPr>
          <w:lang w:val="fr-CA"/>
        </w:rPr>
        <w:noBreakHyphen/>
        <w:t>ce que l</w:t>
      </w:r>
      <w:r>
        <w:rPr>
          <w:lang w:val="fr-CA"/>
        </w:rPr>
        <w:t>’</w:t>
      </w:r>
      <w:r w:rsidRPr="002C1B3A">
        <w:rPr>
          <w:lang w:val="fr-CA"/>
        </w:rPr>
        <w:t xml:space="preserve">art. 44 de la loi intitulée </w:t>
      </w:r>
      <w:r w:rsidRPr="002C1B3A">
        <w:rPr>
          <w:i/>
          <w:lang w:val="fr-CA"/>
        </w:rPr>
        <w:t>Workplace Health, Safety and Compensation Act</w:t>
      </w:r>
      <w:r w:rsidRPr="002C1B3A">
        <w:rPr>
          <w:lang w:val="fr-CA"/>
        </w:rPr>
        <w:t>, R.S.N.L. 1990, ch. W</w:t>
      </w:r>
      <w:r w:rsidRPr="002C1B3A">
        <w:rPr>
          <w:lang w:val="fr-CA"/>
        </w:rPr>
        <w:noBreakHyphen/>
        <w:t>11, est inapplicable du point de vue constitutionnel, en raison de la doctrine de l</w:t>
      </w:r>
      <w:r>
        <w:rPr>
          <w:lang w:val="fr-CA"/>
        </w:rPr>
        <w:t>’</w:t>
      </w:r>
      <w:r w:rsidRPr="002C1B3A">
        <w:rPr>
          <w:lang w:val="fr-CA"/>
        </w:rPr>
        <w:t>exclusivité des compétences, à l</w:t>
      </w:r>
      <w:r>
        <w:rPr>
          <w:lang w:val="fr-CA"/>
        </w:rPr>
        <w:t>’</w:t>
      </w:r>
      <w:r w:rsidRPr="002C1B3A">
        <w:rPr>
          <w:lang w:val="fr-CA"/>
        </w:rPr>
        <w:t>égard des actions en négligence fondées sur le droit maritime fédéral qui sont présentées en vertu de l</w:t>
      </w:r>
      <w:r>
        <w:rPr>
          <w:lang w:val="fr-CA"/>
        </w:rPr>
        <w:t>’</w:t>
      </w:r>
      <w:r w:rsidRPr="002C1B3A">
        <w:rPr>
          <w:lang w:val="fr-CA"/>
        </w:rPr>
        <w:t xml:space="preserve">art. 6 de la </w:t>
      </w:r>
      <w:r w:rsidRPr="002C1B3A">
        <w:rPr>
          <w:i/>
          <w:lang w:val="fr-CA"/>
        </w:rPr>
        <w:t>Loi sur la responsabilité en matière maritime</w:t>
      </w:r>
      <w:r w:rsidRPr="002C1B3A">
        <w:rPr>
          <w:lang w:val="fr-CA"/>
        </w:rPr>
        <w:t>, L.C. 2001, ch. 6?</w:t>
      </w:r>
    </w:p>
    <w:p w:rsidR="00931170" w:rsidRPr="002C1B3A" w:rsidRDefault="00931170" w:rsidP="00FB265C">
      <w:pPr>
        <w:pStyle w:val="TitleTitre-AltT"/>
        <w:keepNext/>
        <w:tabs>
          <w:tab w:val="clear" w:pos="360"/>
          <w:tab w:val="left" w:pos="540"/>
        </w:tabs>
        <w:ind w:left="540" w:hanging="540"/>
        <w:rPr>
          <w:rFonts w:cs="Times New Roman"/>
          <w:i/>
          <w:lang w:val="fr-CA"/>
        </w:rPr>
      </w:pPr>
      <w:r w:rsidRPr="002C1B3A">
        <w:rPr>
          <w:rFonts w:cs="Times New Roman"/>
          <w:lang w:val="fr-CA"/>
        </w:rPr>
        <w:lastRenderedPageBreak/>
        <w:t>B.</w:t>
      </w:r>
      <w:r w:rsidRPr="002C1B3A">
        <w:rPr>
          <w:rFonts w:cs="Times New Roman"/>
          <w:lang w:val="fr-CA"/>
        </w:rPr>
        <w:tab/>
      </w:r>
      <w:r w:rsidRPr="002C1B3A">
        <w:rPr>
          <w:rFonts w:cs="Times New Roman"/>
          <w:i/>
          <w:lang w:val="fr-CA"/>
        </w:rPr>
        <w:t>Dispositions législatives pertinentes</w:t>
      </w:r>
    </w:p>
    <w:p w:rsidR="00931170" w:rsidRPr="002C1B3A" w:rsidRDefault="00931170" w:rsidP="00931170">
      <w:pPr>
        <w:pStyle w:val="ParaNoNdepar-AltN"/>
        <w:rPr>
          <w:rFonts w:cs="Times New Roman"/>
          <w:lang w:val="fr-CA"/>
        </w:rPr>
      </w:pPr>
      <w:r w:rsidRPr="002C1B3A">
        <w:rPr>
          <w:rFonts w:cs="Times New Roman"/>
          <w:lang w:val="fr-CA"/>
        </w:rPr>
        <w:t>Deux dispositions législatives sont pertinentes en l</w:t>
      </w:r>
      <w:r>
        <w:rPr>
          <w:rFonts w:cs="Times New Roman"/>
          <w:lang w:val="fr-CA"/>
        </w:rPr>
        <w:t>’</w:t>
      </w:r>
      <w:r w:rsidRPr="002C1B3A">
        <w:rPr>
          <w:rFonts w:cs="Times New Roman"/>
          <w:lang w:val="fr-CA"/>
        </w:rPr>
        <w:t>espèce : l</w:t>
      </w:r>
      <w:r>
        <w:rPr>
          <w:rFonts w:cs="Times New Roman"/>
          <w:lang w:val="fr-CA"/>
        </w:rPr>
        <w:t>’</w:t>
      </w:r>
      <w:r w:rsidRPr="002C1B3A">
        <w:rPr>
          <w:rFonts w:cs="Times New Roman"/>
          <w:lang w:val="fr-CA"/>
        </w:rPr>
        <w:t xml:space="preserve">art. 44 de la </w:t>
      </w:r>
      <w:r w:rsidRPr="002C1B3A">
        <w:rPr>
          <w:rFonts w:cs="Times New Roman"/>
          <w:i/>
          <w:lang w:val="fr-CA"/>
        </w:rPr>
        <w:t xml:space="preserve">WHSCA </w:t>
      </w:r>
      <w:r w:rsidRPr="002C1B3A">
        <w:rPr>
          <w:rFonts w:cs="Times New Roman"/>
          <w:lang w:val="fr-CA"/>
        </w:rPr>
        <w:t xml:space="preserve">et le par. 6(2) de la </w:t>
      </w:r>
      <w:r w:rsidRPr="002C1B3A">
        <w:rPr>
          <w:rFonts w:cs="Times New Roman"/>
          <w:i/>
          <w:lang w:val="fr-CA"/>
        </w:rPr>
        <w:t>LRMM</w:t>
      </w:r>
      <w:r w:rsidRPr="002C1B3A">
        <w:rPr>
          <w:rFonts w:cs="Times New Roman"/>
          <w:lang w:val="fr-CA"/>
        </w:rPr>
        <w:t>.</w:t>
      </w:r>
      <w:r w:rsidRPr="002C1B3A">
        <w:rPr>
          <w:rFonts w:cs="Times New Roman"/>
          <w:i/>
          <w:lang w:val="fr-CA"/>
        </w:rPr>
        <w:t xml:space="preserve"> </w:t>
      </w:r>
      <w:r w:rsidRPr="002C1B3A">
        <w:rPr>
          <w:rFonts w:cs="Times New Roman"/>
          <w:lang w:val="fr-CA"/>
        </w:rPr>
        <w:t>L</w:t>
      </w:r>
      <w:r>
        <w:rPr>
          <w:rFonts w:cs="Times New Roman"/>
          <w:lang w:val="fr-CA"/>
        </w:rPr>
        <w:t>’</w:t>
      </w:r>
      <w:r w:rsidRPr="002C1B3A">
        <w:rPr>
          <w:rFonts w:cs="Times New Roman"/>
          <w:lang w:val="fr-CA"/>
        </w:rPr>
        <w:t xml:space="preserve">article 44 de la </w:t>
      </w:r>
      <w:r w:rsidRPr="002C1B3A">
        <w:rPr>
          <w:rFonts w:cs="Times New Roman"/>
          <w:i/>
          <w:lang w:val="fr-CA"/>
        </w:rPr>
        <w:t>WHSCA</w:t>
      </w:r>
      <w:r w:rsidRPr="002C1B3A">
        <w:rPr>
          <w:rFonts w:cs="Times New Roman"/>
          <w:lang w:val="fr-CA"/>
        </w:rPr>
        <w:t xml:space="preserve"> est rédigé ainsi :</w:t>
      </w:r>
    </w:p>
    <w:p w:rsidR="00931170" w:rsidRPr="002C1B3A" w:rsidRDefault="00931170" w:rsidP="00931170">
      <w:pPr>
        <w:pStyle w:val="Citation-AltC"/>
        <w:spacing w:after="240"/>
        <w:ind w:left="1168"/>
        <w:contextualSpacing w:val="0"/>
        <w:rPr>
          <w:lang w:val="fr-CA"/>
        </w:rPr>
      </w:pPr>
      <w:r w:rsidRPr="002C1B3A">
        <w:rPr>
          <w:lang w:val="fr-CA"/>
        </w:rPr>
        <w:t>[</w:t>
      </w:r>
      <w:r w:rsidRPr="002C1B3A">
        <w:rPr>
          <w:smallCaps/>
          <w:lang w:val="fr-CA"/>
        </w:rPr>
        <w:t>traduction</w:t>
      </w:r>
      <w:r w:rsidRPr="002C1B3A">
        <w:rPr>
          <w:lang w:val="fr-CA"/>
        </w:rPr>
        <w:t>]</w:t>
      </w:r>
    </w:p>
    <w:p w:rsidR="00931170" w:rsidRPr="002C1B3A" w:rsidRDefault="00931170" w:rsidP="00931170">
      <w:pPr>
        <w:pStyle w:val="Citation-AltC"/>
        <w:tabs>
          <w:tab w:val="left" w:pos="1710"/>
          <w:tab w:val="left" w:pos="2160"/>
        </w:tabs>
        <w:spacing w:after="240"/>
        <w:ind w:left="1168" w:hanging="1168"/>
        <w:contextualSpacing w:val="0"/>
        <w:rPr>
          <w:lang w:val="fr-CA"/>
        </w:rPr>
      </w:pPr>
      <w:r w:rsidRPr="002C1B3A">
        <w:rPr>
          <w:b/>
          <w:lang w:val="fr-CA"/>
        </w:rPr>
        <w:tab/>
      </w:r>
      <w:r w:rsidR="00FB265C">
        <w:rPr>
          <w:b/>
          <w:lang w:val="fr-CA"/>
        </w:rPr>
        <w:tab/>
      </w:r>
      <w:r w:rsidRPr="002C1B3A">
        <w:rPr>
          <w:b/>
          <w:lang w:val="fr-CA"/>
        </w:rPr>
        <w:t>44.</w:t>
      </w:r>
      <w:r w:rsidRPr="002C1B3A">
        <w:rPr>
          <w:lang w:val="fr-CA"/>
        </w:rPr>
        <w:t> </w:t>
      </w:r>
      <w:r w:rsidRPr="002C1B3A">
        <w:rPr>
          <w:rStyle w:val="canliisectionwithsubsection"/>
          <w:lang w:val="fr-CA"/>
        </w:rPr>
        <w:t>(1)</w:t>
      </w:r>
      <w:r w:rsidR="00FB265C">
        <w:rPr>
          <w:rStyle w:val="canliisectionwithsubsection"/>
          <w:lang w:val="fr-CA"/>
        </w:rPr>
        <w:t xml:space="preserve">  </w:t>
      </w:r>
      <w:r w:rsidRPr="002C1B3A">
        <w:rPr>
          <w:lang w:val="fr-CA"/>
        </w:rPr>
        <w:t>Le droit à l</w:t>
      </w:r>
      <w:r>
        <w:rPr>
          <w:lang w:val="fr-CA"/>
        </w:rPr>
        <w:t>’</w:t>
      </w:r>
      <w:r w:rsidRPr="002C1B3A">
        <w:rPr>
          <w:lang w:val="fr-CA"/>
        </w:rPr>
        <w:t>indemnité prévue par la présente loi remplace les droits et droits d</w:t>
      </w:r>
      <w:r>
        <w:rPr>
          <w:lang w:val="fr-CA"/>
        </w:rPr>
        <w:t>’</w:t>
      </w:r>
      <w:r w:rsidRPr="002C1B3A">
        <w:rPr>
          <w:lang w:val="fr-CA"/>
        </w:rPr>
        <w:t>action, d</w:t>
      </w:r>
      <w:r>
        <w:rPr>
          <w:lang w:val="fr-CA"/>
        </w:rPr>
        <w:t>’</w:t>
      </w:r>
      <w:r w:rsidRPr="002C1B3A">
        <w:rPr>
          <w:lang w:val="fr-CA"/>
        </w:rPr>
        <w:t>origine législative ou autre,</w:t>
      </w:r>
      <w:r>
        <w:rPr>
          <w:lang w:val="fr-CA"/>
        </w:rPr>
        <w:t xml:space="preserve"> </w:t>
      </w:r>
      <w:r w:rsidRPr="002C1B3A">
        <w:rPr>
          <w:lang w:val="fr-CA"/>
        </w:rPr>
        <w:t>qu</w:t>
      </w:r>
      <w:r>
        <w:rPr>
          <w:lang w:val="fr-CA"/>
        </w:rPr>
        <w:t>’</w:t>
      </w:r>
      <w:r w:rsidRPr="002C1B3A">
        <w:rPr>
          <w:lang w:val="fr-CA"/>
        </w:rPr>
        <w:t>ont le travailleur ou les personnes à sa charge contre un employeur ou un travailleur en raison de blessures à l</w:t>
      </w:r>
      <w:r>
        <w:rPr>
          <w:lang w:val="fr-CA"/>
        </w:rPr>
        <w:t>’</w:t>
      </w:r>
      <w:r w:rsidRPr="002C1B3A">
        <w:rPr>
          <w:lang w:val="fr-CA"/>
        </w:rPr>
        <w:t xml:space="preserve">égard desquelles une indemnité est payable ou que subit le travailleur dans le cours de ses fonctions. </w:t>
      </w:r>
    </w:p>
    <w:p w:rsidR="00931170" w:rsidRPr="002C1B3A" w:rsidRDefault="00931170" w:rsidP="00FB265C">
      <w:pPr>
        <w:pStyle w:val="Citation-AltC"/>
        <w:tabs>
          <w:tab w:val="left" w:pos="1710"/>
          <w:tab w:val="left" w:pos="2160"/>
        </w:tabs>
        <w:spacing w:after="240"/>
        <w:ind w:left="1168" w:hanging="1168"/>
        <w:contextualSpacing w:val="0"/>
        <w:rPr>
          <w:shd w:val="clear" w:color="auto" w:fill="FFFF00"/>
          <w:lang w:val="fr-CA"/>
        </w:rPr>
      </w:pPr>
      <w:r w:rsidRPr="002C1B3A">
        <w:rPr>
          <w:rStyle w:val="canliisubsection"/>
          <w:lang w:val="fr-CA"/>
        </w:rPr>
        <w:tab/>
      </w:r>
      <w:r w:rsidR="00FB265C">
        <w:rPr>
          <w:rStyle w:val="canliisubsection"/>
          <w:lang w:val="fr-CA"/>
        </w:rPr>
        <w:tab/>
      </w:r>
      <w:r w:rsidRPr="002C1B3A">
        <w:rPr>
          <w:rStyle w:val="canliisubsection"/>
          <w:lang w:val="fr-CA"/>
        </w:rPr>
        <w:t>(2)</w:t>
      </w:r>
      <w:r w:rsidRPr="002C1B3A">
        <w:rPr>
          <w:rStyle w:val="canliisubsection"/>
          <w:lang w:val="fr-CA"/>
        </w:rPr>
        <w:tab/>
      </w:r>
      <w:r w:rsidRPr="002C1B3A">
        <w:rPr>
          <w:lang w:val="fr-CA"/>
        </w:rPr>
        <w:t>Le travailleur, son représentant personnel, les personnes à sa charge et son employeur ne disposent d</w:t>
      </w:r>
      <w:r>
        <w:rPr>
          <w:lang w:val="fr-CA"/>
        </w:rPr>
        <w:t>’</w:t>
      </w:r>
      <w:r w:rsidRPr="002C1B3A">
        <w:rPr>
          <w:lang w:val="fr-CA"/>
        </w:rPr>
        <w:t>aucun droit d</w:t>
      </w:r>
      <w:r>
        <w:rPr>
          <w:lang w:val="fr-CA"/>
        </w:rPr>
        <w:t>’</w:t>
      </w:r>
      <w:r w:rsidRPr="002C1B3A">
        <w:rPr>
          <w:lang w:val="fr-CA"/>
        </w:rPr>
        <w:t>action pour cause de blessures contre un employeur ou un travailleur de ce dernier, sauf si les blessures sont survenues autrement que dans le cours des activités habituelles ou accessoires menées dans l</w:t>
      </w:r>
      <w:r>
        <w:rPr>
          <w:lang w:val="fr-CA"/>
        </w:rPr>
        <w:t>’</w:t>
      </w:r>
      <w:r w:rsidRPr="002C1B3A">
        <w:rPr>
          <w:lang w:val="fr-CA"/>
        </w:rPr>
        <w:t>industrie à laquelle participe l</w:t>
      </w:r>
      <w:r>
        <w:rPr>
          <w:lang w:val="fr-CA"/>
        </w:rPr>
        <w:t>’</w:t>
      </w:r>
      <w:r w:rsidRPr="002C1B3A">
        <w:rPr>
          <w:lang w:val="fr-CA"/>
        </w:rPr>
        <w:t>employeur.</w:t>
      </w:r>
    </w:p>
    <w:p w:rsidR="00931170" w:rsidRPr="002C1B3A" w:rsidRDefault="00931170" w:rsidP="00FB265C">
      <w:pPr>
        <w:pStyle w:val="Citation-AltC"/>
        <w:tabs>
          <w:tab w:val="left" w:pos="1710"/>
          <w:tab w:val="left" w:pos="2160"/>
        </w:tabs>
        <w:ind w:hanging="1166"/>
        <w:contextualSpacing w:val="0"/>
        <w:rPr>
          <w:lang w:val="fr-CA"/>
        </w:rPr>
      </w:pPr>
      <w:r w:rsidRPr="002C1B3A">
        <w:rPr>
          <w:rStyle w:val="canliisubsection"/>
          <w:lang w:val="fr-CA"/>
        </w:rPr>
        <w:tab/>
      </w:r>
      <w:r w:rsidR="00FB265C">
        <w:rPr>
          <w:rStyle w:val="canliisubsection"/>
          <w:lang w:val="fr-CA"/>
        </w:rPr>
        <w:tab/>
      </w:r>
      <w:r w:rsidRPr="002C1B3A">
        <w:rPr>
          <w:rStyle w:val="canliisubsection"/>
          <w:lang w:val="fr-CA"/>
        </w:rPr>
        <w:t>(3)</w:t>
      </w:r>
      <w:r w:rsidRPr="002C1B3A">
        <w:rPr>
          <w:lang w:val="fr-CA"/>
        </w:rPr>
        <w:tab/>
        <w:t>Aucune action ne peut être intentée pour obtenir l</w:t>
      </w:r>
      <w:r>
        <w:rPr>
          <w:lang w:val="fr-CA"/>
        </w:rPr>
        <w:t>’</w:t>
      </w:r>
      <w:r w:rsidRPr="002C1B3A">
        <w:rPr>
          <w:lang w:val="fr-CA"/>
        </w:rPr>
        <w:t>indemnité prévue par la présente loi.  Les demandes d</w:t>
      </w:r>
      <w:r>
        <w:rPr>
          <w:lang w:val="fr-CA"/>
        </w:rPr>
        <w:t>’</w:t>
      </w:r>
      <w:r w:rsidRPr="002C1B3A">
        <w:rPr>
          <w:lang w:val="fr-CA"/>
        </w:rPr>
        <w:t xml:space="preserve">indemnité sont tranchées par la Commission. </w:t>
      </w:r>
    </w:p>
    <w:p w:rsidR="00931170" w:rsidRPr="002C1B3A" w:rsidRDefault="00931170" w:rsidP="00931170">
      <w:pPr>
        <w:pStyle w:val="ParaNoNdepar-AltN"/>
        <w:rPr>
          <w:rFonts w:cs="Times New Roman"/>
          <w:lang w:val="fr-CA"/>
        </w:rPr>
      </w:pPr>
      <w:r w:rsidRPr="002C1B3A">
        <w:rPr>
          <w:rFonts w:cs="Times New Roman"/>
          <w:lang w:val="fr-CA"/>
        </w:rPr>
        <w:t xml:space="preserve">Le paragraphe 6(2) de la </w:t>
      </w:r>
      <w:r w:rsidRPr="002C1B3A">
        <w:rPr>
          <w:rFonts w:cs="Times New Roman"/>
          <w:i/>
          <w:lang w:val="fr-CA"/>
        </w:rPr>
        <w:t xml:space="preserve">LRMM </w:t>
      </w:r>
      <w:r w:rsidRPr="002C1B3A">
        <w:rPr>
          <w:rFonts w:cs="Times New Roman"/>
          <w:lang w:val="fr-CA"/>
        </w:rPr>
        <w:t>est rédigé comme suit :</w:t>
      </w:r>
    </w:p>
    <w:p w:rsidR="00931170" w:rsidRPr="002C1B3A" w:rsidRDefault="00931170" w:rsidP="00931170">
      <w:pPr>
        <w:pStyle w:val="Citation-AltC"/>
        <w:tabs>
          <w:tab w:val="left" w:pos="1530"/>
        </w:tabs>
        <w:spacing w:after="240"/>
        <w:ind w:hanging="1166"/>
        <w:contextualSpacing w:val="0"/>
        <w:rPr>
          <w:lang w:val="fr-CA"/>
        </w:rPr>
      </w:pPr>
      <w:r w:rsidRPr="002C1B3A">
        <w:rPr>
          <w:b/>
          <w:bCs/>
          <w:lang w:val="fr-CA"/>
        </w:rPr>
        <w:tab/>
      </w:r>
      <w:r w:rsidRPr="002C1B3A">
        <w:rPr>
          <w:b/>
          <w:bCs/>
          <w:lang w:val="fr-CA"/>
        </w:rPr>
        <w:tab/>
        <w:t>6.</w:t>
      </w:r>
      <w:r w:rsidRPr="002C1B3A">
        <w:rPr>
          <w:lang w:val="fr-CA"/>
        </w:rPr>
        <w:t> . . .</w:t>
      </w:r>
    </w:p>
    <w:p w:rsidR="00931170" w:rsidRPr="002C1B3A" w:rsidRDefault="00931170" w:rsidP="00931170">
      <w:pPr>
        <w:pStyle w:val="Citation-AltC"/>
        <w:tabs>
          <w:tab w:val="left" w:pos="1530"/>
        </w:tabs>
        <w:ind w:hanging="1166"/>
        <w:rPr>
          <w:rFonts w:eastAsiaTheme="minorHAnsi"/>
          <w:szCs w:val="22"/>
          <w:lang w:val="fr-CA" w:eastAsia="en-US"/>
        </w:rPr>
      </w:pPr>
      <w:r w:rsidRPr="002C1B3A">
        <w:rPr>
          <w:lang w:val="fr-CA"/>
        </w:rPr>
        <w:tab/>
      </w:r>
      <w:r w:rsidRPr="002C1B3A">
        <w:rPr>
          <w:lang w:val="fr-CA"/>
        </w:rPr>
        <w:tab/>
        <w:t>(2)  Lorsqu</w:t>
      </w:r>
      <w:r>
        <w:rPr>
          <w:lang w:val="fr-CA"/>
        </w:rPr>
        <w:t>’</w:t>
      </w:r>
      <w:r w:rsidRPr="002C1B3A">
        <w:rPr>
          <w:lang w:val="fr-CA"/>
        </w:rPr>
        <w:t>une personne décède par suite de la faute ou de la négligence d</w:t>
      </w:r>
      <w:r>
        <w:rPr>
          <w:lang w:val="fr-CA"/>
        </w:rPr>
        <w:t>’</w:t>
      </w:r>
      <w:r w:rsidRPr="002C1B3A">
        <w:rPr>
          <w:lang w:val="fr-CA"/>
        </w:rPr>
        <w:t>autrui dans des circonstances qui, si le décès n</w:t>
      </w:r>
      <w:r>
        <w:rPr>
          <w:lang w:val="fr-CA"/>
        </w:rPr>
        <w:t>’</w:t>
      </w:r>
      <w:r w:rsidRPr="002C1B3A">
        <w:rPr>
          <w:lang w:val="fr-CA"/>
        </w:rPr>
        <w:t>en était pas résulté, lui auraient donné le droit de réclamer des dommages</w:t>
      </w:r>
      <w:r w:rsidRPr="002C1B3A">
        <w:rPr>
          <w:lang w:val="fr-CA"/>
        </w:rPr>
        <w:noBreakHyphen/>
        <w:t>intérêts, les personnes à sa charge peuvent saisir le tribunal compétent d</w:t>
      </w:r>
      <w:r>
        <w:rPr>
          <w:lang w:val="fr-CA"/>
        </w:rPr>
        <w:t>’</w:t>
      </w:r>
      <w:r w:rsidRPr="002C1B3A">
        <w:rPr>
          <w:lang w:val="fr-CA"/>
        </w:rPr>
        <w:t>une telle réclamation.</w:t>
      </w:r>
    </w:p>
    <w:p w:rsidR="00931170" w:rsidRPr="002C1B3A" w:rsidRDefault="00931170" w:rsidP="00FB265C">
      <w:pPr>
        <w:pStyle w:val="TitleTitre-AltT"/>
        <w:keepNext/>
        <w:tabs>
          <w:tab w:val="clear" w:pos="360"/>
          <w:tab w:val="left" w:pos="540"/>
        </w:tabs>
        <w:ind w:left="540" w:hanging="540"/>
        <w:rPr>
          <w:rFonts w:cs="Times New Roman"/>
          <w:lang w:val="fr-CA"/>
        </w:rPr>
      </w:pPr>
      <w:r w:rsidRPr="002C1B3A">
        <w:rPr>
          <w:rFonts w:cs="Times New Roman"/>
          <w:lang w:val="fr-CA"/>
        </w:rPr>
        <w:lastRenderedPageBreak/>
        <w:t>C.</w:t>
      </w:r>
      <w:r w:rsidRPr="002C1B3A">
        <w:rPr>
          <w:rFonts w:cs="Times New Roman"/>
          <w:lang w:val="fr-CA"/>
        </w:rPr>
        <w:tab/>
      </w:r>
      <w:r w:rsidRPr="002C1B3A">
        <w:rPr>
          <w:rFonts w:cs="Times New Roman"/>
          <w:i/>
          <w:lang w:val="fr-CA"/>
        </w:rPr>
        <w:t>Thèses des parties</w:t>
      </w:r>
    </w:p>
    <w:p w:rsidR="00931170" w:rsidRPr="002C1B3A" w:rsidRDefault="00931170" w:rsidP="00931170">
      <w:pPr>
        <w:pStyle w:val="TitleTitre-AltT"/>
        <w:keepNext/>
        <w:tabs>
          <w:tab w:val="clear" w:pos="360"/>
          <w:tab w:val="left" w:pos="1170"/>
        </w:tabs>
        <w:ind w:left="1620" w:hanging="1620"/>
        <w:rPr>
          <w:rFonts w:cs="Times New Roman"/>
          <w:u w:val="single"/>
          <w:lang w:val="fr-CA"/>
        </w:rPr>
      </w:pPr>
      <w:r w:rsidRPr="002C1B3A">
        <w:rPr>
          <w:rFonts w:cs="Times New Roman"/>
          <w:lang w:val="fr-CA"/>
        </w:rPr>
        <w:tab/>
        <w:t>(1)</w:t>
      </w:r>
      <w:r w:rsidRPr="002C1B3A">
        <w:rPr>
          <w:rFonts w:cs="Times New Roman"/>
          <w:lang w:val="fr-CA"/>
        </w:rPr>
        <w:tab/>
      </w:r>
      <w:r w:rsidRPr="002C1B3A">
        <w:rPr>
          <w:rFonts w:cs="Times New Roman"/>
          <w:u w:val="single"/>
          <w:lang w:val="fr-CA"/>
        </w:rPr>
        <w:t>Application de l</w:t>
      </w:r>
      <w:r>
        <w:rPr>
          <w:rFonts w:cs="Times New Roman"/>
          <w:u w:val="single"/>
          <w:lang w:val="fr-CA"/>
        </w:rPr>
        <w:t>’</w:t>
      </w:r>
      <w:r w:rsidRPr="002C1B3A">
        <w:rPr>
          <w:rFonts w:cs="Times New Roman"/>
          <w:u w:val="single"/>
          <w:lang w:val="fr-CA"/>
        </w:rPr>
        <w:t>art</w:t>
      </w:r>
      <w:r w:rsidR="00FB265C">
        <w:rPr>
          <w:rFonts w:cs="Times New Roman"/>
          <w:u w:val="single"/>
          <w:lang w:val="fr-CA"/>
        </w:rPr>
        <w:t>.</w:t>
      </w:r>
      <w:r w:rsidRPr="002C1B3A">
        <w:rPr>
          <w:rFonts w:cs="Times New Roman"/>
          <w:u w:val="single"/>
          <w:lang w:val="fr-CA"/>
        </w:rPr>
        <w:t xml:space="preserve"> 44 de la </w:t>
      </w:r>
      <w:r w:rsidRPr="002C1B3A">
        <w:rPr>
          <w:rFonts w:cs="Times New Roman"/>
          <w:i/>
          <w:u w:val="single"/>
          <w:lang w:val="fr-CA"/>
        </w:rPr>
        <w:t>WHSCA</w:t>
      </w:r>
    </w:p>
    <w:p w:rsidR="00931170" w:rsidRPr="002C1B3A" w:rsidRDefault="00931170" w:rsidP="00931170">
      <w:pPr>
        <w:pStyle w:val="ParaNoNdepar-AltN"/>
        <w:tabs>
          <w:tab w:val="clear" w:pos="1152"/>
          <w:tab w:val="left" w:pos="1166"/>
        </w:tabs>
        <w:rPr>
          <w:rFonts w:cs="Times New Roman"/>
          <w:lang w:val="fr-CA"/>
        </w:rPr>
      </w:pPr>
      <w:r w:rsidRPr="002C1B3A">
        <w:rPr>
          <w:rFonts w:cs="Times New Roman"/>
          <w:lang w:val="fr-CA"/>
        </w:rPr>
        <w:t xml:space="preserve">La première étape consiste à interpréter la </w:t>
      </w:r>
      <w:r w:rsidRPr="002C1B3A">
        <w:rPr>
          <w:rFonts w:cs="Times New Roman"/>
          <w:i/>
          <w:lang w:val="fr-CA"/>
        </w:rPr>
        <w:t>WHSCA</w:t>
      </w:r>
      <w:r w:rsidRPr="002C1B3A">
        <w:rPr>
          <w:rFonts w:cs="Times New Roman"/>
          <w:lang w:val="fr-CA"/>
        </w:rPr>
        <w:t xml:space="preserve"> et à délimiter son champ d</w:t>
      </w:r>
      <w:r>
        <w:rPr>
          <w:rFonts w:cs="Times New Roman"/>
          <w:lang w:val="fr-CA"/>
        </w:rPr>
        <w:t>’</w:t>
      </w:r>
      <w:r w:rsidRPr="002C1B3A">
        <w:rPr>
          <w:rFonts w:cs="Times New Roman"/>
          <w:lang w:val="fr-CA"/>
        </w:rPr>
        <w:t>application.  Bien que seules les successions Ryan traitent de cet aspect dans leur mémoire, il a toutefois été débattu en profondeur lors de l</w:t>
      </w:r>
      <w:r>
        <w:rPr>
          <w:rFonts w:cs="Times New Roman"/>
          <w:lang w:val="fr-CA"/>
        </w:rPr>
        <w:t>’</w:t>
      </w:r>
      <w:r w:rsidRPr="002C1B3A">
        <w:rPr>
          <w:rFonts w:cs="Times New Roman"/>
          <w:lang w:val="fr-CA"/>
        </w:rPr>
        <w:t>audience.  Les appelants soutiennent que l</w:t>
      </w:r>
      <w:r>
        <w:rPr>
          <w:rFonts w:cs="Times New Roman"/>
          <w:lang w:val="fr-CA"/>
        </w:rPr>
        <w:t>’</w:t>
      </w:r>
      <w:r w:rsidRPr="002C1B3A">
        <w:rPr>
          <w:rFonts w:cs="Times New Roman"/>
          <w:lang w:val="fr-CA"/>
        </w:rPr>
        <w:t xml:space="preserve">art. 44 de la </w:t>
      </w:r>
      <w:r w:rsidRPr="002C1B3A">
        <w:rPr>
          <w:rFonts w:cs="Times New Roman"/>
          <w:i/>
          <w:lang w:val="fr-CA"/>
        </w:rPr>
        <w:t xml:space="preserve">WHSCA </w:t>
      </w:r>
      <w:r w:rsidRPr="002C1B3A">
        <w:rPr>
          <w:rFonts w:cs="Times New Roman"/>
          <w:lang w:val="fr-CA"/>
        </w:rPr>
        <w:t>s</w:t>
      </w:r>
      <w:r>
        <w:rPr>
          <w:rFonts w:cs="Times New Roman"/>
          <w:lang w:val="fr-CA"/>
        </w:rPr>
        <w:t>’</w:t>
      </w:r>
      <w:r w:rsidRPr="002C1B3A">
        <w:rPr>
          <w:rFonts w:cs="Times New Roman"/>
          <w:lang w:val="fr-CA"/>
        </w:rPr>
        <w:t>applique et rend irrecevable l</w:t>
      </w:r>
      <w:r>
        <w:rPr>
          <w:rFonts w:cs="Times New Roman"/>
          <w:lang w:val="fr-CA"/>
        </w:rPr>
        <w:t>’</w:t>
      </w:r>
      <w:r w:rsidRPr="002C1B3A">
        <w:rPr>
          <w:rFonts w:cs="Times New Roman"/>
          <w:lang w:val="fr-CA"/>
        </w:rPr>
        <w:t xml:space="preserve">action introduite par les successions Ryan pour les motifs exprimés par la Commission : les appelants sont assujettis à la </w:t>
      </w:r>
      <w:r w:rsidRPr="002C1B3A">
        <w:rPr>
          <w:rFonts w:cs="Times New Roman"/>
          <w:i/>
          <w:lang w:val="fr-CA"/>
        </w:rPr>
        <w:t>WHSCA</w:t>
      </w:r>
      <w:r w:rsidRPr="002C1B3A">
        <w:rPr>
          <w:rFonts w:cs="Times New Roman"/>
          <w:lang w:val="fr-CA"/>
        </w:rPr>
        <w:t>, les frères Ryan ont été blessés dans le cours de leurs fonctions et il s</w:t>
      </w:r>
      <w:r>
        <w:rPr>
          <w:rFonts w:cs="Times New Roman"/>
          <w:lang w:val="fr-CA"/>
        </w:rPr>
        <w:t>’</w:t>
      </w:r>
      <w:r w:rsidRPr="002C1B3A">
        <w:rPr>
          <w:rFonts w:cs="Times New Roman"/>
          <w:lang w:val="fr-CA"/>
        </w:rPr>
        <w:t>agit de « blessures</w:t>
      </w:r>
      <w:r w:rsidR="00FB265C">
        <w:rPr>
          <w:rFonts w:cs="Times New Roman"/>
          <w:lang w:val="fr-CA"/>
        </w:rPr>
        <w:t xml:space="preserve"> [. . .]</w:t>
      </w:r>
      <w:r w:rsidRPr="002C1B3A">
        <w:rPr>
          <w:rFonts w:cs="Times New Roman"/>
          <w:lang w:val="fr-CA"/>
        </w:rPr>
        <w:t xml:space="preserve"> survenues [. . .] dans le cours des activités habituelles ou accessoires menées dans l</w:t>
      </w:r>
      <w:r>
        <w:rPr>
          <w:rFonts w:cs="Times New Roman"/>
          <w:lang w:val="fr-CA"/>
        </w:rPr>
        <w:t>’</w:t>
      </w:r>
      <w:r w:rsidRPr="002C1B3A">
        <w:rPr>
          <w:rFonts w:cs="Times New Roman"/>
          <w:lang w:val="fr-CA"/>
        </w:rPr>
        <w:t>industrie à laquelle participe » Marine Services.  Quant aux successions Ryan, elles répondent que l</w:t>
      </w:r>
      <w:r>
        <w:rPr>
          <w:rFonts w:cs="Times New Roman"/>
          <w:lang w:val="fr-CA"/>
        </w:rPr>
        <w:t>’</w:t>
      </w:r>
      <w:r w:rsidRPr="002C1B3A">
        <w:rPr>
          <w:rFonts w:cs="Times New Roman"/>
          <w:lang w:val="fr-CA"/>
        </w:rPr>
        <w:t>art. 44 ne s</w:t>
      </w:r>
      <w:r>
        <w:rPr>
          <w:rFonts w:cs="Times New Roman"/>
          <w:lang w:val="fr-CA"/>
        </w:rPr>
        <w:t>’</w:t>
      </w:r>
      <w:r w:rsidRPr="002C1B3A">
        <w:rPr>
          <w:rFonts w:cs="Times New Roman"/>
          <w:lang w:val="fr-CA"/>
        </w:rPr>
        <w:t>applique pas, parce que les frères Ryan ne travaillaient pas pour Marine Services au moment de l</w:t>
      </w:r>
      <w:r>
        <w:rPr>
          <w:rFonts w:cs="Times New Roman"/>
          <w:lang w:val="fr-CA"/>
        </w:rPr>
        <w:t>’</w:t>
      </w:r>
      <w:r w:rsidRPr="002C1B3A">
        <w:rPr>
          <w:rFonts w:cs="Times New Roman"/>
          <w:lang w:val="fr-CA"/>
        </w:rPr>
        <w:t>accident ayant entraîné leur décès.  Enfin, le procureur général du Canada n</w:t>
      </w:r>
      <w:r>
        <w:rPr>
          <w:rFonts w:cs="Times New Roman"/>
          <w:lang w:val="fr-CA"/>
        </w:rPr>
        <w:t>’</w:t>
      </w:r>
      <w:r w:rsidRPr="002C1B3A">
        <w:rPr>
          <w:rFonts w:cs="Times New Roman"/>
          <w:lang w:val="fr-CA"/>
        </w:rPr>
        <w:t>a présenté aucune observation sur ce point.</w:t>
      </w:r>
    </w:p>
    <w:p w:rsidR="00931170" w:rsidRPr="002C1B3A" w:rsidRDefault="00931170" w:rsidP="00931170">
      <w:pPr>
        <w:pStyle w:val="TitleTitre-AltT"/>
        <w:keepNext/>
        <w:tabs>
          <w:tab w:val="clear" w:pos="360"/>
          <w:tab w:val="left" w:pos="1170"/>
        </w:tabs>
        <w:ind w:left="1620" w:hanging="1620"/>
        <w:rPr>
          <w:rFonts w:cs="Times New Roman"/>
          <w:u w:val="single"/>
          <w:lang w:val="fr-CA"/>
        </w:rPr>
      </w:pPr>
      <w:r w:rsidRPr="002C1B3A">
        <w:rPr>
          <w:rFonts w:cs="Times New Roman"/>
          <w:lang w:val="fr-CA"/>
        </w:rPr>
        <w:tab/>
        <w:t>(2)</w:t>
      </w:r>
      <w:r w:rsidRPr="002C1B3A">
        <w:rPr>
          <w:rFonts w:cs="Times New Roman"/>
          <w:lang w:val="fr-CA"/>
        </w:rPr>
        <w:tab/>
      </w:r>
      <w:r w:rsidRPr="002C1B3A">
        <w:rPr>
          <w:rFonts w:cs="Times New Roman"/>
          <w:u w:val="single"/>
          <w:lang w:val="fr-CA"/>
        </w:rPr>
        <w:t>Applicabilité et opérabilité de l</w:t>
      </w:r>
      <w:r>
        <w:rPr>
          <w:rFonts w:cs="Times New Roman"/>
          <w:u w:val="single"/>
          <w:lang w:val="fr-CA"/>
        </w:rPr>
        <w:t>’</w:t>
      </w:r>
      <w:r w:rsidRPr="002C1B3A">
        <w:rPr>
          <w:rFonts w:cs="Times New Roman"/>
          <w:u w:val="single"/>
          <w:lang w:val="fr-CA"/>
        </w:rPr>
        <w:t>art</w:t>
      </w:r>
      <w:r w:rsidR="00B046BA">
        <w:rPr>
          <w:rFonts w:cs="Times New Roman"/>
          <w:u w:val="single"/>
          <w:lang w:val="fr-CA"/>
        </w:rPr>
        <w:t>.</w:t>
      </w:r>
      <w:r w:rsidRPr="002C1B3A">
        <w:rPr>
          <w:rFonts w:cs="Times New Roman"/>
          <w:u w:val="single"/>
          <w:lang w:val="fr-CA"/>
        </w:rPr>
        <w:t xml:space="preserve"> 44 de la </w:t>
      </w:r>
      <w:r w:rsidRPr="002C1B3A">
        <w:rPr>
          <w:rFonts w:cs="Times New Roman"/>
          <w:i/>
          <w:u w:val="single"/>
          <w:lang w:val="fr-CA"/>
        </w:rPr>
        <w:t>WHSCA</w:t>
      </w:r>
      <w:r w:rsidRPr="002C1B3A">
        <w:rPr>
          <w:rFonts w:cs="Times New Roman"/>
          <w:u w:val="single"/>
          <w:lang w:val="fr-CA"/>
        </w:rPr>
        <w:t xml:space="preserve"> sur le plan constitutionnel</w:t>
      </w:r>
    </w:p>
    <w:p w:rsidR="00931170" w:rsidRPr="002C1B3A" w:rsidRDefault="00931170" w:rsidP="00931170">
      <w:pPr>
        <w:pStyle w:val="TitleTitre-AltT"/>
        <w:keepNext/>
        <w:tabs>
          <w:tab w:val="clear" w:pos="360"/>
          <w:tab w:val="left" w:pos="1170"/>
        </w:tabs>
        <w:ind w:left="1620" w:hanging="1620"/>
        <w:rPr>
          <w:rFonts w:cs="Times New Roman"/>
          <w:lang w:val="fr-CA"/>
        </w:rPr>
      </w:pPr>
      <w:r w:rsidRPr="002C1B3A">
        <w:rPr>
          <w:rFonts w:cs="Times New Roman"/>
          <w:lang w:val="fr-CA"/>
        </w:rPr>
        <w:tab/>
        <w:t>(i)</w:t>
      </w:r>
      <w:r w:rsidRPr="002C1B3A">
        <w:rPr>
          <w:rFonts w:cs="Times New Roman"/>
          <w:lang w:val="fr-CA"/>
        </w:rPr>
        <w:tab/>
      </w:r>
      <w:r w:rsidRPr="002C1B3A">
        <w:rPr>
          <w:rFonts w:cs="Times New Roman"/>
          <w:i/>
          <w:lang w:val="fr-CA"/>
        </w:rPr>
        <w:t>Exclusivité des compétences</w:t>
      </w:r>
    </w:p>
    <w:p w:rsidR="00931170" w:rsidRPr="002C1B3A" w:rsidRDefault="00931170" w:rsidP="00931170">
      <w:pPr>
        <w:pStyle w:val="ParaNoNdepar-AltN"/>
        <w:tabs>
          <w:tab w:val="clear" w:pos="1152"/>
          <w:tab w:val="left" w:pos="1166"/>
        </w:tabs>
        <w:rPr>
          <w:rFonts w:cs="Times New Roman"/>
          <w:lang w:val="fr-CA"/>
        </w:rPr>
      </w:pPr>
      <w:r w:rsidRPr="002C1B3A">
        <w:rPr>
          <w:rFonts w:cs="Times New Roman"/>
          <w:lang w:val="fr-CA"/>
        </w:rPr>
        <w:t>Tenant pour acquis que l</w:t>
      </w:r>
      <w:r>
        <w:rPr>
          <w:rFonts w:cs="Times New Roman"/>
          <w:lang w:val="fr-CA"/>
        </w:rPr>
        <w:t>’</w:t>
      </w:r>
      <w:r w:rsidRPr="002C1B3A">
        <w:rPr>
          <w:rFonts w:cs="Times New Roman"/>
          <w:lang w:val="fr-CA"/>
        </w:rPr>
        <w:t>art. 44 s</w:t>
      </w:r>
      <w:r>
        <w:rPr>
          <w:rFonts w:cs="Times New Roman"/>
          <w:lang w:val="fr-CA"/>
        </w:rPr>
        <w:t>’</w:t>
      </w:r>
      <w:r w:rsidRPr="002C1B3A">
        <w:rPr>
          <w:rFonts w:cs="Times New Roman"/>
          <w:lang w:val="fr-CA"/>
        </w:rPr>
        <w:t>applique, les parties se penchent ensuite sur le deuxième aspect, à savoir l</w:t>
      </w:r>
      <w:r>
        <w:rPr>
          <w:rFonts w:cs="Times New Roman"/>
          <w:lang w:val="fr-CA"/>
        </w:rPr>
        <w:t>’</w:t>
      </w:r>
      <w:r w:rsidRPr="002C1B3A">
        <w:rPr>
          <w:rFonts w:cs="Times New Roman"/>
          <w:lang w:val="fr-CA"/>
        </w:rPr>
        <w:t>applicabilité et l</w:t>
      </w:r>
      <w:r>
        <w:rPr>
          <w:rFonts w:cs="Times New Roman"/>
          <w:lang w:val="fr-CA"/>
        </w:rPr>
        <w:t>’</w:t>
      </w:r>
      <w:r w:rsidRPr="002C1B3A">
        <w:rPr>
          <w:rFonts w:cs="Times New Roman"/>
          <w:lang w:val="fr-CA"/>
        </w:rPr>
        <w:t>opérabilité de l</w:t>
      </w:r>
      <w:r>
        <w:rPr>
          <w:rFonts w:cs="Times New Roman"/>
          <w:lang w:val="fr-CA"/>
        </w:rPr>
        <w:t>’</w:t>
      </w:r>
      <w:r w:rsidRPr="002C1B3A">
        <w:rPr>
          <w:rFonts w:cs="Times New Roman"/>
          <w:lang w:val="fr-CA"/>
        </w:rPr>
        <w:t>art. 44 sur le plan constitutionnel.  Les appelants soutiennent que la doctrine de l</w:t>
      </w:r>
      <w:r>
        <w:rPr>
          <w:rFonts w:cs="Times New Roman"/>
          <w:lang w:val="fr-CA"/>
        </w:rPr>
        <w:t>’</w:t>
      </w:r>
      <w:r w:rsidRPr="002C1B3A">
        <w:rPr>
          <w:rFonts w:cs="Times New Roman"/>
          <w:lang w:val="fr-CA"/>
        </w:rPr>
        <w:t xml:space="preserve">exclusivité des </w:t>
      </w:r>
      <w:r w:rsidRPr="002C1B3A">
        <w:rPr>
          <w:rFonts w:cs="Times New Roman"/>
          <w:lang w:val="fr-CA"/>
        </w:rPr>
        <w:lastRenderedPageBreak/>
        <w:t>compétences ne s</w:t>
      </w:r>
      <w:r>
        <w:rPr>
          <w:rFonts w:cs="Times New Roman"/>
          <w:lang w:val="fr-CA"/>
        </w:rPr>
        <w:t>’</w:t>
      </w:r>
      <w:r w:rsidRPr="002C1B3A">
        <w:rPr>
          <w:rFonts w:cs="Times New Roman"/>
          <w:lang w:val="fr-CA"/>
        </w:rPr>
        <w:t>applique pas.  L</w:t>
      </w:r>
      <w:r>
        <w:rPr>
          <w:rFonts w:cs="Times New Roman"/>
          <w:lang w:val="fr-CA"/>
        </w:rPr>
        <w:t>’</w:t>
      </w:r>
      <w:r w:rsidRPr="002C1B3A">
        <w:rPr>
          <w:rFonts w:cs="Times New Roman"/>
          <w:lang w:val="fr-CA"/>
        </w:rPr>
        <w:t xml:space="preserve">interdiction légale de poursuites prévue par la </w:t>
      </w:r>
      <w:r w:rsidRPr="002C1B3A">
        <w:rPr>
          <w:rFonts w:cs="Times New Roman"/>
          <w:i/>
          <w:lang w:val="fr-CA"/>
        </w:rPr>
        <w:t>WHSCA</w:t>
      </w:r>
      <w:r w:rsidRPr="002C1B3A">
        <w:rPr>
          <w:rFonts w:cs="Times New Roman"/>
          <w:lang w:val="fr-CA"/>
        </w:rPr>
        <w:t xml:space="preserve"> s</w:t>
      </w:r>
      <w:r>
        <w:rPr>
          <w:rFonts w:cs="Times New Roman"/>
          <w:lang w:val="fr-CA"/>
        </w:rPr>
        <w:t>’</w:t>
      </w:r>
      <w:r w:rsidRPr="002C1B3A">
        <w:rPr>
          <w:rFonts w:cs="Times New Roman"/>
          <w:lang w:val="fr-CA"/>
        </w:rPr>
        <w:t>applique uniquement aux employeurs et aux travailleurs de la province concernée.  Elle ne rompt pas l</w:t>
      </w:r>
      <w:r>
        <w:rPr>
          <w:rFonts w:cs="Times New Roman"/>
          <w:lang w:val="fr-CA"/>
        </w:rPr>
        <w:t>’</w:t>
      </w:r>
      <w:r w:rsidRPr="002C1B3A">
        <w:rPr>
          <w:rFonts w:cs="Times New Roman"/>
          <w:lang w:val="fr-CA"/>
        </w:rPr>
        <w:t>uniformité du droit maritime canadien.  Le droit canadien reconnaît depuis longtemps l</w:t>
      </w:r>
      <w:r>
        <w:rPr>
          <w:rFonts w:cs="Times New Roman"/>
          <w:lang w:val="fr-CA"/>
        </w:rPr>
        <w:t>’</w:t>
      </w:r>
      <w:r w:rsidRPr="002C1B3A">
        <w:rPr>
          <w:rFonts w:cs="Times New Roman"/>
          <w:lang w:val="fr-CA"/>
        </w:rPr>
        <w:t>application des lois provinciales aux accidents du travail dans le domaine maritime.  La Cour d</w:t>
      </w:r>
      <w:r>
        <w:rPr>
          <w:rFonts w:cs="Times New Roman"/>
          <w:lang w:val="fr-CA"/>
        </w:rPr>
        <w:t>’</w:t>
      </w:r>
      <w:r w:rsidRPr="002C1B3A">
        <w:rPr>
          <w:rFonts w:cs="Times New Roman"/>
          <w:lang w:val="fr-CA"/>
        </w:rPr>
        <w:t>appel aurait commis une erreur dans son application de l</w:t>
      </w:r>
      <w:r>
        <w:rPr>
          <w:rFonts w:cs="Times New Roman"/>
          <w:lang w:val="fr-CA"/>
        </w:rPr>
        <w:t>’</w:t>
      </w:r>
      <w:r w:rsidRPr="002C1B3A">
        <w:rPr>
          <w:rFonts w:cs="Times New Roman"/>
          <w:lang w:val="fr-CA"/>
        </w:rPr>
        <w:t xml:space="preserve">arrêt </w:t>
      </w:r>
      <w:r w:rsidRPr="002C1B3A">
        <w:rPr>
          <w:rFonts w:cs="Times New Roman"/>
          <w:i/>
          <w:lang w:val="fr-CA"/>
        </w:rPr>
        <w:t>Ordon</w:t>
      </w:r>
      <w:r w:rsidRPr="002C1B3A">
        <w:rPr>
          <w:rFonts w:cs="Times New Roman"/>
          <w:lang w:val="fr-CA"/>
        </w:rPr>
        <w:t xml:space="preserve"> de notre Cour.  En effet, cet arrêt a établi que les règles de droit maritime relatives à la négligence appartiennent au contenu essentiel de la compétence fédérale sur la navigation et les bâtiments ou navires, et qu</w:t>
      </w:r>
      <w:r>
        <w:rPr>
          <w:rFonts w:cs="Times New Roman"/>
          <w:lang w:val="fr-CA"/>
        </w:rPr>
        <w:t>’</w:t>
      </w:r>
      <w:r w:rsidRPr="002C1B3A">
        <w:rPr>
          <w:rFonts w:cs="Times New Roman"/>
          <w:lang w:val="fr-CA"/>
        </w:rPr>
        <w:t>il est inacceptable, sur le plan constitutionnel, qu</w:t>
      </w:r>
      <w:r>
        <w:rPr>
          <w:rFonts w:cs="Times New Roman"/>
          <w:lang w:val="fr-CA"/>
        </w:rPr>
        <w:t>’</w:t>
      </w:r>
      <w:r w:rsidRPr="002C1B3A">
        <w:rPr>
          <w:rFonts w:cs="Times New Roman"/>
          <w:lang w:val="fr-CA"/>
        </w:rPr>
        <w:t>une loi provinciale de portée générale réglemente indirectement des questions touchant ces règles de droit.  Toutefois, contrairement à l</w:t>
      </w:r>
      <w:r>
        <w:rPr>
          <w:rFonts w:cs="Times New Roman"/>
          <w:lang w:val="fr-CA"/>
        </w:rPr>
        <w:t>’</w:t>
      </w:r>
      <w:r w:rsidRPr="002C1B3A">
        <w:rPr>
          <w:rFonts w:cs="Times New Roman"/>
          <w:lang w:val="fr-CA"/>
        </w:rPr>
        <w:t xml:space="preserve">affaire </w:t>
      </w:r>
      <w:r w:rsidRPr="002C1B3A">
        <w:rPr>
          <w:rFonts w:cs="Times New Roman"/>
          <w:i/>
          <w:lang w:val="fr-CA"/>
        </w:rPr>
        <w:t>Ordon</w:t>
      </w:r>
      <w:r w:rsidRPr="002C1B3A">
        <w:rPr>
          <w:rFonts w:cs="Times New Roman"/>
          <w:lang w:val="fr-CA"/>
        </w:rPr>
        <w:t>, il est question en l</w:t>
      </w:r>
      <w:r>
        <w:rPr>
          <w:rFonts w:cs="Times New Roman"/>
          <w:lang w:val="fr-CA"/>
        </w:rPr>
        <w:t>’</w:t>
      </w:r>
      <w:r w:rsidRPr="002C1B3A">
        <w:rPr>
          <w:rFonts w:cs="Times New Roman"/>
          <w:lang w:val="fr-CA"/>
        </w:rPr>
        <w:t>espèce de la nature des droits civils entre employeurs et travailleurs provinciaux.  La compétence fédérale sur la navigation et les bâtiments ou navires n</w:t>
      </w:r>
      <w:r>
        <w:rPr>
          <w:rFonts w:cs="Times New Roman"/>
          <w:lang w:val="fr-CA"/>
        </w:rPr>
        <w:t>’</w:t>
      </w:r>
      <w:r w:rsidRPr="002C1B3A">
        <w:rPr>
          <w:rFonts w:cs="Times New Roman"/>
          <w:lang w:val="fr-CA"/>
        </w:rPr>
        <w:t>est pas en cause et ne devrait pas faire obstacle à l</w:t>
      </w:r>
      <w:r>
        <w:rPr>
          <w:rFonts w:cs="Times New Roman"/>
          <w:lang w:val="fr-CA"/>
        </w:rPr>
        <w:t>’</w:t>
      </w:r>
      <w:r w:rsidRPr="002C1B3A">
        <w:rPr>
          <w:rFonts w:cs="Times New Roman"/>
          <w:lang w:val="fr-CA"/>
        </w:rPr>
        <w:t>application des régimes provinciaux d</w:t>
      </w:r>
      <w:r>
        <w:rPr>
          <w:rFonts w:cs="Times New Roman"/>
          <w:lang w:val="fr-CA"/>
        </w:rPr>
        <w:t>’</w:t>
      </w:r>
      <w:r w:rsidRPr="002C1B3A">
        <w:rPr>
          <w:rFonts w:cs="Times New Roman"/>
          <w:lang w:val="fr-CA"/>
        </w:rPr>
        <w:t>indemnisation des accidents du travail dans les industries maritimes.</w:t>
      </w:r>
    </w:p>
    <w:p w:rsidR="00931170" w:rsidRPr="002C1B3A" w:rsidRDefault="00931170" w:rsidP="00931170">
      <w:pPr>
        <w:pStyle w:val="ParaNoNdepar-AltN"/>
        <w:tabs>
          <w:tab w:val="clear" w:pos="1152"/>
          <w:tab w:val="left" w:pos="1166"/>
        </w:tabs>
        <w:rPr>
          <w:rFonts w:cs="Times New Roman"/>
          <w:lang w:val="fr-CA"/>
        </w:rPr>
      </w:pPr>
      <w:r w:rsidRPr="002C1B3A">
        <w:rPr>
          <w:rFonts w:cs="Times New Roman"/>
          <w:lang w:val="fr-CA"/>
        </w:rPr>
        <w:t>Les successions Ryan prétendent au contraire que la doctrine de l</w:t>
      </w:r>
      <w:r>
        <w:rPr>
          <w:rFonts w:cs="Times New Roman"/>
          <w:lang w:val="fr-CA"/>
        </w:rPr>
        <w:t>’</w:t>
      </w:r>
      <w:r w:rsidRPr="002C1B3A">
        <w:rPr>
          <w:rFonts w:cs="Times New Roman"/>
          <w:lang w:val="fr-CA"/>
        </w:rPr>
        <w:t>exclusivité des compétences s</w:t>
      </w:r>
      <w:r>
        <w:rPr>
          <w:rFonts w:cs="Times New Roman"/>
          <w:lang w:val="fr-CA"/>
        </w:rPr>
        <w:t>’</w:t>
      </w:r>
      <w:r w:rsidRPr="002C1B3A">
        <w:rPr>
          <w:rFonts w:cs="Times New Roman"/>
          <w:lang w:val="fr-CA"/>
        </w:rPr>
        <w:t xml:space="preserve">applique.  Selon elles, les règles de droit maritime relatives à la négligence font partie du contenu essentiel de la compétence fédérale sur la navigation et les bâtiments ou navires, et la </w:t>
      </w:r>
      <w:r w:rsidRPr="002C1B3A">
        <w:rPr>
          <w:rFonts w:cs="Times New Roman"/>
          <w:i/>
          <w:lang w:val="fr-CA"/>
        </w:rPr>
        <w:t>WHSCA</w:t>
      </w:r>
      <w:r w:rsidRPr="002C1B3A">
        <w:rPr>
          <w:rFonts w:cs="Times New Roman"/>
          <w:lang w:val="fr-CA"/>
        </w:rPr>
        <w:t xml:space="preserve"> réglemente indirectement ces règles en éliminant la possibilité reconnue par la loi d</w:t>
      </w:r>
      <w:r>
        <w:rPr>
          <w:rFonts w:cs="Times New Roman"/>
          <w:lang w:val="fr-CA"/>
        </w:rPr>
        <w:t>’</w:t>
      </w:r>
      <w:r w:rsidRPr="002C1B3A">
        <w:rPr>
          <w:rFonts w:cs="Times New Roman"/>
          <w:lang w:val="fr-CA"/>
        </w:rPr>
        <w:t>intenter une action fondée sur cette négligence.  L</w:t>
      </w:r>
      <w:r>
        <w:rPr>
          <w:rFonts w:cs="Times New Roman"/>
          <w:lang w:val="fr-CA"/>
        </w:rPr>
        <w:t>’</w:t>
      </w:r>
      <w:r w:rsidRPr="002C1B3A">
        <w:rPr>
          <w:rFonts w:cs="Times New Roman"/>
          <w:lang w:val="fr-CA"/>
        </w:rPr>
        <w:t>élimination du droit d</w:t>
      </w:r>
      <w:r>
        <w:rPr>
          <w:rFonts w:cs="Times New Roman"/>
          <w:lang w:val="fr-CA"/>
        </w:rPr>
        <w:t>’</w:t>
      </w:r>
      <w:r w:rsidRPr="002C1B3A">
        <w:rPr>
          <w:rFonts w:cs="Times New Roman"/>
          <w:lang w:val="fr-CA"/>
        </w:rPr>
        <w:t xml:space="preserve">action prévu par le par. 6(2) de la </w:t>
      </w:r>
      <w:r w:rsidRPr="002C1B3A">
        <w:rPr>
          <w:rFonts w:cs="Times New Roman"/>
          <w:i/>
          <w:lang w:val="fr-CA"/>
        </w:rPr>
        <w:lastRenderedPageBreak/>
        <w:t xml:space="preserve">LRMM </w:t>
      </w:r>
      <w:r w:rsidRPr="002C1B3A">
        <w:rPr>
          <w:rFonts w:cs="Times New Roman"/>
          <w:lang w:val="fr-CA"/>
        </w:rPr>
        <w:t>porte sérieusement atteinte à ce contenu essentiel et déclenche l</w:t>
      </w:r>
      <w:r>
        <w:rPr>
          <w:rFonts w:cs="Times New Roman"/>
          <w:lang w:val="fr-CA"/>
        </w:rPr>
        <w:t>’</w:t>
      </w:r>
      <w:r w:rsidRPr="002C1B3A">
        <w:rPr>
          <w:rFonts w:cs="Times New Roman"/>
          <w:lang w:val="fr-CA"/>
        </w:rPr>
        <w:t>application de la doctrine de l</w:t>
      </w:r>
      <w:r>
        <w:rPr>
          <w:rFonts w:cs="Times New Roman"/>
          <w:lang w:val="fr-CA"/>
        </w:rPr>
        <w:t>’</w:t>
      </w:r>
      <w:r w:rsidRPr="002C1B3A">
        <w:rPr>
          <w:rFonts w:cs="Times New Roman"/>
          <w:lang w:val="fr-CA"/>
        </w:rPr>
        <w:t>exclusivité des compétences.</w:t>
      </w:r>
    </w:p>
    <w:p w:rsidR="00931170" w:rsidRPr="002C1B3A" w:rsidRDefault="00931170" w:rsidP="00931170">
      <w:pPr>
        <w:pStyle w:val="ParaNoNdepar-AltN"/>
        <w:rPr>
          <w:rFonts w:cs="Times New Roman"/>
          <w:lang w:val="fr-CA"/>
        </w:rPr>
      </w:pPr>
      <w:r w:rsidRPr="002C1B3A">
        <w:rPr>
          <w:rFonts w:cs="Times New Roman"/>
          <w:lang w:val="fr-CA"/>
        </w:rPr>
        <w:t>Le procureur général du Canada affirme lui aussi que la doctrine de l</w:t>
      </w:r>
      <w:r>
        <w:rPr>
          <w:rFonts w:cs="Times New Roman"/>
          <w:lang w:val="fr-CA"/>
        </w:rPr>
        <w:t>’</w:t>
      </w:r>
      <w:r w:rsidRPr="002C1B3A">
        <w:rPr>
          <w:rFonts w:cs="Times New Roman"/>
          <w:lang w:val="fr-CA"/>
        </w:rPr>
        <w:t>exclusivité des compétences s</w:t>
      </w:r>
      <w:r>
        <w:rPr>
          <w:rFonts w:cs="Times New Roman"/>
          <w:lang w:val="fr-CA"/>
        </w:rPr>
        <w:t>’</w:t>
      </w:r>
      <w:r w:rsidRPr="002C1B3A">
        <w:rPr>
          <w:rFonts w:cs="Times New Roman"/>
          <w:lang w:val="fr-CA"/>
        </w:rPr>
        <w:t>applique.  Les règles de droit maritime relatives à la négligence, qui font partie du contenu essentiel de la compétence fédérale sur la navigation et les bâtiments ou navires, comprennent les règles établissant qui peut être indemnisé en cas de décès et blessures découlant d</w:t>
      </w:r>
      <w:r>
        <w:rPr>
          <w:rFonts w:cs="Times New Roman"/>
          <w:lang w:val="fr-CA"/>
        </w:rPr>
        <w:t>’</w:t>
      </w:r>
      <w:r w:rsidRPr="002C1B3A">
        <w:rPr>
          <w:rFonts w:cs="Times New Roman"/>
          <w:lang w:val="fr-CA"/>
        </w:rPr>
        <w:t>un accident de navigation.  L</w:t>
      </w:r>
      <w:r>
        <w:rPr>
          <w:rFonts w:cs="Times New Roman"/>
          <w:lang w:val="fr-CA"/>
        </w:rPr>
        <w:t>’</w:t>
      </w:r>
      <w:r w:rsidRPr="002C1B3A">
        <w:rPr>
          <w:rFonts w:cs="Times New Roman"/>
          <w:lang w:val="fr-CA"/>
        </w:rPr>
        <w:t>interdiction légale de poursuites prévue par l</w:t>
      </w:r>
      <w:r>
        <w:rPr>
          <w:rFonts w:cs="Times New Roman"/>
          <w:lang w:val="fr-CA"/>
        </w:rPr>
        <w:t>’</w:t>
      </w:r>
      <w:r w:rsidRPr="002C1B3A">
        <w:rPr>
          <w:rFonts w:cs="Times New Roman"/>
          <w:lang w:val="fr-CA"/>
        </w:rPr>
        <w:t xml:space="preserve">art. 44 de la </w:t>
      </w:r>
      <w:r w:rsidRPr="002C1B3A">
        <w:rPr>
          <w:rFonts w:cs="Times New Roman"/>
          <w:i/>
          <w:lang w:val="fr-CA"/>
        </w:rPr>
        <w:t>WHSCA</w:t>
      </w:r>
      <w:r w:rsidRPr="002C1B3A">
        <w:rPr>
          <w:rFonts w:cs="Times New Roman"/>
          <w:lang w:val="fr-CA"/>
        </w:rPr>
        <w:t xml:space="preserve"> a pour effet de neutraliser le droit des personnes à charge d</w:t>
      </w:r>
      <w:r>
        <w:rPr>
          <w:rFonts w:cs="Times New Roman"/>
          <w:lang w:val="fr-CA"/>
        </w:rPr>
        <w:t>’</w:t>
      </w:r>
      <w:r w:rsidRPr="002C1B3A">
        <w:rPr>
          <w:rFonts w:cs="Times New Roman"/>
          <w:lang w:val="fr-CA"/>
        </w:rPr>
        <w:t xml:space="preserve">intenter des poursuites en application du par. 6(2) de la </w:t>
      </w:r>
      <w:r w:rsidRPr="002C1B3A">
        <w:rPr>
          <w:rFonts w:cs="Times New Roman"/>
          <w:i/>
          <w:lang w:val="fr-CA"/>
        </w:rPr>
        <w:t>LRMM</w:t>
      </w:r>
      <w:r w:rsidRPr="002C1B3A">
        <w:rPr>
          <w:rFonts w:cs="Times New Roman"/>
          <w:lang w:val="fr-CA"/>
        </w:rPr>
        <w:t xml:space="preserve"> en cas de décès causé par la faute d</w:t>
      </w:r>
      <w:r>
        <w:rPr>
          <w:rFonts w:cs="Times New Roman"/>
          <w:lang w:val="fr-CA"/>
        </w:rPr>
        <w:t>’</w:t>
      </w:r>
      <w:r w:rsidRPr="002C1B3A">
        <w:rPr>
          <w:rFonts w:cs="Times New Roman"/>
          <w:lang w:val="fr-CA"/>
        </w:rPr>
        <w:t>autrui.  Il n</w:t>
      </w:r>
      <w:r>
        <w:rPr>
          <w:rFonts w:cs="Times New Roman"/>
          <w:lang w:val="fr-CA"/>
        </w:rPr>
        <w:t>’</w:t>
      </w:r>
      <w:r w:rsidRPr="002C1B3A">
        <w:rPr>
          <w:rFonts w:cs="Times New Roman"/>
          <w:lang w:val="fr-CA"/>
        </w:rPr>
        <w:t>existe pas de forme plus grave d</w:t>
      </w:r>
      <w:r>
        <w:rPr>
          <w:rFonts w:cs="Times New Roman"/>
          <w:lang w:val="fr-CA"/>
        </w:rPr>
        <w:t>’</w:t>
      </w:r>
      <w:r w:rsidRPr="002C1B3A">
        <w:rPr>
          <w:rFonts w:cs="Times New Roman"/>
          <w:lang w:val="fr-CA"/>
        </w:rPr>
        <w:t>atteinte au contenu essentiel de la compétence fédérale.</w:t>
      </w:r>
    </w:p>
    <w:p w:rsidR="00931170" w:rsidRPr="002C1B3A" w:rsidRDefault="00931170" w:rsidP="00931170">
      <w:pPr>
        <w:pStyle w:val="TitleTitre-AltT"/>
        <w:keepNext/>
        <w:tabs>
          <w:tab w:val="clear" w:pos="360"/>
          <w:tab w:val="left" w:pos="1170"/>
        </w:tabs>
        <w:ind w:left="1620" w:hanging="1620"/>
        <w:rPr>
          <w:rFonts w:cs="Times New Roman"/>
          <w:lang w:val="fr-CA"/>
        </w:rPr>
      </w:pPr>
      <w:r w:rsidRPr="002C1B3A">
        <w:rPr>
          <w:rFonts w:cs="Times New Roman"/>
          <w:lang w:val="fr-CA"/>
        </w:rPr>
        <w:tab/>
        <w:t>(ii)</w:t>
      </w:r>
      <w:r w:rsidRPr="002C1B3A">
        <w:rPr>
          <w:rFonts w:cs="Times New Roman"/>
          <w:lang w:val="fr-CA"/>
        </w:rPr>
        <w:tab/>
      </w:r>
      <w:r w:rsidRPr="002C1B3A">
        <w:rPr>
          <w:rFonts w:cs="Times New Roman"/>
          <w:i/>
          <w:lang w:val="fr-CA"/>
        </w:rPr>
        <w:t>Prépondérance fédérale</w:t>
      </w:r>
    </w:p>
    <w:p w:rsidR="00931170" w:rsidRPr="002C1B3A" w:rsidRDefault="00931170" w:rsidP="00931170">
      <w:pPr>
        <w:pStyle w:val="ParaNoNdepar-AltN"/>
        <w:rPr>
          <w:rFonts w:cs="Times New Roman"/>
          <w:lang w:val="fr-CA"/>
        </w:rPr>
      </w:pPr>
      <w:r w:rsidRPr="002C1B3A">
        <w:rPr>
          <w:rFonts w:cs="Times New Roman"/>
          <w:lang w:val="fr-CA"/>
        </w:rPr>
        <w:t>Les parties traitent aussi de l</w:t>
      </w:r>
      <w:r>
        <w:rPr>
          <w:rFonts w:cs="Times New Roman"/>
          <w:lang w:val="fr-CA"/>
        </w:rPr>
        <w:t>’</w:t>
      </w:r>
      <w:r w:rsidRPr="002C1B3A">
        <w:rPr>
          <w:rFonts w:cs="Times New Roman"/>
          <w:lang w:val="fr-CA"/>
        </w:rPr>
        <w:t>autre question d</w:t>
      </w:r>
      <w:r>
        <w:rPr>
          <w:rFonts w:cs="Times New Roman"/>
          <w:lang w:val="fr-CA"/>
        </w:rPr>
        <w:t>’</w:t>
      </w:r>
      <w:r w:rsidRPr="002C1B3A">
        <w:rPr>
          <w:rFonts w:cs="Times New Roman"/>
          <w:lang w:val="fr-CA"/>
        </w:rPr>
        <w:t>ordre constitutionnel, soit celle de l</w:t>
      </w:r>
      <w:r>
        <w:rPr>
          <w:rFonts w:cs="Times New Roman"/>
          <w:lang w:val="fr-CA"/>
        </w:rPr>
        <w:t>’</w:t>
      </w:r>
      <w:r w:rsidRPr="002C1B3A">
        <w:rPr>
          <w:rFonts w:cs="Times New Roman"/>
          <w:lang w:val="fr-CA"/>
        </w:rPr>
        <w:t>application de la doctrine de la prépondérance fédérale.  Les appelants soutiennent que cette doctrine ne s</w:t>
      </w:r>
      <w:r>
        <w:rPr>
          <w:rFonts w:cs="Times New Roman"/>
          <w:lang w:val="fr-CA"/>
        </w:rPr>
        <w:t>’</w:t>
      </w:r>
      <w:r w:rsidRPr="002C1B3A">
        <w:rPr>
          <w:rFonts w:cs="Times New Roman"/>
          <w:lang w:val="fr-CA"/>
        </w:rPr>
        <w:t>applique pas.  Selon eux, il n</w:t>
      </w:r>
      <w:r>
        <w:rPr>
          <w:rFonts w:cs="Times New Roman"/>
          <w:lang w:val="fr-CA"/>
        </w:rPr>
        <w:t>’</w:t>
      </w:r>
      <w:r w:rsidRPr="002C1B3A">
        <w:rPr>
          <w:rFonts w:cs="Times New Roman"/>
          <w:lang w:val="fr-CA"/>
        </w:rPr>
        <w:t>existe aucun conflit d</w:t>
      </w:r>
      <w:r>
        <w:rPr>
          <w:rFonts w:cs="Times New Roman"/>
          <w:lang w:val="fr-CA"/>
        </w:rPr>
        <w:t>’</w:t>
      </w:r>
      <w:r w:rsidRPr="002C1B3A">
        <w:rPr>
          <w:rFonts w:cs="Times New Roman"/>
          <w:lang w:val="fr-CA"/>
        </w:rPr>
        <w:t>application entre les lois fédérale et provinciale en cause, vu l</w:t>
      </w:r>
      <w:r>
        <w:rPr>
          <w:rFonts w:cs="Times New Roman"/>
          <w:lang w:val="fr-CA"/>
        </w:rPr>
        <w:t>’</w:t>
      </w:r>
      <w:r w:rsidRPr="002C1B3A">
        <w:rPr>
          <w:rFonts w:cs="Times New Roman"/>
          <w:lang w:val="fr-CA"/>
        </w:rPr>
        <w:t>absence de droit d</w:t>
      </w:r>
      <w:r>
        <w:rPr>
          <w:rFonts w:cs="Times New Roman"/>
          <w:lang w:val="fr-CA"/>
        </w:rPr>
        <w:t>’</w:t>
      </w:r>
      <w:r w:rsidRPr="002C1B3A">
        <w:rPr>
          <w:rFonts w:cs="Times New Roman"/>
          <w:lang w:val="fr-CA"/>
        </w:rPr>
        <w:t xml:space="preserve">intenter une action en vertu du par. 6(2) de la </w:t>
      </w:r>
      <w:r w:rsidRPr="002C1B3A">
        <w:rPr>
          <w:rFonts w:cs="Times New Roman"/>
          <w:i/>
          <w:lang w:val="fr-CA"/>
        </w:rPr>
        <w:t>LRMM</w:t>
      </w:r>
      <w:r w:rsidRPr="002C1B3A">
        <w:rPr>
          <w:rFonts w:cs="Times New Roman"/>
          <w:lang w:val="fr-CA"/>
        </w:rPr>
        <w:t xml:space="preserve"> lorsque le décès survient « dans des circonstances » où la victime n</w:t>
      </w:r>
      <w:r>
        <w:rPr>
          <w:rFonts w:cs="Times New Roman"/>
          <w:lang w:val="fr-CA"/>
        </w:rPr>
        <w:t>’</w:t>
      </w:r>
      <w:r w:rsidRPr="002C1B3A">
        <w:rPr>
          <w:rFonts w:cs="Times New Roman"/>
          <w:lang w:val="fr-CA"/>
        </w:rPr>
        <w:t>auraient pas le droit de réclamer des dommages</w:t>
      </w:r>
      <w:r w:rsidRPr="002C1B3A">
        <w:rPr>
          <w:rFonts w:cs="Times New Roman"/>
          <w:lang w:val="fr-CA"/>
        </w:rPr>
        <w:noBreakHyphen/>
        <w:t>intérêts suivant le régime général de responsabilité (par exemple dans les cas où, comme en l</w:t>
      </w:r>
      <w:r>
        <w:rPr>
          <w:rFonts w:cs="Times New Roman"/>
          <w:lang w:val="fr-CA"/>
        </w:rPr>
        <w:t>’</w:t>
      </w:r>
      <w:r w:rsidRPr="002C1B3A">
        <w:rPr>
          <w:rFonts w:cs="Times New Roman"/>
          <w:lang w:val="fr-CA"/>
        </w:rPr>
        <w:t>espèce, un régime provincial d</w:t>
      </w:r>
      <w:r>
        <w:rPr>
          <w:rFonts w:cs="Times New Roman"/>
          <w:lang w:val="fr-CA"/>
        </w:rPr>
        <w:t>’</w:t>
      </w:r>
      <w:r w:rsidRPr="002C1B3A">
        <w:rPr>
          <w:rFonts w:cs="Times New Roman"/>
          <w:lang w:val="fr-CA"/>
        </w:rPr>
        <w:t xml:space="preserve">indemnisation des accidents du travail fait obstacle aux poursuites).  Qui plus est, le fait que la loi provinciale limite </w:t>
      </w:r>
      <w:r w:rsidRPr="002C1B3A">
        <w:rPr>
          <w:rFonts w:cs="Times New Roman"/>
          <w:lang w:val="fr-CA"/>
        </w:rPr>
        <w:lastRenderedPageBreak/>
        <w:t xml:space="preserve">la portée du droit prévu au par. 6(2) de la </w:t>
      </w:r>
      <w:r w:rsidRPr="002C1B3A">
        <w:rPr>
          <w:rFonts w:cs="Times New Roman"/>
          <w:i/>
          <w:lang w:val="fr-CA"/>
        </w:rPr>
        <w:t>LRMM</w:t>
      </w:r>
      <w:r w:rsidRPr="002C1B3A">
        <w:rPr>
          <w:rFonts w:cs="Times New Roman"/>
          <w:lang w:val="fr-CA"/>
        </w:rPr>
        <w:t xml:space="preserve"> n</w:t>
      </w:r>
      <w:r>
        <w:rPr>
          <w:rFonts w:cs="Times New Roman"/>
          <w:lang w:val="fr-CA"/>
        </w:rPr>
        <w:t>’</w:t>
      </w:r>
      <w:r w:rsidRPr="002C1B3A">
        <w:rPr>
          <w:rFonts w:cs="Times New Roman"/>
          <w:lang w:val="fr-CA"/>
        </w:rPr>
        <w:t>entrave pas la réalisation d</w:t>
      </w:r>
      <w:r>
        <w:rPr>
          <w:rFonts w:cs="Times New Roman"/>
          <w:lang w:val="fr-CA"/>
        </w:rPr>
        <w:t>’</w:t>
      </w:r>
      <w:r w:rsidRPr="002C1B3A">
        <w:rPr>
          <w:rFonts w:cs="Times New Roman"/>
          <w:lang w:val="fr-CA"/>
        </w:rPr>
        <w:t>un objectif fédéral. </w:t>
      </w:r>
    </w:p>
    <w:p w:rsidR="00931170" w:rsidRPr="002C1B3A" w:rsidRDefault="00931170" w:rsidP="00931170">
      <w:pPr>
        <w:pStyle w:val="ParaNoNdepar-AltN"/>
        <w:tabs>
          <w:tab w:val="clear" w:pos="1152"/>
          <w:tab w:val="left" w:pos="1166"/>
        </w:tabs>
        <w:rPr>
          <w:rFonts w:cs="Times New Roman"/>
          <w:b/>
          <w:lang w:val="fr-CA"/>
        </w:rPr>
      </w:pPr>
      <w:r w:rsidRPr="002C1B3A">
        <w:rPr>
          <w:rFonts w:cs="Times New Roman"/>
          <w:lang w:val="fr-CA"/>
        </w:rPr>
        <w:t>Les successions Ryan prétendent au contraire que la doctrine de la prépondérance fédérale s</w:t>
      </w:r>
      <w:r>
        <w:rPr>
          <w:rFonts w:cs="Times New Roman"/>
          <w:lang w:val="fr-CA"/>
        </w:rPr>
        <w:t>’</w:t>
      </w:r>
      <w:r w:rsidRPr="002C1B3A">
        <w:rPr>
          <w:rFonts w:cs="Times New Roman"/>
          <w:lang w:val="fr-CA"/>
        </w:rPr>
        <w:t>applique.  D</w:t>
      </w:r>
      <w:r>
        <w:rPr>
          <w:rFonts w:cs="Times New Roman"/>
          <w:lang w:val="fr-CA"/>
        </w:rPr>
        <w:t>’</w:t>
      </w:r>
      <w:r w:rsidRPr="002C1B3A">
        <w:rPr>
          <w:rFonts w:cs="Times New Roman"/>
          <w:lang w:val="fr-CA"/>
        </w:rPr>
        <w:t>abord, il y a conflit d</w:t>
      </w:r>
      <w:r>
        <w:rPr>
          <w:rFonts w:cs="Times New Roman"/>
          <w:lang w:val="fr-CA"/>
        </w:rPr>
        <w:t>’</w:t>
      </w:r>
      <w:r w:rsidRPr="002C1B3A">
        <w:rPr>
          <w:rFonts w:cs="Times New Roman"/>
          <w:lang w:val="fr-CA"/>
        </w:rPr>
        <w:t>application si l</w:t>
      </w:r>
      <w:r>
        <w:rPr>
          <w:rFonts w:cs="Times New Roman"/>
          <w:lang w:val="fr-CA"/>
        </w:rPr>
        <w:t>’</w:t>
      </w:r>
      <w:r w:rsidRPr="002C1B3A">
        <w:rPr>
          <w:rFonts w:cs="Times New Roman"/>
          <w:lang w:val="fr-CA"/>
        </w:rPr>
        <w:t xml:space="preserve">art. 44 de la </w:t>
      </w:r>
      <w:r w:rsidRPr="002C1B3A">
        <w:rPr>
          <w:rFonts w:cs="Times New Roman"/>
          <w:i/>
          <w:lang w:val="fr-CA"/>
        </w:rPr>
        <w:t>WHSCA</w:t>
      </w:r>
      <w:r w:rsidRPr="002C1B3A">
        <w:rPr>
          <w:rFonts w:cs="Times New Roman"/>
          <w:lang w:val="fr-CA"/>
        </w:rPr>
        <w:t xml:space="preserve"> a pour effet d</w:t>
      </w:r>
      <w:r>
        <w:rPr>
          <w:rFonts w:cs="Times New Roman"/>
          <w:lang w:val="fr-CA"/>
        </w:rPr>
        <w:t>’</w:t>
      </w:r>
      <w:r w:rsidRPr="002C1B3A">
        <w:rPr>
          <w:rFonts w:cs="Times New Roman"/>
          <w:lang w:val="fr-CA"/>
        </w:rPr>
        <w:t>interdire l</w:t>
      </w:r>
      <w:r>
        <w:rPr>
          <w:rFonts w:cs="Times New Roman"/>
          <w:lang w:val="fr-CA"/>
        </w:rPr>
        <w:t>’</w:t>
      </w:r>
      <w:r w:rsidRPr="002C1B3A">
        <w:rPr>
          <w:rFonts w:cs="Times New Roman"/>
          <w:lang w:val="fr-CA"/>
        </w:rPr>
        <w:t>introduction d</w:t>
      </w:r>
      <w:r>
        <w:rPr>
          <w:rFonts w:cs="Times New Roman"/>
          <w:lang w:val="fr-CA"/>
        </w:rPr>
        <w:t>’</w:t>
      </w:r>
      <w:r w:rsidRPr="002C1B3A">
        <w:rPr>
          <w:rFonts w:cs="Times New Roman"/>
          <w:lang w:val="fr-CA"/>
        </w:rPr>
        <w:t>une action contre un employeur assujetti au régime.  Ensuite, d</w:t>
      </w:r>
      <w:r>
        <w:rPr>
          <w:rFonts w:cs="Times New Roman"/>
          <w:lang w:val="fr-CA"/>
        </w:rPr>
        <w:t>’</w:t>
      </w:r>
      <w:r w:rsidRPr="002C1B3A">
        <w:rPr>
          <w:rFonts w:cs="Times New Roman"/>
          <w:lang w:val="fr-CA"/>
        </w:rPr>
        <w:t xml:space="preserve">ajouter les successions Ryan, en éliminant la possibilité de recourir à la </w:t>
      </w:r>
      <w:r w:rsidRPr="002C1B3A">
        <w:rPr>
          <w:rFonts w:cs="Times New Roman"/>
          <w:i/>
          <w:lang w:val="fr-CA"/>
        </w:rPr>
        <w:t>LRMM</w:t>
      </w:r>
      <w:r w:rsidRPr="002C1B3A">
        <w:rPr>
          <w:rFonts w:cs="Times New Roman"/>
          <w:lang w:val="fr-CA"/>
        </w:rPr>
        <w:t>, cette disposition entrave la réalisation de l</w:t>
      </w:r>
      <w:r>
        <w:rPr>
          <w:rFonts w:cs="Times New Roman"/>
          <w:lang w:val="fr-CA"/>
        </w:rPr>
        <w:t>’</w:t>
      </w:r>
      <w:r w:rsidRPr="002C1B3A">
        <w:rPr>
          <w:rFonts w:cs="Times New Roman"/>
          <w:lang w:val="fr-CA"/>
        </w:rPr>
        <w:t>objectif fédéral consistant à réglementer les actions en responsabilité maritime.  L</w:t>
      </w:r>
      <w:r>
        <w:rPr>
          <w:rFonts w:cs="Times New Roman"/>
          <w:lang w:val="fr-CA"/>
        </w:rPr>
        <w:t>’</w:t>
      </w:r>
      <w:r w:rsidRPr="002C1B3A">
        <w:rPr>
          <w:rFonts w:cs="Times New Roman"/>
          <w:lang w:val="fr-CA"/>
        </w:rPr>
        <w:t xml:space="preserve">application de cette interdiction législative provinciale aurait des répercussions considérables sur les actions en responsabilité fondées sur la </w:t>
      </w:r>
      <w:r w:rsidRPr="002C1B3A">
        <w:rPr>
          <w:rFonts w:cs="Times New Roman"/>
          <w:i/>
          <w:lang w:val="fr-CA"/>
        </w:rPr>
        <w:t>LRMM</w:t>
      </w:r>
      <w:r w:rsidRPr="002C1B3A">
        <w:rPr>
          <w:rFonts w:cs="Times New Roman"/>
          <w:lang w:val="fr-CA"/>
        </w:rPr>
        <w:t xml:space="preserve">.  Ainsi, en raison de la protection que lui confère la loi provinciale, un « employeur » pourrait dans certains cas échapper à la responsabilité au regard du droit fédéral en matière maritime. </w:t>
      </w:r>
    </w:p>
    <w:p w:rsidR="00931170" w:rsidRPr="002C1B3A" w:rsidRDefault="00931170" w:rsidP="00931170">
      <w:pPr>
        <w:pStyle w:val="ParaNoNdepar-AltN"/>
        <w:tabs>
          <w:tab w:val="clear" w:pos="1152"/>
          <w:tab w:val="left" w:pos="1166"/>
        </w:tabs>
        <w:rPr>
          <w:rFonts w:cs="Times New Roman"/>
          <w:lang w:val="fr-CA"/>
        </w:rPr>
      </w:pPr>
      <w:r w:rsidRPr="002C1B3A">
        <w:rPr>
          <w:rFonts w:cs="Times New Roman"/>
          <w:lang w:val="fr-CA"/>
        </w:rPr>
        <w:t xml:space="preserve">Le procureur général du Canada partage le point de vue des successions Ryan.  Le paragraphe 6(2) de la </w:t>
      </w:r>
      <w:r w:rsidRPr="002C1B3A">
        <w:rPr>
          <w:rFonts w:cs="Times New Roman"/>
          <w:i/>
          <w:lang w:val="fr-CA"/>
        </w:rPr>
        <w:t>LRMM</w:t>
      </w:r>
      <w:r w:rsidRPr="002C1B3A">
        <w:rPr>
          <w:rFonts w:cs="Times New Roman"/>
          <w:lang w:val="fr-CA"/>
        </w:rPr>
        <w:t xml:space="preserve"> permet aux personnes à la charge de marins ayant péri en mer d</w:t>
      </w:r>
      <w:r>
        <w:rPr>
          <w:rFonts w:cs="Times New Roman"/>
          <w:lang w:val="fr-CA"/>
        </w:rPr>
        <w:t>’</w:t>
      </w:r>
      <w:r w:rsidRPr="002C1B3A">
        <w:rPr>
          <w:rFonts w:cs="Times New Roman"/>
          <w:lang w:val="fr-CA"/>
        </w:rPr>
        <w:t>avoir accès au régime fédéral de responsabilité délictuelle en matière maritime.  Le Parlement a décidé que ces personnes peuvent intenter l</w:t>
      </w:r>
      <w:r>
        <w:rPr>
          <w:rFonts w:cs="Times New Roman"/>
          <w:lang w:val="fr-CA"/>
        </w:rPr>
        <w:t>’</w:t>
      </w:r>
      <w:r w:rsidRPr="002C1B3A">
        <w:rPr>
          <w:rFonts w:cs="Times New Roman"/>
          <w:lang w:val="fr-CA"/>
        </w:rPr>
        <w:t>action en responsabilité maritime qu</w:t>
      </w:r>
      <w:r>
        <w:rPr>
          <w:rFonts w:cs="Times New Roman"/>
          <w:lang w:val="fr-CA"/>
        </w:rPr>
        <w:t>’</w:t>
      </w:r>
      <w:r w:rsidRPr="002C1B3A">
        <w:rPr>
          <w:rFonts w:cs="Times New Roman"/>
          <w:lang w:val="fr-CA"/>
        </w:rPr>
        <w:t>aurait pu intenter la victime si elle n</w:t>
      </w:r>
      <w:r>
        <w:rPr>
          <w:rFonts w:cs="Times New Roman"/>
          <w:lang w:val="fr-CA"/>
        </w:rPr>
        <w:t>’</w:t>
      </w:r>
      <w:r w:rsidRPr="002C1B3A">
        <w:rPr>
          <w:rFonts w:cs="Times New Roman"/>
          <w:lang w:val="fr-CA"/>
        </w:rPr>
        <w:t>avait pas perdu la vie.  Or, l</w:t>
      </w:r>
      <w:r>
        <w:rPr>
          <w:rFonts w:cs="Times New Roman"/>
          <w:lang w:val="fr-CA"/>
        </w:rPr>
        <w:t>’</w:t>
      </w:r>
      <w:r w:rsidRPr="002C1B3A">
        <w:rPr>
          <w:rFonts w:cs="Times New Roman"/>
          <w:lang w:val="fr-CA"/>
        </w:rPr>
        <w:t>interdiction établie par la loi provinciale les prive de cette cause d</w:t>
      </w:r>
      <w:r>
        <w:rPr>
          <w:rFonts w:cs="Times New Roman"/>
          <w:lang w:val="fr-CA"/>
        </w:rPr>
        <w:t>’</w:t>
      </w:r>
      <w:r w:rsidRPr="002C1B3A">
        <w:rPr>
          <w:rFonts w:cs="Times New Roman"/>
          <w:lang w:val="fr-CA"/>
        </w:rPr>
        <w:t>action.  Selon le procureur général, les deux lois sont diamétralement opposées; l</w:t>
      </w:r>
      <w:r>
        <w:rPr>
          <w:rFonts w:cs="Times New Roman"/>
          <w:lang w:val="fr-CA"/>
        </w:rPr>
        <w:t>’</w:t>
      </w:r>
      <w:r w:rsidRPr="002C1B3A">
        <w:rPr>
          <w:rFonts w:cs="Times New Roman"/>
          <w:lang w:val="fr-CA"/>
        </w:rPr>
        <w:t>une neutralise l</w:t>
      </w:r>
      <w:r>
        <w:rPr>
          <w:rFonts w:cs="Times New Roman"/>
          <w:lang w:val="fr-CA"/>
        </w:rPr>
        <w:t>’</w:t>
      </w:r>
      <w:r w:rsidRPr="002C1B3A">
        <w:rPr>
          <w:rFonts w:cs="Times New Roman"/>
          <w:lang w:val="fr-CA"/>
        </w:rPr>
        <w:t>autre.  De plus, la loi provinciale entrave la réalisation de l</w:t>
      </w:r>
      <w:r>
        <w:rPr>
          <w:rFonts w:cs="Times New Roman"/>
          <w:lang w:val="fr-CA"/>
        </w:rPr>
        <w:t>’</w:t>
      </w:r>
      <w:r w:rsidRPr="002C1B3A">
        <w:rPr>
          <w:rFonts w:cs="Times New Roman"/>
          <w:lang w:val="fr-CA"/>
        </w:rPr>
        <w:t>objectif fédéral qui consiste, d</w:t>
      </w:r>
      <w:r>
        <w:rPr>
          <w:rFonts w:cs="Times New Roman"/>
          <w:lang w:val="fr-CA"/>
        </w:rPr>
        <w:t>’</w:t>
      </w:r>
      <w:r w:rsidRPr="002C1B3A">
        <w:rPr>
          <w:rFonts w:cs="Times New Roman"/>
          <w:lang w:val="fr-CA"/>
        </w:rPr>
        <w:t>une part, à créer une cause d</w:t>
      </w:r>
      <w:r>
        <w:rPr>
          <w:rFonts w:cs="Times New Roman"/>
          <w:lang w:val="fr-CA"/>
        </w:rPr>
        <w:t>’</w:t>
      </w:r>
      <w:r w:rsidRPr="002C1B3A">
        <w:rPr>
          <w:rFonts w:cs="Times New Roman"/>
          <w:lang w:val="fr-CA"/>
        </w:rPr>
        <w:t xml:space="preserve">action en faveur des personnes à </w:t>
      </w:r>
      <w:r w:rsidRPr="002C1B3A">
        <w:rPr>
          <w:rFonts w:cs="Times New Roman"/>
          <w:lang w:val="fr-CA"/>
        </w:rPr>
        <w:lastRenderedPageBreak/>
        <w:t>charge pour qu</w:t>
      </w:r>
      <w:r>
        <w:rPr>
          <w:rFonts w:cs="Times New Roman"/>
          <w:lang w:val="fr-CA"/>
        </w:rPr>
        <w:t>’</w:t>
      </w:r>
      <w:r w:rsidRPr="002C1B3A">
        <w:rPr>
          <w:rFonts w:cs="Times New Roman"/>
          <w:lang w:val="fr-CA"/>
        </w:rPr>
        <w:t>elles puissent décider du régime d</w:t>
      </w:r>
      <w:r>
        <w:rPr>
          <w:rFonts w:cs="Times New Roman"/>
          <w:lang w:val="fr-CA"/>
        </w:rPr>
        <w:t>’</w:t>
      </w:r>
      <w:r w:rsidRPr="002C1B3A">
        <w:rPr>
          <w:rFonts w:cs="Times New Roman"/>
          <w:lang w:val="fr-CA"/>
        </w:rPr>
        <w:t>indemnisation auquel elles préfèrent recourir à la suite d</w:t>
      </w:r>
      <w:r>
        <w:rPr>
          <w:rFonts w:cs="Times New Roman"/>
          <w:lang w:val="fr-CA"/>
        </w:rPr>
        <w:t>’</w:t>
      </w:r>
      <w:r w:rsidRPr="002C1B3A">
        <w:rPr>
          <w:rFonts w:cs="Times New Roman"/>
          <w:lang w:val="fr-CA"/>
        </w:rPr>
        <w:t>un décès causé par la faute d</w:t>
      </w:r>
      <w:r>
        <w:rPr>
          <w:rFonts w:cs="Times New Roman"/>
          <w:lang w:val="fr-CA"/>
        </w:rPr>
        <w:t>’</w:t>
      </w:r>
      <w:r w:rsidRPr="002C1B3A">
        <w:rPr>
          <w:rFonts w:cs="Times New Roman"/>
          <w:lang w:val="fr-CA"/>
        </w:rPr>
        <w:t>autrui dans le domaine maritime, et, d</w:t>
      </w:r>
      <w:r>
        <w:rPr>
          <w:rFonts w:cs="Times New Roman"/>
          <w:lang w:val="fr-CA"/>
        </w:rPr>
        <w:t>’</w:t>
      </w:r>
      <w:r w:rsidRPr="002C1B3A">
        <w:rPr>
          <w:rFonts w:cs="Times New Roman"/>
          <w:lang w:val="fr-CA"/>
        </w:rPr>
        <w:t>autre part, à assurer à l</w:t>
      </w:r>
      <w:r>
        <w:rPr>
          <w:rFonts w:cs="Times New Roman"/>
          <w:lang w:val="fr-CA"/>
        </w:rPr>
        <w:t>’</w:t>
      </w:r>
      <w:r w:rsidRPr="002C1B3A">
        <w:rPr>
          <w:rFonts w:cs="Times New Roman"/>
          <w:lang w:val="fr-CA"/>
        </w:rPr>
        <w:t>échelle nationale l</w:t>
      </w:r>
      <w:r>
        <w:rPr>
          <w:rFonts w:cs="Times New Roman"/>
          <w:lang w:val="fr-CA"/>
        </w:rPr>
        <w:t>’</w:t>
      </w:r>
      <w:r w:rsidRPr="002C1B3A">
        <w:rPr>
          <w:rFonts w:cs="Times New Roman"/>
          <w:lang w:val="fr-CA"/>
        </w:rPr>
        <w:t xml:space="preserve">uniformité des règles de droit maritime relatives à la négligence. </w:t>
      </w:r>
    </w:p>
    <w:p w:rsidR="00931170" w:rsidRPr="002C1B3A" w:rsidRDefault="00931170" w:rsidP="00931170">
      <w:pPr>
        <w:pStyle w:val="TitleTitre-AltT"/>
        <w:keepNext/>
        <w:tabs>
          <w:tab w:val="clear" w:pos="360"/>
          <w:tab w:val="left" w:pos="1170"/>
        </w:tabs>
        <w:ind w:left="1620" w:hanging="1620"/>
        <w:rPr>
          <w:rFonts w:cs="Times New Roman"/>
          <w:u w:val="single"/>
          <w:lang w:val="fr-CA"/>
        </w:rPr>
      </w:pPr>
      <w:r w:rsidRPr="002C1B3A">
        <w:rPr>
          <w:rFonts w:cs="Times New Roman"/>
          <w:lang w:val="fr-CA"/>
        </w:rPr>
        <w:tab/>
        <w:t>(3)</w:t>
      </w:r>
      <w:r w:rsidRPr="002C1B3A">
        <w:rPr>
          <w:rFonts w:cs="Times New Roman"/>
          <w:lang w:val="fr-CA"/>
        </w:rPr>
        <w:tab/>
      </w:r>
      <w:r w:rsidRPr="002C1B3A">
        <w:rPr>
          <w:rFonts w:cs="Times New Roman"/>
          <w:u w:val="single"/>
          <w:lang w:val="fr-CA"/>
        </w:rPr>
        <w:t>Intervenants</w:t>
      </w:r>
    </w:p>
    <w:p w:rsidR="00931170" w:rsidRPr="002C1B3A" w:rsidRDefault="00931170" w:rsidP="00931170">
      <w:pPr>
        <w:pStyle w:val="ParaNoNdepar-AltN"/>
        <w:tabs>
          <w:tab w:val="clear" w:pos="1152"/>
          <w:tab w:val="left" w:pos="1166"/>
        </w:tabs>
        <w:rPr>
          <w:rFonts w:cs="Times New Roman"/>
          <w:lang w:val="fr-CA"/>
        </w:rPr>
      </w:pPr>
      <w:r w:rsidRPr="002C1B3A">
        <w:rPr>
          <w:rFonts w:cs="Times New Roman"/>
          <w:lang w:val="fr-CA"/>
        </w:rPr>
        <w:t>Sont intervenus au présent pourvoi les procureurs généraux de l</w:t>
      </w:r>
      <w:r>
        <w:rPr>
          <w:rFonts w:cs="Times New Roman"/>
          <w:lang w:val="fr-CA"/>
        </w:rPr>
        <w:t>’</w:t>
      </w:r>
      <w:r w:rsidRPr="002C1B3A">
        <w:rPr>
          <w:rFonts w:cs="Times New Roman"/>
          <w:lang w:val="fr-CA"/>
        </w:rPr>
        <w:t>Ontario, de la Nouvelle</w:t>
      </w:r>
      <w:r w:rsidRPr="002C1B3A">
        <w:rPr>
          <w:rFonts w:cs="Times New Roman"/>
          <w:lang w:val="fr-CA"/>
        </w:rPr>
        <w:noBreakHyphen/>
        <w:t>Écosse, de la Colombie</w:t>
      </w:r>
      <w:r w:rsidRPr="002C1B3A">
        <w:rPr>
          <w:rFonts w:cs="Times New Roman"/>
          <w:lang w:val="fr-CA"/>
        </w:rPr>
        <w:noBreakHyphen/>
        <w:t>Britannique et de Terre</w:t>
      </w:r>
      <w:r w:rsidRPr="002C1B3A">
        <w:rPr>
          <w:rFonts w:cs="Times New Roman"/>
          <w:lang w:val="fr-CA"/>
        </w:rPr>
        <w:noBreakHyphen/>
        <w:t>Neuve</w:t>
      </w:r>
      <w:r w:rsidRPr="002C1B3A">
        <w:rPr>
          <w:rFonts w:cs="Times New Roman"/>
          <w:lang w:val="fr-CA"/>
        </w:rPr>
        <w:noBreakHyphen/>
        <w:t>et</w:t>
      </w:r>
      <w:r w:rsidRPr="002C1B3A">
        <w:rPr>
          <w:rFonts w:cs="Times New Roman"/>
          <w:lang w:val="fr-CA"/>
        </w:rPr>
        <w:noBreakHyphen/>
        <w:t>Labrador, la Workplace Health, Safety and Compensation Commission de Terre</w:t>
      </w:r>
      <w:r w:rsidRPr="002C1B3A">
        <w:rPr>
          <w:rFonts w:cs="Times New Roman"/>
          <w:lang w:val="fr-CA"/>
        </w:rPr>
        <w:noBreakHyphen/>
        <w:t>Neuve</w:t>
      </w:r>
      <w:r w:rsidRPr="002C1B3A">
        <w:rPr>
          <w:rFonts w:cs="Times New Roman"/>
          <w:lang w:val="fr-CA"/>
        </w:rPr>
        <w:noBreakHyphen/>
        <w:t>et</w:t>
      </w:r>
      <w:r w:rsidRPr="002C1B3A">
        <w:rPr>
          <w:rFonts w:cs="Times New Roman"/>
          <w:lang w:val="fr-CA"/>
        </w:rPr>
        <w:noBreakHyphen/>
        <w:t>Labrador, ainsi que la Workers</w:t>
      </w:r>
      <w:r>
        <w:rPr>
          <w:rFonts w:cs="Times New Roman"/>
          <w:lang w:val="fr-CA"/>
        </w:rPr>
        <w:t>’</w:t>
      </w:r>
      <w:r w:rsidRPr="002C1B3A">
        <w:rPr>
          <w:rFonts w:cs="Times New Roman"/>
          <w:lang w:val="fr-CA"/>
        </w:rPr>
        <w:t xml:space="preserve"> Compensation Board de la Colombie</w:t>
      </w:r>
      <w:r w:rsidRPr="002C1B3A">
        <w:rPr>
          <w:rFonts w:cs="Times New Roman"/>
          <w:lang w:val="fr-CA"/>
        </w:rPr>
        <w:noBreakHyphen/>
        <w:t>Britannique.  Collectivement, les intervenants sont d</w:t>
      </w:r>
      <w:r>
        <w:rPr>
          <w:rFonts w:cs="Times New Roman"/>
          <w:lang w:val="fr-CA"/>
        </w:rPr>
        <w:t>’</w:t>
      </w:r>
      <w:r w:rsidRPr="002C1B3A">
        <w:rPr>
          <w:rFonts w:cs="Times New Roman"/>
          <w:lang w:val="fr-CA"/>
        </w:rPr>
        <w:t>accord avec les appelants pour dire que l</w:t>
      </w:r>
      <w:r>
        <w:rPr>
          <w:rFonts w:cs="Times New Roman"/>
          <w:lang w:val="fr-CA"/>
        </w:rPr>
        <w:t>’</w:t>
      </w:r>
      <w:r w:rsidRPr="002C1B3A">
        <w:rPr>
          <w:rFonts w:cs="Times New Roman"/>
          <w:lang w:val="fr-CA"/>
        </w:rPr>
        <w:t xml:space="preserve">art. 44 de la </w:t>
      </w:r>
      <w:r w:rsidRPr="002C1B3A">
        <w:rPr>
          <w:rFonts w:cs="Times New Roman"/>
          <w:i/>
          <w:lang w:val="fr-CA"/>
        </w:rPr>
        <w:t xml:space="preserve">WHSCA </w:t>
      </w:r>
      <w:r w:rsidRPr="002C1B3A">
        <w:rPr>
          <w:rFonts w:cs="Times New Roman"/>
          <w:lang w:val="fr-CA"/>
        </w:rPr>
        <w:t>s</w:t>
      </w:r>
      <w:r>
        <w:rPr>
          <w:rFonts w:cs="Times New Roman"/>
          <w:lang w:val="fr-CA"/>
        </w:rPr>
        <w:t>’</w:t>
      </w:r>
      <w:r w:rsidRPr="002C1B3A">
        <w:rPr>
          <w:rFonts w:cs="Times New Roman"/>
          <w:lang w:val="fr-CA"/>
        </w:rPr>
        <w:t>applique et qu</w:t>
      </w:r>
      <w:r>
        <w:rPr>
          <w:rFonts w:cs="Times New Roman"/>
          <w:lang w:val="fr-CA"/>
        </w:rPr>
        <w:t>’</w:t>
      </w:r>
      <w:r w:rsidRPr="002C1B3A">
        <w:rPr>
          <w:rFonts w:cs="Times New Roman"/>
          <w:lang w:val="fr-CA"/>
        </w:rPr>
        <w:t>il n</w:t>
      </w:r>
      <w:r>
        <w:rPr>
          <w:rFonts w:cs="Times New Roman"/>
          <w:lang w:val="fr-CA"/>
        </w:rPr>
        <w:t>’</w:t>
      </w:r>
      <w:r w:rsidRPr="002C1B3A">
        <w:rPr>
          <w:rFonts w:cs="Times New Roman"/>
          <w:lang w:val="fr-CA"/>
        </w:rPr>
        <w:t>entraîne pas l</w:t>
      </w:r>
      <w:r>
        <w:rPr>
          <w:rFonts w:cs="Times New Roman"/>
          <w:lang w:val="fr-CA"/>
        </w:rPr>
        <w:t>’</w:t>
      </w:r>
      <w:r w:rsidRPr="002C1B3A">
        <w:rPr>
          <w:rFonts w:cs="Times New Roman"/>
          <w:lang w:val="fr-CA"/>
        </w:rPr>
        <w:t>application de la doctrine de la prépondérance fédérale ou de la doctrine de l</w:t>
      </w:r>
      <w:r>
        <w:rPr>
          <w:rFonts w:cs="Times New Roman"/>
          <w:lang w:val="fr-CA"/>
        </w:rPr>
        <w:t>’</w:t>
      </w:r>
      <w:r w:rsidRPr="002C1B3A">
        <w:rPr>
          <w:rFonts w:cs="Times New Roman"/>
          <w:lang w:val="fr-CA"/>
        </w:rPr>
        <w:t>exclusivité des compétences.</w:t>
      </w:r>
    </w:p>
    <w:p w:rsidR="00931170" w:rsidRPr="002C1B3A" w:rsidRDefault="00931170" w:rsidP="00A9159A">
      <w:pPr>
        <w:pStyle w:val="TitleTitre-AltT"/>
        <w:keepNext/>
        <w:tabs>
          <w:tab w:val="clear" w:pos="360"/>
          <w:tab w:val="left" w:pos="540"/>
        </w:tabs>
        <w:ind w:left="540" w:hanging="540"/>
        <w:rPr>
          <w:rFonts w:cs="Times New Roman"/>
          <w:lang w:val="fr-CA"/>
        </w:rPr>
      </w:pPr>
      <w:r w:rsidRPr="002C1B3A">
        <w:rPr>
          <w:rFonts w:cs="Times New Roman"/>
          <w:lang w:val="fr-CA"/>
        </w:rPr>
        <w:t>D.</w:t>
      </w:r>
      <w:r w:rsidRPr="002C1B3A">
        <w:rPr>
          <w:rFonts w:cs="Times New Roman"/>
          <w:lang w:val="fr-CA"/>
        </w:rPr>
        <w:tab/>
      </w:r>
      <w:r w:rsidRPr="002C1B3A">
        <w:rPr>
          <w:rFonts w:cs="Times New Roman"/>
          <w:i/>
          <w:lang w:val="fr-CA"/>
        </w:rPr>
        <w:t>Nature des régimes d</w:t>
      </w:r>
      <w:r>
        <w:rPr>
          <w:rFonts w:cs="Times New Roman"/>
          <w:i/>
          <w:lang w:val="fr-CA"/>
        </w:rPr>
        <w:t>’</w:t>
      </w:r>
      <w:r w:rsidRPr="002C1B3A">
        <w:rPr>
          <w:rFonts w:cs="Times New Roman"/>
          <w:i/>
          <w:lang w:val="fr-CA"/>
        </w:rPr>
        <w:t xml:space="preserve">indemnisation des accidents du travail </w:t>
      </w:r>
    </w:p>
    <w:p w:rsidR="00931170" w:rsidRPr="002C1B3A" w:rsidRDefault="00931170" w:rsidP="00931170">
      <w:pPr>
        <w:pStyle w:val="ParaNoNdepar-AltN"/>
        <w:tabs>
          <w:tab w:val="clear" w:pos="1152"/>
          <w:tab w:val="left" w:pos="1166"/>
        </w:tabs>
        <w:rPr>
          <w:rFonts w:cs="Times New Roman"/>
          <w:lang w:val="fr-CA"/>
        </w:rPr>
      </w:pPr>
      <w:r w:rsidRPr="002C1B3A">
        <w:rPr>
          <w:rFonts w:cs="Times New Roman"/>
          <w:lang w:val="fr-CA"/>
        </w:rPr>
        <w:t>Le professeur Peter Hogg a su décrire de manière concise la nature et le fonctionnement généraux des régimes d</w:t>
      </w:r>
      <w:r>
        <w:rPr>
          <w:rFonts w:cs="Times New Roman"/>
          <w:lang w:val="fr-CA"/>
        </w:rPr>
        <w:t>’</w:t>
      </w:r>
      <w:r w:rsidRPr="002C1B3A">
        <w:rPr>
          <w:rFonts w:cs="Times New Roman"/>
          <w:lang w:val="fr-CA"/>
        </w:rPr>
        <w:t>indemnisation des accidents du travail :</w:t>
      </w:r>
    </w:p>
    <w:p w:rsidR="00B046BA" w:rsidRDefault="00931170" w:rsidP="00931170">
      <w:pPr>
        <w:pStyle w:val="Citation-AltC"/>
        <w:ind w:hanging="1166"/>
        <w:rPr>
          <w:lang w:val="fr-CA"/>
        </w:rPr>
      </w:pPr>
      <w:r w:rsidRPr="002C1B3A">
        <w:rPr>
          <w:lang w:val="fr-CA"/>
        </w:rPr>
        <w:tab/>
      </w:r>
      <w:r w:rsidR="00B046BA">
        <w:rPr>
          <w:lang w:val="fr-CA"/>
        </w:rPr>
        <w:tab/>
      </w:r>
      <w:r w:rsidRPr="002C1B3A">
        <w:rPr>
          <w:lang w:val="fr-CA"/>
        </w:rPr>
        <w:t>[</w:t>
      </w:r>
      <w:r w:rsidRPr="002C1B3A">
        <w:rPr>
          <w:smallCaps/>
          <w:lang w:val="fr-CA"/>
        </w:rPr>
        <w:t>traduction</w:t>
      </w:r>
      <w:r w:rsidRPr="002C1B3A">
        <w:rPr>
          <w:lang w:val="fr-CA"/>
        </w:rPr>
        <w:t>]  Les régimes d</w:t>
      </w:r>
      <w:r>
        <w:rPr>
          <w:lang w:val="fr-CA"/>
        </w:rPr>
        <w:t>’</w:t>
      </w:r>
      <w:r w:rsidRPr="002C1B3A">
        <w:rPr>
          <w:lang w:val="fr-CA"/>
        </w:rPr>
        <w:t>indemnisation des accidents du travail sont des régimes d</w:t>
      </w:r>
      <w:r>
        <w:rPr>
          <w:lang w:val="fr-CA"/>
        </w:rPr>
        <w:t>’</w:t>
      </w:r>
      <w:r w:rsidRPr="002C1B3A">
        <w:rPr>
          <w:lang w:val="fr-CA"/>
        </w:rPr>
        <w:t>assurance publics pourvoyant à l</w:t>
      </w:r>
      <w:r>
        <w:rPr>
          <w:lang w:val="fr-CA"/>
        </w:rPr>
        <w:t>’</w:t>
      </w:r>
      <w:r w:rsidRPr="002C1B3A">
        <w:rPr>
          <w:lang w:val="fr-CA"/>
        </w:rPr>
        <w:t xml:space="preserve">indemnisation des travailleurs qui se blessent accidentellement dans le cours de leurs fonctions.  Ces régimes sont financés par les primes que sont tenus par la loi de verser les employeurs, et ils sont administrés par un organisme </w:t>
      </w:r>
      <w:r w:rsidRPr="002C1B3A">
        <w:rPr>
          <w:lang w:val="fr-CA"/>
        </w:rPr>
        <w:lastRenderedPageBreak/>
        <w:t>public habituellement appelé commission des accidents du travail.  Les indemnités prévues sont payables à l</w:t>
      </w:r>
      <w:r>
        <w:rPr>
          <w:lang w:val="fr-CA"/>
        </w:rPr>
        <w:t>’</w:t>
      </w:r>
      <w:r w:rsidRPr="002C1B3A">
        <w:rPr>
          <w:lang w:val="fr-CA"/>
        </w:rPr>
        <w:t>égard de tous les accidents du travail (et, de nos jours, généralement certaines maladies professionnelles sont habituellement assurées aussi), peu importe qu</w:t>
      </w:r>
      <w:r>
        <w:rPr>
          <w:lang w:val="fr-CA"/>
        </w:rPr>
        <w:t>’</w:t>
      </w:r>
      <w:r w:rsidRPr="002C1B3A">
        <w:rPr>
          <w:lang w:val="fr-CA"/>
        </w:rPr>
        <w:t>il y ait eu ou non négligence de la part de l</w:t>
      </w:r>
      <w:r>
        <w:rPr>
          <w:lang w:val="fr-CA"/>
        </w:rPr>
        <w:t>’</w:t>
      </w:r>
      <w:r w:rsidRPr="002C1B3A">
        <w:rPr>
          <w:lang w:val="fr-CA"/>
        </w:rPr>
        <w:t>employeur.  Dans l</w:t>
      </w:r>
      <w:r>
        <w:rPr>
          <w:lang w:val="fr-CA"/>
        </w:rPr>
        <w:t>’</w:t>
      </w:r>
      <w:r w:rsidRPr="002C1B3A">
        <w:rPr>
          <w:lang w:val="fr-CA"/>
        </w:rPr>
        <w:t>ensemble des provinces et territoires, l</w:t>
      </w:r>
      <w:r>
        <w:rPr>
          <w:lang w:val="fr-CA"/>
        </w:rPr>
        <w:t>’</w:t>
      </w:r>
      <w:r w:rsidRPr="002C1B3A">
        <w:rPr>
          <w:lang w:val="fr-CA"/>
        </w:rPr>
        <w:t>action en négligence de la common law a été abolie en matière d</w:t>
      </w:r>
      <w:r>
        <w:rPr>
          <w:lang w:val="fr-CA"/>
        </w:rPr>
        <w:t>’</w:t>
      </w:r>
      <w:r w:rsidRPr="002C1B3A">
        <w:rPr>
          <w:lang w:val="fr-CA"/>
        </w:rPr>
        <w:t>accidents du travail, le régime prévu par la loi étant par conséquent devenu l</w:t>
      </w:r>
      <w:r>
        <w:rPr>
          <w:lang w:val="fr-CA"/>
        </w:rPr>
        <w:t>’</w:t>
      </w:r>
      <w:r w:rsidRPr="002C1B3A">
        <w:rPr>
          <w:lang w:val="fr-CA"/>
        </w:rPr>
        <w:t>unique source d</w:t>
      </w:r>
      <w:r>
        <w:rPr>
          <w:lang w:val="fr-CA"/>
        </w:rPr>
        <w:t>’</w:t>
      </w:r>
      <w:r w:rsidRPr="002C1B3A">
        <w:rPr>
          <w:lang w:val="fr-CA"/>
        </w:rPr>
        <w:t xml:space="preserve">indemnisation.  </w:t>
      </w:r>
    </w:p>
    <w:p w:rsidR="00B046BA" w:rsidRDefault="00B046BA" w:rsidP="00931170">
      <w:pPr>
        <w:pStyle w:val="Citation-AltC"/>
        <w:ind w:hanging="1166"/>
        <w:rPr>
          <w:lang w:val="fr-CA"/>
        </w:rPr>
      </w:pPr>
    </w:p>
    <w:p w:rsidR="00931170" w:rsidRPr="002C1B3A" w:rsidRDefault="00931170" w:rsidP="00931170">
      <w:pPr>
        <w:pStyle w:val="Citation-AltC"/>
        <w:ind w:hanging="1166"/>
        <w:rPr>
          <w:vanish/>
          <w:lang w:val="en-US"/>
          <w:specVanish/>
        </w:rPr>
      </w:pPr>
      <w:r w:rsidRPr="002C1B3A">
        <w:rPr>
          <w:lang w:val="en-US"/>
        </w:rPr>
        <w:t xml:space="preserve">(P. W. Hogg, </w:t>
      </w:r>
      <w:r w:rsidRPr="002C1B3A">
        <w:rPr>
          <w:i/>
          <w:iCs/>
          <w:lang w:val="en-US"/>
        </w:rPr>
        <w:t>Constitutional Law of Canada</w:t>
      </w:r>
      <w:r w:rsidRPr="002C1B3A">
        <w:rPr>
          <w:lang w:val="en-US"/>
        </w:rPr>
        <w:t xml:space="preserve"> (5</w:t>
      </w:r>
      <w:r w:rsidRPr="002C1B3A">
        <w:rPr>
          <w:vertAlign w:val="superscript"/>
          <w:lang w:val="en-US"/>
        </w:rPr>
        <w:t>e</w:t>
      </w:r>
      <w:r w:rsidRPr="002C1B3A">
        <w:rPr>
          <w:lang w:val="en-US"/>
        </w:rPr>
        <w:t> éd. suppl.), vol. 1, p. 33</w:t>
      </w:r>
      <w:r w:rsidRPr="002C1B3A">
        <w:rPr>
          <w:lang w:val="en-US"/>
        </w:rPr>
        <w:noBreakHyphen/>
        <w:t>9)</w:t>
      </w:r>
    </w:p>
    <w:p w:rsidR="00931170" w:rsidRPr="002C1B3A" w:rsidRDefault="00931170" w:rsidP="00931170">
      <w:pPr>
        <w:pStyle w:val="Citation-AltC"/>
        <w:contextualSpacing w:val="0"/>
        <w:rPr>
          <w:lang w:val="en-US"/>
        </w:rPr>
      </w:pPr>
      <w:r w:rsidRPr="002C1B3A">
        <w:rPr>
          <w:lang w:val="en-US"/>
        </w:rPr>
        <w:t xml:space="preserve"> </w:t>
      </w:r>
    </w:p>
    <w:p w:rsidR="00931170" w:rsidRPr="002C1B3A" w:rsidRDefault="00931170" w:rsidP="00931170">
      <w:pPr>
        <w:pStyle w:val="ParaNoNdepar-AltN"/>
        <w:tabs>
          <w:tab w:val="clear" w:pos="1152"/>
          <w:tab w:val="left" w:pos="1166"/>
        </w:tabs>
        <w:rPr>
          <w:rFonts w:cs="Times New Roman"/>
          <w:lang w:val="fr-CA"/>
        </w:rPr>
      </w:pPr>
      <w:r w:rsidRPr="002C1B3A">
        <w:rPr>
          <w:rFonts w:cs="Times New Roman"/>
          <w:lang w:val="fr-CA"/>
        </w:rPr>
        <w:t>En règle générale, les régimes provinciaux d</w:t>
      </w:r>
      <w:r>
        <w:rPr>
          <w:rFonts w:cs="Times New Roman"/>
          <w:lang w:val="fr-CA"/>
        </w:rPr>
        <w:t>’</w:t>
      </w:r>
      <w:r w:rsidRPr="002C1B3A">
        <w:rPr>
          <w:rFonts w:cs="Times New Roman"/>
          <w:lang w:val="fr-CA"/>
        </w:rPr>
        <w:t>indemnisation des accidents du travail protègent les personnes qui occupent un emploi dans la province concernée, et ce, même si l</w:t>
      </w:r>
      <w:r>
        <w:rPr>
          <w:rFonts w:cs="Times New Roman"/>
          <w:lang w:val="fr-CA"/>
        </w:rPr>
        <w:t>’</w:t>
      </w:r>
      <w:r w:rsidRPr="002C1B3A">
        <w:rPr>
          <w:rFonts w:cs="Times New Roman"/>
          <w:lang w:val="fr-CA"/>
        </w:rPr>
        <w:t>accident du travail survient à l</w:t>
      </w:r>
      <w:r>
        <w:rPr>
          <w:rFonts w:cs="Times New Roman"/>
          <w:lang w:val="fr-CA"/>
        </w:rPr>
        <w:t>’</w:t>
      </w:r>
      <w:r w:rsidRPr="002C1B3A">
        <w:rPr>
          <w:rFonts w:cs="Times New Roman"/>
          <w:lang w:val="fr-CA"/>
        </w:rPr>
        <w:t>extérieur de celle</w:t>
      </w:r>
      <w:r w:rsidRPr="002C1B3A">
        <w:rPr>
          <w:rFonts w:cs="Times New Roman"/>
          <w:lang w:val="fr-CA"/>
        </w:rPr>
        <w:noBreakHyphen/>
        <w:t xml:space="preserve">ci : </w:t>
      </w:r>
      <w:r w:rsidRPr="002C1B3A">
        <w:rPr>
          <w:rFonts w:cs="Times New Roman"/>
          <w:i/>
          <w:lang w:val="fr-CA"/>
        </w:rPr>
        <w:t>Workmen</w:t>
      </w:r>
      <w:r>
        <w:rPr>
          <w:rFonts w:cs="Times New Roman"/>
          <w:i/>
          <w:lang w:val="fr-CA"/>
        </w:rPr>
        <w:t>’</w:t>
      </w:r>
      <w:r w:rsidRPr="002C1B3A">
        <w:rPr>
          <w:rFonts w:cs="Times New Roman"/>
          <w:i/>
          <w:lang w:val="fr-CA"/>
        </w:rPr>
        <w:t>s Compensation Board c. Canadian Pacific Railway Co.</w:t>
      </w:r>
      <w:r w:rsidRPr="002C1B3A">
        <w:rPr>
          <w:rFonts w:cs="Times New Roman"/>
          <w:lang w:val="fr-CA"/>
        </w:rPr>
        <w:t>, [1920] A.C. 184 (C.P.) (« </w:t>
      </w:r>
      <w:r w:rsidRPr="002C1B3A">
        <w:rPr>
          <w:rFonts w:cs="Times New Roman"/>
          <w:i/>
          <w:lang w:val="fr-CA"/>
        </w:rPr>
        <w:t>Canadian Pacific Railway</w:t>
      </w:r>
      <w:r w:rsidRPr="002C1B3A">
        <w:rPr>
          <w:rFonts w:cs="Times New Roman"/>
          <w:lang w:val="fr-CA"/>
        </w:rPr>
        <w:t> »).  Les aspects de ces régimes qui touchent à l</w:t>
      </w:r>
      <w:r>
        <w:rPr>
          <w:rFonts w:cs="Times New Roman"/>
          <w:lang w:val="fr-CA"/>
        </w:rPr>
        <w:t>’</w:t>
      </w:r>
      <w:r w:rsidRPr="002C1B3A">
        <w:rPr>
          <w:rFonts w:cs="Times New Roman"/>
          <w:lang w:val="fr-CA"/>
        </w:rPr>
        <w:t>indemnisation s</w:t>
      </w:r>
      <w:r>
        <w:rPr>
          <w:rFonts w:cs="Times New Roman"/>
          <w:lang w:val="fr-CA"/>
        </w:rPr>
        <w:t>’</w:t>
      </w:r>
      <w:r w:rsidRPr="002C1B3A">
        <w:rPr>
          <w:rFonts w:cs="Times New Roman"/>
          <w:lang w:val="fr-CA"/>
        </w:rPr>
        <w:t xml:space="preserve">appliquent aux entreprises fédérales exerçant leurs activités dans la province, mais non les aspects qui touchent à la santé et à la sécurité au travail : </w:t>
      </w:r>
      <w:r w:rsidRPr="002C1B3A">
        <w:rPr>
          <w:rFonts w:cs="Times New Roman"/>
          <w:i/>
          <w:lang w:val="fr-CA"/>
        </w:rPr>
        <w:t>Bell Canada c. Québec (Commission de la santé et de la sécurité du travail)</w:t>
      </w:r>
      <w:r w:rsidRPr="002C1B3A">
        <w:rPr>
          <w:rFonts w:cs="Times New Roman"/>
          <w:lang w:val="fr-CA"/>
        </w:rPr>
        <w:t xml:space="preserve">, [1988] 1 R.C.S. 749, p. 763, et </w:t>
      </w:r>
      <w:r w:rsidRPr="002C1B3A">
        <w:rPr>
          <w:rFonts w:eastAsia="Times New Roman" w:cs="Times New Roman"/>
          <w:i/>
          <w:lang w:val="fr-CA"/>
        </w:rPr>
        <w:t xml:space="preserve">Tessier Ltée </w:t>
      </w:r>
      <w:r w:rsidRPr="002C1B3A">
        <w:rPr>
          <w:rFonts w:eastAsia="Times New Roman" w:cs="Times New Roman"/>
          <w:i/>
          <w:iCs/>
          <w:lang w:val="fr-CA"/>
        </w:rPr>
        <w:t>c.</w:t>
      </w:r>
      <w:r w:rsidRPr="002C1B3A">
        <w:rPr>
          <w:rFonts w:eastAsia="Times New Roman" w:cs="Times New Roman"/>
          <w:i/>
          <w:lang w:val="fr-CA"/>
        </w:rPr>
        <w:t xml:space="preserve"> Québec (Commission de la santé et de la sécurité du travail)</w:t>
      </w:r>
      <w:r w:rsidRPr="002C1B3A">
        <w:rPr>
          <w:rFonts w:eastAsia="Times New Roman" w:cs="Times New Roman"/>
          <w:lang w:val="fr-CA"/>
        </w:rPr>
        <w:t xml:space="preserve">, 2012 CSC 23, </w:t>
      </w:r>
      <w:r w:rsidRPr="002C1B3A">
        <w:rPr>
          <w:rFonts w:cs="Times New Roman"/>
          <w:lang w:val="fr-CA"/>
        </w:rPr>
        <w:t>[2012] 2 R.C.S. 3, </w:t>
      </w:r>
      <w:r w:rsidRPr="002C1B3A">
        <w:rPr>
          <w:rFonts w:eastAsia="Times New Roman" w:cs="Times New Roman"/>
          <w:lang w:val="fr-CA"/>
        </w:rPr>
        <w:t>par. 5</w:t>
      </w:r>
      <w:r w:rsidRPr="002C1B3A">
        <w:rPr>
          <w:rFonts w:eastAsia="Times New Roman" w:cs="Times New Roman"/>
          <w:lang w:val="fr-CA"/>
        </w:rPr>
        <w:noBreakHyphen/>
        <w:t>6.</w:t>
      </w:r>
    </w:p>
    <w:p w:rsidR="00931170" w:rsidRPr="002C1B3A" w:rsidRDefault="00931170" w:rsidP="00931170">
      <w:pPr>
        <w:pStyle w:val="ParaNoNdepar-AltN"/>
        <w:tabs>
          <w:tab w:val="clear" w:pos="1152"/>
          <w:tab w:val="left" w:pos="1166"/>
        </w:tabs>
        <w:rPr>
          <w:rFonts w:cs="Times New Roman"/>
          <w:lang w:val="fr-CA"/>
        </w:rPr>
      </w:pPr>
      <w:r w:rsidRPr="002C1B3A">
        <w:rPr>
          <w:rFonts w:cs="Times New Roman"/>
          <w:lang w:val="fr-CA"/>
        </w:rPr>
        <w:t>Les régimes canadiens d</w:t>
      </w:r>
      <w:r>
        <w:rPr>
          <w:rFonts w:cs="Times New Roman"/>
          <w:lang w:val="fr-CA"/>
        </w:rPr>
        <w:t>’</w:t>
      </w:r>
      <w:r w:rsidRPr="002C1B3A">
        <w:rPr>
          <w:rFonts w:cs="Times New Roman"/>
          <w:lang w:val="fr-CA"/>
        </w:rPr>
        <w:t>indemnisation des accidents du travail tirent leur origine d</w:t>
      </w:r>
      <w:r>
        <w:rPr>
          <w:rFonts w:cs="Times New Roman"/>
          <w:lang w:val="fr-CA"/>
        </w:rPr>
        <w:t>’</w:t>
      </w:r>
      <w:r w:rsidRPr="002C1B3A">
        <w:rPr>
          <w:rFonts w:cs="Times New Roman"/>
          <w:lang w:val="fr-CA"/>
        </w:rPr>
        <w:t>un rapport établi par Sir William Ralph Meredith, ancien juge en chef de l</w:t>
      </w:r>
      <w:r>
        <w:rPr>
          <w:rFonts w:cs="Times New Roman"/>
          <w:lang w:val="fr-CA"/>
        </w:rPr>
        <w:t>’</w:t>
      </w:r>
      <w:r w:rsidRPr="002C1B3A">
        <w:rPr>
          <w:rFonts w:cs="Times New Roman"/>
          <w:lang w:val="fr-CA"/>
        </w:rPr>
        <w:t>Ontario.  Celui</w:t>
      </w:r>
      <w:r w:rsidRPr="002C1B3A">
        <w:rPr>
          <w:rFonts w:cs="Times New Roman"/>
          <w:lang w:val="fr-CA"/>
        </w:rPr>
        <w:noBreakHyphen/>
        <w:t>ci s</w:t>
      </w:r>
      <w:r>
        <w:rPr>
          <w:rFonts w:cs="Times New Roman"/>
          <w:lang w:val="fr-CA"/>
        </w:rPr>
        <w:t>’</w:t>
      </w:r>
      <w:r w:rsidRPr="002C1B3A">
        <w:rPr>
          <w:rFonts w:cs="Times New Roman"/>
          <w:lang w:val="fr-CA"/>
        </w:rPr>
        <w:t>était vu confier, en 1910, le mandat d</w:t>
      </w:r>
      <w:r>
        <w:rPr>
          <w:rFonts w:cs="Times New Roman"/>
          <w:lang w:val="fr-CA"/>
        </w:rPr>
        <w:t>’</w:t>
      </w:r>
      <w:r w:rsidRPr="002C1B3A">
        <w:rPr>
          <w:rFonts w:cs="Times New Roman"/>
          <w:lang w:val="fr-CA"/>
        </w:rPr>
        <w:t>étudier différentes solutions en la matière et de recommander un régime pour l</w:t>
      </w:r>
      <w:r>
        <w:rPr>
          <w:rFonts w:cs="Times New Roman"/>
          <w:lang w:val="fr-CA"/>
        </w:rPr>
        <w:t>’</w:t>
      </w:r>
      <w:r w:rsidRPr="002C1B3A">
        <w:rPr>
          <w:rFonts w:cs="Times New Roman"/>
          <w:lang w:val="fr-CA"/>
        </w:rPr>
        <w:t>Ontario.  En 1914, la province a adopté la proposition de ce dernier d</w:t>
      </w:r>
      <w:r>
        <w:rPr>
          <w:rFonts w:cs="Times New Roman"/>
          <w:lang w:val="fr-CA"/>
        </w:rPr>
        <w:t>’</w:t>
      </w:r>
      <w:r w:rsidRPr="002C1B3A">
        <w:rPr>
          <w:rFonts w:cs="Times New Roman"/>
          <w:lang w:val="fr-CA"/>
        </w:rPr>
        <w:t>indemniser « les travailleurs blessés au moyen d</w:t>
      </w:r>
      <w:r>
        <w:rPr>
          <w:rFonts w:cs="Times New Roman"/>
          <w:lang w:val="fr-CA"/>
        </w:rPr>
        <w:t>’</w:t>
      </w:r>
      <w:r w:rsidRPr="002C1B3A">
        <w:rPr>
          <w:rFonts w:cs="Times New Roman"/>
          <w:lang w:val="fr-CA"/>
        </w:rPr>
        <w:t>une caisse des accidents gérée par l</w:t>
      </w:r>
      <w:r>
        <w:rPr>
          <w:rFonts w:cs="Times New Roman"/>
          <w:lang w:val="fr-CA"/>
        </w:rPr>
        <w:t>’</w:t>
      </w:r>
      <w:r w:rsidRPr="002C1B3A">
        <w:rPr>
          <w:rFonts w:cs="Times New Roman"/>
          <w:lang w:val="fr-CA"/>
        </w:rPr>
        <w:t xml:space="preserve">État, dont les fonds seraient perçus </w:t>
      </w:r>
      <w:r w:rsidRPr="002C1B3A">
        <w:rPr>
          <w:rFonts w:cs="Times New Roman"/>
          <w:lang w:val="fr-CA"/>
        </w:rPr>
        <w:lastRenderedPageBreak/>
        <w:t>auprès de l</w:t>
      </w:r>
      <w:r>
        <w:rPr>
          <w:rFonts w:cs="Times New Roman"/>
          <w:lang w:val="fr-CA"/>
        </w:rPr>
        <w:t>’</w:t>
      </w:r>
      <w:r w:rsidRPr="002C1B3A">
        <w:rPr>
          <w:rFonts w:cs="Times New Roman"/>
          <w:lang w:val="fr-CA"/>
        </w:rPr>
        <w:t xml:space="preserve">industrie », puis les autres provinces ont suivi : </w:t>
      </w:r>
      <w:r w:rsidRPr="00B046BA">
        <w:rPr>
          <w:rFonts w:cs="Times New Roman"/>
          <w:lang w:val="fr-CA"/>
        </w:rPr>
        <w:t>Hogg</w:t>
      </w:r>
      <w:r w:rsidR="008C5AD8">
        <w:rPr>
          <w:rFonts w:cs="Times New Roman"/>
          <w:lang w:val="fr-CA"/>
        </w:rPr>
        <w:t>, p. 33</w:t>
      </w:r>
      <w:r w:rsidR="008C5AD8">
        <w:rPr>
          <w:rFonts w:cs="Times New Roman"/>
          <w:lang w:val="fr-CA"/>
        </w:rPr>
        <w:noBreakHyphen/>
        <w:t>9;</w:t>
      </w:r>
      <w:r w:rsidRPr="002C1B3A">
        <w:rPr>
          <w:rFonts w:cs="Times New Roman"/>
          <w:lang w:val="fr-CA"/>
        </w:rPr>
        <w:t xml:space="preserve"> </w:t>
      </w:r>
      <w:r w:rsidRPr="002C1B3A">
        <w:rPr>
          <w:rFonts w:cs="Times New Roman"/>
          <w:i/>
          <w:iCs/>
          <w:lang w:val="fr-CA"/>
        </w:rPr>
        <w:t>Pasiechnyk c. Saskatchewan (Workers</w:t>
      </w:r>
      <w:r>
        <w:rPr>
          <w:rFonts w:cs="Times New Roman"/>
          <w:i/>
          <w:iCs/>
          <w:lang w:val="fr-CA"/>
        </w:rPr>
        <w:t>’</w:t>
      </w:r>
      <w:r w:rsidRPr="002C1B3A">
        <w:rPr>
          <w:rFonts w:cs="Times New Roman"/>
          <w:i/>
          <w:iCs/>
          <w:lang w:val="fr-CA"/>
        </w:rPr>
        <w:t xml:space="preserve"> Compensation Board)</w:t>
      </w:r>
      <w:r w:rsidRPr="002C1B3A">
        <w:rPr>
          <w:rFonts w:cs="Times New Roman"/>
          <w:lang w:val="fr-CA"/>
        </w:rPr>
        <w:t>, [1997] 2 R.C.S. 890, par. 24.</w:t>
      </w:r>
    </w:p>
    <w:p w:rsidR="00931170" w:rsidRPr="002C1B3A" w:rsidRDefault="00931170" w:rsidP="00931170">
      <w:pPr>
        <w:pStyle w:val="ParaNoNdepar-AltN"/>
        <w:tabs>
          <w:tab w:val="clear" w:pos="1152"/>
          <w:tab w:val="left" w:pos="1166"/>
        </w:tabs>
        <w:rPr>
          <w:rFonts w:cs="Times New Roman"/>
          <w:lang w:val="fr-CA"/>
        </w:rPr>
      </w:pPr>
      <w:r w:rsidRPr="002C1B3A">
        <w:rPr>
          <w:rFonts w:cs="Times New Roman"/>
          <w:lang w:val="fr-CA"/>
        </w:rPr>
        <w:t>L</w:t>
      </w:r>
      <w:r>
        <w:rPr>
          <w:rFonts w:cs="Times New Roman"/>
          <w:lang w:val="fr-CA"/>
        </w:rPr>
        <w:t>’</w:t>
      </w:r>
      <w:r w:rsidRPr="002C1B3A">
        <w:rPr>
          <w:rFonts w:cs="Times New Roman"/>
          <w:lang w:val="fr-CA"/>
        </w:rPr>
        <w:t>élément central de la proposition de Sir Meredith résidait dans ce qu</w:t>
      </w:r>
      <w:r>
        <w:rPr>
          <w:rFonts w:cs="Times New Roman"/>
          <w:lang w:val="fr-CA"/>
        </w:rPr>
        <w:t>’</w:t>
      </w:r>
      <w:r w:rsidRPr="002C1B3A">
        <w:rPr>
          <w:rFonts w:cs="Times New Roman"/>
          <w:lang w:val="fr-CA"/>
        </w:rPr>
        <w:t>on en est venu à appeler le « compromis historique » : les travailleurs « perdraient leur cause d</w:t>
      </w:r>
      <w:r>
        <w:rPr>
          <w:rFonts w:cs="Times New Roman"/>
          <w:lang w:val="fr-CA"/>
        </w:rPr>
        <w:t>’</w:t>
      </w:r>
      <w:r w:rsidRPr="002C1B3A">
        <w:rPr>
          <w:rFonts w:cs="Times New Roman"/>
          <w:lang w:val="fr-CA"/>
        </w:rPr>
        <w:t>action contre leur employeur, mais obtiendraient une indemnité qui ne dépendrait ni de la responsabilité de l</w:t>
      </w:r>
      <w:r>
        <w:rPr>
          <w:rFonts w:cs="Times New Roman"/>
          <w:lang w:val="fr-CA"/>
        </w:rPr>
        <w:t>’</w:t>
      </w:r>
      <w:r w:rsidRPr="002C1B3A">
        <w:rPr>
          <w:rFonts w:cs="Times New Roman"/>
          <w:lang w:val="fr-CA"/>
        </w:rPr>
        <w:t xml:space="preserve">employeur ni de sa capacité de payer », alors que les employeurs seraient tenus de contribuer à un fonds commun, « mais [. . .] échapp[eraient] à une responsabilité potentiellement écrasante » : </w:t>
      </w:r>
      <w:r w:rsidRPr="002C1B3A">
        <w:rPr>
          <w:rFonts w:cs="Times New Roman"/>
          <w:i/>
          <w:iCs/>
          <w:lang w:val="fr-CA"/>
        </w:rPr>
        <w:t>Pasiechnyk</w:t>
      </w:r>
      <w:r w:rsidRPr="002C1B3A">
        <w:rPr>
          <w:rFonts w:cs="Times New Roman"/>
          <w:iCs/>
          <w:lang w:val="fr-CA"/>
        </w:rPr>
        <w:t>, par. 25.</w:t>
      </w:r>
    </w:p>
    <w:p w:rsidR="00931170" w:rsidRPr="002C1B3A" w:rsidRDefault="00931170" w:rsidP="00931170">
      <w:pPr>
        <w:pStyle w:val="ParaNoNdepar-AltN"/>
        <w:tabs>
          <w:tab w:val="clear" w:pos="1152"/>
          <w:tab w:val="left" w:pos="1166"/>
        </w:tabs>
        <w:rPr>
          <w:rFonts w:cs="Times New Roman"/>
        </w:rPr>
      </w:pPr>
      <w:r w:rsidRPr="002C1B3A">
        <w:rPr>
          <w:rFonts w:cs="Times New Roman"/>
          <w:lang w:val="fr-CA"/>
        </w:rPr>
        <w:t>Ce « compromis historique » garantit aux travailleurs (ou aux personnes à leur charge) une indemnisation en temps opportun, tout en réduisant la responsabilité des employeurs.  Dans l</w:t>
      </w:r>
      <w:r>
        <w:rPr>
          <w:rFonts w:cs="Times New Roman"/>
          <w:lang w:val="fr-CA"/>
        </w:rPr>
        <w:t>’</w:t>
      </w:r>
      <w:r w:rsidRPr="002C1B3A">
        <w:rPr>
          <w:rFonts w:cs="Times New Roman"/>
          <w:lang w:val="fr-CA"/>
        </w:rPr>
        <w:t xml:space="preserve">affaire </w:t>
      </w:r>
      <w:r w:rsidRPr="002C1B3A">
        <w:rPr>
          <w:rFonts w:cs="Times New Roman"/>
          <w:i/>
          <w:lang w:val="fr-CA"/>
        </w:rPr>
        <w:t>Pasiechnyk</w:t>
      </w:r>
      <w:r w:rsidRPr="002C1B3A">
        <w:rPr>
          <w:rFonts w:cs="Times New Roman"/>
          <w:lang w:val="fr-CA"/>
        </w:rPr>
        <w:t>, le juge Sopinka a décrit ce compromis comme une caractéristique nécessaire et cruciale d</w:t>
      </w:r>
      <w:r>
        <w:rPr>
          <w:rFonts w:cs="Times New Roman"/>
          <w:lang w:val="fr-CA"/>
        </w:rPr>
        <w:t>’</w:t>
      </w:r>
      <w:r w:rsidRPr="002C1B3A">
        <w:rPr>
          <w:rFonts w:cs="Times New Roman"/>
          <w:lang w:val="fr-CA"/>
        </w:rPr>
        <w:t>un régime d</w:t>
      </w:r>
      <w:r>
        <w:rPr>
          <w:rFonts w:cs="Times New Roman"/>
          <w:lang w:val="fr-CA"/>
        </w:rPr>
        <w:t>’</w:t>
      </w:r>
      <w:r w:rsidRPr="002C1B3A">
        <w:rPr>
          <w:rFonts w:cs="Times New Roman"/>
          <w:lang w:val="fr-CA"/>
        </w:rPr>
        <w:t xml:space="preserve">indemnisation des accidents du travail (par. 26).  </w:t>
      </w:r>
      <w:r w:rsidRPr="002C1B3A">
        <w:rPr>
          <w:rFonts w:cs="Times New Roman"/>
        </w:rPr>
        <w:t xml:space="preserve">Voir aussi </w:t>
      </w:r>
      <w:r w:rsidRPr="002C1B3A">
        <w:rPr>
          <w:rFonts w:cs="Times New Roman"/>
          <w:i/>
          <w:iCs/>
        </w:rPr>
        <w:t>Reference re : Workers</w:t>
      </w:r>
      <w:r>
        <w:rPr>
          <w:rFonts w:cs="Times New Roman"/>
          <w:i/>
          <w:iCs/>
        </w:rPr>
        <w:t>’</w:t>
      </w:r>
      <w:r w:rsidRPr="002C1B3A">
        <w:rPr>
          <w:rFonts w:cs="Times New Roman"/>
          <w:i/>
          <w:iCs/>
        </w:rPr>
        <w:t xml:space="preserve"> Compensation Act, 1983</w:t>
      </w:r>
      <w:r w:rsidRPr="002C1B3A">
        <w:rPr>
          <w:rFonts w:cs="Times New Roman"/>
          <w:iCs/>
        </w:rPr>
        <w:t xml:space="preserve"> </w:t>
      </w:r>
      <w:r w:rsidRPr="002C1B3A">
        <w:rPr>
          <w:rFonts w:cs="Times New Roman"/>
          <w:i/>
          <w:iCs/>
        </w:rPr>
        <w:t>(Nfld.), ss. 32, 34</w:t>
      </w:r>
      <w:r w:rsidRPr="002C1B3A">
        <w:rPr>
          <w:rFonts w:cs="Times New Roman"/>
        </w:rPr>
        <w:t xml:space="preserve"> (1987), 44 D.L.R. (4th) </w:t>
      </w:r>
      <w:r w:rsidR="00B046BA">
        <w:rPr>
          <w:rFonts w:cs="Times New Roman"/>
        </w:rPr>
        <w:t>501 (C.A.</w:t>
      </w:r>
      <w:r w:rsidRPr="002C1B3A">
        <w:rPr>
          <w:rFonts w:cs="Times New Roman"/>
        </w:rPr>
        <w:t>T.</w:t>
      </w:r>
      <w:r w:rsidRPr="002C1B3A">
        <w:rPr>
          <w:rFonts w:cs="Times New Roman"/>
        </w:rPr>
        <w:noBreakHyphen/>
        <w:t>N.).</w:t>
      </w:r>
    </w:p>
    <w:p w:rsidR="00931170" w:rsidRPr="002C1B3A" w:rsidRDefault="00931170" w:rsidP="00931170">
      <w:pPr>
        <w:pStyle w:val="ParaNoNdepar-AltN"/>
        <w:tabs>
          <w:tab w:val="clear" w:pos="1152"/>
          <w:tab w:val="left" w:pos="1166"/>
        </w:tabs>
        <w:rPr>
          <w:rFonts w:cs="Times New Roman"/>
          <w:lang w:val="fr-CA"/>
        </w:rPr>
      </w:pPr>
      <w:r w:rsidRPr="002C1B3A">
        <w:rPr>
          <w:rFonts w:cs="Times New Roman"/>
          <w:lang w:val="fr-CA"/>
        </w:rPr>
        <w:t xml:space="preserve">La </w:t>
      </w:r>
      <w:r w:rsidRPr="002C1B3A">
        <w:rPr>
          <w:rFonts w:cs="Times New Roman"/>
          <w:i/>
          <w:lang w:val="fr-CA"/>
        </w:rPr>
        <w:t>WHSCA</w:t>
      </w:r>
      <w:r w:rsidRPr="002C1B3A">
        <w:rPr>
          <w:rFonts w:cs="Times New Roman"/>
          <w:lang w:val="fr-CA"/>
        </w:rPr>
        <w:t xml:space="preserve"> est le régime d</w:t>
      </w:r>
      <w:r>
        <w:rPr>
          <w:rFonts w:cs="Times New Roman"/>
          <w:lang w:val="fr-CA"/>
        </w:rPr>
        <w:t>’</w:t>
      </w:r>
      <w:r w:rsidRPr="002C1B3A">
        <w:rPr>
          <w:rFonts w:cs="Times New Roman"/>
          <w:lang w:val="fr-CA"/>
        </w:rPr>
        <w:t>indemnisation des accidents du travail applicable à Terre</w:t>
      </w:r>
      <w:r w:rsidRPr="002C1B3A">
        <w:rPr>
          <w:rFonts w:cs="Times New Roman"/>
          <w:lang w:val="fr-CA"/>
        </w:rPr>
        <w:noBreakHyphen/>
        <w:t>Neuve</w:t>
      </w:r>
      <w:r w:rsidRPr="002C1B3A">
        <w:rPr>
          <w:rFonts w:cs="Times New Roman"/>
          <w:lang w:val="fr-CA"/>
        </w:rPr>
        <w:noBreakHyphen/>
        <w:t>et</w:t>
      </w:r>
      <w:r w:rsidRPr="002C1B3A">
        <w:rPr>
          <w:rFonts w:cs="Times New Roman"/>
          <w:lang w:val="fr-CA"/>
        </w:rPr>
        <w:noBreakHyphen/>
        <w:t>Labrador.  Elle permet aux travailleurs et aux personnes à leur charge d</w:t>
      </w:r>
      <w:r>
        <w:rPr>
          <w:rFonts w:cs="Times New Roman"/>
          <w:lang w:val="fr-CA"/>
        </w:rPr>
        <w:t>’</w:t>
      </w:r>
      <w:r w:rsidRPr="002C1B3A">
        <w:rPr>
          <w:rFonts w:cs="Times New Roman"/>
          <w:lang w:val="fr-CA"/>
        </w:rPr>
        <w:t>être indemnisés, sans égard à la responsabilité, en cas d</w:t>
      </w:r>
      <w:r>
        <w:rPr>
          <w:rFonts w:cs="Times New Roman"/>
          <w:lang w:val="fr-CA"/>
        </w:rPr>
        <w:t>’</w:t>
      </w:r>
      <w:r w:rsidRPr="002C1B3A">
        <w:rPr>
          <w:rFonts w:cs="Times New Roman"/>
          <w:lang w:val="fr-CA"/>
        </w:rPr>
        <w:t>accident du travail; elle impose en effet l</w:t>
      </w:r>
      <w:r>
        <w:rPr>
          <w:rFonts w:cs="Times New Roman"/>
          <w:lang w:val="fr-CA"/>
        </w:rPr>
        <w:t>’</w:t>
      </w:r>
      <w:r w:rsidRPr="002C1B3A">
        <w:rPr>
          <w:rFonts w:cs="Times New Roman"/>
          <w:lang w:val="fr-CA"/>
        </w:rPr>
        <w:t>indemnisation automatique, sans obligation d</w:t>
      </w:r>
      <w:r>
        <w:rPr>
          <w:rFonts w:cs="Times New Roman"/>
          <w:lang w:val="fr-CA"/>
        </w:rPr>
        <w:t>’</w:t>
      </w:r>
      <w:r w:rsidRPr="002C1B3A">
        <w:rPr>
          <w:rFonts w:cs="Times New Roman"/>
          <w:lang w:val="fr-CA"/>
        </w:rPr>
        <w:t>établir la faute de l</w:t>
      </w:r>
      <w:r>
        <w:rPr>
          <w:rFonts w:cs="Times New Roman"/>
          <w:lang w:val="fr-CA"/>
        </w:rPr>
        <w:t>’</w:t>
      </w:r>
      <w:r w:rsidRPr="002C1B3A">
        <w:rPr>
          <w:rFonts w:cs="Times New Roman"/>
          <w:lang w:val="fr-CA"/>
        </w:rPr>
        <w:t xml:space="preserve">employeur.  La </w:t>
      </w:r>
      <w:r w:rsidRPr="002C1B3A">
        <w:rPr>
          <w:rFonts w:cs="Times New Roman"/>
          <w:i/>
          <w:lang w:val="fr-CA"/>
        </w:rPr>
        <w:t>WHSCA</w:t>
      </w:r>
      <w:r w:rsidRPr="002C1B3A">
        <w:rPr>
          <w:rFonts w:cs="Times New Roman"/>
          <w:lang w:val="fr-CA"/>
        </w:rPr>
        <w:t xml:space="preserve"> remplace par le versement d</w:t>
      </w:r>
      <w:r>
        <w:rPr>
          <w:rFonts w:cs="Times New Roman"/>
          <w:lang w:val="fr-CA"/>
        </w:rPr>
        <w:t>’</w:t>
      </w:r>
      <w:r w:rsidRPr="002C1B3A">
        <w:rPr>
          <w:rFonts w:cs="Times New Roman"/>
          <w:lang w:val="fr-CA"/>
        </w:rPr>
        <w:t>une indemnité l</w:t>
      </w:r>
      <w:r>
        <w:rPr>
          <w:rFonts w:cs="Times New Roman"/>
          <w:lang w:val="fr-CA"/>
        </w:rPr>
        <w:t>’</w:t>
      </w:r>
      <w:r w:rsidRPr="002C1B3A">
        <w:rPr>
          <w:rFonts w:cs="Times New Roman"/>
          <w:lang w:val="fr-CA"/>
        </w:rPr>
        <w:t>action en responsabilité délictuelle pour négligence.  En ce sens, elle constitue un régime distinct du droit de la responsabilité délictuelle.  Quant à l</w:t>
      </w:r>
      <w:r>
        <w:rPr>
          <w:rFonts w:cs="Times New Roman"/>
          <w:lang w:val="fr-CA"/>
        </w:rPr>
        <w:t>’</w:t>
      </w:r>
      <w:r w:rsidRPr="002C1B3A">
        <w:rPr>
          <w:rFonts w:cs="Times New Roman"/>
          <w:lang w:val="fr-CA"/>
        </w:rPr>
        <w:t xml:space="preserve">art. 44 de cette loi, </w:t>
      </w:r>
      <w:r w:rsidRPr="002C1B3A">
        <w:rPr>
          <w:rFonts w:cs="Times New Roman"/>
          <w:lang w:val="fr-CA"/>
        </w:rPr>
        <w:lastRenderedPageBreak/>
        <w:t>il établit l</w:t>
      </w:r>
      <w:r>
        <w:rPr>
          <w:rFonts w:cs="Times New Roman"/>
          <w:lang w:val="fr-CA"/>
        </w:rPr>
        <w:t>’</w:t>
      </w:r>
      <w:r w:rsidRPr="002C1B3A">
        <w:rPr>
          <w:rFonts w:cs="Times New Roman"/>
          <w:lang w:val="fr-CA"/>
        </w:rPr>
        <w:t>interdiction légale de poursuites qui est au cœur du « compromis historique ».</w:t>
      </w:r>
    </w:p>
    <w:p w:rsidR="00931170" w:rsidRPr="002C1B3A" w:rsidRDefault="00931170" w:rsidP="00931170">
      <w:pPr>
        <w:pStyle w:val="ParaNoNdepar-AltN"/>
        <w:tabs>
          <w:tab w:val="clear" w:pos="1152"/>
          <w:tab w:val="left" w:pos="1166"/>
        </w:tabs>
        <w:rPr>
          <w:rFonts w:cs="Times New Roman"/>
          <w:lang w:val="fr-CA"/>
        </w:rPr>
      </w:pPr>
      <w:r w:rsidRPr="002C1B3A">
        <w:rPr>
          <w:rFonts w:cs="Times New Roman"/>
          <w:lang w:val="fr-CA"/>
        </w:rPr>
        <w:t>Les régimes d</w:t>
      </w:r>
      <w:r>
        <w:rPr>
          <w:rFonts w:cs="Times New Roman"/>
          <w:lang w:val="fr-CA"/>
        </w:rPr>
        <w:t>’</w:t>
      </w:r>
      <w:r w:rsidRPr="002C1B3A">
        <w:rPr>
          <w:rFonts w:cs="Times New Roman"/>
          <w:lang w:val="fr-CA"/>
        </w:rPr>
        <w:t xml:space="preserve">indemnisation des accidents du travail, qui concernent le droit du travail et le droit des assurances, relèvent du pouvoir des provinces de légiférer sur la propriété et les droits civils prévu au par. 92(13) de la </w:t>
      </w:r>
      <w:r w:rsidRPr="002C1B3A">
        <w:rPr>
          <w:rFonts w:cs="Times New Roman"/>
          <w:i/>
          <w:lang w:val="fr-CA"/>
        </w:rPr>
        <w:t>Loi constitutionnelle de 1867 </w:t>
      </w:r>
      <w:r w:rsidRPr="00892D8E">
        <w:rPr>
          <w:rFonts w:cs="Times New Roman"/>
          <w:lang w:val="fr-CA"/>
        </w:rPr>
        <w:t>:</w:t>
      </w:r>
      <w:r w:rsidRPr="002C1B3A">
        <w:rPr>
          <w:rFonts w:cs="Times New Roman"/>
          <w:i/>
          <w:lang w:val="fr-CA"/>
        </w:rPr>
        <w:t xml:space="preserve"> </w:t>
      </w:r>
      <w:r w:rsidRPr="002C1B3A">
        <w:rPr>
          <w:rFonts w:cs="Times New Roman"/>
          <w:lang w:val="fr-CA"/>
        </w:rPr>
        <w:t xml:space="preserve">voir </w:t>
      </w:r>
      <w:r w:rsidRPr="002C1B3A">
        <w:rPr>
          <w:rFonts w:cs="Times New Roman"/>
          <w:i/>
          <w:lang w:val="fr-CA"/>
        </w:rPr>
        <w:t>Canadian Pacific Railway</w:t>
      </w:r>
      <w:r w:rsidRPr="002C1B3A">
        <w:rPr>
          <w:rFonts w:cs="Times New Roman"/>
          <w:lang w:val="fr-CA"/>
        </w:rPr>
        <w:t>;</w:t>
      </w:r>
      <w:r w:rsidRPr="002C1B3A">
        <w:rPr>
          <w:rFonts w:cs="Times New Roman"/>
          <w:i/>
          <w:lang w:val="fr-CA"/>
        </w:rPr>
        <w:t xml:space="preserve"> Commission du salaire minimum c. Bell Telephone Co. of Canada</w:t>
      </w:r>
      <w:r w:rsidRPr="002C1B3A">
        <w:rPr>
          <w:rFonts w:cs="Times New Roman"/>
          <w:lang w:val="fr-CA"/>
        </w:rPr>
        <w:t>, [1966] R.C.S. 767;</w:t>
      </w:r>
      <w:r w:rsidRPr="002C1B3A">
        <w:rPr>
          <w:rFonts w:cs="Times New Roman"/>
          <w:i/>
          <w:lang w:val="fr-CA"/>
        </w:rPr>
        <w:t xml:space="preserve"> Bell Canada</w:t>
      </w:r>
      <w:r w:rsidRPr="002C1B3A">
        <w:rPr>
          <w:rFonts w:cs="Times New Roman"/>
          <w:lang w:val="fr-CA"/>
        </w:rPr>
        <w:t xml:space="preserve">; </w:t>
      </w:r>
      <w:r w:rsidRPr="002C1B3A">
        <w:rPr>
          <w:rFonts w:cs="Times New Roman"/>
          <w:i/>
          <w:lang w:val="fr-CA"/>
        </w:rPr>
        <w:t>Alltrans Express Ltd. c. Colombie</w:t>
      </w:r>
      <w:r w:rsidRPr="002C1B3A">
        <w:rPr>
          <w:rFonts w:cs="Times New Roman"/>
          <w:i/>
          <w:lang w:val="fr-CA"/>
        </w:rPr>
        <w:noBreakHyphen/>
        <w:t>Britannique (Workers</w:t>
      </w:r>
      <w:r>
        <w:rPr>
          <w:rFonts w:cs="Times New Roman"/>
          <w:i/>
          <w:lang w:val="fr-CA"/>
        </w:rPr>
        <w:t>’</w:t>
      </w:r>
      <w:r w:rsidRPr="002C1B3A">
        <w:rPr>
          <w:rFonts w:cs="Times New Roman"/>
          <w:i/>
          <w:lang w:val="fr-CA"/>
        </w:rPr>
        <w:t xml:space="preserve"> Compensation Board)</w:t>
      </w:r>
      <w:r w:rsidRPr="002C1B3A">
        <w:rPr>
          <w:rFonts w:cs="Times New Roman"/>
          <w:lang w:val="fr-CA"/>
        </w:rPr>
        <w:t>, [1988] 1 R.C.S. 897</w:t>
      </w:r>
      <w:r w:rsidR="00892D8E">
        <w:rPr>
          <w:rFonts w:cs="Times New Roman"/>
          <w:lang w:val="fr-CA"/>
        </w:rPr>
        <w:t>;</w:t>
      </w:r>
      <w:r w:rsidRPr="002C1B3A">
        <w:rPr>
          <w:rFonts w:cs="Times New Roman"/>
          <w:lang w:val="fr-CA"/>
        </w:rPr>
        <w:t xml:space="preserve"> et </w:t>
      </w:r>
      <w:r w:rsidRPr="002C1B3A">
        <w:rPr>
          <w:rFonts w:cs="Times New Roman"/>
          <w:i/>
          <w:lang w:val="fr-CA"/>
        </w:rPr>
        <w:t>Husky Oil Operations Ltd. c. Ministre du Revenu national</w:t>
      </w:r>
      <w:r w:rsidRPr="002C1B3A">
        <w:rPr>
          <w:rFonts w:cs="Times New Roman"/>
          <w:lang w:val="fr-CA"/>
        </w:rPr>
        <w:t>, [1995] 3 R.C.S. 453, par. 117</w:t>
      </w:r>
      <w:r>
        <w:rPr>
          <w:rFonts w:cs="Times New Roman"/>
          <w:lang w:val="fr-CA"/>
        </w:rPr>
        <w:t xml:space="preserve">, </w:t>
      </w:r>
      <w:r w:rsidR="00892D8E">
        <w:rPr>
          <w:rFonts w:cs="Times New Roman"/>
          <w:lang w:val="fr-CA"/>
        </w:rPr>
        <w:t xml:space="preserve">le </w:t>
      </w:r>
      <w:r>
        <w:rPr>
          <w:rFonts w:cs="Times New Roman"/>
          <w:lang w:val="fr-CA"/>
        </w:rPr>
        <w:t>juge Iacobucci, dissident</w:t>
      </w:r>
      <w:r w:rsidRPr="002C1B3A">
        <w:rPr>
          <w:rFonts w:cs="Times New Roman"/>
          <w:lang w:val="fr-CA"/>
        </w:rPr>
        <w:t xml:space="preserve">. </w:t>
      </w:r>
      <w:r>
        <w:rPr>
          <w:rFonts w:cs="Times New Roman"/>
          <w:lang w:val="fr-CA"/>
        </w:rPr>
        <w:t xml:space="preserve"> </w:t>
      </w:r>
      <w:r w:rsidRPr="002C1B3A">
        <w:rPr>
          <w:rFonts w:cs="Times New Roman"/>
          <w:lang w:val="fr-CA"/>
        </w:rPr>
        <w:t xml:space="preserve">Dans </w:t>
      </w:r>
      <w:r w:rsidRPr="002C1B3A">
        <w:rPr>
          <w:rFonts w:cs="Times New Roman"/>
          <w:i/>
          <w:lang w:val="fr-CA"/>
        </w:rPr>
        <w:t>Canadian Pacific Railway</w:t>
      </w:r>
      <w:r w:rsidRPr="002C1B3A">
        <w:rPr>
          <w:rFonts w:cs="Times New Roman"/>
          <w:lang w:val="fr-CA"/>
        </w:rPr>
        <w:t xml:space="preserve">, le Conseil privé a affirmé ce qui suit relativement à la </w:t>
      </w:r>
      <w:r w:rsidRPr="002C1B3A">
        <w:rPr>
          <w:rFonts w:cs="Times New Roman"/>
          <w:i/>
          <w:lang w:val="fr-CA"/>
        </w:rPr>
        <w:t>Workmen</w:t>
      </w:r>
      <w:r>
        <w:rPr>
          <w:rFonts w:cs="Times New Roman"/>
          <w:i/>
          <w:lang w:val="fr-CA"/>
        </w:rPr>
        <w:t>’</w:t>
      </w:r>
      <w:r w:rsidRPr="002C1B3A">
        <w:rPr>
          <w:rFonts w:cs="Times New Roman"/>
          <w:i/>
          <w:lang w:val="fr-CA"/>
        </w:rPr>
        <w:t>s Compensation Act</w:t>
      </w:r>
      <w:r w:rsidRPr="002C1B3A">
        <w:rPr>
          <w:rFonts w:cs="Times New Roman"/>
          <w:lang w:val="fr-CA"/>
        </w:rPr>
        <w:t>, R.S.B.C. 1916, ch. 77, de la Colombie</w:t>
      </w:r>
      <w:r w:rsidRPr="002C1B3A">
        <w:rPr>
          <w:rFonts w:cs="Times New Roman"/>
          <w:lang w:val="fr-CA"/>
        </w:rPr>
        <w:noBreakHyphen/>
        <w:t>Britannique (p. 191) :</w:t>
      </w:r>
    </w:p>
    <w:p w:rsidR="00931170" w:rsidRPr="002C1B3A" w:rsidRDefault="00931170" w:rsidP="00931170">
      <w:pPr>
        <w:pStyle w:val="Citation-AltC"/>
        <w:ind w:hanging="1166"/>
        <w:rPr>
          <w:lang w:val="fr-CA"/>
        </w:rPr>
      </w:pPr>
      <w:r w:rsidRPr="002C1B3A">
        <w:rPr>
          <w:lang w:val="fr-CA"/>
        </w:rPr>
        <w:tab/>
        <w:t>[</w:t>
      </w:r>
      <w:r w:rsidRPr="002C1B3A">
        <w:rPr>
          <w:smallCaps/>
          <w:lang w:val="fr-CA"/>
        </w:rPr>
        <w:t>traduction</w:t>
      </w:r>
      <w:r w:rsidRPr="002C1B3A">
        <w:rPr>
          <w:lang w:val="fr-CA"/>
        </w:rPr>
        <w:t>]  L</w:t>
      </w:r>
      <w:r>
        <w:rPr>
          <w:lang w:val="fr-CA"/>
        </w:rPr>
        <w:t>’</w:t>
      </w:r>
      <w:r w:rsidRPr="002C1B3A">
        <w:rPr>
          <w:lang w:val="fr-CA"/>
        </w:rPr>
        <w:t>esprit de la loi n</w:t>
      </w:r>
      <w:r>
        <w:rPr>
          <w:lang w:val="fr-CA"/>
        </w:rPr>
        <w:t>’</w:t>
      </w:r>
      <w:r w:rsidRPr="002C1B3A">
        <w:rPr>
          <w:lang w:val="fr-CA"/>
        </w:rPr>
        <w:t>est pas d</w:t>
      </w:r>
      <w:r>
        <w:rPr>
          <w:lang w:val="fr-CA"/>
        </w:rPr>
        <w:t>’</w:t>
      </w:r>
      <w:r w:rsidRPr="002C1B3A">
        <w:rPr>
          <w:lang w:val="fr-CA"/>
        </w:rPr>
        <w:t>empiéter sur des droits à l</w:t>
      </w:r>
      <w:r>
        <w:rPr>
          <w:lang w:val="fr-CA"/>
        </w:rPr>
        <w:t>’</w:t>
      </w:r>
      <w:r w:rsidRPr="002C1B3A">
        <w:rPr>
          <w:lang w:val="fr-CA"/>
        </w:rPr>
        <w:t>extérieur de la province.  Il s</w:t>
      </w:r>
      <w:r>
        <w:rPr>
          <w:lang w:val="fr-CA"/>
        </w:rPr>
        <w:t>’</w:t>
      </w:r>
      <w:r w:rsidRPr="002C1B3A">
        <w:rPr>
          <w:lang w:val="fr-CA"/>
        </w:rPr>
        <w:t>agit essentiellement d</w:t>
      </w:r>
      <w:r>
        <w:rPr>
          <w:lang w:val="fr-CA"/>
        </w:rPr>
        <w:t>’</w:t>
      </w:r>
      <w:r w:rsidRPr="002C1B3A">
        <w:rPr>
          <w:lang w:val="fr-CA"/>
        </w:rPr>
        <w:t>un régime conférant un droit civil dans la province.</w:t>
      </w:r>
    </w:p>
    <w:p w:rsidR="00931170" w:rsidRPr="002C1B3A" w:rsidRDefault="00931170" w:rsidP="00931170">
      <w:pPr>
        <w:pStyle w:val="ParaNoNdepar-AltN"/>
        <w:rPr>
          <w:rFonts w:cs="Times New Roman"/>
          <w:lang w:val="fr-CA"/>
        </w:rPr>
      </w:pPr>
      <w:r w:rsidRPr="002C1B3A">
        <w:rPr>
          <w:rFonts w:cs="Times New Roman"/>
          <w:lang w:val="fr-CA"/>
        </w:rPr>
        <w:t>Le législateur fédéral a lui aussi instauré deux régimes d</w:t>
      </w:r>
      <w:r>
        <w:rPr>
          <w:rFonts w:cs="Times New Roman"/>
          <w:lang w:val="fr-CA"/>
        </w:rPr>
        <w:t>’</w:t>
      </w:r>
      <w:r w:rsidRPr="002C1B3A">
        <w:rPr>
          <w:rFonts w:cs="Times New Roman"/>
          <w:lang w:val="fr-CA"/>
        </w:rPr>
        <w:t xml:space="preserve">indemnisation des accidents du travail fondés sur le modèle proposé par Sir Meredith : la </w:t>
      </w:r>
      <w:r w:rsidRPr="002C1B3A">
        <w:rPr>
          <w:rFonts w:cs="Times New Roman"/>
          <w:i/>
          <w:lang w:val="fr-CA"/>
        </w:rPr>
        <w:t>Loi sur l</w:t>
      </w:r>
      <w:r>
        <w:rPr>
          <w:rFonts w:cs="Times New Roman"/>
          <w:i/>
          <w:lang w:val="fr-CA"/>
        </w:rPr>
        <w:t>’</w:t>
      </w:r>
      <w:r w:rsidRPr="002C1B3A">
        <w:rPr>
          <w:rFonts w:cs="Times New Roman"/>
          <w:i/>
          <w:lang w:val="fr-CA"/>
        </w:rPr>
        <w:t>indemnisation des agents de l</w:t>
      </w:r>
      <w:r>
        <w:rPr>
          <w:rFonts w:cs="Times New Roman"/>
          <w:i/>
          <w:lang w:val="fr-CA"/>
        </w:rPr>
        <w:t>’</w:t>
      </w:r>
      <w:r w:rsidRPr="002C1B3A">
        <w:rPr>
          <w:rFonts w:cs="Times New Roman"/>
          <w:i/>
          <w:lang w:val="fr-CA"/>
        </w:rPr>
        <w:t>État</w:t>
      </w:r>
      <w:r w:rsidRPr="002C1B3A">
        <w:rPr>
          <w:rFonts w:cs="Times New Roman"/>
          <w:lang w:val="fr-CA"/>
        </w:rPr>
        <w:t>, L.R.C. 1985, ch. G</w:t>
      </w:r>
      <w:r w:rsidRPr="002C1B3A">
        <w:rPr>
          <w:rFonts w:cs="Times New Roman"/>
          <w:lang w:val="fr-CA"/>
        </w:rPr>
        <w:noBreakHyphen/>
        <w:t>5 (« </w:t>
      </w:r>
      <w:r w:rsidRPr="002C1B3A">
        <w:rPr>
          <w:rFonts w:cs="Times New Roman"/>
          <w:i/>
          <w:lang w:val="fr-CA"/>
        </w:rPr>
        <w:t>LIAÉ</w:t>
      </w:r>
      <w:r w:rsidRPr="002C1B3A">
        <w:rPr>
          <w:rFonts w:cs="Times New Roman"/>
          <w:lang w:val="fr-CA"/>
        </w:rPr>
        <w:t xml:space="preserve"> »), et la </w:t>
      </w:r>
      <w:r w:rsidRPr="002C1B3A">
        <w:rPr>
          <w:rFonts w:cs="Times New Roman"/>
          <w:i/>
          <w:lang w:val="fr-CA"/>
        </w:rPr>
        <w:t>Loi sur l</w:t>
      </w:r>
      <w:r>
        <w:rPr>
          <w:rFonts w:cs="Times New Roman"/>
          <w:i/>
          <w:lang w:val="fr-CA"/>
        </w:rPr>
        <w:t>’</w:t>
      </w:r>
      <w:r w:rsidRPr="002C1B3A">
        <w:rPr>
          <w:rFonts w:cs="Times New Roman"/>
          <w:i/>
          <w:lang w:val="fr-CA"/>
        </w:rPr>
        <w:t>indemnisation des marins marchands</w:t>
      </w:r>
      <w:r w:rsidRPr="002C1B3A">
        <w:rPr>
          <w:rFonts w:cs="Times New Roman"/>
          <w:lang w:val="fr-CA"/>
        </w:rPr>
        <w:t>, L.R.C. 1985, ch. M</w:t>
      </w:r>
      <w:r w:rsidRPr="002C1B3A">
        <w:rPr>
          <w:rFonts w:cs="Times New Roman"/>
          <w:lang w:val="fr-CA"/>
        </w:rPr>
        <w:noBreakHyphen/>
        <w:t>6 (« </w:t>
      </w:r>
      <w:r w:rsidRPr="002C1B3A">
        <w:rPr>
          <w:rFonts w:cs="Times New Roman"/>
          <w:i/>
          <w:lang w:val="fr-CA"/>
        </w:rPr>
        <w:t>LIMM</w:t>
      </w:r>
      <w:r w:rsidRPr="002C1B3A">
        <w:rPr>
          <w:rFonts w:cs="Times New Roman"/>
          <w:lang w:val="fr-CA"/>
        </w:rPr>
        <w:t> »).  La première de ces lois a été adoptée par le Parlement en vertu de sa compétence exclusive à l</w:t>
      </w:r>
      <w:r>
        <w:rPr>
          <w:rFonts w:cs="Times New Roman"/>
          <w:lang w:val="fr-CA"/>
        </w:rPr>
        <w:t>’</w:t>
      </w:r>
      <w:r w:rsidRPr="002C1B3A">
        <w:rPr>
          <w:rFonts w:cs="Times New Roman"/>
          <w:lang w:val="fr-CA"/>
        </w:rPr>
        <w:t xml:space="preserve">égard des fonctionnaires fédéraux prévue au par. 91(8) de la </w:t>
      </w:r>
      <w:r w:rsidRPr="002C1B3A">
        <w:rPr>
          <w:rFonts w:cs="Times New Roman"/>
          <w:i/>
          <w:lang w:val="fr-CA"/>
        </w:rPr>
        <w:t>Loi constitutionnelle de</w:t>
      </w:r>
      <w:r w:rsidRPr="002C1B3A">
        <w:rPr>
          <w:rFonts w:cs="Times New Roman"/>
          <w:lang w:val="fr-CA"/>
        </w:rPr>
        <w:t xml:space="preserve"> </w:t>
      </w:r>
      <w:r w:rsidRPr="002C1B3A">
        <w:rPr>
          <w:rFonts w:cs="Times New Roman"/>
          <w:i/>
          <w:lang w:val="fr-CA"/>
        </w:rPr>
        <w:t>1867 </w:t>
      </w:r>
      <w:r w:rsidRPr="00734BC1">
        <w:rPr>
          <w:rFonts w:cs="Times New Roman"/>
          <w:lang w:val="fr-CA"/>
        </w:rPr>
        <w:t>:</w:t>
      </w:r>
      <w:r w:rsidRPr="002C1B3A">
        <w:rPr>
          <w:rFonts w:cs="Times New Roman"/>
          <w:lang w:val="fr-CA"/>
        </w:rPr>
        <w:t xml:space="preserve"> </w:t>
      </w:r>
      <w:r w:rsidRPr="002C1B3A">
        <w:rPr>
          <w:rFonts w:cs="Times New Roman"/>
          <w:i/>
          <w:lang w:val="fr-CA"/>
        </w:rPr>
        <w:t xml:space="preserve">Procureur général du Canada c. St. Hubert Base </w:t>
      </w:r>
      <w:r w:rsidRPr="002C1B3A">
        <w:rPr>
          <w:rFonts w:cs="Times New Roman"/>
          <w:i/>
          <w:lang w:val="fr-CA"/>
        </w:rPr>
        <w:lastRenderedPageBreak/>
        <w:t>Teachers</w:t>
      </w:r>
      <w:r>
        <w:rPr>
          <w:rFonts w:cs="Times New Roman"/>
          <w:i/>
          <w:lang w:val="fr-CA"/>
        </w:rPr>
        <w:t>’</w:t>
      </w:r>
      <w:r w:rsidRPr="002C1B3A">
        <w:rPr>
          <w:rFonts w:cs="Times New Roman"/>
          <w:i/>
          <w:lang w:val="fr-CA"/>
        </w:rPr>
        <w:t xml:space="preserve"> Association</w:t>
      </w:r>
      <w:r w:rsidRPr="002C1B3A">
        <w:rPr>
          <w:rFonts w:cs="Times New Roman"/>
          <w:lang w:val="fr-CA"/>
        </w:rPr>
        <w:t xml:space="preserve">, [1983] 1 R.C.S. 498; </w:t>
      </w:r>
      <w:r w:rsidRPr="002C1B3A">
        <w:rPr>
          <w:rFonts w:cs="Times New Roman"/>
          <w:i/>
          <w:lang w:val="fr-CA"/>
        </w:rPr>
        <w:t>Société canadienne des postes c. Commission d</w:t>
      </w:r>
      <w:r>
        <w:rPr>
          <w:rFonts w:cs="Times New Roman"/>
          <w:i/>
          <w:lang w:val="fr-CA"/>
        </w:rPr>
        <w:t>’</w:t>
      </w:r>
      <w:r w:rsidRPr="002C1B3A">
        <w:rPr>
          <w:rFonts w:cs="Times New Roman"/>
          <w:i/>
          <w:lang w:val="fr-CA"/>
        </w:rPr>
        <w:t>appel en matière de lésions professionnelles</w:t>
      </w:r>
      <w:r w:rsidRPr="002C1B3A">
        <w:rPr>
          <w:rFonts w:cs="Times New Roman"/>
          <w:lang w:val="fr-CA"/>
        </w:rPr>
        <w:t>, [1999] R.J.Q. 957 (C.A.), p. 962</w:t>
      </w:r>
      <w:r w:rsidRPr="002C1B3A">
        <w:rPr>
          <w:rFonts w:cs="Times New Roman"/>
          <w:lang w:val="fr-CA"/>
        </w:rPr>
        <w:noBreakHyphen/>
        <w:t>963</w:t>
      </w:r>
      <w:r w:rsidR="00FF6AEF">
        <w:rPr>
          <w:rFonts w:cs="Times New Roman"/>
          <w:lang w:val="fr-CA"/>
        </w:rPr>
        <w:t>;</w:t>
      </w:r>
      <w:r w:rsidRPr="002C1B3A">
        <w:rPr>
          <w:rFonts w:cs="Times New Roman"/>
          <w:lang w:val="fr-CA"/>
        </w:rPr>
        <w:t xml:space="preserve"> et </w:t>
      </w:r>
      <w:r w:rsidRPr="002C1B3A">
        <w:rPr>
          <w:rFonts w:cs="Times New Roman"/>
          <w:i/>
          <w:lang w:val="fr-CA"/>
        </w:rPr>
        <w:t>Société canadienne des postes c. Commission de la santé et de la sécurité du travail</w:t>
      </w:r>
      <w:r w:rsidRPr="002C1B3A">
        <w:rPr>
          <w:rFonts w:cs="Times New Roman"/>
          <w:lang w:val="fr-CA"/>
        </w:rPr>
        <w:t>, [1996] R.J.Q. 873 (C.A.), p. 876.  La deuxième loi a été édictée dans l</w:t>
      </w:r>
      <w:r>
        <w:rPr>
          <w:rFonts w:cs="Times New Roman"/>
          <w:lang w:val="fr-CA"/>
        </w:rPr>
        <w:t>’</w:t>
      </w:r>
      <w:r w:rsidRPr="002C1B3A">
        <w:rPr>
          <w:rFonts w:cs="Times New Roman"/>
          <w:lang w:val="fr-CA"/>
        </w:rPr>
        <w:t>exercice de la compétence fédérale sur la navigation et les bâtiments ou navires.  Nous analyserons brièvement ces deux lois pour bien faire ressortir ce qu</w:t>
      </w:r>
      <w:r>
        <w:rPr>
          <w:rFonts w:cs="Times New Roman"/>
          <w:lang w:val="fr-CA"/>
        </w:rPr>
        <w:t>’</w:t>
      </w:r>
      <w:r w:rsidRPr="002C1B3A">
        <w:rPr>
          <w:rFonts w:cs="Times New Roman"/>
          <w:lang w:val="fr-CA"/>
        </w:rPr>
        <w:t xml:space="preserve">elles ont en commun avec la </w:t>
      </w:r>
      <w:r w:rsidRPr="002C1B3A">
        <w:rPr>
          <w:rFonts w:cs="Times New Roman"/>
          <w:i/>
          <w:lang w:val="fr-CA"/>
        </w:rPr>
        <w:t>WHSCA</w:t>
      </w:r>
      <w:r w:rsidRPr="002C1B3A">
        <w:rPr>
          <w:rFonts w:cs="Times New Roman"/>
          <w:lang w:val="fr-CA"/>
        </w:rPr>
        <w:t>.</w:t>
      </w:r>
    </w:p>
    <w:p w:rsidR="00931170" w:rsidRPr="002C1B3A" w:rsidRDefault="00931170" w:rsidP="00931170">
      <w:pPr>
        <w:pStyle w:val="ParaNoNdepar-AltN"/>
        <w:rPr>
          <w:rFonts w:cs="Times New Roman"/>
          <w:lang w:val="fr-CA"/>
        </w:rPr>
      </w:pPr>
      <w:r w:rsidRPr="002C1B3A">
        <w:rPr>
          <w:rFonts w:cs="Times New Roman"/>
          <w:lang w:val="fr-CA"/>
        </w:rPr>
        <w:t xml:space="preserve">La </w:t>
      </w:r>
      <w:r w:rsidRPr="002C1B3A">
        <w:rPr>
          <w:rFonts w:cs="Times New Roman"/>
          <w:i/>
          <w:lang w:val="fr-CA"/>
        </w:rPr>
        <w:t>LIAÉ</w:t>
      </w:r>
      <w:r w:rsidRPr="002C1B3A">
        <w:rPr>
          <w:rFonts w:cs="Times New Roman"/>
          <w:lang w:val="fr-CA"/>
        </w:rPr>
        <w:t> s</w:t>
      </w:r>
      <w:r>
        <w:rPr>
          <w:rFonts w:cs="Times New Roman"/>
          <w:lang w:val="fr-CA"/>
        </w:rPr>
        <w:t>’</w:t>
      </w:r>
      <w:r w:rsidRPr="002C1B3A">
        <w:rPr>
          <w:rFonts w:cs="Times New Roman"/>
          <w:lang w:val="fr-CA"/>
        </w:rPr>
        <w:t>applique à tout agent du gouvernement fédéral, à l</w:t>
      </w:r>
      <w:r>
        <w:rPr>
          <w:rFonts w:cs="Times New Roman"/>
          <w:lang w:val="fr-CA"/>
        </w:rPr>
        <w:t>’</w:t>
      </w:r>
      <w:r w:rsidRPr="002C1B3A">
        <w:rPr>
          <w:rFonts w:cs="Times New Roman"/>
          <w:lang w:val="fr-CA"/>
        </w:rPr>
        <w:t>exception des membres de la force régulière des Forces canadiennes ou de la Gendarmerie royale du Canada : art. 2</w:t>
      </w:r>
      <w:r>
        <w:rPr>
          <w:rFonts w:cs="Times New Roman"/>
          <w:lang w:val="fr-CA"/>
        </w:rPr>
        <w:t xml:space="preserve"> (« agents de l’État »)</w:t>
      </w:r>
      <w:r w:rsidRPr="002C1B3A">
        <w:rPr>
          <w:rFonts w:cs="Times New Roman"/>
          <w:lang w:val="fr-CA"/>
        </w:rPr>
        <w:t xml:space="preserve"> et par. 3(1).  En vertu de l</w:t>
      </w:r>
      <w:r>
        <w:rPr>
          <w:rFonts w:cs="Times New Roman"/>
          <w:lang w:val="fr-CA"/>
        </w:rPr>
        <w:t>’</w:t>
      </w:r>
      <w:r w:rsidRPr="002C1B3A">
        <w:rPr>
          <w:rFonts w:cs="Times New Roman"/>
          <w:lang w:val="fr-CA"/>
        </w:rPr>
        <w:t xml:space="preserve">art. 12, </w:t>
      </w:r>
      <w:r w:rsidRPr="002C1B3A">
        <w:rPr>
          <w:rFonts w:cs="Times New Roman"/>
          <w:szCs w:val="24"/>
          <w:lang w:val="fr-CA"/>
        </w:rPr>
        <w:t>l</w:t>
      </w:r>
      <w:r>
        <w:rPr>
          <w:rFonts w:cs="Times New Roman"/>
          <w:szCs w:val="24"/>
          <w:lang w:val="fr-CA"/>
        </w:rPr>
        <w:t>’</w:t>
      </w:r>
      <w:r w:rsidRPr="002C1B3A">
        <w:rPr>
          <w:rFonts w:cs="Times New Roman"/>
          <w:szCs w:val="24"/>
          <w:lang w:val="fr-CA"/>
        </w:rPr>
        <w:t>agent de l</w:t>
      </w:r>
      <w:r>
        <w:rPr>
          <w:rFonts w:cs="Times New Roman"/>
          <w:szCs w:val="24"/>
          <w:lang w:val="fr-CA"/>
        </w:rPr>
        <w:t>’</w:t>
      </w:r>
      <w:r w:rsidRPr="002C1B3A">
        <w:rPr>
          <w:rFonts w:cs="Times New Roman"/>
          <w:szCs w:val="24"/>
          <w:lang w:val="fr-CA"/>
        </w:rPr>
        <w:t>État ou les personnes à sa charge qui, par suite d</w:t>
      </w:r>
      <w:r>
        <w:rPr>
          <w:rFonts w:cs="Times New Roman"/>
          <w:szCs w:val="24"/>
          <w:lang w:val="fr-CA"/>
        </w:rPr>
        <w:t>’</w:t>
      </w:r>
      <w:r w:rsidRPr="002C1B3A">
        <w:rPr>
          <w:rFonts w:cs="Times New Roman"/>
          <w:szCs w:val="24"/>
          <w:lang w:val="fr-CA"/>
        </w:rPr>
        <w:t>un accident du travail, ont droit à l</w:t>
      </w:r>
      <w:r>
        <w:rPr>
          <w:rFonts w:cs="Times New Roman"/>
          <w:szCs w:val="24"/>
          <w:lang w:val="fr-CA"/>
        </w:rPr>
        <w:t>’</w:t>
      </w:r>
      <w:r w:rsidRPr="002C1B3A">
        <w:rPr>
          <w:rFonts w:cs="Times New Roman"/>
          <w:szCs w:val="24"/>
          <w:lang w:val="fr-CA"/>
        </w:rPr>
        <w:t xml:space="preserve">indemnité prévue par la </w:t>
      </w:r>
      <w:r w:rsidRPr="002C1B3A">
        <w:rPr>
          <w:rFonts w:cs="Times New Roman"/>
          <w:i/>
          <w:szCs w:val="24"/>
          <w:lang w:val="fr-CA"/>
        </w:rPr>
        <w:t>LIAÉ</w:t>
      </w:r>
      <w:r w:rsidRPr="002C1B3A">
        <w:rPr>
          <w:rFonts w:cs="Times New Roman"/>
          <w:szCs w:val="24"/>
          <w:lang w:val="fr-CA"/>
        </w:rPr>
        <w:t xml:space="preserve"> « ne peuvent exercer d[e] recours contre Sa Majesté ou un fonctionnaire, préposé ou mandataire de celle</w:t>
      </w:r>
      <w:r w:rsidRPr="002C1B3A">
        <w:rPr>
          <w:rFonts w:cs="Times New Roman"/>
          <w:szCs w:val="24"/>
          <w:lang w:val="fr-CA"/>
        </w:rPr>
        <w:noBreakHyphen/>
        <w:t>ci pour cet accident ».  Suivant le par. </w:t>
      </w:r>
      <w:r w:rsidRPr="002C1B3A">
        <w:rPr>
          <w:rFonts w:cs="Times New Roman"/>
          <w:lang w:val="fr-CA"/>
        </w:rPr>
        <w:t>9(1), si l</w:t>
      </w:r>
      <w:r>
        <w:rPr>
          <w:rFonts w:cs="Times New Roman"/>
          <w:lang w:val="fr-CA"/>
        </w:rPr>
        <w:t>’</w:t>
      </w:r>
      <w:r w:rsidRPr="002C1B3A">
        <w:rPr>
          <w:rFonts w:cs="Times New Roman"/>
          <w:lang w:val="fr-CA"/>
        </w:rPr>
        <w:t>accident dont a été victime un agent de l</w:t>
      </w:r>
      <w:r>
        <w:rPr>
          <w:rFonts w:cs="Times New Roman"/>
          <w:lang w:val="fr-CA"/>
        </w:rPr>
        <w:t>’</w:t>
      </w:r>
      <w:r w:rsidRPr="002C1B3A">
        <w:rPr>
          <w:rFonts w:cs="Times New Roman"/>
          <w:lang w:val="fr-CA"/>
        </w:rPr>
        <w:t>État ouvre droit pour lui ou les personnes à sa charge « à un recours contre un tiers », l</w:t>
      </w:r>
      <w:r>
        <w:rPr>
          <w:rFonts w:cs="Times New Roman"/>
          <w:lang w:val="fr-CA"/>
        </w:rPr>
        <w:t>’</w:t>
      </w:r>
      <w:r w:rsidRPr="002C1B3A">
        <w:rPr>
          <w:rFonts w:cs="Times New Roman"/>
          <w:lang w:val="fr-CA"/>
        </w:rPr>
        <w:t xml:space="preserve">agent ou ces personnes </w:t>
      </w:r>
      <w:r w:rsidRPr="002C1B3A">
        <w:rPr>
          <w:rFonts w:cs="Times New Roman"/>
          <w:lang w:val="fr-CA" w:eastAsia="fr-FR"/>
        </w:rPr>
        <w:t>peuvent soit demander l</w:t>
      </w:r>
      <w:r>
        <w:rPr>
          <w:rFonts w:cs="Times New Roman"/>
          <w:lang w:val="fr-CA" w:eastAsia="fr-FR"/>
        </w:rPr>
        <w:t>’</w:t>
      </w:r>
      <w:r w:rsidRPr="002C1B3A">
        <w:rPr>
          <w:rFonts w:cs="Times New Roman"/>
          <w:lang w:val="fr-CA" w:eastAsia="fr-FR"/>
        </w:rPr>
        <w:t xml:space="preserve">indemnité prévue, soit « exercer le recours contre le tiers » </w:t>
      </w:r>
      <w:r w:rsidRPr="002C1B3A">
        <w:rPr>
          <w:rFonts w:cs="Times New Roman"/>
          <w:lang w:val="fr-CA"/>
        </w:rPr>
        <w:t xml:space="preserve">(le par. 45(1) de la </w:t>
      </w:r>
      <w:r w:rsidRPr="002C1B3A">
        <w:rPr>
          <w:rFonts w:cs="Times New Roman"/>
          <w:i/>
          <w:lang w:val="fr-CA"/>
        </w:rPr>
        <w:t xml:space="preserve">WHSCA </w:t>
      </w:r>
      <w:r w:rsidRPr="002C1B3A">
        <w:rPr>
          <w:rFonts w:cs="Times New Roman"/>
          <w:lang w:val="fr-CA"/>
        </w:rPr>
        <w:t xml:space="preserve">accorde des choix semblables à ceux prévus au par. 9(1) de la </w:t>
      </w:r>
      <w:r w:rsidRPr="002C1B3A">
        <w:rPr>
          <w:rFonts w:cs="Times New Roman"/>
          <w:i/>
          <w:lang w:val="fr-CA"/>
        </w:rPr>
        <w:t>LIAÉ</w:t>
      </w:r>
      <w:r w:rsidRPr="002C1B3A">
        <w:rPr>
          <w:rFonts w:cs="Times New Roman"/>
          <w:lang w:val="fr-CA"/>
        </w:rPr>
        <w:t>).</w:t>
      </w:r>
    </w:p>
    <w:p w:rsidR="00931170" w:rsidRPr="002C1B3A" w:rsidRDefault="00931170" w:rsidP="00931170">
      <w:pPr>
        <w:pStyle w:val="ParaNoNdepar-AltN"/>
        <w:tabs>
          <w:tab w:val="clear" w:pos="1152"/>
          <w:tab w:val="left" w:pos="1166"/>
        </w:tabs>
        <w:rPr>
          <w:rFonts w:cs="Times New Roman"/>
          <w:lang w:val="fr-CA"/>
        </w:rPr>
      </w:pPr>
      <w:r w:rsidRPr="002C1B3A">
        <w:rPr>
          <w:rFonts w:cs="Times New Roman"/>
          <w:lang w:val="fr-CA"/>
        </w:rPr>
        <w:t xml:space="preserve">Tout comme la </w:t>
      </w:r>
      <w:r w:rsidRPr="002C1B3A">
        <w:rPr>
          <w:rFonts w:cs="Times New Roman"/>
          <w:i/>
          <w:lang w:val="fr-CA"/>
        </w:rPr>
        <w:t>WHSCA</w:t>
      </w:r>
      <w:r w:rsidRPr="002C1B3A">
        <w:rPr>
          <w:rFonts w:cs="Times New Roman"/>
          <w:lang w:val="fr-CA"/>
        </w:rPr>
        <w:t xml:space="preserve">, la </w:t>
      </w:r>
      <w:r w:rsidRPr="002C1B3A">
        <w:rPr>
          <w:rFonts w:cs="Times New Roman"/>
          <w:i/>
          <w:lang w:val="fr-CA"/>
        </w:rPr>
        <w:t>LIAÉ</w:t>
      </w:r>
      <w:r w:rsidRPr="002C1B3A">
        <w:rPr>
          <w:rFonts w:cs="Times New Roman"/>
          <w:lang w:val="fr-CA"/>
        </w:rPr>
        <w:t xml:space="preserve"> constitue un régime d</w:t>
      </w:r>
      <w:r>
        <w:rPr>
          <w:rFonts w:cs="Times New Roman"/>
          <w:lang w:val="fr-CA"/>
        </w:rPr>
        <w:t>’</w:t>
      </w:r>
      <w:r w:rsidRPr="002C1B3A">
        <w:rPr>
          <w:rFonts w:cs="Times New Roman"/>
          <w:lang w:val="fr-CA"/>
        </w:rPr>
        <w:t>indemnisation sans égard à la responsabilité applicable en cas de blessure ou de décès survenant en cours d</w:t>
      </w:r>
      <w:r>
        <w:rPr>
          <w:rFonts w:cs="Times New Roman"/>
          <w:lang w:val="fr-CA"/>
        </w:rPr>
        <w:t>’</w:t>
      </w:r>
      <w:r w:rsidRPr="002C1B3A">
        <w:rPr>
          <w:rFonts w:cs="Times New Roman"/>
          <w:lang w:val="fr-CA"/>
        </w:rPr>
        <w:t>emploi.  L</w:t>
      </w:r>
      <w:r>
        <w:rPr>
          <w:rFonts w:cs="Times New Roman"/>
          <w:lang w:val="fr-CA"/>
        </w:rPr>
        <w:t>’</w:t>
      </w:r>
      <w:r w:rsidRPr="002C1B3A">
        <w:rPr>
          <w:rFonts w:cs="Times New Roman"/>
          <w:lang w:val="fr-CA"/>
        </w:rPr>
        <w:t>interdiction d</w:t>
      </w:r>
      <w:r>
        <w:rPr>
          <w:rFonts w:cs="Times New Roman"/>
          <w:lang w:val="fr-CA"/>
        </w:rPr>
        <w:t>’</w:t>
      </w:r>
      <w:r w:rsidRPr="002C1B3A">
        <w:rPr>
          <w:rFonts w:cs="Times New Roman"/>
          <w:lang w:val="fr-CA"/>
        </w:rPr>
        <w:t xml:space="preserve">engager des poursuites contre Sa Majesté — </w:t>
      </w:r>
      <w:r w:rsidRPr="002C1B3A">
        <w:rPr>
          <w:rFonts w:cs="Times New Roman"/>
          <w:lang w:val="fr-CA"/>
        </w:rPr>
        <w:lastRenderedPageBreak/>
        <w:t>l</w:t>
      </w:r>
      <w:r>
        <w:rPr>
          <w:rFonts w:cs="Times New Roman"/>
          <w:lang w:val="fr-CA"/>
        </w:rPr>
        <w:t>’</w:t>
      </w:r>
      <w:r w:rsidRPr="002C1B3A">
        <w:rPr>
          <w:rFonts w:cs="Times New Roman"/>
          <w:lang w:val="fr-CA"/>
        </w:rPr>
        <w:t xml:space="preserve">employeur des agents visés par la </w:t>
      </w:r>
      <w:r w:rsidRPr="002C1B3A">
        <w:rPr>
          <w:rFonts w:cs="Times New Roman"/>
          <w:i/>
          <w:lang w:val="fr-CA"/>
        </w:rPr>
        <w:t>LIAÉ</w:t>
      </w:r>
      <w:r w:rsidRPr="002C1B3A">
        <w:rPr>
          <w:rFonts w:cs="Times New Roman"/>
          <w:lang w:val="fr-CA"/>
        </w:rPr>
        <w:t xml:space="preserve"> — représente un aspect fondamental de ce régime. </w:t>
      </w:r>
    </w:p>
    <w:p w:rsidR="00931170" w:rsidRPr="002C1B3A" w:rsidRDefault="00931170" w:rsidP="00931170">
      <w:pPr>
        <w:pStyle w:val="ParaNoNdepar-AltN"/>
        <w:tabs>
          <w:tab w:val="clear" w:pos="1152"/>
          <w:tab w:val="left" w:pos="1166"/>
        </w:tabs>
        <w:autoSpaceDE w:val="0"/>
        <w:autoSpaceDN w:val="0"/>
        <w:adjustRightInd w:val="0"/>
        <w:rPr>
          <w:rFonts w:cs="Times New Roman"/>
          <w:lang w:val="fr-CA"/>
        </w:rPr>
      </w:pPr>
      <w:r w:rsidRPr="002C1B3A">
        <w:rPr>
          <w:rFonts w:cs="Times New Roman"/>
          <w:lang w:val="fr-CA"/>
        </w:rPr>
        <w:t>L</w:t>
      </w:r>
      <w:r>
        <w:rPr>
          <w:rFonts w:cs="Times New Roman"/>
          <w:lang w:val="fr-CA"/>
        </w:rPr>
        <w:t>’</w:t>
      </w:r>
      <w:r w:rsidRPr="002C1B3A">
        <w:rPr>
          <w:rFonts w:cs="Times New Roman"/>
          <w:lang w:val="fr-CA"/>
        </w:rPr>
        <w:t xml:space="preserve">autre loi, la </w:t>
      </w:r>
      <w:r w:rsidRPr="002C1B3A">
        <w:rPr>
          <w:rFonts w:cs="Times New Roman"/>
          <w:i/>
          <w:lang w:val="fr-CA"/>
        </w:rPr>
        <w:t>LIMM</w:t>
      </w:r>
      <w:r w:rsidRPr="002C1B3A">
        <w:rPr>
          <w:rFonts w:cs="Times New Roman"/>
          <w:lang w:val="fr-CA"/>
        </w:rPr>
        <w:t>, s</w:t>
      </w:r>
      <w:r>
        <w:rPr>
          <w:rFonts w:cs="Times New Roman"/>
          <w:lang w:val="fr-CA"/>
        </w:rPr>
        <w:t>’</w:t>
      </w:r>
      <w:r w:rsidRPr="002C1B3A">
        <w:rPr>
          <w:rFonts w:cs="Times New Roman"/>
          <w:lang w:val="fr-CA"/>
        </w:rPr>
        <w:t>applique aux marins effectuant un voyage de cabotage ou un voyage de long cours.  La définition de « marin » exclut les pêcheurs, les pilotes et les apprentis pilotes.  Un « employeur » au sens de cette loi s</w:t>
      </w:r>
      <w:r>
        <w:rPr>
          <w:rFonts w:cs="Times New Roman"/>
          <w:lang w:val="fr-CA"/>
        </w:rPr>
        <w:t>’</w:t>
      </w:r>
      <w:r w:rsidRPr="002C1B3A">
        <w:rPr>
          <w:rFonts w:cs="Times New Roman"/>
          <w:lang w:val="fr-CA"/>
        </w:rPr>
        <w:t>entend de « </w:t>
      </w:r>
      <w:r w:rsidRPr="002C1B3A">
        <w:rPr>
          <w:rFonts w:cs="Times New Roman"/>
          <w:szCs w:val="24"/>
          <w:lang w:val="fr-CA"/>
        </w:rPr>
        <w:t>[t]oute personne ayant un marin à son service en vertu d</w:t>
      </w:r>
      <w:r>
        <w:rPr>
          <w:rFonts w:cs="Times New Roman"/>
          <w:szCs w:val="24"/>
          <w:lang w:val="fr-CA"/>
        </w:rPr>
        <w:t>’</w:t>
      </w:r>
      <w:r w:rsidRPr="002C1B3A">
        <w:rPr>
          <w:rFonts w:cs="Times New Roman"/>
          <w:szCs w:val="24"/>
          <w:lang w:val="fr-CA"/>
        </w:rPr>
        <w:t>un contrat de louage d</w:t>
      </w:r>
      <w:r>
        <w:rPr>
          <w:rFonts w:cs="Times New Roman"/>
          <w:szCs w:val="24"/>
          <w:lang w:val="fr-CA"/>
        </w:rPr>
        <w:t>’</w:t>
      </w:r>
      <w:r w:rsidRPr="002C1B3A">
        <w:rPr>
          <w:rFonts w:cs="Times New Roman"/>
          <w:szCs w:val="24"/>
          <w:lang w:val="fr-CA"/>
        </w:rPr>
        <w:t>ouvrage ou d</w:t>
      </w:r>
      <w:r>
        <w:rPr>
          <w:rFonts w:cs="Times New Roman"/>
          <w:szCs w:val="24"/>
          <w:lang w:val="fr-CA"/>
        </w:rPr>
        <w:t>’</w:t>
      </w:r>
      <w:r w:rsidRPr="002C1B3A">
        <w:rPr>
          <w:rFonts w:cs="Times New Roman"/>
          <w:szCs w:val="24"/>
          <w:lang w:val="fr-CA"/>
        </w:rPr>
        <w:t>apprentissage, écrit ou verbal, exprès ou implicite » :</w:t>
      </w:r>
      <w:r w:rsidRPr="002C1B3A">
        <w:rPr>
          <w:rFonts w:cs="Times New Roman"/>
          <w:lang w:val="fr-CA"/>
        </w:rPr>
        <w:t xml:space="preserve"> par. 2(1).  La </w:t>
      </w:r>
      <w:r w:rsidRPr="002C1B3A">
        <w:rPr>
          <w:rFonts w:cs="Times New Roman"/>
          <w:i/>
          <w:lang w:val="fr-CA"/>
        </w:rPr>
        <w:t>LIMM</w:t>
      </w:r>
      <w:r w:rsidRPr="002C1B3A">
        <w:rPr>
          <w:rFonts w:cs="Times New Roman"/>
          <w:lang w:val="fr-CA"/>
        </w:rPr>
        <w:t xml:space="preserve"> ne s</w:t>
      </w:r>
      <w:r>
        <w:rPr>
          <w:rFonts w:cs="Times New Roman"/>
          <w:lang w:val="fr-CA"/>
        </w:rPr>
        <w:t>’</w:t>
      </w:r>
      <w:r w:rsidRPr="002C1B3A">
        <w:rPr>
          <w:rFonts w:cs="Times New Roman"/>
          <w:lang w:val="fr-CA"/>
        </w:rPr>
        <w:t>applique pas lorsqu</w:t>
      </w:r>
      <w:r>
        <w:rPr>
          <w:rFonts w:cs="Times New Roman"/>
          <w:lang w:val="fr-CA"/>
        </w:rPr>
        <w:t>’</w:t>
      </w:r>
      <w:r w:rsidRPr="002C1B3A">
        <w:rPr>
          <w:rFonts w:cs="Times New Roman"/>
          <w:lang w:val="fr-CA"/>
        </w:rPr>
        <w:t>un marin « a [le] droit [. . .] de demander l</w:t>
      </w:r>
      <w:r>
        <w:rPr>
          <w:rFonts w:cs="Times New Roman"/>
          <w:lang w:val="fr-CA"/>
        </w:rPr>
        <w:t>’</w:t>
      </w:r>
      <w:r w:rsidRPr="002C1B3A">
        <w:rPr>
          <w:rFonts w:cs="Times New Roman"/>
          <w:lang w:val="fr-CA"/>
        </w:rPr>
        <w:t>indemnité prévue par la [</w:t>
      </w:r>
      <w:r w:rsidRPr="002C1B3A">
        <w:rPr>
          <w:rFonts w:cs="Times New Roman"/>
          <w:i/>
          <w:lang w:val="fr-CA"/>
        </w:rPr>
        <w:t>LIAÉ</w:t>
      </w:r>
      <w:r w:rsidRPr="002C1B3A">
        <w:rPr>
          <w:rFonts w:cs="Times New Roman"/>
          <w:lang w:val="fr-CA"/>
        </w:rPr>
        <w:t>]</w:t>
      </w:r>
      <w:r w:rsidRPr="002C1B3A">
        <w:rPr>
          <w:rFonts w:cs="Times New Roman"/>
          <w:i/>
          <w:iCs/>
          <w:lang w:val="fr-CA"/>
        </w:rPr>
        <w:t xml:space="preserve"> </w:t>
      </w:r>
      <w:r w:rsidRPr="002C1B3A">
        <w:rPr>
          <w:rFonts w:cs="Times New Roman"/>
          <w:lang w:val="fr-CA"/>
        </w:rPr>
        <w:t xml:space="preserve">ou par une loi provinciale sur les accidents du travail » : </w:t>
      </w:r>
      <w:r>
        <w:rPr>
          <w:rFonts w:cs="Times New Roman"/>
          <w:lang w:val="fr-CA"/>
        </w:rPr>
        <w:t>al. 5</w:t>
      </w:r>
      <w:r w:rsidRPr="007F66B2">
        <w:rPr>
          <w:rFonts w:cs="Times New Roman"/>
          <w:i/>
          <w:lang w:val="fr-CA"/>
        </w:rPr>
        <w:t>a</w:t>
      </w:r>
      <w:r>
        <w:rPr>
          <w:rFonts w:cs="Times New Roman"/>
          <w:lang w:val="fr-CA"/>
        </w:rPr>
        <w:t>)</w:t>
      </w:r>
      <w:r w:rsidRPr="002C1B3A">
        <w:rPr>
          <w:rFonts w:cs="Times New Roman"/>
          <w:lang w:val="fr-CA"/>
        </w:rPr>
        <w:t>.</w:t>
      </w:r>
    </w:p>
    <w:p w:rsidR="00931170" w:rsidRPr="002C1B3A" w:rsidRDefault="00931170" w:rsidP="00931170">
      <w:pPr>
        <w:pStyle w:val="ParaNoNdepar-AltN"/>
        <w:rPr>
          <w:rFonts w:cs="Times New Roman"/>
          <w:lang w:val="fr-CA"/>
        </w:rPr>
      </w:pPr>
      <w:r w:rsidRPr="002C1B3A">
        <w:rPr>
          <w:rFonts w:cs="Times New Roman"/>
          <w:lang w:val="fr-CA"/>
        </w:rPr>
        <w:t xml:space="preserve">La </w:t>
      </w:r>
      <w:r w:rsidRPr="002C1B3A">
        <w:rPr>
          <w:rFonts w:cs="Times New Roman"/>
          <w:i/>
          <w:lang w:val="fr-CA"/>
        </w:rPr>
        <w:t>LIMM</w:t>
      </w:r>
      <w:r w:rsidRPr="002C1B3A">
        <w:rPr>
          <w:rFonts w:cs="Times New Roman"/>
          <w:lang w:val="fr-CA"/>
        </w:rPr>
        <w:t xml:space="preserve"> diffère sur un point de la </w:t>
      </w:r>
      <w:r w:rsidRPr="002C1B3A">
        <w:rPr>
          <w:rFonts w:cs="Times New Roman"/>
          <w:i/>
          <w:lang w:val="fr-CA"/>
        </w:rPr>
        <w:t>LIAÉ</w:t>
      </w:r>
      <w:r w:rsidRPr="002C1B3A">
        <w:rPr>
          <w:rFonts w:cs="Times New Roman"/>
          <w:lang w:val="fr-CA"/>
        </w:rPr>
        <w:t xml:space="preserve"> et des régimes provinciaux d</w:t>
      </w:r>
      <w:r>
        <w:rPr>
          <w:rFonts w:cs="Times New Roman"/>
          <w:lang w:val="fr-CA"/>
        </w:rPr>
        <w:t>’</w:t>
      </w:r>
      <w:r w:rsidRPr="002C1B3A">
        <w:rPr>
          <w:rFonts w:cs="Times New Roman"/>
          <w:lang w:val="fr-CA"/>
        </w:rPr>
        <w:t xml:space="preserve">indemnisation des accidents du travail comme la </w:t>
      </w:r>
      <w:r w:rsidRPr="002C1B3A">
        <w:rPr>
          <w:rFonts w:cs="Times New Roman"/>
          <w:i/>
          <w:lang w:val="fr-CA"/>
        </w:rPr>
        <w:t>WHSCA</w:t>
      </w:r>
      <w:r w:rsidRPr="002C1B3A">
        <w:rPr>
          <w:rFonts w:cs="Times New Roman"/>
          <w:lang w:val="fr-CA"/>
        </w:rPr>
        <w:t xml:space="preserve">.  Dans le cas de la </w:t>
      </w:r>
      <w:r w:rsidRPr="002C1B3A">
        <w:rPr>
          <w:rFonts w:cs="Times New Roman"/>
          <w:i/>
          <w:lang w:val="fr-CA"/>
        </w:rPr>
        <w:t>WHSCA</w:t>
      </w:r>
      <w:r w:rsidRPr="002C1B3A">
        <w:rPr>
          <w:rFonts w:cs="Times New Roman"/>
          <w:lang w:val="fr-CA"/>
        </w:rPr>
        <w:t>, les employeurs doivent verser les contributions établies dans un fonds d</w:t>
      </w:r>
      <w:r>
        <w:rPr>
          <w:rFonts w:cs="Times New Roman"/>
          <w:lang w:val="fr-CA"/>
        </w:rPr>
        <w:t>’</w:t>
      </w:r>
      <w:r w:rsidRPr="002C1B3A">
        <w:rPr>
          <w:rFonts w:cs="Times New Roman"/>
          <w:lang w:val="fr-CA"/>
        </w:rPr>
        <w:t>assurance collectif (un tel fonds n</w:t>
      </w:r>
      <w:r>
        <w:rPr>
          <w:rFonts w:cs="Times New Roman"/>
          <w:lang w:val="fr-CA"/>
        </w:rPr>
        <w:t>’</w:t>
      </w:r>
      <w:r w:rsidRPr="002C1B3A">
        <w:rPr>
          <w:rFonts w:cs="Times New Roman"/>
          <w:lang w:val="fr-CA"/>
        </w:rPr>
        <w:t xml:space="preserve">existe pas sous le régime de la </w:t>
      </w:r>
      <w:r w:rsidRPr="002C1B3A">
        <w:rPr>
          <w:rFonts w:cs="Times New Roman"/>
          <w:i/>
          <w:lang w:val="fr-CA"/>
        </w:rPr>
        <w:t>LIAÉ</w:t>
      </w:r>
      <w:r w:rsidRPr="002C1B3A">
        <w:rPr>
          <w:rFonts w:cs="Times New Roman"/>
          <w:lang w:val="fr-CA"/>
        </w:rPr>
        <w:t xml:space="preserve"> parce que Sa Majesté est le seul employeur), alors qu</w:t>
      </w:r>
      <w:r>
        <w:rPr>
          <w:rFonts w:cs="Times New Roman"/>
          <w:lang w:val="fr-CA"/>
        </w:rPr>
        <w:t>’</w:t>
      </w:r>
      <w:r w:rsidRPr="002C1B3A">
        <w:rPr>
          <w:rFonts w:cs="Times New Roman"/>
          <w:lang w:val="fr-CA"/>
        </w:rPr>
        <w:t xml:space="preserve">aux termes du par. 30(1) de la </w:t>
      </w:r>
      <w:r w:rsidRPr="002C1B3A">
        <w:rPr>
          <w:rFonts w:cs="Times New Roman"/>
          <w:i/>
          <w:lang w:val="fr-CA"/>
        </w:rPr>
        <w:t>LIMM</w:t>
      </w:r>
      <w:r w:rsidRPr="002C1B3A">
        <w:rPr>
          <w:rFonts w:cs="Times New Roman"/>
          <w:lang w:val="fr-CA"/>
        </w:rPr>
        <w:t>, les employeurs doivent « </w:t>
      </w:r>
      <w:r w:rsidRPr="002C1B3A">
        <w:rPr>
          <w:rFonts w:cs="Times New Roman"/>
          <w:szCs w:val="24"/>
          <w:lang w:val="fr-CA"/>
        </w:rPr>
        <w:t>se protéger à l</w:t>
      </w:r>
      <w:r>
        <w:rPr>
          <w:rFonts w:cs="Times New Roman"/>
          <w:szCs w:val="24"/>
          <w:lang w:val="fr-CA"/>
        </w:rPr>
        <w:t>’</w:t>
      </w:r>
      <w:r w:rsidRPr="002C1B3A">
        <w:rPr>
          <w:rFonts w:cs="Times New Roman"/>
          <w:szCs w:val="24"/>
          <w:lang w:val="fr-CA"/>
        </w:rPr>
        <w:t>aide d</w:t>
      </w:r>
      <w:r>
        <w:rPr>
          <w:rFonts w:cs="Times New Roman"/>
          <w:szCs w:val="24"/>
          <w:lang w:val="fr-CA"/>
        </w:rPr>
        <w:t>’</w:t>
      </w:r>
      <w:r w:rsidRPr="002C1B3A">
        <w:rPr>
          <w:rFonts w:cs="Times New Roman"/>
          <w:szCs w:val="24"/>
          <w:lang w:val="fr-CA"/>
        </w:rPr>
        <w:t>une assurance ou d</w:t>
      </w:r>
      <w:r>
        <w:rPr>
          <w:rFonts w:cs="Times New Roman"/>
          <w:szCs w:val="24"/>
          <w:lang w:val="fr-CA"/>
        </w:rPr>
        <w:t>’</w:t>
      </w:r>
      <w:r w:rsidRPr="002C1B3A">
        <w:rPr>
          <w:rFonts w:cs="Times New Roman"/>
          <w:szCs w:val="24"/>
          <w:lang w:val="fr-CA"/>
        </w:rPr>
        <w:t>un autre moyen, suffisant aux yeux de la Commission [d</w:t>
      </w:r>
      <w:r>
        <w:rPr>
          <w:rFonts w:cs="Times New Roman"/>
          <w:szCs w:val="24"/>
          <w:lang w:val="fr-CA"/>
        </w:rPr>
        <w:t>’</w:t>
      </w:r>
      <w:r w:rsidRPr="002C1B3A">
        <w:rPr>
          <w:rFonts w:cs="Times New Roman"/>
          <w:szCs w:val="24"/>
          <w:lang w:val="fr-CA"/>
        </w:rPr>
        <w:t>indemnisation des marins marchands], contre les risques afférents à l</w:t>
      </w:r>
      <w:r>
        <w:rPr>
          <w:rFonts w:cs="Times New Roman"/>
          <w:szCs w:val="24"/>
          <w:lang w:val="fr-CA"/>
        </w:rPr>
        <w:t>’</w:t>
      </w:r>
      <w:r w:rsidRPr="002C1B3A">
        <w:rPr>
          <w:rFonts w:cs="Times New Roman"/>
          <w:szCs w:val="24"/>
          <w:lang w:val="fr-CA"/>
        </w:rPr>
        <w:t>indemnisation prévue par la présente loi ».  Dans ce dernier cas, les employeurs ne contribuent pas à un fonds commun d</w:t>
      </w:r>
      <w:r>
        <w:rPr>
          <w:rFonts w:cs="Times New Roman"/>
          <w:szCs w:val="24"/>
          <w:lang w:val="fr-CA"/>
        </w:rPr>
        <w:t>’</w:t>
      </w:r>
      <w:r w:rsidRPr="002C1B3A">
        <w:rPr>
          <w:rFonts w:cs="Times New Roman"/>
          <w:szCs w:val="24"/>
          <w:lang w:val="fr-CA"/>
        </w:rPr>
        <w:t>assurance</w:t>
      </w:r>
      <w:r w:rsidRPr="002C1B3A">
        <w:rPr>
          <w:rFonts w:cs="Times New Roman"/>
          <w:lang w:val="fr-CA"/>
        </w:rPr>
        <w:t>, mais doivent néanmoins contracter une assurance.</w:t>
      </w:r>
    </w:p>
    <w:p w:rsidR="00931170" w:rsidRPr="002C1B3A" w:rsidRDefault="00931170" w:rsidP="00931170">
      <w:pPr>
        <w:pStyle w:val="ParaNoNdepar-AltN"/>
        <w:rPr>
          <w:rFonts w:cs="Times New Roman"/>
          <w:lang w:val="fr-CA"/>
        </w:rPr>
      </w:pPr>
      <w:r w:rsidRPr="002C1B3A">
        <w:rPr>
          <w:rFonts w:cs="Times New Roman"/>
          <w:lang w:val="fr-CA"/>
        </w:rPr>
        <w:t>Sur d</w:t>
      </w:r>
      <w:r>
        <w:rPr>
          <w:rFonts w:cs="Times New Roman"/>
          <w:lang w:val="fr-CA"/>
        </w:rPr>
        <w:t>’</w:t>
      </w:r>
      <w:r w:rsidRPr="002C1B3A">
        <w:rPr>
          <w:rFonts w:cs="Times New Roman"/>
          <w:lang w:val="fr-CA"/>
        </w:rPr>
        <w:t xml:space="preserve">autres points, la </w:t>
      </w:r>
      <w:r w:rsidRPr="002C1B3A">
        <w:rPr>
          <w:rFonts w:cs="Times New Roman"/>
          <w:i/>
          <w:lang w:val="fr-CA"/>
        </w:rPr>
        <w:t>LIMM</w:t>
      </w:r>
      <w:r w:rsidRPr="002C1B3A">
        <w:rPr>
          <w:rFonts w:cs="Times New Roman"/>
          <w:lang w:val="fr-CA"/>
        </w:rPr>
        <w:t xml:space="preserve"> ressemble aux autres régimes d</w:t>
      </w:r>
      <w:r>
        <w:rPr>
          <w:rFonts w:cs="Times New Roman"/>
          <w:lang w:val="fr-CA"/>
        </w:rPr>
        <w:t>’</w:t>
      </w:r>
      <w:r w:rsidRPr="002C1B3A">
        <w:rPr>
          <w:rFonts w:cs="Times New Roman"/>
          <w:lang w:val="fr-CA"/>
        </w:rPr>
        <w:t>indemnisation des accidents du travail : l</w:t>
      </w:r>
      <w:r>
        <w:rPr>
          <w:rFonts w:cs="Times New Roman"/>
          <w:lang w:val="fr-CA"/>
        </w:rPr>
        <w:t>’</w:t>
      </w:r>
      <w:r w:rsidRPr="002C1B3A">
        <w:rPr>
          <w:rFonts w:cs="Times New Roman"/>
          <w:lang w:val="fr-CA"/>
        </w:rPr>
        <w:t>employeur doit verser l</w:t>
      </w:r>
      <w:r>
        <w:rPr>
          <w:rFonts w:cs="Times New Roman"/>
          <w:lang w:val="fr-CA"/>
        </w:rPr>
        <w:t>’</w:t>
      </w:r>
      <w:r w:rsidRPr="002C1B3A">
        <w:rPr>
          <w:rFonts w:cs="Times New Roman"/>
          <w:lang w:val="fr-CA"/>
        </w:rPr>
        <w:t>indemnité, qu</w:t>
      </w:r>
      <w:r>
        <w:rPr>
          <w:rFonts w:cs="Times New Roman"/>
          <w:lang w:val="fr-CA"/>
        </w:rPr>
        <w:t>’</w:t>
      </w:r>
      <w:r w:rsidRPr="002C1B3A">
        <w:rPr>
          <w:rFonts w:cs="Times New Roman"/>
          <w:lang w:val="fr-CA"/>
        </w:rPr>
        <w:t xml:space="preserve">il </w:t>
      </w:r>
      <w:r w:rsidRPr="002C1B3A">
        <w:rPr>
          <w:rFonts w:cs="Times New Roman"/>
          <w:lang w:val="fr-CA"/>
        </w:rPr>
        <w:lastRenderedPageBreak/>
        <w:t>ait ou non commis une faute (art. 8), et le droit à l</w:t>
      </w:r>
      <w:r>
        <w:rPr>
          <w:rFonts w:cs="Times New Roman"/>
          <w:lang w:val="fr-CA"/>
        </w:rPr>
        <w:t>’</w:t>
      </w:r>
      <w:r w:rsidRPr="002C1B3A">
        <w:rPr>
          <w:rFonts w:cs="Times New Roman"/>
          <w:lang w:val="fr-CA"/>
        </w:rPr>
        <w:t>indemnité tient lieu de tous droits d</w:t>
      </w:r>
      <w:r>
        <w:rPr>
          <w:rFonts w:cs="Times New Roman"/>
          <w:lang w:val="fr-CA"/>
        </w:rPr>
        <w:t>’</w:t>
      </w:r>
      <w:r w:rsidRPr="002C1B3A">
        <w:rPr>
          <w:rFonts w:cs="Times New Roman"/>
          <w:lang w:val="fr-CA"/>
        </w:rPr>
        <w:t>action (art. 13).  En conséquence, tout comme c</w:t>
      </w:r>
      <w:r>
        <w:rPr>
          <w:rFonts w:cs="Times New Roman"/>
          <w:lang w:val="fr-CA"/>
        </w:rPr>
        <w:t>’</w:t>
      </w:r>
      <w:r w:rsidRPr="002C1B3A">
        <w:rPr>
          <w:rFonts w:cs="Times New Roman"/>
          <w:lang w:val="fr-CA"/>
        </w:rPr>
        <w:t xml:space="preserve">est le cas pour la </w:t>
      </w:r>
      <w:r w:rsidRPr="002C1B3A">
        <w:rPr>
          <w:rFonts w:cs="Times New Roman"/>
          <w:i/>
          <w:lang w:val="fr-CA"/>
        </w:rPr>
        <w:t>LIAÉ</w:t>
      </w:r>
      <w:r w:rsidRPr="002C1B3A">
        <w:rPr>
          <w:rFonts w:cs="Times New Roman"/>
          <w:lang w:val="fr-CA"/>
        </w:rPr>
        <w:t xml:space="preserve"> et les régimes provinciaux d</w:t>
      </w:r>
      <w:r>
        <w:rPr>
          <w:rFonts w:cs="Times New Roman"/>
          <w:lang w:val="fr-CA"/>
        </w:rPr>
        <w:t>’</w:t>
      </w:r>
      <w:r w:rsidRPr="002C1B3A">
        <w:rPr>
          <w:rFonts w:cs="Times New Roman"/>
          <w:lang w:val="fr-CA"/>
        </w:rPr>
        <w:t>indemnisation des accidents du travail, le compromis historique fondé sur le paiement d</w:t>
      </w:r>
      <w:r>
        <w:rPr>
          <w:rFonts w:cs="Times New Roman"/>
          <w:lang w:val="fr-CA"/>
        </w:rPr>
        <w:t>’</w:t>
      </w:r>
      <w:r w:rsidRPr="002C1B3A">
        <w:rPr>
          <w:rFonts w:cs="Times New Roman"/>
          <w:lang w:val="fr-CA"/>
        </w:rPr>
        <w:t xml:space="preserve">une indemnité en remplacement du droit de poursuivre représente un aspect central de la </w:t>
      </w:r>
      <w:r w:rsidRPr="002C1B3A">
        <w:rPr>
          <w:rFonts w:cs="Times New Roman"/>
          <w:i/>
          <w:lang w:val="fr-CA"/>
        </w:rPr>
        <w:t>LIMM</w:t>
      </w:r>
      <w:r w:rsidRPr="002C1B3A">
        <w:rPr>
          <w:rFonts w:cs="Times New Roman"/>
          <w:lang w:val="fr-CA"/>
        </w:rPr>
        <w:t>.  Cette dernière autorise elle aussi les marins à demander une indemnité ou à intenter une action, mais uniquement contre un tiers, c</w:t>
      </w:r>
      <w:r>
        <w:rPr>
          <w:rFonts w:cs="Times New Roman"/>
          <w:lang w:val="fr-CA"/>
        </w:rPr>
        <w:t>’</w:t>
      </w:r>
      <w:r w:rsidRPr="002C1B3A">
        <w:rPr>
          <w:rFonts w:cs="Times New Roman"/>
          <w:lang w:val="fr-CA"/>
        </w:rPr>
        <w:t>est</w:t>
      </w:r>
      <w:r w:rsidRPr="002C1B3A">
        <w:rPr>
          <w:rFonts w:cs="Times New Roman"/>
          <w:lang w:val="fr-CA"/>
        </w:rPr>
        <w:noBreakHyphen/>
        <w:t>à</w:t>
      </w:r>
      <w:r w:rsidRPr="002C1B3A">
        <w:rPr>
          <w:rFonts w:cs="Times New Roman"/>
          <w:lang w:val="fr-CA"/>
        </w:rPr>
        <w:noBreakHyphen/>
        <w:t>dire une « personne autre que ses compagnons de travail, son employeur, les serviteurs ou les mandataires de son employeur » : par. 24(1). Cependant, « [u]n marin qui a droit à l</w:t>
      </w:r>
      <w:r>
        <w:rPr>
          <w:rFonts w:cs="Times New Roman"/>
          <w:lang w:val="fr-CA"/>
        </w:rPr>
        <w:t>’</w:t>
      </w:r>
      <w:r w:rsidRPr="002C1B3A">
        <w:rPr>
          <w:rFonts w:cs="Times New Roman"/>
          <w:lang w:val="fr-CA"/>
        </w:rPr>
        <w:t>indemnité prévue par la [</w:t>
      </w:r>
      <w:r w:rsidRPr="002C1B3A">
        <w:rPr>
          <w:rFonts w:cs="Times New Roman"/>
          <w:i/>
          <w:lang w:val="fr-CA"/>
        </w:rPr>
        <w:t>LIMM</w:t>
      </w:r>
      <w:r w:rsidRPr="002C1B3A">
        <w:rPr>
          <w:rFonts w:cs="Times New Roman"/>
          <w:lang w:val="fr-CA"/>
        </w:rPr>
        <w:t>] ne possède, ou les personnes à sa charge ne possèdent, aucun droit d</w:t>
      </w:r>
      <w:r>
        <w:rPr>
          <w:rFonts w:cs="Times New Roman"/>
          <w:lang w:val="fr-CA"/>
        </w:rPr>
        <w:t>’</w:t>
      </w:r>
      <w:r w:rsidRPr="002C1B3A">
        <w:rPr>
          <w:rFonts w:cs="Times New Roman"/>
          <w:lang w:val="fr-CA"/>
        </w:rPr>
        <w:t>action contre un employeur assujetti à la [</w:t>
      </w:r>
      <w:r w:rsidRPr="002C1B3A">
        <w:rPr>
          <w:rFonts w:cs="Times New Roman"/>
          <w:i/>
          <w:lang w:val="fr-CA"/>
        </w:rPr>
        <w:t>LIMM</w:t>
      </w:r>
      <w:r w:rsidRPr="002C1B3A">
        <w:rPr>
          <w:rFonts w:cs="Times New Roman"/>
          <w:lang w:val="fr-CA"/>
        </w:rPr>
        <w:t>] » : par. 24(5).</w:t>
      </w:r>
    </w:p>
    <w:p w:rsidR="00931170" w:rsidRPr="002C1B3A" w:rsidRDefault="00931170" w:rsidP="00931170">
      <w:pPr>
        <w:pStyle w:val="ParaNoNdepar-AltN"/>
        <w:rPr>
          <w:rFonts w:cs="Times New Roman"/>
          <w:lang w:val="fr-CA"/>
        </w:rPr>
      </w:pPr>
      <w:r w:rsidRPr="002C1B3A">
        <w:rPr>
          <w:rFonts w:cs="Times New Roman"/>
          <w:lang w:val="fr-CA"/>
        </w:rPr>
        <w:t xml:space="preserve">Cet examen de la </w:t>
      </w:r>
      <w:r w:rsidRPr="002C1B3A">
        <w:rPr>
          <w:rFonts w:cs="Times New Roman"/>
          <w:i/>
          <w:lang w:val="fr-CA"/>
        </w:rPr>
        <w:t>LIAÉ</w:t>
      </w:r>
      <w:r w:rsidRPr="002C1B3A">
        <w:rPr>
          <w:rFonts w:cs="Times New Roman"/>
          <w:lang w:val="fr-CA"/>
        </w:rPr>
        <w:t xml:space="preserve"> et de la </w:t>
      </w:r>
      <w:r w:rsidRPr="002C1B3A">
        <w:rPr>
          <w:rFonts w:cs="Times New Roman"/>
          <w:i/>
          <w:lang w:val="fr-CA"/>
        </w:rPr>
        <w:t>LIMM</w:t>
      </w:r>
      <w:r w:rsidRPr="002C1B3A">
        <w:rPr>
          <w:rFonts w:cs="Times New Roman"/>
          <w:lang w:val="fr-CA"/>
        </w:rPr>
        <w:t xml:space="preserve"> fait bien ressortir leurs similarités avec la </w:t>
      </w:r>
      <w:r w:rsidRPr="002C1B3A">
        <w:rPr>
          <w:rFonts w:cs="Times New Roman"/>
          <w:i/>
          <w:lang w:val="fr-CA"/>
        </w:rPr>
        <w:t xml:space="preserve">WHSCA </w:t>
      </w:r>
      <w:r w:rsidRPr="002C1B3A">
        <w:rPr>
          <w:rFonts w:cs="Times New Roman"/>
          <w:lang w:val="fr-CA"/>
        </w:rPr>
        <w:t>et leur qualité de régimes d</w:t>
      </w:r>
      <w:r>
        <w:rPr>
          <w:rFonts w:cs="Times New Roman"/>
          <w:lang w:val="fr-CA"/>
        </w:rPr>
        <w:t>’</w:t>
      </w:r>
      <w:r w:rsidRPr="002C1B3A">
        <w:rPr>
          <w:rFonts w:cs="Times New Roman"/>
          <w:lang w:val="fr-CA"/>
        </w:rPr>
        <w:t>assurance sans égard à la responsabilité en matière d</w:t>
      </w:r>
      <w:r>
        <w:rPr>
          <w:rFonts w:cs="Times New Roman"/>
          <w:lang w:val="fr-CA"/>
        </w:rPr>
        <w:t>’</w:t>
      </w:r>
      <w:r w:rsidRPr="002C1B3A">
        <w:rPr>
          <w:rFonts w:cs="Times New Roman"/>
          <w:lang w:val="fr-CA"/>
        </w:rPr>
        <w:t>accidents du travail.  Malgré certaines différences, toutes ces lois pourvoient au paiement d</w:t>
      </w:r>
      <w:r>
        <w:rPr>
          <w:rFonts w:cs="Times New Roman"/>
          <w:lang w:val="fr-CA"/>
        </w:rPr>
        <w:t>’</w:t>
      </w:r>
      <w:r w:rsidRPr="002C1B3A">
        <w:rPr>
          <w:rFonts w:cs="Times New Roman"/>
          <w:lang w:val="fr-CA"/>
        </w:rPr>
        <w:t>une indemnité en remplacement du droit d</w:t>
      </w:r>
      <w:r>
        <w:rPr>
          <w:rFonts w:cs="Times New Roman"/>
          <w:lang w:val="fr-CA"/>
        </w:rPr>
        <w:t>’</w:t>
      </w:r>
      <w:r w:rsidRPr="002C1B3A">
        <w:rPr>
          <w:rFonts w:cs="Times New Roman"/>
          <w:lang w:val="fr-CA"/>
        </w:rPr>
        <w:t>action; il s</w:t>
      </w:r>
      <w:r>
        <w:rPr>
          <w:rFonts w:cs="Times New Roman"/>
          <w:lang w:val="fr-CA"/>
        </w:rPr>
        <w:t>’</w:t>
      </w:r>
      <w:r w:rsidRPr="002C1B3A">
        <w:rPr>
          <w:rFonts w:cs="Times New Roman"/>
          <w:lang w:val="fr-CA"/>
        </w:rPr>
        <w:t>agit du compromis historique au cœur des régimes d</w:t>
      </w:r>
      <w:r>
        <w:rPr>
          <w:rFonts w:cs="Times New Roman"/>
          <w:lang w:val="fr-CA"/>
        </w:rPr>
        <w:t>’</w:t>
      </w:r>
      <w:r w:rsidRPr="002C1B3A">
        <w:rPr>
          <w:rFonts w:cs="Times New Roman"/>
          <w:lang w:val="fr-CA"/>
        </w:rPr>
        <w:t>indemnisation des accidents du travail fondés sur le modèle proposé par Sir Meredith.  En établissant de tels régimes sans égard à la responsabilité, ces lois se distinguent des régimes d</w:t>
      </w:r>
      <w:r>
        <w:rPr>
          <w:rFonts w:cs="Times New Roman"/>
          <w:lang w:val="fr-CA"/>
        </w:rPr>
        <w:t>’</w:t>
      </w:r>
      <w:r w:rsidRPr="002C1B3A">
        <w:rPr>
          <w:rFonts w:cs="Times New Roman"/>
          <w:lang w:val="fr-CA"/>
        </w:rPr>
        <w:t>indemnisation de responsabilité délictuelle et n</w:t>
      </w:r>
      <w:r>
        <w:rPr>
          <w:rFonts w:cs="Times New Roman"/>
          <w:lang w:val="fr-CA"/>
        </w:rPr>
        <w:t>’</w:t>
      </w:r>
      <w:r w:rsidRPr="002C1B3A">
        <w:rPr>
          <w:rFonts w:cs="Times New Roman"/>
          <w:lang w:val="fr-CA"/>
        </w:rPr>
        <w:t>interagissent pas avec ceux</w:t>
      </w:r>
      <w:r w:rsidRPr="002C1B3A">
        <w:rPr>
          <w:rFonts w:cs="Times New Roman"/>
          <w:lang w:val="fr-CA"/>
        </w:rPr>
        <w:noBreakHyphen/>
        <w:t>ci.</w:t>
      </w:r>
    </w:p>
    <w:p w:rsidR="00931170" w:rsidRPr="002C1B3A" w:rsidRDefault="00931170" w:rsidP="00734BC1">
      <w:pPr>
        <w:pStyle w:val="TitleTitre-AltT"/>
        <w:keepNext/>
        <w:tabs>
          <w:tab w:val="clear" w:pos="360"/>
          <w:tab w:val="left" w:pos="540"/>
        </w:tabs>
        <w:ind w:left="540" w:hanging="540"/>
        <w:rPr>
          <w:rFonts w:cs="Times New Roman"/>
          <w:lang w:val="fr-CA"/>
        </w:rPr>
      </w:pPr>
      <w:r w:rsidRPr="002C1B3A">
        <w:rPr>
          <w:rFonts w:cs="Times New Roman"/>
          <w:lang w:val="fr-CA"/>
        </w:rPr>
        <w:lastRenderedPageBreak/>
        <w:t>E</w:t>
      </w:r>
      <w:r w:rsidRPr="00804D02">
        <w:rPr>
          <w:rFonts w:cs="Times New Roman"/>
          <w:lang w:val="fr-CA"/>
        </w:rPr>
        <w:t>.</w:t>
      </w:r>
      <w:r w:rsidRPr="002C1B3A">
        <w:rPr>
          <w:rFonts w:cs="Times New Roman"/>
          <w:b/>
          <w:lang w:val="fr-CA"/>
        </w:rPr>
        <w:tab/>
      </w:r>
      <w:r w:rsidRPr="002C1B3A">
        <w:rPr>
          <w:rFonts w:cs="Times New Roman"/>
          <w:i/>
          <w:lang w:val="fr-CA"/>
        </w:rPr>
        <w:t>Application de l</w:t>
      </w:r>
      <w:r>
        <w:rPr>
          <w:rFonts w:cs="Times New Roman"/>
          <w:i/>
          <w:lang w:val="fr-CA"/>
        </w:rPr>
        <w:t>’</w:t>
      </w:r>
      <w:r w:rsidRPr="002C1B3A">
        <w:rPr>
          <w:rFonts w:cs="Times New Roman"/>
          <w:i/>
          <w:lang w:val="fr-CA"/>
        </w:rPr>
        <w:t>art</w:t>
      </w:r>
      <w:r w:rsidR="00734BC1">
        <w:rPr>
          <w:rFonts w:cs="Times New Roman"/>
          <w:i/>
          <w:lang w:val="fr-CA"/>
        </w:rPr>
        <w:t>.</w:t>
      </w:r>
      <w:r w:rsidRPr="002C1B3A">
        <w:rPr>
          <w:rFonts w:cs="Times New Roman"/>
          <w:i/>
          <w:lang w:val="fr-CA"/>
        </w:rPr>
        <w:t> 44 de la WHSCA</w:t>
      </w:r>
    </w:p>
    <w:p w:rsidR="00931170" w:rsidRPr="002C1B3A" w:rsidRDefault="00931170" w:rsidP="00931170">
      <w:pPr>
        <w:pStyle w:val="ParaNoNdepar-AltN"/>
        <w:rPr>
          <w:rFonts w:cs="Times New Roman"/>
          <w:lang w:val="fr-CA"/>
        </w:rPr>
      </w:pPr>
      <w:r w:rsidRPr="002C1B3A">
        <w:rPr>
          <w:rFonts w:cs="Times New Roman"/>
          <w:lang w:val="fr-CA"/>
        </w:rPr>
        <w:t>Avant d</w:t>
      </w:r>
      <w:r>
        <w:rPr>
          <w:rFonts w:cs="Times New Roman"/>
          <w:lang w:val="fr-CA"/>
        </w:rPr>
        <w:t>’</w:t>
      </w:r>
      <w:r w:rsidRPr="002C1B3A">
        <w:rPr>
          <w:rFonts w:cs="Times New Roman"/>
          <w:lang w:val="fr-CA"/>
        </w:rPr>
        <w:t>amorcer l</w:t>
      </w:r>
      <w:r>
        <w:rPr>
          <w:rFonts w:cs="Times New Roman"/>
          <w:lang w:val="fr-CA"/>
        </w:rPr>
        <w:t>’</w:t>
      </w:r>
      <w:r w:rsidRPr="002C1B3A">
        <w:rPr>
          <w:rFonts w:cs="Times New Roman"/>
          <w:lang w:val="fr-CA"/>
        </w:rPr>
        <w:t>analyse constitutionnelle visant à déterminer si l</w:t>
      </w:r>
      <w:r>
        <w:rPr>
          <w:rFonts w:cs="Times New Roman"/>
          <w:lang w:val="fr-CA"/>
        </w:rPr>
        <w:t>’</w:t>
      </w:r>
      <w:r w:rsidRPr="002C1B3A">
        <w:rPr>
          <w:rFonts w:cs="Times New Roman"/>
          <w:lang w:val="fr-CA"/>
        </w:rPr>
        <w:t xml:space="preserve">art. 44 de la </w:t>
      </w:r>
      <w:r w:rsidRPr="002C1B3A">
        <w:rPr>
          <w:rFonts w:cs="Times New Roman"/>
          <w:i/>
          <w:lang w:val="fr-CA"/>
        </w:rPr>
        <w:t>WHSCA</w:t>
      </w:r>
      <w:r w:rsidRPr="002C1B3A">
        <w:rPr>
          <w:rFonts w:cs="Times New Roman"/>
          <w:lang w:val="fr-CA"/>
        </w:rPr>
        <w:t xml:space="preserve"> est applicable et opérant, il nous faut d</w:t>
      </w:r>
      <w:r>
        <w:rPr>
          <w:rFonts w:cs="Times New Roman"/>
          <w:lang w:val="fr-CA"/>
        </w:rPr>
        <w:t>’</w:t>
      </w:r>
      <w:r w:rsidRPr="002C1B3A">
        <w:rPr>
          <w:rFonts w:cs="Times New Roman"/>
          <w:lang w:val="fr-CA"/>
        </w:rPr>
        <w:t>abord décider si les faits de l</w:t>
      </w:r>
      <w:r>
        <w:rPr>
          <w:rFonts w:cs="Times New Roman"/>
          <w:lang w:val="fr-CA"/>
        </w:rPr>
        <w:t>’</w:t>
      </w:r>
      <w:r w:rsidRPr="002C1B3A">
        <w:rPr>
          <w:rFonts w:cs="Times New Roman"/>
          <w:lang w:val="fr-CA"/>
        </w:rPr>
        <w:t>espèce entraînent son application.  Les successions Ryan soutiennent que l</w:t>
      </w:r>
      <w:r>
        <w:rPr>
          <w:rFonts w:cs="Times New Roman"/>
          <w:lang w:val="fr-CA"/>
        </w:rPr>
        <w:t>’</w:t>
      </w:r>
      <w:r w:rsidRPr="002C1B3A">
        <w:rPr>
          <w:rFonts w:cs="Times New Roman"/>
          <w:lang w:val="fr-CA"/>
        </w:rPr>
        <w:t>art. 44 ne s</w:t>
      </w:r>
      <w:r>
        <w:rPr>
          <w:rFonts w:cs="Times New Roman"/>
          <w:lang w:val="fr-CA"/>
        </w:rPr>
        <w:t>’</w:t>
      </w:r>
      <w:r w:rsidRPr="002C1B3A">
        <w:rPr>
          <w:rFonts w:cs="Times New Roman"/>
          <w:lang w:val="fr-CA"/>
        </w:rPr>
        <w:t>applique pas, étant donné que les frères Ryan ne travaillaient pas pour Marine Services au moment de l</w:t>
      </w:r>
      <w:r>
        <w:rPr>
          <w:rFonts w:cs="Times New Roman"/>
          <w:lang w:val="fr-CA"/>
        </w:rPr>
        <w:t>’</w:t>
      </w:r>
      <w:r w:rsidRPr="002C1B3A">
        <w:rPr>
          <w:rFonts w:cs="Times New Roman"/>
          <w:lang w:val="fr-CA"/>
        </w:rPr>
        <w:t>accident ayant causé leur décès.  Nous ne sommes pas de cet avis.  Selon nous, l</w:t>
      </w:r>
      <w:r>
        <w:rPr>
          <w:rFonts w:cs="Times New Roman"/>
          <w:lang w:val="fr-CA"/>
        </w:rPr>
        <w:t>’</w:t>
      </w:r>
      <w:r w:rsidRPr="002C1B3A">
        <w:rPr>
          <w:rFonts w:cs="Times New Roman"/>
          <w:lang w:val="fr-CA"/>
        </w:rPr>
        <w:t xml:space="preserve">art. 44 de la </w:t>
      </w:r>
      <w:r w:rsidRPr="002C1B3A">
        <w:rPr>
          <w:rFonts w:cs="Times New Roman"/>
          <w:i/>
          <w:lang w:val="fr-CA"/>
        </w:rPr>
        <w:t>WHSCA</w:t>
      </w:r>
      <w:r w:rsidRPr="002C1B3A">
        <w:rPr>
          <w:rFonts w:cs="Times New Roman"/>
          <w:lang w:val="fr-CA"/>
        </w:rPr>
        <w:t xml:space="preserve"> s</w:t>
      </w:r>
      <w:r>
        <w:rPr>
          <w:rFonts w:cs="Times New Roman"/>
          <w:lang w:val="fr-CA"/>
        </w:rPr>
        <w:t>’</w:t>
      </w:r>
      <w:r w:rsidRPr="002C1B3A">
        <w:rPr>
          <w:rFonts w:cs="Times New Roman"/>
          <w:lang w:val="fr-CA"/>
        </w:rPr>
        <w:t>applique eu égard aux faits de l</w:t>
      </w:r>
      <w:r>
        <w:rPr>
          <w:rFonts w:cs="Times New Roman"/>
          <w:lang w:val="fr-CA"/>
        </w:rPr>
        <w:t>’</w:t>
      </w:r>
      <w:r w:rsidRPr="002C1B3A">
        <w:rPr>
          <w:rFonts w:cs="Times New Roman"/>
          <w:lang w:val="fr-CA"/>
        </w:rPr>
        <w:t>espèce.  Par conséquent, la situation soulève des questions d</w:t>
      </w:r>
      <w:r>
        <w:rPr>
          <w:rFonts w:cs="Times New Roman"/>
          <w:lang w:val="fr-CA"/>
        </w:rPr>
        <w:t>’</w:t>
      </w:r>
      <w:r w:rsidRPr="002C1B3A">
        <w:rPr>
          <w:rFonts w:cs="Times New Roman"/>
          <w:lang w:val="fr-CA"/>
        </w:rPr>
        <w:t>ordre constitutionnel qu</w:t>
      </w:r>
      <w:r>
        <w:rPr>
          <w:rFonts w:cs="Times New Roman"/>
          <w:lang w:val="fr-CA"/>
        </w:rPr>
        <w:t>’</w:t>
      </w:r>
      <w:r w:rsidRPr="002C1B3A">
        <w:rPr>
          <w:rFonts w:cs="Times New Roman"/>
          <w:lang w:val="fr-CA"/>
        </w:rPr>
        <w:t xml:space="preserve">il faut résoudre. </w:t>
      </w:r>
    </w:p>
    <w:p w:rsidR="00931170" w:rsidRPr="002C1B3A" w:rsidRDefault="00931170" w:rsidP="00931170">
      <w:pPr>
        <w:pStyle w:val="ParaNoNdepar-AltN"/>
        <w:rPr>
          <w:rFonts w:cs="Times New Roman"/>
          <w:lang w:val="fr-CA"/>
        </w:rPr>
      </w:pPr>
      <w:r w:rsidRPr="002C1B3A">
        <w:rPr>
          <w:rFonts w:cs="Times New Roman"/>
          <w:lang w:val="fr-CA"/>
        </w:rPr>
        <w:t>Il n</w:t>
      </w:r>
      <w:r>
        <w:rPr>
          <w:rFonts w:cs="Times New Roman"/>
          <w:lang w:val="fr-CA"/>
        </w:rPr>
        <w:t>’</w:t>
      </w:r>
      <w:r w:rsidRPr="002C1B3A">
        <w:rPr>
          <w:rFonts w:cs="Times New Roman"/>
          <w:lang w:val="fr-CA"/>
        </w:rPr>
        <w:t>existait pas de relation d</w:t>
      </w:r>
      <w:r>
        <w:rPr>
          <w:rFonts w:cs="Times New Roman"/>
          <w:lang w:val="fr-CA"/>
        </w:rPr>
        <w:t>’</w:t>
      </w:r>
      <w:r w:rsidRPr="002C1B3A">
        <w:rPr>
          <w:rFonts w:cs="Times New Roman"/>
          <w:lang w:val="fr-CA"/>
        </w:rPr>
        <w:t>emploi directe entre Marine Services et les frères Ryan au moment de l</w:t>
      </w:r>
      <w:r>
        <w:rPr>
          <w:rFonts w:cs="Times New Roman"/>
          <w:lang w:val="fr-CA"/>
        </w:rPr>
        <w:t>’</w:t>
      </w:r>
      <w:r w:rsidRPr="002C1B3A">
        <w:rPr>
          <w:rFonts w:cs="Times New Roman"/>
          <w:lang w:val="fr-CA"/>
        </w:rPr>
        <w:t>accident au cours duquel ces derniers sont décédés.  Cependant, l</w:t>
      </w:r>
      <w:r>
        <w:rPr>
          <w:rFonts w:cs="Times New Roman"/>
          <w:lang w:val="fr-CA"/>
        </w:rPr>
        <w:t>’</w:t>
      </w:r>
      <w:r w:rsidRPr="002C1B3A">
        <w:rPr>
          <w:rFonts w:cs="Times New Roman"/>
          <w:lang w:val="fr-CA"/>
        </w:rPr>
        <w:t>interdiction légale de poursuites prévue à l</w:t>
      </w:r>
      <w:r>
        <w:rPr>
          <w:rFonts w:cs="Times New Roman"/>
          <w:lang w:val="fr-CA"/>
        </w:rPr>
        <w:t>’</w:t>
      </w:r>
      <w:r w:rsidRPr="002C1B3A">
        <w:rPr>
          <w:rFonts w:cs="Times New Roman"/>
          <w:lang w:val="fr-CA"/>
        </w:rPr>
        <w:t xml:space="preserve">art. 44 de la </w:t>
      </w:r>
      <w:r w:rsidRPr="002C1B3A">
        <w:rPr>
          <w:rFonts w:cs="Times New Roman"/>
          <w:i/>
          <w:lang w:val="fr-CA"/>
        </w:rPr>
        <w:t>WHSCA</w:t>
      </w:r>
      <w:r w:rsidRPr="002C1B3A">
        <w:rPr>
          <w:rFonts w:cs="Times New Roman"/>
          <w:lang w:val="fr-CA"/>
        </w:rPr>
        <w:t xml:space="preserve"> ne bénéficie pas seulement à un « employeur » qui se trouve dans une relation d</w:t>
      </w:r>
      <w:r>
        <w:rPr>
          <w:rFonts w:cs="Times New Roman"/>
          <w:lang w:val="fr-CA"/>
        </w:rPr>
        <w:t>’</w:t>
      </w:r>
      <w:r w:rsidRPr="002C1B3A">
        <w:rPr>
          <w:rFonts w:cs="Times New Roman"/>
          <w:lang w:val="fr-CA"/>
        </w:rPr>
        <w:t>emploi directe avec le travailleur blessé.  Tout employeur contribuant au régime (et tout travailleur d</w:t>
      </w:r>
      <w:r>
        <w:rPr>
          <w:rFonts w:cs="Times New Roman"/>
          <w:lang w:val="fr-CA"/>
        </w:rPr>
        <w:t>’</w:t>
      </w:r>
      <w:r w:rsidRPr="002C1B3A">
        <w:rPr>
          <w:rFonts w:cs="Times New Roman"/>
          <w:lang w:val="fr-CA"/>
        </w:rPr>
        <w:t>un tel employeur) bénéficie de l</w:t>
      </w:r>
      <w:r>
        <w:rPr>
          <w:rFonts w:cs="Times New Roman"/>
          <w:lang w:val="fr-CA"/>
        </w:rPr>
        <w:t>’</w:t>
      </w:r>
      <w:r w:rsidRPr="002C1B3A">
        <w:rPr>
          <w:rFonts w:cs="Times New Roman"/>
          <w:lang w:val="fr-CA"/>
        </w:rPr>
        <w:t>interdiction légale de poursuites, pourvu que le travailleur ait été blessé dans le cours de ses fonctions et que les blessures soient [</w:t>
      </w:r>
      <w:r w:rsidRPr="002C1B3A">
        <w:rPr>
          <w:rFonts w:cs="Times New Roman"/>
          <w:smallCaps/>
          <w:lang w:val="fr-CA"/>
        </w:rPr>
        <w:t>traduction</w:t>
      </w:r>
      <w:r w:rsidRPr="002C1B3A">
        <w:rPr>
          <w:rFonts w:cs="Times New Roman"/>
          <w:lang w:val="fr-CA"/>
        </w:rPr>
        <w:t>] « survenues [. . .] dans le cours des activités habituelles ou accessoires menées dans l</w:t>
      </w:r>
      <w:r>
        <w:rPr>
          <w:rFonts w:cs="Times New Roman"/>
          <w:lang w:val="fr-CA"/>
        </w:rPr>
        <w:t>’</w:t>
      </w:r>
      <w:r w:rsidRPr="002C1B3A">
        <w:rPr>
          <w:rFonts w:cs="Times New Roman"/>
          <w:lang w:val="fr-CA"/>
        </w:rPr>
        <w:t>industrie à laquelle participe l</w:t>
      </w:r>
      <w:r>
        <w:rPr>
          <w:rFonts w:cs="Times New Roman"/>
          <w:lang w:val="fr-CA"/>
        </w:rPr>
        <w:t>’</w:t>
      </w:r>
      <w:r w:rsidRPr="002C1B3A">
        <w:rPr>
          <w:rFonts w:cs="Times New Roman"/>
          <w:lang w:val="fr-CA"/>
        </w:rPr>
        <w:t>employeur ».  La Commission fixe et perçoit les contributions au fonds d</w:t>
      </w:r>
      <w:r>
        <w:rPr>
          <w:rFonts w:cs="Times New Roman"/>
          <w:lang w:val="fr-CA"/>
        </w:rPr>
        <w:t>’</w:t>
      </w:r>
      <w:r w:rsidRPr="002C1B3A">
        <w:rPr>
          <w:rFonts w:cs="Times New Roman"/>
          <w:lang w:val="fr-CA"/>
        </w:rPr>
        <w:t xml:space="preserve">indemnisation que doivent obligatoirement verser tous les employeurs assujettis à la </w:t>
      </w:r>
      <w:r w:rsidRPr="002C1B3A">
        <w:rPr>
          <w:rFonts w:cs="Times New Roman"/>
          <w:i/>
          <w:lang w:val="fr-CA"/>
        </w:rPr>
        <w:t>WHSCA</w:t>
      </w:r>
      <w:r w:rsidRPr="002C1B3A">
        <w:rPr>
          <w:rFonts w:cs="Times New Roman"/>
          <w:lang w:val="fr-CA"/>
        </w:rPr>
        <w:t xml:space="preserve"> : art. 97 et 99.  Sauf exclusion prévue par règlement, la </w:t>
      </w:r>
      <w:r w:rsidRPr="002C1B3A">
        <w:rPr>
          <w:rFonts w:cs="Times New Roman"/>
          <w:i/>
          <w:lang w:val="fr-CA"/>
        </w:rPr>
        <w:t>WHSCA</w:t>
      </w:r>
      <w:r w:rsidRPr="002C1B3A">
        <w:rPr>
          <w:rFonts w:cs="Times New Roman"/>
          <w:lang w:val="fr-CA"/>
        </w:rPr>
        <w:t xml:space="preserve"> s</w:t>
      </w:r>
      <w:r>
        <w:rPr>
          <w:rFonts w:cs="Times New Roman"/>
          <w:lang w:val="fr-CA"/>
        </w:rPr>
        <w:t>’</w:t>
      </w:r>
      <w:r w:rsidRPr="002C1B3A">
        <w:rPr>
          <w:rFonts w:cs="Times New Roman"/>
          <w:lang w:val="fr-CA"/>
        </w:rPr>
        <w:t xml:space="preserve">applique aux employeurs </w:t>
      </w:r>
      <w:r w:rsidRPr="002C1B3A">
        <w:rPr>
          <w:rFonts w:cs="Times New Roman"/>
          <w:lang w:val="fr-CA"/>
        </w:rPr>
        <w:lastRenderedPageBreak/>
        <w:t>« participant directement ou indirectement, à une industrie dans la province » : par. 38(1) (le terme « employeur » est également défini à l</w:t>
      </w:r>
      <w:r>
        <w:rPr>
          <w:rFonts w:cs="Times New Roman"/>
          <w:lang w:val="fr-CA"/>
        </w:rPr>
        <w:t>’</w:t>
      </w:r>
      <w:r w:rsidRPr="002C1B3A">
        <w:rPr>
          <w:rFonts w:cs="Times New Roman"/>
          <w:lang w:val="fr-CA"/>
        </w:rPr>
        <w:t>al</w:t>
      </w:r>
      <w:r w:rsidR="00734BC1">
        <w:rPr>
          <w:rFonts w:cs="Times New Roman"/>
          <w:lang w:val="fr-CA"/>
        </w:rPr>
        <w:t xml:space="preserve">. </w:t>
      </w:r>
      <w:r w:rsidRPr="002C1B3A">
        <w:rPr>
          <w:rFonts w:cs="Times New Roman"/>
          <w:lang w:val="fr-CA"/>
        </w:rPr>
        <w:t xml:space="preserve">2(j) de la </w:t>
      </w:r>
      <w:r w:rsidRPr="002C1B3A">
        <w:rPr>
          <w:rFonts w:cs="Times New Roman"/>
          <w:i/>
          <w:lang w:val="fr-CA"/>
        </w:rPr>
        <w:t>WHSCA</w:t>
      </w:r>
      <w:r w:rsidRPr="002C1B3A">
        <w:rPr>
          <w:rFonts w:cs="Times New Roman"/>
          <w:lang w:val="fr-CA"/>
        </w:rPr>
        <w:t>).</w:t>
      </w:r>
    </w:p>
    <w:p w:rsidR="00931170" w:rsidRPr="002C1B3A" w:rsidRDefault="00931170" w:rsidP="00931170">
      <w:pPr>
        <w:pStyle w:val="ParaNoNdepar-AltN"/>
        <w:tabs>
          <w:tab w:val="clear" w:pos="1152"/>
          <w:tab w:val="left" w:pos="1166"/>
        </w:tabs>
        <w:rPr>
          <w:rFonts w:cs="Times New Roman"/>
          <w:lang w:val="fr-CA"/>
        </w:rPr>
      </w:pPr>
      <w:r w:rsidRPr="002C1B3A">
        <w:rPr>
          <w:rFonts w:cs="Times New Roman"/>
          <w:lang w:val="fr-CA"/>
        </w:rPr>
        <w:t xml:space="preserve">Les parties ne contestent pas les conclusions suivantes de la Commission : a) les frères Ryan ont été blessés dans le cours de leurs fonctions au sens de la </w:t>
      </w:r>
      <w:r w:rsidRPr="002C1B3A">
        <w:rPr>
          <w:rFonts w:cs="Times New Roman"/>
          <w:i/>
          <w:lang w:val="fr-CA"/>
        </w:rPr>
        <w:t>WHSCA</w:t>
      </w:r>
      <w:r w:rsidRPr="002C1B3A">
        <w:rPr>
          <w:rFonts w:cs="Times New Roman"/>
          <w:lang w:val="fr-CA"/>
        </w:rPr>
        <w:t xml:space="preserve">; b) Marine Services est un « employeur » au sens de la </w:t>
      </w:r>
      <w:r w:rsidRPr="002C1B3A">
        <w:rPr>
          <w:rFonts w:cs="Times New Roman"/>
          <w:i/>
          <w:lang w:val="fr-CA"/>
        </w:rPr>
        <w:t>WHSCA</w:t>
      </w:r>
      <w:r w:rsidRPr="002C1B3A">
        <w:rPr>
          <w:rFonts w:cs="Times New Roman"/>
          <w:lang w:val="fr-CA"/>
        </w:rPr>
        <w:t xml:space="preserve">; c) David Porter est un « travailleur » au sens de cette même loi. </w:t>
      </w:r>
    </w:p>
    <w:p w:rsidR="00931170" w:rsidRPr="002C1B3A" w:rsidRDefault="00931170" w:rsidP="00931170">
      <w:pPr>
        <w:pStyle w:val="ParaNoNdepar-AltN"/>
        <w:tabs>
          <w:tab w:val="clear" w:pos="1152"/>
          <w:tab w:val="left" w:pos="1166"/>
        </w:tabs>
        <w:rPr>
          <w:rFonts w:cs="Times New Roman"/>
          <w:lang w:val="fr-CA"/>
        </w:rPr>
      </w:pPr>
      <w:r w:rsidRPr="002C1B3A">
        <w:rPr>
          <w:rFonts w:cs="Times New Roman"/>
          <w:lang w:val="fr-CA"/>
        </w:rPr>
        <w:t>Le différend porte sur la question de savoir si les blessures ayant entraîné la mort des frères Ryan sont [</w:t>
      </w:r>
      <w:r w:rsidRPr="002C1B3A">
        <w:rPr>
          <w:rFonts w:cs="Times New Roman"/>
          <w:smallCaps/>
          <w:lang w:val="fr-CA"/>
        </w:rPr>
        <w:t>traduction</w:t>
      </w:r>
      <w:r w:rsidRPr="002C1B3A">
        <w:rPr>
          <w:rFonts w:cs="Times New Roman"/>
          <w:lang w:val="fr-CA"/>
        </w:rPr>
        <w:t xml:space="preserve">] « survenues autrement que dans le cours des </w:t>
      </w:r>
      <w:r w:rsidRPr="002C1B3A">
        <w:rPr>
          <w:rFonts w:cs="Times New Roman"/>
          <w:lang w:val="fr-CA" w:eastAsia="fr-FR"/>
        </w:rPr>
        <w:t>activités habituelles ou accessoires menées dans l</w:t>
      </w:r>
      <w:r>
        <w:rPr>
          <w:rFonts w:cs="Times New Roman"/>
          <w:lang w:val="fr-CA" w:eastAsia="fr-FR"/>
        </w:rPr>
        <w:t>’</w:t>
      </w:r>
      <w:r w:rsidRPr="002C1B3A">
        <w:rPr>
          <w:rFonts w:cs="Times New Roman"/>
          <w:lang w:val="fr-CA" w:eastAsia="fr-FR"/>
        </w:rPr>
        <w:t>industrie à laquelle participe l</w:t>
      </w:r>
      <w:r>
        <w:rPr>
          <w:rFonts w:cs="Times New Roman"/>
          <w:lang w:val="fr-CA" w:eastAsia="fr-FR"/>
        </w:rPr>
        <w:t>’</w:t>
      </w:r>
      <w:r w:rsidRPr="002C1B3A">
        <w:rPr>
          <w:rFonts w:cs="Times New Roman"/>
          <w:lang w:val="fr-CA" w:eastAsia="fr-FR"/>
        </w:rPr>
        <w:t>employeur »</w:t>
      </w:r>
      <w:r w:rsidRPr="002C1B3A">
        <w:rPr>
          <w:rFonts w:cs="Times New Roman"/>
          <w:lang w:val="fr-CA"/>
        </w:rPr>
        <w:t>, aux termes du par. 44(2).  La réponse à cette question permettra de déterminer si l</w:t>
      </w:r>
      <w:r>
        <w:rPr>
          <w:rFonts w:cs="Times New Roman"/>
          <w:lang w:val="fr-CA"/>
        </w:rPr>
        <w:t>’</w:t>
      </w:r>
      <w:r w:rsidRPr="002C1B3A">
        <w:rPr>
          <w:rFonts w:cs="Times New Roman"/>
          <w:lang w:val="fr-CA"/>
        </w:rPr>
        <w:t xml:space="preserve">art. 44 de la </w:t>
      </w:r>
      <w:r w:rsidRPr="002C1B3A">
        <w:rPr>
          <w:rFonts w:cs="Times New Roman"/>
          <w:i/>
          <w:lang w:val="fr-CA"/>
        </w:rPr>
        <w:t>WHSCA</w:t>
      </w:r>
      <w:r w:rsidRPr="002C1B3A">
        <w:rPr>
          <w:rFonts w:cs="Times New Roman"/>
          <w:lang w:val="fr-CA"/>
        </w:rPr>
        <w:t xml:space="preserve"> s</w:t>
      </w:r>
      <w:r>
        <w:rPr>
          <w:rFonts w:cs="Times New Roman"/>
          <w:lang w:val="fr-CA"/>
        </w:rPr>
        <w:t>’</w:t>
      </w:r>
      <w:r w:rsidRPr="002C1B3A">
        <w:rPr>
          <w:rFonts w:cs="Times New Roman"/>
          <w:lang w:val="fr-CA"/>
        </w:rPr>
        <w:t>applique en l</w:t>
      </w:r>
      <w:r>
        <w:rPr>
          <w:rFonts w:cs="Times New Roman"/>
          <w:lang w:val="fr-CA"/>
        </w:rPr>
        <w:t>’</w:t>
      </w:r>
      <w:r w:rsidRPr="002C1B3A">
        <w:rPr>
          <w:rFonts w:cs="Times New Roman"/>
          <w:lang w:val="fr-CA"/>
        </w:rPr>
        <w:t>espèce.</w:t>
      </w:r>
    </w:p>
    <w:p w:rsidR="00931170" w:rsidRPr="002C1B3A" w:rsidRDefault="00931170" w:rsidP="00931170">
      <w:pPr>
        <w:pStyle w:val="ParaNoNdepar-AltN"/>
        <w:tabs>
          <w:tab w:val="clear" w:pos="1152"/>
          <w:tab w:val="left" w:pos="1166"/>
        </w:tabs>
        <w:rPr>
          <w:rFonts w:cs="Times New Roman"/>
          <w:lang w:val="fr-CA"/>
        </w:rPr>
      </w:pPr>
      <w:r w:rsidRPr="002C1B3A">
        <w:rPr>
          <w:rFonts w:cs="Times New Roman"/>
          <w:lang w:val="fr-CA"/>
        </w:rPr>
        <w:t>Devant la Commission, Marine Services a soutenu qu</w:t>
      </w:r>
      <w:r>
        <w:rPr>
          <w:rFonts w:cs="Times New Roman"/>
          <w:lang w:val="fr-CA"/>
        </w:rPr>
        <w:t>’</w:t>
      </w:r>
      <w:r w:rsidRPr="002C1B3A">
        <w:rPr>
          <w:rFonts w:cs="Times New Roman"/>
          <w:lang w:val="fr-CA"/>
        </w:rPr>
        <w:t>elle exerçait [</w:t>
      </w:r>
      <w:r w:rsidRPr="002C1B3A">
        <w:rPr>
          <w:rFonts w:cs="Times New Roman"/>
          <w:smallCaps/>
          <w:lang w:val="fr-CA"/>
        </w:rPr>
        <w:t>traduction</w:t>
      </w:r>
      <w:r w:rsidRPr="002C1B3A">
        <w:rPr>
          <w:rFonts w:cs="Times New Roman"/>
          <w:lang w:val="fr-CA"/>
        </w:rPr>
        <w:t>] « des activités liées à l</w:t>
      </w:r>
      <w:r>
        <w:rPr>
          <w:rFonts w:cs="Times New Roman"/>
          <w:lang w:val="fr-CA"/>
        </w:rPr>
        <w:t>’</w:t>
      </w:r>
      <w:r w:rsidRPr="002C1B3A">
        <w:rPr>
          <w:rFonts w:cs="Times New Roman"/>
          <w:lang w:val="fr-CA"/>
        </w:rPr>
        <w:t>industrie de la pêche », ainsi que « des activités d</w:t>
      </w:r>
      <w:r>
        <w:rPr>
          <w:rFonts w:cs="Times New Roman"/>
          <w:lang w:val="fr-CA"/>
        </w:rPr>
        <w:t>’</w:t>
      </w:r>
      <w:r w:rsidRPr="002C1B3A">
        <w:rPr>
          <w:rFonts w:cs="Times New Roman"/>
          <w:lang w:val="fr-CA"/>
        </w:rPr>
        <w:t>expertise</w:t>
      </w:r>
      <w:r w:rsidRPr="002C1B3A">
        <w:rPr>
          <w:rFonts w:cs="Times New Roman"/>
          <w:lang w:val="fr-CA"/>
        </w:rPr>
        <w:noBreakHyphen/>
        <w:t>conseil dans le domaine maritime, des activités d</w:t>
      </w:r>
      <w:r>
        <w:rPr>
          <w:rFonts w:cs="Times New Roman"/>
          <w:lang w:val="fr-CA"/>
        </w:rPr>
        <w:t>’</w:t>
      </w:r>
      <w:r w:rsidRPr="002C1B3A">
        <w:rPr>
          <w:rFonts w:cs="Times New Roman"/>
          <w:lang w:val="fr-CA"/>
        </w:rPr>
        <w:t>architecture navale et des activités de conception de navires », et que, au cours de la période pertinente, David Porter travaillait chez elle à la conception du bateau (d.a., p. 17).  La Commission a retenu ces observations dans ses conclusions de fait (p. 28</w:t>
      </w:r>
      <w:r w:rsidRPr="002C1B3A">
        <w:rPr>
          <w:rFonts w:cs="Times New Roman"/>
          <w:lang w:val="fr-CA"/>
        </w:rPr>
        <w:noBreakHyphen/>
        <w:t>29).  Quant à la question de savoir si le décès des frères Ryan [</w:t>
      </w:r>
      <w:r w:rsidRPr="002C1B3A">
        <w:rPr>
          <w:rFonts w:cs="Times New Roman"/>
          <w:smallCaps/>
          <w:lang w:val="fr-CA"/>
        </w:rPr>
        <w:t>traduction</w:t>
      </w:r>
      <w:r w:rsidRPr="002C1B3A">
        <w:rPr>
          <w:rFonts w:cs="Times New Roman"/>
          <w:lang w:val="fr-CA"/>
        </w:rPr>
        <w:t>] «</w:t>
      </w:r>
      <w:r w:rsidR="00734BC1">
        <w:rPr>
          <w:rFonts w:cs="Times New Roman"/>
          <w:lang w:val="fr-CA"/>
        </w:rPr>
        <w:t xml:space="preserve"> </w:t>
      </w:r>
      <w:r w:rsidR="00734BC1" w:rsidRPr="002C1B3A">
        <w:rPr>
          <w:rFonts w:cs="Times New Roman"/>
          <w:lang w:val="fr-CA"/>
        </w:rPr>
        <w:t>était survenu</w:t>
      </w:r>
      <w:r w:rsidRPr="002C1B3A">
        <w:rPr>
          <w:rFonts w:cs="Times New Roman"/>
          <w:lang w:val="fr-CA"/>
        </w:rPr>
        <w:t> </w:t>
      </w:r>
      <w:r w:rsidR="00734BC1">
        <w:rPr>
          <w:rFonts w:cs="Times New Roman"/>
          <w:lang w:val="fr-CA"/>
        </w:rPr>
        <w:t xml:space="preserve">[. . .] </w:t>
      </w:r>
      <w:r w:rsidRPr="002C1B3A">
        <w:rPr>
          <w:rFonts w:cs="Times New Roman"/>
          <w:lang w:val="fr-CA"/>
        </w:rPr>
        <w:t>dans le cours des activités habituelles ou accessoires menées dans l</w:t>
      </w:r>
      <w:r>
        <w:rPr>
          <w:rFonts w:cs="Times New Roman"/>
          <w:lang w:val="fr-CA"/>
        </w:rPr>
        <w:t>’</w:t>
      </w:r>
      <w:r w:rsidRPr="002C1B3A">
        <w:rPr>
          <w:rFonts w:cs="Times New Roman"/>
          <w:lang w:val="fr-CA"/>
        </w:rPr>
        <w:t>industrie à laquelle participe l</w:t>
      </w:r>
      <w:r>
        <w:rPr>
          <w:rFonts w:cs="Times New Roman"/>
          <w:lang w:val="fr-CA"/>
        </w:rPr>
        <w:t>’</w:t>
      </w:r>
      <w:r w:rsidRPr="002C1B3A">
        <w:rPr>
          <w:rFonts w:cs="Times New Roman"/>
          <w:lang w:val="fr-CA"/>
        </w:rPr>
        <w:t>employeur », la Commission a conclu que c</w:t>
      </w:r>
      <w:r>
        <w:rPr>
          <w:rFonts w:cs="Times New Roman"/>
          <w:lang w:val="fr-CA"/>
        </w:rPr>
        <w:t>’</w:t>
      </w:r>
      <w:r w:rsidRPr="002C1B3A">
        <w:rPr>
          <w:rFonts w:cs="Times New Roman"/>
          <w:lang w:val="fr-CA"/>
        </w:rPr>
        <w:t>était clairement le cas (p. 29).</w:t>
      </w:r>
    </w:p>
    <w:p w:rsidR="00931170" w:rsidRPr="002C1B3A" w:rsidRDefault="00931170" w:rsidP="00931170">
      <w:pPr>
        <w:pStyle w:val="ParaNoNdepar-AltN"/>
        <w:tabs>
          <w:tab w:val="clear" w:pos="1152"/>
          <w:tab w:val="left" w:pos="1166"/>
        </w:tabs>
        <w:rPr>
          <w:rFonts w:cs="Times New Roman"/>
          <w:lang w:val="fr-CA"/>
        </w:rPr>
      </w:pPr>
      <w:r w:rsidRPr="002C1B3A">
        <w:rPr>
          <w:rFonts w:cs="Times New Roman"/>
          <w:lang w:val="fr-CA"/>
        </w:rPr>
        <w:lastRenderedPageBreak/>
        <w:t>Le présent pourvoi découle du contrôle judiciaire de la décision de la Commission.  Il convient de faire montre de déférence envers la conclusion qu</w:t>
      </w:r>
      <w:r>
        <w:rPr>
          <w:rFonts w:cs="Times New Roman"/>
          <w:lang w:val="fr-CA"/>
        </w:rPr>
        <w:t>’</w:t>
      </w:r>
      <w:r w:rsidRPr="002C1B3A">
        <w:rPr>
          <w:rFonts w:cs="Times New Roman"/>
          <w:lang w:val="fr-CA"/>
        </w:rPr>
        <w:t>a tirée celle</w:t>
      </w:r>
      <w:r w:rsidRPr="002C1B3A">
        <w:rPr>
          <w:rFonts w:cs="Times New Roman"/>
          <w:lang w:val="fr-CA"/>
        </w:rPr>
        <w:noBreakHyphen/>
        <w:t>ci et suivant laquelle les blessures ayant entraîné la mort des frères Ryan sont survenues [</w:t>
      </w:r>
      <w:r w:rsidRPr="002C1B3A">
        <w:rPr>
          <w:rFonts w:cs="Times New Roman"/>
          <w:smallCaps/>
          <w:lang w:val="fr-CA"/>
        </w:rPr>
        <w:t>traduction</w:t>
      </w:r>
      <w:r w:rsidRPr="002C1B3A">
        <w:rPr>
          <w:rFonts w:cs="Times New Roman"/>
          <w:lang w:val="fr-CA"/>
        </w:rPr>
        <w:t>] « dans le cours des activités habituelles ou accessoires menées dans l</w:t>
      </w:r>
      <w:r>
        <w:rPr>
          <w:rFonts w:cs="Times New Roman"/>
          <w:lang w:val="fr-CA"/>
        </w:rPr>
        <w:t>’</w:t>
      </w:r>
      <w:r w:rsidRPr="002C1B3A">
        <w:rPr>
          <w:rFonts w:cs="Times New Roman"/>
          <w:lang w:val="fr-CA"/>
        </w:rPr>
        <w:t>industrie à laquelle participe » Marine Services.  Il s</w:t>
      </w:r>
      <w:r>
        <w:rPr>
          <w:rFonts w:cs="Times New Roman"/>
          <w:lang w:val="fr-CA"/>
        </w:rPr>
        <w:t>’</w:t>
      </w:r>
      <w:r w:rsidRPr="002C1B3A">
        <w:rPr>
          <w:rFonts w:cs="Times New Roman"/>
          <w:lang w:val="fr-CA"/>
        </w:rPr>
        <w:t>agit d</w:t>
      </w:r>
      <w:r>
        <w:rPr>
          <w:rFonts w:cs="Times New Roman"/>
          <w:lang w:val="fr-CA"/>
        </w:rPr>
        <w:t>’</w:t>
      </w:r>
      <w:r w:rsidRPr="002C1B3A">
        <w:rPr>
          <w:rFonts w:cs="Times New Roman"/>
          <w:lang w:val="fr-CA"/>
        </w:rPr>
        <w:t>une question mixte de fait et de droit à laquelle la Commission a répondu en appréciant la preuve et en interprétant sa loi constitutive.  De plus, l</w:t>
      </w:r>
      <w:r>
        <w:rPr>
          <w:rFonts w:cs="Times New Roman"/>
          <w:lang w:val="fr-CA"/>
        </w:rPr>
        <w:t>’</w:t>
      </w:r>
      <w:r w:rsidRPr="002C1B3A">
        <w:rPr>
          <w:rFonts w:cs="Times New Roman"/>
          <w:lang w:val="fr-CA"/>
        </w:rPr>
        <w:t xml:space="preserve">art. 19 de la </w:t>
      </w:r>
      <w:r w:rsidRPr="002C1B3A">
        <w:rPr>
          <w:rFonts w:cs="Times New Roman"/>
          <w:i/>
          <w:lang w:val="fr-CA"/>
        </w:rPr>
        <w:t>WHSCA</w:t>
      </w:r>
      <w:r w:rsidRPr="002C1B3A">
        <w:rPr>
          <w:rFonts w:cs="Times New Roman"/>
          <w:lang w:val="fr-CA"/>
        </w:rPr>
        <w:t xml:space="preserve"> contient une clause privative.  À la lumière de ces facteurs, la norme de la décision raisonnable s</w:t>
      </w:r>
      <w:r>
        <w:rPr>
          <w:rFonts w:cs="Times New Roman"/>
          <w:lang w:val="fr-CA"/>
        </w:rPr>
        <w:t>’</w:t>
      </w:r>
      <w:r w:rsidRPr="002C1B3A">
        <w:rPr>
          <w:rFonts w:cs="Times New Roman"/>
          <w:lang w:val="fr-CA"/>
        </w:rPr>
        <w:t xml:space="preserve">applique : </w:t>
      </w:r>
      <w:r w:rsidRPr="002C1B3A">
        <w:rPr>
          <w:rFonts w:cs="Times New Roman"/>
          <w:i/>
          <w:lang w:val="fr-CA"/>
        </w:rPr>
        <w:t>Dunsmuir c. Nouveau</w:t>
      </w:r>
      <w:r w:rsidRPr="002C1B3A">
        <w:rPr>
          <w:rFonts w:cs="Times New Roman"/>
          <w:i/>
          <w:lang w:val="fr-CA"/>
        </w:rPr>
        <w:noBreakHyphen/>
        <w:t>Brunswick</w:t>
      </w:r>
      <w:r w:rsidRPr="002C1B3A">
        <w:rPr>
          <w:rFonts w:cs="Times New Roman"/>
          <w:lang w:val="fr-CA"/>
        </w:rPr>
        <w:t>, 2008 CSC 9, [2008] 1 R.C.S. 190, par. 52</w:t>
      </w:r>
      <w:r w:rsidRPr="002C1B3A">
        <w:rPr>
          <w:rFonts w:cs="Times New Roman"/>
          <w:lang w:val="fr-CA"/>
        </w:rPr>
        <w:noBreakHyphen/>
        <w:t>55.  Eu égard à cette norme, la conclusion de la Commission ne devrait pas être modifiée.</w:t>
      </w:r>
    </w:p>
    <w:p w:rsidR="00931170" w:rsidRPr="002C1B3A" w:rsidRDefault="00931170" w:rsidP="00931170">
      <w:pPr>
        <w:pStyle w:val="ParaNoNdepar-AltN"/>
        <w:tabs>
          <w:tab w:val="clear" w:pos="1152"/>
          <w:tab w:val="left" w:pos="1166"/>
        </w:tabs>
        <w:rPr>
          <w:rFonts w:cs="Times New Roman"/>
          <w:lang w:val="fr-CA"/>
        </w:rPr>
      </w:pPr>
      <w:r w:rsidRPr="002C1B3A">
        <w:rPr>
          <w:rFonts w:cs="Times New Roman"/>
          <w:lang w:val="fr-CA"/>
        </w:rPr>
        <w:t>En conséquence, l</w:t>
      </w:r>
      <w:r>
        <w:rPr>
          <w:rFonts w:cs="Times New Roman"/>
          <w:lang w:val="fr-CA"/>
        </w:rPr>
        <w:t>’</w:t>
      </w:r>
      <w:r w:rsidRPr="002C1B3A">
        <w:rPr>
          <w:rFonts w:cs="Times New Roman"/>
          <w:lang w:val="fr-CA"/>
        </w:rPr>
        <w:t xml:space="preserve">art. 44 de la </w:t>
      </w:r>
      <w:r w:rsidRPr="002C1B3A">
        <w:rPr>
          <w:rFonts w:cs="Times New Roman"/>
          <w:i/>
          <w:lang w:val="fr-CA"/>
        </w:rPr>
        <w:t>WHSCA</w:t>
      </w:r>
      <w:r w:rsidRPr="002C1B3A">
        <w:rPr>
          <w:rFonts w:cs="Times New Roman"/>
          <w:lang w:val="fr-CA"/>
        </w:rPr>
        <w:t xml:space="preserve"> s</w:t>
      </w:r>
      <w:r>
        <w:rPr>
          <w:rFonts w:cs="Times New Roman"/>
          <w:lang w:val="fr-CA"/>
        </w:rPr>
        <w:t>’</w:t>
      </w:r>
      <w:r w:rsidRPr="002C1B3A">
        <w:rPr>
          <w:rFonts w:cs="Times New Roman"/>
          <w:lang w:val="fr-CA"/>
        </w:rPr>
        <w:t>applique à la présente espèce et, s</w:t>
      </w:r>
      <w:r>
        <w:rPr>
          <w:rFonts w:cs="Times New Roman"/>
          <w:lang w:val="fr-CA"/>
        </w:rPr>
        <w:t>’</w:t>
      </w:r>
      <w:r w:rsidRPr="002C1B3A">
        <w:rPr>
          <w:rFonts w:cs="Times New Roman"/>
          <w:lang w:val="fr-CA"/>
        </w:rPr>
        <w:t>il est applicable et opérant sur le plan constitutionnel, il fait obstacle à l</w:t>
      </w:r>
      <w:r>
        <w:rPr>
          <w:rFonts w:cs="Times New Roman"/>
          <w:lang w:val="fr-CA"/>
        </w:rPr>
        <w:t>’</w:t>
      </w:r>
      <w:r w:rsidRPr="002C1B3A">
        <w:rPr>
          <w:rFonts w:cs="Times New Roman"/>
          <w:lang w:val="fr-CA"/>
        </w:rPr>
        <w:t>action introduite par les successions Ryan contre les appelants.  Nous allons maintenant examiner les questions constitutionnelles que soulève l</w:t>
      </w:r>
      <w:r>
        <w:rPr>
          <w:rFonts w:cs="Times New Roman"/>
          <w:lang w:val="fr-CA"/>
        </w:rPr>
        <w:t>’</w:t>
      </w:r>
      <w:r w:rsidRPr="002C1B3A">
        <w:rPr>
          <w:rFonts w:cs="Times New Roman"/>
          <w:lang w:val="fr-CA"/>
        </w:rPr>
        <w:t>application de l</w:t>
      </w:r>
      <w:r>
        <w:rPr>
          <w:rFonts w:cs="Times New Roman"/>
          <w:lang w:val="fr-CA"/>
        </w:rPr>
        <w:t>’</w:t>
      </w:r>
      <w:r w:rsidRPr="002C1B3A">
        <w:rPr>
          <w:rFonts w:cs="Times New Roman"/>
          <w:lang w:val="fr-CA"/>
        </w:rPr>
        <w:t>art. 44.</w:t>
      </w:r>
    </w:p>
    <w:p w:rsidR="00931170" w:rsidRPr="002C1B3A" w:rsidRDefault="00931170" w:rsidP="00734BC1">
      <w:pPr>
        <w:pStyle w:val="TitleTitre-AltT"/>
        <w:keepNext/>
        <w:tabs>
          <w:tab w:val="clear" w:pos="360"/>
          <w:tab w:val="left" w:pos="540"/>
        </w:tabs>
        <w:ind w:left="540" w:hanging="540"/>
        <w:rPr>
          <w:rFonts w:cs="Times New Roman"/>
          <w:lang w:val="fr-CA"/>
        </w:rPr>
      </w:pPr>
      <w:r w:rsidRPr="002C1B3A">
        <w:rPr>
          <w:rFonts w:cs="Times New Roman"/>
          <w:lang w:val="fr-CA"/>
        </w:rPr>
        <w:t>F.</w:t>
      </w:r>
      <w:r w:rsidRPr="002C1B3A">
        <w:rPr>
          <w:rFonts w:cs="Times New Roman"/>
          <w:lang w:val="fr-CA"/>
        </w:rPr>
        <w:tab/>
      </w:r>
      <w:r w:rsidRPr="002C1B3A">
        <w:rPr>
          <w:rFonts w:cs="Times New Roman"/>
          <w:i/>
          <w:lang w:val="fr-CA"/>
        </w:rPr>
        <w:t>Questions constitutionnelles</w:t>
      </w:r>
    </w:p>
    <w:p w:rsidR="00931170" w:rsidRPr="002C1B3A" w:rsidRDefault="00931170" w:rsidP="00931170">
      <w:pPr>
        <w:pStyle w:val="ParaNoNdepar-AltN"/>
        <w:rPr>
          <w:rFonts w:cs="Times New Roman"/>
          <w:lang w:val="fr-CA"/>
        </w:rPr>
      </w:pPr>
      <w:r w:rsidRPr="002C1B3A">
        <w:rPr>
          <w:rFonts w:cs="Times New Roman"/>
          <w:lang w:val="fr-CA"/>
        </w:rPr>
        <w:t>La difficulté d</w:t>
      </w:r>
      <w:r>
        <w:rPr>
          <w:rFonts w:cs="Times New Roman"/>
          <w:lang w:val="fr-CA"/>
        </w:rPr>
        <w:t>’</w:t>
      </w:r>
      <w:r w:rsidRPr="002C1B3A">
        <w:rPr>
          <w:rFonts w:cs="Times New Roman"/>
          <w:lang w:val="fr-CA"/>
        </w:rPr>
        <w:t>ordre constitutionnel que pose la présente affaire consiste à décider si une interdiction légale de poursuites prévue par un régime provincial d</w:t>
      </w:r>
      <w:r>
        <w:rPr>
          <w:rFonts w:cs="Times New Roman"/>
          <w:lang w:val="fr-CA"/>
        </w:rPr>
        <w:t>’</w:t>
      </w:r>
      <w:r w:rsidRPr="002C1B3A">
        <w:rPr>
          <w:rFonts w:cs="Times New Roman"/>
          <w:lang w:val="fr-CA"/>
        </w:rPr>
        <w:t>indemnisation des accidents du travail peut empêcher une personne visée par cette interdiction d</w:t>
      </w:r>
      <w:r>
        <w:rPr>
          <w:rFonts w:cs="Times New Roman"/>
          <w:lang w:val="fr-CA"/>
        </w:rPr>
        <w:t>’</w:t>
      </w:r>
      <w:r w:rsidRPr="002C1B3A">
        <w:rPr>
          <w:rFonts w:cs="Times New Roman"/>
          <w:lang w:val="fr-CA"/>
        </w:rPr>
        <w:t>intenter une action en négligence en vertu d</w:t>
      </w:r>
      <w:r>
        <w:rPr>
          <w:rFonts w:cs="Times New Roman"/>
          <w:lang w:val="fr-CA"/>
        </w:rPr>
        <w:t>’</w:t>
      </w:r>
      <w:r w:rsidRPr="002C1B3A">
        <w:rPr>
          <w:rFonts w:cs="Times New Roman"/>
          <w:lang w:val="fr-CA"/>
        </w:rPr>
        <w:t>une loi fédérale relative à la négligence en droit maritime.  En l</w:t>
      </w:r>
      <w:r>
        <w:rPr>
          <w:rFonts w:cs="Times New Roman"/>
          <w:lang w:val="fr-CA"/>
        </w:rPr>
        <w:t>’</w:t>
      </w:r>
      <w:r w:rsidRPr="002C1B3A">
        <w:rPr>
          <w:rFonts w:cs="Times New Roman"/>
          <w:lang w:val="fr-CA"/>
        </w:rPr>
        <w:t xml:space="preserve">espèce, le différend constitutionnel concerne </w:t>
      </w:r>
      <w:r w:rsidRPr="002C1B3A">
        <w:rPr>
          <w:rFonts w:cs="Times New Roman"/>
          <w:lang w:val="fr-CA"/>
        </w:rPr>
        <w:lastRenderedPageBreak/>
        <w:t xml:space="preserve">donc le partage des compétences établi par la </w:t>
      </w:r>
      <w:r w:rsidRPr="002C1B3A">
        <w:rPr>
          <w:rFonts w:cs="Times New Roman"/>
          <w:i/>
          <w:lang w:val="fr-CA"/>
        </w:rPr>
        <w:t xml:space="preserve">Loi constitutionnelle de 1867 </w:t>
      </w:r>
      <w:r w:rsidRPr="002C1B3A">
        <w:rPr>
          <w:rFonts w:cs="Times New Roman"/>
          <w:lang w:val="fr-CA"/>
        </w:rPr>
        <w:t>entre le fédéral et les provinces.</w:t>
      </w:r>
    </w:p>
    <w:p w:rsidR="00931170" w:rsidRPr="002C1B3A" w:rsidRDefault="00931170" w:rsidP="00931170">
      <w:pPr>
        <w:pStyle w:val="ParaNoNdepar-AltN"/>
        <w:rPr>
          <w:rFonts w:cs="Times New Roman"/>
          <w:lang w:val="fr-CA"/>
        </w:rPr>
      </w:pPr>
      <w:r w:rsidRPr="002C1B3A">
        <w:rPr>
          <w:rFonts w:cs="Times New Roman"/>
          <w:lang w:val="fr-CA"/>
        </w:rPr>
        <w:t>La résolution d</w:t>
      </w:r>
      <w:r>
        <w:rPr>
          <w:rFonts w:cs="Times New Roman"/>
          <w:lang w:val="fr-CA"/>
        </w:rPr>
        <w:t>’</w:t>
      </w:r>
      <w:r w:rsidRPr="002C1B3A">
        <w:rPr>
          <w:rFonts w:cs="Times New Roman"/>
          <w:lang w:val="fr-CA"/>
        </w:rPr>
        <w:t>un tel différend requiert d</w:t>
      </w:r>
      <w:r>
        <w:rPr>
          <w:rFonts w:cs="Times New Roman"/>
          <w:lang w:val="fr-CA"/>
        </w:rPr>
        <w:t>’</w:t>
      </w:r>
      <w:r w:rsidRPr="002C1B3A">
        <w:rPr>
          <w:rFonts w:cs="Times New Roman"/>
          <w:lang w:val="fr-CA"/>
        </w:rPr>
        <w:t>abord et avant tout l</w:t>
      </w:r>
      <w:r>
        <w:rPr>
          <w:rFonts w:cs="Times New Roman"/>
          <w:lang w:val="fr-CA"/>
        </w:rPr>
        <w:t>’</w:t>
      </w:r>
      <w:r w:rsidRPr="002C1B3A">
        <w:rPr>
          <w:rFonts w:cs="Times New Roman"/>
          <w:lang w:val="fr-CA"/>
        </w:rPr>
        <w:t xml:space="preserve">analyse du « caractère véritable » du texte de loi contesté : </w:t>
      </w:r>
      <w:r w:rsidRPr="002C1B3A">
        <w:rPr>
          <w:rFonts w:cs="Times New Roman"/>
          <w:i/>
          <w:lang w:val="fr-CA"/>
        </w:rPr>
        <w:t>Banque canadienne de l</w:t>
      </w:r>
      <w:r>
        <w:rPr>
          <w:rFonts w:cs="Times New Roman"/>
          <w:i/>
          <w:lang w:val="fr-CA"/>
        </w:rPr>
        <w:t>’</w:t>
      </w:r>
      <w:r w:rsidRPr="002C1B3A">
        <w:rPr>
          <w:rFonts w:cs="Times New Roman"/>
          <w:i/>
          <w:lang w:val="fr-CA"/>
        </w:rPr>
        <w:t>Ouest c. Alberta</w:t>
      </w:r>
      <w:r w:rsidRPr="002C1B3A">
        <w:rPr>
          <w:rFonts w:cs="Times New Roman"/>
          <w:lang w:val="fr-CA"/>
        </w:rPr>
        <w:t xml:space="preserve">, </w:t>
      </w:r>
      <w:r w:rsidRPr="002C1B3A">
        <w:rPr>
          <w:rFonts w:cs="Times New Roman"/>
          <w:szCs w:val="24"/>
          <w:lang w:val="fr-CA"/>
        </w:rPr>
        <w:t>2007 CSC 22,</w:t>
      </w:r>
      <w:r w:rsidRPr="002C1B3A">
        <w:rPr>
          <w:rFonts w:cs="Times New Roman"/>
          <w:lang w:val="fr-CA"/>
        </w:rPr>
        <w:t xml:space="preserve"> </w:t>
      </w:r>
      <w:r w:rsidRPr="002C1B3A">
        <w:rPr>
          <w:rFonts w:cs="Times New Roman"/>
          <w:szCs w:val="24"/>
          <w:lang w:val="fr-CA"/>
        </w:rPr>
        <w:t xml:space="preserve">[2007] 2 R.C.S. 3, </w:t>
      </w:r>
      <w:r w:rsidRPr="002C1B3A">
        <w:rPr>
          <w:rFonts w:cs="Times New Roman"/>
          <w:lang w:val="fr-CA"/>
        </w:rPr>
        <w:t>par. 25.  Une telle analyse « consiste dans une recherche sur la nature véritable de la loi en question afin d</w:t>
      </w:r>
      <w:r>
        <w:rPr>
          <w:rFonts w:cs="Times New Roman"/>
          <w:lang w:val="fr-CA"/>
        </w:rPr>
        <w:t>’</w:t>
      </w:r>
      <w:r w:rsidRPr="002C1B3A">
        <w:rPr>
          <w:rFonts w:cs="Times New Roman"/>
          <w:lang w:val="fr-CA"/>
        </w:rPr>
        <w:t xml:space="preserve">identifier la </w:t>
      </w:r>
      <w:r w:rsidR="00734BC1">
        <w:rPr>
          <w:rFonts w:cs="Times New Roman"/>
          <w:lang w:val="fr-CA"/>
        </w:rPr>
        <w:t>“</w:t>
      </w:r>
      <w:r w:rsidRPr="002C1B3A">
        <w:rPr>
          <w:rFonts w:cs="Times New Roman"/>
          <w:lang w:val="fr-CA"/>
        </w:rPr>
        <w:t>matière</w:t>
      </w:r>
      <w:r w:rsidR="00734BC1">
        <w:rPr>
          <w:rFonts w:cs="Times New Roman"/>
          <w:lang w:val="fr-CA"/>
        </w:rPr>
        <w:t>”</w:t>
      </w:r>
      <w:r w:rsidRPr="002C1B3A">
        <w:rPr>
          <w:rFonts w:cs="Times New Roman"/>
          <w:lang w:val="fr-CA"/>
        </w:rPr>
        <w:t xml:space="preserve"> sur laquelle elle porte essentiellement » : </w:t>
      </w:r>
      <w:r w:rsidRPr="002C1B3A">
        <w:rPr>
          <w:rFonts w:cs="Times New Roman"/>
          <w:i/>
          <w:lang w:val="fr-CA"/>
        </w:rPr>
        <w:t>Banque canadienne de l</w:t>
      </w:r>
      <w:r>
        <w:rPr>
          <w:rFonts w:cs="Times New Roman"/>
          <w:i/>
          <w:lang w:val="fr-CA"/>
        </w:rPr>
        <w:t>’</w:t>
      </w:r>
      <w:r w:rsidRPr="002C1B3A">
        <w:rPr>
          <w:rFonts w:cs="Times New Roman"/>
          <w:i/>
          <w:lang w:val="fr-CA"/>
        </w:rPr>
        <w:t>Ouest</w:t>
      </w:r>
      <w:r w:rsidRPr="002C1B3A">
        <w:rPr>
          <w:rFonts w:cs="Times New Roman"/>
          <w:lang w:val="fr-CA"/>
        </w:rPr>
        <w:t>, par. 26.  Deux aspects de la loi ou de la disposition contestée sont alors analysés : le but visé par le législateur qui l</w:t>
      </w:r>
      <w:r>
        <w:rPr>
          <w:rFonts w:cs="Times New Roman"/>
          <w:lang w:val="fr-CA"/>
        </w:rPr>
        <w:t>’</w:t>
      </w:r>
      <w:r w:rsidRPr="002C1B3A">
        <w:rPr>
          <w:rFonts w:cs="Times New Roman"/>
          <w:lang w:val="fr-CA"/>
        </w:rPr>
        <w:t>a adoptée et l</w:t>
      </w:r>
      <w:r>
        <w:rPr>
          <w:rFonts w:cs="Times New Roman"/>
          <w:lang w:val="fr-CA"/>
        </w:rPr>
        <w:t>’</w:t>
      </w:r>
      <w:r w:rsidRPr="002C1B3A">
        <w:rPr>
          <w:rFonts w:cs="Times New Roman"/>
          <w:lang w:val="fr-CA"/>
        </w:rPr>
        <w:t xml:space="preserve">effet juridique de la loi ou de la disposition en question : </w:t>
      </w:r>
      <w:r w:rsidRPr="002C1B3A">
        <w:rPr>
          <w:rFonts w:cs="Times New Roman"/>
          <w:i/>
          <w:lang w:val="fr-CA"/>
        </w:rPr>
        <w:t>Banque canadienne de l</w:t>
      </w:r>
      <w:r>
        <w:rPr>
          <w:rFonts w:cs="Times New Roman"/>
          <w:i/>
          <w:lang w:val="fr-CA"/>
        </w:rPr>
        <w:t>’</w:t>
      </w:r>
      <w:r w:rsidRPr="002C1B3A">
        <w:rPr>
          <w:rFonts w:cs="Times New Roman"/>
          <w:i/>
          <w:lang w:val="fr-CA"/>
        </w:rPr>
        <w:t>Ouest</w:t>
      </w:r>
      <w:r w:rsidRPr="002C1B3A">
        <w:rPr>
          <w:rFonts w:cs="Times New Roman"/>
          <w:lang w:val="fr-CA"/>
        </w:rPr>
        <w:t xml:space="preserve">, par. 27.  Toutefois, comme la validité de la </w:t>
      </w:r>
      <w:r w:rsidRPr="002C1B3A">
        <w:rPr>
          <w:rFonts w:cs="Times New Roman"/>
          <w:i/>
          <w:lang w:val="fr-CA"/>
        </w:rPr>
        <w:t>WHSCA</w:t>
      </w:r>
      <w:r w:rsidRPr="002C1B3A">
        <w:rPr>
          <w:rFonts w:cs="Times New Roman"/>
          <w:lang w:val="fr-CA"/>
        </w:rPr>
        <w:t xml:space="preserve"> n</w:t>
      </w:r>
      <w:r>
        <w:rPr>
          <w:rFonts w:cs="Times New Roman"/>
          <w:lang w:val="fr-CA"/>
        </w:rPr>
        <w:t>’</w:t>
      </w:r>
      <w:r w:rsidRPr="002C1B3A">
        <w:rPr>
          <w:rFonts w:cs="Times New Roman"/>
          <w:lang w:val="fr-CA"/>
        </w:rPr>
        <w:t>est pas contestée en l</w:t>
      </w:r>
      <w:r>
        <w:rPr>
          <w:rFonts w:cs="Times New Roman"/>
          <w:lang w:val="fr-CA"/>
        </w:rPr>
        <w:t>’</w:t>
      </w:r>
      <w:r w:rsidRPr="002C1B3A">
        <w:rPr>
          <w:rFonts w:cs="Times New Roman"/>
          <w:lang w:val="fr-CA"/>
        </w:rPr>
        <w:t xml:space="preserve">espèce (ni celle de la </w:t>
      </w:r>
      <w:r w:rsidRPr="002C1B3A">
        <w:rPr>
          <w:rFonts w:cs="Times New Roman"/>
          <w:i/>
          <w:lang w:val="fr-CA"/>
        </w:rPr>
        <w:t>LRMM</w:t>
      </w:r>
      <w:r w:rsidRPr="002C1B3A">
        <w:rPr>
          <w:rFonts w:cs="Times New Roman"/>
          <w:lang w:val="fr-CA"/>
        </w:rPr>
        <w:t xml:space="preserve"> d</w:t>
      </w:r>
      <w:r>
        <w:rPr>
          <w:rFonts w:cs="Times New Roman"/>
          <w:lang w:val="fr-CA"/>
        </w:rPr>
        <w:t>’</w:t>
      </w:r>
      <w:r w:rsidRPr="002C1B3A">
        <w:rPr>
          <w:rFonts w:cs="Times New Roman"/>
          <w:lang w:val="fr-CA"/>
        </w:rPr>
        <w:t>ailleurs), il n</w:t>
      </w:r>
      <w:r>
        <w:rPr>
          <w:rFonts w:cs="Times New Roman"/>
          <w:lang w:val="fr-CA"/>
        </w:rPr>
        <w:t>’</w:t>
      </w:r>
      <w:r w:rsidRPr="002C1B3A">
        <w:rPr>
          <w:rFonts w:cs="Times New Roman"/>
          <w:lang w:val="fr-CA"/>
        </w:rPr>
        <w:t>est pas nécessaire de procéder à une analyse exhaustive de son caractère véritable.</w:t>
      </w:r>
    </w:p>
    <w:p w:rsidR="00931170" w:rsidRPr="002C1B3A" w:rsidRDefault="00931170" w:rsidP="00931170">
      <w:pPr>
        <w:pStyle w:val="ParaNoNdepar-AltN"/>
        <w:rPr>
          <w:rFonts w:cs="Times New Roman"/>
          <w:lang w:val="fr-CA"/>
        </w:rPr>
      </w:pPr>
      <w:r w:rsidRPr="002C1B3A">
        <w:rPr>
          <w:rFonts w:cs="Times New Roman"/>
          <w:lang w:val="fr-CA"/>
        </w:rPr>
        <w:t>Au terme de l</w:t>
      </w:r>
      <w:r>
        <w:rPr>
          <w:rFonts w:cs="Times New Roman"/>
          <w:lang w:val="fr-CA"/>
        </w:rPr>
        <w:t>’</w:t>
      </w:r>
      <w:r w:rsidRPr="002C1B3A">
        <w:rPr>
          <w:rFonts w:cs="Times New Roman"/>
          <w:lang w:val="fr-CA"/>
        </w:rPr>
        <w:t>analyse du caractère véritable, le tribunal ne doit généralement considérer la doctrine de l</w:t>
      </w:r>
      <w:r>
        <w:rPr>
          <w:rFonts w:cs="Times New Roman"/>
          <w:lang w:val="fr-CA"/>
        </w:rPr>
        <w:t>’</w:t>
      </w:r>
      <w:r w:rsidRPr="002C1B3A">
        <w:rPr>
          <w:rFonts w:cs="Times New Roman"/>
          <w:lang w:val="fr-CA"/>
        </w:rPr>
        <w:t>exclusivité des compétences que s</w:t>
      </w:r>
      <w:r>
        <w:rPr>
          <w:rFonts w:cs="Times New Roman"/>
          <w:lang w:val="fr-CA"/>
        </w:rPr>
        <w:t>’</w:t>
      </w:r>
      <w:r w:rsidRPr="002C1B3A">
        <w:rPr>
          <w:rFonts w:cs="Times New Roman"/>
          <w:lang w:val="fr-CA"/>
        </w:rPr>
        <w:t>il existe des « décisions antérieures préconisant son application à l</w:t>
      </w:r>
      <w:r>
        <w:rPr>
          <w:rFonts w:cs="Times New Roman"/>
          <w:lang w:val="fr-CA"/>
        </w:rPr>
        <w:t>’</w:t>
      </w:r>
      <w:r w:rsidRPr="002C1B3A">
        <w:rPr>
          <w:rFonts w:cs="Times New Roman"/>
          <w:lang w:val="fr-CA"/>
        </w:rPr>
        <w:t>objet du litige » :</w:t>
      </w:r>
      <w:r w:rsidRPr="002C1B3A">
        <w:rPr>
          <w:rFonts w:cs="Times New Roman"/>
          <w:i/>
          <w:lang w:val="fr-CA"/>
        </w:rPr>
        <w:t xml:space="preserve"> Banque canadienne de l</w:t>
      </w:r>
      <w:r>
        <w:rPr>
          <w:rFonts w:cs="Times New Roman"/>
          <w:i/>
          <w:lang w:val="fr-CA"/>
        </w:rPr>
        <w:t>’</w:t>
      </w:r>
      <w:r w:rsidRPr="002C1B3A">
        <w:rPr>
          <w:rFonts w:cs="Times New Roman"/>
          <w:i/>
          <w:lang w:val="fr-CA"/>
        </w:rPr>
        <w:t>Ouest</w:t>
      </w:r>
      <w:r w:rsidRPr="002C1B3A">
        <w:rPr>
          <w:rFonts w:cs="Times New Roman"/>
          <w:lang w:val="fr-CA"/>
        </w:rPr>
        <w:t>, par. 78.  Cette doctrine « reste d</w:t>
      </w:r>
      <w:r>
        <w:rPr>
          <w:rFonts w:cs="Times New Roman"/>
          <w:lang w:val="fr-CA"/>
        </w:rPr>
        <w:t>’</w:t>
      </w:r>
      <w:r w:rsidRPr="002C1B3A">
        <w:rPr>
          <w:rFonts w:cs="Times New Roman"/>
          <w:lang w:val="fr-CA"/>
        </w:rPr>
        <w:t>une application restreinte, et [. . .] devrait, en général, être limitée aux situations déjà traitées dans la jurisprudence » :</w:t>
      </w:r>
      <w:r w:rsidRPr="002C1B3A">
        <w:rPr>
          <w:rFonts w:cs="Times New Roman"/>
          <w:i/>
          <w:lang w:val="fr-CA"/>
        </w:rPr>
        <w:t xml:space="preserve"> Banque canadienne de l</w:t>
      </w:r>
      <w:r>
        <w:rPr>
          <w:rFonts w:cs="Times New Roman"/>
          <w:i/>
          <w:lang w:val="fr-CA"/>
        </w:rPr>
        <w:t>’</w:t>
      </w:r>
      <w:r w:rsidRPr="002C1B3A">
        <w:rPr>
          <w:rFonts w:cs="Times New Roman"/>
          <w:i/>
          <w:lang w:val="fr-CA"/>
        </w:rPr>
        <w:t>Ouest</w:t>
      </w:r>
      <w:r w:rsidRPr="002C1B3A">
        <w:rPr>
          <w:rFonts w:cs="Times New Roman"/>
          <w:lang w:val="fr-CA"/>
        </w:rPr>
        <w:t>, par. 77.  Vu l</w:t>
      </w:r>
      <w:r>
        <w:rPr>
          <w:rFonts w:cs="Times New Roman"/>
          <w:lang w:val="fr-CA"/>
        </w:rPr>
        <w:t>’</w:t>
      </w:r>
      <w:r w:rsidRPr="002C1B3A">
        <w:rPr>
          <w:rFonts w:cs="Times New Roman"/>
          <w:lang w:val="fr-CA"/>
        </w:rPr>
        <w:t xml:space="preserve">arrêt </w:t>
      </w:r>
      <w:r w:rsidRPr="002C1B3A">
        <w:rPr>
          <w:rFonts w:cs="Times New Roman"/>
          <w:i/>
          <w:lang w:val="fr-CA"/>
        </w:rPr>
        <w:t xml:space="preserve">Ordon </w:t>
      </w:r>
      <w:r w:rsidRPr="002C1B3A">
        <w:rPr>
          <w:rFonts w:cs="Times New Roman"/>
          <w:lang w:val="fr-CA"/>
        </w:rPr>
        <w:t>de notre Cour, il faut se demander si l</w:t>
      </w:r>
      <w:r>
        <w:rPr>
          <w:rFonts w:cs="Times New Roman"/>
          <w:lang w:val="fr-CA"/>
        </w:rPr>
        <w:t>’</w:t>
      </w:r>
      <w:r w:rsidRPr="002C1B3A">
        <w:rPr>
          <w:rFonts w:cs="Times New Roman"/>
          <w:lang w:val="fr-CA"/>
        </w:rPr>
        <w:t>exclusivité des compétences s</w:t>
      </w:r>
      <w:r>
        <w:rPr>
          <w:rFonts w:cs="Times New Roman"/>
          <w:lang w:val="fr-CA"/>
        </w:rPr>
        <w:t>’</w:t>
      </w:r>
      <w:r w:rsidRPr="002C1B3A">
        <w:rPr>
          <w:rFonts w:cs="Times New Roman"/>
          <w:lang w:val="fr-CA"/>
        </w:rPr>
        <w:t>applique.  Après avoir effectué cette analyse, nous nous interrogerons sur l</w:t>
      </w:r>
      <w:r>
        <w:rPr>
          <w:rFonts w:cs="Times New Roman"/>
          <w:lang w:val="fr-CA"/>
        </w:rPr>
        <w:t>’</w:t>
      </w:r>
      <w:r w:rsidRPr="002C1B3A">
        <w:rPr>
          <w:rFonts w:cs="Times New Roman"/>
          <w:lang w:val="fr-CA"/>
        </w:rPr>
        <w:t xml:space="preserve">applicabilité de la prépondérance fédérale.  Pour les motifs qui suivent, nous concluons que ni la doctrine de </w:t>
      </w:r>
      <w:r w:rsidRPr="002C1B3A">
        <w:rPr>
          <w:rFonts w:cs="Times New Roman"/>
          <w:lang w:val="fr-CA"/>
        </w:rPr>
        <w:lastRenderedPageBreak/>
        <w:t>l</w:t>
      </w:r>
      <w:r>
        <w:rPr>
          <w:rFonts w:cs="Times New Roman"/>
          <w:lang w:val="fr-CA"/>
        </w:rPr>
        <w:t>’</w:t>
      </w:r>
      <w:r w:rsidRPr="002C1B3A">
        <w:rPr>
          <w:rFonts w:cs="Times New Roman"/>
          <w:lang w:val="fr-CA"/>
        </w:rPr>
        <w:t>exclusivité des compétences ni celle de la prépondérance fédérale ne s</w:t>
      </w:r>
      <w:r>
        <w:rPr>
          <w:rFonts w:cs="Times New Roman"/>
          <w:lang w:val="fr-CA"/>
        </w:rPr>
        <w:t>’</w:t>
      </w:r>
      <w:r w:rsidRPr="002C1B3A">
        <w:rPr>
          <w:rFonts w:cs="Times New Roman"/>
          <w:lang w:val="fr-CA"/>
        </w:rPr>
        <w:t>appliquent en l</w:t>
      </w:r>
      <w:r>
        <w:rPr>
          <w:rFonts w:cs="Times New Roman"/>
          <w:lang w:val="fr-CA"/>
        </w:rPr>
        <w:t>’</w:t>
      </w:r>
      <w:r w:rsidRPr="002C1B3A">
        <w:rPr>
          <w:rFonts w:cs="Times New Roman"/>
          <w:lang w:val="fr-CA"/>
        </w:rPr>
        <w:t>espèce, et que l</w:t>
      </w:r>
      <w:r>
        <w:rPr>
          <w:rFonts w:cs="Times New Roman"/>
          <w:lang w:val="fr-CA"/>
        </w:rPr>
        <w:t>’</w:t>
      </w:r>
      <w:r w:rsidRPr="002C1B3A">
        <w:rPr>
          <w:rFonts w:cs="Times New Roman"/>
          <w:lang w:val="fr-CA"/>
        </w:rPr>
        <w:t xml:space="preserve">art. 44 de la </w:t>
      </w:r>
      <w:r w:rsidRPr="002C1B3A">
        <w:rPr>
          <w:rFonts w:cs="Times New Roman"/>
          <w:i/>
          <w:lang w:val="fr-CA"/>
        </w:rPr>
        <w:t>WHSCA</w:t>
      </w:r>
      <w:r w:rsidRPr="002C1B3A">
        <w:rPr>
          <w:rFonts w:cs="Times New Roman"/>
          <w:lang w:val="fr-CA"/>
        </w:rPr>
        <w:t xml:space="preserve"> est donc applicable et opérant sur le plan constitutionnel.</w:t>
      </w:r>
    </w:p>
    <w:p w:rsidR="00931170" w:rsidRPr="002C1B3A" w:rsidRDefault="00931170" w:rsidP="00931170">
      <w:pPr>
        <w:pStyle w:val="TitleTitre-AltT"/>
        <w:keepNext/>
        <w:tabs>
          <w:tab w:val="clear" w:pos="360"/>
          <w:tab w:val="left" w:pos="1170"/>
        </w:tabs>
        <w:ind w:left="1620" w:hanging="1620"/>
        <w:rPr>
          <w:rFonts w:cs="Times New Roman"/>
          <w:lang w:val="fr-CA"/>
        </w:rPr>
      </w:pPr>
      <w:r w:rsidRPr="002C1B3A">
        <w:rPr>
          <w:rFonts w:cs="Times New Roman"/>
          <w:lang w:val="fr-CA"/>
        </w:rPr>
        <w:tab/>
        <w:t>(1)</w:t>
      </w:r>
      <w:r w:rsidRPr="002C1B3A">
        <w:rPr>
          <w:rFonts w:cs="Times New Roman"/>
          <w:lang w:val="fr-CA"/>
        </w:rPr>
        <w:tab/>
      </w:r>
      <w:r w:rsidRPr="002C1B3A">
        <w:rPr>
          <w:rFonts w:cs="Times New Roman"/>
          <w:u w:val="single"/>
          <w:lang w:val="fr-CA"/>
        </w:rPr>
        <w:t>Exclusivité des compétences</w:t>
      </w:r>
    </w:p>
    <w:p w:rsidR="00931170" w:rsidRPr="002C1B3A" w:rsidRDefault="00931170" w:rsidP="00931170">
      <w:pPr>
        <w:pStyle w:val="ParaNoNdepar-AltN"/>
        <w:rPr>
          <w:rFonts w:cs="Times New Roman"/>
          <w:lang w:val="fr-CA"/>
        </w:rPr>
      </w:pPr>
      <w:r w:rsidRPr="002C1B3A">
        <w:rPr>
          <w:rFonts w:cs="Times New Roman"/>
          <w:lang w:val="fr-CA"/>
        </w:rPr>
        <w:t>L</w:t>
      </w:r>
      <w:r>
        <w:rPr>
          <w:rFonts w:cs="Times New Roman"/>
          <w:lang w:val="fr-CA"/>
        </w:rPr>
        <w:t>’</w:t>
      </w:r>
      <w:r w:rsidRPr="002C1B3A">
        <w:rPr>
          <w:rFonts w:cs="Times New Roman"/>
          <w:lang w:val="fr-CA"/>
        </w:rPr>
        <w:t>exclusivité des compétences vise à protéger le « </w:t>
      </w:r>
      <w:r w:rsidRPr="002C1B3A">
        <w:rPr>
          <w:rFonts w:cs="Times New Roman"/>
          <w:bCs/>
          <w:lang w:val="fr-CA"/>
        </w:rPr>
        <w:t>contenu minimum élémentaire et irréductible » ou contenu essentiel des « catégories exclusives de sujets » établies par les art. </w:t>
      </w:r>
      <w:r w:rsidRPr="002C1B3A">
        <w:rPr>
          <w:rFonts w:cs="Times New Roman"/>
          <w:lang w:val="fr-CA"/>
        </w:rPr>
        <w:t xml:space="preserve">91 et 92 de la </w:t>
      </w:r>
      <w:r w:rsidRPr="002C1B3A">
        <w:rPr>
          <w:rFonts w:cs="Times New Roman"/>
          <w:i/>
          <w:lang w:val="fr-CA"/>
        </w:rPr>
        <w:t>Loi constitutionnelle de 1867</w:t>
      </w:r>
      <w:r w:rsidRPr="00150312">
        <w:rPr>
          <w:rFonts w:cs="Times New Roman"/>
          <w:lang w:val="fr-CA"/>
        </w:rPr>
        <w:t> :</w:t>
      </w:r>
      <w:r w:rsidRPr="002C1B3A">
        <w:rPr>
          <w:rFonts w:cs="Times New Roman"/>
          <w:lang w:val="fr-CA"/>
        </w:rPr>
        <w:t xml:space="preserve"> </w:t>
      </w:r>
      <w:r w:rsidRPr="002C1B3A">
        <w:rPr>
          <w:rFonts w:cs="Times New Roman"/>
          <w:i/>
          <w:lang w:val="fr-CA"/>
        </w:rPr>
        <w:t>Bell Canada</w:t>
      </w:r>
      <w:r w:rsidRPr="002C1B3A">
        <w:rPr>
          <w:rFonts w:cs="Times New Roman"/>
          <w:lang w:val="fr-CA"/>
        </w:rPr>
        <w:t>,</w:t>
      </w:r>
      <w:r w:rsidRPr="002C1B3A">
        <w:rPr>
          <w:rFonts w:cs="Times New Roman"/>
          <w:i/>
          <w:lang w:val="fr-CA"/>
        </w:rPr>
        <w:t xml:space="preserve"> </w:t>
      </w:r>
      <w:r w:rsidRPr="002C1B3A">
        <w:rPr>
          <w:rFonts w:cs="Times New Roman"/>
          <w:lang w:val="fr-CA"/>
        </w:rPr>
        <w:t>p. 839.  La Cour a analysé la doctrine de l</w:t>
      </w:r>
      <w:r>
        <w:rPr>
          <w:rFonts w:cs="Times New Roman"/>
          <w:lang w:val="fr-CA"/>
        </w:rPr>
        <w:t>’</w:t>
      </w:r>
      <w:r w:rsidRPr="002C1B3A">
        <w:rPr>
          <w:rFonts w:cs="Times New Roman"/>
          <w:lang w:val="fr-CA"/>
        </w:rPr>
        <w:t>exclusivité des compétences dans l</w:t>
      </w:r>
      <w:r>
        <w:rPr>
          <w:rFonts w:cs="Times New Roman"/>
          <w:lang w:val="fr-CA"/>
        </w:rPr>
        <w:t>’</w:t>
      </w:r>
      <w:r w:rsidRPr="002C1B3A">
        <w:rPr>
          <w:rFonts w:cs="Times New Roman"/>
          <w:lang w:val="fr-CA"/>
        </w:rPr>
        <w:t xml:space="preserve">arrêt </w:t>
      </w:r>
      <w:r w:rsidRPr="002C1B3A">
        <w:rPr>
          <w:rFonts w:cs="Times New Roman"/>
          <w:i/>
          <w:lang w:val="fr-CA"/>
        </w:rPr>
        <w:t>Banque canadienne de l</w:t>
      </w:r>
      <w:r>
        <w:rPr>
          <w:rFonts w:cs="Times New Roman"/>
          <w:i/>
          <w:lang w:val="fr-CA"/>
        </w:rPr>
        <w:t>’</w:t>
      </w:r>
      <w:r w:rsidRPr="002C1B3A">
        <w:rPr>
          <w:rFonts w:cs="Times New Roman"/>
          <w:i/>
          <w:lang w:val="fr-CA"/>
        </w:rPr>
        <w:t>Ouest</w:t>
      </w:r>
      <w:r w:rsidRPr="002C1B3A">
        <w:rPr>
          <w:rFonts w:cs="Times New Roman"/>
          <w:lang w:val="fr-CA"/>
        </w:rPr>
        <w:t xml:space="preserve"> et, plus tard, dans </w:t>
      </w:r>
      <w:r w:rsidRPr="002C1B3A">
        <w:rPr>
          <w:rFonts w:cs="Times New Roman"/>
          <w:i/>
          <w:lang w:val="fr-CA"/>
        </w:rPr>
        <w:t>Québec (Procureur général) c. Canadian Owners and Pilots Association</w:t>
      </w:r>
      <w:r w:rsidRPr="002C1B3A">
        <w:rPr>
          <w:rFonts w:cs="Times New Roman"/>
          <w:lang w:val="fr-CA"/>
        </w:rPr>
        <w:t>, 2010 CSC 39, [2010] 2 R.C.S. 536 (« </w:t>
      </w:r>
      <w:r w:rsidRPr="002C1B3A">
        <w:rPr>
          <w:rFonts w:cs="Times New Roman"/>
          <w:i/>
          <w:lang w:val="fr-CA"/>
        </w:rPr>
        <w:t>COPA</w:t>
      </w:r>
      <w:r w:rsidRPr="002C1B3A">
        <w:rPr>
          <w:rFonts w:cs="Times New Roman"/>
          <w:lang w:val="fr-CA"/>
        </w:rPr>
        <w:t> »).  Cette doctrine est appliquée de manière limitée aujourd</w:t>
      </w:r>
      <w:r>
        <w:rPr>
          <w:rFonts w:cs="Times New Roman"/>
          <w:lang w:val="fr-CA"/>
        </w:rPr>
        <w:t>’</w:t>
      </w:r>
      <w:r w:rsidRPr="002C1B3A">
        <w:rPr>
          <w:rFonts w:cs="Times New Roman"/>
          <w:lang w:val="fr-CA"/>
        </w:rPr>
        <w:t xml:space="preserve">hui : </w:t>
      </w:r>
      <w:r w:rsidRPr="002C1B3A">
        <w:rPr>
          <w:rFonts w:cs="Times New Roman"/>
          <w:i/>
          <w:lang w:val="fr-CA"/>
        </w:rPr>
        <w:t>Banque canadienne de l</w:t>
      </w:r>
      <w:r>
        <w:rPr>
          <w:rFonts w:cs="Times New Roman"/>
          <w:i/>
          <w:lang w:val="fr-CA"/>
        </w:rPr>
        <w:t>’</w:t>
      </w:r>
      <w:r w:rsidRPr="002C1B3A">
        <w:rPr>
          <w:rFonts w:cs="Times New Roman"/>
          <w:i/>
          <w:lang w:val="fr-CA"/>
        </w:rPr>
        <w:t>Ouest</w:t>
      </w:r>
      <w:r w:rsidRPr="002C1B3A">
        <w:rPr>
          <w:rFonts w:cs="Times New Roman"/>
          <w:lang w:val="fr-CA"/>
        </w:rPr>
        <w:t>,</w:t>
      </w:r>
      <w:r w:rsidRPr="002C1B3A">
        <w:rPr>
          <w:rFonts w:cs="Times New Roman"/>
          <w:i/>
          <w:lang w:val="fr-CA"/>
        </w:rPr>
        <w:t xml:space="preserve"> </w:t>
      </w:r>
      <w:r w:rsidRPr="002C1B3A">
        <w:rPr>
          <w:rFonts w:cs="Times New Roman"/>
          <w:lang w:val="fr-CA"/>
        </w:rPr>
        <w:t>par. 33</w:t>
      </w:r>
      <w:r w:rsidRPr="002C1B3A">
        <w:rPr>
          <w:rFonts w:cs="Times New Roman"/>
          <w:lang w:val="fr-CA"/>
        </w:rPr>
        <w:noBreakHyphen/>
        <w:t>34.  Dans l</w:t>
      </w:r>
      <w:r>
        <w:rPr>
          <w:rFonts w:cs="Times New Roman"/>
          <w:lang w:val="fr-CA"/>
        </w:rPr>
        <w:t>’</w:t>
      </w:r>
      <w:r w:rsidRPr="002C1B3A">
        <w:rPr>
          <w:rFonts w:cs="Times New Roman"/>
          <w:lang w:val="fr-CA"/>
        </w:rPr>
        <w:t xml:space="preserve">arrêt </w:t>
      </w:r>
      <w:r w:rsidRPr="002C1B3A">
        <w:rPr>
          <w:rFonts w:cs="Times New Roman"/>
          <w:i/>
          <w:lang w:val="fr-CA"/>
        </w:rPr>
        <w:t>General Motors of Canada Ltd. c. City National Leasing</w:t>
      </w:r>
      <w:r w:rsidRPr="002C1B3A">
        <w:rPr>
          <w:rFonts w:cs="Times New Roman"/>
          <w:lang w:val="fr-CA"/>
        </w:rPr>
        <w:t>, [1989] 1 R.C.S. 641, le juge en chef Dickson a déclaré que le courant dominant en matière d</w:t>
      </w:r>
      <w:r>
        <w:rPr>
          <w:rFonts w:cs="Times New Roman"/>
          <w:lang w:val="fr-CA"/>
        </w:rPr>
        <w:t>’</w:t>
      </w:r>
      <w:r w:rsidRPr="002C1B3A">
        <w:rPr>
          <w:rFonts w:cs="Times New Roman"/>
          <w:lang w:val="fr-CA"/>
        </w:rPr>
        <w:t>interprétation constitutionnelle — courant qui privilégie, lorsque c</w:t>
      </w:r>
      <w:r>
        <w:rPr>
          <w:rFonts w:cs="Times New Roman"/>
          <w:lang w:val="fr-CA"/>
        </w:rPr>
        <w:t>’</w:t>
      </w:r>
      <w:r w:rsidRPr="002C1B3A">
        <w:rPr>
          <w:rFonts w:cs="Times New Roman"/>
          <w:lang w:val="fr-CA"/>
        </w:rPr>
        <w:t>est possible, l</w:t>
      </w:r>
      <w:r>
        <w:rPr>
          <w:rFonts w:cs="Times New Roman"/>
          <w:lang w:val="fr-CA"/>
        </w:rPr>
        <w:t>’</w:t>
      </w:r>
      <w:r w:rsidRPr="002C1B3A">
        <w:rPr>
          <w:rFonts w:cs="Times New Roman"/>
          <w:lang w:val="fr-CA"/>
        </w:rPr>
        <w:t>application des lois édictées par les deux ordres de gouvernement — milite contre l</w:t>
      </w:r>
      <w:r>
        <w:rPr>
          <w:rFonts w:cs="Times New Roman"/>
          <w:lang w:val="fr-CA"/>
        </w:rPr>
        <w:t>’</w:t>
      </w:r>
      <w:r w:rsidRPr="002C1B3A">
        <w:rPr>
          <w:rFonts w:cs="Times New Roman"/>
          <w:lang w:val="fr-CA"/>
        </w:rPr>
        <w:t>application de la doctrine de l</w:t>
      </w:r>
      <w:r>
        <w:rPr>
          <w:rFonts w:cs="Times New Roman"/>
          <w:lang w:val="fr-CA"/>
        </w:rPr>
        <w:t>’</w:t>
      </w:r>
      <w:r w:rsidRPr="002C1B3A">
        <w:rPr>
          <w:rFonts w:cs="Times New Roman"/>
          <w:lang w:val="fr-CA"/>
        </w:rPr>
        <w:t>exclusivité des compétences.  Une application large de cette doctrine irait à l</w:t>
      </w:r>
      <w:r>
        <w:rPr>
          <w:rFonts w:cs="Times New Roman"/>
          <w:lang w:val="fr-CA"/>
        </w:rPr>
        <w:t>’</w:t>
      </w:r>
      <w:r w:rsidRPr="002C1B3A">
        <w:rPr>
          <w:rFonts w:cs="Times New Roman"/>
          <w:lang w:val="fr-CA"/>
        </w:rPr>
        <w:t>encontre d</w:t>
      </w:r>
      <w:r>
        <w:rPr>
          <w:rFonts w:cs="Times New Roman"/>
          <w:lang w:val="fr-CA"/>
        </w:rPr>
        <w:t>’</w:t>
      </w:r>
      <w:r w:rsidRPr="002C1B3A">
        <w:rPr>
          <w:rFonts w:cs="Times New Roman"/>
          <w:lang w:val="fr-CA"/>
        </w:rPr>
        <w:t>une conception souple et pragmatique du fédéralisme.  Comme nous l</w:t>
      </w:r>
      <w:r>
        <w:rPr>
          <w:rFonts w:cs="Times New Roman"/>
          <w:lang w:val="fr-CA"/>
        </w:rPr>
        <w:t>’</w:t>
      </w:r>
      <w:r w:rsidRPr="002C1B3A">
        <w:rPr>
          <w:rFonts w:cs="Times New Roman"/>
          <w:lang w:val="fr-CA"/>
        </w:rPr>
        <w:t>avons indiqué précédemment, la doctrine de l</w:t>
      </w:r>
      <w:r>
        <w:rPr>
          <w:rFonts w:cs="Times New Roman"/>
          <w:lang w:val="fr-CA"/>
        </w:rPr>
        <w:t>’</w:t>
      </w:r>
      <w:r w:rsidRPr="002C1B3A">
        <w:rPr>
          <w:rFonts w:cs="Times New Roman"/>
          <w:lang w:val="fr-CA"/>
        </w:rPr>
        <w:t>exclusivité des compétences « reste d</w:t>
      </w:r>
      <w:r>
        <w:rPr>
          <w:rFonts w:cs="Times New Roman"/>
          <w:lang w:val="fr-CA"/>
        </w:rPr>
        <w:t>’</w:t>
      </w:r>
      <w:r w:rsidRPr="002C1B3A">
        <w:rPr>
          <w:rFonts w:cs="Times New Roman"/>
          <w:lang w:val="fr-CA"/>
        </w:rPr>
        <w:t xml:space="preserve">une application restreinte, et [. . .] devrait, en général, être limitée aux situations déjà traitées dans la jurisprudence » : </w:t>
      </w:r>
      <w:r w:rsidRPr="002C1B3A">
        <w:rPr>
          <w:rFonts w:cs="Times New Roman"/>
          <w:i/>
          <w:lang w:val="fr-CA"/>
        </w:rPr>
        <w:t>Banque canadienne de l</w:t>
      </w:r>
      <w:r>
        <w:rPr>
          <w:rFonts w:cs="Times New Roman"/>
          <w:i/>
          <w:lang w:val="fr-CA"/>
        </w:rPr>
        <w:t>’</w:t>
      </w:r>
      <w:r w:rsidRPr="002C1B3A">
        <w:rPr>
          <w:rFonts w:cs="Times New Roman"/>
          <w:i/>
          <w:lang w:val="fr-CA"/>
        </w:rPr>
        <w:t>Ouest</w:t>
      </w:r>
      <w:r w:rsidRPr="002C1B3A">
        <w:rPr>
          <w:rFonts w:cs="Times New Roman"/>
          <w:lang w:val="fr-CA"/>
        </w:rPr>
        <w:t>, par. 77.</w:t>
      </w:r>
    </w:p>
    <w:p w:rsidR="00931170" w:rsidRPr="002C1B3A" w:rsidRDefault="00931170" w:rsidP="00931170">
      <w:pPr>
        <w:pStyle w:val="ParaNoNdepar-AltN"/>
        <w:rPr>
          <w:rFonts w:cs="Times New Roman"/>
          <w:lang w:val="fr-CA"/>
        </w:rPr>
      </w:pPr>
      <w:r w:rsidRPr="002C1B3A">
        <w:rPr>
          <w:rFonts w:cs="Times New Roman"/>
          <w:lang w:val="fr-CA"/>
        </w:rPr>
        <w:lastRenderedPageBreak/>
        <w:t>Il existe de la jurisprudence préconisant l</w:t>
      </w:r>
      <w:r>
        <w:rPr>
          <w:rFonts w:cs="Times New Roman"/>
          <w:lang w:val="fr-CA"/>
        </w:rPr>
        <w:t>’</w:t>
      </w:r>
      <w:r w:rsidRPr="002C1B3A">
        <w:rPr>
          <w:rFonts w:cs="Times New Roman"/>
          <w:lang w:val="fr-CA"/>
        </w:rPr>
        <w:t>application de la doctrine de l</w:t>
      </w:r>
      <w:r>
        <w:rPr>
          <w:rFonts w:cs="Times New Roman"/>
          <w:lang w:val="fr-CA"/>
        </w:rPr>
        <w:t>’</w:t>
      </w:r>
      <w:r w:rsidRPr="002C1B3A">
        <w:rPr>
          <w:rFonts w:cs="Times New Roman"/>
          <w:lang w:val="fr-CA"/>
        </w:rPr>
        <w:t>exclusivité des compétences à l</w:t>
      </w:r>
      <w:r>
        <w:rPr>
          <w:rFonts w:cs="Times New Roman"/>
          <w:lang w:val="fr-CA"/>
        </w:rPr>
        <w:t>’</w:t>
      </w:r>
      <w:r w:rsidRPr="002C1B3A">
        <w:rPr>
          <w:rFonts w:cs="Times New Roman"/>
          <w:lang w:val="fr-CA"/>
        </w:rPr>
        <w:t>objet du présent pourvoi.  Dans l</w:t>
      </w:r>
      <w:r>
        <w:rPr>
          <w:rFonts w:cs="Times New Roman"/>
          <w:lang w:val="fr-CA"/>
        </w:rPr>
        <w:t>’</w:t>
      </w:r>
      <w:r w:rsidRPr="002C1B3A">
        <w:rPr>
          <w:rFonts w:cs="Times New Roman"/>
          <w:lang w:val="fr-CA"/>
        </w:rPr>
        <w:t xml:space="preserve">affaire </w:t>
      </w:r>
      <w:r w:rsidRPr="002C1B3A">
        <w:rPr>
          <w:rFonts w:cs="Times New Roman"/>
          <w:i/>
          <w:lang w:val="fr-CA"/>
        </w:rPr>
        <w:t>Ordon</w:t>
      </w:r>
      <w:r w:rsidRPr="002C1B3A">
        <w:rPr>
          <w:rFonts w:cs="Times New Roman"/>
          <w:lang w:val="fr-CA"/>
        </w:rPr>
        <w:t>, la Cour s</w:t>
      </w:r>
      <w:r>
        <w:rPr>
          <w:rFonts w:cs="Times New Roman"/>
          <w:lang w:val="fr-CA"/>
        </w:rPr>
        <w:t>’</w:t>
      </w:r>
      <w:r w:rsidRPr="002C1B3A">
        <w:rPr>
          <w:rFonts w:cs="Times New Roman"/>
          <w:lang w:val="fr-CA"/>
        </w:rPr>
        <w:t xml:space="preserve">est penchée sur des actions en négligence découlant de deux accidents de navigation de plaisance ayant entraîné des décès et des blessures.  Comme ces accidents étaient survenus dans des eaux navigables, la </w:t>
      </w:r>
      <w:r w:rsidRPr="002C1B3A">
        <w:rPr>
          <w:rFonts w:cs="Times New Roman"/>
          <w:i/>
          <w:lang w:val="fr-CA"/>
        </w:rPr>
        <w:t>Loi sur la marine marchande du Canada</w:t>
      </w:r>
      <w:r w:rsidRPr="002C1B3A">
        <w:rPr>
          <w:rFonts w:cs="Times New Roman"/>
          <w:lang w:val="fr-CA"/>
        </w:rPr>
        <w:t>, L.R.C. 1985, ch. S</w:t>
      </w:r>
      <w:r w:rsidRPr="002C1B3A">
        <w:rPr>
          <w:rFonts w:cs="Times New Roman"/>
          <w:lang w:val="fr-CA"/>
        </w:rPr>
        <w:noBreakHyphen/>
        <w:t>9, s</w:t>
      </w:r>
      <w:r>
        <w:rPr>
          <w:rFonts w:cs="Times New Roman"/>
          <w:lang w:val="fr-CA"/>
        </w:rPr>
        <w:t>’</w:t>
      </w:r>
      <w:r w:rsidRPr="002C1B3A">
        <w:rPr>
          <w:rFonts w:cs="Times New Roman"/>
          <w:lang w:val="fr-CA"/>
        </w:rPr>
        <w:t>appliquait. Les demandeurs invoquaient toutefois des lois ontariennes qui permettaient a) l</w:t>
      </w:r>
      <w:r>
        <w:rPr>
          <w:rFonts w:cs="Times New Roman"/>
          <w:lang w:val="fr-CA"/>
        </w:rPr>
        <w:t>’</w:t>
      </w:r>
      <w:r w:rsidRPr="002C1B3A">
        <w:rPr>
          <w:rFonts w:cs="Times New Roman"/>
          <w:lang w:val="fr-CA"/>
        </w:rPr>
        <w:t>introduction d</w:t>
      </w:r>
      <w:r>
        <w:rPr>
          <w:rFonts w:cs="Times New Roman"/>
          <w:lang w:val="fr-CA"/>
        </w:rPr>
        <w:t>’</w:t>
      </w:r>
      <w:r w:rsidRPr="002C1B3A">
        <w:rPr>
          <w:rFonts w:cs="Times New Roman"/>
          <w:lang w:val="fr-CA"/>
        </w:rPr>
        <w:t>actions en négligence par les frères et sœurs de la personne tuée ou blessée, b) l</w:t>
      </w:r>
      <w:r>
        <w:rPr>
          <w:rFonts w:cs="Times New Roman"/>
          <w:lang w:val="fr-CA"/>
        </w:rPr>
        <w:t>’</w:t>
      </w:r>
      <w:r w:rsidRPr="002C1B3A">
        <w:rPr>
          <w:rFonts w:cs="Times New Roman"/>
          <w:lang w:val="fr-CA"/>
        </w:rPr>
        <w:t>obtention de dommages</w:t>
      </w:r>
      <w:r w:rsidRPr="002C1B3A">
        <w:rPr>
          <w:rFonts w:cs="Times New Roman"/>
          <w:lang w:val="fr-CA"/>
        </w:rPr>
        <w:noBreakHyphen/>
        <w:t>intérêts pour perte de conseils, de soins et de compagnie de la personne tuée ou blessée et c) la répartition des dommages</w:t>
      </w:r>
      <w:r w:rsidRPr="002C1B3A">
        <w:rPr>
          <w:rFonts w:cs="Times New Roman"/>
          <w:lang w:val="fr-CA"/>
        </w:rPr>
        <w:noBreakHyphen/>
        <w:t>intérêts en cas de négligence contributive, soit autant de possibilités que ne leur offrait pas la</w:t>
      </w:r>
      <w:r w:rsidRPr="002C1B3A">
        <w:rPr>
          <w:rFonts w:cs="Times New Roman"/>
          <w:i/>
          <w:lang w:val="fr-CA"/>
        </w:rPr>
        <w:t xml:space="preserve"> Loi sur la marine marchande du Canada</w:t>
      </w:r>
      <w:r w:rsidRPr="002C1B3A">
        <w:rPr>
          <w:rFonts w:cs="Times New Roman"/>
          <w:lang w:val="fr-CA"/>
        </w:rPr>
        <w:t>.</w:t>
      </w:r>
    </w:p>
    <w:p w:rsidR="00931170" w:rsidRPr="002C1B3A" w:rsidRDefault="00931170" w:rsidP="00931170">
      <w:pPr>
        <w:pStyle w:val="ParaNoNdepar-AltN"/>
        <w:rPr>
          <w:rFonts w:cs="Times New Roman"/>
          <w:lang w:val="fr-CA"/>
        </w:rPr>
      </w:pPr>
      <w:r w:rsidRPr="002C1B3A">
        <w:rPr>
          <w:rFonts w:cs="Times New Roman"/>
          <w:lang w:val="fr-CA"/>
        </w:rPr>
        <w:t>La Cour a conclu alors que les règles de droit maritime relatives à la négligence font partie du contenu essentiel de la compétence fédérale sur « </w:t>
      </w:r>
      <w:r w:rsidR="00150312">
        <w:rPr>
          <w:rFonts w:cs="Times New Roman"/>
          <w:lang w:val="fr-CA"/>
        </w:rPr>
        <w:t>[</w:t>
      </w:r>
      <w:r w:rsidRPr="002C1B3A">
        <w:rPr>
          <w:rFonts w:cs="Times New Roman"/>
          <w:lang w:val="fr-CA"/>
        </w:rPr>
        <w:t>l</w:t>
      </w:r>
      <w:r w:rsidR="00150312">
        <w:rPr>
          <w:rFonts w:cs="Times New Roman"/>
          <w:lang w:val="fr-CA"/>
        </w:rPr>
        <w:t>]</w:t>
      </w:r>
      <w:r w:rsidRPr="002C1B3A">
        <w:rPr>
          <w:rFonts w:cs="Times New Roman"/>
          <w:lang w:val="fr-CA"/>
        </w:rPr>
        <w:t xml:space="preserve">a navigation et les bâtiments ou navires » prévue au par. 91(10) de la </w:t>
      </w:r>
      <w:r w:rsidRPr="002C1B3A">
        <w:rPr>
          <w:rFonts w:cs="Times New Roman"/>
          <w:i/>
          <w:lang w:val="fr-CA"/>
        </w:rPr>
        <w:t>Loi constitutionnelle de 1867</w:t>
      </w:r>
      <w:r w:rsidRPr="002C1B3A">
        <w:rPr>
          <w:rFonts w:cs="Times New Roman"/>
          <w:lang w:val="fr-CA"/>
        </w:rPr>
        <w:t>,</w:t>
      </w:r>
      <w:r w:rsidRPr="002C1B3A">
        <w:rPr>
          <w:rFonts w:cs="Times New Roman"/>
          <w:i/>
          <w:lang w:val="fr-CA"/>
        </w:rPr>
        <w:t xml:space="preserve"> </w:t>
      </w:r>
      <w:r w:rsidRPr="002C1B3A">
        <w:rPr>
          <w:rFonts w:cs="Times New Roman"/>
          <w:lang w:val="fr-CA"/>
        </w:rPr>
        <w:t>et que l</w:t>
      </w:r>
      <w:r>
        <w:rPr>
          <w:rFonts w:cs="Times New Roman"/>
          <w:lang w:val="fr-CA"/>
        </w:rPr>
        <w:t>’</w:t>
      </w:r>
      <w:r w:rsidRPr="002C1B3A">
        <w:rPr>
          <w:rFonts w:cs="Times New Roman"/>
          <w:lang w:val="fr-CA"/>
        </w:rPr>
        <w:t>exclusivité des compétences s</w:t>
      </w:r>
      <w:r>
        <w:rPr>
          <w:rFonts w:cs="Times New Roman"/>
          <w:lang w:val="fr-CA"/>
        </w:rPr>
        <w:t>’</w:t>
      </w:r>
      <w:r w:rsidRPr="002C1B3A">
        <w:rPr>
          <w:rFonts w:cs="Times New Roman"/>
          <w:lang w:val="fr-CA"/>
        </w:rPr>
        <w:t>applique si une loi provinciale de portée générale a pour effet de réglementer indirectement une question touchant ces règles.  Les juges Iacobucci et Major ont formulé les observa</w:t>
      </w:r>
      <w:r w:rsidR="007634CD">
        <w:rPr>
          <w:rFonts w:cs="Times New Roman"/>
          <w:lang w:val="fr-CA"/>
        </w:rPr>
        <w:t>tions suivantes, aux par. 84-</w:t>
      </w:r>
      <w:r w:rsidRPr="002C1B3A">
        <w:rPr>
          <w:rFonts w:cs="Times New Roman"/>
          <w:lang w:val="fr-CA"/>
        </w:rPr>
        <w:t>85 :</w:t>
      </w:r>
    </w:p>
    <w:p w:rsidR="00931170" w:rsidRPr="002C1B3A" w:rsidRDefault="00931170" w:rsidP="00931170">
      <w:pPr>
        <w:pStyle w:val="Citation-AltC"/>
        <w:spacing w:after="240"/>
        <w:ind w:hanging="1166"/>
        <w:contextualSpacing w:val="0"/>
        <w:rPr>
          <w:lang w:val="fr-CA"/>
        </w:rPr>
      </w:pPr>
      <w:r w:rsidRPr="002C1B3A">
        <w:rPr>
          <w:lang w:val="fr-CA"/>
        </w:rPr>
        <w:tab/>
        <w:t>Les règles relatives à la négligence du droit maritime sont un élément du contenu essentiel de la compétence du Parlement sur le droit maritime.  L</w:t>
      </w:r>
      <w:r>
        <w:rPr>
          <w:lang w:val="fr-CA"/>
        </w:rPr>
        <w:t>’</w:t>
      </w:r>
      <w:r w:rsidRPr="002C1B3A">
        <w:rPr>
          <w:lang w:val="fr-CA"/>
        </w:rPr>
        <w:t>établissement de la norme applicable, des éléments et des conditions en matière de responsabilité pour négligence des navires ou des personnes qui en répondent est depuis longtemps un aspect essentiel du droit maritime, et l</w:t>
      </w:r>
      <w:r>
        <w:rPr>
          <w:lang w:val="fr-CA"/>
        </w:rPr>
        <w:t>’</w:t>
      </w:r>
      <w:r w:rsidRPr="002C1B3A">
        <w:rPr>
          <w:lang w:val="fr-CA"/>
        </w:rPr>
        <w:t xml:space="preserve">attribution au fédéral de la compétence exclusive sur la </w:t>
      </w:r>
      <w:r w:rsidRPr="002C1B3A">
        <w:rPr>
          <w:lang w:val="fr-CA"/>
        </w:rPr>
        <w:lastRenderedPageBreak/>
        <w:t>navigation et les expéditions par eau visait sans aucun doute à exclure la compétence provinciale sur les règles relatives à la négligence, entre autres matières maritimes.  Comme nous le verrons plus loin, de solides raisons militent en faveur de l</w:t>
      </w:r>
      <w:r>
        <w:rPr>
          <w:lang w:val="fr-CA"/>
        </w:rPr>
        <w:t>’</w:t>
      </w:r>
      <w:r w:rsidRPr="002C1B3A">
        <w:rPr>
          <w:lang w:val="fr-CA"/>
        </w:rPr>
        <w:t>uniformité des règles relatives à la négligence en droit maritime canadien.  De plus, les règles et principes spéciaux applicables en matière d</w:t>
      </w:r>
      <w:r>
        <w:rPr>
          <w:lang w:val="fr-CA"/>
        </w:rPr>
        <w:t>’</w:t>
      </w:r>
      <w:r w:rsidRPr="002C1B3A">
        <w:rPr>
          <w:lang w:val="fr-CA"/>
        </w:rPr>
        <w:t>amirauté régissent la question de la négligence sur les eaux d</w:t>
      </w:r>
      <w:r>
        <w:rPr>
          <w:lang w:val="fr-CA"/>
        </w:rPr>
        <w:t>’</w:t>
      </w:r>
      <w:r w:rsidRPr="002C1B3A">
        <w:rPr>
          <w:lang w:val="fr-CA"/>
        </w:rPr>
        <w:t>une façon particulière, s</w:t>
      </w:r>
      <w:r>
        <w:rPr>
          <w:lang w:val="fr-CA"/>
        </w:rPr>
        <w:t>’</w:t>
      </w:r>
      <w:r w:rsidRPr="002C1B3A">
        <w:rPr>
          <w:lang w:val="fr-CA"/>
        </w:rPr>
        <w:t>attachant à la « bonne navigation » et à d</w:t>
      </w:r>
      <w:r>
        <w:rPr>
          <w:lang w:val="fr-CA"/>
        </w:rPr>
        <w:t>’</w:t>
      </w:r>
      <w:r w:rsidRPr="002C1B3A">
        <w:rPr>
          <w:lang w:val="fr-CA"/>
        </w:rPr>
        <w:t>autres questions proprement maritimes.  Les règles relatives à la négligence du droit maritime peuvent être considérées comme une partie intégrante de ce qui constitue la « spécificité fédérale » du droit maritime, pour reprendre l</w:t>
      </w:r>
      <w:r>
        <w:rPr>
          <w:lang w:val="fr-CA"/>
        </w:rPr>
        <w:t>’</w:t>
      </w:r>
      <w:r w:rsidRPr="002C1B3A">
        <w:rPr>
          <w:lang w:val="fr-CA"/>
        </w:rPr>
        <w:t xml:space="preserve">expression employée par le juge Beetz dans </w:t>
      </w:r>
      <w:r w:rsidRPr="002C1B3A">
        <w:rPr>
          <w:i/>
          <w:iCs/>
          <w:lang w:val="fr-CA"/>
        </w:rPr>
        <w:t>Bell Canada</w:t>
      </w:r>
      <w:r w:rsidRPr="002C1B3A">
        <w:rPr>
          <w:lang w:val="fr-CA"/>
        </w:rPr>
        <w:t>, précité, à la p. 762.</w:t>
      </w:r>
    </w:p>
    <w:p w:rsidR="00931170" w:rsidRPr="002C1B3A" w:rsidRDefault="00931170" w:rsidP="00931170">
      <w:pPr>
        <w:pStyle w:val="Citation-AltC"/>
        <w:ind w:hanging="1166"/>
        <w:contextualSpacing w:val="0"/>
        <w:rPr>
          <w:lang w:val="fr-CA"/>
        </w:rPr>
      </w:pPr>
      <w:r w:rsidRPr="002C1B3A">
        <w:rPr>
          <w:lang w:val="fr-CA"/>
        </w:rPr>
        <w:tab/>
      </w:r>
      <w:r w:rsidRPr="002C1B3A">
        <w:rPr>
          <w:lang w:val="fr-CA"/>
        </w:rPr>
        <w:tab/>
        <w:t>À notre avis, lorsque l</w:t>
      </w:r>
      <w:r>
        <w:rPr>
          <w:lang w:val="fr-CA"/>
        </w:rPr>
        <w:t>’</w:t>
      </w:r>
      <w:r w:rsidRPr="002C1B3A">
        <w:rPr>
          <w:lang w:val="fr-CA"/>
        </w:rPr>
        <w:t>application d</w:t>
      </w:r>
      <w:r>
        <w:rPr>
          <w:lang w:val="fr-CA"/>
        </w:rPr>
        <w:t>’</w:t>
      </w:r>
      <w:r w:rsidRPr="002C1B3A">
        <w:rPr>
          <w:lang w:val="fr-CA"/>
        </w:rPr>
        <w:t>une loi provinciale de portée générale a pour effet de réglementer indirectement une question touchant les règles relatives à la négligence du droit maritime, il y a intrusion dans le contenu essentiel irréductible du droit maritime fédéral, ce qui est inacceptable sur le plan constitutionnel.  [. . .] Dans le cadre d</w:t>
      </w:r>
      <w:r>
        <w:rPr>
          <w:lang w:val="fr-CA"/>
        </w:rPr>
        <w:t>’</w:t>
      </w:r>
      <w:r w:rsidRPr="002C1B3A">
        <w:rPr>
          <w:lang w:val="fr-CA"/>
        </w:rPr>
        <w:t>une action intentée à la suite d</w:t>
      </w:r>
      <w:r>
        <w:rPr>
          <w:lang w:val="fr-CA"/>
        </w:rPr>
        <w:t>’</w:t>
      </w:r>
      <w:r w:rsidRPr="002C1B3A">
        <w:rPr>
          <w:lang w:val="fr-CA"/>
        </w:rPr>
        <w:t>une collision entre embarcations ou d</w:t>
      </w:r>
      <w:r>
        <w:rPr>
          <w:lang w:val="fr-CA"/>
        </w:rPr>
        <w:t>’</w:t>
      </w:r>
      <w:r w:rsidRPr="002C1B3A">
        <w:rPr>
          <w:lang w:val="fr-CA"/>
        </w:rPr>
        <w:t>un autre accident, les règles relatives à la négligence du droit maritime comprennent notamment les points suivants: l</w:t>
      </w:r>
      <w:r>
        <w:rPr>
          <w:lang w:val="fr-CA"/>
        </w:rPr>
        <w:t>’</w:t>
      </w:r>
      <w:r w:rsidRPr="002C1B3A">
        <w:rPr>
          <w:lang w:val="fr-CA"/>
        </w:rPr>
        <w:t>éventail des demandeurs éventuels, la portée des dommages</w:t>
      </w:r>
      <w:r w:rsidRPr="002C1B3A">
        <w:rPr>
          <w:lang w:val="fr-CA"/>
        </w:rPr>
        <w:noBreakHyphen/>
        <w:t>intérêts qui peuvent être obtenus et l</w:t>
      </w:r>
      <w:r>
        <w:rPr>
          <w:lang w:val="fr-CA"/>
        </w:rPr>
        <w:t>’</w:t>
      </w:r>
      <w:r w:rsidRPr="002C1B3A">
        <w:rPr>
          <w:lang w:val="fr-CA"/>
        </w:rPr>
        <w:t>existence d</w:t>
      </w:r>
      <w:r>
        <w:rPr>
          <w:lang w:val="fr-CA"/>
        </w:rPr>
        <w:t>’</w:t>
      </w:r>
      <w:r w:rsidRPr="002C1B3A">
        <w:rPr>
          <w:lang w:val="fr-CA"/>
        </w:rPr>
        <w:t>un régime de partage de la responsabilité selon la faute.  La loi provinciale de portée générale qui régit de telles questions dans le cadre des compétences légitimes de la province ne saurait être invoquée dans une action pour négligence fondée sur le droit maritime et doit faire l</w:t>
      </w:r>
      <w:r>
        <w:rPr>
          <w:lang w:val="fr-CA"/>
        </w:rPr>
        <w:t>’</w:t>
      </w:r>
      <w:r w:rsidRPr="002C1B3A">
        <w:rPr>
          <w:lang w:val="fr-CA"/>
        </w:rPr>
        <w:t>objet d</w:t>
      </w:r>
      <w:r>
        <w:rPr>
          <w:lang w:val="fr-CA"/>
        </w:rPr>
        <w:t>’</w:t>
      </w:r>
      <w:r w:rsidRPr="002C1B3A">
        <w:rPr>
          <w:lang w:val="fr-CA"/>
        </w:rPr>
        <w:t>une interprétation atténuée.</w:t>
      </w:r>
    </w:p>
    <w:p w:rsidR="00931170" w:rsidRPr="002C1B3A" w:rsidRDefault="00931170" w:rsidP="00931170">
      <w:pPr>
        <w:pStyle w:val="ParaNoNdepar-AltN"/>
        <w:rPr>
          <w:rFonts w:cs="Times New Roman"/>
          <w:lang w:val="fr-CA"/>
        </w:rPr>
      </w:pPr>
      <w:r w:rsidRPr="002C1B3A">
        <w:rPr>
          <w:rFonts w:cs="Times New Roman"/>
          <w:lang w:val="fr-CA"/>
        </w:rPr>
        <w:t>Tout comme dans l</w:t>
      </w:r>
      <w:r>
        <w:rPr>
          <w:rFonts w:cs="Times New Roman"/>
          <w:lang w:val="fr-CA"/>
        </w:rPr>
        <w:t>’</w:t>
      </w:r>
      <w:r w:rsidRPr="002C1B3A">
        <w:rPr>
          <w:rFonts w:cs="Times New Roman"/>
          <w:lang w:val="fr-CA"/>
        </w:rPr>
        <w:t xml:space="preserve">arrêt </w:t>
      </w:r>
      <w:r w:rsidRPr="002C1B3A">
        <w:rPr>
          <w:rFonts w:cs="Times New Roman"/>
          <w:i/>
          <w:lang w:val="fr-CA"/>
        </w:rPr>
        <w:t>Ordon</w:t>
      </w:r>
      <w:r w:rsidRPr="002C1B3A">
        <w:rPr>
          <w:rFonts w:cs="Times New Roman"/>
          <w:lang w:val="fr-CA"/>
        </w:rPr>
        <w:t>, l</w:t>
      </w:r>
      <w:r>
        <w:rPr>
          <w:rFonts w:cs="Times New Roman"/>
          <w:lang w:val="fr-CA"/>
        </w:rPr>
        <w:t>’</w:t>
      </w:r>
      <w:r w:rsidRPr="002C1B3A">
        <w:rPr>
          <w:rFonts w:cs="Times New Roman"/>
          <w:lang w:val="fr-CA"/>
        </w:rPr>
        <w:t>une des parties au présent pourvoi s</w:t>
      </w:r>
      <w:r>
        <w:rPr>
          <w:rFonts w:cs="Times New Roman"/>
          <w:lang w:val="fr-CA"/>
        </w:rPr>
        <w:t>’</w:t>
      </w:r>
      <w:r w:rsidRPr="002C1B3A">
        <w:rPr>
          <w:rFonts w:cs="Times New Roman"/>
          <w:lang w:val="fr-CA"/>
        </w:rPr>
        <w:t>appuie sur une loi provinciale dans le cadre d</w:t>
      </w:r>
      <w:r>
        <w:rPr>
          <w:rFonts w:cs="Times New Roman"/>
          <w:lang w:val="fr-CA"/>
        </w:rPr>
        <w:t>’</w:t>
      </w:r>
      <w:r w:rsidRPr="002C1B3A">
        <w:rPr>
          <w:rFonts w:cs="Times New Roman"/>
          <w:lang w:val="fr-CA"/>
        </w:rPr>
        <w:t>une action fondée sur la négligence en matière maritime.</w:t>
      </w:r>
    </w:p>
    <w:p w:rsidR="00931170" w:rsidRPr="002C1B3A" w:rsidRDefault="00931170" w:rsidP="00931170">
      <w:pPr>
        <w:pStyle w:val="ParaNoNdepar-AltN"/>
        <w:rPr>
          <w:rFonts w:cs="Times New Roman"/>
          <w:lang w:val="fr-CA"/>
        </w:rPr>
      </w:pPr>
      <w:r w:rsidRPr="002C1B3A">
        <w:rPr>
          <w:rFonts w:cs="Times New Roman"/>
          <w:lang w:val="fr-CA"/>
        </w:rPr>
        <w:t>Dans l</w:t>
      </w:r>
      <w:r>
        <w:rPr>
          <w:rFonts w:cs="Times New Roman"/>
          <w:lang w:val="fr-CA"/>
        </w:rPr>
        <w:t>’</w:t>
      </w:r>
      <w:r w:rsidRPr="002C1B3A">
        <w:rPr>
          <w:rFonts w:cs="Times New Roman"/>
          <w:lang w:val="fr-CA"/>
        </w:rPr>
        <w:t xml:space="preserve">arrêt </w:t>
      </w:r>
      <w:r w:rsidRPr="002C1B3A">
        <w:rPr>
          <w:rFonts w:cs="Times New Roman"/>
          <w:i/>
          <w:lang w:val="fr-CA"/>
        </w:rPr>
        <w:t>COPA</w:t>
      </w:r>
      <w:r w:rsidRPr="002C1B3A">
        <w:rPr>
          <w:rFonts w:cs="Times New Roman"/>
          <w:lang w:val="fr-CA"/>
        </w:rPr>
        <w:t>, par. 27, la juge en chef McLachlin a énoncé une méthode d</w:t>
      </w:r>
      <w:r>
        <w:rPr>
          <w:rFonts w:cs="Times New Roman"/>
          <w:lang w:val="fr-CA"/>
        </w:rPr>
        <w:t>’</w:t>
      </w:r>
      <w:r w:rsidRPr="002C1B3A">
        <w:rPr>
          <w:rFonts w:cs="Times New Roman"/>
          <w:lang w:val="fr-CA"/>
        </w:rPr>
        <w:t>analyse à deux volets à laquelle il doit être satisfait pour que s</w:t>
      </w:r>
      <w:r>
        <w:rPr>
          <w:rFonts w:cs="Times New Roman"/>
          <w:lang w:val="fr-CA"/>
        </w:rPr>
        <w:t>’</w:t>
      </w:r>
      <w:r w:rsidRPr="002C1B3A">
        <w:rPr>
          <w:rFonts w:cs="Times New Roman"/>
          <w:lang w:val="fr-CA"/>
        </w:rPr>
        <w:t>applique la doctrine de l</w:t>
      </w:r>
      <w:r>
        <w:rPr>
          <w:rFonts w:cs="Times New Roman"/>
          <w:lang w:val="fr-CA"/>
        </w:rPr>
        <w:t>’</w:t>
      </w:r>
      <w:r w:rsidRPr="002C1B3A">
        <w:rPr>
          <w:rFonts w:cs="Times New Roman"/>
          <w:lang w:val="fr-CA"/>
        </w:rPr>
        <w:t>exclusivité des compétences :</w:t>
      </w:r>
    </w:p>
    <w:p w:rsidR="00931170" w:rsidRPr="002C1B3A" w:rsidRDefault="00931170" w:rsidP="00931170">
      <w:pPr>
        <w:pStyle w:val="Citation-AltC"/>
        <w:ind w:hanging="1166"/>
        <w:contextualSpacing w:val="0"/>
        <w:rPr>
          <w:lang w:val="fr-CA"/>
        </w:rPr>
      </w:pPr>
      <w:r w:rsidRPr="002C1B3A">
        <w:rPr>
          <w:lang w:val="fr-CA"/>
        </w:rPr>
        <w:lastRenderedPageBreak/>
        <w:tab/>
      </w:r>
      <w:r w:rsidR="0004301C">
        <w:rPr>
          <w:lang w:val="fr-CA"/>
        </w:rPr>
        <w:tab/>
      </w:r>
      <w:r w:rsidRPr="002C1B3A">
        <w:rPr>
          <w:lang w:val="fr-CA"/>
        </w:rPr>
        <w:t>La première étape consiste à déterminer si la loi provinciale — l</w:t>
      </w:r>
      <w:r>
        <w:rPr>
          <w:lang w:val="fr-CA"/>
        </w:rPr>
        <w:t>’</w:t>
      </w:r>
      <w:r w:rsidRPr="002C1B3A">
        <w:rPr>
          <w:lang w:val="fr-CA"/>
        </w:rPr>
        <w:t xml:space="preserve">art. 26 de la Loi — </w:t>
      </w:r>
      <w:r w:rsidRPr="002C1B3A">
        <w:rPr>
          <w:i/>
          <w:iCs/>
          <w:lang w:val="fr-CA"/>
        </w:rPr>
        <w:t xml:space="preserve">empiète sur le </w:t>
      </w:r>
      <w:r w:rsidRPr="002C1B3A">
        <w:rPr>
          <w:lang w:val="fr-CA"/>
        </w:rPr>
        <w:t>« </w:t>
      </w:r>
      <w:r w:rsidRPr="002C1B3A">
        <w:rPr>
          <w:i/>
          <w:iCs/>
          <w:lang w:val="fr-CA"/>
        </w:rPr>
        <w:t>cœur</w:t>
      </w:r>
      <w:r w:rsidRPr="002C1B3A">
        <w:rPr>
          <w:lang w:val="fr-CA"/>
        </w:rPr>
        <w:t> »</w:t>
      </w:r>
      <w:r w:rsidRPr="002C1B3A">
        <w:rPr>
          <w:i/>
          <w:iCs/>
          <w:lang w:val="fr-CA"/>
        </w:rPr>
        <w:t xml:space="preserve"> d</w:t>
      </w:r>
      <w:r>
        <w:rPr>
          <w:i/>
          <w:iCs/>
          <w:lang w:val="fr-CA"/>
        </w:rPr>
        <w:t>’</w:t>
      </w:r>
      <w:r w:rsidRPr="002C1B3A">
        <w:rPr>
          <w:i/>
          <w:iCs/>
          <w:lang w:val="fr-CA"/>
        </w:rPr>
        <w:t>une compétence fédérale</w:t>
      </w:r>
      <w:r w:rsidRPr="002C1B3A">
        <w:rPr>
          <w:lang w:val="fr-CA"/>
        </w:rPr>
        <w:t>.  Si c</w:t>
      </w:r>
      <w:r>
        <w:rPr>
          <w:lang w:val="fr-CA"/>
        </w:rPr>
        <w:t>’</w:t>
      </w:r>
      <w:r w:rsidRPr="002C1B3A">
        <w:rPr>
          <w:lang w:val="fr-CA"/>
        </w:rPr>
        <w:t>est le cas, la deuxième étape consiste à déterminer si cette loi provinciale a, sur l</w:t>
      </w:r>
      <w:r>
        <w:rPr>
          <w:lang w:val="fr-CA"/>
        </w:rPr>
        <w:t>’</w:t>
      </w:r>
      <w:r w:rsidRPr="002C1B3A">
        <w:rPr>
          <w:lang w:val="fr-CA"/>
        </w:rPr>
        <w:t xml:space="preserve">exercice de la compétence fédérale protégée, un effet </w:t>
      </w:r>
      <w:r w:rsidRPr="002C1B3A">
        <w:rPr>
          <w:i/>
          <w:iCs/>
          <w:lang w:val="fr-CA"/>
        </w:rPr>
        <w:t>suffisamment grave</w:t>
      </w:r>
      <w:r w:rsidRPr="002C1B3A">
        <w:rPr>
          <w:lang w:val="fr-CA"/>
        </w:rPr>
        <w:t xml:space="preserve"> pour entraîner l</w:t>
      </w:r>
      <w:r>
        <w:rPr>
          <w:lang w:val="fr-CA"/>
        </w:rPr>
        <w:t>’</w:t>
      </w:r>
      <w:r w:rsidRPr="002C1B3A">
        <w:rPr>
          <w:lang w:val="fr-CA"/>
        </w:rPr>
        <w:t>application de la doctrine de la compétence exclusive.  [En italique dans l</w:t>
      </w:r>
      <w:r>
        <w:rPr>
          <w:lang w:val="fr-CA"/>
        </w:rPr>
        <w:t>’</w:t>
      </w:r>
      <w:r w:rsidRPr="002C1B3A">
        <w:rPr>
          <w:lang w:val="fr-CA"/>
        </w:rPr>
        <w:t>original.]</w:t>
      </w:r>
    </w:p>
    <w:p w:rsidR="00931170" w:rsidRPr="002C1B3A" w:rsidRDefault="00931170" w:rsidP="00931170">
      <w:pPr>
        <w:pStyle w:val="ParaNoNdepar-AltN"/>
        <w:rPr>
          <w:rFonts w:cs="Times New Roman"/>
          <w:lang w:val="fr-CA"/>
        </w:rPr>
      </w:pPr>
      <w:r w:rsidRPr="002C1B3A">
        <w:rPr>
          <w:rFonts w:cs="Times New Roman"/>
          <w:lang w:val="fr-CA"/>
        </w:rPr>
        <w:t>Par conséquent, il faut d</w:t>
      </w:r>
      <w:r>
        <w:rPr>
          <w:rFonts w:cs="Times New Roman"/>
          <w:lang w:val="fr-CA"/>
        </w:rPr>
        <w:t>’</w:t>
      </w:r>
      <w:r w:rsidRPr="002C1B3A">
        <w:rPr>
          <w:rFonts w:cs="Times New Roman"/>
          <w:lang w:val="fr-CA"/>
        </w:rPr>
        <w:t>abord se demander si la loi contestée empiète sur le cœur d</w:t>
      </w:r>
      <w:r>
        <w:rPr>
          <w:rFonts w:cs="Times New Roman"/>
          <w:lang w:val="fr-CA"/>
        </w:rPr>
        <w:t>’</w:t>
      </w:r>
      <w:r w:rsidRPr="002C1B3A">
        <w:rPr>
          <w:rFonts w:cs="Times New Roman"/>
          <w:lang w:val="fr-CA"/>
        </w:rPr>
        <w:t>un chef de compétence énuméré à l</w:t>
      </w:r>
      <w:r>
        <w:rPr>
          <w:rFonts w:cs="Times New Roman"/>
          <w:lang w:val="fr-CA"/>
        </w:rPr>
        <w:t>’</w:t>
      </w:r>
      <w:r w:rsidRPr="002C1B3A">
        <w:rPr>
          <w:rFonts w:cs="Times New Roman"/>
          <w:lang w:val="fr-CA"/>
        </w:rPr>
        <w:t xml:space="preserve">art. 91 ou 92 de la </w:t>
      </w:r>
      <w:r w:rsidRPr="002C1B3A">
        <w:rPr>
          <w:rFonts w:cs="Times New Roman"/>
          <w:i/>
          <w:lang w:val="fr-CA"/>
        </w:rPr>
        <w:t>Loi constitutionnelle de 1867</w:t>
      </w:r>
      <w:r w:rsidRPr="002C1B3A">
        <w:rPr>
          <w:rFonts w:cs="Times New Roman"/>
          <w:lang w:val="fr-CA"/>
        </w:rPr>
        <w:t>.  À cette étape</w:t>
      </w:r>
      <w:r w:rsidRPr="002C1B3A">
        <w:rPr>
          <w:rFonts w:cs="Times New Roman"/>
          <w:lang w:val="fr-CA"/>
        </w:rPr>
        <w:noBreakHyphen/>
        <w:t>ci, la jurisprudence constitue un guide utile pour bien cerner le cœur d</w:t>
      </w:r>
      <w:r>
        <w:rPr>
          <w:rFonts w:cs="Times New Roman"/>
          <w:lang w:val="fr-CA"/>
        </w:rPr>
        <w:t>’</w:t>
      </w:r>
      <w:r w:rsidRPr="002C1B3A">
        <w:rPr>
          <w:rFonts w:cs="Times New Roman"/>
          <w:lang w:val="fr-CA"/>
        </w:rPr>
        <w:t xml:space="preserve">un chef de compétence : </w:t>
      </w:r>
      <w:r w:rsidRPr="002C1B3A">
        <w:rPr>
          <w:rFonts w:cs="Times New Roman"/>
          <w:i/>
          <w:lang w:val="fr-CA"/>
        </w:rPr>
        <w:t>Banque canadienne de l</w:t>
      </w:r>
      <w:r>
        <w:rPr>
          <w:rFonts w:cs="Times New Roman"/>
          <w:i/>
          <w:lang w:val="fr-CA"/>
        </w:rPr>
        <w:t>’</w:t>
      </w:r>
      <w:r w:rsidRPr="002C1B3A">
        <w:rPr>
          <w:rFonts w:cs="Times New Roman"/>
          <w:i/>
          <w:lang w:val="fr-CA"/>
        </w:rPr>
        <w:t>Ouest</w:t>
      </w:r>
      <w:r w:rsidRPr="002C1B3A">
        <w:rPr>
          <w:rFonts w:cs="Times New Roman"/>
          <w:lang w:val="fr-CA"/>
        </w:rPr>
        <w:t xml:space="preserve">, par. 77; </w:t>
      </w:r>
      <w:r w:rsidRPr="002C1B3A">
        <w:rPr>
          <w:rFonts w:cs="Times New Roman"/>
          <w:i/>
          <w:lang w:val="fr-CA"/>
        </w:rPr>
        <w:t>COPA</w:t>
      </w:r>
      <w:r w:rsidRPr="002C1B3A">
        <w:rPr>
          <w:rFonts w:cs="Times New Roman"/>
          <w:lang w:val="fr-CA"/>
        </w:rPr>
        <w:t>, par. 36.</w:t>
      </w:r>
    </w:p>
    <w:p w:rsidR="00931170" w:rsidRPr="002C1B3A" w:rsidRDefault="00931170" w:rsidP="00931170">
      <w:pPr>
        <w:pStyle w:val="ParaNoNdepar-AltN"/>
        <w:rPr>
          <w:rFonts w:cs="Times New Roman"/>
          <w:lang w:val="fr-CA"/>
        </w:rPr>
      </w:pPr>
      <w:r w:rsidRPr="002C1B3A">
        <w:rPr>
          <w:rFonts w:cs="Times New Roman"/>
          <w:lang w:val="fr-CA"/>
        </w:rPr>
        <w:t>Deuxièmement, si la loi contestée empiète sur le cœur d</w:t>
      </w:r>
      <w:r>
        <w:rPr>
          <w:rFonts w:cs="Times New Roman"/>
          <w:lang w:val="fr-CA"/>
        </w:rPr>
        <w:t>’</w:t>
      </w:r>
      <w:r w:rsidRPr="002C1B3A">
        <w:rPr>
          <w:rFonts w:cs="Times New Roman"/>
          <w:lang w:val="fr-CA"/>
        </w:rPr>
        <w:t>un chef de compétence, il faut déterminer si cet empiétement est suffisamment grave.  Pour que s</w:t>
      </w:r>
      <w:r>
        <w:rPr>
          <w:rFonts w:cs="Times New Roman"/>
          <w:lang w:val="fr-CA"/>
        </w:rPr>
        <w:t>’</w:t>
      </w:r>
      <w:r w:rsidRPr="002C1B3A">
        <w:rPr>
          <w:rFonts w:cs="Times New Roman"/>
          <w:lang w:val="fr-CA"/>
        </w:rPr>
        <w:t>applique la doctrine de l</w:t>
      </w:r>
      <w:r>
        <w:rPr>
          <w:rFonts w:cs="Times New Roman"/>
          <w:lang w:val="fr-CA"/>
        </w:rPr>
        <w:t>’</w:t>
      </w:r>
      <w:r w:rsidRPr="002C1B3A">
        <w:rPr>
          <w:rFonts w:cs="Times New Roman"/>
          <w:lang w:val="fr-CA"/>
        </w:rPr>
        <w:t>exclusivité des compétences, la loi contestée ne doit pas simplement « toucher » le cœur d</w:t>
      </w:r>
      <w:r>
        <w:rPr>
          <w:rFonts w:cs="Times New Roman"/>
          <w:lang w:val="fr-CA"/>
        </w:rPr>
        <w:t>’</w:t>
      </w:r>
      <w:r w:rsidRPr="002C1B3A">
        <w:rPr>
          <w:rFonts w:cs="Times New Roman"/>
          <w:lang w:val="fr-CA"/>
        </w:rPr>
        <w:t>une compétence, elle doit l</w:t>
      </w:r>
      <w:r>
        <w:rPr>
          <w:rFonts w:cs="Times New Roman"/>
          <w:lang w:val="fr-CA"/>
        </w:rPr>
        <w:t>’</w:t>
      </w:r>
      <w:r w:rsidRPr="002C1B3A">
        <w:rPr>
          <w:rFonts w:cs="Times New Roman"/>
          <w:lang w:val="fr-CA"/>
        </w:rPr>
        <w:t>« entraver » : « </w:t>
      </w:r>
      <w:r w:rsidR="009A0963">
        <w:rPr>
          <w:rFonts w:cs="Times New Roman"/>
          <w:lang w:val="fr-CA"/>
        </w:rPr>
        <w:t xml:space="preserve">. . . </w:t>
      </w:r>
      <w:r w:rsidRPr="002C1B3A">
        <w:rPr>
          <w:rFonts w:cs="Times New Roman"/>
          <w:lang w:val="fr-CA"/>
        </w:rPr>
        <w:t xml:space="preserve">la première [notion] ne suppose pas de conséquences fâcheuses, contrairement à la seconde »  </w:t>
      </w:r>
      <w:r w:rsidR="009A0963">
        <w:rPr>
          <w:rFonts w:cs="Times New Roman"/>
          <w:lang w:val="fr-CA"/>
        </w:rPr>
        <w:t>(</w:t>
      </w:r>
      <w:r w:rsidRPr="002C1B3A">
        <w:rPr>
          <w:rFonts w:cs="Times New Roman"/>
          <w:i/>
          <w:lang w:val="fr-CA"/>
        </w:rPr>
        <w:t>Banque canadienne de l</w:t>
      </w:r>
      <w:r>
        <w:rPr>
          <w:rFonts w:cs="Times New Roman"/>
          <w:i/>
          <w:lang w:val="fr-CA"/>
        </w:rPr>
        <w:t>’</w:t>
      </w:r>
      <w:r w:rsidRPr="002C1B3A">
        <w:rPr>
          <w:rFonts w:cs="Times New Roman"/>
          <w:i/>
          <w:lang w:val="fr-CA"/>
        </w:rPr>
        <w:t>Ouest</w:t>
      </w:r>
      <w:r w:rsidRPr="002C1B3A">
        <w:rPr>
          <w:rFonts w:cs="Times New Roman"/>
          <w:lang w:val="fr-CA"/>
        </w:rPr>
        <w:t>,</w:t>
      </w:r>
      <w:r w:rsidRPr="002C1B3A">
        <w:rPr>
          <w:rFonts w:cs="Times New Roman"/>
          <w:i/>
          <w:lang w:val="fr-CA"/>
        </w:rPr>
        <w:t xml:space="preserve"> </w:t>
      </w:r>
      <w:r w:rsidRPr="002C1B3A">
        <w:rPr>
          <w:rFonts w:cs="Times New Roman"/>
          <w:lang w:val="fr-CA"/>
        </w:rPr>
        <w:t>par. 48</w:t>
      </w:r>
      <w:r w:rsidR="009A0963">
        <w:rPr>
          <w:rFonts w:cs="Times New Roman"/>
          <w:lang w:val="fr-CA"/>
        </w:rPr>
        <w:t>)</w:t>
      </w:r>
      <w:r w:rsidRPr="002C1B3A">
        <w:rPr>
          <w:rFonts w:cs="Times New Roman"/>
          <w:lang w:val="fr-CA"/>
        </w:rPr>
        <w:t xml:space="preserve">.  Dans cet arrêt, les juges majoritaires ont formulé les explications suivantes, au par. 48 : </w:t>
      </w:r>
    </w:p>
    <w:p w:rsidR="00931170" w:rsidRPr="002C1B3A" w:rsidRDefault="00931170" w:rsidP="00931170">
      <w:pPr>
        <w:pStyle w:val="Citation-AltC"/>
        <w:ind w:hanging="1166"/>
        <w:contextualSpacing w:val="0"/>
        <w:rPr>
          <w:lang w:val="fr-CA"/>
        </w:rPr>
      </w:pPr>
      <w:r w:rsidRPr="002C1B3A">
        <w:rPr>
          <w:lang w:val="fr-CA"/>
        </w:rPr>
        <w:tab/>
        <w:t>C</w:t>
      </w:r>
      <w:r>
        <w:rPr>
          <w:lang w:val="fr-CA"/>
        </w:rPr>
        <w:t>’</w:t>
      </w:r>
      <w:r w:rsidRPr="002C1B3A">
        <w:rPr>
          <w:lang w:val="fr-CA"/>
        </w:rPr>
        <w:t>est lorsque l</w:t>
      </w:r>
      <w:r>
        <w:rPr>
          <w:lang w:val="fr-CA"/>
        </w:rPr>
        <w:t>’</w:t>
      </w:r>
      <w:r w:rsidRPr="002C1B3A">
        <w:rPr>
          <w:lang w:val="fr-CA"/>
        </w:rPr>
        <w:t>effet préjudiciable d</w:t>
      </w:r>
      <w:r>
        <w:rPr>
          <w:lang w:val="fr-CA"/>
        </w:rPr>
        <w:t>’</w:t>
      </w:r>
      <w:r w:rsidRPr="002C1B3A">
        <w:rPr>
          <w:lang w:val="fr-CA"/>
        </w:rPr>
        <w:t>une loi adoptée par un ordre de gouvernement s</w:t>
      </w:r>
      <w:r>
        <w:rPr>
          <w:lang w:val="fr-CA"/>
        </w:rPr>
        <w:t>’</w:t>
      </w:r>
      <w:r w:rsidRPr="002C1B3A">
        <w:rPr>
          <w:lang w:val="fr-CA"/>
        </w:rPr>
        <w:t>intensifie en passant de « toucher » à « entraver » (sans nécessairement « stériliser » ou « paralyser ») que le « contenu essentiel » de la compétence de l</w:t>
      </w:r>
      <w:r>
        <w:rPr>
          <w:lang w:val="fr-CA"/>
        </w:rPr>
        <w:t>’</w:t>
      </w:r>
      <w:r w:rsidRPr="002C1B3A">
        <w:rPr>
          <w:lang w:val="fr-CA"/>
        </w:rPr>
        <w:t>autre ordre de gouvernement (ou l</w:t>
      </w:r>
      <w:r>
        <w:rPr>
          <w:lang w:val="fr-CA"/>
        </w:rPr>
        <w:t>’</w:t>
      </w:r>
      <w:r w:rsidRPr="002C1B3A">
        <w:rPr>
          <w:lang w:val="fr-CA"/>
        </w:rPr>
        <w:t>élément vital ou essentiel d</w:t>
      </w:r>
      <w:r>
        <w:rPr>
          <w:lang w:val="fr-CA"/>
        </w:rPr>
        <w:t>’</w:t>
      </w:r>
      <w:r w:rsidRPr="002C1B3A">
        <w:rPr>
          <w:lang w:val="fr-CA"/>
        </w:rPr>
        <w:t>une entreprise établie par lui) est menacé, et pas avant.</w:t>
      </w:r>
    </w:p>
    <w:p w:rsidR="00931170" w:rsidRPr="002C1B3A" w:rsidRDefault="00931170" w:rsidP="00931170">
      <w:pPr>
        <w:pStyle w:val="ContinueParaSuitedupar-AltP"/>
        <w:rPr>
          <w:rFonts w:cs="Times New Roman"/>
          <w:lang w:val="fr-CA"/>
        </w:rPr>
      </w:pPr>
      <w:r w:rsidRPr="002C1B3A">
        <w:rPr>
          <w:rFonts w:cs="Times New Roman"/>
          <w:lang w:val="fr-CA"/>
        </w:rPr>
        <w:lastRenderedPageBreak/>
        <w:t xml:space="preserve">Abondant dans le même sens, la juge en chef McLachlin a affirmé, dans </w:t>
      </w:r>
      <w:r w:rsidRPr="002C1B3A">
        <w:rPr>
          <w:rFonts w:cs="Times New Roman"/>
          <w:i/>
          <w:lang w:val="fr-CA"/>
        </w:rPr>
        <w:t>COPA</w:t>
      </w:r>
      <w:r w:rsidRPr="002C1B3A">
        <w:rPr>
          <w:rFonts w:cs="Times New Roman"/>
          <w:lang w:val="fr-CA"/>
        </w:rPr>
        <w:t>,</w:t>
      </w:r>
      <w:r w:rsidRPr="002C1B3A">
        <w:rPr>
          <w:rFonts w:cs="Times New Roman"/>
          <w:i/>
          <w:lang w:val="fr-CA"/>
        </w:rPr>
        <w:t xml:space="preserve"> </w:t>
      </w:r>
      <w:r w:rsidRPr="002C1B3A">
        <w:rPr>
          <w:rFonts w:cs="Times New Roman"/>
          <w:lang w:val="fr-CA"/>
        </w:rPr>
        <w:t>que le terme « entrave » est plus fort que « toucher », car en « cette époque de fédéralisme coopératif souple, l</w:t>
      </w:r>
      <w:r>
        <w:rPr>
          <w:rFonts w:cs="Times New Roman"/>
          <w:lang w:val="fr-CA"/>
        </w:rPr>
        <w:t>’</w:t>
      </w:r>
      <w:r w:rsidRPr="002C1B3A">
        <w:rPr>
          <w:rFonts w:cs="Times New Roman"/>
          <w:lang w:val="fr-CA"/>
        </w:rPr>
        <w:t>application de la doctrine de l</w:t>
      </w:r>
      <w:r>
        <w:rPr>
          <w:rFonts w:cs="Times New Roman"/>
          <w:lang w:val="fr-CA"/>
        </w:rPr>
        <w:t>’</w:t>
      </w:r>
      <w:r w:rsidRPr="002C1B3A">
        <w:rPr>
          <w:rFonts w:cs="Times New Roman"/>
          <w:lang w:val="fr-CA"/>
        </w:rPr>
        <w:t>exclusivité des compétences exige un empiétement important ou grave sur l</w:t>
      </w:r>
      <w:r>
        <w:rPr>
          <w:rFonts w:cs="Times New Roman"/>
          <w:lang w:val="fr-CA"/>
        </w:rPr>
        <w:t>’</w:t>
      </w:r>
      <w:r w:rsidRPr="002C1B3A">
        <w:rPr>
          <w:rFonts w:cs="Times New Roman"/>
          <w:lang w:val="fr-CA"/>
        </w:rPr>
        <w:t>exercice » d</w:t>
      </w:r>
      <w:r>
        <w:rPr>
          <w:rFonts w:cs="Times New Roman"/>
          <w:lang w:val="fr-CA"/>
        </w:rPr>
        <w:t>’</w:t>
      </w:r>
      <w:r w:rsidRPr="002C1B3A">
        <w:rPr>
          <w:rFonts w:cs="Times New Roman"/>
          <w:lang w:val="fr-CA"/>
        </w:rPr>
        <w:t>un chef de compétence : par. 45.</w:t>
      </w:r>
    </w:p>
    <w:p w:rsidR="00931170" w:rsidRPr="002C1B3A" w:rsidRDefault="00931170" w:rsidP="00931170">
      <w:pPr>
        <w:pStyle w:val="ParaNoNdepar-AltN"/>
        <w:rPr>
          <w:rFonts w:cs="Times New Roman"/>
          <w:lang w:val="fr-CA"/>
        </w:rPr>
      </w:pPr>
      <w:r w:rsidRPr="002C1B3A">
        <w:rPr>
          <w:rFonts w:cs="Times New Roman"/>
          <w:lang w:val="fr-CA"/>
        </w:rPr>
        <w:t>Lorsque la doctrine de l</w:t>
      </w:r>
      <w:r>
        <w:rPr>
          <w:rFonts w:cs="Times New Roman"/>
          <w:lang w:val="fr-CA"/>
        </w:rPr>
        <w:t>’</w:t>
      </w:r>
      <w:r w:rsidRPr="002C1B3A">
        <w:rPr>
          <w:rFonts w:cs="Times New Roman"/>
          <w:lang w:val="fr-CA"/>
        </w:rPr>
        <w:t>exclusivité des compétences s</w:t>
      </w:r>
      <w:r>
        <w:rPr>
          <w:rFonts w:cs="Times New Roman"/>
          <w:lang w:val="fr-CA"/>
        </w:rPr>
        <w:t>’</w:t>
      </w:r>
      <w:r w:rsidRPr="002C1B3A">
        <w:rPr>
          <w:rFonts w:cs="Times New Roman"/>
          <w:lang w:val="fr-CA"/>
        </w:rPr>
        <w:t>applique, la loi contestée n</w:t>
      </w:r>
      <w:r>
        <w:rPr>
          <w:rFonts w:cs="Times New Roman"/>
          <w:lang w:val="fr-CA"/>
        </w:rPr>
        <w:t>’</w:t>
      </w:r>
      <w:r w:rsidRPr="002C1B3A">
        <w:rPr>
          <w:rFonts w:cs="Times New Roman"/>
          <w:lang w:val="fr-CA"/>
        </w:rPr>
        <w:t>est pas invalidée; elle est [</w:t>
      </w:r>
      <w:r w:rsidRPr="002C1B3A">
        <w:rPr>
          <w:rFonts w:cs="Times New Roman"/>
          <w:smallCaps/>
          <w:lang w:val="fr-CA"/>
        </w:rPr>
        <w:t>traduction</w:t>
      </w:r>
      <w:r w:rsidRPr="002C1B3A">
        <w:rPr>
          <w:rFonts w:cs="Times New Roman"/>
          <w:lang w:val="fr-CA"/>
        </w:rPr>
        <w:t xml:space="preserve">] « tout simplement </w:t>
      </w:r>
      <w:r w:rsidRPr="002C1B3A">
        <w:rPr>
          <w:rFonts w:cs="Times New Roman"/>
          <w:i/>
          <w:lang w:val="fr-CA"/>
        </w:rPr>
        <w:t>inapplicable</w:t>
      </w:r>
      <w:r w:rsidRPr="002C1B3A">
        <w:rPr>
          <w:rFonts w:cs="Times New Roman"/>
          <w:lang w:val="fr-CA"/>
        </w:rPr>
        <w:t xml:space="preserve"> à la question excédant la compétence législative conférée », et on lui attribue une interprétation atténuée pour en restreindre l</w:t>
      </w:r>
      <w:r>
        <w:rPr>
          <w:rFonts w:cs="Times New Roman"/>
          <w:lang w:val="fr-CA"/>
        </w:rPr>
        <w:t>’</w:t>
      </w:r>
      <w:r w:rsidRPr="002C1B3A">
        <w:rPr>
          <w:rFonts w:cs="Times New Roman"/>
          <w:lang w:val="fr-CA"/>
        </w:rPr>
        <w:t>application : Hogg, p. 15</w:t>
      </w:r>
      <w:r w:rsidRPr="002C1B3A">
        <w:rPr>
          <w:rFonts w:cs="Times New Roman"/>
          <w:lang w:val="fr-CA"/>
        </w:rPr>
        <w:noBreakHyphen/>
        <w:t>28 (en italique dans l</w:t>
      </w:r>
      <w:r>
        <w:rPr>
          <w:rFonts w:cs="Times New Roman"/>
          <w:lang w:val="fr-CA"/>
        </w:rPr>
        <w:t>’</w:t>
      </w:r>
      <w:r w:rsidRPr="002C1B3A">
        <w:rPr>
          <w:rFonts w:cs="Times New Roman"/>
          <w:lang w:val="fr-CA"/>
        </w:rPr>
        <w:t>original).</w:t>
      </w:r>
    </w:p>
    <w:p w:rsidR="00931170" w:rsidRPr="002C1B3A" w:rsidRDefault="00931170" w:rsidP="00931170">
      <w:pPr>
        <w:pStyle w:val="ParaNoNdepar-AltN"/>
        <w:rPr>
          <w:rFonts w:cs="Times New Roman"/>
          <w:lang w:val="fr-CA"/>
        </w:rPr>
      </w:pPr>
      <w:r w:rsidRPr="002C1B3A">
        <w:rPr>
          <w:rFonts w:cs="Times New Roman"/>
          <w:lang w:val="fr-CA"/>
        </w:rPr>
        <w:t>Les successions Ryan soutiennent (argument auquel ont fait droit les juges majoritaires de la Cour d</w:t>
      </w:r>
      <w:r>
        <w:rPr>
          <w:rFonts w:cs="Times New Roman"/>
          <w:lang w:val="fr-CA"/>
        </w:rPr>
        <w:t>’</w:t>
      </w:r>
      <w:r w:rsidRPr="002C1B3A">
        <w:rPr>
          <w:rFonts w:cs="Times New Roman"/>
          <w:lang w:val="fr-CA"/>
        </w:rPr>
        <w:t>appel) que la doctrine de l</w:t>
      </w:r>
      <w:r>
        <w:rPr>
          <w:rFonts w:cs="Times New Roman"/>
          <w:lang w:val="fr-CA"/>
        </w:rPr>
        <w:t>’</w:t>
      </w:r>
      <w:r w:rsidRPr="002C1B3A">
        <w:rPr>
          <w:rFonts w:cs="Times New Roman"/>
          <w:lang w:val="fr-CA"/>
        </w:rPr>
        <w:t>exclusivité des compétences s</w:t>
      </w:r>
      <w:r>
        <w:rPr>
          <w:rFonts w:cs="Times New Roman"/>
          <w:lang w:val="fr-CA"/>
        </w:rPr>
        <w:t>’</w:t>
      </w:r>
      <w:r w:rsidRPr="002C1B3A">
        <w:rPr>
          <w:rFonts w:cs="Times New Roman"/>
          <w:lang w:val="fr-CA"/>
        </w:rPr>
        <w:t>applique, pour le motif que l</w:t>
      </w:r>
      <w:r>
        <w:rPr>
          <w:rFonts w:cs="Times New Roman"/>
          <w:lang w:val="fr-CA"/>
        </w:rPr>
        <w:t>’</w:t>
      </w:r>
      <w:r w:rsidRPr="002C1B3A">
        <w:rPr>
          <w:rFonts w:cs="Times New Roman"/>
          <w:lang w:val="fr-CA"/>
        </w:rPr>
        <w:t xml:space="preserve">art. 44 de la </w:t>
      </w:r>
      <w:r w:rsidRPr="002C1B3A">
        <w:rPr>
          <w:rFonts w:cs="Times New Roman"/>
          <w:i/>
          <w:lang w:val="fr-CA"/>
        </w:rPr>
        <w:t>WHSCA</w:t>
      </w:r>
      <w:r w:rsidRPr="002C1B3A">
        <w:rPr>
          <w:rFonts w:cs="Times New Roman"/>
          <w:lang w:val="fr-CA"/>
        </w:rPr>
        <w:t xml:space="preserve"> prive les successions Ryan du droit que leur confère le par. 6(2) de la </w:t>
      </w:r>
      <w:r w:rsidRPr="002C1B3A">
        <w:rPr>
          <w:rFonts w:cs="Times New Roman"/>
          <w:i/>
          <w:lang w:val="fr-CA"/>
        </w:rPr>
        <w:t>LRMM</w:t>
      </w:r>
      <w:r w:rsidRPr="002C1B3A">
        <w:rPr>
          <w:rFonts w:cs="Times New Roman"/>
          <w:lang w:val="fr-CA"/>
        </w:rPr>
        <w:t>, lequel constitue un énoncé législatif des règles de droit relatives à la négligence en matière maritime.  Ils ajoutent que, dans l</w:t>
      </w:r>
      <w:r>
        <w:rPr>
          <w:rFonts w:cs="Times New Roman"/>
          <w:lang w:val="fr-CA"/>
        </w:rPr>
        <w:t>’</w:t>
      </w:r>
      <w:r w:rsidRPr="002C1B3A">
        <w:rPr>
          <w:rFonts w:cs="Times New Roman"/>
          <w:lang w:val="fr-CA"/>
        </w:rPr>
        <w:t xml:space="preserve">affaire </w:t>
      </w:r>
      <w:r w:rsidRPr="002C1B3A">
        <w:rPr>
          <w:rFonts w:cs="Times New Roman"/>
          <w:i/>
          <w:lang w:val="fr-CA"/>
        </w:rPr>
        <w:t>Ordon</w:t>
      </w:r>
      <w:r w:rsidRPr="002C1B3A">
        <w:rPr>
          <w:rFonts w:cs="Times New Roman"/>
          <w:lang w:val="fr-CA"/>
        </w:rPr>
        <w:t xml:space="preserve">, notre Cour a décidé que ces règles sont au cœur de la compétence fédérale sur la navigation et les bâtiments ou navires.  </w:t>
      </w:r>
    </w:p>
    <w:p w:rsidR="00931170" w:rsidRPr="002C1B3A" w:rsidRDefault="00931170" w:rsidP="00931170">
      <w:pPr>
        <w:pStyle w:val="ParaNoNdepar-AltN"/>
        <w:rPr>
          <w:rFonts w:cs="Times New Roman"/>
          <w:lang w:val="fr-CA"/>
        </w:rPr>
      </w:pPr>
      <w:r w:rsidRPr="002C1B3A">
        <w:rPr>
          <w:rFonts w:cs="Times New Roman"/>
          <w:lang w:val="fr-CA"/>
        </w:rPr>
        <w:t xml:space="preserve">Les règles de droit relatives à la négligence en matière maritime font effectivement partie du cœur de la compétence fédérale sur la navigation et les bâtiments ou navires : </w:t>
      </w:r>
      <w:r w:rsidRPr="002C1B3A">
        <w:rPr>
          <w:rFonts w:cs="Times New Roman"/>
          <w:i/>
          <w:lang w:val="fr-CA"/>
        </w:rPr>
        <w:t>Ordon</w:t>
      </w:r>
      <w:r w:rsidRPr="002C1B3A">
        <w:rPr>
          <w:rFonts w:cs="Times New Roman"/>
          <w:lang w:val="fr-CA"/>
        </w:rPr>
        <w:t>, par. 84.  Une loi provinciale d</w:t>
      </w:r>
      <w:r>
        <w:rPr>
          <w:rFonts w:cs="Times New Roman"/>
          <w:lang w:val="fr-CA"/>
        </w:rPr>
        <w:t>’</w:t>
      </w:r>
      <w:r w:rsidRPr="002C1B3A">
        <w:rPr>
          <w:rFonts w:cs="Times New Roman"/>
          <w:lang w:val="fr-CA"/>
        </w:rPr>
        <w:t xml:space="preserve">application générale ne doit pas avoir pour effet de réglementer indirectement un aspect de ces règles, par </w:t>
      </w:r>
      <w:r w:rsidRPr="002C1B3A">
        <w:rPr>
          <w:rFonts w:cs="Times New Roman"/>
          <w:lang w:val="fr-CA"/>
        </w:rPr>
        <w:lastRenderedPageBreak/>
        <w:t>exemple l</w:t>
      </w:r>
      <w:r>
        <w:rPr>
          <w:rFonts w:cs="Times New Roman"/>
          <w:lang w:val="fr-CA"/>
        </w:rPr>
        <w:t>’</w:t>
      </w:r>
      <w:r w:rsidRPr="002C1B3A">
        <w:rPr>
          <w:rFonts w:cs="Times New Roman"/>
          <w:lang w:val="fr-CA"/>
        </w:rPr>
        <w:t xml:space="preserve">éventail des demandeurs éventuels dans une action en négligence en matière maritime : </w:t>
      </w:r>
      <w:r w:rsidRPr="002C1B3A">
        <w:rPr>
          <w:rFonts w:cs="Times New Roman"/>
          <w:i/>
          <w:lang w:val="fr-CA"/>
        </w:rPr>
        <w:t>Ordon</w:t>
      </w:r>
      <w:r w:rsidRPr="002C1B3A">
        <w:rPr>
          <w:rFonts w:cs="Times New Roman"/>
          <w:lang w:val="fr-CA"/>
        </w:rPr>
        <w:t>, par. 85.  L</w:t>
      </w:r>
      <w:r>
        <w:rPr>
          <w:rFonts w:cs="Times New Roman"/>
          <w:lang w:val="fr-CA"/>
        </w:rPr>
        <w:t>’</w:t>
      </w:r>
      <w:r w:rsidRPr="002C1B3A">
        <w:rPr>
          <w:rFonts w:cs="Times New Roman"/>
          <w:lang w:val="fr-CA"/>
        </w:rPr>
        <w:t xml:space="preserve">article 44 de la </w:t>
      </w:r>
      <w:r w:rsidRPr="002C1B3A">
        <w:rPr>
          <w:rFonts w:cs="Times New Roman"/>
          <w:i/>
          <w:lang w:val="fr-CA"/>
        </w:rPr>
        <w:t>WHSCA</w:t>
      </w:r>
      <w:r w:rsidRPr="002C1B3A">
        <w:rPr>
          <w:rFonts w:cs="Times New Roman"/>
          <w:lang w:val="fr-CA"/>
        </w:rPr>
        <w:t>, une loi provinciale d</w:t>
      </w:r>
      <w:r>
        <w:rPr>
          <w:rFonts w:cs="Times New Roman"/>
          <w:lang w:val="fr-CA"/>
        </w:rPr>
        <w:t>’</w:t>
      </w:r>
      <w:r w:rsidRPr="002C1B3A">
        <w:rPr>
          <w:rFonts w:cs="Times New Roman"/>
          <w:lang w:val="fr-CA"/>
        </w:rPr>
        <w:t>application générale, empêche les successions Ryan de se prévaloir du droit d</w:t>
      </w:r>
      <w:r>
        <w:rPr>
          <w:rFonts w:cs="Times New Roman"/>
          <w:lang w:val="fr-CA"/>
        </w:rPr>
        <w:t>’</w:t>
      </w:r>
      <w:r w:rsidRPr="002C1B3A">
        <w:rPr>
          <w:rFonts w:cs="Times New Roman"/>
          <w:lang w:val="fr-CA"/>
        </w:rPr>
        <w:t xml:space="preserve">action en négligence en matière maritime que leur reconnaît le par. 6(2) de la </w:t>
      </w:r>
      <w:r w:rsidRPr="002C1B3A">
        <w:rPr>
          <w:rFonts w:cs="Times New Roman"/>
          <w:i/>
          <w:lang w:val="fr-CA"/>
        </w:rPr>
        <w:t>LRMM</w:t>
      </w:r>
      <w:r w:rsidRPr="002C1B3A">
        <w:rPr>
          <w:rFonts w:cs="Times New Roman"/>
          <w:lang w:val="fr-CA"/>
        </w:rPr>
        <w:t>.  En modifiant ainsi l</w:t>
      </w:r>
      <w:r>
        <w:rPr>
          <w:rFonts w:cs="Times New Roman"/>
          <w:lang w:val="fr-CA"/>
        </w:rPr>
        <w:t>’</w:t>
      </w:r>
      <w:r w:rsidRPr="002C1B3A">
        <w:rPr>
          <w:rFonts w:cs="Times New Roman"/>
          <w:lang w:val="fr-CA"/>
        </w:rPr>
        <w:t>éventail des demandeurs susceptibles d</w:t>
      </w:r>
      <w:r>
        <w:rPr>
          <w:rFonts w:cs="Times New Roman"/>
          <w:lang w:val="fr-CA"/>
        </w:rPr>
        <w:t>’</w:t>
      </w:r>
      <w:r w:rsidRPr="002C1B3A">
        <w:rPr>
          <w:rFonts w:cs="Times New Roman"/>
          <w:lang w:val="fr-CA"/>
        </w:rPr>
        <w:t>exercer ce droit d</w:t>
      </w:r>
      <w:r>
        <w:rPr>
          <w:rFonts w:cs="Times New Roman"/>
          <w:lang w:val="fr-CA"/>
        </w:rPr>
        <w:t>’</w:t>
      </w:r>
      <w:r w:rsidRPr="002C1B3A">
        <w:rPr>
          <w:rFonts w:cs="Times New Roman"/>
          <w:lang w:val="fr-CA"/>
        </w:rPr>
        <w:t>action conféré par la loi, l</w:t>
      </w:r>
      <w:r>
        <w:rPr>
          <w:rFonts w:cs="Times New Roman"/>
          <w:lang w:val="fr-CA"/>
        </w:rPr>
        <w:t>’</w:t>
      </w:r>
      <w:r w:rsidRPr="002C1B3A">
        <w:rPr>
          <w:rFonts w:cs="Times New Roman"/>
          <w:lang w:val="fr-CA"/>
        </w:rPr>
        <w:t xml:space="preserve">art. 44 de la </w:t>
      </w:r>
      <w:r w:rsidRPr="002C1B3A">
        <w:rPr>
          <w:rFonts w:cs="Times New Roman"/>
          <w:i/>
          <w:lang w:val="fr-CA"/>
        </w:rPr>
        <w:t>WHSCA</w:t>
      </w:r>
      <w:r w:rsidRPr="002C1B3A">
        <w:rPr>
          <w:rFonts w:cs="Times New Roman"/>
          <w:lang w:val="fr-CA"/>
        </w:rPr>
        <w:t xml:space="preserve"> empiète sur le cœur de la compétence fédérale en matière de navigation et de bâtiments ou navires.  Par conséquent, il est satisfait au premier volet de l</w:t>
      </w:r>
      <w:r>
        <w:rPr>
          <w:rFonts w:cs="Times New Roman"/>
          <w:lang w:val="fr-CA"/>
        </w:rPr>
        <w:t>’</w:t>
      </w:r>
      <w:r w:rsidRPr="002C1B3A">
        <w:rPr>
          <w:rFonts w:cs="Times New Roman"/>
          <w:lang w:val="fr-CA"/>
        </w:rPr>
        <w:t xml:space="preserve">analyse. </w:t>
      </w:r>
    </w:p>
    <w:p w:rsidR="00931170" w:rsidRPr="002C1B3A" w:rsidRDefault="00931170" w:rsidP="00931170">
      <w:pPr>
        <w:pStyle w:val="ParaNoNdepar-AltN"/>
        <w:tabs>
          <w:tab w:val="clear" w:pos="1152"/>
          <w:tab w:val="left" w:pos="1166"/>
        </w:tabs>
        <w:rPr>
          <w:rFonts w:cs="Times New Roman"/>
          <w:lang w:val="fr-CA"/>
        </w:rPr>
      </w:pPr>
      <w:r w:rsidRPr="002C1B3A">
        <w:rPr>
          <w:rFonts w:cs="Times New Roman"/>
          <w:lang w:val="fr-CA"/>
        </w:rPr>
        <w:t>Cependant, nous concluons que le second volet de l</w:t>
      </w:r>
      <w:r>
        <w:rPr>
          <w:rFonts w:cs="Times New Roman"/>
          <w:lang w:val="fr-CA"/>
        </w:rPr>
        <w:t>’</w:t>
      </w:r>
      <w:r w:rsidRPr="002C1B3A">
        <w:rPr>
          <w:rFonts w:cs="Times New Roman"/>
          <w:lang w:val="fr-CA"/>
        </w:rPr>
        <w:t>analyse n</w:t>
      </w:r>
      <w:r>
        <w:rPr>
          <w:rFonts w:cs="Times New Roman"/>
          <w:lang w:val="fr-CA"/>
        </w:rPr>
        <w:t>’</w:t>
      </w:r>
      <w:r w:rsidRPr="002C1B3A">
        <w:rPr>
          <w:rFonts w:cs="Times New Roman"/>
          <w:lang w:val="fr-CA"/>
        </w:rPr>
        <w:t>est pas respecté, puisque l</w:t>
      </w:r>
      <w:r>
        <w:rPr>
          <w:rFonts w:cs="Times New Roman"/>
          <w:lang w:val="fr-CA"/>
        </w:rPr>
        <w:t>’</w:t>
      </w:r>
      <w:r w:rsidRPr="002C1B3A">
        <w:rPr>
          <w:rFonts w:cs="Times New Roman"/>
          <w:lang w:val="fr-CA"/>
        </w:rPr>
        <w:t xml:space="preserve">art. 44 de la </w:t>
      </w:r>
      <w:r w:rsidRPr="002C1B3A">
        <w:rPr>
          <w:rFonts w:cs="Times New Roman"/>
          <w:i/>
          <w:lang w:val="fr-CA"/>
        </w:rPr>
        <w:t>WHSCA</w:t>
      </w:r>
      <w:r w:rsidRPr="002C1B3A">
        <w:rPr>
          <w:rFonts w:cs="Times New Roman"/>
          <w:lang w:val="fr-CA"/>
        </w:rPr>
        <w:t xml:space="preserve"> n</w:t>
      </w:r>
      <w:r>
        <w:rPr>
          <w:rFonts w:cs="Times New Roman"/>
          <w:lang w:val="fr-CA"/>
        </w:rPr>
        <w:t>’</w:t>
      </w:r>
      <w:r w:rsidRPr="002C1B3A">
        <w:rPr>
          <w:rFonts w:cs="Times New Roman"/>
          <w:lang w:val="fr-CA"/>
        </w:rPr>
        <w:t>entrave pas l</w:t>
      </w:r>
      <w:r>
        <w:rPr>
          <w:rFonts w:cs="Times New Roman"/>
          <w:lang w:val="fr-CA"/>
        </w:rPr>
        <w:t>’</w:t>
      </w:r>
      <w:r w:rsidRPr="002C1B3A">
        <w:rPr>
          <w:rFonts w:cs="Times New Roman"/>
          <w:lang w:val="fr-CA"/>
        </w:rPr>
        <w:t>exercice de la compétence fédérale sur la navigation et les bâtiments ou navires.  Dans l</w:t>
      </w:r>
      <w:r>
        <w:rPr>
          <w:rFonts w:cs="Times New Roman"/>
          <w:lang w:val="fr-CA"/>
        </w:rPr>
        <w:t>’</w:t>
      </w:r>
      <w:r w:rsidRPr="002C1B3A">
        <w:rPr>
          <w:rFonts w:cs="Times New Roman"/>
          <w:lang w:val="fr-CA"/>
        </w:rPr>
        <w:t xml:space="preserve">arrêt </w:t>
      </w:r>
      <w:r w:rsidRPr="002C1B3A">
        <w:rPr>
          <w:rFonts w:cs="Times New Roman"/>
          <w:i/>
          <w:lang w:val="fr-CA"/>
        </w:rPr>
        <w:t>COPA</w:t>
      </w:r>
      <w:r w:rsidRPr="002C1B3A">
        <w:rPr>
          <w:rFonts w:cs="Times New Roman"/>
          <w:lang w:val="fr-CA"/>
        </w:rPr>
        <w:t>, la juge en chef McLachlin a défini ainsi le terme « entrave », au par. 45 :</w:t>
      </w:r>
    </w:p>
    <w:p w:rsidR="00931170" w:rsidRPr="002C1B3A" w:rsidRDefault="000E3D23" w:rsidP="00931170">
      <w:pPr>
        <w:pStyle w:val="Citation-AltC"/>
        <w:ind w:hanging="1166"/>
        <w:contextualSpacing w:val="0"/>
        <w:rPr>
          <w:lang w:val="fr-CA"/>
        </w:rPr>
      </w:pPr>
      <w:r>
        <w:rPr>
          <w:lang w:val="fr-CA"/>
        </w:rPr>
        <w:tab/>
        <w:t>[C</w:t>
      </w:r>
      <w:r w:rsidR="00931170" w:rsidRPr="002C1B3A">
        <w:rPr>
          <w:lang w:val="fr-CA"/>
        </w:rPr>
        <w:t>e terme] suppose une incidence qui non seulement touche le cœur de la compétence fédérale, mais le touche d</w:t>
      </w:r>
      <w:r w:rsidR="00931170">
        <w:rPr>
          <w:lang w:val="fr-CA"/>
        </w:rPr>
        <w:t>’</w:t>
      </w:r>
      <w:r w:rsidR="00931170" w:rsidRPr="002C1B3A">
        <w:rPr>
          <w:lang w:val="fr-CA"/>
        </w:rPr>
        <w:t>une façon qui porte à la compétence fédérale une atteinte grave ou importante.  Dans cette époque de fédéralisme coopératif souple, l</w:t>
      </w:r>
      <w:r w:rsidR="00931170">
        <w:rPr>
          <w:lang w:val="fr-CA"/>
        </w:rPr>
        <w:t>’</w:t>
      </w:r>
      <w:r w:rsidR="00931170" w:rsidRPr="002C1B3A">
        <w:rPr>
          <w:lang w:val="fr-CA"/>
        </w:rPr>
        <w:t>application de la doctrine de l</w:t>
      </w:r>
      <w:r w:rsidR="00931170">
        <w:rPr>
          <w:lang w:val="fr-CA"/>
        </w:rPr>
        <w:t>’</w:t>
      </w:r>
      <w:r w:rsidR="00931170" w:rsidRPr="002C1B3A">
        <w:rPr>
          <w:lang w:val="fr-CA"/>
        </w:rPr>
        <w:t>exclusivité des compétences exige un empiétement important ou grave sur l</w:t>
      </w:r>
      <w:r w:rsidR="00931170">
        <w:rPr>
          <w:lang w:val="fr-CA"/>
        </w:rPr>
        <w:t>’</w:t>
      </w:r>
      <w:r w:rsidR="00931170" w:rsidRPr="002C1B3A">
        <w:rPr>
          <w:lang w:val="fr-CA"/>
        </w:rPr>
        <w:t>exercice de la compétence fédérale.  Il n</w:t>
      </w:r>
      <w:r w:rsidR="00931170">
        <w:rPr>
          <w:lang w:val="fr-CA"/>
        </w:rPr>
        <w:t>’</w:t>
      </w:r>
      <w:r w:rsidR="00931170" w:rsidRPr="002C1B3A">
        <w:rPr>
          <w:lang w:val="fr-CA"/>
        </w:rPr>
        <w:t>est pas nécessaire que l</w:t>
      </w:r>
      <w:r w:rsidR="00931170">
        <w:rPr>
          <w:lang w:val="fr-CA"/>
        </w:rPr>
        <w:t>’</w:t>
      </w:r>
      <w:r w:rsidR="00931170" w:rsidRPr="002C1B3A">
        <w:rPr>
          <w:lang w:val="fr-CA"/>
        </w:rPr>
        <w:t>empiétement paralyse la compétence, mais il doit être grave.</w:t>
      </w:r>
    </w:p>
    <w:p w:rsidR="00931170" w:rsidRPr="002C1B3A" w:rsidRDefault="00931170" w:rsidP="00931170">
      <w:pPr>
        <w:pStyle w:val="ParaNoNdepar-AltN"/>
        <w:rPr>
          <w:rFonts w:cs="Times New Roman"/>
          <w:lang w:val="fr-CA"/>
        </w:rPr>
      </w:pPr>
      <w:r w:rsidRPr="002C1B3A">
        <w:rPr>
          <w:rFonts w:cs="Times New Roman"/>
          <w:lang w:val="fr-CA"/>
        </w:rPr>
        <w:t xml:space="preserve">Le pouvoir exclusif du Parlement de légiférer sur la navigation et les bâtiments ou navires est vaste : </w:t>
      </w:r>
      <w:r w:rsidRPr="002C1B3A">
        <w:rPr>
          <w:rFonts w:cs="Times New Roman"/>
          <w:i/>
          <w:lang w:val="fr-CA"/>
        </w:rPr>
        <w:t>Queddy River Driving Boom Co. c. Davidson</w:t>
      </w:r>
      <w:r w:rsidRPr="002C1B3A">
        <w:rPr>
          <w:rFonts w:cs="Times New Roman"/>
          <w:lang w:val="fr-CA"/>
        </w:rPr>
        <w:t xml:space="preserve"> (1883), 10 R.C.S. 222</w:t>
      </w:r>
      <w:r w:rsidR="0013624C">
        <w:rPr>
          <w:rFonts w:cs="Times New Roman"/>
          <w:lang w:val="fr-CA"/>
        </w:rPr>
        <w:t>;</w:t>
      </w:r>
      <w:r w:rsidRPr="002C1B3A">
        <w:rPr>
          <w:rFonts w:cs="Times New Roman"/>
          <w:lang w:val="fr-CA"/>
        </w:rPr>
        <w:t xml:space="preserve"> et </w:t>
      </w:r>
      <w:r w:rsidRPr="002C1B3A">
        <w:rPr>
          <w:rFonts w:cs="Times New Roman"/>
          <w:i/>
          <w:lang w:val="fr-CA"/>
        </w:rPr>
        <w:t>Montreal City c. Montreal Harbour Commissioners</w:t>
      </w:r>
      <w:r w:rsidRPr="002C1B3A">
        <w:rPr>
          <w:rFonts w:cs="Times New Roman"/>
          <w:lang w:val="fr-CA"/>
        </w:rPr>
        <w:t xml:space="preserve">, [1926] A.C. 299 (C.P.).  Il « englobe les aspects de la navigation et des bâtiments ou navires qui se rapportent à des objets nationaux exigeant une réglementation uniforme dans tout le </w:t>
      </w:r>
      <w:r w:rsidRPr="002C1B3A">
        <w:rPr>
          <w:rFonts w:cs="Times New Roman"/>
          <w:lang w:val="fr-CA"/>
        </w:rPr>
        <w:lastRenderedPageBreak/>
        <w:t>pays, sans égard à leur portée territoriale » (</w:t>
      </w:r>
      <w:r w:rsidRPr="002C1B3A">
        <w:rPr>
          <w:rFonts w:cs="Times New Roman"/>
          <w:i/>
          <w:lang w:val="fr-CA"/>
        </w:rPr>
        <w:t>Tessier</w:t>
      </w:r>
      <w:r w:rsidRPr="002C1B3A">
        <w:rPr>
          <w:rFonts w:cs="Times New Roman"/>
          <w:lang w:val="fr-CA"/>
        </w:rPr>
        <w:t>, par. 22), et s</w:t>
      </w:r>
      <w:r>
        <w:rPr>
          <w:rFonts w:cs="Times New Roman"/>
          <w:lang w:val="fr-CA"/>
        </w:rPr>
        <w:t>’</w:t>
      </w:r>
      <w:r w:rsidRPr="002C1B3A">
        <w:rPr>
          <w:rFonts w:cs="Times New Roman"/>
          <w:lang w:val="fr-CA"/>
        </w:rPr>
        <w:t>étend au « droit maritime, qui établit le cadre des relations juridiques découlant des activités propres à la navigation et aux bâtiments ou navires » et « à l</w:t>
      </w:r>
      <w:r>
        <w:rPr>
          <w:rFonts w:cs="Times New Roman"/>
          <w:lang w:val="fr-CA"/>
        </w:rPr>
        <w:t>’</w:t>
      </w:r>
      <w:r w:rsidRPr="002C1B3A">
        <w:rPr>
          <w:rFonts w:cs="Times New Roman"/>
          <w:lang w:val="fr-CA"/>
        </w:rPr>
        <w:t xml:space="preserve">infrastructure des activités liées à la navigation et aux bâtiments et navires » : </w:t>
      </w:r>
      <w:r w:rsidRPr="002C1B3A">
        <w:rPr>
          <w:rFonts w:cs="Times New Roman"/>
          <w:i/>
          <w:lang w:val="fr-CA"/>
        </w:rPr>
        <w:t>Colombie</w:t>
      </w:r>
      <w:r w:rsidRPr="002C1B3A">
        <w:rPr>
          <w:rFonts w:cs="Times New Roman"/>
          <w:i/>
          <w:lang w:val="fr-CA"/>
        </w:rPr>
        <w:noBreakHyphen/>
        <w:t>Britannique (Procureur général) c. Lafarge Canada Inc.</w:t>
      </w:r>
      <w:r w:rsidRPr="002C1B3A">
        <w:rPr>
          <w:rFonts w:cs="Times New Roman"/>
          <w:lang w:val="fr-CA"/>
        </w:rPr>
        <w:t>, 2007 CSC 23, [2007] 2 R.C.S. 86, par. 62.</w:t>
      </w:r>
    </w:p>
    <w:p w:rsidR="00931170" w:rsidRPr="002C1B3A" w:rsidRDefault="00931170" w:rsidP="00931170">
      <w:pPr>
        <w:pStyle w:val="ParaNoNdepar-AltN"/>
        <w:rPr>
          <w:rFonts w:cs="Times New Roman"/>
          <w:lang w:val="fr-CA"/>
        </w:rPr>
      </w:pPr>
      <w:r w:rsidRPr="002C1B3A">
        <w:rPr>
          <w:rFonts w:cs="Times New Roman"/>
          <w:lang w:val="fr-CA"/>
        </w:rPr>
        <w:t>Bien que l</w:t>
      </w:r>
      <w:r>
        <w:rPr>
          <w:rFonts w:cs="Times New Roman"/>
          <w:lang w:val="fr-CA"/>
        </w:rPr>
        <w:t>’</w:t>
      </w:r>
      <w:r w:rsidRPr="002C1B3A">
        <w:rPr>
          <w:rFonts w:cs="Times New Roman"/>
          <w:lang w:val="fr-CA"/>
        </w:rPr>
        <w:t xml:space="preserve">art. 44 de la </w:t>
      </w:r>
      <w:r w:rsidRPr="002C1B3A">
        <w:rPr>
          <w:rFonts w:cs="Times New Roman"/>
          <w:i/>
          <w:lang w:val="fr-CA"/>
        </w:rPr>
        <w:t xml:space="preserve">WHSCA </w:t>
      </w:r>
      <w:r w:rsidRPr="002C1B3A">
        <w:rPr>
          <w:rFonts w:cs="Times New Roman"/>
          <w:lang w:val="fr-CA"/>
        </w:rPr>
        <w:t>ait pour effet de réglementer un aspect des règles de droit relatives à la négligence en matière maritime, il n</w:t>
      </w:r>
      <w:r>
        <w:rPr>
          <w:rFonts w:cs="Times New Roman"/>
          <w:lang w:val="fr-CA"/>
        </w:rPr>
        <w:t>’</w:t>
      </w:r>
      <w:r w:rsidRPr="002C1B3A">
        <w:rPr>
          <w:rFonts w:cs="Times New Roman"/>
          <w:lang w:val="fr-CA"/>
        </w:rPr>
        <w:t>altère pas l</w:t>
      </w:r>
      <w:r>
        <w:rPr>
          <w:rFonts w:cs="Times New Roman"/>
          <w:lang w:val="fr-CA"/>
        </w:rPr>
        <w:t>’</w:t>
      </w:r>
      <w:r w:rsidRPr="002C1B3A">
        <w:rPr>
          <w:rFonts w:cs="Times New Roman"/>
          <w:lang w:val="fr-CA"/>
        </w:rPr>
        <w:t>uniformité du droit maritime canadien, ni ne limite le pouvoir du Parlement de décider qui dispose d</w:t>
      </w:r>
      <w:r>
        <w:rPr>
          <w:rFonts w:cs="Times New Roman"/>
          <w:lang w:val="fr-CA"/>
        </w:rPr>
        <w:t>’</w:t>
      </w:r>
      <w:r w:rsidRPr="002C1B3A">
        <w:rPr>
          <w:rFonts w:cs="Times New Roman"/>
          <w:lang w:val="fr-CA"/>
        </w:rPr>
        <w:t>une cause d</w:t>
      </w:r>
      <w:r>
        <w:rPr>
          <w:rFonts w:cs="Times New Roman"/>
          <w:lang w:val="fr-CA"/>
        </w:rPr>
        <w:t>’</w:t>
      </w:r>
      <w:r w:rsidRPr="002C1B3A">
        <w:rPr>
          <w:rFonts w:cs="Times New Roman"/>
          <w:lang w:val="fr-CA"/>
        </w:rPr>
        <w:t xml:space="preserve">action sous le régime de la </w:t>
      </w:r>
      <w:r w:rsidRPr="002C1B3A">
        <w:rPr>
          <w:rFonts w:cs="Times New Roman"/>
          <w:i/>
          <w:lang w:val="fr-CA"/>
        </w:rPr>
        <w:t>LRMM</w:t>
      </w:r>
      <w:r w:rsidRPr="002C1B3A">
        <w:rPr>
          <w:rFonts w:cs="Times New Roman"/>
          <w:lang w:val="fr-CA"/>
        </w:rPr>
        <w:t>.  Même s</w:t>
      </w:r>
      <w:r>
        <w:rPr>
          <w:rFonts w:cs="Times New Roman"/>
          <w:lang w:val="fr-CA"/>
        </w:rPr>
        <w:t>’</w:t>
      </w:r>
      <w:r w:rsidRPr="002C1B3A">
        <w:rPr>
          <w:rFonts w:cs="Times New Roman"/>
          <w:lang w:val="fr-CA"/>
        </w:rPr>
        <w:t>il leur est impossible d</w:t>
      </w:r>
      <w:r>
        <w:rPr>
          <w:rFonts w:cs="Times New Roman"/>
          <w:lang w:val="fr-CA"/>
        </w:rPr>
        <w:t>’</w:t>
      </w:r>
      <w:r w:rsidRPr="002C1B3A">
        <w:rPr>
          <w:rFonts w:cs="Times New Roman"/>
          <w:lang w:val="fr-CA"/>
        </w:rPr>
        <w:t xml:space="preserve">intenter une action en négligence en matière maritime en vertu du par. 6(2) de la </w:t>
      </w:r>
      <w:r w:rsidRPr="002C1B3A">
        <w:rPr>
          <w:rFonts w:cs="Times New Roman"/>
          <w:i/>
          <w:lang w:val="fr-CA"/>
        </w:rPr>
        <w:t>LRMM</w:t>
      </w:r>
      <w:r w:rsidRPr="002C1B3A">
        <w:rPr>
          <w:rFonts w:cs="Times New Roman"/>
          <w:lang w:val="fr-CA"/>
        </w:rPr>
        <w:t>, les parties se trouvant dans la situation des successions Ryan obtiennent néanmoins une indemnité pour les accidents les touchant (quoique d</w:t>
      </w:r>
      <w:r>
        <w:rPr>
          <w:rFonts w:cs="Times New Roman"/>
          <w:lang w:val="fr-CA"/>
        </w:rPr>
        <w:t>’</w:t>
      </w:r>
      <w:r w:rsidRPr="002C1B3A">
        <w:rPr>
          <w:rFonts w:cs="Times New Roman"/>
          <w:lang w:val="fr-CA"/>
        </w:rPr>
        <w:t>une source différente et par l</w:t>
      </w:r>
      <w:r>
        <w:rPr>
          <w:rFonts w:cs="Times New Roman"/>
          <w:lang w:val="fr-CA"/>
        </w:rPr>
        <w:t>’</w:t>
      </w:r>
      <w:r w:rsidRPr="002C1B3A">
        <w:rPr>
          <w:rFonts w:cs="Times New Roman"/>
          <w:lang w:val="fr-CA"/>
        </w:rPr>
        <w:t>entremise d</w:t>
      </w:r>
      <w:r>
        <w:rPr>
          <w:rFonts w:cs="Times New Roman"/>
          <w:lang w:val="fr-CA"/>
        </w:rPr>
        <w:t>’</w:t>
      </w:r>
      <w:r w:rsidRPr="002C1B3A">
        <w:rPr>
          <w:rFonts w:cs="Times New Roman"/>
          <w:lang w:val="fr-CA"/>
        </w:rPr>
        <w:t>un autre mécanisme).</w:t>
      </w:r>
    </w:p>
    <w:p w:rsidR="00931170" w:rsidRPr="002C1B3A" w:rsidRDefault="00931170" w:rsidP="00931170">
      <w:pPr>
        <w:pStyle w:val="ParaNoNdepar-AltN"/>
        <w:rPr>
          <w:rFonts w:cs="Times New Roman"/>
          <w:lang w:val="fr-CA"/>
        </w:rPr>
      </w:pPr>
      <w:r w:rsidRPr="002C1B3A">
        <w:rPr>
          <w:rFonts w:cs="Times New Roman"/>
          <w:lang w:val="fr-CA"/>
        </w:rPr>
        <w:t>Le fait que l</w:t>
      </w:r>
      <w:r>
        <w:rPr>
          <w:rFonts w:cs="Times New Roman"/>
          <w:lang w:val="fr-CA"/>
        </w:rPr>
        <w:t>’</w:t>
      </w:r>
      <w:r w:rsidRPr="002C1B3A">
        <w:rPr>
          <w:rFonts w:cs="Times New Roman"/>
          <w:lang w:val="fr-CA"/>
        </w:rPr>
        <w:t xml:space="preserve">art. 44 de la </w:t>
      </w:r>
      <w:r w:rsidRPr="002C1B3A">
        <w:rPr>
          <w:rFonts w:cs="Times New Roman"/>
          <w:i/>
          <w:lang w:val="fr-CA"/>
        </w:rPr>
        <w:t>WHSCA</w:t>
      </w:r>
      <w:r w:rsidRPr="002C1B3A">
        <w:rPr>
          <w:rFonts w:cs="Times New Roman"/>
          <w:lang w:val="fr-CA"/>
        </w:rPr>
        <w:t xml:space="preserve"> n</w:t>
      </w:r>
      <w:r>
        <w:rPr>
          <w:rFonts w:cs="Times New Roman"/>
          <w:lang w:val="fr-CA"/>
        </w:rPr>
        <w:t>’</w:t>
      </w:r>
      <w:r w:rsidRPr="002C1B3A">
        <w:rPr>
          <w:rFonts w:cs="Times New Roman"/>
          <w:lang w:val="fr-CA"/>
        </w:rPr>
        <w:t>entrave pas l</w:t>
      </w:r>
      <w:r>
        <w:rPr>
          <w:rFonts w:cs="Times New Roman"/>
          <w:lang w:val="fr-CA"/>
        </w:rPr>
        <w:t>’</w:t>
      </w:r>
      <w:r w:rsidRPr="002C1B3A">
        <w:rPr>
          <w:rFonts w:cs="Times New Roman"/>
          <w:lang w:val="fr-CA"/>
        </w:rPr>
        <w:t>exercice de la compétence fédérale sur la navigation et les bâtiments ou navires ressort également de l</w:t>
      </w:r>
      <w:r>
        <w:rPr>
          <w:rFonts w:cs="Times New Roman"/>
          <w:lang w:val="fr-CA"/>
        </w:rPr>
        <w:t>’</w:t>
      </w:r>
      <w:r w:rsidRPr="002C1B3A">
        <w:rPr>
          <w:rFonts w:cs="Times New Roman"/>
          <w:lang w:val="fr-CA"/>
        </w:rPr>
        <w:t>application quasi centenaire des régimes d</w:t>
      </w:r>
      <w:r>
        <w:rPr>
          <w:rFonts w:cs="Times New Roman"/>
          <w:lang w:val="fr-CA"/>
        </w:rPr>
        <w:t>’</w:t>
      </w:r>
      <w:r w:rsidRPr="002C1B3A">
        <w:rPr>
          <w:rFonts w:cs="Times New Roman"/>
          <w:lang w:val="fr-CA"/>
        </w:rPr>
        <w:t>indemnisation des accidents du travail au secteur maritime, soit depuis l</w:t>
      </w:r>
      <w:r>
        <w:rPr>
          <w:rFonts w:cs="Times New Roman"/>
          <w:lang w:val="fr-CA"/>
        </w:rPr>
        <w:t>’</w:t>
      </w:r>
      <w:r w:rsidRPr="002C1B3A">
        <w:rPr>
          <w:rFonts w:cs="Times New Roman"/>
          <w:lang w:val="fr-CA"/>
        </w:rPr>
        <w:t>arrêt rendu en 1919 par le Conseil privé dans l</w:t>
      </w:r>
      <w:r>
        <w:rPr>
          <w:rFonts w:cs="Times New Roman"/>
          <w:lang w:val="fr-CA"/>
        </w:rPr>
        <w:t>’</w:t>
      </w:r>
      <w:r w:rsidRPr="002C1B3A">
        <w:rPr>
          <w:rFonts w:cs="Times New Roman"/>
          <w:lang w:val="fr-CA"/>
        </w:rPr>
        <w:t xml:space="preserve">affaire </w:t>
      </w:r>
      <w:r w:rsidRPr="002C1B3A">
        <w:rPr>
          <w:rFonts w:cs="Times New Roman"/>
          <w:i/>
          <w:lang w:val="fr-CA"/>
        </w:rPr>
        <w:t>Canadian Pacific Railway</w:t>
      </w:r>
      <w:r w:rsidRPr="002C1B3A">
        <w:rPr>
          <w:rFonts w:cs="Times New Roman"/>
          <w:lang w:val="fr-CA"/>
        </w:rPr>
        <w:t xml:space="preserve">.  Voir également </w:t>
      </w:r>
      <w:r w:rsidRPr="002C1B3A">
        <w:rPr>
          <w:rFonts w:cs="Times New Roman"/>
          <w:i/>
          <w:lang w:val="fr-CA"/>
        </w:rPr>
        <w:t>Sincennes</w:t>
      </w:r>
      <w:r w:rsidRPr="002C1B3A">
        <w:rPr>
          <w:rFonts w:cs="Times New Roman"/>
          <w:i/>
          <w:lang w:val="fr-CA"/>
        </w:rPr>
        <w:noBreakHyphen/>
        <w:t>McNaughton Lines</w:t>
      </w:r>
      <w:r w:rsidR="00AE67DE">
        <w:rPr>
          <w:rFonts w:cs="Times New Roman"/>
          <w:i/>
          <w:lang w:val="fr-CA"/>
        </w:rPr>
        <w:t>,</w:t>
      </w:r>
      <w:r w:rsidRPr="002C1B3A">
        <w:rPr>
          <w:rFonts w:cs="Times New Roman"/>
          <w:i/>
          <w:lang w:val="fr-CA"/>
        </w:rPr>
        <w:t xml:space="preserve"> L</w:t>
      </w:r>
      <w:r w:rsidR="00AE67DE">
        <w:rPr>
          <w:rFonts w:cs="Times New Roman"/>
          <w:i/>
          <w:lang w:val="fr-CA"/>
        </w:rPr>
        <w:t>td.</w:t>
      </w:r>
      <w:r w:rsidRPr="002C1B3A">
        <w:rPr>
          <w:rFonts w:cs="Times New Roman"/>
          <w:i/>
          <w:lang w:val="fr-CA"/>
        </w:rPr>
        <w:t xml:space="preserve"> c. Bruneau</w:t>
      </w:r>
      <w:r w:rsidRPr="002C1B3A">
        <w:rPr>
          <w:rFonts w:cs="Times New Roman"/>
          <w:lang w:val="fr-CA"/>
        </w:rPr>
        <w:t xml:space="preserve">, [1924] R.C.S. 168; </w:t>
      </w:r>
      <w:r w:rsidRPr="002C1B3A">
        <w:rPr>
          <w:rFonts w:cs="Times New Roman"/>
          <w:i/>
          <w:lang w:val="fr-CA"/>
        </w:rPr>
        <w:t xml:space="preserve">Bonavista Cold Storage </w:t>
      </w:r>
      <w:r w:rsidR="00AE67DE">
        <w:rPr>
          <w:rFonts w:cs="Times New Roman"/>
          <w:i/>
          <w:lang w:val="fr-CA"/>
        </w:rPr>
        <w:t xml:space="preserve">Co. </w:t>
      </w:r>
      <w:r w:rsidRPr="002C1B3A">
        <w:rPr>
          <w:rFonts w:cs="Times New Roman"/>
          <w:i/>
          <w:lang w:val="fr-CA"/>
        </w:rPr>
        <w:t>c. Walters</w:t>
      </w:r>
      <w:r w:rsidRPr="002C1B3A">
        <w:rPr>
          <w:rFonts w:cs="Times New Roman"/>
          <w:lang w:val="fr-CA"/>
        </w:rPr>
        <w:t xml:space="preserve"> (1959), 20 D.L.R. (2d) 744 (C. de l</w:t>
      </w:r>
      <w:r>
        <w:rPr>
          <w:rFonts w:cs="Times New Roman"/>
          <w:lang w:val="fr-CA"/>
        </w:rPr>
        <w:t>’</w:t>
      </w:r>
      <w:r w:rsidRPr="002C1B3A">
        <w:rPr>
          <w:rFonts w:cs="Times New Roman"/>
          <w:lang w:val="fr-CA"/>
        </w:rPr>
        <w:t xml:space="preserve">Éch.); </w:t>
      </w:r>
      <w:r w:rsidRPr="002C1B3A">
        <w:rPr>
          <w:rFonts w:cs="Times New Roman"/>
          <w:i/>
          <w:lang w:val="fr-CA"/>
        </w:rPr>
        <w:t>Paré c. Rail &amp; Water Terminal (Quebec) Inc</w:t>
      </w:r>
      <w:r w:rsidRPr="002C1B3A">
        <w:rPr>
          <w:rFonts w:cs="Times New Roman"/>
          <w:lang w:val="fr-CA"/>
        </w:rPr>
        <w:t>., [1978] 1 C.F. 23 (1</w:t>
      </w:r>
      <w:r w:rsidRPr="002C1B3A">
        <w:rPr>
          <w:rFonts w:cs="Times New Roman"/>
          <w:vertAlign w:val="superscript"/>
          <w:lang w:val="fr-CA"/>
        </w:rPr>
        <w:t>re</w:t>
      </w:r>
      <w:r w:rsidR="00E0394F">
        <w:rPr>
          <w:rFonts w:cs="Times New Roman"/>
          <w:lang w:val="fr-CA"/>
        </w:rPr>
        <w:t xml:space="preserve"> inst.)</w:t>
      </w:r>
      <w:r w:rsidRPr="002C1B3A">
        <w:rPr>
          <w:rFonts w:cs="Times New Roman"/>
          <w:lang w:val="fr-CA"/>
        </w:rPr>
        <w:t xml:space="preserve">; et </w:t>
      </w:r>
      <w:r w:rsidRPr="002C1B3A">
        <w:rPr>
          <w:rFonts w:cs="Times New Roman"/>
          <w:i/>
          <w:lang w:val="fr-CA"/>
        </w:rPr>
        <w:t>Laboucane c. Brooks</w:t>
      </w:r>
      <w:r w:rsidRPr="002C1B3A">
        <w:rPr>
          <w:rFonts w:cs="Times New Roman"/>
          <w:lang w:val="fr-CA"/>
        </w:rPr>
        <w:t xml:space="preserve">, 2003 BCSC 1247, 17 B.C.L.R. (4th) 20. </w:t>
      </w:r>
    </w:p>
    <w:p w:rsidR="00931170" w:rsidRPr="002C1B3A" w:rsidRDefault="00931170" w:rsidP="00931170">
      <w:pPr>
        <w:pStyle w:val="ParaNoNdepar-AltN"/>
        <w:rPr>
          <w:rFonts w:cs="Times New Roman"/>
          <w:lang w:val="fr-CA"/>
        </w:rPr>
      </w:pPr>
      <w:r w:rsidRPr="002C1B3A">
        <w:rPr>
          <w:rFonts w:cs="Times New Roman"/>
          <w:lang w:val="fr-CA"/>
        </w:rPr>
        <w:lastRenderedPageBreak/>
        <w:t>Nous reconnaissons que, dans l</w:t>
      </w:r>
      <w:r>
        <w:rPr>
          <w:rFonts w:cs="Times New Roman"/>
          <w:lang w:val="fr-CA"/>
        </w:rPr>
        <w:t>’</w:t>
      </w:r>
      <w:r w:rsidRPr="002C1B3A">
        <w:rPr>
          <w:rFonts w:cs="Times New Roman"/>
          <w:lang w:val="fr-CA"/>
        </w:rPr>
        <w:t xml:space="preserve">arrêt </w:t>
      </w:r>
      <w:r w:rsidRPr="002C1B3A">
        <w:rPr>
          <w:rFonts w:cs="Times New Roman"/>
          <w:i/>
          <w:lang w:val="fr-CA"/>
        </w:rPr>
        <w:t>Ordon</w:t>
      </w:r>
      <w:r w:rsidRPr="002C1B3A">
        <w:rPr>
          <w:rFonts w:cs="Times New Roman"/>
          <w:lang w:val="fr-CA"/>
        </w:rPr>
        <w:t>,</w:t>
      </w:r>
      <w:r w:rsidRPr="002C1B3A">
        <w:rPr>
          <w:rFonts w:cs="Times New Roman"/>
          <w:i/>
          <w:lang w:val="fr-CA"/>
        </w:rPr>
        <w:t xml:space="preserve"> </w:t>
      </w:r>
      <w:r w:rsidRPr="002C1B3A">
        <w:rPr>
          <w:rFonts w:cs="Times New Roman"/>
          <w:lang w:val="fr-CA"/>
        </w:rPr>
        <w:t>notre Cour a jugé que la doctrine de l</w:t>
      </w:r>
      <w:r>
        <w:rPr>
          <w:rFonts w:cs="Times New Roman"/>
          <w:lang w:val="fr-CA"/>
        </w:rPr>
        <w:t>’</w:t>
      </w:r>
      <w:r w:rsidRPr="002C1B3A">
        <w:rPr>
          <w:rFonts w:cs="Times New Roman"/>
          <w:lang w:val="fr-CA"/>
        </w:rPr>
        <w:t>exclusivité des compétences s</w:t>
      </w:r>
      <w:r>
        <w:rPr>
          <w:rFonts w:cs="Times New Roman"/>
          <w:lang w:val="fr-CA"/>
        </w:rPr>
        <w:t>’</w:t>
      </w:r>
      <w:r w:rsidRPr="002C1B3A">
        <w:rPr>
          <w:rFonts w:cs="Times New Roman"/>
          <w:lang w:val="fr-CA"/>
        </w:rPr>
        <w:t>applique lorsqu</w:t>
      </w:r>
      <w:r>
        <w:rPr>
          <w:rFonts w:cs="Times New Roman"/>
          <w:lang w:val="fr-CA"/>
        </w:rPr>
        <w:t>’</w:t>
      </w:r>
      <w:r w:rsidRPr="002C1B3A">
        <w:rPr>
          <w:rFonts w:cs="Times New Roman"/>
          <w:lang w:val="fr-CA"/>
        </w:rPr>
        <w:t>une loi provinciale d</w:t>
      </w:r>
      <w:r>
        <w:rPr>
          <w:rFonts w:cs="Times New Roman"/>
          <w:lang w:val="fr-CA"/>
        </w:rPr>
        <w:t>’</w:t>
      </w:r>
      <w:r w:rsidRPr="002C1B3A">
        <w:rPr>
          <w:rFonts w:cs="Times New Roman"/>
          <w:lang w:val="fr-CA"/>
        </w:rPr>
        <w:t xml:space="preserve">application générale a pour effet de réglementer indirectement un aspect des règles de droit relatives à la négligence en matière maritime.  Toutefois, cet arrêt a précédé les affaires </w:t>
      </w:r>
      <w:r w:rsidRPr="002C1B3A">
        <w:rPr>
          <w:rFonts w:cs="Times New Roman"/>
          <w:i/>
          <w:lang w:val="fr-CA"/>
        </w:rPr>
        <w:t>Banque canadienne de l</w:t>
      </w:r>
      <w:r>
        <w:rPr>
          <w:rFonts w:cs="Times New Roman"/>
          <w:i/>
          <w:lang w:val="fr-CA"/>
        </w:rPr>
        <w:t>’</w:t>
      </w:r>
      <w:r w:rsidRPr="002C1B3A">
        <w:rPr>
          <w:rFonts w:cs="Times New Roman"/>
          <w:i/>
          <w:lang w:val="fr-CA"/>
        </w:rPr>
        <w:t xml:space="preserve">Ouest </w:t>
      </w:r>
      <w:r w:rsidRPr="002C1B3A">
        <w:rPr>
          <w:rFonts w:cs="Times New Roman"/>
          <w:lang w:val="fr-CA"/>
        </w:rPr>
        <w:t xml:space="preserve">et </w:t>
      </w:r>
      <w:r w:rsidRPr="002C1B3A">
        <w:rPr>
          <w:rFonts w:cs="Times New Roman"/>
          <w:i/>
          <w:lang w:val="fr-CA"/>
        </w:rPr>
        <w:t>COPA</w:t>
      </w:r>
      <w:r w:rsidRPr="002C1B3A">
        <w:rPr>
          <w:rFonts w:cs="Times New Roman"/>
          <w:lang w:val="fr-CA"/>
        </w:rPr>
        <w:t>, où la Cour a précisé l</w:t>
      </w:r>
      <w:r>
        <w:rPr>
          <w:rFonts w:cs="Times New Roman"/>
          <w:lang w:val="fr-CA"/>
        </w:rPr>
        <w:t>’</w:t>
      </w:r>
      <w:r w:rsidRPr="002C1B3A">
        <w:rPr>
          <w:rFonts w:cs="Times New Roman"/>
          <w:lang w:val="fr-CA"/>
        </w:rPr>
        <w:t>analyse à deux volets concernant l</w:t>
      </w:r>
      <w:r>
        <w:rPr>
          <w:rFonts w:cs="Times New Roman"/>
          <w:lang w:val="fr-CA"/>
        </w:rPr>
        <w:t>’</w:t>
      </w:r>
      <w:r w:rsidRPr="002C1B3A">
        <w:rPr>
          <w:rFonts w:cs="Times New Roman"/>
          <w:lang w:val="fr-CA"/>
        </w:rPr>
        <w:t>exclusivité des compétences et indiqué que l</w:t>
      </w:r>
      <w:r>
        <w:rPr>
          <w:rFonts w:cs="Times New Roman"/>
          <w:lang w:val="fr-CA"/>
        </w:rPr>
        <w:t>’</w:t>
      </w:r>
      <w:r w:rsidRPr="002C1B3A">
        <w:rPr>
          <w:rFonts w:cs="Times New Roman"/>
          <w:lang w:val="fr-CA"/>
        </w:rPr>
        <w:t>empiétement reproché devait non seulement « toucher » le cœur de la compétence en cause mais « entraver » l</w:t>
      </w:r>
      <w:r>
        <w:rPr>
          <w:rFonts w:cs="Times New Roman"/>
          <w:lang w:val="fr-CA"/>
        </w:rPr>
        <w:t>’</w:t>
      </w:r>
      <w:r w:rsidRPr="002C1B3A">
        <w:rPr>
          <w:rFonts w:cs="Times New Roman"/>
          <w:lang w:val="fr-CA"/>
        </w:rPr>
        <w:t>exercice de celle</w:t>
      </w:r>
      <w:r w:rsidRPr="002C1B3A">
        <w:rPr>
          <w:rFonts w:cs="Times New Roman"/>
          <w:lang w:val="fr-CA"/>
        </w:rPr>
        <w:noBreakHyphen/>
        <w:t>ci.  Par conséquent, ni l</w:t>
      </w:r>
      <w:r>
        <w:rPr>
          <w:rFonts w:cs="Times New Roman"/>
          <w:lang w:val="fr-CA"/>
        </w:rPr>
        <w:t>’</w:t>
      </w:r>
      <w:r w:rsidRPr="002C1B3A">
        <w:rPr>
          <w:rFonts w:cs="Times New Roman"/>
          <w:lang w:val="fr-CA"/>
        </w:rPr>
        <w:t xml:space="preserve">analyse élaborée dans </w:t>
      </w:r>
      <w:r w:rsidRPr="002C1B3A">
        <w:rPr>
          <w:rFonts w:cs="Times New Roman"/>
          <w:i/>
          <w:lang w:val="fr-CA"/>
        </w:rPr>
        <w:t>Banque canadienne de l</w:t>
      </w:r>
      <w:r>
        <w:rPr>
          <w:rFonts w:cs="Times New Roman"/>
          <w:i/>
          <w:lang w:val="fr-CA"/>
        </w:rPr>
        <w:t>’</w:t>
      </w:r>
      <w:r w:rsidRPr="002C1B3A">
        <w:rPr>
          <w:rFonts w:cs="Times New Roman"/>
          <w:i/>
          <w:lang w:val="fr-CA"/>
        </w:rPr>
        <w:t>Ouest</w:t>
      </w:r>
      <w:r w:rsidRPr="002C1B3A">
        <w:rPr>
          <w:rFonts w:cs="Times New Roman"/>
          <w:lang w:val="fr-CA"/>
        </w:rPr>
        <w:t xml:space="preserve"> et </w:t>
      </w:r>
      <w:r w:rsidRPr="002C1B3A">
        <w:rPr>
          <w:rFonts w:cs="Times New Roman"/>
          <w:i/>
          <w:lang w:val="fr-CA"/>
        </w:rPr>
        <w:t>COPA</w:t>
      </w:r>
      <w:r w:rsidRPr="002C1B3A">
        <w:rPr>
          <w:rFonts w:cs="Times New Roman"/>
          <w:lang w:val="fr-CA"/>
        </w:rPr>
        <w:t>, ni le degré d</w:t>
      </w:r>
      <w:r>
        <w:rPr>
          <w:rFonts w:cs="Times New Roman"/>
          <w:lang w:val="fr-CA"/>
        </w:rPr>
        <w:t>’</w:t>
      </w:r>
      <w:r w:rsidRPr="002C1B3A">
        <w:rPr>
          <w:rFonts w:cs="Times New Roman"/>
          <w:lang w:val="fr-CA"/>
        </w:rPr>
        <w:t>empiétement requis aujourd</w:t>
      </w:r>
      <w:r>
        <w:rPr>
          <w:rFonts w:cs="Times New Roman"/>
          <w:lang w:val="fr-CA"/>
        </w:rPr>
        <w:t>’</w:t>
      </w:r>
      <w:r w:rsidRPr="002C1B3A">
        <w:rPr>
          <w:rFonts w:cs="Times New Roman"/>
          <w:lang w:val="fr-CA"/>
        </w:rPr>
        <w:t>hui pour déclencher l</w:t>
      </w:r>
      <w:r>
        <w:rPr>
          <w:rFonts w:cs="Times New Roman"/>
          <w:lang w:val="fr-CA"/>
        </w:rPr>
        <w:t>’</w:t>
      </w:r>
      <w:r w:rsidRPr="002C1B3A">
        <w:rPr>
          <w:rFonts w:cs="Times New Roman"/>
          <w:lang w:val="fr-CA"/>
        </w:rPr>
        <w:t>application de la doctrine de l</w:t>
      </w:r>
      <w:r>
        <w:rPr>
          <w:rFonts w:cs="Times New Roman"/>
          <w:lang w:val="fr-CA"/>
        </w:rPr>
        <w:t>’</w:t>
      </w:r>
      <w:r w:rsidRPr="002C1B3A">
        <w:rPr>
          <w:rFonts w:cs="Times New Roman"/>
          <w:lang w:val="fr-CA"/>
        </w:rPr>
        <w:t>exclusivité des compétences n</w:t>
      </w:r>
      <w:r>
        <w:rPr>
          <w:rFonts w:cs="Times New Roman"/>
          <w:lang w:val="fr-CA"/>
        </w:rPr>
        <w:t>’</w:t>
      </w:r>
      <w:r w:rsidRPr="002C1B3A">
        <w:rPr>
          <w:rFonts w:cs="Times New Roman"/>
          <w:lang w:val="fr-CA"/>
        </w:rPr>
        <w:t xml:space="preserve">ont été appliqués dans </w:t>
      </w:r>
      <w:r w:rsidRPr="002C1B3A">
        <w:rPr>
          <w:rFonts w:cs="Times New Roman"/>
          <w:i/>
          <w:lang w:val="fr-CA"/>
        </w:rPr>
        <w:t>Ordon</w:t>
      </w:r>
      <w:r w:rsidRPr="00E0394F">
        <w:rPr>
          <w:rFonts w:cs="Times New Roman"/>
          <w:lang w:val="fr-CA"/>
        </w:rPr>
        <w:t> :</w:t>
      </w:r>
      <w:r w:rsidRPr="002C1B3A">
        <w:rPr>
          <w:rFonts w:cs="Times New Roman"/>
          <w:lang w:val="fr-CA"/>
        </w:rPr>
        <w:t xml:space="preserve"> voir </w:t>
      </w:r>
      <w:r w:rsidRPr="002C1B3A">
        <w:rPr>
          <w:rFonts w:cs="Times New Roman"/>
          <w:i/>
          <w:lang w:val="fr-CA"/>
        </w:rPr>
        <w:t>Ordon</w:t>
      </w:r>
      <w:r w:rsidRPr="002C1B3A">
        <w:rPr>
          <w:rFonts w:cs="Times New Roman"/>
          <w:lang w:val="fr-CA"/>
        </w:rPr>
        <w:t>, par. 81.  Quoique l</w:t>
      </w:r>
      <w:r>
        <w:rPr>
          <w:rFonts w:cs="Times New Roman"/>
          <w:lang w:val="fr-CA"/>
        </w:rPr>
        <w:t>’</w:t>
      </w:r>
      <w:r w:rsidRPr="002C1B3A">
        <w:rPr>
          <w:rFonts w:cs="Times New Roman"/>
          <w:lang w:val="fr-CA"/>
        </w:rPr>
        <w:t xml:space="preserve">art. 44 de la </w:t>
      </w:r>
      <w:r w:rsidRPr="002C1B3A">
        <w:rPr>
          <w:rFonts w:cs="Times New Roman"/>
          <w:i/>
          <w:lang w:val="fr-CA"/>
        </w:rPr>
        <w:t xml:space="preserve">WHSCA </w:t>
      </w:r>
      <w:r w:rsidRPr="002C1B3A">
        <w:rPr>
          <w:rFonts w:cs="Times New Roman"/>
          <w:lang w:val="fr-CA"/>
        </w:rPr>
        <w:t>puisse</w:t>
      </w:r>
      <w:r w:rsidRPr="002C1B3A">
        <w:rPr>
          <w:rFonts w:cs="Times New Roman"/>
          <w:i/>
          <w:lang w:val="fr-CA"/>
        </w:rPr>
        <w:t xml:space="preserve"> </w:t>
      </w:r>
      <w:r w:rsidRPr="002C1B3A">
        <w:rPr>
          <w:rFonts w:cs="Times New Roman"/>
          <w:lang w:val="fr-CA"/>
        </w:rPr>
        <w:t>toucher l</w:t>
      </w:r>
      <w:r>
        <w:rPr>
          <w:rFonts w:cs="Times New Roman"/>
          <w:lang w:val="fr-CA"/>
        </w:rPr>
        <w:t>’</w:t>
      </w:r>
      <w:r w:rsidRPr="002C1B3A">
        <w:rPr>
          <w:rFonts w:cs="Times New Roman"/>
          <w:lang w:val="fr-CA"/>
        </w:rPr>
        <w:t>exercice de la compétence fédérale sur la navigation et les bâtiments ou navires, ce degré d</w:t>
      </w:r>
      <w:r>
        <w:rPr>
          <w:rFonts w:cs="Times New Roman"/>
          <w:lang w:val="fr-CA"/>
        </w:rPr>
        <w:t>’</w:t>
      </w:r>
      <w:r w:rsidRPr="002C1B3A">
        <w:rPr>
          <w:rFonts w:cs="Times New Roman"/>
          <w:lang w:val="fr-CA"/>
        </w:rPr>
        <w:t>empiétement sur la compétence fédérale en question ne suffit pas pour que s</w:t>
      </w:r>
      <w:r>
        <w:rPr>
          <w:rFonts w:cs="Times New Roman"/>
          <w:lang w:val="fr-CA"/>
        </w:rPr>
        <w:t>’</w:t>
      </w:r>
      <w:r w:rsidRPr="002C1B3A">
        <w:rPr>
          <w:rFonts w:cs="Times New Roman"/>
          <w:lang w:val="fr-CA"/>
        </w:rPr>
        <w:t>applique la doctrine de l</w:t>
      </w:r>
      <w:r>
        <w:rPr>
          <w:rFonts w:cs="Times New Roman"/>
          <w:lang w:val="fr-CA"/>
        </w:rPr>
        <w:t>’</w:t>
      </w:r>
      <w:r w:rsidRPr="002C1B3A">
        <w:rPr>
          <w:rFonts w:cs="Times New Roman"/>
          <w:lang w:val="fr-CA"/>
        </w:rPr>
        <w:t>exclusivité des compétences.  L</w:t>
      </w:r>
      <w:r>
        <w:rPr>
          <w:rFonts w:cs="Times New Roman"/>
          <w:lang w:val="fr-CA"/>
        </w:rPr>
        <w:t>’</w:t>
      </w:r>
      <w:r w:rsidRPr="002C1B3A">
        <w:rPr>
          <w:rFonts w:cs="Times New Roman"/>
          <w:lang w:val="fr-CA"/>
        </w:rPr>
        <w:t>empiétement causé par l</w:t>
      </w:r>
      <w:r>
        <w:rPr>
          <w:rFonts w:cs="Times New Roman"/>
          <w:lang w:val="fr-CA"/>
        </w:rPr>
        <w:t>’</w:t>
      </w:r>
      <w:r w:rsidRPr="002C1B3A">
        <w:rPr>
          <w:rFonts w:cs="Times New Roman"/>
          <w:lang w:val="fr-CA"/>
        </w:rPr>
        <w:t>art. 44 ne saurait être considéré important ou grave si l</w:t>
      </w:r>
      <w:r>
        <w:rPr>
          <w:rFonts w:cs="Times New Roman"/>
          <w:lang w:val="fr-CA"/>
        </w:rPr>
        <w:t>’</w:t>
      </w:r>
      <w:r w:rsidRPr="002C1B3A">
        <w:rPr>
          <w:rFonts w:cs="Times New Roman"/>
          <w:lang w:val="fr-CA"/>
        </w:rPr>
        <w:t>on tient compte de l</w:t>
      </w:r>
      <w:r>
        <w:rPr>
          <w:rFonts w:cs="Times New Roman"/>
          <w:lang w:val="fr-CA"/>
        </w:rPr>
        <w:t>’</w:t>
      </w:r>
      <w:r w:rsidRPr="002C1B3A">
        <w:rPr>
          <w:rFonts w:cs="Times New Roman"/>
          <w:lang w:val="fr-CA"/>
        </w:rPr>
        <w:t>étendue de la compétence sur la navigation et les bâtiments ou navires, de l</w:t>
      </w:r>
      <w:r>
        <w:rPr>
          <w:rFonts w:cs="Times New Roman"/>
          <w:lang w:val="fr-CA"/>
        </w:rPr>
        <w:t>’</w:t>
      </w:r>
      <w:r w:rsidRPr="002C1B3A">
        <w:rPr>
          <w:rFonts w:cs="Times New Roman"/>
          <w:lang w:val="fr-CA"/>
        </w:rPr>
        <w:t>absence de répercussions sur l</w:t>
      </w:r>
      <w:r>
        <w:rPr>
          <w:rFonts w:cs="Times New Roman"/>
          <w:lang w:val="fr-CA"/>
        </w:rPr>
        <w:t>’</w:t>
      </w:r>
      <w:r w:rsidRPr="002C1B3A">
        <w:rPr>
          <w:rFonts w:cs="Times New Roman"/>
          <w:lang w:val="fr-CA"/>
        </w:rPr>
        <w:t>uniformité du droit maritime canadien et de l</w:t>
      </w:r>
      <w:r>
        <w:rPr>
          <w:rFonts w:cs="Times New Roman"/>
          <w:lang w:val="fr-CA"/>
        </w:rPr>
        <w:t>’</w:t>
      </w:r>
      <w:r w:rsidRPr="002C1B3A">
        <w:rPr>
          <w:rFonts w:cs="Times New Roman"/>
          <w:lang w:val="fr-CA"/>
        </w:rPr>
        <w:t>application de longue date des régimes d</w:t>
      </w:r>
      <w:r>
        <w:rPr>
          <w:rFonts w:cs="Times New Roman"/>
          <w:lang w:val="fr-CA"/>
        </w:rPr>
        <w:t>’</w:t>
      </w:r>
      <w:r w:rsidRPr="002C1B3A">
        <w:rPr>
          <w:rFonts w:cs="Times New Roman"/>
          <w:lang w:val="fr-CA"/>
        </w:rPr>
        <w:t>indemnisation des accidents du travail dans le secteur maritime.  Pour ces raisons, l</w:t>
      </w:r>
      <w:r>
        <w:rPr>
          <w:rFonts w:cs="Times New Roman"/>
          <w:lang w:val="fr-CA"/>
        </w:rPr>
        <w:t>’</w:t>
      </w:r>
      <w:r w:rsidRPr="002C1B3A">
        <w:rPr>
          <w:rFonts w:cs="Times New Roman"/>
          <w:lang w:val="fr-CA"/>
        </w:rPr>
        <w:t xml:space="preserve">art. 44 de la </w:t>
      </w:r>
      <w:r w:rsidRPr="002C1B3A">
        <w:rPr>
          <w:rFonts w:cs="Times New Roman"/>
          <w:i/>
          <w:lang w:val="fr-CA"/>
        </w:rPr>
        <w:t>WHSCA</w:t>
      </w:r>
      <w:r w:rsidRPr="002C1B3A">
        <w:rPr>
          <w:rFonts w:cs="Times New Roman"/>
          <w:lang w:val="fr-CA"/>
        </w:rPr>
        <w:t xml:space="preserve"> n</w:t>
      </w:r>
      <w:r>
        <w:rPr>
          <w:rFonts w:cs="Times New Roman"/>
          <w:lang w:val="fr-CA"/>
        </w:rPr>
        <w:t>’</w:t>
      </w:r>
      <w:r w:rsidRPr="002C1B3A">
        <w:rPr>
          <w:rFonts w:cs="Times New Roman"/>
          <w:lang w:val="fr-CA"/>
        </w:rPr>
        <w:t>entrave pas l</w:t>
      </w:r>
      <w:r>
        <w:rPr>
          <w:rFonts w:cs="Times New Roman"/>
          <w:lang w:val="fr-CA"/>
        </w:rPr>
        <w:t>’</w:t>
      </w:r>
      <w:r w:rsidRPr="002C1B3A">
        <w:rPr>
          <w:rFonts w:cs="Times New Roman"/>
          <w:lang w:val="fr-CA"/>
        </w:rPr>
        <w:t>exercice de la compétence fédérale sur la navigation et les bâtiments ou navires, et la doctrine de l</w:t>
      </w:r>
      <w:r>
        <w:rPr>
          <w:rFonts w:cs="Times New Roman"/>
          <w:lang w:val="fr-CA"/>
        </w:rPr>
        <w:t>’</w:t>
      </w:r>
      <w:r w:rsidRPr="002C1B3A">
        <w:rPr>
          <w:rFonts w:cs="Times New Roman"/>
          <w:lang w:val="fr-CA"/>
        </w:rPr>
        <w:t>exclusivité des compétences ne s</w:t>
      </w:r>
      <w:r>
        <w:rPr>
          <w:rFonts w:cs="Times New Roman"/>
          <w:lang w:val="fr-CA"/>
        </w:rPr>
        <w:t>’</w:t>
      </w:r>
      <w:r w:rsidRPr="002C1B3A">
        <w:rPr>
          <w:rFonts w:cs="Times New Roman"/>
          <w:lang w:val="fr-CA"/>
        </w:rPr>
        <w:t>applique pas en l</w:t>
      </w:r>
      <w:r>
        <w:rPr>
          <w:rFonts w:cs="Times New Roman"/>
          <w:lang w:val="fr-CA"/>
        </w:rPr>
        <w:t>’</w:t>
      </w:r>
      <w:r w:rsidRPr="002C1B3A">
        <w:rPr>
          <w:rFonts w:cs="Times New Roman"/>
          <w:lang w:val="fr-CA"/>
        </w:rPr>
        <w:t>espèce.  Nous devons maintenant nous pencher sur l</w:t>
      </w:r>
      <w:r>
        <w:rPr>
          <w:rFonts w:cs="Times New Roman"/>
          <w:lang w:val="fr-CA"/>
        </w:rPr>
        <w:t>’</w:t>
      </w:r>
      <w:r w:rsidRPr="002C1B3A">
        <w:rPr>
          <w:rFonts w:cs="Times New Roman"/>
          <w:lang w:val="fr-CA"/>
        </w:rPr>
        <w:t xml:space="preserve">autre doctrine invoquée par les successions Ryan, celle de la prépondérance fédérale. </w:t>
      </w:r>
    </w:p>
    <w:p w:rsidR="00931170" w:rsidRPr="002C1B3A" w:rsidRDefault="00931170" w:rsidP="00931170">
      <w:pPr>
        <w:pStyle w:val="TitleTitre-AltT"/>
        <w:keepNext/>
        <w:tabs>
          <w:tab w:val="clear" w:pos="360"/>
          <w:tab w:val="left" w:pos="1170"/>
        </w:tabs>
        <w:ind w:left="1620" w:hanging="1620"/>
        <w:rPr>
          <w:rFonts w:cs="Times New Roman"/>
          <w:lang w:val="fr-CA"/>
        </w:rPr>
      </w:pPr>
      <w:r w:rsidRPr="002C1B3A">
        <w:rPr>
          <w:rFonts w:cs="Times New Roman"/>
          <w:lang w:val="fr-CA"/>
        </w:rPr>
        <w:lastRenderedPageBreak/>
        <w:tab/>
        <w:t>(2)</w:t>
      </w:r>
      <w:r w:rsidRPr="002C1B3A">
        <w:rPr>
          <w:rFonts w:cs="Times New Roman"/>
          <w:lang w:val="fr-CA"/>
        </w:rPr>
        <w:tab/>
      </w:r>
      <w:r w:rsidRPr="002C1B3A">
        <w:rPr>
          <w:rFonts w:cs="Times New Roman"/>
          <w:u w:val="single"/>
          <w:lang w:val="fr-CA"/>
        </w:rPr>
        <w:t>Prépondérance fédérale</w:t>
      </w:r>
    </w:p>
    <w:p w:rsidR="00931170" w:rsidRPr="002C1B3A" w:rsidRDefault="00931170" w:rsidP="00931170">
      <w:pPr>
        <w:pStyle w:val="ParaNoNdepar-AltN"/>
        <w:rPr>
          <w:rFonts w:cs="Times New Roman"/>
          <w:lang w:val="fr-CA"/>
        </w:rPr>
      </w:pPr>
      <w:r w:rsidRPr="002C1B3A">
        <w:rPr>
          <w:rFonts w:cs="Times New Roman"/>
          <w:lang w:val="fr-CA"/>
        </w:rPr>
        <w:t>Selon la doctrine de la prépondérance fédérale, « lorsque les effets d</w:t>
      </w:r>
      <w:r>
        <w:rPr>
          <w:rFonts w:cs="Times New Roman"/>
          <w:lang w:val="fr-CA"/>
        </w:rPr>
        <w:t>’</w:t>
      </w:r>
      <w:r w:rsidRPr="002C1B3A">
        <w:rPr>
          <w:rFonts w:cs="Times New Roman"/>
          <w:lang w:val="fr-CA"/>
        </w:rPr>
        <w:t>une législation provinciale sont incompatibles avec une législation fédérale, la législation fédérale doit prévaloir et la législation provinciale être déclarée inopérante dans la mesure de l</w:t>
      </w:r>
      <w:r>
        <w:rPr>
          <w:rFonts w:cs="Times New Roman"/>
          <w:lang w:val="fr-CA"/>
        </w:rPr>
        <w:t>’</w:t>
      </w:r>
      <w:r w:rsidRPr="002C1B3A">
        <w:rPr>
          <w:rFonts w:cs="Times New Roman"/>
          <w:lang w:val="fr-CA"/>
        </w:rPr>
        <w:t xml:space="preserve">incompatibilité » : </w:t>
      </w:r>
      <w:r w:rsidRPr="002C1B3A">
        <w:rPr>
          <w:rFonts w:cs="Times New Roman"/>
          <w:i/>
          <w:lang w:val="fr-CA"/>
        </w:rPr>
        <w:t>Banque canadienne de l</w:t>
      </w:r>
      <w:r>
        <w:rPr>
          <w:rFonts w:cs="Times New Roman"/>
          <w:i/>
          <w:lang w:val="fr-CA"/>
        </w:rPr>
        <w:t>’</w:t>
      </w:r>
      <w:r w:rsidRPr="002C1B3A">
        <w:rPr>
          <w:rFonts w:cs="Times New Roman"/>
          <w:i/>
          <w:lang w:val="fr-CA"/>
        </w:rPr>
        <w:t>Ouest</w:t>
      </w:r>
      <w:r w:rsidRPr="002C1B3A">
        <w:rPr>
          <w:rFonts w:cs="Times New Roman"/>
          <w:lang w:val="fr-CA"/>
        </w:rPr>
        <w:t>,</w:t>
      </w:r>
      <w:r w:rsidRPr="002C1B3A">
        <w:rPr>
          <w:rFonts w:cs="Times New Roman"/>
          <w:i/>
          <w:lang w:val="fr-CA"/>
        </w:rPr>
        <w:t xml:space="preserve"> </w:t>
      </w:r>
      <w:r w:rsidRPr="002C1B3A">
        <w:rPr>
          <w:rFonts w:cs="Times New Roman"/>
          <w:lang w:val="fr-CA"/>
        </w:rPr>
        <w:t>par. 69.  La doctrine s</w:t>
      </w:r>
      <w:r>
        <w:rPr>
          <w:rFonts w:cs="Times New Roman"/>
          <w:lang w:val="fr-CA"/>
        </w:rPr>
        <w:t>’</w:t>
      </w:r>
      <w:r w:rsidRPr="002C1B3A">
        <w:rPr>
          <w:rFonts w:cs="Times New Roman"/>
          <w:lang w:val="fr-CA"/>
        </w:rPr>
        <w:t>applique « non seulement dans les cas où la législature provinciale a légiféré en vertu de son pouvoir accessoire d</w:t>
      </w:r>
      <w:r>
        <w:rPr>
          <w:rFonts w:cs="Times New Roman"/>
          <w:lang w:val="fr-CA"/>
        </w:rPr>
        <w:t>’</w:t>
      </w:r>
      <w:r w:rsidRPr="002C1B3A">
        <w:rPr>
          <w:rFonts w:cs="Times New Roman"/>
          <w:lang w:val="fr-CA"/>
        </w:rPr>
        <w:t xml:space="preserve">empiéter dans un domaine de compétence fédérale, mais aussi dans les situations où la législature provinciale agit dans le cadre de ses compétences principales et le Parlement fédéral en vertu de ses pouvoirs accessoires » : </w:t>
      </w:r>
      <w:r w:rsidRPr="002C1B3A">
        <w:rPr>
          <w:rFonts w:cs="Times New Roman"/>
          <w:i/>
          <w:lang w:val="fr-CA"/>
        </w:rPr>
        <w:t>Banque canadienne de l</w:t>
      </w:r>
      <w:r>
        <w:rPr>
          <w:rFonts w:cs="Times New Roman"/>
          <w:i/>
          <w:lang w:val="fr-CA"/>
        </w:rPr>
        <w:t>’</w:t>
      </w:r>
      <w:r w:rsidRPr="002C1B3A">
        <w:rPr>
          <w:rFonts w:cs="Times New Roman"/>
          <w:i/>
          <w:lang w:val="fr-CA"/>
        </w:rPr>
        <w:t>Ouest</w:t>
      </w:r>
      <w:r w:rsidRPr="002C1B3A">
        <w:rPr>
          <w:rFonts w:cs="Times New Roman"/>
          <w:lang w:val="fr-CA"/>
        </w:rPr>
        <w:t xml:space="preserve">, par. 69. </w:t>
      </w:r>
    </w:p>
    <w:p w:rsidR="00931170" w:rsidRPr="002C1B3A" w:rsidRDefault="00931170" w:rsidP="00E0394F">
      <w:pPr>
        <w:pStyle w:val="ParaNoNdepar-AltN"/>
        <w:rPr>
          <w:rFonts w:cs="Times New Roman"/>
          <w:lang w:val="fr-CA"/>
        </w:rPr>
      </w:pPr>
      <w:r w:rsidRPr="002C1B3A">
        <w:rPr>
          <w:rFonts w:cs="Times New Roman"/>
          <w:lang w:val="fr-CA"/>
        </w:rPr>
        <w:t>La doctrine de la prépondérance fédérale s</w:t>
      </w:r>
      <w:r>
        <w:rPr>
          <w:rFonts w:cs="Times New Roman"/>
          <w:lang w:val="fr-CA"/>
        </w:rPr>
        <w:t>’</w:t>
      </w:r>
      <w:r w:rsidRPr="002C1B3A">
        <w:rPr>
          <w:rFonts w:cs="Times New Roman"/>
          <w:lang w:val="fr-CA"/>
        </w:rPr>
        <w:t>applique lorsqu</w:t>
      </w:r>
      <w:r>
        <w:rPr>
          <w:rFonts w:cs="Times New Roman"/>
          <w:lang w:val="fr-CA"/>
        </w:rPr>
        <w:t>’</w:t>
      </w:r>
      <w:r w:rsidRPr="002C1B3A">
        <w:rPr>
          <w:rFonts w:cs="Times New Roman"/>
          <w:lang w:val="fr-CA"/>
        </w:rPr>
        <w:t>il existe une incompatibilité entre un texte de loi fédéral valide et un texte de loi provincial lui aussi valide.  Par ailleurs, elle ne s</w:t>
      </w:r>
      <w:r>
        <w:rPr>
          <w:rFonts w:cs="Times New Roman"/>
          <w:lang w:val="fr-CA"/>
        </w:rPr>
        <w:t>’</w:t>
      </w:r>
      <w:r w:rsidRPr="002C1B3A">
        <w:rPr>
          <w:rFonts w:cs="Times New Roman"/>
          <w:lang w:val="fr-CA"/>
        </w:rPr>
        <w:t>applique pas en cas d</w:t>
      </w:r>
      <w:r>
        <w:rPr>
          <w:rFonts w:cs="Times New Roman"/>
          <w:lang w:val="fr-CA"/>
        </w:rPr>
        <w:t>’</w:t>
      </w:r>
      <w:r w:rsidRPr="002C1B3A">
        <w:rPr>
          <w:rFonts w:cs="Times New Roman"/>
          <w:lang w:val="fr-CA"/>
        </w:rPr>
        <w:t>incompatibilité entre la common law et un texte de loi valide.  Il s</w:t>
      </w:r>
      <w:r>
        <w:rPr>
          <w:rFonts w:cs="Times New Roman"/>
          <w:lang w:val="fr-CA"/>
        </w:rPr>
        <w:t>’</w:t>
      </w:r>
      <w:r w:rsidRPr="002C1B3A">
        <w:rPr>
          <w:rFonts w:cs="Times New Roman"/>
          <w:lang w:val="fr-CA"/>
        </w:rPr>
        <w:t>agit là d</w:t>
      </w:r>
      <w:r>
        <w:rPr>
          <w:rFonts w:cs="Times New Roman"/>
          <w:lang w:val="fr-CA"/>
        </w:rPr>
        <w:t>’</w:t>
      </w:r>
      <w:r w:rsidRPr="002C1B3A">
        <w:rPr>
          <w:rFonts w:cs="Times New Roman"/>
          <w:lang w:val="fr-CA"/>
        </w:rPr>
        <w:t>une différence par rapport à la doctrine de l</w:t>
      </w:r>
      <w:r>
        <w:rPr>
          <w:rFonts w:cs="Times New Roman"/>
          <w:lang w:val="fr-CA"/>
        </w:rPr>
        <w:t>’</w:t>
      </w:r>
      <w:r w:rsidRPr="002C1B3A">
        <w:rPr>
          <w:rFonts w:cs="Times New Roman"/>
          <w:lang w:val="fr-CA"/>
        </w:rPr>
        <w:t xml:space="preserve">exclusivité des compétences, laquelle protège le </w:t>
      </w:r>
      <w:r w:rsidRPr="002C1B3A">
        <w:rPr>
          <w:rFonts w:cs="Times New Roman"/>
          <w:bCs/>
          <w:lang w:val="fr-CA"/>
        </w:rPr>
        <w:t>contenu essentiel des « catégories exclusives de sujets » établies par les art. </w:t>
      </w:r>
      <w:r w:rsidRPr="002C1B3A">
        <w:rPr>
          <w:rFonts w:cs="Times New Roman"/>
          <w:lang w:val="fr-CA"/>
        </w:rPr>
        <w:t xml:space="preserve">91 et 92 de la </w:t>
      </w:r>
      <w:r w:rsidRPr="002C1B3A">
        <w:rPr>
          <w:rFonts w:cs="Times New Roman"/>
          <w:i/>
          <w:lang w:val="fr-CA"/>
        </w:rPr>
        <w:t>Loi constitutionnelle de 1867</w:t>
      </w:r>
      <w:r w:rsidRPr="002C1B3A">
        <w:rPr>
          <w:rFonts w:cs="Times New Roman"/>
          <w:lang w:val="fr-CA"/>
        </w:rPr>
        <w:t>, et ce, même si le pouvoir de légiférer pertinent n</w:t>
      </w:r>
      <w:r>
        <w:rPr>
          <w:rFonts w:cs="Times New Roman"/>
          <w:lang w:val="fr-CA"/>
        </w:rPr>
        <w:t>’</w:t>
      </w:r>
      <w:r w:rsidRPr="002C1B3A">
        <w:rPr>
          <w:rFonts w:cs="Times New Roman"/>
          <w:lang w:val="fr-CA"/>
        </w:rPr>
        <w:t xml:space="preserve">a pas encore été exercé : </w:t>
      </w:r>
      <w:r w:rsidRPr="002C1B3A">
        <w:rPr>
          <w:rFonts w:cs="Times New Roman"/>
          <w:i/>
          <w:lang w:val="fr-CA"/>
        </w:rPr>
        <w:t>Banque canadienne de l</w:t>
      </w:r>
      <w:r>
        <w:rPr>
          <w:rFonts w:cs="Times New Roman"/>
          <w:i/>
          <w:lang w:val="fr-CA"/>
        </w:rPr>
        <w:t>’</w:t>
      </w:r>
      <w:r w:rsidRPr="002C1B3A">
        <w:rPr>
          <w:rFonts w:cs="Times New Roman"/>
          <w:i/>
          <w:lang w:val="fr-CA"/>
        </w:rPr>
        <w:t>Ouest</w:t>
      </w:r>
      <w:r w:rsidR="00885890">
        <w:rPr>
          <w:rFonts w:cs="Times New Roman"/>
          <w:lang w:val="fr-CA"/>
        </w:rPr>
        <w:t>, par. 34.  La J</w:t>
      </w:r>
      <w:r w:rsidRPr="002C1B3A">
        <w:rPr>
          <w:rFonts w:cs="Times New Roman"/>
          <w:lang w:val="fr-CA"/>
        </w:rPr>
        <w:t>uge en chef a fait la distinction suivante entre ces deux doctrines dans l</w:t>
      </w:r>
      <w:r>
        <w:rPr>
          <w:rFonts w:cs="Times New Roman"/>
          <w:lang w:val="fr-CA"/>
        </w:rPr>
        <w:t>’</w:t>
      </w:r>
      <w:r w:rsidRPr="002C1B3A">
        <w:rPr>
          <w:rFonts w:cs="Times New Roman"/>
          <w:lang w:val="fr-CA"/>
        </w:rPr>
        <w:t xml:space="preserve">arrêt </w:t>
      </w:r>
      <w:r w:rsidRPr="00885890">
        <w:rPr>
          <w:rFonts w:cs="Times New Roman"/>
          <w:i/>
          <w:lang w:val="fr-CA"/>
        </w:rPr>
        <w:t>COPA</w:t>
      </w:r>
      <w:r w:rsidRPr="002C1B3A">
        <w:rPr>
          <w:rFonts w:cs="Times New Roman"/>
          <w:lang w:val="fr-CA"/>
        </w:rPr>
        <w:t> :</w:t>
      </w:r>
    </w:p>
    <w:p w:rsidR="00931170" w:rsidRPr="002C1B3A" w:rsidRDefault="00931170" w:rsidP="00931170">
      <w:pPr>
        <w:pStyle w:val="Citation-AltC"/>
        <w:rPr>
          <w:lang w:val="fr-CA"/>
        </w:rPr>
      </w:pPr>
      <w:r w:rsidRPr="002C1B3A">
        <w:rPr>
          <w:lang w:val="fr-CA"/>
        </w:rPr>
        <w:tab/>
        <w:t>Contrairement à la doctrine de l</w:t>
      </w:r>
      <w:r>
        <w:rPr>
          <w:lang w:val="fr-CA"/>
        </w:rPr>
        <w:t>’</w:t>
      </w:r>
      <w:r w:rsidRPr="002C1B3A">
        <w:rPr>
          <w:lang w:val="fr-CA"/>
        </w:rPr>
        <w:t xml:space="preserve">exclusivité des compétences, laquelle se rapporte à la </w:t>
      </w:r>
      <w:r w:rsidRPr="002C1B3A">
        <w:rPr>
          <w:i/>
          <w:lang w:val="fr-CA"/>
        </w:rPr>
        <w:t>portée</w:t>
      </w:r>
      <w:r w:rsidRPr="002C1B3A">
        <w:rPr>
          <w:lang w:val="fr-CA"/>
        </w:rPr>
        <w:t xml:space="preserve"> de la compétence fédérale, celle de la prépondérance</w:t>
      </w:r>
      <w:r>
        <w:rPr>
          <w:lang w:val="fr-CA"/>
        </w:rPr>
        <w:t xml:space="preserve"> </w:t>
      </w:r>
      <w:r w:rsidRPr="002C1B3A">
        <w:rPr>
          <w:lang w:val="fr-CA"/>
        </w:rPr>
        <w:t xml:space="preserve">fédérale se rapporte à la façon dont la compétence est </w:t>
      </w:r>
      <w:r w:rsidRPr="002C1B3A">
        <w:rPr>
          <w:i/>
          <w:lang w:val="fr-CA"/>
        </w:rPr>
        <w:lastRenderedPageBreak/>
        <w:t>exercée</w:t>
      </w:r>
      <w:r w:rsidRPr="002C1B3A">
        <w:rPr>
          <w:lang w:val="fr-CA"/>
        </w:rPr>
        <w:t xml:space="preserve">.  La doctrine de la </w:t>
      </w:r>
      <w:r w:rsidR="00885890">
        <w:rPr>
          <w:lang w:val="fr-CA"/>
        </w:rPr>
        <w:t>prépondérance</w:t>
      </w:r>
      <w:r w:rsidRPr="002C1B3A">
        <w:rPr>
          <w:lang w:val="fr-CA"/>
        </w:rPr>
        <w:t xml:space="preserve"> est pertinente lorsqu</w:t>
      </w:r>
      <w:r>
        <w:rPr>
          <w:lang w:val="fr-CA"/>
        </w:rPr>
        <w:t>’</w:t>
      </w:r>
      <w:r w:rsidRPr="002C1B3A">
        <w:rPr>
          <w:lang w:val="fr-CA"/>
        </w:rPr>
        <w:t xml:space="preserve">un conflit oppose une loi fédérale </w:t>
      </w:r>
      <w:r w:rsidR="00AC0376">
        <w:rPr>
          <w:lang w:val="fr-CA"/>
        </w:rPr>
        <w:t>à une loi provinciale. [</w:t>
      </w:r>
      <w:r w:rsidR="00425F6D">
        <w:rPr>
          <w:lang w:val="fr-CA"/>
        </w:rPr>
        <w:t>E</w:t>
      </w:r>
      <w:r w:rsidRPr="002C1B3A">
        <w:rPr>
          <w:lang w:val="fr-CA"/>
        </w:rPr>
        <w:t>n italique dans l</w:t>
      </w:r>
      <w:r>
        <w:rPr>
          <w:lang w:val="fr-CA"/>
        </w:rPr>
        <w:t>’</w:t>
      </w:r>
      <w:r w:rsidRPr="002C1B3A">
        <w:rPr>
          <w:lang w:val="fr-CA"/>
        </w:rPr>
        <w:t>original</w:t>
      </w:r>
      <w:r w:rsidR="00425F6D">
        <w:rPr>
          <w:lang w:val="fr-CA"/>
        </w:rPr>
        <w:t>; par. 62</w:t>
      </w:r>
      <w:r w:rsidRPr="002C1B3A">
        <w:rPr>
          <w:lang w:val="fr-CA"/>
        </w:rPr>
        <w:t>.]</w:t>
      </w:r>
    </w:p>
    <w:p w:rsidR="00931170" w:rsidRPr="002C1B3A" w:rsidRDefault="00931170" w:rsidP="00931170">
      <w:pPr>
        <w:pStyle w:val="ParaNoNdepar-AltN"/>
        <w:rPr>
          <w:rFonts w:cs="Times New Roman"/>
          <w:lang w:val="fr-CA"/>
        </w:rPr>
      </w:pPr>
      <w:r w:rsidRPr="002C1B3A">
        <w:rPr>
          <w:rFonts w:cs="Times New Roman"/>
          <w:lang w:val="fr-CA"/>
        </w:rPr>
        <w:t xml:space="preserve">Dans </w:t>
      </w:r>
      <w:r w:rsidRPr="002C1B3A">
        <w:rPr>
          <w:rFonts w:cs="Times New Roman"/>
          <w:i/>
          <w:lang w:val="fr-CA"/>
        </w:rPr>
        <w:t>Bisaillon c. Keable</w:t>
      </w:r>
      <w:r w:rsidRPr="002C1B3A">
        <w:rPr>
          <w:rFonts w:cs="Times New Roman"/>
          <w:lang w:val="fr-CA"/>
        </w:rPr>
        <w:t>, [1983] 2 R.C.S. 60, le juge Beetz a estimé que la doctrine de la prépondérance fédérale peut s</w:t>
      </w:r>
      <w:r>
        <w:rPr>
          <w:rFonts w:cs="Times New Roman"/>
          <w:lang w:val="fr-CA"/>
        </w:rPr>
        <w:t>’</w:t>
      </w:r>
      <w:r w:rsidRPr="002C1B3A">
        <w:rPr>
          <w:rFonts w:cs="Times New Roman"/>
          <w:lang w:val="fr-CA"/>
        </w:rPr>
        <w:t>appliquer en cas d</w:t>
      </w:r>
      <w:r>
        <w:rPr>
          <w:rFonts w:cs="Times New Roman"/>
          <w:lang w:val="fr-CA"/>
        </w:rPr>
        <w:t>’</w:t>
      </w:r>
      <w:r w:rsidRPr="002C1B3A">
        <w:rPr>
          <w:rFonts w:cs="Times New Roman"/>
          <w:lang w:val="fr-CA"/>
        </w:rPr>
        <w:t>incompatibilité entre une mesure législative provinciale valide et une règle de common law portant sur un domaine de compétence fédérale.  Cependant, nous ne connaissons aucune décision où la doctrine aurait été appliquée à la common law.  L</w:t>
      </w:r>
      <w:r>
        <w:rPr>
          <w:rFonts w:cs="Times New Roman"/>
          <w:lang w:val="fr-CA"/>
        </w:rPr>
        <w:t>’</w:t>
      </w:r>
      <w:r w:rsidRPr="002C1B3A">
        <w:rPr>
          <w:rFonts w:cs="Times New Roman"/>
          <w:lang w:val="fr-CA"/>
        </w:rPr>
        <w:t xml:space="preserve">arrêt </w:t>
      </w:r>
      <w:r w:rsidRPr="002C1B3A">
        <w:rPr>
          <w:rFonts w:cs="Times New Roman"/>
          <w:i/>
          <w:lang w:val="fr-CA"/>
        </w:rPr>
        <w:t>Bisaillon</w:t>
      </w:r>
      <w:r w:rsidRPr="002C1B3A">
        <w:rPr>
          <w:rFonts w:cs="Times New Roman"/>
          <w:lang w:val="fr-CA"/>
        </w:rPr>
        <w:t xml:space="preserve"> lui</w:t>
      </w:r>
      <w:r w:rsidRPr="002C1B3A">
        <w:rPr>
          <w:rFonts w:cs="Times New Roman"/>
          <w:lang w:val="fr-CA"/>
        </w:rPr>
        <w:noBreakHyphen/>
        <w:t>même était une affaire soulevant essentiellement des questions relatives à l</w:t>
      </w:r>
      <w:r>
        <w:rPr>
          <w:rFonts w:cs="Times New Roman"/>
          <w:lang w:val="fr-CA"/>
        </w:rPr>
        <w:t>’</w:t>
      </w:r>
      <w:r w:rsidRPr="002C1B3A">
        <w:rPr>
          <w:rFonts w:cs="Times New Roman"/>
          <w:lang w:val="fr-CA"/>
        </w:rPr>
        <w:t>exclusivité des compétences.  Qui plus est, il n</w:t>
      </w:r>
      <w:r>
        <w:rPr>
          <w:rFonts w:cs="Times New Roman"/>
          <w:lang w:val="fr-CA"/>
        </w:rPr>
        <w:t>’</w:t>
      </w:r>
      <w:r w:rsidRPr="002C1B3A">
        <w:rPr>
          <w:rFonts w:cs="Times New Roman"/>
          <w:lang w:val="fr-CA"/>
        </w:rPr>
        <w:t xml:space="preserve">est fait aucune mention dans </w:t>
      </w:r>
      <w:r w:rsidRPr="002C1B3A">
        <w:rPr>
          <w:rFonts w:cs="Times New Roman"/>
          <w:i/>
          <w:lang w:val="fr-CA"/>
        </w:rPr>
        <w:t>Bisaillon</w:t>
      </w:r>
      <w:r w:rsidRPr="002C1B3A">
        <w:rPr>
          <w:rFonts w:cs="Times New Roman"/>
          <w:lang w:val="fr-CA"/>
        </w:rPr>
        <w:t xml:space="preserve"> de l</w:t>
      </w:r>
      <w:r>
        <w:rPr>
          <w:rFonts w:cs="Times New Roman"/>
          <w:lang w:val="fr-CA"/>
        </w:rPr>
        <w:t>’</w:t>
      </w:r>
      <w:r w:rsidRPr="002C1B3A">
        <w:rPr>
          <w:rFonts w:cs="Times New Roman"/>
          <w:lang w:val="fr-CA"/>
        </w:rPr>
        <w:t>arrêt de principe sur la prépondérance fédérale à l</w:t>
      </w:r>
      <w:r>
        <w:rPr>
          <w:rFonts w:cs="Times New Roman"/>
          <w:lang w:val="fr-CA"/>
        </w:rPr>
        <w:t>’</w:t>
      </w:r>
      <w:r w:rsidRPr="002C1B3A">
        <w:rPr>
          <w:rFonts w:cs="Times New Roman"/>
          <w:lang w:val="fr-CA"/>
        </w:rPr>
        <w:t xml:space="preserve">époque : </w:t>
      </w:r>
      <w:r w:rsidRPr="002C1B3A">
        <w:rPr>
          <w:rFonts w:cs="Times New Roman"/>
          <w:i/>
          <w:lang w:val="fr-CA"/>
        </w:rPr>
        <w:t>Multiple Access Ltd. c. McCutcheon</w:t>
      </w:r>
      <w:r w:rsidRPr="002C1B3A">
        <w:rPr>
          <w:rFonts w:cs="Times New Roman"/>
          <w:lang w:val="fr-CA"/>
        </w:rPr>
        <w:t>, [1982] 2 R.C.S. 161, dans lequel le juge Dickson a déclaré que « la doctrine de la prépondérance fédérale s</w:t>
      </w:r>
      <w:r>
        <w:rPr>
          <w:rFonts w:cs="Times New Roman"/>
          <w:lang w:val="fr-CA"/>
        </w:rPr>
        <w:t>’</w:t>
      </w:r>
      <w:r w:rsidRPr="002C1B3A">
        <w:rPr>
          <w:rFonts w:cs="Times New Roman"/>
          <w:lang w:val="fr-CA"/>
        </w:rPr>
        <w:t>applique lorsqu</w:t>
      </w:r>
      <w:r>
        <w:rPr>
          <w:rFonts w:cs="Times New Roman"/>
          <w:lang w:val="fr-CA"/>
        </w:rPr>
        <w:t>’</w:t>
      </w:r>
      <w:r w:rsidRPr="002C1B3A">
        <w:rPr>
          <w:rFonts w:cs="Times New Roman"/>
          <w:lang w:val="fr-CA"/>
        </w:rPr>
        <w:t>il y a une loi fédérale et une loi provinciale qui sont (1) toutes deux valides et (2) incompatibles » (p. 168).  La jurisprudence subséquente de notre Cour a confirmé cet énoncé du critère d</w:t>
      </w:r>
      <w:r>
        <w:rPr>
          <w:rFonts w:cs="Times New Roman"/>
          <w:lang w:val="fr-CA"/>
        </w:rPr>
        <w:t>’</w:t>
      </w:r>
      <w:r w:rsidRPr="002C1B3A">
        <w:rPr>
          <w:rFonts w:cs="Times New Roman"/>
          <w:lang w:val="fr-CA"/>
        </w:rPr>
        <w:t xml:space="preserve">application de la doctrine de la prépondérance fédérale : </w:t>
      </w:r>
      <w:r w:rsidRPr="002C1B3A">
        <w:rPr>
          <w:rFonts w:cs="Times New Roman"/>
          <w:i/>
          <w:lang w:val="fr-CA"/>
        </w:rPr>
        <w:t>Banque de Montréal c. Hall</w:t>
      </w:r>
      <w:r w:rsidRPr="002C1B3A">
        <w:rPr>
          <w:rFonts w:cs="Times New Roman"/>
          <w:lang w:val="fr-CA"/>
        </w:rPr>
        <w:t xml:space="preserve">, [1990] 1 R.C.S. 121, p. 151; </w:t>
      </w:r>
      <w:r w:rsidRPr="002C1B3A">
        <w:rPr>
          <w:rFonts w:cs="Times New Roman"/>
          <w:i/>
          <w:lang w:val="fr-CA"/>
        </w:rPr>
        <w:t>R. c. Felawka</w:t>
      </w:r>
      <w:r w:rsidRPr="002C1B3A">
        <w:rPr>
          <w:rFonts w:cs="Times New Roman"/>
          <w:lang w:val="fr-CA"/>
        </w:rPr>
        <w:t>, [1993] 4 R.C.S. 199, p. 215</w:t>
      </w:r>
      <w:r w:rsidRPr="002C1B3A">
        <w:rPr>
          <w:rFonts w:cs="Times New Roman"/>
          <w:lang w:val="fr-CA"/>
        </w:rPr>
        <w:noBreakHyphen/>
        <w:t xml:space="preserve">216; </w:t>
      </w:r>
      <w:r w:rsidRPr="002C1B3A">
        <w:rPr>
          <w:rFonts w:cs="Times New Roman"/>
          <w:i/>
          <w:lang w:val="fr-CA"/>
        </w:rPr>
        <w:t>Rothmans, Benson &amp; Hedges Inc. c. Saskatchewan</w:t>
      </w:r>
      <w:r w:rsidRPr="002C1B3A">
        <w:rPr>
          <w:rFonts w:cs="Times New Roman"/>
          <w:lang w:val="fr-CA"/>
        </w:rPr>
        <w:t xml:space="preserve">, 2005 CSC 13, [2005] 1 R.C.S. 188, par. 11; </w:t>
      </w:r>
      <w:r w:rsidRPr="002C1B3A">
        <w:rPr>
          <w:rFonts w:cs="Times New Roman"/>
          <w:i/>
          <w:lang w:val="fr-CA"/>
        </w:rPr>
        <w:t>Banque canadienne de l</w:t>
      </w:r>
      <w:r>
        <w:rPr>
          <w:rFonts w:cs="Times New Roman"/>
          <w:i/>
          <w:lang w:val="fr-CA"/>
        </w:rPr>
        <w:t>’</w:t>
      </w:r>
      <w:r w:rsidRPr="002C1B3A">
        <w:rPr>
          <w:rFonts w:cs="Times New Roman"/>
          <w:i/>
          <w:lang w:val="fr-CA"/>
        </w:rPr>
        <w:t>Ouest</w:t>
      </w:r>
      <w:r w:rsidRPr="002C1B3A">
        <w:rPr>
          <w:rFonts w:cs="Times New Roman"/>
          <w:lang w:val="fr-CA"/>
        </w:rPr>
        <w:t xml:space="preserve">, par. 69; </w:t>
      </w:r>
      <w:r w:rsidRPr="002C1B3A">
        <w:rPr>
          <w:rFonts w:cs="Times New Roman"/>
          <w:i/>
          <w:lang w:val="fr-CA"/>
        </w:rPr>
        <w:t>Lafarge Canada Inc.</w:t>
      </w:r>
      <w:r w:rsidRPr="002C1B3A">
        <w:rPr>
          <w:rFonts w:cs="Times New Roman"/>
          <w:lang w:val="fr-CA"/>
        </w:rPr>
        <w:t xml:space="preserve">, par. 76; </w:t>
      </w:r>
      <w:r w:rsidRPr="002C1B3A">
        <w:rPr>
          <w:rFonts w:cs="Times New Roman"/>
          <w:i/>
          <w:lang w:val="fr-CA"/>
        </w:rPr>
        <w:t>COPA</w:t>
      </w:r>
      <w:r w:rsidRPr="002C1B3A">
        <w:rPr>
          <w:rFonts w:cs="Times New Roman"/>
          <w:lang w:val="fr-CA"/>
        </w:rPr>
        <w:t>, par. 62.</w:t>
      </w:r>
    </w:p>
    <w:p w:rsidR="00931170" w:rsidRPr="002C1B3A" w:rsidRDefault="00931170" w:rsidP="00931170">
      <w:pPr>
        <w:pStyle w:val="ParaNoNdepar-AltN"/>
        <w:rPr>
          <w:rFonts w:cs="Times New Roman"/>
          <w:lang w:val="fr-CA"/>
        </w:rPr>
      </w:pPr>
      <w:r w:rsidRPr="002C1B3A">
        <w:rPr>
          <w:rFonts w:cs="Times New Roman"/>
          <w:lang w:val="fr-CA"/>
        </w:rPr>
        <w:t>La validité des deux textes de loi en cause dans le présent pourvoi n</w:t>
      </w:r>
      <w:r>
        <w:rPr>
          <w:rFonts w:cs="Times New Roman"/>
          <w:lang w:val="fr-CA"/>
        </w:rPr>
        <w:t>’</w:t>
      </w:r>
      <w:r w:rsidRPr="002C1B3A">
        <w:rPr>
          <w:rFonts w:cs="Times New Roman"/>
          <w:lang w:val="fr-CA"/>
        </w:rPr>
        <w:t xml:space="preserve">est pas contestée.  La question en litige est de savoir si ces textes sont incompatibles.  </w:t>
      </w:r>
      <w:r w:rsidRPr="002C1B3A">
        <w:rPr>
          <w:rFonts w:cs="Times New Roman"/>
          <w:lang w:val="fr-CA"/>
        </w:rPr>
        <w:lastRenderedPageBreak/>
        <w:t>L</w:t>
      </w:r>
      <w:r>
        <w:rPr>
          <w:rFonts w:cs="Times New Roman"/>
          <w:lang w:val="fr-CA"/>
        </w:rPr>
        <w:t>’</w:t>
      </w:r>
      <w:r w:rsidRPr="002C1B3A">
        <w:rPr>
          <w:rFonts w:cs="Times New Roman"/>
          <w:lang w:val="fr-CA"/>
        </w:rPr>
        <w:t xml:space="preserve">incompatibilité entre une loi fédérale et une loi provinciale peut résulter de deux formes différentes de conflit : </w:t>
      </w:r>
      <w:r w:rsidRPr="002C1B3A">
        <w:rPr>
          <w:rFonts w:cs="Times New Roman"/>
          <w:i/>
          <w:lang w:val="fr-CA"/>
        </w:rPr>
        <w:t>COPA</w:t>
      </w:r>
      <w:r w:rsidRPr="002C1B3A">
        <w:rPr>
          <w:rFonts w:cs="Times New Roman"/>
          <w:lang w:val="fr-CA"/>
        </w:rPr>
        <w:t>, par. 64.  La première a été décrite ainsi par le juge Dickson dans l</w:t>
      </w:r>
      <w:r>
        <w:rPr>
          <w:rFonts w:cs="Times New Roman"/>
          <w:lang w:val="fr-CA"/>
        </w:rPr>
        <w:t>’</w:t>
      </w:r>
      <w:r w:rsidRPr="002C1B3A">
        <w:rPr>
          <w:rFonts w:cs="Times New Roman"/>
          <w:lang w:val="fr-CA"/>
        </w:rPr>
        <w:t xml:space="preserve">arrêt </w:t>
      </w:r>
      <w:r w:rsidRPr="002C1B3A">
        <w:rPr>
          <w:rFonts w:cs="Times New Roman"/>
          <w:i/>
          <w:lang w:val="fr-CA"/>
        </w:rPr>
        <w:t>Multiple Access Ltd.</w:t>
      </w:r>
      <w:r w:rsidRPr="002C1B3A">
        <w:rPr>
          <w:rFonts w:cs="Times New Roman"/>
          <w:lang w:val="fr-CA"/>
        </w:rPr>
        <w:t>, p. 191 :</w:t>
      </w:r>
    </w:p>
    <w:p w:rsidR="00931170" w:rsidRPr="002C1B3A" w:rsidRDefault="00931170" w:rsidP="00931170">
      <w:pPr>
        <w:pStyle w:val="Citation-AltC"/>
        <w:ind w:hanging="1166"/>
        <w:rPr>
          <w:lang w:val="fr-CA"/>
        </w:rPr>
      </w:pPr>
      <w:r w:rsidRPr="002C1B3A">
        <w:rPr>
          <w:spacing w:val="4"/>
          <w:lang w:val="fr-CA"/>
        </w:rPr>
        <w:tab/>
        <w:t>En principe, il ne semble y avoir aucune raison valable de parler de prépondérance et d</w:t>
      </w:r>
      <w:r>
        <w:rPr>
          <w:spacing w:val="4"/>
          <w:lang w:val="fr-CA"/>
        </w:rPr>
        <w:t>’</w:t>
      </w:r>
      <w:r w:rsidRPr="002C1B3A">
        <w:rPr>
          <w:spacing w:val="4"/>
          <w:lang w:val="fr-CA"/>
        </w:rPr>
        <w:t>exclusion sauf lorsqu</w:t>
      </w:r>
      <w:r>
        <w:rPr>
          <w:spacing w:val="4"/>
          <w:lang w:val="fr-CA"/>
        </w:rPr>
        <w:t>’</w:t>
      </w:r>
      <w:r w:rsidRPr="002C1B3A">
        <w:rPr>
          <w:spacing w:val="4"/>
          <w:lang w:val="fr-CA"/>
        </w:rPr>
        <w:t>il y a un conflit véritable, comme lorsqu</w:t>
      </w:r>
      <w:r>
        <w:rPr>
          <w:spacing w:val="4"/>
          <w:lang w:val="fr-CA"/>
        </w:rPr>
        <w:t>’</w:t>
      </w:r>
      <w:r w:rsidRPr="002C1B3A">
        <w:rPr>
          <w:spacing w:val="4"/>
          <w:lang w:val="fr-CA"/>
        </w:rPr>
        <w:t>une loi dit «</w:t>
      </w:r>
      <w:r w:rsidR="001533DD">
        <w:rPr>
          <w:spacing w:val="4"/>
          <w:lang w:val="fr-CA"/>
        </w:rPr>
        <w:t xml:space="preserve"> </w:t>
      </w:r>
      <w:r w:rsidRPr="002C1B3A">
        <w:rPr>
          <w:spacing w:val="4"/>
          <w:lang w:val="fr-CA"/>
        </w:rPr>
        <w:t>oui</w:t>
      </w:r>
      <w:r w:rsidR="001533DD">
        <w:rPr>
          <w:spacing w:val="4"/>
          <w:lang w:val="fr-CA"/>
        </w:rPr>
        <w:t xml:space="preserve"> </w:t>
      </w:r>
      <w:r w:rsidRPr="002C1B3A">
        <w:rPr>
          <w:spacing w:val="4"/>
          <w:lang w:val="fr-CA"/>
        </w:rPr>
        <w:t>» et que l</w:t>
      </w:r>
      <w:r>
        <w:rPr>
          <w:spacing w:val="4"/>
          <w:lang w:val="fr-CA"/>
        </w:rPr>
        <w:t>’</w:t>
      </w:r>
      <w:r w:rsidRPr="002C1B3A">
        <w:rPr>
          <w:spacing w:val="4"/>
          <w:lang w:val="fr-CA"/>
        </w:rPr>
        <w:t>autre dit « non »; « on demande aux mêmes citoyens d</w:t>
      </w:r>
      <w:r>
        <w:rPr>
          <w:spacing w:val="4"/>
          <w:lang w:val="fr-CA"/>
        </w:rPr>
        <w:t>’</w:t>
      </w:r>
      <w:r w:rsidRPr="002C1B3A">
        <w:rPr>
          <w:spacing w:val="4"/>
          <w:lang w:val="fr-CA"/>
        </w:rPr>
        <w:t>accomplir des actes incompatibles »; l</w:t>
      </w:r>
      <w:r>
        <w:rPr>
          <w:spacing w:val="4"/>
          <w:lang w:val="fr-CA"/>
        </w:rPr>
        <w:t>’</w:t>
      </w:r>
      <w:r w:rsidRPr="002C1B3A">
        <w:rPr>
          <w:spacing w:val="4"/>
          <w:lang w:val="fr-CA"/>
        </w:rPr>
        <w:t>observance de l</w:t>
      </w:r>
      <w:r>
        <w:rPr>
          <w:spacing w:val="4"/>
          <w:lang w:val="fr-CA"/>
        </w:rPr>
        <w:t>’</w:t>
      </w:r>
      <w:r w:rsidRPr="002C1B3A">
        <w:rPr>
          <w:spacing w:val="4"/>
          <w:lang w:val="fr-CA"/>
        </w:rPr>
        <w:t>une entraîne l</w:t>
      </w:r>
      <w:r>
        <w:rPr>
          <w:spacing w:val="4"/>
          <w:lang w:val="fr-CA"/>
        </w:rPr>
        <w:t>’</w:t>
      </w:r>
      <w:r w:rsidRPr="002C1B3A">
        <w:rPr>
          <w:spacing w:val="4"/>
          <w:lang w:val="fr-CA"/>
        </w:rPr>
        <w:t>inobservance de l</w:t>
      </w:r>
      <w:r>
        <w:rPr>
          <w:spacing w:val="4"/>
          <w:lang w:val="fr-CA"/>
        </w:rPr>
        <w:t>’</w:t>
      </w:r>
      <w:r w:rsidRPr="002C1B3A">
        <w:rPr>
          <w:spacing w:val="4"/>
          <w:lang w:val="fr-CA"/>
        </w:rPr>
        <w:t xml:space="preserve">autre. </w:t>
      </w:r>
    </w:p>
    <w:p w:rsidR="00931170" w:rsidRPr="002C1B3A" w:rsidRDefault="00931170" w:rsidP="00931170">
      <w:pPr>
        <w:pStyle w:val="ContinueParaSuitedupar-AltP"/>
        <w:rPr>
          <w:rFonts w:cs="Times New Roman"/>
          <w:lang w:val="fr-CA"/>
        </w:rPr>
      </w:pPr>
      <w:r w:rsidRPr="002C1B3A">
        <w:rPr>
          <w:rFonts w:cs="Times New Roman"/>
          <w:lang w:val="fr-CA"/>
        </w:rPr>
        <w:t>Lorsque la loi fédérale dit « oui » et que la loi provinciale dit « non », ou vice versa, l</w:t>
      </w:r>
      <w:r>
        <w:rPr>
          <w:rFonts w:cs="Times New Roman"/>
          <w:lang w:val="fr-CA"/>
        </w:rPr>
        <w:t>’</w:t>
      </w:r>
      <w:r w:rsidRPr="002C1B3A">
        <w:rPr>
          <w:rFonts w:cs="Times New Roman"/>
          <w:lang w:val="fr-CA"/>
        </w:rPr>
        <w:t>observation d</w:t>
      </w:r>
      <w:r>
        <w:rPr>
          <w:rFonts w:cs="Times New Roman"/>
          <w:lang w:val="fr-CA"/>
        </w:rPr>
        <w:t>’</w:t>
      </w:r>
      <w:r w:rsidRPr="002C1B3A">
        <w:rPr>
          <w:rFonts w:cs="Times New Roman"/>
          <w:lang w:val="fr-CA"/>
        </w:rPr>
        <w:t>une loi entraîne la violation de l</w:t>
      </w:r>
      <w:r>
        <w:rPr>
          <w:rFonts w:cs="Times New Roman"/>
          <w:lang w:val="fr-CA"/>
        </w:rPr>
        <w:t>’</w:t>
      </w:r>
      <w:r w:rsidRPr="002C1B3A">
        <w:rPr>
          <w:rFonts w:cs="Times New Roman"/>
          <w:lang w:val="fr-CA"/>
        </w:rPr>
        <w:t>autre.  C</w:t>
      </w:r>
      <w:r>
        <w:rPr>
          <w:rFonts w:cs="Times New Roman"/>
          <w:lang w:val="fr-CA"/>
        </w:rPr>
        <w:t>’</w:t>
      </w:r>
      <w:r w:rsidRPr="002C1B3A">
        <w:rPr>
          <w:rFonts w:cs="Times New Roman"/>
          <w:lang w:val="fr-CA"/>
        </w:rPr>
        <w:t>est l</w:t>
      </w:r>
      <w:r>
        <w:rPr>
          <w:rFonts w:cs="Times New Roman"/>
          <w:lang w:val="fr-CA"/>
        </w:rPr>
        <w:t>’</w:t>
      </w:r>
      <w:r w:rsidRPr="002C1B3A">
        <w:rPr>
          <w:rFonts w:cs="Times New Roman"/>
          <w:lang w:val="fr-CA"/>
        </w:rPr>
        <w:t>archétype du conflit d</w:t>
      </w:r>
      <w:r>
        <w:rPr>
          <w:rFonts w:cs="Times New Roman"/>
          <w:lang w:val="fr-CA"/>
        </w:rPr>
        <w:t>’</w:t>
      </w:r>
      <w:r w:rsidRPr="002C1B3A">
        <w:rPr>
          <w:rFonts w:cs="Times New Roman"/>
          <w:lang w:val="fr-CA"/>
        </w:rPr>
        <w:t>application.</w:t>
      </w:r>
    </w:p>
    <w:p w:rsidR="00931170" w:rsidRPr="002C1B3A" w:rsidRDefault="00931170" w:rsidP="00931170">
      <w:pPr>
        <w:pStyle w:val="ParaNoNdepar-AltN"/>
        <w:rPr>
          <w:rFonts w:cs="Times New Roman"/>
          <w:lang w:val="fr-CA"/>
        </w:rPr>
      </w:pPr>
      <w:r w:rsidRPr="002C1B3A">
        <w:rPr>
          <w:rFonts w:cs="Times New Roman"/>
          <w:lang w:val="fr-CA"/>
        </w:rPr>
        <w:t>La deuxième forme de conflit survient lorsque la loi provinciale entrave la réalisation de l</w:t>
      </w:r>
      <w:r>
        <w:rPr>
          <w:rFonts w:cs="Times New Roman"/>
          <w:lang w:val="fr-CA"/>
        </w:rPr>
        <w:t>’</w:t>
      </w:r>
      <w:r w:rsidRPr="002C1B3A">
        <w:rPr>
          <w:rFonts w:cs="Times New Roman"/>
          <w:lang w:val="fr-CA"/>
        </w:rPr>
        <w:t xml:space="preserve">objectif de la loi fédérale : </w:t>
      </w:r>
      <w:r w:rsidRPr="002C1B3A">
        <w:rPr>
          <w:rFonts w:cs="Times New Roman"/>
          <w:i/>
          <w:lang w:val="fr-CA"/>
        </w:rPr>
        <w:t>Banque de Montréal</w:t>
      </w:r>
      <w:r w:rsidRPr="002C1B3A">
        <w:rPr>
          <w:rFonts w:cs="Times New Roman"/>
          <w:lang w:val="fr-CA"/>
        </w:rPr>
        <w:t xml:space="preserve">; </w:t>
      </w:r>
      <w:r w:rsidRPr="002C1B3A">
        <w:rPr>
          <w:rFonts w:cs="Times New Roman"/>
          <w:i/>
          <w:lang w:val="fr-CA"/>
        </w:rPr>
        <w:t>Law Society of British Columbia c. Mangat</w:t>
      </w:r>
      <w:r w:rsidRPr="002C1B3A">
        <w:rPr>
          <w:rFonts w:cs="Times New Roman"/>
          <w:lang w:val="fr-CA"/>
        </w:rPr>
        <w:t xml:space="preserve">, 2001 CSC 67, [2001] 3 R.C.S. 113; </w:t>
      </w:r>
      <w:r w:rsidRPr="002C1B3A">
        <w:rPr>
          <w:rFonts w:cs="Times New Roman"/>
          <w:i/>
          <w:lang w:val="fr-CA"/>
        </w:rPr>
        <w:t>Rothmans, Benson &amp; Hedges Inc.</w:t>
      </w:r>
      <w:r w:rsidRPr="002C1B3A">
        <w:rPr>
          <w:rFonts w:cs="Times New Roman"/>
          <w:lang w:val="fr-CA"/>
        </w:rPr>
        <w:t xml:space="preserve">; </w:t>
      </w:r>
      <w:r w:rsidRPr="002C1B3A">
        <w:rPr>
          <w:rFonts w:cs="Times New Roman"/>
          <w:i/>
          <w:lang w:val="fr-CA"/>
        </w:rPr>
        <w:t>Banque canadienne de l</w:t>
      </w:r>
      <w:r>
        <w:rPr>
          <w:rFonts w:cs="Times New Roman"/>
          <w:i/>
          <w:lang w:val="fr-CA"/>
        </w:rPr>
        <w:t>’</w:t>
      </w:r>
      <w:r w:rsidRPr="002C1B3A">
        <w:rPr>
          <w:rFonts w:cs="Times New Roman"/>
          <w:i/>
          <w:lang w:val="fr-CA"/>
        </w:rPr>
        <w:t>Ouest</w:t>
      </w:r>
      <w:r w:rsidRPr="002C1B3A">
        <w:rPr>
          <w:rFonts w:cs="Times New Roman"/>
          <w:lang w:val="fr-CA"/>
        </w:rPr>
        <w:t>, par. 73.  Le « fait que le législateur fédéral ait légiféré sur une matière n</w:t>
      </w:r>
      <w:r>
        <w:rPr>
          <w:rFonts w:cs="Times New Roman"/>
          <w:lang w:val="fr-CA"/>
        </w:rPr>
        <w:t>’</w:t>
      </w:r>
      <w:r w:rsidRPr="002C1B3A">
        <w:rPr>
          <w:rFonts w:cs="Times New Roman"/>
          <w:lang w:val="fr-CA"/>
        </w:rPr>
        <w:t>entraîne pas la présomption qu</w:t>
      </w:r>
      <w:r>
        <w:rPr>
          <w:rFonts w:cs="Times New Roman"/>
          <w:lang w:val="fr-CA"/>
        </w:rPr>
        <w:t>’</w:t>
      </w:r>
      <w:r w:rsidRPr="002C1B3A">
        <w:rPr>
          <w:rFonts w:cs="Times New Roman"/>
          <w:lang w:val="fr-CA"/>
        </w:rPr>
        <w:t>il a voulu, par là, exclure toute possibilité d</w:t>
      </w:r>
      <w:r>
        <w:rPr>
          <w:rFonts w:cs="Times New Roman"/>
          <w:lang w:val="fr-CA"/>
        </w:rPr>
        <w:t>’</w:t>
      </w:r>
      <w:r w:rsidRPr="002C1B3A">
        <w:rPr>
          <w:rFonts w:cs="Times New Roman"/>
          <w:lang w:val="fr-CA"/>
        </w:rPr>
        <w:t>intervention provinciale sur le sujet » :</w:t>
      </w:r>
      <w:r w:rsidRPr="002C1B3A">
        <w:rPr>
          <w:rFonts w:cs="Times New Roman"/>
          <w:i/>
          <w:lang w:val="fr-CA"/>
        </w:rPr>
        <w:t xml:space="preserve"> Banque canadienne de l</w:t>
      </w:r>
      <w:r>
        <w:rPr>
          <w:rFonts w:cs="Times New Roman"/>
          <w:i/>
          <w:lang w:val="fr-CA"/>
        </w:rPr>
        <w:t>’</w:t>
      </w:r>
      <w:r w:rsidRPr="002C1B3A">
        <w:rPr>
          <w:rFonts w:cs="Times New Roman"/>
          <w:i/>
          <w:lang w:val="fr-CA"/>
        </w:rPr>
        <w:t>Ouest</w:t>
      </w:r>
      <w:r w:rsidRPr="002C1B3A">
        <w:rPr>
          <w:rFonts w:cs="Times New Roman"/>
          <w:lang w:val="fr-CA"/>
        </w:rPr>
        <w:t>, par. 74.  Les tribunaux ne doivent pas perdre de vue la règle d</w:t>
      </w:r>
      <w:r>
        <w:rPr>
          <w:rFonts w:cs="Times New Roman"/>
          <w:lang w:val="fr-CA"/>
        </w:rPr>
        <w:t>’</w:t>
      </w:r>
      <w:r w:rsidRPr="002C1B3A">
        <w:rPr>
          <w:rFonts w:cs="Times New Roman"/>
          <w:lang w:val="fr-CA"/>
        </w:rPr>
        <w:t>interprétation constitutionnelle fondamentale selon laquelle « [c]haque fois qu</w:t>
      </w:r>
      <w:r>
        <w:rPr>
          <w:rFonts w:cs="Times New Roman"/>
          <w:lang w:val="fr-CA"/>
        </w:rPr>
        <w:t>’</w:t>
      </w:r>
      <w:r w:rsidRPr="002C1B3A">
        <w:rPr>
          <w:rFonts w:cs="Times New Roman"/>
          <w:lang w:val="fr-CA"/>
        </w:rPr>
        <w:t>on peut légitimement interpréter une loi fédérale de manière qu</w:t>
      </w:r>
      <w:r>
        <w:rPr>
          <w:rFonts w:cs="Times New Roman"/>
          <w:lang w:val="fr-CA"/>
        </w:rPr>
        <w:t>’</w:t>
      </w:r>
      <w:r w:rsidRPr="002C1B3A">
        <w:rPr>
          <w:rFonts w:cs="Times New Roman"/>
          <w:lang w:val="fr-CA"/>
        </w:rPr>
        <w:t>elle n</w:t>
      </w:r>
      <w:r>
        <w:rPr>
          <w:rFonts w:cs="Times New Roman"/>
          <w:lang w:val="fr-CA"/>
        </w:rPr>
        <w:t>’</w:t>
      </w:r>
      <w:r w:rsidRPr="002C1B3A">
        <w:rPr>
          <w:rFonts w:cs="Times New Roman"/>
          <w:lang w:val="fr-CA"/>
        </w:rPr>
        <w:t xml:space="preserve">entre pas en conflit avec une loi provinciale, il faut appliquer cette interprétation de préférence à toute autre qui entraînerait un conflit » : </w:t>
      </w:r>
      <w:r w:rsidRPr="002C1B3A">
        <w:rPr>
          <w:rFonts w:cs="Times New Roman"/>
          <w:i/>
          <w:lang w:val="fr-CA"/>
        </w:rPr>
        <w:t>Banque canadienne de l</w:t>
      </w:r>
      <w:r>
        <w:rPr>
          <w:rFonts w:cs="Times New Roman"/>
          <w:i/>
          <w:lang w:val="fr-CA"/>
        </w:rPr>
        <w:t>’</w:t>
      </w:r>
      <w:r w:rsidRPr="002C1B3A">
        <w:rPr>
          <w:rFonts w:cs="Times New Roman"/>
          <w:i/>
          <w:lang w:val="fr-CA"/>
        </w:rPr>
        <w:t>Ouest</w:t>
      </w:r>
      <w:r w:rsidRPr="002C1B3A">
        <w:rPr>
          <w:rFonts w:cs="Times New Roman"/>
          <w:lang w:val="fr-CA"/>
        </w:rPr>
        <w:t xml:space="preserve">, par. 75, citant </w:t>
      </w:r>
      <w:r w:rsidRPr="002C1B3A">
        <w:rPr>
          <w:rFonts w:cs="Times New Roman"/>
          <w:i/>
          <w:lang w:val="fr-CA"/>
        </w:rPr>
        <w:t>Procureur général du Canada c. Law Society of British Columbia</w:t>
      </w:r>
      <w:r w:rsidRPr="002C1B3A">
        <w:rPr>
          <w:rFonts w:cs="Times New Roman"/>
          <w:lang w:val="fr-CA"/>
        </w:rPr>
        <w:t xml:space="preserve">, [1982] 2 </w:t>
      </w:r>
      <w:r w:rsidRPr="002C1B3A">
        <w:rPr>
          <w:rFonts w:cs="Times New Roman"/>
          <w:lang w:val="fr-CA"/>
        </w:rPr>
        <w:lastRenderedPageBreak/>
        <w:t>R.C.S. 307, p. 356.  La « norme d</w:t>
      </w:r>
      <w:r>
        <w:rPr>
          <w:rFonts w:cs="Times New Roman"/>
          <w:lang w:val="fr-CA"/>
        </w:rPr>
        <w:t>’</w:t>
      </w:r>
      <w:r w:rsidRPr="002C1B3A">
        <w:rPr>
          <w:rFonts w:cs="Times New Roman"/>
          <w:lang w:val="fr-CA"/>
        </w:rPr>
        <w:t>invalidation d</w:t>
      </w:r>
      <w:r>
        <w:rPr>
          <w:rFonts w:cs="Times New Roman"/>
          <w:lang w:val="fr-CA"/>
        </w:rPr>
        <w:t>’</w:t>
      </w:r>
      <w:r w:rsidRPr="002C1B3A">
        <w:rPr>
          <w:rFonts w:cs="Times New Roman"/>
          <w:lang w:val="fr-CA"/>
        </w:rPr>
        <w:t>une loi provinciale au motif qu</w:t>
      </w:r>
      <w:r>
        <w:rPr>
          <w:rFonts w:cs="Times New Roman"/>
          <w:lang w:val="fr-CA"/>
        </w:rPr>
        <w:t>’</w:t>
      </w:r>
      <w:r w:rsidRPr="002C1B3A">
        <w:rPr>
          <w:rFonts w:cs="Times New Roman"/>
          <w:lang w:val="fr-CA"/>
        </w:rPr>
        <w:t>elle entrave la réalisation de l</w:t>
      </w:r>
      <w:r>
        <w:rPr>
          <w:rFonts w:cs="Times New Roman"/>
          <w:lang w:val="fr-CA"/>
        </w:rPr>
        <w:t>’</w:t>
      </w:r>
      <w:r w:rsidRPr="002C1B3A">
        <w:rPr>
          <w:rFonts w:cs="Times New Roman"/>
          <w:lang w:val="fr-CA"/>
        </w:rPr>
        <w:t>objet fédéral est élevée; une loi fédérale permissive, sans plus, ne permettra pas d</w:t>
      </w:r>
      <w:r>
        <w:rPr>
          <w:rFonts w:cs="Times New Roman"/>
          <w:lang w:val="fr-CA"/>
        </w:rPr>
        <w:t>’</w:t>
      </w:r>
      <w:r w:rsidRPr="002C1B3A">
        <w:rPr>
          <w:rFonts w:cs="Times New Roman"/>
          <w:lang w:val="fr-CA"/>
        </w:rPr>
        <w:t>établir l</w:t>
      </w:r>
      <w:r>
        <w:rPr>
          <w:rFonts w:cs="Times New Roman"/>
          <w:lang w:val="fr-CA"/>
        </w:rPr>
        <w:t>’</w:t>
      </w:r>
      <w:r w:rsidRPr="002C1B3A">
        <w:rPr>
          <w:rFonts w:cs="Times New Roman"/>
          <w:lang w:val="fr-CA"/>
        </w:rPr>
        <w:t xml:space="preserve">entrave de son objet par une loi provinciale qui restreint la portée de la permissivité de la loi fédérale » : </w:t>
      </w:r>
      <w:r w:rsidRPr="002C1B3A">
        <w:rPr>
          <w:rFonts w:cs="Times New Roman"/>
          <w:i/>
          <w:lang w:val="fr-CA"/>
        </w:rPr>
        <w:t>COPA</w:t>
      </w:r>
      <w:r w:rsidRPr="002C1B3A">
        <w:rPr>
          <w:rFonts w:cs="Times New Roman"/>
          <w:lang w:val="fr-CA"/>
        </w:rPr>
        <w:t>, par. 66.</w:t>
      </w:r>
    </w:p>
    <w:p w:rsidR="00931170" w:rsidRPr="002C1B3A" w:rsidRDefault="00931170" w:rsidP="00931170">
      <w:pPr>
        <w:pStyle w:val="ParaNoNdepar-AltN"/>
        <w:rPr>
          <w:rFonts w:cs="Times New Roman"/>
          <w:lang w:val="fr-CA"/>
        </w:rPr>
      </w:pPr>
      <w:r w:rsidRPr="002C1B3A">
        <w:rPr>
          <w:rFonts w:cs="Times New Roman"/>
          <w:lang w:val="fr-CA"/>
        </w:rPr>
        <w:t>À notre avis, suivant l</w:t>
      </w:r>
      <w:r>
        <w:rPr>
          <w:rFonts w:cs="Times New Roman"/>
          <w:lang w:val="fr-CA"/>
        </w:rPr>
        <w:t>’</w:t>
      </w:r>
      <w:r w:rsidRPr="002C1B3A">
        <w:rPr>
          <w:rFonts w:cs="Times New Roman"/>
          <w:lang w:val="fr-CA"/>
        </w:rPr>
        <w:t>interprétation qu</w:t>
      </w:r>
      <w:r>
        <w:rPr>
          <w:rFonts w:cs="Times New Roman"/>
          <w:lang w:val="fr-CA"/>
        </w:rPr>
        <w:t>’</w:t>
      </w:r>
      <w:r w:rsidRPr="002C1B3A">
        <w:rPr>
          <w:rFonts w:cs="Times New Roman"/>
          <w:lang w:val="fr-CA"/>
        </w:rPr>
        <w:t xml:space="preserve">il convient de donner à la </w:t>
      </w:r>
      <w:r w:rsidRPr="002C1B3A">
        <w:rPr>
          <w:rFonts w:cs="Times New Roman"/>
          <w:i/>
          <w:lang w:val="fr-CA"/>
        </w:rPr>
        <w:t>LRMM</w:t>
      </w:r>
      <w:r w:rsidRPr="002C1B3A">
        <w:rPr>
          <w:rFonts w:cs="Times New Roman"/>
          <w:lang w:val="fr-CA"/>
        </w:rPr>
        <w:t>, la prépondérance fédérale ne s</w:t>
      </w:r>
      <w:r>
        <w:rPr>
          <w:rFonts w:cs="Times New Roman"/>
          <w:lang w:val="fr-CA"/>
        </w:rPr>
        <w:t>’</w:t>
      </w:r>
      <w:r w:rsidRPr="002C1B3A">
        <w:rPr>
          <w:rFonts w:cs="Times New Roman"/>
          <w:lang w:val="fr-CA"/>
        </w:rPr>
        <w:t>applique pas en l</w:t>
      </w:r>
      <w:r>
        <w:rPr>
          <w:rFonts w:cs="Times New Roman"/>
          <w:lang w:val="fr-CA"/>
        </w:rPr>
        <w:t>’</w:t>
      </w:r>
      <w:r w:rsidRPr="002C1B3A">
        <w:rPr>
          <w:rFonts w:cs="Times New Roman"/>
          <w:lang w:val="fr-CA"/>
        </w:rPr>
        <w:t>espèce.</w:t>
      </w:r>
    </w:p>
    <w:p w:rsidR="00931170" w:rsidRPr="002C1B3A" w:rsidRDefault="00931170" w:rsidP="00931170">
      <w:pPr>
        <w:pStyle w:val="ParaNoNdepar-AltN"/>
        <w:rPr>
          <w:rFonts w:cs="Times New Roman"/>
          <w:lang w:val="fr-CA"/>
        </w:rPr>
      </w:pPr>
      <w:r w:rsidRPr="002C1B3A">
        <w:rPr>
          <w:rFonts w:cs="Times New Roman"/>
          <w:lang w:val="fr-CA"/>
        </w:rPr>
        <w:t>Les appelants font valoir (et la juge dissidente de la Cour d</w:t>
      </w:r>
      <w:r>
        <w:rPr>
          <w:rFonts w:cs="Times New Roman"/>
          <w:lang w:val="fr-CA"/>
        </w:rPr>
        <w:t>’</w:t>
      </w:r>
      <w:r w:rsidRPr="002C1B3A">
        <w:rPr>
          <w:rFonts w:cs="Times New Roman"/>
          <w:lang w:val="fr-CA"/>
        </w:rPr>
        <w:t>appel est d</w:t>
      </w:r>
      <w:r>
        <w:rPr>
          <w:rFonts w:cs="Times New Roman"/>
          <w:lang w:val="fr-CA"/>
        </w:rPr>
        <w:t>’</w:t>
      </w:r>
      <w:r w:rsidRPr="002C1B3A">
        <w:rPr>
          <w:rFonts w:cs="Times New Roman"/>
          <w:lang w:val="fr-CA"/>
        </w:rPr>
        <w:t>accord sur ce point) qu</w:t>
      </w:r>
      <w:r>
        <w:rPr>
          <w:rFonts w:cs="Times New Roman"/>
          <w:lang w:val="fr-CA"/>
        </w:rPr>
        <w:t>’</w:t>
      </w:r>
      <w:r w:rsidRPr="002C1B3A">
        <w:rPr>
          <w:rFonts w:cs="Times New Roman"/>
          <w:lang w:val="fr-CA"/>
        </w:rPr>
        <w:t>il n</w:t>
      </w:r>
      <w:r>
        <w:rPr>
          <w:rFonts w:cs="Times New Roman"/>
          <w:lang w:val="fr-CA"/>
        </w:rPr>
        <w:t>’</w:t>
      </w:r>
      <w:r w:rsidRPr="002C1B3A">
        <w:rPr>
          <w:rFonts w:cs="Times New Roman"/>
          <w:lang w:val="fr-CA"/>
        </w:rPr>
        <w:t>existe pas de conflit entre la loi provinciale et la loi fédérale, parce que cette dernière ne confère pas de droit d</w:t>
      </w:r>
      <w:r>
        <w:rPr>
          <w:rFonts w:cs="Times New Roman"/>
          <w:lang w:val="fr-CA"/>
        </w:rPr>
        <w:t>’</w:t>
      </w:r>
      <w:r w:rsidRPr="002C1B3A">
        <w:rPr>
          <w:rFonts w:cs="Times New Roman"/>
          <w:lang w:val="fr-CA"/>
        </w:rPr>
        <w:t>action aux successions Ryan dans les circonstances de l</w:t>
      </w:r>
      <w:r>
        <w:rPr>
          <w:rFonts w:cs="Times New Roman"/>
          <w:lang w:val="fr-CA"/>
        </w:rPr>
        <w:t>’</w:t>
      </w:r>
      <w:r w:rsidRPr="002C1B3A">
        <w:rPr>
          <w:rFonts w:cs="Times New Roman"/>
          <w:lang w:val="fr-CA"/>
        </w:rPr>
        <w:t xml:space="preserve">espèce.  Aux termes du par. 6(2) de la </w:t>
      </w:r>
      <w:r w:rsidRPr="002C1B3A">
        <w:rPr>
          <w:rFonts w:cs="Times New Roman"/>
          <w:i/>
          <w:lang w:val="fr-CA"/>
        </w:rPr>
        <w:t>LRMM</w:t>
      </w:r>
      <w:r w:rsidRPr="002C1B3A">
        <w:rPr>
          <w:rFonts w:cs="Times New Roman"/>
          <w:lang w:val="fr-CA"/>
        </w:rPr>
        <w:t>, les personnes à charge « peuvent » intenter une action seulement si la victime est décédée « dans des circonstances qui, si le décès n</w:t>
      </w:r>
      <w:r>
        <w:rPr>
          <w:rFonts w:cs="Times New Roman"/>
          <w:lang w:val="fr-CA"/>
        </w:rPr>
        <w:t>’</w:t>
      </w:r>
      <w:r w:rsidRPr="002C1B3A">
        <w:rPr>
          <w:rFonts w:cs="Times New Roman"/>
          <w:lang w:val="fr-CA"/>
        </w:rPr>
        <w:t>en était pas résulté, lui auraient donné le droit de réclamer des dommages</w:t>
      </w:r>
      <w:r w:rsidRPr="002C1B3A">
        <w:rPr>
          <w:rFonts w:cs="Times New Roman"/>
          <w:lang w:val="fr-CA"/>
        </w:rPr>
        <w:noBreakHyphen/>
        <w:t>intérêts ».</w:t>
      </w:r>
    </w:p>
    <w:p w:rsidR="00931170" w:rsidRPr="002C1B3A" w:rsidRDefault="00931170" w:rsidP="00931170">
      <w:pPr>
        <w:pStyle w:val="ParaNoNdepar-AltN"/>
        <w:rPr>
          <w:rFonts w:cs="Times New Roman"/>
          <w:lang w:val="fr-CA"/>
        </w:rPr>
      </w:pPr>
      <w:r w:rsidRPr="002C1B3A">
        <w:rPr>
          <w:rFonts w:cs="Times New Roman"/>
          <w:lang w:val="fr-CA"/>
        </w:rPr>
        <w:t xml:space="preserve">À première vue, le par. 6(2) de la </w:t>
      </w:r>
      <w:r w:rsidRPr="002C1B3A">
        <w:rPr>
          <w:rFonts w:cs="Times New Roman"/>
          <w:i/>
          <w:lang w:val="fr-CA"/>
        </w:rPr>
        <w:t xml:space="preserve">LRMM </w:t>
      </w:r>
      <w:r w:rsidRPr="002C1B3A">
        <w:rPr>
          <w:rFonts w:cs="Times New Roman"/>
          <w:lang w:val="fr-CA"/>
        </w:rPr>
        <w:t>est une disposition portant sur la responsabilité délictuelle.  Il concerne les actions en négligence fondées sur le droit maritime canadien.  Si on interprète cette disposition en corrélation avec celles qui la précèdent, il devient évident que son adoption visait à combler une lacune du régime de responsabilité délictuelle en matière maritime qu</w:t>
      </w:r>
      <w:r>
        <w:rPr>
          <w:rFonts w:cs="Times New Roman"/>
          <w:lang w:val="fr-CA"/>
        </w:rPr>
        <w:t>’</w:t>
      </w:r>
      <w:r w:rsidRPr="002C1B3A">
        <w:rPr>
          <w:rFonts w:cs="Times New Roman"/>
          <w:lang w:val="fr-CA"/>
        </w:rPr>
        <w:t>avait relevée la Cour dans l</w:t>
      </w:r>
      <w:r>
        <w:rPr>
          <w:rFonts w:cs="Times New Roman"/>
          <w:lang w:val="fr-CA"/>
        </w:rPr>
        <w:t>’</w:t>
      </w:r>
      <w:r w:rsidRPr="002C1B3A">
        <w:rPr>
          <w:rFonts w:cs="Times New Roman"/>
          <w:lang w:val="fr-CA"/>
        </w:rPr>
        <w:t xml:space="preserve">affaire </w:t>
      </w:r>
      <w:r w:rsidRPr="002C1B3A">
        <w:rPr>
          <w:rFonts w:cs="Times New Roman"/>
          <w:i/>
          <w:lang w:val="fr-CA"/>
        </w:rPr>
        <w:t>Ordon</w:t>
      </w:r>
      <w:r w:rsidRPr="002C1B3A">
        <w:rPr>
          <w:rFonts w:cs="Times New Roman"/>
          <w:lang w:val="fr-CA"/>
        </w:rPr>
        <w:t>.</w:t>
      </w:r>
    </w:p>
    <w:p w:rsidR="00931170" w:rsidRPr="002C1B3A" w:rsidRDefault="00931170" w:rsidP="00931170">
      <w:pPr>
        <w:pStyle w:val="ParaNoNdepar-AltN"/>
        <w:rPr>
          <w:rFonts w:cs="Times New Roman"/>
          <w:lang w:val="fr-CA"/>
        </w:rPr>
      </w:pPr>
      <w:r w:rsidRPr="002C1B3A">
        <w:rPr>
          <w:rFonts w:cs="Times New Roman"/>
          <w:lang w:val="fr-CA"/>
        </w:rPr>
        <w:lastRenderedPageBreak/>
        <w:t>Historiquement, les dommages</w:t>
      </w:r>
      <w:r w:rsidRPr="002C1B3A">
        <w:rPr>
          <w:rFonts w:cs="Times New Roman"/>
          <w:lang w:val="fr-CA"/>
        </w:rPr>
        <w:noBreakHyphen/>
        <w:t>intérêts accordés à la suite d</w:t>
      </w:r>
      <w:r>
        <w:rPr>
          <w:rFonts w:cs="Times New Roman"/>
          <w:lang w:val="fr-CA"/>
        </w:rPr>
        <w:t>’</w:t>
      </w:r>
      <w:r w:rsidRPr="002C1B3A">
        <w:rPr>
          <w:rFonts w:cs="Times New Roman"/>
          <w:lang w:val="fr-CA"/>
        </w:rPr>
        <w:t xml:space="preserve">accidents mortels ne visaient que les pertes pécuniaires : </w:t>
      </w:r>
      <w:r w:rsidRPr="002C1B3A">
        <w:rPr>
          <w:rFonts w:eastAsia="Times New Roman" w:cs="Times New Roman"/>
          <w:i/>
          <w:iCs/>
          <w:szCs w:val="24"/>
          <w:lang w:val="fr-CA" w:eastAsia="en-CA"/>
        </w:rPr>
        <w:t>Fatal Accidents Act, 1846</w:t>
      </w:r>
      <w:r w:rsidRPr="002C1B3A">
        <w:rPr>
          <w:rFonts w:eastAsia="Times New Roman" w:cs="Times New Roman"/>
          <w:szCs w:val="24"/>
          <w:lang w:val="fr-CA" w:eastAsia="en-CA"/>
        </w:rPr>
        <w:t xml:space="preserve"> (U.K.), 9 &amp; 10 Vict., ch. 93; </w:t>
      </w:r>
      <w:r w:rsidRPr="002C1B3A">
        <w:rPr>
          <w:rFonts w:cs="Times New Roman"/>
          <w:lang w:val="fr-CA"/>
        </w:rPr>
        <w:t xml:space="preserve">et </w:t>
      </w:r>
      <w:r w:rsidRPr="002C1B3A">
        <w:rPr>
          <w:rFonts w:cs="Times New Roman"/>
          <w:i/>
          <w:lang w:val="fr-CA"/>
        </w:rPr>
        <w:t>Ordon</w:t>
      </w:r>
      <w:r w:rsidRPr="002C1B3A">
        <w:rPr>
          <w:rFonts w:cs="Times New Roman"/>
          <w:lang w:val="fr-CA"/>
        </w:rPr>
        <w:t>, par. 51</w:t>
      </w:r>
      <w:r w:rsidRPr="002C1B3A">
        <w:rPr>
          <w:rFonts w:cs="Times New Roman"/>
          <w:lang w:val="fr-CA"/>
        </w:rPr>
        <w:noBreakHyphen/>
        <w:t>57 et 98.  Dans cet arrêt, la Cour a élargi la portée des règles de common law, d</w:t>
      </w:r>
      <w:r>
        <w:rPr>
          <w:rFonts w:cs="Times New Roman"/>
          <w:lang w:val="fr-CA"/>
        </w:rPr>
        <w:t>’</w:t>
      </w:r>
      <w:r w:rsidRPr="002C1B3A">
        <w:rPr>
          <w:rFonts w:cs="Times New Roman"/>
          <w:lang w:val="fr-CA"/>
        </w:rPr>
        <w:t>une part pour permettre aux personnes à charge des victimes d</w:t>
      </w:r>
      <w:r>
        <w:rPr>
          <w:rFonts w:cs="Times New Roman"/>
          <w:lang w:val="fr-CA"/>
        </w:rPr>
        <w:t>’</w:t>
      </w:r>
      <w:r w:rsidRPr="002C1B3A">
        <w:rPr>
          <w:rFonts w:cs="Times New Roman"/>
          <w:lang w:val="fr-CA"/>
        </w:rPr>
        <w:t>accidents de navigation mortels d</w:t>
      </w:r>
      <w:r>
        <w:rPr>
          <w:rFonts w:cs="Times New Roman"/>
          <w:lang w:val="fr-CA"/>
        </w:rPr>
        <w:t>’</w:t>
      </w:r>
      <w:r w:rsidRPr="002C1B3A">
        <w:rPr>
          <w:rFonts w:cs="Times New Roman"/>
          <w:lang w:val="fr-CA"/>
        </w:rPr>
        <w:t>intenter des actions en dommages</w:t>
      </w:r>
      <w:r w:rsidRPr="002C1B3A">
        <w:rPr>
          <w:rFonts w:cs="Times New Roman"/>
          <w:lang w:val="fr-CA"/>
        </w:rPr>
        <w:noBreakHyphen/>
        <w:t>intérêts pour perte de conseils, de soins et de compagnie, et, d</w:t>
      </w:r>
      <w:r>
        <w:rPr>
          <w:rFonts w:cs="Times New Roman"/>
          <w:lang w:val="fr-CA"/>
        </w:rPr>
        <w:t>’</w:t>
      </w:r>
      <w:r w:rsidRPr="002C1B3A">
        <w:rPr>
          <w:rFonts w:cs="Times New Roman"/>
          <w:lang w:val="fr-CA"/>
        </w:rPr>
        <w:t>autre part pour autoriser les personnes à charge de personnes ayant seulement été blessées dans un accident de navigation, de présenter des demandes de réparation du préjudice résultant de leurs blessures : par. 98</w:t>
      </w:r>
      <w:r w:rsidRPr="002C1B3A">
        <w:rPr>
          <w:rFonts w:cs="Times New Roman"/>
          <w:lang w:val="fr-CA"/>
        </w:rPr>
        <w:noBreakHyphen/>
        <w:t>103.  Aucun de ces recours n</w:t>
      </w:r>
      <w:r>
        <w:rPr>
          <w:rFonts w:cs="Times New Roman"/>
          <w:lang w:val="fr-CA"/>
        </w:rPr>
        <w:t>’</w:t>
      </w:r>
      <w:r w:rsidRPr="002C1B3A">
        <w:rPr>
          <w:rFonts w:cs="Times New Roman"/>
          <w:lang w:val="fr-CA"/>
        </w:rPr>
        <w:t xml:space="preserve">était ouvert sous le régime de la </w:t>
      </w:r>
      <w:r w:rsidRPr="002C1B3A">
        <w:rPr>
          <w:rFonts w:cs="Times New Roman"/>
          <w:i/>
          <w:lang w:val="fr-CA"/>
        </w:rPr>
        <w:t>Loi sur la marine marchande du Canada</w:t>
      </w:r>
      <w:r w:rsidRPr="002C1B3A">
        <w:rPr>
          <w:rFonts w:cs="Times New Roman"/>
          <w:lang w:val="fr-CA"/>
        </w:rPr>
        <w:t>.  Le Parlement a codifié ces réformes à l</w:t>
      </w:r>
      <w:r>
        <w:rPr>
          <w:rFonts w:cs="Times New Roman"/>
          <w:lang w:val="fr-CA"/>
        </w:rPr>
        <w:t>’</w:t>
      </w:r>
      <w:r w:rsidRPr="002C1B3A">
        <w:rPr>
          <w:rFonts w:cs="Times New Roman"/>
          <w:lang w:val="fr-CA"/>
        </w:rPr>
        <w:t xml:space="preserve">art. 6 de la </w:t>
      </w:r>
      <w:r w:rsidRPr="002C1B3A">
        <w:rPr>
          <w:rFonts w:cs="Times New Roman"/>
          <w:i/>
          <w:lang w:val="fr-CA"/>
        </w:rPr>
        <w:t>LRMM</w:t>
      </w:r>
      <w:r w:rsidRPr="002C1B3A">
        <w:rPr>
          <w:rFonts w:cs="Times New Roman"/>
          <w:lang w:val="fr-CA"/>
        </w:rPr>
        <w:t>.  L</w:t>
      </w:r>
      <w:r>
        <w:rPr>
          <w:rFonts w:cs="Times New Roman"/>
          <w:lang w:val="fr-CA"/>
        </w:rPr>
        <w:t>’</w:t>
      </w:r>
      <w:r w:rsidRPr="002C1B3A">
        <w:rPr>
          <w:rFonts w:cs="Times New Roman"/>
          <w:lang w:val="fr-CA"/>
        </w:rPr>
        <w:t xml:space="preserve">article 4 de la </w:t>
      </w:r>
      <w:r w:rsidRPr="002C1B3A">
        <w:rPr>
          <w:rFonts w:cs="Times New Roman"/>
          <w:i/>
          <w:lang w:val="fr-CA"/>
        </w:rPr>
        <w:t>LRMM</w:t>
      </w:r>
      <w:r w:rsidRPr="002C1B3A">
        <w:rPr>
          <w:rFonts w:cs="Times New Roman"/>
          <w:lang w:val="fr-CA"/>
        </w:rPr>
        <w:t xml:space="preserve"> est allé plus loin et a élargi la catégorie de personnes à charge admises à réclamer des dommages</w:t>
      </w:r>
      <w:r w:rsidRPr="002C1B3A">
        <w:rPr>
          <w:rFonts w:cs="Times New Roman"/>
          <w:lang w:val="fr-CA"/>
        </w:rPr>
        <w:noBreakHyphen/>
        <w:t>intérêts en cas d</w:t>
      </w:r>
      <w:r>
        <w:rPr>
          <w:rFonts w:cs="Times New Roman"/>
          <w:lang w:val="fr-CA"/>
        </w:rPr>
        <w:t>’</w:t>
      </w:r>
      <w:r w:rsidRPr="002C1B3A">
        <w:rPr>
          <w:rFonts w:cs="Times New Roman"/>
          <w:lang w:val="fr-CA"/>
        </w:rPr>
        <w:t>accidents de navigation mortels, afin d</w:t>
      </w:r>
      <w:r>
        <w:rPr>
          <w:rFonts w:cs="Times New Roman"/>
          <w:lang w:val="fr-CA"/>
        </w:rPr>
        <w:t>’</w:t>
      </w:r>
      <w:r w:rsidRPr="002C1B3A">
        <w:rPr>
          <w:rFonts w:cs="Times New Roman"/>
          <w:lang w:val="fr-CA"/>
        </w:rPr>
        <w:t>y inclure les frères et sœurs, une modification que notre Cour avait refusé d</w:t>
      </w:r>
      <w:r>
        <w:rPr>
          <w:rFonts w:cs="Times New Roman"/>
          <w:lang w:val="fr-CA"/>
        </w:rPr>
        <w:t>’</w:t>
      </w:r>
      <w:r w:rsidRPr="002C1B3A">
        <w:rPr>
          <w:rFonts w:cs="Times New Roman"/>
          <w:lang w:val="fr-CA"/>
        </w:rPr>
        <w:t xml:space="preserve">apporter : voir </w:t>
      </w:r>
      <w:r w:rsidRPr="002C1B3A">
        <w:rPr>
          <w:rFonts w:cs="Times New Roman"/>
          <w:i/>
          <w:lang w:val="fr-CA"/>
        </w:rPr>
        <w:t>Ordon</w:t>
      </w:r>
      <w:r w:rsidRPr="002C1B3A">
        <w:rPr>
          <w:rFonts w:cs="Times New Roman"/>
          <w:lang w:val="fr-CA"/>
        </w:rPr>
        <w:t>, par. 106.</w:t>
      </w:r>
    </w:p>
    <w:p w:rsidR="00931170" w:rsidRPr="002C1B3A" w:rsidRDefault="00931170" w:rsidP="00931170">
      <w:pPr>
        <w:pStyle w:val="ParaNoNdepar-AltN"/>
        <w:rPr>
          <w:rFonts w:cs="Times New Roman"/>
          <w:lang w:val="fr-CA"/>
        </w:rPr>
      </w:pPr>
      <w:r w:rsidRPr="002C1B3A">
        <w:rPr>
          <w:rFonts w:cs="Times New Roman"/>
          <w:szCs w:val="24"/>
          <w:lang w:val="fr-CA"/>
        </w:rPr>
        <w:t>Selon l</w:t>
      </w:r>
      <w:r>
        <w:rPr>
          <w:rFonts w:cs="Times New Roman"/>
          <w:szCs w:val="24"/>
          <w:lang w:val="fr-CA"/>
        </w:rPr>
        <w:t>’</w:t>
      </w:r>
      <w:r w:rsidRPr="002C1B3A">
        <w:rPr>
          <w:rFonts w:cs="Times New Roman"/>
          <w:szCs w:val="24"/>
          <w:lang w:val="fr-CA"/>
        </w:rPr>
        <w:t xml:space="preserve">art. 5 de la </w:t>
      </w:r>
      <w:r w:rsidRPr="002C1B3A">
        <w:rPr>
          <w:rFonts w:cs="Times New Roman"/>
          <w:i/>
          <w:szCs w:val="24"/>
          <w:lang w:val="fr-CA"/>
        </w:rPr>
        <w:t>LRMM</w:t>
      </w:r>
      <w:r w:rsidRPr="002C1B3A">
        <w:rPr>
          <w:rFonts w:cs="Times New Roman"/>
          <w:szCs w:val="24"/>
          <w:lang w:val="fr-CA"/>
        </w:rPr>
        <w:t>, la partie 1 de cette loi</w:t>
      </w:r>
      <w:r w:rsidRPr="002C1B3A">
        <w:rPr>
          <w:rFonts w:cs="Times New Roman"/>
          <w:iCs/>
          <w:szCs w:val="24"/>
          <w:lang w:val="fr-CA"/>
        </w:rPr>
        <w:t>,</w:t>
      </w:r>
      <w:r w:rsidRPr="002C1B3A">
        <w:rPr>
          <w:rFonts w:cs="Times New Roman"/>
          <w:i/>
          <w:iCs/>
          <w:szCs w:val="24"/>
          <w:lang w:val="fr-CA"/>
        </w:rPr>
        <w:t xml:space="preserve"> </w:t>
      </w:r>
      <w:r w:rsidRPr="002C1B3A">
        <w:rPr>
          <w:rFonts w:cs="Times New Roman"/>
          <w:szCs w:val="24"/>
          <w:lang w:val="fr-CA"/>
        </w:rPr>
        <w:t xml:space="preserve">dans laquelle figure le par. 6(2), </w:t>
      </w:r>
    </w:p>
    <w:p w:rsidR="00931170" w:rsidRPr="002C1B3A" w:rsidRDefault="00931170" w:rsidP="00931170">
      <w:pPr>
        <w:pStyle w:val="Citation-AltC"/>
        <w:ind w:hanging="1166"/>
        <w:rPr>
          <w:lang w:val="fr-CA"/>
        </w:rPr>
      </w:pPr>
      <w:r w:rsidRPr="002C1B3A">
        <w:rPr>
          <w:spacing w:val="4"/>
          <w:lang w:val="fr-CA"/>
        </w:rPr>
        <w:tab/>
        <w:t>s</w:t>
      </w:r>
      <w:r>
        <w:rPr>
          <w:spacing w:val="4"/>
          <w:lang w:val="fr-CA"/>
        </w:rPr>
        <w:t>’</w:t>
      </w:r>
      <w:r w:rsidRPr="002C1B3A">
        <w:rPr>
          <w:spacing w:val="4"/>
          <w:lang w:val="fr-CA"/>
        </w:rPr>
        <w:t>applique</w:t>
      </w:r>
      <w:r w:rsidRPr="002C1B3A">
        <w:rPr>
          <w:szCs w:val="24"/>
          <w:lang w:val="fr-CA"/>
        </w:rPr>
        <w:t xml:space="preserve"> à toute mesure de redressement demandée et à toute réclamation présentée sous le régime du droit maritime canadien, au sens de la </w:t>
      </w:r>
      <w:r w:rsidRPr="002C1B3A">
        <w:rPr>
          <w:i/>
          <w:iCs/>
          <w:szCs w:val="24"/>
          <w:lang w:val="fr-CA"/>
        </w:rPr>
        <w:t>Loi sur les Cours fédérales</w:t>
      </w:r>
      <w:r w:rsidRPr="002C1B3A">
        <w:rPr>
          <w:szCs w:val="24"/>
          <w:lang w:val="fr-CA"/>
        </w:rPr>
        <w:t>, ou au titre de toute autre règle de droit canadien liée à la navigation et à la marine marchande.</w:t>
      </w:r>
    </w:p>
    <w:p w:rsidR="00931170" w:rsidRPr="002C1B3A" w:rsidRDefault="00931170" w:rsidP="00931170">
      <w:pPr>
        <w:pStyle w:val="ParaNoNdepar-AltN"/>
        <w:rPr>
          <w:rFonts w:cs="Times New Roman"/>
          <w:lang w:val="fr-CA"/>
        </w:rPr>
      </w:pPr>
      <w:r w:rsidRPr="002C1B3A">
        <w:rPr>
          <w:rFonts w:cs="Times New Roman"/>
          <w:lang w:val="fr-CA"/>
        </w:rPr>
        <w:t>Interprété en corrélation avec l</w:t>
      </w:r>
      <w:r>
        <w:rPr>
          <w:rFonts w:cs="Times New Roman"/>
          <w:lang w:val="fr-CA"/>
        </w:rPr>
        <w:t>’</w:t>
      </w:r>
      <w:r w:rsidRPr="002C1B3A">
        <w:rPr>
          <w:rFonts w:cs="Times New Roman"/>
          <w:lang w:val="fr-CA"/>
        </w:rPr>
        <w:t xml:space="preserve">art. 5 de la </w:t>
      </w:r>
      <w:r w:rsidRPr="002C1B3A">
        <w:rPr>
          <w:rFonts w:cs="Times New Roman"/>
          <w:i/>
          <w:lang w:val="fr-CA"/>
        </w:rPr>
        <w:t>LRMM</w:t>
      </w:r>
      <w:r w:rsidRPr="002C1B3A">
        <w:rPr>
          <w:rFonts w:cs="Times New Roman"/>
          <w:lang w:val="fr-CA"/>
        </w:rPr>
        <w:t>, le par. 6(2) confère clairement une cause d</w:t>
      </w:r>
      <w:r>
        <w:rPr>
          <w:rFonts w:cs="Times New Roman"/>
          <w:lang w:val="fr-CA"/>
        </w:rPr>
        <w:t>’</w:t>
      </w:r>
      <w:r w:rsidRPr="002C1B3A">
        <w:rPr>
          <w:rFonts w:cs="Times New Roman"/>
          <w:lang w:val="fr-CA"/>
        </w:rPr>
        <w:t>action aux personnes à la charge d</w:t>
      </w:r>
      <w:r>
        <w:rPr>
          <w:rFonts w:cs="Times New Roman"/>
          <w:lang w:val="fr-CA"/>
        </w:rPr>
        <w:t>’</w:t>
      </w:r>
      <w:r w:rsidRPr="002C1B3A">
        <w:rPr>
          <w:rFonts w:cs="Times New Roman"/>
          <w:lang w:val="fr-CA"/>
        </w:rPr>
        <w:t xml:space="preserve">une personne qui, en raison </w:t>
      </w:r>
      <w:r w:rsidRPr="002C1B3A">
        <w:rPr>
          <w:rFonts w:cs="Times New Roman"/>
          <w:lang w:val="fr-CA"/>
        </w:rPr>
        <w:lastRenderedPageBreak/>
        <w:t>de la faute ou de la négligence d</w:t>
      </w:r>
      <w:r>
        <w:rPr>
          <w:rFonts w:cs="Times New Roman"/>
          <w:lang w:val="fr-CA"/>
        </w:rPr>
        <w:t>’</w:t>
      </w:r>
      <w:r w:rsidRPr="002C1B3A">
        <w:rPr>
          <w:rFonts w:cs="Times New Roman"/>
          <w:lang w:val="fr-CA"/>
        </w:rPr>
        <w:t>autrui, a perdu la vie dans un accident de navigation assujetti au droit maritime canadien.  Cependant, nous concluons que, considéré à la lumière du contexte législatif dans son ensemble, le par. 6(2) ne fait pas obstacle à</w:t>
      </w:r>
      <w:r w:rsidRPr="002C1B3A">
        <w:rPr>
          <w:rFonts w:cs="Times New Roman"/>
          <w:i/>
          <w:lang w:val="fr-CA"/>
        </w:rPr>
        <w:t xml:space="preserve"> </w:t>
      </w:r>
      <w:r w:rsidRPr="002C1B3A">
        <w:rPr>
          <w:rFonts w:cs="Times New Roman"/>
          <w:lang w:val="fr-CA"/>
        </w:rPr>
        <w:t>l</w:t>
      </w:r>
      <w:r>
        <w:rPr>
          <w:rFonts w:cs="Times New Roman"/>
          <w:lang w:val="fr-CA"/>
        </w:rPr>
        <w:t>’</w:t>
      </w:r>
      <w:r w:rsidRPr="002C1B3A">
        <w:rPr>
          <w:rFonts w:cs="Times New Roman"/>
          <w:lang w:val="fr-CA"/>
        </w:rPr>
        <w:t>application de régimes provinciaux d</w:t>
      </w:r>
      <w:r>
        <w:rPr>
          <w:rFonts w:cs="Times New Roman"/>
          <w:lang w:val="fr-CA"/>
        </w:rPr>
        <w:t>’</w:t>
      </w:r>
      <w:r w:rsidRPr="002C1B3A">
        <w:rPr>
          <w:rFonts w:cs="Times New Roman"/>
          <w:lang w:val="fr-CA"/>
        </w:rPr>
        <w:t xml:space="preserve">indemnisation des accidents du travail. </w:t>
      </w:r>
    </w:p>
    <w:p w:rsidR="00931170" w:rsidRPr="002C1B3A" w:rsidRDefault="00931170" w:rsidP="00931170">
      <w:pPr>
        <w:pStyle w:val="ParaNoNdepar-AltN"/>
        <w:rPr>
          <w:rFonts w:cs="Times New Roman"/>
          <w:lang w:val="fr-CA"/>
        </w:rPr>
      </w:pPr>
      <w:r w:rsidRPr="002C1B3A">
        <w:rPr>
          <w:rFonts w:cs="Times New Roman"/>
          <w:lang w:val="fr-CA"/>
        </w:rPr>
        <w:t xml:space="preserve">À notre avis, la </w:t>
      </w:r>
      <w:r w:rsidRPr="002C1B3A">
        <w:rPr>
          <w:rFonts w:cs="Times New Roman"/>
          <w:i/>
          <w:lang w:val="fr-CA"/>
        </w:rPr>
        <w:t>WHSCA</w:t>
      </w:r>
      <w:r w:rsidRPr="002C1B3A">
        <w:rPr>
          <w:rFonts w:cs="Times New Roman"/>
          <w:lang w:val="fr-CA"/>
        </w:rPr>
        <w:t xml:space="preserve"> et la </w:t>
      </w:r>
      <w:r w:rsidRPr="002C1B3A">
        <w:rPr>
          <w:rFonts w:cs="Times New Roman"/>
          <w:i/>
          <w:lang w:val="fr-CA"/>
        </w:rPr>
        <w:t>LRMM</w:t>
      </w:r>
      <w:r w:rsidRPr="002C1B3A">
        <w:rPr>
          <w:rFonts w:cs="Times New Roman"/>
          <w:lang w:val="fr-CA"/>
        </w:rPr>
        <w:t xml:space="preserve"> peuvent coexister sans conflit.  D</w:t>
      </w:r>
      <w:r>
        <w:rPr>
          <w:rFonts w:cs="Times New Roman"/>
          <w:lang w:val="fr-CA"/>
        </w:rPr>
        <w:t>’</w:t>
      </w:r>
      <w:r w:rsidRPr="002C1B3A">
        <w:rPr>
          <w:rFonts w:cs="Times New Roman"/>
          <w:lang w:val="fr-CA"/>
        </w:rPr>
        <w:t xml:space="preserve">ailleurs, le par. 6(2) de la </w:t>
      </w:r>
      <w:r w:rsidRPr="002C1B3A">
        <w:rPr>
          <w:rFonts w:cs="Times New Roman"/>
          <w:i/>
          <w:lang w:val="fr-CA"/>
        </w:rPr>
        <w:t>LRMM</w:t>
      </w:r>
      <w:r w:rsidRPr="002C1B3A">
        <w:rPr>
          <w:rFonts w:cs="Times New Roman"/>
          <w:lang w:val="fr-CA"/>
        </w:rPr>
        <w:t xml:space="preserve"> précise que les personnes à charge peuvent intenter une action « dans des circonstances qui, si le décès n</w:t>
      </w:r>
      <w:r>
        <w:rPr>
          <w:rFonts w:cs="Times New Roman"/>
          <w:lang w:val="fr-CA"/>
        </w:rPr>
        <w:t>’</w:t>
      </w:r>
      <w:r w:rsidRPr="002C1B3A">
        <w:rPr>
          <w:rFonts w:cs="Times New Roman"/>
          <w:lang w:val="fr-CA"/>
        </w:rPr>
        <w:t>en était pas résulté, [. . .] auraient donné [à la victime] le droit de réclamer des dommages</w:t>
      </w:r>
      <w:r w:rsidRPr="002C1B3A">
        <w:rPr>
          <w:rFonts w:cs="Times New Roman"/>
          <w:lang w:val="fr-CA"/>
        </w:rPr>
        <w:noBreakHyphen/>
        <w:t>intérêts ».  À l</w:t>
      </w:r>
      <w:r>
        <w:rPr>
          <w:rFonts w:cs="Times New Roman"/>
          <w:lang w:val="fr-CA"/>
        </w:rPr>
        <w:t>’</w:t>
      </w:r>
      <w:r w:rsidRPr="002C1B3A">
        <w:rPr>
          <w:rFonts w:cs="Times New Roman"/>
          <w:lang w:val="fr-CA"/>
        </w:rPr>
        <w:t>instar de la juge Welsh de la Cour d</w:t>
      </w:r>
      <w:r>
        <w:rPr>
          <w:rFonts w:cs="Times New Roman"/>
          <w:lang w:val="fr-CA"/>
        </w:rPr>
        <w:t>’</w:t>
      </w:r>
      <w:r w:rsidRPr="002C1B3A">
        <w:rPr>
          <w:rFonts w:cs="Times New Roman"/>
          <w:lang w:val="fr-CA"/>
        </w:rPr>
        <w:t>appel, nous estimons que ce texte tend à indiquer qu</w:t>
      </w:r>
      <w:r>
        <w:rPr>
          <w:rFonts w:cs="Times New Roman"/>
          <w:lang w:val="fr-CA"/>
        </w:rPr>
        <w:t>’</w:t>
      </w:r>
      <w:r w:rsidRPr="002C1B3A">
        <w:rPr>
          <w:rFonts w:cs="Times New Roman"/>
          <w:lang w:val="fr-CA"/>
        </w:rPr>
        <w:t>il existe des situations où une personne à charge n</w:t>
      </w:r>
      <w:r>
        <w:rPr>
          <w:rFonts w:cs="Times New Roman"/>
          <w:lang w:val="fr-CA"/>
        </w:rPr>
        <w:t>’</w:t>
      </w:r>
      <w:r w:rsidRPr="002C1B3A">
        <w:rPr>
          <w:rFonts w:cs="Times New Roman"/>
          <w:lang w:val="fr-CA"/>
        </w:rPr>
        <w:t xml:space="preserve">est pas autorisée à intenter une action en vertu du par. 6(2) de la </w:t>
      </w:r>
      <w:r w:rsidRPr="002C1B3A">
        <w:rPr>
          <w:rFonts w:cs="Times New Roman"/>
          <w:i/>
          <w:lang w:val="fr-CA"/>
        </w:rPr>
        <w:t>LRMM</w:t>
      </w:r>
      <w:r w:rsidRPr="002C1B3A">
        <w:rPr>
          <w:rFonts w:cs="Times New Roman"/>
          <w:lang w:val="fr-CA"/>
        </w:rPr>
        <w:t>.  C</w:t>
      </w:r>
      <w:r>
        <w:rPr>
          <w:rFonts w:cs="Times New Roman"/>
          <w:lang w:val="fr-CA"/>
        </w:rPr>
        <w:t>’</w:t>
      </w:r>
      <w:r w:rsidRPr="002C1B3A">
        <w:rPr>
          <w:rFonts w:cs="Times New Roman"/>
          <w:lang w:val="fr-CA"/>
        </w:rPr>
        <w:t>est le cas lorsqu</w:t>
      </w:r>
      <w:r>
        <w:rPr>
          <w:rFonts w:cs="Times New Roman"/>
          <w:lang w:val="fr-CA"/>
        </w:rPr>
        <w:t>’</w:t>
      </w:r>
      <w:r w:rsidRPr="002C1B3A">
        <w:rPr>
          <w:rFonts w:cs="Times New Roman"/>
          <w:lang w:val="fr-CA"/>
        </w:rPr>
        <w:t xml:space="preserve">une disposition législative </w:t>
      </w:r>
      <w:r w:rsidRPr="002C1B3A">
        <w:rPr>
          <w:rFonts w:cs="Times New Roman"/>
          <w:i/>
          <w:lang w:val="fr-CA"/>
        </w:rPr>
        <w:t xml:space="preserve">— </w:t>
      </w:r>
      <w:r w:rsidRPr="002C1B3A">
        <w:rPr>
          <w:rFonts w:cs="Times New Roman"/>
          <w:lang w:val="fr-CA"/>
        </w:rPr>
        <w:t>tel l</w:t>
      </w:r>
      <w:r>
        <w:rPr>
          <w:rFonts w:cs="Times New Roman"/>
          <w:lang w:val="fr-CA"/>
        </w:rPr>
        <w:t>’</w:t>
      </w:r>
      <w:r w:rsidRPr="002C1B3A">
        <w:rPr>
          <w:rFonts w:cs="Times New Roman"/>
          <w:lang w:val="fr-CA"/>
        </w:rPr>
        <w:t xml:space="preserve">art. 44 de la </w:t>
      </w:r>
      <w:r w:rsidRPr="002C1B3A">
        <w:rPr>
          <w:rFonts w:cs="Times New Roman"/>
          <w:i/>
          <w:lang w:val="fr-CA"/>
        </w:rPr>
        <w:t xml:space="preserve">WHSCA — </w:t>
      </w:r>
      <w:r w:rsidRPr="002C1B3A">
        <w:rPr>
          <w:rFonts w:cs="Times New Roman"/>
          <w:lang w:val="fr-CA"/>
        </w:rPr>
        <w:t>interdit les poursuites au motif qu</w:t>
      </w:r>
      <w:r>
        <w:rPr>
          <w:rFonts w:cs="Times New Roman"/>
          <w:lang w:val="fr-CA"/>
        </w:rPr>
        <w:t>’</w:t>
      </w:r>
      <w:r w:rsidRPr="002C1B3A">
        <w:rPr>
          <w:rFonts w:cs="Times New Roman"/>
          <w:lang w:val="fr-CA"/>
        </w:rPr>
        <w:t>une indemnité a déjà été versée au titre d</w:t>
      </w:r>
      <w:r>
        <w:rPr>
          <w:rFonts w:cs="Times New Roman"/>
          <w:lang w:val="fr-CA"/>
        </w:rPr>
        <w:t>’</w:t>
      </w:r>
      <w:r w:rsidRPr="002C1B3A">
        <w:rPr>
          <w:rFonts w:cs="Times New Roman"/>
          <w:lang w:val="fr-CA"/>
        </w:rPr>
        <w:t>un régime d</w:t>
      </w:r>
      <w:r>
        <w:rPr>
          <w:rFonts w:cs="Times New Roman"/>
          <w:lang w:val="fr-CA"/>
        </w:rPr>
        <w:t>’</w:t>
      </w:r>
      <w:r w:rsidRPr="002C1B3A">
        <w:rPr>
          <w:rFonts w:cs="Times New Roman"/>
          <w:lang w:val="fr-CA"/>
        </w:rPr>
        <w:t xml:space="preserve">indemnisation des accidents du travail. </w:t>
      </w:r>
    </w:p>
    <w:p w:rsidR="00931170" w:rsidRPr="002C1B3A" w:rsidRDefault="00931170" w:rsidP="00931170">
      <w:pPr>
        <w:pStyle w:val="ParaNoNdepar-AltN"/>
        <w:rPr>
          <w:rFonts w:cs="Times New Roman"/>
          <w:lang w:val="fr-CA"/>
        </w:rPr>
      </w:pPr>
      <w:r w:rsidRPr="002C1B3A">
        <w:rPr>
          <w:rFonts w:cs="Times New Roman"/>
          <w:lang w:val="fr-CA"/>
        </w:rPr>
        <w:t>Conformément à la méthode moderne d</w:t>
      </w:r>
      <w:r>
        <w:rPr>
          <w:rFonts w:cs="Times New Roman"/>
          <w:lang w:val="fr-CA"/>
        </w:rPr>
        <w:t>’</w:t>
      </w:r>
      <w:r w:rsidRPr="002C1B3A">
        <w:rPr>
          <w:rFonts w:cs="Times New Roman"/>
          <w:lang w:val="fr-CA"/>
        </w:rPr>
        <w:t>interprétation des lois, [</w:t>
      </w:r>
      <w:r w:rsidRPr="002C1B3A">
        <w:rPr>
          <w:rFonts w:cs="Times New Roman"/>
          <w:smallCaps/>
          <w:lang w:val="fr-CA"/>
        </w:rPr>
        <w:t>traduction</w:t>
      </w:r>
      <w:r w:rsidRPr="002C1B3A">
        <w:rPr>
          <w:rFonts w:cs="Times New Roman"/>
          <w:lang w:val="fr-CA"/>
        </w:rPr>
        <w:t>] « </w:t>
      </w:r>
      <w:r w:rsidRPr="002C1B3A">
        <w:rPr>
          <w:rFonts w:cs="Times New Roman"/>
          <w:lang w:val="fr-FR"/>
        </w:rPr>
        <w:t>il faut lire les termes d</w:t>
      </w:r>
      <w:r>
        <w:rPr>
          <w:rFonts w:cs="Times New Roman"/>
          <w:lang w:val="fr-FR"/>
        </w:rPr>
        <w:t>’</w:t>
      </w:r>
      <w:r w:rsidRPr="002C1B3A">
        <w:rPr>
          <w:rFonts w:cs="Times New Roman"/>
          <w:lang w:val="fr-FR"/>
        </w:rPr>
        <w:t>une loi dans leur contexte global en suivant le sens ordinaire et grammatical qui s</w:t>
      </w:r>
      <w:r>
        <w:rPr>
          <w:rFonts w:cs="Times New Roman"/>
          <w:lang w:val="fr-FR"/>
        </w:rPr>
        <w:t>’</w:t>
      </w:r>
      <w:r w:rsidRPr="002C1B3A">
        <w:rPr>
          <w:rFonts w:cs="Times New Roman"/>
          <w:lang w:val="fr-FR"/>
        </w:rPr>
        <w:t>harmonise avec l</w:t>
      </w:r>
      <w:r>
        <w:rPr>
          <w:rFonts w:cs="Times New Roman"/>
          <w:lang w:val="fr-FR"/>
        </w:rPr>
        <w:t>’</w:t>
      </w:r>
      <w:r w:rsidRPr="002C1B3A">
        <w:rPr>
          <w:rFonts w:cs="Times New Roman"/>
          <w:lang w:val="fr-FR"/>
        </w:rPr>
        <w:t>esprit de la loi, l</w:t>
      </w:r>
      <w:r>
        <w:rPr>
          <w:rFonts w:cs="Times New Roman"/>
          <w:lang w:val="fr-FR"/>
        </w:rPr>
        <w:t>’</w:t>
      </w:r>
      <w:r w:rsidRPr="002C1B3A">
        <w:rPr>
          <w:rFonts w:cs="Times New Roman"/>
          <w:lang w:val="fr-FR"/>
        </w:rPr>
        <w:t>objet de la loi et l</w:t>
      </w:r>
      <w:r>
        <w:rPr>
          <w:rFonts w:cs="Times New Roman"/>
          <w:lang w:val="fr-FR"/>
        </w:rPr>
        <w:t>’</w:t>
      </w:r>
      <w:r w:rsidRPr="002C1B3A">
        <w:rPr>
          <w:rFonts w:cs="Times New Roman"/>
          <w:lang w:val="fr-FR"/>
        </w:rPr>
        <w:t>intention du législateur »</w:t>
      </w:r>
      <w:r w:rsidRPr="002C1B3A">
        <w:rPr>
          <w:rFonts w:cs="Times New Roman"/>
          <w:lang w:val="fr-CA"/>
        </w:rPr>
        <w:t xml:space="preserve"> : E. A. Driedger, </w:t>
      </w:r>
      <w:r w:rsidRPr="002C1B3A">
        <w:rPr>
          <w:rFonts w:cs="Times New Roman"/>
          <w:i/>
          <w:iCs/>
          <w:lang w:val="fr-CA"/>
        </w:rPr>
        <w:t>Construction of Statutes</w:t>
      </w:r>
      <w:r w:rsidRPr="002C1B3A">
        <w:rPr>
          <w:rFonts w:cs="Times New Roman"/>
          <w:lang w:val="fr-CA"/>
        </w:rPr>
        <w:t xml:space="preserve"> (2</w:t>
      </w:r>
      <w:r w:rsidRPr="002C1B3A">
        <w:rPr>
          <w:rFonts w:cs="Times New Roman"/>
          <w:vertAlign w:val="superscript"/>
          <w:lang w:val="fr-CA"/>
        </w:rPr>
        <w:t>e</w:t>
      </w:r>
      <w:r w:rsidRPr="002C1B3A">
        <w:rPr>
          <w:rFonts w:cs="Times New Roman"/>
          <w:lang w:val="fr-CA"/>
        </w:rPr>
        <w:t xml:space="preserve"> éd. 1983), p. 87; </w:t>
      </w:r>
      <w:r w:rsidRPr="002C1B3A">
        <w:rPr>
          <w:rFonts w:cs="Times New Roman"/>
          <w:i/>
          <w:lang w:val="fr-CA"/>
        </w:rPr>
        <w:t>Bell ExpressVu</w:t>
      </w:r>
      <w:r w:rsidRPr="002C1B3A">
        <w:rPr>
          <w:rFonts w:cs="Times New Roman"/>
          <w:i/>
          <w:iCs/>
          <w:lang w:val="fr-CA"/>
        </w:rPr>
        <w:t xml:space="preserve"> Limited Partnership c. Rex</w:t>
      </w:r>
      <w:r w:rsidRPr="002C1B3A">
        <w:rPr>
          <w:rFonts w:cs="Times New Roman"/>
          <w:lang w:val="fr-CA"/>
        </w:rPr>
        <w:t>, 2002 CSC 42, [2002] 2 R.C.S. 559, par. 26.  Si l</w:t>
      </w:r>
      <w:r>
        <w:rPr>
          <w:rFonts w:cs="Times New Roman"/>
          <w:lang w:val="fr-CA"/>
        </w:rPr>
        <w:t>’</w:t>
      </w:r>
      <w:r w:rsidRPr="002C1B3A">
        <w:rPr>
          <w:rFonts w:cs="Times New Roman"/>
          <w:lang w:val="fr-CA"/>
        </w:rPr>
        <w:t>on applique cette méthode, le texte du par. 6(2) est compatible avec l</w:t>
      </w:r>
      <w:r>
        <w:rPr>
          <w:rFonts w:cs="Times New Roman"/>
          <w:lang w:val="fr-CA"/>
        </w:rPr>
        <w:t>’</w:t>
      </w:r>
      <w:r w:rsidRPr="002C1B3A">
        <w:rPr>
          <w:rFonts w:cs="Times New Roman"/>
          <w:lang w:val="fr-CA"/>
        </w:rPr>
        <w:t>interdiction légale de poursuites prévue à l</w:t>
      </w:r>
      <w:r>
        <w:rPr>
          <w:rFonts w:cs="Times New Roman"/>
          <w:lang w:val="fr-CA"/>
        </w:rPr>
        <w:t>’</w:t>
      </w:r>
      <w:r w:rsidRPr="002C1B3A">
        <w:rPr>
          <w:rFonts w:cs="Times New Roman"/>
          <w:lang w:val="fr-CA"/>
        </w:rPr>
        <w:t xml:space="preserve">art. 44 de la </w:t>
      </w:r>
      <w:r w:rsidRPr="002C1B3A">
        <w:rPr>
          <w:rFonts w:cs="Times New Roman"/>
          <w:i/>
          <w:lang w:val="fr-CA"/>
        </w:rPr>
        <w:t>WHSCA</w:t>
      </w:r>
      <w:r w:rsidRPr="002C1B3A">
        <w:rPr>
          <w:rFonts w:cs="Times New Roman"/>
          <w:lang w:val="fr-CA"/>
        </w:rPr>
        <w:t xml:space="preserve">.  Les frères Ryan </w:t>
      </w:r>
      <w:r w:rsidRPr="002C1B3A">
        <w:rPr>
          <w:rFonts w:cs="Times New Roman"/>
          <w:lang w:val="fr-CA"/>
        </w:rPr>
        <w:lastRenderedPageBreak/>
        <w:t>sont décédés « dans des circonstances » qui, « si le[ur] décès n</w:t>
      </w:r>
      <w:r>
        <w:rPr>
          <w:rFonts w:cs="Times New Roman"/>
          <w:lang w:val="fr-CA"/>
        </w:rPr>
        <w:t>’</w:t>
      </w:r>
      <w:r w:rsidRPr="002C1B3A">
        <w:rPr>
          <w:rFonts w:cs="Times New Roman"/>
          <w:lang w:val="fr-CA"/>
        </w:rPr>
        <w:t>en était pas résulté </w:t>
      </w:r>
      <w:r w:rsidRPr="002C1B3A">
        <w:rPr>
          <w:rFonts w:cs="Times New Roman"/>
          <w:lang w:val="fr-FR"/>
        </w:rPr>
        <w:t>»</w:t>
      </w:r>
      <w:r w:rsidRPr="002C1B3A">
        <w:rPr>
          <w:rFonts w:cs="Times New Roman"/>
          <w:lang w:val="fr-CA"/>
        </w:rPr>
        <w:t xml:space="preserve">, </w:t>
      </w:r>
      <w:r w:rsidRPr="002C1B3A">
        <w:rPr>
          <w:rFonts w:cs="Times New Roman"/>
          <w:i/>
          <w:lang w:val="fr-CA"/>
        </w:rPr>
        <w:t>ne</w:t>
      </w:r>
      <w:r w:rsidRPr="002C1B3A">
        <w:rPr>
          <w:rFonts w:cs="Times New Roman"/>
          <w:lang w:val="fr-CA"/>
        </w:rPr>
        <w:t xml:space="preserve"> </w:t>
      </w:r>
      <w:r w:rsidRPr="002C1B3A">
        <w:rPr>
          <w:rFonts w:cs="Times New Roman"/>
          <w:i/>
          <w:lang w:val="fr-CA"/>
        </w:rPr>
        <w:t>leur auraient</w:t>
      </w:r>
      <w:r w:rsidRPr="002C1B3A">
        <w:rPr>
          <w:rFonts w:cs="Times New Roman"/>
          <w:lang w:val="fr-CA"/>
        </w:rPr>
        <w:t xml:space="preserve"> </w:t>
      </w:r>
      <w:r w:rsidRPr="002C1B3A">
        <w:rPr>
          <w:rFonts w:cs="Times New Roman"/>
          <w:i/>
          <w:lang w:val="fr-CA"/>
        </w:rPr>
        <w:t>pas donné le droit</w:t>
      </w:r>
      <w:r w:rsidRPr="002C1B3A">
        <w:rPr>
          <w:rFonts w:cs="Times New Roman"/>
          <w:lang w:val="fr-CA"/>
        </w:rPr>
        <w:t xml:space="preserve"> de réclamer des dommages</w:t>
      </w:r>
      <w:r w:rsidRPr="002C1B3A">
        <w:rPr>
          <w:rFonts w:cs="Times New Roman"/>
          <w:lang w:val="fr-CA"/>
        </w:rPr>
        <w:noBreakHyphen/>
        <w:t>intérêts, car l</w:t>
      </w:r>
      <w:r>
        <w:rPr>
          <w:rFonts w:cs="Times New Roman"/>
          <w:lang w:val="fr-CA"/>
        </w:rPr>
        <w:t>’</w:t>
      </w:r>
      <w:r w:rsidRPr="002C1B3A">
        <w:rPr>
          <w:rFonts w:cs="Times New Roman"/>
          <w:lang w:val="fr-CA"/>
        </w:rPr>
        <w:t xml:space="preserve">art. 44 de la </w:t>
      </w:r>
      <w:r w:rsidRPr="002C1B3A">
        <w:rPr>
          <w:rFonts w:cs="Times New Roman"/>
          <w:i/>
          <w:lang w:val="fr-CA"/>
        </w:rPr>
        <w:t>WHSCA</w:t>
      </w:r>
      <w:r w:rsidRPr="002C1B3A">
        <w:rPr>
          <w:rFonts w:cs="Times New Roman"/>
          <w:lang w:val="fr-CA"/>
        </w:rPr>
        <w:t xml:space="preserve"> se serait alors appliqué.  Les successions Ryan ont touché des indemnités </w:t>
      </w:r>
      <w:r w:rsidRPr="002C1B3A">
        <w:rPr>
          <w:rFonts w:cs="Times New Roman"/>
          <w:szCs w:val="24"/>
          <w:lang w:val="fr-CA"/>
        </w:rPr>
        <w:t>— et sont donc devenues assujetties à l</w:t>
      </w:r>
      <w:r>
        <w:rPr>
          <w:rFonts w:cs="Times New Roman"/>
          <w:szCs w:val="24"/>
          <w:lang w:val="fr-CA"/>
        </w:rPr>
        <w:t>’</w:t>
      </w:r>
      <w:r w:rsidRPr="002C1B3A">
        <w:rPr>
          <w:rFonts w:cs="Times New Roman"/>
          <w:szCs w:val="24"/>
          <w:lang w:val="fr-CA"/>
        </w:rPr>
        <w:t>interdiction légale de poursuites prévue à l</w:t>
      </w:r>
      <w:r>
        <w:rPr>
          <w:rFonts w:cs="Times New Roman"/>
          <w:szCs w:val="24"/>
          <w:lang w:val="fr-CA"/>
        </w:rPr>
        <w:t>’</w:t>
      </w:r>
      <w:r w:rsidRPr="002C1B3A">
        <w:rPr>
          <w:rFonts w:cs="Times New Roman"/>
          <w:szCs w:val="24"/>
          <w:lang w:val="fr-CA"/>
        </w:rPr>
        <w:t>art. 44 —, pour le motif que les frères Ryan ont succombé à des blessures dont ils auraient été indemnisés s</w:t>
      </w:r>
      <w:r>
        <w:rPr>
          <w:rFonts w:cs="Times New Roman"/>
          <w:szCs w:val="24"/>
          <w:lang w:val="fr-CA"/>
        </w:rPr>
        <w:t>’</w:t>
      </w:r>
      <w:r w:rsidRPr="002C1B3A">
        <w:rPr>
          <w:rFonts w:cs="Times New Roman"/>
          <w:szCs w:val="24"/>
          <w:lang w:val="fr-CA"/>
        </w:rPr>
        <w:t xml:space="preserve">ils avaient survécu : par. 43(1). </w:t>
      </w:r>
      <w:r w:rsidRPr="002C1B3A">
        <w:rPr>
          <w:rFonts w:cs="Times New Roman"/>
          <w:lang w:val="fr-CA"/>
        </w:rPr>
        <w:t xml:space="preserve"> S</w:t>
      </w:r>
      <w:r>
        <w:rPr>
          <w:rFonts w:cs="Times New Roman"/>
          <w:lang w:val="fr-CA"/>
        </w:rPr>
        <w:t>’</w:t>
      </w:r>
      <w:r w:rsidRPr="002C1B3A">
        <w:rPr>
          <w:rFonts w:cs="Times New Roman"/>
          <w:lang w:val="fr-CA"/>
        </w:rPr>
        <w:t>ils avaient touché des indemnités, l</w:t>
      </w:r>
      <w:r>
        <w:rPr>
          <w:rFonts w:cs="Times New Roman"/>
          <w:lang w:val="fr-CA"/>
        </w:rPr>
        <w:t>’</w:t>
      </w:r>
      <w:r w:rsidRPr="002C1B3A">
        <w:rPr>
          <w:rFonts w:cs="Times New Roman"/>
          <w:lang w:val="fr-CA"/>
        </w:rPr>
        <w:t>interdiction légale de poursuites prévue à l</w:t>
      </w:r>
      <w:r>
        <w:rPr>
          <w:rFonts w:cs="Times New Roman"/>
          <w:lang w:val="fr-CA"/>
        </w:rPr>
        <w:t>’</w:t>
      </w:r>
      <w:r w:rsidRPr="002C1B3A">
        <w:rPr>
          <w:rFonts w:cs="Times New Roman"/>
          <w:lang w:val="fr-CA"/>
        </w:rPr>
        <w:t>art. 44 se serait appliquée à eux, et ce, pour les mêmes raisons qu</w:t>
      </w:r>
      <w:r>
        <w:rPr>
          <w:rFonts w:cs="Times New Roman"/>
          <w:lang w:val="fr-CA"/>
        </w:rPr>
        <w:t>’</w:t>
      </w:r>
      <w:r w:rsidRPr="002C1B3A">
        <w:rPr>
          <w:rFonts w:cs="Times New Roman"/>
          <w:lang w:val="fr-CA"/>
        </w:rPr>
        <w:t>elle s</w:t>
      </w:r>
      <w:r>
        <w:rPr>
          <w:rFonts w:cs="Times New Roman"/>
          <w:lang w:val="fr-CA"/>
        </w:rPr>
        <w:t>’</w:t>
      </w:r>
      <w:r w:rsidRPr="002C1B3A">
        <w:rPr>
          <w:rFonts w:cs="Times New Roman"/>
          <w:lang w:val="fr-CA"/>
        </w:rPr>
        <w:t>applique à leurs successions, raisons qu</w:t>
      </w:r>
      <w:r>
        <w:rPr>
          <w:rFonts w:cs="Times New Roman"/>
          <w:lang w:val="fr-CA"/>
        </w:rPr>
        <w:t>’</w:t>
      </w:r>
      <w:r w:rsidRPr="002C1B3A">
        <w:rPr>
          <w:rFonts w:cs="Times New Roman"/>
          <w:lang w:val="fr-CA"/>
        </w:rPr>
        <w:t>a précisées la Commission.  Comme l</w:t>
      </w:r>
      <w:r>
        <w:rPr>
          <w:rFonts w:cs="Times New Roman"/>
          <w:lang w:val="fr-CA"/>
        </w:rPr>
        <w:t>’</w:t>
      </w:r>
      <w:r w:rsidRPr="002C1B3A">
        <w:rPr>
          <w:rFonts w:cs="Times New Roman"/>
          <w:lang w:val="fr-CA"/>
        </w:rPr>
        <w:t>art. 44 se serait appliqué aux frères Ryan s</w:t>
      </w:r>
      <w:r>
        <w:rPr>
          <w:rFonts w:cs="Times New Roman"/>
          <w:lang w:val="fr-CA"/>
        </w:rPr>
        <w:t>’</w:t>
      </w:r>
      <w:r w:rsidRPr="002C1B3A">
        <w:rPr>
          <w:rFonts w:cs="Times New Roman"/>
          <w:lang w:val="fr-CA"/>
        </w:rPr>
        <w:t xml:space="preserve">ils avaient survécu, les personnes à leur charge ne peuvent se prévaloir du par. 6(2) de la </w:t>
      </w:r>
      <w:r w:rsidRPr="002C1B3A">
        <w:rPr>
          <w:rFonts w:cs="Times New Roman"/>
          <w:i/>
          <w:lang w:val="fr-CA"/>
        </w:rPr>
        <w:t>LRMM</w:t>
      </w:r>
      <w:r w:rsidRPr="002C1B3A">
        <w:rPr>
          <w:rFonts w:cs="Times New Roman"/>
          <w:lang w:val="fr-CA"/>
        </w:rPr>
        <w:t>.  Suivant cette interprétation, il n</w:t>
      </w:r>
      <w:r>
        <w:rPr>
          <w:rFonts w:cs="Times New Roman"/>
          <w:lang w:val="fr-CA"/>
        </w:rPr>
        <w:t>’</w:t>
      </w:r>
      <w:r w:rsidRPr="002C1B3A">
        <w:rPr>
          <w:rFonts w:cs="Times New Roman"/>
          <w:lang w:val="fr-CA"/>
        </w:rPr>
        <w:t>existe donc aucun conflit entre les deux lois.</w:t>
      </w:r>
    </w:p>
    <w:p w:rsidR="00931170" w:rsidRPr="002C1B3A" w:rsidRDefault="00931170" w:rsidP="00931170">
      <w:pPr>
        <w:pStyle w:val="ParaNoNdepar-AltN"/>
        <w:rPr>
          <w:rFonts w:cs="Times New Roman"/>
          <w:lang w:val="fr-CA"/>
        </w:rPr>
      </w:pPr>
      <w:r w:rsidRPr="002C1B3A">
        <w:rPr>
          <w:rFonts w:cs="Times New Roman"/>
          <w:lang w:val="fr-CA"/>
        </w:rPr>
        <w:t>Si les frères Ryan avaient survécu, ni la doctrine de l</w:t>
      </w:r>
      <w:r>
        <w:rPr>
          <w:rFonts w:cs="Times New Roman"/>
          <w:lang w:val="fr-CA"/>
        </w:rPr>
        <w:t>’</w:t>
      </w:r>
      <w:r w:rsidRPr="002C1B3A">
        <w:rPr>
          <w:rFonts w:cs="Times New Roman"/>
          <w:lang w:val="fr-CA"/>
        </w:rPr>
        <w:t>exclusivité des compétences ni celle de la prépondérance fédérale ne s</w:t>
      </w:r>
      <w:r>
        <w:rPr>
          <w:rFonts w:cs="Times New Roman"/>
          <w:lang w:val="fr-CA"/>
        </w:rPr>
        <w:t>’</w:t>
      </w:r>
      <w:r w:rsidRPr="002C1B3A">
        <w:rPr>
          <w:rFonts w:cs="Times New Roman"/>
          <w:lang w:val="fr-CA"/>
        </w:rPr>
        <w:t>appliqueraient et auraient pour effet de rendre l</w:t>
      </w:r>
      <w:r>
        <w:rPr>
          <w:rFonts w:cs="Times New Roman"/>
          <w:lang w:val="fr-CA"/>
        </w:rPr>
        <w:t>’</w:t>
      </w:r>
      <w:r w:rsidRPr="002C1B3A">
        <w:rPr>
          <w:rFonts w:cs="Times New Roman"/>
          <w:lang w:val="fr-CA"/>
        </w:rPr>
        <w:t>interdiction légale de poursuites prévue à l</w:t>
      </w:r>
      <w:r>
        <w:rPr>
          <w:rFonts w:cs="Times New Roman"/>
          <w:lang w:val="fr-CA"/>
        </w:rPr>
        <w:t>’</w:t>
      </w:r>
      <w:r w:rsidRPr="002C1B3A">
        <w:rPr>
          <w:rFonts w:cs="Times New Roman"/>
          <w:lang w:val="fr-CA"/>
        </w:rPr>
        <w:t xml:space="preserve">art. 44 de la </w:t>
      </w:r>
      <w:r w:rsidRPr="002C1B3A">
        <w:rPr>
          <w:rFonts w:cs="Times New Roman"/>
          <w:i/>
          <w:lang w:val="fr-CA"/>
        </w:rPr>
        <w:t>WHSCA</w:t>
      </w:r>
      <w:r w:rsidRPr="002C1B3A">
        <w:rPr>
          <w:rFonts w:cs="Times New Roman"/>
          <w:lang w:val="fr-CA"/>
        </w:rPr>
        <w:t xml:space="preserve"> inapplicable et inopérante.  La première ne s</w:t>
      </w:r>
      <w:r>
        <w:rPr>
          <w:rFonts w:cs="Times New Roman"/>
          <w:lang w:val="fr-CA"/>
        </w:rPr>
        <w:t>’</w:t>
      </w:r>
      <w:r w:rsidRPr="002C1B3A">
        <w:rPr>
          <w:rFonts w:cs="Times New Roman"/>
          <w:lang w:val="fr-CA"/>
        </w:rPr>
        <w:t>appliquerait pas, et ce, pour les mêmes raisons qu</w:t>
      </w:r>
      <w:r>
        <w:rPr>
          <w:rFonts w:cs="Times New Roman"/>
          <w:lang w:val="fr-CA"/>
        </w:rPr>
        <w:t>’</w:t>
      </w:r>
      <w:r w:rsidRPr="002C1B3A">
        <w:rPr>
          <w:rFonts w:cs="Times New Roman"/>
          <w:lang w:val="fr-CA"/>
        </w:rPr>
        <w:t>elle ne s</w:t>
      </w:r>
      <w:r>
        <w:rPr>
          <w:rFonts w:cs="Times New Roman"/>
          <w:lang w:val="fr-CA"/>
        </w:rPr>
        <w:t>’</w:t>
      </w:r>
      <w:r w:rsidRPr="002C1B3A">
        <w:rPr>
          <w:rFonts w:cs="Times New Roman"/>
          <w:lang w:val="fr-CA"/>
        </w:rPr>
        <w:t>applique pas aux circonstances du présent pourvoi.  Comme il a été expliqué plus tôt, la doctrine de la prépondérance fédérale s</w:t>
      </w:r>
      <w:r>
        <w:rPr>
          <w:rFonts w:cs="Times New Roman"/>
          <w:lang w:val="fr-CA"/>
        </w:rPr>
        <w:t>’</w:t>
      </w:r>
      <w:r w:rsidRPr="002C1B3A">
        <w:rPr>
          <w:rFonts w:cs="Times New Roman"/>
          <w:lang w:val="fr-CA"/>
        </w:rPr>
        <w:t>applique uniquement lorsqu</w:t>
      </w:r>
      <w:r>
        <w:rPr>
          <w:rFonts w:cs="Times New Roman"/>
          <w:lang w:val="fr-CA"/>
        </w:rPr>
        <w:t>’</w:t>
      </w:r>
      <w:r w:rsidRPr="002C1B3A">
        <w:rPr>
          <w:rFonts w:cs="Times New Roman"/>
          <w:lang w:val="fr-CA"/>
        </w:rPr>
        <w:t>il y a incompatibilité en</w:t>
      </w:r>
      <w:r w:rsidR="007B3C2A">
        <w:rPr>
          <w:rFonts w:cs="Times New Roman"/>
          <w:lang w:val="fr-CA"/>
        </w:rPr>
        <w:t>tre deux textes de loi valides —</w:t>
      </w:r>
      <w:r w:rsidRPr="002C1B3A">
        <w:rPr>
          <w:rFonts w:cs="Times New Roman"/>
          <w:lang w:val="fr-CA"/>
        </w:rPr>
        <w:t xml:space="preserve"> l</w:t>
      </w:r>
      <w:r>
        <w:rPr>
          <w:rFonts w:cs="Times New Roman"/>
          <w:lang w:val="fr-CA"/>
        </w:rPr>
        <w:t>’</w:t>
      </w:r>
      <w:r w:rsidRPr="002C1B3A">
        <w:rPr>
          <w:rFonts w:cs="Times New Roman"/>
          <w:lang w:val="fr-CA"/>
        </w:rPr>
        <w:t>un fédéral, l</w:t>
      </w:r>
      <w:r>
        <w:rPr>
          <w:rFonts w:cs="Times New Roman"/>
          <w:lang w:val="fr-CA"/>
        </w:rPr>
        <w:t>’</w:t>
      </w:r>
      <w:r w:rsidRPr="002C1B3A">
        <w:rPr>
          <w:rFonts w:cs="Times New Roman"/>
          <w:lang w:val="fr-CA"/>
        </w:rPr>
        <w:t>autre provincial.  Cette doctrine ne s</w:t>
      </w:r>
      <w:r>
        <w:rPr>
          <w:rFonts w:cs="Times New Roman"/>
          <w:lang w:val="fr-CA"/>
        </w:rPr>
        <w:t>’</w:t>
      </w:r>
      <w:r w:rsidRPr="002C1B3A">
        <w:rPr>
          <w:rFonts w:cs="Times New Roman"/>
          <w:lang w:val="fr-CA"/>
        </w:rPr>
        <w:t>applique pas en présence d</w:t>
      </w:r>
      <w:r>
        <w:rPr>
          <w:rFonts w:cs="Times New Roman"/>
          <w:lang w:val="fr-CA"/>
        </w:rPr>
        <w:t>’</w:t>
      </w:r>
      <w:r w:rsidRPr="002C1B3A">
        <w:rPr>
          <w:rFonts w:cs="Times New Roman"/>
          <w:lang w:val="fr-CA"/>
        </w:rPr>
        <w:t xml:space="preserve">une incompatibilité entre la common law et un texte de loi provincial valide.  Par conséquent, si les frères Ryan avaient survécu et intenté une action en responsabilité délictuelle pour obtenir des </w:t>
      </w:r>
      <w:r w:rsidRPr="002C1B3A">
        <w:rPr>
          <w:rFonts w:cs="Times New Roman"/>
          <w:lang w:val="fr-CA"/>
        </w:rPr>
        <w:lastRenderedPageBreak/>
        <w:t>dommages</w:t>
      </w:r>
      <w:r w:rsidRPr="002C1B3A">
        <w:rPr>
          <w:rFonts w:cs="Times New Roman"/>
          <w:lang w:val="fr-CA"/>
        </w:rPr>
        <w:noBreakHyphen/>
        <w:t>intérêts, la doctrine de la prépondérance fédérale ne se serait pas appliquée et n</w:t>
      </w:r>
      <w:r>
        <w:rPr>
          <w:rFonts w:cs="Times New Roman"/>
          <w:lang w:val="fr-CA"/>
        </w:rPr>
        <w:t>’</w:t>
      </w:r>
      <w:r w:rsidRPr="002C1B3A">
        <w:rPr>
          <w:rFonts w:cs="Times New Roman"/>
          <w:lang w:val="fr-CA"/>
        </w:rPr>
        <w:t>aurait pas rendu inopérante l</w:t>
      </w:r>
      <w:r>
        <w:rPr>
          <w:rFonts w:cs="Times New Roman"/>
          <w:lang w:val="fr-CA"/>
        </w:rPr>
        <w:t>’</w:t>
      </w:r>
      <w:r w:rsidRPr="002C1B3A">
        <w:rPr>
          <w:rFonts w:cs="Times New Roman"/>
          <w:lang w:val="fr-CA"/>
        </w:rPr>
        <w:t>interdiction légale de poursuites prévue à l</w:t>
      </w:r>
      <w:r>
        <w:rPr>
          <w:rFonts w:cs="Times New Roman"/>
          <w:lang w:val="fr-CA"/>
        </w:rPr>
        <w:t>’</w:t>
      </w:r>
      <w:r w:rsidRPr="002C1B3A">
        <w:rPr>
          <w:rFonts w:cs="Times New Roman"/>
          <w:lang w:val="fr-CA"/>
        </w:rPr>
        <w:t>art. 44.</w:t>
      </w:r>
    </w:p>
    <w:p w:rsidR="00931170" w:rsidRPr="002C1B3A" w:rsidRDefault="00931170" w:rsidP="00931170">
      <w:pPr>
        <w:pStyle w:val="ParaNoNdepar-AltN"/>
        <w:rPr>
          <w:rFonts w:cs="Times New Roman"/>
          <w:lang w:val="fr-CA"/>
        </w:rPr>
      </w:pPr>
      <w:r w:rsidRPr="002C1B3A">
        <w:rPr>
          <w:rFonts w:cs="Times New Roman"/>
          <w:lang w:val="fr-CA"/>
        </w:rPr>
        <w:t>L</w:t>
      </w:r>
      <w:r>
        <w:rPr>
          <w:rFonts w:cs="Times New Roman"/>
          <w:lang w:val="fr-CA"/>
        </w:rPr>
        <w:t>’</w:t>
      </w:r>
      <w:r w:rsidRPr="002C1B3A">
        <w:rPr>
          <w:rFonts w:cs="Times New Roman"/>
          <w:lang w:val="fr-CA"/>
        </w:rPr>
        <w:t>interprétation selon laquelle il y a absence de conflit en l</w:t>
      </w:r>
      <w:r>
        <w:rPr>
          <w:rFonts w:cs="Times New Roman"/>
          <w:lang w:val="fr-CA"/>
        </w:rPr>
        <w:t>’</w:t>
      </w:r>
      <w:r w:rsidRPr="002C1B3A">
        <w:rPr>
          <w:rFonts w:cs="Times New Roman"/>
          <w:lang w:val="fr-CA"/>
        </w:rPr>
        <w:t>espèce est confirmée par le contexte général, l</w:t>
      </w:r>
      <w:r>
        <w:rPr>
          <w:rFonts w:cs="Times New Roman"/>
          <w:lang w:val="fr-CA"/>
        </w:rPr>
        <w:t>’</w:t>
      </w:r>
      <w:r w:rsidRPr="002C1B3A">
        <w:rPr>
          <w:rFonts w:cs="Times New Roman"/>
          <w:lang w:val="fr-CA"/>
        </w:rPr>
        <w:t>esprit et l</w:t>
      </w:r>
      <w:r>
        <w:rPr>
          <w:rFonts w:cs="Times New Roman"/>
          <w:lang w:val="fr-CA"/>
        </w:rPr>
        <w:t>’</w:t>
      </w:r>
      <w:r w:rsidRPr="002C1B3A">
        <w:rPr>
          <w:rFonts w:cs="Times New Roman"/>
          <w:lang w:val="fr-CA"/>
        </w:rPr>
        <w:t xml:space="preserve">objet de la </w:t>
      </w:r>
      <w:r w:rsidRPr="002C1B3A">
        <w:rPr>
          <w:rFonts w:cs="Times New Roman"/>
          <w:i/>
          <w:lang w:val="fr-CA"/>
        </w:rPr>
        <w:t>LRMM</w:t>
      </w:r>
      <w:r w:rsidRPr="002C1B3A">
        <w:rPr>
          <w:rFonts w:cs="Times New Roman"/>
          <w:lang w:val="fr-CA"/>
        </w:rPr>
        <w:t>, ainsi que par l</w:t>
      </w:r>
      <w:r>
        <w:rPr>
          <w:rFonts w:cs="Times New Roman"/>
          <w:lang w:val="fr-CA"/>
        </w:rPr>
        <w:t>’</w:t>
      </w:r>
      <w:r w:rsidRPr="002C1B3A">
        <w:rPr>
          <w:rFonts w:cs="Times New Roman"/>
          <w:lang w:val="fr-CA"/>
        </w:rPr>
        <w:t xml:space="preserve">intention du législateur.  Bien que le Parlement ait de toute évidence édicté la </w:t>
      </w:r>
      <w:r w:rsidRPr="002C1B3A">
        <w:rPr>
          <w:rFonts w:cs="Times New Roman"/>
          <w:i/>
          <w:lang w:val="fr-CA"/>
        </w:rPr>
        <w:t>LRMM</w:t>
      </w:r>
      <w:r w:rsidRPr="002C1B3A">
        <w:rPr>
          <w:rFonts w:cs="Times New Roman"/>
          <w:lang w:val="fr-CA"/>
        </w:rPr>
        <w:t xml:space="preserve"> afin d</w:t>
      </w:r>
      <w:r>
        <w:rPr>
          <w:rFonts w:cs="Times New Roman"/>
          <w:lang w:val="fr-CA"/>
        </w:rPr>
        <w:t>’</w:t>
      </w:r>
      <w:r w:rsidRPr="002C1B3A">
        <w:rPr>
          <w:rFonts w:cs="Times New Roman"/>
          <w:lang w:val="fr-CA"/>
        </w:rPr>
        <w:t>élargir le champ d</w:t>
      </w:r>
      <w:r>
        <w:rPr>
          <w:rFonts w:cs="Times New Roman"/>
          <w:lang w:val="fr-CA"/>
        </w:rPr>
        <w:t>’</w:t>
      </w:r>
      <w:r w:rsidRPr="002C1B3A">
        <w:rPr>
          <w:rFonts w:cs="Times New Roman"/>
          <w:lang w:val="fr-CA"/>
        </w:rPr>
        <w:t xml:space="preserve">application du régime de responsabilité délictuelle en matière maritime, deux facteurs additionnels démontrent que la </w:t>
      </w:r>
      <w:r w:rsidRPr="002C1B3A">
        <w:rPr>
          <w:rFonts w:cs="Times New Roman"/>
          <w:i/>
          <w:lang w:val="fr-CA"/>
        </w:rPr>
        <w:t>LRMM</w:t>
      </w:r>
      <w:r w:rsidRPr="002C1B3A">
        <w:rPr>
          <w:rFonts w:cs="Times New Roman"/>
          <w:lang w:val="fr-CA"/>
        </w:rPr>
        <w:t xml:space="preserve"> et les régimes d</w:t>
      </w:r>
      <w:r>
        <w:rPr>
          <w:rFonts w:cs="Times New Roman"/>
          <w:lang w:val="fr-CA"/>
        </w:rPr>
        <w:t>’</w:t>
      </w:r>
      <w:r w:rsidRPr="002C1B3A">
        <w:rPr>
          <w:rFonts w:cs="Times New Roman"/>
          <w:lang w:val="fr-CA"/>
        </w:rPr>
        <w:t>indemnisation des accidents du travail — fédéraux et provinciaux — sont censés s</w:t>
      </w:r>
      <w:r>
        <w:rPr>
          <w:rFonts w:cs="Times New Roman"/>
          <w:lang w:val="fr-CA"/>
        </w:rPr>
        <w:t>’</w:t>
      </w:r>
      <w:r w:rsidRPr="002C1B3A">
        <w:rPr>
          <w:rFonts w:cs="Times New Roman"/>
          <w:lang w:val="fr-CA"/>
        </w:rPr>
        <w:t xml:space="preserve">appliquer de manière harmonieuse. </w:t>
      </w:r>
    </w:p>
    <w:p w:rsidR="00931170" w:rsidRPr="002C1B3A" w:rsidRDefault="00931170" w:rsidP="00931170">
      <w:pPr>
        <w:pStyle w:val="ParaNoNdepar-AltN"/>
        <w:rPr>
          <w:rFonts w:cs="Times New Roman"/>
          <w:lang w:val="fr-CA"/>
        </w:rPr>
      </w:pPr>
      <w:r w:rsidRPr="002C1B3A">
        <w:rPr>
          <w:rFonts w:cs="Times New Roman"/>
          <w:lang w:val="fr-CA"/>
        </w:rPr>
        <w:t>Premièrement, le fait d</w:t>
      </w:r>
      <w:r>
        <w:rPr>
          <w:rFonts w:cs="Times New Roman"/>
          <w:lang w:val="fr-CA"/>
        </w:rPr>
        <w:t>’</w:t>
      </w:r>
      <w:r w:rsidRPr="002C1B3A">
        <w:rPr>
          <w:rFonts w:cs="Times New Roman"/>
          <w:lang w:val="fr-CA"/>
        </w:rPr>
        <w:t xml:space="preserve">interpréter le par. 6(2) de la </w:t>
      </w:r>
      <w:r w:rsidRPr="002C1B3A">
        <w:rPr>
          <w:rFonts w:cs="Times New Roman"/>
          <w:i/>
          <w:lang w:val="fr-CA"/>
        </w:rPr>
        <w:t>LRMM</w:t>
      </w:r>
      <w:r w:rsidRPr="002C1B3A">
        <w:rPr>
          <w:rFonts w:cs="Times New Roman"/>
          <w:lang w:val="fr-CA"/>
        </w:rPr>
        <w:t xml:space="preserve"> de façon à permettre l</w:t>
      </w:r>
      <w:r>
        <w:rPr>
          <w:rFonts w:cs="Times New Roman"/>
          <w:lang w:val="fr-CA"/>
        </w:rPr>
        <w:t>’</w:t>
      </w:r>
      <w:r w:rsidRPr="002C1B3A">
        <w:rPr>
          <w:rFonts w:cs="Times New Roman"/>
          <w:lang w:val="fr-CA"/>
        </w:rPr>
        <w:t>application de l</w:t>
      </w:r>
      <w:r>
        <w:rPr>
          <w:rFonts w:cs="Times New Roman"/>
          <w:lang w:val="fr-CA"/>
        </w:rPr>
        <w:t>’</w:t>
      </w:r>
      <w:r w:rsidRPr="002C1B3A">
        <w:rPr>
          <w:rFonts w:cs="Times New Roman"/>
          <w:lang w:val="fr-CA"/>
        </w:rPr>
        <w:t xml:space="preserve">art. 44 de la </w:t>
      </w:r>
      <w:r w:rsidRPr="002C1B3A">
        <w:rPr>
          <w:rFonts w:cs="Times New Roman"/>
          <w:i/>
          <w:lang w:val="fr-CA"/>
        </w:rPr>
        <w:t xml:space="preserve">WHSCA </w:t>
      </w:r>
      <w:r w:rsidRPr="002C1B3A">
        <w:rPr>
          <w:rFonts w:cs="Times New Roman"/>
          <w:lang w:val="fr-CA"/>
        </w:rPr>
        <w:t>constitue une solution cohérente avec les deux régimes fédéraux d</w:t>
      </w:r>
      <w:r>
        <w:rPr>
          <w:rFonts w:cs="Times New Roman"/>
          <w:lang w:val="fr-CA"/>
        </w:rPr>
        <w:t>’</w:t>
      </w:r>
      <w:r w:rsidRPr="002C1B3A">
        <w:rPr>
          <w:rFonts w:cs="Times New Roman"/>
          <w:lang w:val="fr-CA"/>
        </w:rPr>
        <w:t xml:space="preserve">indemnisation des accidents du travail décrits précédemment : la </w:t>
      </w:r>
      <w:r w:rsidRPr="002C1B3A">
        <w:rPr>
          <w:rFonts w:cs="Times New Roman"/>
          <w:i/>
          <w:lang w:val="fr-CA"/>
        </w:rPr>
        <w:t>LIAÉ</w:t>
      </w:r>
      <w:r w:rsidRPr="002C1B3A">
        <w:rPr>
          <w:rFonts w:cs="Times New Roman"/>
          <w:lang w:val="fr-CA"/>
        </w:rPr>
        <w:t xml:space="preserve"> et la </w:t>
      </w:r>
      <w:r w:rsidRPr="002C1B3A">
        <w:rPr>
          <w:rFonts w:cs="Times New Roman"/>
          <w:i/>
          <w:lang w:val="fr-CA"/>
        </w:rPr>
        <w:t>LIMM</w:t>
      </w:r>
      <w:r w:rsidRPr="002C1B3A">
        <w:rPr>
          <w:rFonts w:cs="Times New Roman"/>
          <w:lang w:val="fr-CA"/>
        </w:rPr>
        <w:t>.  En effet, les personnes à charge d</w:t>
      </w:r>
      <w:r>
        <w:rPr>
          <w:rFonts w:cs="Times New Roman"/>
          <w:lang w:val="fr-CA"/>
        </w:rPr>
        <w:t>’</w:t>
      </w:r>
      <w:r w:rsidRPr="002C1B3A">
        <w:rPr>
          <w:rFonts w:cs="Times New Roman"/>
          <w:lang w:val="fr-CA"/>
        </w:rPr>
        <w:t>un agent de l</w:t>
      </w:r>
      <w:r>
        <w:rPr>
          <w:rFonts w:cs="Times New Roman"/>
          <w:lang w:val="fr-CA"/>
        </w:rPr>
        <w:t>’</w:t>
      </w:r>
      <w:r w:rsidRPr="002C1B3A">
        <w:rPr>
          <w:rFonts w:cs="Times New Roman"/>
          <w:lang w:val="fr-CA"/>
        </w:rPr>
        <w:t xml:space="preserve">État visé par la </w:t>
      </w:r>
      <w:r w:rsidRPr="002C1B3A">
        <w:rPr>
          <w:rFonts w:cs="Times New Roman"/>
          <w:i/>
          <w:lang w:val="fr-CA"/>
        </w:rPr>
        <w:t>LIAÉ</w:t>
      </w:r>
      <w:r w:rsidRPr="002C1B3A">
        <w:rPr>
          <w:rFonts w:cs="Times New Roman"/>
          <w:lang w:val="fr-CA"/>
        </w:rPr>
        <w:t xml:space="preserve"> ne peuvent poursuivre Sa Majesté en vertu du par. 6(2) de la </w:t>
      </w:r>
      <w:r w:rsidRPr="002C1B3A">
        <w:rPr>
          <w:rFonts w:cs="Times New Roman"/>
          <w:i/>
          <w:lang w:val="fr-CA"/>
        </w:rPr>
        <w:t>LRMM</w:t>
      </w:r>
      <w:r w:rsidRPr="002C1B3A">
        <w:rPr>
          <w:rFonts w:cs="Times New Roman"/>
          <w:lang w:val="fr-CA"/>
        </w:rPr>
        <w:t xml:space="preserve"> si l</w:t>
      </w:r>
      <w:r>
        <w:rPr>
          <w:rFonts w:cs="Times New Roman"/>
          <w:lang w:val="fr-CA"/>
        </w:rPr>
        <w:t>’</w:t>
      </w:r>
      <w:r w:rsidRPr="002C1B3A">
        <w:rPr>
          <w:rFonts w:cs="Times New Roman"/>
          <w:lang w:val="fr-CA"/>
        </w:rPr>
        <w:t>agent de l</w:t>
      </w:r>
      <w:r>
        <w:rPr>
          <w:rFonts w:cs="Times New Roman"/>
          <w:lang w:val="fr-CA"/>
        </w:rPr>
        <w:t>’</w:t>
      </w:r>
      <w:r w:rsidRPr="002C1B3A">
        <w:rPr>
          <w:rFonts w:cs="Times New Roman"/>
          <w:lang w:val="fr-CA"/>
        </w:rPr>
        <w:t>État a perdu la vie dans un contexte maritime.  De fait, l</w:t>
      </w:r>
      <w:r>
        <w:rPr>
          <w:rFonts w:cs="Times New Roman"/>
          <w:lang w:val="fr-CA"/>
        </w:rPr>
        <w:t>’</w:t>
      </w:r>
      <w:r w:rsidRPr="002C1B3A">
        <w:rPr>
          <w:rFonts w:cs="Times New Roman"/>
          <w:lang w:val="fr-CA"/>
        </w:rPr>
        <w:t xml:space="preserve">art. 12 de la </w:t>
      </w:r>
      <w:r w:rsidRPr="002C1B3A">
        <w:rPr>
          <w:rFonts w:cs="Times New Roman"/>
          <w:i/>
          <w:lang w:val="fr-CA"/>
        </w:rPr>
        <w:t>LIAÉ</w:t>
      </w:r>
      <w:r w:rsidRPr="002C1B3A">
        <w:rPr>
          <w:rFonts w:cs="Times New Roman"/>
          <w:lang w:val="fr-CA"/>
        </w:rPr>
        <w:t xml:space="preserve"> interdit tout recours contre Sa Majesté.  De même, les personnes qui sont à la charge d</w:t>
      </w:r>
      <w:r>
        <w:rPr>
          <w:rFonts w:cs="Times New Roman"/>
          <w:lang w:val="fr-CA"/>
        </w:rPr>
        <w:t>’</w:t>
      </w:r>
      <w:r w:rsidRPr="002C1B3A">
        <w:rPr>
          <w:rFonts w:cs="Times New Roman"/>
          <w:lang w:val="fr-CA"/>
        </w:rPr>
        <w:t xml:space="preserve">un employé décédé relevant de la </w:t>
      </w:r>
      <w:r w:rsidRPr="002C1B3A">
        <w:rPr>
          <w:rFonts w:cs="Times New Roman"/>
          <w:i/>
          <w:lang w:val="fr-CA"/>
        </w:rPr>
        <w:t>LIMM</w:t>
      </w:r>
      <w:r w:rsidRPr="002C1B3A">
        <w:rPr>
          <w:rFonts w:cs="Times New Roman"/>
          <w:lang w:val="fr-CA"/>
        </w:rPr>
        <w:t xml:space="preserve"> et qui ont en conséquence droit à des indemnités sous le régime de cette loi ne peuvent intenter de poursuites fondées sur le par. 6(2) de la </w:t>
      </w:r>
      <w:r w:rsidRPr="002C1B3A">
        <w:rPr>
          <w:rFonts w:cs="Times New Roman"/>
          <w:i/>
          <w:lang w:val="fr-CA"/>
        </w:rPr>
        <w:t>LRMM</w:t>
      </w:r>
      <w:r w:rsidRPr="002C1B3A">
        <w:rPr>
          <w:rFonts w:cs="Times New Roman"/>
          <w:lang w:val="fr-CA"/>
        </w:rPr>
        <w:t xml:space="preserve"> en raison de l</w:t>
      </w:r>
      <w:r>
        <w:rPr>
          <w:rFonts w:cs="Times New Roman"/>
          <w:lang w:val="fr-CA"/>
        </w:rPr>
        <w:t>’</w:t>
      </w:r>
      <w:r w:rsidRPr="002C1B3A">
        <w:rPr>
          <w:rFonts w:cs="Times New Roman"/>
          <w:lang w:val="fr-CA"/>
        </w:rPr>
        <w:t>interdiction légale de poursuites prévue à l</w:t>
      </w:r>
      <w:r>
        <w:rPr>
          <w:rFonts w:cs="Times New Roman"/>
          <w:lang w:val="fr-CA"/>
        </w:rPr>
        <w:t>’</w:t>
      </w:r>
      <w:r w:rsidRPr="002C1B3A">
        <w:rPr>
          <w:rFonts w:cs="Times New Roman"/>
          <w:lang w:val="fr-CA"/>
        </w:rPr>
        <w:t>art. 13</w:t>
      </w:r>
      <w:r>
        <w:rPr>
          <w:rFonts w:cs="Times New Roman"/>
          <w:lang w:val="fr-CA"/>
        </w:rPr>
        <w:t xml:space="preserve"> de la </w:t>
      </w:r>
      <w:r w:rsidRPr="009E25F4">
        <w:rPr>
          <w:rFonts w:cs="Times New Roman"/>
          <w:i/>
          <w:lang w:val="fr-CA"/>
        </w:rPr>
        <w:t>LIMM</w:t>
      </w:r>
      <w:r w:rsidRPr="002C1B3A">
        <w:rPr>
          <w:rFonts w:cs="Times New Roman"/>
          <w:lang w:val="fr-CA"/>
        </w:rPr>
        <w:t>.</w:t>
      </w:r>
    </w:p>
    <w:p w:rsidR="00931170" w:rsidRPr="002C1B3A" w:rsidRDefault="00931170" w:rsidP="00931170">
      <w:pPr>
        <w:pStyle w:val="ParaNoNdepar-AltN"/>
        <w:rPr>
          <w:rFonts w:cs="Times New Roman"/>
          <w:lang w:val="fr-CA"/>
        </w:rPr>
      </w:pPr>
      <w:r w:rsidRPr="002C1B3A">
        <w:rPr>
          <w:rFonts w:cs="Times New Roman"/>
          <w:lang w:val="fr-CA"/>
        </w:rPr>
        <w:lastRenderedPageBreak/>
        <w:t>Il existe une présomption selon laquelle le Parlement n</w:t>
      </w:r>
      <w:r>
        <w:rPr>
          <w:rFonts w:cs="Times New Roman"/>
          <w:lang w:val="fr-CA"/>
        </w:rPr>
        <w:t>’</w:t>
      </w:r>
      <w:r w:rsidRPr="002C1B3A">
        <w:rPr>
          <w:rFonts w:cs="Times New Roman"/>
          <w:lang w:val="fr-CA"/>
        </w:rPr>
        <w:t xml:space="preserve">édicte pas de lois connexes incompatibles : </w:t>
      </w:r>
      <w:r w:rsidRPr="002C1B3A">
        <w:rPr>
          <w:rFonts w:cs="Times New Roman"/>
          <w:i/>
          <w:lang w:val="fr-CA"/>
        </w:rPr>
        <w:t>Renvoi relatif à la Politique réglementaire de radiodiffusion CRTC 2010</w:t>
      </w:r>
      <w:r w:rsidRPr="002C1B3A">
        <w:rPr>
          <w:rFonts w:cs="Times New Roman"/>
          <w:i/>
          <w:lang w:val="fr-CA"/>
        </w:rPr>
        <w:noBreakHyphen/>
        <w:t>167 et l</w:t>
      </w:r>
      <w:r>
        <w:rPr>
          <w:rFonts w:cs="Times New Roman"/>
          <w:i/>
          <w:lang w:val="fr-CA"/>
        </w:rPr>
        <w:t>’</w:t>
      </w:r>
      <w:r w:rsidRPr="002C1B3A">
        <w:rPr>
          <w:rFonts w:cs="Times New Roman"/>
          <w:i/>
          <w:lang w:val="fr-CA"/>
        </w:rPr>
        <w:t>ordonnance de radiodiffusion CRTC 2010</w:t>
      </w:r>
      <w:r w:rsidRPr="002C1B3A">
        <w:rPr>
          <w:rFonts w:cs="Times New Roman"/>
          <w:i/>
          <w:lang w:val="fr-CA"/>
        </w:rPr>
        <w:noBreakHyphen/>
        <w:t>168</w:t>
      </w:r>
      <w:r w:rsidRPr="002C1B3A">
        <w:rPr>
          <w:rFonts w:cs="Times New Roman"/>
          <w:lang w:val="fr-CA"/>
        </w:rPr>
        <w:t xml:space="preserve">, 2012 CSC 68, [2012] 3 R.C.S. 489, par. 38 et 61; </w:t>
      </w:r>
      <w:r w:rsidRPr="002C1B3A">
        <w:rPr>
          <w:rFonts w:cs="Times New Roman"/>
          <w:i/>
          <w:lang w:val="fr-CA"/>
        </w:rPr>
        <w:t>65302 British Columbia Ltd. c. Canada</w:t>
      </w:r>
      <w:r w:rsidRPr="002C1B3A">
        <w:rPr>
          <w:rFonts w:cs="Times New Roman"/>
          <w:lang w:val="fr-CA"/>
        </w:rPr>
        <w:t xml:space="preserve">, [1999] 3 R.C.S. 804, par. 7.  Il serait illogique que le Parlement édicte dans la </w:t>
      </w:r>
      <w:r w:rsidRPr="002C1B3A">
        <w:rPr>
          <w:rFonts w:cs="Times New Roman"/>
          <w:i/>
          <w:lang w:val="fr-CA"/>
        </w:rPr>
        <w:t>LIAÉ</w:t>
      </w:r>
      <w:r w:rsidRPr="002C1B3A">
        <w:rPr>
          <w:rFonts w:cs="Times New Roman"/>
          <w:lang w:val="fr-CA"/>
        </w:rPr>
        <w:t xml:space="preserve"> et la </w:t>
      </w:r>
      <w:r w:rsidRPr="002C1B3A">
        <w:rPr>
          <w:rFonts w:cs="Times New Roman"/>
          <w:i/>
          <w:lang w:val="fr-CA"/>
        </w:rPr>
        <w:t>LIMM</w:t>
      </w:r>
      <w:r w:rsidRPr="002C1B3A">
        <w:rPr>
          <w:rFonts w:cs="Times New Roman"/>
          <w:lang w:val="fr-CA"/>
        </w:rPr>
        <w:t xml:space="preserve"> des interdictions légales de poursuivre ne faisant pas obstacle à une action en négligence fondée sur le par. 6(2) de la </w:t>
      </w:r>
      <w:r w:rsidRPr="002C1B3A">
        <w:rPr>
          <w:rFonts w:cs="Times New Roman"/>
          <w:i/>
          <w:lang w:val="fr-CA"/>
        </w:rPr>
        <w:t>LRMM</w:t>
      </w:r>
      <w:r w:rsidRPr="002C1B3A">
        <w:rPr>
          <w:rFonts w:cs="Times New Roman"/>
          <w:lang w:val="fr-CA"/>
        </w:rPr>
        <w:t xml:space="preserve">.  Ces dispositions doivent être interprétées de manière harmonieuse.  Le paragraphe 6(2) de la </w:t>
      </w:r>
      <w:r w:rsidRPr="002C1B3A">
        <w:rPr>
          <w:rFonts w:cs="Times New Roman"/>
          <w:i/>
          <w:lang w:val="fr-CA"/>
        </w:rPr>
        <w:t xml:space="preserve">LRMM </w:t>
      </w:r>
      <w:r w:rsidRPr="002C1B3A">
        <w:rPr>
          <w:rFonts w:cs="Times New Roman"/>
          <w:lang w:val="fr-CA"/>
        </w:rPr>
        <w:t>— qui autorise les personnes à charge d</w:t>
      </w:r>
      <w:r>
        <w:rPr>
          <w:rFonts w:cs="Times New Roman"/>
          <w:lang w:val="fr-CA"/>
        </w:rPr>
        <w:t>’</w:t>
      </w:r>
      <w:r w:rsidRPr="002C1B3A">
        <w:rPr>
          <w:rFonts w:cs="Times New Roman"/>
          <w:lang w:val="fr-CA"/>
        </w:rPr>
        <w:t>une personne décédée à intenter une poursuite si le décès est survenu « dans des circonstances qui [. . .] auraient donné le droit » à la victime de réclamer des dommages</w:t>
      </w:r>
      <w:r w:rsidRPr="002C1B3A">
        <w:rPr>
          <w:rFonts w:cs="Times New Roman"/>
          <w:lang w:val="fr-CA"/>
        </w:rPr>
        <w:noBreakHyphen/>
        <w:t xml:space="preserve">intérêts si elle avait survécu, peut coexister avec la </w:t>
      </w:r>
      <w:r w:rsidRPr="002C1B3A">
        <w:rPr>
          <w:rFonts w:cs="Times New Roman"/>
          <w:i/>
          <w:lang w:val="fr-CA"/>
        </w:rPr>
        <w:t>LIAÉ</w:t>
      </w:r>
      <w:r w:rsidRPr="002C1B3A">
        <w:rPr>
          <w:rFonts w:cs="Times New Roman"/>
          <w:lang w:val="fr-CA"/>
        </w:rPr>
        <w:t xml:space="preserve"> et la </w:t>
      </w:r>
      <w:r w:rsidRPr="002C1B3A">
        <w:rPr>
          <w:rFonts w:cs="Times New Roman"/>
          <w:i/>
          <w:lang w:val="fr-CA"/>
        </w:rPr>
        <w:t>LIMM</w:t>
      </w:r>
      <w:r w:rsidRPr="002C1B3A">
        <w:rPr>
          <w:rFonts w:cs="Times New Roman"/>
          <w:lang w:val="fr-CA"/>
        </w:rPr>
        <w:t>, sans qu</w:t>
      </w:r>
      <w:r>
        <w:rPr>
          <w:rFonts w:cs="Times New Roman"/>
          <w:lang w:val="fr-CA"/>
        </w:rPr>
        <w:t>’</w:t>
      </w:r>
      <w:r w:rsidRPr="002C1B3A">
        <w:rPr>
          <w:rFonts w:cs="Times New Roman"/>
          <w:lang w:val="fr-CA"/>
        </w:rPr>
        <w:t>il y ait incompatibilité, si l</w:t>
      </w:r>
      <w:r>
        <w:rPr>
          <w:rFonts w:cs="Times New Roman"/>
          <w:lang w:val="fr-CA"/>
        </w:rPr>
        <w:t>’</w:t>
      </w:r>
      <w:r w:rsidRPr="002C1B3A">
        <w:rPr>
          <w:rFonts w:cs="Times New Roman"/>
          <w:lang w:val="fr-CA"/>
        </w:rPr>
        <w:t>on suppose que l</w:t>
      </w:r>
      <w:r>
        <w:rPr>
          <w:rFonts w:cs="Times New Roman"/>
          <w:lang w:val="fr-CA"/>
        </w:rPr>
        <w:t>’</w:t>
      </w:r>
      <w:r w:rsidRPr="002C1B3A">
        <w:rPr>
          <w:rFonts w:cs="Times New Roman"/>
          <w:lang w:val="fr-CA"/>
        </w:rPr>
        <w:t>existence d</w:t>
      </w:r>
      <w:r>
        <w:rPr>
          <w:rFonts w:cs="Times New Roman"/>
          <w:lang w:val="fr-CA"/>
        </w:rPr>
        <w:t>’</w:t>
      </w:r>
      <w:r w:rsidRPr="002C1B3A">
        <w:rPr>
          <w:rFonts w:cs="Times New Roman"/>
          <w:lang w:val="fr-CA"/>
        </w:rPr>
        <w:t>une interdiction légale de poursuivre dans un régime d</w:t>
      </w:r>
      <w:r>
        <w:rPr>
          <w:rFonts w:cs="Times New Roman"/>
          <w:lang w:val="fr-CA"/>
        </w:rPr>
        <w:t>’</w:t>
      </w:r>
      <w:r w:rsidRPr="002C1B3A">
        <w:rPr>
          <w:rFonts w:cs="Times New Roman"/>
          <w:lang w:val="fr-CA"/>
        </w:rPr>
        <w:t>indemnisation des accidents du travail constitue une circonstance qui aurait empêché la victime de réclamer des dommages</w:t>
      </w:r>
      <w:r w:rsidRPr="002C1B3A">
        <w:rPr>
          <w:rFonts w:cs="Times New Roman"/>
          <w:lang w:val="fr-CA"/>
        </w:rPr>
        <w:noBreakHyphen/>
        <w:t>intérêts si elle n</w:t>
      </w:r>
      <w:r>
        <w:rPr>
          <w:rFonts w:cs="Times New Roman"/>
          <w:lang w:val="fr-CA"/>
        </w:rPr>
        <w:t>’</w:t>
      </w:r>
      <w:r w:rsidRPr="002C1B3A">
        <w:rPr>
          <w:rFonts w:cs="Times New Roman"/>
          <w:lang w:val="fr-CA"/>
        </w:rPr>
        <w:t>était pas décédée.  Si la Cour concluait à l</w:t>
      </w:r>
      <w:r>
        <w:rPr>
          <w:rFonts w:cs="Times New Roman"/>
          <w:lang w:val="fr-CA"/>
        </w:rPr>
        <w:t>’</w:t>
      </w:r>
      <w:r w:rsidRPr="002C1B3A">
        <w:rPr>
          <w:rFonts w:cs="Times New Roman"/>
          <w:lang w:val="fr-CA"/>
        </w:rPr>
        <w:t xml:space="preserve">incompatibilité du par. 6(2) de la </w:t>
      </w:r>
      <w:r w:rsidRPr="002C1B3A">
        <w:rPr>
          <w:rFonts w:cs="Times New Roman"/>
          <w:i/>
          <w:lang w:val="fr-CA"/>
        </w:rPr>
        <w:t>LRMM</w:t>
      </w:r>
      <w:r w:rsidRPr="002C1B3A">
        <w:rPr>
          <w:rFonts w:cs="Times New Roman"/>
          <w:lang w:val="fr-CA"/>
        </w:rPr>
        <w:t xml:space="preserve"> avec l</w:t>
      </w:r>
      <w:r>
        <w:rPr>
          <w:rFonts w:cs="Times New Roman"/>
          <w:lang w:val="fr-CA"/>
        </w:rPr>
        <w:t>’</w:t>
      </w:r>
      <w:r w:rsidRPr="002C1B3A">
        <w:rPr>
          <w:rFonts w:cs="Times New Roman"/>
          <w:lang w:val="fr-CA"/>
        </w:rPr>
        <w:t>interdiction légale de poursuites prévue à l</w:t>
      </w:r>
      <w:r>
        <w:rPr>
          <w:rFonts w:cs="Times New Roman"/>
          <w:lang w:val="fr-CA"/>
        </w:rPr>
        <w:t>’</w:t>
      </w:r>
      <w:r w:rsidRPr="002C1B3A">
        <w:rPr>
          <w:rFonts w:cs="Times New Roman"/>
          <w:lang w:val="fr-CA"/>
        </w:rPr>
        <w:t xml:space="preserve">art. 44 de la </w:t>
      </w:r>
      <w:r w:rsidRPr="002C1B3A">
        <w:rPr>
          <w:rFonts w:cs="Times New Roman"/>
          <w:i/>
          <w:lang w:val="fr-CA"/>
        </w:rPr>
        <w:t>WHSCA</w:t>
      </w:r>
      <w:r w:rsidRPr="002C1B3A">
        <w:rPr>
          <w:rFonts w:cs="Times New Roman"/>
          <w:lang w:val="fr-CA"/>
        </w:rPr>
        <w:t>, elle se trouverait par le fait même à affirmer que le par. 6(2) n</w:t>
      </w:r>
      <w:r>
        <w:rPr>
          <w:rFonts w:cs="Times New Roman"/>
          <w:lang w:val="fr-CA"/>
        </w:rPr>
        <w:t>’</w:t>
      </w:r>
      <w:r w:rsidRPr="002C1B3A">
        <w:rPr>
          <w:rFonts w:cs="Times New Roman"/>
          <w:lang w:val="fr-CA"/>
        </w:rPr>
        <w:t xml:space="preserve">est pas non plus compatible avec les interdictions légales de poursuites prévues par la </w:t>
      </w:r>
      <w:r w:rsidRPr="002C1B3A">
        <w:rPr>
          <w:rFonts w:cs="Times New Roman"/>
          <w:i/>
          <w:lang w:val="fr-CA"/>
        </w:rPr>
        <w:t>LIAÉ</w:t>
      </w:r>
      <w:r w:rsidRPr="002C1B3A">
        <w:rPr>
          <w:rFonts w:cs="Times New Roman"/>
          <w:lang w:val="fr-CA"/>
        </w:rPr>
        <w:t xml:space="preserve"> et la </w:t>
      </w:r>
      <w:r w:rsidRPr="002C1B3A">
        <w:rPr>
          <w:rFonts w:cs="Times New Roman"/>
          <w:i/>
          <w:lang w:val="fr-CA"/>
        </w:rPr>
        <w:t>LIMM</w:t>
      </w:r>
      <w:r w:rsidRPr="002C1B3A">
        <w:rPr>
          <w:rFonts w:cs="Times New Roman"/>
          <w:lang w:val="fr-CA"/>
        </w:rPr>
        <w:t>.  Compte tenu de la présomption de cohérence des lois fédérales, cela ne saurait être le cas.</w:t>
      </w:r>
    </w:p>
    <w:p w:rsidR="00931170" w:rsidRPr="002C1B3A" w:rsidRDefault="00931170" w:rsidP="00931170">
      <w:pPr>
        <w:pStyle w:val="ParaNoNdepar-AltN"/>
        <w:rPr>
          <w:rFonts w:cs="Times New Roman"/>
          <w:lang w:val="fr-CA"/>
        </w:rPr>
      </w:pPr>
      <w:r w:rsidRPr="002C1B3A">
        <w:rPr>
          <w:rFonts w:cs="Times New Roman"/>
          <w:lang w:val="fr-CA"/>
        </w:rPr>
        <w:t xml:space="preserve">Deuxièmement, la </w:t>
      </w:r>
      <w:r w:rsidRPr="002C1B3A">
        <w:rPr>
          <w:rFonts w:cs="Times New Roman"/>
          <w:i/>
          <w:lang w:val="fr-CA"/>
        </w:rPr>
        <w:t xml:space="preserve">WHSCA </w:t>
      </w:r>
      <w:r w:rsidRPr="002C1B3A">
        <w:rPr>
          <w:rFonts w:cs="Times New Roman"/>
          <w:lang w:val="fr-CA"/>
        </w:rPr>
        <w:t xml:space="preserve">et la </w:t>
      </w:r>
      <w:r w:rsidRPr="002C1B3A">
        <w:rPr>
          <w:rFonts w:cs="Times New Roman"/>
          <w:i/>
          <w:lang w:val="fr-CA"/>
        </w:rPr>
        <w:t xml:space="preserve">LRMM </w:t>
      </w:r>
      <w:r w:rsidRPr="002C1B3A">
        <w:rPr>
          <w:rFonts w:cs="Times New Roman"/>
          <w:lang w:val="fr-CA"/>
        </w:rPr>
        <w:t>se distinguent par leur objet et par leur nature : la première permet le versement d</w:t>
      </w:r>
      <w:r>
        <w:rPr>
          <w:rFonts w:cs="Times New Roman"/>
          <w:lang w:val="fr-CA"/>
        </w:rPr>
        <w:t>’</w:t>
      </w:r>
      <w:r w:rsidRPr="002C1B3A">
        <w:rPr>
          <w:rFonts w:cs="Times New Roman"/>
          <w:lang w:val="fr-CA"/>
        </w:rPr>
        <w:t>une indemnité d</w:t>
      </w:r>
      <w:r>
        <w:rPr>
          <w:rFonts w:cs="Times New Roman"/>
          <w:lang w:val="fr-CA"/>
        </w:rPr>
        <w:t>’</w:t>
      </w:r>
      <w:r w:rsidRPr="002C1B3A">
        <w:rPr>
          <w:rFonts w:cs="Times New Roman"/>
          <w:lang w:val="fr-CA"/>
        </w:rPr>
        <w:t xml:space="preserve">assurance sans </w:t>
      </w:r>
      <w:r w:rsidRPr="002C1B3A">
        <w:rPr>
          <w:rFonts w:cs="Times New Roman"/>
          <w:lang w:val="fr-CA"/>
        </w:rPr>
        <w:lastRenderedPageBreak/>
        <w:t xml:space="preserve">égard à la responsabilité pour des accidents du travail, alors que la seconde constitue un régime légal de responsabilité délictuelle.  Dans </w:t>
      </w:r>
      <w:r w:rsidRPr="002C1B3A">
        <w:rPr>
          <w:rFonts w:cs="Times New Roman"/>
          <w:i/>
          <w:lang w:val="fr-CA"/>
        </w:rPr>
        <w:t>Workers</w:t>
      </w:r>
      <w:r>
        <w:rPr>
          <w:rFonts w:cs="Times New Roman"/>
          <w:i/>
          <w:lang w:val="fr-CA"/>
        </w:rPr>
        <w:t>’</w:t>
      </w:r>
      <w:r w:rsidRPr="002C1B3A">
        <w:rPr>
          <w:rFonts w:cs="Times New Roman"/>
          <w:i/>
          <w:lang w:val="fr-CA"/>
        </w:rPr>
        <w:t xml:space="preserve"> Compensation Appeal Board c. Penney</w:t>
      </w:r>
      <w:r w:rsidRPr="002C1B3A">
        <w:rPr>
          <w:rFonts w:cs="Times New Roman"/>
          <w:lang w:val="fr-CA"/>
        </w:rPr>
        <w:t xml:space="preserve"> (1980), </w:t>
      </w:r>
      <w:r w:rsidR="00425F6D">
        <w:rPr>
          <w:rFonts w:cs="Times New Roman"/>
          <w:lang w:val="fr-CA"/>
        </w:rPr>
        <w:t xml:space="preserve">38 </w:t>
      </w:r>
      <w:r w:rsidRPr="002C1B3A">
        <w:rPr>
          <w:rFonts w:cs="Times New Roman"/>
          <w:lang w:val="fr-CA"/>
        </w:rPr>
        <w:t>N.S.R. (2d) 623 (C.A.), le juge Jones a affirmé que [</w:t>
      </w:r>
      <w:r w:rsidRPr="002C1B3A">
        <w:rPr>
          <w:rFonts w:cs="Times New Roman"/>
          <w:smallCaps/>
          <w:lang w:val="fr-CA"/>
        </w:rPr>
        <w:t>traduction</w:t>
      </w:r>
      <w:r w:rsidRPr="002C1B3A">
        <w:rPr>
          <w:rFonts w:cs="Times New Roman"/>
          <w:lang w:val="fr-CA"/>
        </w:rPr>
        <w:t>] « les principes du droit de la responsabilité délictuelle ne s</w:t>
      </w:r>
      <w:r>
        <w:rPr>
          <w:rFonts w:cs="Times New Roman"/>
          <w:lang w:val="fr-CA"/>
        </w:rPr>
        <w:t>’</w:t>
      </w:r>
      <w:r w:rsidRPr="002C1B3A">
        <w:rPr>
          <w:rFonts w:cs="Times New Roman"/>
          <w:lang w:val="fr-CA"/>
        </w:rPr>
        <w:t>appliquent pas aux régimes légaux d</w:t>
      </w:r>
      <w:r>
        <w:rPr>
          <w:rFonts w:cs="Times New Roman"/>
          <w:lang w:val="fr-CA"/>
        </w:rPr>
        <w:t>’</w:t>
      </w:r>
      <w:r w:rsidRPr="002C1B3A">
        <w:rPr>
          <w:rFonts w:cs="Times New Roman"/>
          <w:lang w:val="fr-CA"/>
        </w:rPr>
        <w:t xml:space="preserve">indemnisation des accidents du travail » (par. 13).  Dans </w:t>
      </w:r>
      <w:r w:rsidRPr="002C1B3A">
        <w:rPr>
          <w:rFonts w:cs="Times New Roman"/>
          <w:i/>
          <w:lang w:val="fr-CA"/>
        </w:rPr>
        <w:t>Ferneyhough c. Workers</w:t>
      </w:r>
      <w:r>
        <w:rPr>
          <w:rFonts w:cs="Times New Roman"/>
          <w:i/>
          <w:lang w:val="fr-CA"/>
        </w:rPr>
        <w:t>’</w:t>
      </w:r>
      <w:r w:rsidRPr="002C1B3A">
        <w:rPr>
          <w:rFonts w:cs="Times New Roman"/>
          <w:i/>
          <w:lang w:val="fr-CA"/>
        </w:rPr>
        <w:t xml:space="preserve"> Compensation Appeals Tribunal</w:t>
      </w:r>
      <w:r w:rsidR="00975DC4">
        <w:rPr>
          <w:rFonts w:cs="Times New Roman"/>
          <w:i/>
          <w:lang w:val="fr-CA"/>
        </w:rPr>
        <w:t xml:space="preserve"> (N.S.)</w:t>
      </w:r>
      <w:r w:rsidRPr="002C1B3A">
        <w:rPr>
          <w:rFonts w:cs="Times New Roman"/>
          <w:lang w:val="fr-CA"/>
        </w:rPr>
        <w:t>, 2000 NSCA 121, 189 N.S.R. (2d) 76, le juge Cromwell (maintenant juge de notre Cour) a examiné cette affirmation :</w:t>
      </w:r>
    </w:p>
    <w:p w:rsidR="00931170" w:rsidRPr="002C1B3A" w:rsidRDefault="00931170" w:rsidP="00931170">
      <w:pPr>
        <w:pStyle w:val="Citation-AltC"/>
        <w:ind w:hanging="1166"/>
        <w:rPr>
          <w:lang w:val="fr-CA"/>
        </w:rPr>
      </w:pPr>
      <w:r w:rsidRPr="002C1B3A">
        <w:rPr>
          <w:lang w:val="fr-CA"/>
        </w:rPr>
        <w:tab/>
      </w:r>
      <w:r w:rsidR="00975DC4">
        <w:rPr>
          <w:lang w:val="fr-CA"/>
        </w:rPr>
        <w:tab/>
      </w:r>
      <w:r w:rsidRPr="002C1B3A">
        <w:rPr>
          <w:lang w:val="fr-CA"/>
        </w:rPr>
        <w:t>[</w:t>
      </w:r>
      <w:r w:rsidRPr="002C1B3A">
        <w:rPr>
          <w:smallCaps/>
          <w:lang w:val="fr-CA"/>
        </w:rPr>
        <w:t>traduction</w:t>
      </w:r>
      <w:r w:rsidRPr="002C1B3A">
        <w:rPr>
          <w:lang w:val="fr-CA"/>
        </w:rPr>
        <w:t>]  Bien sûr, l</w:t>
      </w:r>
      <w:r>
        <w:rPr>
          <w:lang w:val="fr-CA"/>
        </w:rPr>
        <w:t>’</w:t>
      </w:r>
      <w:r w:rsidRPr="002C1B3A">
        <w:rPr>
          <w:lang w:val="fr-CA"/>
        </w:rPr>
        <w:t>un des objectifs des régimes d</w:t>
      </w:r>
      <w:r>
        <w:rPr>
          <w:lang w:val="fr-CA"/>
        </w:rPr>
        <w:t>’</w:t>
      </w:r>
      <w:r w:rsidRPr="002C1B3A">
        <w:rPr>
          <w:lang w:val="fr-CA"/>
        </w:rPr>
        <w:t>indemnisation des accidents du travail est d</w:t>
      </w:r>
      <w:r>
        <w:rPr>
          <w:lang w:val="fr-CA"/>
        </w:rPr>
        <w:t>’</w:t>
      </w:r>
      <w:r w:rsidRPr="002C1B3A">
        <w:rPr>
          <w:lang w:val="fr-CA"/>
        </w:rPr>
        <w:t>exclure l</w:t>
      </w:r>
      <w:r>
        <w:rPr>
          <w:lang w:val="fr-CA"/>
        </w:rPr>
        <w:t>’</w:t>
      </w:r>
      <w:r w:rsidRPr="002C1B3A">
        <w:rPr>
          <w:lang w:val="fr-CA"/>
        </w:rPr>
        <w:t>indemnisation des accidents du travail et des maladies professionnelles du champ d</w:t>
      </w:r>
      <w:r>
        <w:rPr>
          <w:lang w:val="fr-CA"/>
        </w:rPr>
        <w:t>’</w:t>
      </w:r>
      <w:r w:rsidRPr="002C1B3A">
        <w:rPr>
          <w:lang w:val="fr-CA"/>
        </w:rPr>
        <w:t>application du régime de la responsabilité délictuelle fondée sur la faute.  Des notions telles que « faute » et « dommages</w:t>
      </w:r>
      <w:r w:rsidRPr="002C1B3A">
        <w:rPr>
          <w:lang w:val="fr-CA"/>
        </w:rPr>
        <w:noBreakHyphen/>
        <w:t>intérêts », par ailleurs si essentielles au droit de la responsabilité délictuelle, ne sont pas compatibles avec les objectifs d</w:t>
      </w:r>
      <w:r>
        <w:rPr>
          <w:lang w:val="fr-CA"/>
        </w:rPr>
        <w:t>’</w:t>
      </w:r>
      <w:r w:rsidRPr="002C1B3A">
        <w:rPr>
          <w:lang w:val="fr-CA"/>
        </w:rPr>
        <w:t>un régime d</w:t>
      </w:r>
      <w:r>
        <w:rPr>
          <w:lang w:val="fr-CA"/>
        </w:rPr>
        <w:t>’</w:t>
      </w:r>
      <w:r w:rsidRPr="002C1B3A">
        <w:rPr>
          <w:lang w:val="fr-CA"/>
        </w:rPr>
        <w:t>indemnisation des accidents du travail.  C</w:t>
      </w:r>
      <w:r>
        <w:rPr>
          <w:lang w:val="fr-CA"/>
        </w:rPr>
        <w:t>’</w:t>
      </w:r>
      <w:r w:rsidRPr="002C1B3A">
        <w:rPr>
          <w:lang w:val="fr-CA"/>
        </w:rPr>
        <w:t>est dans cette optique générale que le juge Jones a affirmé que les principes du droit de la responsabilité délictuelle ne s</w:t>
      </w:r>
      <w:r>
        <w:rPr>
          <w:lang w:val="fr-CA"/>
        </w:rPr>
        <w:t>’</w:t>
      </w:r>
      <w:r w:rsidRPr="002C1B3A">
        <w:rPr>
          <w:lang w:val="fr-CA"/>
        </w:rPr>
        <w:t>appliquaient pas au régime d</w:t>
      </w:r>
      <w:r>
        <w:rPr>
          <w:lang w:val="fr-CA"/>
        </w:rPr>
        <w:t>’</w:t>
      </w:r>
      <w:r w:rsidRPr="002C1B3A">
        <w:rPr>
          <w:lang w:val="fr-CA"/>
        </w:rPr>
        <w:t>indemnisation des accidents du travail.</w:t>
      </w:r>
      <w:r>
        <w:rPr>
          <w:lang w:val="fr-CA"/>
        </w:rPr>
        <w:t xml:space="preserve">  [par. 15]</w:t>
      </w:r>
    </w:p>
    <w:p w:rsidR="00931170" w:rsidRPr="002C1B3A" w:rsidRDefault="00931170" w:rsidP="00931170">
      <w:pPr>
        <w:pStyle w:val="ContinueParaSuitedupar-AltP"/>
        <w:rPr>
          <w:rFonts w:cs="Times New Roman"/>
          <w:lang w:val="fr-CA"/>
        </w:rPr>
      </w:pPr>
      <w:r w:rsidRPr="002C1B3A">
        <w:rPr>
          <w:rFonts w:cs="Times New Roman"/>
          <w:lang w:val="fr-CA"/>
        </w:rPr>
        <w:t>Quelques années plus tard, le juge Cromwell a déclaré que [</w:t>
      </w:r>
      <w:r w:rsidRPr="002C1B3A">
        <w:rPr>
          <w:rFonts w:cs="Times New Roman"/>
          <w:smallCaps/>
          <w:lang w:val="fr-CA"/>
        </w:rPr>
        <w:t>traduction</w:t>
      </w:r>
      <w:r w:rsidRPr="002C1B3A">
        <w:rPr>
          <w:rFonts w:cs="Times New Roman"/>
          <w:lang w:val="fr-CA"/>
        </w:rPr>
        <w:t>] « [l]</w:t>
      </w:r>
      <w:r>
        <w:rPr>
          <w:rFonts w:cs="Times New Roman"/>
          <w:lang w:val="fr-CA"/>
        </w:rPr>
        <w:t>’</w:t>
      </w:r>
      <w:r w:rsidRPr="002C1B3A">
        <w:rPr>
          <w:rFonts w:cs="Times New Roman"/>
          <w:lang w:val="fr-CA"/>
        </w:rPr>
        <w:t>objectif général des lois sur les accidents du travail consiste à soustraire les décisions relatives à l</w:t>
      </w:r>
      <w:r>
        <w:rPr>
          <w:rFonts w:cs="Times New Roman"/>
          <w:lang w:val="fr-CA"/>
        </w:rPr>
        <w:t>’</w:t>
      </w:r>
      <w:r w:rsidRPr="002C1B3A">
        <w:rPr>
          <w:rFonts w:cs="Times New Roman"/>
          <w:lang w:val="fr-CA"/>
        </w:rPr>
        <w:t>indemnisation de ces accidents au champ d</w:t>
      </w:r>
      <w:r>
        <w:rPr>
          <w:rFonts w:cs="Times New Roman"/>
          <w:lang w:val="fr-CA"/>
        </w:rPr>
        <w:t>’</w:t>
      </w:r>
      <w:r w:rsidRPr="002C1B3A">
        <w:rPr>
          <w:rFonts w:cs="Times New Roman"/>
          <w:lang w:val="fr-CA"/>
        </w:rPr>
        <w:t>application du régime de la responsabilité délictuelle et à l</w:t>
      </w:r>
      <w:r>
        <w:rPr>
          <w:rFonts w:cs="Times New Roman"/>
          <w:lang w:val="fr-CA"/>
        </w:rPr>
        <w:t>’</w:t>
      </w:r>
      <w:r w:rsidRPr="002C1B3A">
        <w:rPr>
          <w:rFonts w:cs="Times New Roman"/>
          <w:lang w:val="fr-CA"/>
        </w:rPr>
        <w:t xml:space="preserve">autorité des tribunaux judiciaires » : </w:t>
      </w:r>
      <w:r w:rsidRPr="002C1B3A">
        <w:rPr>
          <w:rFonts w:cs="Times New Roman"/>
          <w:i/>
          <w:lang w:val="fr-CA"/>
        </w:rPr>
        <w:t>Nova Scotia (Minister of Transportation and Public Works) c. Workers</w:t>
      </w:r>
      <w:r>
        <w:rPr>
          <w:rFonts w:cs="Times New Roman"/>
          <w:i/>
          <w:lang w:val="fr-CA"/>
        </w:rPr>
        <w:t>’</w:t>
      </w:r>
      <w:r w:rsidRPr="002C1B3A">
        <w:rPr>
          <w:rFonts w:cs="Times New Roman"/>
          <w:i/>
          <w:lang w:val="fr-CA"/>
        </w:rPr>
        <w:t xml:space="preserve"> Compensation Appeals Tribunal</w:t>
      </w:r>
      <w:r w:rsidRPr="002C1B3A">
        <w:rPr>
          <w:rFonts w:cs="Times New Roman"/>
          <w:lang w:val="fr-CA"/>
        </w:rPr>
        <w:t xml:space="preserve">, 2005 NSCA 62, 231 N.S.R. (2d) 390, par. 20.  </w:t>
      </w:r>
    </w:p>
    <w:p w:rsidR="00931170" w:rsidRPr="002C1B3A" w:rsidRDefault="00931170" w:rsidP="00931170">
      <w:pPr>
        <w:pStyle w:val="ParaNoNdepar-AltN"/>
        <w:rPr>
          <w:rFonts w:cs="Times New Roman"/>
          <w:lang w:val="fr-CA"/>
        </w:rPr>
      </w:pPr>
      <w:r w:rsidRPr="002C1B3A">
        <w:rPr>
          <w:rFonts w:cs="Times New Roman"/>
          <w:lang w:val="fr-CA"/>
        </w:rPr>
        <w:lastRenderedPageBreak/>
        <w:t xml:space="preserve">La </w:t>
      </w:r>
      <w:r w:rsidRPr="002C1B3A">
        <w:rPr>
          <w:rFonts w:cs="Times New Roman"/>
          <w:i/>
          <w:lang w:val="fr-CA"/>
        </w:rPr>
        <w:t xml:space="preserve">WHSCA </w:t>
      </w:r>
      <w:r w:rsidRPr="002C1B3A">
        <w:rPr>
          <w:rFonts w:cs="Times New Roman"/>
          <w:lang w:val="fr-CA"/>
        </w:rPr>
        <w:t>exclut l</w:t>
      </w:r>
      <w:r>
        <w:rPr>
          <w:rFonts w:cs="Times New Roman"/>
          <w:lang w:val="fr-CA"/>
        </w:rPr>
        <w:t>’</w:t>
      </w:r>
      <w:r w:rsidRPr="002C1B3A">
        <w:rPr>
          <w:rFonts w:cs="Times New Roman"/>
          <w:lang w:val="fr-CA"/>
        </w:rPr>
        <w:t>indemnisation des accidents du travail du champ d</w:t>
      </w:r>
      <w:r>
        <w:rPr>
          <w:rFonts w:cs="Times New Roman"/>
          <w:lang w:val="fr-CA"/>
        </w:rPr>
        <w:t>’</w:t>
      </w:r>
      <w:r w:rsidRPr="002C1B3A">
        <w:rPr>
          <w:rFonts w:cs="Times New Roman"/>
          <w:lang w:val="fr-CA"/>
        </w:rPr>
        <w:t xml:space="preserve">application du régime de la responsabilité délictuelle, régime dont fait partie la </w:t>
      </w:r>
      <w:r w:rsidRPr="002C1B3A">
        <w:rPr>
          <w:rFonts w:cs="Times New Roman"/>
          <w:i/>
          <w:lang w:val="fr-CA"/>
        </w:rPr>
        <w:t>LRMM</w:t>
      </w:r>
      <w:r w:rsidRPr="002C1B3A">
        <w:rPr>
          <w:rFonts w:cs="Times New Roman"/>
          <w:lang w:val="fr-CA"/>
        </w:rPr>
        <w:t>.  Elle réalise cet objectif au moyen de l</w:t>
      </w:r>
      <w:r>
        <w:rPr>
          <w:rFonts w:cs="Times New Roman"/>
          <w:lang w:val="fr-CA"/>
        </w:rPr>
        <w:t>’</w:t>
      </w:r>
      <w:r w:rsidRPr="002C1B3A">
        <w:rPr>
          <w:rFonts w:cs="Times New Roman"/>
          <w:lang w:val="fr-CA"/>
        </w:rPr>
        <w:t>interdiction légale de poursuites prévue par l</w:t>
      </w:r>
      <w:r>
        <w:rPr>
          <w:rFonts w:cs="Times New Roman"/>
          <w:lang w:val="fr-CA"/>
        </w:rPr>
        <w:t>’</w:t>
      </w:r>
      <w:r w:rsidRPr="002C1B3A">
        <w:rPr>
          <w:rFonts w:cs="Times New Roman"/>
          <w:lang w:val="fr-CA"/>
        </w:rPr>
        <w:t>art. 44, qui retire aux travailleurs le droit d</w:t>
      </w:r>
      <w:r>
        <w:rPr>
          <w:rFonts w:cs="Times New Roman"/>
          <w:lang w:val="fr-CA"/>
        </w:rPr>
        <w:t>’</w:t>
      </w:r>
      <w:r w:rsidRPr="002C1B3A">
        <w:rPr>
          <w:rFonts w:cs="Times New Roman"/>
          <w:lang w:val="fr-CA"/>
        </w:rPr>
        <w:t xml:space="preserve">intenter des poursuites en responsabilité délictuelle.  La </w:t>
      </w:r>
      <w:r w:rsidRPr="002C1B3A">
        <w:rPr>
          <w:rFonts w:cs="Times New Roman"/>
          <w:i/>
          <w:lang w:val="fr-CA"/>
        </w:rPr>
        <w:t>WHSCA</w:t>
      </w:r>
      <w:r w:rsidRPr="002C1B3A">
        <w:rPr>
          <w:rFonts w:cs="Times New Roman"/>
          <w:lang w:val="fr-CA"/>
        </w:rPr>
        <w:t xml:space="preserve"> est « </w:t>
      </w:r>
      <w:r w:rsidRPr="002C1B3A">
        <w:rPr>
          <w:rFonts w:cs="Times New Roman"/>
          <w:lang w:val="fr-FR"/>
        </w:rPr>
        <w:t>un régime complet de règlement des différends relatifs à l</w:t>
      </w:r>
      <w:r>
        <w:rPr>
          <w:rFonts w:cs="Times New Roman"/>
          <w:lang w:val="fr-FR"/>
        </w:rPr>
        <w:t>’</w:t>
      </w:r>
      <w:r w:rsidRPr="002C1B3A">
        <w:rPr>
          <w:rFonts w:cs="Times New Roman"/>
          <w:lang w:val="fr-FR"/>
        </w:rPr>
        <w:t>indemnisation des accidentés du travail »</w:t>
      </w:r>
      <w:r w:rsidRPr="002C1B3A">
        <w:rPr>
          <w:rFonts w:cs="Times New Roman"/>
          <w:lang w:val="fr-CA"/>
        </w:rPr>
        <w:t xml:space="preserve"> à Terre</w:t>
      </w:r>
      <w:r w:rsidRPr="002C1B3A">
        <w:rPr>
          <w:rFonts w:cs="Times New Roman"/>
          <w:lang w:val="fr-CA"/>
        </w:rPr>
        <w:noBreakHyphen/>
        <w:t>Neuve</w:t>
      </w:r>
      <w:r w:rsidRPr="002C1B3A">
        <w:rPr>
          <w:rFonts w:cs="Times New Roman"/>
          <w:lang w:val="fr-CA"/>
        </w:rPr>
        <w:noBreakHyphen/>
        <w:t>et</w:t>
      </w:r>
      <w:r w:rsidRPr="002C1B3A">
        <w:rPr>
          <w:rFonts w:cs="Times New Roman"/>
          <w:lang w:val="fr-CA"/>
        </w:rPr>
        <w:noBreakHyphen/>
        <w:t>Labrador, « </w:t>
      </w:r>
      <w:r w:rsidRPr="002C1B3A">
        <w:rPr>
          <w:rFonts w:cs="Times New Roman"/>
          <w:lang w:val="fr-FR"/>
        </w:rPr>
        <w:t>interdisant, notamment, l</w:t>
      </w:r>
      <w:r>
        <w:rPr>
          <w:rFonts w:cs="Times New Roman"/>
          <w:lang w:val="fr-FR"/>
        </w:rPr>
        <w:t>’</w:t>
      </w:r>
      <w:r w:rsidRPr="002C1B3A">
        <w:rPr>
          <w:rFonts w:cs="Times New Roman"/>
          <w:lang w:val="fr-FR"/>
        </w:rPr>
        <w:t>accès aux tribunaux judiciaires dans les cas visés par la Loi </w:t>
      </w:r>
      <w:r w:rsidRPr="002C1B3A">
        <w:rPr>
          <w:rFonts w:cs="Times New Roman"/>
          <w:lang w:val="fr-CA"/>
        </w:rPr>
        <w:t xml:space="preserve">» : </w:t>
      </w:r>
      <w:r w:rsidRPr="002C1B3A">
        <w:rPr>
          <w:rFonts w:cs="Times New Roman"/>
          <w:i/>
          <w:lang w:val="fr-CA"/>
        </w:rPr>
        <w:t>Nouvelle</w:t>
      </w:r>
      <w:r w:rsidRPr="002C1B3A">
        <w:rPr>
          <w:rFonts w:cs="Times New Roman"/>
          <w:i/>
          <w:lang w:val="fr-CA"/>
        </w:rPr>
        <w:noBreakHyphen/>
        <w:t>Écosse (Workers</w:t>
      </w:r>
      <w:r>
        <w:rPr>
          <w:rFonts w:cs="Times New Roman"/>
          <w:i/>
          <w:lang w:val="fr-CA"/>
        </w:rPr>
        <w:t>’</w:t>
      </w:r>
      <w:r w:rsidRPr="002C1B3A">
        <w:rPr>
          <w:rFonts w:cs="Times New Roman"/>
          <w:i/>
          <w:lang w:val="fr-CA"/>
        </w:rPr>
        <w:t xml:space="preserve"> Compensation Board) </w:t>
      </w:r>
      <w:r w:rsidRPr="002C1B3A">
        <w:rPr>
          <w:rFonts w:cs="Times New Roman"/>
          <w:i/>
          <w:iCs/>
          <w:lang w:val="fr-CA"/>
        </w:rPr>
        <w:t>c.</w:t>
      </w:r>
      <w:r w:rsidRPr="002C1B3A">
        <w:rPr>
          <w:rFonts w:cs="Times New Roman"/>
          <w:i/>
          <w:lang w:val="fr-CA"/>
        </w:rPr>
        <w:t xml:space="preserve"> Martin</w:t>
      </w:r>
      <w:r w:rsidRPr="002C1B3A">
        <w:rPr>
          <w:rFonts w:cs="Times New Roman"/>
          <w:lang w:val="fr-CA"/>
        </w:rPr>
        <w:t xml:space="preserve">, 2003 CSC 54, [2003] 2 R.C.S. 504, par. 52.  Dans ces circonstances, un travailleur décédé dont les personnes à charge ont droit à une indemnité sous le régime de la </w:t>
      </w:r>
      <w:r w:rsidRPr="002C1B3A">
        <w:rPr>
          <w:rFonts w:cs="Times New Roman"/>
          <w:i/>
          <w:lang w:val="fr-CA"/>
        </w:rPr>
        <w:t>WHSCA</w:t>
      </w:r>
      <w:r w:rsidRPr="002C1B3A">
        <w:rPr>
          <w:rFonts w:cs="Times New Roman"/>
          <w:lang w:val="fr-CA"/>
        </w:rPr>
        <w:t xml:space="preserve"> constitue, pour l</w:t>
      </w:r>
      <w:r>
        <w:rPr>
          <w:rFonts w:cs="Times New Roman"/>
          <w:lang w:val="fr-CA"/>
        </w:rPr>
        <w:t>’</w:t>
      </w:r>
      <w:r w:rsidRPr="002C1B3A">
        <w:rPr>
          <w:rFonts w:cs="Times New Roman"/>
          <w:lang w:val="fr-CA"/>
        </w:rPr>
        <w:t xml:space="preserve">application du par. 6(2) de la </w:t>
      </w:r>
      <w:r w:rsidRPr="002C1B3A">
        <w:rPr>
          <w:rFonts w:cs="Times New Roman"/>
          <w:i/>
          <w:lang w:val="fr-CA"/>
        </w:rPr>
        <w:t>LRMM</w:t>
      </w:r>
      <w:r w:rsidRPr="002C1B3A">
        <w:rPr>
          <w:rFonts w:cs="Times New Roman"/>
          <w:lang w:val="fr-CA"/>
        </w:rPr>
        <w:t xml:space="preserve">, une personne ayant perdu la vie « dans des circonstances » qui </w:t>
      </w:r>
      <w:r w:rsidRPr="002C1B3A">
        <w:rPr>
          <w:rFonts w:cs="Times New Roman"/>
          <w:i/>
          <w:lang w:val="fr-CA"/>
        </w:rPr>
        <w:t>ne</w:t>
      </w:r>
      <w:r w:rsidRPr="002C1B3A">
        <w:rPr>
          <w:rFonts w:cs="Times New Roman"/>
          <w:lang w:val="fr-CA"/>
        </w:rPr>
        <w:t xml:space="preserve"> lui auraient </w:t>
      </w:r>
      <w:r w:rsidRPr="002C1B3A">
        <w:rPr>
          <w:rFonts w:cs="Times New Roman"/>
          <w:i/>
          <w:lang w:val="fr-CA"/>
        </w:rPr>
        <w:t xml:space="preserve">pas </w:t>
      </w:r>
      <w:r w:rsidRPr="002C1B3A">
        <w:rPr>
          <w:rFonts w:cs="Times New Roman"/>
          <w:lang w:val="fr-CA"/>
        </w:rPr>
        <w:t>donné le droit de réclamer des dommages</w:t>
      </w:r>
      <w:r w:rsidRPr="002C1B3A">
        <w:rPr>
          <w:rFonts w:cs="Times New Roman"/>
          <w:lang w:val="fr-CA"/>
        </w:rPr>
        <w:noBreakHyphen/>
        <w:t>intérêts si elle avait survécu.</w:t>
      </w:r>
    </w:p>
    <w:p w:rsidR="00931170" w:rsidRPr="002C1B3A" w:rsidRDefault="00931170" w:rsidP="00931170">
      <w:pPr>
        <w:pStyle w:val="ParaNoNdepar-AltN"/>
        <w:tabs>
          <w:tab w:val="clear" w:pos="1152"/>
          <w:tab w:val="left" w:pos="1166"/>
        </w:tabs>
        <w:rPr>
          <w:rFonts w:cs="Times New Roman"/>
          <w:lang w:val="fr-CA"/>
        </w:rPr>
      </w:pPr>
      <w:r w:rsidRPr="002C1B3A">
        <w:rPr>
          <w:rFonts w:cs="Times New Roman"/>
          <w:lang w:val="fr-CA"/>
        </w:rPr>
        <w:t>Quant à la question de savoir si la doctrine de la prépondérance fédérale s</w:t>
      </w:r>
      <w:r>
        <w:rPr>
          <w:rFonts w:cs="Times New Roman"/>
          <w:lang w:val="fr-CA"/>
        </w:rPr>
        <w:t>’</w:t>
      </w:r>
      <w:r w:rsidRPr="002C1B3A">
        <w:rPr>
          <w:rFonts w:cs="Times New Roman"/>
          <w:lang w:val="fr-CA"/>
        </w:rPr>
        <w:t xml:space="preserve">applique au motif que la </w:t>
      </w:r>
      <w:r w:rsidRPr="002C1B3A">
        <w:rPr>
          <w:rFonts w:cs="Times New Roman"/>
          <w:i/>
          <w:lang w:val="fr-CA"/>
        </w:rPr>
        <w:t xml:space="preserve">WHSCA </w:t>
      </w:r>
      <w:r w:rsidRPr="002C1B3A">
        <w:rPr>
          <w:rFonts w:cs="Times New Roman"/>
          <w:lang w:val="fr-CA"/>
        </w:rPr>
        <w:t>entrave la réalisation d</w:t>
      </w:r>
      <w:r>
        <w:rPr>
          <w:rFonts w:cs="Times New Roman"/>
          <w:lang w:val="fr-CA"/>
        </w:rPr>
        <w:t>’</w:t>
      </w:r>
      <w:r w:rsidRPr="002C1B3A">
        <w:rPr>
          <w:rFonts w:cs="Times New Roman"/>
          <w:lang w:val="fr-CA"/>
        </w:rPr>
        <w:t xml:space="preserve">un objectif fédéral, signalons que le par. 6(2) de la </w:t>
      </w:r>
      <w:r w:rsidRPr="002C1B3A">
        <w:rPr>
          <w:rFonts w:cs="Times New Roman"/>
          <w:i/>
          <w:lang w:val="fr-CA"/>
        </w:rPr>
        <w:t>LRMM</w:t>
      </w:r>
      <w:r w:rsidRPr="002C1B3A">
        <w:rPr>
          <w:rFonts w:cs="Times New Roman"/>
          <w:lang w:val="fr-CA"/>
        </w:rPr>
        <w:t xml:space="preserve"> a été édicté en vue d</w:t>
      </w:r>
      <w:r>
        <w:rPr>
          <w:rFonts w:cs="Times New Roman"/>
          <w:lang w:val="fr-CA"/>
        </w:rPr>
        <w:t>’</w:t>
      </w:r>
      <w:r w:rsidRPr="002C1B3A">
        <w:rPr>
          <w:rFonts w:cs="Times New Roman"/>
          <w:lang w:val="fr-CA"/>
        </w:rPr>
        <w:t xml:space="preserve">élargir la catégorie des personnes admises à intenter une action en négligence fondée sur le droit maritime.  La </w:t>
      </w:r>
      <w:r w:rsidRPr="002C1B3A">
        <w:rPr>
          <w:rFonts w:cs="Times New Roman"/>
          <w:i/>
          <w:lang w:val="fr-CA"/>
        </w:rPr>
        <w:t>WHSCA</w:t>
      </w:r>
      <w:r w:rsidRPr="002C1B3A">
        <w:rPr>
          <w:rFonts w:cs="Times New Roman"/>
          <w:lang w:val="fr-CA"/>
        </w:rPr>
        <w:t>, qui établit un régime d</w:t>
      </w:r>
      <w:r>
        <w:rPr>
          <w:rFonts w:cs="Times New Roman"/>
          <w:lang w:val="fr-CA"/>
        </w:rPr>
        <w:t>’</w:t>
      </w:r>
      <w:r w:rsidRPr="002C1B3A">
        <w:rPr>
          <w:rFonts w:cs="Times New Roman"/>
          <w:lang w:val="fr-CA"/>
        </w:rPr>
        <w:t>indemnisation sans égard à la responsabilité pour les accidents du travail, n</w:t>
      </w:r>
      <w:r>
        <w:rPr>
          <w:rFonts w:cs="Times New Roman"/>
          <w:lang w:val="fr-CA"/>
        </w:rPr>
        <w:t>’</w:t>
      </w:r>
      <w:r w:rsidRPr="002C1B3A">
        <w:rPr>
          <w:rFonts w:cs="Times New Roman"/>
          <w:lang w:val="fr-CA"/>
        </w:rPr>
        <w:t>entrave pas la réalisation de cet objectif.  Elle instaure tout simplement un régime d</w:t>
      </w:r>
      <w:r>
        <w:rPr>
          <w:rFonts w:cs="Times New Roman"/>
          <w:lang w:val="fr-CA"/>
        </w:rPr>
        <w:t>’</w:t>
      </w:r>
      <w:r w:rsidRPr="002C1B3A">
        <w:rPr>
          <w:rFonts w:cs="Times New Roman"/>
          <w:lang w:val="fr-CA"/>
        </w:rPr>
        <w:t xml:space="preserve">indemnisation distinct du droit de la responsabilité délictuelle.  Qui plus est, le libellé du par. 6(2) de la </w:t>
      </w:r>
      <w:r w:rsidRPr="002C1B3A">
        <w:rPr>
          <w:rFonts w:cs="Times New Roman"/>
          <w:i/>
          <w:lang w:val="fr-CA"/>
        </w:rPr>
        <w:t>LRMM</w:t>
      </w:r>
      <w:r w:rsidRPr="002C1B3A">
        <w:rPr>
          <w:rFonts w:cs="Times New Roman"/>
          <w:lang w:val="fr-CA"/>
        </w:rPr>
        <w:t xml:space="preserve"> possède un caractère permissif; une personne à charge « peu[t] » intenter une action.  Il n</w:t>
      </w:r>
      <w:r>
        <w:rPr>
          <w:rFonts w:cs="Times New Roman"/>
          <w:lang w:val="fr-CA"/>
        </w:rPr>
        <w:t>’</w:t>
      </w:r>
      <w:r w:rsidRPr="002C1B3A">
        <w:rPr>
          <w:rFonts w:cs="Times New Roman"/>
          <w:lang w:val="fr-CA"/>
        </w:rPr>
        <w:t xml:space="preserve">a pas été satisfait </w:t>
      </w:r>
      <w:r w:rsidRPr="002C1B3A">
        <w:rPr>
          <w:rFonts w:cs="Times New Roman"/>
          <w:lang w:val="fr-CA"/>
        </w:rPr>
        <w:lastRenderedPageBreak/>
        <w:t>en l</w:t>
      </w:r>
      <w:r>
        <w:rPr>
          <w:rFonts w:cs="Times New Roman"/>
          <w:lang w:val="fr-CA"/>
        </w:rPr>
        <w:t>’</w:t>
      </w:r>
      <w:r w:rsidRPr="002C1B3A">
        <w:rPr>
          <w:rFonts w:cs="Times New Roman"/>
          <w:lang w:val="fr-CA"/>
        </w:rPr>
        <w:t>espèce à la norme élevée qui est requise pour que s</w:t>
      </w:r>
      <w:r>
        <w:rPr>
          <w:rFonts w:cs="Times New Roman"/>
          <w:lang w:val="fr-CA"/>
        </w:rPr>
        <w:t>’</w:t>
      </w:r>
      <w:r w:rsidRPr="002C1B3A">
        <w:rPr>
          <w:rFonts w:cs="Times New Roman"/>
          <w:lang w:val="fr-CA"/>
        </w:rPr>
        <w:t>applique la doctrine de la prépondérance en cas d</w:t>
      </w:r>
      <w:r>
        <w:rPr>
          <w:rFonts w:cs="Times New Roman"/>
          <w:lang w:val="fr-CA"/>
        </w:rPr>
        <w:t>’</w:t>
      </w:r>
      <w:r w:rsidRPr="002C1B3A">
        <w:rPr>
          <w:rFonts w:cs="Times New Roman"/>
          <w:lang w:val="fr-CA"/>
        </w:rPr>
        <w:t>entrave à la réalisation d</w:t>
      </w:r>
      <w:r>
        <w:rPr>
          <w:rFonts w:cs="Times New Roman"/>
          <w:lang w:val="fr-CA"/>
        </w:rPr>
        <w:t>’</w:t>
      </w:r>
      <w:r w:rsidRPr="002C1B3A">
        <w:rPr>
          <w:rFonts w:cs="Times New Roman"/>
          <w:lang w:val="fr-CA"/>
        </w:rPr>
        <w:t>un objectif f</w:t>
      </w:r>
      <w:r w:rsidR="00975DC4">
        <w:rPr>
          <w:rFonts w:cs="Times New Roman"/>
          <w:lang w:val="fr-CA"/>
        </w:rPr>
        <w:t>édéral.  En effet, la mise en œ</w:t>
      </w:r>
      <w:r w:rsidRPr="002C1B3A">
        <w:rPr>
          <w:rFonts w:cs="Times New Roman"/>
          <w:lang w:val="fr-CA"/>
        </w:rPr>
        <w:t>uvre de l</w:t>
      </w:r>
      <w:r>
        <w:rPr>
          <w:rFonts w:cs="Times New Roman"/>
          <w:lang w:val="fr-CA"/>
        </w:rPr>
        <w:t>’</w:t>
      </w:r>
      <w:r w:rsidRPr="002C1B3A">
        <w:rPr>
          <w:rFonts w:cs="Times New Roman"/>
          <w:lang w:val="fr-CA"/>
        </w:rPr>
        <w:t>interdiction légale de poursuites et le fait d</w:t>
      </w:r>
      <w:r>
        <w:rPr>
          <w:rFonts w:cs="Times New Roman"/>
          <w:lang w:val="fr-CA"/>
        </w:rPr>
        <w:t>’</w:t>
      </w:r>
      <w:r w:rsidRPr="002C1B3A">
        <w:rPr>
          <w:rFonts w:cs="Times New Roman"/>
          <w:lang w:val="fr-CA"/>
        </w:rPr>
        <w:t>assurer l</w:t>
      </w:r>
      <w:r>
        <w:rPr>
          <w:rFonts w:cs="Times New Roman"/>
          <w:lang w:val="fr-CA"/>
        </w:rPr>
        <w:t>’</w:t>
      </w:r>
      <w:r w:rsidRPr="002C1B3A">
        <w:rPr>
          <w:rFonts w:cs="Times New Roman"/>
          <w:lang w:val="fr-CA"/>
        </w:rPr>
        <w:t>application cohérente des régimes fédéraux et provinciaux d</w:t>
      </w:r>
      <w:r>
        <w:rPr>
          <w:rFonts w:cs="Times New Roman"/>
          <w:lang w:val="fr-CA"/>
        </w:rPr>
        <w:t>’</w:t>
      </w:r>
      <w:r w:rsidRPr="002C1B3A">
        <w:rPr>
          <w:rFonts w:cs="Times New Roman"/>
          <w:lang w:val="fr-CA"/>
        </w:rPr>
        <w:t>indemnisation des accidents du travail semblent refléter l</w:t>
      </w:r>
      <w:r>
        <w:rPr>
          <w:rFonts w:cs="Times New Roman"/>
          <w:lang w:val="fr-CA"/>
        </w:rPr>
        <w:t>’</w:t>
      </w:r>
      <w:r w:rsidRPr="002C1B3A">
        <w:rPr>
          <w:rFonts w:cs="Times New Roman"/>
          <w:lang w:val="fr-CA"/>
        </w:rPr>
        <w:t>intention manifestée depuis longtemps par le Parlement dans l</w:t>
      </w:r>
      <w:r>
        <w:rPr>
          <w:rFonts w:cs="Times New Roman"/>
          <w:lang w:val="fr-CA"/>
        </w:rPr>
        <w:t>’</w:t>
      </w:r>
      <w:r w:rsidRPr="002C1B3A">
        <w:rPr>
          <w:rFonts w:cs="Times New Roman"/>
          <w:lang w:val="fr-CA"/>
        </w:rPr>
        <w:t>élaboration de ces régimes.</w:t>
      </w:r>
    </w:p>
    <w:p w:rsidR="00931170" w:rsidRPr="002C1B3A" w:rsidRDefault="00931170" w:rsidP="00975DC4">
      <w:pPr>
        <w:pStyle w:val="TitleTitre-AltT"/>
        <w:keepNext/>
        <w:tabs>
          <w:tab w:val="clear" w:pos="360"/>
          <w:tab w:val="left" w:pos="540"/>
        </w:tabs>
        <w:ind w:left="540" w:hanging="540"/>
        <w:rPr>
          <w:rFonts w:cs="Times New Roman"/>
          <w:lang w:val="fr-CA"/>
        </w:rPr>
      </w:pPr>
      <w:r w:rsidRPr="002C1B3A">
        <w:rPr>
          <w:rFonts w:cs="Times New Roman"/>
          <w:lang w:val="fr-CA"/>
        </w:rPr>
        <w:t>V.</w:t>
      </w:r>
      <w:r w:rsidRPr="002C1B3A">
        <w:rPr>
          <w:rFonts w:cs="Times New Roman"/>
          <w:lang w:val="fr-CA"/>
        </w:rPr>
        <w:tab/>
      </w:r>
      <w:r w:rsidRPr="002C1B3A">
        <w:rPr>
          <w:rFonts w:cs="Times New Roman"/>
          <w:u w:val="single"/>
          <w:lang w:val="fr-CA"/>
        </w:rPr>
        <w:t>Conclusion</w:t>
      </w:r>
    </w:p>
    <w:p w:rsidR="00931170" w:rsidRPr="002C1B3A" w:rsidRDefault="00931170" w:rsidP="00931170">
      <w:pPr>
        <w:pStyle w:val="ParaNoNdepar-AltN"/>
        <w:rPr>
          <w:rFonts w:cs="Times New Roman"/>
          <w:lang w:val="fr-CA"/>
        </w:rPr>
      </w:pPr>
      <w:r w:rsidRPr="002C1B3A">
        <w:rPr>
          <w:rFonts w:cs="Times New Roman"/>
          <w:lang w:val="fr-CA"/>
        </w:rPr>
        <w:t>L</w:t>
      </w:r>
      <w:r>
        <w:rPr>
          <w:rFonts w:cs="Times New Roman"/>
          <w:lang w:val="fr-CA"/>
        </w:rPr>
        <w:t>’</w:t>
      </w:r>
      <w:r w:rsidRPr="002C1B3A">
        <w:rPr>
          <w:rFonts w:cs="Times New Roman"/>
          <w:lang w:val="fr-CA"/>
        </w:rPr>
        <w:t xml:space="preserve">article 44 de la </w:t>
      </w:r>
      <w:r w:rsidRPr="002C1B3A">
        <w:rPr>
          <w:rFonts w:cs="Times New Roman"/>
          <w:i/>
          <w:lang w:val="fr-CA"/>
        </w:rPr>
        <w:t xml:space="preserve">WHSCA </w:t>
      </w:r>
      <w:r w:rsidRPr="002C1B3A">
        <w:rPr>
          <w:rFonts w:cs="Times New Roman"/>
          <w:lang w:val="fr-CA"/>
        </w:rPr>
        <w:t>s</w:t>
      </w:r>
      <w:r>
        <w:rPr>
          <w:rFonts w:cs="Times New Roman"/>
          <w:lang w:val="fr-CA"/>
        </w:rPr>
        <w:t>’</w:t>
      </w:r>
      <w:r w:rsidRPr="002C1B3A">
        <w:rPr>
          <w:rFonts w:cs="Times New Roman"/>
          <w:lang w:val="fr-CA"/>
        </w:rPr>
        <w:t>applique eu égard aux faits du présent pourvoi.  Toutefois, les doctrines de l</w:t>
      </w:r>
      <w:r>
        <w:rPr>
          <w:rFonts w:cs="Times New Roman"/>
          <w:lang w:val="fr-CA"/>
        </w:rPr>
        <w:t>’</w:t>
      </w:r>
      <w:r w:rsidRPr="002C1B3A">
        <w:rPr>
          <w:rFonts w:cs="Times New Roman"/>
          <w:lang w:val="fr-CA"/>
        </w:rPr>
        <w:t>exclusivité des compétences et de la prépondérance fédérale ne s</w:t>
      </w:r>
      <w:r>
        <w:rPr>
          <w:rFonts w:cs="Times New Roman"/>
          <w:lang w:val="fr-CA"/>
        </w:rPr>
        <w:t>’</w:t>
      </w:r>
      <w:r w:rsidRPr="002C1B3A">
        <w:rPr>
          <w:rFonts w:cs="Times New Roman"/>
          <w:lang w:val="fr-CA"/>
        </w:rPr>
        <w:t>appliquent pas.  L</w:t>
      </w:r>
      <w:r>
        <w:rPr>
          <w:rFonts w:cs="Times New Roman"/>
          <w:lang w:val="fr-CA"/>
        </w:rPr>
        <w:t>’</w:t>
      </w:r>
      <w:r w:rsidRPr="002C1B3A">
        <w:rPr>
          <w:rFonts w:cs="Times New Roman"/>
          <w:lang w:val="fr-CA"/>
        </w:rPr>
        <w:t>article 44 est donc applicable et opérant.  Le pourvoi est accueilli.  L</w:t>
      </w:r>
      <w:r>
        <w:rPr>
          <w:rFonts w:cs="Times New Roman"/>
          <w:lang w:val="fr-CA"/>
        </w:rPr>
        <w:t>’</w:t>
      </w:r>
      <w:r w:rsidRPr="002C1B3A">
        <w:rPr>
          <w:rFonts w:cs="Times New Roman"/>
          <w:lang w:val="fr-CA"/>
        </w:rPr>
        <w:t>article 44 fait obstacle aux réclamations des successions Ryan et leur action est rejetée.  Aucune ordonnance ne sera rendue au sujet des dépens.</w:t>
      </w:r>
    </w:p>
    <w:p w:rsidR="00931170" w:rsidRPr="002C1B3A" w:rsidRDefault="00931170" w:rsidP="00931170">
      <w:pPr>
        <w:pStyle w:val="ParaNoNdepar-AltN"/>
        <w:rPr>
          <w:rFonts w:cs="Times New Roman"/>
          <w:lang w:val="fr-CA"/>
        </w:rPr>
      </w:pPr>
      <w:r w:rsidRPr="002C1B3A">
        <w:rPr>
          <w:rFonts w:cs="Times New Roman"/>
          <w:lang w:val="fr-CA"/>
        </w:rPr>
        <w:t>Les questions constitutionnelles reçoivent les réponses suivantes :</w:t>
      </w:r>
    </w:p>
    <w:p w:rsidR="00931170" w:rsidRPr="002C1B3A" w:rsidRDefault="00931170" w:rsidP="00931170">
      <w:pPr>
        <w:pStyle w:val="Citation-AltC"/>
        <w:tabs>
          <w:tab w:val="left" w:pos="1170"/>
        </w:tabs>
        <w:spacing w:after="240"/>
        <w:ind w:left="1627" w:hanging="1627"/>
        <w:contextualSpacing w:val="0"/>
        <w:rPr>
          <w:lang w:val="fr-CA"/>
        </w:rPr>
      </w:pPr>
      <w:r w:rsidRPr="002C1B3A">
        <w:rPr>
          <w:lang w:val="fr-CA"/>
        </w:rPr>
        <w:tab/>
        <w:t>1.</w:t>
      </w:r>
      <w:r w:rsidRPr="002C1B3A">
        <w:rPr>
          <w:lang w:val="fr-CA"/>
        </w:rPr>
        <w:tab/>
        <w:t>Est</w:t>
      </w:r>
      <w:r w:rsidRPr="002C1B3A">
        <w:rPr>
          <w:lang w:val="fr-CA"/>
        </w:rPr>
        <w:noBreakHyphen/>
        <w:t>ce que l</w:t>
      </w:r>
      <w:r>
        <w:rPr>
          <w:lang w:val="fr-CA"/>
        </w:rPr>
        <w:t>’</w:t>
      </w:r>
      <w:r w:rsidRPr="002C1B3A">
        <w:rPr>
          <w:lang w:val="fr-CA"/>
        </w:rPr>
        <w:t xml:space="preserve">art. 44 de la loi intitulée </w:t>
      </w:r>
      <w:r w:rsidRPr="002C1B3A">
        <w:rPr>
          <w:i/>
          <w:lang w:val="fr-CA"/>
        </w:rPr>
        <w:t>Workplace Health, Safety and Compensation Act</w:t>
      </w:r>
      <w:r w:rsidRPr="002C1B3A">
        <w:rPr>
          <w:lang w:val="fr-CA"/>
        </w:rPr>
        <w:t>, R.S.N.L. 1990, ch. W</w:t>
      </w:r>
      <w:r w:rsidRPr="002C1B3A">
        <w:rPr>
          <w:lang w:val="fr-CA"/>
        </w:rPr>
        <w:noBreakHyphen/>
        <w:t>11, est inopérant du point de vue constitutionnel, en raison de la doctrine de la prépondérance des lois fédérales, à l</w:t>
      </w:r>
      <w:r>
        <w:rPr>
          <w:lang w:val="fr-CA"/>
        </w:rPr>
        <w:t>’</w:t>
      </w:r>
      <w:r w:rsidRPr="002C1B3A">
        <w:rPr>
          <w:lang w:val="fr-CA"/>
        </w:rPr>
        <w:t>égard des actions en négligence fondées sur le droit maritime fédéral qui sont présentées en vertu de l</w:t>
      </w:r>
      <w:r>
        <w:rPr>
          <w:lang w:val="fr-CA"/>
        </w:rPr>
        <w:t>’</w:t>
      </w:r>
      <w:r w:rsidRPr="002C1B3A">
        <w:rPr>
          <w:lang w:val="fr-CA"/>
        </w:rPr>
        <w:t xml:space="preserve">art. 6 de la </w:t>
      </w:r>
      <w:r w:rsidRPr="002C1B3A">
        <w:rPr>
          <w:i/>
          <w:lang w:val="fr-CA"/>
        </w:rPr>
        <w:t>Loi sur la responsabilité en matière maritime</w:t>
      </w:r>
      <w:r w:rsidRPr="002C1B3A">
        <w:rPr>
          <w:lang w:val="fr-CA"/>
        </w:rPr>
        <w:t>, L.C. 2001, ch. 6?</w:t>
      </w:r>
    </w:p>
    <w:p w:rsidR="00931170" w:rsidRPr="002C1B3A" w:rsidRDefault="00931170" w:rsidP="00AF7F93">
      <w:pPr>
        <w:pStyle w:val="Citation-AltC"/>
        <w:spacing w:after="240" w:line="480" w:lineRule="auto"/>
        <w:ind w:left="0"/>
        <w:contextualSpacing w:val="0"/>
        <w:rPr>
          <w:lang w:val="fr-CA"/>
        </w:rPr>
      </w:pPr>
      <w:r w:rsidRPr="002C1B3A">
        <w:rPr>
          <w:lang w:val="fr-CA"/>
        </w:rPr>
        <w:t>Non.</w:t>
      </w:r>
    </w:p>
    <w:p w:rsidR="00931170" w:rsidRPr="002C1B3A" w:rsidRDefault="00931170" w:rsidP="00931170">
      <w:pPr>
        <w:pStyle w:val="Citation-AltC"/>
        <w:tabs>
          <w:tab w:val="left" w:pos="1170"/>
        </w:tabs>
        <w:spacing w:after="240"/>
        <w:ind w:left="1627" w:hanging="1627"/>
        <w:contextualSpacing w:val="0"/>
        <w:rPr>
          <w:lang w:val="fr-CA"/>
        </w:rPr>
      </w:pPr>
      <w:r w:rsidRPr="002C1B3A">
        <w:rPr>
          <w:lang w:val="fr-CA"/>
        </w:rPr>
        <w:lastRenderedPageBreak/>
        <w:tab/>
        <w:t>2.</w:t>
      </w:r>
      <w:r w:rsidRPr="002C1B3A">
        <w:rPr>
          <w:lang w:val="fr-CA"/>
        </w:rPr>
        <w:tab/>
        <w:t>Est</w:t>
      </w:r>
      <w:r w:rsidRPr="002C1B3A">
        <w:rPr>
          <w:lang w:val="fr-CA"/>
        </w:rPr>
        <w:noBreakHyphen/>
        <w:t>ce que l</w:t>
      </w:r>
      <w:r>
        <w:rPr>
          <w:lang w:val="fr-CA"/>
        </w:rPr>
        <w:t>’</w:t>
      </w:r>
      <w:r w:rsidRPr="002C1B3A">
        <w:rPr>
          <w:lang w:val="fr-CA"/>
        </w:rPr>
        <w:t xml:space="preserve">art. 44 de la loi intitulée </w:t>
      </w:r>
      <w:r w:rsidRPr="002C1B3A">
        <w:rPr>
          <w:i/>
          <w:lang w:val="fr-CA"/>
        </w:rPr>
        <w:t>Workplace Health, Safety and Compensation Act</w:t>
      </w:r>
      <w:r w:rsidRPr="002C1B3A">
        <w:rPr>
          <w:lang w:val="fr-CA"/>
        </w:rPr>
        <w:t>, R.S.N.L. 1990, ch. W</w:t>
      </w:r>
      <w:r w:rsidRPr="002C1B3A">
        <w:rPr>
          <w:lang w:val="fr-CA"/>
        </w:rPr>
        <w:noBreakHyphen/>
        <w:t>11, est inapplicable du point de vue constitutionnel, en raison de la doctrine de l</w:t>
      </w:r>
      <w:r>
        <w:rPr>
          <w:lang w:val="fr-CA"/>
        </w:rPr>
        <w:t>’</w:t>
      </w:r>
      <w:r w:rsidRPr="002C1B3A">
        <w:rPr>
          <w:lang w:val="fr-CA"/>
        </w:rPr>
        <w:t>exclusivité des compétences, à l</w:t>
      </w:r>
      <w:r>
        <w:rPr>
          <w:lang w:val="fr-CA"/>
        </w:rPr>
        <w:t>’</w:t>
      </w:r>
      <w:r w:rsidRPr="002C1B3A">
        <w:rPr>
          <w:lang w:val="fr-CA"/>
        </w:rPr>
        <w:t>égard des actions en négligence fondées sur le droit maritime fédéral qui sont présentées en vertu de l</w:t>
      </w:r>
      <w:r>
        <w:rPr>
          <w:lang w:val="fr-CA"/>
        </w:rPr>
        <w:t>’</w:t>
      </w:r>
      <w:r w:rsidRPr="002C1B3A">
        <w:rPr>
          <w:lang w:val="fr-CA"/>
        </w:rPr>
        <w:t xml:space="preserve">art. 6 de la </w:t>
      </w:r>
      <w:r w:rsidRPr="002C1B3A">
        <w:rPr>
          <w:i/>
          <w:lang w:val="fr-CA"/>
        </w:rPr>
        <w:t>Loi sur la responsabilité en matière maritime</w:t>
      </w:r>
      <w:r w:rsidRPr="002C1B3A">
        <w:rPr>
          <w:lang w:val="fr-CA"/>
        </w:rPr>
        <w:t>, L.C. 2001, ch. 6?</w:t>
      </w:r>
    </w:p>
    <w:p w:rsidR="00931170" w:rsidRPr="002C1B3A" w:rsidRDefault="00931170" w:rsidP="00AF7F93">
      <w:pPr>
        <w:pStyle w:val="Citation-AltC"/>
        <w:spacing w:after="480" w:line="480" w:lineRule="auto"/>
        <w:ind w:left="0"/>
        <w:contextualSpacing w:val="0"/>
        <w:rPr>
          <w:lang w:val="fr-CA"/>
        </w:rPr>
      </w:pPr>
      <w:r w:rsidRPr="002C1B3A">
        <w:rPr>
          <w:lang w:val="fr-CA"/>
        </w:rPr>
        <w:t>Non.</w:t>
      </w:r>
    </w:p>
    <w:p w:rsidR="004D7D95" w:rsidRPr="004E7607" w:rsidRDefault="004D7D95" w:rsidP="00EA7D78">
      <w:pPr>
        <w:pStyle w:val="SCCNormalDoubleSpacing"/>
        <w:spacing w:after="480"/>
        <w:rPr>
          <w:lang w:val="fr-CA"/>
        </w:rPr>
      </w:pPr>
      <w:r w:rsidRPr="004E7607">
        <w:rPr>
          <w:lang w:val="fr-CA"/>
        </w:rPr>
        <w:tab/>
      </w:r>
      <w:r w:rsidR="00ED1E89" w:rsidRPr="004E7607">
        <w:rPr>
          <w:i/>
          <w:lang w:val="fr-CA"/>
        </w:rPr>
        <w:t>Pourvoi accueilli.</w:t>
      </w:r>
    </w:p>
    <w:p w:rsidR="009C00BA" w:rsidRPr="004E7607" w:rsidRDefault="009C00BA" w:rsidP="009C00BA">
      <w:pPr>
        <w:pStyle w:val="SCCLawFirm"/>
        <w:spacing w:after="480"/>
        <w:rPr>
          <w:lang w:val="fr-CA"/>
        </w:rPr>
      </w:pPr>
      <w:r w:rsidRPr="004E7607">
        <w:rPr>
          <w:lang w:val="fr-CA"/>
        </w:rPr>
        <w:tab/>
        <w:t>Procureurs des appelants</w:t>
      </w:r>
      <w:r w:rsidR="00A44E93" w:rsidRPr="004E7607">
        <w:rPr>
          <w:lang w:val="fr-CA"/>
        </w:rPr>
        <w:t> :</w:t>
      </w:r>
      <w:r w:rsidRPr="004E7607">
        <w:rPr>
          <w:lang w:val="fr-CA"/>
        </w:rPr>
        <w:t> Goodland O</w:t>
      </w:r>
      <w:r w:rsidR="00C768B7">
        <w:rPr>
          <w:lang w:val="fr-CA"/>
        </w:rPr>
        <w:t>’</w:t>
      </w:r>
      <w:r w:rsidRPr="004E7607">
        <w:rPr>
          <w:lang w:val="fr-CA"/>
        </w:rPr>
        <w:t>Flaherty, St. John</w:t>
      </w:r>
      <w:r w:rsidR="00C768B7">
        <w:rPr>
          <w:lang w:val="fr-CA"/>
        </w:rPr>
        <w:t>’</w:t>
      </w:r>
      <w:r w:rsidRPr="004E7607">
        <w:rPr>
          <w:lang w:val="fr-CA"/>
        </w:rPr>
        <w:t>s.</w:t>
      </w:r>
    </w:p>
    <w:p w:rsidR="009C00BA" w:rsidRPr="004E7607" w:rsidRDefault="009C00BA" w:rsidP="009C00BA">
      <w:pPr>
        <w:pStyle w:val="SCCNormalDoubleSpacing"/>
        <w:spacing w:after="480"/>
        <w:rPr>
          <w:i/>
          <w:lang w:val="fr-CA"/>
        </w:rPr>
      </w:pPr>
      <w:r w:rsidRPr="004E7607">
        <w:rPr>
          <w:lang w:val="fr-CA"/>
        </w:rPr>
        <w:tab/>
      </w:r>
      <w:r w:rsidRPr="004E7607">
        <w:rPr>
          <w:i/>
          <w:lang w:val="fr-CA"/>
        </w:rPr>
        <w:t>Procureurs des intimés la Succession de Joseph Ryan et autres</w:t>
      </w:r>
      <w:r w:rsidR="00A44E93" w:rsidRPr="004E7607">
        <w:rPr>
          <w:i/>
          <w:lang w:val="fr-CA"/>
        </w:rPr>
        <w:t> :</w:t>
      </w:r>
      <w:r w:rsidRPr="004E7607">
        <w:rPr>
          <w:i/>
          <w:lang w:val="fr-CA"/>
        </w:rPr>
        <w:t> Mills Pittman, Clarenville</w:t>
      </w:r>
      <w:r w:rsidR="00AF7F93">
        <w:rPr>
          <w:i/>
          <w:lang w:val="fr-CA"/>
        </w:rPr>
        <w:t>, Terre-Neuve-et-Labrador</w:t>
      </w:r>
      <w:r w:rsidRPr="004E7607">
        <w:rPr>
          <w:i/>
          <w:lang w:val="fr-CA"/>
        </w:rPr>
        <w:t>; Sack Goldblatt Mitchell, Ottawa.</w:t>
      </w:r>
    </w:p>
    <w:p w:rsidR="009C00BA" w:rsidRPr="004E7607" w:rsidRDefault="009C00BA" w:rsidP="009C00BA">
      <w:pPr>
        <w:pStyle w:val="SCCLawFirm"/>
        <w:spacing w:after="480"/>
        <w:rPr>
          <w:lang w:val="fr-CA"/>
        </w:rPr>
      </w:pPr>
      <w:r w:rsidRPr="004E7607">
        <w:rPr>
          <w:lang w:val="fr-CA"/>
        </w:rPr>
        <w:tab/>
        <w:t>Procureur de l</w:t>
      </w:r>
      <w:r w:rsidR="00C768B7">
        <w:rPr>
          <w:lang w:val="fr-CA"/>
        </w:rPr>
        <w:t>’</w:t>
      </w:r>
      <w:r w:rsidRPr="004E7607">
        <w:rPr>
          <w:lang w:val="fr-CA"/>
        </w:rPr>
        <w:t>intimé le procureur général du Canada</w:t>
      </w:r>
      <w:r w:rsidR="00A44E93" w:rsidRPr="004E7607">
        <w:rPr>
          <w:lang w:val="fr-CA"/>
        </w:rPr>
        <w:t> :</w:t>
      </w:r>
      <w:r w:rsidRPr="004E7607">
        <w:rPr>
          <w:lang w:val="fr-CA"/>
        </w:rPr>
        <w:t> Procureur général du Canada, Toronto.</w:t>
      </w:r>
    </w:p>
    <w:p w:rsidR="009C00BA" w:rsidRPr="004E7607" w:rsidRDefault="009C00BA" w:rsidP="009C00BA">
      <w:pPr>
        <w:pStyle w:val="SCCLawFirm"/>
        <w:spacing w:after="480"/>
        <w:rPr>
          <w:lang w:val="fr-CA"/>
        </w:rPr>
      </w:pPr>
      <w:r w:rsidRPr="004E7607">
        <w:rPr>
          <w:lang w:val="fr-CA"/>
        </w:rPr>
        <w:tab/>
        <w:t>Procureur de l</w:t>
      </w:r>
      <w:r w:rsidR="00C768B7">
        <w:rPr>
          <w:lang w:val="fr-CA"/>
        </w:rPr>
        <w:t>’</w:t>
      </w:r>
      <w:r w:rsidRPr="004E7607">
        <w:rPr>
          <w:lang w:val="fr-CA"/>
        </w:rPr>
        <w:t>intervenant le procureur général de l</w:t>
      </w:r>
      <w:r w:rsidR="00C768B7">
        <w:rPr>
          <w:lang w:val="fr-CA"/>
        </w:rPr>
        <w:t>’</w:t>
      </w:r>
      <w:r w:rsidRPr="004E7607">
        <w:rPr>
          <w:lang w:val="fr-CA"/>
        </w:rPr>
        <w:t>Ontario</w:t>
      </w:r>
      <w:r w:rsidR="00A44E93" w:rsidRPr="004E7607">
        <w:rPr>
          <w:lang w:val="fr-CA"/>
        </w:rPr>
        <w:t> :</w:t>
      </w:r>
      <w:r w:rsidRPr="004E7607">
        <w:rPr>
          <w:lang w:val="fr-CA"/>
        </w:rPr>
        <w:t> Procureur général de l</w:t>
      </w:r>
      <w:r w:rsidR="00C768B7">
        <w:rPr>
          <w:lang w:val="fr-CA"/>
        </w:rPr>
        <w:t>’</w:t>
      </w:r>
      <w:r w:rsidRPr="004E7607">
        <w:rPr>
          <w:lang w:val="fr-CA"/>
        </w:rPr>
        <w:t>Ontario, Toronto.</w:t>
      </w:r>
    </w:p>
    <w:p w:rsidR="009C00BA" w:rsidRPr="004E7607" w:rsidRDefault="009C00BA" w:rsidP="009C00BA">
      <w:pPr>
        <w:pStyle w:val="SCCLawFirm"/>
        <w:spacing w:after="480"/>
        <w:rPr>
          <w:lang w:val="fr-CA"/>
        </w:rPr>
      </w:pPr>
      <w:r w:rsidRPr="004E7607">
        <w:rPr>
          <w:lang w:val="fr-CA"/>
        </w:rPr>
        <w:tab/>
        <w:t>Procureur de l</w:t>
      </w:r>
      <w:r w:rsidR="00C768B7">
        <w:rPr>
          <w:lang w:val="fr-CA"/>
        </w:rPr>
        <w:t>’</w:t>
      </w:r>
      <w:r w:rsidRPr="004E7607">
        <w:rPr>
          <w:lang w:val="fr-CA"/>
        </w:rPr>
        <w:t>intervenant le procureur général de la Colombie</w:t>
      </w:r>
      <w:r w:rsidR="00A44E93" w:rsidRPr="004E7607">
        <w:rPr>
          <w:lang w:val="fr-CA"/>
        </w:rPr>
        <w:noBreakHyphen/>
      </w:r>
      <w:r w:rsidRPr="004E7607">
        <w:rPr>
          <w:lang w:val="fr-CA"/>
        </w:rPr>
        <w:t>Britannique</w:t>
      </w:r>
      <w:r w:rsidR="00A44E93" w:rsidRPr="004E7607">
        <w:rPr>
          <w:lang w:val="fr-CA"/>
        </w:rPr>
        <w:t> :</w:t>
      </w:r>
      <w:r w:rsidRPr="004E7607">
        <w:rPr>
          <w:lang w:val="fr-CA"/>
        </w:rPr>
        <w:t> Procureur général de la Colombie</w:t>
      </w:r>
      <w:r w:rsidR="00A44E93" w:rsidRPr="004E7607">
        <w:rPr>
          <w:lang w:val="fr-CA"/>
        </w:rPr>
        <w:noBreakHyphen/>
      </w:r>
      <w:r w:rsidRPr="004E7607">
        <w:rPr>
          <w:lang w:val="fr-CA"/>
        </w:rPr>
        <w:t>Britannique, Victoria.</w:t>
      </w:r>
    </w:p>
    <w:p w:rsidR="009C00BA" w:rsidRPr="004E7607" w:rsidRDefault="009C00BA" w:rsidP="009C00BA">
      <w:pPr>
        <w:pStyle w:val="SCCLawFirm"/>
        <w:spacing w:after="480"/>
        <w:rPr>
          <w:lang w:val="fr-CA"/>
        </w:rPr>
      </w:pPr>
      <w:r w:rsidRPr="004E7607">
        <w:rPr>
          <w:lang w:val="fr-CA"/>
        </w:rPr>
        <w:tab/>
        <w:t>Procureur de l</w:t>
      </w:r>
      <w:r w:rsidR="00C768B7">
        <w:rPr>
          <w:lang w:val="fr-CA"/>
        </w:rPr>
        <w:t>’</w:t>
      </w:r>
      <w:r w:rsidRPr="004E7607">
        <w:rPr>
          <w:lang w:val="fr-CA"/>
        </w:rPr>
        <w:t>intervenant le procureur général de Terre</w:t>
      </w:r>
      <w:r w:rsidR="00A44E93" w:rsidRPr="004E7607">
        <w:rPr>
          <w:lang w:val="fr-CA"/>
        </w:rPr>
        <w:noBreakHyphen/>
      </w:r>
      <w:r w:rsidRPr="004E7607">
        <w:rPr>
          <w:lang w:val="fr-CA"/>
        </w:rPr>
        <w:t>Neuve</w:t>
      </w:r>
      <w:r w:rsidR="00A44E93" w:rsidRPr="004E7607">
        <w:rPr>
          <w:lang w:val="fr-CA"/>
        </w:rPr>
        <w:noBreakHyphen/>
      </w:r>
      <w:r w:rsidRPr="004E7607">
        <w:rPr>
          <w:lang w:val="fr-CA"/>
        </w:rPr>
        <w:t>et</w:t>
      </w:r>
      <w:r w:rsidR="00A44E93" w:rsidRPr="004E7607">
        <w:rPr>
          <w:lang w:val="fr-CA"/>
        </w:rPr>
        <w:noBreakHyphen/>
      </w:r>
      <w:r w:rsidRPr="004E7607">
        <w:rPr>
          <w:lang w:val="fr-CA"/>
        </w:rPr>
        <w:t>Labrador</w:t>
      </w:r>
      <w:r w:rsidR="00A44E93" w:rsidRPr="004E7607">
        <w:rPr>
          <w:lang w:val="fr-CA"/>
        </w:rPr>
        <w:t> :</w:t>
      </w:r>
      <w:r w:rsidRPr="004E7607">
        <w:rPr>
          <w:lang w:val="fr-CA"/>
        </w:rPr>
        <w:t> Procureur général de Terre</w:t>
      </w:r>
      <w:r w:rsidR="00A44E93" w:rsidRPr="004E7607">
        <w:rPr>
          <w:lang w:val="fr-CA"/>
        </w:rPr>
        <w:noBreakHyphen/>
      </w:r>
      <w:r w:rsidRPr="004E7607">
        <w:rPr>
          <w:lang w:val="fr-CA"/>
        </w:rPr>
        <w:t>Neuve</w:t>
      </w:r>
      <w:r w:rsidR="00A44E93" w:rsidRPr="004E7607">
        <w:rPr>
          <w:lang w:val="fr-CA"/>
        </w:rPr>
        <w:noBreakHyphen/>
      </w:r>
      <w:r w:rsidRPr="004E7607">
        <w:rPr>
          <w:lang w:val="fr-CA"/>
        </w:rPr>
        <w:t>et</w:t>
      </w:r>
      <w:r w:rsidR="00A44E93" w:rsidRPr="004E7607">
        <w:rPr>
          <w:lang w:val="fr-CA"/>
        </w:rPr>
        <w:noBreakHyphen/>
      </w:r>
      <w:r w:rsidRPr="004E7607">
        <w:rPr>
          <w:lang w:val="fr-CA"/>
        </w:rPr>
        <w:t>Labrador, St. John</w:t>
      </w:r>
      <w:r w:rsidR="00C768B7">
        <w:rPr>
          <w:lang w:val="fr-CA"/>
        </w:rPr>
        <w:t>’</w:t>
      </w:r>
      <w:r w:rsidRPr="004E7607">
        <w:rPr>
          <w:lang w:val="fr-CA"/>
        </w:rPr>
        <w:t>s.</w:t>
      </w:r>
    </w:p>
    <w:p w:rsidR="009C00BA" w:rsidRPr="004E7607" w:rsidRDefault="009C00BA" w:rsidP="009C00BA">
      <w:pPr>
        <w:pStyle w:val="SCCLawFirm"/>
        <w:spacing w:after="480"/>
        <w:rPr>
          <w:lang w:val="en-US"/>
        </w:rPr>
      </w:pPr>
      <w:r w:rsidRPr="004E7607">
        <w:rPr>
          <w:lang w:val="fr-CA"/>
        </w:rPr>
        <w:lastRenderedPageBreak/>
        <w:tab/>
      </w:r>
      <w:r w:rsidRPr="004E7607">
        <w:rPr>
          <w:lang w:val="en-US"/>
        </w:rPr>
        <w:t>Procureurs de l</w:t>
      </w:r>
      <w:r w:rsidR="00C768B7">
        <w:rPr>
          <w:lang w:val="en-US"/>
        </w:rPr>
        <w:t>’</w:t>
      </w:r>
      <w:r w:rsidRPr="004E7607">
        <w:rPr>
          <w:lang w:val="en-US"/>
        </w:rPr>
        <w:t>intervenante Workplace Health, Safety and Compensation Commission</w:t>
      </w:r>
      <w:r w:rsidR="00A44E93" w:rsidRPr="004E7607">
        <w:rPr>
          <w:lang w:val="en-US"/>
        </w:rPr>
        <w:t> :</w:t>
      </w:r>
      <w:r w:rsidRPr="004E7607">
        <w:rPr>
          <w:lang w:val="en-US"/>
        </w:rPr>
        <w:t> Roebothan, McKay &amp; Marshall, St. John</w:t>
      </w:r>
      <w:r w:rsidR="00C768B7">
        <w:rPr>
          <w:lang w:val="en-US"/>
        </w:rPr>
        <w:t>’</w:t>
      </w:r>
      <w:r w:rsidRPr="004E7607">
        <w:rPr>
          <w:lang w:val="en-US"/>
        </w:rPr>
        <w:t>s.</w:t>
      </w:r>
    </w:p>
    <w:p w:rsidR="009C00BA" w:rsidRPr="004E7607" w:rsidRDefault="009C00BA" w:rsidP="00C374A1">
      <w:pPr>
        <w:pStyle w:val="SCCLawFirm"/>
        <w:spacing w:after="480"/>
        <w:rPr>
          <w:lang w:val="fr-CA"/>
        </w:rPr>
      </w:pPr>
      <w:r w:rsidRPr="004E7607">
        <w:rPr>
          <w:lang w:val="en-US"/>
        </w:rPr>
        <w:tab/>
      </w:r>
      <w:r w:rsidR="00AF7F93">
        <w:rPr>
          <w:lang w:val="fr-CA"/>
        </w:rPr>
        <w:t>Procureur</w:t>
      </w:r>
      <w:r w:rsidRPr="004E7607">
        <w:rPr>
          <w:lang w:val="fr-CA"/>
        </w:rPr>
        <w:t xml:space="preserve"> de l</w:t>
      </w:r>
      <w:r w:rsidR="00C768B7">
        <w:rPr>
          <w:lang w:val="fr-CA"/>
        </w:rPr>
        <w:t>’</w:t>
      </w:r>
      <w:r w:rsidRPr="004E7607">
        <w:rPr>
          <w:lang w:val="fr-CA"/>
        </w:rPr>
        <w:t>intervenante Workers</w:t>
      </w:r>
      <w:r w:rsidR="00C768B7">
        <w:rPr>
          <w:lang w:val="fr-CA"/>
        </w:rPr>
        <w:t>’</w:t>
      </w:r>
      <w:r w:rsidRPr="004E7607">
        <w:rPr>
          <w:lang w:val="fr-CA"/>
        </w:rPr>
        <w:t xml:space="preserve"> Compensation Board de la Colombie</w:t>
      </w:r>
      <w:r w:rsidR="00A44E93" w:rsidRPr="004E7607">
        <w:rPr>
          <w:lang w:val="fr-CA"/>
        </w:rPr>
        <w:noBreakHyphen/>
      </w:r>
      <w:r w:rsidRPr="004E7607">
        <w:rPr>
          <w:lang w:val="fr-CA"/>
        </w:rPr>
        <w:t>Britannique</w:t>
      </w:r>
      <w:r w:rsidR="00A44E93" w:rsidRPr="004E7607">
        <w:rPr>
          <w:lang w:val="fr-CA"/>
        </w:rPr>
        <w:t> :</w:t>
      </w:r>
      <w:r w:rsidRPr="004E7607">
        <w:rPr>
          <w:lang w:val="fr-CA"/>
        </w:rPr>
        <w:t> Workers</w:t>
      </w:r>
      <w:r w:rsidR="00C768B7">
        <w:rPr>
          <w:lang w:val="fr-CA"/>
        </w:rPr>
        <w:t>’</w:t>
      </w:r>
      <w:r w:rsidRPr="004E7607">
        <w:rPr>
          <w:lang w:val="fr-CA"/>
        </w:rPr>
        <w:t xml:space="preserve"> Compensation Board, Vancouver.</w:t>
      </w:r>
    </w:p>
    <w:p w:rsidR="009B57B3" w:rsidRDefault="009C00BA" w:rsidP="00931170">
      <w:pPr>
        <w:pStyle w:val="SCCLawFirm"/>
        <w:spacing w:after="480"/>
        <w:rPr>
          <w:b/>
          <w:i w:val="0"/>
          <w:lang w:val="fr-CA"/>
        </w:rPr>
      </w:pPr>
      <w:r w:rsidRPr="004E7607">
        <w:rPr>
          <w:lang w:val="fr-CA"/>
        </w:rPr>
        <w:tab/>
        <w:t>Procureur de l</w:t>
      </w:r>
      <w:r w:rsidR="00C768B7">
        <w:rPr>
          <w:lang w:val="fr-CA"/>
        </w:rPr>
        <w:t>’</w:t>
      </w:r>
      <w:r w:rsidRPr="004E7607">
        <w:rPr>
          <w:lang w:val="fr-CA"/>
        </w:rPr>
        <w:t>intervenant le procureur général de la Nouvelle</w:t>
      </w:r>
      <w:r w:rsidR="00A44E93" w:rsidRPr="004E7607">
        <w:rPr>
          <w:lang w:val="fr-CA"/>
        </w:rPr>
        <w:noBreakHyphen/>
      </w:r>
      <w:r w:rsidRPr="004E7607">
        <w:rPr>
          <w:lang w:val="fr-CA"/>
        </w:rPr>
        <w:t>Écosse</w:t>
      </w:r>
      <w:r w:rsidR="00A44E93" w:rsidRPr="004E7607">
        <w:rPr>
          <w:lang w:val="fr-CA"/>
        </w:rPr>
        <w:t> :</w:t>
      </w:r>
      <w:r w:rsidRPr="004E7607">
        <w:rPr>
          <w:lang w:val="fr-CA"/>
        </w:rPr>
        <w:t> Procureur général de la Nouvelle</w:t>
      </w:r>
      <w:r w:rsidR="00A44E93" w:rsidRPr="004E7607">
        <w:rPr>
          <w:lang w:val="fr-CA"/>
        </w:rPr>
        <w:noBreakHyphen/>
      </w:r>
      <w:r w:rsidRPr="004E7607">
        <w:rPr>
          <w:lang w:val="fr-CA"/>
        </w:rPr>
        <w:t>Écosse, Halifax.</w:t>
      </w:r>
    </w:p>
    <w:p w:rsidR="00931170" w:rsidRDefault="00931170" w:rsidP="00931170">
      <w:pPr>
        <w:pStyle w:val="SCCNormalDoubleSpacing"/>
        <w:rPr>
          <w:lang w:val="fr-CA"/>
        </w:rPr>
      </w:pPr>
    </w:p>
    <w:p w:rsidR="00931170" w:rsidRPr="00931170" w:rsidRDefault="00931170" w:rsidP="00931170">
      <w:pPr>
        <w:pStyle w:val="SCCNormalDoubleSpacing"/>
        <w:rPr>
          <w:lang w:val="fr-CA"/>
        </w:rPr>
      </w:pPr>
    </w:p>
    <w:sectPr w:rsidR="00931170" w:rsidRPr="00931170" w:rsidSect="004E6466">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606" w:rsidRDefault="00E01606">
      <w:r>
        <w:separator/>
      </w:r>
    </w:p>
  </w:endnote>
  <w:endnote w:type="continuationSeparator" w:id="0">
    <w:p w:rsidR="00E01606" w:rsidRDefault="00E016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606" w:rsidRDefault="00E01606">
      <w:r>
        <w:separator/>
      </w:r>
    </w:p>
  </w:footnote>
  <w:footnote w:type="continuationSeparator" w:id="0">
    <w:p w:rsidR="00E01606" w:rsidRDefault="00E016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8483"/>
      <w:docPartObj>
        <w:docPartGallery w:val="Page Numbers (Top of Page)"/>
        <w:docPartUnique/>
      </w:docPartObj>
    </w:sdtPr>
    <w:sdtContent>
      <w:p w:rsidR="00E01606" w:rsidRDefault="00E01606">
        <w:pPr>
          <w:pStyle w:val="Header"/>
          <w:jc w:val="center"/>
        </w:pPr>
        <w:r>
          <w:t xml:space="preserve">- </w:t>
        </w:r>
        <w:fldSimple w:instr=" PAGE   \* MERGEFORMAT ">
          <w:r w:rsidR="00E94921">
            <w:rPr>
              <w:noProof/>
            </w:rPr>
            <w:t>2</w:t>
          </w:r>
        </w:fldSimple>
        <w:r>
          <w:t xml:space="preserve"> -</w:t>
        </w:r>
      </w:p>
    </w:sdtContent>
  </w:sdt>
  <w:p w:rsidR="00E01606" w:rsidRDefault="00E016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8952786"/>
    <w:multiLevelType w:val="hybridMultilevel"/>
    <w:tmpl w:val="E98074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D17757A"/>
    <w:multiLevelType w:val="hybridMultilevel"/>
    <w:tmpl w:val="FBACC060"/>
    <w:lvl w:ilvl="0" w:tplc="10090011">
      <w:start w:val="1"/>
      <w:numFmt w:val="decimal"/>
      <w:lvlText w:val="%1)"/>
      <w:lvlJc w:val="left"/>
      <w:pPr>
        <w:ind w:left="1886" w:hanging="360"/>
      </w:pPr>
    </w:lvl>
    <w:lvl w:ilvl="1" w:tplc="10090019" w:tentative="1">
      <w:start w:val="1"/>
      <w:numFmt w:val="lowerLetter"/>
      <w:lvlText w:val="%2."/>
      <w:lvlJc w:val="left"/>
      <w:pPr>
        <w:ind w:left="2606" w:hanging="360"/>
      </w:pPr>
    </w:lvl>
    <w:lvl w:ilvl="2" w:tplc="1009001B" w:tentative="1">
      <w:start w:val="1"/>
      <w:numFmt w:val="lowerRoman"/>
      <w:lvlText w:val="%3."/>
      <w:lvlJc w:val="right"/>
      <w:pPr>
        <w:ind w:left="3326" w:hanging="180"/>
      </w:pPr>
    </w:lvl>
    <w:lvl w:ilvl="3" w:tplc="1009000F" w:tentative="1">
      <w:start w:val="1"/>
      <w:numFmt w:val="decimal"/>
      <w:lvlText w:val="%4."/>
      <w:lvlJc w:val="left"/>
      <w:pPr>
        <w:ind w:left="4046" w:hanging="360"/>
      </w:pPr>
    </w:lvl>
    <w:lvl w:ilvl="4" w:tplc="10090019" w:tentative="1">
      <w:start w:val="1"/>
      <w:numFmt w:val="lowerLetter"/>
      <w:lvlText w:val="%5."/>
      <w:lvlJc w:val="left"/>
      <w:pPr>
        <w:ind w:left="4766" w:hanging="360"/>
      </w:pPr>
    </w:lvl>
    <w:lvl w:ilvl="5" w:tplc="1009001B" w:tentative="1">
      <w:start w:val="1"/>
      <w:numFmt w:val="lowerRoman"/>
      <w:lvlText w:val="%6."/>
      <w:lvlJc w:val="right"/>
      <w:pPr>
        <w:ind w:left="5486" w:hanging="180"/>
      </w:pPr>
    </w:lvl>
    <w:lvl w:ilvl="6" w:tplc="1009000F" w:tentative="1">
      <w:start w:val="1"/>
      <w:numFmt w:val="decimal"/>
      <w:lvlText w:val="%7."/>
      <w:lvlJc w:val="left"/>
      <w:pPr>
        <w:ind w:left="6206" w:hanging="360"/>
      </w:pPr>
    </w:lvl>
    <w:lvl w:ilvl="7" w:tplc="10090019" w:tentative="1">
      <w:start w:val="1"/>
      <w:numFmt w:val="lowerLetter"/>
      <w:lvlText w:val="%8."/>
      <w:lvlJc w:val="left"/>
      <w:pPr>
        <w:ind w:left="6926" w:hanging="360"/>
      </w:pPr>
    </w:lvl>
    <w:lvl w:ilvl="8" w:tplc="1009001B" w:tentative="1">
      <w:start w:val="1"/>
      <w:numFmt w:val="lowerRoman"/>
      <w:lvlText w:val="%9."/>
      <w:lvlJc w:val="right"/>
      <w:pPr>
        <w:ind w:left="7646" w:hanging="180"/>
      </w:pPr>
    </w:lvl>
  </w:abstractNum>
  <w:abstractNum w:abstractNumId="4">
    <w:nsid w:val="3E94707C"/>
    <w:multiLevelType w:val="hybridMultilevel"/>
    <w:tmpl w:val="50EE251A"/>
    <w:lvl w:ilvl="0" w:tplc="68CCD9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3A2DE4"/>
    <w:multiLevelType w:val="hybridMultilevel"/>
    <w:tmpl w:val="62D029AA"/>
    <w:lvl w:ilvl="0" w:tplc="CC0679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7">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4283EE8"/>
    <w:multiLevelType w:val="multilevel"/>
    <w:tmpl w:val="2458AA94"/>
    <w:lvl w:ilvl="0">
      <w:start w:val="1"/>
      <w:numFmt w:val="decimal"/>
      <w:pStyle w:val="ParaNoNdepar-AltN"/>
      <w:lvlText w:val="[%1]"/>
      <w:lvlJc w:val="left"/>
      <w:pPr>
        <w:tabs>
          <w:tab w:val="num" w:pos="1152"/>
        </w:tabs>
        <w:ind w:left="0" w:firstLine="0"/>
      </w:pPr>
      <w:rPr>
        <w:rFonts w:ascii="Times New Roman" w:hAnsi="Times New Roman" w:hint="default"/>
        <w:b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72880B4F"/>
    <w:multiLevelType w:val="hybridMultilevel"/>
    <w:tmpl w:val="56486F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6"/>
  </w:num>
  <w:num w:numId="5">
    <w:abstractNumId w:val="7"/>
  </w:num>
  <w:num w:numId="6">
    <w:abstractNumId w:val="8"/>
  </w:num>
  <w:num w:numId="7">
    <w:abstractNumId w:val="4"/>
  </w:num>
  <w:num w:numId="8">
    <w:abstractNumId w:val="5"/>
  </w:num>
  <w:num w:numId="9">
    <w:abstractNumId w:val="10"/>
  </w:num>
  <w:num w:numId="10">
    <w:abstractNumId w:val="3"/>
  </w:num>
  <w:num w:numId="11">
    <w:abstractNumId w:val="2"/>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bordersDoNotSurroundHeader/>
  <w:bordersDoNotSurroundFooter/>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65889"/>
  </w:hdrShapeDefaults>
  <w:footnotePr>
    <w:footnote w:id="-1"/>
    <w:footnote w:id="0"/>
  </w:footnotePr>
  <w:endnotePr>
    <w:endnote w:id="-1"/>
    <w:endnote w:id="0"/>
  </w:endnotePr>
  <w:compat/>
  <w:rsids>
    <w:rsidRoot w:val="0031414C"/>
    <w:rsid w:val="00000ED4"/>
    <w:rsid w:val="00023FC7"/>
    <w:rsid w:val="00025198"/>
    <w:rsid w:val="00026532"/>
    <w:rsid w:val="00033841"/>
    <w:rsid w:val="0004301C"/>
    <w:rsid w:val="000538EF"/>
    <w:rsid w:val="000578A3"/>
    <w:rsid w:val="000648CC"/>
    <w:rsid w:val="00073BE1"/>
    <w:rsid w:val="00093221"/>
    <w:rsid w:val="000B67A1"/>
    <w:rsid w:val="000C5036"/>
    <w:rsid w:val="000C59B8"/>
    <w:rsid w:val="000C6AF0"/>
    <w:rsid w:val="000C7823"/>
    <w:rsid w:val="000D0A77"/>
    <w:rsid w:val="000D429A"/>
    <w:rsid w:val="000E0022"/>
    <w:rsid w:val="000E3D23"/>
    <w:rsid w:val="000F3B92"/>
    <w:rsid w:val="000F7993"/>
    <w:rsid w:val="00102536"/>
    <w:rsid w:val="00104CC7"/>
    <w:rsid w:val="00104F33"/>
    <w:rsid w:val="00111DE2"/>
    <w:rsid w:val="00116B38"/>
    <w:rsid w:val="00135406"/>
    <w:rsid w:val="00135972"/>
    <w:rsid w:val="0013624C"/>
    <w:rsid w:val="001426A9"/>
    <w:rsid w:val="00144881"/>
    <w:rsid w:val="00145F8A"/>
    <w:rsid w:val="00150312"/>
    <w:rsid w:val="001533DD"/>
    <w:rsid w:val="00153AB0"/>
    <w:rsid w:val="00154D7C"/>
    <w:rsid w:val="001570B0"/>
    <w:rsid w:val="00157474"/>
    <w:rsid w:val="0015752C"/>
    <w:rsid w:val="00157737"/>
    <w:rsid w:val="00165277"/>
    <w:rsid w:val="00170592"/>
    <w:rsid w:val="00170DD3"/>
    <w:rsid w:val="001720F7"/>
    <w:rsid w:val="00195D83"/>
    <w:rsid w:val="001A00C1"/>
    <w:rsid w:val="001B33E0"/>
    <w:rsid w:val="001B3A8C"/>
    <w:rsid w:val="001B3D64"/>
    <w:rsid w:val="001B4573"/>
    <w:rsid w:val="001C25E0"/>
    <w:rsid w:val="001C779F"/>
    <w:rsid w:val="001D2AC1"/>
    <w:rsid w:val="001D36BF"/>
    <w:rsid w:val="001D4E88"/>
    <w:rsid w:val="001F1DAC"/>
    <w:rsid w:val="001F440C"/>
    <w:rsid w:val="002044B6"/>
    <w:rsid w:val="00205BCB"/>
    <w:rsid w:val="00211E8D"/>
    <w:rsid w:val="00220FC2"/>
    <w:rsid w:val="002222F4"/>
    <w:rsid w:val="00224FC0"/>
    <w:rsid w:val="00225EA4"/>
    <w:rsid w:val="00226EAF"/>
    <w:rsid w:val="00231F3A"/>
    <w:rsid w:val="002321F2"/>
    <w:rsid w:val="00232616"/>
    <w:rsid w:val="002406EE"/>
    <w:rsid w:val="00243EC8"/>
    <w:rsid w:val="0025184A"/>
    <w:rsid w:val="002630C4"/>
    <w:rsid w:val="00264B13"/>
    <w:rsid w:val="00270D93"/>
    <w:rsid w:val="002745CC"/>
    <w:rsid w:val="002B6FBE"/>
    <w:rsid w:val="002B7924"/>
    <w:rsid w:val="002C10A6"/>
    <w:rsid w:val="002C7B7C"/>
    <w:rsid w:val="002D28C3"/>
    <w:rsid w:val="002D39A4"/>
    <w:rsid w:val="002E52D6"/>
    <w:rsid w:val="002E6705"/>
    <w:rsid w:val="002E6B91"/>
    <w:rsid w:val="002E6F12"/>
    <w:rsid w:val="0030329A"/>
    <w:rsid w:val="0031086F"/>
    <w:rsid w:val="0031414C"/>
    <w:rsid w:val="00314E01"/>
    <w:rsid w:val="0032089D"/>
    <w:rsid w:val="0032331A"/>
    <w:rsid w:val="003310DE"/>
    <w:rsid w:val="003323B0"/>
    <w:rsid w:val="00340A49"/>
    <w:rsid w:val="00343DEA"/>
    <w:rsid w:val="00346976"/>
    <w:rsid w:val="00350CB9"/>
    <w:rsid w:val="00350D1A"/>
    <w:rsid w:val="0035169A"/>
    <w:rsid w:val="0035259D"/>
    <w:rsid w:val="003531CA"/>
    <w:rsid w:val="00364B18"/>
    <w:rsid w:val="0037790F"/>
    <w:rsid w:val="003856CA"/>
    <w:rsid w:val="003937B1"/>
    <w:rsid w:val="003A125D"/>
    <w:rsid w:val="003A1D4B"/>
    <w:rsid w:val="003A4C70"/>
    <w:rsid w:val="003B215F"/>
    <w:rsid w:val="003B388D"/>
    <w:rsid w:val="003C799C"/>
    <w:rsid w:val="003D0399"/>
    <w:rsid w:val="003E1C71"/>
    <w:rsid w:val="003F23CE"/>
    <w:rsid w:val="003F327B"/>
    <w:rsid w:val="00403096"/>
    <w:rsid w:val="00406166"/>
    <w:rsid w:val="0040704B"/>
    <w:rsid w:val="00410A55"/>
    <w:rsid w:val="00411300"/>
    <w:rsid w:val="00413F17"/>
    <w:rsid w:val="004149FF"/>
    <w:rsid w:val="00415417"/>
    <w:rsid w:val="00416448"/>
    <w:rsid w:val="00425F6D"/>
    <w:rsid w:val="00426659"/>
    <w:rsid w:val="00431A5E"/>
    <w:rsid w:val="0043555A"/>
    <w:rsid w:val="00450352"/>
    <w:rsid w:val="004519C9"/>
    <w:rsid w:val="0045299F"/>
    <w:rsid w:val="00454BDB"/>
    <w:rsid w:val="0046499F"/>
    <w:rsid w:val="00465132"/>
    <w:rsid w:val="00480BE1"/>
    <w:rsid w:val="00480C90"/>
    <w:rsid w:val="0048396F"/>
    <w:rsid w:val="00493C18"/>
    <w:rsid w:val="004A600C"/>
    <w:rsid w:val="004A6118"/>
    <w:rsid w:val="004C478D"/>
    <w:rsid w:val="004C4E28"/>
    <w:rsid w:val="004D7D95"/>
    <w:rsid w:val="004E2C26"/>
    <w:rsid w:val="004E6466"/>
    <w:rsid w:val="004E7607"/>
    <w:rsid w:val="004F5130"/>
    <w:rsid w:val="00506EE8"/>
    <w:rsid w:val="005125A8"/>
    <w:rsid w:val="00517549"/>
    <w:rsid w:val="00520ABC"/>
    <w:rsid w:val="00521AE8"/>
    <w:rsid w:val="00527180"/>
    <w:rsid w:val="00550023"/>
    <w:rsid w:val="00553A47"/>
    <w:rsid w:val="00555291"/>
    <w:rsid w:val="00566AD1"/>
    <w:rsid w:val="00583EDE"/>
    <w:rsid w:val="00590F8A"/>
    <w:rsid w:val="00591D15"/>
    <w:rsid w:val="005A0A41"/>
    <w:rsid w:val="005A2FCE"/>
    <w:rsid w:val="005A40D0"/>
    <w:rsid w:val="005A6079"/>
    <w:rsid w:val="005B718F"/>
    <w:rsid w:val="005C01D5"/>
    <w:rsid w:val="005C52A4"/>
    <w:rsid w:val="005D69AA"/>
    <w:rsid w:val="005D7D13"/>
    <w:rsid w:val="005E1829"/>
    <w:rsid w:val="005E4698"/>
    <w:rsid w:val="005F0E7C"/>
    <w:rsid w:val="00603924"/>
    <w:rsid w:val="00610539"/>
    <w:rsid w:val="00613969"/>
    <w:rsid w:val="00615716"/>
    <w:rsid w:val="006210E6"/>
    <w:rsid w:val="00625C35"/>
    <w:rsid w:val="006365E8"/>
    <w:rsid w:val="00642985"/>
    <w:rsid w:val="00647E49"/>
    <w:rsid w:val="00655C72"/>
    <w:rsid w:val="00656313"/>
    <w:rsid w:val="006565F4"/>
    <w:rsid w:val="006613F4"/>
    <w:rsid w:val="00664302"/>
    <w:rsid w:val="006723BC"/>
    <w:rsid w:val="00684779"/>
    <w:rsid w:val="00684EEA"/>
    <w:rsid w:val="0069689B"/>
    <w:rsid w:val="00697688"/>
    <w:rsid w:val="006B5FF5"/>
    <w:rsid w:val="006E1646"/>
    <w:rsid w:val="006E4C88"/>
    <w:rsid w:val="006E5474"/>
    <w:rsid w:val="006F30AF"/>
    <w:rsid w:val="00700C28"/>
    <w:rsid w:val="00701759"/>
    <w:rsid w:val="0070505E"/>
    <w:rsid w:val="00705C15"/>
    <w:rsid w:val="00710696"/>
    <w:rsid w:val="007110F6"/>
    <w:rsid w:val="007208D1"/>
    <w:rsid w:val="00723746"/>
    <w:rsid w:val="00734BC1"/>
    <w:rsid w:val="0074015E"/>
    <w:rsid w:val="00744518"/>
    <w:rsid w:val="0074635A"/>
    <w:rsid w:val="00747288"/>
    <w:rsid w:val="00747DD3"/>
    <w:rsid w:val="00751A98"/>
    <w:rsid w:val="007549C8"/>
    <w:rsid w:val="00755993"/>
    <w:rsid w:val="0076120A"/>
    <w:rsid w:val="007634CD"/>
    <w:rsid w:val="00766D14"/>
    <w:rsid w:val="00767A0F"/>
    <w:rsid w:val="00772679"/>
    <w:rsid w:val="00791272"/>
    <w:rsid w:val="007A05F6"/>
    <w:rsid w:val="007A2FC8"/>
    <w:rsid w:val="007B3C2A"/>
    <w:rsid w:val="007B6F4A"/>
    <w:rsid w:val="007D14C5"/>
    <w:rsid w:val="007D2C8D"/>
    <w:rsid w:val="007E1C47"/>
    <w:rsid w:val="007E2300"/>
    <w:rsid w:val="007E337A"/>
    <w:rsid w:val="007E4D53"/>
    <w:rsid w:val="007E5C70"/>
    <w:rsid w:val="007F0060"/>
    <w:rsid w:val="007F2FF5"/>
    <w:rsid w:val="007F3F08"/>
    <w:rsid w:val="008009AA"/>
    <w:rsid w:val="00804CC6"/>
    <w:rsid w:val="00817190"/>
    <w:rsid w:val="008259DD"/>
    <w:rsid w:val="008260E2"/>
    <w:rsid w:val="008322BD"/>
    <w:rsid w:val="00834F73"/>
    <w:rsid w:val="00846C4B"/>
    <w:rsid w:val="00850DBB"/>
    <w:rsid w:val="008560E8"/>
    <w:rsid w:val="00864582"/>
    <w:rsid w:val="00864C8A"/>
    <w:rsid w:val="00864CF8"/>
    <w:rsid w:val="00874914"/>
    <w:rsid w:val="00883227"/>
    <w:rsid w:val="00885890"/>
    <w:rsid w:val="00891422"/>
    <w:rsid w:val="00892D8E"/>
    <w:rsid w:val="00892E1A"/>
    <w:rsid w:val="00897746"/>
    <w:rsid w:val="008A2FB6"/>
    <w:rsid w:val="008B4BE3"/>
    <w:rsid w:val="008B660A"/>
    <w:rsid w:val="008C01DA"/>
    <w:rsid w:val="008C42DD"/>
    <w:rsid w:val="008C5AD8"/>
    <w:rsid w:val="008D2F2B"/>
    <w:rsid w:val="008E0100"/>
    <w:rsid w:val="008E7080"/>
    <w:rsid w:val="008F2674"/>
    <w:rsid w:val="008F78E9"/>
    <w:rsid w:val="009071CE"/>
    <w:rsid w:val="009104A3"/>
    <w:rsid w:val="009179F9"/>
    <w:rsid w:val="00917C7A"/>
    <w:rsid w:val="0092730A"/>
    <w:rsid w:val="00931170"/>
    <w:rsid w:val="00933E5E"/>
    <w:rsid w:val="00935218"/>
    <w:rsid w:val="00937C52"/>
    <w:rsid w:val="009403F3"/>
    <w:rsid w:val="00942508"/>
    <w:rsid w:val="00955242"/>
    <w:rsid w:val="009555B7"/>
    <w:rsid w:val="009567AA"/>
    <w:rsid w:val="009602C9"/>
    <w:rsid w:val="00962B2A"/>
    <w:rsid w:val="00967374"/>
    <w:rsid w:val="009710D9"/>
    <w:rsid w:val="00975DC4"/>
    <w:rsid w:val="009815D0"/>
    <w:rsid w:val="0098642A"/>
    <w:rsid w:val="009A0963"/>
    <w:rsid w:val="009A126B"/>
    <w:rsid w:val="009A343A"/>
    <w:rsid w:val="009A53C0"/>
    <w:rsid w:val="009A7669"/>
    <w:rsid w:val="009B0FEE"/>
    <w:rsid w:val="009B2F23"/>
    <w:rsid w:val="009B57B3"/>
    <w:rsid w:val="009C00BA"/>
    <w:rsid w:val="009C446F"/>
    <w:rsid w:val="009D081B"/>
    <w:rsid w:val="009D2920"/>
    <w:rsid w:val="009D366C"/>
    <w:rsid w:val="009D5AEB"/>
    <w:rsid w:val="009E36C4"/>
    <w:rsid w:val="009F0E33"/>
    <w:rsid w:val="009F2E5B"/>
    <w:rsid w:val="00A046F5"/>
    <w:rsid w:val="00A149DF"/>
    <w:rsid w:val="00A1755C"/>
    <w:rsid w:val="00A21B90"/>
    <w:rsid w:val="00A22AAC"/>
    <w:rsid w:val="00A30D47"/>
    <w:rsid w:val="00A3271E"/>
    <w:rsid w:val="00A41805"/>
    <w:rsid w:val="00A44E93"/>
    <w:rsid w:val="00A51882"/>
    <w:rsid w:val="00A52AFB"/>
    <w:rsid w:val="00A548CB"/>
    <w:rsid w:val="00A5521C"/>
    <w:rsid w:val="00A643E7"/>
    <w:rsid w:val="00A710ED"/>
    <w:rsid w:val="00A73C38"/>
    <w:rsid w:val="00A85375"/>
    <w:rsid w:val="00A853DB"/>
    <w:rsid w:val="00A8644C"/>
    <w:rsid w:val="00A9159A"/>
    <w:rsid w:val="00AA76F8"/>
    <w:rsid w:val="00AB320E"/>
    <w:rsid w:val="00AB670D"/>
    <w:rsid w:val="00AC0376"/>
    <w:rsid w:val="00AD1E49"/>
    <w:rsid w:val="00AD4E1C"/>
    <w:rsid w:val="00AE67DE"/>
    <w:rsid w:val="00AF03C5"/>
    <w:rsid w:val="00AF5C83"/>
    <w:rsid w:val="00AF7F93"/>
    <w:rsid w:val="00B000D8"/>
    <w:rsid w:val="00B00F75"/>
    <w:rsid w:val="00B046BA"/>
    <w:rsid w:val="00B145B6"/>
    <w:rsid w:val="00B14863"/>
    <w:rsid w:val="00B22419"/>
    <w:rsid w:val="00B279EB"/>
    <w:rsid w:val="00B507C7"/>
    <w:rsid w:val="00B50C81"/>
    <w:rsid w:val="00B5105B"/>
    <w:rsid w:val="00B557F8"/>
    <w:rsid w:val="00B576E8"/>
    <w:rsid w:val="00B73216"/>
    <w:rsid w:val="00B815FC"/>
    <w:rsid w:val="00B81867"/>
    <w:rsid w:val="00B83697"/>
    <w:rsid w:val="00B93FBC"/>
    <w:rsid w:val="00BA03E3"/>
    <w:rsid w:val="00BA149C"/>
    <w:rsid w:val="00BA7DA0"/>
    <w:rsid w:val="00BB2EE4"/>
    <w:rsid w:val="00BB4723"/>
    <w:rsid w:val="00BB4C92"/>
    <w:rsid w:val="00BC2108"/>
    <w:rsid w:val="00BC3AB1"/>
    <w:rsid w:val="00BD08F0"/>
    <w:rsid w:val="00BD0E9E"/>
    <w:rsid w:val="00BD1BEC"/>
    <w:rsid w:val="00BD32FF"/>
    <w:rsid w:val="00BD3B51"/>
    <w:rsid w:val="00BD7B4C"/>
    <w:rsid w:val="00BE0B7E"/>
    <w:rsid w:val="00BE108C"/>
    <w:rsid w:val="00BE6376"/>
    <w:rsid w:val="00BF38CF"/>
    <w:rsid w:val="00BF6FE9"/>
    <w:rsid w:val="00C02092"/>
    <w:rsid w:val="00C06E6E"/>
    <w:rsid w:val="00C15CBC"/>
    <w:rsid w:val="00C20489"/>
    <w:rsid w:val="00C24D91"/>
    <w:rsid w:val="00C26DB2"/>
    <w:rsid w:val="00C374A1"/>
    <w:rsid w:val="00C53F14"/>
    <w:rsid w:val="00C600CF"/>
    <w:rsid w:val="00C6084F"/>
    <w:rsid w:val="00C62A66"/>
    <w:rsid w:val="00C66359"/>
    <w:rsid w:val="00C67892"/>
    <w:rsid w:val="00C7073B"/>
    <w:rsid w:val="00C71458"/>
    <w:rsid w:val="00C719D5"/>
    <w:rsid w:val="00C741C2"/>
    <w:rsid w:val="00C768B7"/>
    <w:rsid w:val="00C77613"/>
    <w:rsid w:val="00C828E7"/>
    <w:rsid w:val="00C86719"/>
    <w:rsid w:val="00C921DD"/>
    <w:rsid w:val="00CA5E84"/>
    <w:rsid w:val="00CA6391"/>
    <w:rsid w:val="00CC343C"/>
    <w:rsid w:val="00CD020F"/>
    <w:rsid w:val="00CE036E"/>
    <w:rsid w:val="00CE310B"/>
    <w:rsid w:val="00CE3171"/>
    <w:rsid w:val="00CE6228"/>
    <w:rsid w:val="00CF1601"/>
    <w:rsid w:val="00D0172F"/>
    <w:rsid w:val="00D01E33"/>
    <w:rsid w:val="00D05DD3"/>
    <w:rsid w:val="00D068A7"/>
    <w:rsid w:val="00D167BF"/>
    <w:rsid w:val="00D17476"/>
    <w:rsid w:val="00D25DD3"/>
    <w:rsid w:val="00D32086"/>
    <w:rsid w:val="00D37A3F"/>
    <w:rsid w:val="00D4431D"/>
    <w:rsid w:val="00D4667A"/>
    <w:rsid w:val="00D63A1C"/>
    <w:rsid w:val="00D6427D"/>
    <w:rsid w:val="00D64FDA"/>
    <w:rsid w:val="00D74AC3"/>
    <w:rsid w:val="00D7516F"/>
    <w:rsid w:val="00D87456"/>
    <w:rsid w:val="00D95F8E"/>
    <w:rsid w:val="00DA0590"/>
    <w:rsid w:val="00DA1A93"/>
    <w:rsid w:val="00DB5888"/>
    <w:rsid w:val="00DB6190"/>
    <w:rsid w:val="00DC1739"/>
    <w:rsid w:val="00DC1788"/>
    <w:rsid w:val="00DC6DCC"/>
    <w:rsid w:val="00DE319C"/>
    <w:rsid w:val="00DF0CA8"/>
    <w:rsid w:val="00DF2B48"/>
    <w:rsid w:val="00DF49A7"/>
    <w:rsid w:val="00E00D3C"/>
    <w:rsid w:val="00E01606"/>
    <w:rsid w:val="00E018F2"/>
    <w:rsid w:val="00E02BF5"/>
    <w:rsid w:val="00E0394F"/>
    <w:rsid w:val="00E07EE2"/>
    <w:rsid w:val="00E07FD1"/>
    <w:rsid w:val="00E24573"/>
    <w:rsid w:val="00E25E1E"/>
    <w:rsid w:val="00E27EE7"/>
    <w:rsid w:val="00E3060C"/>
    <w:rsid w:val="00E30B35"/>
    <w:rsid w:val="00E35404"/>
    <w:rsid w:val="00E45109"/>
    <w:rsid w:val="00E47B7A"/>
    <w:rsid w:val="00E549FE"/>
    <w:rsid w:val="00E56A44"/>
    <w:rsid w:val="00E60269"/>
    <w:rsid w:val="00E91BD5"/>
    <w:rsid w:val="00E94921"/>
    <w:rsid w:val="00E97830"/>
    <w:rsid w:val="00EA7D78"/>
    <w:rsid w:val="00EB1E4B"/>
    <w:rsid w:val="00EC0F94"/>
    <w:rsid w:val="00EC11F0"/>
    <w:rsid w:val="00EC75EE"/>
    <w:rsid w:val="00ED1E89"/>
    <w:rsid w:val="00ED2254"/>
    <w:rsid w:val="00EE0830"/>
    <w:rsid w:val="00EE189B"/>
    <w:rsid w:val="00EE6CB8"/>
    <w:rsid w:val="00EF0683"/>
    <w:rsid w:val="00F0070C"/>
    <w:rsid w:val="00F00EB7"/>
    <w:rsid w:val="00F32EC1"/>
    <w:rsid w:val="00F36AB6"/>
    <w:rsid w:val="00F37A09"/>
    <w:rsid w:val="00F409CE"/>
    <w:rsid w:val="00F4379D"/>
    <w:rsid w:val="00F45B1D"/>
    <w:rsid w:val="00F50D2D"/>
    <w:rsid w:val="00F56C8B"/>
    <w:rsid w:val="00F62639"/>
    <w:rsid w:val="00F66810"/>
    <w:rsid w:val="00F719BD"/>
    <w:rsid w:val="00F81C20"/>
    <w:rsid w:val="00F84DF4"/>
    <w:rsid w:val="00F85C97"/>
    <w:rsid w:val="00F909FA"/>
    <w:rsid w:val="00F96E46"/>
    <w:rsid w:val="00FA7650"/>
    <w:rsid w:val="00FB265C"/>
    <w:rsid w:val="00FB37D2"/>
    <w:rsid w:val="00FC4EFB"/>
    <w:rsid w:val="00FD068D"/>
    <w:rsid w:val="00FD4F28"/>
    <w:rsid w:val="00FD618C"/>
    <w:rsid w:val="00FE39A3"/>
    <w:rsid w:val="00FE4957"/>
    <w:rsid w:val="00FE6784"/>
    <w:rsid w:val="00FE7A8B"/>
    <w:rsid w:val="00FF6A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89"/>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rPr>
  </w:style>
  <w:style w:type="paragraph" w:customStyle="1" w:styleId="SCCLsocOtherPartyRoleSeparator">
    <w:name w:val="SCC.Lsoc.OtherPartyRoleSeparator"/>
    <w:basedOn w:val="Normal"/>
    <w:next w:val="Normal"/>
    <w:link w:val="SCCLsocOtherPartyRoleSeparatorChar"/>
    <w:rsid w:val="00931170"/>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931170"/>
    <w:rPr>
      <w:rFonts w:eastAsiaTheme="minorHAnsi" w:cstheme="minorBidi"/>
      <w:sz w:val="24"/>
      <w:szCs w:val="22"/>
      <w:lang w:eastAsia="en-US"/>
    </w:rPr>
  </w:style>
  <w:style w:type="character" w:customStyle="1" w:styleId="SCCBanSummaryChar">
    <w:name w:val="SCC.BanSummary Char"/>
    <w:basedOn w:val="DefaultParagraphFont"/>
    <w:link w:val="SCCBanSummary"/>
    <w:rsid w:val="00931170"/>
    <w:rPr>
      <w:b/>
      <w:sz w:val="24"/>
    </w:rPr>
  </w:style>
  <w:style w:type="table" w:styleId="TableGrid">
    <w:name w:val="Table Grid"/>
    <w:basedOn w:val="TableNormal"/>
    <w:uiPriority w:val="59"/>
    <w:rsid w:val="0093117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931170"/>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931170"/>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931170"/>
    <w:pPr>
      <w:tabs>
        <w:tab w:val="left" w:pos="1166"/>
      </w:tabs>
      <w:spacing w:after="480" w:line="480" w:lineRule="auto"/>
    </w:pPr>
    <w:rPr>
      <w:smallCaps/>
      <w:sz w:val="24"/>
    </w:rPr>
  </w:style>
  <w:style w:type="paragraph" w:customStyle="1" w:styleId="ParaNoNdepar-AltN">
    <w:name w:val="Para. No. / Nº de par. - Alt N"/>
    <w:qFormat/>
    <w:rsid w:val="00931170"/>
    <w:pPr>
      <w:numPr>
        <w:numId w:val="6"/>
      </w:numPr>
      <w:spacing w:before="480" w:after="480" w:line="480" w:lineRule="auto"/>
      <w:jc w:val="both"/>
    </w:pPr>
    <w:rPr>
      <w:rFonts w:eastAsiaTheme="minorEastAsia" w:cstheme="minorBidi"/>
      <w:sz w:val="24"/>
      <w:szCs w:val="22"/>
      <w:lang w:eastAsia="en-US"/>
    </w:rPr>
  </w:style>
  <w:style w:type="paragraph" w:customStyle="1" w:styleId="TitleTitre-AltT">
    <w:name w:val="Title / Titre - Alt T"/>
    <w:next w:val="ParaNoNdepar-AltN"/>
    <w:uiPriority w:val="3"/>
    <w:qFormat/>
    <w:rsid w:val="00931170"/>
    <w:pPr>
      <w:tabs>
        <w:tab w:val="left" w:pos="360"/>
      </w:tabs>
      <w:spacing w:before="480" w:after="720"/>
      <w:ind w:left="360" w:hanging="360"/>
      <w:jc w:val="both"/>
    </w:pPr>
    <w:rPr>
      <w:rFonts w:eastAsiaTheme="minorHAnsi" w:cstheme="minorBidi"/>
      <w:sz w:val="24"/>
      <w:szCs w:val="22"/>
      <w:lang w:eastAsia="en-US"/>
    </w:rPr>
  </w:style>
  <w:style w:type="paragraph" w:styleId="FootnoteText">
    <w:name w:val="footnote text"/>
    <w:basedOn w:val="Normal"/>
    <w:link w:val="FootnoteTextChar"/>
    <w:uiPriority w:val="99"/>
    <w:semiHidden/>
    <w:unhideWhenUsed/>
    <w:rsid w:val="00931170"/>
    <w:rPr>
      <w:sz w:val="20"/>
    </w:rPr>
  </w:style>
  <w:style w:type="character" w:customStyle="1" w:styleId="FootnoteTextChar">
    <w:name w:val="Footnote Text Char"/>
    <w:basedOn w:val="DefaultParagraphFont"/>
    <w:link w:val="FootnoteText"/>
    <w:uiPriority w:val="99"/>
    <w:semiHidden/>
    <w:rsid w:val="00931170"/>
  </w:style>
  <w:style w:type="character" w:styleId="FootnoteReference">
    <w:name w:val="footnote reference"/>
    <w:basedOn w:val="DefaultParagraphFont"/>
    <w:uiPriority w:val="99"/>
    <w:semiHidden/>
    <w:unhideWhenUsed/>
    <w:rsid w:val="00931170"/>
    <w:rPr>
      <w:vertAlign w:val="superscript"/>
    </w:rPr>
  </w:style>
  <w:style w:type="paragraph" w:styleId="ListParagraph">
    <w:name w:val="List Paragraph"/>
    <w:basedOn w:val="Normal"/>
    <w:uiPriority w:val="34"/>
    <w:qFormat/>
    <w:rsid w:val="00931170"/>
    <w:pPr>
      <w:ind w:left="720"/>
      <w:contextualSpacing/>
    </w:pPr>
    <w:rPr>
      <w:szCs w:val="24"/>
    </w:rPr>
  </w:style>
  <w:style w:type="character" w:styleId="CommentReference">
    <w:name w:val="annotation reference"/>
    <w:basedOn w:val="DefaultParagraphFont"/>
    <w:uiPriority w:val="99"/>
    <w:semiHidden/>
    <w:unhideWhenUsed/>
    <w:rsid w:val="00931170"/>
    <w:rPr>
      <w:sz w:val="16"/>
      <w:szCs w:val="16"/>
    </w:rPr>
  </w:style>
  <w:style w:type="paragraph" w:styleId="CommentText">
    <w:name w:val="annotation text"/>
    <w:basedOn w:val="Normal"/>
    <w:link w:val="CommentTextChar"/>
    <w:uiPriority w:val="99"/>
    <w:semiHidden/>
    <w:unhideWhenUsed/>
    <w:rsid w:val="00931170"/>
    <w:rPr>
      <w:sz w:val="20"/>
    </w:rPr>
  </w:style>
  <w:style w:type="character" w:customStyle="1" w:styleId="CommentTextChar">
    <w:name w:val="Comment Text Char"/>
    <w:basedOn w:val="DefaultParagraphFont"/>
    <w:link w:val="CommentText"/>
    <w:uiPriority w:val="99"/>
    <w:semiHidden/>
    <w:rsid w:val="00931170"/>
  </w:style>
  <w:style w:type="paragraph" w:styleId="CommentSubject">
    <w:name w:val="annotation subject"/>
    <w:basedOn w:val="CommentText"/>
    <w:next w:val="CommentText"/>
    <w:link w:val="CommentSubjectChar"/>
    <w:uiPriority w:val="99"/>
    <w:semiHidden/>
    <w:unhideWhenUsed/>
    <w:rsid w:val="00931170"/>
    <w:rPr>
      <w:b/>
      <w:bCs/>
    </w:rPr>
  </w:style>
  <w:style w:type="character" w:customStyle="1" w:styleId="CommentSubjectChar">
    <w:name w:val="Comment Subject Char"/>
    <w:basedOn w:val="CommentTextChar"/>
    <w:link w:val="CommentSubject"/>
    <w:uiPriority w:val="99"/>
    <w:semiHidden/>
    <w:rsid w:val="00931170"/>
    <w:rPr>
      <w:b/>
      <w:bCs/>
    </w:rPr>
  </w:style>
  <w:style w:type="character" w:customStyle="1" w:styleId="canliisectionwithsubsection">
    <w:name w:val="canlii_section_with_subsection"/>
    <w:basedOn w:val="DefaultParagraphFont"/>
    <w:rsid w:val="00931170"/>
  </w:style>
  <w:style w:type="character" w:customStyle="1" w:styleId="canliisubsection">
    <w:name w:val="canlii_subsection"/>
    <w:basedOn w:val="DefaultParagraphFont"/>
    <w:rsid w:val="00931170"/>
  </w:style>
  <w:style w:type="character" w:customStyle="1" w:styleId="term110">
    <w:name w:val="term110"/>
    <w:basedOn w:val="DefaultParagraphFont"/>
    <w:rsid w:val="00931170"/>
    <w:rPr>
      <w:shd w:val="clear" w:color="auto" w:fill="FFB4F9"/>
    </w:rPr>
  </w:style>
  <w:style w:type="paragraph" w:customStyle="1" w:styleId="level11">
    <w:name w:val="level11"/>
    <w:basedOn w:val="Normal"/>
    <w:rsid w:val="00931170"/>
    <w:pPr>
      <w:autoSpaceDE w:val="0"/>
      <w:autoSpaceDN w:val="0"/>
      <w:ind w:left="720" w:hanging="1440"/>
    </w:pPr>
    <w:rPr>
      <w:szCs w:val="24"/>
      <w:lang w:val="fr-CA" w:eastAsia="fr-CA"/>
    </w:rPr>
  </w:style>
  <w:style w:type="paragraph" w:customStyle="1" w:styleId="11">
    <w:name w:val="11"/>
    <w:basedOn w:val="Normal"/>
    <w:rsid w:val="00931170"/>
    <w:pPr>
      <w:autoSpaceDE w:val="0"/>
      <w:autoSpaceDN w:val="0"/>
    </w:pPr>
    <w:rPr>
      <w:szCs w:val="24"/>
      <w:lang w:val="fr-CA" w:eastAsia="fr-CA"/>
    </w:rPr>
  </w:style>
  <w:style w:type="table" w:customStyle="1" w:styleId="TableGrid1">
    <w:name w:val="Table Grid1"/>
    <w:basedOn w:val="TableNormal"/>
    <w:next w:val="TableGrid"/>
    <w:uiPriority w:val="59"/>
    <w:rsid w:val="00E94921"/>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F2E9D4-2865-4BBF-9EBA-22B9BDF73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14555</Words>
  <Characters>77012</Characters>
  <Application>Microsoft Office Word</Application>
  <DocSecurity>0</DocSecurity>
  <Lines>641</Lines>
  <Paragraphs>182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2014-04-03T15:11:00Z</dcterms:created>
  <dcterms:modified xsi:type="dcterms:W3CDTF">2014-04-03T15:13:00Z</dcterms:modified>
</cp:coreProperties>
</file>