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E7" w:rsidRPr="00443001" w:rsidRDefault="001902E7" w:rsidP="001902E7">
      <w:pPr>
        <w:tabs>
          <w:tab w:val="center" w:pos="4680"/>
          <w:tab w:val="right" w:pos="9360"/>
        </w:tabs>
        <w:jc w:val="center"/>
        <w:rPr>
          <w:rFonts w:eastAsiaTheme="minorHAnsi" w:cstheme="minorBidi"/>
          <w:szCs w:val="24"/>
          <w:lang w:val="fr-CA" w:eastAsia="en-US"/>
        </w:rPr>
      </w:pPr>
      <w:r w:rsidRPr="00443001">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30600" r:id="rId9"/>
        </w:object>
      </w:r>
    </w:p>
    <w:p w:rsidR="001902E7" w:rsidRPr="00443001" w:rsidRDefault="001902E7" w:rsidP="001902E7">
      <w:pPr>
        <w:tabs>
          <w:tab w:val="center" w:pos="4680"/>
          <w:tab w:val="right" w:pos="9360"/>
        </w:tabs>
        <w:rPr>
          <w:rFonts w:eastAsiaTheme="minorHAnsi" w:cstheme="minorBidi"/>
          <w:szCs w:val="24"/>
          <w:lang w:val="fr-CA" w:eastAsia="en-US"/>
        </w:rPr>
      </w:pPr>
    </w:p>
    <w:p w:rsidR="001902E7" w:rsidRPr="00443001" w:rsidRDefault="001902E7" w:rsidP="001902E7">
      <w:pPr>
        <w:jc w:val="center"/>
        <w:rPr>
          <w:rFonts w:eastAsiaTheme="minorHAnsi" w:cstheme="minorBidi"/>
          <w:b/>
          <w:szCs w:val="24"/>
          <w:lang w:val="fr-CA" w:eastAsia="en-US"/>
        </w:rPr>
      </w:pPr>
      <w:r w:rsidRPr="00443001">
        <w:rPr>
          <w:rFonts w:eastAsiaTheme="minorHAnsi" w:cstheme="minorBidi"/>
          <w:b/>
          <w:szCs w:val="24"/>
          <w:lang w:val="fr-CA" w:eastAsia="en-US"/>
        </w:rPr>
        <w:t>COUR SUPRÊME DU CANADA</w:t>
      </w:r>
    </w:p>
    <w:p w:rsidR="001902E7" w:rsidRPr="00443001" w:rsidRDefault="001902E7" w:rsidP="001902E7">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902E7" w:rsidRPr="00443001" w:rsidTr="00A91E19">
        <w:trPr>
          <w:cantSplit/>
        </w:trPr>
        <w:tc>
          <w:tcPr>
            <w:tcW w:w="6768" w:type="dxa"/>
          </w:tcPr>
          <w:p w:rsidR="001902E7" w:rsidRPr="00443001" w:rsidRDefault="001902E7" w:rsidP="00A91E19">
            <w:pPr>
              <w:rPr>
                <w:lang w:val="fr-CA"/>
              </w:rPr>
            </w:pPr>
            <w:r w:rsidRPr="00443001">
              <w:rPr>
                <w:b/>
                <w:smallCaps/>
                <w:lang w:val="fr-CA"/>
              </w:rPr>
              <w:t>Référence :</w:t>
            </w:r>
            <w:r w:rsidRPr="00443001">
              <w:rPr>
                <w:lang w:val="fr-CA"/>
              </w:rPr>
              <w:t xml:space="preserve"> R. </w:t>
            </w:r>
            <w:r w:rsidRPr="00443001">
              <w:rPr>
                <w:i/>
                <w:lang w:val="fr-CA"/>
              </w:rPr>
              <w:t>c.</w:t>
            </w:r>
            <w:r w:rsidRPr="00443001">
              <w:rPr>
                <w:lang w:val="fr-CA"/>
              </w:rPr>
              <w:t xml:space="preserve"> Cairney, 2013 CSC 55</w:t>
            </w:r>
            <w:r>
              <w:rPr>
                <w:lang w:val="fr-CA"/>
              </w:rPr>
              <w:t xml:space="preserve">, </w:t>
            </w:r>
            <w:r>
              <w:t>[2013] 3 R.C.S. 420</w:t>
            </w:r>
          </w:p>
        </w:tc>
        <w:tc>
          <w:tcPr>
            <w:tcW w:w="2808" w:type="dxa"/>
          </w:tcPr>
          <w:p w:rsidR="001902E7" w:rsidRPr="00443001" w:rsidRDefault="001902E7" w:rsidP="00A91E19">
            <w:pPr>
              <w:rPr>
                <w:lang w:val="fr-CA"/>
              </w:rPr>
            </w:pPr>
            <w:r w:rsidRPr="00443001">
              <w:rPr>
                <w:b/>
                <w:smallCaps/>
                <w:lang w:val="fr-CA"/>
              </w:rPr>
              <w:t>Date :</w:t>
            </w:r>
            <w:r w:rsidRPr="00443001">
              <w:rPr>
                <w:lang w:val="fr-CA"/>
              </w:rPr>
              <w:t xml:space="preserve"> 20131025</w:t>
            </w:r>
          </w:p>
          <w:p w:rsidR="001902E7" w:rsidRPr="00443001" w:rsidRDefault="001902E7" w:rsidP="00A91E19">
            <w:pPr>
              <w:rPr>
                <w:lang w:val="fr-CA"/>
              </w:rPr>
            </w:pPr>
            <w:r w:rsidRPr="00443001">
              <w:rPr>
                <w:b/>
                <w:smallCaps/>
                <w:lang w:val="fr-CA"/>
              </w:rPr>
              <w:t>Dossier :</w:t>
            </w:r>
            <w:r w:rsidRPr="00443001">
              <w:rPr>
                <w:lang w:val="fr-CA"/>
              </w:rPr>
              <w:t xml:space="preserve"> 34848</w:t>
            </w:r>
          </w:p>
        </w:tc>
      </w:tr>
    </w:tbl>
    <w:p w:rsidR="001902E7" w:rsidRPr="00443001" w:rsidRDefault="001902E7" w:rsidP="001902E7">
      <w:pPr>
        <w:rPr>
          <w:rFonts w:eastAsiaTheme="minorHAnsi" w:cstheme="minorBidi"/>
          <w:szCs w:val="24"/>
          <w:lang w:val="fr-CA" w:eastAsia="en-US"/>
        </w:rPr>
      </w:pPr>
    </w:p>
    <w:p w:rsidR="001902E7" w:rsidRPr="00443001" w:rsidRDefault="001902E7" w:rsidP="001902E7">
      <w:pPr>
        <w:rPr>
          <w:rFonts w:eastAsiaTheme="minorHAnsi" w:cstheme="minorBidi"/>
          <w:b/>
          <w:smallCaps/>
          <w:szCs w:val="24"/>
          <w:lang w:val="fr-CA" w:eastAsia="en-US"/>
        </w:rPr>
      </w:pPr>
      <w:r w:rsidRPr="00443001">
        <w:rPr>
          <w:rFonts w:eastAsiaTheme="minorHAnsi" w:cstheme="minorBidi"/>
          <w:b/>
          <w:smallCaps/>
          <w:szCs w:val="24"/>
          <w:lang w:val="fr-CA" w:eastAsia="en-US"/>
        </w:rPr>
        <w:t>Entre :</w:t>
      </w:r>
    </w:p>
    <w:p w:rsidR="001902E7" w:rsidRPr="00443001" w:rsidRDefault="001902E7" w:rsidP="001902E7">
      <w:pPr>
        <w:jc w:val="center"/>
        <w:rPr>
          <w:rFonts w:eastAsiaTheme="minorHAnsi" w:cstheme="minorBidi"/>
          <w:b/>
          <w:szCs w:val="24"/>
          <w:lang w:val="fr-CA" w:eastAsia="en-US"/>
        </w:rPr>
      </w:pPr>
      <w:r w:rsidRPr="00443001">
        <w:rPr>
          <w:rFonts w:eastAsiaTheme="minorHAnsi" w:cstheme="minorBidi"/>
          <w:b/>
          <w:szCs w:val="24"/>
          <w:lang w:val="fr-CA" w:eastAsia="en-US"/>
        </w:rPr>
        <w:t>Michael John Cairney</w:t>
      </w:r>
    </w:p>
    <w:p w:rsidR="001902E7" w:rsidRPr="00443001" w:rsidRDefault="001902E7" w:rsidP="001902E7">
      <w:pPr>
        <w:jc w:val="center"/>
        <w:rPr>
          <w:rFonts w:eastAsiaTheme="minorHAnsi" w:cstheme="minorBidi"/>
          <w:szCs w:val="24"/>
          <w:lang w:val="fr-CA" w:eastAsia="en-US"/>
        </w:rPr>
      </w:pPr>
      <w:r w:rsidRPr="00443001">
        <w:rPr>
          <w:rFonts w:eastAsiaTheme="minorHAnsi" w:cstheme="minorBidi"/>
          <w:szCs w:val="24"/>
          <w:lang w:val="fr-CA" w:eastAsia="en-US"/>
        </w:rPr>
        <w:t>Appelant</w:t>
      </w:r>
    </w:p>
    <w:p w:rsidR="001902E7" w:rsidRPr="00443001" w:rsidRDefault="001902E7" w:rsidP="001902E7">
      <w:pPr>
        <w:jc w:val="center"/>
        <w:rPr>
          <w:rFonts w:eastAsiaTheme="minorHAnsi" w:cstheme="minorBidi"/>
          <w:szCs w:val="24"/>
          <w:lang w:val="fr-CA" w:eastAsia="en-US"/>
        </w:rPr>
      </w:pPr>
      <w:r w:rsidRPr="00443001">
        <w:rPr>
          <w:rFonts w:eastAsiaTheme="minorHAnsi" w:cstheme="minorBidi"/>
          <w:szCs w:val="24"/>
          <w:lang w:val="fr-CA" w:eastAsia="en-US"/>
        </w:rPr>
        <w:t>et</w:t>
      </w:r>
    </w:p>
    <w:p w:rsidR="001902E7" w:rsidRPr="00443001" w:rsidRDefault="001902E7" w:rsidP="001902E7">
      <w:pPr>
        <w:jc w:val="center"/>
        <w:rPr>
          <w:rFonts w:eastAsiaTheme="minorHAnsi" w:cstheme="minorBidi"/>
          <w:b/>
          <w:szCs w:val="24"/>
          <w:lang w:val="fr-CA" w:eastAsia="en-US"/>
        </w:rPr>
      </w:pPr>
      <w:r w:rsidRPr="00443001">
        <w:rPr>
          <w:rFonts w:eastAsiaTheme="minorHAnsi" w:cstheme="minorBidi"/>
          <w:b/>
          <w:szCs w:val="24"/>
          <w:lang w:val="fr-CA" w:eastAsia="en-US"/>
        </w:rPr>
        <w:t>Sa Majesté la Reine</w:t>
      </w:r>
    </w:p>
    <w:p w:rsidR="001902E7" w:rsidRPr="00443001" w:rsidRDefault="001902E7" w:rsidP="001902E7">
      <w:pPr>
        <w:jc w:val="center"/>
        <w:rPr>
          <w:rFonts w:eastAsiaTheme="minorHAnsi" w:cstheme="minorBidi"/>
          <w:szCs w:val="24"/>
          <w:lang w:val="fr-CA" w:eastAsia="en-US"/>
        </w:rPr>
      </w:pPr>
      <w:r w:rsidRPr="00443001">
        <w:rPr>
          <w:rFonts w:eastAsiaTheme="minorHAnsi" w:cstheme="minorBidi"/>
          <w:szCs w:val="24"/>
          <w:lang w:val="fr-CA" w:eastAsia="en-US"/>
        </w:rPr>
        <w:t>Intimée</w:t>
      </w:r>
    </w:p>
    <w:p w:rsidR="001902E7" w:rsidRPr="00443001" w:rsidRDefault="001902E7" w:rsidP="001902E7">
      <w:pPr>
        <w:rPr>
          <w:rFonts w:eastAsiaTheme="minorHAnsi" w:cstheme="minorBidi"/>
          <w:szCs w:val="24"/>
          <w:lang w:val="fr-CA" w:eastAsia="en-US"/>
        </w:rPr>
      </w:pPr>
    </w:p>
    <w:p w:rsidR="001902E7" w:rsidRPr="00443001" w:rsidRDefault="001902E7" w:rsidP="001902E7">
      <w:pPr>
        <w:rPr>
          <w:rFonts w:eastAsiaTheme="minorHAnsi" w:cstheme="minorBidi"/>
          <w:szCs w:val="24"/>
          <w:lang w:val="fr-CA" w:eastAsia="en-US"/>
        </w:rPr>
      </w:pPr>
    </w:p>
    <w:p w:rsidR="001902E7" w:rsidRPr="00443001" w:rsidRDefault="001902E7" w:rsidP="001902E7">
      <w:pPr>
        <w:jc w:val="center"/>
        <w:rPr>
          <w:rFonts w:eastAsiaTheme="minorHAnsi" w:cstheme="minorBidi"/>
          <w:b/>
          <w:smallCaps/>
          <w:szCs w:val="24"/>
          <w:lang w:val="fr-CA" w:eastAsia="en-US"/>
        </w:rPr>
      </w:pPr>
      <w:r w:rsidRPr="00443001">
        <w:rPr>
          <w:rFonts w:eastAsiaTheme="minorHAnsi" w:cstheme="minorBidi"/>
          <w:b/>
          <w:smallCaps/>
          <w:szCs w:val="24"/>
          <w:lang w:val="fr-CA" w:eastAsia="en-US"/>
        </w:rPr>
        <w:t>Traduction française officielle</w:t>
      </w:r>
    </w:p>
    <w:p w:rsidR="001902E7" w:rsidRPr="00443001" w:rsidRDefault="001902E7" w:rsidP="001902E7">
      <w:pPr>
        <w:rPr>
          <w:rFonts w:eastAsiaTheme="minorHAnsi" w:cstheme="minorBidi"/>
          <w:szCs w:val="24"/>
          <w:lang w:val="fr-CA" w:eastAsia="en-US"/>
        </w:rPr>
      </w:pPr>
    </w:p>
    <w:p w:rsidR="001902E7" w:rsidRPr="00443001" w:rsidRDefault="001902E7" w:rsidP="001902E7">
      <w:pPr>
        <w:rPr>
          <w:rFonts w:eastAsiaTheme="minorHAnsi" w:cstheme="minorBidi"/>
          <w:szCs w:val="24"/>
          <w:lang w:val="fr-CA" w:eastAsia="en-US"/>
        </w:rPr>
      </w:pPr>
      <w:r w:rsidRPr="00443001">
        <w:rPr>
          <w:rFonts w:eastAsiaTheme="minorHAnsi" w:cstheme="minorBidi"/>
          <w:b/>
          <w:smallCaps/>
          <w:szCs w:val="24"/>
          <w:lang w:val="fr-CA" w:eastAsia="en-US"/>
        </w:rPr>
        <w:t>Coram :</w:t>
      </w:r>
      <w:r w:rsidRPr="00443001">
        <w:rPr>
          <w:rFonts w:eastAsiaTheme="minorHAnsi" w:cstheme="minorBidi"/>
          <w:szCs w:val="24"/>
          <w:lang w:val="fr-CA" w:eastAsia="en-US"/>
        </w:rPr>
        <w:t xml:space="preserve"> La juge en chef McLachlin et les juges Fish, Abella, Rothstein, Cromwell, Moldaver et Wagner</w:t>
      </w:r>
    </w:p>
    <w:p w:rsidR="001902E7" w:rsidRPr="00443001" w:rsidRDefault="001902E7" w:rsidP="001902E7">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902E7" w:rsidRPr="00443001" w:rsidTr="00A91E19">
        <w:trPr>
          <w:cantSplit/>
        </w:trPr>
        <w:tc>
          <w:tcPr>
            <w:tcW w:w="3618" w:type="dxa"/>
          </w:tcPr>
          <w:p w:rsidR="001902E7" w:rsidRPr="00443001" w:rsidRDefault="001902E7" w:rsidP="00A91E19">
            <w:pPr>
              <w:rPr>
                <w:b/>
                <w:smallCaps/>
                <w:lang w:val="fr-CA"/>
              </w:rPr>
            </w:pPr>
            <w:r w:rsidRPr="00443001">
              <w:rPr>
                <w:b/>
                <w:smallCaps/>
                <w:lang w:val="fr-CA"/>
              </w:rPr>
              <w:t>Motifs de jugement :</w:t>
            </w:r>
          </w:p>
          <w:p w:rsidR="001902E7" w:rsidRPr="00443001" w:rsidRDefault="001902E7" w:rsidP="00A91E19">
            <w:pPr>
              <w:rPr>
                <w:smallCaps/>
                <w:lang w:val="fr-CA"/>
              </w:rPr>
            </w:pPr>
            <w:r w:rsidRPr="00443001">
              <w:rPr>
                <w:lang w:val="fr-CA"/>
              </w:rPr>
              <w:t>(par. 1 à 65)</w:t>
            </w:r>
          </w:p>
          <w:p w:rsidR="001902E7" w:rsidRPr="00443001" w:rsidRDefault="001902E7" w:rsidP="00A91E19">
            <w:pPr>
              <w:rPr>
                <w:smallCaps/>
                <w:lang w:val="fr-CA"/>
              </w:rPr>
            </w:pPr>
          </w:p>
          <w:p w:rsidR="001902E7" w:rsidRPr="00443001" w:rsidRDefault="001902E7" w:rsidP="00A91E19">
            <w:pPr>
              <w:rPr>
                <w:b/>
                <w:smallCaps/>
                <w:lang w:val="fr-CA"/>
              </w:rPr>
            </w:pPr>
            <w:r w:rsidRPr="00443001">
              <w:rPr>
                <w:b/>
                <w:smallCaps/>
                <w:lang w:val="fr-CA"/>
              </w:rPr>
              <w:t>Motifs dissidents :</w:t>
            </w:r>
          </w:p>
          <w:p w:rsidR="001902E7" w:rsidRPr="00443001" w:rsidRDefault="001902E7" w:rsidP="001902E7">
            <w:pPr>
              <w:rPr>
                <w:lang w:val="fr-CA"/>
              </w:rPr>
            </w:pPr>
            <w:r w:rsidRPr="00443001">
              <w:rPr>
                <w:lang w:val="fr-CA"/>
              </w:rPr>
              <w:t>(par. 66 à 84)</w:t>
            </w:r>
          </w:p>
        </w:tc>
        <w:tc>
          <w:tcPr>
            <w:tcW w:w="5958" w:type="dxa"/>
          </w:tcPr>
          <w:p w:rsidR="001902E7" w:rsidRPr="00443001" w:rsidRDefault="001902E7" w:rsidP="00A91E19">
            <w:pPr>
              <w:rPr>
                <w:lang w:val="fr-CA"/>
              </w:rPr>
            </w:pPr>
            <w:r w:rsidRPr="00443001">
              <w:rPr>
                <w:lang w:val="fr-CA"/>
              </w:rPr>
              <w:t>La juge en chef McLachlin (avec l’accord des juges Rothstein, Cromwell, Moldaver et Wagner)</w:t>
            </w:r>
          </w:p>
          <w:p w:rsidR="001902E7" w:rsidRPr="00443001" w:rsidRDefault="001902E7" w:rsidP="00A91E19">
            <w:pPr>
              <w:rPr>
                <w:lang w:val="fr-CA"/>
              </w:rPr>
            </w:pPr>
          </w:p>
          <w:p w:rsidR="001902E7" w:rsidRPr="00443001" w:rsidRDefault="001902E7" w:rsidP="00A91E19">
            <w:pPr>
              <w:rPr>
                <w:lang w:val="fr-CA"/>
              </w:rPr>
            </w:pPr>
            <w:r w:rsidRPr="00443001">
              <w:rPr>
                <w:lang w:val="fr-CA"/>
              </w:rPr>
              <w:t>La juge Abella (avec l’accord du juge Fish)</w:t>
            </w:r>
          </w:p>
        </w:tc>
      </w:tr>
    </w:tbl>
    <w:p w:rsidR="001902E7" w:rsidRPr="00443001" w:rsidRDefault="001902E7" w:rsidP="001902E7">
      <w:pPr>
        <w:rPr>
          <w:rFonts w:eastAsiaTheme="minorHAnsi" w:cstheme="minorBidi"/>
          <w:szCs w:val="24"/>
          <w:lang w:val="fr-CA" w:eastAsia="en-US"/>
        </w:rPr>
      </w:pPr>
      <w:r w:rsidRPr="00976FBA">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1902E7" w:rsidRPr="00443001" w:rsidRDefault="001902E7" w:rsidP="001902E7">
      <w:pPr>
        <w:rPr>
          <w:smallCaps/>
          <w:lang w:val="fr-CA"/>
        </w:rPr>
      </w:pPr>
      <w:r w:rsidRPr="00443001">
        <w:rPr>
          <w:smallCaps/>
          <w:lang w:val="fr-CA"/>
        </w:rPr>
        <w:br w:type="page"/>
      </w:r>
    </w:p>
    <w:p w:rsidR="00764155" w:rsidRPr="004D6983" w:rsidRDefault="00764155" w:rsidP="00764155">
      <w:pPr>
        <w:spacing w:after="720"/>
        <w:jc w:val="both"/>
      </w:pPr>
      <w:r>
        <w:lastRenderedPageBreak/>
        <w:t>R</w:t>
      </w:r>
      <w:r w:rsidRPr="004D6983">
        <w:t xml:space="preserve">. </w:t>
      </w:r>
      <w:r>
        <w:rPr>
          <w:i/>
        </w:rPr>
        <w:t>c</w:t>
      </w:r>
      <w:r w:rsidRPr="004D6983">
        <w:rPr>
          <w:i/>
        </w:rPr>
        <w:t>.</w:t>
      </w:r>
      <w:r w:rsidRPr="004D6983">
        <w:t xml:space="preserve"> </w:t>
      </w:r>
      <w:r>
        <w:t>C</w:t>
      </w:r>
      <w:r w:rsidRPr="004D6983">
        <w:t>airney</w:t>
      </w:r>
      <w:r>
        <w:t>, 2013 CSC 55, [2013] 3 R.C.S. 420</w:t>
      </w:r>
    </w:p>
    <w:p w:rsidR="00B95C62" w:rsidRPr="005A4360" w:rsidRDefault="00A162E0" w:rsidP="00D30B96">
      <w:pPr>
        <w:pStyle w:val="SCCLsocLastPartyInRole"/>
        <w:rPr>
          <w:lang w:val="en-US"/>
        </w:rPr>
      </w:pPr>
      <w:r w:rsidRPr="005A4360">
        <w:rPr>
          <w:lang w:val="en-US"/>
        </w:rPr>
        <w:t>Michael John Cairney</w:t>
      </w:r>
      <w:r w:rsidRPr="005A4360">
        <w:rPr>
          <w:rStyle w:val="SCCLsocPartyRole"/>
          <w:lang w:val="en-US"/>
        </w:rPr>
        <w:tab/>
        <w:t>Appelant</w:t>
      </w:r>
    </w:p>
    <w:p w:rsidR="00B95C62" w:rsidRPr="005A4360" w:rsidRDefault="00A162E0" w:rsidP="00D30B96">
      <w:pPr>
        <w:pStyle w:val="SCCLsocVersus"/>
        <w:rPr>
          <w:lang w:val="fr-CA"/>
        </w:rPr>
      </w:pPr>
      <w:r w:rsidRPr="005A4360">
        <w:rPr>
          <w:lang w:val="fr-CA"/>
        </w:rPr>
        <w:t>c.</w:t>
      </w:r>
    </w:p>
    <w:p w:rsidR="00B95C62" w:rsidRPr="005A4360" w:rsidRDefault="00A162E0" w:rsidP="00D30B96">
      <w:pPr>
        <w:pStyle w:val="SCCLsocLastPartyInRole"/>
        <w:rPr>
          <w:lang w:val="fr-CA"/>
        </w:rPr>
      </w:pPr>
      <w:r w:rsidRPr="005A4360">
        <w:rPr>
          <w:lang w:val="fr-CA"/>
        </w:rPr>
        <w:t>Sa Majesté la Reine</w:t>
      </w:r>
      <w:r w:rsidRPr="005A4360">
        <w:rPr>
          <w:rStyle w:val="SCCLsocPartyRole"/>
          <w:lang w:val="fr-CA"/>
        </w:rPr>
        <w:tab/>
        <w:t>Intimée</w:t>
      </w:r>
    </w:p>
    <w:p w:rsidR="004D7D95" w:rsidRPr="005A4360" w:rsidRDefault="004D7D95" w:rsidP="00D30B96">
      <w:pPr>
        <w:spacing w:after="720"/>
        <w:jc w:val="both"/>
        <w:rPr>
          <w:b/>
          <w:lang w:val="fr-CA"/>
        </w:rPr>
      </w:pPr>
      <w:r w:rsidRPr="005A4360">
        <w:rPr>
          <w:b/>
          <w:lang w:val="fr-CA"/>
        </w:rPr>
        <w:t>Répertorié</w:t>
      </w:r>
      <w:r w:rsidR="00496CCB">
        <w:rPr>
          <w:b/>
          <w:lang w:val="fr-CA"/>
        </w:rPr>
        <w:t> :</w:t>
      </w:r>
      <w:r w:rsidRPr="005A4360">
        <w:rPr>
          <w:b/>
          <w:lang w:val="fr-CA"/>
        </w:rPr>
        <w:t> </w:t>
      </w:r>
      <w:r w:rsidR="001C4EFC" w:rsidRPr="005A4360">
        <w:rPr>
          <w:b/>
          <w:lang w:val="fr-CA"/>
        </w:rPr>
        <w:t xml:space="preserve">R. </w:t>
      </w:r>
      <w:r w:rsidR="001C4EFC" w:rsidRPr="005A4360">
        <w:rPr>
          <w:b/>
          <w:i/>
          <w:lang w:val="fr-CA"/>
        </w:rPr>
        <w:t>c.</w:t>
      </w:r>
      <w:r w:rsidR="001C4EFC" w:rsidRPr="005A4360">
        <w:rPr>
          <w:b/>
          <w:lang w:val="fr-CA"/>
        </w:rPr>
        <w:t xml:space="preserve"> </w:t>
      </w:r>
      <w:r w:rsidRPr="005A4360">
        <w:rPr>
          <w:b/>
          <w:lang w:val="fr-CA"/>
        </w:rPr>
        <w:t>Cairney</w:t>
      </w:r>
    </w:p>
    <w:p w:rsidR="004D7D95" w:rsidRPr="005A4360" w:rsidRDefault="00F62639" w:rsidP="00D30B96">
      <w:pPr>
        <w:pStyle w:val="SCCSystemYear"/>
        <w:spacing w:after="720"/>
        <w:jc w:val="both"/>
        <w:rPr>
          <w:lang w:val="fr-CA"/>
        </w:rPr>
      </w:pPr>
      <w:r w:rsidRPr="005A4360">
        <w:rPr>
          <w:lang w:val="fr-CA"/>
        </w:rPr>
        <w:t>2013</w:t>
      </w:r>
      <w:r w:rsidR="004D7D95" w:rsidRPr="005A4360">
        <w:rPr>
          <w:lang w:val="fr-CA"/>
        </w:rPr>
        <w:t xml:space="preserve"> CSC </w:t>
      </w:r>
      <w:r w:rsidR="00EA036E" w:rsidRPr="005A4360">
        <w:rPr>
          <w:lang w:val="fr-CA"/>
        </w:rPr>
        <w:t>55</w:t>
      </w:r>
    </w:p>
    <w:p w:rsidR="004D7D95" w:rsidRPr="005A4360" w:rsidRDefault="004D7D95" w:rsidP="00D30B96">
      <w:pPr>
        <w:spacing w:after="720"/>
        <w:jc w:val="both"/>
        <w:rPr>
          <w:lang w:val="fr-CA"/>
        </w:rPr>
      </w:pPr>
      <w:r w:rsidRPr="005A4360">
        <w:rPr>
          <w:lang w:val="fr-CA"/>
        </w:rPr>
        <w:t>N</w:t>
      </w:r>
      <w:r w:rsidRPr="005A4360">
        <w:rPr>
          <w:vertAlign w:val="superscript"/>
          <w:lang w:val="fr-CA"/>
        </w:rPr>
        <w:t>o</w:t>
      </w:r>
      <w:r w:rsidRPr="005A4360">
        <w:rPr>
          <w:lang w:val="fr-CA"/>
        </w:rPr>
        <w:t xml:space="preserve"> du greffe</w:t>
      </w:r>
      <w:r w:rsidR="00496CCB">
        <w:rPr>
          <w:lang w:val="fr-CA"/>
        </w:rPr>
        <w:t> :</w:t>
      </w:r>
      <w:r w:rsidRPr="005A4360">
        <w:rPr>
          <w:lang w:val="fr-CA"/>
        </w:rPr>
        <w:t> 34848.</w:t>
      </w:r>
    </w:p>
    <w:p w:rsidR="004D7D95" w:rsidRPr="005A4360" w:rsidRDefault="00F62639" w:rsidP="00D30B96">
      <w:pPr>
        <w:spacing w:after="720"/>
        <w:jc w:val="both"/>
        <w:rPr>
          <w:lang w:val="fr-CA"/>
        </w:rPr>
      </w:pPr>
      <w:r w:rsidRPr="005A4360">
        <w:rPr>
          <w:lang w:val="fr-CA"/>
        </w:rPr>
        <w:t>2013</w:t>
      </w:r>
      <w:r w:rsidR="00496CCB">
        <w:rPr>
          <w:lang w:val="fr-CA"/>
        </w:rPr>
        <w:t> :</w:t>
      </w:r>
      <w:r w:rsidR="001C4EFC" w:rsidRPr="005A4360">
        <w:rPr>
          <w:lang w:val="fr-CA"/>
        </w:rPr>
        <w:t> </w:t>
      </w:r>
      <w:r w:rsidRPr="005A4360">
        <w:rPr>
          <w:lang w:val="fr-CA"/>
        </w:rPr>
        <w:t>26</w:t>
      </w:r>
      <w:r w:rsidR="00D30B96" w:rsidRPr="005A4360">
        <w:rPr>
          <w:lang w:val="fr-CA"/>
        </w:rPr>
        <w:t> </w:t>
      </w:r>
      <w:r w:rsidRPr="005A4360">
        <w:rPr>
          <w:lang w:val="fr-CA"/>
        </w:rPr>
        <w:t>avril</w:t>
      </w:r>
      <w:r w:rsidR="004D7D95" w:rsidRPr="005A4360">
        <w:rPr>
          <w:lang w:val="fr-CA"/>
        </w:rPr>
        <w:t xml:space="preserve">; </w:t>
      </w:r>
      <w:r w:rsidR="001C4EFC" w:rsidRPr="005A4360">
        <w:rPr>
          <w:lang w:val="fr-CA"/>
        </w:rPr>
        <w:t>2013</w:t>
      </w:r>
      <w:r w:rsidR="00496CCB">
        <w:rPr>
          <w:lang w:val="fr-CA"/>
        </w:rPr>
        <w:t> :</w:t>
      </w:r>
      <w:r w:rsidR="001C4EFC" w:rsidRPr="005A4360">
        <w:rPr>
          <w:lang w:val="fr-CA"/>
        </w:rPr>
        <w:t> </w:t>
      </w:r>
      <w:r w:rsidR="009B4D5F" w:rsidRPr="005A4360">
        <w:rPr>
          <w:lang w:val="fr-CA"/>
        </w:rPr>
        <w:t>25 </w:t>
      </w:r>
      <w:r w:rsidR="009D58F7" w:rsidRPr="005A4360">
        <w:rPr>
          <w:lang w:val="fr-CA"/>
        </w:rPr>
        <w:t>octobre</w:t>
      </w:r>
      <w:r w:rsidR="004D7D95" w:rsidRPr="005A4360">
        <w:rPr>
          <w:lang w:val="fr-CA"/>
        </w:rPr>
        <w:t>.</w:t>
      </w:r>
    </w:p>
    <w:p w:rsidR="004D7D95" w:rsidRPr="005A4360" w:rsidRDefault="004D7D95" w:rsidP="00D30B96">
      <w:pPr>
        <w:spacing w:after="720"/>
        <w:jc w:val="both"/>
        <w:rPr>
          <w:lang w:val="fr-CA"/>
        </w:rPr>
      </w:pPr>
      <w:r w:rsidRPr="005A4360">
        <w:rPr>
          <w:lang w:val="fr-CA"/>
        </w:rPr>
        <w:t>Présents</w:t>
      </w:r>
      <w:r w:rsidR="00496CCB">
        <w:rPr>
          <w:lang w:val="fr-CA"/>
        </w:rPr>
        <w:t> :</w:t>
      </w:r>
      <w:r w:rsidRPr="005A4360">
        <w:rPr>
          <w:lang w:val="fr-CA"/>
        </w:rPr>
        <w:t> La juge en chef McLachlin et les juges Fish, Abella, Rothstein, Cromwell, Moldaver et Wagner.</w:t>
      </w:r>
    </w:p>
    <w:p w:rsidR="004D7D95" w:rsidRPr="005A4360" w:rsidRDefault="004D7D95" w:rsidP="00D30B96">
      <w:pPr>
        <w:spacing w:after="720"/>
        <w:jc w:val="both"/>
        <w:rPr>
          <w:smallCaps/>
          <w:lang w:val="fr-CA"/>
        </w:rPr>
      </w:pPr>
      <w:r w:rsidRPr="005A4360">
        <w:rPr>
          <w:smallCaps/>
          <w:lang w:val="fr-CA"/>
        </w:rPr>
        <w:t>en appel de la cour d</w:t>
      </w:r>
      <w:r w:rsidR="00C574FE" w:rsidRPr="005A4360">
        <w:rPr>
          <w:smallCaps/>
          <w:lang w:val="fr-CA"/>
        </w:rPr>
        <w:t>’</w:t>
      </w:r>
      <w:r w:rsidRPr="005A4360">
        <w:rPr>
          <w:smallCaps/>
          <w:lang w:val="fr-CA"/>
        </w:rPr>
        <w:t>appel de l</w:t>
      </w:r>
      <w:r w:rsidR="00C574FE" w:rsidRPr="005A4360">
        <w:rPr>
          <w:smallCaps/>
          <w:lang w:val="fr-CA"/>
        </w:rPr>
        <w:t>’</w:t>
      </w:r>
      <w:r w:rsidRPr="005A4360">
        <w:rPr>
          <w:smallCaps/>
          <w:lang w:val="fr-CA"/>
        </w:rPr>
        <w:t>alberta</w:t>
      </w:r>
    </w:p>
    <w:p w:rsidR="004D7D95" w:rsidRPr="005A4360" w:rsidRDefault="004D7D95" w:rsidP="00D30B96">
      <w:pPr>
        <w:pStyle w:val="SCCNormalDoubleSpacing"/>
        <w:spacing w:after="480"/>
        <w:rPr>
          <w:lang w:val="fr-FR"/>
        </w:rPr>
      </w:pPr>
      <w:r w:rsidRPr="005A4360">
        <w:rPr>
          <w:lang w:val="fr-CA"/>
        </w:rPr>
        <w:tab/>
      </w:r>
      <w:r w:rsidR="009D58F7" w:rsidRPr="005A4360">
        <w:rPr>
          <w:i/>
          <w:lang w:val="fr-CA"/>
        </w:rPr>
        <w:t xml:space="preserve">Droit criminel — </w:t>
      </w:r>
      <w:r w:rsidR="00B37652" w:rsidRPr="005A4360">
        <w:rPr>
          <w:i/>
          <w:lang w:val="fr-CA"/>
        </w:rPr>
        <w:t>Moyens de défense</w:t>
      </w:r>
      <w:r w:rsidR="009D58F7" w:rsidRPr="005A4360">
        <w:rPr>
          <w:i/>
          <w:lang w:val="fr-CA"/>
        </w:rPr>
        <w:t xml:space="preserve"> — Provocation — </w:t>
      </w:r>
      <w:r w:rsidR="00B37652" w:rsidRPr="005A4360">
        <w:rPr>
          <w:i/>
          <w:lang w:val="fr-CA"/>
        </w:rPr>
        <w:t xml:space="preserve">Provocation </w:t>
      </w:r>
      <w:r w:rsidR="00F555BE" w:rsidRPr="005A4360">
        <w:rPr>
          <w:i/>
          <w:lang w:val="fr-CA"/>
        </w:rPr>
        <w:t xml:space="preserve">induite </w:t>
      </w:r>
      <w:r w:rsidR="009D58F7" w:rsidRPr="005A4360">
        <w:rPr>
          <w:i/>
          <w:lang w:val="fr-CA"/>
        </w:rPr>
        <w:t xml:space="preserve">— </w:t>
      </w:r>
      <w:r w:rsidR="00F555BE" w:rsidRPr="005A4360">
        <w:rPr>
          <w:i/>
          <w:lang w:val="fr-CA"/>
        </w:rPr>
        <w:t xml:space="preserve">Le fait que l’accusé </w:t>
      </w:r>
      <w:r w:rsidR="00DD2394" w:rsidRPr="005A4360">
        <w:rPr>
          <w:i/>
          <w:lang w:val="fr-CA"/>
        </w:rPr>
        <w:t>a été</w:t>
      </w:r>
      <w:r w:rsidR="00F555BE" w:rsidRPr="005A4360">
        <w:rPr>
          <w:i/>
          <w:lang w:val="fr-CA"/>
        </w:rPr>
        <w:t xml:space="preserve"> à l’origine de l’action ou des paroles qui auraient constitué une provocation empêche</w:t>
      </w:r>
      <w:r w:rsidR="00496CCB">
        <w:rPr>
          <w:i/>
          <w:lang w:val="fr-CA"/>
        </w:rPr>
        <w:noBreakHyphen/>
      </w:r>
      <w:r w:rsidR="00F555BE" w:rsidRPr="005A4360">
        <w:rPr>
          <w:i/>
          <w:lang w:val="fr-CA"/>
        </w:rPr>
        <w:t>t</w:t>
      </w:r>
      <w:r w:rsidR="00496CCB">
        <w:rPr>
          <w:i/>
          <w:lang w:val="fr-CA"/>
        </w:rPr>
        <w:noBreakHyphen/>
      </w:r>
      <w:r w:rsidR="00F555BE" w:rsidRPr="005A4360">
        <w:rPr>
          <w:i/>
          <w:lang w:val="fr-CA"/>
        </w:rPr>
        <w:t xml:space="preserve">il </w:t>
      </w:r>
      <w:r w:rsidR="0033359F" w:rsidRPr="005A4360">
        <w:rPr>
          <w:i/>
          <w:lang w:val="fr-CA"/>
        </w:rPr>
        <w:t>que</w:t>
      </w:r>
      <w:r w:rsidR="00F555BE" w:rsidRPr="005A4360">
        <w:rPr>
          <w:i/>
          <w:lang w:val="fr-CA"/>
        </w:rPr>
        <w:t xml:space="preserve"> la défense de provocation</w:t>
      </w:r>
      <w:r w:rsidR="0033359F" w:rsidRPr="005A4360">
        <w:rPr>
          <w:i/>
          <w:lang w:val="fr-CA"/>
        </w:rPr>
        <w:t xml:space="preserve"> </w:t>
      </w:r>
      <w:r w:rsidR="00BE5014" w:rsidRPr="005A4360">
        <w:rPr>
          <w:i/>
          <w:lang w:val="fr-CA"/>
        </w:rPr>
        <w:t>puisse être</w:t>
      </w:r>
      <w:r w:rsidR="0033359F" w:rsidRPr="005A4360">
        <w:rPr>
          <w:i/>
          <w:lang w:val="fr-CA"/>
        </w:rPr>
        <w:t xml:space="preserve"> soumise</w:t>
      </w:r>
      <w:r w:rsidR="00F555BE" w:rsidRPr="005A4360">
        <w:rPr>
          <w:i/>
          <w:lang w:val="fr-CA"/>
        </w:rPr>
        <w:t xml:space="preserve"> à l’appréciation du jury? </w:t>
      </w:r>
      <w:r w:rsidR="009D58F7" w:rsidRPr="005A4360">
        <w:rPr>
          <w:i/>
          <w:lang w:val="fr-CA"/>
        </w:rPr>
        <w:t xml:space="preserve">— </w:t>
      </w:r>
      <w:r w:rsidR="00F555BE" w:rsidRPr="005A4360">
        <w:rPr>
          <w:i/>
          <w:lang w:val="fr-CA"/>
        </w:rPr>
        <w:t xml:space="preserve">Les éléments objectif et subjectif de la provocation </w:t>
      </w:r>
      <w:r w:rsidR="00C50A45" w:rsidRPr="005A4360">
        <w:rPr>
          <w:i/>
          <w:lang w:val="fr-CA"/>
        </w:rPr>
        <w:t>étaie</w:t>
      </w:r>
      <w:r w:rsidR="00F555BE" w:rsidRPr="005A4360">
        <w:rPr>
          <w:i/>
          <w:lang w:val="fr-CA"/>
        </w:rPr>
        <w:t>nt</w:t>
      </w:r>
      <w:r w:rsidR="00496CCB">
        <w:rPr>
          <w:i/>
          <w:lang w:val="fr-CA"/>
        </w:rPr>
        <w:noBreakHyphen/>
      </w:r>
      <w:r w:rsidR="00F555BE" w:rsidRPr="005A4360">
        <w:rPr>
          <w:i/>
          <w:lang w:val="fr-CA"/>
        </w:rPr>
        <w:t>ils</w:t>
      </w:r>
      <w:r w:rsidR="00BE3B0A" w:rsidRPr="005A4360">
        <w:rPr>
          <w:i/>
          <w:lang w:val="fr-CA"/>
        </w:rPr>
        <w:t xml:space="preserve"> </w:t>
      </w:r>
      <w:r w:rsidR="00F555BE" w:rsidRPr="005A4360">
        <w:rPr>
          <w:i/>
          <w:lang w:val="fr-CA"/>
        </w:rPr>
        <w:t xml:space="preserve">établis et </w:t>
      </w:r>
      <w:r w:rsidR="00BE3B0A" w:rsidRPr="005A4360">
        <w:rPr>
          <w:i/>
          <w:lang w:val="fr-CA"/>
        </w:rPr>
        <w:t>conf</w:t>
      </w:r>
      <w:r w:rsidR="00C50A45" w:rsidRPr="005A4360">
        <w:rPr>
          <w:i/>
          <w:lang w:val="fr-CA"/>
        </w:rPr>
        <w:t>é</w:t>
      </w:r>
      <w:r w:rsidR="00A40E78" w:rsidRPr="005A4360">
        <w:rPr>
          <w:i/>
          <w:lang w:val="fr-CA"/>
        </w:rPr>
        <w:t>r</w:t>
      </w:r>
      <w:r w:rsidR="00C50A45" w:rsidRPr="005A4360">
        <w:rPr>
          <w:i/>
          <w:lang w:val="fr-CA"/>
        </w:rPr>
        <w:t>ai</w:t>
      </w:r>
      <w:r w:rsidR="00A40E78" w:rsidRPr="005A4360">
        <w:rPr>
          <w:i/>
          <w:lang w:val="fr-CA"/>
        </w:rPr>
        <w:t>ent</w:t>
      </w:r>
      <w:r w:rsidR="00496CCB">
        <w:rPr>
          <w:i/>
          <w:lang w:val="fr-CA"/>
        </w:rPr>
        <w:noBreakHyphen/>
      </w:r>
      <w:r w:rsidR="00A40E78" w:rsidRPr="005A4360">
        <w:rPr>
          <w:i/>
          <w:lang w:val="fr-CA"/>
        </w:rPr>
        <w:t xml:space="preserve">ils </w:t>
      </w:r>
      <w:r w:rsidR="00F555BE" w:rsidRPr="005A4360">
        <w:rPr>
          <w:i/>
          <w:lang w:val="fr-CA"/>
        </w:rPr>
        <w:t>une vraisembla</w:t>
      </w:r>
      <w:r w:rsidR="00BE3B0A" w:rsidRPr="005A4360">
        <w:rPr>
          <w:i/>
          <w:lang w:val="fr-CA"/>
        </w:rPr>
        <w:t>nc</w:t>
      </w:r>
      <w:r w:rsidR="00F555BE" w:rsidRPr="005A4360">
        <w:rPr>
          <w:i/>
          <w:lang w:val="fr-CA"/>
        </w:rPr>
        <w:t xml:space="preserve">e </w:t>
      </w:r>
      <w:r w:rsidR="009E6178" w:rsidRPr="005A4360">
        <w:rPr>
          <w:i/>
          <w:lang w:val="fr-CA"/>
        </w:rPr>
        <w:t>au</w:t>
      </w:r>
      <w:r w:rsidR="00F555BE" w:rsidRPr="005A4360">
        <w:rPr>
          <w:i/>
          <w:lang w:val="fr-CA"/>
        </w:rPr>
        <w:t xml:space="preserve"> moyen de </w:t>
      </w:r>
      <w:r w:rsidR="00F555BE" w:rsidRPr="005A4360">
        <w:rPr>
          <w:i/>
          <w:lang w:val="fr-CA"/>
        </w:rPr>
        <w:lastRenderedPageBreak/>
        <w:t>défense?</w:t>
      </w:r>
      <w:r w:rsidR="009D58F7" w:rsidRPr="005A4360">
        <w:rPr>
          <w:i/>
          <w:lang w:val="fr-CA"/>
        </w:rPr>
        <w:t xml:space="preserve"> — </w:t>
      </w:r>
      <w:r w:rsidR="00F555BE" w:rsidRPr="005A4360">
        <w:rPr>
          <w:i/>
          <w:lang w:val="fr-CA"/>
        </w:rPr>
        <w:t>La défense de provocation aurait</w:t>
      </w:r>
      <w:r w:rsidR="00496CCB">
        <w:rPr>
          <w:i/>
          <w:lang w:val="fr-CA"/>
        </w:rPr>
        <w:noBreakHyphen/>
      </w:r>
      <w:r w:rsidR="00F555BE" w:rsidRPr="005A4360">
        <w:rPr>
          <w:i/>
          <w:lang w:val="fr-CA"/>
        </w:rPr>
        <w:t xml:space="preserve">elle dû être soumise au </w:t>
      </w:r>
      <w:r w:rsidR="009D58F7" w:rsidRPr="005A4360">
        <w:rPr>
          <w:i/>
          <w:lang w:val="fr-CA"/>
        </w:rPr>
        <w:t>jury</w:t>
      </w:r>
      <w:r w:rsidR="00F555BE" w:rsidRPr="005A4360">
        <w:rPr>
          <w:i/>
          <w:lang w:val="fr-CA"/>
        </w:rPr>
        <w:t>?</w:t>
      </w:r>
      <w:r w:rsidR="009D58F7" w:rsidRPr="005A4360">
        <w:rPr>
          <w:i/>
          <w:lang w:val="fr-CA"/>
        </w:rPr>
        <w:t xml:space="preserve"> —</w:t>
      </w:r>
      <w:r w:rsidR="00A60D98" w:rsidRPr="005A4360">
        <w:rPr>
          <w:i/>
          <w:lang w:val="fr-CA"/>
        </w:rPr>
        <w:t xml:space="preserve"> </w:t>
      </w:r>
      <w:r w:rsidR="009D58F7" w:rsidRPr="005A4360">
        <w:rPr>
          <w:i/>
          <w:lang w:val="fr-CA"/>
        </w:rPr>
        <w:t xml:space="preserve">Code criminel, L.R.C. 1985, </w:t>
      </w:r>
      <w:r w:rsidR="00496CCB">
        <w:rPr>
          <w:i/>
          <w:lang w:val="fr-CA"/>
        </w:rPr>
        <w:t>ch. </w:t>
      </w:r>
      <w:r w:rsidR="009D58F7" w:rsidRPr="005A4360">
        <w:rPr>
          <w:i/>
          <w:lang w:val="fr-FR"/>
        </w:rPr>
        <w:t>C</w:t>
      </w:r>
      <w:r w:rsidR="00496CCB">
        <w:rPr>
          <w:i/>
          <w:lang w:val="fr-FR"/>
        </w:rPr>
        <w:noBreakHyphen/>
      </w:r>
      <w:r w:rsidR="009D58F7" w:rsidRPr="005A4360">
        <w:rPr>
          <w:i/>
          <w:lang w:val="fr-FR"/>
        </w:rPr>
        <w:t xml:space="preserve">46, </w:t>
      </w:r>
      <w:r w:rsidR="00496CCB">
        <w:rPr>
          <w:i/>
          <w:lang w:val="fr-FR"/>
        </w:rPr>
        <w:t>art. </w:t>
      </w:r>
      <w:r w:rsidR="009D58F7" w:rsidRPr="005A4360">
        <w:rPr>
          <w:i/>
          <w:lang w:val="fr-FR"/>
        </w:rPr>
        <w:t>232</w:t>
      </w:r>
      <w:r w:rsidR="00367FE2" w:rsidRPr="005A4360">
        <w:rPr>
          <w:i/>
          <w:lang w:val="fr-FR"/>
        </w:rPr>
        <w:t>.</w:t>
      </w:r>
    </w:p>
    <w:p w:rsidR="009F6C62" w:rsidRPr="005A4360" w:rsidRDefault="004D7D95" w:rsidP="009F6C62">
      <w:pPr>
        <w:pStyle w:val="SCCNormalDoubleSpacing"/>
        <w:spacing w:after="480"/>
        <w:rPr>
          <w:lang w:val="fr-CA"/>
        </w:rPr>
      </w:pPr>
      <w:r w:rsidRPr="005A4360">
        <w:rPr>
          <w:lang w:val="fr-FR"/>
        </w:rPr>
        <w:tab/>
      </w:r>
      <w:r w:rsidR="009F6C62" w:rsidRPr="005A4360">
        <w:rPr>
          <w:lang w:val="fr-CA"/>
        </w:rPr>
        <w:t>C</w:t>
      </w:r>
      <w:r w:rsidR="005F2171" w:rsidRPr="005A4360">
        <w:rPr>
          <w:lang w:val="fr-CA"/>
        </w:rPr>
        <w:t xml:space="preserve"> a abattu d’un coup de feu son ami de longue date, </w:t>
      </w:r>
      <w:r w:rsidR="009F6C62" w:rsidRPr="005A4360">
        <w:rPr>
          <w:lang w:val="fr-CA"/>
        </w:rPr>
        <w:t xml:space="preserve">F.  </w:t>
      </w:r>
      <w:r w:rsidR="005F2171" w:rsidRPr="005A4360">
        <w:rPr>
          <w:lang w:val="fr-CA"/>
        </w:rPr>
        <w:t xml:space="preserve">Il vivait alors chez ce dernier et </w:t>
      </w:r>
      <w:r w:rsidR="009F6C62" w:rsidRPr="005A4360">
        <w:rPr>
          <w:lang w:val="fr-CA"/>
        </w:rPr>
        <w:t xml:space="preserve">R, </w:t>
      </w:r>
      <w:r w:rsidR="005F2171" w:rsidRPr="005A4360">
        <w:rPr>
          <w:lang w:val="fr-CA"/>
        </w:rPr>
        <w:t xml:space="preserve">sa cousine et conjointe de fait de F.  </w:t>
      </w:r>
      <w:r w:rsidR="005F2171" w:rsidRPr="005A4360">
        <w:rPr>
          <w:lang w:val="fr-FR"/>
        </w:rPr>
        <w:t>F brutalisait R depuis longtemps</w:t>
      </w:r>
      <w:r w:rsidR="009F6C62" w:rsidRPr="005A4360">
        <w:rPr>
          <w:lang w:val="fr-FR"/>
        </w:rPr>
        <w:t xml:space="preserve">.  </w:t>
      </w:r>
      <w:r w:rsidR="005F2171" w:rsidRPr="005A4360">
        <w:rPr>
          <w:lang w:val="fr-CA"/>
        </w:rPr>
        <w:t>Le jour e</w:t>
      </w:r>
      <w:r w:rsidR="009F6C62" w:rsidRPr="005A4360">
        <w:rPr>
          <w:lang w:val="fr-CA"/>
        </w:rPr>
        <w:t>n question, F</w:t>
      </w:r>
      <w:r w:rsidR="005F2171" w:rsidRPr="005A4360">
        <w:rPr>
          <w:lang w:val="fr-CA"/>
        </w:rPr>
        <w:t xml:space="preserve"> avait consommé de l’alcool, s’était mis en colère contre R et avait commencé à l’insulter.  </w:t>
      </w:r>
      <w:r w:rsidR="009F6C62" w:rsidRPr="005A4360">
        <w:rPr>
          <w:lang w:val="fr-CA"/>
        </w:rPr>
        <w:t>C</w:t>
      </w:r>
      <w:r w:rsidR="005F2171" w:rsidRPr="005A4360">
        <w:rPr>
          <w:lang w:val="fr-CA"/>
        </w:rPr>
        <w:t xml:space="preserve"> </w:t>
      </w:r>
      <w:r w:rsidR="00BE5014" w:rsidRPr="005A4360">
        <w:rPr>
          <w:lang w:val="fr-CA"/>
        </w:rPr>
        <w:t>l’</w:t>
      </w:r>
      <w:r w:rsidR="005F2171" w:rsidRPr="005A4360">
        <w:rPr>
          <w:lang w:val="fr-CA"/>
        </w:rPr>
        <w:t xml:space="preserve">avait entendu </w:t>
      </w:r>
      <w:r w:rsidR="00EB23E2" w:rsidRPr="005A4360">
        <w:rPr>
          <w:lang w:val="fr-CA"/>
        </w:rPr>
        <w:t>dire à R qu’il l’aurait projetée contre le mur de la cuisine</w:t>
      </w:r>
      <w:r w:rsidR="009F6C62" w:rsidRPr="005A4360">
        <w:rPr>
          <w:lang w:val="fr-CA"/>
        </w:rPr>
        <w:t xml:space="preserve"> </w:t>
      </w:r>
      <w:r w:rsidR="00EB23E2" w:rsidRPr="005A4360">
        <w:rPr>
          <w:lang w:val="fr-CA"/>
        </w:rPr>
        <w:t xml:space="preserve">si elle n’avait pas </w:t>
      </w:r>
      <w:r w:rsidR="0033359F" w:rsidRPr="005A4360">
        <w:rPr>
          <w:lang w:val="fr-CA"/>
        </w:rPr>
        <w:t>eu</w:t>
      </w:r>
      <w:r w:rsidR="00EB23E2" w:rsidRPr="005A4360">
        <w:rPr>
          <w:lang w:val="fr-CA"/>
        </w:rPr>
        <w:t xml:space="preserve"> mal au dos.  C étai</w:t>
      </w:r>
      <w:r w:rsidR="005A4360" w:rsidRPr="005A4360">
        <w:rPr>
          <w:lang w:val="fr-CA"/>
        </w:rPr>
        <w:t>t</w:t>
      </w:r>
      <w:r w:rsidR="005A4360">
        <w:rPr>
          <w:lang w:val="fr-CA"/>
        </w:rPr>
        <w:t xml:space="preserve"> </w:t>
      </w:r>
      <w:r w:rsidR="005A4360" w:rsidRPr="005A4360">
        <w:rPr>
          <w:lang w:val="fr-CA"/>
        </w:rPr>
        <w:t>s</w:t>
      </w:r>
      <w:r w:rsidR="00EB23E2" w:rsidRPr="005A4360">
        <w:rPr>
          <w:lang w:val="fr-CA"/>
        </w:rPr>
        <w:t>orti de la pièce à la demande de F</w:t>
      </w:r>
      <w:r w:rsidR="0033359F" w:rsidRPr="005A4360">
        <w:rPr>
          <w:lang w:val="fr-CA"/>
        </w:rPr>
        <w:t>, puis</w:t>
      </w:r>
      <w:r w:rsidR="00EB23E2" w:rsidRPr="005A4360">
        <w:rPr>
          <w:lang w:val="fr-CA"/>
        </w:rPr>
        <w:t xml:space="preserve"> avait </w:t>
      </w:r>
      <w:r w:rsidR="0033359F" w:rsidRPr="005A4360">
        <w:rPr>
          <w:lang w:val="fr-CA"/>
        </w:rPr>
        <w:t>récupéré</w:t>
      </w:r>
      <w:r w:rsidR="00EB23E2" w:rsidRPr="005A4360">
        <w:rPr>
          <w:lang w:val="fr-CA"/>
        </w:rPr>
        <w:t xml:space="preserve"> un fusil de chasse chargé.  Ébranlé p</w:t>
      </w:r>
      <w:r w:rsidR="0033359F" w:rsidRPr="005A4360">
        <w:rPr>
          <w:lang w:val="fr-CA"/>
        </w:rPr>
        <w:t>ar la dispute qu’il entendait, il</w:t>
      </w:r>
      <w:r w:rsidR="00EB23E2" w:rsidRPr="005A4360">
        <w:rPr>
          <w:lang w:val="fr-CA"/>
        </w:rPr>
        <w:t xml:space="preserve"> s’était assis dans une autre pièce, se demandant quoi faire.  Il avait décidé de faire peur à F pour lui donner une leçon et le dissuader de brutaliser </w:t>
      </w:r>
      <w:r w:rsidR="0033359F" w:rsidRPr="005A4360">
        <w:rPr>
          <w:lang w:val="fr-CA"/>
        </w:rPr>
        <w:t>R à l’avenir</w:t>
      </w:r>
      <w:r w:rsidR="009F6C62" w:rsidRPr="005A4360">
        <w:rPr>
          <w:lang w:val="fr-CA"/>
        </w:rPr>
        <w:t xml:space="preserve">.  </w:t>
      </w:r>
      <w:r w:rsidR="00EB23E2" w:rsidRPr="005A4360">
        <w:rPr>
          <w:lang w:val="fr-CA"/>
        </w:rPr>
        <w:t xml:space="preserve">Il s’était approché de </w:t>
      </w:r>
      <w:r w:rsidR="009F6C62" w:rsidRPr="005A4360">
        <w:rPr>
          <w:lang w:val="fr-CA"/>
        </w:rPr>
        <w:t xml:space="preserve">F, </w:t>
      </w:r>
      <w:r w:rsidR="00E439FF" w:rsidRPr="005A4360">
        <w:rPr>
          <w:lang w:val="fr-CA"/>
        </w:rPr>
        <w:t>qui était au téléphone, et avait fracassé l’appareil avec l</w:t>
      </w:r>
      <w:r w:rsidR="0033359F" w:rsidRPr="005A4360">
        <w:rPr>
          <w:lang w:val="fr-CA"/>
        </w:rPr>
        <w:t xml:space="preserve">e canon </w:t>
      </w:r>
      <w:r w:rsidR="00E439FF" w:rsidRPr="005A4360">
        <w:rPr>
          <w:lang w:val="fr-CA"/>
        </w:rPr>
        <w:t xml:space="preserve">de l’arme.  Il avait ensuite commencé à </w:t>
      </w:r>
      <w:r w:rsidR="0033359F" w:rsidRPr="005A4360">
        <w:rPr>
          <w:lang w:val="fr-CA"/>
        </w:rPr>
        <w:t xml:space="preserve">le </w:t>
      </w:r>
      <w:r w:rsidR="00E439FF" w:rsidRPr="005A4360">
        <w:rPr>
          <w:lang w:val="fr-CA"/>
        </w:rPr>
        <w:t xml:space="preserve">sermonner sur les sévices qu’il infligeait à </w:t>
      </w:r>
      <w:r w:rsidR="009F6C62" w:rsidRPr="005A4360">
        <w:rPr>
          <w:lang w:val="fr-CA"/>
        </w:rPr>
        <w:t>R.  F</w:t>
      </w:r>
      <w:r w:rsidR="00E439FF" w:rsidRPr="005A4360">
        <w:rPr>
          <w:lang w:val="fr-CA"/>
        </w:rPr>
        <w:t xml:space="preserve"> avait réagi en disant</w:t>
      </w:r>
      <w:r w:rsidR="00CF5C2E">
        <w:rPr>
          <w:lang w:val="fr-CA"/>
        </w:rPr>
        <w:t> :</w:t>
      </w:r>
      <w:r w:rsidR="00947CFF" w:rsidRPr="005A4360">
        <w:rPr>
          <w:lang w:val="fr-CA"/>
        </w:rPr>
        <w:t xml:space="preserve"> </w:t>
      </w:r>
      <w:r w:rsidR="00E439FF" w:rsidRPr="005A4360">
        <w:rPr>
          <w:lang w:val="fr-CA"/>
        </w:rPr>
        <w:t>« </w:t>
      </w:r>
      <w:r w:rsidR="006166B8" w:rsidRPr="005A4360">
        <w:rPr>
          <w:lang w:val="fr-CA"/>
        </w:rPr>
        <w:t>Qu’est</w:t>
      </w:r>
      <w:r w:rsidR="00496CCB">
        <w:rPr>
          <w:lang w:val="fr-CA"/>
        </w:rPr>
        <w:noBreakHyphen/>
      </w:r>
      <w:r w:rsidR="006166B8" w:rsidRPr="005A4360">
        <w:rPr>
          <w:lang w:val="fr-CA"/>
        </w:rPr>
        <w:t>ce que tu vas faire, me tirer dessus</w:t>
      </w:r>
      <w:r w:rsidR="009F6C62" w:rsidRPr="005A4360">
        <w:rPr>
          <w:lang w:val="fr-CA"/>
        </w:rPr>
        <w:t xml:space="preserve">? </w:t>
      </w:r>
      <w:r w:rsidR="006166B8" w:rsidRPr="005A4360">
        <w:rPr>
          <w:lang w:val="fr-CA"/>
        </w:rPr>
        <w:t>T’a</w:t>
      </w:r>
      <w:r w:rsidR="0033359F" w:rsidRPr="005A4360">
        <w:rPr>
          <w:lang w:val="fr-CA"/>
        </w:rPr>
        <w:t>s</w:t>
      </w:r>
      <w:r w:rsidR="00947CFF" w:rsidRPr="005A4360">
        <w:rPr>
          <w:lang w:val="fr-CA"/>
        </w:rPr>
        <w:t xml:space="preserve"> pas le cran de tirer</w:t>
      </w:r>
      <w:r w:rsidR="00CF5C2E">
        <w:rPr>
          <w:lang w:val="fr-CA"/>
        </w:rPr>
        <w:t>.</w:t>
      </w:r>
      <w:r w:rsidR="00947CFF" w:rsidRPr="005A4360">
        <w:rPr>
          <w:lang w:val="fr-CA"/>
        </w:rPr>
        <w:t> </w:t>
      </w:r>
      <w:r w:rsidR="00CF5C2E">
        <w:rPr>
          <w:lang w:val="fr-CA"/>
        </w:rPr>
        <w:t>»</w:t>
      </w:r>
      <w:r w:rsidR="006166B8" w:rsidRPr="005A4360">
        <w:rPr>
          <w:lang w:val="fr-CA"/>
        </w:rPr>
        <w:t xml:space="preserve">  </w:t>
      </w:r>
      <w:r w:rsidR="009F6C62" w:rsidRPr="005A4360">
        <w:rPr>
          <w:lang w:val="fr-FR"/>
        </w:rPr>
        <w:t>F</w:t>
      </w:r>
      <w:r w:rsidR="006166B8" w:rsidRPr="005A4360">
        <w:rPr>
          <w:lang w:val="fr-FR"/>
        </w:rPr>
        <w:t xml:space="preserve"> avait ensuite entrepris de sortir de l’appartement</w:t>
      </w:r>
      <w:r w:rsidR="009F6C62" w:rsidRPr="005A4360">
        <w:rPr>
          <w:lang w:val="fr-FR"/>
        </w:rPr>
        <w:t xml:space="preserve">.  </w:t>
      </w:r>
      <w:r w:rsidR="006166B8" w:rsidRPr="005A4360">
        <w:rPr>
          <w:lang w:val="fr-CA"/>
        </w:rPr>
        <w:t xml:space="preserve">Lorsque </w:t>
      </w:r>
      <w:r w:rsidR="009F6C62" w:rsidRPr="005A4360">
        <w:rPr>
          <w:lang w:val="fr-CA"/>
        </w:rPr>
        <w:t>C</w:t>
      </w:r>
      <w:r w:rsidR="006166B8" w:rsidRPr="005A4360">
        <w:rPr>
          <w:lang w:val="fr-CA"/>
        </w:rPr>
        <w:t xml:space="preserve"> </w:t>
      </w:r>
      <w:r w:rsidR="0033359F" w:rsidRPr="005A4360">
        <w:rPr>
          <w:lang w:val="fr-CA"/>
        </w:rPr>
        <w:t xml:space="preserve">lui </w:t>
      </w:r>
      <w:r w:rsidR="006166B8" w:rsidRPr="005A4360">
        <w:rPr>
          <w:lang w:val="fr-CA"/>
        </w:rPr>
        <w:t>avait dit</w:t>
      </w:r>
      <w:r w:rsidR="00CF5C2E">
        <w:rPr>
          <w:lang w:val="fr-CA"/>
        </w:rPr>
        <w:t> :</w:t>
      </w:r>
      <w:r w:rsidR="00947CFF" w:rsidRPr="005A4360">
        <w:rPr>
          <w:lang w:val="fr-CA"/>
        </w:rPr>
        <w:t xml:space="preserve"> </w:t>
      </w:r>
      <w:r w:rsidR="006166B8" w:rsidRPr="005A4360">
        <w:rPr>
          <w:lang w:val="fr-CA"/>
        </w:rPr>
        <w:t>«</w:t>
      </w:r>
      <w:r w:rsidR="00FD73D8" w:rsidRPr="005A4360">
        <w:rPr>
          <w:lang w:val="fr-CA"/>
        </w:rPr>
        <w:t> </w:t>
      </w:r>
      <w:r w:rsidR="00CF5C2E">
        <w:rPr>
          <w:lang w:val="fr-CA"/>
        </w:rPr>
        <w:t>r</w:t>
      </w:r>
      <w:r w:rsidR="006166B8" w:rsidRPr="005A4360">
        <w:rPr>
          <w:lang w:val="fr-CA"/>
        </w:rPr>
        <w:t>eviens ici</w:t>
      </w:r>
      <w:r w:rsidR="00FD73D8" w:rsidRPr="005A4360">
        <w:rPr>
          <w:lang w:val="fr-CA"/>
        </w:rPr>
        <w:t> </w:t>
      </w:r>
      <w:r w:rsidR="00947CFF" w:rsidRPr="005A4360">
        <w:rPr>
          <w:lang w:val="fr-CA"/>
        </w:rPr>
        <w:t>»,</w:t>
      </w:r>
      <w:r w:rsidR="006166B8" w:rsidRPr="005A4360">
        <w:rPr>
          <w:lang w:val="fr-CA"/>
        </w:rPr>
        <w:t xml:space="preserve"> F a</w:t>
      </w:r>
      <w:r w:rsidR="0033359F" w:rsidRPr="005A4360">
        <w:rPr>
          <w:lang w:val="fr-CA"/>
        </w:rPr>
        <w:t>vait</w:t>
      </w:r>
      <w:r w:rsidR="006166B8" w:rsidRPr="005A4360">
        <w:rPr>
          <w:lang w:val="fr-CA"/>
        </w:rPr>
        <w:t xml:space="preserve"> répondu</w:t>
      </w:r>
      <w:r w:rsidR="00CF5C2E">
        <w:rPr>
          <w:lang w:val="fr-CA"/>
        </w:rPr>
        <w:t xml:space="preserve"> : </w:t>
      </w:r>
      <w:r w:rsidR="00FD73D8" w:rsidRPr="005A4360">
        <w:rPr>
          <w:lang w:val="fr-CA"/>
        </w:rPr>
        <w:t>« </w:t>
      </w:r>
      <w:r w:rsidR="006166B8" w:rsidRPr="005A4360">
        <w:rPr>
          <w:lang w:val="fr-CA"/>
        </w:rPr>
        <w:t xml:space="preserve">Va te faire foutre, épais.  Ça te regarde pas.  Je vais faire ce que je veux avec </w:t>
      </w:r>
      <w:r w:rsidR="00B96F78">
        <w:rPr>
          <w:lang w:val="fr-CA"/>
        </w:rPr>
        <w:t>[</w:t>
      </w:r>
      <w:r w:rsidR="009F6C62" w:rsidRPr="005A4360">
        <w:rPr>
          <w:lang w:val="fr-CA"/>
        </w:rPr>
        <w:t>R</w:t>
      </w:r>
      <w:r w:rsidR="00B96F78">
        <w:rPr>
          <w:lang w:val="fr-CA"/>
        </w:rPr>
        <w:t>]</w:t>
      </w:r>
      <w:r w:rsidR="00810283">
        <w:rPr>
          <w:lang w:val="fr-CA"/>
        </w:rPr>
        <w:t>.</w:t>
      </w:r>
      <w:r w:rsidR="00FD73D8" w:rsidRPr="005A4360">
        <w:rPr>
          <w:lang w:val="fr-CA"/>
        </w:rPr>
        <w:t> </w:t>
      </w:r>
      <w:r w:rsidR="00D239DE" w:rsidRPr="005A4360">
        <w:rPr>
          <w:lang w:val="fr-CA"/>
        </w:rPr>
        <w:t>»</w:t>
      </w:r>
      <w:r w:rsidR="006166B8" w:rsidRPr="005A4360">
        <w:rPr>
          <w:lang w:val="fr-CA"/>
        </w:rPr>
        <w:t xml:space="preserve"> </w:t>
      </w:r>
      <w:r w:rsidR="009F6C62" w:rsidRPr="005A4360">
        <w:rPr>
          <w:lang w:val="fr-CA"/>
        </w:rPr>
        <w:t xml:space="preserve"> F</w:t>
      </w:r>
      <w:r w:rsidR="00D239DE" w:rsidRPr="005A4360">
        <w:rPr>
          <w:lang w:val="fr-CA"/>
        </w:rPr>
        <w:t xml:space="preserve"> avait ensuite quitté l’appartement.  </w:t>
      </w:r>
      <w:r w:rsidR="009F6C62" w:rsidRPr="005A4360">
        <w:rPr>
          <w:lang w:val="fr-CA"/>
        </w:rPr>
        <w:t>C</w:t>
      </w:r>
      <w:r w:rsidR="00D239DE" w:rsidRPr="005A4360">
        <w:rPr>
          <w:lang w:val="fr-CA"/>
        </w:rPr>
        <w:t xml:space="preserve"> l’avait suivi jusqu’à l’escalier, où il l’avait abattu.  Accusé de meurtre au deuxième degré, </w:t>
      </w:r>
      <w:r w:rsidR="009F6C62" w:rsidRPr="005A4360">
        <w:rPr>
          <w:lang w:val="fr-CA"/>
        </w:rPr>
        <w:t xml:space="preserve">C </w:t>
      </w:r>
      <w:r w:rsidR="00D239DE" w:rsidRPr="005A4360">
        <w:rPr>
          <w:lang w:val="fr-CA"/>
        </w:rPr>
        <w:t xml:space="preserve">a subi son procès devant jury.  Il a soutenu ne pas avoir eu l’intention requise pour être déclaré coupable de meurtre et, subsidiairement, avoir été provoqué par les propos de </w:t>
      </w:r>
      <w:r w:rsidR="009F6C62" w:rsidRPr="005A4360">
        <w:rPr>
          <w:lang w:val="fr-CA"/>
        </w:rPr>
        <w:t xml:space="preserve">F.  </w:t>
      </w:r>
      <w:r w:rsidR="00D512FE" w:rsidRPr="005A4360">
        <w:rPr>
          <w:lang w:val="fr-CA"/>
        </w:rPr>
        <w:t xml:space="preserve">La juge du procès ayant apparemment conclu à l’existence de quelque preuve de chacun des éléments constitutifs de la provocation, son exposé au jury a fait état du moyen de défense.  Le </w:t>
      </w:r>
      <w:r w:rsidR="009F6C62" w:rsidRPr="005A4360">
        <w:rPr>
          <w:lang w:val="fr-CA"/>
        </w:rPr>
        <w:lastRenderedPageBreak/>
        <w:t xml:space="preserve">jury </w:t>
      </w:r>
      <w:r w:rsidR="00D512FE" w:rsidRPr="005A4360">
        <w:rPr>
          <w:lang w:val="fr-CA"/>
        </w:rPr>
        <w:t xml:space="preserve">a </w:t>
      </w:r>
      <w:r w:rsidR="009F6C62" w:rsidRPr="005A4360">
        <w:rPr>
          <w:lang w:val="fr-CA"/>
        </w:rPr>
        <w:t>acquitt</w:t>
      </w:r>
      <w:r w:rsidR="00D512FE" w:rsidRPr="005A4360">
        <w:rPr>
          <w:lang w:val="fr-CA"/>
        </w:rPr>
        <w:t xml:space="preserve">é </w:t>
      </w:r>
      <w:r w:rsidR="009F6C62" w:rsidRPr="005A4360">
        <w:rPr>
          <w:lang w:val="fr-CA"/>
        </w:rPr>
        <w:t>C</w:t>
      </w:r>
      <w:r w:rsidR="00D512FE" w:rsidRPr="005A4360">
        <w:rPr>
          <w:lang w:val="fr-CA"/>
        </w:rPr>
        <w:t xml:space="preserve"> de meurtre au deuxième degré et l’a déclaré coupable d’homicide involontaire coupable.  La Cour d’appel a accueilli l’appel </w:t>
      </w:r>
      <w:r w:rsidR="0033359F" w:rsidRPr="005A4360">
        <w:rPr>
          <w:lang w:val="fr-CA"/>
        </w:rPr>
        <w:t>du</w:t>
      </w:r>
      <w:r w:rsidR="00D512FE" w:rsidRPr="005A4360">
        <w:rPr>
          <w:lang w:val="fr-CA"/>
        </w:rPr>
        <w:t xml:space="preserve"> ministère public et ordonné un nouveau procès</w:t>
      </w:r>
      <w:r w:rsidR="004C41CE">
        <w:rPr>
          <w:lang w:val="fr-CA"/>
        </w:rPr>
        <w:t>.</w:t>
      </w:r>
    </w:p>
    <w:p w:rsidR="004D7D95" w:rsidRPr="005A4360" w:rsidRDefault="009F6C62" w:rsidP="009F6C62">
      <w:pPr>
        <w:pStyle w:val="SCCNormalDoubleSpacing"/>
        <w:spacing w:after="480"/>
        <w:rPr>
          <w:lang w:val="fr-CA"/>
        </w:rPr>
      </w:pPr>
      <w:r w:rsidRPr="005A4360">
        <w:rPr>
          <w:lang w:val="fr-CA"/>
        </w:rPr>
        <w:tab/>
      </w:r>
      <w:r w:rsidRPr="005A4360">
        <w:rPr>
          <w:i/>
          <w:lang w:val="fr-CA"/>
        </w:rPr>
        <w:t>Arrêt</w:t>
      </w:r>
      <w:r w:rsidRPr="00E551D8">
        <w:rPr>
          <w:lang w:val="fr-CA"/>
        </w:rPr>
        <w:t xml:space="preserve"> (l</w:t>
      </w:r>
      <w:r w:rsidR="007F4FFA" w:rsidRPr="00E551D8">
        <w:rPr>
          <w:lang w:val="fr-CA"/>
        </w:rPr>
        <w:t>es</w:t>
      </w:r>
      <w:r w:rsidRPr="00E551D8">
        <w:rPr>
          <w:lang w:val="fr-CA"/>
        </w:rPr>
        <w:t xml:space="preserve"> juge</w:t>
      </w:r>
      <w:r w:rsidR="007F4FFA" w:rsidRPr="00E551D8">
        <w:rPr>
          <w:lang w:val="fr-CA"/>
        </w:rPr>
        <w:t>s Fish et</w:t>
      </w:r>
      <w:r w:rsidRPr="00E551D8">
        <w:rPr>
          <w:lang w:val="fr-CA"/>
        </w:rPr>
        <w:t xml:space="preserve"> Abella </w:t>
      </w:r>
      <w:r w:rsidR="007F4FFA" w:rsidRPr="00E551D8">
        <w:rPr>
          <w:lang w:val="fr-CA"/>
        </w:rPr>
        <w:t xml:space="preserve">sont </w:t>
      </w:r>
      <w:r w:rsidRPr="00E551D8">
        <w:rPr>
          <w:lang w:val="fr-CA"/>
        </w:rPr>
        <w:t>dissident</w:t>
      </w:r>
      <w:r w:rsidR="007F4FFA" w:rsidRPr="00E551D8">
        <w:rPr>
          <w:lang w:val="fr-CA"/>
        </w:rPr>
        <w:t>s</w:t>
      </w:r>
      <w:r w:rsidR="00F01340" w:rsidRPr="00E551D8">
        <w:rPr>
          <w:lang w:val="fr-CA"/>
        </w:rPr>
        <w:t>)</w:t>
      </w:r>
      <w:r w:rsidR="00496CCB" w:rsidRPr="00E551D8">
        <w:rPr>
          <w:lang w:val="fr-CA"/>
        </w:rPr>
        <w:t> :</w:t>
      </w:r>
      <w:r w:rsidRPr="00E551D8">
        <w:rPr>
          <w:lang w:val="fr-CA"/>
        </w:rPr>
        <w:t xml:space="preserve"> </w:t>
      </w:r>
      <w:r w:rsidR="004C41CE">
        <w:rPr>
          <w:lang w:val="fr-CA"/>
        </w:rPr>
        <w:t>Le pourvoi est rejeté.</w:t>
      </w:r>
    </w:p>
    <w:p w:rsidR="006538B5" w:rsidRPr="005A4360" w:rsidRDefault="004D7D95" w:rsidP="006538B5">
      <w:pPr>
        <w:pStyle w:val="SCCNormalDoubleSpacing"/>
        <w:spacing w:after="480"/>
        <w:rPr>
          <w:lang w:val="fr-CA"/>
        </w:rPr>
      </w:pPr>
      <w:r w:rsidRPr="005A4360">
        <w:rPr>
          <w:lang w:val="fr-CA"/>
        </w:rPr>
        <w:tab/>
      </w:r>
      <w:r w:rsidR="00D706D5" w:rsidRPr="005A4360">
        <w:rPr>
          <w:i/>
          <w:lang w:val="fr-CA"/>
        </w:rPr>
        <w:t>La</w:t>
      </w:r>
      <w:r w:rsidR="00D706D5" w:rsidRPr="005A4360">
        <w:rPr>
          <w:lang w:val="fr-CA"/>
        </w:rPr>
        <w:t xml:space="preserve"> juge en chef</w:t>
      </w:r>
      <w:r w:rsidR="00D706D5" w:rsidRPr="005A4360">
        <w:rPr>
          <w:b/>
          <w:lang w:val="fr-CA"/>
        </w:rPr>
        <w:t xml:space="preserve"> </w:t>
      </w:r>
      <w:r w:rsidR="006538B5" w:rsidRPr="00810283">
        <w:rPr>
          <w:lang w:val="fr-CA"/>
        </w:rPr>
        <w:t>McLachlin</w:t>
      </w:r>
      <w:r w:rsidR="006538B5" w:rsidRPr="005A4360">
        <w:rPr>
          <w:lang w:val="fr-CA"/>
        </w:rPr>
        <w:t xml:space="preserve"> </w:t>
      </w:r>
      <w:r w:rsidR="00D706D5" w:rsidRPr="005A4360">
        <w:rPr>
          <w:lang w:val="fr-CA"/>
        </w:rPr>
        <w:t xml:space="preserve">et les juges </w:t>
      </w:r>
      <w:r w:rsidR="006538B5" w:rsidRPr="005A4360">
        <w:rPr>
          <w:lang w:val="fr-CA"/>
        </w:rPr>
        <w:t xml:space="preserve">Rothstein, Cromwell, Moldaver </w:t>
      </w:r>
      <w:r w:rsidR="00765551" w:rsidRPr="005A4360">
        <w:rPr>
          <w:lang w:val="fr-CA"/>
        </w:rPr>
        <w:t>et</w:t>
      </w:r>
      <w:r w:rsidR="00FD73D8" w:rsidRPr="005A4360">
        <w:rPr>
          <w:lang w:val="fr-CA"/>
        </w:rPr>
        <w:t xml:space="preserve"> Wagner</w:t>
      </w:r>
      <w:r w:rsidR="00496CCB">
        <w:rPr>
          <w:lang w:val="fr-CA"/>
        </w:rPr>
        <w:t> :</w:t>
      </w:r>
      <w:r w:rsidR="006538B5" w:rsidRPr="005A4360">
        <w:rPr>
          <w:lang w:val="fr-CA"/>
        </w:rPr>
        <w:t xml:space="preserve"> </w:t>
      </w:r>
      <w:r w:rsidR="00765551" w:rsidRPr="005A4360">
        <w:rPr>
          <w:lang w:val="fr-CA"/>
        </w:rPr>
        <w:t xml:space="preserve">La juge du procès a eu tort de soumettre la défense de provocation </w:t>
      </w:r>
      <w:r w:rsidR="0033359F" w:rsidRPr="005A4360">
        <w:rPr>
          <w:lang w:val="fr-CA"/>
        </w:rPr>
        <w:t>a</w:t>
      </w:r>
      <w:r w:rsidR="00765551" w:rsidRPr="005A4360">
        <w:rPr>
          <w:lang w:val="fr-CA"/>
        </w:rPr>
        <w:t xml:space="preserve">u jury </w:t>
      </w:r>
      <w:r w:rsidR="0033359F" w:rsidRPr="005A4360">
        <w:rPr>
          <w:lang w:val="fr-CA"/>
        </w:rPr>
        <w:t xml:space="preserve">car le moyen de </w:t>
      </w:r>
      <w:r w:rsidR="00765551" w:rsidRPr="005A4360">
        <w:rPr>
          <w:lang w:val="fr-CA"/>
        </w:rPr>
        <w:t>défe</w:t>
      </w:r>
      <w:r w:rsidR="00FD73D8" w:rsidRPr="005A4360">
        <w:rPr>
          <w:lang w:val="fr-CA"/>
        </w:rPr>
        <w:t>nse n’</w:t>
      </w:r>
      <w:r w:rsidR="0033359F" w:rsidRPr="005A4360">
        <w:rPr>
          <w:lang w:val="fr-CA"/>
        </w:rPr>
        <w:t>avait aucune</w:t>
      </w:r>
      <w:r w:rsidR="00FD73D8" w:rsidRPr="005A4360">
        <w:rPr>
          <w:lang w:val="fr-CA"/>
        </w:rPr>
        <w:t xml:space="preserve"> vraisembla</w:t>
      </w:r>
      <w:r w:rsidR="0033359F" w:rsidRPr="005A4360">
        <w:rPr>
          <w:lang w:val="fr-CA"/>
        </w:rPr>
        <w:t>nce</w:t>
      </w:r>
      <w:r w:rsidR="00FD73D8" w:rsidRPr="005A4360">
        <w:rPr>
          <w:lang w:val="fr-CA"/>
        </w:rPr>
        <w:t>.</w:t>
      </w:r>
    </w:p>
    <w:p w:rsidR="006538B5" w:rsidRPr="005A4360" w:rsidRDefault="006538B5" w:rsidP="006538B5">
      <w:pPr>
        <w:pStyle w:val="SCCNormalDoubleSpacing"/>
        <w:spacing w:after="480"/>
        <w:rPr>
          <w:lang w:val="fr-FR"/>
        </w:rPr>
      </w:pPr>
      <w:r w:rsidRPr="005A4360">
        <w:rPr>
          <w:lang w:val="fr-CA"/>
        </w:rPr>
        <w:tab/>
      </w:r>
      <w:r w:rsidR="00765551" w:rsidRPr="005A4360">
        <w:rPr>
          <w:lang w:val="fr-CA"/>
        </w:rPr>
        <w:t>Le critère de la vraisemblance vise à déterminer si un jury ayant reçu des directives appropriées et agissant</w:t>
      </w:r>
      <w:r w:rsidR="0033359F" w:rsidRPr="005A4360">
        <w:rPr>
          <w:lang w:val="fr-CA"/>
        </w:rPr>
        <w:t xml:space="preserve"> de manière</w:t>
      </w:r>
      <w:r w:rsidR="00765551" w:rsidRPr="005A4360">
        <w:rPr>
          <w:lang w:val="fr-CA"/>
        </w:rPr>
        <w:t xml:space="preserve"> raisonnable pourrait avoir un doute raisonnable quant à savoir si les éléments </w:t>
      </w:r>
      <w:r w:rsidRPr="005A4360">
        <w:rPr>
          <w:lang w:val="fr-CA"/>
        </w:rPr>
        <w:t>subjecti</w:t>
      </w:r>
      <w:r w:rsidR="00765551" w:rsidRPr="005A4360">
        <w:rPr>
          <w:lang w:val="fr-CA"/>
        </w:rPr>
        <w:t xml:space="preserve">f et </w:t>
      </w:r>
      <w:r w:rsidRPr="005A4360">
        <w:rPr>
          <w:lang w:val="fr-CA"/>
        </w:rPr>
        <w:t>objecti</w:t>
      </w:r>
      <w:r w:rsidR="00765551" w:rsidRPr="005A4360">
        <w:rPr>
          <w:lang w:val="fr-CA"/>
        </w:rPr>
        <w:t>f de la défense de provocation sont établis.  L’élément objectif de la</w:t>
      </w:r>
      <w:r w:rsidR="00EA113B" w:rsidRPr="005A4360">
        <w:rPr>
          <w:lang w:val="fr-CA"/>
        </w:rPr>
        <w:t xml:space="preserve"> défense de provocation veut que l’on </w:t>
      </w:r>
      <w:r w:rsidR="00DE004A" w:rsidRPr="005A4360">
        <w:rPr>
          <w:lang w:val="fr-CA"/>
        </w:rPr>
        <w:t>détermine</w:t>
      </w:r>
      <w:r w:rsidR="00EA113B" w:rsidRPr="005A4360">
        <w:rPr>
          <w:lang w:val="fr-CA"/>
        </w:rPr>
        <w:t xml:space="preserve"> </w:t>
      </w:r>
      <w:r w:rsidR="00DE004A" w:rsidRPr="005A4360">
        <w:rPr>
          <w:lang w:val="fr-CA"/>
        </w:rPr>
        <w:t>si</w:t>
      </w:r>
      <w:r w:rsidR="00C50A45" w:rsidRPr="005A4360">
        <w:rPr>
          <w:lang w:val="fr-CA"/>
        </w:rPr>
        <w:t xml:space="preserve"> </w:t>
      </w:r>
      <w:r w:rsidR="00DE004A" w:rsidRPr="005A4360">
        <w:rPr>
          <w:lang w:val="fr-CA"/>
        </w:rPr>
        <w:t xml:space="preserve">quelque élément de preuve aurait permis à un jury d’avoir un doute raisonnable que les insultes de F </w:t>
      </w:r>
      <w:r w:rsidR="00C50A45" w:rsidRPr="005A4360">
        <w:rPr>
          <w:lang w:val="fr-CA"/>
        </w:rPr>
        <w:t>aurai</w:t>
      </w:r>
      <w:r w:rsidR="00DE004A" w:rsidRPr="005A4360">
        <w:rPr>
          <w:lang w:val="fr-CA"/>
        </w:rPr>
        <w:t>ent privé une personne ordinaire</w:t>
      </w:r>
      <w:r w:rsidR="00C50A45" w:rsidRPr="005A4360">
        <w:rPr>
          <w:lang w:val="fr-CA"/>
        </w:rPr>
        <w:t xml:space="preserve">, dans la situation de C — qui inclut le fait d’avoir déclenché un affrontement armé —, </w:t>
      </w:r>
      <w:r w:rsidR="00DE004A" w:rsidRPr="005A4360">
        <w:rPr>
          <w:lang w:val="fr-CA"/>
        </w:rPr>
        <w:t>du pouvoir de se maîtriser.  L’historique et le context</w:t>
      </w:r>
      <w:r w:rsidR="00EA113B" w:rsidRPr="005A4360">
        <w:rPr>
          <w:lang w:val="fr-CA"/>
        </w:rPr>
        <w:t>e</w:t>
      </w:r>
      <w:r w:rsidR="00DE004A" w:rsidRPr="005A4360">
        <w:rPr>
          <w:lang w:val="fr-CA"/>
        </w:rPr>
        <w:t xml:space="preserve"> des relations entre</w:t>
      </w:r>
      <w:r w:rsidR="00EA113B" w:rsidRPr="005A4360">
        <w:rPr>
          <w:lang w:val="fr-CA"/>
        </w:rPr>
        <w:t xml:space="preserve"> la victime et l’accusé sont pertinents et utiles dans l’application du critère </w:t>
      </w:r>
      <w:r w:rsidR="0033359F" w:rsidRPr="005A4360">
        <w:rPr>
          <w:lang w:val="fr-CA"/>
        </w:rPr>
        <w:t>de</w:t>
      </w:r>
      <w:r w:rsidR="00EA113B" w:rsidRPr="005A4360">
        <w:rPr>
          <w:lang w:val="fr-CA"/>
        </w:rPr>
        <w:t xml:space="preserve"> </w:t>
      </w:r>
      <w:r w:rsidR="00FD73D8" w:rsidRPr="005A4360">
        <w:rPr>
          <w:lang w:val="fr-CA"/>
        </w:rPr>
        <w:t>la « </w:t>
      </w:r>
      <w:r w:rsidR="00EA113B" w:rsidRPr="005A4360">
        <w:rPr>
          <w:lang w:val="fr-CA"/>
        </w:rPr>
        <w:t>personne ordinaire</w:t>
      </w:r>
      <w:r w:rsidR="00FD73D8" w:rsidRPr="005A4360">
        <w:rPr>
          <w:lang w:val="fr-CA"/>
        </w:rPr>
        <w:t> </w:t>
      </w:r>
      <w:r w:rsidR="00EA113B" w:rsidRPr="005A4360">
        <w:rPr>
          <w:lang w:val="fr-CA"/>
        </w:rPr>
        <w:t>»</w:t>
      </w:r>
      <w:r w:rsidRPr="005A4360">
        <w:rPr>
          <w:lang w:val="fr-CA"/>
        </w:rPr>
        <w:t xml:space="preserve">, </w:t>
      </w:r>
      <w:r w:rsidR="00EA113B" w:rsidRPr="005A4360">
        <w:rPr>
          <w:lang w:val="fr-CA"/>
        </w:rPr>
        <w:t xml:space="preserve">comme toutes les données qui confèrent à l’action ou à l’insulte une importance particulière pour une personne </w:t>
      </w:r>
      <w:r w:rsidRPr="005A4360">
        <w:rPr>
          <w:lang w:val="fr-CA"/>
        </w:rPr>
        <w:t>ordina</w:t>
      </w:r>
      <w:r w:rsidR="00EA113B" w:rsidRPr="005A4360">
        <w:rPr>
          <w:lang w:val="fr-CA"/>
        </w:rPr>
        <w:t>ire</w:t>
      </w:r>
      <w:r w:rsidRPr="005A4360">
        <w:rPr>
          <w:lang w:val="fr-CA"/>
        </w:rPr>
        <w:t xml:space="preserve">. </w:t>
      </w:r>
      <w:r w:rsidR="00EA113B" w:rsidRPr="005A4360">
        <w:rPr>
          <w:lang w:val="fr-CA"/>
        </w:rPr>
        <w:t xml:space="preserve"> </w:t>
      </w:r>
      <w:r w:rsidR="00FD73D8" w:rsidRPr="005A4360">
        <w:rPr>
          <w:lang w:val="fr-CA"/>
        </w:rPr>
        <w:t>Néanmoins, il demeure qu’une « personne ordinaire </w:t>
      </w:r>
      <w:r w:rsidR="00EA113B" w:rsidRPr="005A4360">
        <w:rPr>
          <w:lang w:val="fr-CA"/>
        </w:rPr>
        <w:t xml:space="preserve">» </w:t>
      </w:r>
      <w:r w:rsidR="0033359F" w:rsidRPr="005A4360">
        <w:rPr>
          <w:lang w:val="fr-CA"/>
        </w:rPr>
        <w:t xml:space="preserve">respecte </w:t>
      </w:r>
      <w:r w:rsidR="00EA113B" w:rsidRPr="005A4360">
        <w:rPr>
          <w:lang w:val="fr-CA"/>
        </w:rPr>
        <w:t>toujours un seu</w:t>
      </w:r>
      <w:r w:rsidR="004C41CE">
        <w:rPr>
          <w:lang w:val="fr-CA"/>
        </w:rPr>
        <w:t>il minimal de maîtrise de soi.</w:t>
      </w:r>
    </w:p>
    <w:p w:rsidR="006538B5" w:rsidRPr="005A4360" w:rsidRDefault="006538B5" w:rsidP="006538B5">
      <w:pPr>
        <w:pStyle w:val="SCCNormalDoubleSpacing"/>
        <w:spacing w:after="480"/>
        <w:rPr>
          <w:lang w:val="fr-CA"/>
        </w:rPr>
      </w:pPr>
      <w:r w:rsidRPr="005A4360">
        <w:rPr>
          <w:lang w:val="fr-FR"/>
        </w:rPr>
        <w:lastRenderedPageBreak/>
        <w:tab/>
      </w:r>
      <w:r w:rsidR="006A0D63" w:rsidRPr="005A4360">
        <w:rPr>
          <w:lang w:val="fr-CA"/>
        </w:rPr>
        <w:t xml:space="preserve">Bien que les décisions sur la provocation induite ne distinguent pas toutes entre les éléments </w:t>
      </w:r>
      <w:r w:rsidRPr="005A4360">
        <w:rPr>
          <w:lang w:val="fr-CA"/>
        </w:rPr>
        <w:t>objecti</w:t>
      </w:r>
      <w:r w:rsidR="006A0D63" w:rsidRPr="005A4360">
        <w:rPr>
          <w:lang w:val="fr-CA"/>
        </w:rPr>
        <w:t>f et subjectif du moyen de défense, elles conf</w:t>
      </w:r>
      <w:r w:rsidR="001F2AE1" w:rsidRPr="005A4360">
        <w:rPr>
          <w:lang w:val="fr-CA"/>
        </w:rPr>
        <w:t>i</w:t>
      </w:r>
      <w:r w:rsidR="006A0D63" w:rsidRPr="005A4360">
        <w:rPr>
          <w:lang w:val="fr-CA"/>
        </w:rPr>
        <w:t>rment</w:t>
      </w:r>
      <w:r w:rsidR="001F2AE1" w:rsidRPr="005A4360">
        <w:rPr>
          <w:lang w:val="fr-CA"/>
        </w:rPr>
        <w:t xml:space="preserve"> généralement que la conduite de l’accusé peut importer pour les deux éléments et qu’il faut l’examiner de pair avec les autres données contextuelles pour décider de la vraisemblance du moyen de défense.  La provocation induite ne correspond pas à une catégorie particulière du moyen de défense qui ferait intervenir des principes spéciaux.  Elle commande plutôt une application particulière </w:t>
      </w:r>
      <w:r w:rsidR="00803BC7" w:rsidRPr="005A4360">
        <w:rPr>
          <w:lang w:val="fr-CA"/>
        </w:rPr>
        <w:t>des principes généraux qui régissent la défense de provocation.  Aucune règle absolue ne veut que la personne qui déclenche un affrontement ne puisse invoquer ce moyen de défense.  Le fait que la réaction de la victime au comportement agressif de l’accusé fasse partie de celles qui sont raisonnablement prévisibles peut indiquer qu’une personne ordinaire n’aurait pas perdu son sang</w:t>
      </w:r>
      <w:r w:rsidR="00496CCB">
        <w:rPr>
          <w:lang w:val="fr-CA"/>
        </w:rPr>
        <w:noBreakHyphen/>
      </w:r>
      <w:r w:rsidR="00803BC7" w:rsidRPr="005A4360">
        <w:rPr>
          <w:lang w:val="fr-CA"/>
        </w:rPr>
        <w:t xml:space="preserve">froid, bien qu’il faille mettre ce fait en balance avec toutes les autres données contextuelles pertinentes.  </w:t>
      </w:r>
      <w:r w:rsidR="00327610" w:rsidRPr="005A4360">
        <w:rPr>
          <w:lang w:val="fr-CA"/>
        </w:rPr>
        <w:t>Comme chaque fois qu’elle est invoquée, la défense de provocation doit être vraisemblable au vu de la preuve pour être soum</w:t>
      </w:r>
      <w:r w:rsidR="00496CCB">
        <w:rPr>
          <w:lang w:val="fr-CA"/>
        </w:rPr>
        <w:t>ise au jury.</w:t>
      </w:r>
    </w:p>
    <w:p w:rsidR="006538B5" w:rsidRPr="005A4360" w:rsidRDefault="006538B5" w:rsidP="006538B5">
      <w:pPr>
        <w:pStyle w:val="SCCNormalDoubleSpacing"/>
        <w:spacing w:after="480"/>
        <w:rPr>
          <w:lang w:val="fr-CA"/>
        </w:rPr>
      </w:pPr>
      <w:r w:rsidRPr="005A4360">
        <w:rPr>
          <w:lang w:val="fr-CA"/>
        </w:rPr>
        <w:tab/>
      </w:r>
      <w:r w:rsidR="00327610" w:rsidRPr="005A4360">
        <w:rPr>
          <w:lang w:val="fr-CA"/>
        </w:rPr>
        <w:t xml:space="preserve">En l’espèce, une preuve </w:t>
      </w:r>
      <w:r w:rsidR="0033359F" w:rsidRPr="005A4360">
        <w:rPr>
          <w:lang w:val="fr-CA"/>
        </w:rPr>
        <w:t>permettait d’</w:t>
      </w:r>
      <w:r w:rsidR="00327610" w:rsidRPr="005A4360">
        <w:rPr>
          <w:lang w:val="fr-CA"/>
        </w:rPr>
        <w:t>étayer l’élément subjectif, à savoir que C avait en fait réagi à la provocation avant d’avoir eu le temps de reprendre son sang</w:t>
      </w:r>
      <w:r w:rsidR="00496CCB">
        <w:rPr>
          <w:lang w:val="fr-CA"/>
        </w:rPr>
        <w:noBreakHyphen/>
      </w:r>
      <w:r w:rsidR="00327610" w:rsidRPr="005A4360">
        <w:rPr>
          <w:lang w:val="fr-CA"/>
        </w:rPr>
        <w:t xml:space="preserve">froid.  </w:t>
      </w:r>
      <w:r w:rsidR="0033359F" w:rsidRPr="005A4360">
        <w:rPr>
          <w:lang w:val="fr-CA"/>
        </w:rPr>
        <w:t>Cependant</w:t>
      </w:r>
      <w:r w:rsidR="00327610" w:rsidRPr="005A4360">
        <w:rPr>
          <w:lang w:val="fr-FR"/>
        </w:rPr>
        <w:t>, la provocation objective n’a</w:t>
      </w:r>
      <w:r w:rsidR="0033359F" w:rsidRPr="005A4360">
        <w:rPr>
          <w:lang w:val="fr-FR"/>
        </w:rPr>
        <w:t>vait</w:t>
      </w:r>
      <w:r w:rsidR="00327610" w:rsidRPr="005A4360">
        <w:rPr>
          <w:lang w:val="fr-FR"/>
        </w:rPr>
        <w:t xml:space="preserve"> aucune vraisemblance.  </w:t>
      </w:r>
      <w:r w:rsidR="00A66AF9" w:rsidRPr="005A4360">
        <w:rPr>
          <w:lang w:val="fr-CA"/>
        </w:rPr>
        <w:t xml:space="preserve">C prétend que les propos de F constituaient une menace de violence conjugale imminente qui aurait suffi à faire perdre la maîtrise de soi à une personne ordinaire. </w:t>
      </w:r>
      <w:r w:rsidRPr="005A4360">
        <w:rPr>
          <w:lang w:val="fr-CA"/>
        </w:rPr>
        <w:t xml:space="preserve"> </w:t>
      </w:r>
      <w:r w:rsidR="00A66AF9" w:rsidRPr="005A4360">
        <w:rPr>
          <w:lang w:val="fr-CA"/>
        </w:rPr>
        <w:t xml:space="preserve">Or, F ne se comportait plus de manière </w:t>
      </w:r>
      <w:r w:rsidR="00215BEC" w:rsidRPr="005A4360">
        <w:rPr>
          <w:lang w:val="fr-CA"/>
        </w:rPr>
        <w:t>agressive</w:t>
      </w:r>
      <w:r w:rsidR="00A66AF9" w:rsidRPr="005A4360">
        <w:rPr>
          <w:lang w:val="fr-CA"/>
        </w:rPr>
        <w:t xml:space="preserve"> envers R </w:t>
      </w:r>
      <w:r w:rsidR="0033359F" w:rsidRPr="005A4360">
        <w:rPr>
          <w:lang w:val="fr-CA"/>
        </w:rPr>
        <w:t>lorsque</w:t>
      </w:r>
      <w:r w:rsidR="00A66AF9" w:rsidRPr="005A4360">
        <w:rPr>
          <w:lang w:val="fr-CA"/>
        </w:rPr>
        <w:t xml:space="preserve"> C s’</w:t>
      </w:r>
      <w:r w:rsidR="0033359F" w:rsidRPr="005A4360">
        <w:rPr>
          <w:lang w:val="fr-CA"/>
        </w:rPr>
        <w:t>étai</w:t>
      </w:r>
      <w:r w:rsidR="00A66AF9" w:rsidRPr="005A4360">
        <w:rPr>
          <w:lang w:val="fr-CA"/>
        </w:rPr>
        <w:t xml:space="preserve">t approché de lui.  </w:t>
      </w:r>
      <w:r w:rsidR="00A66AF9" w:rsidRPr="005A4360">
        <w:rPr>
          <w:lang w:val="fr-FR"/>
        </w:rPr>
        <w:t xml:space="preserve">Sa colère à l’endroit de R était retombée.  </w:t>
      </w:r>
      <w:r w:rsidR="00A66AF9" w:rsidRPr="005A4360">
        <w:rPr>
          <w:lang w:val="fr-CA"/>
        </w:rPr>
        <w:t xml:space="preserve">Le dossier n’étaye tout simplement </w:t>
      </w:r>
      <w:r w:rsidR="00A66AF9" w:rsidRPr="005A4360">
        <w:rPr>
          <w:lang w:val="fr-CA"/>
        </w:rPr>
        <w:lastRenderedPageBreak/>
        <w:t xml:space="preserve">pas la prétention selon laquelle une personne ordinaire aurait vu dans les paroles de la victime une menace de violence conjugale imminente </w:t>
      </w:r>
      <w:r w:rsidR="0033359F" w:rsidRPr="005A4360">
        <w:rPr>
          <w:lang w:val="fr-CA"/>
        </w:rPr>
        <w:t>dirigée contre</w:t>
      </w:r>
      <w:r w:rsidR="00A66AF9" w:rsidRPr="005A4360">
        <w:rPr>
          <w:lang w:val="fr-CA"/>
        </w:rPr>
        <w:t xml:space="preserve"> R</w:t>
      </w:r>
      <w:r w:rsidR="0033359F" w:rsidRPr="005A4360">
        <w:rPr>
          <w:lang w:val="fr-CA"/>
        </w:rPr>
        <w:t xml:space="preserve"> et aurait de ce fait</w:t>
      </w:r>
      <w:r w:rsidR="00A66AF9" w:rsidRPr="005A4360">
        <w:rPr>
          <w:lang w:val="fr-CA"/>
        </w:rPr>
        <w:t xml:space="preserve"> </w:t>
      </w:r>
      <w:r w:rsidR="00215BEC" w:rsidRPr="005A4360">
        <w:rPr>
          <w:lang w:val="fr-CA"/>
        </w:rPr>
        <w:t>perd</w:t>
      </w:r>
      <w:r w:rsidR="0033359F" w:rsidRPr="005A4360">
        <w:rPr>
          <w:lang w:val="fr-CA"/>
        </w:rPr>
        <w:t>u</w:t>
      </w:r>
      <w:r w:rsidR="00A66AF9" w:rsidRPr="005A4360">
        <w:rPr>
          <w:lang w:val="fr-CA"/>
        </w:rPr>
        <w:t xml:space="preserve"> sa maîtrise de soi</w:t>
      </w:r>
      <w:r w:rsidRPr="005A4360">
        <w:rPr>
          <w:lang w:val="fr-CA"/>
        </w:rPr>
        <w:t>.</w:t>
      </w:r>
    </w:p>
    <w:p w:rsidR="006538B5" w:rsidRPr="005A4360" w:rsidRDefault="006538B5" w:rsidP="006538B5">
      <w:pPr>
        <w:pStyle w:val="SCCNormalDoubleSpacing"/>
        <w:spacing w:after="480"/>
        <w:rPr>
          <w:lang w:val="fr-CA"/>
        </w:rPr>
      </w:pPr>
      <w:r w:rsidRPr="005A4360">
        <w:rPr>
          <w:lang w:val="fr-CA"/>
        </w:rPr>
        <w:tab/>
      </w:r>
      <w:r w:rsidR="00A66AF9" w:rsidRPr="005A4360">
        <w:rPr>
          <w:lang w:val="fr-CA"/>
        </w:rPr>
        <w:t>Restent</w:t>
      </w:r>
      <w:r w:rsidR="00A60D98" w:rsidRPr="005A4360">
        <w:rPr>
          <w:lang w:val="fr-CA"/>
        </w:rPr>
        <w:t xml:space="preserve"> donc le souci de C de prévenir la perpétration </w:t>
      </w:r>
      <w:r w:rsidR="0033359F" w:rsidRPr="005A4360">
        <w:rPr>
          <w:lang w:val="fr-CA"/>
        </w:rPr>
        <w:t xml:space="preserve">ultérieure </w:t>
      </w:r>
      <w:r w:rsidR="00A60D98" w:rsidRPr="005A4360">
        <w:rPr>
          <w:lang w:val="fr-CA"/>
        </w:rPr>
        <w:t xml:space="preserve">d’actes de violence à l’endroit de R et son intention déclarée d’y parvenir en arrachant à F, à la pointe du fusil, la promesse de ne plus agresser </w:t>
      </w:r>
      <w:r w:rsidR="0033359F" w:rsidRPr="005A4360">
        <w:rPr>
          <w:lang w:val="fr-CA"/>
        </w:rPr>
        <w:t>R</w:t>
      </w:r>
      <w:r w:rsidRPr="005A4360">
        <w:rPr>
          <w:lang w:val="fr-CA"/>
        </w:rPr>
        <w:t xml:space="preserve">.  </w:t>
      </w:r>
      <w:r w:rsidR="009E6178" w:rsidRPr="005A4360">
        <w:rPr>
          <w:lang w:val="fr-CA"/>
        </w:rPr>
        <w:t>La</w:t>
      </w:r>
      <w:r w:rsidR="00A60D98" w:rsidRPr="005A4360">
        <w:rPr>
          <w:lang w:val="fr-CA"/>
        </w:rPr>
        <w:t xml:space="preserve"> personne ordinaire qui chercherait à arracher une promesse à la pointe du fusil ne serait pas étonnée de voir son interlocuteur repousser sa demande comme l’a fait F en l’espèce.  Aucune preuve au dossier ne permet de conclure à un choc soudain de nature à faire perdre sa maîtrise de soi à une personne ordinaire.  </w:t>
      </w:r>
      <w:r w:rsidR="0033359F" w:rsidRPr="005A4360">
        <w:rPr>
          <w:lang w:val="fr-CA"/>
        </w:rPr>
        <w:t>U</w:t>
      </w:r>
      <w:r w:rsidR="00A60D98" w:rsidRPr="005A4360">
        <w:rPr>
          <w:lang w:val="fr-CA"/>
        </w:rPr>
        <w:t xml:space="preserve">n jury ayant reçu des directives appropriées et agissant de manière raisonnable n’aurait </w:t>
      </w:r>
      <w:r w:rsidR="0033359F" w:rsidRPr="005A4360">
        <w:rPr>
          <w:lang w:val="fr-CA"/>
        </w:rPr>
        <w:t xml:space="preserve">donc </w:t>
      </w:r>
      <w:r w:rsidR="00A60D98" w:rsidRPr="005A4360">
        <w:rPr>
          <w:lang w:val="fr-CA"/>
        </w:rPr>
        <w:t>pu avoir de doute raisonnable quant à savoir si la conduite de F aurait suffi à priver une personne ordina</w:t>
      </w:r>
      <w:r w:rsidR="004C41CE">
        <w:rPr>
          <w:lang w:val="fr-CA"/>
        </w:rPr>
        <w:t>ire du pouvoir de se maîtriser.</w:t>
      </w:r>
    </w:p>
    <w:p w:rsidR="00F71DD8" w:rsidRPr="005A4360" w:rsidRDefault="00FD73D8" w:rsidP="00FD73D8">
      <w:pPr>
        <w:pStyle w:val="SCCNormalDoubleSpacing"/>
        <w:spacing w:after="480"/>
        <w:rPr>
          <w:lang w:val="fr-CA"/>
        </w:rPr>
      </w:pPr>
      <w:r w:rsidRPr="005A4360">
        <w:rPr>
          <w:i/>
          <w:lang w:val="fr-CA"/>
        </w:rPr>
        <w:tab/>
      </w:r>
      <w:r w:rsidR="00DC1CC4" w:rsidRPr="005A4360">
        <w:rPr>
          <w:i/>
          <w:lang w:val="fr-CA"/>
        </w:rPr>
        <w:t xml:space="preserve">Les </w:t>
      </w:r>
      <w:r w:rsidR="00DC1CC4" w:rsidRPr="005A4360">
        <w:rPr>
          <w:lang w:val="fr-CA"/>
        </w:rPr>
        <w:t xml:space="preserve">juges </w:t>
      </w:r>
      <w:r w:rsidR="00F71DD8" w:rsidRPr="005A4360">
        <w:rPr>
          <w:lang w:val="fr-CA"/>
        </w:rPr>
        <w:t xml:space="preserve">Fish </w:t>
      </w:r>
      <w:r w:rsidR="00DC1CC4" w:rsidRPr="005A4360">
        <w:rPr>
          <w:lang w:val="fr-CA"/>
        </w:rPr>
        <w:t>et</w:t>
      </w:r>
      <w:r w:rsidR="00F71DD8" w:rsidRPr="005A4360">
        <w:rPr>
          <w:lang w:val="fr-CA"/>
        </w:rPr>
        <w:t xml:space="preserve"> </w:t>
      </w:r>
      <w:r w:rsidR="00F71DD8" w:rsidRPr="00810283">
        <w:rPr>
          <w:lang w:val="fr-CA"/>
        </w:rPr>
        <w:t>Abella</w:t>
      </w:r>
      <w:r w:rsidR="00F71DD8" w:rsidRPr="005A4360">
        <w:rPr>
          <w:lang w:val="fr-CA"/>
        </w:rPr>
        <w:t xml:space="preserve"> (diss</w:t>
      </w:r>
      <w:r w:rsidR="00DC1CC4" w:rsidRPr="005A4360">
        <w:rPr>
          <w:lang w:val="fr-CA"/>
        </w:rPr>
        <w:t>id</w:t>
      </w:r>
      <w:r w:rsidR="00F71DD8" w:rsidRPr="005A4360">
        <w:rPr>
          <w:lang w:val="fr-CA"/>
        </w:rPr>
        <w:t>ent</w:t>
      </w:r>
      <w:r w:rsidR="00DC1CC4" w:rsidRPr="005A4360">
        <w:rPr>
          <w:lang w:val="fr-CA"/>
        </w:rPr>
        <w:t>s</w:t>
      </w:r>
      <w:r w:rsidR="00F71DD8" w:rsidRPr="005A4360">
        <w:rPr>
          <w:lang w:val="fr-CA"/>
        </w:rPr>
        <w:t>)</w:t>
      </w:r>
      <w:r w:rsidR="00496CCB">
        <w:rPr>
          <w:lang w:val="fr-CA"/>
        </w:rPr>
        <w:t> :</w:t>
      </w:r>
      <w:r w:rsidR="00F71DD8" w:rsidRPr="005A4360">
        <w:rPr>
          <w:lang w:val="fr-CA"/>
        </w:rPr>
        <w:t xml:space="preserve"> </w:t>
      </w:r>
      <w:r w:rsidR="00DC1CC4" w:rsidRPr="005A4360">
        <w:rPr>
          <w:lang w:val="fr-CA"/>
        </w:rPr>
        <w:t>Le juge du procès doit examiner si la preuve est raisonnablement susceptible d’étayer les inférences nécessaires à l’</w:t>
      </w:r>
      <w:r w:rsidR="004C56BA" w:rsidRPr="005A4360">
        <w:rPr>
          <w:lang w:val="fr-CA"/>
        </w:rPr>
        <w:t>application</w:t>
      </w:r>
      <w:r w:rsidR="00DC1CC4" w:rsidRPr="005A4360">
        <w:rPr>
          <w:lang w:val="fr-CA"/>
        </w:rPr>
        <w:t xml:space="preserve"> de la défense de provocation.  </w:t>
      </w:r>
      <w:r w:rsidR="00552CF4" w:rsidRPr="005A4360">
        <w:rPr>
          <w:lang w:val="fr-CA"/>
        </w:rPr>
        <w:t xml:space="preserve">En ce qui a trait à l’élément </w:t>
      </w:r>
      <w:r w:rsidR="00F71DD8" w:rsidRPr="005A4360">
        <w:rPr>
          <w:lang w:val="fr-CA"/>
        </w:rPr>
        <w:t>objecti</w:t>
      </w:r>
      <w:r w:rsidR="00552CF4" w:rsidRPr="005A4360">
        <w:rPr>
          <w:lang w:val="fr-CA"/>
        </w:rPr>
        <w:t>f</w:t>
      </w:r>
      <w:r w:rsidR="0033359F" w:rsidRPr="005A4360">
        <w:rPr>
          <w:lang w:val="fr-CA"/>
        </w:rPr>
        <w:t>, il</w:t>
      </w:r>
      <w:r w:rsidR="00552CF4" w:rsidRPr="005A4360">
        <w:rPr>
          <w:lang w:val="fr-CA"/>
        </w:rPr>
        <w:t xml:space="preserve"> doit se demander si la preuve pourrait soulever un doute raisonnable quant à savoir si </w:t>
      </w:r>
      <w:r w:rsidR="00CC3CEE" w:rsidRPr="005A4360">
        <w:rPr>
          <w:lang w:val="fr-CA"/>
        </w:rPr>
        <w:t xml:space="preserve">l’accusé a été aux prises avec une action injuste ou une insulte suffisante pour priver une personne ordinaire du pouvoir de se maîtriser. </w:t>
      </w:r>
      <w:r w:rsidR="00F71DD8" w:rsidRPr="005A4360">
        <w:rPr>
          <w:lang w:val="fr-CA"/>
        </w:rPr>
        <w:t xml:space="preserve"> </w:t>
      </w:r>
      <w:r w:rsidR="00CC3CEE" w:rsidRPr="005A4360">
        <w:rPr>
          <w:lang w:val="fr-CA"/>
        </w:rPr>
        <w:t>Pour dé</w:t>
      </w:r>
      <w:r w:rsidRPr="005A4360">
        <w:rPr>
          <w:lang w:val="fr-CA"/>
        </w:rPr>
        <w:t>terminer comment une personne « </w:t>
      </w:r>
      <w:r w:rsidR="00CC3CEE" w:rsidRPr="005A4360">
        <w:rPr>
          <w:lang w:val="fr-CA"/>
        </w:rPr>
        <w:t>ordinaire</w:t>
      </w:r>
      <w:r w:rsidRPr="005A4360">
        <w:rPr>
          <w:lang w:val="fr-CA"/>
        </w:rPr>
        <w:t> </w:t>
      </w:r>
      <w:r w:rsidR="00CC3CEE" w:rsidRPr="005A4360">
        <w:rPr>
          <w:lang w:val="fr-CA"/>
        </w:rPr>
        <w:t>» réagirait à une insulte en particulier, il faut tenir compte des circonstances et du contexte en cause</w:t>
      </w:r>
      <w:r w:rsidR="00F71DD8" w:rsidRPr="005A4360">
        <w:rPr>
          <w:lang w:val="fr-CA"/>
        </w:rPr>
        <w:t xml:space="preserve">, </w:t>
      </w:r>
      <w:r w:rsidR="00CC3CEE" w:rsidRPr="005A4360">
        <w:rPr>
          <w:lang w:val="fr-CA"/>
        </w:rPr>
        <w:t xml:space="preserve">notamment l’historique et le contexte des </w:t>
      </w:r>
      <w:r w:rsidR="00CC3CEE" w:rsidRPr="005A4360">
        <w:rPr>
          <w:lang w:val="fr-CA"/>
        </w:rPr>
        <w:lastRenderedPageBreak/>
        <w:t xml:space="preserve">relations entre la victime et l’accusé.  Il ne faut pas compromettre l’appréciation de la preuve </w:t>
      </w:r>
      <w:r w:rsidR="0033359F" w:rsidRPr="005A4360">
        <w:rPr>
          <w:lang w:val="fr-CA"/>
        </w:rPr>
        <w:t xml:space="preserve">relative à l’élément objectif </w:t>
      </w:r>
      <w:r w:rsidR="00CC3CEE" w:rsidRPr="005A4360">
        <w:rPr>
          <w:lang w:val="fr-CA"/>
        </w:rPr>
        <w:t xml:space="preserve">en mettant l’accent sur le comportement </w:t>
      </w:r>
      <w:r w:rsidR="00F71DD8" w:rsidRPr="005A4360">
        <w:rPr>
          <w:lang w:val="fr-CA"/>
        </w:rPr>
        <w:t>agressi</w:t>
      </w:r>
      <w:r w:rsidR="00CC3CEE" w:rsidRPr="005A4360">
        <w:rPr>
          <w:lang w:val="fr-CA"/>
        </w:rPr>
        <w:t>f</w:t>
      </w:r>
      <w:r w:rsidR="00F71DD8" w:rsidRPr="005A4360">
        <w:rPr>
          <w:lang w:val="fr-CA"/>
        </w:rPr>
        <w:t xml:space="preserve"> </w:t>
      </w:r>
      <w:r w:rsidR="00CC3CEE" w:rsidRPr="005A4360">
        <w:rPr>
          <w:lang w:val="fr-CA"/>
        </w:rPr>
        <w:t>de l’accusé au détriment du contexte dans son entier</w:t>
      </w:r>
      <w:r w:rsidR="00F71DD8" w:rsidRPr="005A4360">
        <w:rPr>
          <w:lang w:val="fr-CA"/>
        </w:rPr>
        <w:t>.</w:t>
      </w:r>
    </w:p>
    <w:p w:rsidR="00F71DD8" w:rsidRPr="005A4360" w:rsidRDefault="00F71DD8" w:rsidP="00FD73D8">
      <w:pPr>
        <w:pStyle w:val="SCCNormalDoubleSpacing"/>
        <w:spacing w:after="480"/>
        <w:rPr>
          <w:lang w:val="fr-CA"/>
        </w:rPr>
      </w:pPr>
      <w:r w:rsidRPr="005A4360">
        <w:rPr>
          <w:lang w:val="fr-CA"/>
        </w:rPr>
        <w:tab/>
      </w:r>
      <w:r w:rsidR="00CC3CEE" w:rsidRPr="005A4360">
        <w:rPr>
          <w:lang w:val="fr-CA"/>
        </w:rPr>
        <w:t xml:space="preserve">Il est impossible de juger des propos de </w:t>
      </w:r>
      <w:r w:rsidRPr="005A4360">
        <w:rPr>
          <w:lang w:val="fr-CA"/>
        </w:rPr>
        <w:t>F</w:t>
      </w:r>
      <w:r w:rsidR="00CC3CEE" w:rsidRPr="005A4360">
        <w:rPr>
          <w:lang w:val="fr-CA"/>
        </w:rPr>
        <w:t xml:space="preserve"> et de la réaction qu’ils susciteraient chez une personne ordinaire sans tenir compte du contexte global et, en particulier, des rapports antérieurs entre </w:t>
      </w:r>
      <w:r w:rsidRPr="005A4360">
        <w:rPr>
          <w:lang w:val="fr-CA"/>
        </w:rPr>
        <w:t xml:space="preserve">C </w:t>
      </w:r>
      <w:r w:rsidR="00CC3CEE" w:rsidRPr="005A4360">
        <w:rPr>
          <w:lang w:val="fr-CA"/>
        </w:rPr>
        <w:t>et</w:t>
      </w:r>
      <w:r w:rsidRPr="005A4360">
        <w:rPr>
          <w:lang w:val="fr-CA"/>
        </w:rPr>
        <w:t xml:space="preserve"> F</w:t>
      </w:r>
      <w:r w:rsidR="0033359F" w:rsidRPr="005A4360">
        <w:rPr>
          <w:lang w:val="fr-CA"/>
        </w:rPr>
        <w:t>, qui</w:t>
      </w:r>
      <w:r w:rsidRPr="005A4360">
        <w:rPr>
          <w:lang w:val="fr-CA"/>
        </w:rPr>
        <w:t xml:space="preserve"> </w:t>
      </w:r>
      <w:r w:rsidR="00CC3CEE" w:rsidRPr="005A4360">
        <w:rPr>
          <w:lang w:val="fr-CA"/>
        </w:rPr>
        <w:t>étaient des amis proches.  Le seul sujet de discorde entre eux était la longue histoire de violence conjugale de F vis</w:t>
      </w:r>
      <w:r w:rsidR="00496CCB">
        <w:rPr>
          <w:lang w:val="fr-CA"/>
        </w:rPr>
        <w:noBreakHyphen/>
      </w:r>
      <w:r w:rsidR="00CC3CEE" w:rsidRPr="005A4360">
        <w:rPr>
          <w:lang w:val="fr-CA"/>
        </w:rPr>
        <w:t>à</w:t>
      </w:r>
      <w:r w:rsidR="00496CCB">
        <w:rPr>
          <w:lang w:val="fr-CA"/>
        </w:rPr>
        <w:noBreakHyphen/>
      </w:r>
      <w:r w:rsidR="00CC3CEE" w:rsidRPr="005A4360">
        <w:rPr>
          <w:lang w:val="fr-CA"/>
        </w:rPr>
        <w:t>vis de R</w:t>
      </w:r>
      <w:r w:rsidRPr="005A4360">
        <w:rPr>
          <w:lang w:val="fr-CA"/>
        </w:rPr>
        <w:t xml:space="preserve">, </w:t>
      </w:r>
      <w:r w:rsidR="00CC3CEE" w:rsidRPr="005A4360">
        <w:rPr>
          <w:lang w:val="fr-CA"/>
        </w:rPr>
        <w:t>la cousine de C</w:t>
      </w:r>
      <w:r w:rsidR="0033359F" w:rsidRPr="005A4360">
        <w:rPr>
          <w:lang w:val="fr-CA"/>
        </w:rPr>
        <w:t>, qu’il</w:t>
      </w:r>
      <w:r w:rsidR="00FD73D8" w:rsidRPr="005A4360">
        <w:rPr>
          <w:lang w:val="fr-CA"/>
        </w:rPr>
        <w:t xml:space="preserve"> considérait comme sa « petite sœur </w:t>
      </w:r>
      <w:r w:rsidR="00EF517A" w:rsidRPr="005A4360">
        <w:rPr>
          <w:lang w:val="fr-CA"/>
        </w:rPr>
        <w:t>»</w:t>
      </w:r>
      <w:r w:rsidRPr="005A4360">
        <w:rPr>
          <w:lang w:val="fr-CA"/>
        </w:rPr>
        <w:t xml:space="preserve">.  F </w:t>
      </w:r>
      <w:r w:rsidR="00810283">
        <w:rPr>
          <w:lang w:val="fr-CA"/>
        </w:rPr>
        <w:t>brutalisait R depuis plus de 10</w:t>
      </w:r>
      <w:r w:rsidR="004D2DD0" w:rsidRPr="005A4360">
        <w:rPr>
          <w:lang w:val="fr-CA"/>
        </w:rPr>
        <w:t xml:space="preserve"> ans.  Les agressions avaient lieu fréquemment, souvent chaque semaine.  Aussi, elles étaient graves.  </w:t>
      </w:r>
      <w:r w:rsidRPr="005A4360">
        <w:rPr>
          <w:lang w:val="fr-CA"/>
        </w:rPr>
        <w:t xml:space="preserve">C </w:t>
      </w:r>
      <w:r w:rsidR="004D2DD0" w:rsidRPr="005A4360">
        <w:rPr>
          <w:lang w:val="fr-CA"/>
        </w:rPr>
        <w:t xml:space="preserve">était bien au fait de la situation, car R avait maintes fois trouvé refuge chez son épouse et lui.  </w:t>
      </w:r>
      <w:r w:rsidRPr="005A4360">
        <w:rPr>
          <w:lang w:val="fr-CA"/>
        </w:rPr>
        <w:t xml:space="preserve">R </w:t>
      </w:r>
      <w:r w:rsidR="004D2DD0" w:rsidRPr="005A4360">
        <w:rPr>
          <w:lang w:val="fr-CA"/>
        </w:rPr>
        <w:t>présentait parfois des contusions dont la gravité l’empêchait d’aller travailler</w:t>
      </w:r>
      <w:r w:rsidR="004C41CE">
        <w:rPr>
          <w:lang w:val="fr-CA"/>
        </w:rPr>
        <w:t>.</w:t>
      </w:r>
    </w:p>
    <w:p w:rsidR="00F71DD8" w:rsidRPr="005A4360" w:rsidRDefault="00F01340" w:rsidP="00FD73D8">
      <w:pPr>
        <w:pStyle w:val="SCCNormalDoubleSpacing"/>
        <w:spacing w:after="480"/>
        <w:rPr>
          <w:lang w:val="fr-CA"/>
        </w:rPr>
      </w:pPr>
      <w:r w:rsidRPr="005A4360">
        <w:rPr>
          <w:lang w:val="fr-CA"/>
        </w:rPr>
        <w:tab/>
      </w:r>
      <w:r w:rsidR="004D2DD0" w:rsidRPr="005A4360">
        <w:rPr>
          <w:lang w:val="fr-CA"/>
        </w:rPr>
        <w:t xml:space="preserve">Soustraire la défense de </w:t>
      </w:r>
      <w:r w:rsidR="00F71DD8" w:rsidRPr="005A4360">
        <w:rPr>
          <w:lang w:val="fr-CA"/>
        </w:rPr>
        <w:t>provocation</w:t>
      </w:r>
      <w:r w:rsidR="004D2DD0" w:rsidRPr="005A4360">
        <w:rPr>
          <w:lang w:val="fr-CA"/>
        </w:rPr>
        <w:t xml:space="preserve"> à l’examen du jury revient à conclure que </w:t>
      </w:r>
      <w:r w:rsidR="00F71DD8" w:rsidRPr="005A4360">
        <w:rPr>
          <w:lang w:val="fr-CA"/>
        </w:rPr>
        <w:t xml:space="preserve">C </w:t>
      </w:r>
      <w:r w:rsidR="00FD73D8" w:rsidRPr="005A4360">
        <w:rPr>
          <w:lang w:val="fr-CA"/>
        </w:rPr>
        <w:t>a déclenché un « </w:t>
      </w:r>
      <w:r w:rsidR="004D2DD0" w:rsidRPr="005A4360">
        <w:rPr>
          <w:lang w:val="fr-CA"/>
        </w:rPr>
        <w:t>affrontement violent</w:t>
      </w:r>
      <w:r w:rsidR="00FD73D8" w:rsidRPr="005A4360">
        <w:rPr>
          <w:lang w:val="fr-CA"/>
        </w:rPr>
        <w:t> </w:t>
      </w:r>
      <w:r w:rsidR="004D2DD0" w:rsidRPr="005A4360">
        <w:rPr>
          <w:lang w:val="fr-CA"/>
        </w:rPr>
        <w:t>»</w:t>
      </w:r>
      <w:r w:rsidR="00F71DD8" w:rsidRPr="005A4360">
        <w:rPr>
          <w:lang w:val="fr-CA"/>
        </w:rPr>
        <w:t xml:space="preserve">. </w:t>
      </w:r>
      <w:r w:rsidR="004D2DD0" w:rsidRPr="005A4360">
        <w:rPr>
          <w:lang w:val="fr-CA"/>
        </w:rPr>
        <w:t xml:space="preserve"> Or, un autre point de vue veut que F ait déclenché l’affrontement </w:t>
      </w:r>
      <w:r w:rsidR="009C5FEA" w:rsidRPr="005A4360">
        <w:rPr>
          <w:lang w:val="fr-CA"/>
        </w:rPr>
        <w:t xml:space="preserve">en se mettant à insulter et à menacer la cousine de </w:t>
      </w:r>
      <w:r w:rsidR="00F71DD8" w:rsidRPr="005A4360">
        <w:rPr>
          <w:lang w:val="fr-CA"/>
        </w:rPr>
        <w:t>C</w:t>
      </w:r>
      <w:r w:rsidR="009C5FEA" w:rsidRPr="005A4360">
        <w:rPr>
          <w:lang w:val="fr-CA"/>
        </w:rPr>
        <w:t xml:space="preserve">, ce qui, au vu de la violence conjugale à laquelle F s’était inlassablement livré jusqu’alors, pouvait raisonnablement être considéré d’emblée comme le prélude d’une nouvelle agression brutale.  Un jury </w:t>
      </w:r>
      <w:r w:rsidR="00500DA2" w:rsidRPr="005A4360">
        <w:rPr>
          <w:lang w:val="fr-CA"/>
        </w:rPr>
        <w:t xml:space="preserve">pourrait fort bien </w:t>
      </w:r>
      <w:r w:rsidR="009C5FEA" w:rsidRPr="005A4360">
        <w:rPr>
          <w:lang w:val="fr-CA"/>
        </w:rPr>
        <w:t xml:space="preserve">conclure à </w:t>
      </w:r>
      <w:r w:rsidR="0033359F" w:rsidRPr="005A4360">
        <w:rPr>
          <w:lang w:val="fr-CA"/>
        </w:rPr>
        <w:t xml:space="preserve">l’existence du volet objectif de </w:t>
      </w:r>
      <w:r w:rsidR="009C5FEA" w:rsidRPr="005A4360">
        <w:rPr>
          <w:lang w:val="fr-CA"/>
        </w:rPr>
        <w:t xml:space="preserve">la provocation étant donné le sérieux de la menace proférée par F à l’effet de brutaliser à nouveau </w:t>
      </w:r>
      <w:r w:rsidR="0033359F" w:rsidRPr="005A4360">
        <w:rPr>
          <w:lang w:val="fr-CA"/>
        </w:rPr>
        <w:t xml:space="preserve">R, </w:t>
      </w:r>
      <w:r w:rsidR="004C41CE">
        <w:rPr>
          <w:lang w:val="fr-CA"/>
        </w:rPr>
        <w:t>la cousine de C.</w:t>
      </w:r>
    </w:p>
    <w:p w:rsidR="00F71DD8" w:rsidRPr="005A4360" w:rsidRDefault="00F01340" w:rsidP="00FD73D8">
      <w:pPr>
        <w:pStyle w:val="SCCNormalDoubleSpacing"/>
        <w:spacing w:after="480"/>
        <w:rPr>
          <w:lang w:val="fr-CA"/>
        </w:rPr>
      </w:pPr>
      <w:r w:rsidRPr="005A4360">
        <w:rPr>
          <w:lang w:val="fr-CA"/>
        </w:rPr>
        <w:lastRenderedPageBreak/>
        <w:tab/>
      </w:r>
      <w:r w:rsidR="00DD634E" w:rsidRPr="005A4360">
        <w:rPr>
          <w:lang w:val="fr-CA"/>
        </w:rPr>
        <w:t>L’</w:t>
      </w:r>
      <w:r w:rsidR="00DD634E" w:rsidRPr="005A4360">
        <w:rPr>
          <w:i/>
          <w:lang w:val="fr-CA"/>
        </w:rPr>
        <w:t>attitude</w:t>
      </w:r>
      <w:r w:rsidR="00DD634E" w:rsidRPr="005A4360">
        <w:rPr>
          <w:lang w:val="fr-CA"/>
        </w:rPr>
        <w:t xml:space="preserve"> méprisante de </w:t>
      </w:r>
      <w:r w:rsidR="00F71DD8" w:rsidRPr="005A4360">
        <w:rPr>
          <w:lang w:val="fr-CA"/>
        </w:rPr>
        <w:t>F</w:t>
      </w:r>
      <w:r w:rsidR="00DD634E" w:rsidRPr="005A4360">
        <w:rPr>
          <w:lang w:val="fr-CA"/>
        </w:rPr>
        <w:t xml:space="preserve"> à l’endroit de C était peut</w:t>
      </w:r>
      <w:r w:rsidR="00496CCB">
        <w:rPr>
          <w:lang w:val="fr-CA"/>
        </w:rPr>
        <w:noBreakHyphen/>
      </w:r>
      <w:r w:rsidR="00DD634E" w:rsidRPr="005A4360">
        <w:rPr>
          <w:lang w:val="fr-CA"/>
        </w:rPr>
        <w:t xml:space="preserve">être prévisible, mais un jury pourrait inférer du contexte global qu’une personne ordinaire n’aurait pas prévu que la réaction de F soit d’affirmer qu’il continuerait de battre R à son gré.  </w:t>
      </w:r>
      <w:r w:rsidR="00D92E9D" w:rsidRPr="005A4360">
        <w:rPr>
          <w:lang w:val="fr-CA"/>
        </w:rPr>
        <w:t xml:space="preserve">L’élément objectif de la </w:t>
      </w:r>
      <w:r w:rsidR="0033359F" w:rsidRPr="005A4360">
        <w:rPr>
          <w:lang w:val="fr-CA"/>
        </w:rPr>
        <w:t xml:space="preserve">défense de </w:t>
      </w:r>
      <w:r w:rsidR="00F71DD8" w:rsidRPr="005A4360">
        <w:rPr>
          <w:lang w:val="fr-CA"/>
        </w:rPr>
        <w:t xml:space="preserve">provocation </w:t>
      </w:r>
      <w:r w:rsidR="00D92E9D" w:rsidRPr="005A4360">
        <w:rPr>
          <w:lang w:val="fr-CA"/>
        </w:rPr>
        <w:t xml:space="preserve">doit être défini en fonction des normes contemporaines, </w:t>
      </w:r>
      <w:r w:rsidR="00766842" w:rsidRPr="005A4360">
        <w:rPr>
          <w:lang w:val="fr-CA"/>
        </w:rPr>
        <w:t>ce qui englobe les valeurs de la</w:t>
      </w:r>
      <w:r w:rsidR="0033359F" w:rsidRPr="005A4360">
        <w:rPr>
          <w:lang w:val="fr-CA"/>
        </w:rPr>
        <w:t xml:space="preserve"> </w:t>
      </w:r>
      <w:r w:rsidR="0033359F" w:rsidRPr="005A4360">
        <w:rPr>
          <w:i/>
          <w:lang w:val="fr-CA"/>
        </w:rPr>
        <w:t>Charte</w:t>
      </w:r>
      <w:r w:rsidR="00766842" w:rsidRPr="005A4360">
        <w:rPr>
          <w:lang w:val="fr-CA"/>
        </w:rPr>
        <w:t xml:space="preserve">, mais </w:t>
      </w:r>
      <w:r w:rsidR="00766842" w:rsidRPr="005A4360">
        <w:rPr>
          <w:i/>
          <w:lang w:val="fr-CA"/>
        </w:rPr>
        <w:t>non</w:t>
      </w:r>
      <w:r w:rsidR="00766842" w:rsidRPr="005A4360">
        <w:rPr>
          <w:lang w:val="fr-CA"/>
        </w:rPr>
        <w:t xml:space="preserve"> des attitudes violemment possessives à l’égard d</w:t>
      </w:r>
      <w:r w:rsidR="0033359F" w:rsidRPr="005A4360">
        <w:rPr>
          <w:lang w:val="fr-CA"/>
        </w:rPr>
        <w:t>’un</w:t>
      </w:r>
      <w:r w:rsidR="00B9502D" w:rsidRPr="005A4360">
        <w:rPr>
          <w:lang w:val="fr-CA"/>
        </w:rPr>
        <w:t xml:space="preserve"> </w:t>
      </w:r>
      <w:r w:rsidR="00766842" w:rsidRPr="005A4360">
        <w:rPr>
          <w:lang w:val="fr-CA"/>
        </w:rPr>
        <w:t>conjoint</w:t>
      </w:r>
      <w:r w:rsidR="00F71DD8" w:rsidRPr="005A4360">
        <w:rPr>
          <w:lang w:val="fr-CA"/>
        </w:rPr>
        <w:t xml:space="preserve">. </w:t>
      </w:r>
      <w:r w:rsidR="00766842" w:rsidRPr="005A4360">
        <w:rPr>
          <w:lang w:val="fr-CA"/>
        </w:rPr>
        <w:t xml:space="preserve"> Il est donc troublant de conclure, comme l</w:t>
      </w:r>
      <w:r w:rsidR="0033359F" w:rsidRPr="005A4360">
        <w:rPr>
          <w:lang w:val="fr-CA"/>
        </w:rPr>
        <w:t>e f</w:t>
      </w:r>
      <w:r w:rsidR="00766842" w:rsidRPr="005A4360">
        <w:rPr>
          <w:lang w:val="fr-CA"/>
        </w:rPr>
        <w:t>ont les juges majoritaires, qu’il était</w:t>
      </w:r>
      <w:r w:rsidR="00500DA2" w:rsidRPr="005A4360">
        <w:rPr>
          <w:lang w:val="fr-CA"/>
        </w:rPr>
        <w:t xml:space="preserve"> «</w:t>
      </w:r>
      <w:r w:rsidR="00FD73D8" w:rsidRPr="005A4360">
        <w:rPr>
          <w:lang w:val="fr-CA"/>
        </w:rPr>
        <w:t> </w:t>
      </w:r>
      <w:r w:rsidR="00766842" w:rsidRPr="005A4360">
        <w:rPr>
          <w:lang w:val="fr-CA"/>
        </w:rPr>
        <w:t>prévisible</w:t>
      </w:r>
      <w:r w:rsidR="00FD73D8" w:rsidRPr="005A4360">
        <w:rPr>
          <w:lang w:val="fr-CA"/>
        </w:rPr>
        <w:t> </w:t>
      </w:r>
      <w:r w:rsidR="00500DA2" w:rsidRPr="005A4360">
        <w:rPr>
          <w:lang w:val="fr-CA"/>
        </w:rPr>
        <w:t>»</w:t>
      </w:r>
      <w:r w:rsidR="00766842" w:rsidRPr="005A4360">
        <w:rPr>
          <w:lang w:val="fr-CA"/>
        </w:rPr>
        <w:t xml:space="preserve"> que F </w:t>
      </w:r>
      <w:r w:rsidR="00B9502D" w:rsidRPr="005A4360">
        <w:rPr>
          <w:lang w:val="fr-CA"/>
        </w:rPr>
        <w:t xml:space="preserve">réagisse à la mise en garde de C en confirmant son </w:t>
      </w:r>
      <w:r w:rsidR="00F71DD8" w:rsidRPr="005A4360">
        <w:rPr>
          <w:lang w:val="fr-CA"/>
        </w:rPr>
        <w:t xml:space="preserve">intention </w:t>
      </w:r>
      <w:r w:rsidR="00B9502D" w:rsidRPr="005A4360">
        <w:rPr>
          <w:lang w:val="fr-CA"/>
        </w:rPr>
        <w:t>de commettre d’autres actes de violence conjugale.  Il est d</w:t>
      </w:r>
      <w:r w:rsidR="00FD73D8" w:rsidRPr="005A4360">
        <w:rPr>
          <w:lang w:val="fr-CA"/>
        </w:rPr>
        <w:t>ifficile de voir une réaction « </w:t>
      </w:r>
      <w:r w:rsidR="00B9502D" w:rsidRPr="005A4360">
        <w:rPr>
          <w:lang w:val="fr-CA"/>
        </w:rPr>
        <w:t>p</w:t>
      </w:r>
      <w:r w:rsidR="00FD73D8" w:rsidRPr="005A4360">
        <w:rPr>
          <w:lang w:val="fr-CA"/>
        </w:rPr>
        <w:t>révisible </w:t>
      </w:r>
      <w:r w:rsidR="00B9502D" w:rsidRPr="005A4360">
        <w:rPr>
          <w:lang w:val="fr-CA"/>
        </w:rPr>
        <w:t xml:space="preserve">» dans l’intention exprimée de continuer à agresser </w:t>
      </w:r>
      <w:r w:rsidR="0033359F" w:rsidRPr="005A4360">
        <w:rPr>
          <w:lang w:val="fr-CA"/>
        </w:rPr>
        <w:t>un</w:t>
      </w:r>
      <w:r w:rsidR="00B9502D" w:rsidRPr="005A4360">
        <w:rPr>
          <w:lang w:val="fr-CA"/>
        </w:rPr>
        <w:t xml:space="preserve"> conjoint</w:t>
      </w:r>
      <w:r w:rsidR="00F71DD8" w:rsidRPr="005A4360">
        <w:rPr>
          <w:lang w:val="fr-CA"/>
        </w:rPr>
        <w:t>.</w:t>
      </w:r>
    </w:p>
    <w:p w:rsidR="00F71DD8" w:rsidRPr="005A4360" w:rsidRDefault="00F71DD8" w:rsidP="00FD73D8">
      <w:pPr>
        <w:pStyle w:val="SCCNormalDoubleSpacing"/>
        <w:spacing w:after="480"/>
        <w:rPr>
          <w:lang w:val="fr-CA"/>
        </w:rPr>
      </w:pPr>
      <w:r w:rsidRPr="005A4360">
        <w:rPr>
          <w:lang w:val="fr-CA"/>
        </w:rPr>
        <w:tab/>
      </w:r>
      <w:r w:rsidR="00AC3CDC" w:rsidRPr="005A4360">
        <w:rPr>
          <w:lang w:val="fr-CA"/>
        </w:rPr>
        <w:t>La juge du procès a donc eu raison de soumettre la défense de provoc</w:t>
      </w:r>
      <w:r w:rsidR="004C41CE">
        <w:rPr>
          <w:lang w:val="fr-CA"/>
        </w:rPr>
        <w:t>ation à l’appréciation du jury.</w:t>
      </w:r>
    </w:p>
    <w:p w:rsidR="004D7D95" w:rsidRPr="005A4360" w:rsidRDefault="004D7D95" w:rsidP="00947CFF">
      <w:pPr>
        <w:pStyle w:val="SCCNormalDoubleSpacing"/>
        <w:keepNext/>
        <w:spacing w:after="480"/>
        <w:rPr>
          <w:b/>
          <w:lang w:val="fr-CA"/>
        </w:rPr>
      </w:pPr>
      <w:r w:rsidRPr="005A4360">
        <w:rPr>
          <w:b/>
          <w:lang w:val="fr-CA"/>
        </w:rPr>
        <w:t>Jurisprudence</w:t>
      </w:r>
    </w:p>
    <w:p w:rsidR="00E01376" w:rsidRPr="005A4360" w:rsidRDefault="00E01376" w:rsidP="00D30B96">
      <w:pPr>
        <w:pStyle w:val="SCCNormalDoubleSpacing"/>
        <w:keepNext/>
        <w:spacing w:after="720" w:line="240" w:lineRule="auto"/>
        <w:rPr>
          <w:lang w:val="fr-CA"/>
        </w:rPr>
      </w:pPr>
      <w:r w:rsidRPr="005A4360">
        <w:rPr>
          <w:lang w:val="fr-CA"/>
        </w:rPr>
        <w:t>Citée par la juge en chef McLachlin</w:t>
      </w:r>
    </w:p>
    <w:p w:rsidR="004D7D95" w:rsidRPr="005A4360" w:rsidRDefault="004D7D95" w:rsidP="00D30B96">
      <w:pPr>
        <w:pStyle w:val="SCCNormalDoubleSpacing"/>
        <w:spacing w:after="480"/>
        <w:rPr>
          <w:b/>
          <w:lang w:val="fr-CA"/>
        </w:rPr>
      </w:pPr>
      <w:r w:rsidRPr="005A4360">
        <w:rPr>
          <w:lang w:val="fr-CA"/>
        </w:rPr>
        <w:tab/>
      </w:r>
      <w:r w:rsidR="00736139" w:rsidRPr="005A4360">
        <w:rPr>
          <w:b/>
          <w:lang w:val="fr-CA"/>
        </w:rPr>
        <w:t>Distinction d’avec l’arrêt</w:t>
      </w:r>
      <w:r w:rsidR="00496CCB">
        <w:rPr>
          <w:b/>
          <w:lang w:val="fr-CA"/>
        </w:rPr>
        <w:t> :</w:t>
      </w:r>
      <w:r w:rsidR="00736139" w:rsidRPr="005A4360">
        <w:rPr>
          <w:lang w:val="fr-CA"/>
        </w:rPr>
        <w:t xml:space="preserve"> </w:t>
      </w:r>
      <w:r w:rsidR="00736139" w:rsidRPr="005A4360">
        <w:rPr>
          <w:i/>
          <w:lang w:val="fr-CA"/>
        </w:rPr>
        <w:t>R. c. Thibert</w:t>
      </w:r>
      <w:r w:rsidR="00736139" w:rsidRPr="005A4360">
        <w:rPr>
          <w:lang w:val="fr-CA"/>
        </w:rPr>
        <w:t xml:space="preserve">, [1996] 1 R.C.S. 37; </w:t>
      </w:r>
      <w:r w:rsidR="00736139" w:rsidRPr="005A4360">
        <w:rPr>
          <w:b/>
          <w:lang w:val="fr-CA"/>
        </w:rPr>
        <w:t>a</w:t>
      </w:r>
      <w:r w:rsidRPr="005A4360">
        <w:rPr>
          <w:b/>
          <w:lang w:val="fr-CA"/>
        </w:rPr>
        <w:t>rrêts mentionnés</w:t>
      </w:r>
      <w:r w:rsidR="00496CCB">
        <w:rPr>
          <w:b/>
          <w:lang w:val="fr-CA"/>
        </w:rPr>
        <w:t> :</w:t>
      </w:r>
      <w:r w:rsidRPr="005A4360">
        <w:rPr>
          <w:lang w:val="fr-CA"/>
        </w:rPr>
        <w:t xml:space="preserve"> </w:t>
      </w:r>
      <w:r w:rsidR="000C1704" w:rsidRPr="005A4360">
        <w:rPr>
          <w:i/>
          <w:lang w:val="fr-CA"/>
        </w:rPr>
        <w:t>R. c. Cinous</w:t>
      </w:r>
      <w:r w:rsidR="000C1704" w:rsidRPr="005A4360">
        <w:rPr>
          <w:lang w:val="fr-CA"/>
        </w:rPr>
        <w:t xml:space="preserve">, 2002 CSC 29, [2002] 2 R.C.S. 3; </w:t>
      </w:r>
      <w:r w:rsidR="000C1704" w:rsidRPr="005A4360">
        <w:rPr>
          <w:i/>
          <w:lang w:val="fr-CA"/>
        </w:rPr>
        <w:t>R. c. Buzizi</w:t>
      </w:r>
      <w:r w:rsidR="000C1704" w:rsidRPr="005A4360">
        <w:rPr>
          <w:lang w:val="fr-CA"/>
        </w:rPr>
        <w:t>, 2013 CSC 27</w:t>
      </w:r>
      <w:r w:rsidR="00810283">
        <w:rPr>
          <w:lang w:val="fr-CA"/>
        </w:rPr>
        <w:t xml:space="preserve">, [2013] </w:t>
      </w:r>
      <w:r w:rsidR="009A19BB">
        <w:rPr>
          <w:lang w:val="fr-CA"/>
        </w:rPr>
        <w:t>2</w:t>
      </w:r>
      <w:r w:rsidR="00810283">
        <w:rPr>
          <w:lang w:val="fr-CA"/>
        </w:rPr>
        <w:t xml:space="preserve"> R.C.S. </w:t>
      </w:r>
      <w:r w:rsidR="009A19BB">
        <w:rPr>
          <w:lang w:val="fr-CA"/>
        </w:rPr>
        <w:t>248</w:t>
      </w:r>
      <w:r w:rsidR="000C1704" w:rsidRPr="005A4360">
        <w:rPr>
          <w:lang w:val="fr-CA"/>
        </w:rPr>
        <w:t xml:space="preserve">; </w:t>
      </w:r>
      <w:r w:rsidR="000C1704" w:rsidRPr="005A4360">
        <w:rPr>
          <w:i/>
          <w:lang w:val="fr-CA"/>
        </w:rPr>
        <w:t>R. c. Tran</w:t>
      </w:r>
      <w:r w:rsidR="000C1704" w:rsidRPr="005A4360">
        <w:rPr>
          <w:lang w:val="fr-CA"/>
        </w:rPr>
        <w:t xml:space="preserve">, 2010 CSC 58, [2010] 3 R.C.S. 350; </w:t>
      </w:r>
      <w:r w:rsidR="000C1704" w:rsidRPr="005A4360">
        <w:rPr>
          <w:i/>
          <w:lang w:val="fr-CA"/>
        </w:rPr>
        <w:t>R. c. Mayuran</w:t>
      </w:r>
      <w:r w:rsidR="000C1704" w:rsidRPr="005A4360">
        <w:rPr>
          <w:lang w:val="fr-CA"/>
        </w:rPr>
        <w:t xml:space="preserve">, 2012 CSC 31, [2012] 2 R.C.S. 162; </w:t>
      </w:r>
      <w:r w:rsidR="000C1704" w:rsidRPr="005A4360">
        <w:rPr>
          <w:i/>
          <w:lang w:val="fr-CA"/>
        </w:rPr>
        <w:t>R. c. Pappas</w:t>
      </w:r>
      <w:r w:rsidR="000C1704" w:rsidRPr="005A4360">
        <w:rPr>
          <w:lang w:val="fr-CA"/>
        </w:rPr>
        <w:t xml:space="preserve">, 2013 CSC </w:t>
      </w:r>
      <w:r w:rsidR="00EA036E" w:rsidRPr="005A4360">
        <w:rPr>
          <w:lang w:val="fr-CA"/>
        </w:rPr>
        <w:t>56</w:t>
      </w:r>
      <w:r w:rsidR="00810283">
        <w:rPr>
          <w:lang w:val="fr-CA"/>
        </w:rPr>
        <w:t xml:space="preserve">, [2013] </w:t>
      </w:r>
      <w:r w:rsidR="009A19BB">
        <w:rPr>
          <w:lang w:val="fr-CA"/>
        </w:rPr>
        <w:t>3</w:t>
      </w:r>
      <w:r w:rsidR="00810283">
        <w:rPr>
          <w:lang w:val="fr-CA"/>
        </w:rPr>
        <w:t xml:space="preserve"> R.C.S. </w:t>
      </w:r>
      <w:r w:rsidR="009A19BB">
        <w:rPr>
          <w:lang w:val="fr-CA"/>
        </w:rPr>
        <w:t>452</w:t>
      </w:r>
      <w:r w:rsidR="000C1704" w:rsidRPr="005A4360">
        <w:rPr>
          <w:lang w:val="fr-CA"/>
        </w:rPr>
        <w:t xml:space="preserve">; </w:t>
      </w:r>
      <w:r w:rsidR="000C1704" w:rsidRPr="005A4360">
        <w:rPr>
          <w:i/>
          <w:lang w:val="fr-CA"/>
        </w:rPr>
        <w:t>R. c. Welsh</w:t>
      </w:r>
      <w:r w:rsidR="000C1704" w:rsidRPr="005A4360">
        <w:rPr>
          <w:lang w:val="fr-CA"/>
        </w:rPr>
        <w:t xml:space="preserve"> (1869), 11 Cox C.C. 336; </w:t>
      </w:r>
      <w:r w:rsidR="000C1704" w:rsidRPr="005A4360">
        <w:rPr>
          <w:i/>
          <w:lang w:val="fr-CA"/>
        </w:rPr>
        <w:t>Mason’s Case</w:t>
      </w:r>
      <w:r w:rsidR="000C1704" w:rsidRPr="005A4360">
        <w:rPr>
          <w:lang w:val="fr-CA"/>
        </w:rPr>
        <w:t xml:space="preserve"> (1756), Fost. 132, 168 E.R. 66; </w:t>
      </w:r>
      <w:r w:rsidR="009A1741" w:rsidRPr="005A4360">
        <w:rPr>
          <w:i/>
          <w:lang w:val="fr-CA"/>
        </w:rPr>
        <w:t>R.</w:t>
      </w:r>
      <w:r w:rsidR="000C1704" w:rsidRPr="005A4360">
        <w:rPr>
          <w:i/>
          <w:lang w:val="fr-CA"/>
        </w:rPr>
        <w:t xml:space="preserve"> c. Tripodi</w:t>
      </w:r>
      <w:r w:rsidR="000C1704" w:rsidRPr="005A4360">
        <w:rPr>
          <w:lang w:val="fr-CA"/>
        </w:rPr>
        <w:t xml:space="preserve">, [1955] R.C.S. 438; </w:t>
      </w:r>
      <w:r w:rsidR="000C1704" w:rsidRPr="005A4360">
        <w:rPr>
          <w:i/>
          <w:lang w:val="fr-CA"/>
        </w:rPr>
        <w:t>Edwards c. The Queen</w:t>
      </w:r>
      <w:r w:rsidR="000C1704" w:rsidRPr="005A4360">
        <w:rPr>
          <w:lang w:val="fr-CA"/>
        </w:rPr>
        <w:t xml:space="preserve">, [1973] A.C. </w:t>
      </w:r>
      <w:r w:rsidR="000C1704" w:rsidRPr="005A4360">
        <w:rPr>
          <w:lang w:val="fr-CA"/>
        </w:rPr>
        <w:lastRenderedPageBreak/>
        <w:t xml:space="preserve">648; </w:t>
      </w:r>
      <w:r w:rsidR="00335A3A" w:rsidRPr="005A4360">
        <w:rPr>
          <w:i/>
          <w:lang w:val="fr-CA"/>
        </w:rPr>
        <w:t>Salamon c. The Queen</w:t>
      </w:r>
      <w:r w:rsidR="00335A3A" w:rsidRPr="005A4360">
        <w:rPr>
          <w:lang w:val="fr-CA"/>
        </w:rPr>
        <w:t xml:space="preserve">, [1959] R.C.S. 404; </w:t>
      </w:r>
      <w:r w:rsidR="000C1704" w:rsidRPr="005A4360">
        <w:rPr>
          <w:i/>
          <w:lang w:val="fr-CA"/>
        </w:rPr>
        <w:t>R. c. Louison</w:t>
      </w:r>
      <w:r w:rsidR="000C1704" w:rsidRPr="005A4360">
        <w:rPr>
          <w:lang w:val="fr-CA"/>
        </w:rPr>
        <w:t xml:space="preserve"> (1975), 26 C.C.C. (2d) 266, conf. par [1979] 1 R.C.S. 100; </w:t>
      </w:r>
      <w:r w:rsidR="000C1704" w:rsidRPr="005A4360">
        <w:rPr>
          <w:i/>
          <w:lang w:val="fr-CA"/>
        </w:rPr>
        <w:t>R. c. Squire</w:t>
      </w:r>
      <w:r w:rsidR="000C1704" w:rsidRPr="005A4360">
        <w:rPr>
          <w:lang w:val="fr-CA"/>
        </w:rPr>
        <w:t xml:space="preserve">, [1977] 2 R.C.S. 13; </w:t>
      </w:r>
      <w:r w:rsidR="000C1704" w:rsidRPr="005A4360">
        <w:rPr>
          <w:i/>
          <w:lang w:val="fr-CA"/>
        </w:rPr>
        <w:t>R. c. Gibson</w:t>
      </w:r>
      <w:r w:rsidR="000C1704" w:rsidRPr="005A4360">
        <w:rPr>
          <w:lang w:val="fr-CA"/>
        </w:rPr>
        <w:t>, 2001 BCCA 297, 153 B.C.A.C. 61.</w:t>
      </w:r>
    </w:p>
    <w:p w:rsidR="00E01376" w:rsidRPr="005A4360" w:rsidRDefault="00D30B96" w:rsidP="00D30B96">
      <w:pPr>
        <w:pStyle w:val="SCCNormalDoubleSpacing"/>
        <w:keepNext/>
        <w:spacing w:after="720" w:line="240" w:lineRule="auto"/>
        <w:rPr>
          <w:lang w:val="fr-CA"/>
        </w:rPr>
      </w:pPr>
      <w:r w:rsidRPr="005A4360">
        <w:rPr>
          <w:lang w:val="fr-CA"/>
        </w:rPr>
        <w:t>Citée par la juge Abella </w:t>
      </w:r>
      <w:r w:rsidR="00E01376" w:rsidRPr="005A4360">
        <w:rPr>
          <w:lang w:val="fr-CA"/>
        </w:rPr>
        <w:t>(dissidente)</w:t>
      </w:r>
    </w:p>
    <w:p w:rsidR="00E01376" w:rsidRPr="005A4360" w:rsidRDefault="00E01376" w:rsidP="00D30B96">
      <w:pPr>
        <w:pStyle w:val="SCCNormalDoubleSpacing"/>
        <w:spacing w:after="480"/>
        <w:rPr>
          <w:lang w:val="fr-CA"/>
        </w:rPr>
      </w:pPr>
      <w:r w:rsidRPr="005A4360">
        <w:rPr>
          <w:lang w:val="fr-CA"/>
        </w:rPr>
        <w:tab/>
      </w:r>
      <w:r w:rsidR="003D5B25" w:rsidRPr="005A4360">
        <w:rPr>
          <w:i/>
          <w:lang w:val="fr-CA"/>
        </w:rPr>
        <w:t>R. c. Cinous</w:t>
      </w:r>
      <w:r w:rsidR="003D5B25" w:rsidRPr="005A4360">
        <w:rPr>
          <w:lang w:val="fr-CA"/>
        </w:rPr>
        <w:t xml:space="preserve">, 2002 CSC 29, [2002] 2 R.C.S. 3; </w:t>
      </w:r>
      <w:r w:rsidRPr="005A4360">
        <w:rPr>
          <w:i/>
          <w:lang w:val="fr-CA"/>
        </w:rPr>
        <w:t>R. c. Tran</w:t>
      </w:r>
      <w:r w:rsidRPr="005A4360">
        <w:rPr>
          <w:lang w:val="fr-CA"/>
        </w:rPr>
        <w:t xml:space="preserve">, 2010 CSC 58, [2010] 3 R.C.S. 350; </w:t>
      </w:r>
      <w:r w:rsidRPr="005A4360">
        <w:rPr>
          <w:i/>
          <w:lang w:val="fr-CA"/>
        </w:rPr>
        <w:t>R. c. Mayuran</w:t>
      </w:r>
      <w:r w:rsidRPr="005A4360">
        <w:rPr>
          <w:lang w:val="fr-CA"/>
        </w:rPr>
        <w:t>, 2012 CSC 31, [2012] 2 R.C.S. 162</w:t>
      </w:r>
      <w:r w:rsidR="003D5B25" w:rsidRPr="005A4360">
        <w:rPr>
          <w:lang w:val="fr-CA"/>
        </w:rPr>
        <w:t>;</w:t>
      </w:r>
      <w:r w:rsidR="003D5B25" w:rsidRPr="005A4360">
        <w:rPr>
          <w:i/>
          <w:lang w:val="fr-CA"/>
        </w:rPr>
        <w:t xml:space="preserve"> R. c. Thibert</w:t>
      </w:r>
      <w:r w:rsidR="003D5B25" w:rsidRPr="005A4360">
        <w:rPr>
          <w:lang w:val="fr-CA"/>
        </w:rPr>
        <w:t>, [1996] 1 R.C.S. 37</w:t>
      </w:r>
      <w:r w:rsidRPr="005A4360">
        <w:rPr>
          <w:lang w:val="fr-CA"/>
        </w:rPr>
        <w:t>.</w:t>
      </w:r>
    </w:p>
    <w:p w:rsidR="004D7D95" w:rsidRPr="005A4360" w:rsidRDefault="004D7D95" w:rsidP="00D30B96">
      <w:pPr>
        <w:pStyle w:val="SCCNormalDoubleSpacing"/>
        <w:keepNext/>
        <w:spacing w:after="720" w:line="240" w:lineRule="auto"/>
        <w:rPr>
          <w:b/>
          <w:lang w:val="fr-CA"/>
        </w:rPr>
      </w:pPr>
      <w:r w:rsidRPr="005A4360">
        <w:rPr>
          <w:b/>
          <w:lang w:val="fr-CA"/>
        </w:rPr>
        <w:t>Lois et règlements cités</w:t>
      </w:r>
    </w:p>
    <w:p w:rsidR="004D7D95" w:rsidRPr="005A4360" w:rsidRDefault="002D20FC" w:rsidP="00D30B96">
      <w:pPr>
        <w:pStyle w:val="SCCNormalDoubleSpacing"/>
        <w:spacing w:after="240" w:line="240" w:lineRule="auto"/>
        <w:ind w:left="547" w:hanging="547"/>
        <w:rPr>
          <w:lang w:val="en-US"/>
        </w:rPr>
      </w:pPr>
      <w:r w:rsidRPr="005A4360">
        <w:rPr>
          <w:i/>
          <w:lang w:val="fr-CA"/>
        </w:rPr>
        <w:t>Code criminel</w:t>
      </w:r>
      <w:r w:rsidRPr="005A4360">
        <w:rPr>
          <w:lang w:val="fr-CA"/>
        </w:rPr>
        <w:t xml:space="preserve">, L.R.C. 1985, </w:t>
      </w:r>
      <w:r w:rsidR="00496CCB">
        <w:rPr>
          <w:lang w:val="fr-CA"/>
        </w:rPr>
        <w:t>ch. </w:t>
      </w:r>
      <w:r w:rsidRPr="005A4360">
        <w:rPr>
          <w:lang w:val="en-US"/>
        </w:rPr>
        <w:t>C</w:t>
      </w:r>
      <w:r w:rsidR="00496CCB">
        <w:rPr>
          <w:lang w:val="en-US"/>
        </w:rPr>
        <w:noBreakHyphen/>
      </w:r>
      <w:r w:rsidRPr="005A4360">
        <w:rPr>
          <w:lang w:val="en-US"/>
        </w:rPr>
        <w:t xml:space="preserve">46, </w:t>
      </w:r>
      <w:r w:rsidR="00496CCB">
        <w:rPr>
          <w:lang w:val="en-US"/>
        </w:rPr>
        <w:t>art. </w:t>
      </w:r>
      <w:r w:rsidRPr="005A4360">
        <w:rPr>
          <w:lang w:val="en-US"/>
        </w:rPr>
        <w:t>232.</w:t>
      </w:r>
    </w:p>
    <w:p w:rsidR="002D20FC" w:rsidRPr="005A4360" w:rsidRDefault="002D20FC" w:rsidP="00D30B96">
      <w:pPr>
        <w:pStyle w:val="SCCNormalDoubleSpacing"/>
        <w:spacing w:after="720" w:line="240" w:lineRule="auto"/>
        <w:ind w:left="547" w:hanging="547"/>
      </w:pPr>
      <w:r w:rsidRPr="005A4360">
        <w:rPr>
          <w:i/>
        </w:rPr>
        <w:t>Code criminel, 1892</w:t>
      </w:r>
      <w:r w:rsidRPr="005A4360">
        <w:t xml:space="preserve">, S.C. 1892, </w:t>
      </w:r>
      <w:r w:rsidR="00496CCB">
        <w:t>ch. </w:t>
      </w:r>
      <w:r w:rsidRPr="005A4360">
        <w:t xml:space="preserve">29, </w:t>
      </w:r>
      <w:r w:rsidR="00496CCB">
        <w:t>art. </w:t>
      </w:r>
      <w:r w:rsidRPr="005A4360">
        <w:t>229.</w:t>
      </w:r>
    </w:p>
    <w:p w:rsidR="004D7D95" w:rsidRPr="005A4360" w:rsidRDefault="004D7D95" w:rsidP="00D30B96">
      <w:pPr>
        <w:pStyle w:val="SCCNormalDoubleSpacing"/>
        <w:keepNext/>
        <w:spacing w:after="720" w:line="240" w:lineRule="auto"/>
        <w:rPr>
          <w:b/>
          <w:lang w:val="fr-CA"/>
        </w:rPr>
      </w:pPr>
      <w:r w:rsidRPr="005A4360">
        <w:rPr>
          <w:b/>
          <w:lang w:val="fr-CA"/>
        </w:rPr>
        <w:t>Doctrine et autres documents cités</w:t>
      </w:r>
    </w:p>
    <w:p w:rsidR="00AB73D8" w:rsidRPr="005A4360" w:rsidRDefault="00D30B96" w:rsidP="00D30B96">
      <w:pPr>
        <w:pStyle w:val="SCCNormalDoubleSpacing"/>
        <w:spacing w:after="240" w:line="240" w:lineRule="auto"/>
        <w:ind w:left="547" w:hanging="547"/>
      </w:pPr>
      <w:r w:rsidRPr="00E82DA4">
        <w:t>Ashworth, A. </w:t>
      </w:r>
      <w:r w:rsidR="00AB73D8" w:rsidRPr="00E82DA4">
        <w:t xml:space="preserve">J.  </w:t>
      </w:r>
      <w:r w:rsidR="00AB73D8" w:rsidRPr="005A4360">
        <w:t>« Self</w:t>
      </w:r>
      <w:r w:rsidR="00496CCB">
        <w:noBreakHyphen/>
      </w:r>
      <w:r w:rsidR="00AB73D8" w:rsidRPr="005A4360">
        <w:t xml:space="preserve">Induced Provocation and the Homicide Act », [1973] </w:t>
      </w:r>
      <w:r w:rsidR="00AB73D8" w:rsidRPr="005A4360">
        <w:rPr>
          <w:i/>
        </w:rPr>
        <w:t>Crim. L.R.</w:t>
      </w:r>
      <w:r w:rsidR="00AB73D8" w:rsidRPr="005A4360">
        <w:t xml:space="preserve"> 483.</w:t>
      </w:r>
    </w:p>
    <w:p w:rsidR="00AB73D8" w:rsidRPr="005A4360" w:rsidRDefault="00D30B96" w:rsidP="00D30B96">
      <w:pPr>
        <w:pStyle w:val="SCCNormalDoubleSpacing"/>
        <w:spacing w:after="240" w:line="240" w:lineRule="auto"/>
        <w:ind w:left="547" w:hanging="547"/>
      </w:pPr>
      <w:r w:rsidRPr="005A4360">
        <w:t>Ashworth, A. </w:t>
      </w:r>
      <w:r w:rsidR="00AB73D8" w:rsidRPr="005A4360">
        <w:t xml:space="preserve">J.  « The Doctrine of Provocation » (1976), 35 </w:t>
      </w:r>
      <w:r w:rsidR="00AB73D8" w:rsidRPr="005A4360">
        <w:rPr>
          <w:i/>
        </w:rPr>
        <w:t>Cambridge L.J.</w:t>
      </w:r>
      <w:r w:rsidR="00AB73D8" w:rsidRPr="005A4360">
        <w:t xml:space="preserve"> 292.</w:t>
      </w:r>
    </w:p>
    <w:p w:rsidR="00AB73D8" w:rsidRPr="005A4360" w:rsidRDefault="00AB73D8" w:rsidP="00D30B96">
      <w:pPr>
        <w:pStyle w:val="SCCNormalDoubleSpacing"/>
        <w:spacing w:after="240" w:line="240" w:lineRule="auto"/>
        <w:ind w:left="547" w:hanging="547"/>
      </w:pPr>
      <w:r w:rsidRPr="005A4360">
        <w:t xml:space="preserve">Coke, Edward.  </w:t>
      </w:r>
      <w:r w:rsidRPr="005A4360">
        <w:rPr>
          <w:i/>
        </w:rPr>
        <w:t>The Third Part of the Institutes of the Laws of England</w:t>
      </w:r>
      <w:r w:rsidR="00496CCB">
        <w:rPr>
          <w:i/>
        </w:rPr>
        <w:t> :</w:t>
      </w:r>
      <w:r w:rsidRPr="005A4360">
        <w:rPr>
          <w:i/>
        </w:rPr>
        <w:t xml:space="preserve"> Concerning High Treason, and Other Pleas of the Crown, and Criminal Causes</w:t>
      </w:r>
      <w:r w:rsidRPr="005A4360">
        <w:t>.  London</w:t>
      </w:r>
      <w:r w:rsidR="00496CCB">
        <w:t> :</w:t>
      </w:r>
      <w:r w:rsidRPr="005A4360">
        <w:t xml:space="preserve"> Clarke, 18</w:t>
      </w:r>
      <w:r w:rsidR="003E03DD" w:rsidRPr="005A4360">
        <w:t>09</w:t>
      </w:r>
      <w:r w:rsidRPr="005A4360">
        <w:t xml:space="preserve"> </w:t>
      </w:r>
      <w:r w:rsidR="00E3055C" w:rsidRPr="005A4360">
        <w:t>(first published 1644</w:t>
      </w:r>
      <w:r w:rsidRPr="005A4360">
        <w:t>).</w:t>
      </w:r>
    </w:p>
    <w:p w:rsidR="00AB73D8" w:rsidRPr="005A4360" w:rsidRDefault="00D30B96" w:rsidP="00D30B96">
      <w:pPr>
        <w:pStyle w:val="SCCNormalDoubleSpacing"/>
        <w:spacing w:after="240" w:line="240" w:lineRule="auto"/>
        <w:ind w:left="547" w:hanging="547"/>
      </w:pPr>
      <w:r w:rsidRPr="005A4360">
        <w:t>Coss, Graeme.  « </w:t>
      </w:r>
      <w:r w:rsidR="00AB73D8" w:rsidRPr="005A4360">
        <w:t>“God is a righteous judge, strong and patient</w:t>
      </w:r>
      <w:r w:rsidR="00496CCB">
        <w:t> :</w:t>
      </w:r>
      <w:r w:rsidR="00AB73D8" w:rsidRPr="005A4360">
        <w:t xml:space="preserve"> and God is provoked every day”.  A Brief History of the Doctrine of Provocation in England » (1991), 13 </w:t>
      </w:r>
      <w:r w:rsidR="00AB73D8" w:rsidRPr="005A4360">
        <w:rPr>
          <w:i/>
        </w:rPr>
        <w:t>Sydney L. Rev.</w:t>
      </w:r>
      <w:r w:rsidR="00AB73D8" w:rsidRPr="005A4360">
        <w:t xml:space="preserve"> 570.</w:t>
      </w:r>
    </w:p>
    <w:p w:rsidR="00AB73D8" w:rsidRPr="005A4360" w:rsidRDefault="00AB73D8" w:rsidP="00D30B96">
      <w:pPr>
        <w:pStyle w:val="SCCNormalDoubleSpacing"/>
        <w:spacing w:after="240" w:line="240" w:lineRule="auto"/>
        <w:ind w:left="547" w:hanging="547"/>
        <w:rPr>
          <w:lang w:val="fr-CA"/>
        </w:rPr>
      </w:pPr>
      <w:r w:rsidRPr="005A4360">
        <w:lastRenderedPageBreak/>
        <w:t xml:space="preserve">Manning, Morris, and Peter Sankoff.  </w:t>
      </w:r>
      <w:r w:rsidRPr="005A4360">
        <w:rPr>
          <w:i/>
        </w:rPr>
        <w:t>Manning</w:t>
      </w:r>
      <w:r w:rsidR="00EF1570" w:rsidRPr="005A4360">
        <w:rPr>
          <w:i/>
        </w:rPr>
        <w:t>,</w:t>
      </w:r>
      <w:r w:rsidRPr="005A4360">
        <w:rPr>
          <w:i/>
        </w:rPr>
        <w:t xml:space="preserve"> Mewett &amp; Sankoff</w:t>
      </w:r>
      <w:r w:rsidR="00496CCB">
        <w:rPr>
          <w:i/>
        </w:rPr>
        <w:t> :</w:t>
      </w:r>
      <w:r w:rsidRPr="005A4360">
        <w:rPr>
          <w:i/>
        </w:rPr>
        <w:t xml:space="preserve"> Criminal Law</w:t>
      </w:r>
      <w:r w:rsidRPr="005A4360">
        <w:t xml:space="preserve">, 4th ed.  </w:t>
      </w:r>
      <w:r w:rsidRPr="005A4360">
        <w:rPr>
          <w:lang w:val="fr-CA"/>
        </w:rPr>
        <w:t>Markham, Ont.</w:t>
      </w:r>
      <w:r w:rsidR="00496CCB">
        <w:rPr>
          <w:lang w:val="fr-CA"/>
        </w:rPr>
        <w:t> :</w:t>
      </w:r>
      <w:r w:rsidRPr="005A4360">
        <w:rPr>
          <w:lang w:val="fr-CA"/>
        </w:rPr>
        <w:t xml:space="preserve"> LexisNexis, 2009.</w:t>
      </w:r>
    </w:p>
    <w:p w:rsidR="00AB73D8" w:rsidRPr="00B96F78" w:rsidRDefault="00AB73D8" w:rsidP="00D30B96">
      <w:pPr>
        <w:pStyle w:val="SCCNormalDoubleSpacing"/>
        <w:spacing w:after="240" w:line="240" w:lineRule="auto"/>
        <w:ind w:left="547" w:hanging="547"/>
        <w:rPr>
          <w:lang w:val="en-US"/>
        </w:rPr>
      </w:pPr>
      <w:r w:rsidRPr="005A4360">
        <w:rPr>
          <w:lang w:val="fr-CA"/>
        </w:rPr>
        <w:t xml:space="preserve">Parent, Hugues.  </w:t>
      </w:r>
      <w:r w:rsidRPr="005A4360">
        <w:rPr>
          <w:i/>
          <w:lang w:val="fr-CA"/>
        </w:rPr>
        <w:t>Traité de droit criminel</w:t>
      </w:r>
      <w:r w:rsidRPr="005A4360">
        <w:rPr>
          <w:lang w:val="fr-CA"/>
        </w:rPr>
        <w:t>, t.</w:t>
      </w:r>
      <w:r w:rsidR="00E223EA">
        <w:rPr>
          <w:lang w:val="fr-CA"/>
        </w:rPr>
        <w:t> </w:t>
      </w:r>
      <w:r w:rsidRPr="005A4360">
        <w:rPr>
          <w:lang w:val="fr-CA"/>
        </w:rPr>
        <w:t xml:space="preserve">1, </w:t>
      </w:r>
      <w:r w:rsidRPr="005A4360">
        <w:rPr>
          <w:i/>
          <w:lang w:val="fr-CA"/>
        </w:rPr>
        <w:t>L’imputabilité</w:t>
      </w:r>
      <w:r w:rsidRPr="005A4360">
        <w:rPr>
          <w:lang w:val="fr-CA"/>
        </w:rPr>
        <w:t>, 3</w:t>
      </w:r>
      <w:r w:rsidRPr="005A4360">
        <w:rPr>
          <w:vertAlign w:val="superscript"/>
          <w:lang w:val="fr-CA"/>
        </w:rPr>
        <w:t>e</w:t>
      </w:r>
      <w:r w:rsidRPr="005A4360">
        <w:rPr>
          <w:lang w:val="fr-CA"/>
        </w:rPr>
        <w:t xml:space="preserve"> éd.  </w:t>
      </w:r>
      <w:r w:rsidRPr="00B96F78">
        <w:rPr>
          <w:lang w:val="en-US"/>
        </w:rPr>
        <w:t>Montréal</w:t>
      </w:r>
      <w:r w:rsidR="00496CCB" w:rsidRPr="00B96F78">
        <w:rPr>
          <w:lang w:val="en-US"/>
        </w:rPr>
        <w:t> :</w:t>
      </w:r>
      <w:r w:rsidRPr="00B96F78">
        <w:rPr>
          <w:lang w:val="en-US"/>
        </w:rPr>
        <w:t xml:space="preserve"> Thémis, 2008.</w:t>
      </w:r>
    </w:p>
    <w:p w:rsidR="00AB73D8" w:rsidRPr="005A4360" w:rsidRDefault="00AB73D8" w:rsidP="00D30B96">
      <w:pPr>
        <w:pStyle w:val="SCCNormalDoubleSpacing"/>
        <w:spacing w:after="240" w:line="240" w:lineRule="auto"/>
        <w:ind w:left="547" w:hanging="547"/>
      </w:pPr>
      <w:r w:rsidRPr="005A4360">
        <w:t>Renke, Wayne</w:t>
      </w:r>
      <w:r w:rsidR="00D30B96" w:rsidRPr="005A4360">
        <w:t> </w:t>
      </w:r>
      <w:r w:rsidRPr="005A4360">
        <w:t>N.  « Calm Like a Bomb</w:t>
      </w:r>
      <w:r w:rsidR="00496CCB">
        <w:t> :</w:t>
      </w:r>
      <w:r w:rsidRPr="005A4360">
        <w:t xml:space="preserve"> An Assessment of the Partial Defence of Provocation » (2009), 47 </w:t>
      </w:r>
      <w:r w:rsidRPr="005A4360">
        <w:rPr>
          <w:i/>
        </w:rPr>
        <w:t>Alta. L. Rev.</w:t>
      </w:r>
      <w:r w:rsidRPr="005A4360">
        <w:t xml:space="preserve"> 729.</w:t>
      </w:r>
    </w:p>
    <w:p w:rsidR="00AB73D8" w:rsidRPr="005A4360" w:rsidRDefault="00AB73D8" w:rsidP="00D30B96">
      <w:pPr>
        <w:pStyle w:val="SCCNormalDoubleSpacing"/>
        <w:spacing w:after="720" w:line="240" w:lineRule="auto"/>
        <w:ind w:left="547" w:hanging="547"/>
        <w:rPr>
          <w:lang w:val="fr-CA"/>
        </w:rPr>
      </w:pPr>
      <w:r w:rsidRPr="005A4360">
        <w:t xml:space="preserve">Stuart, Don.  </w:t>
      </w:r>
      <w:r w:rsidRPr="005A4360">
        <w:rPr>
          <w:i/>
        </w:rPr>
        <w:t>Canadian Criminal Law</w:t>
      </w:r>
      <w:r w:rsidR="00496CCB">
        <w:rPr>
          <w:i/>
        </w:rPr>
        <w:t> :</w:t>
      </w:r>
      <w:r w:rsidRPr="005A4360">
        <w:rPr>
          <w:i/>
        </w:rPr>
        <w:t xml:space="preserve"> A Treatise</w:t>
      </w:r>
      <w:r w:rsidRPr="005A4360">
        <w:t xml:space="preserve">, 6th ed.  </w:t>
      </w:r>
      <w:r w:rsidRPr="005A4360">
        <w:rPr>
          <w:lang w:val="fr-CA"/>
        </w:rPr>
        <w:t>Scarborough, Ont.</w:t>
      </w:r>
      <w:r w:rsidR="00496CCB">
        <w:rPr>
          <w:lang w:val="fr-CA"/>
        </w:rPr>
        <w:t> :</w:t>
      </w:r>
      <w:r w:rsidRPr="005A4360">
        <w:rPr>
          <w:lang w:val="fr-CA"/>
        </w:rPr>
        <w:t xml:space="preserve"> Carswell, 2011.</w:t>
      </w:r>
    </w:p>
    <w:p w:rsidR="004D7D95" w:rsidRPr="005A4360" w:rsidRDefault="001C4EFC" w:rsidP="00D30B96">
      <w:pPr>
        <w:pStyle w:val="SCCNormalDoubleSpacing"/>
        <w:spacing w:after="480"/>
        <w:rPr>
          <w:lang w:val="fr-CA"/>
        </w:rPr>
      </w:pPr>
      <w:r w:rsidRPr="005A4360">
        <w:rPr>
          <w:lang w:val="fr-CA"/>
        </w:rPr>
        <w:tab/>
      </w:r>
      <w:r w:rsidR="004D7D95" w:rsidRPr="005A4360">
        <w:rPr>
          <w:lang w:val="fr-CA"/>
        </w:rPr>
        <w:t>POURVOI contre un arrêt de la Cour d</w:t>
      </w:r>
      <w:r w:rsidR="00C574FE" w:rsidRPr="005A4360">
        <w:rPr>
          <w:lang w:val="fr-CA"/>
        </w:rPr>
        <w:t>’</w:t>
      </w:r>
      <w:r w:rsidR="004D7D95" w:rsidRPr="005A4360">
        <w:rPr>
          <w:lang w:val="fr-CA"/>
        </w:rPr>
        <w:t>appel de l</w:t>
      </w:r>
      <w:r w:rsidR="00C574FE" w:rsidRPr="005A4360">
        <w:rPr>
          <w:lang w:val="fr-CA"/>
        </w:rPr>
        <w:t>’</w:t>
      </w:r>
      <w:r w:rsidR="004D7D95" w:rsidRPr="005A4360">
        <w:rPr>
          <w:lang w:val="fr-CA"/>
        </w:rPr>
        <w:t>Alberta</w:t>
      </w:r>
      <w:r w:rsidRPr="005A4360">
        <w:rPr>
          <w:lang w:val="fr-CA"/>
        </w:rPr>
        <w:t xml:space="preserve"> </w:t>
      </w:r>
      <w:r w:rsidR="00651143" w:rsidRPr="005A4360">
        <w:rPr>
          <w:lang w:val="fr-CA"/>
        </w:rPr>
        <w:t>(les juges Côté</w:t>
      </w:r>
      <w:r w:rsidR="0071097D" w:rsidRPr="005A4360">
        <w:rPr>
          <w:lang w:val="fr-CA"/>
        </w:rPr>
        <w:t xml:space="preserve"> et</w:t>
      </w:r>
      <w:r w:rsidR="00651143" w:rsidRPr="005A4360">
        <w:rPr>
          <w:lang w:val="fr-CA"/>
        </w:rPr>
        <w:t xml:space="preserve"> O’Brien et </w:t>
      </w:r>
      <w:r w:rsidR="0071097D" w:rsidRPr="005A4360">
        <w:rPr>
          <w:lang w:val="fr-CA"/>
        </w:rPr>
        <w:t xml:space="preserve">le juge </w:t>
      </w:r>
      <w:r w:rsidR="00651143" w:rsidRPr="005A4360">
        <w:rPr>
          <w:lang w:val="fr-CA"/>
        </w:rPr>
        <w:t>Belzil</w:t>
      </w:r>
      <w:r w:rsidR="00780260" w:rsidRPr="005A4360">
        <w:rPr>
          <w:lang w:val="fr-CA"/>
        </w:rPr>
        <w:t xml:space="preserve"> (</w:t>
      </w:r>
      <w:r w:rsidR="00780260" w:rsidRPr="005A4360">
        <w:rPr>
          <w:i/>
          <w:lang w:val="fr-CA"/>
        </w:rPr>
        <w:t>ad hoc</w:t>
      </w:r>
      <w:r w:rsidR="00780260" w:rsidRPr="005A4360">
        <w:rPr>
          <w:lang w:val="fr-CA"/>
        </w:rPr>
        <w:t>)</w:t>
      </w:r>
      <w:r w:rsidR="00651143" w:rsidRPr="005A4360">
        <w:rPr>
          <w:lang w:val="fr-CA"/>
        </w:rPr>
        <w:t xml:space="preserve">), 2011 ABCA 272, 513 A.R. 345, 89 C.R. (6th) 207, 277 C.C.C. (3d) 200, 52 Alta. L.R. (5th) 357, 530 W.A.C. 345, [2011] A.J. </w:t>
      </w:r>
      <w:r w:rsidR="00496CCB">
        <w:rPr>
          <w:lang w:val="fr-CA"/>
        </w:rPr>
        <w:t>No. </w:t>
      </w:r>
      <w:r w:rsidR="00651143" w:rsidRPr="005A4360">
        <w:rPr>
          <w:lang w:val="fr-CA"/>
        </w:rPr>
        <w:t>1039 (QL), 2011 CarswellAlta 1666</w:t>
      </w:r>
      <w:r w:rsidRPr="005A4360">
        <w:rPr>
          <w:lang w:val="fr-CA"/>
        </w:rPr>
        <w:t xml:space="preserve">, </w:t>
      </w:r>
      <w:r w:rsidR="00C574FE" w:rsidRPr="005A4360">
        <w:rPr>
          <w:lang w:val="fr-CA"/>
        </w:rPr>
        <w:t xml:space="preserve">qui a annulé </w:t>
      </w:r>
      <w:r w:rsidR="00780260" w:rsidRPr="005A4360">
        <w:rPr>
          <w:lang w:val="fr-CA"/>
        </w:rPr>
        <w:t>l’</w:t>
      </w:r>
      <w:r w:rsidR="00C574FE" w:rsidRPr="005A4360">
        <w:rPr>
          <w:lang w:val="fr-CA"/>
        </w:rPr>
        <w:t xml:space="preserve">acquittement de l’accusé </w:t>
      </w:r>
      <w:r w:rsidR="00780260" w:rsidRPr="005A4360">
        <w:rPr>
          <w:lang w:val="fr-CA"/>
        </w:rPr>
        <w:t>de l’acc</w:t>
      </w:r>
      <w:r w:rsidR="00C574FE" w:rsidRPr="005A4360">
        <w:rPr>
          <w:lang w:val="fr-CA"/>
        </w:rPr>
        <w:t xml:space="preserve">usation de meurtre au deuxième degré et </w:t>
      </w:r>
      <w:r w:rsidR="00780260" w:rsidRPr="005A4360">
        <w:rPr>
          <w:lang w:val="fr-CA"/>
        </w:rPr>
        <w:t xml:space="preserve">a </w:t>
      </w:r>
      <w:r w:rsidR="00C574FE" w:rsidRPr="005A4360">
        <w:rPr>
          <w:lang w:val="fr-CA"/>
        </w:rPr>
        <w:t xml:space="preserve">ordonné un nouveau procès.  Pourvoi </w:t>
      </w:r>
      <w:r w:rsidR="00FB796B" w:rsidRPr="005A4360">
        <w:rPr>
          <w:lang w:val="fr-CA"/>
        </w:rPr>
        <w:t>rejeté</w:t>
      </w:r>
      <w:r w:rsidR="00E01376" w:rsidRPr="005A4360">
        <w:rPr>
          <w:lang w:val="fr-CA"/>
        </w:rPr>
        <w:t>, l</w:t>
      </w:r>
      <w:r w:rsidR="00EA036E" w:rsidRPr="005A4360">
        <w:rPr>
          <w:lang w:val="fr-CA"/>
        </w:rPr>
        <w:t xml:space="preserve">es juges Fish et </w:t>
      </w:r>
      <w:r w:rsidR="00E01376" w:rsidRPr="005A4360">
        <w:rPr>
          <w:lang w:val="fr-CA"/>
        </w:rPr>
        <w:t xml:space="preserve">Abella </w:t>
      </w:r>
      <w:r w:rsidR="00EA036E" w:rsidRPr="005A4360">
        <w:rPr>
          <w:lang w:val="fr-CA"/>
        </w:rPr>
        <w:t>sont</w:t>
      </w:r>
      <w:r w:rsidR="00E01376" w:rsidRPr="005A4360">
        <w:rPr>
          <w:lang w:val="fr-CA"/>
        </w:rPr>
        <w:t xml:space="preserve"> dissident</w:t>
      </w:r>
      <w:r w:rsidR="00EA036E" w:rsidRPr="005A4360">
        <w:rPr>
          <w:lang w:val="fr-CA"/>
        </w:rPr>
        <w:t>s</w:t>
      </w:r>
      <w:r w:rsidR="00C574FE" w:rsidRPr="005A4360">
        <w:rPr>
          <w:lang w:val="fr-CA"/>
        </w:rPr>
        <w:t>.</w:t>
      </w:r>
    </w:p>
    <w:p w:rsidR="00B95C62" w:rsidRPr="005A4360" w:rsidRDefault="00A162E0" w:rsidP="00D30B96">
      <w:pPr>
        <w:pStyle w:val="SCCNormalDoubleSpacing"/>
        <w:spacing w:after="480"/>
        <w:rPr>
          <w:lang w:val="fr-CA"/>
        </w:rPr>
      </w:pPr>
      <w:r w:rsidRPr="005A4360">
        <w:rPr>
          <w:i/>
          <w:lang w:val="fr-CA"/>
        </w:rPr>
        <w:tab/>
        <w:t>Dino Bottos</w:t>
      </w:r>
      <w:r w:rsidR="001C4EFC" w:rsidRPr="005A4360">
        <w:rPr>
          <w:i/>
          <w:lang w:val="fr-CA"/>
        </w:rPr>
        <w:t xml:space="preserve"> </w:t>
      </w:r>
      <w:r w:rsidR="001C4EFC" w:rsidRPr="00B96F78">
        <w:rPr>
          <w:lang w:val="fr-CA"/>
        </w:rPr>
        <w:t>et</w:t>
      </w:r>
      <w:r w:rsidR="001C4EFC" w:rsidRPr="005A4360">
        <w:rPr>
          <w:i/>
          <w:lang w:val="fr-CA"/>
        </w:rPr>
        <w:t xml:space="preserve"> Dane Bullerwell</w:t>
      </w:r>
      <w:r w:rsidRPr="005A4360">
        <w:rPr>
          <w:lang w:val="fr-CA"/>
        </w:rPr>
        <w:t>, pour l</w:t>
      </w:r>
      <w:r w:rsidR="00C574FE" w:rsidRPr="005A4360">
        <w:rPr>
          <w:lang w:val="fr-CA"/>
        </w:rPr>
        <w:t>’</w:t>
      </w:r>
      <w:r w:rsidRPr="005A4360">
        <w:rPr>
          <w:lang w:val="fr-CA"/>
        </w:rPr>
        <w:t>appelant.</w:t>
      </w:r>
    </w:p>
    <w:p w:rsidR="00B95C62" w:rsidRPr="005A4360" w:rsidRDefault="00A162E0" w:rsidP="00D30B96">
      <w:pPr>
        <w:pStyle w:val="SCCNormalDoubleSpacing"/>
        <w:spacing w:after="480"/>
        <w:rPr>
          <w:lang w:val="fr-CA"/>
        </w:rPr>
      </w:pPr>
      <w:r w:rsidRPr="005A4360">
        <w:rPr>
          <w:i/>
          <w:lang w:val="fr-CA"/>
        </w:rPr>
        <w:tab/>
      </w:r>
      <w:r w:rsidR="001C4EFC" w:rsidRPr="005A4360">
        <w:rPr>
          <w:i/>
          <w:lang w:val="fr-CA"/>
        </w:rPr>
        <w:t>Susan D. Hughson</w:t>
      </w:r>
      <w:r w:rsidR="001C4EFC" w:rsidRPr="00E551D8">
        <w:rPr>
          <w:lang w:val="fr-CA"/>
        </w:rPr>
        <w:t>,</w:t>
      </w:r>
      <w:r w:rsidR="001C4EFC" w:rsidRPr="005A4360">
        <w:rPr>
          <w:i/>
          <w:lang w:val="fr-CA"/>
        </w:rPr>
        <w:t xml:space="preserve"> c.r.</w:t>
      </w:r>
      <w:r w:rsidR="001C4EFC" w:rsidRPr="005A4360">
        <w:rPr>
          <w:lang w:val="fr-CA"/>
        </w:rPr>
        <w:t xml:space="preserve">, et </w:t>
      </w:r>
      <w:r w:rsidR="001C4EFC" w:rsidRPr="005A4360">
        <w:rPr>
          <w:i/>
          <w:lang w:val="fr-CA"/>
        </w:rPr>
        <w:t>Keith Joyce</w:t>
      </w:r>
      <w:r w:rsidRPr="005A4360">
        <w:rPr>
          <w:lang w:val="fr-CA"/>
        </w:rPr>
        <w:t>, pour l</w:t>
      </w:r>
      <w:r w:rsidR="00C574FE" w:rsidRPr="005A4360">
        <w:rPr>
          <w:lang w:val="fr-CA"/>
        </w:rPr>
        <w:t>’</w:t>
      </w:r>
      <w:r w:rsidRPr="005A4360">
        <w:rPr>
          <w:lang w:val="fr-CA"/>
        </w:rPr>
        <w:t>intimée.</w:t>
      </w:r>
    </w:p>
    <w:p w:rsidR="008479ED" w:rsidRPr="005D1C15" w:rsidRDefault="005D1C15" w:rsidP="005D1C15">
      <w:pPr>
        <w:pStyle w:val="SCCNormalDoubleSpacing"/>
        <w:spacing w:after="480"/>
        <w:rPr>
          <w:lang w:val="fr-CA"/>
        </w:rPr>
      </w:pPr>
      <w:r>
        <w:rPr>
          <w:lang w:val="fr-CA"/>
        </w:rPr>
        <w:tab/>
      </w:r>
      <w:r w:rsidRPr="005D1C15">
        <w:rPr>
          <w:lang w:val="fr-CA"/>
        </w:rPr>
        <w:t xml:space="preserve">Version française du jugement de la juge en chef </w:t>
      </w:r>
      <w:r>
        <w:rPr>
          <w:lang w:val="fr-CA"/>
        </w:rPr>
        <w:t xml:space="preserve">McLachlin et des juges Rothstein, </w:t>
      </w:r>
      <w:r w:rsidRPr="005D1C15">
        <w:rPr>
          <w:lang w:val="fr-CA"/>
        </w:rPr>
        <w:t>Cromwell, Moldaver et Wagner rendu par</w:t>
      </w:r>
    </w:p>
    <w:p w:rsidR="008479ED" w:rsidRPr="008B77C2" w:rsidRDefault="008479ED" w:rsidP="008479ED">
      <w:pPr>
        <w:pStyle w:val="JudgeJuge"/>
        <w:spacing w:before="480" w:after="720" w:line="240" w:lineRule="auto"/>
        <w:rPr>
          <w:lang w:val="fr-CA"/>
        </w:rPr>
      </w:pPr>
      <w:r w:rsidRPr="008B77C2">
        <w:rPr>
          <w:lang w:val="fr-CA"/>
        </w:rPr>
        <w:tab/>
        <w:t xml:space="preserve">La Juge en chef — </w:t>
      </w:r>
    </w:p>
    <w:p w:rsidR="008479ED" w:rsidRPr="008B77C2" w:rsidRDefault="008479ED" w:rsidP="008479ED">
      <w:pPr>
        <w:pStyle w:val="TitleTitre-AltT"/>
        <w:rPr>
          <w:rFonts w:cs="Times New Roman"/>
          <w:lang w:val="fr-CA"/>
        </w:rPr>
      </w:pPr>
      <w:r w:rsidRPr="008B77C2">
        <w:rPr>
          <w:rFonts w:cs="Times New Roman"/>
          <w:lang w:val="fr-CA"/>
        </w:rPr>
        <w:lastRenderedPageBreak/>
        <w:t>I.</w:t>
      </w:r>
      <w:r w:rsidRPr="008B77C2">
        <w:rPr>
          <w:rFonts w:cs="Times New Roman"/>
          <w:lang w:val="fr-CA"/>
        </w:rPr>
        <w:tab/>
      </w:r>
      <w:r w:rsidRPr="008B77C2">
        <w:rPr>
          <w:rFonts w:cs="Times New Roman"/>
          <w:u w:val="single"/>
          <w:lang w:val="fr-CA"/>
        </w:rPr>
        <w:t>Contexte factuel</w:t>
      </w:r>
    </w:p>
    <w:p w:rsidR="008479ED" w:rsidRPr="008B77C2" w:rsidRDefault="008479ED" w:rsidP="008479ED">
      <w:pPr>
        <w:pStyle w:val="ParaNoNdepar-AltN"/>
        <w:rPr>
          <w:rFonts w:cs="Times New Roman"/>
          <w:lang w:val="fr-CA"/>
        </w:rPr>
      </w:pPr>
      <w:r w:rsidRPr="008B77C2">
        <w:rPr>
          <w:rFonts w:cs="Times New Roman"/>
          <w:lang w:val="fr-CA"/>
        </w:rPr>
        <w:t>Il est depuis longtemps établi en droit qu’un meurtre peut être réduit à un homicide involontaire coupable lorsqu’une action injuste ou une insulte de la part du défunt a provoqué l’agression et poussé l’accusé à agir dans un accès de colère.  C’est ce qu’on appelle la défense partielle de provocation.</w:t>
      </w:r>
    </w:p>
    <w:p w:rsidR="008479ED" w:rsidRPr="008B77C2" w:rsidRDefault="008479ED" w:rsidP="008479ED">
      <w:pPr>
        <w:pStyle w:val="ParaNoNdepar-AltN"/>
        <w:rPr>
          <w:rFonts w:cs="Times New Roman"/>
          <w:lang w:val="fr-CA"/>
        </w:rPr>
      </w:pPr>
      <w:r w:rsidRPr="008B77C2">
        <w:rPr>
          <w:rFonts w:cs="Times New Roman"/>
          <w:lang w:val="fr-CA"/>
        </w:rPr>
        <w:t>Mais qu’advient</w:t>
      </w:r>
      <w:r>
        <w:rPr>
          <w:rFonts w:cs="Times New Roman"/>
          <w:lang w:val="fr-CA"/>
        </w:rPr>
        <w:noBreakHyphen/>
      </w:r>
      <w:r w:rsidRPr="008B77C2">
        <w:rPr>
          <w:rFonts w:cs="Times New Roman"/>
          <w:lang w:val="fr-CA"/>
        </w:rPr>
        <w:t>il lorsque la provocation du défunt a découlé d’un affrontement violent déclenché par l’accusé?  Telle est la question que soulève le pourvoi et que l’on dit parfois être celle de la provocation induite.</w:t>
      </w:r>
    </w:p>
    <w:p w:rsidR="008479ED" w:rsidRPr="008B77C2" w:rsidRDefault="008479ED" w:rsidP="008479ED">
      <w:pPr>
        <w:pStyle w:val="TitleTitre-AltT"/>
        <w:tabs>
          <w:tab w:val="clear" w:pos="360"/>
          <w:tab w:val="left" w:pos="450"/>
        </w:tabs>
        <w:ind w:left="0" w:firstLine="0"/>
        <w:rPr>
          <w:rFonts w:cs="Times New Roman"/>
          <w:lang w:val="fr-CA"/>
        </w:rPr>
      </w:pPr>
      <w:r w:rsidRPr="008B77C2">
        <w:rPr>
          <w:rFonts w:cs="Times New Roman"/>
          <w:lang w:val="fr-CA"/>
        </w:rPr>
        <w:t>A.</w:t>
      </w:r>
      <w:r w:rsidRPr="008B77C2">
        <w:rPr>
          <w:rFonts w:cs="Times New Roman"/>
          <w:lang w:val="fr-CA"/>
        </w:rPr>
        <w:tab/>
      </w:r>
      <w:r w:rsidRPr="008B77C2">
        <w:rPr>
          <w:rFonts w:cs="Times New Roman"/>
          <w:i/>
          <w:lang w:val="fr-CA"/>
        </w:rPr>
        <w:t>Les faits</w:t>
      </w:r>
    </w:p>
    <w:p w:rsidR="008479ED" w:rsidRPr="008B77C2" w:rsidRDefault="008479ED" w:rsidP="008479ED">
      <w:pPr>
        <w:pStyle w:val="ParaNoNdepar-AltN"/>
        <w:rPr>
          <w:rFonts w:cs="Times New Roman"/>
          <w:lang w:val="fr-CA"/>
        </w:rPr>
      </w:pPr>
      <w:r w:rsidRPr="008B77C2">
        <w:rPr>
          <w:rFonts w:cs="Times New Roman"/>
          <w:lang w:val="fr-CA"/>
        </w:rPr>
        <w:t>L’accusé, Michael John Cairney, a abattu d’un coup de feu son ami de longue date, Stephen Ferguson.  Il vivait alors chez ce dernier et M</w:t>
      </w:r>
      <w:r w:rsidRPr="008B77C2">
        <w:rPr>
          <w:rFonts w:cs="Times New Roman"/>
          <w:vertAlign w:val="superscript"/>
          <w:lang w:val="fr-CA"/>
        </w:rPr>
        <w:t>me</w:t>
      </w:r>
      <w:r w:rsidRPr="008B77C2">
        <w:rPr>
          <w:rFonts w:cs="Times New Roman"/>
          <w:lang w:val="fr-CA"/>
        </w:rPr>
        <w:t> Frances Rosenthal, qui était sa cousine et la conjointe de fait de son ami.  M. Ferguson consommait de l’alcool et brutalisait M</w:t>
      </w:r>
      <w:r w:rsidRPr="008B77C2">
        <w:rPr>
          <w:rFonts w:cs="Times New Roman"/>
          <w:vertAlign w:val="superscript"/>
          <w:lang w:val="fr-CA"/>
        </w:rPr>
        <w:t>me</w:t>
      </w:r>
      <w:r w:rsidRPr="008B77C2">
        <w:rPr>
          <w:rFonts w:cs="Times New Roman"/>
          <w:lang w:val="fr-CA"/>
        </w:rPr>
        <w:t> Rosenthal depuis longtemps.</w:t>
      </w:r>
    </w:p>
    <w:p w:rsidR="008479ED" w:rsidRPr="008B77C2" w:rsidRDefault="008479ED" w:rsidP="008479ED">
      <w:pPr>
        <w:pStyle w:val="ParaNoNdepar-AltN"/>
        <w:rPr>
          <w:rFonts w:cs="Times New Roman"/>
          <w:lang w:val="fr-CA"/>
        </w:rPr>
      </w:pPr>
      <w:r w:rsidRPr="008B77C2">
        <w:rPr>
          <w:rFonts w:cs="Times New Roman"/>
          <w:lang w:val="fr-CA"/>
        </w:rPr>
        <w:t>Le jour en question, M. Ferguson, qui</w:t>
      </w:r>
      <w:r w:rsidR="009A19BB">
        <w:rPr>
          <w:rFonts w:cs="Times New Roman"/>
          <w:lang w:val="fr-CA"/>
        </w:rPr>
        <w:t xml:space="preserve"> avait consommé de l’alcool, s’est</w:t>
      </w:r>
      <w:r w:rsidRPr="008B77C2">
        <w:rPr>
          <w:rFonts w:cs="Times New Roman"/>
          <w:lang w:val="fr-CA"/>
        </w:rPr>
        <w:t xml:space="preserve"> mis en colère contre M</w:t>
      </w:r>
      <w:r w:rsidRPr="008B77C2">
        <w:rPr>
          <w:rFonts w:cs="Times New Roman"/>
          <w:vertAlign w:val="superscript"/>
          <w:lang w:val="fr-CA"/>
        </w:rPr>
        <w:t>me</w:t>
      </w:r>
      <w:r w:rsidRPr="008B77C2">
        <w:rPr>
          <w:rFonts w:cs="Times New Roman"/>
          <w:lang w:val="fr-CA"/>
        </w:rPr>
        <w:t> Rosenthal parce qu’elle avait mis au four un rôti qu’il comptait cuisiner lui</w:t>
      </w:r>
      <w:r>
        <w:rPr>
          <w:rFonts w:cs="Times New Roman"/>
          <w:lang w:val="fr-CA"/>
        </w:rPr>
        <w:noBreakHyphen/>
      </w:r>
      <w:r w:rsidRPr="008B77C2">
        <w:rPr>
          <w:rFonts w:cs="Times New Roman"/>
          <w:lang w:val="fr-CA"/>
        </w:rPr>
        <w:t>même.  Il a commencé à l’insulter.  M. Cairney a entendu M. Ferguson dire à M</w:t>
      </w:r>
      <w:r w:rsidRPr="008B77C2">
        <w:rPr>
          <w:rFonts w:cs="Times New Roman"/>
          <w:vertAlign w:val="superscript"/>
          <w:lang w:val="fr-CA"/>
        </w:rPr>
        <w:t>me</w:t>
      </w:r>
      <w:r w:rsidRPr="008B77C2">
        <w:rPr>
          <w:rFonts w:cs="Times New Roman"/>
          <w:lang w:val="fr-CA"/>
        </w:rPr>
        <w:t> Rosenthal qu’il l’aurait projetée contre le mur de la cuisine si ell</w:t>
      </w:r>
      <w:r w:rsidR="004C41CE">
        <w:rPr>
          <w:rFonts w:cs="Times New Roman"/>
          <w:lang w:val="fr-CA"/>
        </w:rPr>
        <w:t>e n’avait pas déjà mal au dos.</w:t>
      </w:r>
    </w:p>
    <w:p w:rsidR="008479ED" w:rsidRPr="008B77C2" w:rsidRDefault="008479ED" w:rsidP="008479ED">
      <w:pPr>
        <w:pStyle w:val="ParaNoNdepar-AltN"/>
        <w:rPr>
          <w:rFonts w:cs="Times New Roman"/>
          <w:lang w:val="fr-CA"/>
        </w:rPr>
      </w:pPr>
      <w:r w:rsidRPr="008B77C2">
        <w:rPr>
          <w:rFonts w:cs="Times New Roman"/>
          <w:lang w:val="fr-CA"/>
        </w:rPr>
        <w:lastRenderedPageBreak/>
        <w:t>M. Cairney a</w:t>
      </w:r>
      <w:r w:rsidR="0041355D">
        <w:rPr>
          <w:rFonts w:cs="Times New Roman"/>
          <w:lang w:val="fr-CA"/>
        </w:rPr>
        <w:t xml:space="preserve"> </w:t>
      </w:r>
      <w:r w:rsidRPr="008B77C2">
        <w:rPr>
          <w:rFonts w:cs="Times New Roman"/>
          <w:lang w:val="fr-CA"/>
        </w:rPr>
        <w:t>quitté la pièce à la demande de M. Ferguson et de M</w:t>
      </w:r>
      <w:r w:rsidRPr="008B77C2">
        <w:rPr>
          <w:rFonts w:cs="Times New Roman"/>
          <w:vertAlign w:val="superscript"/>
          <w:lang w:val="fr-CA"/>
        </w:rPr>
        <w:t>me</w:t>
      </w:r>
      <w:r w:rsidRPr="008B77C2">
        <w:rPr>
          <w:rFonts w:cs="Times New Roman"/>
          <w:lang w:val="fr-CA"/>
        </w:rPr>
        <w:t> Rosenth</w:t>
      </w:r>
      <w:r>
        <w:rPr>
          <w:rFonts w:cs="Times New Roman"/>
          <w:lang w:val="fr-CA"/>
        </w:rPr>
        <w:t>al. </w:t>
      </w:r>
      <w:r w:rsidRPr="008B77C2">
        <w:rPr>
          <w:rFonts w:cs="Times New Roman"/>
          <w:lang w:val="fr-CA"/>
        </w:rPr>
        <w:t xml:space="preserve"> Il avait sorti un fusil de chasse chargé d’un sac de sport rangé dans un placard. Ébranlé par la dispute qu’il entendait, M. Cairney </w:t>
      </w:r>
      <w:r w:rsidR="0041355D">
        <w:rPr>
          <w:rFonts w:cs="Times New Roman"/>
          <w:lang w:val="fr-CA"/>
        </w:rPr>
        <w:t>es</w:t>
      </w:r>
      <w:r w:rsidRPr="008B77C2">
        <w:rPr>
          <w:rFonts w:cs="Times New Roman"/>
          <w:lang w:val="fr-CA"/>
        </w:rPr>
        <w:t>t resté assis de cinq à dix minutes dans la salle de bain à se demander quoi faire.  Il a</w:t>
      </w:r>
      <w:r w:rsidR="0041355D">
        <w:rPr>
          <w:rFonts w:cs="Times New Roman"/>
          <w:lang w:val="fr-CA"/>
        </w:rPr>
        <w:t xml:space="preserve"> </w:t>
      </w:r>
      <w:r w:rsidRPr="008B77C2">
        <w:rPr>
          <w:rFonts w:cs="Times New Roman"/>
          <w:lang w:val="fr-CA"/>
        </w:rPr>
        <w:t>décidé de se servir de l’arme pour faire peur à M. Ferguson, lui donner une leçon et le dissuader de brutaliser à nouveau M</w:t>
      </w:r>
      <w:r w:rsidRPr="008B77C2">
        <w:rPr>
          <w:rFonts w:cs="Times New Roman"/>
          <w:vertAlign w:val="superscript"/>
          <w:lang w:val="fr-CA"/>
        </w:rPr>
        <w:t>me</w:t>
      </w:r>
      <w:r w:rsidRPr="008B77C2">
        <w:rPr>
          <w:rFonts w:cs="Times New Roman"/>
          <w:lang w:val="fr-CA"/>
        </w:rPr>
        <w:t> Rosenth</w:t>
      </w:r>
      <w:r>
        <w:rPr>
          <w:rFonts w:cs="Times New Roman"/>
          <w:lang w:val="fr-CA"/>
        </w:rPr>
        <w:t>al. </w:t>
      </w:r>
      <w:r w:rsidRPr="008B77C2">
        <w:rPr>
          <w:rFonts w:cs="Times New Roman"/>
          <w:lang w:val="fr-CA"/>
        </w:rPr>
        <w:t xml:space="preserve"> Il </w:t>
      </w:r>
      <w:r w:rsidR="0041355D">
        <w:rPr>
          <w:rFonts w:cs="Times New Roman"/>
          <w:lang w:val="fr-CA"/>
        </w:rPr>
        <w:t>est</w:t>
      </w:r>
      <w:r w:rsidRPr="008B77C2">
        <w:rPr>
          <w:rFonts w:cs="Times New Roman"/>
          <w:lang w:val="fr-CA"/>
        </w:rPr>
        <w:t xml:space="preserve"> approché de M. Ferguson, qui était au téléphone, et </w:t>
      </w:r>
      <w:r w:rsidR="0041355D">
        <w:rPr>
          <w:rFonts w:cs="Times New Roman"/>
          <w:lang w:val="fr-CA"/>
        </w:rPr>
        <w:t>a</w:t>
      </w:r>
      <w:r w:rsidRPr="008B77C2">
        <w:rPr>
          <w:rFonts w:cs="Times New Roman"/>
          <w:lang w:val="fr-CA"/>
        </w:rPr>
        <w:t xml:space="preserve"> fracassé l’appareil avec le canon de l’arme.  Il </w:t>
      </w:r>
      <w:r w:rsidR="0041355D">
        <w:rPr>
          <w:rFonts w:cs="Times New Roman"/>
          <w:lang w:val="fr-CA"/>
        </w:rPr>
        <w:t>a</w:t>
      </w:r>
      <w:r w:rsidRPr="008B77C2">
        <w:rPr>
          <w:rFonts w:cs="Times New Roman"/>
          <w:lang w:val="fr-CA"/>
        </w:rPr>
        <w:t xml:space="preserve"> ensuite commencé à sermonner M. Ferguson sur les sévices qu’il infligeait à M</w:t>
      </w:r>
      <w:r w:rsidRPr="008B77C2">
        <w:rPr>
          <w:rFonts w:cs="Times New Roman"/>
          <w:vertAlign w:val="superscript"/>
          <w:lang w:val="fr-CA"/>
        </w:rPr>
        <w:t>me</w:t>
      </w:r>
      <w:r w:rsidRPr="008B77C2">
        <w:rPr>
          <w:rFonts w:cs="Times New Roman"/>
          <w:lang w:val="fr-CA"/>
        </w:rPr>
        <w:t> Rosenthal.</w:t>
      </w:r>
    </w:p>
    <w:p w:rsidR="008479ED" w:rsidRPr="008B77C2" w:rsidRDefault="008479ED" w:rsidP="008479ED">
      <w:pPr>
        <w:pStyle w:val="ParaNoNdepar-AltN"/>
        <w:rPr>
          <w:rFonts w:cs="Times New Roman"/>
          <w:lang w:val="fr-CA"/>
        </w:rPr>
      </w:pPr>
      <w:r w:rsidRPr="008B77C2">
        <w:rPr>
          <w:rFonts w:cs="Times New Roman"/>
          <w:lang w:val="fr-CA"/>
        </w:rPr>
        <w:t xml:space="preserve">M. Ferguson </w:t>
      </w:r>
      <w:r w:rsidR="0041355D">
        <w:rPr>
          <w:rFonts w:cs="Times New Roman"/>
          <w:lang w:val="fr-CA"/>
        </w:rPr>
        <w:t>a</w:t>
      </w:r>
      <w:r w:rsidRPr="008B77C2">
        <w:rPr>
          <w:rFonts w:cs="Times New Roman"/>
          <w:lang w:val="fr-CA"/>
        </w:rPr>
        <w:t xml:space="preserve"> réagi en disant</w:t>
      </w:r>
      <w:r>
        <w:rPr>
          <w:rFonts w:cs="Times New Roman"/>
          <w:lang w:val="fr-CA"/>
        </w:rPr>
        <w:t> :</w:t>
      </w:r>
      <w:r w:rsidRPr="008B77C2">
        <w:rPr>
          <w:rFonts w:cs="Times New Roman"/>
          <w:lang w:val="fr-CA"/>
        </w:rPr>
        <w:t xml:space="preserve"> </w:t>
      </w:r>
      <w:r w:rsidR="0041355D">
        <w:rPr>
          <w:rFonts w:cs="Times New Roman"/>
          <w:lang w:val="fr-CA"/>
        </w:rPr>
        <w:t>[</w:t>
      </w:r>
      <w:r w:rsidR="0041355D" w:rsidRPr="0041355D">
        <w:rPr>
          <w:rFonts w:cs="Times New Roman"/>
          <w:smallCaps/>
          <w:lang w:val="fr-CA"/>
        </w:rPr>
        <w:t>traduction</w:t>
      </w:r>
      <w:r w:rsidR="0041355D">
        <w:rPr>
          <w:rFonts w:cs="Times New Roman"/>
          <w:lang w:val="fr-CA"/>
        </w:rPr>
        <w:t xml:space="preserve">] </w:t>
      </w:r>
      <w:r w:rsidRPr="008B77C2">
        <w:rPr>
          <w:rFonts w:cs="Times New Roman"/>
          <w:lang w:val="fr-CA"/>
        </w:rPr>
        <w:t>« Qu’est</w:t>
      </w:r>
      <w:r>
        <w:rPr>
          <w:rFonts w:cs="Times New Roman"/>
          <w:lang w:val="fr-CA"/>
        </w:rPr>
        <w:noBreakHyphen/>
      </w:r>
      <w:r w:rsidRPr="008B77C2">
        <w:rPr>
          <w:rFonts w:cs="Times New Roman"/>
          <w:lang w:val="fr-CA"/>
        </w:rPr>
        <w:t>ce que tu vas faire, me tirer dessus?  T’as pas le cran de tirer. »  Il a ensuite entrepris de sortir de l’appartement.  M. Cairney a</w:t>
      </w:r>
      <w:r w:rsidR="0041355D">
        <w:rPr>
          <w:rFonts w:cs="Times New Roman"/>
          <w:lang w:val="fr-CA"/>
        </w:rPr>
        <w:t xml:space="preserve"> </w:t>
      </w:r>
      <w:r w:rsidRPr="008B77C2">
        <w:rPr>
          <w:rFonts w:cs="Times New Roman"/>
          <w:lang w:val="fr-CA"/>
        </w:rPr>
        <w:t>alors dit</w:t>
      </w:r>
      <w:r>
        <w:rPr>
          <w:rFonts w:cs="Times New Roman"/>
          <w:lang w:val="fr-CA"/>
        </w:rPr>
        <w:t> :</w:t>
      </w:r>
      <w:r w:rsidRPr="008B77C2">
        <w:rPr>
          <w:rFonts w:cs="Times New Roman"/>
          <w:lang w:val="fr-CA"/>
        </w:rPr>
        <w:t xml:space="preserve"> « Reviens ici, je veux te parler. »  C’est alors que M. Ferguson a tenu les propos assimilés par la défense à de la provocation</w:t>
      </w:r>
      <w:r>
        <w:rPr>
          <w:rFonts w:cs="Times New Roman"/>
          <w:lang w:val="fr-CA"/>
        </w:rPr>
        <w:t> :</w:t>
      </w:r>
      <w:r w:rsidRPr="008B77C2">
        <w:rPr>
          <w:rFonts w:cs="Times New Roman"/>
          <w:lang w:val="fr-CA"/>
        </w:rPr>
        <w:t xml:space="preserve"> « Va te faire foutre, épais.  Ça te regarde pas.  Je vais faire ce que je veux avec Fran</w:t>
      </w:r>
      <w:r w:rsidR="005D1C15">
        <w:rPr>
          <w:rFonts w:cs="Times New Roman"/>
          <w:lang w:val="fr-CA"/>
        </w:rPr>
        <w:t> » (d</w:t>
      </w:r>
      <w:r w:rsidRPr="008B77C2">
        <w:rPr>
          <w:rFonts w:cs="Times New Roman"/>
          <w:lang w:val="fr-CA"/>
        </w:rPr>
        <w:t>.</w:t>
      </w:r>
      <w:r w:rsidR="005D1C15">
        <w:rPr>
          <w:rFonts w:cs="Times New Roman"/>
          <w:lang w:val="fr-CA"/>
        </w:rPr>
        <w:t>a</w:t>
      </w:r>
      <w:r w:rsidRPr="008B77C2">
        <w:rPr>
          <w:rFonts w:cs="Times New Roman"/>
          <w:lang w:val="fr-CA"/>
        </w:rPr>
        <w:t xml:space="preserve">., </w:t>
      </w:r>
      <w:r>
        <w:rPr>
          <w:rFonts w:cs="Times New Roman"/>
          <w:lang w:val="fr-CA"/>
        </w:rPr>
        <w:t>vol. </w:t>
      </w:r>
      <w:r w:rsidRPr="008B77C2">
        <w:rPr>
          <w:rFonts w:cs="Times New Roman"/>
          <w:lang w:val="fr-CA"/>
        </w:rPr>
        <w:t xml:space="preserve">II, </w:t>
      </w:r>
      <w:r>
        <w:rPr>
          <w:rFonts w:cs="Times New Roman"/>
          <w:lang w:val="fr-CA"/>
        </w:rPr>
        <w:t>p. </w:t>
      </w:r>
      <w:r w:rsidRPr="008B77C2">
        <w:rPr>
          <w:rFonts w:cs="Times New Roman"/>
          <w:lang w:val="fr-CA"/>
        </w:rPr>
        <w:t xml:space="preserve">384).  Il </w:t>
      </w:r>
      <w:r w:rsidR="0041355D">
        <w:rPr>
          <w:rFonts w:cs="Times New Roman"/>
          <w:lang w:val="fr-CA"/>
        </w:rPr>
        <w:t xml:space="preserve">a </w:t>
      </w:r>
      <w:r w:rsidRPr="008B77C2">
        <w:rPr>
          <w:rFonts w:cs="Times New Roman"/>
          <w:lang w:val="fr-CA"/>
        </w:rPr>
        <w:t>ensuite quitté l’appartement.  M. Cairney l’a suivi jusqu’à l’escalier, où il l’a abattu.</w:t>
      </w:r>
    </w:p>
    <w:p w:rsidR="008479ED" w:rsidRPr="008B77C2" w:rsidRDefault="008479ED" w:rsidP="008479ED">
      <w:pPr>
        <w:pStyle w:val="TitleTitre-AltT"/>
        <w:tabs>
          <w:tab w:val="clear" w:pos="360"/>
          <w:tab w:val="left" w:pos="450"/>
        </w:tabs>
        <w:ind w:left="0" w:firstLine="0"/>
        <w:rPr>
          <w:rFonts w:cs="Times New Roman"/>
          <w:lang w:val="fr-CA"/>
        </w:rPr>
      </w:pPr>
      <w:r w:rsidRPr="008B77C2">
        <w:rPr>
          <w:rFonts w:cs="Times New Roman"/>
          <w:lang w:val="fr-CA"/>
        </w:rPr>
        <w:t>B.</w:t>
      </w:r>
      <w:r w:rsidRPr="008B77C2">
        <w:rPr>
          <w:rFonts w:cs="Times New Roman"/>
          <w:lang w:val="fr-CA"/>
        </w:rPr>
        <w:tab/>
      </w:r>
      <w:r w:rsidRPr="008B77C2">
        <w:rPr>
          <w:rFonts w:cs="Times New Roman"/>
          <w:i/>
          <w:lang w:val="fr-CA"/>
        </w:rPr>
        <w:t>Le procès</w:t>
      </w:r>
    </w:p>
    <w:p w:rsidR="008479ED" w:rsidRPr="008B77C2" w:rsidRDefault="008479ED" w:rsidP="008479ED">
      <w:pPr>
        <w:pStyle w:val="ParaNoNdepar-AltN"/>
        <w:rPr>
          <w:rFonts w:cs="Times New Roman"/>
          <w:lang w:val="fr-CA"/>
        </w:rPr>
      </w:pPr>
      <w:r w:rsidRPr="008B77C2">
        <w:rPr>
          <w:rFonts w:cs="Times New Roman"/>
          <w:lang w:val="fr-CA"/>
        </w:rPr>
        <w:t xml:space="preserve">Accusé de meurtre au deuxième degré, M. Cairney a subi son procès devant jury.  Il a soutenu ne pas avoir eu l’intention requise pour être déclaré coupable de meurtre et, subsidiairement, avoir été provoqué </w:t>
      </w:r>
      <w:r w:rsidR="004C41CE">
        <w:rPr>
          <w:rFonts w:cs="Times New Roman"/>
          <w:lang w:val="fr-CA"/>
        </w:rPr>
        <w:t>par les propos de M. Ferguson.</w:t>
      </w:r>
    </w:p>
    <w:p w:rsidR="008479ED" w:rsidRPr="008B77C2" w:rsidRDefault="008479ED" w:rsidP="008479ED">
      <w:pPr>
        <w:pStyle w:val="ParaNoNdepar-AltN"/>
        <w:rPr>
          <w:rFonts w:cs="Times New Roman"/>
          <w:lang w:val="fr-CA"/>
        </w:rPr>
      </w:pPr>
      <w:r w:rsidRPr="008B77C2">
        <w:rPr>
          <w:rFonts w:cs="Times New Roman"/>
          <w:lang w:val="fr-CA"/>
        </w:rPr>
        <w:lastRenderedPageBreak/>
        <w:t xml:space="preserve">Le ministère public s’est opposé à ce que la défense de provocation soit soumise à l’appréciation du jury au motif qu’elle n’était pas vraisemblable dans les circonstances.  Après plusieurs échanges avec les avocats, </w:t>
      </w:r>
      <w:r w:rsidR="0041355D">
        <w:rPr>
          <w:rFonts w:cs="Times New Roman"/>
          <w:lang w:val="fr-CA"/>
        </w:rPr>
        <w:t>la juge</w:t>
      </w:r>
      <w:r w:rsidRPr="008B77C2">
        <w:rPr>
          <w:rFonts w:cs="Times New Roman"/>
          <w:lang w:val="fr-CA"/>
        </w:rPr>
        <w:t xml:space="preserve"> a demandé</w:t>
      </w:r>
      <w:r>
        <w:rPr>
          <w:rFonts w:cs="Times New Roman"/>
          <w:lang w:val="fr-CA"/>
        </w:rPr>
        <w:t> :</w:t>
      </w:r>
    </w:p>
    <w:p w:rsidR="008479ED" w:rsidRPr="008B77C2" w:rsidRDefault="008479ED" w:rsidP="008479ED">
      <w:pPr>
        <w:pStyle w:val="Citation-AltC"/>
        <w:ind w:hanging="1166"/>
        <w:rPr>
          <w:lang w:val="fr-CA"/>
        </w:rPr>
      </w:pPr>
      <w:r w:rsidRPr="008B77C2">
        <w:rPr>
          <w:smallCaps/>
          <w:lang w:val="fr-CA"/>
        </w:rPr>
        <w:tab/>
        <w:t>[traduction]</w:t>
      </w:r>
      <w:r w:rsidRPr="008B77C2">
        <w:rPr>
          <w:lang w:val="fr-CA"/>
        </w:rPr>
        <w:t xml:space="preserve">  Je dois donc déterminer s’il existe quelque preuve pour chacune des quatre questions, soit les quatre éléments de la provocation.  Et je ne peux soupeser cette preuve.  Je</w:t>
      </w:r>
      <w:r w:rsidR="005D1C15">
        <w:rPr>
          <w:lang w:val="fr-CA"/>
        </w:rPr>
        <w:t xml:space="preserve"> dois seulement </w:t>
      </w:r>
      <w:r w:rsidR="00477A64">
        <w:rPr>
          <w:lang w:val="fr-CA"/>
        </w:rPr>
        <w:t>—</w:t>
      </w:r>
      <w:r w:rsidRPr="008B77C2">
        <w:rPr>
          <w:lang w:val="fr-CA"/>
        </w:rPr>
        <w:t xml:space="preserve"> s’il y a une preuve, je dois so</w:t>
      </w:r>
      <w:r w:rsidR="005D1C15">
        <w:rPr>
          <w:lang w:val="fr-CA"/>
        </w:rPr>
        <w:t>umettre la question au jury.  [d</w:t>
      </w:r>
      <w:r w:rsidRPr="008B77C2">
        <w:rPr>
          <w:lang w:val="fr-CA"/>
        </w:rPr>
        <w:t>.</w:t>
      </w:r>
      <w:r w:rsidR="005D1C15">
        <w:rPr>
          <w:lang w:val="fr-CA"/>
        </w:rPr>
        <w:t>a</w:t>
      </w:r>
      <w:r w:rsidRPr="008B77C2">
        <w:rPr>
          <w:lang w:val="fr-CA"/>
        </w:rPr>
        <w:t xml:space="preserve">., </w:t>
      </w:r>
      <w:r>
        <w:rPr>
          <w:lang w:val="fr-CA"/>
        </w:rPr>
        <w:t>vol. </w:t>
      </w:r>
      <w:r w:rsidRPr="008B77C2">
        <w:rPr>
          <w:lang w:val="fr-CA"/>
        </w:rPr>
        <w:t xml:space="preserve">I, </w:t>
      </w:r>
      <w:r>
        <w:rPr>
          <w:lang w:val="fr-CA"/>
        </w:rPr>
        <w:t>p. </w:t>
      </w:r>
      <w:r w:rsidRPr="008B77C2">
        <w:rPr>
          <w:lang w:val="fr-CA"/>
        </w:rPr>
        <w:t>129]</w:t>
      </w:r>
    </w:p>
    <w:p w:rsidR="008479ED" w:rsidRPr="008B77C2" w:rsidRDefault="008479ED" w:rsidP="008479ED">
      <w:pPr>
        <w:pStyle w:val="ParaNoNdepar-AltN"/>
        <w:rPr>
          <w:rFonts w:cs="Times New Roman"/>
          <w:lang w:val="fr-CA"/>
        </w:rPr>
      </w:pPr>
      <w:r w:rsidRPr="008B77C2">
        <w:rPr>
          <w:rFonts w:cs="Times New Roman"/>
          <w:lang w:val="fr-CA"/>
        </w:rPr>
        <w:t>Rien n’indiquant que M. Cairney avait délibérément piégé M. Ferguson afin de pouvoir invoquer la provocation, la juge du procès a ensuite décidé de soumettre la défense au jury</w:t>
      </w:r>
      <w:r>
        <w:rPr>
          <w:rFonts w:cs="Times New Roman"/>
          <w:lang w:val="fr-CA"/>
        </w:rPr>
        <w:t> :</w:t>
      </w:r>
    </w:p>
    <w:p w:rsidR="008479ED" w:rsidRPr="008B77C2" w:rsidRDefault="008479ED" w:rsidP="008479ED">
      <w:pPr>
        <w:pStyle w:val="Citation-AltC"/>
        <w:ind w:hanging="1166"/>
        <w:contextualSpacing w:val="0"/>
        <w:rPr>
          <w:rFonts w:eastAsiaTheme="minorEastAsia"/>
          <w:lang w:val="fr-CA"/>
        </w:rPr>
      </w:pPr>
      <w:r w:rsidRPr="008B77C2">
        <w:rPr>
          <w:rFonts w:eastAsiaTheme="minorEastAsia"/>
          <w:smallCaps/>
          <w:lang w:val="fr-CA"/>
        </w:rPr>
        <w:tab/>
        <w:t>[traduction]</w:t>
      </w:r>
      <w:r w:rsidRPr="008B77C2">
        <w:rPr>
          <w:rFonts w:eastAsiaTheme="minorEastAsia"/>
          <w:lang w:val="fr-CA"/>
        </w:rPr>
        <w:t xml:space="preserve">  Il n’appert nullement de la preuve que M. Cairney avait résolu à l’avance d’assassiner M. Ferguson et de le piéger afin de pouvoir invoquer la provocation pour réduire le meurtre à un homicide involontaire coupable; je permettrai donc que la défense de provocation soit soumise au jury.  </w:t>
      </w:r>
      <w:r w:rsidR="005D1C15">
        <w:rPr>
          <w:lang w:val="fr-CA"/>
        </w:rPr>
        <w:t>[d</w:t>
      </w:r>
      <w:r w:rsidRPr="008B77C2">
        <w:rPr>
          <w:lang w:val="fr-CA"/>
        </w:rPr>
        <w:t>.</w:t>
      </w:r>
      <w:r w:rsidR="005D1C15">
        <w:rPr>
          <w:lang w:val="fr-CA"/>
        </w:rPr>
        <w:t>a</w:t>
      </w:r>
      <w:r w:rsidRPr="008B77C2">
        <w:rPr>
          <w:lang w:val="fr-CA"/>
        </w:rPr>
        <w:t xml:space="preserve">., </w:t>
      </w:r>
      <w:r>
        <w:rPr>
          <w:lang w:val="fr-CA"/>
        </w:rPr>
        <w:t>vol. </w:t>
      </w:r>
      <w:r w:rsidRPr="008B77C2">
        <w:rPr>
          <w:lang w:val="fr-CA"/>
        </w:rPr>
        <w:t xml:space="preserve">I, </w:t>
      </w:r>
      <w:r>
        <w:rPr>
          <w:lang w:val="fr-CA"/>
        </w:rPr>
        <w:t>p. </w:t>
      </w:r>
      <w:r w:rsidRPr="008B77C2">
        <w:rPr>
          <w:lang w:val="fr-CA"/>
        </w:rPr>
        <w:t>151]</w:t>
      </w:r>
    </w:p>
    <w:p w:rsidR="008479ED" w:rsidRPr="008B77C2" w:rsidRDefault="008479ED" w:rsidP="008479ED">
      <w:pPr>
        <w:pStyle w:val="ParaNoNdepar-AltN"/>
        <w:rPr>
          <w:rFonts w:cs="Times New Roman"/>
          <w:lang w:val="fr-CA"/>
        </w:rPr>
      </w:pPr>
      <w:r w:rsidRPr="008B77C2">
        <w:rPr>
          <w:rFonts w:cs="Times New Roman"/>
          <w:lang w:val="fr-CA"/>
        </w:rPr>
        <w:t>La juge ayant apparemment conclu à l’existence de quelque preuve de chacun des éléments constitutifs de la provocation, son exposé au jury a fait état du moyen de défense.  Le jury a acquitté M. Cairney de meurtre au deuxième degré et l’a déclaré coupable d’</w:t>
      </w:r>
      <w:r w:rsidR="004C41CE">
        <w:rPr>
          <w:rFonts w:cs="Times New Roman"/>
          <w:lang w:val="fr-CA"/>
        </w:rPr>
        <w:t>homicide involontaire coupable.</w:t>
      </w:r>
    </w:p>
    <w:p w:rsidR="008479ED" w:rsidRPr="008B77C2" w:rsidRDefault="008479ED" w:rsidP="008479ED">
      <w:pPr>
        <w:pStyle w:val="TitleTitre-AltT"/>
        <w:tabs>
          <w:tab w:val="clear" w:pos="360"/>
          <w:tab w:val="left" w:pos="450"/>
        </w:tabs>
        <w:ind w:left="0" w:firstLine="0"/>
        <w:rPr>
          <w:rFonts w:cs="Times New Roman"/>
          <w:lang w:val="fr-CA"/>
        </w:rPr>
      </w:pPr>
      <w:r w:rsidRPr="008B77C2">
        <w:rPr>
          <w:rFonts w:cs="Times New Roman"/>
          <w:lang w:val="fr-CA"/>
        </w:rPr>
        <w:t>C.</w:t>
      </w:r>
      <w:r w:rsidRPr="008B77C2">
        <w:rPr>
          <w:rFonts w:cs="Times New Roman"/>
          <w:lang w:val="fr-CA"/>
        </w:rPr>
        <w:tab/>
      </w:r>
      <w:r w:rsidRPr="008B77C2">
        <w:rPr>
          <w:rFonts w:cs="Times New Roman"/>
          <w:i/>
          <w:lang w:val="fr-CA"/>
        </w:rPr>
        <w:t>La Cour d’appel</w:t>
      </w:r>
    </w:p>
    <w:p w:rsidR="008479ED" w:rsidRPr="008B77C2" w:rsidRDefault="008479ED" w:rsidP="008479ED">
      <w:pPr>
        <w:pStyle w:val="ParaNoNdepar-AltN"/>
        <w:rPr>
          <w:rFonts w:cs="Times New Roman"/>
          <w:lang w:val="fr-CA"/>
        </w:rPr>
      </w:pPr>
      <w:r w:rsidRPr="008B77C2">
        <w:rPr>
          <w:rFonts w:cs="Times New Roman"/>
          <w:lang w:val="fr-CA"/>
        </w:rPr>
        <w:t xml:space="preserve">Le ministère public a interjeté appel du verdict d’acquittement de meurtre au deuxième degré et a fait notamment valoir que la provocation n’était pas </w:t>
      </w:r>
      <w:r w:rsidRPr="008B77C2">
        <w:rPr>
          <w:rFonts w:cs="Times New Roman"/>
          <w:lang w:val="fr-CA"/>
        </w:rPr>
        <w:lastRenderedPageBreak/>
        <w:t>vraisemblable.  La Cour d’appel de l’Alberta lui a donné raison et a ordonné un nouveau procès (2011 ABCA 272, 513 A.R. 345).</w:t>
      </w:r>
    </w:p>
    <w:p w:rsidR="008479ED" w:rsidRPr="008B77C2" w:rsidRDefault="008479ED" w:rsidP="008479ED">
      <w:pPr>
        <w:pStyle w:val="ParaNoNdepar-AltN"/>
        <w:rPr>
          <w:rFonts w:cs="Times New Roman"/>
          <w:lang w:val="fr-CA"/>
        </w:rPr>
      </w:pPr>
      <w:r w:rsidRPr="008B77C2">
        <w:rPr>
          <w:rFonts w:cs="Times New Roman"/>
          <w:lang w:val="fr-CA"/>
        </w:rPr>
        <w:t xml:space="preserve">La Cour d’appel examine le critère applicable en matière de provocation, à savoir l’existence d’un élément objectif (l’action ou l’insulte de telle nature qu’elle suffise à priver une personne ordinaire du pouvoir de se maîtriser) et d’un élément subjectif (cette action ou insulte a effectivement privé l’accusé du pouvoir de se maîtriser), et elle conclut que l’exigence d’une provocation objective n’est pas remplie.  Le comportement méprisant de M. Ferguson et ses remarques offensantes ne suffisaient pas pour faire perdre sa maîtrise </w:t>
      </w:r>
      <w:r w:rsidR="0065548F">
        <w:rPr>
          <w:rFonts w:cs="Times New Roman"/>
          <w:lang w:val="fr-CA"/>
        </w:rPr>
        <w:t>de soi à une personne ordinaire :</w:t>
      </w:r>
    </w:p>
    <w:p w:rsidR="008479ED" w:rsidRPr="008B77C2" w:rsidRDefault="008479ED" w:rsidP="008479ED">
      <w:pPr>
        <w:pStyle w:val="Citation-AltC"/>
        <w:ind w:hanging="1166"/>
        <w:rPr>
          <w:rFonts w:eastAsiaTheme="minorEastAsia"/>
          <w:lang w:val="fr-CA"/>
        </w:rPr>
      </w:pPr>
      <w:r w:rsidRPr="008B77C2">
        <w:rPr>
          <w:rFonts w:eastAsiaTheme="minorEastAsia"/>
          <w:smallCaps/>
          <w:lang w:val="fr-CA"/>
        </w:rPr>
        <w:tab/>
      </w:r>
      <w:r w:rsidR="005D1C15">
        <w:rPr>
          <w:rFonts w:eastAsiaTheme="minorEastAsia"/>
          <w:smallCaps/>
          <w:lang w:val="fr-CA"/>
        </w:rPr>
        <w:tab/>
      </w:r>
      <w:r w:rsidRPr="008B77C2">
        <w:rPr>
          <w:rFonts w:eastAsiaTheme="minorEastAsia"/>
          <w:smallCaps/>
          <w:lang w:val="fr-CA"/>
        </w:rPr>
        <w:t xml:space="preserve">[traduction] </w:t>
      </w:r>
      <w:r w:rsidRPr="008B77C2">
        <w:rPr>
          <w:rFonts w:eastAsiaTheme="minorEastAsia"/>
          <w:lang w:val="fr-CA"/>
        </w:rPr>
        <w:t xml:space="preserve"> Par application d’une norme objective et afin d’encourager des comportements raisonnables et non violents, nous sommes convaincus que la réplique de la victime aux menaces de M. Cairney de recourir à la violence n’était pas suffisamment grave pour faire perdre la maîtrise de soi.  Après avoir déclenché l’affrontement illégal qui a </w:t>
      </w:r>
      <w:r w:rsidR="00D93524">
        <w:rPr>
          <w:rFonts w:eastAsiaTheme="minorEastAsia"/>
          <w:lang w:val="fr-CA"/>
        </w:rPr>
        <w:t>entraîné</w:t>
      </w:r>
      <w:r w:rsidRPr="008B77C2">
        <w:rPr>
          <w:rFonts w:eastAsiaTheme="minorEastAsia"/>
          <w:lang w:val="fr-CA"/>
        </w:rPr>
        <w:t xml:space="preserve"> la riposte de M. Ferguson, M. Cairney aurait dû savoir que ses actes produiraient une telle réaction chez la victime.  Il n’</w:t>
      </w:r>
      <w:r w:rsidR="00477A64">
        <w:rPr>
          <w:rFonts w:eastAsiaTheme="minorEastAsia"/>
          <w:lang w:val="fr-CA"/>
        </w:rPr>
        <w:t xml:space="preserve">y </w:t>
      </w:r>
      <w:r w:rsidRPr="008B77C2">
        <w:rPr>
          <w:rFonts w:eastAsiaTheme="minorEastAsia"/>
          <w:lang w:val="fr-CA"/>
        </w:rPr>
        <w:t>avait pas lieu de croire que M. Ferguson se soumettrait sagement à sa volonté.  La réaction de ce dernier était prévisible et, en tout état de cause, elle n’était pas grave au point de provoquer une réponse meurtrière.  [</w:t>
      </w:r>
      <w:r>
        <w:rPr>
          <w:rFonts w:eastAsiaTheme="minorEastAsia"/>
          <w:lang w:val="fr-CA"/>
        </w:rPr>
        <w:t>par. </w:t>
      </w:r>
      <w:r w:rsidRPr="008B77C2">
        <w:rPr>
          <w:rFonts w:eastAsiaTheme="minorEastAsia"/>
          <w:lang w:val="fr-CA"/>
        </w:rPr>
        <w:t>45]</w:t>
      </w:r>
    </w:p>
    <w:p w:rsidR="008479ED" w:rsidRPr="008B77C2" w:rsidRDefault="008479ED" w:rsidP="008479ED">
      <w:pPr>
        <w:pStyle w:val="ParaNoNdepar-AltN"/>
        <w:rPr>
          <w:rFonts w:cs="Times New Roman"/>
          <w:lang w:val="fr-CA"/>
        </w:rPr>
      </w:pPr>
      <w:r w:rsidRPr="008B77C2">
        <w:rPr>
          <w:rFonts w:cs="Times New Roman"/>
          <w:lang w:val="fr-CA"/>
        </w:rPr>
        <w:t>La Cour d’appel estime que l’élément subjectif n’est pas non plus établi.  M. Cairney n’a pas agi « soudainement » (</w:t>
      </w:r>
      <w:r>
        <w:rPr>
          <w:rFonts w:cs="Times New Roman"/>
          <w:lang w:val="fr-CA"/>
        </w:rPr>
        <w:t>par. </w:t>
      </w:r>
      <w:r w:rsidRPr="008B77C2">
        <w:rPr>
          <w:rFonts w:cs="Times New Roman"/>
          <w:lang w:val="fr-CA"/>
        </w:rPr>
        <w:t>47).  Il a pu être en colère parce que M. Ferguson ne l’a pas pris au sérieux, mais l’acte qui a consisté à abattre M. Ferguson dans l’escalier n’a pas été commis dans un accès de colère irrépressible.</w:t>
      </w:r>
    </w:p>
    <w:p w:rsidR="008479ED" w:rsidRPr="008B77C2" w:rsidRDefault="008479ED" w:rsidP="008479ED">
      <w:pPr>
        <w:pStyle w:val="ParaNoNdepar-AltN"/>
        <w:rPr>
          <w:rFonts w:cs="Times New Roman"/>
          <w:lang w:val="fr-CA"/>
        </w:rPr>
      </w:pPr>
      <w:r w:rsidRPr="008B77C2">
        <w:rPr>
          <w:rFonts w:cs="Times New Roman"/>
          <w:lang w:val="fr-CA"/>
        </w:rPr>
        <w:lastRenderedPageBreak/>
        <w:t xml:space="preserve">Ni l’un ni l’autre des éléments n’ayant été </w:t>
      </w:r>
      <w:r w:rsidR="00D93524">
        <w:rPr>
          <w:rFonts w:cs="Times New Roman"/>
          <w:lang w:val="fr-CA"/>
        </w:rPr>
        <w:t>établi</w:t>
      </w:r>
      <w:r w:rsidRPr="008B77C2">
        <w:rPr>
          <w:rFonts w:cs="Times New Roman"/>
          <w:lang w:val="fr-CA"/>
        </w:rPr>
        <w:t>, la juge du procès a eu tort de soumettre la défense de provocation à l’appréciation du jury.  La Cour d’appel prend acte de la conclusion de la juge du procès selon laquelle la défense de provocation n’était qu’une des avenues grâce auxquelles le jury pouvait réduire le meurtre à un homicide involontaire coupable; il aurait aussi pu le faire en concluant à l’inexistence de l’intention de tuer.  Il est impossible de savoir ce qui a motivé la décision de chacun des jurés.  Il est donc raisonnable de considérer que la directive sur la provocation a eu une incidence certaine sur les délibérations du jury et sur son verdict, de sorte qu’il y a lieu d’ordonner un nouveau procès.</w:t>
      </w:r>
    </w:p>
    <w:p w:rsidR="008479ED" w:rsidRPr="008B77C2" w:rsidRDefault="008479ED" w:rsidP="008479ED">
      <w:pPr>
        <w:pStyle w:val="TitleTitre-AltT"/>
        <w:tabs>
          <w:tab w:val="clear" w:pos="360"/>
          <w:tab w:val="left" w:pos="450"/>
        </w:tabs>
        <w:ind w:left="0" w:firstLine="0"/>
        <w:rPr>
          <w:rFonts w:cs="Times New Roman"/>
          <w:i/>
          <w:lang w:val="fr-CA"/>
        </w:rPr>
      </w:pPr>
      <w:r w:rsidRPr="008B77C2">
        <w:rPr>
          <w:rFonts w:cs="Times New Roman"/>
          <w:lang w:val="fr-CA"/>
        </w:rPr>
        <w:t>D.</w:t>
      </w:r>
      <w:r w:rsidRPr="008B77C2">
        <w:rPr>
          <w:rFonts w:cs="Times New Roman"/>
          <w:lang w:val="fr-CA"/>
        </w:rPr>
        <w:tab/>
      </w:r>
      <w:r w:rsidRPr="008B77C2">
        <w:rPr>
          <w:rFonts w:cs="Times New Roman"/>
          <w:i/>
          <w:lang w:val="fr-CA"/>
        </w:rPr>
        <w:t>Dispositions législatives</w:t>
      </w:r>
    </w:p>
    <w:p w:rsidR="008479ED" w:rsidRPr="008B77C2" w:rsidRDefault="008479ED" w:rsidP="008479ED">
      <w:pPr>
        <w:pStyle w:val="ParaNoNdepar-AltN"/>
        <w:rPr>
          <w:rFonts w:cs="Times New Roman"/>
          <w:lang w:val="fr-CA"/>
        </w:rPr>
      </w:pPr>
      <w:r w:rsidRPr="008B77C2">
        <w:rPr>
          <w:rFonts w:cs="Times New Roman"/>
          <w:lang w:val="fr-CA"/>
        </w:rPr>
        <w:t xml:space="preserve">L’article 232 du </w:t>
      </w:r>
      <w:r w:rsidRPr="008B77C2">
        <w:rPr>
          <w:rFonts w:cs="Times New Roman"/>
          <w:i/>
          <w:lang w:val="fr-CA"/>
        </w:rPr>
        <w:t>Code criminel</w:t>
      </w:r>
      <w:r w:rsidRPr="008B77C2">
        <w:rPr>
          <w:rFonts w:cs="Times New Roman"/>
          <w:lang w:val="fr-CA"/>
        </w:rPr>
        <w:t xml:space="preserve">, L.R.C. 1985, </w:t>
      </w:r>
      <w:r>
        <w:rPr>
          <w:rFonts w:cs="Times New Roman"/>
          <w:lang w:val="fr-CA"/>
        </w:rPr>
        <w:t>ch. </w:t>
      </w:r>
      <w:r w:rsidRPr="008B77C2">
        <w:rPr>
          <w:rFonts w:cs="Times New Roman"/>
          <w:lang w:val="fr-CA"/>
        </w:rPr>
        <w:t>C</w:t>
      </w:r>
      <w:r>
        <w:rPr>
          <w:rFonts w:cs="Times New Roman"/>
          <w:lang w:val="fr-CA"/>
        </w:rPr>
        <w:noBreakHyphen/>
      </w:r>
      <w:r w:rsidRPr="008B77C2">
        <w:rPr>
          <w:rFonts w:cs="Times New Roman"/>
          <w:lang w:val="fr-CA"/>
        </w:rPr>
        <w:t>46 prévoit</w:t>
      </w:r>
      <w:r>
        <w:rPr>
          <w:rFonts w:cs="Times New Roman"/>
          <w:lang w:val="fr-CA"/>
        </w:rPr>
        <w:t> :</w:t>
      </w:r>
    </w:p>
    <w:p w:rsidR="008479ED" w:rsidRPr="008B77C2" w:rsidRDefault="008479ED" w:rsidP="00903D0D">
      <w:pPr>
        <w:pStyle w:val="Citation-AltC"/>
        <w:tabs>
          <w:tab w:val="left" w:pos="1701"/>
          <w:tab w:val="left" w:pos="2268"/>
          <w:tab w:val="left" w:pos="2694"/>
        </w:tabs>
        <w:spacing w:after="240"/>
        <w:ind w:hanging="1166"/>
        <w:contextualSpacing w:val="0"/>
        <w:rPr>
          <w:lang w:val="fr-CA"/>
        </w:rPr>
      </w:pPr>
      <w:r w:rsidRPr="008B77C2">
        <w:rPr>
          <w:b/>
          <w:lang w:val="fr-CA"/>
        </w:rPr>
        <w:tab/>
      </w:r>
      <w:r w:rsidR="00A835DA">
        <w:rPr>
          <w:b/>
          <w:lang w:val="fr-CA"/>
        </w:rPr>
        <w:tab/>
      </w:r>
      <w:r w:rsidRPr="008B77C2">
        <w:rPr>
          <w:b/>
          <w:lang w:val="fr-CA"/>
        </w:rPr>
        <w:t>232</w:t>
      </w:r>
      <w:r w:rsidRPr="008B77C2">
        <w:rPr>
          <w:lang w:val="fr-CA"/>
        </w:rPr>
        <w:t>. (1)</w:t>
      </w:r>
      <w:r w:rsidRPr="008B77C2">
        <w:rPr>
          <w:lang w:val="fr-CA"/>
        </w:rPr>
        <w:tab/>
        <w:t>Un homicide coupable qui autrement serait un meurtre peut être réduit à un homicide involontaire coupable si la personne qui l’a commis a ainsi agi dans un accès de colère causé par une provocation soudaine.</w:t>
      </w:r>
    </w:p>
    <w:p w:rsidR="008479ED" w:rsidRPr="008B77C2" w:rsidRDefault="008479ED" w:rsidP="008479ED">
      <w:pPr>
        <w:pStyle w:val="Citation-AltC"/>
        <w:tabs>
          <w:tab w:val="left" w:pos="1620"/>
        </w:tabs>
        <w:spacing w:after="240"/>
        <w:ind w:hanging="1166"/>
        <w:contextualSpacing w:val="0"/>
        <w:rPr>
          <w:lang w:val="fr-CA"/>
        </w:rPr>
      </w:pPr>
      <w:r w:rsidRPr="008B77C2">
        <w:rPr>
          <w:lang w:val="fr-CA"/>
        </w:rPr>
        <w:tab/>
      </w:r>
      <w:r w:rsidR="00A835DA">
        <w:rPr>
          <w:lang w:val="fr-CA"/>
        </w:rPr>
        <w:tab/>
      </w:r>
      <w:r w:rsidRPr="008B77C2">
        <w:rPr>
          <w:lang w:val="fr-CA"/>
        </w:rPr>
        <w:t>(2)</w:t>
      </w:r>
      <w:r w:rsidRPr="008B77C2">
        <w:rPr>
          <w:lang w:val="fr-CA"/>
        </w:rPr>
        <w:tab/>
        <w:t>Une action injuste ou une insulte de telle nature qu’elle suffise à priver une personne ordinaire du pouvoir de se maîtriser, est une provocation pour l’application du présent article, si l’accusé a agi sous l’impulsion du moment et avant d’avoir eu le temps de reprendre son sang</w:t>
      </w:r>
      <w:r>
        <w:rPr>
          <w:lang w:val="fr-CA"/>
        </w:rPr>
        <w:noBreakHyphen/>
      </w:r>
      <w:r w:rsidRPr="008B77C2">
        <w:rPr>
          <w:lang w:val="fr-CA"/>
        </w:rPr>
        <w:t>froid.</w:t>
      </w:r>
    </w:p>
    <w:p w:rsidR="008479ED" w:rsidRPr="008B77C2" w:rsidRDefault="008479ED" w:rsidP="008479ED">
      <w:pPr>
        <w:pStyle w:val="Citation-AltC"/>
        <w:tabs>
          <w:tab w:val="left" w:pos="1620"/>
        </w:tabs>
        <w:spacing w:after="240"/>
        <w:ind w:hanging="1166"/>
        <w:contextualSpacing w:val="0"/>
        <w:rPr>
          <w:lang w:val="fr-CA"/>
        </w:rPr>
      </w:pPr>
      <w:r w:rsidRPr="008B77C2">
        <w:rPr>
          <w:lang w:val="fr-CA"/>
        </w:rPr>
        <w:tab/>
      </w:r>
      <w:r w:rsidR="00A835DA">
        <w:rPr>
          <w:lang w:val="fr-CA"/>
        </w:rPr>
        <w:tab/>
      </w:r>
      <w:r w:rsidRPr="008B77C2">
        <w:rPr>
          <w:lang w:val="fr-CA"/>
        </w:rPr>
        <w:t>(3)</w:t>
      </w:r>
      <w:r w:rsidRPr="008B77C2">
        <w:rPr>
          <w:lang w:val="fr-CA"/>
        </w:rPr>
        <w:tab/>
        <w:t>Pour l’application du présent article, les questions de savoir</w:t>
      </w:r>
      <w:r>
        <w:rPr>
          <w:lang w:val="fr-CA"/>
        </w:rPr>
        <w:t> :</w:t>
      </w:r>
    </w:p>
    <w:p w:rsidR="008479ED" w:rsidRPr="008B77C2" w:rsidRDefault="008479ED" w:rsidP="008479ED">
      <w:pPr>
        <w:pStyle w:val="Citation-AltC"/>
        <w:tabs>
          <w:tab w:val="left" w:pos="1980"/>
        </w:tabs>
        <w:spacing w:after="240"/>
        <w:ind w:left="1620" w:hanging="1620"/>
        <w:contextualSpacing w:val="0"/>
        <w:rPr>
          <w:lang w:val="fr-CA"/>
        </w:rPr>
      </w:pPr>
      <w:r w:rsidRPr="008B77C2">
        <w:rPr>
          <w:i/>
          <w:lang w:val="fr-CA"/>
        </w:rPr>
        <w:tab/>
        <w:t>a</w:t>
      </w:r>
      <w:r w:rsidRPr="008B77C2">
        <w:rPr>
          <w:lang w:val="fr-CA"/>
        </w:rPr>
        <w:t>)</w:t>
      </w:r>
      <w:r w:rsidRPr="008B77C2">
        <w:rPr>
          <w:lang w:val="fr-CA"/>
        </w:rPr>
        <w:tab/>
        <w:t>si une action injuste ou une insulte déterminée équivalait à une provocation;</w:t>
      </w:r>
    </w:p>
    <w:p w:rsidR="008479ED" w:rsidRPr="008B77C2" w:rsidRDefault="008479ED" w:rsidP="008479ED">
      <w:pPr>
        <w:pStyle w:val="Citation-AltC"/>
        <w:tabs>
          <w:tab w:val="left" w:pos="1980"/>
        </w:tabs>
        <w:spacing w:after="240"/>
        <w:ind w:left="1620" w:hanging="1620"/>
        <w:contextualSpacing w:val="0"/>
        <w:rPr>
          <w:lang w:val="fr-CA"/>
        </w:rPr>
      </w:pPr>
      <w:r w:rsidRPr="008B77C2">
        <w:rPr>
          <w:i/>
          <w:lang w:val="fr-CA"/>
        </w:rPr>
        <w:tab/>
        <w:t>b</w:t>
      </w:r>
      <w:r w:rsidRPr="008B77C2">
        <w:rPr>
          <w:lang w:val="fr-CA"/>
        </w:rPr>
        <w:t>)</w:t>
      </w:r>
      <w:r w:rsidRPr="008B77C2">
        <w:rPr>
          <w:lang w:val="fr-CA"/>
        </w:rPr>
        <w:tab/>
        <w:t>si l’accusé a été privé du pouvoir de se maîtriser par la provocation qu’il allègue avoir reçue,</w:t>
      </w:r>
    </w:p>
    <w:p w:rsidR="008479ED" w:rsidRPr="008B77C2" w:rsidRDefault="008479ED" w:rsidP="008479ED">
      <w:pPr>
        <w:pStyle w:val="Citation-AltC"/>
        <w:tabs>
          <w:tab w:val="left" w:pos="1620"/>
        </w:tabs>
        <w:spacing w:after="240"/>
        <w:ind w:hanging="1166"/>
        <w:contextualSpacing w:val="0"/>
        <w:rPr>
          <w:lang w:val="fr-CA"/>
        </w:rPr>
      </w:pPr>
      <w:r w:rsidRPr="008B77C2">
        <w:rPr>
          <w:lang w:val="fr-CA"/>
        </w:rPr>
        <w:lastRenderedPageBreak/>
        <w:tab/>
        <w:t>sont des questions de fait, mais nul n’est censé avoir provoqué un autre individu en faisant quelque chose qu’il avait un droit légal de faire, ou en faisant une chose que l’accusé l’a incité à faire afin de fournir à l’accusé une excuse pour causer la mort ou des lésions corporelles à un être humain.</w:t>
      </w:r>
    </w:p>
    <w:p w:rsidR="008479ED" w:rsidRPr="008B77C2" w:rsidRDefault="008479ED" w:rsidP="008479ED">
      <w:pPr>
        <w:pStyle w:val="Citation-AltC"/>
        <w:tabs>
          <w:tab w:val="left" w:pos="1620"/>
        </w:tabs>
        <w:ind w:hanging="1166"/>
        <w:contextualSpacing w:val="0"/>
        <w:rPr>
          <w:lang w:val="fr-CA"/>
        </w:rPr>
      </w:pPr>
      <w:r w:rsidRPr="008B77C2">
        <w:rPr>
          <w:lang w:val="fr-CA"/>
        </w:rPr>
        <w:tab/>
      </w:r>
      <w:r w:rsidR="00A835DA">
        <w:rPr>
          <w:lang w:val="fr-CA"/>
        </w:rPr>
        <w:tab/>
      </w:r>
      <w:r w:rsidRPr="008B77C2">
        <w:rPr>
          <w:lang w:val="fr-CA"/>
        </w:rPr>
        <w:t>(4)</w:t>
      </w:r>
      <w:r w:rsidRPr="008B77C2">
        <w:rPr>
          <w:lang w:val="fr-CA"/>
        </w:rPr>
        <w:tab/>
        <w:t>Un homicide coupable qui autrement serait un meurtre n’est pas nécessairement un homicide involontaire coupable du seul fait qu’il a été commis par une personne alors qu’elle était illégalement mise en état d’arrestation; le fait que l’illégalité de l’arrestation était connue de l’accusé peut cependant constituer une preuve de provocation pour l’application du présent article.</w:t>
      </w:r>
    </w:p>
    <w:p w:rsidR="008479ED" w:rsidRPr="008B77C2" w:rsidRDefault="008479ED" w:rsidP="008479ED">
      <w:pPr>
        <w:pStyle w:val="TitleTitre-AltT"/>
        <w:rPr>
          <w:rFonts w:cs="Times New Roman"/>
          <w:lang w:val="fr-CA"/>
        </w:rPr>
      </w:pPr>
      <w:r w:rsidRPr="008B77C2">
        <w:rPr>
          <w:rFonts w:cs="Times New Roman"/>
          <w:lang w:val="fr-CA"/>
        </w:rPr>
        <w:t>II.</w:t>
      </w:r>
      <w:r w:rsidRPr="008B77C2">
        <w:rPr>
          <w:rFonts w:cs="Times New Roman"/>
          <w:lang w:val="fr-CA"/>
        </w:rPr>
        <w:tab/>
      </w:r>
      <w:r w:rsidRPr="008B77C2">
        <w:rPr>
          <w:rFonts w:cs="Times New Roman"/>
          <w:u w:val="single"/>
          <w:lang w:val="fr-CA"/>
        </w:rPr>
        <w:t>Analyse</w:t>
      </w:r>
    </w:p>
    <w:p w:rsidR="008479ED" w:rsidRPr="008B77C2" w:rsidRDefault="008479ED" w:rsidP="008479ED">
      <w:pPr>
        <w:pStyle w:val="ParaNoNdepar-AltN"/>
        <w:rPr>
          <w:rFonts w:cs="Times New Roman"/>
          <w:lang w:val="fr-CA"/>
        </w:rPr>
      </w:pPr>
      <w:r w:rsidRPr="008B77C2">
        <w:rPr>
          <w:rFonts w:cs="Times New Roman"/>
          <w:lang w:val="fr-CA"/>
        </w:rPr>
        <w:t>L’appelant affirme que la provocation alléguée était vraisemblable au vu de la preuve et que la juge du procès a eu raison de la soumettre au jury.  Il ajoute que la Cour d’appel a eu tort d’infirmer le verdict d’acquittement d</w:t>
      </w:r>
      <w:r w:rsidR="004C41CE">
        <w:rPr>
          <w:rFonts w:cs="Times New Roman"/>
          <w:lang w:val="fr-CA"/>
        </w:rPr>
        <w:t>e meurtre prononcé par le jury.</w:t>
      </w:r>
    </w:p>
    <w:p w:rsidR="008479ED" w:rsidRPr="008B77C2" w:rsidRDefault="008479ED" w:rsidP="008479ED">
      <w:pPr>
        <w:pStyle w:val="ParaNoNdepar-AltN"/>
        <w:rPr>
          <w:rFonts w:cs="Times New Roman"/>
          <w:lang w:val="fr-CA"/>
        </w:rPr>
      </w:pPr>
      <w:r w:rsidRPr="008B77C2">
        <w:rPr>
          <w:rFonts w:cs="Times New Roman"/>
          <w:lang w:val="fr-CA"/>
        </w:rPr>
        <w:t>Bien que les thèses soient formulées différemment, le présent litige se ramène à une seule question fondamentale</w:t>
      </w:r>
      <w:r>
        <w:rPr>
          <w:rFonts w:cs="Times New Roman"/>
          <w:lang w:val="fr-CA"/>
        </w:rPr>
        <w:t> :</w:t>
      </w:r>
      <w:r w:rsidRPr="008B77C2">
        <w:rPr>
          <w:rFonts w:cs="Times New Roman"/>
          <w:lang w:val="fr-CA"/>
        </w:rPr>
        <w:t xml:space="preserve"> à quelles conditions la provocation est</w:t>
      </w:r>
      <w:r>
        <w:rPr>
          <w:rFonts w:cs="Times New Roman"/>
          <w:lang w:val="fr-CA"/>
        </w:rPr>
        <w:noBreakHyphen/>
      </w:r>
      <w:r w:rsidRPr="008B77C2">
        <w:rPr>
          <w:rFonts w:cs="Times New Roman"/>
          <w:lang w:val="fr-CA"/>
        </w:rPr>
        <w:t>elle vraisemblable lorsque l’acte provocateur du défunt découle d’un affrontement v</w:t>
      </w:r>
      <w:r w:rsidR="004C41CE">
        <w:rPr>
          <w:rFonts w:cs="Times New Roman"/>
          <w:lang w:val="fr-CA"/>
        </w:rPr>
        <w:t>iolent déclenché par l’accusé?</w:t>
      </w:r>
    </w:p>
    <w:p w:rsidR="008479ED" w:rsidRPr="008B77C2" w:rsidRDefault="008479ED" w:rsidP="008479ED">
      <w:pPr>
        <w:pStyle w:val="ParaNoNdepar-AltN"/>
        <w:rPr>
          <w:rFonts w:cs="Times New Roman"/>
          <w:lang w:val="fr-CA"/>
        </w:rPr>
      </w:pPr>
      <w:r w:rsidRPr="008B77C2">
        <w:rPr>
          <w:rFonts w:cs="Times New Roman"/>
          <w:lang w:val="fr-CA"/>
        </w:rPr>
        <w:t>La question en appelle deux autres.  Premièrement, à quelles conditions faut</w:t>
      </w:r>
      <w:r>
        <w:rPr>
          <w:rFonts w:cs="Times New Roman"/>
          <w:lang w:val="fr-CA"/>
        </w:rPr>
        <w:noBreakHyphen/>
      </w:r>
      <w:r w:rsidRPr="008B77C2">
        <w:rPr>
          <w:rFonts w:cs="Times New Roman"/>
          <w:lang w:val="fr-CA"/>
        </w:rPr>
        <w:t xml:space="preserve">il soumettre la défense au jury?  Il s’agit du critère préliminaire de la vraisemblance.  Deuxièmement, le fait que l’accusé est à l’origine de l’action ou des </w:t>
      </w:r>
      <w:r w:rsidRPr="008B77C2">
        <w:rPr>
          <w:rFonts w:cs="Times New Roman"/>
          <w:lang w:val="fr-CA"/>
        </w:rPr>
        <w:lastRenderedPageBreak/>
        <w:t>paroles qui auraient constitué une provocation empêche</w:t>
      </w:r>
      <w:r>
        <w:rPr>
          <w:rFonts w:cs="Times New Roman"/>
          <w:lang w:val="fr-CA"/>
        </w:rPr>
        <w:noBreakHyphen/>
      </w:r>
      <w:r w:rsidRPr="008B77C2">
        <w:rPr>
          <w:rFonts w:cs="Times New Roman"/>
          <w:lang w:val="fr-CA"/>
        </w:rPr>
        <w:t>t</w:t>
      </w:r>
      <w:r>
        <w:rPr>
          <w:rFonts w:cs="Times New Roman"/>
          <w:lang w:val="fr-CA"/>
        </w:rPr>
        <w:noBreakHyphen/>
      </w:r>
      <w:r w:rsidRPr="008B77C2">
        <w:rPr>
          <w:rFonts w:cs="Times New Roman"/>
          <w:lang w:val="fr-CA"/>
        </w:rPr>
        <w:t>il de faire droit au moyen de défense?</w:t>
      </w:r>
    </w:p>
    <w:p w:rsidR="008479ED" w:rsidRPr="008B77C2" w:rsidRDefault="008479ED" w:rsidP="008479ED">
      <w:pPr>
        <w:pStyle w:val="TitleTitre-AltT"/>
        <w:tabs>
          <w:tab w:val="clear" w:pos="360"/>
          <w:tab w:val="left" w:pos="450"/>
        </w:tabs>
        <w:ind w:left="450" w:hanging="450"/>
        <w:rPr>
          <w:rFonts w:cs="Times New Roman"/>
          <w:lang w:val="fr-CA"/>
        </w:rPr>
      </w:pPr>
      <w:r w:rsidRPr="008B77C2">
        <w:rPr>
          <w:rFonts w:cs="Times New Roman"/>
          <w:lang w:val="fr-CA"/>
        </w:rPr>
        <w:t>A.</w:t>
      </w:r>
      <w:r w:rsidRPr="008B77C2">
        <w:rPr>
          <w:rFonts w:cs="Times New Roman"/>
          <w:lang w:val="fr-CA"/>
        </w:rPr>
        <w:tab/>
      </w:r>
      <w:r w:rsidRPr="00A835DA">
        <w:rPr>
          <w:rFonts w:cs="Times New Roman"/>
          <w:i/>
          <w:lang w:val="fr-CA"/>
        </w:rPr>
        <w:t xml:space="preserve">À </w:t>
      </w:r>
      <w:r w:rsidRPr="008B77C2">
        <w:rPr>
          <w:rFonts w:cs="Times New Roman"/>
          <w:i/>
          <w:lang w:val="fr-CA"/>
        </w:rPr>
        <w:t>quelles conditions la défense doit</w:t>
      </w:r>
      <w:r>
        <w:rPr>
          <w:rFonts w:cs="Times New Roman"/>
          <w:i/>
          <w:lang w:val="fr-CA"/>
        </w:rPr>
        <w:noBreakHyphen/>
      </w:r>
      <w:r w:rsidRPr="008B77C2">
        <w:rPr>
          <w:rFonts w:cs="Times New Roman"/>
          <w:i/>
          <w:lang w:val="fr-CA"/>
        </w:rPr>
        <w:t>elle être soumise au jury? — La notion de « vraisemblance »</w:t>
      </w:r>
    </w:p>
    <w:p w:rsidR="008479ED" w:rsidRPr="008B77C2" w:rsidRDefault="008479ED" w:rsidP="008479ED">
      <w:pPr>
        <w:pStyle w:val="ParaNoNdepar-AltN"/>
        <w:rPr>
          <w:rFonts w:cs="Times New Roman"/>
          <w:lang w:val="fr-CA"/>
        </w:rPr>
      </w:pPr>
      <w:r w:rsidRPr="008B77C2">
        <w:rPr>
          <w:rFonts w:cs="Times New Roman"/>
          <w:lang w:val="fr-CA"/>
        </w:rPr>
        <w:t xml:space="preserve">La juge du procès semble supposer que s’il existe </w:t>
      </w:r>
      <w:r w:rsidRPr="008B77C2">
        <w:rPr>
          <w:rFonts w:cs="Times New Roman"/>
          <w:i/>
          <w:lang w:val="fr-CA"/>
        </w:rPr>
        <w:t>quelque</w:t>
      </w:r>
      <w:r w:rsidRPr="008B77C2">
        <w:rPr>
          <w:rFonts w:cs="Times New Roman"/>
          <w:lang w:val="fr-CA"/>
        </w:rPr>
        <w:t xml:space="preserve"> preuve des éléments de la provocation, elle doit soumettre le moyen de défense au jury.</w:t>
      </w:r>
    </w:p>
    <w:p w:rsidR="008479ED" w:rsidRPr="008B77C2" w:rsidRDefault="008479ED" w:rsidP="008479ED">
      <w:pPr>
        <w:pStyle w:val="ParaNoNdepar-AltN"/>
        <w:rPr>
          <w:rFonts w:cs="Times New Roman"/>
          <w:lang w:val="fr-CA"/>
        </w:rPr>
      </w:pPr>
      <w:r w:rsidRPr="008B77C2">
        <w:rPr>
          <w:rFonts w:cs="Times New Roman"/>
          <w:lang w:val="fr-CA"/>
        </w:rPr>
        <w:t>À l’opposé, la Cour d’appel examine minutieusement la preuve et se prononce ainsi au fond sur l’application du moyen de défense.</w:t>
      </w:r>
    </w:p>
    <w:p w:rsidR="008479ED" w:rsidRPr="008B77C2" w:rsidRDefault="008479ED" w:rsidP="008479ED">
      <w:pPr>
        <w:pStyle w:val="ParaNoNdepar-AltN"/>
        <w:rPr>
          <w:rFonts w:cs="Times New Roman"/>
          <w:lang w:val="fr-CA"/>
        </w:rPr>
      </w:pPr>
      <w:r w:rsidRPr="008B77C2">
        <w:rPr>
          <w:rFonts w:cs="Times New Roman"/>
          <w:lang w:val="fr-CA"/>
        </w:rPr>
        <w:t>Aucune des démarches n’est à strictement parler la bonne.  « Le critère de la vraisemblance ne vise pas [. . .] à déterminer s’il est probable, improbable, quelque peu probable ou fort probable que le moyen de défense invoqué sera retenu en fin de compte » (</w:t>
      </w:r>
      <w:r w:rsidRPr="008B77C2">
        <w:rPr>
          <w:rFonts w:cs="Times New Roman"/>
          <w:i/>
          <w:lang w:val="fr-CA"/>
        </w:rPr>
        <w:t>R. c.</w:t>
      </w:r>
      <w:r w:rsidRPr="008B77C2">
        <w:rPr>
          <w:rFonts w:cs="Times New Roman"/>
          <w:lang w:val="fr-CA"/>
        </w:rPr>
        <w:t xml:space="preserve"> </w:t>
      </w:r>
      <w:r w:rsidRPr="008B77C2">
        <w:rPr>
          <w:rFonts w:cs="Times New Roman"/>
          <w:i/>
          <w:lang w:val="fr-CA"/>
        </w:rPr>
        <w:t>Cinous</w:t>
      </w:r>
      <w:r w:rsidRPr="008B77C2">
        <w:rPr>
          <w:rFonts w:cs="Times New Roman"/>
          <w:lang w:val="fr-CA"/>
        </w:rPr>
        <w:t xml:space="preserve">, 2002 CSC 29, [2002] 2 R.C.S. 3, </w:t>
      </w:r>
      <w:r>
        <w:rPr>
          <w:rFonts w:cs="Times New Roman"/>
          <w:lang w:val="fr-CA"/>
        </w:rPr>
        <w:t>par. </w:t>
      </w:r>
      <w:r w:rsidRPr="008B77C2">
        <w:rPr>
          <w:rFonts w:cs="Times New Roman"/>
          <w:lang w:val="fr-CA"/>
        </w:rPr>
        <w:t xml:space="preserve">54, cité par le juge Fish dans </w:t>
      </w:r>
      <w:r w:rsidRPr="008B77C2">
        <w:rPr>
          <w:rFonts w:cs="Times New Roman"/>
          <w:i/>
          <w:lang w:val="fr-CA"/>
        </w:rPr>
        <w:t>R. c. Buzizi</w:t>
      </w:r>
      <w:r w:rsidRPr="008B77C2">
        <w:rPr>
          <w:rFonts w:cs="Times New Roman"/>
          <w:lang w:val="fr-CA"/>
        </w:rPr>
        <w:t>, 2013 CSC 27</w:t>
      </w:r>
      <w:r w:rsidR="00A835DA">
        <w:rPr>
          <w:rFonts w:cs="Times New Roman"/>
          <w:lang w:val="fr-CA"/>
        </w:rPr>
        <w:t xml:space="preserve">, [2013] </w:t>
      </w:r>
      <w:r w:rsidR="00D17A8F">
        <w:rPr>
          <w:rFonts w:cs="Times New Roman"/>
          <w:lang w:val="fr-CA"/>
        </w:rPr>
        <w:t>2</w:t>
      </w:r>
      <w:r w:rsidR="00A835DA">
        <w:rPr>
          <w:rFonts w:cs="Times New Roman"/>
          <w:lang w:val="fr-CA"/>
        </w:rPr>
        <w:t xml:space="preserve"> R.C.S. </w:t>
      </w:r>
      <w:r w:rsidR="00D17A8F">
        <w:rPr>
          <w:rFonts w:cs="Times New Roman"/>
          <w:lang w:val="fr-CA"/>
        </w:rPr>
        <w:t>248</w:t>
      </w:r>
      <w:r w:rsidRPr="008B77C2">
        <w:rPr>
          <w:rFonts w:cs="Times New Roman"/>
          <w:lang w:val="fr-CA"/>
        </w:rPr>
        <w:t xml:space="preserve">, </w:t>
      </w:r>
      <w:r>
        <w:rPr>
          <w:rFonts w:cs="Times New Roman"/>
          <w:lang w:val="fr-CA"/>
        </w:rPr>
        <w:t>par. </w:t>
      </w:r>
      <w:r w:rsidRPr="008B77C2">
        <w:rPr>
          <w:rFonts w:cs="Times New Roman"/>
          <w:lang w:val="fr-CA"/>
        </w:rPr>
        <w:t>16).  Il s’agit de savoir si un jury ayant reçu des directives appropriées et agissant raisonnablement pourrait avoir un doute raisonnable quant à savoir si les éléments de la défense de provocation sont établis (</w:t>
      </w:r>
      <w:r w:rsidRPr="008B77C2">
        <w:rPr>
          <w:rFonts w:cs="Times New Roman"/>
          <w:i/>
          <w:lang w:val="fr-CA"/>
        </w:rPr>
        <w:t>R. c.</w:t>
      </w:r>
      <w:r w:rsidRPr="008B77C2">
        <w:rPr>
          <w:rFonts w:cs="Times New Roman"/>
          <w:lang w:val="fr-CA"/>
        </w:rPr>
        <w:t xml:space="preserve"> </w:t>
      </w:r>
      <w:r w:rsidRPr="008B77C2">
        <w:rPr>
          <w:rFonts w:cs="Times New Roman"/>
          <w:i/>
          <w:lang w:val="fr-CA"/>
        </w:rPr>
        <w:t>Tran</w:t>
      </w:r>
      <w:r w:rsidRPr="008B77C2">
        <w:rPr>
          <w:rFonts w:cs="Times New Roman"/>
          <w:lang w:val="fr-CA"/>
        </w:rPr>
        <w:t xml:space="preserve">, 2010 CSC 58, [2010] 3 R.C.S. 350, </w:t>
      </w:r>
      <w:r>
        <w:rPr>
          <w:rFonts w:cs="Times New Roman"/>
          <w:lang w:val="fr-CA"/>
        </w:rPr>
        <w:t>par. </w:t>
      </w:r>
      <w:r w:rsidRPr="008B77C2">
        <w:rPr>
          <w:rFonts w:cs="Times New Roman"/>
          <w:lang w:val="fr-CA"/>
        </w:rPr>
        <w:t xml:space="preserve">41; </w:t>
      </w:r>
      <w:r w:rsidRPr="008B77C2">
        <w:rPr>
          <w:rFonts w:cs="Times New Roman"/>
          <w:i/>
          <w:lang w:val="fr-CA"/>
        </w:rPr>
        <w:t>R. c.</w:t>
      </w:r>
      <w:r w:rsidRPr="008B77C2">
        <w:rPr>
          <w:rFonts w:cs="Times New Roman"/>
          <w:lang w:val="fr-CA"/>
        </w:rPr>
        <w:t xml:space="preserve"> </w:t>
      </w:r>
      <w:r w:rsidRPr="008B77C2">
        <w:rPr>
          <w:rFonts w:cs="Times New Roman"/>
          <w:i/>
          <w:lang w:val="fr-CA"/>
        </w:rPr>
        <w:t>Mayuran</w:t>
      </w:r>
      <w:r w:rsidRPr="008B77C2">
        <w:rPr>
          <w:rFonts w:cs="Times New Roman"/>
          <w:lang w:val="fr-CA"/>
        </w:rPr>
        <w:t xml:space="preserve">, 2012 CSC 31, [2012] 2 R.C.S. 162, </w:t>
      </w:r>
      <w:r>
        <w:rPr>
          <w:rFonts w:cs="Times New Roman"/>
          <w:lang w:val="fr-CA"/>
        </w:rPr>
        <w:t>par. </w:t>
      </w:r>
      <w:r w:rsidRPr="008B77C2">
        <w:rPr>
          <w:rFonts w:cs="Times New Roman"/>
          <w:lang w:val="fr-CA"/>
        </w:rPr>
        <w:t xml:space="preserve">21).  Le juge du procès peut se livrer à une évaluation limitée de l’ensemble de la preuve pour déterminer si un jury agissant raisonnablement au vu de la preuve pourrait tirer les conclusions nécessaires à un doute raisonnable, fondé sur la défense de provocation, quant à savoir si l’accusé est </w:t>
      </w:r>
      <w:r w:rsidRPr="008B77C2">
        <w:rPr>
          <w:rFonts w:cs="Times New Roman"/>
          <w:lang w:val="fr-CA"/>
        </w:rPr>
        <w:lastRenderedPageBreak/>
        <w:t xml:space="preserve">coupable de meurtre (voir l’arrêt connexe </w:t>
      </w:r>
      <w:r w:rsidRPr="008B77C2">
        <w:rPr>
          <w:rFonts w:cs="Times New Roman"/>
          <w:i/>
          <w:lang w:val="fr-CA"/>
        </w:rPr>
        <w:t>R. c. Pappas</w:t>
      </w:r>
      <w:r w:rsidRPr="008B77C2">
        <w:rPr>
          <w:rFonts w:cs="Times New Roman"/>
          <w:lang w:val="fr-CA"/>
        </w:rPr>
        <w:t>, 2013 CSC 56</w:t>
      </w:r>
      <w:r w:rsidR="00A835DA">
        <w:rPr>
          <w:rFonts w:cs="Times New Roman"/>
          <w:lang w:val="fr-CA"/>
        </w:rPr>
        <w:t xml:space="preserve">, [2013] </w:t>
      </w:r>
      <w:r w:rsidR="00865C14">
        <w:rPr>
          <w:rFonts w:cs="Times New Roman"/>
          <w:lang w:val="fr-CA"/>
        </w:rPr>
        <w:t>3</w:t>
      </w:r>
      <w:r w:rsidR="00A835DA">
        <w:rPr>
          <w:rFonts w:cs="Times New Roman"/>
          <w:lang w:val="fr-CA"/>
        </w:rPr>
        <w:t xml:space="preserve"> R.C.S. </w:t>
      </w:r>
      <w:r w:rsidR="00865C14">
        <w:rPr>
          <w:rFonts w:cs="Times New Roman"/>
          <w:lang w:val="fr-CA"/>
        </w:rPr>
        <w:t>452</w:t>
      </w:r>
      <w:r w:rsidRPr="008B77C2">
        <w:rPr>
          <w:rFonts w:cs="Times New Roman"/>
          <w:lang w:val="fr-CA"/>
        </w:rPr>
        <w:t xml:space="preserve">).  Dans </w:t>
      </w:r>
      <w:r w:rsidRPr="008B77C2">
        <w:rPr>
          <w:rFonts w:cs="Times New Roman"/>
          <w:i/>
          <w:lang w:val="fr-CA"/>
        </w:rPr>
        <w:t>Mayuran</w:t>
      </w:r>
      <w:r w:rsidRPr="008B77C2">
        <w:rPr>
          <w:rFonts w:cs="Times New Roman"/>
          <w:lang w:val="fr-CA"/>
        </w:rPr>
        <w:t>, notre Cour, sous la plume de la juge</w:t>
      </w:r>
      <w:r w:rsidRPr="008B77C2">
        <w:rPr>
          <w:rFonts w:cs="Times New Roman"/>
          <w:i/>
          <w:lang w:val="fr-CA"/>
        </w:rPr>
        <w:t xml:space="preserve"> </w:t>
      </w:r>
      <w:r w:rsidRPr="008B77C2">
        <w:rPr>
          <w:rFonts w:cs="Times New Roman"/>
          <w:lang w:val="fr-CA"/>
        </w:rPr>
        <w:t>Abella, formule comme suit la démarche que commande le critère de la vraisemblance</w:t>
      </w:r>
      <w:r>
        <w:rPr>
          <w:rFonts w:cs="Times New Roman"/>
          <w:lang w:val="fr-CA"/>
        </w:rPr>
        <w:t> :</w:t>
      </w:r>
    </w:p>
    <w:p w:rsidR="008479ED" w:rsidRPr="008B77C2" w:rsidRDefault="008479ED" w:rsidP="008479ED">
      <w:pPr>
        <w:pStyle w:val="Citation-AltC"/>
        <w:tabs>
          <w:tab w:val="left" w:pos="1620"/>
        </w:tabs>
        <w:ind w:hanging="1166"/>
        <w:contextualSpacing w:val="0"/>
        <w:rPr>
          <w:lang w:val="fr-CA" w:eastAsia="en-US" w:bidi="en-US"/>
        </w:rPr>
      </w:pPr>
      <w:r w:rsidRPr="008B77C2">
        <w:rPr>
          <w:lang w:val="fr-CA"/>
        </w:rPr>
        <w:tab/>
      </w:r>
      <w:r w:rsidR="00A835DA">
        <w:rPr>
          <w:lang w:val="fr-CA"/>
        </w:rPr>
        <w:tab/>
      </w:r>
      <w:r w:rsidRPr="008B77C2">
        <w:rPr>
          <w:lang w:val="fr-CA"/>
        </w:rPr>
        <w:t>Pour déterminer si un moyen de défense est vraisemblable, il faut se demander si la preuve est suffisante.  Il ne suffit pas qu’il existe « une preuve » étayant le moyen de défense (</w:t>
      </w:r>
      <w:r w:rsidRPr="008B77C2">
        <w:rPr>
          <w:i/>
          <w:lang w:val="fr-CA"/>
        </w:rPr>
        <w:t>Cinous</w:t>
      </w:r>
      <w:r w:rsidRPr="008B77C2">
        <w:rPr>
          <w:lang w:val="fr-CA"/>
        </w:rPr>
        <w:t xml:space="preserve">, </w:t>
      </w:r>
      <w:r>
        <w:rPr>
          <w:lang w:val="fr-CA"/>
        </w:rPr>
        <w:t>par. </w:t>
      </w:r>
      <w:r w:rsidRPr="008B77C2">
        <w:rPr>
          <w:lang w:val="fr-CA"/>
        </w:rPr>
        <w:t>83).  Il faut se demander « s’il existe (1) une preuve (2) qui permettrait à un jury ayant reçu des directives appropriées et agissant raisonnablement de prononcer l’acquittement, s’il y ajoutait foi » (</w:t>
      </w:r>
      <w:r w:rsidRPr="008B77C2">
        <w:rPr>
          <w:i/>
          <w:lang w:val="fr-CA"/>
        </w:rPr>
        <w:t>Cinous</w:t>
      </w:r>
      <w:r w:rsidRPr="008B77C2">
        <w:rPr>
          <w:lang w:val="fr-CA"/>
        </w:rPr>
        <w:t xml:space="preserve">, </w:t>
      </w:r>
      <w:r>
        <w:rPr>
          <w:lang w:val="fr-CA"/>
        </w:rPr>
        <w:t>par. </w:t>
      </w:r>
      <w:r w:rsidRPr="008B77C2">
        <w:rPr>
          <w:lang w:val="fr-CA"/>
        </w:rPr>
        <w:t>65).  S’agissant de moyens de défense qui se fondent sur une preuve indirecte ou de moyens — telle la provocation — qui ont une composante objective de raisonnabilité, le juge du procès doit examiner les « inférences de fait » qui peuvent raisonnablement être tirées au vu de la preuve (</w:t>
      </w:r>
      <w:r w:rsidRPr="008B77C2">
        <w:rPr>
          <w:i/>
          <w:lang w:val="fr-CA"/>
        </w:rPr>
        <w:t>Cinous</w:t>
      </w:r>
      <w:r w:rsidRPr="008B77C2">
        <w:rPr>
          <w:lang w:val="fr-CA"/>
        </w:rPr>
        <w:t xml:space="preserve">, </w:t>
      </w:r>
      <w:r>
        <w:rPr>
          <w:lang w:val="fr-CA"/>
        </w:rPr>
        <w:t>par. </w:t>
      </w:r>
      <w:r w:rsidRPr="008B77C2">
        <w:rPr>
          <w:lang w:val="fr-CA"/>
        </w:rPr>
        <w:t>91).  [</w:t>
      </w:r>
      <w:r>
        <w:rPr>
          <w:lang w:val="fr-CA" w:eastAsia="en-US" w:bidi="en-US"/>
        </w:rPr>
        <w:t>par. </w:t>
      </w:r>
      <w:r w:rsidRPr="008B77C2">
        <w:rPr>
          <w:lang w:val="fr-CA" w:eastAsia="en-US" w:bidi="en-US"/>
        </w:rPr>
        <w:t>21]</w:t>
      </w:r>
    </w:p>
    <w:p w:rsidR="008479ED" w:rsidRPr="008B77C2" w:rsidRDefault="008479ED" w:rsidP="008479ED">
      <w:pPr>
        <w:pStyle w:val="ParaNoNdepar-AltN"/>
        <w:rPr>
          <w:rFonts w:cs="Times New Roman"/>
          <w:lang w:val="fr-CA"/>
        </w:rPr>
      </w:pPr>
      <w:r w:rsidRPr="008B77C2">
        <w:rPr>
          <w:rFonts w:cs="Times New Roman"/>
          <w:lang w:val="fr-CA"/>
        </w:rPr>
        <w:t>Lorsque la défense est vraisemblable, le juge doit laisser au jury le soin de l’examiner.  Il doit s’assurer qu’elle a un fondement probant, mais s’il a un doute sur le respect du critère de la vraisemblance, il doit trancher ce doute en faveur de la présentation du moyen de défense au jury.</w:t>
      </w:r>
    </w:p>
    <w:p w:rsidR="008479ED" w:rsidRPr="008B77C2" w:rsidRDefault="008479ED" w:rsidP="008479ED">
      <w:pPr>
        <w:pStyle w:val="ParaNoNdepar-AltN"/>
        <w:rPr>
          <w:rFonts w:cs="Times New Roman"/>
          <w:lang w:val="fr-CA"/>
        </w:rPr>
      </w:pPr>
      <w:r w:rsidRPr="008B77C2">
        <w:rPr>
          <w:rFonts w:cs="Times New Roman"/>
          <w:lang w:val="fr-CA"/>
        </w:rPr>
        <w:t xml:space="preserve">L’issue du pourvoi tient à la vraisemblance de l’élément objectif de la provocation.  Comme nous le verrons plus loin, l’une des exigences du moyen de défense veut que, dans la situation de l’accusé, une personne ordinaire eût été privée du pouvoir de se maîtriser.  Il s’agit donc de savoir si quelque élément de preuve aurait permis à un jury agissant de manière raisonnable et ayant reçu des directives appropriées d’avoir un doute raisonnable que les insultes de M. Ferguson auraient privé une personne ordinaire, dans la situation de M. Cairney — qui inclut le fait </w:t>
      </w:r>
      <w:r w:rsidRPr="008B77C2">
        <w:rPr>
          <w:rFonts w:cs="Times New Roman"/>
          <w:i/>
          <w:lang w:val="fr-CA"/>
        </w:rPr>
        <w:t>d’avoir déclenché un affrontement armé</w:t>
      </w:r>
      <w:r w:rsidR="004C41CE">
        <w:rPr>
          <w:rFonts w:cs="Times New Roman"/>
          <w:lang w:val="fr-CA"/>
        </w:rPr>
        <w:t xml:space="preserve"> —, du pouvoir de se maîtriser.</w:t>
      </w:r>
    </w:p>
    <w:p w:rsidR="008479ED" w:rsidRPr="008B77C2" w:rsidRDefault="008479ED" w:rsidP="00A835DA">
      <w:pPr>
        <w:pStyle w:val="TitleTitre-AltT"/>
        <w:tabs>
          <w:tab w:val="clear" w:pos="360"/>
          <w:tab w:val="left" w:pos="450"/>
        </w:tabs>
        <w:ind w:left="450" w:hanging="450"/>
        <w:rPr>
          <w:rFonts w:cs="Times New Roman"/>
          <w:lang w:val="fr-CA"/>
        </w:rPr>
      </w:pPr>
      <w:r w:rsidRPr="008B77C2">
        <w:rPr>
          <w:rFonts w:cs="Times New Roman"/>
          <w:lang w:val="fr-CA"/>
        </w:rPr>
        <w:lastRenderedPageBreak/>
        <w:t>B.</w:t>
      </w:r>
      <w:r w:rsidRPr="008B77C2">
        <w:rPr>
          <w:rFonts w:cs="Times New Roman"/>
          <w:lang w:val="fr-CA"/>
        </w:rPr>
        <w:tab/>
      </w:r>
      <w:r w:rsidRPr="008B77C2">
        <w:rPr>
          <w:rFonts w:cs="Times New Roman"/>
          <w:i/>
          <w:lang w:val="fr-CA"/>
        </w:rPr>
        <w:t>Les éléments de la défense de provocation</w:t>
      </w:r>
    </w:p>
    <w:p w:rsidR="008479ED" w:rsidRPr="008B77C2" w:rsidRDefault="008479ED" w:rsidP="00A835DA">
      <w:pPr>
        <w:pStyle w:val="TitleTitre-AltT"/>
        <w:tabs>
          <w:tab w:val="clear" w:pos="360"/>
          <w:tab w:val="left" w:pos="450"/>
          <w:tab w:val="left" w:pos="993"/>
        </w:tabs>
        <w:ind w:left="450" w:hanging="450"/>
        <w:rPr>
          <w:rFonts w:cs="Times New Roman"/>
          <w:lang w:val="fr-CA"/>
        </w:rPr>
      </w:pPr>
      <w:r w:rsidRPr="008B77C2">
        <w:rPr>
          <w:rFonts w:cs="Times New Roman"/>
          <w:lang w:val="fr-CA"/>
        </w:rPr>
        <w:tab/>
        <w:t>(1)</w:t>
      </w:r>
      <w:r w:rsidRPr="008B77C2">
        <w:rPr>
          <w:rFonts w:cs="Times New Roman"/>
          <w:lang w:val="fr-CA"/>
        </w:rPr>
        <w:tab/>
      </w:r>
      <w:r w:rsidRPr="008B77C2">
        <w:rPr>
          <w:rFonts w:cs="Times New Roman"/>
          <w:u w:val="single"/>
          <w:lang w:val="fr-CA"/>
        </w:rPr>
        <w:t>Évolution historique du moyen de défense</w:t>
      </w:r>
    </w:p>
    <w:p w:rsidR="008479ED" w:rsidRPr="008B77C2" w:rsidRDefault="008479ED" w:rsidP="008479ED">
      <w:pPr>
        <w:pStyle w:val="ParaNoNdepar-AltN"/>
        <w:rPr>
          <w:rFonts w:cs="Times New Roman"/>
          <w:lang w:val="fr-CA"/>
        </w:rPr>
      </w:pPr>
      <w:r w:rsidRPr="008B77C2">
        <w:rPr>
          <w:rFonts w:cs="Times New Roman"/>
          <w:lang w:val="fr-CA"/>
        </w:rPr>
        <w:t>En common law, comme sous le régime de l’</w:t>
      </w:r>
      <w:r>
        <w:rPr>
          <w:rFonts w:cs="Times New Roman"/>
          <w:lang w:val="fr-CA"/>
        </w:rPr>
        <w:t>art. </w:t>
      </w:r>
      <w:r w:rsidRPr="008B77C2">
        <w:rPr>
          <w:rFonts w:cs="Times New Roman"/>
          <w:lang w:val="fr-CA"/>
        </w:rPr>
        <w:t xml:space="preserve">232 du </w:t>
      </w:r>
      <w:r w:rsidRPr="008B77C2">
        <w:rPr>
          <w:rFonts w:cs="Times New Roman"/>
          <w:i/>
          <w:lang w:val="fr-CA"/>
        </w:rPr>
        <w:t>Code criminel</w:t>
      </w:r>
      <w:r w:rsidRPr="008B77C2">
        <w:rPr>
          <w:rFonts w:cs="Times New Roman"/>
          <w:lang w:val="fr-CA"/>
        </w:rPr>
        <w:t>,</w:t>
      </w:r>
      <w:r w:rsidRPr="008B77C2">
        <w:rPr>
          <w:rFonts w:cs="Times New Roman"/>
          <w:i/>
          <w:lang w:val="fr-CA"/>
        </w:rPr>
        <w:t xml:space="preserve"> </w:t>
      </w:r>
      <w:r w:rsidRPr="008B77C2">
        <w:rPr>
          <w:rFonts w:cs="Times New Roman"/>
          <w:lang w:val="fr-CA"/>
        </w:rPr>
        <w:t>la défense de provocation comporte deux éléments, l’u</w:t>
      </w:r>
      <w:r w:rsidR="004C41CE">
        <w:rPr>
          <w:rFonts w:cs="Times New Roman"/>
          <w:lang w:val="fr-CA"/>
        </w:rPr>
        <w:t>n subjectif, l’autre objectif.</w:t>
      </w:r>
    </w:p>
    <w:p w:rsidR="008479ED" w:rsidRPr="008B77C2" w:rsidRDefault="008479ED" w:rsidP="008479ED">
      <w:pPr>
        <w:pStyle w:val="ParaNoNdepar-AltN"/>
        <w:rPr>
          <w:rFonts w:cs="Times New Roman"/>
          <w:lang w:val="fr-CA"/>
        </w:rPr>
      </w:pPr>
      <w:r w:rsidRPr="008B77C2">
        <w:rPr>
          <w:rFonts w:cs="Times New Roman"/>
          <w:lang w:val="fr-CA"/>
        </w:rPr>
        <w:t>À l’origine, il suffisait que l’accusé ait perdu la maîtrise de soi à cause des actes du défunt.  Il s’agissait de l’élément subjectif, la question étant alors seulement de savoir si l’accusé avait en fait (c’est</w:t>
      </w:r>
      <w:r>
        <w:rPr>
          <w:rFonts w:cs="Times New Roman"/>
          <w:lang w:val="fr-CA"/>
        </w:rPr>
        <w:noBreakHyphen/>
      </w:r>
      <w:r w:rsidRPr="008B77C2">
        <w:rPr>
          <w:rFonts w:cs="Times New Roman"/>
          <w:lang w:val="fr-CA"/>
        </w:rPr>
        <w:t>à</w:t>
      </w:r>
      <w:r>
        <w:rPr>
          <w:rFonts w:cs="Times New Roman"/>
          <w:lang w:val="fr-CA"/>
        </w:rPr>
        <w:noBreakHyphen/>
      </w:r>
      <w:r w:rsidRPr="008B77C2">
        <w:rPr>
          <w:rFonts w:cs="Times New Roman"/>
          <w:lang w:val="fr-CA"/>
        </w:rPr>
        <w:t>dire subjectivement) perdu la maîtrise de soi par suite des actes de la victime.</w:t>
      </w:r>
    </w:p>
    <w:p w:rsidR="008479ED" w:rsidRPr="008B77C2" w:rsidRDefault="008479ED" w:rsidP="008479ED">
      <w:pPr>
        <w:pStyle w:val="ParaNoNdepar-AltN"/>
        <w:rPr>
          <w:rFonts w:cs="Times New Roman"/>
          <w:lang w:val="fr-CA"/>
        </w:rPr>
      </w:pPr>
      <w:r w:rsidRPr="008B77C2">
        <w:rPr>
          <w:rFonts w:cs="Times New Roman"/>
          <w:lang w:val="fr-CA"/>
        </w:rPr>
        <w:t>Puis, graduellement, afin de circonscrire l’ouverture du moyen de défense, on a exigé que l’acte de provocation soit susceptible de priver une personne raisonnable (ou ordinaire) du pouvoir de se maîtriser.  L’élément objectif était né.</w:t>
      </w:r>
    </w:p>
    <w:p w:rsidR="008479ED" w:rsidRPr="008B77C2" w:rsidRDefault="008479ED" w:rsidP="008479ED">
      <w:pPr>
        <w:pStyle w:val="ParaNoNdepar-AltN"/>
        <w:rPr>
          <w:rFonts w:cs="Times New Roman"/>
          <w:lang w:val="fr-CA"/>
        </w:rPr>
      </w:pPr>
      <w:r w:rsidRPr="008B77C2">
        <w:rPr>
          <w:rFonts w:cs="Times New Roman"/>
          <w:lang w:val="fr-CA"/>
        </w:rPr>
        <w:t xml:space="preserve">Selon les premières décisions judiciaires, il suffisait d’établir l’élément subjectif.  Le moyen de défense était issu </w:t>
      </w:r>
      <w:r w:rsidR="00A835DA">
        <w:rPr>
          <w:rFonts w:cs="Times New Roman"/>
          <w:lang w:val="fr-CA"/>
        </w:rPr>
        <w:t>de la notion, datant du 16</w:t>
      </w:r>
      <w:r w:rsidR="00A835DA">
        <w:rPr>
          <w:rFonts w:cs="Times New Roman"/>
          <w:vertAlign w:val="superscript"/>
          <w:lang w:val="fr-CA"/>
        </w:rPr>
        <w:t>e</w:t>
      </w:r>
      <w:r w:rsidRPr="008B77C2">
        <w:rPr>
          <w:rFonts w:cs="Times New Roman"/>
          <w:lang w:val="fr-CA"/>
        </w:rPr>
        <w:t xml:space="preserve"> siècle, d’homicide lors d’une « mêlée imprévue » (</w:t>
      </w:r>
      <w:r w:rsidRPr="008B77C2">
        <w:rPr>
          <w:rFonts w:cs="Times New Roman"/>
          <w:i/>
          <w:lang w:val="fr-CA"/>
        </w:rPr>
        <w:t>chance</w:t>
      </w:r>
      <w:r w:rsidR="0088159C">
        <w:rPr>
          <w:rFonts w:cs="Times New Roman"/>
          <w:i/>
          <w:lang w:val="fr-CA"/>
        </w:rPr>
        <w:t>-</w:t>
      </w:r>
      <w:r w:rsidRPr="008B77C2">
        <w:rPr>
          <w:rFonts w:cs="Times New Roman"/>
          <w:i/>
          <w:lang w:val="fr-CA"/>
        </w:rPr>
        <w:t>medley</w:t>
      </w:r>
      <w:r w:rsidRPr="008B77C2">
        <w:rPr>
          <w:rFonts w:cs="Times New Roman"/>
          <w:lang w:val="fr-CA"/>
        </w:rPr>
        <w:t xml:space="preserve">), un homicide commis </w:t>
      </w:r>
      <w:r w:rsidRPr="008B77C2">
        <w:rPr>
          <w:rFonts w:cs="Times New Roman"/>
          <w:smallCaps/>
          <w:lang w:val="fr-CA"/>
        </w:rPr>
        <w:t>[traduction]</w:t>
      </w:r>
      <w:r w:rsidRPr="008B77C2">
        <w:rPr>
          <w:rFonts w:cs="Times New Roman"/>
          <w:lang w:val="fr-CA"/>
        </w:rPr>
        <w:t xml:space="preserve"> « accidentellement (sans préméditation) à la suite d’une rixe, bagarre ou dispute soudaine » (E. Coke, </w:t>
      </w:r>
      <w:r w:rsidRPr="008B77C2">
        <w:rPr>
          <w:rFonts w:cs="Times New Roman"/>
          <w:i/>
          <w:lang w:val="fr-CA"/>
        </w:rPr>
        <w:t>The Third Part of the Institutes of the Laws of England</w:t>
      </w:r>
      <w:r w:rsidR="0088159C">
        <w:rPr>
          <w:rFonts w:cs="Times New Roman"/>
          <w:i/>
          <w:lang w:val="fr-CA"/>
        </w:rPr>
        <w:t xml:space="preserve"> </w:t>
      </w:r>
      <w:r w:rsidRPr="00A835DA">
        <w:rPr>
          <w:rFonts w:cs="Times New Roman"/>
          <w:i/>
          <w:lang w:val="fr-CA"/>
        </w:rPr>
        <w:t xml:space="preserve">: </w:t>
      </w:r>
      <w:r w:rsidRPr="008B77C2">
        <w:rPr>
          <w:rFonts w:cs="Times New Roman"/>
          <w:lang w:val="fr-CA"/>
        </w:rPr>
        <w:t xml:space="preserve"> </w:t>
      </w:r>
      <w:r w:rsidRPr="008B77C2">
        <w:rPr>
          <w:rFonts w:cs="Times New Roman"/>
          <w:i/>
          <w:lang w:val="fr-CA"/>
        </w:rPr>
        <w:t xml:space="preserve">Concerning High Treason, and Other Pleas of the Crown, and Criminal Causes </w:t>
      </w:r>
      <w:r w:rsidRPr="008B77C2">
        <w:rPr>
          <w:rFonts w:cs="Times New Roman"/>
          <w:lang w:val="fr-CA"/>
        </w:rPr>
        <w:t xml:space="preserve">(1809, publié d’abord en 1644), </w:t>
      </w:r>
      <w:r>
        <w:rPr>
          <w:rFonts w:cs="Times New Roman"/>
          <w:lang w:val="fr-CA"/>
        </w:rPr>
        <w:t>p. </w:t>
      </w:r>
      <w:r w:rsidRPr="008B77C2">
        <w:rPr>
          <w:rFonts w:cs="Times New Roman"/>
          <w:lang w:val="fr-CA"/>
        </w:rPr>
        <w:t>57; G. Coss, « </w:t>
      </w:r>
      <w:r w:rsidR="00A835DA" w:rsidRPr="00A835DA">
        <w:rPr>
          <w:rFonts w:cs="Times New Roman"/>
          <w:lang w:val="fr-CA" w:bidi="en-US"/>
        </w:rPr>
        <w:t>“</w:t>
      </w:r>
      <w:r w:rsidRPr="008B77C2">
        <w:rPr>
          <w:rFonts w:cs="Times New Roman"/>
          <w:lang w:val="fr-CA"/>
        </w:rPr>
        <w:t>God is a righteous judge, strong and patient</w:t>
      </w:r>
      <w:r w:rsidR="00A835DA">
        <w:rPr>
          <w:rFonts w:cs="Times New Roman"/>
          <w:lang w:val="fr-CA"/>
        </w:rPr>
        <w:t> </w:t>
      </w:r>
      <w:r w:rsidRPr="008B77C2">
        <w:rPr>
          <w:rFonts w:cs="Times New Roman"/>
          <w:lang w:val="fr-CA"/>
        </w:rPr>
        <w:t>: and God is provoked every day</w:t>
      </w:r>
      <w:r w:rsidR="00A835DA" w:rsidRPr="00A835DA">
        <w:rPr>
          <w:rFonts w:cs="Times New Roman"/>
          <w:lang w:val="fr-CA" w:bidi="en-US"/>
        </w:rPr>
        <w:t>”</w:t>
      </w:r>
      <w:r w:rsidRPr="008B77C2">
        <w:rPr>
          <w:rFonts w:cs="Times New Roman"/>
          <w:lang w:val="fr-CA"/>
        </w:rPr>
        <w:t xml:space="preserve">.  </w:t>
      </w:r>
      <w:r w:rsidRPr="008B77C2">
        <w:rPr>
          <w:rFonts w:cs="Times New Roman"/>
          <w:lang w:val="en-US"/>
        </w:rPr>
        <w:t xml:space="preserve">A Brief History of the Doctrine </w:t>
      </w:r>
      <w:r w:rsidRPr="008B77C2">
        <w:rPr>
          <w:rFonts w:cs="Times New Roman"/>
          <w:lang w:val="en-US"/>
        </w:rPr>
        <w:lastRenderedPageBreak/>
        <w:t xml:space="preserve">of Provocation in England » (1991), 13 </w:t>
      </w:r>
      <w:r w:rsidRPr="008B77C2">
        <w:rPr>
          <w:rFonts w:cs="Times New Roman"/>
          <w:i/>
          <w:lang w:val="en-US"/>
        </w:rPr>
        <w:t>Sydney L. Rev.</w:t>
      </w:r>
      <w:r w:rsidRPr="008B77C2">
        <w:rPr>
          <w:rFonts w:cs="Times New Roman"/>
          <w:lang w:val="en-US"/>
        </w:rPr>
        <w:t xml:space="preserve"> 570, </w:t>
      </w:r>
      <w:r>
        <w:rPr>
          <w:rFonts w:cs="Times New Roman"/>
          <w:lang w:val="en-US"/>
        </w:rPr>
        <w:t>p. </w:t>
      </w:r>
      <w:r w:rsidRPr="008B77C2">
        <w:rPr>
          <w:rFonts w:cs="Times New Roman"/>
          <w:lang w:val="en-US"/>
        </w:rPr>
        <w:t>573</w:t>
      </w:r>
      <w:r>
        <w:rPr>
          <w:rFonts w:cs="Times New Roman"/>
          <w:lang w:val="en-US"/>
        </w:rPr>
        <w:noBreakHyphen/>
      </w:r>
      <w:r w:rsidRPr="008B77C2">
        <w:rPr>
          <w:rFonts w:cs="Times New Roman"/>
          <w:lang w:val="en-US"/>
        </w:rPr>
        <w:t xml:space="preserve">574).  </w:t>
      </w:r>
      <w:r w:rsidRPr="008B77C2">
        <w:rPr>
          <w:rFonts w:cs="Times New Roman"/>
          <w:lang w:val="fr-CA"/>
        </w:rPr>
        <w:t>L’homicide n’était pas prémédité et survenait dans un accès de colère.  On y associait donc un degré de culpabilité morale moindre qu’à celui commis délibérément, de sang</w:t>
      </w:r>
      <w:r>
        <w:rPr>
          <w:rFonts w:cs="Times New Roman"/>
          <w:lang w:val="fr-CA"/>
        </w:rPr>
        <w:noBreakHyphen/>
      </w:r>
      <w:r w:rsidRPr="008B77C2">
        <w:rPr>
          <w:rFonts w:cs="Times New Roman"/>
          <w:lang w:val="fr-CA"/>
        </w:rPr>
        <w:t>froid (</w:t>
      </w:r>
      <w:r w:rsidRPr="008B77C2">
        <w:rPr>
          <w:rFonts w:cs="Times New Roman"/>
          <w:i/>
          <w:lang w:val="fr-CA"/>
        </w:rPr>
        <w:t>Tran</w:t>
      </w:r>
      <w:r w:rsidRPr="008B77C2">
        <w:rPr>
          <w:rFonts w:cs="Times New Roman"/>
          <w:lang w:val="fr-CA"/>
        </w:rPr>
        <w:t xml:space="preserve">, </w:t>
      </w:r>
      <w:r>
        <w:rPr>
          <w:rFonts w:cs="Times New Roman"/>
          <w:lang w:val="fr-CA"/>
        </w:rPr>
        <w:t>par. </w:t>
      </w:r>
      <w:r w:rsidR="004C41CE">
        <w:rPr>
          <w:rFonts w:cs="Times New Roman"/>
          <w:lang w:val="fr-CA"/>
        </w:rPr>
        <w:t>13).</w:t>
      </w:r>
    </w:p>
    <w:p w:rsidR="008479ED" w:rsidRPr="008B77C2" w:rsidRDefault="008479ED" w:rsidP="008479ED">
      <w:pPr>
        <w:pStyle w:val="ParaNoNdepar-AltN"/>
        <w:rPr>
          <w:rFonts w:cs="Times New Roman"/>
          <w:lang w:val="fr-CA"/>
        </w:rPr>
      </w:pPr>
      <w:r w:rsidRPr="008B77C2">
        <w:rPr>
          <w:rFonts w:cs="Times New Roman"/>
          <w:lang w:val="fr-CA"/>
        </w:rPr>
        <w:t xml:space="preserve">Or, la common law a tôt fait de circonscrire les cas dans lesquels le moyen de défense pouvait être invoqué, ce dont notre Cour fait état comme suit dans </w:t>
      </w:r>
      <w:r w:rsidRPr="008B77C2">
        <w:rPr>
          <w:rFonts w:cs="Times New Roman"/>
          <w:i/>
          <w:lang w:val="fr-CA"/>
        </w:rPr>
        <w:t>Tran</w:t>
      </w:r>
      <w:r>
        <w:rPr>
          <w:rFonts w:cs="Times New Roman"/>
          <w:lang w:val="fr-CA"/>
        </w:rPr>
        <w:t> :</w:t>
      </w:r>
    </w:p>
    <w:p w:rsidR="008479ED" w:rsidRPr="008B77C2" w:rsidRDefault="008479ED" w:rsidP="008479ED">
      <w:pPr>
        <w:pStyle w:val="Citation-AltC"/>
        <w:tabs>
          <w:tab w:val="left" w:pos="1620"/>
        </w:tabs>
        <w:ind w:hanging="1166"/>
        <w:contextualSpacing w:val="0"/>
        <w:rPr>
          <w:lang w:val="fr-CA"/>
        </w:rPr>
      </w:pPr>
      <w:r w:rsidRPr="008B77C2">
        <w:rPr>
          <w:lang w:val="fr-CA"/>
        </w:rPr>
        <w:tab/>
      </w:r>
      <w:r w:rsidR="00A835DA">
        <w:rPr>
          <w:lang w:val="fr-CA"/>
        </w:rPr>
        <w:t>. .</w:t>
      </w:r>
      <w:r w:rsidR="00A835DA" w:rsidRPr="00A835DA">
        <w:rPr>
          <w:lang w:val="fr-FR"/>
        </w:rPr>
        <w:t> .</w:t>
      </w:r>
      <w:r w:rsidR="00A835DA">
        <w:rPr>
          <w:lang w:val="fr-FR"/>
        </w:rPr>
        <w:t xml:space="preserve"> l</w:t>
      </w:r>
      <w:r w:rsidRPr="008B77C2">
        <w:rPr>
          <w:lang w:val="fr-CA"/>
        </w:rPr>
        <w:t xml:space="preserve">es tribunaux se sont employés à accroître la certitude en la matière en créant des catégories précises de « faits provocateurs » jugés suffisamment « importants » pour entraîner la perte de la maîtrise de soi.  Dans l’arrêt de principe </w:t>
      </w:r>
      <w:r w:rsidRPr="008B77C2">
        <w:rPr>
          <w:i/>
          <w:lang w:val="fr-CA"/>
        </w:rPr>
        <w:t>R. c. Mawgridge</w:t>
      </w:r>
      <w:r w:rsidRPr="008B77C2">
        <w:rPr>
          <w:lang w:val="fr-CA"/>
        </w:rPr>
        <w:t xml:space="preserve"> (1707), Kel J. 119, 84 E.R. 1107, le lord juge en chef Holt établit quatre c</w:t>
      </w:r>
      <w:r w:rsidR="00A835DA">
        <w:rPr>
          <w:lang w:val="fr-CA"/>
        </w:rPr>
        <w:t>atégories de provocation . . </w:t>
      </w:r>
      <w:r w:rsidRPr="008B77C2">
        <w:rPr>
          <w:lang w:val="fr-CA"/>
        </w:rPr>
        <w:t>.  [</w:t>
      </w:r>
      <w:r>
        <w:rPr>
          <w:lang w:val="fr-CA"/>
        </w:rPr>
        <w:t>par. </w:t>
      </w:r>
      <w:r w:rsidRPr="008B77C2">
        <w:rPr>
          <w:lang w:val="fr-CA"/>
        </w:rPr>
        <w:t>15]</w:t>
      </w:r>
    </w:p>
    <w:p w:rsidR="008479ED" w:rsidRPr="008B77C2" w:rsidRDefault="008479ED" w:rsidP="008479ED">
      <w:pPr>
        <w:pStyle w:val="ContinueParaSuitedupar-AltP"/>
        <w:rPr>
          <w:rFonts w:cs="Times New Roman"/>
          <w:lang w:val="fr-CA" w:bidi="en-US"/>
        </w:rPr>
      </w:pPr>
      <w:r w:rsidRPr="008B77C2">
        <w:rPr>
          <w:rFonts w:cs="Times New Roman"/>
          <w:lang w:val="fr-CA" w:bidi="en-US"/>
        </w:rPr>
        <w:t xml:space="preserve">L’application d’un nombre restreint de catégories de faits qui permettaient d’invoquer la défense avait pour prémisse que </w:t>
      </w:r>
      <w:r w:rsidRPr="008B77C2">
        <w:rPr>
          <w:rFonts w:cs="Times New Roman"/>
          <w:smallCaps/>
          <w:lang w:val="fr-CA" w:bidi="en-US"/>
        </w:rPr>
        <w:t>[traduction]</w:t>
      </w:r>
      <w:r w:rsidRPr="008B77C2">
        <w:rPr>
          <w:rFonts w:cs="Times New Roman"/>
          <w:lang w:val="fr-CA" w:bidi="en-US"/>
        </w:rPr>
        <w:t xml:space="preserve"> « les gens </w:t>
      </w:r>
      <w:r w:rsidRPr="008B77C2">
        <w:rPr>
          <w:rFonts w:cs="Times New Roman"/>
          <w:i/>
          <w:lang w:val="fr-CA" w:bidi="en-US"/>
        </w:rPr>
        <w:t>ne</w:t>
      </w:r>
      <w:r w:rsidRPr="008B77C2">
        <w:rPr>
          <w:rFonts w:cs="Times New Roman"/>
          <w:lang w:val="fr-CA" w:bidi="en-US"/>
        </w:rPr>
        <w:t xml:space="preserve"> </w:t>
      </w:r>
      <w:r w:rsidRPr="008B77C2">
        <w:rPr>
          <w:rFonts w:cs="Times New Roman"/>
          <w:i/>
          <w:lang w:val="fr-CA" w:bidi="en-US"/>
        </w:rPr>
        <w:t>devaient pas</w:t>
      </w:r>
      <w:r w:rsidRPr="008B77C2">
        <w:rPr>
          <w:rFonts w:cs="Times New Roman"/>
          <w:lang w:val="fr-CA" w:bidi="en-US"/>
        </w:rPr>
        <w:t xml:space="preserve"> céder</w:t>
      </w:r>
      <w:r w:rsidRPr="008B77C2">
        <w:rPr>
          <w:rFonts w:cs="Times New Roman"/>
          <w:i/>
          <w:lang w:val="fr-CA" w:bidi="en-US"/>
        </w:rPr>
        <w:t xml:space="preserve"> </w:t>
      </w:r>
      <w:r w:rsidRPr="008B77C2">
        <w:rPr>
          <w:rFonts w:cs="Times New Roman"/>
          <w:lang w:val="fr-CA" w:bidi="en-US"/>
        </w:rPr>
        <w:t xml:space="preserve">à certaines provocations et que, s’ils y cédaient, ils devaient subir toute la rigueur de la loi » (A. J. Ashworth, « The Doctrine of Provocation » (1976), 35 </w:t>
      </w:r>
      <w:r w:rsidRPr="008B77C2">
        <w:rPr>
          <w:rFonts w:cs="Times New Roman"/>
          <w:i/>
          <w:lang w:val="fr-CA" w:bidi="en-US"/>
        </w:rPr>
        <w:t xml:space="preserve">Cambridge L.J. </w:t>
      </w:r>
      <w:r w:rsidRPr="008B77C2">
        <w:rPr>
          <w:rFonts w:cs="Times New Roman"/>
          <w:lang w:val="fr-CA" w:bidi="en-US"/>
        </w:rPr>
        <w:t xml:space="preserve">292, </w:t>
      </w:r>
      <w:r>
        <w:rPr>
          <w:rFonts w:cs="Times New Roman"/>
          <w:lang w:val="fr-CA" w:bidi="en-US"/>
        </w:rPr>
        <w:t>p. </w:t>
      </w:r>
      <w:r w:rsidRPr="008B77C2">
        <w:rPr>
          <w:rFonts w:cs="Times New Roman"/>
          <w:lang w:val="fr-CA" w:bidi="en-US"/>
        </w:rPr>
        <w:t>295 (</w:t>
      </w:r>
      <w:r w:rsidR="00A835DA">
        <w:rPr>
          <w:rFonts w:cs="Times New Roman"/>
          <w:lang w:val="fr-CA" w:bidi="en-US"/>
        </w:rPr>
        <w:t xml:space="preserve">en </w:t>
      </w:r>
      <w:r w:rsidR="004C41CE">
        <w:rPr>
          <w:rFonts w:cs="Times New Roman"/>
          <w:lang w:val="fr-CA" w:bidi="en-US"/>
        </w:rPr>
        <w:t>italique dans l’original)).</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Avec le temps, les catégories créées pour circonscrire l’accès au moyen de défense ont cédé le pas à une norme formelle, de sorte que celui qui invoquait la provocation devait respecter la norme de la maîtrise de soi dont était censé faire </w:t>
      </w:r>
      <w:r w:rsidRPr="008B77C2">
        <w:rPr>
          <w:rFonts w:cs="Times New Roman"/>
          <w:lang w:val="fr-CA" w:bidi="en-US"/>
        </w:rPr>
        <w:lastRenderedPageBreak/>
        <w:t>preuve un « homme raisonnable » (</w:t>
      </w:r>
      <w:r w:rsidRPr="008B77C2">
        <w:rPr>
          <w:rFonts w:cs="Times New Roman"/>
          <w:i/>
          <w:lang w:val="fr-CA" w:bidi="en-US"/>
        </w:rPr>
        <w:t>R. c. Welsh</w:t>
      </w:r>
      <w:r w:rsidRPr="008B77C2">
        <w:rPr>
          <w:rFonts w:cs="Times New Roman"/>
          <w:lang w:val="fr-CA" w:bidi="en-US"/>
        </w:rPr>
        <w:t xml:space="preserve"> (1869), 11 Cox C.C. 336; </w:t>
      </w:r>
      <w:r w:rsidRPr="008B77C2">
        <w:rPr>
          <w:rFonts w:cs="Times New Roman"/>
          <w:i/>
          <w:lang w:val="fr-CA" w:bidi="en-US"/>
        </w:rPr>
        <w:t>Tran</w:t>
      </w:r>
      <w:r w:rsidRPr="008B77C2">
        <w:rPr>
          <w:rFonts w:cs="Times New Roman"/>
          <w:lang w:val="fr-CA" w:bidi="en-US"/>
        </w:rPr>
        <w:t xml:space="preserve">, </w:t>
      </w:r>
      <w:r>
        <w:rPr>
          <w:rFonts w:cs="Times New Roman"/>
          <w:lang w:val="fr-CA" w:bidi="en-US"/>
        </w:rPr>
        <w:t>par. </w:t>
      </w:r>
      <w:r w:rsidRPr="008B77C2">
        <w:rPr>
          <w:rFonts w:cs="Times New Roman"/>
          <w:lang w:val="fr-CA" w:bidi="en-US"/>
        </w:rPr>
        <w:t>16).</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De plus, la common law a refusé de faire bénéficier du moyen de défense </w:t>
      </w:r>
      <w:r w:rsidRPr="008B77C2">
        <w:rPr>
          <w:rFonts w:cs="Times New Roman"/>
          <w:lang w:val="fr-CA"/>
        </w:rPr>
        <w:t>l’accusé</w:t>
      </w:r>
      <w:r w:rsidRPr="008B77C2">
        <w:rPr>
          <w:rFonts w:cs="Times New Roman"/>
          <w:lang w:val="fr-CA" w:bidi="en-US"/>
        </w:rPr>
        <w:t xml:space="preserve"> qui avait délibérément recherché la provocation afin de disposer d’un prétexte pour assassiner autrui (</w:t>
      </w:r>
      <w:r w:rsidRPr="008B77C2">
        <w:rPr>
          <w:rFonts w:cs="Times New Roman"/>
          <w:i/>
          <w:lang w:val="fr-CA" w:bidi="en-US"/>
        </w:rPr>
        <w:t>Mason’s Case</w:t>
      </w:r>
      <w:r w:rsidRPr="008B77C2">
        <w:rPr>
          <w:rFonts w:cs="Times New Roman"/>
          <w:lang w:val="fr-CA" w:bidi="en-US"/>
        </w:rPr>
        <w:t xml:space="preserve"> (1756), Fost. 132, 168 E.R. 66; A. J. Ashworth, « Self</w:t>
      </w:r>
      <w:r>
        <w:rPr>
          <w:rFonts w:cs="Times New Roman"/>
          <w:lang w:val="fr-CA" w:bidi="en-US"/>
        </w:rPr>
        <w:noBreakHyphen/>
      </w:r>
      <w:r w:rsidRPr="008B77C2">
        <w:rPr>
          <w:rFonts w:cs="Times New Roman"/>
          <w:lang w:val="fr-CA" w:bidi="en-US"/>
        </w:rPr>
        <w:t xml:space="preserve">Induced Provocation and the Homicide Act », [1973] </w:t>
      </w:r>
      <w:r w:rsidRPr="008B77C2">
        <w:rPr>
          <w:rFonts w:cs="Times New Roman"/>
          <w:i/>
          <w:lang w:val="fr-CA" w:bidi="en-US"/>
        </w:rPr>
        <w:t xml:space="preserve">Crim. L.R. </w:t>
      </w:r>
      <w:r w:rsidRPr="008B77C2">
        <w:rPr>
          <w:rFonts w:cs="Times New Roman"/>
          <w:lang w:val="fr-CA" w:bidi="en-US"/>
        </w:rPr>
        <w:t xml:space="preserve">483, </w:t>
      </w:r>
      <w:r>
        <w:rPr>
          <w:rFonts w:cs="Times New Roman"/>
          <w:lang w:val="fr-CA" w:bidi="en-US"/>
        </w:rPr>
        <w:t>p. </w:t>
      </w:r>
      <w:r w:rsidRPr="008B77C2">
        <w:rPr>
          <w:rFonts w:cs="Times New Roman"/>
          <w:lang w:val="fr-CA" w:bidi="en-US"/>
        </w:rPr>
        <w:t>484</w:t>
      </w:r>
      <w:r>
        <w:rPr>
          <w:rFonts w:cs="Times New Roman"/>
          <w:lang w:val="fr-CA" w:bidi="en-US"/>
        </w:rPr>
        <w:noBreakHyphen/>
      </w:r>
      <w:r w:rsidRPr="008B77C2">
        <w:rPr>
          <w:rFonts w:cs="Times New Roman"/>
          <w:lang w:val="fr-CA" w:bidi="en-US"/>
        </w:rPr>
        <w:t xml:space="preserve">485).  Par exemple, dans l’affaire </w:t>
      </w:r>
      <w:r w:rsidRPr="008B77C2">
        <w:rPr>
          <w:rFonts w:cs="Times New Roman"/>
          <w:i/>
          <w:lang w:val="fr-CA" w:bidi="en-US"/>
        </w:rPr>
        <w:t>Mason</w:t>
      </w:r>
      <w:r w:rsidRPr="008B77C2">
        <w:rPr>
          <w:rFonts w:cs="Times New Roman"/>
          <w:lang w:val="fr-CA" w:bidi="en-US"/>
        </w:rPr>
        <w:t xml:space="preserve">, </w:t>
      </w:r>
      <w:r w:rsidRPr="008B77C2">
        <w:rPr>
          <w:rFonts w:cs="Times New Roman"/>
          <w:lang w:val="fr-CA"/>
        </w:rPr>
        <w:t xml:space="preserve">après avoir été vaincu par </w:t>
      </w:r>
      <w:r w:rsidRPr="008B77C2">
        <w:rPr>
          <w:rFonts w:cs="Times New Roman"/>
          <w:lang w:val="fr-CA" w:bidi="en-US"/>
        </w:rPr>
        <w:t>sa victime lors d’une bagarre dans une taverne, l’accusé était retourné sur les lieux, un couteau dissimulé sur lui, et il avait de nouveau invité la victime à se battre.  Celle</w:t>
      </w:r>
      <w:r>
        <w:rPr>
          <w:rFonts w:cs="Times New Roman"/>
          <w:lang w:val="fr-CA" w:bidi="en-US"/>
        </w:rPr>
        <w:noBreakHyphen/>
      </w:r>
      <w:r w:rsidRPr="008B77C2">
        <w:rPr>
          <w:rFonts w:cs="Times New Roman"/>
          <w:lang w:val="fr-CA" w:bidi="en-US"/>
        </w:rPr>
        <w:t xml:space="preserve">ci avait tenté de frapper </w:t>
      </w:r>
      <w:r w:rsidRPr="008B77C2">
        <w:rPr>
          <w:rFonts w:cs="Times New Roman"/>
          <w:lang w:val="fr-CA"/>
        </w:rPr>
        <w:t>l’accusé,</w:t>
      </w:r>
      <w:r w:rsidRPr="008B77C2">
        <w:rPr>
          <w:rFonts w:cs="Times New Roman"/>
          <w:lang w:val="fr-CA" w:bidi="en-US"/>
        </w:rPr>
        <w:t xml:space="preserve"> lequel avait alors sorti son couteau.  La cour a statué que </w:t>
      </w:r>
      <w:r w:rsidRPr="008B77C2">
        <w:rPr>
          <w:rFonts w:cs="Times New Roman"/>
          <w:lang w:val="fr-CA"/>
        </w:rPr>
        <w:t>l’accusé</w:t>
      </w:r>
      <w:r w:rsidRPr="008B77C2">
        <w:rPr>
          <w:rFonts w:cs="Times New Roman"/>
          <w:lang w:val="fr-CA" w:bidi="en-US"/>
        </w:rPr>
        <w:t xml:space="preserve"> n’avait pas vraiment été provoqué par les coups de la victime, mais qu’il avait plutôt recherché la provocation afin de disposer d’un p</w:t>
      </w:r>
      <w:r w:rsidR="004C41CE">
        <w:rPr>
          <w:rFonts w:cs="Times New Roman"/>
          <w:lang w:val="fr-CA" w:bidi="en-US"/>
        </w:rPr>
        <w:t>rétexte pour assassiner autrui.</w:t>
      </w:r>
    </w:p>
    <w:p w:rsidR="008479ED" w:rsidRPr="008B77C2" w:rsidRDefault="008479ED" w:rsidP="008479ED">
      <w:pPr>
        <w:pStyle w:val="ParaNoNdepar-AltN"/>
        <w:rPr>
          <w:rFonts w:cs="Times New Roman"/>
          <w:lang w:val="fr-CA" w:bidi="en-US"/>
        </w:rPr>
      </w:pPr>
      <w:r w:rsidRPr="008B77C2">
        <w:rPr>
          <w:rFonts w:cs="Times New Roman"/>
          <w:lang w:val="fr-CA" w:bidi="en-US"/>
        </w:rPr>
        <w:t>Au Canada, ces mesures propres à la common law pour circonscrire l’ouverture du moyen de défense ont été intégrées à la codification de la défense de provocation (</w:t>
      </w:r>
      <w:r w:rsidRPr="008B77C2">
        <w:rPr>
          <w:rFonts w:cs="Times New Roman"/>
          <w:i/>
          <w:lang w:val="fr-CA" w:bidi="en-US"/>
        </w:rPr>
        <w:t>Code criminel, 1892</w:t>
      </w:r>
      <w:r w:rsidRPr="008B77C2">
        <w:rPr>
          <w:rFonts w:cs="Times New Roman"/>
          <w:lang w:val="fr-CA" w:bidi="en-US"/>
        </w:rPr>
        <w:t>, S.C. 1892, c</w:t>
      </w:r>
      <w:r w:rsidR="002F2856">
        <w:rPr>
          <w:rFonts w:cs="Times New Roman"/>
          <w:lang w:val="fr-CA" w:bidi="en-US"/>
        </w:rPr>
        <w:t>h</w:t>
      </w:r>
      <w:r w:rsidRPr="008B77C2">
        <w:rPr>
          <w:rFonts w:cs="Times New Roman"/>
          <w:lang w:val="fr-CA" w:bidi="en-US"/>
        </w:rPr>
        <w:t xml:space="preserve">. 29, </w:t>
      </w:r>
      <w:r>
        <w:rPr>
          <w:rFonts w:cs="Times New Roman"/>
          <w:lang w:val="fr-CA" w:bidi="en-US"/>
        </w:rPr>
        <w:t>art. </w:t>
      </w:r>
      <w:r w:rsidRPr="008B77C2">
        <w:rPr>
          <w:rFonts w:cs="Times New Roman"/>
          <w:lang w:val="fr-CA" w:bidi="en-US"/>
        </w:rPr>
        <w:t xml:space="preserve">229) et subsistent toujours.  Le paragraphe 232(2) du </w:t>
      </w:r>
      <w:r w:rsidRPr="008B77C2">
        <w:rPr>
          <w:rFonts w:cs="Times New Roman"/>
          <w:i/>
          <w:lang w:val="fr-CA" w:bidi="en-US"/>
        </w:rPr>
        <w:t xml:space="preserve">Code criminel </w:t>
      </w:r>
      <w:r w:rsidRPr="008B77C2">
        <w:rPr>
          <w:rFonts w:cs="Times New Roman"/>
          <w:lang w:val="fr-CA" w:bidi="en-US"/>
        </w:rPr>
        <w:t xml:space="preserve">énonce l’exigence objective établie par la common law, à savoir que seule une action injuste ou une insulte « de telle nature qu’elle suffise à priver une personne ordinaire </w:t>
      </w:r>
      <w:r w:rsidRPr="008B77C2">
        <w:rPr>
          <w:rFonts w:cs="Times New Roman"/>
          <w:lang w:val="fr-CA"/>
        </w:rPr>
        <w:t>du pouvoir de se maîtriser</w:t>
      </w:r>
      <w:r w:rsidRPr="008B77C2">
        <w:rPr>
          <w:rFonts w:cs="Times New Roman"/>
          <w:lang w:val="fr-CA" w:bidi="en-US"/>
        </w:rPr>
        <w:t xml:space="preserve"> » est une provocation.  Le paragraphe 232(3) fait obstacle à la provocation « recherchée » comme moyen de défense et dispose que « nul n’est censé avoir provoqué un autre </w:t>
      </w:r>
      <w:r w:rsidRPr="008B77C2">
        <w:rPr>
          <w:rFonts w:cs="Times New Roman"/>
          <w:lang w:val="fr-CA" w:bidi="en-US"/>
        </w:rPr>
        <w:lastRenderedPageBreak/>
        <w:t xml:space="preserve">individu [. . .] en faisant une </w:t>
      </w:r>
      <w:r w:rsidR="00AE1829">
        <w:rPr>
          <w:rFonts w:cs="Times New Roman"/>
          <w:lang w:val="fr-CA" w:bidi="en-US"/>
        </w:rPr>
        <w:t>chose que l’accusé l’a incité à</w:t>
      </w:r>
      <w:r w:rsidRPr="008B77C2">
        <w:rPr>
          <w:rFonts w:cs="Times New Roman"/>
          <w:lang w:val="fr-CA" w:bidi="en-US"/>
        </w:rPr>
        <w:t xml:space="preserve"> faire afin de fournir à </w:t>
      </w:r>
      <w:r w:rsidRPr="008B77C2">
        <w:rPr>
          <w:rFonts w:cs="Times New Roman"/>
          <w:lang w:val="fr-CA"/>
        </w:rPr>
        <w:t>l’accusé</w:t>
      </w:r>
      <w:r w:rsidRPr="008B77C2">
        <w:rPr>
          <w:rFonts w:cs="Times New Roman"/>
          <w:lang w:val="fr-CA" w:bidi="en-US"/>
        </w:rPr>
        <w:t xml:space="preserve"> une excuse pour causer la mort ou des lésions </w:t>
      </w:r>
      <w:r w:rsidR="004C41CE">
        <w:rPr>
          <w:rFonts w:cs="Times New Roman"/>
          <w:lang w:val="fr-CA" w:bidi="en-US"/>
        </w:rPr>
        <w:t>corporelles à un être humain ».</w:t>
      </w:r>
    </w:p>
    <w:p w:rsidR="008479ED" w:rsidRPr="008B77C2" w:rsidRDefault="008479ED" w:rsidP="00AE1829">
      <w:pPr>
        <w:pStyle w:val="TitleTitre-AltT"/>
        <w:tabs>
          <w:tab w:val="clear" w:pos="360"/>
          <w:tab w:val="left" w:pos="450"/>
          <w:tab w:val="left" w:pos="993"/>
        </w:tabs>
        <w:ind w:left="450" w:hanging="450"/>
        <w:rPr>
          <w:rFonts w:cs="Times New Roman"/>
          <w:lang w:val="fr-CA" w:bidi="en-US"/>
        </w:rPr>
      </w:pPr>
      <w:r w:rsidRPr="008B77C2">
        <w:rPr>
          <w:rFonts w:cs="Times New Roman"/>
          <w:lang w:val="fr-CA" w:bidi="en-US"/>
        </w:rPr>
        <w:tab/>
        <w:t>(2)</w:t>
      </w:r>
      <w:r w:rsidRPr="008B77C2">
        <w:rPr>
          <w:rFonts w:cs="Times New Roman"/>
          <w:lang w:val="fr-CA" w:bidi="en-US"/>
        </w:rPr>
        <w:tab/>
      </w:r>
      <w:r w:rsidRPr="008B77C2">
        <w:rPr>
          <w:rFonts w:cs="Times New Roman"/>
          <w:u w:val="single"/>
          <w:lang w:val="fr-CA" w:bidi="en-US"/>
        </w:rPr>
        <w:t>La défense de provocation de nos jours</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Dans l’arrêt </w:t>
      </w:r>
      <w:r w:rsidRPr="008B77C2">
        <w:rPr>
          <w:rFonts w:cs="Times New Roman"/>
          <w:i/>
          <w:lang w:val="fr-CA" w:bidi="en-US"/>
        </w:rPr>
        <w:t>Tran</w:t>
      </w:r>
      <w:r w:rsidRPr="008B77C2">
        <w:rPr>
          <w:rFonts w:cs="Times New Roman"/>
          <w:lang w:val="fr-CA" w:bidi="en-US"/>
        </w:rPr>
        <w:t>, la Cour énonce les conditions d</w:t>
      </w:r>
      <w:r w:rsidR="004C41CE">
        <w:rPr>
          <w:rFonts w:cs="Times New Roman"/>
          <w:lang w:val="fr-CA" w:bidi="en-US"/>
        </w:rPr>
        <w:t>’ouverture du moyen de défense.</w:t>
      </w:r>
    </w:p>
    <w:p w:rsidR="008479ED" w:rsidRPr="008B77C2" w:rsidRDefault="008479ED" w:rsidP="008479ED">
      <w:pPr>
        <w:pStyle w:val="ParaNoNdepar-AltN"/>
        <w:rPr>
          <w:rFonts w:cs="Times New Roman"/>
          <w:lang w:val="fr-CA" w:bidi="en-US"/>
        </w:rPr>
      </w:pPr>
      <w:r w:rsidRPr="008B77C2">
        <w:rPr>
          <w:rFonts w:cs="Times New Roman"/>
          <w:lang w:val="fr-CA" w:bidi="en-US"/>
        </w:rPr>
        <w:t>Premièrement, « (1) il doit y avoir une action injuste ou une insulte et (2) l’action injuste ou l’insulte doit être suffisante pour priver une personne ordinaire du pouvoir de se maîtriser » (</w:t>
      </w:r>
      <w:r w:rsidRPr="008B77C2">
        <w:rPr>
          <w:rFonts w:cs="Times New Roman"/>
          <w:i/>
          <w:lang w:val="fr-CA" w:bidi="en-US"/>
        </w:rPr>
        <w:t>Tran</w:t>
      </w:r>
      <w:r w:rsidRPr="008B77C2">
        <w:rPr>
          <w:rFonts w:cs="Times New Roman"/>
          <w:lang w:val="fr-CA" w:bidi="en-US"/>
        </w:rPr>
        <w:t xml:space="preserve">, </w:t>
      </w:r>
      <w:r>
        <w:rPr>
          <w:rFonts w:cs="Times New Roman"/>
          <w:lang w:val="fr-CA" w:bidi="en-US"/>
        </w:rPr>
        <w:t>par. </w:t>
      </w:r>
      <w:r w:rsidRPr="008B77C2">
        <w:rPr>
          <w:rFonts w:cs="Times New Roman"/>
          <w:lang w:val="fr-CA" w:bidi="en-US"/>
        </w:rPr>
        <w:t>25).  Il s’agit du vo</w:t>
      </w:r>
      <w:r w:rsidR="004C41CE">
        <w:rPr>
          <w:rFonts w:cs="Times New Roman"/>
          <w:lang w:val="fr-CA" w:bidi="en-US"/>
        </w:rPr>
        <w:t>let objectif de la provocation.</w:t>
      </w:r>
    </w:p>
    <w:p w:rsidR="008479ED" w:rsidRPr="008B77C2" w:rsidRDefault="008479ED" w:rsidP="008479ED">
      <w:pPr>
        <w:pStyle w:val="ParaNoNdepar-AltN"/>
        <w:rPr>
          <w:rFonts w:cs="Times New Roman"/>
          <w:lang w:val="fr-CA" w:bidi="en-US"/>
        </w:rPr>
      </w:pPr>
      <w:r w:rsidRPr="008B77C2">
        <w:rPr>
          <w:rFonts w:cs="Times New Roman"/>
          <w:lang w:val="fr-CA" w:bidi="en-US"/>
        </w:rPr>
        <w:t>Deuxièmement, « (1) </w:t>
      </w:r>
      <w:r w:rsidRPr="008B77C2">
        <w:rPr>
          <w:rFonts w:cs="Times New Roman"/>
          <w:lang w:val="fr-CA"/>
        </w:rPr>
        <w:t>l’accusé</w:t>
      </w:r>
      <w:r w:rsidRPr="008B77C2">
        <w:rPr>
          <w:rFonts w:cs="Times New Roman"/>
          <w:lang w:val="fr-CA" w:bidi="en-US"/>
        </w:rPr>
        <w:t xml:space="preserve"> </w:t>
      </w:r>
      <w:r w:rsidR="00AE1829">
        <w:rPr>
          <w:rFonts w:cs="Times New Roman"/>
          <w:lang w:val="fr-CA" w:bidi="en-US"/>
        </w:rPr>
        <w:t>[</w:t>
      </w:r>
      <w:r w:rsidRPr="008B77C2">
        <w:rPr>
          <w:rFonts w:cs="Times New Roman"/>
          <w:lang w:val="fr-CA" w:bidi="en-US"/>
        </w:rPr>
        <w:t>doit avoir</w:t>
      </w:r>
      <w:r w:rsidR="00AE1829">
        <w:rPr>
          <w:rFonts w:cs="Times New Roman"/>
          <w:lang w:val="fr-CA" w:bidi="en-US"/>
        </w:rPr>
        <w:t>]</w:t>
      </w:r>
      <w:r w:rsidRPr="008B77C2">
        <w:rPr>
          <w:rFonts w:cs="Times New Roman"/>
          <w:lang w:val="fr-CA" w:bidi="en-US"/>
        </w:rPr>
        <w:t xml:space="preserve"> agi en réaction à la provocation et (2) sous l’impulsion du moment, </w:t>
      </w:r>
      <w:r w:rsidR="00AE1829">
        <w:rPr>
          <w:rFonts w:cs="Times New Roman"/>
          <w:lang w:val="fr-CA" w:bidi="en-US"/>
        </w:rPr>
        <w:t>[</w:t>
      </w:r>
      <w:r w:rsidRPr="008B77C2">
        <w:rPr>
          <w:rFonts w:cs="Times New Roman"/>
          <w:lang w:val="fr-CA" w:bidi="en-US"/>
        </w:rPr>
        <w:t>sans</w:t>
      </w:r>
      <w:r w:rsidR="00AE1829">
        <w:rPr>
          <w:rFonts w:cs="Times New Roman"/>
          <w:lang w:val="fr-CA" w:bidi="en-US"/>
        </w:rPr>
        <w:t>]</w:t>
      </w:r>
      <w:r w:rsidRPr="008B77C2">
        <w:rPr>
          <w:rFonts w:cs="Times New Roman"/>
          <w:lang w:val="fr-CA" w:bidi="en-US"/>
        </w:rPr>
        <w:t xml:space="preserve"> avoir eu le temps de reprendre son sang</w:t>
      </w:r>
      <w:r>
        <w:rPr>
          <w:rFonts w:cs="Times New Roman"/>
          <w:lang w:val="fr-CA" w:bidi="en-US"/>
        </w:rPr>
        <w:noBreakHyphen/>
      </w:r>
      <w:r w:rsidRPr="008B77C2">
        <w:rPr>
          <w:rFonts w:cs="Times New Roman"/>
          <w:lang w:val="fr-CA" w:bidi="en-US"/>
        </w:rPr>
        <w:t>froid » (</w:t>
      </w:r>
      <w:r w:rsidRPr="008B77C2">
        <w:rPr>
          <w:rFonts w:cs="Times New Roman"/>
          <w:i/>
          <w:lang w:val="fr-CA" w:bidi="en-US"/>
        </w:rPr>
        <w:t>Tran</w:t>
      </w:r>
      <w:r w:rsidRPr="008B77C2">
        <w:rPr>
          <w:rFonts w:cs="Times New Roman"/>
          <w:lang w:val="fr-CA" w:bidi="en-US"/>
        </w:rPr>
        <w:t xml:space="preserve">, </w:t>
      </w:r>
      <w:r>
        <w:rPr>
          <w:rFonts w:cs="Times New Roman"/>
          <w:lang w:val="fr-CA" w:bidi="en-US"/>
        </w:rPr>
        <w:t>par. </w:t>
      </w:r>
      <w:r w:rsidRPr="008B77C2">
        <w:rPr>
          <w:rFonts w:cs="Times New Roman"/>
          <w:lang w:val="fr-CA" w:bidi="en-US"/>
        </w:rPr>
        <w:t>36).  Il s’agit du volet subjectif.</w:t>
      </w:r>
    </w:p>
    <w:p w:rsidR="008479ED" w:rsidRPr="008B77C2" w:rsidRDefault="008479ED" w:rsidP="008479ED">
      <w:pPr>
        <w:pStyle w:val="ParaNoNdepar-AltN"/>
        <w:rPr>
          <w:rFonts w:cs="Times New Roman"/>
          <w:lang w:val="fr-CA" w:bidi="en-US"/>
        </w:rPr>
      </w:pPr>
      <w:r w:rsidRPr="008B77C2">
        <w:rPr>
          <w:rFonts w:cs="Times New Roman"/>
          <w:lang w:val="fr-CA" w:bidi="en-US"/>
        </w:rPr>
        <w:t>Les arguments des parties portent essentiellement sur l’application de la norme de la personne ordinaire</w:t>
      </w:r>
      <w:r>
        <w:rPr>
          <w:rFonts w:cs="Times New Roman"/>
          <w:lang w:val="fr-CA" w:bidi="en-US"/>
        </w:rPr>
        <w:t> :</w:t>
      </w:r>
      <w:r w:rsidRPr="008B77C2">
        <w:rPr>
          <w:rFonts w:cs="Times New Roman"/>
          <w:lang w:val="fr-CA" w:bidi="en-US"/>
        </w:rPr>
        <w:t xml:space="preserve"> une personne ordinaire perdrait</w:t>
      </w:r>
      <w:r>
        <w:rPr>
          <w:rFonts w:cs="Times New Roman"/>
          <w:lang w:val="fr-CA" w:bidi="en-US"/>
        </w:rPr>
        <w:noBreakHyphen/>
      </w:r>
      <w:r w:rsidRPr="008B77C2">
        <w:rPr>
          <w:rFonts w:cs="Times New Roman"/>
          <w:lang w:val="fr-CA" w:bidi="en-US"/>
        </w:rPr>
        <w:t>elle la maîtrise d’elle</w:t>
      </w:r>
      <w:r>
        <w:rPr>
          <w:rFonts w:cs="Times New Roman"/>
          <w:lang w:val="fr-CA" w:bidi="en-US"/>
        </w:rPr>
        <w:noBreakHyphen/>
      </w:r>
      <w:r w:rsidRPr="008B77C2">
        <w:rPr>
          <w:rFonts w:cs="Times New Roman"/>
          <w:lang w:val="fr-CA" w:bidi="en-US"/>
        </w:rPr>
        <w:t xml:space="preserve">même après avoir déclenché un affrontement à la pointe d’un fusil?  M. Cairney fait valoir qu’il convient d’adapter la norme aux circonstances de l’espèce et de tenir compte du fait que, pendant des années, il avait assisté impuissant aux mauvais traitements infligés par M. Ferguson à sa cousine, </w:t>
      </w:r>
      <w:r w:rsidRPr="008B77C2">
        <w:rPr>
          <w:rFonts w:cs="Times New Roman"/>
          <w:lang w:val="fr-CA"/>
        </w:rPr>
        <w:t>M</w:t>
      </w:r>
      <w:r w:rsidRPr="008B77C2">
        <w:rPr>
          <w:rFonts w:cs="Times New Roman"/>
          <w:vertAlign w:val="superscript"/>
          <w:lang w:val="fr-CA"/>
        </w:rPr>
        <w:t>me</w:t>
      </w:r>
      <w:r w:rsidRPr="008B77C2">
        <w:rPr>
          <w:rFonts w:cs="Times New Roman"/>
          <w:lang w:val="fr-CA"/>
        </w:rPr>
        <w:t> </w:t>
      </w:r>
      <w:r w:rsidRPr="008B77C2">
        <w:rPr>
          <w:rFonts w:cs="Times New Roman"/>
          <w:lang w:val="fr-CA" w:bidi="en-US"/>
        </w:rPr>
        <w:t xml:space="preserve">Rosenthal, qu’il aimait comme une sœur.  Pour sa part, le ministère public soutient qu’une personne </w:t>
      </w:r>
      <w:r w:rsidRPr="008B77C2">
        <w:rPr>
          <w:rFonts w:cs="Times New Roman"/>
          <w:lang w:val="fr-CA" w:bidi="en-US"/>
        </w:rPr>
        <w:lastRenderedPageBreak/>
        <w:t>ordinaire ne rechercherait pas un affrontement armé pour être ensuite prise au dépourvu et privée du pouvoir de se maîtriser si la personne menacée réagissait avec mépris.</w:t>
      </w:r>
    </w:p>
    <w:p w:rsidR="008479ED" w:rsidRPr="008B77C2" w:rsidRDefault="008479ED" w:rsidP="00AE1829">
      <w:pPr>
        <w:pStyle w:val="TitleTitre-AltT"/>
        <w:tabs>
          <w:tab w:val="clear" w:pos="360"/>
          <w:tab w:val="left" w:pos="450"/>
          <w:tab w:val="left" w:pos="993"/>
        </w:tabs>
        <w:ind w:left="450" w:hanging="450"/>
        <w:rPr>
          <w:rFonts w:cs="Times New Roman"/>
          <w:lang w:val="fr-CA" w:bidi="en-US"/>
        </w:rPr>
      </w:pPr>
      <w:r w:rsidRPr="008B77C2">
        <w:rPr>
          <w:rFonts w:cs="Times New Roman"/>
          <w:i/>
          <w:lang w:val="fr-CA" w:bidi="en-US"/>
        </w:rPr>
        <w:tab/>
      </w:r>
      <w:r w:rsidRPr="008B77C2">
        <w:rPr>
          <w:rFonts w:cs="Times New Roman"/>
          <w:lang w:val="fr-CA" w:bidi="en-US"/>
        </w:rPr>
        <w:t>a)</w:t>
      </w:r>
      <w:r w:rsidRPr="008B77C2">
        <w:rPr>
          <w:rFonts w:cs="Times New Roman"/>
          <w:lang w:val="fr-CA" w:bidi="en-US"/>
        </w:rPr>
        <w:tab/>
      </w:r>
      <w:r w:rsidRPr="008B77C2">
        <w:rPr>
          <w:rFonts w:cs="Times New Roman"/>
          <w:i/>
          <w:lang w:val="fr-CA" w:bidi="en-US"/>
        </w:rPr>
        <w:t>La raison d’être de la norme de la personne ordinaire</w:t>
      </w:r>
    </w:p>
    <w:p w:rsidR="008479ED" w:rsidRPr="008B77C2" w:rsidRDefault="008479ED" w:rsidP="008479ED">
      <w:pPr>
        <w:pStyle w:val="ParaNoNdepar-AltN"/>
        <w:rPr>
          <w:rFonts w:cs="Times New Roman"/>
          <w:lang w:val="fr-CA" w:bidi="en-US"/>
        </w:rPr>
      </w:pPr>
      <w:r w:rsidRPr="008B77C2">
        <w:rPr>
          <w:rFonts w:cs="Times New Roman"/>
          <w:lang w:val="fr-CA" w:bidi="en-US"/>
        </w:rPr>
        <w:t>La condition d’ouverture du moyen de défense liée à la notion de « personne ordinaire » relève en quelque sorte du paradoxe.  Une personne ordinaire ne perd pas la maîtrise de soi et n’assassine pas autrui.  Toutefois, la défense de provocation reconnaît que certaines faiblesses humaines peuvent mener à la violence. Comme l’écrit le professeur Renke</w:t>
      </w:r>
      <w:r>
        <w:rPr>
          <w:rFonts w:cs="Times New Roman"/>
          <w:lang w:val="fr-CA" w:bidi="en-US"/>
        </w:rPr>
        <w:t> :</w:t>
      </w:r>
    </w:p>
    <w:p w:rsidR="008479ED" w:rsidRDefault="008479ED" w:rsidP="00AE1829">
      <w:pPr>
        <w:pStyle w:val="Citation-AltC"/>
        <w:tabs>
          <w:tab w:val="left" w:pos="1620"/>
        </w:tabs>
        <w:spacing w:after="0"/>
        <w:ind w:left="1168" w:hanging="1168"/>
        <w:contextualSpacing w:val="0"/>
        <w:rPr>
          <w:lang w:val="en-US"/>
        </w:rPr>
      </w:pPr>
      <w:r w:rsidRPr="008B77C2">
        <w:rPr>
          <w:smallCaps/>
          <w:lang w:val="fr-CA"/>
        </w:rPr>
        <w:tab/>
      </w:r>
      <w:r w:rsidR="00AE1829">
        <w:rPr>
          <w:smallCaps/>
          <w:lang w:val="fr-CA"/>
        </w:rPr>
        <w:tab/>
      </w:r>
      <w:r w:rsidRPr="008B77C2">
        <w:rPr>
          <w:smallCaps/>
          <w:lang w:val="fr-CA"/>
        </w:rPr>
        <w:t>[traduction]</w:t>
      </w:r>
      <w:r w:rsidRPr="008B77C2">
        <w:rPr>
          <w:lang w:val="fr-CA"/>
        </w:rPr>
        <w:t xml:space="preserve"> En fait, dans (ce qui doit constituer) des cas exceptionnels, les gens réagiront à la provocation par une violence meurtrière.  Depuis des siècles, les tribunaux reconnaissent l’existence d’une violence potentielle en chacun de nous et justifient l’excuse qu’offre la provocation en y voyant un adoucissement des rigueurs de la loi eu égard à la faiblesse humaine — non seulement celle de l’accusé, mais aussi la </w:t>
      </w:r>
      <w:r w:rsidRPr="008B77C2">
        <w:rPr>
          <w:i/>
          <w:lang w:val="fr-CA"/>
        </w:rPr>
        <w:t>nôtre</w:t>
      </w:r>
      <w:r w:rsidRPr="008B77C2">
        <w:rPr>
          <w:lang w:val="fr-CA"/>
        </w:rPr>
        <w:t xml:space="preserve">.  </w:t>
      </w:r>
      <w:r w:rsidR="00AE1829">
        <w:rPr>
          <w:lang w:val="en-US"/>
        </w:rPr>
        <w:t>[En i</w:t>
      </w:r>
      <w:r w:rsidRPr="00086580">
        <w:rPr>
          <w:lang w:val="en-US"/>
        </w:rPr>
        <w:t>talique dans l’original.]</w:t>
      </w:r>
    </w:p>
    <w:p w:rsidR="00AE1829" w:rsidRDefault="00AE1829" w:rsidP="00AE1829">
      <w:pPr>
        <w:pStyle w:val="Citation-AltC"/>
        <w:tabs>
          <w:tab w:val="left" w:pos="1620"/>
        </w:tabs>
        <w:spacing w:after="0"/>
        <w:ind w:left="1168" w:hanging="1168"/>
        <w:contextualSpacing w:val="0"/>
        <w:rPr>
          <w:lang w:val="en-US"/>
        </w:rPr>
      </w:pPr>
    </w:p>
    <w:p w:rsidR="008479ED" w:rsidRPr="008B77C2" w:rsidRDefault="008479ED" w:rsidP="00AE1829">
      <w:pPr>
        <w:pStyle w:val="ParaNoNdepar-AltN"/>
        <w:numPr>
          <w:ilvl w:val="0"/>
          <w:numId w:val="0"/>
        </w:numPr>
        <w:spacing w:before="0" w:after="720" w:line="240" w:lineRule="auto"/>
        <w:rPr>
          <w:lang w:val="en-US"/>
        </w:rPr>
      </w:pPr>
      <w:r w:rsidRPr="008B77C2">
        <w:rPr>
          <w:lang w:val="en-US"/>
        </w:rPr>
        <w:t>(« Calm Like a Bomb</w:t>
      </w:r>
      <w:r>
        <w:rPr>
          <w:lang w:val="en-US"/>
        </w:rPr>
        <w:t> :</w:t>
      </w:r>
      <w:r w:rsidRPr="008B77C2">
        <w:rPr>
          <w:lang w:val="en-US"/>
        </w:rPr>
        <w:t xml:space="preserve"> An Assessment of the P</w:t>
      </w:r>
      <w:r w:rsidR="00AE1829">
        <w:rPr>
          <w:lang w:val="en-US"/>
        </w:rPr>
        <w:t xml:space="preserve">artial Defence of Provocation » </w:t>
      </w:r>
      <w:r w:rsidRPr="008B77C2">
        <w:rPr>
          <w:lang w:val="en-US"/>
        </w:rPr>
        <w:t xml:space="preserve">(2009), 47 </w:t>
      </w:r>
      <w:r w:rsidRPr="008B77C2">
        <w:rPr>
          <w:i/>
          <w:lang w:val="en-US"/>
        </w:rPr>
        <w:t>Alta. L. Rev.</w:t>
      </w:r>
      <w:r w:rsidRPr="008B77C2">
        <w:rPr>
          <w:lang w:val="en-US"/>
        </w:rPr>
        <w:t xml:space="preserve"> 729, </w:t>
      </w:r>
      <w:r>
        <w:rPr>
          <w:lang w:val="en-US"/>
        </w:rPr>
        <w:t>p. </w:t>
      </w:r>
      <w:r w:rsidRPr="008B77C2">
        <w:rPr>
          <w:lang w:val="en-US"/>
        </w:rPr>
        <w:t>769)</w:t>
      </w:r>
    </w:p>
    <w:p w:rsidR="008479ED" w:rsidRPr="008B77C2" w:rsidRDefault="008479ED" w:rsidP="008479ED">
      <w:pPr>
        <w:pStyle w:val="ParaNoNdepar-AltN"/>
        <w:rPr>
          <w:rFonts w:cs="Times New Roman"/>
          <w:lang w:val="fr-CA"/>
        </w:rPr>
      </w:pPr>
      <w:r w:rsidRPr="008B77C2">
        <w:rPr>
          <w:rFonts w:cs="Times New Roman"/>
          <w:lang w:val="fr-CA"/>
        </w:rPr>
        <w:t>Le droit cherche à reconnaître cette faiblesse humaine, mais sans tolérer pour autant les actes de violence socialement inacceptables.  La norme de la « personne ordinaire » vise à garantir que seule la perte de la maîtrise de soi d’une personne dont le comportement « respecte les normes et les valeurs de la société actuelle bénéficie de la compassion du droit » (</w:t>
      </w:r>
      <w:r w:rsidRPr="008B77C2">
        <w:rPr>
          <w:rFonts w:cs="Times New Roman"/>
          <w:i/>
          <w:lang w:val="fr-CA"/>
        </w:rPr>
        <w:t>Tran</w:t>
      </w:r>
      <w:r w:rsidRPr="008B77C2">
        <w:rPr>
          <w:rFonts w:cs="Times New Roman"/>
          <w:lang w:val="fr-CA"/>
        </w:rPr>
        <w:t xml:space="preserve">, </w:t>
      </w:r>
      <w:r>
        <w:rPr>
          <w:rFonts w:cs="Times New Roman"/>
          <w:lang w:val="fr-CA"/>
        </w:rPr>
        <w:t>par. </w:t>
      </w:r>
      <w:r w:rsidRPr="008B77C2">
        <w:rPr>
          <w:rFonts w:cs="Times New Roman"/>
          <w:lang w:val="fr-CA"/>
        </w:rPr>
        <w:t xml:space="preserve">30).  Comme le souligne </w:t>
      </w:r>
      <w:r w:rsidRPr="008B77C2">
        <w:rPr>
          <w:rFonts w:cs="Times New Roman"/>
          <w:lang w:val="fr-CA"/>
        </w:rPr>
        <w:lastRenderedPageBreak/>
        <w:t xml:space="preserve">notre Cour dans </w:t>
      </w:r>
      <w:r w:rsidRPr="008B77C2">
        <w:rPr>
          <w:rFonts w:cs="Times New Roman"/>
          <w:i/>
          <w:lang w:val="fr-CA"/>
        </w:rPr>
        <w:t>R. c.</w:t>
      </w:r>
      <w:r w:rsidRPr="008B77C2">
        <w:rPr>
          <w:rFonts w:cs="Times New Roman"/>
          <w:lang w:val="fr-CA"/>
        </w:rPr>
        <w:t xml:space="preserve"> </w:t>
      </w:r>
      <w:r w:rsidRPr="008B77C2">
        <w:rPr>
          <w:rFonts w:cs="Times New Roman"/>
          <w:i/>
          <w:lang w:val="fr-CA"/>
        </w:rPr>
        <w:t>Thibert</w:t>
      </w:r>
      <w:r w:rsidRPr="008B77C2">
        <w:rPr>
          <w:rFonts w:cs="Times New Roman"/>
          <w:lang w:val="fr-CA"/>
        </w:rPr>
        <w:t>,</w:t>
      </w:r>
      <w:r w:rsidRPr="008B77C2">
        <w:rPr>
          <w:rFonts w:cs="Times New Roman"/>
          <w:i/>
          <w:lang w:val="fr-CA"/>
        </w:rPr>
        <w:t xml:space="preserve"> </w:t>
      </w:r>
      <w:r w:rsidRPr="008B77C2">
        <w:rPr>
          <w:rFonts w:cs="Times New Roman"/>
          <w:lang w:val="fr-CA"/>
        </w:rPr>
        <w:t>[1996] 1 R.C.S. 37, par la voix du juge</w:t>
      </w:r>
      <w:r w:rsidRPr="008B77C2">
        <w:rPr>
          <w:rFonts w:cs="Times New Roman"/>
          <w:i/>
          <w:lang w:val="fr-CA"/>
        </w:rPr>
        <w:t xml:space="preserve"> </w:t>
      </w:r>
      <w:r w:rsidRPr="008B77C2">
        <w:rPr>
          <w:rFonts w:cs="Times New Roman"/>
          <w:lang w:val="fr-CA"/>
        </w:rPr>
        <w:t>Cory, l’application de la norme de la « personne ordinaire » comporte implicitement une mise en balance</w:t>
      </w:r>
      <w:r>
        <w:rPr>
          <w:rFonts w:cs="Times New Roman"/>
          <w:lang w:val="fr-CA"/>
        </w:rPr>
        <w:t> :</w:t>
      </w:r>
    </w:p>
    <w:p w:rsidR="008479ED" w:rsidRPr="008B77C2" w:rsidRDefault="008479ED" w:rsidP="008479ED">
      <w:pPr>
        <w:pStyle w:val="Citation-AltC"/>
        <w:tabs>
          <w:tab w:val="left" w:pos="1620"/>
        </w:tabs>
        <w:ind w:hanging="1166"/>
        <w:contextualSpacing w:val="0"/>
        <w:rPr>
          <w:lang w:val="fr-CA" w:eastAsia="en-US" w:bidi="en-US"/>
        </w:rPr>
      </w:pPr>
      <w:r w:rsidRPr="008B77C2">
        <w:rPr>
          <w:lang w:val="fr-CA"/>
        </w:rPr>
        <w:tab/>
        <w:t xml:space="preserve">J’estime </w:t>
      </w:r>
      <w:r w:rsidR="00A40D85">
        <w:rPr>
          <w:lang w:val="fr-CA"/>
        </w:rPr>
        <w:t>[</w:t>
      </w:r>
      <w:r w:rsidRPr="008B77C2">
        <w:rPr>
          <w:lang w:val="fr-CA"/>
        </w:rPr>
        <w:t>. . .</w:t>
      </w:r>
      <w:r w:rsidR="00A40D85">
        <w:rPr>
          <w:lang w:val="fr-CA"/>
        </w:rPr>
        <w:t>]</w:t>
      </w:r>
      <w:r w:rsidRPr="008B77C2">
        <w:rPr>
          <w:lang w:val="fr-CA"/>
        </w:rPr>
        <w:t xml:space="preserve"> que le volet objectif doit être vu comme une tentative de soupeser, d’une part, les faiblesses très humaines qui conduisent parfois les gens à agir de façon irrationnelle et impulsive et, d’autre part, la nécessité de protéger la société en décourageant les actes de violence meurtrière.  [</w:t>
      </w:r>
      <w:r>
        <w:rPr>
          <w:lang w:val="fr-CA" w:eastAsia="en-US" w:bidi="en-US"/>
        </w:rPr>
        <w:t>par. </w:t>
      </w:r>
      <w:r w:rsidRPr="008B77C2">
        <w:rPr>
          <w:lang w:val="fr-CA" w:eastAsia="en-US" w:bidi="en-US"/>
        </w:rPr>
        <w:t>4]</w:t>
      </w:r>
    </w:p>
    <w:p w:rsidR="008479ED" w:rsidRPr="008B77C2" w:rsidRDefault="008479ED" w:rsidP="00AE1829">
      <w:pPr>
        <w:pStyle w:val="TitleTitre-AltT"/>
        <w:tabs>
          <w:tab w:val="clear" w:pos="360"/>
          <w:tab w:val="left" w:pos="450"/>
          <w:tab w:val="left" w:pos="993"/>
        </w:tabs>
        <w:ind w:left="450" w:hanging="450"/>
        <w:rPr>
          <w:rFonts w:cs="Times New Roman"/>
          <w:u w:val="single"/>
          <w:lang w:val="fr-CA"/>
        </w:rPr>
      </w:pPr>
      <w:r w:rsidRPr="008B77C2">
        <w:rPr>
          <w:rFonts w:cs="Times New Roman"/>
          <w:lang w:val="fr-CA"/>
        </w:rPr>
        <w:tab/>
        <w:t>b)</w:t>
      </w:r>
      <w:r w:rsidRPr="008B77C2">
        <w:rPr>
          <w:rFonts w:cs="Times New Roman"/>
          <w:lang w:val="fr-CA"/>
        </w:rPr>
        <w:tab/>
      </w:r>
      <w:r w:rsidRPr="008B77C2">
        <w:rPr>
          <w:rFonts w:cs="Times New Roman"/>
          <w:i/>
          <w:lang w:val="fr-CA"/>
        </w:rPr>
        <w:t>Contextualisation de la norme de la personne ordinaire</w:t>
      </w:r>
    </w:p>
    <w:p w:rsidR="008479ED" w:rsidRPr="008B77C2" w:rsidRDefault="008479ED" w:rsidP="008479ED">
      <w:pPr>
        <w:pStyle w:val="ParaNoNdepar-AltN"/>
        <w:rPr>
          <w:rFonts w:cs="Times New Roman"/>
          <w:lang w:val="fr-CA"/>
        </w:rPr>
      </w:pPr>
      <w:r w:rsidRPr="008B77C2">
        <w:rPr>
          <w:rFonts w:cs="Times New Roman"/>
          <w:lang w:val="fr-CA"/>
        </w:rPr>
        <w:t>La norme de la « personne ordinaire » limite le recours à la défense de provocation afin que « le droit criminel encourage les comportements raisonnables et responsables » (</w:t>
      </w:r>
      <w:r w:rsidRPr="008B77C2">
        <w:rPr>
          <w:rFonts w:cs="Times New Roman"/>
          <w:i/>
          <w:lang w:val="fr-CA"/>
        </w:rPr>
        <w:t>Thibert</w:t>
      </w:r>
      <w:r w:rsidRPr="008B77C2">
        <w:rPr>
          <w:rFonts w:cs="Times New Roman"/>
          <w:lang w:val="fr-CA"/>
        </w:rPr>
        <w:t xml:space="preserve">, </w:t>
      </w:r>
      <w:r>
        <w:rPr>
          <w:rFonts w:cs="Times New Roman"/>
          <w:lang w:val="fr-CA"/>
        </w:rPr>
        <w:t>par. </w:t>
      </w:r>
      <w:r w:rsidRPr="008B77C2">
        <w:rPr>
          <w:rFonts w:cs="Times New Roman"/>
          <w:lang w:val="fr-CA"/>
        </w:rPr>
        <w:t>14).  Or, si elle est appliquée avec rigidité et de manière abstraite, elle risque de faire obstacle au moyen de défense dans presque tous les cas.  Rappelons que, dans la société canadienne, une personne véritablement « ordinaire » ne tue pas celui ou celle qui l’insulte.  Afin d’écarter toute iniquité susceptible de résulter d’une conception purement abstraite de la « personne ordinaire », notre Cour a statué que la norme doit être appliquée de manière contextuelle</w:t>
      </w:r>
      <w:r>
        <w:rPr>
          <w:rFonts w:cs="Times New Roman"/>
          <w:lang w:val="fr-CA"/>
        </w:rPr>
        <w:t> :</w:t>
      </w:r>
    </w:p>
    <w:p w:rsidR="00A40D85" w:rsidRDefault="00A40D85" w:rsidP="00A40D85">
      <w:pPr>
        <w:pStyle w:val="Citation-AltC"/>
        <w:tabs>
          <w:tab w:val="left" w:pos="1620"/>
        </w:tabs>
        <w:spacing w:after="0"/>
        <w:ind w:left="1168" w:hanging="1168"/>
        <w:contextualSpacing w:val="0"/>
        <w:rPr>
          <w:lang w:val="fr-CA"/>
        </w:rPr>
      </w:pPr>
      <w:r>
        <w:rPr>
          <w:lang w:val="fr-CA"/>
        </w:rPr>
        <w:tab/>
      </w:r>
      <w:r w:rsidR="008479ED" w:rsidRPr="008B77C2">
        <w:rPr>
          <w:lang w:val="fr-CA"/>
        </w:rPr>
        <w:t>. . . il faut tenir compte d’une personne ordinaire du même âge et du même sexe que l’accusé et qui a en commun avec lui d’autres facteurs donnant à l’acte ou à l’insulte en cause une importance particulière.  En d’autres mots, il faut prendre en considération toutes l</w:t>
      </w:r>
      <w:r>
        <w:rPr>
          <w:lang w:val="fr-CA"/>
        </w:rPr>
        <w:t>es circonstances pertinentes.</w:t>
      </w:r>
    </w:p>
    <w:p w:rsidR="00A40D85" w:rsidRDefault="00A40D85" w:rsidP="00A40D85">
      <w:pPr>
        <w:pStyle w:val="Citation-AltC"/>
        <w:tabs>
          <w:tab w:val="left" w:pos="1620"/>
        </w:tabs>
        <w:spacing w:after="0"/>
        <w:ind w:left="1168" w:hanging="1168"/>
        <w:contextualSpacing w:val="0"/>
        <w:rPr>
          <w:lang w:val="fr-CA"/>
        </w:rPr>
      </w:pPr>
    </w:p>
    <w:p w:rsidR="008479ED" w:rsidRPr="008B77C2" w:rsidRDefault="00A40D85" w:rsidP="008479ED">
      <w:pPr>
        <w:pStyle w:val="Citation-AltC"/>
        <w:tabs>
          <w:tab w:val="left" w:pos="1620"/>
        </w:tabs>
        <w:ind w:hanging="1166"/>
        <w:contextualSpacing w:val="0"/>
        <w:rPr>
          <w:lang w:val="fr-CA"/>
        </w:rPr>
      </w:pPr>
      <w:r>
        <w:rPr>
          <w:lang w:val="fr-CA"/>
        </w:rPr>
        <w:t>(</w:t>
      </w:r>
      <w:r w:rsidR="008479ED" w:rsidRPr="008B77C2">
        <w:rPr>
          <w:i/>
          <w:lang w:val="fr-CA"/>
        </w:rPr>
        <w:t>Thibert</w:t>
      </w:r>
      <w:r w:rsidR="008479ED" w:rsidRPr="008B77C2">
        <w:rPr>
          <w:lang w:val="fr-CA"/>
        </w:rPr>
        <w:t xml:space="preserve">, </w:t>
      </w:r>
      <w:r w:rsidR="008479ED">
        <w:rPr>
          <w:lang w:val="fr-CA"/>
        </w:rPr>
        <w:t>par. </w:t>
      </w:r>
      <w:r w:rsidR="008479ED" w:rsidRPr="008B77C2">
        <w:rPr>
          <w:lang w:val="fr-CA"/>
        </w:rPr>
        <w:t>14</w:t>
      </w:r>
      <w:r>
        <w:rPr>
          <w:lang w:val="fr-CA"/>
        </w:rPr>
        <w:t>)</w:t>
      </w:r>
    </w:p>
    <w:p w:rsidR="008479ED" w:rsidRPr="008B77C2" w:rsidRDefault="008479ED" w:rsidP="008479ED">
      <w:pPr>
        <w:pStyle w:val="ParaNoNdepar-AltN"/>
        <w:rPr>
          <w:rFonts w:cs="Times New Roman"/>
          <w:lang w:val="fr-CA" w:bidi="en-US"/>
        </w:rPr>
      </w:pPr>
      <w:r w:rsidRPr="008B77C2">
        <w:rPr>
          <w:rFonts w:cs="Times New Roman"/>
          <w:lang w:val="fr-CA" w:bidi="en-US"/>
        </w:rPr>
        <w:lastRenderedPageBreak/>
        <w:t xml:space="preserve">Comme le souligne l’appelant dans son argumentaire, « l’historique et le contexte des relations entre la victime et l’accusé sont pertinents et utiles dans l’application du critère relatif à la </w:t>
      </w:r>
      <w:r w:rsidRPr="008B77C2">
        <w:rPr>
          <w:rFonts w:cs="Times New Roman"/>
          <w:lang w:val="fr-CA"/>
        </w:rPr>
        <w:t>“</w:t>
      </w:r>
      <w:r w:rsidRPr="008B77C2">
        <w:rPr>
          <w:rFonts w:cs="Times New Roman"/>
          <w:lang w:val="fr-CA" w:bidi="en-US"/>
        </w:rPr>
        <w:t>personne ordinaire</w:t>
      </w:r>
      <w:r w:rsidRPr="008B77C2">
        <w:rPr>
          <w:rFonts w:cs="Times New Roman"/>
          <w:lang w:val="fr-CA"/>
        </w:rPr>
        <w:t>”</w:t>
      </w:r>
      <w:r w:rsidRPr="008B77C2">
        <w:rPr>
          <w:rFonts w:cs="Times New Roman"/>
          <w:lang w:val="fr-CA" w:bidi="en-US"/>
        </w:rPr>
        <w:t> » (</w:t>
      </w:r>
      <w:r w:rsidRPr="008B77C2">
        <w:rPr>
          <w:rFonts w:cs="Times New Roman"/>
          <w:i/>
          <w:lang w:val="fr-CA" w:bidi="en-US"/>
        </w:rPr>
        <w:t>Thibert</w:t>
      </w:r>
      <w:r w:rsidRPr="008B77C2">
        <w:rPr>
          <w:rFonts w:cs="Times New Roman"/>
          <w:lang w:val="fr-CA" w:bidi="en-US"/>
        </w:rPr>
        <w:t xml:space="preserve">, </w:t>
      </w:r>
      <w:r>
        <w:rPr>
          <w:rFonts w:cs="Times New Roman"/>
          <w:lang w:val="fr-CA" w:bidi="en-US"/>
        </w:rPr>
        <w:t>par. </w:t>
      </w:r>
      <w:r w:rsidRPr="008B77C2">
        <w:rPr>
          <w:rFonts w:cs="Times New Roman"/>
          <w:lang w:val="fr-CA" w:bidi="en-US"/>
        </w:rPr>
        <w:t xml:space="preserve">17).  En fait, il faut prendre en compte toutes les données contextuelles qui confèrent à l’action ou à l’insulte une importance particulière pour une </w:t>
      </w:r>
      <w:r w:rsidRPr="008B77C2">
        <w:rPr>
          <w:rFonts w:cs="Times New Roman"/>
          <w:lang w:val="fr-CA"/>
        </w:rPr>
        <w:t>personne ordinaire</w:t>
      </w:r>
      <w:r w:rsidRPr="008B77C2">
        <w:rPr>
          <w:rFonts w:cs="Times New Roman"/>
          <w:lang w:val="fr-CA" w:bidi="en-US"/>
        </w:rPr>
        <w:t xml:space="preserve"> (</w:t>
      </w:r>
      <w:r w:rsidRPr="008B77C2">
        <w:rPr>
          <w:rFonts w:cs="Times New Roman"/>
          <w:i/>
          <w:lang w:val="fr-CA" w:bidi="en-US"/>
        </w:rPr>
        <w:t>Thibert</w:t>
      </w:r>
      <w:r w:rsidRPr="008B77C2">
        <w:rPr>
          <w:rFonts w:cs="Times New Roman"/>
          <w:lang w:val="fr-CA" w:bidi="en-US"/>
        </w:rPr>
        <w:t xml:space="preserve">, </w:t>
      </w:r>
      <w:r>
        <w:rPr>
          <w:rFonts w:cs="Times New Roman"/>
          <w:lang w:val="fr-CA" w:bidi="en-US"/>
        </w:rPr>
        <w:t>par. </w:t>
      </w:r>
      <w:r w:rsidRPr="008B77C2">
        <w:rPr>
          <w:rFonts w:cs="Times New Roman"/>
          <w:lang w:val="fr-CA" w:bidi="en-US"/>
        </w:rPr>
        <w:t>18).</w:t>
      </w:r>
    </w:p>
    <w:p w:rsidR="008479ED" w:rsidRPr="008B77C2" w:rsidRDefault="008479ED" w:rsidP="008479ED">
      <w:pPr>
        <w:pStyle w:val="ParaNoNdepar-AltN"/>
        <w:rPr>
          <w:rFonts w:cs="Times New Roman"/>
          <w:lang w:val="fr-CA"/>
        </w:rPr>
      </w:pPr>
      <w:r w:rsidRPr="008B77C2">
        <w:rPr>
          <w:rFonts w:cs="Times New Roman"/>
          <w:lang w:val="fr-CA"/>
        </w:rPr>
        <w:t>Néanmoins, malgré la prise en compte de telles données, une « personne ordinaire » doit toujours respecter un seuil minimal de maîtrise de soi.  Par exemple, les caractéristiques d’un accusé comme « la propension à des rages d’ivrogne ou à l’irascibilité violente » ne sauraient valoir pour l’application de la norme de la personne ordinaire (</w:t>
      </w:r>
      <w:r w:rsidRPr="008B77C2">
        <w:rPr>
          <w:rFonts w:cs="Times New Roman"/>
          <w:i/>
          <w:lang w:val="fr-CA"/>
        </w:rPr>
        <w:t>Thibert</w:t>
      </w:r>
      <w:r w:rsidRPr="008B77C2">
        <w:rPr>
          <w:rFonts w:cs="Times New Roman"/>
          <w:lang w:val="fr-CA"/>
        </w:rPr>
        <w:t xml:space="preserve">, </w:t>
      </w:r>
      <w:r>
        <w:rPr>
          <w:rFonts w:cs="Times New Roman"/>
          <w:lang w:val="fr-CA"/>
        </w:rPr>
        <w:t>par. </w:t>
      </w:r>
      <w:r w:rsidRPr="008B77C2">
        <w:rPr>
          <w:rFonts w:cs="Times New Roman"/>
          <w:lang w:val="fr-CA"/>
        </w:rPr>
        <w:t xml:space="preserve">15).  Seules les données qui influent sur l’importance de l’action ou de l’insulte doivent être prises en considération pour contextualiser la norme (Ashworth, « The Doctrine of Provocation », </w:t>
      </w:r>
      <w:r>
        <w:rPr>
          <w:rFonts w:cs="Times New Roman"/>
          <w:lang w:val="fr-CA"/>
        </w:rPr>
        <w:t>p. </w:t>
      </w:r>
      <w:r w:rsidRPr="008B77C2">
        <w:rPr>
          <w:rFonts w:cs="Times New Roman"/>
          <w:lang w:val="fr-CA"/>
        </w:rPr>
        <w:t>300).  Il ne faut pas l’adapter pour tenir compte de l’absence innée de maîtrise de soi d’un accusé en particulier, car « il existe une distinction importante entre la contextualisation de la norme objective, qui est nécessaire et opportune, et son individualisation, qui contrecarre son objectif même » (</w:t>
      </w:r>
      <w:r w:rsidRPr="008B77C2">
        <w:rPr>
          <w:rFonts w:cs="Times New Roman"/>
          <w:i/>
          <w:lang w:val="fr-CA"/>
        </w:rPr>
        <w:t>Tran</w:t>
      </w:r>
      <w:r w:rsidRPr="008B77C2">
        <w:rPr>
          <w:rFonts w:cs="Times New Roman"/>
          <w:lang w:val="fr-CA"/>
        </w:rPr>
        <w:t xml:space="preserve">, </w:t>
      </w:r>
      <w:r>
        <w:rPr>
          <w:rFonts w:cs="Times New Roman"/>
          <w:lang w:val="fr-CA"/>
        </w:rPr>
        <w:t>par. </w:t>
      </w:r>
      <w:r w:rsidRPr="008B77C2">
        <w:rPr>
          <w:rFonts w:cs="Times New Roman"/>
          <w:lang w:val="fr-CA"/>
        </w:rPr>
        <w:t xml:space="preserve">35).  Comme le relève le professeur Renke, </w:t>
      </w:r>
      <w:r w:rsidRPr="008B77C2">
        <w:rPr>
          <w:rFonts w:cs="Times New Roman"/>
          <w:smallCaps/>
          <w:lang w:val="fr-CA"/>
        </w:rPr>
        <w:t>[traduction] «</w:t>
      </w:r>
      <w:r w:rsidRPr="008B77C2">
        <w:rPr>
          <w:rFonts w:cs="Times New Roman"/>
          <w:lang w:val="fr-CA"/>
        </w:rPr>
        <w:t> </w:t>
      </w:r>
      <w:r w:rsidR="0087095A">
        <w:rPr>
          <w:rFonts w:cs="Times New Roman"/>
          <w:lang w:val="fr-CA"/>
        </w:rPr>
        <w:t>[</w:t>
      </w:r>
      <w:r w:rsidRPr="008B77C2">
        <w:rPr>
          <w:rFonts w:cs="Times New Roman"/>
          <w:lang w:val="fr-CA"/>
        </w:rPr>
        <w:t>l</w:t>
      </w:r>
      <w:r w:rsidR="0087095A">
        <w:rPr>
          <w:rFonts w:cs="Times New Roman"/>
          <w:lang w:val="fr-CA"/>
        </w:rPr>
        <w:t>]</w:t>
      </w:r>
      <w:r w:rsidRPr="008B77C2">
        <w:rPr>
          <w:rFonts w:cs="Times New Roman"/>
          <w:lang w:val="fr-CA"/>
        </w:rPr>
        <w:t>a provocation ne doit jouer que lorsque la maîtrise de soi de la personne ordinaire a été poussée à sa limite et que cette limite a été franchie » (</w:t>
      </w:r>
      <w:r>
        <w:rPr>
          <w:rFonts w:cs="Times New Roman"/>
          <w:lang w:val="fr-CA"/>
        </w:rPr>
        <w:t>p. </w:t>
      </w:r>
      <w:r w:rsidRPr="008B77C2">
        <w:rPr>
          <w:rFonts w:cs="Times New Roman"/>
          <w:lang w:val="fr-CA"/>
        </w:rPr>
        <w:t>772).</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Grâce à la juste contextualisation de la norme de la personne ordinaire, le droit applicable à la provocation reconnaît, d’une part, les faiblesses humaines qui </w:t>
      </w:r>
      <w:r w:rsidRPr="008B77C2">
        <w:rPr>
          <w:rFonts w:cs="Times New Roman"/>
          <w:lang w:val="fr-CA" w:bidi="en-US"/>
        </w:rPr>
        <w:lastRenderedPageBreak/>
        <w:t>mènent à des accès de violence et, d’autre part, la nécessité de protéger la société en décourageant le recours à la violence meurtrière (</w:t>
      </w:r>
      <w:r w:rsidRPr="008B77C2">
        <w:rPr>
          <w:rFonts w:cs="Times New Roman"/>
          <w:i/>
          <w:lang w:val="fr-CA" w:bidi="en-US"/>
        </w:rPr>
        <w:t>Thibert</w:t>
      </w:r>
      <w:r w:rsidRPr="008B77C2">
        <w:rPr>
          <w:rFonts w:cs="Times New Roman"/>
          <w:lang w:val="fr-CA" w:bidi="en-US"/>
        </w:rPr>
        <w:t xml:space="preserve">, </w:t>
      </w:r>
      <w:r>
        <w:rPr>
          <w:rFonts w:cs="Times New Roman"/>
          <w:lang w:val="fr-CA" w:bidi="en-US"/>
        </w:rPr>
        <w:t>par. </w:t>
      </w:r>
      <w:r w:rsidRPr="008B77C2">
        <w:rPr>
          <w:rFonts w:cs="Times New Roman"/>
          <w:lang w:val="fr-CA" w:bidi="en-US"/>
        </w:rPr>
        <w:t>4).</w:t>
      </w:r>
    </w:p>
    <w:p w:rsidR="008479ED" w:rsidRPr="008B77C2" w:rsidRDefault="008479ED" w:rsidP="00AE1829">
      <w:pPr>
        <w:pStyle w:val="TitleTitre-AltT"/>
        <w:tabs>
          <w:tab w:val="clear" w:pos="360"/>
          <w:tab w:val="left" w:pos="450"/>
          <w:tab w:val="left" w:pos="993"/>
        </w:tabs>
        <w:ind w:left="450" w:hanging="450"/>
        <w:rPr>
          <w:rFonts w:cs="Times New Roman"/>
          <w:lang w:val="fr-CA" w:bidi="en-US"/>
        </w:rPr>
      </w:pPr>
      <w:r w:rsidRPr="008B77C2">
        <w:rPr>
          <w:rFonts w:cs="Times New Roman"/>
          <w:lang w:val="fr-CA" w:bidi="en-US"/>
        </w:rPr>
        <w:tab/>
        <w:t>c)</w:t>
      </w:r>
      <w:r w:rsidRPr="008B77C2">
        <w:rPr>
          <w:rFonts w:cs="Times New Roman"/>
          <w:lang w:val="fr-CA" w:bidi="en-US"/>
        </w:rPr>
        <w:tab/>
      </w:r>
      <w:r w:rsidRPr="008B77C2">
        <w:rPr>
          <w:rFonts w:cs="Times New Roman"/>
          <w:i/>
          <w:lang w:val="fr-CA" w:bidi="en-US"/>
        </w:rPr>
        <w:t>Provocation induite</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La provocation induite s’entend de </w:t>
      </w:r>
      <w:r w:rsidRPr="008B77C2">
        <w:rPr>
          <w:rFonts w:cs="Times New Roman"/>
          <w:lang w:val="fr-CA"/>
        </w:rPr>
        <w:t xml:space="preserve">l’action ou de l’insulte </w:t>
      </w:r>
      <w:r w:rsidRPr="008B77C2">
        <w:rPr>
          <w:rFonts w:cs="Times New Roman"/>
          <w:lang w:val="fr-CA" w:bidi="en-US"/>
        </w:rPr>
        <w:t xml:space="preserve">que </w:t>
      </w:r>
      <w:r w:rsidRPr="008B77C2">
        <w:rPr>
          <w:rFonts w:cs="Times New Roman"/>
          <w:lang w:val="fr-CA"/>
        </w:rPr>
        <w:t>l’accusé</w:t>
      </w:r>
      <w:r>
        <w:rPr>
          <w:rFonts w:cs="Times New Roman"/>
          <w:lang w:val="fr-CA"/>
        </w:rPr>
        <w:t xml:space="preserve"> </w:t>
      </w:r>
      <w:r w:rsidRPr="008B77C2">
        <w:rPr>
          <w:rFonts w:cs="Times New Roman"/>
          <w:lang w:val="fr-CA"/>
        </w:rPr>
        <w:t>déclenche ou suscite et prétend qu’elle le provoque.  Il ne s’agit pas d’une catégorie particulière de provocation.  Le fait que l’accusé déclenche ou suscite la provocation n’est qu’une donnée contextuelle à considérer pour statuer sur l’existence des éléments subjectif et objectif du moyen de défense</w:t>
      </w:r>
      <w:r w:rsidR="0087095A">
        <w:rPr>
          <w:rFonts w:cs="Times New Roman"/>
          <w:lang w:val="fr-CA" w:bidi="en-US"/>
        </w:rPr>
        <w:t>.</w:t>
      </w:r>
    </w:p>
    <w:p w:rsidR="008479ED" w:rsidRPr="008B77C2" w:rsidRDefault="008479ED" w:rsidP="008479ED">
      <w:pPr>
        <w:pStyle w:val="ParaNoNdepar-AltN"/>
        <w:rPr>
          <w:rFonts w:cs="Times New Roman"/>
          <w:lang w:val="fr-CA" w:bidi="en-US"/>
        </w:rPr>
      </w:pPr>
      <w:r w:rsidRPr="008B77C2">
        <w:rPr>
          <w:rFonts w:cs="Times New Roman"/>
          <w:lang w:val="fr-CA" w:bidi="en-US"/>
        </w:rPr>
        <w:t>L’élément subjectif requiert que « l’action injuste ou l’insulte [soit] elle</w:t>
      </w:r>
      <w:r>
        <w:rPr>
          <w:rFonts w:cs="Times New Roman"/>
          <w:lang w:val="fr-CA" w:bidi="en-US"/>
        </w:rPr>
        <w:noBreakHyphen/>
      </w:r>
      <w:r w:rsidRPr="008B77C2">
        <w:rPr>
          <w:rFonts w:cs="Times New Roman"/>
          <w:lang w:val="fr-CA" w:bidi="en-US"/>
        </w:rPr>
        <w:t>même [. . .] soudaine, c’est</w:t>
      </w:r>
      <w:r>
        <w:rPr>
          <w:rFonts w:cs="Times New Roman"/>
          <w:lang w:val="fr-CA" w:bidi="en-US"/>
        </w:rPr>
        <w:noBreakHyphen/>
      </w:r>
      <w:r w:rsidRPr="008B77C2">
        <w:rPr>
          <w:rFonts w:cs="Times New Roman"/>
          <w:lang w:val="fr-CA" w:bidi="en-US"/>
        </w:rPr>
        <w:t>à</w:t>
      </w:r>
      <w:r>
        <w:rPr>
          <w:rFonts w:cs="Times New Roman"/>
          <w:lang w:val="fr-CA" w:bidi="en-US"/>
        </w:rPr>
        <w:noBreakHyphen/>
      </w:r>
      <w:r w:rsidRPr="008B77C2">
        <w:rPr>
          <w:rFonts w:cs="Times New Roman"/>
          <w:lang w:val="fr-CA" w:bidi="en-US"/>
        </w:rPr>
        <w:t xml:space="preserve">dire qu’elle </w:t>
      </w:r>
      <w:r w:rsidR="0087095A">
        <w:rPr>
          <w:rFonts w:cs="Times New Roman"/>
          <w:lang w:val="fr-CA" w:bidi="en-US"/>
        </w:rPr>
        <w:t xml:space="preserve">[. . .] </w:t>
      </w:r>
      <w:r w:rsidRPr="008B77C2">
        <w:rPr>
          <w:rFonts w:cs="Times New Roman"/>
          <w:lang w:val="fr-CA" w:bidi="en-US"/>
        </w:rPr>
        <w:t>doit être inattendue » (</w:t>
      </w:r>
      <w:r w:rsidRPr="008B77C2">
        <w:rPr>
          <w:rFonts w:cs="Times New Roman"/>
          <w:i/>
          <w:lang w:val="fr-CA" w:bidi="en-US"/>
        </w:rPr>
        <w:t>Tran</w:t>
      </w:r>
      <w:r w:rsidRPr="008B77C2">
        <w:rPr>
          <w:rFonts w:cs="Times New Roman"/>
          <w:lang w:val="fr-CA" w:bidi="en-US"/>
        </w:rPr>
        <w:t xml:space="preserve">, </w:t>
      </w:r>
      <w:r>
        <w:rPr>
          <w:rFonts w:cs="Times New Roman"/>
          <w:lang w:val="fr-CA" w:bidi="en-US"/>
        </w:rPr>
        <w:t>par. </w:t>
      </w:r>
      <w:r w:rsidRPr="008B77C2">
        <w:rPr>
          <w:rFonts w:cs="Times New Roman"/>
          <w:lang w:val="fr-CA" w:bidi="en-US"/>
        </w:rPr>
        <w:t xml:space="preserve">38, citant </w:t>
      </w:r>
      <w:r w:rsidRPr="008B77C2">
        <w:rPr>
          <w:rFonts w:cs="Times New Roman"/>
          <w:i/>
          <w:lang w:val="fr-CA" w:bidi="en-US"/>
        </w:rPr>
        <w:t>R. c. Tripodi</w:t>
      </w:r>
      <w:r w:rsidRPr="008B77C2">
        <w:rPr>
          <w:rFonts w:cs="Times New Roman"/>
          <w:lang w:val="fr-CA" w:bidi="en-US"/>
        </w:rPr>
        <w:t xml:space="preserve">, [1955] R.C.S. 438, </w:t>
      </w:r>
      <w:r>
        <w:rPr>
          <w:rFonts w:cs="Times New Roman"/>
          <w:lang w:val="fr-CA" w:bidi="en-US"/>
        </w:rPr>
        <w:t>p. </w:t>
      </w:r>
      <w:r w:rsidRPr="008B77C2">
        <w:rPr>
          <w:rFonts w:cs="Times New Roman"/>
          <w:lang w:val="fr-CA" w:bidi="en-US"/>
        </w:rPr>
        <w:t>443).  Cet élément fait défaut lorsque l’accusé prévoit en fait subjectivement la réaction de la victime et n’agit donc pas sous l’impulsion du moment.  Selon les circonstances, lorsque l’accusé pousse la victime à la provocation, la preuve peut ne pas étayer un doute raisonnable quant à savoir si l’accusé a agi impulsivement.</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L’élément objectif veut que l’on détermine si l’acte provocateur ferait perdre sa maîtrise de soi à une « personne ordinaire » eu égard à l’ensemble du contexte en cause.  Encore une fois, selon les circonstances, lorsque l’accusé a incité la victime à agir injustement ou à proférer l’insulte en l’affrontant de manière violente, la preuve peut ne pas permettre de conclure que l’action ou l’insulte en </w:t>
      </w:r>
      <w:r w:rsidRPr="008B77C2">
        <w:rPr>
          <w:rFonts w:cs="Times New Roman"/>
          <w:lang w:val="fr-CA" w:bidi="en-US"/>
        </w:rPr>
        <w:lastRenderedPageBreak/>
        <w:t>question aurait fait perdre son sang</w:t>
      </w:r>
      <w:r>
        <w:rPr>
          <w:rFonts w:cs="Times New Roman"/>
          <w:lang w:val="fr-CA" w:bidi="en-US"/>
        </w:rPr>
        <w:noBreakHyphen/>
      </w:r>
      <w:r w:rsidRPr="008B77C2">
        <w:rPr>
          <w:rFonts w:cs="Times New Roman"/>
          <w:lang w:val="fr-CA" w:bidi="en-US"/>
        </w:rPr>
        <w:t>froid à une personne ordinaire.  Le fait que la réaction de la victime à l’affrontement déclenché par l’accusé fasse partie de celles qui sont raisonnablement prévisibles peut indiquer qu’une personne ordinaire n’aurait pas perdu son sang</w:t>
      </w:r>
      <w:r>
        <w:rPr>
          <w:rFonts w:cs="Times New Roman"/>
          <w:lang w:val="fr-CA" w:bidi="en-US"/>
        </w:rPr>
        <w:noBreakHyphen/>
      </w:r>
      <w:r w:rsidRPr="008B77C2">
        <w:rPr>
          <w:rFonts w:cs="Times New Roman"/>
          <w:lang w:val="fr-CA" w:bidi="en-US"/>
        </w:rPr>
        <w:t>froid, bien qu’il faille mettre ce fait en balance avec toutes les autres don</w:t>
      </w:r>
      <w:r w:rsidR="0087095A">
        <w:rPr>
          <w:rFonts w:cs="Times New Roman"/>
          <w:lang w:val="fr-CA" w:bidi="en-US"/>
        </w:rPr>
        <w:t>nées contextuelles pertinentes.</w:t>
      </w:r>
    </w:p>
    <w:p w:rsidR="008479ED" w:rsidRPr="008B77C2" w:rsidRDefault="008479ED" w:rsidP="008479ED">
      <w:pPr>
        <w:pStyle w:val="ParaNoNdepar-AltN"/>
        <w:rPr>
          <w:rFonts w:cs="Times New Roman"/>
          <w:lang w:val="fr-CA"/>
        </w:rPr>
      </w:pPr>
      <w:r w:rsidRPr="008B77C2">
        <w:rPr>
          <w:rFonts w:cs="Times New Roman"/>
          <w:lang w:val="fr-CA" w:bidi="en-US"/>
        </w:rPr>
        <w:t xml:space="preserve">D’aucuns opinent que </w:t>
      </w:r>
      <w:r w:rsidRPr="008B77C2">
        <w:rPr>
          <w:rFonts w:cs="Times New Roman"/>
          <w:smallCaps/>
          <w:lang w:val="fr-CA" w:bidi="en-US"/>
        </w:rPr>
        <w:t>[traduction</w:t>
      </w:r>
      <w:r w:rsidRPr="008B77C2">
        <w:rPr>
          <w:rFonts w:cs="Times New Roman"/>
          <w:lang w:val="fr-CA" w:bidi="en-US"/>
        </w:rPr>
        <w:t xml:space="preserve">] « la défense [de provocation] ne s’applique pas lorsque </w:t>
      </w:r>
      <w:r w:rsidRPr="008B77C2">
        <w:rPr>
          <w:rFonts w:cs="Times New Roman"/>
          <w:lang w:val="fr-CA"/>
        </w:rPr>
        <w:t>l’accusé</w:t>
      </w:r>
      <w:r w:rsidRPr="008B77C2">
        <w:rPr>
          <w:rFonts w:cs="Times New Roman"/>
          <w:lang w:val="fr-CA" w:bidi="en-US"/>
        </w:rPr>
        <w:t xml:space="preserve"> s’attend à une insulte </w:t>
      </w:r>
      <w:r w:rsidRPr="008B77C2">
        <w:rPr>
          <w:rFonts w:cs="Times New Roman"/>
          <w:u w:val="single"/>
          <w:lang w:val="fr-CA" w:bidi="en-US"/>
        </w:rPr>
        <w:t>ou qu’il déclenche un affrontement et obtient une réaction prévisible</w:t>
      </w:r>
      <w:r w:rsidRPr="008B77C2">
        <w:rPr>
          <w:rFonts w:cs="Times New Roman"/>
          <w:lang w:val="fr-CA" w:bidi="en-US"/>
        </w:rPr>
        <w:t xml:space="preserve"> » (M. Manning et </w:t>
      </w:r>
      <w:r>
        <w:rPr>
          <w:rFonts w:cs="Times New Roman"/>
          <w:lang w:val="fr-CA" w:bidi="en-US"/>
        </w:rPr>
        <w:t>P. </w:t>
      </w:r>
      <w:r w:rsidRPr="008B77C2">
        <w:rPr>
          <w:rFonts w:cs="Times New Roman"/>
          <w:lang w:val="fr-CA" w:bidi="en-US"/>
        </w:rPr>
        <w:t xml:space="preserve">Sankoff, </w:t>
      </w:r>
      <w:r w:rsidRPr="008B77C2">
        <w:rPr>
          <w:rFonts w:cs="Times New Roman"/>
          <w:i/>
          <w:lang w:val="fr-CA" w:bidi="en-US"/>
        </w:rPr>
        <w:t>Manning, Mewett &amp; Sankoff</w:t>
      </w:r>
      <w:r>
        <w:rPr>
          <w:rFonts w:cs="Times New Roman"/>
          <w:i/>
          <w:lang w:val="fr-CA" w:bidi="en-US"/>
        </w:rPr>
        <w:t> :</w:t>
      </w:r>
      <w:r w:rsidRPr="008B77C2">
        <w:rPr>
          <w:rFonts w:cs="Times New Roman"/>
          <w:lang w:val="fr-CA" w:bidi="en-US"/>
        </w:rPr>
        <w:t xml:space="preserve"> </w:t>
      </w:r>
      <w:r w:rsidRPr="008B77C2">
        <w:rPr>
          <w:rFonts w:cs="Times New Roman"/>
          <w:i/>
          <w:lang w:val="fr-CA" w:bidi="en-US"/>
        </w:rPr>
        <w:t xml:space="preserve">Criminal Law </w:t>
      </w:r>
      <w:r w:rsidRPr="008B77C2">
        <w:rPr>
          <w:rFonts w:cs="Times New Roman"/>
          <w:lang w:val="fr-CA" w:bidi="en-US"/>
        </w:rPr>
        <w:t>(4</w:t>
      </w:r>
      <w:r w:rsidRPr="008B77C2">
        <w:rPr>
          <w:rFonts w:cs="Times New Roman"/>
          <w:vertAlign w:val="superscript"/>
          <w:lang w:val="fr-CA" w:bidi="en-US"/>
        </w:rPr>
        <w:t>e</w:t>
      </w:r>
      <w:r w:rsidRPr="008B77C2">
        <w:rPr>
          <w:rFonts w:cs="Times New Roman"/>
          <w:lang w:val="fr-CA" w:bidi="en-US"/>
        </w:rPr>
        <w:t xml:space="preserve"> éd. 2009)</w:t>
      </w:r>
      <w:r w:rsidR="0087095A">
        <w:rPr>
          <w:rFonts w:cs="Times New Roman"/>
          <w:lang w:val="fr-CA" w:bidi="en-US"/>
        </w:rPr>
        <w:t>,</w:t>
      </w:r>
      <w:r w:rsidRPr="008B77C2">
        <w:rPr>
          <w:rFonts w:cs="Times New Roman"/>
          <w:lang w:val="fr-CA" w:bidi="en-US"/>
        </w:rPr>
        <w:t xml:space="preserve"> </w:t>
      </w:r>
      <w:r>
        <w:rPr>
          <w:rFonts w:cs="Times New Roman"/>
          <w:lang w:val="fr-CA" w:bidi="en-US"/>
        </w:rPr>
        <w:t>p. </w:t>
      </w:r>
      <w:r w:rsidRPr="008B77C2">
        <w:rPr>
          <w:rFonts w:cs="Times New Roman"/>
          <w:lang w:val="fr-CA" w:bidi="en-US"/>
        </w:rPr>
        <w:t xml:space="preserve">770 </w:t>
      </w:r>
      <w:r w:rsidR="0087095A">
        <w:rPr>
          <w:rFonts w:cs="Times New Roman"/>
          <w:lang w:val="fr-CA" w:bidi="en-US"/>
        </w:rPr>
        <w:t>(</w:t>
      </w:r>
      <w:r w:rsidRPr="008B77C2">
        <w:rPr>
          <w:rFonts w:cs="Times New Roman"/>
          <w:lang w:val="fr-CA" w:bidi="en-US"/>
        </w:rPr>
        <w:t>je souligne</w:t>
      </w:r>
      <w:r w:rsidR="0087095A">
        <w:rPr>
          <w:rFonts w:cs="Times New Roman"/>
          <w:lang w:val="fr-CA" w:bidi="en-US"/>
        </w:rPr>
        <w:t>)</w:t>
      </w:r>
      <w:r w:rsidRPr="008B77C2">
        <w:rPr>
          <w:rFonts w:cs="Times New Roman"/>
          <w:lang w:val="fr-CA" w:bidi="en-US"/>
        </w:rPr>
        <w:t xml:space="preserve">; voir aussi D. Stuart, </w:t>
      </w:r>
      <w:r w:rsidRPr="008B77C2">
        <w:rPr>
          <w:rFonts w:cs="Times New Roman"/>
          <w:i/>
          <w:lang w:val="fr-CA" w:bidi="en-US"/>
        </w:rPr>
        <w:t>Canadian Criminal Law</w:t>
      </w:r>
      <w:r>
        <w:rPr>
          <w:rFonts w:cs="Times New Roman"/>
          <w:i/>
          <w:lang w:val="fr-CA" w:bidi="en-US"/>
        </w:rPr>
        <w:t> :</w:t>
      </w:r>
      <w:r w:rsidRPr="008B77C2">
        <w:rPr>
          <w:rFonts w:cs="Times New Roman"/>
          <w:i/>
          <w:lang w:val="fr-CA" w:bidi="en-US"/>
        </w:rPr>
        <w:t xml:space="preserve"> A Treatise </w:t>
      </w:r>
      <w:r w:rsidRPr="008B77C2">
        <w:rPr>
          <w:rFonts w:cs="Times New Roman"/>
          <w:lang w:val="fr-CA" w:bidi="en-US"/>
        </w:rPr>
        <w:t>(6</w:t>
      </w:r>
      <w:r w:rsidRPr="008B77C2">
        <w:rPr>
          <w:rFonts w:cs="Times New Roman"/>
          <w:vertAlign w:val="superscript"/>
          <w:lang w:val="fr-CA" w:bidi="en-US"/>
        </w:rPr>
        <w:t>e</w:t>
      </w:r>
      <w:r w:rsidRPr="008B77C2">
        <w:rPr>
          <w:rFonts w:cs="Times New Roman"/>
          <w:lang w:val="fr-CA" w:bidi="en-US"/>
        </w:rPr>
        <w:t xml:space="preserve"> éd. 2011), </w:t>
      </w:r>
      <w:r>
        <w:rPr>
          <w:rFonts w:cs="Times New Roman"/>
          <w:lang w:val="fr-CA" w:bidi="en-US"/>
        </w:rPr>
        <w:t>p. </w:t>
      </w:r>
      <w:r w:rsidRPr="008B77C2">
        <w:rPr>
          <w:rFonts w:cs="Times New Roman"/>
          <w:lang w:val="fr-CA" w:bidi="en-US"/>
        </w:rPr>
        <w:t xml:space="preserve">590; H. Parent, </w:t>
      </w:r>
      <w:r w:rsidRPr="008B77C2">
        <w:rPr>
          <w:rFonts w:cs="Times New Roman"/>
          <w:i/>
          <w:lang w:val="fr-CA" w:bidi="en-US"/>
        </w:rPr>
        <w:t>Traité de droit criminel</w:t>
      </w:r>
      <w:r w:rsidRPr="008B77C2">
        <w:rPr>
          <w:rFonts w:cs="Times New Roman"/>
          <w:lang w:val="fr-CA" w:bidi="en-US"/>
        </w:rPr>
        <w:t xml:space="preserve">, t. 1, </w:t>
      </w:r>
      <w:r w:rsidRPr="008B77C2">
        <w:rPr>
          <w:rFonts w:cs="Times New Roman"/>
          <w:i/>
          <w:lang w:val="fr-CA" w:bidi="en-US"/>
        </w:rPr>
        <w:t>L’imputabilité</w:t>
      </w:r>
      <w:r w:rsidRPr="008B77C2">
        <w:rPr>
          <w:rFonts w:cs="Times New Roman"/>
          <w:lang w:val="fr-CA" w:bidi="en-US"/>
        </w:rPr>
        <w:t xml:space="preserve"> (3</w:t>
      </w:r>
      <w:r w:rsidRPr="008B77C2">
        <w:rPr>
          <w:rFonts w:cs="Times New Roman"/>
          <w:vertAlign w:val="superscript"/>
          <w:lang w:val="fr-CA" w:bidi="en-US"/>
        </w:rPr>
        <w:t>e</w:t>
      </w:r>
      <w:r w:rsidRPr="008B77C2">
        <w:rPr>
          <w:rFonts w:cs="Times New Roman"/>
          <w:lang w:val="fr-CA" w:bidi="en-US"/>
        </w:rPr>
        <w:t xml:space="preserve"> éd. 2008), </w:t>
      </w:r>
      <w:r>
        <w:rPr>
          <w:rFonts w:cs="Times New Roman"/>
          <w:lang w:val="fr-CA" w:bidi="en-US"/>
        </w:rPr>
        <w:t>p. </w:t>
      </w:r>
      <w:r w:rsidRPr="008B77C2">
        <w:rPr>
          <w:rFonts w:cs="Times New Roman"/>
          <w:lang w:val="fr-CA" w:bidi="en-US"/>
        </w:rPr>
        <w:t>734</w:t>
      </w:r>
      <w:r>
        <w:rPr>
          <w:rFonts w:cs="Times New Roman"/>
          <w:lang w:val="fr-CA" w:bidi="en-US"/>
        </w:rPr>
        <w:noBreakHyphen/>
      </w:r>
      <w:r w:rsidRPr="008B77C2">
        <w:rPr>
          <w:rFonts w:cs="Times New Roman"/>
          <w:lang w:val="fr-CA" w:bidi="en-US"/>
        </w:rPr>
        <w:t>735).  Mieux vaut ne pas voir là une règle absolue, mais le résultat habituel de la prise en compte des données contextuelles pertinentes pour déterminer si une personne ordinaire aurait perdu son sang</w:t>
      </w:r>
      <w:r>
        <w:rPr>
          <w:rFonts w:cs="Times New Roman"/>
          <w:lang w:val="fr-CA" w:bidi="en-US"/>
        </w:rPr>
        <w:noBreakHyphen/>
      </w:r>
      <w:r w:rsidR="004C41CE">
        <w:rPr>
          <w:rFonts w:cs="Times New Roman"/>
          <w:lang w:val="fr-CA" w:bidi="en-US"/>
        </w:rPr>
        <w:t>froid.</w:t>
      </w:r>
    </w:p>
    <w:p w:rsidR="008479ED" w:rsidRPr="008B77C2" w:rsidRDefault="008479ED" w:rsidP="008479ED">
      <w:pPr>
        <w:pStyle w:val="ParaNoNdepar-AltN"/>
        <w:rPr>
          <w:rFonts w:cs="Times New Roman"/>
          <w:lang w:val="fr-CA"/>
        </w:rPr>
      </w:pPr>
      <w:r w:rsidRPr="008B77C2">
        <w:rPr>
          <w:rFonts w:cs="Times New Roman"/>
          <w:lang w:val="fr-CA" w:bidi="en-US"/>
        </w:rPr>
        <w:t xml:space="preserve">Tout dépend toujours du contexte et, en cas de doute, il faut soumettre au jury la question de savoir si le déclenchement d’un affrontement par l’accusé est de nature à faire obstacle au moyen de défense.  Dans l’arrêt </w:t>
      </w:r>
      <w:r w:rsidRPr="008B77C2">
        <w:rPr>
          <w:rFonts w:cs="Times New Roman"/>
          <w:i/>
          <w:lang w:val="fr-CA" w:bidi="en-US"/>
        </w:rPr>
        <w:t>Edwards c. The Queen</w:t>
      </w:r>
      <w:r w:rsidRPr="008B77C2">
        <w:rPr>
          <w:rFonts w:cs="Times New Roman"/>
          <w:lang w:val="fr-CA" w:bidi="en-US"/>
        </w:rPr>
        <w:t>, [1973] A.C. 648, rendu dans une affaire où on alléguait que le chantage exercé par l’accusé avait amené la victime à provoquer ce dernier, lord Pearson reconnaît ce qui suit</w:t>
      </w:r>
      <w:r>
        <w:rPr>
          <w:rFonts w:cs="Times New Roman"/>
          <w:lang w:val="fr-CA" w:bidi="en-US"/>
        </w:rPr>
        <w:t> :</w:t>
      </w:r>
      <w:r w:rsidRPr="008B77C2">
        <w:rPr>
          <w:rFonts w:cs="Times New Roman"/>
          <w:lang w:val="fr-CA" w:bidi="en-US"/>
        </w:rPr>
        <w:t xml:space="preserve"> </w:t>
      </w:r>
      <w:r w:rsidRPr="008B77C2">
        <w:rPr>
          <w:rFonts w:cs="Times New Roman"/>
          <w:smallCaps/>
          <w:lang w:val="fr-CA"/>
        </w:rPr>
        <w:t>[traduction] «</w:t>
      </w:r>
      <w:r w:rsidRPr="008B77C2">
        <w:rPr>
          <w:rFonts w:cs="Times New Roman"/>
          <w:lang w:val="fr-CA"/>
        </w:rPr>
        <w:t> </w:t>
      </w:r>
      <w:r w:rsidR="0087095A">
        <w:rPr>
          <w:rFonts w:cs="Times New Roman"/>
          <w:lang w:val="fr-CA"/>
        </w:rPr>
        <w:t>E</w:t>
      </w:r>
      <w:r w:rsidRPr="008B77C2">
        <w:rPr>
          <w:rFonts w:cs="Times New Roman"/>
          <w:lang w:val="fr-CA"/>
        </w:rPr>
        <w:t xml:space="preserve">n principe, il semble raisonnable d’affirmer que [. . .] le maître chanteur ne peut prétendre que la conséquence prévisible de son propre </w:t>
      </w:r>
      <w:r w:rsidRPr="008B77C2">
        <w:rPr>
          <w:rFonts w:cs="Times New Roman"/>
          <w:lang w:val="fr-CA"/>
        </w:rPr>
        <w:lastRenderedPageBreak/>
        <w:t>chantage constitue une provocation suffisante pour réduire le meurtre de la victime à un homicide involontaire coupable » (</w:t>
      </w:r>
      <w:r>
        <w:rPr>
          <w:rFonts w:cs="Times New Roman"/>
          <w:lang w:val="fr-CA"/>
        </w:rPr>
        <w:t>p. </w:t>
      </w:r>
      <w:r w:rsidRPr="008B77C2">
        <w:rPr>
          <w:rFonts w:cs="Times New Roman"/>
          <w:lang w:val="fr-CA"/>
        </w:rPr>
        <w:t>658).  Il ajoute cependant que la question de savoir si l’acte d’incitation aurait cette conséquence est une question de fait qui, « dans bien des cas, est affaire de degré, ce sur quoi le jury est appelé à statuer » (</w:t>
      </w:r>
      <w:r>
        <w:rPr>
          <w:rFonts w:cs="Times New Roman"/>
          <w:lang w:val="fr-CA"/>
        </w:rPr>
        <w:t>p. </w:t>
      </w:r>
      <w:r w:rsidRPr="008B77C2">
        <w:rPr>
          <w:rFonts w:cs="Times New Roman"/>
          <w:lang w:val="fr-CA"/>
        </w:rPr>
        <w:t>658</w:t>
      </w:r>
      <w:r w:rsidR="00654175">
        <w:rPr>
          <w:rFonts w:cs="Times New Roman"/>
          <w:lang w:val="fr-CA"/>
        </w:rPr>
        <w:t xml:space="preserve">; voir aussi </w:t>
      </w:r>
      <w:r w:rsidRPr="008B77C2">
        <w:rPr>
          <w:rFonts w:cs="Times New Roman"/>
          <w:lang w:val="fr-CA"/>
        </w:rPr>
        <w:t>Ashworth, « Self</w:t>
      </w:r>
      <w:r>
        <w:rPr>
          <w:rFonts w:cs="Times New Roman"/>
          <w:lang w:val="fr-CA"/>
        </w:rPr>
        <w:noBreakHyphen/>
      </w:r>
      <w:r w:rsidRPr="008B77C2">
        <w:rPr>
          <w:rFonts w:cs="Times New Roman"/>
          <w:lang w:val="fr-CA"/>
        </w:rPr>
        <w:t xml:space="preserve">Induced Provocation and the Homicide Act », </w:t>
      </w:r>
      <w:r>
        <w:rPr>
          <w:rFonts w:cs="Times New Roman"/>
          <w:lang w:val="fr-CA"/>
        </w:rPr>
        <w:t>p. </w:t>
      </w:r>
      <w:r w:rsidRPr="008B77C2">
        <w:rPr>
          <w:rFonts w:cs="Times New Roman"/>
          <w:lang w:val="fr-CA"/>
        </w:rPr>
        <w:t>486).</w:t>
      </w:r>
    </w:p>
    <w:p w:rsidR="008479ED" w:rsidRPr="008B77C2" w:rsidRDefault="008479ED" w:rsidP="00AE1829">
      <w:pPr>
        <w:pStyle w:val="TitleTitre-AltT"/>
        <w:tabs>
          <w:tab w:val="clear" w:pos="360"/>
          <w:tab w:val="left" w:pos="450"/>
          <w:tab w:val="left" w:pos="993"/>
        </w:tabs>
        <w:ind w:left="450" w:hanging="450"/>
        <w:rPr>
          <w:rFonts w:cs="Times New Roman"/>
          <w:lang w:val="fr-CA" w:bidi="en-US"/>
        </w:rPr>
      </w:pPr>
      <w:r w:rsidRPr="008B77C2">
        <w:rPr>
          <w:rFonts w:cs="Times New Roman"/>
          <w:lang w:val="fr-CA" w:bidi="en-US"/>
        </w:rPr>
        <w:tab/>
        <w:t>d)</w:t>
      </w:r>
      <w:r w:rsidRPr="008B77C2">
        <w:rPr>
          <w:rFonts w:cs="Times New Roman"/>
          <w:lang w:val="fr-CA" w:bidi="en-US"/>
        </w:rPr>
        <w:tab/>
      </w:r>
      <w:r w:rsidRPr="008B77C2">
        <w:rPr>
          <w:rFonts w:cs="Times New Roman"/>
          <w:i/>
          <w:lang w:val="fr-CA" w:bidi="en-US"/>
        </w:rPr>
        <w:t>La jurisprudence sur la provocation induite</w:t>
      </w:r>
    </w:p>
    <w:p w:rsidR="008479ED" w:rsidRPr="008B77C2" w:rsidRDefault="008479ED" w:rsidP="008479ED">
      <w:pPr>
        <w:pStyle w:val="ParaNoNdepar-AltN"/>
        <w:rPr>
          <w:rFonts w:cs="Times New Roman"/>
          <w:lang w:val="fr-CA" w:bidi="en-US"/>
        </w:rPr>
      </w:pPr>
      <w:r w:rsidRPr="008B77C2">
        <w:rPr>
          <w:rFonts w:cs="Times New Roman"/>
          <w:lang w:val="fr-CA" w:bidi="en-US"/>
        </w:rPr>
        <w:t>Bien que les décisions sur le sujet ne distinguent pas toutes entre les éléments objectif et subjectif du moyen de défense, elles confirment généralement que l’incitation à la provocation peut importer pour les deux éléments et qu’il faut l’examiner de pair avec les autres données contextuelles pour décider de la vra</w:t>
      </w:r>
      <w:r w:rsidR="004C41CE">
        <w:rPr>
          <w:rFonts w:cs="Times New Roman"/>
          <w:lang w:val="fr-CA" w:bidi="en-US"/>
        </w:rPr>
        <w:t>isemblance du moyen de défense.</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Dans </w:t>
      </w:r>
      <w:r w:rsidRPr="008B77C2">
        <w:rPr>
          <w:rFonts w:cs="Times New Roman"/>
          <w:i/>
          <w:lang w:val="fr-CA" w:bidi="en-US"/>
        </w:rPr>
        <w:t>Salamon c. The Queen</w:t>
      </w:r>
      <w:r w:rsidRPr="008B77C2">
        <w:rPr>
          <w:rFonts w:cs="Times New Roman"/>
          <w:lang w:val="fr-CA" w:bidi="en-US"/>
        </w:rPr>
        <w:t>, [1959] R.C.S 404, la Cour statue que l’incitation à la provocation alléguée prive le moyen de défense de toute vraisemblance.  L</w:t>
      </w:r>
      <w:r w:rsidRPr="008B77C2">
        <w:rPr>
          <w:rFonts w:cs="Times New Roman"/>
          <w:lang w:val="fr-CA"/>
        </w:rPr>
        <w:t>’accusé</w:t>
      </w:r>
      <w:r w:rsidRPr="008B77C2">
        <w:rPr>
          <w:rFonts w:cs="Times New Roman"/>
          <w:lang w:val="fr-CA" w:bidi="en-US"/>
        </w:rPr>
        <w:t xml:space="preserve"> s’était disputé avec la victime, Joyce Alexander, chez une connaissance.  Il était ensuite rentré seul chez lui et avait attendu que la victime rentre à son tour.  Lorsque celle</w:t>
      </w:r>
      <w:r>
        <w:rPr>
          <w:rFonts w:cs="Times New Roman"/>
          <w:lang w:val="fr-CA" w:bidi="en-US"/>
        </w:rPr>
        <w:noBreakHyphen/>
      </w:r>
      <w:r w:rsidRPr="008B77C2">
        <w:rPr>
          <w:rFonts w:cs="Times New Roman"/>
          <w:lang w:val="fr-CA" w:bidi="en-US"/>
        </w:rPr>
        <w:t xml:space="preserve">ci était arrivée, </w:t>
      </w:r>
      <w:r w:rsidRPr="008B77C2">
        <w:rPr>
          <w:rFonts w:cs="Times New Roman"/>
          <w:lang w:val="fr-CA"/>
        </w:rPr>
        <w:t xml:space="preserve">il avait </w:t>
      </w:r>
      <w:r w:rsidRPr="008B77C2">
        <w:rPr>
          <w:rFonts w:cs="Times New Roman"/>
          <w:lang w:val="fr-CA" w:bidi="en-US"/>
        </w:rPr>
        <w:t>déclenché un affrontement au cours duquel il l’avait attaquée, lui avait lancé des pièces de vaisselle et l’avait insultée (</w:t>
      </w:r>
      <w:r>
        <w:rPr>
          <w:rFonts w:cs="Times New Roman"/>
          <w:lang w:val="fr-CA" w:bidi="en-US"/>
        </w:rPr>
        <w:t>p. </w:t>
      </w:r>
      <w:r w:rsidRPr="008B77C2">
        <w:rPr>
          <w:rFonts w:cs="Times New Roman"/>
          <w:lang w:val="fr-CA" w:bidi="en-US"/>
        </w:rPr>
        <w:t>407).  La victime avait fini par riposter en l’insultant à son tour et il l’avait abattue.  La Cour opine que la défense de provocation n’aurait pas dû être soumise au jury</w:t>
      </w:r>
      <w:r>
        <w:rPr>
          <w:rFonts w:cs="Times New Roman"/>
          <w:lang w:val="fr-CA" w:bidi="en-US"/>
        </w:rPr>
        <w:t> :</w:t>
      </w:r>
    </w:p>
    <w:p w:rsidR="008479ED" w:rsidRPr="008B77C2" w:rsidRDefault="008479ED" w:rsidP="008479ED">
      <w:pPr>
        <w:pStyle w:val="Citation-AltC"/>
        <w:spacing w:after="240"/>
        <w:ind w:hanging="1166"/>
        <w:contextualSpacing w:val="0"/>
        <w:rPr>
          <w:lang w:val="fr-CA"/>
        </w:rPr>
      </w:pPr>
      <w:r w:rsidRPr="008B77C2">
        <w:rPr>
          <w:smallCaps/>
          <w:lang w:val="fr-CA"/>
        </w:rPr>
        <w:lastRenderedPageBreak/>
        <w:tab/>
        <w:t>[traduction]</w:t>
      </w:r>
      <w:r w:rsidRPr="008B77C2">
        <w:rPr>
          <w:lang w:val="fr-CA"/>
        </w:rPr>
        <w:t xml:space="preserve">  Il ressort de la preuve qu’entre l’arrivée de Joyce Alexander à la maison et le coup de feu mortel, c’est l’appelant, et non elle, qui a pris l’initiative — puis l’a conservée — des faits à l’origine du décès.  De toute évidence, il attendait le retour de la victime et il a déclenché la dispute au cours de laquelle</w:t>
      </w:r>
      <w:r w:rsidR="00654175">
        <w:rPr>
          <w:lang w:val="fr-CA"/>
        </w:rPr>
        <w:t xml:space="preserve"> la victime a riposté. . .</w:t>
      </w:r>
    </w:p>
    <w:p w:rsidR="008479ED" w:rsidRPr="008B77C2" w:rsidRDefault="008479ED" w:rsidP="008479ED">
      <w:pPr>
        <w:pStyle w:val="Citation-AltC"/>
        <w:ind w:left="1168" w:hanging="1168"/>
        <w:contextualSpacing w:val="0"/>
        <w:rPr>
          <w:lang w:val="fr-CA"/>
        </w:rPr>
      </w:pPr>
      <w:r w:rsidRPr="008B77C2">
        <w:rPr>
          <w:lang w:val="fr-CA"/>
        </w:rPr>
        <w:tab/>
      </w:r>
      <w:r w:rsidR="00654175">
        <w:rPr>
          <w:lang w:val="fr-CA"/>
        </w:rPr>
        <w:tab/>
      </w:r>
      <w:r w:rsidRPr="008B77C2">
        <w:rPr>
          <w:u w:val="single"/>
          <w:lang w:val="fr-CA"/>
        </w:rPr>
        <w:t xml:space="preserve">Compte tenu de ces éléments de preuve, </w:t>
      </w:r>
      <w:r w:rsidR="00654175">
        <w:rPr>
          <w:u w:val="single"/>
          <w:lang w:val="fr-CA"/>
        </w:rPr>
        <w:t>[</w:t>
      </w:r>
      <w:r w:rsidRPr="008B77C2">
        <w:rPr>
          <w:u w:val="single"/>
          <w:lang w:val="fr-CA"/>
        </w:rPr>
        <w:t>l’</w:t>
      </w:r>
      <w:r w:rsidR="00654175">
        <w:rPr>
          <w:u w:val="single"/>
          <w:lang w:val="fr-CA"/>
        </w:rPr>
        <w:t>]</w:t>
      </w:r>
      <w:r w:rsidRPr="008B77C2">
        <w:rPr>
          <w:u w:val="single"/>
          <w:lang w:val="fr-CA"/>
        </w:rPr>
        <w:t>appelant ne peut justifier ou excuser ses actes en invoquant le caractère imprévisible et inattendu de la situation</w:t>
      </w:r>
      <w:r w:rsidRPr="00654175">
        <w:rPr>
          <w:u w:val="single"/>
          <w:lang w:val="fr-CA"/>
        </w:rPr>
        <w:t>.</w:t>
      </w:r>
      <w:r w:rsidRPr="008B77C2">
        <w:rPr>
          <w:lang w:val="fr-CA"/>
        </w:rPr>
        <w:t xml:space="preserve"> </w:t>
      </w:r>
      <w:r w:rsidR="00654175">
        <w:rPr>
          <w:lang w:val="fr-CA"/>
        </w:rPr>
        <w:t>[. . .]</w:t>
      </w:r>
      <w:r w:rsidRPr="008B77C2">
        <w:rPr>
          <w:lang w:val="fr-CA"/>
        </w:rPr>
        <w:t xml:space="preserve"> Il n’y a eu de la part de Joyce Alexander aucune provocation soudaine de nature à causer une riposte soudaine de l’accusé.  [Je souligne; </w:t>
      </w:r>
      <w:r>
        <w:rPr>
          <w:lang w:val="fr-CA"/>
        </w:rPr>
        <w:t>p. </w:t>
      </w:r>
      <w:r w:rsidRPr="008B77C2">
        <w:rPr>
          <w:lang w:val="fr-CA"/>
        </w:rPr>
        <w:t>409</w:t>
      </w:r>
      <w:r>
        <w:rPr>
          <w:lang w:val="fr-CA"/>
        </w:rPr>
        <w:noBreakHyphen/>
      </w:r>
      <w:r w:rsidRPr="008B77C2">
        <w:rPr>
          <w:lang w:val="fr-CA"/>
        </w:rPr>
        <w:t>410.]</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Dans </w:t>
      </w:r>
      <w:r w:rsidRPr="008B77C2">
        <w:rPr>
          <w:rFonts w:cs="Times New Roman"/>
          <w:i/>
          <w:lang w:val="fr-CA" w:bidi="en-US"/>
        </w:rPr>
        <w:t>R. c. Louison</w:t>
      </w:r>
      <w:r w:rsidRPr="008B77C2">
        <w:rPr>
          <w:rFonts w:cs="Times New Roman"/>
          <w:lang w:val="fr-CA" w:bidi="en-US"/>
        </w:rPr>
        <w:t xml:space="preserve"> (1975), 26 C.C.C. (2d) 266 (C.A. Sask.), conf. par [1979] 1 R.C.S. 100, </w:t>
      </w:r>
      <w:r w:rsidRPr="008B77C2">
        <w:rPr>
          <w:rFonts w:cs="Times New Roman"/>
          <w:lang w:val="fr-CA"/>
        </w:rPr>
        <w:t>l’accusé</w:t>
      </w:r>
      <w:r w:rsidRPr="008B77C2">
        <w:rPr>
          <w:rFonts w:cs="Times New Roman"/>
          <w:lang w:val="fr-CA" w:bidi="en-US"/>
        </w:rPr>
        <w:t xml:space="preserve"> avait séquestré un chauffeur de taxi dans le coffre de sa propre voiture.  Lorsqu’il avait ensuite ouvert le coffre, le chauffeur en avait surgi et l’avait frappé avec un marteau.  </w:t>
      </w:r>
      <w:r w:rsidRPr="008B77C2">
        <w:rPr>
          <w:rFonts w:cs="Times New Roman"/>
          <w:lang w:val="fr-CA"/>
        </w:rPr>
        <w:t>L’accusé</w:t>
      </w:r>
      <w:r w:rsidRPr="008B77C2">
        <w:rPr>
          <w:rFonts w:cs="Times New Roman"/>
          <w:lang w:val="fr-CA" w:bidi="en-US"/>
        </w:rPr>
        <w:t xml:space="preserve"> s’était emparé de l’outil et avait tué le chauffeur en lui fracassant le crâne.  Au procès, </w:t>
      </w:r>
      <w:r w:rsidRPr="008B77C2">
        <w:rPr>
          <w:rFonts w:cs="Times New Roman"/>
          <w:lang w:val="fr-CA"/>
        </w:rPr>
        <w:t>l’accusé</w:t>
      </w:r>
      <w:r w:rsidRPr="008B77C2">
        <w:rPr>
          <w:rFonts w:cs="Times New Roman"/>
          <w:lang w:val="fr-CA" w:bidi="en-US"/>
        </w:rPr>
        <w:t xml:space="preserve"> a déclaré avoir agi dans un accès de colère causé par l’attaque subite.  La Cour d’appel de la Saskatchewan, par la voix du juge en chef Culliton, conclut au caractère induit de la provocation et qu’il était objectivement prévisible que le chauffeur tente de s’échapper</w:t>
      </w:r>
      <w:r>
        <w:rPr>
          <w:rFonts w:cs="Times New Roman"/>
          <w:lang w:val="fr-CA" w:bidi="en-US"/>
        </w:rPr>
        <w:t> :</w:t>
      </w:r>
    </w:p>
    <w:p w:rsidR="008479ED" w:rsidRPr="008B77C2" w:rsidRDefault="008479ED" w:rsidP="008479ED">
      <w:pPr>
        <w:pStyle w:val="Citation-AltC"/>
        <w:tabs>
          <w:tab w:val="left" w:pos="1620"/>
        </w:tabs>
        <w:spacing w:after="240"/>
        <w:ind w:hanging="1166"/>
        <w:contextualSpacing w:val="0"/>
        <w:rPr>
          <w:lang w:val="fr-CA"/>
        </w:rPr>
      </w:pPr>
      <w:r w:rsidRPr="008B77C2">
        <w:rPr>
          <w:smallCaps/>
          <w:lang w:val="fr-CA"/>
        </w:rPr>
        <w:tab/>
        <w:t>[traduction]</w:t>
      </w:r>
      <w:r w:rsidRPr="008B77C2">
        <w:rPr>
          <w:lang w:val="fr-CA"/>
        </w:rPr>
        <w:t xml:space="preserve">  À mon avis, les faits de l’espèce illustrent parfaitement le cas où l’appelant prend et conserve l’initiative de l</w:t>
      </w:r>
      <w:r w:rsidR="00654175">
        <w:rPr>
          <w:lang w:val="fr-CA"/>
        </w:rPr>
        <w:t>’affrontement. . </w:t>
      </w:r>
      <w:r w:rsidR="00654175">
        <w:rPr>
          <w:sz w:val="28"/>
          <w:lang w:val="fr-CA"/>
        </w:rPr>
        <w:t>.</w:t>
      </w:r>
    </w:p>
    <w:p w:rsidR="008479ED" w:rsidRPr="008B77C2" w:rsidRDefault="008479ED" w:rsidP="008479ED">
      <w:pPr>
        <w:pStyle w:val="Citation-AltC"/>
        <w:tabs>
          <w:tab w:val="left" w:pos="1620"/>
        </w:tabs>
        <w:spacing w:after="240"/>
        <w:ind w:left="1168" w:hanging="1168"/>
        <w:contextualSpacing w:val="0"/>
        <w:jc w:val="center"/>
        <w:rPr>
          <w:lang w:val="fr-CA"/>
        </w:rPr>
      </w:pPr>
      <w:r w:rsidRPr="008B77C2">
        <w:rPr>
          <w:lang w:val="fr-CA"/>
        </w:rPr>
        <w:t>. . .</w:t>
      </w:r>
    </w:p>
    <w:p w:rsidR="008479ED" w:rsidRPr="008B77C2" w:rsidRDefault="008479ED" w:rsidP="008479ED">
      <w:pPr>
        <w:pStyle w:val="Citation-AltC"/>
        <w:tabs>
          <w:tab w:val="left" w:pos="1620"/>
        </w:tabs>
        <w:ind w:left="1168" w:hanging="1168"/>
        <w:contextualSpacing w:val="0"/>
        <w:rPr>
          <w:u w:val="single"/>
          <w:lang w:val="fr-CA"/>
        </w:rPr>
      </w:pPr>
      <w:r w:rsidRPr="008B77C2">
        <w:rPr>
          <w:lang w:val="fr-CA"/>
        </w:rPr>
        <w:tab/>
      </w:r>
      <w:r w:rsidRPr="008B77C2">
        <w:rPr>
          <w:lang w:val="fr-CA"/>
        </w:rPr>
        <w:tab/>
      </w:r>
      <w:r w:rsidR="00654175">
        <w:rPr>
          <w:lang w:val="fr-CA"/>
        </w:rPr>
        <w:t>. . </w:t>
      </w:r>
      <w:r w:rsidR="00654175">
        <w:rPr>
          <w:sz w:val="28"/>
          <w:lang w:val="fr-CA"/>
        </w:rPr>
        <w:t xml:space="preserve">. </w:t>
      </w:r>
      <w:r w:rsidRPr="008B77C2">
        <w:rPr>
          <w:u w:val="single"/>
          <w:lang w:val="fr-CA"/>
        </w:rPr>
        <w:t>Je suis convaincu que toute personne raisonnable qui aurait traité la victime comme l’a fait l’appelant s’attendrait à ce que celle</w:t>
      </w:r>
      <w:r>
        <w:rPr>
          <w:u w:val="single"/>
          <w:lang w:val="fr-CA"/>
        </w:rPr>
        <w:noBreakHyphen/>
      </w:r>
      <w:r w:rsidRPr="008B77C2">
        <w:rPr>
          <w:u w:val="single"/>
          <w:lang w:val="fr-CA"/>
        </w:rPr>
        <w:t>ci se serve de tous les moyens possibles pour s’échapper si l’occasion se présentait.</w:t>
      </w:r>
      <w:r w:rsidRPr="008B77C2">
        <w:rPr>
          <w:lang w:val="fr-CA"/>
        </w:rPr>
        <w:t xml:space="preserve">  L’agression de l’appelant par la victime ne constitue pas un acte inattendu de nature à surprendre et faire perdre son sang</w:t>
      </w:r>
      <w:r>
        <w:rPr>
          <w:lang w:val="fr-CA"/>
        </w:rPr>
        <w:noBreakHyphen/>
      </w:r>
      <w:r w:rsidRPr="008B77C2">
        <w:rPr>
          <w:lang w:val="fr-CA"/>
        </w:rPr>
        <w:t xml:space="preserve">froid.  </w:t>
      </w:r>
      <w:r w:rsidRPr="008B77C2">
        <w:rPr>
          <w:u w:val="single"/>
          <w:lang w:val="fr-CA"/>
        </w:rPr>
        <w:t>Il s’agissait d’un acte non seulement prévisible, mais aussi qu’il fallait prévoir si la victime avait la possibilité de s’échapper.</w:t>
      </w:r>
      <w:r w:rsidRPr="008B77C2">
        <w:rPr>
          <w:lang w:val="fr-CA"/>
        </w:rPr>
        <w:t xml:space="preserve">  [Je souligne; </w:t>
      </w:r>
      <w:r>
        <w:rPr>
          <w:lang w:val="fr-CA"/>
        </w:rPr>
        <w:t>p. </w:t>
      </w:r>
      <w:r w:rsidRPr="008B77C2">
        <w:rPr>
          <w:lang w:val="fr-CA"/>
        </w:rPr>
        <w:t>286</w:t>
      </w:r>
      <w:r>
        <w:rPr>
          <w:lang w:val="fr-CA"/>
        </w:rPr>
        <w:noBreakHyphen/>
      </w:r>
      <w:r w:rsidRPr="008B77C2">
        <w:rPr>
          <w:lang w:val="fr-CA"/>
        </w:rPr>
        <w:t>287.]</w:t>
      </w:r>
    </w:p>
    <w:p w:rsidR="008479ED" w:rsidRPr="008B77C2" w:rsidRDefault="008479ED" w:rsidP="008479ED">
      <w:pPr>
        <w:pStyle w:val="ParaNoNdepar-AltN"/>
        <w:rPr>
          <w:rFonts w:cs="Times New Roman"/>
          <w:lang w:val="fr-CA" w:bidi="en-US"/>
        </w:rPr>
      </w:pPr>
      <w:r w:rsidRPr="008B77C2">
        <w:rPr>
          <w:rFonts w:cs="Times New Roman"/>
          <w:lang w:val="fr-CA" w:bidi="en-US"/>
        </w:rPr>
        <w:lastRenderedPageBreak/>
        <w:t xml:space="preserve">De même, dans </w:t>
      </w:r>
      <w:r w:rsidRPr="008B77C2">
        <w:rPr>
          <w:rFonts w:cs="Times New Roman"/>
          <w:i/>
          <w:lang w:val="fr-CA" w:bidi="en-US"/>
        </w:rPr>
        <w:t>R. c. Squire</w:t>
      </w:r>
      <w:r w:rsidRPr="008B77C2">
        <w:rPr>
          <w:rFonts w:cs="Times New Roman"/>
          <w:lang w:val="fr-CA" w:bidi="en-US"/>
        </w:rPr>
        <w:t>, [1977] 2 R.C.S. 13, notre Cour conclut qu’un agent de police qui avait cherché la bagarre dans des bars alors qu’il n’était pas en service ne pouvait invoquer la provocation, car aucun jury agissant de manière raisonnable ne pouvait conclure que l’on avait provoqué l’accusé au point de priver une personne ordinaire du pouvoir de se maîtriser</w:t>
      </w:r>
      <w:r>
        <w:rPr>
          <w:rFonts w:cs="Times New Roman"/>
          <w:lang w:val="fr-CA" w:bidi="en-US"/>
        </w:rPr>
        <w:t> :</w:t>
      </w:r>
    </w:p>
    <w:p w:rsidR="008479ED" w:rsidRPr="008B77C2" w:rsidRDefault="008479ED" w:rsidP="008479ED">
      <w:pPr>
        <w:pStyle w:val="Citation-AltC"/>
        <w:tabs>
          <w:tab w:val="left" w:pos="1620"/>
        </w:tabs>
        <w:ind w:hanging="1166"/>
        <w:contextualSpacing w:val="0"/>
        <w:rPr>
          <w:lang w:val="fr-CA"/>
        </w:rPr>
      </w:pPr>
      <w:r w:rsidRPr="008B77C2">
        <w:rPr>
          <w:lang w:val="fr-CA"/>
        </w:rPr>
        <w:tab/>
        <w:t>Il faut se rappeler que, selon la preuve, l’intimé était, pendant tous les incidents honteux de cette soirée, un agresseur irascible et qu’il a saisi la moindre riposte [du défunt] pour redevenir l’agresseur.  Si, pendant la lutte</w:t>
      </w:r>
      <w:r w:rsidR="00654175">
        <w:rPr>
          <w:lang w:val="fr-CA"/>
        </w:rPr>
        <w:t xml:space="preserve"> [. . .]</w:t>
      </w:r>
      <w:r w:rsidRPr="008B77C2">
        <w:rPr>
          <w:lang w:val="fr-CA"/>
        </w:rPr>
        <w:t xml:space="preserve"> il a reçu deux coups de pied d’une violence indéterminée, la provocation en résultant ne pouvait certainement pas amener un agent de police à sortir son revolver et tirer cinq coups de feu sur son assaillant.  [</w:t>
      </w:r>
      <w:r>
        <w:rPr>
          <w:lang w:val="fr-CA"/>
        </w:rPr>
        <w:t>p. </w:t>
      </w:r>
      <w:r w:rsidRPr="008B77C2">
        <w:rPr>
          <w:lang w:val="fr-CA"/>
        </w:rPr>
        <w:t>22]</w:t>
      </w:r>
    </w:p>
    <w:p w:rsidR="008479ED" w:rsidRPr="008B77C2" w:rsidRDefault="008479ED" w:rsidP="008479ED">
      <w:pPr>
        <w:pStyle w:val="ParaNoNdepar-AltN"/>
        <w:rPr>
          <w:rFonts w:cs="Times New Roman"/>
          <w:lang w:val="fr-CA"/>
        </w:rPr>
      </w:pPr>
      <w:r w:rsidRPr="008B77C2">
        <w:rPr>
          <w:rFonts w:cs="Times New Roman"/>
          <w:lang w:val="fr-CA" w:bidi="en-US"/>
        </w:rPr>
        <w:t xml:space="preserve">Des décisions plus récentes confirment également que la défense de provocation peut être dépourvue de vraisemblance lorsque </w:t>
      </w:r>
      <w:r w:rsidRPr="008B77C2">
        <w:rPr>
          <w:rFonts w:cs="Times New Roman"/>
          <w:lang w:val="fr-CA"/>
        </w:rPr>
        <w:t>l’accusé</w:t>
      </w:r>
      <w:r w:rsidRPr="008B77C2">
        <w:rPr>
          <w:rFonts w:cs="Times New Roman"/>
          <w:lang w:val="fr-CA" w:bidi="en-US"/>
        </w:rPr>
        <w:t xml:space="preserve"> déclenche un affrontement violent qui entraîne un acte de provocation prévisible.  Dans </w:t>
      </w:r>
      <w:r w:rsidRPr="008B77C2">
        <w:rPr>
          <w:rFonts w:cs="Times New Roman"/>
          <w:i/>
          <w:lang w:val="fr-CA" w:bidi="en-US"/>
        </w:rPr>
        <w:t>R. c. Gibson</w:t>
      </w:r>
      <w:r w:rsidRPr="008B77C2">
        <w:rPr>
          <w:rFonts w:cs="Times New Roman"/>
          <w:lang w:val="fr-CA" w:bidi="en-US"/>
        </w:rPr>
        <w:t xml:space="preserve">, 2001 BCCA 297, 153 B.C.A.C. 61, </w:t>
      </w:r>
      <w:r w:rsidRPr="008B77C2">
        <w:rPr>
          <w:rFonts w:cs="Times New Roman"/>
          <w:lang w:val="fr-CA"/>
        </w:rPr>
        <w:t>l’accusé</w:t>
      </w:r>
      <w:r w:rsidRPr="008B77C2">
        <w:rPr>
          <w:rFonts w:cs="Times New Roman"/>
          <w:lang w:val="fr-CA" w:bidi="en-US"/>
        </w:rPr>
        <w:t xml:space="preserve"> avait été l’instigateur d’une bagarre qu’il n’avait pas remportée contre le défunt, ce dernier l’ayant repoussé et ayant fait un geste méprisant.  Se sentant humilié, l</w:t>
      </w:r>
      <w:r w:rsidRPr="008B77C2">
        <w:rPr>
          <w:rFonts w:cs="Times New Roman"/>
          <w:lang w:val="fr-CA"/>
        </w:rPr>
        <w:t>’accusé</w:t>
      </w:r>
      <w:r w:rsidRPr="008B77C2">
        <w:rPr>
          <w:rFonts w:cs="Times New Roman"/>
          <w:lang w:val="fr-CA" w:bidi="en-US"/>
        </w:rPr>
        <w:t xml:space="preserve"> avait poignardé le défunt alors qu’il s’éloignait du lieu de l’affrontement.  </w:t>
      </w:r>
      <w:r w:rsidRPr="008B77C2">
        <w:rPr>
          <w:rFonts w:cs="Times New Roman"/>
          <w:lang w:val="fr-CA"/>
        </w:rPr>
        <w:t>La Cour d’appel de la Colombie</w:t>
      </w:r>
      <w:r>
        <w:rPr>
          <w:rFonts w:cs="Times New Roman"/>
          <w:lang w:val="fr-CA"/>
        </w:rPr>
        <w:noBreakHyphen/>
      </w:r>
      <w:r w:rsidRPr="008B77C2">
        <w:rPr>
          <w:rFonts w:cs="Times New Roman"/>
          <w:lang w:val="fr-CA"/>
        </w:rPr>
        <w:t>Britannique conclut que la provocation n’est pas vraisemblable puisqu’elle n’a pas été soudaine et qu’elle n’aurait pas fait perdre sa maîtrise de soi à une personne ordinaire.  La juge Ryan opine que la personne ordinaire qui est à l’origine d’une bagarre à coups de poing ne perd pas son sang</w:t>
      </w:r>
      <w:r>
        <w:rPr>
          <w:rFonts w:cs="Times New Roman"/>
          <w:lang w:val="fr-CA"/>
        </w:rPr>
        <w:noBreakHyphen/>
      </w:r>
      <w:r w:rsidRPr="008B77C2">
        <w:rPr>
          <w:rFonts w:cs="Times New Roman"/>
          <w:lang w:val="fr-CA"/>
        </w:rPr>
        <w:t>froid lorsque son adversaire lui rend ses coups</w:t>
      </w:r>
      <w:r>
        <w:rPr>
          <w:rFonts w:cs="Times New Roman"/>
          <w:lang w:val="fr-CA"/>
        </w:rPr>
        <w:t> :</w:t>
      </w:r>
    </w:p>
    <w:p w:rsidR="008479ED" w:rsidRPr="008B77C2" w:rsidRDefault="008479ED" w:rsidP="008479ED">
      <w:pPr>
        <w:pStyle w:val="Citation-AltC"/>
        <w:ind w:hanging="1166"/>
        <w:contextualSpacing w:val="0"/>
        <w:rPr>
          <w:lang w:val="fr-CA"/>
        </w:rPr>
      </w:pPr>
      <w:r w:rsidRPr="008B77C2">
        <w:rPr>
          <w:smallCaps/>
          <w:lang w:val="fr-CA"/>
        </w:rPr>
        <w:lastRenderedPageBreak/>
        <w:tab/>
        <w:t xml:space="preserve">[traduction] </w:t>
      </w:r>
      <w:r w:rsidR="00654175">
        <w:rPr>
          <w:lang w:val="fr-CA"/>
        </w:rPr>
        <w:t>. . . l</w:t>
      </w:r>
      <w:r w:rsidRPr="008B77C2">
        <w:rPr>
          <w:lang w:val="fr-CA"/>
        </w:rPr>
        <w:t xml:space="preserve">es conséquences naturelles d’une défaite (les coups non imprévisibles échangés au cours d’une bagarre qui oppose des adversaires consentants comme dans l’affaire </w:t>
      </w:r>
      <w:r w:rsidRPr="008B77C2">
        <w:rPr>
          <w:i/>
          <w:lang w:val="fr-CA"/>
        </w:rPr>
        <w:t>Squire</w:t>
      </w:r>
      <w:r w:rsidRPr="008B77C2">
        <w:rPr>
          <w:lang w:val="fr-CA"/>
        </w:rPr>
        <w:t>) ne sont pas de nature à priver une personne ordinaire du pouvoir de se maîtriser</w:t>
      </w:r>
      <w:r w:rsidR="00654175">
        <w:rPr>
          <w:lang w:val="fr-CA"/>
        </w:rPr>
        <w:t>.</w:t>
      </w:r>
      <w:r w:rsidRPr="008B77C2">
        <w:rPr>
          <w:lang w:val="fr-CA"/>
        </w:rPr>
        <w:t xml:space="preserve"> [. . .] </w:t>
      </w:r>
      <w:r w:rsidR="00546846">
        <w:rPr>
          <w:lang w:val="fr-CA"/>
        </w:rPr>
        <w:t>[L]</w:t>
      </w:r>
      <w:r w:rsidRPr="008B77C2">
        <w:rPr>
          <w:lang w:val="fr-CA"/>
        </w:rPr>
        <w:t>a norme de la personne ordinaire existe afin de fixer le degré de maîtrise de soi et de modération attendu de chacun en société.  Elle reconnaît la fragilité humaine chez celui qui satisfait au critère préliminaire et qui est provoquée au</w:t>
      </w:r>
      <w:r>
        <w:rPr>
          <w:lang w:val="fr-CA"/>
        </w:rPr>
        <w:noBreakHyphen/>
      </w:r>
      <w:r w:rsidRPr="008B77C2">
        <w:rPr>
          <w:lang w:val="fr-CA"/>
        </w:rPr>
        <w:t>delà du seuil de tolérance de la personne ordinaire.  Au vu de la preuve au dossier, nul jury ne pouvait conclure que, dans la situation de l’appelant, un jeune homme ordinaire aurait été provoqué par les actes, les propos et les gestes du défunt au point de perdre sa maîtrise de soi.  [</w:t>
      </w:r>
      <w:r>
        <w:rPr>
          <w:lang w:val="fr-CA"/>
        </w:rPr>
        <w:t>par. </w:t>
      </w:r>
      <w:r w:rsidRPr="008B77C2">
        <w:rPr>
          <w:lang w:val="fr-CA"/>
        </w:rPr>
        <w:t>86]</w:t>
      </w:r>
    </w:p>
    <w:p w:rsidR="008479ED" w:rsidRPr="008B77C2" w:rsidRDefault="008479ED" w:rsidP="008479ED">
      <w:pPr>
        <w:pStyle w:val="ParaNoNdepar-AltN"/>
        <w:rPr>
          <w:rFonts w:cs="Times New Roman"/>
          <w:lang w:val="fr-CA"/>
        </w:rPr>
      </w:pPr>
      <w:r w:rsidRPr="008B77C2">
        <w:rPr>
          <w:rFonts w:cs="Times New Roman"/>
          <w:lang w:val="fr-CA"/>
        </w:rPr>
        <w:t>Il découle implicitement du raisonnement de la cour d’appel que la réaction de la victime — causer des blessures légères lors de la bagarre que l’accusé avait commencée et s’éloigner ensuite — faisait partie des réactions raisonnablement prévisibles.  Aucune autre donnée contextuelle ne portait à croire qu’une personne ordinaire aurait perdu son sang</w:t>
      </w:r>
      <w:r>
        <w:rPr>
          <w:rFonts w:cs="Times New Roman"/>
          <w:lang w:val="fr-CA"/>
        </w:rPr>
        <w:noBreakHyphen/>
      </w:r>
      <w:r w:rsidRPr="008B77C2">
        <w:rPr>
          <w:rFonts w:cs="Times New Roman"/>
          <w:lang w:val="fr-CA"/>
        </w:rPr>
        <w:t>froid dans les circonstances.  La défense n’était donc pas vraisemblable.</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Dans l’arrêt </w:t>
      </w:r>
      <w:r w:rsidRPr="008B77C2">
        <w:rPr>
          <w:rFonts w:cs="Times New Roman"/>
          <w:i/>
          <w:lang w:val="fr-CA" w:bidi="en-US"/>
        </w:rPr>
        <w:t>Tran</w:t>
      </w:r>
      <w:r w:rsidRPr="008B77C2">
        <w:rPr>
          <w:rFonts w:cs="Times New Roman"/>
          <w:lang w:val="fr-CA" w:bidi="en-US"/>
        </w:rPr>
        <w:t>,</w:t>
      </w:r>
      <w:r w:rsidRPr="008B77C2">
        <w:rPr>
          <w:rFonts w:cs="Times New Roman"/>
          <w:i/>
          <w:lang w:val="fr-CA" w:bidi="en-US"/>
        </w:rPr>
        <w:t xml:space="preserve"> </w:t>
      </w:r>
      <w:r w:rsidRPr="008B77C2">
        <w:rPr>
          <w:rFonts w:cs="Times New Roman"/>
          <w:lang w:val="fr-CA" w:bidi="en-US"/>
        </w:rPr>
        <w:t>notre Cour conclut que l’accusé qui était au fait de la liaison de son épouse avec un autre homme ne pouvait qualifier d’« inattendue » la vue de celle</w:t>
      </w:r>
      <w:r>
        <w:rPr>
          <w:rFonts w:cs="Times New Roman"/>
          <w:lang w:val="fr-CA" w:bidi="en-US"/>
        </w:rPr>
        <w:noBreakHyphen/>
      </w:r>
      <w:r w:rsidRPr="008B77C2">
        <w:rPr>
          <w:rFonts w:cs="Times New Roman"/>
          <w:lang w:val="fr-CA" w:bidi="en-US"/>
        </w:rPr>
        <w:t>ci au lit avec cet homme (</w:t>
      </w:r>
      <w:r>
        <w:rPr>
          <w:rFonts w:cs="Times New Roman"/>
          <w:lang w:val="fr-CA" w:bidi="en-US"/>
        </w:rPr>
        <w:t>par. </w:t>
      </w:r>
      <w:r w:rsidRPr="008B77C2">
        <w:rPr>
          <w:rFonts w:cs="Times New Roman"/>
          <w:lang w:val="fr-CA" w:bidi="en-US"/>
        </w:rPr>
        <w:t>45).  L’accusé avait toujours conservé l’initiative</w:t>
      </w:r>
      <w:r>
        <w:rPr>
          <w:rFonts w:cs="Times New Roman"/>
          <w:lang w:val="fr-CA" w:bidi="en-US"/>
        </w:rPr>
        <w:t> :</w:t>
      </w:r>
      <w:r w:rsidRPr="008B77C2">
        <w:rPr>
          <w:rFonts w:cs="Times New Roman"/>
          <w:lang w:val="fr-CA" w:bidi="en-US"/>
        </w:rPr>
        <w:t xml:space="preserve"> il s’était introduit dans l’appartement de son ex</w:t>
      </w:r>
      <w:r>
        <w:rPr>
          <w:rFonts w:cs="Times New Roman"/>
          <w:lang w:val="fr-CA" w:bidi="en-US"/>
        </w:rPr>
        <w:noBreakHyphen/>
      </w:r>
      <w:r w:rsidRPr="008B77C2">
        <w:rPr>
          <w:rFonts w:cs="Times New Roman"/>
          <w:lang w:val="fr-CA" w:bidi="en-US"/>
        </w:rPr>
        <w:t>épouse sans y être attendu ni y avoir été invité et, trouvant celle</w:t>
      </w:r>
      <w:r>
        <w:rPr>
          <w:rFonts w:cs="Times New Roman"/>
          <w:lang w:val="fr-CA" w:bidi="en-US"/>
        </w:rPr>
        <w:noBreakHyphen/>
      </w:r>
      <w:r w:rsidRPr="008B77C2">
        <w:rPr>
          <w:rFonts w:cs="Times New Roman"/>
          <w:lang w:val="fr-CA" w:bidi="en-US"/>
        </w:rPr>
        <w:t>ci au lit avec son amoureux, s’en était pris aux deux.  Bien que notre Cour ne se soit penchée sur la prévisibilité de l’acte de provocation allégué qu’en liaison avec l’élément subjectif du moyen de défense, son analyse comporte une dimension objective implicite.  La « personne ordinaire » qui fait irruption dans l’appartement de son ex</w:t>
      </w:r>
      <w:r>
        <w:rPr>
          <w:rFonts w:cs="Times New Roman"/>
          <w:lang w:val="fr-CA" w:bidi="en-US"/>
        </w:rPr>
        <w:noBreakHyphen/>
      </w:r>
      <w:r w:rsidRPr="008B77C2">
        <w:rPr>
          <w:rFonts w:cs="Times New Roman"/>
          <w:lang w:val="fr-CA" w:bidi="en-US"/>
        </w:rPr>
        <w:t xml:space="preserve">épouse — et dont il sait qu’elle a une </w:t>
      </w:r>
      <w:r w:rsidRPr="008B77C2">
        <w:rPr>
          <w:rFonts w:cs="Times New Roman"/>
          <w:lang w:val="fr-CA" w:bidi="en-US"/>
        </w:rPr>
        <w:lastRenderedPageBreak/>
        <w:t>liaison avec un autre homme — s’attendrait raisonnablement à découvrir celle</w:t>
      </w:r>
      <w:r>
        <w:rPr>
          <w:rFonts w:cs="Times New Roman"/>
          <w:lang w:val="fr-CA" w:bidi="en-US"/>
        </w:rPr>
        <w:noBreakHyphen/>
      </w:r>
      <w:r w:rsidR="004C41CE">
        <w:rPr>
          <w:rFonts w:cs="Times New Roman"/>
          <w:lang w:val="fr-CA" w:bidi="en-US"/>
        </w:rPr>
        <w:t>ci au lit avec son amoureux.</w:t>
      </w:r>
    </w:p>
    <w:p w:rsidR="008479ED" w:rsidRPr="008B77C2" w:rsidRDefault="008479ED" w:rsidP="008479ED">
      <w:pPr>
        <w:pStyle w:val="ParaNoNdepar-AltN"/>
        <w:rPr>
          <w:rFonts w:cs="Times New Roman"/>
          <w:lang w:val="fr-CA" w:bidi="en-US"/>
        </w:rPr>
      </w:pPr>
      <w:r w:rsidRPr="008B77C2">
        <w:rPr>
          <w:rFonts w:cs="Times New Roman"/>
          <w:lang w:val="fr-CA" w:bidi="en-US"/>
        </w:rPr>
        <w:t xml:space="preserve">Enfin, j’en arrive à l’arrêt </w:t>
      </w:r>
      <w:r w:rsidRPr="008B77C2">
        <w:rPr>
          <w:rFonts w:cs="Times New Roman"/>
          <w:i/>
          <w:lang w:val="fr-CA" w:bidi="en-US"/>
        </w:rPr>
        <w:t>Thibert</w:t>
      </w:r>
      <w:r w:rsidRPr="008B77C2">
        <w:rPr>
          <w:rFonts w:cs="Times New Roman"/>
          <w:lang w:val="fr-CA" w:bidi="en-US"/>
        </w:rPr>
        <w:t xml:space="preserve">, où les juges majoritaires de notre Cour concluent que la défense de provocation a été régulièrement soumise à l’appréciation du jury même si, selon la preuve, la conduite de l’accusé avait mené à l’action injuste ou à l’insulte invoquée à titre de provocation.  </w:t>
      </w:r>
      <w:r w:rsidRPr="008B77C2">
        <w:rPr>
          <w:rFonts w:cs="Times New Roman"/>
          <w:lang w:val="fr-CA"/>
        </w:rPr>
        <w:t>L’accusé</w:t>
      </w:r>
      <w:r w:rsidRPr="008B77C2">
        <w:rPr>
          <w:rFonts w:cs="Times New Roman"/>
          <w:lang w:val="fr-CA" w:bidi="en-US"/>
        </w:rPr>
        <w:t>, M. Thibert, atterré parce que son épouse voulait le quitter et qu’elle avait commencé à fréquenter un autre homme, s’était rendu au lieu de travail de cette dernière dans le but de la convaincre de rester avec lui.  Il avait au préalable déposé une carabine chargée dans sa voiture.  Il avait rencontré son épouse dans le stationnement adjacent à son lieu de travail.  L’amant avait interrompu leur conversation.  L</w:t>
      </w:r>
      <w:r w:rsidRPr="008B77C2">
        <w:rPr>
          <w:rFonts w:cs="Times New Roman"/>
          <w:lang w:val="fr-CA"/>
        </w:rPr>
        <w:t>’accusé</w:t>
      </w:r>
      <w:r w:rsidRPr="008B77C2">
        <w:rPr>
          <w:rFonts w:cs="Times New Roman"/>
          <w:lang w:val="fr-CA" w:bidi="en-US"/>
        </w:rPr>
        <w:t xml:space="preserve"> avait sorti la carabine de sa voiture et l’avait pointée sur lui.  La victime s’était avancée vers l’accusé, les mains posées sur les épaules de l’épouse, balançant cette dernière devant lui de droite à gauche et défiant l’accusé de le descendre.  L</w:t>
      </w:r>
      <w:r w:rsidRPr="008B77C2">
        <w:rPr>
          <w:rFonts w:cs="Times New Roman"/>
          <w:lang w:val="fr-CA"/>
        </w:rPr>
        <w:t>’accusé</w:t>
      </w:r>
      <w:r w:rsidRPr="008B77C2">
        <w:rPr>
          <w:rFonts w:cs="Times New Roman"/>
          <w:lang w:val="fr-CA" w:bidi="en-US"/>
        </w:rPr>
        <w:t xml:space="preserve"> lui avait tiré dessus.  Au procès, il a inv</w:t>
      </w:r>
      <w:r w:rsidR="00654175">
        <w:rPr>
          <w:rFonts w:cs="Times New Roman"/>
          <w:lang w:val="fr-CA" w:bidi="en-US"/>
        </w:rPr>
        <w:t>oqué la défense de provocation.</w:t>
      </w:r>
    </w:p>
    <w:p w:rsidR="008479ED" w:rsidRPr="008B77C2" w:rsidRDefault="008479ED" w:rsidP="008479ED">
      <w:pPr>
        <w:pStyle w:val="ParaNoNdepar-AltN"/>
        <w:rPr>
          <w:rFonts w:cs="Times New Roman"/>
          <w:lang w:val="fr-CA" w:bidi="en-US"/>
        </w:rPr>
      </w:pPr>
      <w:r w:rsidRPr="008B77C2">
        <w:rPr>
          <w:rFonts w:cs="Times New Roman"/>
          <w:lang w:val="fr-CA" w:bidi="en-US"/>
        </w:rPr>
        <w:t>Sous la plume du juge</w:t>
      </w:r>
      <w:r w:rsidRPr="008B77C2">
        <w:rPr>
          <w:rFonts w:cs="Times New Roman"/>
          <w:i/>
          <w:lang w:val="fr-CA" w:bidi="en-US"/>
        </w:rPr>
        <w:t xml:space="preserve"> </w:t>
      </w:r>
      <w:r w:rsidRPr="008B77C2">
        <w:rPr>
          <w:rFonts w:cs="Times New Roman"/>
          <w:lang w:val="fr-CA" w:bidi="en-US"/>
        </w:rPr>
        <w:t xml:space="preserve">Cory, les juges majoritaires statuent que le juge du procès n’a pas eu tort de soumettre la défense de provocation à l’appréciation du jury.  Ils s’attachent surtout à déterminer si </w:t>
      </w:r>
      <w:r w:rsidRPr="008B77C2">
        <w:rPr>
          <w:rFonts w:cs="Times New Roman"/>
          <w:lang w:val="fr-CA"/>
        </w:rPr>
        <w:t>l’accusé</w:t>
      </w:r>
      <w:r w:rsidRPr="008B77C2">
        <w:rPr>
          <w:rFonts w:cs="Times New Roman"/>
          <w:lang w:val="fr-CA" w:bidi="en-US"/>
        </w:rPr>
        <w:t xml:space="preserve"> aurait pu perdre subjectivement la maîtrise de soi à cause des railleries de la victime.  Ils concluent que, </w:t>
      </w:r>
      <w:r w:rsidRPr="008B77C2">
        <w:rPr>
          <w:rFonts w:cs="Times New Roman"/>
          <w:lang w:val="fr-CA"/>
        </w:rPr>
        <w:t>l’accusé</w:t>
      </w:r>
      <w:r w:rsidRPr="008B77C2">
        <w:rPr>
          <w:rFonts w:cs="Times New Roman"/>
          <w:lang w:val="fr-CA" w:bidi="en-US"/>
        </w:rPr>
        <w:t xml:space="preserve"> ne s’attendant pas à voir l’amant de son épouse lors de cette rencontre, l’affrontement avec le défunt était inattendu.  Ils statuent donc que l’élément subjectif pouvait être </w:t>
      </w:r>
      <w:r w:rsidRPr="008B77C2">
        <w:rPr>
          <w:rFonts w:cs="Times New Roman"/>
          <w:lang w:val="fr-CA" w:bidi="en-US"/>
        </w:rPr>
        <w:lastRenderedPageBreak/>
        <w:t>établi et, de ce fait, le moyen de défense avait un caractère vraisemblable (</w:t>
      </w:r>
      <w:r w:rsidRPr="008B77C2">
        <w:rPr>
          <w:rFonts w:cs="Times New Roman"/>
          <w:i/>
          <w:lang w:val="fr-CA" w:bidi="en-US"/>
        </w:rPr>
        <w:t>Thibert</w:t>
      </w:r>
      <w:r w:rsidRPr="008B77C2">
        <w:rPr>
          <w:rFonts w:cs="Times New Roman"/>
          <w:lang w:val="fr-CA" w:bidi="en-US"/>
        </w:rPr>
        <w:t xml:space="preserve">, </w:t>
      </w:r>
      <w:r>
        <w:rPr>
          <w:rFonts w:cs="Times New Roman"/>
          <w:lang w:val="fr-CA" w:bidi="en-US"/>
        </w:rPr>
        <w:t>par. </w:t>
      </w:r>
      <w:r w:rsidRPr="008B77C2">
        <w:rPr>
          <w:rFonts w:cs="Times New Roman"/>
          <w:lang w:val="fr-CA" w:bidi="en-US"/>
        </w:rPr>
        <w:t xml:space="preserve">27).  Suivant leur raisonnement, on ne peut affirmer que l’accusé avait recherché l’affrontement.  Ils font également mention de l’importance qu’une personne ordinaire qui se serait trouvée dans la situation de </w:t>
      </w:r>
      <w:r w:rsidRPr="008B77C2">
        <w:rPr>
          <w:rFonts w:cs="Times New Roman"/>
          <w:lang w:val="fr-CA"/>
        </w:rPr>
        <w:t>l’accusé</w:t>
      </w:r>
      <w:r w:rsidRPr="008B77C2">
        <w:rPr>
          <w:rFonts w:cs="Times New Roman"/>
          <w:lang w:val="fr-CA" w:bidi="en-US"/>
        </w:rPr>
        <w:t xml:space="preserve"> aurait attribuée aux railleries de la victime, mais ils ne se penchent pas sur la problématique liée à l’existence de l’élément objectif de la provocation lorsqu’elle est induite comme en l’espèce.  Ils semblent se fonder en grande partie sur le fait que, même s’il s’agit d’un cas limite, il convient de déférer à la décision du juge du procès de soumettre la défense au jury (</w:t>
      </w:r>
      <w:r>
        <w:rPr>
          <w:rFonts w:cs="Times New Roman"/>
          <w:lang w:val="fr-CA" w:bidi="en-US"/>
        </w:rPr>
        <w:t>par. </w:t>
      </w:r>
      <w:r w:rsidRPr="008B77C2">
        <w:rPr>
          <w:rFonts w:cs="Times New Roman"/>
          <w:lang w:val="fr-CA" w:bidi="en-US"/>
        </w:rPr>
        <w:t xml:space="preserve">33).  L’affaire </w:t>
      </w:r>
      <w:r w:rsidRPr="008B77C2">
        <w:rPr>
          <w:rFonts w:cs="Times New Roman"/>
          <w:i/>
          <w:lang w:val="fr-CA" w:bidi="en-US"/>
        </w:rPr>
        <w:t>Thibert</w:t>
      </w:r>
      <w:r w:rsidRPr="008B77C2">
        <w:rPr>
          <w:rFonts w:cs="Times New Roman"/>
          <w:lang w:val="fr-CA" w:bidi="en-US"/>
        </w:rPr>
        <w:t xml:space="preserve"> peut être distinguée de la présente espèce, où M. Cairney, armé d’un fusil, a recherché l’affrontement avec M. Ferguson.</w:t>
      </w:r>
    </w:p>
    <w:p w:rsidR="008479ED" w:rsidRPr="008B77C2" w:rsidRDefault="008479ED" w:rsidP="008479ED">
      <w:pPr>
        <w:pStyle w:val="ParaNoNdepar-AltN"/>
        <w:rPr>
          <w:rFonts w:cs="Times New Roman"/>
          <w:lang w:val="fr-CA" w:bidi="en-US"/>
        </w:rPr>
      </w:pPr>
      <w:r w:rsidRPr="008B77C2">
        <w:rPr>
          <w:rFonts w:cs="Times New Roman"/>
          <w:lang w:val="fr-CA" w:bidi="en-US"/>
        </w:rPr>
        <w:t>Considérée dans son ensemble, la jurisprudence permet de conclure que l’existence d’une provocation induite par l’accusé peut être pertinente pour les volets objectif et subjectif du moyen de défense.  La provocation induite ne correspond pas à une catégorie particulière du moyen de défense qui ferait intervenir des principes spéciaux.  Elle commande plutôt une application particulière des principes généraux qui régissent la défense de provocation.  Aucune règle absolue ne veut que la personne qui déclenche un affrontement ne puisse invoquer ce moyen de défense.  Comme chaque fois qu’elle est invoquée, la provocation doit être vraisemblable au vu de la preuve pour être soumise au jury.  Cependant, le fait que l’accusé a recherché un affrontement violent et suscité une réaction prévisible peut enlever toute vraisemblance au moyen de défense.</w:t>
      </w:r>
    </w:p>
    <w:p w:rsidR="008479ED" w:rsidRPr="008B77C2" w:rsidRDefault="008479ED" w:rsidP="00654175">
      <w:pPr>
        <w:pStyle w:val="TitleTitre-AltT"/>
        <w:tabs>
          <w:tab w:val="clear" w:pos="360"/>
          <w:tab w:val="left" w:pos="426"/>
        </w:tabs>
        <w:ind w:left="426" w:hanging="426"/>
        <w:rPr>
          <w:rFonts w:cs="Times New Roman"/>
          <w:lang w:val="fr-CA"/>
        </w:rPr>
      </w:pPr>
      <w:r w:rsidRPr="008B77C2">
        <w:rPr>
          <w:rFonts w:cs="Times New Roman"/>
          <w:lang w:val="fr-CA"/>
        </w:rPr>
        <w:lastRenderedPageBreak/>
        <w:t>III.</w:t>
      </w:r>
      <w:r w:rsidRPr="008B77C2">
        <w:rPr>
          <w:rFonts w:cs="Times New Roman"/>
          <w:lang w:val="fr-CA"/>
        </w:rPr>
        <w:tab/>
      </w:r>
      <w:r w:rsidRPr="008B77C2">
        <w:rPr>
          <w:rFonts w:cs="Times New Roman"/>
          <w:u w:val="single"/>
          <w:lang w:val="fr-CA"/>
        </w:rPr>
        <w:t>Application</w:t>
      </w:r>
    </w:p>
    <w:p w:rsidR="008479ED" w:rsidRPr="008B77C2" w:rsidRDefault="008479ED" w:rsidP="008479ED">
      <w:pPr>
        <w:pStyle w:val="ParaNoNdepar-AltN"/>
        <w:rPr>
          <w:rFonts w:cs="Times New Roman"/>
          <w:lang w:val="fr-CA"/>
        </w:rPr>
      </w:pPr>
      <w:r w:rsidRPr="008B77C2">
        <w:rPr>
          <w:rFonts w:cs="Times New Roman"/>
          <w:lang w:val="fr-CA"/>
        </w:rPr>
        <w:t>Dès lors, au vu de la preuve, la provocation invoquée en défense par M. Cairney était</w:t>
      </w:r>
      <w:r>
        <w:rPr>
          <w:rFonts w:cs="Times New Roman"/>
          <w:lang w:val="fr-CA"/>
        </w:rPr>
        <w:noBreakHyphen/>
      </w:r>
      <w:r w:rsidRPr="008B77C2">
        <w:rPr>
          <w:rFonts w:cs="Times New Roman"/>
          <w:lang w:val="fr-CA"/>
        </w:rPr>
        <w:t xml:space="preserve">elle vraisemblable?  La juge du procès a soumis la question au jury, même si elle paraît appliquer un critère fondé sur l’existence de « quelque preuve » plutôt que </w:t>
      </w:r>
      <w:r w:rsidR="00621B77">
        <w:rPr>
          <w:rFonts w:cs="Times New Roman"/>
          <w:lang w:val="fr-CA"/>
        </w:rPr>
        <w:t xml:space="preserve">sur </w:t>
      </w:r>
      <w:r w:rsidRPr="008B77C2">
        <w:rPr>
          <w:rFonts w:cs="Times New Roman"/>
          <w:lang w:val="fr-CA"/>
        </w:rPr>
        <w:t>celui de la vraisemblance.  La Cour d’appel n’est pas de cet avis et estime qu’il ne pouvait y avoir de doute raisonnable quant à l’existence de l’élément objectif ou subjectif de la défense de provocation.</w:t>
      </w:r>
    </w:p>
    <w:p w:rsidR="008479ED" w:rsidRPr="008B77C2" w:rsidRDefault="008479ED" w:rsidP="008479ED">
      <w:pPr>
        <w:pStyle w:val="ParaNoNdepar-AltN"/>
        <w:rPr>
          <w:rFonts w:cs="Times New Roman"/>
          <w:lang w:val="fr-CA" w:bidi="en-US"/>
        </w:rPr>
      </w:pPr>
      <w:r w:rsidRPr="008B77C2">
        <w:rPr>
          <w:rFonts w:cs="Times New Roman"/>
          <w:lang w:val="fr-CA" w:bidi="en-US"/>
        </w:rPr>
        <w:t>J’estime que l’issue du pourvoi repose sur l’élément objectif du critère,</w:t>
      </w:r>
      <w:r w:rsidRPr="008B77C2">
        <w:rPr>
          <w:rFonts w:cs="Times New Roman"/>
          <w:lang w:val="fr-CA"/>
        </w:rPr>
        <w:t xml:space="preserve"> à savoir si la victime a accompli une action injuste ou proféré une insulte de telle nature qu’elle </w:t>
      </w:r>
      <w:r w:rsidRPr="008B77C2">
        <w:rPr>
          <w:rFonts w:cs="Times New Roman"/>
          <w:i/>
          <w:lang w:val="fr-CA"/>
        </w:rPr>
        <w:t>suffise à priver une personne ordinaire du pouvoir de se maîtriser</w:t>
      </w:r>
      <w:r w:rsidR="00654175">
        <w:rPr>
          <w:rFonts w:cs="Times New Roman"/>
          <w:lang w:val="fr-CA"/>
        </w:rPr>
        <w:t>.</w:t>
      </w:r>
    </w:p>
    <w:p w:rsidR="008479ED" w:rsidRPr="008B77C2" w:rsidRDefault="008479ED" w:rsidP="008479ED">
      <w:pPr>
        <w:pStyle w:val="ParaNoNdepar-AltN"/>
        <w:rPr>
          <w:rFonts w:cs="Times New Roman"/>
          <w:lang w:val="fr-CA" w:bidi="en-US"/>
        </w:rPr>
      </w:pPr>
      <w:r w:rsidRPr="008B77C2">
        <w:rPr>
          <w:rFonts w:cs="Times New Roman"/>
          <w:lang w:val="fr-CA"/>
        </w:rPr>
        <w:t>L’action injuste ou l’insulte résiderait dans les propos adressés par le défunt à M. Cairney lorsque ce dernier l’a affronté à la pointe du fusil</w:t>
      </w:r>
      <w:r>
        <w:rPr>
          <w:rFonts w:cs="Times New Roman"/>
          <w:lang w:val="fr-CA"/>
        </w:rPr>
        <w:t> :</w:t>
      </w:r>
      <w:r w:rsidRPr="008B77C2">
        <w:rPr>
          <w:rFonts w:cs="Times New Roman"/>
          <w:lang w:val="fr-CA"/>
        </w:rPr>
        <w:t xml:space="preserve"> [</w:t>
      </w:r>
      <w:r w:rsidRPr="008B77C2">
        <w:rPr>
          <w:rFonts w:cs="Times New Roman"/>
          <w:smallCaps/>
          <w:lang w:val="fr-CA"/>
        </w:rPr>
        <w:t>traduction</w:t>
      </w:r>
      <w:r w:rsidRPr="008B77C2">
        <w:rPr>
          <w:rFonts w:cs="Times New Roman"/>
          <w:lang w:val="fr-CA"/>
        </w:rPr>
        <w:t>] « Va te faire foutre, épais.  Ça te regarde pas.  Je vais faire ce que je veux avec Fran. »</w:t>
      </w:r>
    </w:p>
    <w:p w:rsidR="008479ED" w:rsidRPr="008B77C2" w:rsidRDefault="008479ED" w:rsidP="008479ED">
      <w:pPr>
        <w:pStyle w:val="ParaNoNdepar-AltN"/>
        <w:rPr>
          <w:rFonts w:cs="Times New Roman"/>
          <w:lang w:val="fr-CA" w:bidi="en-US"/>
        </w:rPr>
      </w:pPr>
      <w:r w:rsidRPr="008B77C2">
        <w:rPr>
          <w:rFonts w:cs="Times New Roman"/>
          <w:lang w:val="fr-CA"/>
        </w:rPr>
        <w:t>M. Cairney prétend que ces propos constituaient une menace de violence conjugale imminente qui aurait suffi à faire perdre la maîtrise de soi à une personne ordinaire.  Or, le dossier n’étaye pas sa prétention.  M. </w:t>
      </w:r>
      <w:r w:rsidRPr="008B77C2">
        <w:rPr>
          <w:rFonts w:cs="Times New Roman"/>
          <w:lang w:val="fr-CA" w:bidi="en-US"/>
        </w:rPr>
        <w:t>Ferguson parlait au téléphone lorsque M. Cairney s’était approché.  Il ne se comportait plus de manière agressive envers M</w:t>
      </w:r>
      <w:r w:rsidRPr="008B77C2">
        <w:rPr>
          <w:rFonts w:cs="Times New Roman"/>
          <w:vertAlign w:val="superscript"/>
          <w:lang w:val="fr-CA" w:bidi="en-US"/>
        </w:rPr>
        <w:t>me </w:t>
      </w:r>
      <w:r w:rsidRPr="008B77C2">
        <w:rPr>
          <w:rFonts w:cs="Times New Roman"/>
          <w:lang w:val="fr-CA" w:bidi="en-US"/>
        </w:rPr>
        <w:t xml:space="preserve">Rosenthal, sa colère à son endroit étant retombée.  Qui plus est, M. Ferguson se dirigeait vers la sortie de l’appartement lorsqu’il a tenu ces propos.  </w:t>
      </w:r>
      <w:r w:rsidRPr="008B77C2">
        <w:rPr>
          <w:rFonts w:cs="Times New Roman"/>
          <w:lang w:val="fr-CA" w:bidi="en-US"/>
        </w:rPr>
        <w:lastRenderedPageBreak/>
        <w:t>Comme le conclut la Cour d’appel, le dossier n’étaye tout simplement pas la prétention selon laquelle une personne ordinaire aurait vu dans les paroles de la victime une menace de violence conjugale imminente à l’endroit de M</w:t>
      </w:r>
      <w:r w:rsidRPr="008B77C2">
        <w:rPr>
          <w:rFonts w:cs="Times New Roman"/>
          <w:vertAlign w:val="superscript"/>
          <w:lang w:val="fr-CA" w:bidi="en-US"/>
        </w:rPr>
        <w:t>me</w:t>
      </w:r>
      <w:r w:rsidRPr="008B77C2">
        <w:rPr>
          <w:rFonts w:cs="Times New Roman"/>
          <w:lang w:val="fr-CA" w:bidi="en-US"/>
        </w:rPr>
        <w:t> Rosenthal, ce qui l’aurait amené à perdre sa maîtrise de soi.</w:t>
      </w:r>
    </w:p>
    <w:p w:rsidR="008479ED" w:rsidRPr="008B77C2" w:rsidRDefault="008479ED" w:rsidP="008479ED">
      <w:pPr>
        <w:pStyle w:val="ParaNoNdepar-AltN"/>
        <w:rPr>
          <w:rFonts w:cs="Times New Roman"/>
          <w:lang w:val="fr-CA" w:bidi="en-US"/>
        </w:rPr>
      </w:pPr>
      <w:r w:rsidRPr="008B77C2">
        <w:rPr>
          <w:rFonts w:cs="Times New Roman"/>
          <w:lang w:val="fr-CA" w:bidi="en-US"/>
        </w:rPr>
        <w:t>Restent donc le souci de M. Cairney d’empêcher la perpétration ultérieure d’autres actes de violence à l’endroit de M</w:t>
      </w:r>
      <w:r w:rsidRPr="008B77C2">
        <w:rPr>
          <w:rFonts w:cs="Times New Roman"/>
          <w:vertAlign w:val="superscript"/>
          <w:lang w:val="fr-CA" w:bidi="en-US"/>
        </w:rPr>
        <w:t>me </w:t>
      </w:r>
      <w:r w:rsidRPr="008B77C2">
        <w:rPr>
          <w:rFonts w:cs="Times New Roman"/>
          <w:lang w:val="fr-CA" w:bidi="en-US"/>
        </w:rPr>
        <w:t xml:space="preserve">Rosenthal et son intention déclarée d’y parvenir en arrachant à M. Ferguson, à la pointe du fusil, la promesse de ne plus agresser son épouse.  Une personne ordinaire qui chercherait à arracher une promesse à la pointe du fusil ne serait pas étonnée de voir son interlocuteur repousser sa demande en tenant des propos semblables à ceux de la victime en l’espèce.  La réaction de M. Ferguson faisait partie de celles qui étaient prévisibles.  Aucune preuve au dossier ne permet de conclure à un choc soudain de nature à faire perdre sa maîtrise de soi à une personne ordinaire.  Par conséquent, un jury </w:t>
      </w:r>
      <w:r w:rsidRPr="008B77C2">
        <w:rPr>
          <w:rFonts w:cs="Times New Roman"/>
          <w:lang w:val="fr-CA"/>
        </w:rPr>
        <w:t>ayant reçu des directives appropriées et agissant de manière raisonnable n’aurait pu avoir de doute raisonnable quant à savoir si la conduite de M. </w:t>
      </w:r>
      <w:r w:rsidRPr="008B77C2">
        <w:rPr>
          <w:rFonts w:cs="Times New Roman"/>
          <w:lang w:val="fr-CA" w:bidi="en-US"/>
        </w:rPr>
        <w:t>Ferguson aurait suffi à priver une personne ordina</w:t>
      </w:r>
      <w:r w:rsidR="00654175">
        <w:rPr>
          <w:rFonts w:cs="Times New Roman"/>
          <w:lang w:val="fr-CA" w:bidi="en-US"/>
        </w:rPr>
        <w:t>ire du pouvoir de se maîtriser.</w:t>
      </w:r>
    </w:p>
    <w:p w:rsidR="008479ED" w:rsidRPr="008B77C2" w:rsidRDefault="008479ED" w:rsidP="008479ED">
      <w:pPr>
        <w:pStyle w:val="ParaNoNdepar-AltN"/>
        <w:rPr>
          <w:rFonts w:cs="Times New Roman"/>
          <w:lang w:val="fr-CA"/>
        </w:rPr>
      </w:pPr>
      <w:r w:rsidRPr="008B77C2">
        <w:rPr>
          <w:rFonts w:cs="Times New Roman"/>
          <w:lang w:val="fr-CA"/>
        </w:rPr>
        <w:t>Une preuve, tirée du témoignage de M. Cairney, suffisait à étayer l’élément subjectif, à savoir qu’il avait en fait réagi à la provocation avant d’avoir eu le temps de reprendre son sang</w:t>
      </w:r>
      <w:r>
        <w:rPr>
          <w:rFonts w:cs="Times New Roman"/>
          <w:lang w:val="fr-CA"/>
        </w:rPr>
        <w:noBreakHyphen/>
      </w:r>
      <w:r w:rsidRPr="008B77C2">
        <w:rPr>
          <w:rFonts w:cs="Times New Roman"/>
          <w:lang w:val="fr-CA"/>
        </w:rPr>
        <w:t>froid.  La Cour d’appel examine minutieusement la preuve en s’attachant au bien</w:t>
      </w:r>
      <w:r>
        <w:rPr>
          <w:rFonts w:cs="Times New Roman"/>
          <w:lang w:val="fr-CA"/>
        </w:rPr>
        <w:noBreakHyphen/>
      </w:r>
      <w:r w:rsidRPr="008B77C2">
        <w:rPr>
          <w:rFonts w:cs="Times New Roman"/>
          <w:lang w:val="fr-CA"/>
        </w:rPr>
        <w:t>fondé de la défense invoquée et se demande si M. Cairney a pu reprendre son sang</w:t>
      </w:r>
      <w:r>
        <w:rPr>
          <w:rFonts w:cs="Times New Roman"/>
          <w:lang w:val="fr-CA"/>
        </w:rPr>
        <w:noBreakHyphen/>
      </w:r>
      <w:r w:rsidRPr="008B77C2">
        <w:rPr>
          <w:rFonts w:cs="Times New Roman"/>
          <w:lang w:val="fr-CA"/>
        </w:rPr>
        <w:t xml:space="preserve">froid le temps de rejoindre M. Ferguson dans </w:t>
      </w:r>
      <w:r w:rsidRPr="008B77C2">
        <w:rPr>
          <w:rFonts w:cs="Times New Roman"/>
          <w:lang w:val="fr-CA"/>
        </w:rPr>
        <w:lastRenderedPageBreak/>
        <w:t>l’escalier de l’immeuble.  Elle est bien loin de s’en tenir à l’application du critère de la vraisemblance, qui exige seulement un fondement probant qui permette à un jury ayant reçu des directives appropriées et agissant judiciairement d’avoir un doute raisonnable, fondé sur la défense de provocation, quant à savoir si l’accusé est coupable de meurtre.  Or, l’erreur de la Cour d’appel dans l’appréciation de l’élément subjectif ne change rien à l’issue du pourvoi, car la provocation objective n’a aucune vraisemblance.</w:t>
      </w:r>
    </w:p>
    <w:p w:rsidR="008479ED" w:rsidRPr="008B77C2" w:rsidRDefault="008479ED" w:rsidP="008479ED">
      <w:pPr>
        <w:pStyle w:val="ParaNoNdepar-AltN"/>
        <w:rPr>
          <w:rFonts w:cs="Times New Roman"/>
          <w:lang w:val="fr-CA"/>
        </w:rPr>
      </w:pPr>
      <w:r w:rsidRPr="008B77C2">
        <w:rPr>
          <w:rFonts w:cs="Times New Roman"/>
          <w:lang w:val="fr-CA"/>
        </w:rPr>
        <w:t>En l’espèce, il ne convient pas de déférer à la décision de la juge du procès, car cette dernière ne semble pas appliquer le bon critère pour décider de soumettre ou non la défense de provocation au jury.</w:t>
      </w:r>
    </w:p>
    <w:p w:rsidR="008479ED" w:rsidRPr="008B77C2" w:rsidRDefault="008479ED" w:rsidP="008479ED">
      <w:pPr>
        <w:pStyle w:val="ParaNoNdepar-AltN"/>
        <w:rPr>
          <w:rFonts w:cs="Times New Roman"/>
          <w:lang w:val="fr-CA"/>
        </w:rPr>
      </w:pPr>
      <w:r w:rsidRPr="008B77C2">
        <w:rPr>
          <w:rFonts w:cs="Times New Roman"/>
          <w:lang w:val="fr-CA"/>
        </w:rPr>
        <w:t>J’ajoute ce qui suit dans l’optique des considérations d’intérêt public qui doivent guider la Cour dans une telle affaire.  Il convient de décourager les affrontements violents tel le sermon à la pointe du fusil qui a entraîné la mort de M. Ferguson.  Un comportement de ce genre joue généralement un rôle lorsqu’il s’agit de déterminer si la provocation invoquée en défense satisfait au critère de la vraisemblance, particulièrement en ce qui concerne son caractère objectif.  Le droit ne tolère pas le sermon à la pointe du fusil, peu importe la raison pour laquelle l’accusé recourt à une arme.</w:t>
      </w:r>
    </w:p>
    <w:p w:rsidR="008479ED" w:rsidRPr="00A52120" w:rsidRDefault="008479ED" w:rsidP="008479ED">
      <w:pPr>
        <w:pStyle w:val="ParaNoNdepar-AltN"/>
        <w:rPr>
          <w:rFonts w:cs="Times New Roman"/>
          <w:u w:val="single"/>
          <w:lang w:val="fr-CA"/>
        </w:rPr>
      </w:pPr>
      <w:r w:rsidRPr="008B77C2">
        <w:rPr>
          <w:rFonts w:cs="Times New Roman"/>
          <w:lang w:val="fr-CA"/>
        </w:rPr>
        <w:t>Par conséquent, je suis d’avis de rejeter le pourvoi et de confirmer le jugement ordonnant un nouveau procès.</w:t>
      </w:r>
    </w:p>
    <w:p w:rsidR="00A52120" w:rsidRPr="00A52120" w:rsidRDefault="00A52120" w:rsidP="00A52120">
      <w:pPr>
        <w:pStyle w:val="SCCNormalDoubleSpacing"/>
        <w:spacing w:after="480"/>
        <w:rPr>
          <w:lang w:val="fr-CA"/>
        </w:rPr>
      </w:pPr>
      <w:r>
        <w:rPr>
          <w:lang w:val="fr-CA"/>
        </w:rPr>
        <w:lastRenderedPageBreak/>
        <w:tab/>
        <w:t>Version française des motifs des juges Fish et Abella rendus par</w:t>
      </w:r>
    </w:p>
    <w:p w:rsidR="008479ED" w:rsidRPr="004827F5" w:rsidRDefault="00654175" w:rsidP="008479ED">
      <w:pPr>
        <w:pStyle w:val="ParaNoNdepar-AltN"/>
        <w:rPr>
          <w:rFonts w:cs="Times New Roman"/>
          <w:lang w:val="fr-CA"/>
        </w:rPr>
      </w:pPr>
      <w:r>
        <w:rPr>
          <w:rFonts w:cs="Times New Roman"/>
          <w:smallCaps/>
          <w:lang w:val="fr-CA"/>
        </w:rPr>
        <w:t xml:space="preserve">La juge Abella </w:t>
      </w:r>
      <w:r>
        <w:rPr>
          <w:rFonts w:cs="Times New Roman"/>
          <w:lang w:val="fr-CA"/>
        </w:rPr>
        <w:t xml:space="preserve">(dissidente) — </w:t>
      </w:r>
      <w:r w:rsidR="008479ED" w:rsidRPr="004827F5">
        <w:rPr>
          <w:rFonts w:cs="Times New Roman"/>
          <w:lang w:val="fr-CA"/>
        </w:rPr>
        <w:t>J’ai pris connaissance des motifs de la Juge en chef et je conviens que des éléments de preuve étayaient l’élément subjectif de la provocation.  Soit dit en tout respect, je ne puis toutefois souscrire à ses conclusions sur l’élément objectif de ce moyen de défense.  J’estime que la juge du procès n’a pas eu tort de soumettre la défense de provocation à l’appréciation du jury.</w:t>
      </w:r>
    </w:p>
    <w:p w:rsidR="008479ED" w:rsidRPr="004827F5" w:rsidRDefault="008479ED" w:rsidP="008479ED">
      <w:pPr>
        <w:pStyle w:val="ParaNoNdepar-AltN"/>
        <w:rPr>
          <w:rFonts w:cs="Times New Roman"/>
          <w:lang w:val="fr-CA"/>
        </w:rPr>
      </w:pPr>
      <w:r w:rsidRPr="004827F5">
        <w:rPr>
          <w:rFonts w:cs="Times New Roman"/>
          <w:lang w:val="fr-CA"/>
        </w:rPr>
        <w:t xml:space="preserve">Il appartient au juge du procès appelé à déterminer quels moyens de défense seront soumis à l’appréciation du jury de tenir lieu de gardien de la loi et d’« examiner la preuve [en vue de] décider si elle permettrait à un jury ayant reçu des directives appropriées et agissant raisonnablement de prononcer l’acquittement, </w:t>
      </w:r>
      <w:r w:rsidRPr="00A52120">
        <w:rPr>
          <w:rFonts w:cs="Times New Roman"/>
          <w:i/>
          <w:lang w:val="fr-CA"/>
        </w:rPr>
        <w:t>s’il y ajoutait foi</w:t>
      </w:r>
      <w:r w:rsidRPr="004827F5">
        <w:rPr>
          <w:rFonts w:cs="Times New Roman"/>
          <w:lang w:val="fr-CA"/>
        </w:rPr>
        <w:t> » (</w:t>
      </w:r>
      <w:r w:rsidRPr="004827F5">
        <w:rPr>
          <w:rFonts w:cs="Times New Roman"/>
          <w:i/>
          <w:lang w:val="fr-CA"/>
        </w:rPr>
        <w:t>R. c. Cinous</w:t>
      </w:r>
      <w:r w:rsidRPr="004827F5">
        <w:rPr>
          <w:rFonts w:cs="Times New Roman"/>
          <w:lang w:val="fr-CA"/>
        </w:rPr>
        <w:t xml:space="preserve">, 2002 CSC 29, [2002] 2 R.C.S. 3, </w:t>
      </w:r>
      <w:r>
        <w:rPr>
          <w:rFonts w:cs="Times New Roman"/>
          <w:lang w:val="fr-CA"/>
        </w:rPr>
        <w:t>par. </w:t>
      </w:r>
      <w:r w:rsidRPr="004827F5">
        <w:rPr>
          <w:rFonts w:cs="Times New Roman"/>
          <w:lang w:val="fr-CA"/>
        </w:rPr>
        <w:t xml:space="preserve">87 </w:t>
      </w:r>
      <w:r w:rsidR="00A52120">
        <w:rPr>
          <w:rFonts w:cs="Times New Roman"/>
          <w:lang w:val="fr-CA"/>
        </w:rPr>
        <w:t>(</w:t>
      </w:r>
      <w:r w:rsidR="004942B5">
        <w:rPr>
          <w:rFonts w:cs="Times New Roman"/>
          <w:lang w:val="fr-CA"/>
        </w:rPr>
        <w:t>en italique</w:t>
      </w:r>
      <w:r w:rsidRPr="004827F5">
        <w:rPr>
          <w:rFonts w:cs="Times New Roman"/>
          <w:lang w:val="fr-CA"/>
        </w:rPr>
        <w:t xml:space="preserve"> dans l’original)</w:t>
      </w:r>
      <w:r w:rsidR="00A52120">
        <w:rPr>
          <w:rFonts w:cs="Times New Roman"/>
          <w:lang w:val="fr-CA"/>
        </w:rPr>
        <w:t>)</w:t>
      </w:r>
      <w:r w:rsidRPr="004827F5">
        <w:rPr>
          <w:rFonts w:cs="Times New Roman"/>
          <w:lang w:val="fr-CA"/>
        </w:rPr>
        <w:t>.  À ce stade préliminaire, le juge du procès « n’a pas à statuer sur le bien</w:t>
      </w:r>
      <w:r>
        <w:rPr>
          <w:rFonts w:cs="Times New Roman"/>
          <w:lang w:val="fr-CA"/>
        </w:rPr>
        <w:noBreakHyphen/>
      </w:r>
      <w:r w:rsidRPr="004827F5">
        <w:rPr>
          <w:rFonts w:cs="Times New Roman"/>
          <w:lang w:val="fr-CA"/>
        </w:rPr>
        <w:t>fondé du moyen de défense invoqué », non plus qu’à se prononcer sur la crédibilité, à apprécier la valeur probante, à tirer des conclusions de fait ou à faire des inférences de fait précises (</w:t>
      </w:r>
      <w:r w:rsidRPr="004827F5">
        <w:rPr>
          <w:rFonts w:cs="Times New Roman"/>
          <w:i/>
          <w:lang w:val="fr-CA"/>
        </w:rPr>
        <w:t>Cinous</w:t>
      </w:r>
      <w:r w:rsidRPr="004827F5">
        <w:rPr>
          <w:rFonts w:cs="Times New Roman"/>
          <w:lang w:val="fr-CA"/>
        </w:rPr>
        <w:t xml:space="preserve">, </w:t>
      </w:r>
      <w:r>
        <w:rPr>
          <w:rFonts w:cs="Times New Roman"/>
          <w:lang w:val="fr-CA"/>
        </w:rPr>
        <w:t>par. </w:t>
      </w:r>
      <w:r w:rsidRPr="004827F5">
        <w:rPr>
          <w:rFonts w:cs="Times New Roman"/>
          <w:lang w:val="fr-CA"/>
        </w:rPr>
        <w:t>54 et 87).</w:t>
      </w:r>
    </w:p>
    <w:p w:rsidR="008479ED" w:rsidRPr="004827F5" w:rsidRDefault="008479ED" w:rsidP="008479ED">
      <w:pPr>
        <w:pStyle w:val="ParaNoNdepar-AltN"/>
        <w:rPr>
          <w:rFonts w:cs="Times New Roman"/>
          <w:lang w:val="fr-CA"/>
        </w:rPr>
      </w:pPr>
      <w:r w:rsidRPr="004827F5">
        <w:rPr>
          <w:rFonts w:cs="Times New Roman"/>
          <w:lang w:val="fr-CA"/>
        </w:rPr>
        <w:t>Dans le cas d’un moyen de défense comme celui de la provocation, le juge du procès doit examiner si la preuve est raisonnablement susceptible d’étayer les inférences nécessaires à son application (</w:t>
      </w:r>
      <w:r w:rsidRPr="004827F5">
        <w:rPr>
          <w:rFonts w:cs="Times New Roman"/>
          <w:i/>
          <w:lang w:val="fr-CA"/>
        </w:rPr>
        <w:t>R. c. Tran</w:t>
      </w:r>
      <w:r w:rsidRPr="004827F5">
        <w:rPr>
          <w:rFonts w:cs="Times New Roman"/>
          <w:lang w:val="fr-CA"/>
        </w:rPr>
        <w:t xml:space="preserve">, 2010 CSC 58, [2010] 3 R.C.S. 350, </w:t>
      </w:r>
      <w:r>
        <w:rPr>
          <w:rFonts w:cs="Times New Roman"/>
          <w:lang w:val="fr-CA"/>
        </w:rPr>
        <w:t>par. </w:t>
      </w:r>
      <w:r w:rsidRPr="004827F5">
        <w:rPr>
          <w:rFonts w:cs="Times New Roman"/>
          <w:lang w:val="fr-CA"/>
        </w:rPr>
        <w:t xml:space="preserve">41).  Le juge qui se livre à cette « évaluation limitée [. . .] ne fait pas d’inférences de fait précises, mais [. . .] arrive plutôt à une conclusion concernant les inférences de fait qui pourraient raisonnablement être faites au vu de la preuve » </w:t>
      </w:r>
      <w:r w:rsidRPr="004827F5">
        <w:rPr>
          <w:rFonts w:cs="Times New Roman"/>
          <w:lang w:val="fr-CA"/>
        </w:rPr>
        <w:lastRenderedPageBreak/>
        <w:t>(</w:t>
      </w:r>
      <w:r w:rsidRPr="004827F5">
        <w:rPr>
          <w:rFonts w:cs="Times New Roman"/>
          <w:i/>
          <w:lang w:val="fr-CA"/>
        </w:rPr>
        <w:t>Cinous</w:t>
      </w:r>
      <w:r w:rsidRPr="004827F5">
        <w:rPr>
          <w:rFonts w:cs="Times New Roman"/>
          <w:lang w:val="fr-CA"/>
        </w:rPr>
        <w:t xml:space="preserve">, </w:t>
      </w:r>
      <w:r>
        <w:rPr>
          <w:rFonts w:cs="Times New Roman"/>
          <w:lang w:val="fr-CA"/>
        </w:rPr>
        <w:t>par. </w:t>
      </w:r>
      <w:r w:rsidRPr="004827F5">
        <w:rPr>
          <w:rFonts w:cs="Times New Roman"/>
          <w:lang w:val="fr-CA"/>
        </w:rPr>
        <w:t xml:space="preserve">91; </w:t>
      </w:r>
      <w:r w:rsidR="00554529">
        <w:rPr>
          <w:rFonts w:cs="Times New Roman"/>
          <w:lang w:val="fr-CA"/>
        </w:rPr>
        <w:t xml:space="preserve">voir aussi </w:t>
      </w:r>
      <w:r w:rsidRPr="004827F5">
        <w:rPr>
          <w:rFonts w:cs="Times New Roman"/>
          <w:i/>
          <w:lang w:val="fr-CA"/>
        </w:rPr>
        <w:t>R. c. Mayuran</w:t>
      </w:r>
      <w:r w:rsidRPr="004827F5">
        <w:rPr>
          <w:rFonts w:cs="Times New Roman"/>
          <w:lang w:val="fr-CA"/>
        </w:rPr>
        <w:t xml:space="preserve">, 2012 CSC 31, [2012] 2. R.C.S. 162, </w:t>
      </w:r>
      <w:r>
        <w:rPr>
          <w:rFonts w:cs="Times New Roman"/>
          <w:lang w:val="fr-CA"/>
        </w:rPr>
        <w:t>par. </w:t>
      </w:r>
      <w:r w:rsidRPr="004827F5">
        <w:rPr>
          <w:rFonts w:cs="Times New Roman"/>
          <w:lang w:val="fr-CA"/>
        </w:rPr>
        <w:t>21).</w:t>
      </w:r>
    </w:p>
    <w:p w:rsidR="008479ED" w:rsidRPr="004827F5" w:rsidRDefault="008479ED" w:rsidP="008479ED">
      <w:pPr>
        <w:pStyle w:val="ParaNoNdepar-AltN"/>
        <w:rPr>
          <w:rFonts w:cs="Times New Roman"/>
          <w:lang w:val="fr-CA"/>
        </w:rPr>
      </w:pPr>
      <w:r w:rsidRPr="004827F5">
        <w:rPr>
          <w:rFonts w:cs="Times New Roman"/>
          <w:lang w:val="fr-CA"/>
        </w:rPr>
        <w:t>En ce qui a trait à l’élément objectif de la provocation, le juge doit se demander si la preuve pourrait soulever un doute raisonnable quant à savoir si l’accusé a été aux prises avec une action injuste ou une insulte suffisante pour priver une personne ordinaire du pouvoir de se maîtriser (</w:t>
      </w:r>
      <w:r w:rsidRPr="004827F5">
        <w:rPr>
          <w:rFonts w:cs="Times New Roman"/>
          <w:i/>
          <w:lang w:val="fr-CA"/>
        </w:rPr>
        <w:t>Tran</w:t>
      </w:r>
      <w:r w:rsidRPr="004827F5">
        <w:rPr>
          <w:rFonts w:cs="Times New Roman"/>
          <w:lang w:val="fr-CA"/>
        </w:rPr>
        <w:t xml:space="preserve">, </w:t>
      </w:r>
      <w:r>
        <w:rPr>
          <w:rFonts w:cs="Times New Roman"/>
          <w:lang w:val="fr-CA"/>
        </w:rPr>
        <w:t>par. </w:t>
      </w:r>
      <w:r w:rsidRPr="004827F5">
        <w:rPr>
          <w:rFonts w:cs="Times New Roman"/>
          <w:lang w:val="fr-CA"/>
        </w:rPr>
        <w:t>25).  Pour déterminer comment une personne « ordinaire » réagirait à une insulte en particulier, il faut tenir compte des circonstances et du contexte en cause, mais sans aller jusqu’à retenir des caractéristiques propres au tempérament de l’accusé qui iraient à l’encontre de l’objet d’une norme objective (</w:t>
      </w:r>
      <w:r w:rsidRPr="004827F5">
        <w:rPr>
          <w:rFonts w:cs="Times New Roman"/>
          <w:i/>
          <w:lang w:val="fr-CA"/>
        </w:rPr>
        <w:t>Tran</w:t>
      </w:r>
      <w:r w:rsidRPr="004827F5">
        <w:rPr>
          <w:rFonts w:cs="Times New Roman"/>
          <w:lang w:val="fr-CA"/>
        </w:rPr>
        <w:t xml:space="preserve">, </w:t>
      </w:r>
      <w:r>
        <w:rPr>
          <w:rFonts w:cs="Times New Roman"/>
          <w:lang w:val="fr-CA"/>
        </w:rPr>
        <w:t>par. </w:t>
      </w:r>
      <w:r w:rsidRPr="004827F5">
        <w:rPr>
          <w:rFonts w:cs="Times New Roman"/>
          <w:lang w:val="fr-CA"/>
        </w:rPr>
        <w:t>31</w:t>
      </w:r>
      <w:r>
        <w:rPr>
          <w:rFonts w:cs="Times New Roman"/>
          <w:lang w:val="fr-CA"/>
        </w:rPr>
        <w:noBreakHyphen/>
      </w:r>
      <w:r w:rsidRPr="004827F5">
        <w:rPr>
          <w:rFonts w:cs="Times New Roman"/>
          <w:lang w:val="fr-CA"/>
        </w:rPr>
        <w:t>35).  L’historique et le contexte des relations entre la victime et l’accusé forment assurément une donnée contextuelle à prendre en compte (</w:t>
      </w:r>
      <w:r w:rsidR="004C41CE">
        <w:rPr>
          <w:rFonts w:cs="Times New Roman"/>
          <w:i/>
          <w:lang w:val="fr-CA"/>
        </w:rPr>
        <w:t xml:space="preserve">R. c. </w:t>
      </w:r>
      <w:r w:rsidRPr="004827F5">
        <w:rPr>
          <w:rFonts w:cs="Times New Roman"/>
          <w:i/>
          <w:lang w:val="fr-CA"/>
        </w:rPr>
        <w:t>Thibert</w:t>
      </w:r>
      <w:r w:rsidRPr="004827F5">
        <w:rPr>
          <w:rFonts w:cs="Times New Roman"/>
          <w:lang w:val="fr-CA"/>
        </w:rPr>
        <w:t xml:space="preserve">, [1996] 1 R.C.S. 37, </w:t>
      </w:r>
      <w:r>
        <w:rPr>
          <w:rFonts w:cs="Times New Roman"/>
          <w:lang w:val="fr-CA"/>
        </w:rPr>
        <w:t>par. </w:t>
      </w:r>
      <w:r w:rsidRPr="004827F5">
        <w:rPr>
          <w:rFonts w:cs="Times New Roman"/>
          <w:lang w:val="fr-CA"/>
        </w:rPr>
        <w:t>16</w:t>
      </w:r>
      <w:r>
        <w:rPr>
          <w:rFonts w:cs="Times New Roman"/>
          <w:lang w:val="fr-CA"/>
        </w:rPr>
        <w:noBreakHyphen/>
      </w:r>
      <w:r w:rsidRPr="004827F5">
        <w:rPr>
          <w:rFonts w:cs="Times New Roman"/>
          <w:lang w:val="fr-CA"/>
        </w:rPr>
        <w:t>19).</w:t>
      </w:r>
    </w:p>
    <w:p w:rsidR="008479ED" w:rsidRPr="004827F5" w:rsidRDefault="008479ED" w:rsidP="008479ED">
      <w:pPr>
        <w:pStyle w:val="ParaNoNdepar-AltN"/>
        <w:rPr>
          <w:rFonts w:cs="Times New Roman"/>
          <w:lang w:val="fr-CA"/>
        </w:rPr>
      </w:pPr>
      <w:r w:rsidRPr="004827F5">
        <w:rPr>
          <w:rFonts w:cs="Times New Roman"/>
          <w:lang w:val="fr-CA"/>
        </w:rPr>
        <w:t>En l’espèce, il est impossible de juger des propos de M. Ferguson et de déterminer la réaction qu’ils susciteraient chez une personne ordinaire sans tenir compte du contexte global et, en particulier, des rapports antérieurs entre MM. Cairney et Ferguson.  Les juges majoritaires s’attachent principalement à une facette de la preuve, à savoir que M. Cairney a affronté M. Ferguson armé d’un fusil, et ils font fi d’autres éléments qui auraient fort bien pu amener le jury à conclure à la provocation objective étant donné le sérieux de la menace proférée par M. Ferguson à l’effet de brutaliser de nouveau la cousine de M. Cairney, Fran Rosenthal.</w:t>
      </w:r>
    </w:p>
    <w:p w:rsidR="008479ED" w:rsidRPr="004827F5" w:rsidRDefault="008479ED" w:rsidP="008479ED">
      <w:pPr>
        <w:pStyle w:val="ParaNoNdepar-AltN"/>
        <w:rPr>
          <w:rFonts w:cs="Times New Roman"/>
          <w:lang w:val="fr-CA"/>
        </w:rPr>
      </w:pPr>
      <w:r w:rsidRPr="004827F5">
        <w:rPr>
          <w:rFonts w:cs="Times New Roman"/>
          <w:lang w:val="fr-CA"/>
        </w:rPr>
        <w:lastRenderedPageBreak/>
        <w:t>La prévisibilité de la provocation alléguée importe certes aux fins de l’analyse.  Cependant, il ne faut pas compromettre l’appréciation de la preuve relative à l’élément objectif en mettant l’accent sur le comportement agressif de l’accusé au détriment du contexte dans son entier.  L’analyse qui s’attache essentiellement à la question de savoir si les actes de la victime ont été la conséquence prévisible du comportement agressif de l’accusé me paraît trop restrictive.  Il importe de signaler que deux des auteurs cités par les juges majoritaires pour écarter la défense de provocation [</w:t>
      </w:r>
      <w:r w:rsidRPr="004827F5">
        <w:rPr>
          <w:rFonts w:cs="Times New Roman"/>
          <w:smallCaps/>
          <w:lang w:val="fr-CA"/>
        </w:rPr>
        <w:t>traduction</w:t>
      </w:r>
      <w:r w:rsidRPr="004827F5">
        <w:rPr>
          <w:rFonts w:cs="Times New Roman"/>
          <w:lang w:val="fr-CA"/>
        </w:rPr>
        <w:t xml:space="preserve">] « lorsque l’accusé </w:t>
      </w:r>
      <w:r w:rsidR="004C41CE" w:rsidRPr="004C41CE">
        <w:rPr>
          <w:rFonts w:cs="Times New Roman"/>
          <w:lang w:val="fr-FR"/>
        </w:rPr>
        <w:t>[</w:t>
      </w:r>
      <w:r w:rsidRPr="004827F5">
        <w:rPr>
          <w:rFonts w:cs="Times New Roman"/>
          <w:lang w:val="fr-CA"/>
        </w:rPr>
        <w:t>. . .</w:t>
      </w:r>
      <w:r w:rsidR="004C41CE">
        <w:rPr>
          <w:rFonts w:cs="Times New Roman"/>
          <w:lang w:val="fr-CA"/>
        </w:rPr>
        <w:t>]</w:t>
      </w:r>
      <w:r w:rsidRPr="004827F5">
        <w:rPr>
          <w:rFonts w:cs="Times New Roman"/>
          <w:lang w:val="fr-CA"/>
        </w:rPr>
        <w:t xml:space="preserve"> déclenche un affrontement puis obtient une réaction prévisible » </w:t>
      </w:r>
      <w:r w:rsidRPr="004827F5">
        <w:rPr>
          <w:rFonts w:cs="Times New Roman"/>
          <w:i/>
          <w:lang w:val="fr-CA"/>
        </w:rPr>
        <w:t>critiquent</w:t>
      </w:r>
      <w:r w:rsidRPr="004827F5">
        <w:rPr>
          <w:rFonts w:cs="Times New Roman"/>
          <w:lang w:val="fr-CA"/>
        </w:rPr>
        <w:t xml:space="preserve"> en fait cette approche (Morris Manning et Peter Sankoff, </w:t>
      </w:r>
      <w:r w:rsidRPr="004827F5">
        <w:rPr>
          <w:rFonts w:cs="Times New Roman"/>
          <w:i/>
          <w:lang w:val="fr-CA"/>
        </w:rPr>
        <w:t>Manning, Mewett &amp; Sankoff</w:t>
      </w:r>
      <w:r w:rsidR="004C41CE">
        <w:rPr>
          <w:rFonts w:cs="Times New Roman"/>
          <w:i/>
          <w:lang w:val="fr-CA"/>
        </w:rPr>
        <w:t> </w:t>
      </w:r>
      <w:r w:rsidRPr="004827F5">
        <w:rPr>
          <w:rFonts w:cs="Times New Roman"/>
          <w:i/>
          <w:lang w:val="fr-CA"/>
        </w:rPr>
        <w:t>:</w:t>
      </w:r>
      <w:r w:rsidRPr="004827F5">
        <w:rPr>
          <w:rFonts w:cs="Times New Roman"/>
          <w:lang w:val="fr-CA"/>
        </w:rPr>
        <w:t xml:space="preserve"> </w:t>
      </w:r>
      <w:r w:rsidRPr="004827F5">
        <w:rPr>
          <w:rFonts w:cs="Times New Roman"/>
          <w:i/>
          <w:iCs/>
          <w:lang w:val="fr-CA"/>
        </w:rPr>
        <w:t xml:space="preserve">Criminal Law </w:t>
      </w:r>
      <w:r w:rsidRPr="004827F5">
        <w:rPr>
          <w:rFonts w:cs="Times New Roman"/>
          <w:lang w:val="fr-CA"/>
        </w:rPr>
        <w:t>(4</w:t>
      </w:r>
      <w:r w:rsidRPr="004827F5">
        <w:rPr>
          <w:rFonts w:cs="Times New Roman"/>
          <w:vertAlign w:val="superscript"/>
          <w:lang w:val="fr-CA"/>
        </w:rPr>
        <w:t>e</w:t>
      </w:r>
      <w:r w:rsidRPr="004827F5">
        <w:rPr>
          <w:rFonts w:cs="Times New Roman"/>
          <w:lang w:val="fr-CA"/>
        </w:rPr>
        <w:t xml:space="preserve"> éd. 2009), </w:t>
      </w:r>
      <w:r>
        <w:rPr>
          <w:rFonts w:cs="Times New Roman"/>
          <w:lang w:val="fr-CA"/>
        </w:rPr>
        <w:t>p. </w:t>
      </w:r>
      <w:r w:rsidRPr="004827F5">
        <w:rPr>
          <w:rFonts w:cs="Times New Roman"/>
          <w:lang w:val="fr-CA"/>
        </w:rPr>
        <w:t>770</w:t>
      </w:r>
      <w:r>
        <w:rPr>
          <w:rFonts w:cs="Times New Roman"/>
          <w:lang w:val="fr-CA"/>
        </w:rPr>
        <w:noBreakHyphen/>
      </w:r>
      <w:r w:rsidRPr="004827F5">
        <w:rPr>
          <w:rFonts w:cs="Times New Roman"/>
          <w:lang w:val="fr-CA"/>
        </w:rPr>
        <w:t xml:space="preserve">772; Don Stuart, </w:t>
      </w:r>
      <w:r w:rsidRPr="004827F5">
        <w:rPr>
          <w:rFonts w:cs="Times New Roman"/>
          <w:i/>
          <w:lang w:val="fr-CA"/>
        </w:rPr>
        <w:t>Canadian Criminal Law</w:t>
      </w:r>
      <w:r>
        <w:rPr>
          <w:rFonts w:cs="Times New Roman"/>
          <w:i/>
          <w:lang w:val="fr-CA"/>
        </w:rPr>
        <w:t> :</w:t>
      </w:r>
      <w:r w:rsidRPr="004827F5">
        <w:rPr>
          <w:rFonts w:cs="Times New Roman"/>
          <w:i/>
          <w:lang w:val="fr-CA"/>
        </w:rPr>
        <w:t xml:space="preserve"> A Treatise</w:t>
      </w:r>
      <w:r w:rsidRPr="004827F5">
        <w:rPr>
          <w:rFonts w:cs="Times New Roman"/>
          <w:lang w:val="fr-CA"/>
        </w:rPr>
        <w:t xml:space="preserve"> (6</w:t>
      </w:r>
      <w:r w:rsidRPr="004827F5">
        <w:rPr>
          <w:rFonts w:cs="Times New Roman"/>
          <w:vertAlign w:val="superscript"/>
          <w:lang w:val="fr-CA"/>
        </w:rPr>
        <w:t>e</w:t>
      </w:r>
      <w:r w:rsidRPr="004827F5">
        <w:rPr>
          <w:rFonts w:cs="Times New Roman"/>
          <w:lang w:val="fr-CA"/>
        </w:rPr>
        <w:t xml:space="preserve"> éd. 2011), </w:t>
      </w:r>
      <w:r>
        <w:rPr>
          <w:rFonts w:cs="Times New Roman"/>
          <w:lang w:val="fr-CA"/>
        </w:rPr>
        <w:t>p. </w:t>
      </w:r>
      <w:r w:rsidRPr="004827F5">
        <w:rPr>
          <w:rFonts w:cs="Times New Roman"/>
          <w:lang w:val="fr-CA"/>
        </w:rPr>
        <w:t>592).</w:t>
      </w:r>
    </w:p>
    <w:p w:rsidR="008479ED" w:rsidRPr="004827F5" w:rsidRDefault="008479ED" w:rsidP="008479ED">
      <w:pPr>
        <w:pStyle w:val="ParaNoNdepar-AltN"/>
        <w:rPr>
          <w:rFonts w:cs="Times New Roman"/>
          <w:lang w:val="fr-CA"/>
        </w:rPr>
      </w:pPr>
      <w:r w:rsidRPr="004827F5">
        <w:rPr>
          <w:rFonts w:cs="Times New Roman"/>
          <w:lang w:val="fr-CA"/>
        </w:rPr>
        <w:t xml:space="preserve">MM. Ferguson et Cairney étaient des amis proches.  Le seul sujet de discorde entre eux — et cause de l’homicide ultimement perpétré — </w:t>
      </w:r>
      <w:r w:rsidR="00D93524">
        <w:rPr>
          <w:rFonts w:cs="Times New Roman"/>
          <w:lang w:val="fr-CA"/>
        </w:rPr>
        <w:t>était</w:t>
      </w:r>
      <w:r w:rsidRPr="004827F5">
        <w:rPr>
          <w:rFonts w:cs="Times New Roman"/>
          <w:lang w:val="fr-CA"/>
        </w:rPr>
        <w:t xml:space="preserve"> la longue histoire de violence conjugale de M. Ferguson vis</w:t>
      </w:r>
      <w:r>
        <w:rPr>
          <w:rFonts w:cs="Times New Roman"/>
          <w:lang w:val="fr-CA"/>
        </w:rPr>
        <w:noBreakHyphen/>
      </w:r>
      <w:r w:rsidRPr="004827F5">
        <w:rPr>
          <w:rFonts w:cs="Times New Roman"/>
          <w:lang w:val="fr-CA"/>
        </w:rPr>
        <w:t>à</w:t>
      </w:r>
      <w:r>
        <w:rPr>
          <w:rFonts w:cs="Times New Roman"/>
          <w:lang w:val="fr-CA"/>
        </w:rPr>
        <w:noBreakHyphen/>
      </w:r>
      <w:r w:rsidRPr="004827F5">
        <w:rPr>
          <w:rFonts w:cs="Times New Roman"/>
          <w:lang w:val="fr-CA"/>
        </w:rPr>
        <w:t>vis de M</w:t>
      </w:r>
      <w:r w:rsidRPr="004827F5">
        <w:rPr>
          <w:rFonts w:cs="Times New Roman"/>
          <w:vertAlign w:val="superscript"/>
          <w:lang w:val="fr-CA"/>
        </w:rPr>
        <w:t>me</w:t>
      </w:r>
      <w:r w:rsidRPr="004827F5">
        <w:rPr>
          <w:rFonts w:cs="Times New Roman"/>
          <w:lang w:val="fr-CA"/>
        </w:rPr>
        <w:t> Rosenthal, que M. Cairney considérait comme sa [</w:t>
      </w:r>
      <w:r w:rsidRPr="004827F5">
        <w:rPr>
          <w:rFonts w:cs="Times New Roman"/>
          <w:smallCaps/>
          <w:lang w:val="fr-CA"/>
        </w:rPr>
        <w:t>traduction</w:t>
      </w:r>
      <w:r w:rsidR="004C41CE">
        <w:rPr>
          <w:rFonts w:cs="Times New Roman"/>
          <w:lang w:val="fr-CA"/>
        </w:rPr>
        <w:t>] « petite sœur ».</w:t>
      </w:r>
    </w:p>
    <w:p w:rsidR="008479ED" w:rsidRPr="004827F5" w:rsidRDefault="008479ED" w:rsidP="008479ED">
      <w:pPr>
        <w:pStyle w:val="ParaNoNdepar-AltN"/>
        <w:rPr>
          <w:rFonts w:cs="Times New Roman"/>
          <w:lang w:val="fr-CA"/>
        </w:rPr>
      </w:pPr>
      <w:r w:rsidRPr="004827F5">
        <w:rPr>
          <w:rFonts w:cs="Times New Roman"/>
          <w:lang w:val="fr-CA"/>
        </w:rPr>
        <w:t xml:space="preserve">M. Ferguson brutalisait Fran </w:t>
      </w:r>
      <w:r w:rsidR="004C41CE">
        <w:rPr>
          <w:rFonts w:cs="Times New Roman"/>
          <w:lang w:val="fr-CA"/>
        </w:rPr>
        <w:t>Rosenthal depuis plus de 10</w:t>
      </w:r>
      <w:r w:rsidRPr="004827F5">
        <w:rPr>
          <w:rFonts w:cs="Times New Roman"/>
          <w:lang w:val="fr-CA"/>
        </w:rPr>
        <w:t xml:space="preserve"> ans.  Les agressions avaient lieu fréquemment, souvent chaque semaine.  Aussi, elles étaient graves.  M</w:t>
      </w:r>
      <w:r w:rsidRPr="004827F5">
        <w:rPr>
          <w:rFonts w:cs="Times New Roman"/>
          <w:vertAlign w:val="superscript"/>
          <w:lang w:val="fr-CA"/>
        </w:rPr>
        <w:t>me</w:t>
      </w:r>
      <w:r w:rsidRPr="004827F5">
        <w:rPr>
          <w:rFonts w:cs="Times New Roman"/>
          <w:lang w:val="fr-CA"/>
        </w:rPr>
        <w:t> Rosenthal a entre autres témoigné qu’une fois M. Ferguson l’avait frappée à la tête avec un bâton de golf.  M. Cairney était bien au fait de la situation, car M</w:t>
      </w:r>
      <w:r w:rsidRPr="004827F5">
        <w:rPr>
          <w:rFonts w:cs="Times New Roman"/>
          <w:vertAlign w:val="superscript"/>
          <w:lang w:val="fr-CA"/>
        </w:rPr>
        <w:t>me</w:t>
      </w:r>
      <w:r w:rsidRPr="004827F5">
        <w:rPr>
          <w:rFonts w:cs="Times New Roman"/>
          <w:lang w:val="fr-CA"/>
        </w:rPr>
        <w:t> Rosenthal avait maintes fois trouvé refuge chez son épouse et lui.  Elle présentait alors des contusions dont la gravité l’empêchait d’aller travailler.</w:t>
      </w:r>
    </w:p>
    <w:p w:rsidR="008479ED" w:rsidRPr="004827F5" w:rsidRDefault="008479ED" w:rsidP="008479ED">
      <w:pPr>
        <w:pStyle w:val="ParaNoNdepar-AltN"/>
        <w:rPr>
          <w:rFonts w:cs="Times New Roman"/>
          <w:lang w:val="fr-CA"/>
        </w:rPr>
      </w:pPr>
      <w:r w:rsidRPr="004827F5">
        <w:rPr>
          <w:rFonts w:cs="Times New Roman"/>
          <w:lang w:val="fr-CA"/>
        </w:rPr>
        <w:lastRenderedPageBreak/>
        <w:t>Moins d’un an avant l’homicide, M. Cairney avait été témoin d’une agression.  Il avait alors surpris M. Ferguson qui pressait son genou contre la gorge de Fran Rosenthal et exerçait une pression de nature à faire perdre connaissance à celle</w:t>
      </w:r>
      <w:r>
        <w:rPr>
          <w:rFonts w:cs="Times New Roman"/>
          <w:lang w:val="fr-CA"/>
        </w:rPr>
        <w:noBreakHyphen/>
      </w:r>
      <w:r w:rsidRPr="004827F5">
        <w:rPr>
          <w:rFonts w:cs="Times New Roman"/>
          <w:lang w:val="fr-CA"/>
        </w:rPr>
        <w:t>ci.  Il avait dû le contraindre à libérer son épouse, puis avait passé la soirée entière avec lui afin qu’il ne s’en prenne pas à nouveau à cette dernière.  Quelques semaines avant que M. Ferguson soit abattu, M</w:t>
      </w:r>
      <w:r w:rsidRPr="004827F5">
        <w:rPr>
          <w:rFonts w:cs="Times New Roman"/>
          <w:vertAlign w:val="superscript"/>
          <w:lang w:val="fr-CA"/>
        </w:rPr>
        <w:t>me</w:t>
      </w:r>
      <w:r w:rsidRPr="004827F5">
        <w:rPr>
          <w:rFonts w:cs="Times New Roman"/>
          <w:lang w:val="fr-CA"/>
        </w:rPr>
        <w:t> Rosenthal avait dit à M. Cairney qu’elle avait alors cru mourir.</w:t>
      </w:r>
    </w:p>
    <w:p w:rsidR="008479ED" w:rsidRPr="004827F5" w:rsidRDefault="008479ED" w:rsidP="008479ED">
      <w:pPr>
        <w:pStyle w:val="ParaNoNdepar-AltN"/>
        <w:rPr>
          <w:rFonts w:cs="Times New Roman"/>
          <w:lang w:val="fr-CA"/>
        </w:rPr>
      </w:pPr>
      <w:r w:rsidRPr="004827F5">
        <w:rPr>
          <w:rFonts w:cs="Times New Roman"/>
          <w:lang w:val="fr-CA"/>
        </w:rPr>
        <w:t>L’incident qui est à l’origine de l’homicide aurait pu mener à une autre agression.  M. Ferguson était brusquement devenu enragé et avait commencé à crier après Fran Rosenth</w:t>
      </w:r>
      <w:r>
        <w:rPr>
          <w:rFonts w:cs="Times New Roman"/>
          <w:lang w:val="fr-CA"/>
        </w:rPr>
        <w:t xml:space="preserve">al. </w:t>
      </w:r>
      <w:r w:rsidRPr="004827F5">
        <w:rPr>
          <w:rFonts w:cs="Times New Roman"/>
          <w:lang w:val="fr-CA"/>
        </w:rPr>
        <w:t xml:space="preserve"> Il l’avait traitée de [</w:t>
      </w:r>
      <w:r w:rsidRPr="004827F5">
        <w:rPr>
          <w:rFonts w:cs="Times New Roman"/>
          <w:smallCaps/>
          <w:lang w:val="fr-CA"/>
        </w:rPr>
        <w:t>traduction</w:t>
      </w:r>
      <w:r w:rsidR="006B4316">
        <w:rPr>
          <w:rFonts w:cs="Times New Roman"/>
          <w:lang w:val="fr-CA"/>
        </w:rPr>
        <w:t>] « sal</w:t>
      </w:r>
      <w:r w:rsidRPr="004827F5">
        <w:rPr>
          <w:rFonts w:cs="Times New Roman"/>
          <w:lang w:val="fr-CA"/>
        </w:rPr>
        <w:t>e chienne », de « maudite salope », et il avait proféré la menace suivante</w:t>
      </w:r>
      <w:r>
        <w:rPr>
          <w:rFonts w:cs="Times New Roman"/>
          <w:lang w:val="fr-CA"/>
        </w:rPr>
        <w:t> :</w:t>
      </w:r>
      <w:r w:rsidR="004C41CE">
        <w:rPr>
          <w:rFonts w:cs="Times New Roman"/>
          <w:lang w:val="fr-CA"/>
        </w:rPr>
        <w:t xml:space="preserve"> </w:t>
      </w:r>
      <w:r w:rsidRPr="004827F5">
        <w:rPr>
          <w:rFonts w:cs="Times New Roman"/>
          <w:lang w:val="fr-CA"/>
        </w:rPr>
        <w:t>« Si t’avais pas déjà mal au dos, je te balancerais contre les murs maintenant. »  Il lui avait ordonné de dire à M. Cairney de partir.  Lorsqu’elle lui avait fait le message, M. Cairney avait dit craindre que M. Ferguson ne se mette à la rouer de coups.  Elle ne l’avait pas contredit.  M</w:t>
      </w:r>
      <w:r w:rsidRPr="004827F5">
        <w:rPr>
          <w:rFonts w:cs="Times New Roman"/>
          <w:vertAlign w:val="superscript"/>
          <w:lang w:val="fr-CA"/>
        </w:rPr>
        <w:t>me</w:t>
      </w:r>
      <w:r w:rsidRPr="004827F5">
        <w:rPr>
          <w:rFonts w:cs="Times New Roman"/>
          <w:lang w:val="fr-CA"/>
        </w:rPr>
        <w:t> Rosenthal a admis en contre</w:t>
      </w:r>
      <w:r>
        <w:rPr>
          <w:rFonts w:cs="Times New Roman"/>
          <w:lang w:val="fr-CA"/>
        </w:rPr>
        <w:noBreakHyphen/>
      </w:r>
      <w:r w:rsidRPr="004827F5">
        <w:rPr>
          <w:rFonts w:cs="Times New Roman"/>
          <w:lang w:val="fr-CA"/>
        </w:rPr>
        <w:t>interrogatoire qu’elle avait souhaité le départ de M. Cairney parce qu’elle s’estimait en danger et qu’elle ne voulait pas qu’il soit témoin des gestes qu’elle redoutait.</w:t>
      </w:r>
    </w:p>
    <w:p w:rsidR="008479ED" w:rsidRPr="004827F5" w:rsidRDefault="008479ED" w:rsidP="008479ED">
      <w:pPr>
        <w:pStyle w:val="ParaNoNdepar-AltN"/>
        <w:rPr>
          <w:rFonts w:cs="Times New Roman"/>
          <w:lang w:val="fr-CA"/>
        </w:rPr>
      </w:pPr>
      <w:r w:rsidRPr="004827F5">
        <w:rPr>
          <w:rFonts w:cs="Times New Roman"/>
          <w:lang w:val="fr-CA"/>
        </w:rPr>
        <w:t>Les juges majoritaires laissent entendre que M. Ferguson « ne se comportait plus de manière agressive envers M</w:t>
      </w:r>
      <w:r w:rsidRPr="004827F5">
        <w:rPr>
          <w:rFonts w:cs="Times New Roman"/>
          <w:vertAlign w:val="superscript"/>
          <w:lang w:val="fr-CA"/>
        </w:rPr>
        <w:t>me</w:t>
      </w:r>
      <w:r w:rsidRPr="004827F5">
        <w:rPr>
          <w:rFonts w:cs="Times New Roman"/>
          <w:lang w:val="fr-CA"/>
        </w:rPr>
        <w:t> Rosenthal », que « sa colère à son endroit éta</w:t>
      </w:r>
      <w:r w:rsidR="004C41CE" w:rsidRPr="004827F5">
        <w:rPr>
          <w:rFonts w:cs="Times New Roman"/>
          <w:lang w:val="fr-CA"/>
        </w:rPr>
        <w:t>[</w:t>
      </w:r>
      <w:r w:rsidRPr="004827F5">
        <w:rPr>
          <w:rFonts w:cs="Times New Roman"/>
          <w:lang w:val="fr-CA"/>
        </w:rPr>
        <w:t xml:space="preserve">it] retombée » lorsque M. Cairney l’avait affronté, mais le dossier permet aussi de tirer la conclusion contraire.  Plus particulièrement, il appert du témoignage </w:t>
      </w:r>
      <w:r w:rsidRPr="004827F5">
        <w:rPr>
          <w:rFonts w:cs="Times New Roman"/>
          <w:lang w:val="fr-CA"/>
        </w:rPr>
        <w:lastRenderedPageBreak/>
        <w:t>de M. Cairney que la dispute entre M. Ferguson et M</w:t>
      </w:r>
      <w:r w:rsidRPr="004827F5">
        <w:rPr>
          <w:rFonts w:cs="Times New Roman"/>
          <w:vertAlign w:val="superscript"/>
          <w:lang w:val="fr-CA"/>
        </w:rPr>
        <w:t>me</w:t>
      </w:r>
      <w:r w:rsidRPr="004827F5">
        <w:rPr>
          <w:rFonts w:cs="Times New Roman"/>
          <w:lang w:val="fr-CA"/>
        </w:rPr>
        <w:t> Rosenthal avait continué à prendre de l’ampleur après qu’il eut quitté la pièce à la demande de M</w:t>
      </w:r>
      <w:r w:rsidRPr="004827F5">
        <w:rPr>
          <w:rFonts w:cs="Times New Roman"/>
          <w:vertAlign w:val="superscript"/>
          <w:lang w:val="fr-CA"/>
        </w:rPr>
        <w:t>me</w:t>
      </w:r>
      <w:r w:rsidRPr="004827F5">
        <w:rPr>
          <w:rFonts w:cs="Times New Roman"/>
          <w:lang w:val="fr-CA"/>
        </w:rPr>
        <w:t> Rosenth</w:t>
      </w:r>
      <w:r>
        <w:rPr>
          <w:rFonts w:cs="Times New Roman"/>
          <w:lang w:val="fr-CA"/>
        </w:rPr>
        <w:t>al. </w:t>
      </w:r>
      <w:r w:rsidRPr="004827F5">
        <w:rPr>
          <w:rFonts w:cs="Times New Roman"/>
          <w:lang w:val="fr-CA"/>
        </w:rPr>
        <w:t xml:space="preserve"> En contre</w:t>
      </w:r>
      <w:r>
        <w:rPr>
          <w:rFonts w:cs="Times New Roman"/>
          <w:lang w:val="fr-CA"/>
        </w:rPr>
        <w:noBreakHyphen/>
      </w:r>
      <w:r w:rsidRPr="004827F5">
        <w:rPr>
          <w:rFonts w:cs="Times New Roman"/>
          <w:lang w:val="fr-CA"/>
        </w:rPr>
        <w:t>interrogatoire, M. Cairney a dit par exemple que c’était le fait d’avoir entendu M. Ferguson proférer des menaces à l’endroit de son épouse qui l’avait décidé à revenir et à faire face à M. Ferguson</w:t>
      </w:r>
      <w:r>
        <w:rPr>
          <w:rFonts w:cs="Times New Roman"/>
          <w:lang w:val="fr-CA"/>
        </w:rPr>
        <w:t> :</w:t>
      </w:r>
    </w:p>
    <w:p w:rsidR="008479ED" w:rsidRPr="004827F5" w:rsidRDefault="008479ED" w:rsidP="008479ED">
      <w:pPr>
        <w:pStyle w:val="Citation-AltC"/>
        <w:keepNext/>
        <w:tabs>
          <w:tab w:val="left" w:pos="1200"/>
        </w:tabs>
        <w:spacing w:after="240"/>
        <w:ind w:left="1800" w:hanging="1800"/>
        <w:contextualSpacing w:val="0"/>
        <w:rPr>
          <w:lang w:val="fr-CA"/>
        </w:rPr>
      </w:pPr>
      <w:r w:rsidRPr="004827F5">
        <w:rPr>
          <w:lang w:val="fr-CA"/>
        </w:rPr>
        <w:tab/>
        <w:t>[</w:t>
      </w:r>
      <w:r w:rsidRPr="004827F5">
        <w:rPr>
          <w:smallCaps/>
          <w:lang w:val="fr-CA"/>
        </w:rPr>
        <w:t>traduction</w:t>
      </w:r>
      <w:r w:rsidRPr="004827F5">
        <w:rPr>
          <w:lang w:val="fr-CA"/>
        </w:rPr>
        <w:t>]</w:t>
      </w:r>
    </w:p>
    <w:p w:rsidR="008479ED" w:rsidRPr="004827F5" w:rsidRDefault="008479ED" w:rsidP="008479ED">
      <w:pPr>
        <w:pStyle w:val="Citation-AltC"/>
        <w:tabs>
          <w:tab w:val="left" w:pos="1200"/>
        </w:tabs>
        <w:spacing w:after="240"/>
        <w:ind w:left="1800" w:hanging="1800"/>
        <w:contextualSpacing w:val="0"/>
        <w:rPr>
          <w:lang w:val="fr-CA"/>
        </w:rPr>
      </w:pPr>
      <w:r w:rsidRPr="004827F5">
        <w:rPr>
          <w:lang w:val="fr-CA"/>
        </w:rPr>
        <w:tab/>
        <w:t>Q</w:t>
      </w:r>
      <w:r w:rsidRPr="004827F5">
        <w:rPr>
          <w:lang w:val="fr-CA"/>
        </w:rPr>
        <w:tab/>
        <w:t xml:space="preserve">Et, malgré la crainte d’actes de violence éventuels, vous avez laissé le couple seul un moment, malgré le caractère </w:t>
      </w:r>
      <w:r w:rsidRPr="004827F5">
        <w:rPr>
          <w:i/>
          <w:lang w:val="fr-CA"/>
        </w:rPr>
        <w:t>explosif</w:t>
      </w:r>
      <w:r w:rsidRPr="004827F5">
        <w:rPr>
          <w:lang w:val="fr-CA"/>
        </w:rPr>
        <w:t xml:space="preserve"> de la situation, une sorte de baril de poudre, c’est exact?</w:t>
      </w:r>
    </w:p>
    <w:p w:rsidR="008479ED" w:rsidRPr="004827F5" w:rsidRDefault="008479ED" w:rsidP="008479ED">
      <w:pPr>
        <w:pStyle w:val="Citation-AltC"/>
        <w:tabs>
          <w:tab w:val="left" w:pos="1200"/>
        </w:tabs>
        <w:spacing w:after="240"/>
        <w:ind w:left="1800" w:hanging="1800"/>
        <w:contextualSpacing w:val="0"/>
        <w:rPr>
          <w:lang w:val="fr-CA"/>
        </w:rPr>
      </w:pPr>
      <w:r w:rsidRPr="004827F5">
        <w:rPr>
          <w:lang w:val="fr-CA"/>
        </w:rPr>
        <w:tab/>
        <w:t>R</w:t>
      </w:r>
      <w:r w:rsidRPr="004827F5">
        <w:rPr>
          <w:lang w:val="fr-CA"/>
        </w:rPr>
        <w:tab/>
        <w:t>Oui.</w:t>
      </w:r>
    </w:p>
    <w:p w:rsidR="008479ED" w:rsidRPr="004827F5" w:rsidRDefault="008479ED" w:rsidP="008479ED">
      <w:pPr>
        <w:pStyle w:val="Citation-AltC"/>
        <w:tabs>
          <w:tab w:val="left" w:pos="1200"/>
        </w:tabs>
        <w:spacing w:after="240"/>
        <w:ind w:left="1800" w:hanging="1800"/>
        <w:contextualSpacing w:val="0"/>
        <w:rPr>
          <w:lang w:val="fr-CA"/>
        </w:rPr>
      </w:pPr>
      <w:r w:rsidRPr="004827F5">
        <w:rPr>
          <w:lang w:val="fr-CA"/>
        </w:rPr>
        <w:tab/>
        <w:t>Q</w:t>
      </w:r>
      <w:r w:rsidRPr="004827F5">
        <w:rPr>
          <w:lang w:val="fr-CA"/>
        </w:rPr>
        <w:tab/>
        <w:t>Puis vous êtes revenu armé d’un fusil, vous avez fracassé le téléphone, c’est bien ça?</w:t>
      </w:r>
    </w:p>
    <w:p w:rsidR="008479ED" w:rsidRPr="004827F5" w:rsidRDefault="008479ED" w:rsidP="008479ED">
      <w:pPr>
        <w:pStyle w:val="Citation-AltC"/>
        <w:tabs>
          <w:tab w:val="left" w:pos="1200"/>
        </w:tabs>
        <w:spacing w:after="240"/>
        <w:ind w:left="1800" w:hanging="1800"/>
        <w:contextualSpacing w:val="0"/>
        <w:rPr>
          <w:lang w:val="fr-CA"/>
        </w:rPr>
      </w:pPr>
      <w:r w:rsidRPr="004827F5">
        <w:rPr>
          <w:lang w:val="fr-CA"/>
        </w:rPr>
        <w:tab/>
        <w:t>R</w:t>
      </w:r>
      <w:r w:rsidRPr="004827F5">
        <w:rPr>
          <w:lang w:val="fr-CA"/>
        </w:rPr>
        <w:tab/>
      </w:r>
      <w:r w:rsidRPr="004827F5">
        <w:rPr>
          <w:i/>
          <w:lang w:val="fr-CA"/>
        </w:rPr>
        <w:t>Après avoir constaté que la situation dégénérait et entendu Steve [Ferguson] lui crier dessus.</w:t>
      </w:r>
    </w:p>
    <w:p w:rsidR="008479ED" w:rsidRPr="004827F5" w:rsidRDefault="008479ED" w:rsidP="008479ED">
      <w:pPr>
        <w:pStyle w:val="Citation-AltC"/>
        <w:tabs>
          <w:tab w:val="left" w:pos="1200"/>
        </w:tabs>
        <w:spacing w:after="240"/>
        <w:ind w:left="1800" w:hanging="1800"/>
        <w:contextualSpacing w:val="0"/>
        <w:rPr>
          <w:lang w:val="fr-CA"/>
        </w:rPr>
      </w:pPr>
      <w:r w:rsidRPr="004827F5">
        <w:rPr>
          <w:lang w:val="fr-CA"/>
        </w:rPr>
        <w:tab/>
        <w:t>Q</w:t>
      </w:r>
      <w:r w:rsidRPr="004827F5">
        <w:rPr>
          <w:lang w:val="fr-CA"/>
        </w:rPr>
        <w:tab/>
        <w:t xml:space="preserve">D’accord.  </w:t>
      </w:r>
      <w:r w:rsidRPr="004827F5">
        <w:rPr>
          <w:i/>
          <w:lang w:val="fr-CA"/>
        </w:rPr>
        <w:t>Que disait Steve pour vous faire conclure que la situation dégénérait?</w:t>
      </w:r>
    </w:p>
    <w:p w:rsidR="008479ED" w:rsidRPr="004827F5" w:rsidRDefault="008479ED" w:rsidP="008479ED">
      <w:pPr>
        <w:pStyle w:val="Citation-AltC"/>
        <w:tabs>
          <w:tab w:val="left" w:pos="1200"/>
        </w:tabs>
        <w:ind w:left="1800" w:hanging="1800"/>
        <w:contextualSpacing w:val="0"/>
        <w:rPr>
          <w:lang w:val="fr-CA"/>
        </w:rPr>
      </w:pPr>
      <w:r w:rsidRPr="004827F5">
        <w:rPr>
          <w:lang w:val="fr-CA"/>
        </w:rPr>
        <w:tab/>
        <w:t>R</w:t>
      </w:r>
      <w:r w:rsidRPr="004827F5">
        <w:rPr>
          <w:lang w:val="fr-CA"/>
        </w:rPr>
        <w:tab/>
        <w:t>Il me semble qu’il a dit</w:t>
      </w:r>
      <w:r w:rsidR="004C41CE">
        <w:rPr>
          <w:lang w:val="fr-CA"/>
        </w:rPr>
        <w:t>,</w:t>
      </w:r>
      <w:r w:rsidRPr="004827F5">
        <w:rPr>
          <w:lang w:val="fr-CA"/>
        </w:rPr>
        <w:t xml:space="preserve"> </w:t>
      </w:r>
      <w:r w:rsidRPr="004827F5">
        <w:rPr>
          <w:i/>
          <w:lang w:val="fr-CA"/>
        </w:rPr>
        <w:t>Tu n’obéis jamais, maudite salope.  J’ai entendu Frannie lui répondre en criant.  C’est alors que j’en ai eu assez.</w:t>
      </w:r>
      <w:r w:rsidRPr="004827F5">
        <w:rPr>
          <w:lang w:val="fr-CA"/>
        </w:rPr>
        <w:t xml:space="preserve">  Je voulais seulement effrayer Steve.  Je ne vo</w:t>
      </w:r>
      <w:r w:rsidR="006B4316">
        <w:rPr>
          <w:lang w:val="fr-CA"/>
        </w:rPr>
        <w:t>ulais pas l’abattre.  [Italique</w:t>
      </w:r>
      <w:r w:rsidR="00F456D7">
        <w:rPr>
          <w:lang w:val="fr-CA"/>
        </w:rPr>
        <w:t>s</w:t>
      </w:r>
      <w:r w:rsidR="006B4316">
        <w:rPr>
          <w:lang w:val="fr-CA"/>
        </w:rPr>
        <w:t xml:space="preserve"> ajouté</w:t>
      </w:r>
      <w:r w:rsidR="00F456D7">
        <w:rPr>
          <w:lang w:val="fr-CA"/>
        </w:rPr>
        <w:t>s</w:t>
      </w:r>
      <w:r w:rsidRPr="004827F5">
        <w:rPr>
          <w:lang w:val="fr-CA"/>
        </w:rPr>
        <w:t>.]</w:t>
      </w:r>
    </w:p>
    <w:p w:rsidR="008479ED" w:rsidRPr="004827F5" w:rsidRDefault="008479ED" w:rsidP="008479ED">
      <w:pPr>
        <w:pStyle w:val="ParaNoNdepar-AltN"/>
        <w:rPr>
          <w:rFonts w:cs="Times New Roman"/>
          <w:lang w:val="fr-CA"/>
        </w:rPr>
      </w:pPr>
      <w:r w:rsidRPr="004827F5">
        <w:rPr>
          <w:rFonts w:cs="Times New Roman"/>
          <w:lang w:val="fr-CA"/>
        </w:rPr>
        <w:t>M. Cairney a alors affronté M. Ferguson armé du fusil et lui a dit</w:t>
      </w:r>
      <w:r w:rsidR="004C41CE">
        <w:rPr>
          <w:rFonts w:cs="Times New Roman"/>
          <w:lang w:val="fr-CA"/>
        </w:rPr>
        <w:t> :</w:t>
      </w:r>
    </w:p>
    <w:p w:rsidR="008479ED" w:rsidRPr="004827F5" w:rsidRDefault="008479ED" w:rsidP="008479ED">
      <w:pPr>
        <w:pStyle w:val="Citation-AltC"/>
        <w:ind w:hanging="1166"/>
        <w:rPr>
          <w:lang w:val="fr-CA"/>
        </w:rPr>
      </w:pPr>
      <w:r w:rsidRPr="004827F5">
        <w:rPr>
          <w:smallCaps/>
          <w:lang w:val="fr-CA"/>
        </w:rPr>
        <w:tab/>
        <w:t xml:space="preserve">[traduction] </w:t>
      </w:r>
      <w:r w:rsidRPr="004827F5">
        <w:rPr>
          <w:lang w:val="fr-CA"/>
        </w:rPr>
        <w:t xml:space="preserve"> Crois</w:t>
      </w:r>
      <w:r>
        <w:rPr>
          <w:lang w:val="fr-CA"/>
        </w:rPr>
        <w:noBreakHyphen/>
      </w:r>
      <w:r w:rsidRPr="004827F5">
        <w:rPr>
          <w:lang w:val="fr-CA"/>
        </w:rPr>
        <w:t>tu qu’elle t’appartient?  Crois</w:t>
      </w:r>
      <w:r>
        <w:rPr>
          <w:lang w:val="fr-CA"/>
        </w:rPr>
        <w:noBreakHyphen/>
      </w:r>
      <w:r w:rsidRPr="004827F5">
        <w:rPr>
          <w:lang w:val="fr-CA"/>
        </w:rPr>
        <w:t>tu qu’elle est ta propriété?  Crois</w:t>
      </w:r>
      <w:r>
        <w:rPr>
          <w:lang w:val="fr-CA"/>
        </w:rPr>
        <w:noBreakHyphen/>
      </w:r>
      <w:r w:rsidRPr="004827F5">
        <w:rPr>
          <w:lang w:val="fr-CA"/>
        </w:rPr>
        <w:t>tu avoir le droit de la rouer de coups chaque fois que tu en as envie?  J’ai dit, j’en ai jusque</w:t>
      </w:r>
      <w:r>
        <w:rPr>
          <w:lang w:val="fr-CA"/>
        </w:rPr>
        <w:noBreakHyphen/>
      </w:r>
      <w:r w:rsidRPr="004827F5">
        <w:rPr>
          <w:lang w:val="fr-CA"/>
        </w:rPr>
        <w:t>là, mon gars.  J’ai dit, écoute, ça fait des mois que tu ne travailles pas, qu’elle t’achète de la bière et d’autres choses, et qu’elle satisfait tous tes caprices et, chaque fois que quelque chose te fait chier, tu te sers d</w:t>
      </w:r>
      <w:r w:rsidR="004C41CE">
        <w:rPr>
          <w:lang w:val="fr-CA"/>
        </w:rPr>
        <w:t>’elle comme d’un sac de frappe.</w:t>
      </w:r>
    </w:p>
    <w:p w:rsidR="008479ED" w:rsidRPr="004827F5" w:rsidRDefault="008479ED" w:rsidP="008479ED">
      <w:pPr>
        <w:pStyle w:val="ParaNoNdepar-AltN"/>
        <w:rPr>
          <w:rFonts w:cs="Times New Roman"/>
          <w:lang w:val="fr-CA"/>
        </w:rPr>
      </w:pPr>
      <w:r w:rsidRPr="004827F5">
        <w:rPr>
          <w:rFonts w:cs="Times New Roman"/>
          <w:lang w:val="fr-CA"/>
        </w:rPr>
        <w:lastRenderedPageBreak/>
        <w:t>Ce sont les propos suivants qui l’auraient fait disjoncter</w:t>
      </w:r>
      <w:r>
        <w:rPr>
          <w:rFonts w:cs="Times New Roman"/>
          <w:lang w:val="fr-CA"/>
        </w:rPr>
        <w:t> :</w:t>
      </w:r>
      <w:r w:rsidRPr="004827F5">
        <w:rPr>
          <w:rFonts w:cs="Times New Roman"/>
          <w:lang w:val="fr-CA"/>
        </w:rPr>
        <w:t xml:space="preserve"> </w:t>
      </w:r>
      <w:r w:rsidRPr="004827F5">
        <w:rPr>
          <w:rFonts w:cs="Times New Roman"/>
          <w:smallCaps/>
          <w:lang w:val="fr-CA"/>
        </w:rPr>
        <w:t>[traduction] « V</w:t>
      </w:r>
      <w:r w:rsidRPr="004827F5">
        <w:rPr>
          <w:rFonts w:cs="Times New Roman"/>
          <w:lang w:val="fr-CA"/>
        </w:rPr>
        <w:t>a te faire foutre, épais.  Ça te regarde pas.  Je vais f</w:t>
      </w:r>
      <w:r w:rsidR="004C41CE">
        <w:rPr>
          <w:rFonts w:cs="Times New Roman"/>
          <w:lang w:val="fr-CA"/>
        </w:rPr>
        <w:t>aire ce que je veux avec Fran. »</w:t>
      </w:r>
      <w:r w:rsidRPr="004827F5">
        <w:rPr>
          <w:rFonts w:cs="Times New Roman"/>
          <w:lang w:val="fr-CA"/>
        </w:rPr>
        <w:t xml:space="preserve">  La provocation de M. Ferguson n’a pas consisté à réagir avec mépris au fait que M. Cairney braquait une arme sur lui, mais à affirmer haut et fort qu’il persisterait dans le comportement que ce dernier lui reprochait, à savoir « rouer [M</w:t>
      </w:r>
      <w:r w:rsidRPr="004827F5">
        <w:rPr>
          <w:rFonts w:cs="Times New Roman"/>
          <w:vertAlign w:val="superscript"/>
          <w:lang w:val="fr-CA"/>
        </w:rPr>
        <w:t>me</w:t>
      </w:r>
      <w:r w:rsidRPr="004827F5">
        <w:rPr>
          <w:rFonts w:cs="Times New Roman"/>
          <w:lang w:val="fr-CA"/>
        </w:rPr>
        <w:t> Rosenthal] de coups » et se servir d’ell</w:t>
      </w:r>
      <w:r w:rsidR="004C41CE">
        <w:rPr>
          <w:rFonts w:cs="Times New Roman"/>
          <w:lang w:val="fr-CA"/>
        </w:rPr>
        <w:t>e comme d’un « sac de frappe ».</w:t>
      </w:r>
    </w:p>
    <w:p w:rsidR="008479ED" w:rsidRPr="004827F5" w:rsidRDefault="008479ED" w:rsidP="008479ED">
      <w:pPr>
        <w:pStyle w:val="ParaNoNdepar-AltN"/>
        <w:rPr>
          <w:rFonts w:cs="Times New Roman"/>
          <w:lang w:val="fr-CA"/>
        </w:rPr>
      </w:pPr>
      <w:r w:rsidRPr="004827F5">
        <w:rPr>
          <w:rFonts w:cs="Times New Roman"/>
          <w:lang w:val="fr-CA"/>
        </w:rPr>
        <w:t xml:space="preserve">Les faits de l’espèce montrent la faiblesse de la thèse selon laquelle l’application de la défense de provocation dépend de la question de savoir « qui a déclenché » l’affrontement auquel la victime et l’accusé ont pris part tour à tour.  Soustraire le moyen de défense à l’examen du jury revient à conclure que M. Cairney a déclenché </w:t>
      </w:r>
      <w:r w:rsidR="004C41CE" w:rsidRPr="004827F5">
        <w:rPr>
          <w:rFonts w:cs="Times New Roman"/>
          <w:lang w:val="fr-CA"/>
        </w:rPr>
        <w:t xml:space="preserve">un </w:t>
      </w:r>
      <w:r w:rsidRPr="004827F5">
        <w:rPr>
          <w:rFonts w:cs="Times New Roman"/>
          <w:smallCaps/>
          <w:lang w:val="fr-CA"/>
        </w:rPr>
        <w:t>« </w:t>
      </w:r>
      <w:r w:rsidRPr="004827F5">
        <w:rPr>
          <w:rFonts w:cs="Times New Roman"/>
          <w:lang w:val="fr-CA"/>
        </w:rPr>
        <w:t>affrontement violent ».  Or, un autre point de vue veut que M. Ferguson ait déclenché l’affrontement en se mettant à insulter et à menacer la cousine de M. Cairney, ce qui, au vu de la violence conjugale à laquelle M. Ferguson s’était inlassablement livré jusqu’alors, pouvait raisonnablement être considéré d’emblée comme le prélude d’u</w:t>
      </w:r>
      <w:r w:rsidR="004C41CE">
        <w:rPr>
          <w:rFonts w:cs="Times New Roman"/>
          <w:lang w:val="fr-CA"/>
        </w:rPr>
        <w:t>ne nouvelle agression brutale.</w:t>
      </w:r>
    </w:p>
    <w:p w:rsidR="008479ED" w:rsidRPr="004827F5" w:rsidRDefault="008479ED" w:rsidP="008479ED">
      <w:pPr>
        <w:pStyle w:val="ParaNoNdepar-AltN"/>
        <w:rPr>
          <w:rFonts w:cs="Times New Roman"/>
          <w:lang w:val="fr-CA"/>
        </w:rPr>
      </w:pPr>
      <w:r w:rsidRPr="004827F5">
        <w:rPr>
          <w:rFonts w:cs="Times New Roman"/>
          <w:lang w:val="fr-CA"/>
        </w:rPr>
        <w:t>La juge Bielby a donc eu raison de soumettre la défense de provocation à l’appréciation du jury.  Son examen de la preuve eu égard à l’élément objectif du moyen de défense est irréprochable</w:t>
      </w:r>
      <w:r>
        <w:rPr>
          <w:rFonts w:cs="Times New Roman"/>
          <w:lang w:val="fr-CA"/>
        </w:rPr>
        <w:t> :</w:t>
      </w:r>
    </w:p>
    <w:p w:rsidR="008479ED" w:rsidRPr="004827F5" w:rsidRDefault="008479ED" w:rsidP="008479ED">
      <w:pPr>
        <w:pStyle w:val="Citation-AltC"/>
        <w:spacing w:after="240"/>
        <w:ind w:hanging="1166"/>
        <w:contextualSpacing w:val="0"/>
        <w:rPr>
          <w:lang w:val="fr-CA"/>
        </w:rPr>
      </w:pPr>
      <w:r w:rsidRPr="004827F5">
        <w:rPr>
          <w:lang w:val="fr-CA"/>
        </w:rPr>
        <w:tab/>
        <w:t>[</w:t>
      </w:r>
      <w:r w:rsidRPr="004827F5">
        <w:rPr>
          <w:smallCaps/>
          <w:lang w:val="fr-CA"/>
        </w:rPr>
        <w:t>traduction</w:t>
      </w:r>
      <w:r w:rsidRPr="004827F5">
        <w:rPr>
          <w:lang w:val="fr-CA"/>
        </w:rPr>
        <w:t xml:space="preserve">]  Selon son témoignage, M. Cairney aurait perdu la maîtrise de soi lorsque M. Ferguson l’a traité d’épais et affirmé qu’il ferait ce qu’il voulait de Fran, des propos qu’il a tenus en s’éloignant de M. Cairney alors que ce dernier lui enjoignait de revenir.  Il faut tenir compte de ce qui s’était produit juste avant et du fait que M. Cairney </w:t>
      </w:r>
      <w:r w:rsidRPr="004827F5">
        <w:rPr>
          <w:lang w:val="fr-CA"/>
        </w:rPr>
        <w:lastRenderedPageBreak/>
        <w:t>connaissait les antécédents de violence conjugale de M. Ferguson vis</w:t>
      </w:r>
      <w:r>
        <w:rPr>
          <w:lang w:val="fr-CA"/>
        </w:rPr>
        <w:noBreakHyphen/>
      </w:r>
      <w:r w:rsidRPr="004827F5">
        <w:rPr>
          <w:lang w:val="fr-CA"/>
        </w:rPr>
        <w:t>à</w:t>
      </w:r>
      <w:r>
        <w:rPr>
          <w:lang w:val="fr-CA"/>
        </w:rPr>
        <w:noBreakHyphen/>
      </w:r>
      <w:r w:rsidRPr="004827F5">
        <w:rPr>
          <w:lang w:val="fr-CA"/>
        </w:rPr>
        <w:t>vis de M</w:t>
      </w:r>
      <w:r w:rsidRPr="004827F5">
        <w:rPr>
          <w:vertAlign w:val="superscript"/>
          <w:lang w:val="fr-CA"/>
        </w:rPr>
        <w:t>me</w:t>
      </w:r>
      <w:r w:rsidRPr="004827F5">
        <w:rPr>
          <w:lang w:val="fr-CA"/>
        </w:rPr>
        <w:t> Rosenthal.</w:t>
      </w:r>
      <w:r w:rsidR="004C41CE">
        <w:rPr>
          <w:lang w:val="fr-CA"/>
        </w:rPr>
        <w:t> . .</w:t>
      </w:r>
    </w:p>
    <w:p w:rsidR="008479ED" w:rsidRPr="004827F5" w:rsidRDefault="008479ED" w:rsidP="008479ED">
      <w:pPr>
        <w:pStyle w:val="Citation-AltC"/>
        <w:spacing w:after="240"/>
        <w:ind w:left="1168" w:hanging="1168"/>
        <w:contextualSpacing w:val="0"/>
        <w:jc w:val="center"/>
        <w:rPr>
          <w:lang w:val="fr-CA"/>
        </w:rPr>
      </w:pPr>
      <w:r w:rsidRPr="004827F5">
        <w:rPr>
          <w:lang w:val="fr-CA"/>
        </w:rPr>
        <w:t>. . .</w:t>
      </w:r>
    </w:p>
    <w:p w:rsidR="008479ED" w:rsidRPr="004827F5" w:rsidRDefault="008479ED" w:rsidP="008479ED">
      <w:pPr>
        <w:pStyle w:val="Citation-AltC"/>
        <w:ind w:hanging="1166"/>
        <w:contextualSpacing w:val="0"/>
        <w:rPr>
          <w:lang w:val="fr-CA"/>
        </w:rPr>
      </w:pPr>
      <w:r w:rsidRPr="004827F5">
        <w:rPr>
          <w:lang w:val="fr-CA"/>
        </w:rPr>
        <w:tab/>
        <w:t>Il faut prendre en considération tout ce qui a alors été dit ou fait, ainsi que la relation entre MM. Cairney et Ferguson, de même l’histoire de cette relation.  Ce qui comprend le témoignage de M. Cairney selon lequel il était au courant des incidents où M. Ferguson avait frappé ou brutalisé sa conjointe, y compris celui dont il avait été personnellement témoin l’été précédent lorsq</w:t>
      </w:r>
      <w:r w:rsidR="0055700A">
        <w:rPr>
          <w:lang w:val="fr-CA"/>
        </w:rPr>
        <w:t>u’il avait vu M. Ferguson presser</w:t>
      </w:r>
      <w:r w:rsidRPr="004827F5">
        <w:rPr>
          <w:lang w:val="fr-CA"/>
        </w:rPr>
        <w:t xml:space="preserve"> son genou contre le cou de M</w:t>
      </w:r>
      <w:r w:rsidRPr="004827F5">
        <w:rPr>
          <w:vertAlign w:val="superscript"/>
          <w:lang w:val="fr-CA"/>
        </w:rPr>
        <w:t>me</w:t>
      </w:r>
      <w:r w:rsidRPr="004827F5">
        <w:rPr>
          <w:lang w:val="fr-CA"/>
        </w:rPr>
        <w:t> Rosenthal, qui avait presque suffoqué, et où il était intervenu pour mettre fin à l’agression, le fait que, lors d’une conversation en janvier 2007, M</w:t>
      </w:r>
      <w:r w:rsidRPr="004827F5">
        <w:rPr>
          <w:vertAlign w:val="superscript"/>
          <w:lang w:val="fr-CA"/>
        </w:rPr>
        <w:t>me</w:t>
      </w:r>
      <w:r w:rsidRPr="004827F5">
        <w:rPr>
          <w:lang w:val="fr-CA"/>
        </w:rPr>
        <w:t> Rosenthal lui a dit qu’elle avait cru mourir cette fois</w:t>
      </w:r>
      <w:r>
        <w:rPr>
          <w:lang w:val="fr-CA"/>
        </w:rPr>
        <w:noBreakHyphen/>
      </w:r>
      <w:r w:rsidRPr="004827F5">
        <w:rPr>
          <w:lang w:val="fr-CA"/>
        </w:rPr>
        <w:t>là et le fait qu’il tentait de convaincre M. Ferguson de renoncer, vis</w:t>
      </w:r>
      <w:r>
        <w:rPr>
          <w:lang w:val="fr-CA"/>
        </w:rPr>
        <w:noBreakHyphen/>
      </w:r>
      <w:r w:rsidRPr="004827F5">
        <w:rPr>
          <w:lang w:val="fr-CA"/>
        </w:rPr>
        <w:t>à</w:t>
      </w:r>
      <w:r>
        <w:rPr>
          <w:lang w:val="fr-CA"/>
        </w:rPr>
        <w:noBreakHyphen/>
      </w:r>
      <w:r w:rsidRPr="004827F5">
        <w:rPr>
          <w:lang w:val="fr-CA"/>
        </w:rPr>
        <w:t>vis de Fran, au comportement dégradant et violent qui était le sien depuis des années.</w:t>
      </w:r>
    </w:p>
    <w:p w:rsidR="008479ED" w:rsidRPr="004827F5" w:rsidRDefault="008479ED" w:rsidP="008479ED">
      <w:pPr>
        <w:pStyle w:val="ParaNoNdepar-AltN"/>
        <w:rPr>
          <w:rFonts w:cs="Times New Roman"/>
          <w:lang w:val="fr-CA"/>
        </w:rPr>
      </w:pPr>
      <w:r w:rsidRPr="004827F5">
        <w:rPr>
          <w:rFonts w:cs="Times New Roman"/>
          <w:lang w:val="fr-CA"/>
        </w:rPr>
        <w:t>Les juges majoritaires sont néanmoins d’avis d’écarter la défense de provocation pour le seul motif que les propos de M. Ferguson « faisai</w:t>
      </w:r>
      <w:r w:rsidR="004C41CE">
        <w:rPr>
          <w:rFonts w:cs="Times New Roman"/>
          <w:lang w:val="fr-CA"/>
        </w:rPr>
        <w:t>[</w:t>
      </w:r>
      <w:r w:rsidRPr="004827F5">
        <w:rPr>
          <w:rFonts w:cs="Times New Roman"/>
          <w:lang w:val="fr-CA"/>
        </w:rPr>
        <w:t>ent</w:t>
      </w:r>
      <w:r w:rsidR="004C41CE">
        <w:rPr>
          <w:rFonts w:cs="Times New Roman"/>
          <w:lang w:val="fr-CA"/>
        </w:rPr>
        <w:t>]</w:t>
      </w:r>
      <w:r w:rsidRPr="004827F5">
        <w:rPr>
          <w:rFonts w:cs="Times New Roman"/>
          <w:lang w:val="fr-CA"/>
        </w:rPr>
        <w:t xml:space="preserve"> partie [des réactions] prévisibles » à ce qu’ils qualifient de « sermon à la pointe du fusil ».  L’</w:t>
      </w:r>
      <w:r w:rsidRPr="004827F5">
        <w:rPr>
          <w:rFonts w:cs="Times New Roman"/>
          <w:i/>
          <w:lang w:val="fr-CA"/>
        </w:rPr>
        <w:t>attitude</w:t>
      </w:r>
      <w:r w:rsidRPr="004827F5">
        <w:rPr>
          <w:rFonts w:cs="Times New Roman"/>
          <w:lang w:val="fr-CA"/>
        </w:rPr>
        <w:t xml:space="preserve"> méprisante de M. Ferguson à l’endroit de M. Cairney était peut</w:t>
      </w:r>
      <w:r>
        <w:rPr>
          <w:rFonts w:cs="Times New Roman"/>
          <w:lang w:val="fr-CA"/>
        </w:rPr>
        <w:noBreakHyphen/>
      </w:r>
      <w:r w:rsidRPr="004827F5">
        <w:rPr>
          <w:rFonts w:cs="Times New Roman"/>
          <w:lang w:val="fr-CA"/>
        </w:rPr>
        <w:t>être prévisible, mais j’estime qu’un jury aurait pu inférer du contexte global qu’une personne ordinaire n’aurait pas prévu que la réaction de M. Ferguson soit d’affirmer qu’il continuerait de battre M</w:t>
      </w:r>
      <w:r w:rsidRPr="004827F5">
        <w:rPr>
          <w:rFonts w:cs="Times New Roman"/>
          <w:vertAlign w:val="superscript"/>
          <w:lang w:val="fr-CA"/>
        </w:rPr>
        <w:t>me</w:t>
      </w:r>
      <w:r w:rsidRPr="004827F5">
        <w:rPr>
          <w:rFonts w:cs="Times New Roman"/>
          <w:lang w:val="fr-CA"/>
        </w:rPr>
        <w:t> Rosenthal à son gré.</w:t>
      </w:r>
    </w:p>
    <w:p w:rsidR="008479ED" w:rsidRPr="004827F5" w:rsidRDefault="008479ED" w:rsidP="008479ED">
      <w:pPr>
        <w:pStyle w:val="ParaNoNdepar-AltN"/>
        <w:rPr>
          <w:rFonts w:cs="Times New Roman"/>
          <w:lang w:val="fr-CA"/>
        </w:rPr>
      </w:pPr>
      <w:r w:rsidRPr="004827F5">
        <w:rPr>
          <w:rFonts w:cs="Times New Roman"/>
          <w:lang w:val="fr-CA"/>
        </w:rPr>
        <w:t xml:space="preserve">Dans </w:t>
      </w:r>
      <w:r w:rsidRPr="004827F5">
        <w:rPr>
          <w:rFonts w:cs="Times New Roman"/>
          <w:i/>
          <w:lang w:val="fr-CA"/>
        </w:rPr>
        <w:t>Tran</w:t>
      </w:r>
      <w:r w:rsidRPr="004827F5">
        <w:rPr>
          <w:rFonts w:cs="Times New Roman"/>
          <w:lang w:val="fr-CA"/>
        </w:rPr>
        <w:t xml:space="preserve">, notre Cour affirme que l’élément objectif de la défense de provocation doit être défini en fonction des normes contemporaines, ce qui englobe les valeurs de la </w:t>
      </w:r>
      <w:r w:rsidRPr="004827F5">
        <w:rPr>
          <w:rFonts w:cs="Times New Roman"/>
          <w:i/>
          <w:lang w:val="fr-CA"/>
        </w:rPr>
        <w:t>Charte</w:t>
      </w:r>
      <w:r w:rsidRPr="004827F5">
        <w:rPr>
          <w:rFonts w:cs="Times New Roman"/>
          <w:lang w:val="fr-CA"/>
        </w:rPr>
        <w:t xml:space="preserve">, mais non des attitudes violemment possessives et primitives.  Il est donc troublant, à mon humble avis, de conclure qu’il était « prévisible » que M. Ferguson réagisse à la mise en garde de M. Cairney en confirmant son intention </w:t>
      </w:r>
      <w:r w:rsidRPr="004827F5">
        <w:rPr>
          <w:rFonts w:cs="Times New Roman"/>
          <w:lang w:val="fr-CA"/>
        </w:rPr>
        <w:lastRenderedPageBreak/>
        <w:t>de commettre d’autres actes de violence conjugale.  Il est difficile de voir une réaction « prévisible » dans l’intention exprimée de continuer à agresser sa conjointe.</w:t>
      </w:r>
    </w:p>
    <w:p w:rsidR="008479ED" w:rsidRPr="004827F5" w:rsidRDefault="008479ED" w:rsidP="008479ED">
      <w:pPr>
        <w:pStyle w:val="ParaNoNdepar-AltN"/>
        <w:rPr>
          <w:rFonts w:cs="Times New Roman"/>
          <w:lang w:val="fr-CA"/>
        </w:rPr>
      </w:pPr>
      <w:r w:rsidRPr="004827F5">
        <w:rPr>
          <w:rFonts w:cs="Times New Roman"/>
          <w:lang w:val="fr-CA"/>
        </w:rPr>
        <w:t>Comme le font observer à juste titre les juges majoritaires, « [l]e droit ne tolère pas le sermon à la pointe du fusil ».  Elle ne tolère jamais le comportement qui donne ouverture à la défense de provocation.  C’est pourquoi la provocation n’offre qu’un moyen de défense partiel, de sorte que l’infraction de meurtre soit réduite à celle d’homicide involontaire coupable.  Cela explique en outre que, dans les circonstances de l’espèce, le moyen de défense n’emporte pas l’absolution de l’accusé.  M. Cairney</w:t>
      </w:r>
      <w:r w:rsidR="004C41CE">
        <w:rPr>
          <w:rFonts w:cs="Times New Roman"/>
          <w:lang w:val="fr-CA"/>
        </w:rPr>
        <w:t xml:space="preserve"> a été condamné à une peine de neuf</w:t>
      </w:r>
      <w:r w:rsidRPr="004827F5">
        <w:rPr>
          <w:rFonts w:cs="Times New Roman"/>
          <w:lang w:val="fr-CA"/>
        </w:rPr>
        <w:t> ans d’emprisonnement pour avoir causé la mort de M. Ferguson en utilisant une arme à feu lors de l’affrontement.</w:t>
      </w:r>
    </w:p>
    <w:p w:rsidR="008479ED" w:rsidRPr="004827F5" w:rsidRDefault="008479ED" w:rsidP="008479ED">
      <w:pPr>
        <w:pStyle w:val="ParaNoNdepar-AltN"/>
        <w:rPr>
          <w:rFonts w:cs="Times New Roman"/>
          <w:lang w:val="fr-CA"/>
        </w:rPr>
      </w:pPr>
      <w:r w:rsidRPr="004827F5">
        <w:rPr>
          <w:rFonts w:cs="Times New Roman"/>
          <w:lang w:val="fr-CA"/>
        </w:rPr>
        <w:t xml:space="preserve">Je suis d’avis d’accueillir le pourvoi et de rétablir la déclaration de culpabilité et la peine de neuf ans d’emprisonnement infligée pour </w:t>
      </w:r>
      <w:r w:rsidR="004C41CE">
        <w:rPr>
          <w:rFonts w:cs="Times New Roman"/>
          <w:lang w:val="fr-CA"/>
        </w:rPr>
        <w:t>homicide involontaire coupable.</w:t>
      </w:r>
    </w:p>
    <w:p w:rsidR="004D7D95" w:rsidRPr="005A4360" w:rsidRDefault="004D7D95" w:rsidP="00D30B96">
      <w:pPr>
        <w:pStyle w:val="SCCNormalDoubleSpacing"/>
        <w:spacing w:after="480"/>
        <w:rPr>
          <w:lang w:val="fr-CA"/>
        </w:rPr>
      </w:pPr>
      <w:r w:rsidRPr="005A4360">
        <w:rPr>
          <w:lang w:val="fr-CA"/>
        </w:rPr>
        <w:tab/>
      </w:r>
      <w:r w:rsidR="001C4EFC" w:rsidRPr="005A4360">
        <w:rPr>
          <w:i/>
          <w:lang w:val="fr-CA"/>
        </w:rPr>
        <w:t xml:space="preserve">Pourvoi </w:t>
      </w:r>
      <w:r w:rsidR="00FB796B" w:rsidRPr="005A4360">
        <w:rPr>
          <w:i/>
          <w:lang w:val="fr-CA"/>
        </w:rPr>
        <w:t>rejeté</w:t>
      </w:r>
      <w:r w:rsidR="00E01376" w:rsidRPr="005A4360">
        <w:rPr>
          <w:i/>
          <w:lang w:val="fr-CA"/>
        </w:rPr>
        <w:t>, l</w:t>
      </w:r>
      <w:r w:rsidR="00EA036E" w:rsidRPr="005A4360">
        <w:rPr>
          <w:i/>
          <w:lang w:val="fr-CA"/>
        </w:rPr>
        <w:t xml:space="preserve">es juges </w:t>
      </w:r>
      <w:r w:rsidR="00EA036E" w:rsidRPr="005A4360">
        <w:rPr>
          <w:smallCaps/>
          <w:lang w:val="fr-CA"/>
        </w:rPr>
        <w:t>Fish</w:t>
      </w:r>
      <w:r w:rsidR="00EA036E" w:rsidRPr="005A4360">
        <w:rPr>
          <w:i/>
          <w:lang w:val="fr-CA"/>
        </w:rPr>
        <w:t xml:space="preserve"> et </w:t>
      </w:r>
      <w:r w:rsidR="00E01376" w:rsidRPr="005A4360">
        <w:rPr>
          <w:smallCaps/>
          <w:lang w:val="fr-CA"/>
        </w:rPr>
        <w:t>Abella</w:t>
      </w:r>
      <w:r w:rsidR="00E01376" w:rsidRPr="005A4360">
        <w:rPr>
          <w:i/>
          <w:lang w:val="fr-CA"/>
        </w:rPr>
        <w:t xml:space="preserve"> </w:t>
      </w:r>
      <w:r w:rsidR="00EA036E" w:rsidRPr="005A4360">
        <w:rPr>
          <w:i/>
          <w:lang w:val="fr-CA"/>
        </w:rPr>
        <w:t xml:space="preserve">sont </w:t>
      </w:r>
      <w:r w:rsidR="00E01376" w:rsidRPr="005A4360">
        <w:rPr>
          <w:i/>
          <w:lang w:val="fr-CA"/>
        </w:rPr>
        <w:t>dissident</w:t>
      </w:r>
      <w:r w:rsidR="00EA036E" w:rsidRPr="005A4360">
        <w:rPr>
          <w:i/>
          <w:lang w:val="fr-CA"/>
        </w:rPr>
        <w:t>s</w:t>
      </w:r>
      <w:r w:rsidR="001C4EFC" w:rsidRPr="005A4360">
        <w:rPr>
          <w:i/>
          <w:lang w:val="fr-CA"/>
        </w:rPr>
        <w:t>.</w:t>
      </w:r>
    </w:p>
    <w:p w:rsidR="001C4EFC" w:rsidRPr="005A4360" w:rsidRDefault="001C4EFC" w:rsidP="00D30B96">
      <w:pPr>
        <w:pStyle w:val="SCCLawFirm"/>
        <w:spacing w:after="480"/>
        <w:rPr>
          <w:lang w:val="fr-CA"/>
        </w:rPr>
      </w:pPr>
      <w:r w:rsidRPr="005A4360">
        <w:rPr>
          <w:lang w:val="fr-CA"/>
        </w:rPr>
        <w:tab/>
        <w:t>Procureurs de l’appelant</w:t>
      </w:r>
      <w:r w:rsidR="00496CCB">
        <w:rPr>
          <w:lang w:val="fr-CA"/>
        </w:rPr>
        <w:t> :</w:t>
      </w:r>
      <w:r w:rsidR="00D30B96" w:rsidRPr="005A4360">
        <w:rPr>
          <w:lang w:val="fr-CA"/>
        </w:rPr>
        <w:t> </w:t>
      </w:r>
      <w:r w:rsidRPr="005A4360">
        <w:rPr>
          <w:lang w:val="fr-CA"/>
        </w:rPr>
        <w:t>Depoe and Bottos, Edmonton; Pringle Chivers Sparks, Edmonton.</w:t>
      </w:r>
    </w:p>
    <w:p w:rsidR="001C4EFC" w:rsidRPr="005A4360" w:rsidRDefault="001C4EFC" w:rsidP="001C4EFC">
      <w:pPr>
        <w:pStyle w:val="SCCLawFirm"/>
        <w:rPr>
          <w:lang w:val="fr-CA"/>
        </w:rPr>
      </w:pPr>
      <w:r w:rsidRPr="005A4360">
        <w:rPr>
          <w:lang w:val="fr-CA"/>
        </w:rPr>
        <w:tab/>
        <w:t>Procureur de l’intimée</w:t>
      </w:r>
      <w:r w:rsidR="00496CCB">
        <w:rPr>
          <w:lang w:val="fr-CA"/>
        </w:rPr>
        <w:t> :</w:t>
      </w:r>
      <w:r w:rsidR="00D30B96" w:rsidRPr="005A4360">
        <w:rPr>
          <w:lang w:val="fr-CA"/>
        </w:rPr>
        <w:t> </w:t>
      </w:r>
      <w:r w:rsidRPr="005A4360">
        <w:rPr>
          <w:lang w:val="fr-CA"/>
        </w:rPr>
        <w:t>Procureur</w:t>
      </w:r>
      <w:r w:rsidR="00AE1829">
        <w:rPr>
          <w:lang w:val="fr-CA"/>
        </w:rPr>
        <w:t xml:space="preserve"> général de l’Alberta, Edmonton.</w:t>
      </w:r>
    </w:p>
    <w:sectPr w:rsidR="001C4EFC" w:rsidRPr="005A4360" w:rsidSect="00D42616">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120" w:rsidRDefault="00A52120">
      <w:r>
        <w:separator/>
      </w:r>
    </w:p>
  </w:endnote>
  <w:endnote w:type="continuationSeparator" w:id="0">
    <w:p w:rsidR="00A52120" w:rsidRDefault="00A52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120" w:rsidRDefault="00A52120">
      <w:r>
        <w:separator/>
      </w:r>
    </w:p>
  </w:footnote>
  <w:footnote w:type="continuationSeparator" w:id="0">
    <w:p w:rsidR="00A52120" w:rsidRDefault="00A52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0555"/>
      <w:docPartObj>
        <w:docPartGallery w:val="Page Numbers (Top of Page)"/>
        <w:docPartUnique/>
      </w:docPartObj>
    </w:sdtPr>
    <w:sdtContent>
      <w:p w:rsidR="00D42616" w:rsidRDefault="00D42616">
        <w:pPr>
          <w:pStyle w:val="Header"/>
          <w:jc w:val="center"/>
        </w:pPr>
        <w:r>
          <w:t xml:space="preserve">- </w:t>
        </w:r>
        <w:fldSimple w:instr=" PAGE   \* MERGEFORMAT ">
          <w:r w:rsidR="001902E7">
            <w:rPr>
              <w:noProof/>
            </w:rPr>
            <w:t>2</w:t>
          </w:r>
        </w:fldSimple>
        <w:r>
          <w:t xml:space="preserve"> -</w:t>
        </w:r>
      </w:p>
    </w:sdtContent>
  </w:sdt>
  <w:p w:rsidR="00A52120" w:rsidRPr="00450352" w:rsidRDefault="00A5212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
  </w:num>
  <w:num w:numId="5">
    <w:abstractNumId w:val="0"/>
  </w:num>
  <w:num w:numId="6">
    <w:abstractNumId w:val="2"/>
  </w:num>
  <w:num w:numId="7">
    <w:abstractNumId w:val="3"/>
  </w:num>
  <w:num w:numId="8">
    <w:abstractNumId w:val="4"/>
  </w:num>
  <w:num w:numId="9">
    <w:abstractNumId w:val="4"/>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rsids>
    <w:rsidRoot w:val="0031414C"/>
    <w:rsid w:val="00000ED4"/>
    <w:rsid w:val="00001F58"/>
    <w:rsid w:val="00023FC7"/>
    <w:rsid w:val="00025198"/>
    <w:rsid w:val="000578A3"/>
    <w:rsid w:val="000648CC"/>
    <w:rsid w:val="000C1704"/>
    <w:rsid w:val="000C59B8"/>
    <w:rsid w:val="000C6AF0"/>
    <w:rsid w:val="000D0A77"/>
    <w:rsid w:val="000F7993"/>
    <w:rsid w:val="00104F33"/>
    <w:rsid w:val="00105090"/>
    <w:rsid w:val="001065DA"/>
    <w:rsid w:val="00111DE2"/>
    <w:rsid w:val="00116B38"/>
    <w:rsid w:val="00135406"/>
    <w:rsid w:val="00135972"/>
    <w:rsid w:val="001426A9"/>
    <w:rsid w:val="00154D7C"/>
    <w:rsid w:val="001570B0"/>
    <w:rsid w:val="0015752C"/>
    <w:rsid w:val="00157737"/>
    <w:rsid w:val="00165277"/>
    <w:rsid w:val="00170592"/>
    <w:rsid w:val="001720F7"/>
    <w:rsid w:val="00180899"/>
    <w:rsid w:val="00182E05"/>
    <w:rsid w:val="00184164"/>
    <w:rsid w:val="001902E7"/>
    <w:rsid w:val="00195D83"/>
    <w:rsid w:val="001A00C1"/>
    <w:rsid w:val="001B33E0"/>
    <w:rsid w:val="001B4573"/>
    <w:rsid w:val="001C4EFC"/>
    <w:rsid w:val="001C779F"/>
    <w:rsid w:val="001D2AC1"/>
    <w:rsid w:val="001D4E88"/>
    <w:rsid w:val="001F2AE1"/>
    <w:rsid w:val="00215BEC"/>
    <w:rsid w:val="002168A8"/>
    <w:rsid w:val="00220FC2"/>
    <w:rsid w:val="002222F4"/>
    <w:rsid w:val="00224FC0"/>
    <w:rsid w:val="00225EA4"/>
    <w:rsid w:val="00226EAF"/>
    <w:rsid w:val="00231F3A"/>
    <w:rsid w:val="002406EE"/>
    <w:rsid w:val="00243EC8"/>
    <w:rsid w:val="00270D93"/>
    <w:rsid w:val="002745CC"/>
    <w:rsid w:val="002B6FBE"/>
    <w:rsid w:val="002B7924"/>
    <w:rsid w:val="002C10A6"/>
    <w:rsid w:val="002D20FC"/>
    <w:rsid w:val="002D28C3"/>
    <w:rsid w:val="002D39A4"/>
    <w:rsid w:val="002E6705"/>
    <w:rsid w:val="002F2856"/>
    <w:rsid w:val="0030329A"/>
    <w:rsid w:val="003068E0"/>
    <w:rsid w:val="0031086F"/>
    <w:rsid w:val="0031414C"/>
    <w:rsid w:val="00314E01"/>
    <w:rsid w:val="0032089D"/>
    <w:rsid w:val="00327610"/>
    <w:rsid w:val="003310DE"/>
    <w:rsid w:val="003323B0"/>
    <w:rsid w:val="0033359F"/>
    <w:rsid w:val="00335A3A"/>
    <w:rsid w:val="00340A49"/>
    <w:rsid w:val="0035169A"/>
    <w:rsid w:val="0035259D"/>
    <w:rsid w:val="00364B18"/>
    <w:rsid w:val="00367FE2"/>
    <w:rsid w:val="00373B57"/>
    <w:rsid w:val="00396A4D"/>
    <w:rsid w:val="003A125D"/>
    <w:rsid w:val="003A4C70"/>
    <w:rsid w:val="003B215F"/>
    <w:rsid w:val="003C799C"/>
    <w:rsid w:val="003D0399"/>
    <w:rsid w:val="003D5B25"/>
    <w:rsid w:val="003E03DD"/>
    <w:rsid w:val="003E1C71"/>
    <w:rsid w:val="003F327B"/>
    <w:rsid w:val="00406166"/>
    <w:rsid w:val="0040704B"/>
    <w:rsid w:val="00410A55"/>
    <w:rsid w:val="00411300"/>
    <w:rsid w:val="0041355D"/>
    <w:rsid w:val="00413F17"/>
    <w:rsid w:val="00415417"/>
    <w:rsid w:val="00426659"/>
    <w:rsid w:val="00450352"/>
    <w:rsid w:val="004503FF"/>
    <w:rsid w:val="00454BDB"/>
    <w:rsid w:val="00456024"/>
    <w:rsid w:val="00465132"/>
    <w:rsid w:val="004754D2"/>
    <w:rsid w:val="00477A64"/>
    <w:rsid w:val="00480C90"/>
    <w:rsid w:val="0048396F"/>
    <w:rsid w:val="00493C18"/>
    <w:rsid w:val="004942B5"/>
    <w:rsid w:val="00496CCB"/>
    <w:rsid w:val="004A600C"/>
    <w:rsid w:val="004A6118"/>
    <w:rsid w:val="004B353F"/>
    <w:rsid w:val="004C41CE"/>
    <w:rsid w:val="004C478D"/>
    <w:rsid w:val="004C56BA"/>
    <w:rsid w:val="004D2DD0"/>
    <w:rsid w:val="004D7D95"/>
    <w:rsid w:val="004E2C26"/>
    <w:rsid w:val="00500DA2"/>
    <w:rsid w:val="005125A8"/>
    <w:rsid w:val="00517549"/>
    <w:rsid w:val="00520ABC"/>
    <w:rsid w:val="00521AE8"/>
    <w:rsid w:val="005234AF"/>
    <w:rsid w:val="00527180"/>
    <w:rsid w:val="00546846"/>
    <w:rsid w:val="00552CF4"/>
    <w:rsid w:val="00554529"/>
    <w:rsid w:val="00555291"/>
    <w:rsid w:val="0055700A"/>
    <w:rsid w:val="00566AD1"/>
    <w:rsid w:val="00583EDE"/>
    <w:rsid w:val="005A207D"/>
    <w:rsid w:val="005A4360"/>
    <w:rsid w:val="005A6079"/>
    <w:rsid w:val="005D1C15"/>
    <w:rsid w:val="005E4698"/>
    <w:rsid w:val="005F06CF"/>
    <w:rsid w:val="005F1B67"/>
    <w:rsid w:val="005F2171"/>
    <w:rsid w:val="00603924"/>
    <w:rsid w:val="00610539"/>
    <w:rsid w:val="00613969"/>
    <w:rsid w:val="006166B8"/>
    <w:rsid w:val="00621B77"/>
    <w:rsid w:val="00625C35"/>
    <w:rsid w:val="00647E49"/>
    <w:rsid w:val="00651143"/>
    <w:rsid w:val="006538B5"/>
    <w:rsid w:val="00654175"/>
    <w:rsid w:val="0065548F"/>
    <w:rsid w:val="00656313"/>
    <w:rsid w:val="006565F4"/>
    <w:rsid w:val="00663595"/>
    <w:rsid w:val="00671DA6"/>
    <w:rsid w:val="00681976"/>
    <w:rsid w:val="00684EEA"/>
    <w:rsid w:val="00692B6B"/>
    <w:rsid w:val="0069689B"/>
    <w:rsid w:val="006A0D63"/>
    <w:rsid w:val="006B4316"/>
    <w:rsid w:val="006B5FF5"/>
    <w:rsid w:val="006E14BF"/>
    <w:rsid w:val="006F1DDB"/>
    <w:rsid w:val="006F30AF"/>
    <w:rsid w:val="00701759"/>
    <w:rsid w:val="00705C15"/>
    <w:rsid w:val="0071097D"/>
    <w:rsid w:val="007110F6"/>
    <w:rsid w:val="0071669C"/>
    <w:rsid w:val="007208D1"/>
    <w:rsid w:val="00736139"/>
    <w:rsid w:val="00744518"/>
    <w:rsid w:val="00747288"/>
    <w:rsid w:val="00747DD3"/>
    <w:rsid w:val="007549C8"/>
    <w:rsid w:val="00764155"/>
    <w:rsid w:val="00765551"/>
    <w:rsid w:val="00766842"/>
    <w:rsid w:val="00766D14"/>
    <w:rsid w:val="00767A0F"/>
    <w:rsid w:val="00780260"/>
    <w:rsid w:val="00791272"/>
    <w:rsid w:val="007A05F6"/>
    <w:rsid w:val="007B6F4A"/>
    <w:rsid w:val="007D142C"/>
    <w:rsid w:val="007E1C47"/>
    <w:rsid w:val="007E337A"/>
    <w:rsid w:val="007E5C70"/>
    <w:rsid w:val="007F2FF5"/>
    <w:rsid w:val="007F3F08"/>
    <w:rsid w:val="007F4FFA"/>
    <w:rsid w:val="00803BC7"/>
    <w:rsid w:val="00804CC6"/>
    <w:rsid w:val="00810283"/>
    <w:rsid w:val="00817190"/>
    <w:rsid w:val="008260E2"/>
    <w:rsid w:val="008322BD"/>
    <w:rsid w:val="00834F73"/>
    <w:rsid w:val="008479ED"/>
    <w:rsid w:val="00864C8A"/>
    <w:rsid w:val="00864CF8"/>
    <w:rsid w:val="00865C14"/>
    <w:rsid w:val="0087095A"/>
    <w:rsid w:val="00874914"/>
    <w:rsid w:val="008753EC"/>
    <w:rsid w:val="00875EC1"/>
    <w:rsid w:val="0088159C"/>
    <w:rsid w:val="00891422"/>
    <w:rsid w:val="00892E1A"/>
    <w:rsid w:val="008B660A"/>
    <w:rsid w:val="008C01DA"/>
    <w:rsid w:val="008F2674"/>
    <w:rsid w:val="008F78E9"/>
    <w:rsid w:val="00903D0D"/>
    <w:rsid w:val="009179F9"/>
    <w:rsid w:val="00917C7A"/>
    <w:rsid w:val="00933E5E"/>
    <w:rsid w:val="00935218"/>
    <w:rsid w:val="00937C52"/>
    <w:rsid w:val="00937F62"/>
    <w:rsid w:val="009403F3"/>
    <w:rsid w:val="00946837"/>
    <w:rsid w:val="00947CFF"/>
    <w:rsid w:val="009555B7"/>
    <w:rsid w:val="009567AA"/>
    <w:rsid w:val="009602C9"/>
    <w:rsid w:val="00967374"/>
    <w:rsid w:val="009A1741"/>
    <w:rsid w:val="009A19BB"/>
    <w:rsid w:val="009A343A"/>
    <w:rsid w:val="009B2F23"/>
    <w:rsid w:val="009B42D8"/>
    <w:rsid w:val="009B4D5F"/>
    <w:rsid w:val="009B57B3"/>
    <w:rsid w:val="009C5FEA"/>
    <w:rsid w:val="009D2920"/>
    <w:rsid w:val="009D58F7"/>
    <w:rsid w:val="009D5AEB"/>
    <w:rsid w:val="009E6178"/>
    <w:rsid w:val="009E6DC1"/>
    <w:rsid w:val="009F0E33"/>
    <w:rsid w:val="009F6C62"/>
    <w:rsid w:val="00A149DF"/>
    <w:rsid w:val="00A162E0"/>
    <w:rsid w:val="00A1755C"/>
    <w:rsid w:val="00A21B90"/>
    <w:rsid w:val="00A22AAC"/>
    <w:rsid w:val="00A40D85"/>
    <w:rsid w:val="00A40E78"/>
    <w:rsid w:val="00A41805"/>
    <w:rsid w:val="00A50116"/>
    <w:rsid w:val="00A51882"/>
    <w:rsid w:val="00A52120"/>
    <w:rsid w:val="00A52AFB"/>
    <w:rsid w:val="00A548CB"/>
    <w:rsid w:val="00A5521C"/>
    <w:rsid w:val="00A60D98"/>
    <w:rsid w:val="00A643E7"/>
    <w:rsid w:val="00A66AF9"/>
    <w:rsid w:val="00A73C38"/>
    <w:rsid w:val="00A76D03"/>
    <w:rsid w:val="00A835DA"/>
    <w:rsid w:val="00AA0A57"/>
    <w:rsid w:val="00AB670D"/>
    <w:rsid w:val="00AB73D8"/>
    <w:rsid w:val="00AC2B6B"/>
    <w:rsid w:val="00AC3CDC"/>
    <w:rsid w:val="00AE0D69"/>
    <w:rsid w:val="00AE1829"/>
    <w:rsid w:val="00AF03C5"/>
    <w:rsid w:val="00B000D8"/>
    <w:rsid w:val="00B00F75"/>
    <w:rsid w:val="00B145B6"/>
    <w:rsid w:val="00B22155"/>
    <w:rsid w:val="00B279EB"/>
    <w:rsid w:val="00B37652"/>
    <w:rsid w:val="00B50C81"/>
    <w:rsid w:val="00B528B3"/>
    <w:rsid w:val="00B557F8"/>
    <w:rsid w:val="00B74365"/>
    <w:rsid w:val="00B815FC"/>
    <w:rsid w:val="00B93FBC"/>
    <w:rsid w:val="00B9502D"/>
    <w:rsid w:val="00B95C62"/>
    <w:rsid w:val="00B96F78"/>
    <w:rsid w:val="00BA7DA0"/>
    <w:rsid w:val="00BB2EE4"/>
    <w:rsid w:val="00BB4C92"/>
    <w:rsid w:val="00BC2108"/>
    <w:rsid w:val="00BD0E9E"/>
    <w:rsid w:val="00BD1BEC"/>
    <w:rsid w:val="00BD32FF"/>
    <w:rsid w:val="00BE3B0A"/>
    <w:rsid w:val="00BE5014"/>
    <w:rsid w:val="00BF3F54"/>
    <w:rsid w:val="00BF6FE9"/>
    <w:rsid w:val="00C02092"/>
    <w:rsid w:val="00C16D63"/>
    <w:rsid w:val="00C24D91"/>
    <w:rsid w:val="00C26DB2"/>
    <w:rsid w:val="00C36D19"/>
    <w:rsid w:val="00C47AF2"/>
    <w:rsid w:val="00C50A45"/>
    <w:rsid w:val="00C537E3"/>
    <w:rsid w:val="00C53F14"/>
    <w:rsid w:val="00C574FE"/>
    <w:rsid w:val="00C600CF"/>
    <w:rsid w:val="00C6084F"/>
    <w:rsid w:val="00C62A66"/>
    <w:rsid w:val="00C66359"/>
    <w:rsid w:val="00C71458"/>
    <w:rsid w:val="00C763AC"/>
    <w:rsid w:val="00C77613"/>
    <w:rsid w:val="00C828E7"/>
    <w:rsid w:val="00C86719"/>
    <w:rsid w:val="00C921DD"/>
    <w:rsid w:val="00CA6391"/>
    <w:rsid w:val="00CC030B"/>
    <w:rsid w:val="00CC3CEE"/>
    <w:rsid w:val="00CE036E"/>
    <w:rsid w:val="00CE0E56"/>
    <w:rsid w:val="00CE25A8"/>
    <w:rsid w:val="00CE3171"/>
    <w:rsid w:val="00CF1601"/>
    <w:rsid w:val="00CF5C2E"/>
    <w:rsid w:val="00D0172F"/>
    <w:rsid w:val="00D01E33"/>
    <w:rsid w:val="00D068A7"/>
    <w:rsid w:val="00D14128"/>
    <w:rsid w:val="00D17476"/>
    <w:rsid w:val="00D17A8F"/>
    <w:rsid w:val="00D239DE"/>
    <w:rsid w:val="00D30B96"/>
    <w:rsid w:val="00D32086"/>
    <w:rsid w:val="00D37A3F"/>
    <w:rsid w:val="00D42616"/>
    <w:rsid w:val="00D4431D"/>
    <w:rsid w:val="00D4667A"/>
    <w:rsid w:val="00D512FE"/>
    <w:rsid w:val="00D63A1C"/>
    <w:rsid w:val="00D706D5"/>
    <w:rsid w:val="00D7516F"/>
    <w:rsid w:val="00D82254"/>
    <w:rsid w:val="00D92E9D"/>
    <w:rsid w:val="00D93524"/>
    <w:rsid w:val="00D95F8E"/>
    <w:rsid w:val="00DA0590"/>
    <w:rsid w:val="00DC1739"/>
    <w:rsid w:val="00DC1788"/>
    <w:rsid w:val="00DC1CC4"/>
    <w:rsid w:val="00DD2394"/>
    <w:rsid w:val="00DD634E"/>
    <w:rsid w:val="00DE004A"/>
    <w:rsid w:val="00DE2873"/>
    <w:rsid w:val="00DE319C"/>
    <w:rsid w:val="00DF0CA8"/>
    <w:rsid w:val="00DF2B48"/>
    <w:rsid w:val="00DF49A7"/>
    <w:rsid w:val="00E00D35"/>
    <w:rsid w:val="00E01376"/>
    <w:rsid w:val="00E07EE2"/>
    <w:rsid w:val="00E07FD1"/>
    <w:rsid w:val="00E223EA"/>
    <w:rsid w:val="00E24573"/>
    <w:rsid w:val="00E25E1E"/>
    <w:rsid w:val="00E2637D"/>
    <w:rsid w:val="00E27EE7"/>
    <w:rsid w:val="00E3055C"/>
    <w:rsid w:val="00E35404"/>
    <w:rsid w:val="00E439FF"/>
    <w:rsid w:val="00E45109"/>
    <w:rsid w:val="00E47B7A"/>
    <w:rsid w:val="00E551D8"/>
    <w:rsid w:val="00E56A44"/>
    <w:rsid w:val="00E60269"/>
    <w:rsid w:val="00E82DA4"/>
    <w:rsid w:val="00E82EBE"/>
    <w:rsid w:val="00E97830"/>
    <w:rsid w:val="00EA036E"/>
    <w:rsid w:val="00EA113B"/>
    <w:rsid w:val="00EB23E2"/>
    <w:rsid w:val="00EE0830"/>
    <w:rsid w:val="00EE3FA3"/>
    <w:rsid w:val="00EE6CB8"/>
    <w:rsid w:val="00EF0683"/>
    <w:rsid w:val="00EF1570"/>
    <w:rsid w:val="00EF517A"/>
    <w:rsid w:val="00F0070C"/>
    <w:rsid w:val="00F00EB7"/>
    <w:rsid w:val="00F01340"/>
    <w:rsid w:val="00F06FFB"/>
    <w:rsid w:val="00F36AB6"/>
    <w:rsid w:val="00F37A09"/>
    <w:rsid w:val="00F409CE"/>
    <w:rsid w:val="00F4379D"/>
    <w:rsid w:val="00F456D7"/>
    <w:rsid w:val="00F50D2D"/>
    <w:rsid w:val="00F555BE"/>
    <w:rsid w:val="00F56C8B"/>
    <w:rsid w:val="00F62639"/>
    <w:rsid w:val="00F66810"/>
    <w:rsid w:val="00F71DD8"/>
    <w:rsid w:val="00F84DF4"/>
    <w:rsid w:val="00F85C97"/>
    <w:rsid w:val="00FB37D2"/>
    <w:rsid w:val="00FB796B"/>
    <w:rsid w:val="00FC4EFB"/>
    <w:rsid w:val="00FD068D"/>
    <w:rsid w:val="00FD4DD6"/>
    <w:rsid w:val="00FD4F28"/>
    <w:rsid w:val="00FD73D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nhideWhenUsed/>
    <w:qFormat/>
    <w:rsid w:val="00B74365"/>
    <w:rPr>
      <w:sz w:val="20"/>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B74365"/>
  </w:style>
  <w:style w:type="character" w:styleId="FootnoteReference">
    <w:name w:val="footnote reference"/>
    <w:basedOn w:val="DefaultParagraphFont"/>
    <w:unhideWhenUsed/>
    <w:rsid w:val="00B74365"/>
    <w:rPr>
      <w:vertAlign w:val="superscript"/>
    </w:rPr>
  </w:style>
  <w:style w:type="paragraph" w:customStyle="1" w:styleId="ParaNoNdepar-AltN">
    <w:name w:val="Para. No. / Nº de par. - Alt N"/>
    <w:qFormat/>
    <w:rsid w:val="00F71DD8"/>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479E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8479ED"/>
    <w:rPr>
      <w:rFonts w:eastAsiaTheme="minorHAnsi" w:cstheme="minorBidi"/>
      <w:sz w:val="24"/>
      <w:szCs w:val="22"/>
      <w:lang w:eastAsia="en-US"/>
    </w:rPr>
  </w:style>
  <w:style w:type="character" w:customStyle="1" w:styleId="SCCBanSummaryChar">
    <w:name w:val="SCC.BanSummary Char"/>
    <w:basedOn w:val="DefaultParagraphFont"/>
    <w:link w:val="SCCBanSummary"/>
    <w:rsid w:val="008479ED"/>
    <w:rPr>
      <w:b/>
      <w:sz w:val="24"/>
    </w:rPr>
  </w:style>
  <w:style w:type="table" w:styleId="TableGrid">
    <w:name w:val="Table Grid"/>
    <w:basedOn w:val="TableNormal"/>
    <w:uiPriority w:val="59"/>
    <w:rsid w:val="008479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479E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479E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479ED"/>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8479ED"/>
    <w:pPr>
      <w:keepNext/>
      <w:tabs>
        <w:tab w:val="left" w:pos="360"/>
      </w:tabs>
      <w:spacing w:after="720"/>
      <w:ind w:left="357" w:hanging="357"/>
      <w:jc w:val="both"/>
    </w:pPr>
    <w:rPr>
      <w:rFonts w:eastAsiaTheme="minorHAnsi" w:cstheme="minorBidi"/>
      <w:sz w:val="24"/>
      <w:szCs w:val="22"/>
      <w:lang w:eastAsia="en-US"/>
    </w:rPr>
  </w:style>
  <w:style w:type="paragraph" w:customStyle="1" w:styleId="Citation1">
    <w:name w:val="Citation1"/>
    <w:basedOn w:val="Normal"/>
    <w:next w:val="Normal"/>
    <w:qFormat/>
    <w:rsid w:val="008479ED"/>
    <w:pPr>
      <w:spacing w:after="480"/>
      <w:ind w:left="720" w:right="720"/>
      <w:jc w:val="both"/>
    </w:pPr>
    <w:rPr>
      <w:rFonts w:asciiTheme="minorHAnsi" w:eastAsiaTheme="minorEastAsia" w:hAnsiTheme="minorHAnsi" w:cstheme="minorBidi"/>
      <w:szCs w:val="22"/>
      <w:lang w:val="en-US" w:eastAsia="en-US" w:bidi="en-US"/>
    </w:rPr>
  </w:style>
  <w:style w:type="table" w:customStyle="1" w:styleId="TableGrid1">
    <w:name w:val="Table Grid1"/>
    <w:basedOn w:val="TableNormal"/>
    <w:next w:val="TableGrid"/>
    <w:uiPriority w:val="59"/>
    <w:rsid w:val="001902E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2CCCA-A3F7-4FA8-98E7-BB10624A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11288</Words>
  <Characters>56107</Characters>
  <Application>Microsoft Office Word</Application>
  <DocSecurity>4</DocSecurity>
  <Lines>467</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2014-04-03T15:40:00Z</dcterms:created>
  <dcterms:modified xsi:type="dcterms:W3CDTF">2014-04-03T15:40:00Z</dcterms:modified>
</cp:coreProperties>
</file>