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7" w:rsidRPr="00915A1B" w:rsidRDefault="00DC35D7" w:rsidP="00DC35D7">
      <w:pPr>
        <w:tabs>
          <w:tab w:val="center" w:pos="4680"/>
          <w:tab w:val="right" w:pos="9360"/>
        </w:tabs>
        <w:jc w:val="center"/>
        <w:rPr>
          <w:rFonts w:eastAsiaTheme="minorHAnsi" w:cstheme="minorBidi"/>
          <w:szCs w:val="24"/>
          <w:lang w:val="fr-CA" w:eastAsia="en-US"/>
        </w:rPr>
      </w:pPr>
      <w:r w:rsidRPr="00915A1B">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32176" r:id="rId9"/>
        </w:object>
      </w:r>
    </w:p>
    <w:p w:rsidR="00DC35D7" w:rsidRPr="00915A1B" w:rsidRDefault="00DC35D7" w:rsidP="00DC35D7">
      <w:pPr>
        <w:tabs>
          <w:tab w:val="center" w:pos="4680"/>
          <w:tab w:val="right" w:pos="9360"/>
        </w:tabs>
        <w:rPr>
          <w:rFonts w:eastAsiaTheme="minorHAnsi" w:cstheme="minorBidi"/>
          <w:szCs w:val="24"/>
          <w:lang w:val="fr-CA" w:eastAsia="en-US"/>
        </w:rPr>
      </w:pP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COUR SUPRÊME DU CANADA</w:t>
      </w:r>
    </w:p>
    <w:p w:rsidR="00DC35D7" w:rsidRPr="00915A1B" w:rsidRDefault="00DC35D7" w:rsidP="00DC35D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C35D7" w:rsidRPr="00915A1B" w:rsidTr="00A91E19">
        <w:trPr>
          <w:cantSplit/>
        </w:trPr>
        <w:tc>
          <w:tcPr>
            <w:tcW w:w="6768" w:type="dxa"/>
          </w:tcPr>
          <w:p w:rsidR="00DC35D7" w:rsidRPr="00915A1B" w:rsidRDefault="00DC35D7" w:rsidP="00A91E19">
            <w:pPr>
              <w:rPr>
                <w:lang w:val="fr-CA"/>
              </w:rPr>
            </w:pPr>
            <w:r w:rsidRPr="00915A1B">
              <w:rPr>
                <w:b/>
                <w:smallCaps/>
                <w:lang w:val="fr-CA"/>
              </w:rPr>
              <w:t>Référence :</w:t>
            </w:r>
            <w:r w:rsidRPr="00915A1B">
              <w:rPr>
                <w:lang w:val="fr-CA"/>
              </w:rPr>
              <w:t xml:space="preserve"> Alberta (</w:t>
            </w:r>
            <w:r w:rsidRPr="00DC35D7">
              <w:rPr>
                <w:lang w:val="fr-CA"/>
              </w:rPr>
              <w:t>Information and Privacy Commissioner)</w:t>
            </w:r>
            <w:r w:rsidRPr="00DC35D7">
              <w:rPr>
                <w:iCs/>
                <w:color w:val="000000" w:themeColor="text1"/>
                <w:lang w:val="fr-CA"/>
              </w:rPr>
              <w:t xml:space="preserve"> </w:t>
            </w:r>
            <w:r w:rsidRPr="00DC35D7">
              <w:rPr>
                <w:i/>
                <w:iCs/>
                <w:color w:val="000000" w:themeColor="text1"/>
                <w:lang w:val="fr-CA"/>
              </w:rPr>
              <w:t>c.</w:t>
            </w:r>
            <w:r w:rsidRPr="00DC35D7">
              <w:rPr>
                <w:iCs/>
                <w:color w:val="000000" w:themeColor="text1"/>
                <w:lang w:val="fr-CA"/>
              </w:rPr>
              <w:t xml:space="preserve"> </w:t>
            </w:r>
            <w:r w:rsidRPr="00DC35D7">
              <w:rPr>
                <w:lang w:val="fr-CA"/>
              </w:rPr>
              <w:t>Travailleurs et travailleuses unis de l’alimentation et du commerce, section locale 401</w:t>
            </w:r>
            <w:r w:rsidRPr="00DC35D7">
              <w:rPr>
                <w:iCs/>
                <w:color w:val="000000" w:themeColor="text1"/>
                <w:lang w:val="fr-CA"/>
              </w:rPr>
              <w:t>,</w:t>
            </w:r>
            <w:r w:rsidRPr="00DC35D7">
              <w:rPr>
                <w:lang w:val="fr-CA"/>
              </w:rPr>
              <w:t xml:space="preserve"> </w:t>
            </w:r>
            <w:r w:rsidRPr="00915A1B">
              <w:rPr>
                <w:lang w:val="fr-CA"/>
              </w:rPr>
              <w:t>2013 CSC 62</w:t>
            </w:r>
            <w:r>
              <w:rPr>
                <w:lang w:val="fr-CA"/>
              </w:rPr>
              <w:t>, [2013] 3 R.C.S. 733</w:t>
            </w:r>
          </w:p>
        </w:tc>
        <w:tc>
          <w:tcPr>
            <w:tcW w:w="2808" w:type="dxa"/>
          </w:tcPr>
          <w:p w:rsidR="00DC35D7" w:rsidRPr="00915A1B" w:rsidRDefault="00DC35D7" w:rsidP="00A91E19">
            <w:pPr>
              <w:rPr>
                <w:lang w:val="fr-CA"/>
              </w:rPr>
            </w:pPr>
            <w:r w:rsidRPr="00915A1B">
              <w:rPr>
                <w:b/>
                <w:smallCaps/>
                <w:lang w:val="fr-CA"/>
              </w:rPr>
              <w:t>Date :</w:t>
            </w:r>
            <w:r w:rsidRPr="00915A1B">
              <w:rPr>
                <w:lang w:val="fr-CA"/>
              </w:rPr>
              <w:t xml:space="preserve"> 20131115</w:t>
            </w:r>
          </w:p>
          <w:p w:rsidR="00DC35D7" w:rsidRPr="00915A1B" w:rsidRDefault="00DC35D7" w:rsidP="00A91E19">
            <w:pPr>
              <w:rPr>
                <w:lang w:val="fr-CA"/>
              </w:rPr>
            </w:pPr>
            <w:r w:rsidRPr="00915A1B">
              <w:rPr>
                <w:b/>
                <w:smallCaps/>
                <w:lang w:val="fr-CA"/>
              </w:rPr>
              <w:t>Dossier :</w:t>
            </w:r>
            <w:r w:rsidRPr="00915A1B">
              <w:rPr>
                <w:lang w:val="fr-CA"/>
              </w:rPr>
              <w:t xml:space="preserve"> 34890</w:t>
            </w:r>
          </w:p>
        </w:tc>
      </w:tr>
    </w:tbl>
    <w:p w:rsidR="00DC35D7" w:rsidRPr="00915A1B" w:rsidRDefault="00DC35D7" w:rsidP="00DC35D7">
      <w:pPr>
        <w:rPr>
          <w:rFonts w:eastAsiaTheme="minorHAnsi" w:cstheme="minorBidi"/>
          <w:szCs w:val="24"/>
          <w:lang w:val="fr-CA" w:eastAsia="en-US"/>
        </w:rPr>
      </w:pPr>
    </w:p>
    <w:p w:rsidR="00DC35D7" w:rsidRPr="00915A1B" w:rsidRDefault="00DC35D7" w:rsidP="00DC35D7">
      <w:pPr>
        <w:rPr>
          <w:rFonts w:eastAsiaTheme="minorHAnsi" w:cstheme="minorBidi"/>
          <w:b/>
          <w:smallCaps/>
          <w:szCs w:val="24"/>
          <w:lang w:val="fr-CA" w:eastAsia="en-US"/>
        </w:rPr>
      </w:pPr>
      <w:r w:rsidRPr="00915A1B">
        <w:rPr>
          <w:rFonts w:eastAsiaTheme="minorHAnsi" w:cstheme="minorBidi"/>
          <w:b/>
          <w:smallCaps/>
          <w:szCs w:val="24"/>
          <w:lang w:val="fr-CA" w:eastAsia="en-US"/>
        </w:rPr>
        <w:t>Entre</w:t>
      </w:r>
      <w:r>
        <w:rPr>
          <w:rFonts w:eastAsiaTheme="minorHAnsi" w:cstheme="minorBidi"/>
          <w:b/>
          <w:smallCaps/>
          <w:szCs w:val="24"/>
          <w:lang w:val="fr-CA" w:eastAsia="en-US"/>
        </w:rPr>
        <w:t> </w:t>
      </w:r>
      <w:r w:rsidRPr="00915A1B">
        <w:rPr>
          <w:rFonts w:eastAsiaTheme="minorHAnsi" w:cstheme="minorBidi"/>
          <w:b/>
          <w:smallCaps/>
          <w:szCs w:val="24"/>
          <w:lang w:val="fr-CA" w:eastAsia="en-US"/>
        </w:rPr>
        <w:t>:</w:t>
      </w:r>
    </w:p>
    <w:p w:rsidR="00DC35D7" w:rsidRPr="00915A1B" w:rsidRDefault="00DC35D7" w:rsidP="00DC35D7">
      <w:pPr>
        <w:jc w:val="center"/>
        <w:rPr>
          <w:rFonts w:eastAsiaTheme="minorHAnsi" w:cstheme="minorBidi"/>
          <w:b/>
          <w:szCs w:val="24"/>
          <w:lang w:val="en-US" w:eastAsia="en-US"/>
        </w:rPr>
      </w:pPr>
      <w:r w:rsidRPr="00915A1B">
        <w:rPr>
          <w:rFonts w:eastAsiaTheme="minorHAnsi" w:cstheme="minorBidi"/>
          <w:b/>
          <w:szCs w:val="24"/>
          <w:lang w:val="en-US" w:eastAsia="en-US"/>
        </w:rPr>
        <w:t>Information and Privacy Commissioner of Alberta</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Appelant</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et</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Travailleurs et travailleuses unis de l’alimentation et du commerce, section locale 401</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Intimé</w:t>
      </w:r>
    </w:p>
    <w:p w:rsidR="00DC35D7" w:rsidRPr="00915A1B" w:rsidRDefault="00DC35D7" w:rsidP="00DC35D7">
      <w:pPr>
        <w:rPr>
          <w:rFonts w:eastAsiaTheme="minorHAnsi" w:cstheme="minorBidi"/>
          <w:b/>
          <w:smallCaps/>
          <w:szCs w:val="24"/>
          <w:lang w:val="fr-CA" w:eastAsia="en-US"/>
        </w:rPr>
      </w:pPr>
      <w:r w:rsidRPr="00915A1B">
        <w:rPr>
          <w:rFonts w:eastAsiaTheme="minorHAnsi" w:cstheme="minorBidi"/>
          <w:b/>
          <w:smallCaps/>
          <w:szCs w:val="24"/>
          <w:lang w:val="fr-CA" w:eastAsia="en-US"/>
        </w:rPr>
        <w:t>E</w:t>
      </w:r>
      <w:r>
        <w:rPr>
          <w:rFonts w:eastAsiaTheme="minorHAnsi" w:cstheme="minorBidi"/>
          <w:b/>
          <w:smallCaps/>
          <w:szCs w:val="24"/>
          <w:lang w:val="fr-CA" w:eastAsia="en-US"/>
        </w:rPr>
        <w:t>t</w:t>
      </w:r>
      <w:r w:rsidRPr="00915A1B">
        <w:rPr>
          <w:rFonts w:eastAsiaTheme="minorHAnsi" w:cstheme="minorBidi"/>
          <w:b/>
          <w:smallCaps/>
          <w:szCs w:val="24"/>
          <w:lang w:val="fr-CA" w:eastAsia="en-US"/>
        </w:rPr>
        <w:t xml:space="preserve"> </w:t>
      </w:r>
      <w:r>
        <w:rPr>
          <w:rFonts w:eastAsiaTheme="minorHAnsi" w:cstheme="minorBidi"/>
          <w:b/>
          <w:smallCaps/>
          <w:szCs w:val="24"/>
          <w:lang w:val="fr-CA" w:eastAsia="en-US"/>
        </w:rPr>
        <w:t>entre </w:t>
      </w:r>
      <w:r w:rsidRPr="00915A1B">
        <w:rPr>
          <w:rFonts w:eastAsiaTheme="minorHAnsi" w:cstheme="minorBidi"/>
          <w:b/>
          <w:smallCaps/>
          <w:szCs w:val="24"/>
          <w:lang w:val="fr-CA" w:eastAsia="en-US"/>
        </w:rPr>
        <w:t>:</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Procureur général de l’Alberta</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Appelant</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et</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Travailleurs et travailleuses unis de l’alimentation et du commerce, section locale 401</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Intimé</w:t>
      </w:r>
    </w:p>
    <w:p w:rsidR="00DC35D7" w:rsidRPr="00915A1B" w:rsidRDefault="00DC35D7" w:rsidP="00DC35D7">
      <w:pPr>
        <w:jc w:val="center"/>
        <w:rPr>
          <w:rFonts w:eastAsiaTheme="minorHAnsi" w:cstheme="minorBidi"/>
          <w:szCs w:val="24"/>
          <w:lang w:val="fr-CA" w:eastAsia="en-US"/>
        </w:rPr>
      </w:pPr>
      <w:r w:rsidRPr="00915A1B">
        <w:rPr>
          <w:rFonts w:eastAsiaTheme="minorHAnsi" w:cstheme="minorBidi"/>
          <w:szCs w:val="24"/>
          <w:lang w:val="fr-CA" w:eastAsia="en-US"/>
        </w:rPr>
        <w:t>- et -</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 xml:space="preserve">Procureur général du Canada, procureur général de l’Ontario, Commisaire à la protection de la vie privée du Canada, Association canadienne des libertés civiles, Association des </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libertés civiles de la Colombie</w:t>
      </w:r>
      <w:r w:rsidRPr="00915A1B">
        <w:rPr>
          <w:rFonts w:eastAsiaTheme="minorHAnsi" w:cstheme="minorBidi"/>
          <w:b/>
          <w:szCs w:val="24"/>
          <w:lang w:val="fr-CA" w:eastAsia="en-US"/>
        </w:rPr>
        <w:noBreakHyphen/>
        <w:t xml:space="preserve">Britannique, Commissaire à </w:t>
      </w:r>
    </w:p>
    <w:p w:rsidR="00DC35D7" w:rsidRPr="00915A1B" w:rsidRDefault="00DC35D7" w:rsidP="00DC35D7">
      <w:pPr>
        <w:jc w:val="center"/>
        <w:rPr>
          <w:rFonts w:eastAsiaTheme="minorHAnsi" w:cstheme="minorBidi"/>
          <w:b/>
          <w:szCs w:val="24"/>
          <w:lang w:val="fr-CA" w:eastAsia="en-US"/>
        </w:rPr>
      </w:pPr>
      <w:r w:rsidRPr="00915A1B">
        <w:rPr>
          <w:rFonts w:eastAsiaTheme="minorHAnsi" w:cstheme="minorBidi"/>
          <w:b/>
          <w:szCs w:val="24"/>
          <w:lang w:val="fr-CA" w:eastAsia="en-US"/>
        </w:rPr>
        <w:t xml:space="preserve">l’information et à la protection de la vie privée de l’Ontario, </w:t>
      </w:r>
    </w:p>
    <w:p w:rsidR="00DC35D7" w:rsidRPr="00915A1B" w:rsidRDefault="00DC35D7" w:rsidP="00DC35D7">
      <w:pPr>
        <w:jc w:val="center"/>
        <w:rPr>
          <w:rFonts w:eastAsiaTheme="minorHAnsi" w:cstheme="minorBidi"/>
          <w:b/>
          <w:szCs w:val="24"/>
          <w:lang w:val="en-US" w:eastAsia="en-US"/>
        </w:rPr>
      </w:pPr>
      <w:r w:rsidRPr="00915A1B">
        <w:rPr>
          <w:rFonts w:eastAsiaTheme="minorHAnsi" w:cstheme="minorBidi"/>
          <w:b/>
          <w:szCs w:val="24"/>
          <w:lang w:val="en-US" w:eastAsia="en-US"/>
        </w:rPr>
        <w:t xml:space="preserve">Coalition of British Columbia Businesses, Merit Canada, </w:t>
      </w:r>
    </w:p>
    <w:p w:rsidR="00DC35D7" w:rsidRPr="00915A1B" w:rsidRDefault="00DC35D7" w:rsidP="00DC35D7">
      <w:pPr>
        <w:jc w:val="center"/>
        <w:rPr>
          <w:rFonts w:eastAsiaTheme="minorHAnsi" w:cstheme="minorBidi"/>
          <w:b/>
          <w:szCs w:val="24"/>
          <w:lang w:val="en-US" w:eastAsia="en-US"/>
        </w:rPr>
      </w:pPr>
      <w:r w:rsidRPr="00915A1B">
        <w:rPr>
          <w:rFonts w:eastAsiaTheme="minorHAnsi" w:cstheme="minorBidi"/>
          <w:b/>
          <w:szCs w:val="24"/>
          <w:lang w:val="en-US" w:eastAsia="en-US"/>
        </w:rPr>
        <w:t xml:space="preserve">Information and Privacy Commissioner of British Columbia </w:t>
      </w:r>
    </w:p>
    <w:p w:rsidR="00DC35D7" w:rsidRPr="00915A1B" w:rsidRDefault="00DC35D7" w:rsidP="00DC35D7">
      <w:pPr>
        <w:jc w:val="center"/>
        <w:rPr>
          <w:rFonts w:eastAsiaTheme="minorHAnsi" w:cstheme="minorBidi"/>
          <w:b/>
          <w:szCs w:val="24"/>
          <w:lang w:val="en-US" w:eastAsia="en-US"/>
        </w:rPr>
      </w:pPr>
      <w:r w:rsidRPr="00915A1B">
        <w:rPr>
          <w:rFonts w:eastAsiaTheme="minorHAnsi" w:cstheme="minorBidi"/>
          <w:b/>
          <w:szCs w:val="24"/>
          <w:lang w:val="en-US" w:eastAsia="en-US"/>
        </w:rPr>
        <w:t>et Alberta Federation of Labour</w:t>
      </w:r>
    </w:p>
    <w:p w:rsidR="00DC35D7" w:rsidRPr="00915A1B" w:rsidRDefault="00DC35D7" w:rsidP="00DC35D7">
      <w:pPr>
        <w:jc w:val="center"/>
        <w:rPr>
          <w:rFonts w:eastAsiaTheme="minorHAnsi" w:cstheme="minorBidi"/>
          <w:szCs w:val="24"/>
          <w:lang w:val="en-US" w:eastAsia="en-US"/>
        </w:rPr>
      </w:pPr>
      <w:r w:rsidRPr="00915A1B">
        <w:rPr>
          <w:rFonts w:eastAsiaTheme="minorHAnsi" w:cstheme="minorBidi"/>
          <w:szCs w:val="24"/>
          <w:lang w:val="en-US" w:eastAsia="en-US"/>
        </w:rPr>
        <w:t>Intervenants</w:t>
      </w:r>
    </w:p>
    <w:p w:rsidR="00DC35D7" w:rsidRPr="00915A1B" w:rsidRDefault="00DC35D7" w:rsidP="00DC35D7">
      <w:pPr>
        <w:rPr>
          <w:rFonts w:eastAsiaTheme="minorHAnsi" w:cstheme="minorBidi"/>
          <w:szCs w:val="24"/>
          <w:lang w:val="en-US" w:eastAsia="en-US"/>
        </w:rPr>
      </w:pPr>
    </w:p>
    <w:p w:rsidR="00DC35D7" w:rsidRPr="00915A1B" w:rsidRDefault="00DC35D7" w:rsidP="00DC35D7">
      <w:pPr>
        <w:jc w:val="center"/>
        <w:rPr>
          <w:rFonts w:eastAsiaTheme="minorHAnsi" w:cstheme="minorBidi"/>
          <w:b/>
          <w:smallCaps/>
          <w:szCs w:val="24"/>
          <w:lang w:val="fr-CA" w:eastAsia="en-US"/>
        </w:rPr>
      </w:pPr>
      <w:r w:rsidRPr="00915A1B">
        <w:rPr>
          <w:rFonts w:eastAsiaTheme="minorHAnsi" w:cstheme="minorBidi"/>
          <w:b/>
          <w:smallCaps/>
          <w:szCs w:val="24"/>
          <w:lang w:val="fr-CA" w:eastAsia="en-US"/>
        </w:rPr>
        <w:t>Traduction française officielle</w:t>
      </w:r>
    </w:p>
    <w:p w:rsidR="00DC35D7" w:rsidRPr="00915A1B" w:rsidRDefault="00DC35D7" w:rsidP="00DC35D7">
      <w:pPr>
        <w:rPr>
          <w:rFonts w:eastAsiaTheme="minorHAnsi" w:cstheme="minorBidi"/>
          <w:szCs w:val="24"/>
          <w:lang w:val="fr-CA" w:eastAsia="en-US"/>
        </w:rPr>
      </w:pPr>
    </w:p>
    <w:p w:rsidR="00DC35D7" w:rsidRPr="00915A1B" w:rsidRDefault="00DC35D7" w:rsidP="00DC35D7">
      <w:pPr>
        <w:rPr>
          <w:rFonts w:eastAsiaTheme="minorHAnsi" w:cstheme="minorBidi"/>
          <w:szCs w:val="24"/>
          <w:lang w:val="fr-CA" w:eastAsia="en-US"/>
        </w:rPr>
      </w:pPr>
      <w:r w:rsidRPr="00915A1B">
        <w:rPr>
          <w:rFonts w:eastAsiaTheme="minorHAnsi" w:cstheme="minorBidi"/>
          <w:b/>
          <w:smallCaps/>
          <w:szCs w:val="24"/>
          <w:lang w:val="fr-CA" w:eastAsia="en-US"/>
        </w:rPr>
        <w:t>Coram :</w:t>
      </w:r>
      <w:r w:rsidRPr="00915A1B">
        <w:rPr>
          <w:rFonts w:eastAsiaTheme="minorHAnsi" w:cstheme="minorBidi"/>
          <w:szCs w:val="24"/>
          <w:lang w:val="fr-CA" w:eastAsia="en-US"/>
        </w:rPr>
        <w:t xml:space="preserve"> La juge en chef McLachlin et les juges LeBel, Fish, Abella, Rothstein, Cromwell, Moldaver, Karakatsanis et Wagner</w:t>
      </w:r>
    </w:p>
    <w:p w:rsidR="00DC35D7" w:rsidRPr="00915A1B" w:rsidRDefault="00DC35D7" w:rsidP="00DC35D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C35D7" w:rsidRPr="00915A1B" w:rsidTr="00A91E19">
        <w:trPr>
          <w:cantSplit/>
        </w:trPr>
        <w:tc>
          <w:tcPr>
            <w:tcW w:w="3618" w:type="dxa"/>
          </w:tcPr>
          <w:p w:rsidR="00DC35D7" w:rsidRPr="00915A1B" w:rsidRDefault="00DC35D7" w:rsidP="00A91E19">
            <w:pPr>
              <w:rPr>
                <w:b/>
                <w:smallCaps/>
                <w:lang w:val="fr-CA"/>
              </w:rPr>
            </w:pPr>
            <w:r w:rsidRPr="00915A1B">
              <w:rPr>
                <w:b/>
                <w:smallCaps/>
                <w:lang w:val="fr-CA"/>
              </w:rPr>
              <w:t>Motifs de jugement</w:t>
            </w:r>
            <w:r>
              <w:rPr>
                <w:b/>
                <w:smallCaps/>
                <w:lang w:val="fr-CA"/>
              </w:rPr>
              <w:t xml:space="preserve"> conjoints</w:t>
            </w:r>
            <w:r w:rsidRPr="00915A1B">
              <w:rPr>
                <w:b/>
                <w:smallCaps/>
                <w:lang w:val="fr-CA"/>
              </w:rPr>
              <w:t> :</w:t>
            </w:r>
          </w:p>
          <w:p w:rsidR="00DC35D7" w:rsidRPr="00915A1B" w:rsidRDefault="00DC35D7" w:rsidP="00A91E19">
            <w:pPr>
              <w:rPr>
                <w:lang w:val="fr-CA"/>
              </w:rPr>
            </w:pPr>
            <w:r w:rsidRPr="00915A1B">
              <w:rPr>
                <w:lang w:val="fr-CA"/>
              </w:rPr>
              <w:t>(par. 1 à 42)</w:t>
            </w:r>
          </w:p>
        </w:tc>
        <w:tc>
          <w:tcPr>
            <w:tcW w:w="5958" w:type="dxa"/>
          </w:tcPr>
          <w:p w:rsidR="00DC35D7" w:rsidRPr="00915A1B" w:rsidRDefault="00DC35D7" w:rsidP="00A91E19">
            <w:pPr>
              <w:rPr>
                <w:lang w:val="fr-CA"/>
              </w:rPr>
            </w:pPr>
            <w:r w:rsidRPr="00915A1B">
              <w:rPr>
                <w:lang w:val="fr-CA"/>
              </w:rPr>
              <w:t>Les juges Abella et Cromwell (avec l’accord de la juge en chef McLachlin et des juges LeBel, Fish, Rothstein, Moldaver, Karakatsanis et Wagner)</w:t>
            </w:r>
          </w:p>
        </w:tc>
      </w:tr>
    </w:tbl>
    <w:p w:rsidR="00DC35D7" w:rsidRPr="00915A1B" w:rsidRDefault="00DC35D7" w:rsidP="00DC35D7">
      <w:pPr>
        <w:rPr>
          <w:rFonts w:eastAsiaTheme="minorHAnsi" w:cstheme="minorBidi"/>
          <w:szCs w:val="24"/>
          <w:lang w:val="fr-CA" w:eastAsia="en-US"/>
        </w:rPr>
      </w:pPr>
      <w:r w:rsidRPr="00221678">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DC35D7" w:rsidRPr="00915A1B" w:rsidRDefault="00DC35D7" w:rsidP="00DC35D7">
      <w:pPr>
        <w:rPr>
          <w:smallCaps/>
          <w:lang w:val="fr-CA"/>
        </w:rPr>
      </w:pPr>
      <w:r w:rsidRPr="00915A1B">
        <w:rPr>
          <w:smallCaps/>
          <w:lang w:val="fr-CA"/>
        </w:rPr>
        <w:br w:type="page"/>
      </w:r>
    </w:p>
    <w:p w:rsidR="004D7D95" w:rsidRPr="00EC10AB" w:rsidRDefault="00EC10AB" w:rsidP="0013236B">
      <w:pPr>
        <w:spacing w:after="720"/>
        <w:jc w:val="both"/>
        <w:rPr>
          <w:lang w:val="fr-CA"/>
        </w:rPr>
      </w:pPr>
      <w:r w:rsidRPr="00EC10AB">
        <w:rPr>
          <w:lang w:val="fr-CA"/>
        </w:rPr>
        <w:lastRenderedPageBreak/>
        <w:t xml:space="preserve">Alberta (Information and Privacy Commissioner) </w:t>
      </w:r>
      <w:r w:rsidRPr="00EC10AB">
        <w:rPr>
          <w:i/>
          <w:lang w:val="fr-CA"/>
        </w:rPr>
        <w:t>c.</w:t>
      </w:r>
      <w:r w:rsidRPr="00EC10AB">
        <w:rPr>
          <w:lang w:val="fr-CA"/>
        </w:rPr>
        <w:t xml:space="preserve"> Travailleurs et travailleuses unis de l’alimentation et du commerce, section locale 401</w:t>
      </w:r>
      <w:r>
        <w:rPr>
          <w:lang w:val="fr-CA"/>
        </w:rPr>
        <w:t xml:space="preserve">, </w:t>
      </w:r>
      <w:r w:rsidRPr="00265B2D">
        <w:rPr>
          <w:lang w:val="fr-CA"/>
        </w:rPr>
        <w:t>2013 CSC 62</w:t>
      </w:r>
      <w:r>
        <w:rPr>
          <w:lang w:val="fr-CA"/>
        </w:rPr>
        <w:t xml:space="preserve">, [2013] 3 R.C.S. </w:t>
      </w:r>
      <w:r w:rsidR="00D60DF5">
        <w:rPr>
          <w:lang w:val="fr-CA"/>
        </w:rPr>
        <w:t>733</w:t>
      </w:r>
    </w:p>
    <w:p w:rsidR="00811750" w:rsidRPr="00265B2D" w:rsidRDefault="0015641A" w:rsidP="0013236B">
      <w:pPr>
        <w:pStyle w:val="SCCLsocLastPartyInRole"/>
        <w:rPr>
          <w:lang w:val="en-US"/>
        </w:rPr>
      </w:pPr>
      <w:r w:rsidRPr="00265B2D">
        <w:rPr>
          <w:lang w:val="en-US"/>
        </w:rPr>
        <w:t>Information and Privacy Commissioner</w:t>
      </w:r>
      <w:r w:rsidR="009659F3" w:rsidRPr="00265B2D">
        <w:rPr>
          <w:lang w:val="en-US"/>
        </w:rPr>
        <w:t xml:space="preserve"> of Alberta</w:t>
      </w:r>
      <w:r w:rsidR="00043465" w:rsidRPr="00265B2D">
        <w:rPr>
          <w:rStyle w:val="SCCLsocPartyRole"/>
          <w:lang w:val="en-US"/>
        </w:rPr>
        <w:tab/>
        <w:t>Appelant</w:t>
      </w:r>
    </w:p>
    <w:p w:rsidR="00811750" w:rsidRPr="00265B2D" w:rsidRDefault="0015641A" w:rsidP="0013236B">
      <w:pPr>
        <w:pStyle w:val="SCCLsocVersus"/>
        <w:rPr>
          <w:lang w:val="fr-CA"/>
        </w:rPr>
      </w:pPr>
      <w:r w:rsidRPr="00265B2D">
        <w:rPr>
          <w:lang w:val="fr-CA"/>
        </w:rPr>
        <w:t>c.</w:t>
      </w:r>
    </w:p>
    <w:p w:rsidR="00E42E4A" w:rsidRPr="00265B2D" w:rsidRDefault="00E42E4A" w:rsidP="0013236B">
      <w:pPr>
        <w:pStyle w:val="SCCLsocLastPartyInRole"/>
        <w:spacing w:after="0"/>
        <w:rPr>
          <w:lang w:val="fr-CA"/>
        </w:rPr>
      </w:pPr>
      <w:r w:rsidRPr="00265B2D">
        <w:rPr>
          <w:lang w:val="fr-CA"/>
        </w:rPr>
        <w:t>T</w:t>
      </w:r>
      <w:r w:rsidR="0015641A" w:rsidRPr="00265B2D">
        <w:rPr>
          <w:lang w:val="fr-CA"/>
        </w:rPr>
        <w:t xml:space="preserve">ravailleurs et travailleuses unis de </w:t>
      </w:r>
    </w:p>
    <w:p w:rsidR="00811750" w:rsidRPr="00265B2D" w:rsidRDefault="00043465" w:rsidP="0013236B">
      <w:pPr>
        <w:pStyle w:val="SCCLsocLastPartyInRole"/>
        <w:rPr>
          <w:lang w:val="fr-CA"/>
        </w:rPr>
      </w:pPr>
      <w:r w:rsidRPr="00265B2D">
        <w:rPr>
          <w:lang w:val="fr-CA"/>
        </w:rPr>
        <w:t>l’</w:t>
      </w:r>
      <w:r w:rsidR="0015641A" w:rsidRPr="00265B2D">
        <w:rPr>
          <w:lang w:val="fr-CA"/>
        </w:rPr>
        <w:t>alimentation</w:t>
      </w:r>
      <w:r w:rsidR="00E42E4A" w:rsidRPr="00265B2D">
        <w:rPr>
          <w:lang w:val="fr-CA"/>
        </w:rPr>
        <w:t xml:space="preserve"> et du commerce</w:t>
      </w:r>
      <w:r w:rsidR="0015641A" w:rsidRPr="00265B2D">
        <w:rPr>
          <w:lang w:val="fr-CA"/>
        </w:rPr>
        <w:t>, section locale 401</w:t>
      </w:r>
      <w:r w:rsidRPr="00265B2D">
        <w:rPr>
          <w:rStyle w:val="SCCLsocPartyRole"/>
          <w:lang w:val="fr-CA"/>
        </w:rPr>
        <w:tab/>
        <w:t>Intimé</w:t>
      </w:r>
    </w:p>
    <w:p w:rsidR="00811750" w:rsidRPr="00265B2D" w:rsidRDefault="00F54208" w:rsidP="0013236B">
      <w:pPr>
        <w:pStyle w:val="SCCLsocOtherPartySeparator"/>
        <w:rPr>
          <w:lang w:val="fr-CA"/>
        </w:rPr>
      </w:pPr>
      <w:r>
        <w:rPr>
          <w:lang w:val="fr-CA"/>
        </w:rPr>
        <w:t>-</w:t>
      </w:r>
      <w:r w:rsidR="00CE6731" w:rsidRPr="00265B2D">
        <w:rPr>
          <w:lang w:val="fr-CA"/>
        </w:rPr>
        <w:t xml:space="preserve"> </w:t>
      </w:r>
      <w:r w:rsidR="0015641A" w:rsidRPr="00265B2D">
        <w:rPr>
          <w:lang w:val="fr-CA"/>
        </w:rPr>
        <w:t>et</w:t>
      </w:r>
      <w:r w:rsidR="00CE6731" w:rsidRPr="00265B2D">
        <w:rPr>
          <w:lang w:val="fr-CA"/>
        </w:rPr>
        <w:t xml:space="preserve"> </w:t>
      </w:r>
      <w:r>
        <w:rPr>
          <w:lang w:val="fr-CA"/>
        </w:rPr>
        <w:t>-</w:t>
      </w:r>
    </w:p>
    <w:p w:rsidR="00CE6731" w:rsidRPr="00265B2D" w:rsidRDefault="00CE6731" w:rsidP="0013236B">
      <w:pPr>
        <w:pStyle w:val="SCCLsocLastPartyInRole"/>
        <w:rPr>
          <w:lang w:val="fr-CA"/>
        </w:rPr>
      </w:pPr>
      <w:r w:rsidRPr="00265B2D">
        <w:rPr>
          <w:lang w:val="fr-CA"/>
        </w:rPr>
        <w:t>Procureur général de l’Alberta</w:t>
      </w:r>
      <w:r w:rsidRPr="00265B2D">
        <w:rPr>
          <w:rStyle w:val="SCCLsocPartyRole"/>
          <w:lang w:val="fr-CA"/>
        </w:rPr>
        <w:tab/>
        <w:t>Appelant</w:t>
      </w:r>
    </w:p>
    <w:p w:rsidR="00CE6731" w:rsidRPr="00265B2D" w:rsidRDefault="00CE6731" w:rsidP="0013236B">
      <w:pPr>
        <w:spacing w:after="720"/>
        <w:rPr>
          <w:i/>
          <w:lang w:val="fr-CA"/>
        </w:rPr>
      </w:pPr>
      <w:r w:rsidRPr="00265B2D">
        <w:rPr>
          <w:i/>
          <w:lang w:val="fr-CA"/>
        </w:rPr>
        <w:t xml:space="preserve">c. </w:t>
      </w:r>
    </w:p>
    <w:p w:rsidR="00E42E4A" w:rsidRPr="00265B2D" w:rsidRDefault="00E42E4A" w:rsidP="0013236B">
      <w:pPr>
        <w:pStyle w:val="SCCLsocLastPartyInRole"/>
        <w:spacing w:after="0"/>
        <w:rPr>
          <w:lang w:val="fr-CA"/>
        </w:rPr>
      </w:pPr>
      <w:r w:rsidRPr="00265B2D">
        <w:rPr>
          <w:lang w:val="fr-CA"/>
        </w:rPr>
        <w:t xml:space="preserve">Travailleurs et travailleuses unis de </w:t>
      </w:r>
    </w:p>
    <w:p w:rsidR="00CE6731" w:rsidRPr="00265B2D" w:rsidRDefault="00E42E4A" w:rsidP="0013236B">
      <w:pPr>
        <w:pStyle w:val="SCCLsocLastPartyInRole"/>
        <w:rPr>
          <w:lang w:val="fr-CA"/>
        </w:rPr>
      </w:pPr>
      <w:r w:rsidRPr="00265B2D">
        <w:rPr>
          <w:lang w:val="fr-CA"/>
        </w:rPr>
        <w:t>l’alimentation et du commerce, section locale 401</w:t>
      </w:r>
      <w:r w:rsidRPr="00265B2D">
        <w:rPr>
          <w:rStyle w:val="SCCLsocPartyRole"/>
          <w:lang w:val="fr-CA"/>
        </w:rPr>
        <w:tab/>
        <w:t>Intimé</w:t>
      </w:r>
    </w:p>
    <w:p w:rsidR="00CE6731" w:rsidRPr="00265B2D" w:rsidRDefault="00CE6731" w:rsidP="0013236B">
      <w:pPr>
        <w:spacing w:after="720"/>
        <w:rPr>
          <w:lang w:val="fr-CA"/>
        </w:rPr>
      </w:pPr>
      <w:r w:rsidRPr="00265B2D">
        <w:rPr>
          <w:lang w:val="fr-CA"/>
        </w:rPr>
        <w:t>et</w:t>
      </w:r>
    </w:p>
    <w:p w:rsidR="00811750" w:rsidRPr="00265B2D" w:rsidRDefault="0015641A" w:rsidP="0013236B">
      <w:pPr>
        <w:pStyle w:val="SCCLsocParty"/>
        <w:rPr>
          <w:lang w:val="fr-CA"/>
        </w:rPr>
      </w:pPr>
      <w:r w:rsidRPr="00265B2D">
        <w:rPr>
          <w:lang w:val="fr-CA"/>
        </w:rPr>
        <w:t>Procureur général du Canada,</w:t>
      </w:r>
      <w:r w:rsidR="00043465" w:rsidRPr="00265B2D">
        <w:rPr>
          <w:lang w:val="fr-CA"/>
        </w:rPr>
        <w:t xml:space="preserve"> p</w:t>
      </w:r>
      <w:r w:rsidRPr="00265B2D">
        <w:rPr>
          <w:lang w:val="fr-CA"/>
        </w:rPr>
        <w:t>rocureur général de l</w:t>
      </w:r>
      <w:r w:rsidR="00043465" w:rsidRPr="00265B2D">
        <w:rPr>
          <w:lang w:val="fr-CA"/>
        </w:rPr>
        <w:t>’</w:t>
      </w:r>
      <w:r w:rsidRPr="00265B2D">
        <w:rPr>
          <w:lang w:val="fr-CA"/>
        </w:rPr>
        <w:t>Ontario,</w:t>
      </w:r>
      <w:r w:rsidR="00043465" w:rsidRPr="00265B2D">
        <w:rPr>
          <w:lang w:val="fr-CA"/>
        </w:rPr>
        <w:t xml:space="preserve"> </w:t>
      </w:r>
    </w:p>
    <w:p w:rsidR="00F96E19" w:rsidRPr="00265B2D" w:rsidRDefault="00ED6B81" w:rsidP="0013236B">
      <w:pPr>
        <w:pStyle w:val="SCCLsocParty"/>
        <w:rPr>
          <w:lang w:val="fr-CA"/>
        </w:rPr>
      </w:pPr>
      <w:r>
        <w:rPr>
          <w:lang w:val="fr-CA"/>
        </w:rPr>
        <w:t>c</w:t>
      </w:r>
      <w:r w:rsidR="0015641A" w:rsidRPr="00265B2D">
        <w:rPr>
          <w:lang w:val="fr-CA"/>
        </w:rPr>
        <w:t>ommis</w:t>
      </w:r>
      <w:r w:rsidR="00AF02C1" w:rsidRPr="00265B2D">
        <w:rPr>
          <w:lang w:val="fr-CA"/>
        </w:rPr>
        <w:t>s</w:t>
      </w:r>
      <w:r w:rsidR="0015641A" w:rsidRPr="00265B2D">
        <w:rPr>
          <w:lang w:val="fr-CA"/>
        </w:rPr>
        <w:t>aire à la protection de la vie privée du Canada,</w:t>
      </w:r>
      <w:r w:rsidR="00043465" w:rsidRPr="00265B2D">
        <w:rPr>
          <w:lang w:val="fr-CA"/>
        </w:rPr>
        <w:t xml:space="preserve"> </w:t>
      </w:r>
    </w:p>
    <w:p w:rsidR="006826CE" w:rsidRPr="00265B2D" w:rsidRDefault="006826CE" w:rsidP="0013236B">
      <w:pPr>
        <w:pStyle w:val="SCCLsocParty"/>
        <w:rPr>
          <w:lang w:val="fr-CA"/>
        </w:rPr>
      </w:pPr>
      <w:r w:rsidRPr="00265B2D">
        <w:rPr>
          <w:lang w:val="fr-CA"/>
        </w:rPr>
        <w:t xml:space="preserve">Association canadienne des libertés civiles, Association des </w:t>
      </w:r>
    </w:p>
    <w:p w:rsidR="006826CE" w:rsidRPr="00265B2D" w:rsidRDefault="006826CE" w:rsidP="0013236B">
      <w:pPr>
        <w:pStyle w:val="SCCLsocParty"/>
        <w:rPr>
          <w:lang w:val="fr-CA"/>
        </w:rPr>
      </w:pPr>
      <w:r w:rsidRPr="00265B2D">
        <w:rPr>
          <w:lang w:val="fr-CA"/>
        </w:rPr>
        <w:t>libertés civiles de la Colombie</w:t>
      </w:r>
      <w:r w:rsidR="00536FA1" w:rsidRPr="00265B2D">
        <w:rPr>
          <w:lang w:val="fr-CA"/>
        </w:rPr>
        <w:noBreakHyphen/>
      </w:r>
      <w:r w:rsidRPr="00265B2D">
        <w:rPr>
          <w:lang w:val="fr-CA"/>
        </w:rPr>
        <w:t xml:space="preserve">Britannique, </w:t>
      </w:r>
      <w:r w:rsidR="00ED6B81">
        <w:rPr>
          <w:lang w:val="fr-CA"/>
        </w:rPr>
        <w:t>c</w:t>
      </w:r>
      <w:r w:rsidR="00F96E19" w:rsidRPr="00265B2D">
        <w:rPr>
          <w:lang w:val="fr-CA"/>
        </w:rPr>
        <w:t xml:space="preserve">ommissaire à </w:t>
      </w:r>
    </w:p>
    <w:p w:rsidR="006826CE" w:rsidRPr="00265B2D" w:rsidRDefault="00F96E19" w:rsidP="0013236B">
      <w:pPr>
        <w:pStyle w:val="SCCLsocParty"/>
        <w:rPr>
          <w:lang w:val="fr-CA"/>
        </w:rPr>
      </w:pPr>
      <w:r w:rsidRPr="00265B2D">
        <w:rPr>
          <w:lang w:val="fr-CA"/>
        </w:rPr>
        <w:t>l’information et à la protection de la vie privée de</w:t>
      </w:r>
      <w:r w:rsidR="006826CE" w:rsidRPr="00265B2D">
        <w:rPr>
          <w:lang w:val="fr-CA"/>
        </w:rPr>
        <w:t xml:space="preserve"> </w:t>
      </w:r>
      <w:r w:rsidRPr="00265B2D">
        <w:rPr>
          <w:lang w:val="fr-CA"/>
        </w:rPr>
        <w:t xml:space="preserve">l’Ontario, </w:t>
      </w:r>
    </w:p>
    <w:p w:rsidR="006826CE" w:rsidRPr="00265B2D" w:rsidRDefault="0015641A" w:rsidP="0013236B">
      <w:pPr>
        <w:pStyle w:val="SCCLsocParty"/>
        <w:rPr>
          <w:lang w:val="en-US"/>
        </w:rPr>
      </w:pPr>
      <w:r w:rsidRPr="00265B2D">
        <w:rPr>
          <w:lang w:val="en-US"/>
        </w:rPr>
        <w:t>Coalition of British Columbia Businesses</w:t>
      </w:r>
      <w:r w:rsidR="00043465" w:rsidRPr="00265B2D">
        <w:rPr>
          <w:lang w:val="en-US"/>
        </w:rPr>
        <w:t xml:space="preserve">, </w:t>
      </w:r>
      <w:r w:rsidR="00F96E19" w:rsidRPr="00265B2D">
        <w:rPr>
          <w:lang w:val="en-US"/>
        </w:rPr>
        <w:t>Merit Canada</w:t>
      </w:r>
      <w:r w:rsidR="006826CE" w:rsidRPr="00265B2D">
        <w:rPr>
          <w:lang w:val="en-US"/>
        </w:rPr>
        <w:t xml:space="preserve">, </w:t>
      </w:r>
    </w:p>
    <w:p w:rsidR="006826CE" w:rsidRPr="00265B2D" w:rsidRDefault="006826CE" w:rsidP="0013236B">
      <w:pPr>
        <w:pStyle w:val="SCCLsocParty"/>
        <w:rPr>
          <w:lang w:val="en-US"/>
        </w:rPr>
      </w:pPr>
      <w:r w:rsidRPr="00265B2D">
        <w:rPr>
          <w:lang w:val="en-US"/>
        </w:rPr>
        <w:t>Information and Privacy Commissioner of British Columbia</w:t>
      </w:r>
      <w:r w:rsidR="00F54208">
        <w:rPr>
          <w:lang w:val="en-US"/>
        </w:rPr>
        <w:t>,</w:t>
      </w:r>
      <w:r w:rsidRPr="00265B2D">
        <w:rPr>
          <w:lang w:val="en-US"/>
        </w:rPr>
        <w:t xml:space="preserve"> </w:t>
      </w:r>
    </w:p>
    <w:p w:rsidR="00811750" w:rsidRPr="00265B2D" w:rsidRDefault="00F96E19" w:rsidP="0013236B">
      <w:pPr>
        <w:pStyle w:val="SCCLsocParty"/>
        <w:spacing w:after="720"/>
      </w:pPr>
      <w:r w:rsidRPr="00265B2D">
        <w:rPr>
          <w:lang w:val="en-US"/>
        </w:rPr>
        <w:t>et</w:t>
      </w:r>
      <w:r w:rsidR="00043465" w:rsidRPr="00265B2D">
        <w:rPr>
          <w:lang w:val="en-US"/>
        </w:rPr>
        <w:t xml:space="preserve"> </w:t>
      </w:r>
      <w:r w:rsidR="0015641A" w:rsidRPr="00265B2D">
        <w:rPr>
          <w:lang w:val="en-US"/>
        </w:rPr>
        <w:t xml:space="preserve">Alberta </w:t>
      </w:r>
      <w:r w:rsidR="0015641A" w:rsidRPr="00265B2D">
        <w:t>Federation of Labour</w:t>
      </w:r>
      <w:r w:rsidRPr="00265B2D">
        <w:rPr>
          <w:rStyle w:val="SCCLsocPartyRole"/>
        </w:rPr>
        <w:tab/>
        <w:t>Intervenant</w:t>
      </w:r>
      <w:r w:rsidR="0015641A" w:rsidRPr="00265B2D">
        <w:rPr>
          <w:rStyle w:val="SCCLsocPartyRole"/>
        </w:rPr>
        <w:t>s</w:t>
      </w:r>
    </w:p>
    <w:p w:rsidR="004D7D95" w:rsidRPr="00265B2D" w:rsidRDefault="004D7D95" w:rsidP="0013236B">
      <w:pPr>
        <w:spacing w:after="720"/>
        <w:jc w:val="both"/>
        <w:rPr>
          <w:b/>
          <w:lang w:val="fr-CA"/>
        </w:rPr>
      </w:pPr>
      <w:r w:rsidRPr="00265B2D">
        <w:rPr>
          <w:b/>
          <w:lang w:val="fr-CA"/>
        </w:rPr>
        <w:lastRenderedPageBreak/>
        <w:t>Répertorié</w:t>
      </w:r>
      <w:r w:rsidR="00536FA1" w:rsidRPr="00265B2D">
        <w:rPr>
          <w:b/>
          <w:lang w:val="fr-CA"/>
        </w:rPr>
        <w:t> :</w:t>
      </w:r>
      <w:r w:rsidRPr="00265B2D">
        <w:rPr>
          <w:b/>
          <w:lang w:val="fr-CA"/>
        </w:rPr>
        <w:t> </w:t>
      </w:r>
      <w:r w:rsidR="00F96E19" w:rsidRPr="00265B2D">
        <w:rPr>
          <w:b/>
          <w:lang w:val="fr-CA"/>
        </w:rPr>
        <w:t>Alberta (</w:t>
      </w:r>
      <w:r w:rsidRPr="00C87959">
        <w:rPr>
          <w:b/>
          <w:lang w:val="fr-CA"/>
        </w:rPr>
        <w:t>Information and Pri</w:t>
      </w:r>
      <w:r w:rsidR="00F96E19" w:rsidRPr="00C87959">
        <w:rPr>
          <w:b/>
          <w:lang w:val="fr-CA"/>
        </w:rPr>
        <w:t>vacy Commissioner)</w:t>
      </w:r>
      <w:r w:rsidRPr="00265B2D">
        <w:rPr>
          <w:b/>
          <w:lang w:val="fr-CA"/>
        </w:rPr>
        <w:t xml:space="preserve"> </w:t>
      </w:r>
      <w:r w:rsidRPr="00265B2D">
        <w:rPr>
          <w:b/>
          <w:i/>
          <w:lang w:val="fr-CA"/>
        </w:rPr>
        <w:t>c.</w:t>
      </w:r>
      <w:r w:rsidRPr="00265B2D">
        <w:rPr>
          <w:b/>
          <w:lang w:val="fr-CA"/>
        </w:rPr>
        <w:t xml:space="preserve"> </w:t>
      </w:r>
      <w:r w:rsidR="00E42E4A" w:rsidRPr="00C87959">
        <w:rPr>
          <w:b/>
          <w:lang w:val="fr-CA"/>
        </w:rPr>
        <w:t>T</w:t>
      </w:r>
      <w:r w:rsidR="00F96E19" w:rsidRPr="00265B2D">
        <w:rPr>
          <w:b/>
          <w:lang w:val="fr-CA"/>
        </w:rPr>
        <w:t>ravailleurs et travailleuses unis de l’alimentation</w:t>
      </w:r>
      <w:r w:rsidR="00E42E4A" w:rsidRPr="00265B2D">
        <w:rPr>
          <w:b/>
          <w:lang w:val="fr-CA"/>
        </w:rPr>
        <w:t xml:space="preserve"> et du commerce</w:t>
      </w:r>
      <w:r w:rsidR="00F96E19" w:rsidRPr="00265B2D">
        <w:rPr>
          <w:b/>
          <w:lang w:val="fr-CA"/>
        </w:rPr>
        <w:t>, section locale 401</w:t>
      </w:r>
    </w:p>
    <w:p w:rsidR="004D7D95" w:rsidRPr="00265B2D" w:rsidRDefault="00F62639" w:rsidP="0013236B">
      <w:pPr>
        <w:pStyle w:val="SCCSystemYear"/>
        <w:spacing w:after="720"/>
        <w:jc w:val="both"/>
        <w:rPr>
          <w:lang w:val="fr-CA"/>
        </w:rPr>
      </w:pPr>
      <w:r w:rsidRPr="00265B2D">
        <w:rPr>
          <w:lang w:val="fr-CA"/>
        </w:rPr>
        <w:t>2013</w:t>
      </w:r>
      <w:r w:rsidR="004D7D95" w:rsidRPr="00265B2D">
        <w:rPr>
          <w:lang w:val="fr-CA"/>
        </w:rPr>
        <w:t xml:space="preserve"> CSC </w:t>
      </w:r>
      <w:r w:rsidR="005D44E5" w:rsidRPr="00265B2D">
        <w:rPr>
          <w:lang w:val="fr-CA"/>
        </w:rPr>
        <w:t>62</w:t>
      </w:r>
    </w:p>
    <w:p w:rsidR="004D7D95" w:rsidRPr="00265B2D" w:rsidRDefault="004D7D95" w:rsidP="0013236B">
      <w:pPr>
        <w:spacing w:after="720"/>
        <w:jc w:val="both"/>
        <w:rPr>
          <w:lang w:val="fr-CA"/>
        </w:rPr>
      </w:pPr>
      <w:r w:rsidRPr="00265B2D">
        <w:rPr>
          <w:lang w:val="fr-CA"/>
        </w:rPr>
        <w:t>N</w:t>
      </w:r>
      <w:r w:rsidRPr="00265B2D">
        <w:rPr>
          <w:vertAlign w:val="superscript"/>
          <w:lang w:val="fr-CA"/>
        </w:rPr>
        <w:t>o</w:t>
      </w:r>
      <w:r w:rsidRPr="00265B2D">
        <w:rPr>
          <w:lang w:val="fr-CA"/>
        </w:rPr>
        <w:t xml:space="preserve"> du greffe</w:t>
      </w:r>
      <w:r w:rsidR="00536FA1" w:rsidRPr="00265B2D">
        <w:rPr>
          <w:lang w:val="fr-CA"/>
        </w:rPr>
        <w:t> :</w:t>
      </w:r>
      <w:r w:rsidRPr="00265B2D">
        <w:rPr>
          <w:lang w:val="fr-CA"/>
        </w:rPr>
        <w:t> 34890.</w:t>
      </w:r>
    </w:p>
    <w:p w:rsidR="004D7D95" w:rsidRPr="00265B2D" w:rsidRDefault="0013236B" w:rsidP="0013236B">
      <w:pPr>
        <w:spacing w:after="720"/>
        <w:jc w:val="both"/>
        <w:rPr>
          <w:lang w:val="fr-CA"/>
        </w:rPr>
      </w:pPr>
      <w:r w:rsidRPr="00265B2D">
        <w:rPr>
          <w:lang w:val="fr-CA"/>
        </w:rPr>
        <w:t>2013</w:t>
      </w:r>
      <w:r w:rsidR="00536FA1" w:rsidRPr="00265B2D">
        <w:rPr>
          <w:lang w:val="fr-CA"/>
        </w:rPr>
        <w:t> :</w:t>
      </w:r>
      <w:r w:rsidRPr="00265B2D">
        <w:rPr>
          <w:lang w:val="fr-CA"/>
        </w:rPr>
        <w:t> </w:t>
      </w:r>
      <w:r w:rsidR="00F62639" w:rsidRPr="00265B2D">
        <w:rPr>
          <w:lang w:val="fr-CA"/>
        </w:rPr>
        <w:t>11 juin</w:t>
      </w:r>
      <w:r w:rsidR="004D7D95" w:rsidRPr="00265B2D">
        <w:rPr>
          <w:lang w:val="fr-CA"/>
        </w:rPr>
        <w:t xml:space="preserve">; </w:t>
      </w:r>
      <w:r w:rsidR="00563571" w:rsidRPr="00265B2D">
        <w:rPr>
          <w:lang w:val="fr-CA"/>
        </w:rPr>
        <w:t>2013</w:t>
      </w:r>
      <w:r w:rsidR="00536FA1" w:rsidRPr="00265B2D">
        <w:rPr>
          <w:lang w:val="fr-CA"/>
        </w:rPr>
        <w:t> :</w:t>
      </w:r>
      <w:r w:rsidR="00563571" w:rsidRPr="00265B2D">
        <w:rPr>
          <w:lang w:val="fr-CA"/>
        </w:rPr>
        <w:t xml:space="preserve"> 15 novembre</w:t>
      </w:r>
      <w:r w:rsidR="004D7D95" w:rsidRPr="00265B2D">
        <w:rPr>
          <w:lang w:val="fr-CA"/>
        </w:rPr>
        <w:t>.</w:t>
      </w:r>
    </w:p>
    <w:p w:rsidR="004D7D95" w:rsidRPr="00265B2D" w:rsidRDefault="004D7D95" w:rsidP="0013236B">
      <w:pPr>
        <w:spacing w:after="720"/>
        <w:jc w:val="both"/>
        <w:rPr>
          <w:lang w:val="fr-CA"/>
        </w:rPr>
      </w:pPr>
      <w:r w:rsidRPr="00265B2D">
        <w:rPr>
          <w:lang w:val="fr-CA"/>
        </w:rPr>
        <w:t>Présents</w:t>
      </w:r>
      <w:r w:rsidR="00536FA1" w:rsidRPr="00265B2D">
        <w:rPr>
          <w:lang w:val="fr-CA"/>
        </w:rPr>
        <w:t> :</w:t>
      </w:r>
      <w:r w:rsidRPr="00265B2D">
        <w:rPr>
          <w:lang w:val="fr-CA"/>
        </w:rPr>
        <w:t> La juge en chef McLachlin et les juges LeBel, Fish, Abella, Rothstein, Cromwell, Moldaver, Karakatsanis et Wagner.</w:t>
      </w:r>
    </w:p>
    <w:p w:rsidR="004D7D95" w:rsidRPr="00265B2D" w:rsidRDefault="004D7D95" w:rsidP="0013236B">
      <w:pPr>
        <w:spacing w:after="720"/>
        <w:jc w:val="both"/>
        <w:rPr>
          <w:smallCaps/>
          <w:lang w:val="fr-CA"/>
        </w:rPr>
      </w:pPr>
      <w:r w:rsidRPr="00265B2D">
        <w:rPr>
          <w:smallCaps/>
          <w:lang w:val="fr-CA"/>
        </w:rPr>
        <w:t>en appel de la cour</w:t>
      </w:r>
      <w:r w:rsidR="00F54208">
        <w:rPr>
          <w:smallCaps/>
          <w:lang w:val="fr-CA"/>
        </w:rPr>
        <w:t xml:space="preserve"> d’</w:t>
      </w:r>
      <w:r w:rsidR="003C5F76" w:rsidRPr="00265B2D">
        <w:rPr>
          <w:smallCaps/>
          <w:lang w:val="fr-CA"/>
        </w:rPr>
        <w:t>appel de l’alberta</w:t>
      </w:r>
    </w:p>
    <w:p w:rsidR="00D71540" w:rsidRPr="00265B2D" w:rsidRDefault="004D7D95" w:rsidP="00536FA1">
      <w:pPr>
        <w:pStyle w:val="SCCNormalDoubleSpacing"/>
        <w:spacing w:before="480" w:after="480"/>
        <w:rPr>
          <w:i/>
          <w:iCs/>
          <w:lang w:val="fr-CA"/>
        </w:rPr>
      </w:pPr>
      <w:r w:rsidRPr="00265B2D">
        <w:rPr>
          <w:lang w:val="fr-CA"/>
        </w:rPr>
        <w:tab/>
      </w:r>
      <w:r w:rsidR="00D71540" w:rsidRPr="00265B2D">
        <w:rPr>
          <w:i/>
          <w:iCs/>
          <w:lang w:val="fr-CA"/>
        </w:rPr>
        <w:t>Droit constitutionnel — Charte de</w:t>
      </w:r>
      <w:r w:rsidR="00265B2D" w:rsidRPr="00265B2D">
        <w:rPr>
          <w:i/>
          <w:iCs/>
          <w:lang w:val="fr-CA"/>
        </w:rPr>
        <w:t>s</w:t>
      </w:r>
      <w:r w:rsidR="00265B2D">
        <w:rPr>
          <w:i/>
          <w:iCs/>
          <w:lang w:val="fr-CA"/>
        </w:rPr>
        <w:t xml:space="preserve"> </w:t>
      </w:r>
      <w:r w:rsidR="00265B2D" w:rsidRPr="00265B2D">
        <w:rPr>
          <w:i/>
          <w:iCs/>
          <w:lang w:val="fr-CA"/>
        </w:rPr>
        <w:t>d</w:t>
      </w:r>
      <w:r w:rsidR="00D71540" w:rsidRPr="00265B2D">
        <w:rPr>
          <w:i/>
          <w:iCs/>
          <w:lang w:val="fr-CA"/>
        </w:rPr>
        <w:t>roits — Liberté d’expression — Relations de travail — Droit à la vie privée — Syndicat filme et photographie des personnes franchissant sa ligne de piquetage pour se servir des enregistrements dans le cadre du conflit de trav</w:t>
      </w:r>
      <w:r w:rsidR="00536FA1" w:rsidRPr="00265B2D">
        <w:rPr>
          <w:i/>
          <w:iCs/>
          <w:lang w:val="fr-CA"/>
        </w:rPr>
        <w:t xml:space="preserve">ail en cours </w:t>
      </w:r>
      <w:r w:rsidR="00D71540" w:rsidRPr="00265B2D">
        <w:rPr>
          <w:i/>
          <w:iCs/>
          <w:lang w:val="fr-CA"/>
        </w:rPr>
        <w:t>— La loi qui restreint la collecte, l’utilisation et la communication de renseignements personnels porte</w:t>
      </w:r>
      <w:r w:rsidR="00536FA1" w:rsidRPr="00265B2D">
        <w:rPr>
          <w:i/>
          <w:iCs/>
          <w:lang w:val="fr-CA"/>
        </w:rPr>
        <w:noBreakHyphen/>
      </w:r>
      <w:r w:rsidR="00D71540" w:rsidRPr="00265B2D">
        <w:rPr>
          <w:i/>
          <w:iCs/>
          <w:lang w:val="fr-CA"/>
        </w:rPr>
        <w:t>t</w:t>
      </w:r>
      <w:r w:rsidR="00536FA1" w:rsidRPr="00265B2D">
        <w:rPr>
          <w:i/>
          <w:iCs/>
          <w:lang w:val="fr-CA"/>
        </w:rPr>
        <w:noBreakHyphen/>
      </w:r>
      <w:r w:rsidR="00D71540" w:rsidRPr="00265B2D">
        <w:rPr>
          <w:i/>
          <w:iCs/>
          <w:lang w:val="fr-CA"/>
        </w:rPr>
        <w:t>elle atteinte au droit à la liberté d</w:t>
      </w:r>
      <w:r w:rsidR="00ED6B81">
        <w:rPr>
          <w:i/>
          <w:iCs/>
          <w:lang w:val="fr-CA"/>
        </w:rPr>
        <w:t>’expression du syndicat protégé</w:t>
      </w:r>
      <w:r w:rsidR="00D71540" w:rsidRPr="00265B2D">
        <w:rPr>
          <w:i/>
          <w:iCs/>
          <w:lang w:val="fr-CA"/>
        </w:rPr>
        <w:t xml:space="preserve"> par l’</w:t>
      </w:r>
      <w:r w:rsidR="00ED6B81">
        <w:rPr>
          <w:i/>
          <w:iCs/>
          <w:lang w:val="fr-CA"/>
        </w:rPr>
        <w:t>art</w:t>
      </w:r>
      <w:r w:rsidR="00536FA1" w:rsidRPr="00265B2D">
        <w:rPr>
          <w:i/>
          <w:iCs/>
          <w:lang w:val="fr-CA"/>
        </w:rPr>
        <w:t>. </w:t>
      </w:r>
      <w:r w:rsidR="00D71540" w:rsidRPr="00265B2D">
        <w:rPr>
          <w:i/>
          <w:iCs/>
          <w:lang w:val="fr-CA"/>
        </w:rPr>
        <w:t>2b) de la Charte et, dans l’affirmative, l’atteinte est</w:t>
      </w:r>
      <w:r w:rsidR="00536FA1" w:rsidRPr="00265B2D">
        <w:rPr>
          <w:i/>
          <w:iCs/>
          <w:lang w:val="fr-CA"/>
        </w:rPr>
        <w:noBreakHyphen/>
        <w:t xml:space="preserve">elle justifiée? </w:t>
      </w:r>
      <w:r w:rsidR="00D71540" w:rsidRPr="00265B2D">
        <w:rPr>
          <w:i/>
          <w:iCs/>
          <w:lang w:val="fr-CA"/>
        </w:rPr>
        <w:t xml:space="preserve">— Charte canadienne des droits et libertés, </w:t>
      </w:r>
      <w:r w:rsidR="00536FA1" w:rsidRPr="00265B2D">
        <w:rPr>
          <w:i/>
          <w:iCs/>
          <w:lang w:val="fr-CA"/>
        </w:rPr>
        <w:t>art. </w:t>
      </w:r>
      <w:r w:rsidR="00F54208">
        <w:rPr>
          <w:i/>
          <w:iCs/>
          <w:lang w:val="fr-CA"/>
        </w:rPr>
        <w:t xml:space="preserve">1, </w:t>
      </w:r>
      <w:r w:rsidR="00D71540" w:rsidRPr="00265B2D">
        <w:rPr>
          <w:i/>
          <w:iCs/>
          <w:lang w:val="fr-CA"/>
        </w:rPr>
        <w:t xml:space="preserve">2b) — Personal Information Protection Act, S.A. 2003, </w:t>
      </w:r>
      <w:r w:rsidR="00536FA1" w:rsidRPr="00265B2D">
        <w:rPr>
          <w:i/>
          <w:iCs/>
          <w:lang w:val="fr-CA"/>
        </w:rPr>
        <w:t>ch. </w:t>
      </w:r>
      <w:r w:rsidR="00D71540" w:rsidRPr="00265B2D">
        <w:rPr>
          <w:i/>
          <w:iCs/>
          <w:lang w:val="fr-CA"/>
        </w:rPr>
        <w:t>P</w:t>
      </w:r>
      <w:r w:rsidR="00536FA1" w:rsidRPr="00265B2D">
        <w:rPr>
          <w:i/>
          <w:iCs/>
          <w:lang w:val="fr-CA"/>
        </w:rPr>
        <w:noBreakHyphen/>
      </w:r>
      <w:r w:rsidR="00D71540" w:rsidRPr="00265B2D">
        <w:rPr>
          <w:i/>
          <w:iCs/>
          <w:lang w:val="fr-CA"/>
        </w:rPr>
        <w:t>6.5</w:t>
      </w:r>
      <w:r w:rsidR="00D71540" w:rsidRPr="00265B2D">
        <w:rPr>
          <w:i/>
          <w:lang w:val="fr-CA"/>
        </w:rPr>
        <w:t xml:space="preserve"> </w:t>
      </w:r>
      <w:r w:rsidR="00536FA1" w:rsidRPr="00265B2D">
        <w:rPr>
          <w:i/>
          <w:iCs/>
          <w:lang w:val="fr-CA"/>
        </w:rPr>
        <w:t xml:space="preserve">— </w:t>
      </w:r>
      <w:r w:rsidR="00D71540" w:rsidRPr="00265B2D">
        <w:rPr>
          <w:i/>
          <w:lang w:val="fr-CA"/>
        </w:rPr>
        <w:t>Personal Information Protection Act Regulation</w:t>
      </w:r>
      <w:r w:rsidR="00D71540" w:rsidRPr="00F54208">
        <w:rPr>
          <w:i/>
          <w:lang w:val="fr-CA"/>
        </w:rPr>
        <w:t>, Alta</w:t>
      </w:r>
      <w:r w:rsidR="00F54208">
        <w:rPr>
          <w:i/>
          <w:lang w:val="fr-CA"/>
        </w:rPr>
        <w:t>.</w:t>
      </w:r>
      <w:r w:rsidR="00D71540" w:rsidRPr="00F54208">
        <w:rPr>
          <w:i/>
          <w:lang w:val="fr-CA"/>
        </w:rPr>
        <w:t xml:space="preserve"> Reg. 366/2003.</w:t>
      </w:r>
    </w:p>
    <w:p w:rsidR="00D71540" w:rsidRPr="00265B2D" w:rsidRDefault="00536FA1" w:rsidP="00536FA1">
      <w:pPr>
        <w:pStyle w:val="SCCNormalDoubleSpacing"/>
        <w:spacing w:before="480" w:after="480"/>
        <w:rPr>
          <w:lang w:val="fr-CA"/>
        </w:rPr>
      </w:pPr>
      <w:r w:rsidRPr="00265B2D">
        <w:rPr>
          <w:lang w:val="fr-CA"/>
        </w:rPr>
        <w:lastRenderedPageBreak/>
        <w:tab/>
      </w:r>
      <w:r w:rsidR="00D71540" w:rsidRPr="00265B2D">
        <w:rPr>
          <w:lang w:val="fr-CA"/>
        </w:rPr>
        <w:t xml:space="preserve">À l’occasion d’une grève légale qui a duré 305 jours, tant le syndicat que l’employeur ont </w:t>
      </w:r>
      <w:r w:rsidR="00D71540" w:rsidRPr="00265B2D">
        <w:rPr>
          <w:bCs/>
          <w:lang w:val="fr-CA"/>
        </w:rPr>
        <w:t xml:space="preserve">enregistré des vidéos et pris des </w:t>
      </w:r>
      <w:r w:rsidR="00D71540" w:rsidRPr="00265B2D">
        <w:rPr>
          <w:lang w:val="fr-CA"/>
        </w:rPr>
        <w:t xml:space="preserve">photos de personnes en train de franchir la ligne de piquetage.  Le syndicat a installé des affiches à l’intérieur de la zone de piquetage annonçant que les images des personnes qui franchissaient la ligne étaient susceptibles d’être publiées sur un site Web. </w:t>
      </w:r>
      <w:r w:rsidRPr="00265B2D">
        <w:rPr>
          <w:lang w:val="fr-CA"/>
        </w:rPr>
        <w:t xml:space="preserve"> </w:t>
      </w:r>
      <w:r w:rsidR="00D71540" w:rsidRPr="00265B2D">
        <w:rPr>
          <w:lang w:val="fr-CA"/>
        </w:rPr>
        <w:t>Plusieurs des personnes filmées ou photographiées en train de franchir la ligne de piquetage ont déposé une plainte auprès du commissaire à l’information et à la protection de la vie privée de l’Alberta</w:t>
      </w:r>
      <w:r w:rsidR="00D71540" w:rsidRPr="00265B2D">
        <w:rPr>
          <w:iCs/>
          <w:lang w:val="fr-CA"/>
        </w:rPr>
        <w:t xml:space="preserve">.  </w:t>
      </w:r>
      <w:r w:rsidR="00562041" w:rsidRPr="00265B2D">
        <w:rPr>
          <w:lang w:val="fr-CA"/>
        </w:rPr>
        <w:t>Ce dernier</w:t>
      </w:r>
      <w:r w:rsidR="00D71540" w:rsidRPr="00265B2D">
        <w:rPr>
          <w:lang w:val="fr-CA"/>
        </w:rPr>
        <w:t xml:space="preserve"> a désigné une arbitre chargée de décider si le syndicat avait contrevenu à la </w:t>
      </w:r>
      <w:r w:rsidR="00D71540" w:rsidRPr="00265B2D">
        <w:rPr>
          <w:i/>
          <w:iCs/>
          <w:lang w:val="fr-CA"/>
        </w:rPr>
        <w:t>Personal Information Protection Act</w:t>
      </w:r>
      <w:r w:rsidR="00D71540" w:rsidRPr="00265B2D">
        <w:rPr>
          <w:iCs/>
          <w:lang w:val="fr-CA"/>
        </w:rPr>
        <w:t xml:space="preserve"> (</w:t>
      </w:r>
      <w:r w:rsidR="00D71540" w:rsidRPr="00265B2D">
        <w:rPr>
          <w:i/>
          <w:iCs/>
          <w:lang w:val="fr-CA"/>
        </w:rPr>
        <w:t>PIPA</w:t>
      </w:r>
      <w:r w:rsidR="00D71540" w:rsidRPr="00265B2D">
        <w:rPr>
          <w:iCs/>
          <w:lang w:val="fr-CA"/>
        </w:rPr>
        <w:t>)</w:t>
      </w:r>
      <w:r w:rsidR="00D71540" w:rsidRPr="00265B2D">
        <w:rPr>
          <w:lang w:val="fr-CA"/>
        </w:rPr>
        <w:t>.  L’arbitre a conclu que la collecte, l’utilisation et la communication des renseignements par le syndicat n’étaient pas autorisées par l</w:t>
      </w:r>
      <w:r w:rsidR="00265B2D" w:rsidRPr="00265B2D">
        <w:rPr>
          <w:lang w:val="fr-CA"/>
        </w:rPr>
        <w:t>a</w:t>
      </w:r>
      <w:r w:rsidR="00265B2D">
        <w:rPr>
          <w:lang w:val="fr-CA"/>
        </w:rPr>
        <w:t xml:space="preserve"> </w:t>
      </w:r>
      <w:r w:rsidR="00265B2D" w:rsidRPr="00265B2D">
        <w:rPr>
          <w:i/>
          <w:szCs w:val="24"/>
          <w:lang w:val="fr-CA"/>
        </w:rPr>
        <w:t>P</w:t>
      </w:r>
      <w:r w:rsidR="00D71540" w:rsidRPr="00265B2D">
        <w:rPr>
          <w:i/>
          <w:szCs w:val="24"/>
          <w:lang w:val="fr-CA"/>
        </w:rPr>
        <w:t>IPA</w:t>
      </w:r>
      <w:r w:rsidR="00D71540" w:rsidRPr="00265B2D">
        <w:rPr>
          <w:szCs w:val="24"/>
          <w:lang w:val="fr-CA"/>
        </w:rPr>
        <w:t>.</w:t>
      </w:r>
      <w:r w:rsidR="00D71540" w:rsidRPr="00265B2D">
        <w:rPr>
          <w:lang w:val="fr-CA"/>
        </w:rPr>
        <w:t xml:space="preserve"> Lors d’un contrôle judiciaire, il a été jugé que la </w:t>
      </w:r>
      <w:r w:rsidR="00D71540" w:rsidRPr="00265B2D">
        <w:rPr>
          <w:i/>
          <w:lang w:val="fr-CA"/>
        </w:rPr>
        <w:t xml:space="preserve">PIPA </w:t>
      </w:r>
      <w:r w:rsidR="00D71540" w:rsidRPr="00265B2D">
        <w:rPr>
          <w:lang w:val="fr-CA"/>
        </w:rPr>
        <w:t>portait atteinte aux droits du syndicat protégés par l’</w:t>
      </w:r>
      <w:r w:rsidRPr="00265B2D">
        <w:rPr>
          <w:lang w:val="fr-CA"/>
        </w:rPr>
        <w:t>al. </w:t>
      </w:r>
      <w:r w:rsidR="00D71540" w:rsidRPr="00265B2D">
        <w:rPr>
          <w:lang w:val="fr-CA"/>
        </w:rPr>
        <w:t>2</w:t>
      </w:r>
      <w:r w:rsidR="00D71540" w:rsidRPr="00265B2D">
        <w:rPr>
          <w:i/>
          <w:lang w:val="fr-CA"/>
        </w:rPr>
        <w:t>b</w:t>
      </w:r>
      <w:r w:rsidR="00D71540" w:rsidRPr="00265B2D">
        <w:rPr>
          <w:lang w:val="fr-CA"/>
        </w:rPr>
        <w:t xml:space="preserve">) de la </w:t>
      </w:r>
      <w:r w:rsidR="00D71540" w:rsidRPr="00265B2D">
        <w:rPr>
          <w:i/>
          <w:lang w:val="fr-CA"/>
        </w:rPr>
        <w:t>Charte</w:t>
      </w:r>
      <w:r w:rsidR="00D71540" w:rsidRPr="00265B2D">
        <w:rPr>
          <w:lang w:val="fr-CA"/>
        </w:rPr>
        <w:t xml:space="preserve">.  La Cour d’appel s’est dite d’accord et a accordé au syndicat une exemption constitutionnelle quant à l’application de la </w:t>
      </w:r>
      <w:r w:rsidR="00D71540" w:rsidRPr="00265B2D">
        <w:rPr>
          <w:i/>
          <w:lang w:val="fr-CA"/>
        </w:rPr>
        <w:t>PIPA</w:t>
      </w:r>
      <w:r w:rsidR="00D71540" w:rsidRPr="00265B2D">
        <w:rPr>
          <w:lang w:val="fr-CA"/>
        </w:rPr>
        <w:t xml:space="preserve">.  </w:t>
      </w:r>
    </w:p>
    <w:p w:rsidR="00D71540" w:rsidRPr="00265B2D" w:rsidRDefault="00536FA1" w:rsidP="00536FA1">
      <w:pPr>
        <w:pStyle w:val="SCCNormalDoubleSpacing"/>
        <w:spacing w:before="480" w:after="480"/>
        <w:rPr>
          <w:lang w:val="fr-CA"/>
        </w:rPr>
      </w:pPr>
      <w:r w:rsidRPr="00265B2D">
        <w:rPr>
          <w:i/>
          <w:lang w:val="fr-CA"/>
        </w:rPr>
        <w:tab/>
      </w:r>
      <w:r w:rsidR="00D71540" w:rsidRPr="00265B2D">
        <w:rPr>
          <w:i/>
          <w:lang w:val="fr-CA"/>
        </w:rPr>
        <w:t>Arrêt</w:t>
      </w:r>
      <w:r w:rsidRPr="00265B2D">
        <w:rPr>
          <w:i/>
          <w:lang w:val="fr-CA"/>
        </w:rPr>
        <w:t> </w:t>
      </w:r>
      <w:r w:rsidRPr="00F54208">
        <w:rPr>
          <w:lang w:val="fr-CA"/>
        </w:rPr>
        <w:t>:</w:t>
      </w:r>
      <w:r w:rsidR="00D71540" w:rsidRPr="00265B2D">
        <w:rPr>
          <w:i/>
          <w:lang w:val="fr-CA"/>
        </w:rPr>
        <w:t xml:space="preserve"> </w:t>
      </w:r>
      <w:r w:rsidR="00D71540" w:rsidRPr="00265B2D">
        <w:rPr>
          <w:lang w:val="fr-CA"/>
        </w:rPr>
        <w:t>Le pourvoi est rejeté en grande partie.</w:t>
      </w:r>
    </w:p>
    <w:p w:rsidR="00D71540" w:rsidRPr="00265B2D" w:rsidRDefault="00D71540" w:rsidP="00536FA1">
      <w:pPr>
        <w:pStyle w:val="SCCNormalDoubleSpacing"/>
        <w:spacing w:before="480" w:after="480"/>
        <w:rPr>
          <w:lang w:val="fr-CA"/>
        </w:rPr>
      </w:pPr>
      <w:r w:rsidRPr="00265B2D">
        <w:rPr>
          <w:i/>
          <w:lang w:val="fr-CA"/>
        </w:rPr>
        <w:tab/>
      </w:r>
      <w:r w:rsidRPr="00265B2D">
        <w:rPr>
          <w:lang w:val="fr-CA"/>
        </w:rPr>
        <w:t xml:space="preserve">La </w:t>
      </w:r>
      <w:r w:rsidRPr="00265B2D">
        <w:rPr>
          <w:i/>
          <w:lang w:val="fr-CA"/>
        </w:rPr>
        <w:t>PIPA</w:t>
      </w:r>
      <w:r w:rsidRPr="00265B2D">
        <w:rPr>
          <w:lang w:val="fr-CA"/>
        </w:rPr>
        <w:t xml:space="preserve"> pose comme règle générale que les organisations ne peuvent </w:t>
      </w:r>
      <w:r w:rsidRPr="00265B2D">
        <w:rPr>
          <w:szCs w:val="24"/>
          <w:lang w:val="fr-CA"/>
        </w:rPr>
        <w:t>recueillir, utiliser ou communiquer des renseignements personnels</w:t>
      </w:r>
      <w:r w:rsidRPr="00265B2D">
        <w:rPr>
          <w:lang w:val="fr-CA"/>
        </w:rPr>
        <w:t xml:space="preserve"> sans le consentement des intéressés. </w:t>
      </w:r>
      <w:r w:rsidR="00536FA1" w:rsidRPr="00265B2D">
        <w:rPr>
          <w:lang w:val="fr-CA"/>
        </w:rPr>
        <w:t xml:space="preserve"> </w:t>
      </w:r>
      <w:r w:rsidRPr="00265B2D">
        <w:rPr>
          <w:lang w:val="fr-CA"/>
        </w:rPr>
        <w:t xml:space="preserve">Aucune des exceptions prévues par la </w:t>
      </w:r>
      <w:r w:rsidRPr="00265B2D">
        <w:rPr>
          <w:i/>
          <w:lang w:val="fr-CA"/>
        </w:rPr>
        <w:t>PIPA</w:t>
      </w:r>
      <w:r w:rsidRPr="00265B2D">
        <w:rPr>
          <w:lang w:val="fr-CA"/>
        </w:rPr>
        <w:t xml:space="preserve"> ne permet au syndicat de recueillir, d’utiliser ou de communiquer des renseignements personnels en vue de faire valoir ses intérêts dans le cadre d’un conflit de travail.</w:t>
      </w:r>
      <w:r w:rsidR="00536FA1" w:rsidRPr="00265B2D">
        <w:rPr>
          <w:lang w:val="fr-CA"/>
        </w:rPr>
        <w:t xml:space="preserve"> </w:t>
      </w:r>
      <w:r w:rsidRPr="00265B2D">
        <w:rPr>
          <w:lang w:val="fr-CA"/>
        </w:rPr>
        <w:t xml:space="preserve"> La question principale est celle de savoir si la </w:t>
      </w:r>
      <w:r w:rsidRPr="00265B2D">
        <w:rPr>
          <w:i/>
          <w:lang w:val="fr-CA"/>
        </w:rPr>
        <w:t>PIPA</w:t>
      </w:r>
      <w:r w:rsidRPr="00265B2D">
        <w:rPr>
          <w:lang w:val="fr-CA"/>
        </w:rPr>
        <w:t xml:space="preserve"> atteint un équilibre acceptable sur le </w:t>
      </w:r>
      <w:r w:rsidRPr="00265B2D">
        <w:rPr>
          <w:lang w:val="fr-CA"/>
        </w:rPr>
        <w:lastRenderedPageBreak/>
        <w:t>plan constitutionnel entre, d’une part, le droit des personnes d’exercer un droit de regard sur la collecte, l’utilisation et la communication des renseignements personnels les concernant et, d’autre part, la liberté d’expression d’un syndicat.</w:t>
      </w:r>
      <w:r w:rsidR="00536FA1" w:rsidRPr="00265B2D">
        <w:rPr>
          <w:lang w:val="fr-CA"/>
        </w:rPr>
        <w:t xml:space="preserve"> </w:t>
      </w:r>
      <w:r w:rsidRPr="00265B2D">
        <w:rPr>
          <w:lang w:val="fr-CA"/>
        </w:rPr>
        <w:t xml:space="preserve"> Dans la mesure où la </w:t>
      </w:r>
      <w:r w:rsidRPr="00265B2D">
        <w:rPr>
          <w:i/>
          <w:lang w:val="fr-CA"/>
        </w:rPr>
        <w:t xml:space="preserve">PIPA </w:t>
      </w:r>
      <w:r w:rsidRPr="00265B2D">
        <w:rPr>
          <w:iCs/>
          <w:lang w:val="fr-CA"/>
        </w:rPr>
        <w:t xml:space="preserve">empêche la collecte de renseignements personnels </w:t>
      </w:r>
      <w:r w:rsidRPr="00265B2D">
        <w:rPr>
          <w:lang w:val="fr-CA"/>
        </w:rPr>
        <w:t>à des fins légitimes de relations du travail, elle viole l’</w:t>
      </w:r>
      <w:r w:rsidR="00536FA1" w:rsidRPr="00265B2D">
        <w:rPr>
          <w:lang w:val="fr-CA"/>
        </w:rPr>
        <w:t>al. </w:t>
      </w:r>
      <w:r w:rsidRPr="00265B2D">
        <w:rPr>
          <w:lang w:val="fr-CA"/>
        </w:rPr>
        <w:t>2</w:t>
      </w:r>
      <w:r w:rsidRPr="00265B2D">
        <w:rPr>
          <w:i/>
          <w:lang w:val="fr-CA"/>
        </w:rPr>
        <w:t>b</w:t>
      </w:r>
      <w:r w:rsidRPr="00265B2D">
        <w:rPr>
          <w:lang w:val="fr-CA"/>
        </w:rPr>
        <w:t xml:space="preserve">) de la </w:t>
      </w:r>
      <w:r w:rsidRPr="00265B2D">
        <w:rPr>
          <w:i/>
          <w:lang w:val="fr-CA"/>
        </w:rPr>
        <w:t xml:space="preserve">Charte </w:t>
      </w:r>
      <w:r w:rsidRPr="00265B2D">
        <w:rPr>
          <w:iCs/>
          <w:lang w:val="fr-CA"/>
        </w:rPr>
        <w:t xml:space="preserve">et cette violation ne saurait se justifier </w:t>
      </w:r>
      <w:r w:rsidRPr="00265B2D">
        <w:rPr>
          <w:lang w:val="fr-CA"/>
        </w:rPr>
        <w:t xml:space="preserve">au sens de l’article premier.  </w:t>
      </w:r>
    </w:p>
    <w:p w:rsidR="00D71540" w:rsidRPr="00265B2D" w:rsidRDefault="00536FA1" w:rsidP="00536FA1">
      <w:pPr>
        <w:pStyle w:val="SCCNormalDoubleSpacing"/>
        <w:spacing w:before="480" w:after="480"/>
        <w:rPr>
          <w:lang w:val="fr-CA"/>
        </w:rPr>
      </w:pPr>
      <w:r w:rsidRPr="00265B2D">
        <w:rPr>
          <w:lang w:val="fr-CA"/>
        </w:rPr>
        <w:tab/>
      </w:r>
      <w:r w:rsidR="00D71540" w:rsidRPr="00265B2D">
        <w:rPr>
          <w:lang w:val="fr-CA"/>
        </w:rPr>
        <w:t xml:space="preserve">La </w:t>
      </w:r>
      <w:r w:rsidR="00D71540" w:rsidRPr="00265B2D">
        <w:rPr>
          <w:i/>
          <w:lang w:val="fr-CA"/>
        </w:rPr>
        <w:t xml:space="preserve">PIPA </w:t>
      </w:r>
      <w:r w:rsidR="00D71540" w:rsidRPr="00265B2D">
        <w:rPr>
          <w:lang w:val="fr-CA"/>
        </w:rPr>
        <w:t>vise à renforcer le droit de regard d’une personne sur les renseignements personnels la concernant en restreignant leur collecte, leur utilisation et leur communication sans son consentement.  L’objectif de fournir à une personne ce droit de regard est intimement lié à son autonomie, à sa dignité et à son droit à la vie privée, des valeurs sociale</w:t>
      </w:r>
      <w:r w:rsidRPr="00265B2D">
        <w:rPr>
          <w:lang w:val="fr-CA"/>
        </w:rPr>
        <w:t>s dont l’importance va de soi.</w:t>
      </w:r>
    </w:p>
    <w:p w:rsidR="00D71540" w:rsidRPr="00265B2D" w:rsidRDefault="00536FA1" w:rsidP="00536FA1">
      <w:pPr>
        <w:pStyle w:val="SCCNormalDoubleSpacing"/>
        <w:spacing w:before="480" w:after="480"/>
        <w:rPr>
          <w:lang w:val="fr-CA"/>
        </w:rPr>
      </w:pPr>
      <w:r w:rsidRPr="00265B2D">
        <w:rPr>
          <w:lang w:val="fr-CA"/>
        </w:rPr>
        <w:tab/>
      </w:r>
      <w:r w:rsidR="00D71540" w:rsidRPr="00265B2D">
        <w:rPr>
          <w:lang w:val="fr-CA"/>
        </w:rPr>
        <w:t xml:space="preserve">Mais la </w:t>
      </w:r>
      <w:r w:rsidR="00D71540" w:rsidRPr="00265B2D">
        <w:rPr>
          <w:i/>
          <w:lang w:val="fr-CA"/>
        </w:rPr>
        <w:t xml:space="preserve">Loi </w:t>
      </w:r>
      <w:r w:rsidR="00D71540" w:rsidRPr="00265B2D">
        <w:rPr>
          <w:iCs/>
          <w:lang w:val="fr-CA"/>
        </w:rPr>
        <w:t xml:space="preserve">ne prévoit aucun mécanisme permettant de trouver un équilibre entre </w:t>
      </w:r>
      <w:r w:rsidR="00562041" w:rsidRPr="00265B2D">
        <w:rPr>
          <w:lang w:val="fr-CA"/>
        </w:rPr>
        <w:t>les intérêts qu’elle protège</w:t>
      </w:r>
      <w:r w:rsidR="00562041" w:rsidRPr="00265B2D">
        <w:rPr>
          <w:iCs/>
          <w:lang w:val="fr-CA"/>
        </w:rPr>
        <w:t xml:space="preserve"> et </w:t>
      </w:r>
      <w:r w:rsidR="00D71540" w:rsidRPr="00265B2D">
        <w:rPr>
          <w:iCs/>
          <w:lang w:val="fr-CA"/>
        </w:rPr>
        <w:t xml:space="preserve">le droit constitutionnel </w:t>
      </w:r>
      <w:r w:rsidR="00D71540" w:rsidRPr="00265B2D">
        <w:rPr>
          <w:lang w:val="fr-CA"/>
        </w:rPr>
        <w:t xml:space="preserve">du syndicat </w:t>
      </w:r>
      <w:r w:rsidR="00D71540" w:rsidRPr="00265B2D">
        <w:rPr>
          <w:iCs/>
          <w:lang w:val="fr-CA"/>
        </w:rPr>
        <w:t xml:space="preserve">à la </w:t>
      </w:r>
      <w:r w:rsidR="00D71540" w:rsidRPr="00265B2D">
        <w:rPr>
          <w:lang w:val="fr-CA"/>
        </w:rPr>
        <w:t>liberté d’expression.  La Cour reconnaît depuis longtemps l’importance fondamentale que revêt la liberté d’expression dans le contexte des conflits de travail.</w:t>
      </w:r>
      <w:r w:rsidRPr="00265B2D">
        <w:rPr>
          <w:lang w:val="fr-CA"/>
        </w:rPr>
        <w:t xml:space="preserve"> </w:t>
      </w:r>
      <w:r w:rsidR="00D71540" w:rsidRPr="00265B2D">
        <w:rPr>
          <w:i/>
          <w:lang w:val="fr-CA"/>
        </w:rPr>
        <w:t xml:space="preserve"> </w:t>
      </w:r>
      <w:r w:rsidR="00D71540" w:rsidRPr="00265B2D">
        <w:rPr>
          <w:lang w:val="fr-CA"/>
        </w:rPr>
        <w:t>L</w:t>
      </w:r>
      <w:r w:rsidR="00D71540" w:rsidRPr="00265B2D">
        <w:rPr>
          <w:iCs/>
          <w:lang w:val="fr-CA"/>
        </w:rPr>
        <w:t xml:space="preserve">a </w:t>
      </w:r>
      <w:r w:rsidR="00D71540" w:rsidRPr="00265B2D">
        <w:rPr>
          <w:i/>
          <w:iCs/>
          <w:lang w:val="fr-CA"/>
        </w:rPr>
        <w:t>PIPA</w:t>
      </w:r>
      <w:r w:rsidR="00D71540" w:rsidRPr="00265B2D">
        <w:rPr>
          <w:iCs/>
          <w:lang w:val="fr-CA"/>
        </w:rPr>
        <w:t xml:space="preserve"> interdit </w:t>
      </w:r>
      <w:r w:rsidR="00D71540" w:rsidRPr="00265B2D">
        <w:rPr>
          <w:lang w:val="fr-CA"/>
        </w:rPr>
        <w:t xml:space="preserve">la collecte, l’utilisation et la communication de renseignements personnels qui serviraient de nombreux objectifs expressifs légitimes relatifs aux relations de travail.  Le piquetage constitue une forme d’expression particulièrement vitale et fermement ancrée dans l’histoire.  </w:t>
      </w:r>
      <w:r w:rsidR="00D71540" w:rsidRPr="00265B2D">
        <w:rPr>
          <w:iCs/>
          <w:lang w:val="fr-CA"/>
        </w:rPr>
        <w:t xml:space="preserve">La </w:t>
      </w:r>
      <w:r w:rsidR="00D71540" w:rsidRPr="00265B2D">
        <w:rPr>
          <w:i/>
          <w:lang w:val="fr-CA"/>
        </w:rPr>
        <w:t>PIPA</w:t>
      </w:r>
      <w:r w:rsidR="00D71540" w:rsidRPr="00265B2D">
        <w:rPr>
          <w:lang w:val="fr-CA"/>
        </w:rPr>
        <w:t xml:space="preserve"> restreint la faculté du </w:t>
      </w:r>
      <w:r w:rsidR="00D71540" w:rsidRPr="00265B2D">
        <w:rPr>
          <w:szCs w:val="24"/>
          <w:lang w:val="fr-CA"/>
        </w:rPr>
        <w:t>syndicat de communiquer avec le public et de le convaincre du bien</w:t>
      </w:r>
      <w:r w:rsidRPr="00265B2D">
        <w:rPr>
          <w:szCs w:val="24"/>
          <w:lang w:val="fr-CA"/>
        </w:rPr>
        <w:noBreakHyphen/>
      </w:r>
      <w:r w:rsidR="00D71540" w:rsidRPr="00265B2D">
        <w:rPr>
          <w:szCs w:val="24"/>
          <w:lang w:val="fr-CA"/>
        </w:rPr>
        <w:t xml:space="preserve">fondé de sa cause, compromettant ainsi sa capacité de recourir à une de ses stratégies de négociation les plus efficaces au cours </w:t>
      </w:r>
      <w:r w:rsidR="00D71540" w:rsidRPr="00265B2D">
        <w:rPr>
          <w:szCs w:val="24"/>
          <w:lang w:val="fr-CA"/>
        </w:rPr>
        <w:lastRenderedPageBreak/>
        <w:t>d’une grève légale.  Cette atteinte au droit à la liberté d’expression est disproportionnée par rapport à l’objectif du gouvernement d’accorder aux personnes un droit de regard sur les</w:t>
      </w:r>
      <w:r w:rsidR="00765C6B">
        <w:rPr>
          <w:szCs w:val="24"/>
          <w:lang w:val="fr-CA"/>
        </w:rPr>
        <w:t xml:space="preserve"> renseignements personnels qu’elle</w:t>
      </w:r>
      <w:r w:rsidR="00D71540" w:rsidRPr="00265B2D">
        <w:rPr>
          <w:szCs w:val="24"/>
          <w:lang w:val="fr-CA"/>
        </w:rPr>
        <w:t>s exposent en franchissant une ligne de piquetage.</w:t>
      </w:r>
      <w:r w:rsidR="00D71540" w:rsidRPr="00265B2D">
        <w:rPr>
          <w:lang w:val="fr-CA"/>
        </w:rPr>
        <w:t xml:space="preserve">  Cette atteinte n’est donc pas justifiée au sens de l’article premier de la </w:t>
      </w:r>
      <w:r w:rsidR="00D71540" w:rsidRPr="00265B2D">
        <w:rPr>
          <w:i/>
          <w:lang w:val="fr-CA"/>
        </w:rPr>
        <w:t>Charte</w:t>
      </w:r>
      <w:r w:rsidR="00D71540" w:rsidRPr="00265B2D">
        <w:rPr>
          <w:lang w:val="fr-CA"/>
        </w:rPr>
        <w:t xml:space="preserve">.  </w:t>
      </w:r>
    </w:p>
    <w:p w:rsidR="00D71540" w:rsidRPr="00265B2D" w:rsidRDefault="00536FA1" w:rsidP="00536FA1">
      <w:pPr>
        <w:pStyle w:val="SCCNormalDoubleSpacing"/>
        <w:spacing w:before="480" w:after="480"/>
        <w:rPr>
          <w:lang w:val="fr-CA"/>
        </w:rPr>
      </w:pPr>
      <w:r w:rsidRPr="00265B2D">
        <w:rPr>
          <w:lang w:val="fr-CA"/>
        </w:rPr>
        <w:tab/>
      </w:r>
      <w:r w:rsidR="00D71540" w:rsidRPr="00265B2D">
        <w:rPr>
          <w:lang w:val="fr-CA"/>
        </w:rPr>
        <w:t xml:space="preserve">Compte tenu de l’économie exhaustive et intégrée de la </w:t>
      </w:r>
      <w:r w:rsidR="00D71540" w:rsidRPr="00265B2D">
        <w:rPr>
          <w:i/>
          <w:lang w:val="fr-CA"/>
        </w:rPr>
        <w:t>Loi</w:t>
      </w:r>
      <w:r w:rsidR="00D71540" w:rsidRPr="00265B2D">
        <w:rPr>
          <w:lang w:val="fr-CA"/>
        </w:rPr>
        <w:t>, le gouvernement de l’Alberta et le commissaire à l’information et à la protection de la vie privée ont demandé à ce que la Cour ne fasse pas un tri parmi des modifications précises, mais</w:t>
      </w:r>
      <w:r w:rsidR="00562041" w:rsidRPr="00265B2D">
        <w:rPr>
          <w:lang w:val="fr-CA"/>
        </w:rPr>
        <w:t xml:space="preserve"> qu’elle</w:t>
      </w:r>
      <w:r w:rsidR="00D71540" w:rsidRPr="00265B2D">
        <w:rPr>
          <w:lang w:val="fr-CA"/>
        </w:rPr>
        <w:t xml:space="preserve"> déclare plutôt l’invalidité de la totalité de la </w:t>
      </w:r>
      <w:r w:rsidR="00D71540" w:rsidRPr="00265B2D">
        <w:rPr>
          <w:i/>
          <w:lang w:val="fr-CA"/>
        </w:rPr>
        <w:t>Loi</w:t>
      </w:r>
      <w:r w:rsidR="00D71540" w:rsidRPr="00265B2D">
        <w:rPr>
          <w:lang w:val="fr-CA"/>
        </w:rPr>
        <w:t xml:space="preserve"> de sorte que la législature puisse </w:t>
      </w:r>
      <w:r w:rsidR="00562041" w:rsidRPr="00265B2D">
        <w:rPr>
          <w:lang w:val="fr-CA"/>
        </w:rPr>
        <w:t>en</w:t>
      </w:r>
      <w:r w:rsidR="00D71540" w:rsidRPr="00265B2D">
        <w:rPr>
          <w:lang w:val="fr-CA"/>
        </w:rPr>
        <w:t xml:space="preserve"> traiter comme d’un tout.  La déclaration d’invalidité est donc prononcée, mais suspendue pendant 12 mois afin de donner à la législature le temps nécessaire pour décider de la meilleure façon de rendre la loi constitutionnelle.</w:t>
      </w:r>
    </w:p>
    <w:p w:rsidR="004D7D95" w:rsidRPr="00265B2D" w:rsidRDefault="004D7D95" w:rsidP="00536FA1">
      <w:pPr>
        <w:pStyle w:val="SCCNormalDoubleSpacing"/>
        <w:keepNext/>
        <w:spacing w:after="720" w:line="240" w:lineRule="auto"/>
        <w:rPr>
          <w:b/>
          <w:lang w:val="fr-CA"/>
        </w:rPr>
      </w:pPr>
      <w:r w:rsidRPr="00265B2D">
        <w:rPr>
          <w:b/>
          <w:lang w:val="fr-CA"/>
        </w:rPr>
        <w:t>Jurisprudence</w:t>
      </w:r>
    </w:p>
    <w:p w:rsidR="00666099" w:rsidRPr="00265B2D" w:rsidRDefault="004D7D95" w:rsidP="0013236B">
      <w:pPr>
        <w:pStyle w:val="SCCNormalDoubleSpacing"/>
        <w:spacing w:after="480"/>
        <w:rPr>
          <w:lang w:val="fr-CA"/>
        </w:rPr>
      </w:pPr>
      <w:r w:rsidRPr="00265B2D">
        <w:rPr>
          <w:lang w:val="fr-CA"/>
        </w:rPr>
        <w:tab/>
      </w:r>
      <w:r w:rsidRPr="00265B2D">
        <w:rPr>
          <w:b/>
          <w:lang w:val="fr-CA"/>
        </w:rPr>
        <w:t>Arrêts mentionnés</w:t>
      </w:r>
      <w:r w:rsidR="00536FA1" w:rsidRPr="00265B2D">
        <w:rPr>
          <w:b/>
          <w:lang w:val="fr-CA"/>
        </w:rPr>
        <w:t> :</w:t>
      </w:r>
      <w:r w:rsidR="00666099" w:rsidRPr="00265B2D">
        <w:rPr>
          <w:b/>
          <w:lang w:val="fr-CA"/>
        </w:rPr>
        <w:t xml:space="preserve"> </w:t>
      </w:r>
      <w:r w:rsidR="00666099" w:rsidRPr="00265B2D">
        <w:rPr>
          <w:i/>
          <w:lang w:val="fr-CA"/>
        </w:rPr>
        <w:t>Order P2010</w:t>
      </w:r>
      <w:r w:rsidR="00536FA1" w:rsidRPr="00265B2D">
        <w:rPr>
          <w:i/>
          <w:lang w:val="fr-CA"/>
        </w:rPr>
        <w:noBreakHyphen/>
      </w:r>
      <w:r w:rsidR="00666099" w:rsidRPr="00265B2D">
        <w:rPr>
          <w:i/>
          <w:lang w:val="fr-CA"/>
        </w:rPr>
        <w:t>003; Synergen Housing Co</w:t>
      </w:r>
      <w:r w:rsidR="00536FA1" w:rsidRPr="00265B2D">
        <w:rPr>
          <w:i/>
          <w:lang w:val="fr-CA"/>
        </w:rPr>
        <w:noBreakHyphen/>
      </w:r>
      <w:r w:rsidR="00666099" w:rsidRPr="00265B2D">
        <w:rPr>
          <w:i/>
          <w:lang w:val="fr-CA"/>
        </w:rPr>
        <w:t>op Ltd.</w:t>
      </w:r>
      <w:r w:rsidR="00666099" w:rsidRPr="00265B2D">
        <w:rPr>
          <w:lang w:val="fr-CA"/>
        </w:rPr>
        <w:t>, 2010 CanLII 98626</w:t>
      </w:r>
      <w:r w:rsidR="00791801" w:rsidRPr="00265B2D">
        <w:rPr>
          <w:lang w:val="fr-CA"/>
        </w:rPr>
        <w:t xml:space="preserve">; </w:t>
      </w:r>
      <w:r w:rsidR="00791801" w:rsidRPr="00265B2D">
        <w:rPr>
          <w:i/>
          <w:iCs/>
          <w:lang w:val="fr-CA"/>
        </w:rPr>
        <w:t>Lavigne c. Canada (Commissariat aux langues officielles)</w:t>
      </w:r>
      <w:r w:rsidR="00791801" w:rsidRPr="00265B2D">
        <w:rPr>
          <w:lang w:val="fr-CA"/>
        </w:rPr>
        <w:t xml:space="preserve">, 2002 CSC 53, [2002] 2 R.C.S. 773; </w:t>
      </w:r>
      <w:r w:rsidR="00791801" w:rsidRPr="00265B2D">
        <w:rPr>
          <w:i/>
          <w:lang w:val="fr-CA"/>
        </w:rPr>
        <w:t xml:space="preserve">Dagg </w:t>
      </w:r>
      <w:r w:rsidR="00F54208">
        <w:rPr>
          <w:i/>
          <w:lang w:val="fr-CA"/>
        </w:rPr>
        <w:t>c</w:t>
      </w:r>
      <w:r w:rsidR="00791801" w:rsidRPr="00265B2D">
        <w:rPr>
          <w:i/>
          <w:lang w:val="fr-CA"/>
        </w:rPr>
        <w:t>. Canada (Minist</w:t>
      </w:r>
      <w:r w:rsidR="00F86E3C" w:rsidRPr="00265B2D">
        <w:rPr>
          <w:i/>
          <w:lang w:val="fr-CA"/>
        </w:rPr>
        <w:t>r</w:t>
      </w:r>
      <w:r w:rsidR="00791801" w:rsidRPr="00265B2D">
        <w:rPr>
          <w:i/>
          <w:lang w:val="fr-CA"/>
        </w:rPr>
        <w:t>e</w:t>
      </w:r>
      <w:r w:rsidR="00F86E3C" w:rsidRPr="00265B2D">
        <w:rPr>
          <w:i/>
          <w:lang w:val="fr-CA"/>
        </w:rPr>
        <w:t xml:space="preserve"> des</w:t>
      </w:r>
      <w:r w:rsidR="00791801" w:rsidRPr="00265B2D">
        <w:rPr>
          <w:i/>
          <w:lang w:val="fr-CA"/>
        </w:rPr>
        <w:t xml:space="preserve"> Finance</w:t>
      </w:r>
      <w:r w:rsidR="00F86E3C" w:rsidRPr="00265B2D">
        <w:rPr>
          <w:i/>
          <w:lang w:val="fr-CA"/>
        </w:rPr>
        <w:t>s</w:t>
      </w:r>
      <w:r w:rsidR="00791801" w:rsidRPr="00265B2D">
        <w:rPr>
          <w:i/>
          <w:lang w:val="fr-CA"/>
        </w:rPr>
        <w:t>)</w:t>
      </w:r>
      <w:r w:rsidR="00791801" w:rsidRPr="00265B2D">
        <w:rPr>
          <w:lang w:val="fr-CA"/>
        </w:rPr>
        <w:t xml:space="preserve">, [1997] 2 </w:t>
      </w:r>
      <w:r w:rsidR="00F86E3C" w:rsidRPr="00265B2D">
        <w:rPr>
          <w:lang w:val="fr-CA"/>
        </w:rPr>
        <w:t>R.C.</w:t>
      </w:r>
      <w:r w:rsidR="00791801" w:rsidRPr="00265B2D">
        <w:rPr>
          <w:lang w:val="fr-CA"/>
        </w:rPr>
        <w:t xml:space="preserve">S. 403; </w:t>
      </w:r>
      <w:r w:rsidR="009C3F06" w:rsidRPr="00265B2D">
        <w:rPr>
          <w:i/>
          <w:lang w:val="fr-CA"/>
        </w:rPr>
        <w:t xml:space="preserve">Cie </w:t>
      </w:r>
      <w:r w:rsidR="00791801" w:rsidRPr="00265B2D">
        <w:rPr>
          <w:i/>
          <w:lang w:val="fr-CA"/>
        </w:rPr>
        <w:t xml:space="preserve">H.J. Heinz </w:t>
      </w:r>
      <w:r w:rsidR="009C3F06" w:rsidRPr="00265B2D">
        <w:rPr>
          <w:i/>
          <w:lang w:val="fr-CA"/>
        </w:rPr>
        <w:t>du</w:t>
      </w:r>
      <w:r w:rsidR="00F54208">
        <w:rPr>
          <w:i/>
          <w:lang w:val="fr-CA"/>
        </w:rPr>
        <w:t xml:space="preserve"> Canada l</w:t>
      </w:r>
      <w:r w:rsidR="00791801" w:rsidRPr="00265B2D">
        <w:rPr>
          <w:i/>
          <w:lang w:val="fr-CA"/>
        </w:rPr>
        <w:t>t</w:t>
      </w:r>
      <w:r w:rsidR="009C3F06" w:rsidRPr="00265B2D">
        <w:rPr>
          <w:i/>
          <w:lang w:val="fr-CA"/>
        </w:rPr>
        <w:t>ée</w:t>
      </w:r>
      <w:r w:rsidR="00791801" w:rsidRPr="00265B2D">
        <w:rPr>
          <w:i/>
          <w:lang w:val="fr-CA"/>
        </w:rPr>
        <w:t xml:space="preserve"> </w:t>
      </w:r>
      <w:r w:rsidR="00F86E3C" w:rsidRPr="00265B2D">
        <w:rPr>
          <w:i/>
          <w:lang w:val="fr-CA"/>
        </w:rPr>
        <w:t>c</w:t>
      </w:r>
      <w:r w:rsidR="00791801" w:rsidRPr="00265B2D">
        <w:rPr>
          <w:i/>
          <w:lang w:val="fr-CA"/>
        </w:rPr>
        <w:t>. Canada (</w:t>
      </w:r>
      <w:r w:rsidR="00F86E3C" w:rsidRPr="00265B2D">
        <w:rPr>
          <w:i/>
          <w:lang w:val="fr-CA"/>
        </w:rPr>
        <w:t>Procureur géné</w:t>
      </w:r>
      <w:r w:rsidR="00791801" w:rsidRPr="00265B2D">
        <w:rPr>
          <w:i/>
          <w:lang w:val="fr-CA"/>
        </w:rPr>
        <w:t>ral)</w:t>
      </w:r>
      <w:r w:rsidR="00791801" w:rsidRPr="00265B2D">
        <w:rPr>
          <w:lang w:val="fr-CA"/>
        </w:rPr>
        <w:t>, 200</w:t>
      </w:r>
      <w:r w:rsidR="009C3F06" w:rsidRPr="00265B2D">
        <w:rPr>
          <w:lang w:val="fr-CA"/>
        </w:rPr>
        <w:t>6</w:t>
      </w:r>
      <w:r w:rsidR="00791801" w:rsidRPr="00265B2D">
        <w:rPr>
          <w:lang w:val="fr-CA"/>
        </w:rPr>
        <w:t xml:space="preserve"> </w:t>
      </w:r>
      <w:r w:rsidR="00F86E3C" w:rsidRPr="00265B2D">
        <w:rPr>
          <w:lang w:val="fr-CA"/>
        </w:rPr>
        <w:t>C</w:t>
      </w:r>
      <w:r w:rsidR="00791801" w:rsidRPr="00265B2D">
        <w:rPr>
          <w:lang w:val="fr-CA"/>
        </w:rPr>
        <w:t xml:space="preserve">SC 13, [2006] 1 </w:t>
      </w:r>
      <w:r w:rsidR="00F86E3C" w:rsidRPr="00265B2D">
        <w:rPr>
          <w:lang w:val="fr-CA"/>
        </w:rPr>
        <w:t>R.C.</w:t>
      </w:r>
      <w:r w:rsidR="00791801" w:rsidRPr="00265B2D">
        <w:rPr>
          <w:lang w:val="fr-CA"/>
        </w:rPr>
        <w:t>S. 441</w:t>
      </w:r>
      <w:r w:rsidR="005B05A2" w:rsidRPr="00265B2D">
        <w:rPr>
          <w:lang w:val="fr-CA"/>
        </w:rPr>
        <w:t xml:space="preserve">; </w:t>
      </w:r>
      <w:r w:rsidR="00A92077" w:rsidRPr="00265B2D">
        <w:rPr>
          <w:i/>
          <w:lang w:val="fr-CA"/>
        </w:rPr>
        <w:t>S.D.G.M.R., section locale 558 c. Pepsi</w:t>
      </w:r>
      <w:r w:rsidR="00536FA1" w:rsidRPr="00265B2D">
        <w:rPr>
          <w:i/>
          <w:lang w:val="fr-CA"/>
        </w:rPr>
        <w:noBreakHyphen/>
      </w:r>
      <w:r w:rsidR="00A92077" w:rsidRPr="00265B2D">
        <w:rPr>
          <w:i/>
          <w:lang w:val="fr-CA"/>
        </w:rPr>
        <w:t>Cola Canada Beverages (West) Ltd.</w:t>
      </w:r>
      <w:r w:rsidR="00A92077" w:rsidRPr="00265B2D">
        <w:rPr>
          <w:lang w:val="fr-CA"/>
        </w:rPr>
        <w:t>, 2002 CSC 8, [2002] 1 R.C.S. 156</w:t>
      </w:r>
      <w:r w:rsidR="00E2105F" w:rsidRPr="00265B2D">
        <w:rPr>
          <w:lang w:val="fr-CA"/>
        </w:rPr>
        <w:t xml:space="preserve">; </w:t>
      </w:r>
      <w:r w:rsidR="00E2105F" w:rsidRPr="00265B2D">
        <w:rPr>
          <w:i/>
          <w:lang w:val="fr-CA"/>
        </w:rPr>
        <w:t xml:space="preserve">T.U.A.C., section locale 1518 c. </w:t>
      </w:r>
      <w:r w:rsidR="00E2105F" w:rsidRPr="00265B2D">
        <w:rPr>
          <w:i/>
          <w:iCs/>
          <w:lang w:val="fr-CA"/>
        </w:rPr>
        <w:t>KMart Canada Ltd.</w:t>
      </w:r>
      <w:r w:rsidR="00E2105F" w:rsidRPr="00265B2D">
        <w:rPr>
          <w:lang w:val="fr-CA"/>
        </w:rPr>
        <w:t>, [1999] 2 R.C.S. 1083</w:t>
      </w:r>
      <w:r w:rsidR="001412E8" w:rsidRPr="00265B2D">
        <w:rPr>
          <w:lang w:val="fr-CA"/>
        </w:rPr>
        <w:t xml:space="preserve">; </w:t>
      </w:r>
      <w:r w:rsidR="001412E8" w:rsidRPr="00265B2D">
        <w:rPr>
          <w:i/>
          <w:lang w:val="fr-CA"/>
        </w:rPr>
        <w:t>Ontario (Procureur général) c. Fraser</w:t>
      </w:r>
      <w:r w:rsidR="001412E8" w:rsidRPr="00265B2D">
        <w:rPr>
          <w:lang w:val="fr-CA"/>
        </w:rPr>
        <w:t>, 2011 CSC 20, [2011] 2 R.C.S. 3</w:t>
      </w:r>
      <w:r w:rsidR="00194752" w:rsidRPr="00265B2D">
        <w:rPr>
          <w:lang w:val="fr-CA"/>
        </w:rPr>
        <w:t xml:space="preserve">; </w:t>
      </w:r>
      <w:r w:rsidR="00194752" w:rsidRPr="00265B2D">
        <w:rPr>
          <w:i/>
          <w:iCs/>
          <w:lang w:val="fr-CA"/>
        </w:rPr>
        <w:t xml:space="preserve">Renvoi relatif à la Public Service Employee </w:t>
      </w:r>
      <w:r w:rsidR="00194752" w:rsidRPr="00265B2D">
        <w:rPr>
          <w:i/>
          <w:iCs/>
          <w:lang w:val="fr-CA"/>
        </w:rPr>
        <w:lastRenderedPageBreak/>
        <w:t>Relations Act (Alb.)</w:t>
      </w:r>
      <w:r w:rsidR="00194752" w:rsidRPr="00265B2D">
        <w:rPr>
          <w:lang w:val="fr-CA"/>
        </w:rPr>
        <w:t>, [1987] 1 R.C.S. 313</w:t>
      </w:r>
      <w:r w:rsidR="00BF40A3" w:rsidRPr="00265B2D">
        <w:rPr>
          <w:lang w:val="fr-CA"/>
        </w:rPr>
        <w:t xml:space="preserve">; </w:t>
      </w:r>
      <w:r w:rsidR="00BF40A3" w:rsidRPr="00265B2D">
        <w:rPr>
          <w:i/>
          <w:lang w:val="fr-CA"/>
        </w:rPr>
        <w:t>Great Atlantic &amp; Pacific Co. of Canada</w:t>
      </w:r>
      <w:r w:rsidR="00BF40A3" w:rsidRPr="00265B2D">
        <w:rPr>
          <w:lang w:val="fr-CA"/>
        </w:rPr>
        <w:t>, [1994] O.L.R.B. Re</w:t>
      </w:r>
      <w:r w:rsidR="00536FA1" w:rsidRPr="00265B2D">
        <w:rPr>
          <w:lang w:val="fr-CA"/>
        </w:rPr>
        <w:t>p. </w:t>
      </w:r>
      <w:r w:rsidR="00BF40A3" w:rsidRPr="00265B2D">
        <w:rPr>
          <w:lang w:val="fr-CA"/>
        </w:rPr>
        <w:t>March 303</w:t>
      </w:r>
      <w:r w:rsidR="007855B3" w:rsidRPr="00265B2D">
        <w:rPr>
          <w:lang w:val="fr-CA"/>
        </w:rPr>
        <w:t xml:space="preserve">; </w:t>
      </w:r>
      <w:r w:rsidR="007855B3" w:rsidRPr="00265B2D">
        <w:rPr>
          <w:i/>
          <w:lang w:val="fr-CA"/>
        </w:rPr>
        <w:t>R. c. Morgentaler</w:t>
      </w:r>
      <w:r w:rsidR="007855B3" w:rsidRPr="00265B2D">
        <w:rPr>
          <w:lang w:val="fr-CA"/>
        </w:rPr>
        <w:t xml:space="preserve">, [1988] 1 R.C.S. 30; </w:t>
      </w:r>
      <w:r w:rsidR="007855B3" w:rsidRPr="00265B2D">
        <w:rPr>
          <w:i/>
          <w:lang w:val="fr-CA"/>
        </w:rPr>
        <w:t>Schachter c. Canada</w:t>
      </w:r>
      <w:r w:rsidR="007855B3" w:rsidRPr="00265B2D">
        <w:rPr>
          <w:lang w:val="fr-CA"/>
        </w:rPr>
        <w:t>, [1992] 2 R.C.S. 679</w:t>
      </w:r>
      <w:r w:rsidR="00666099" w:rsidRPr="00265B2D">
        <w:rPr>
          <w:lang w:val="fr-CA"/>
        </w:rPr>
        <w:t>.</w:t>
      </w:r>
    </w:p>
    <w:p w:rsidR="004D7D95" w:rsidRPr="00265B2D" w:rsidRDefault="004D7D95" w:rsidP="0013236B">
      <w:pPr>
        <w:pStyle w:val="SCCNormalDoubleSpacing"/>
        <w:keepNext/>
        <w:spacing w:after="720" w:line="240" w:lineRule="auto"/>
        <w:rPr>
          <w:b/>
          <w:lang w:val="fr-CA"/>
        </w:rPr>
      </w:pPr>
      <w:r w:rsidRPr="00265B2D">
        <w:rPr>
          <w:b/>
          <w:lang w:val="fr-CA"/>
        </w:rPr>
        <w:t>Lois et règlements cités</w:t>
      </w:r>
    </w:p>
    <w:p w:rsidR="0090620A" w:rsidRPr="00265B2D" w:rsidRDefault="0090620A" w:rsidP="005A00FD">
      <w:pPr>
        <w:pStyle w:val="SCCNormalDoubleSpacing"/>
        <w:spacing w:after="240" w:line="240" w:lineRule="auto"/>
        <w:ind w:left="605" w:hanging="605"/>
        <w:rPr>
          <w:lang w:val="fr-CA"/>
        </w:rPr>
      </w:pPr>
      <w:r w:rsidRPr="00265B2D">
        <w:rPr>
          <w:i/>
          <w:lang w:val="fr-CA"/>
        </w:rPr>
        <w:t>Administrative Procedures and Jurisdiction Act</w:t>
      </w:r>
      <w:r w:rsidRPr="00265B2D">
        <w:rPr>
          <w:lang w:val="fr-CA"/>
        </w:rPr>
        <w:t xml:space="preserve">, R.S.A. 2000, </w:t>
      </w:r>
      <w:r w:rsidR="00536FA1" w:rsidRPr="00265B2D">
        <w:rPr>
          <w:lang w:val="fr-CA"/>
        </w:rPr>
        <w:t>ch. </w:t>
      </w:r>
      <w:r w:rsidRPr="00265B2D">
        <w:rPr>
          <w:lang w:val="fr-CA"/>
        </w:rPr>
        <w:t>A</w:t>
      </w:r>
      <w:r w:rsidR="00536FA1" w:rsidRPr="00265B2D">
        <w:rPr>
          <w:lang w:val="fr-CA"/>
        </w:rPr>
        <w:noBreakHyphen/>
      </w:r>
      <w:r w:rsidRPr="00265B2D">
        <w:rPr>
          <w:lang w:val="fr-CA"/>
        </w:rPr>
        <w:t>3.</w:t>
      </w:r>
    </w:p>
    <w:p w:rsidR="00DE2FF8" w:rsidRPr="00265B2D" w:rsidRDefault="00DE2FF8" w:rsidP="005A00FD">
      <w:pPr>
        <w:pStyle w:val="SCCNormalDoubleSpacing"/>
        <w:spacing w:after="240" w:line="240" w:lineRule="auto"/>
        <w:ind w:left="605" w:hanging="605"/>
        <w:rPr>
          <w:lang w:val="fr-CA"/>
        </w:rPr>
      </w:pPr>
      <w:r w:rsidRPr="00265B2D">
        <w:rPr>
          <w:i/>
          <w:lang w:val="fr-CA"/>
        </w:rPr>
        <w:t>Charte canadienne des droits et libertés</w:t>
      </w:r>
      <w:r w:rsidRPr="00265B2D">
        <w:rPr>
          <w:lang w:val="fr-CA"/>
        </w:rPr>
        <w:t xml:space="preserve">, </w:t>
      </w:r>
      <w:r w:rsidR="00536FA1" w:rsidRPr="00265B2D">
        <w:rPr>
          <w:lang w:val="fr-CA"/>
        </w:rPr>
        <w:t>art. </w:t>
      </w:r>
      <w:r w:rsidRPr="00265B2D">
        <w:rPr>
          <w:lang w:val="fr-CA"/>
        </w:rPr>
        <w:t>1, 2</w:t>
      </w:r>
      <w:r w:rsidRPr="00265B2D">
        <w:rPr>
          <w:i/>
          <w:lang w:val="fr-CA"/>
        </w:rPr>
        <w:t>b</w:t>
      </w:r>
      <w:r w:rsidRPr="00265B2D">
        <w:rPr>
          <w:lang w:val="fr-CA"/>
        </w:rPr>
        <w:t>).</w:t>
      </w:r>
    </w:p>
    <w:p w:rsidR="00043069" w:rsidRPr="00265B2D" w:rsidRDefault="007251B3" w:rsidP="005A00FD">
      <w:pPr>
        <w:pStyle w:val="SCCNormalDoubleSpacing"/>
        <w:spacing w:after="240" w:line="240" w:lineRule="auto"/>
        <w:ind w:left="605" w:hanging="605"/>
        <w:rPr>
          <w:lang w:val="fr-CA"/>
        </w:rPr>
      </w:pPr>
      <w:r w:rsidRPr="00265B2D">
        <w:rPr>
          <w:i/>
          <w:lang w:val="fr-CA"/>
        </w:rPr>
        <w:t>Loi sur la protection des renseignements personnels et les documents électroniques</w:t>
      </w:r>
      <w:r w:rsidRPr="00265B2D">
        <w:rPr>
          <w:lang w:val="fr-CA"/>
        </w:rPr>
        <w:t xml:space="preserve">, L.C. 2000, </w:t>
      </w:r>
      <w:r w:rsidR="00536FA1" w:rsidRPr="00265B2D">
        <w:rPr>
          <w:lang w:val="fr-CA"/>
        </w:rPr>
        <w:t>ch. </w:t>
      </w:r>
      <w:r w:rsidRPr="00265B2D">
        <w:rPr>
          <w:lang w:val="fr-CA"/>
        </w:rPr>
        <w:t>5</w:t>
      </w:r>
      <w:r w:rsidR="00107143" w:rsidRPr="00265B2D">
        <w:rPr>
          <w:lang w:val="fr-CA"/>
        </w:rPr>
        <w:t xml:space="preserve">, </w:t>
      </w:r>
      <w:r w:rsidR="00536FA1" w:rsidRPr="00265B2D">
        <w:rPr>
          <w:lang w:val="fr-CA"/>
        </w:rPr>
        <w:t>art. </w:t>
      </w:r>
      <w:r w:rsidR="00107143" w:rsidRPr="00265B2D">
        <w:rPr>
          <w:lang w:val="fr-CA"/>
        </w:rPr>
        <w:t>26(2)</w:t>
      </w:r>
      <w:r w:rsidR="00107143" w:rsidRPr="00265B2D">
        <w:rPr>
          <w:i/>
          <w:lang w:val="fr-CA"/>
        </w:rPr>
        <w:t>b</w:t>
      </w:r>
      <w:r w:rsidR="00107143" w:rsidRPr="00265B2D">
        <w:rPr>
          <w:lang w:val="fr-CA"/>
        </w:rPr>
        <w:t>)</w:t>
      </w:r>
      <w:r w:rsidRPr="00265B2D">
        <w:rPr>
          <w:lang w:val="fr-CA"/>
        </w:rPr>
        <w:t>.</w:t>
      </w:r>
    </w:p>
    <w:p w:rsidR="00043069" w:rsidRPr="00265B2D" w:rsidRDefault="00043069" w:rsidP="005A00FD">
      <w:pPr>
        <w:pStyle w:val="SCCNormalDoubleSpacing"/>
        <w:spacing w:after="240" w:line="240" w:lineRule="auto"/>
        <w:ind w:left="605" w:hanging="605"/>
        <w:rPr>
          <w:lang w:val="en-US"/>
        </w:rPr>
      </w:pPr>
      <w:r w:rsidRPr="00265B2D">
        <w:rPr>
          <w:i/>
          <w:lang w:val="en-US"/>
        </w:rPr>
        <w:t>Personal Information Protection Act</w:t>
      </w:r>
      <w:r w:rsidRPr="00265B2D">
        <w:rPr>
          <w:lang w:val="en-US"/>
        </w:rPr>
        <w:t xml:space="preserve">, S.A. 2003, </w:t>
      </w:r>
      <w:r w:rsidR="00536FA1" w:rsidRPr="00265B2D">
        <w:rPr>
          <w:lang w:val="en-US"/>
        </w:rPr>
        <w:t>ch. </w:t>
      </w:r>
      <w:r w:rsidRPr="00265B2D">
        <w:rPr>
          <w:lang w:val="en-US"/>
        </w:rPr>
        <w:t>P</w:t>
      </w:r>
      <w:r w:rsidR="00536FA1" w:rsidRPr="00265B2D">
        <w:rPr>
          <w:lang w:val="en-US"/>
        </w:rPr>
        <w:noBreakHyphen/>
      </w:r>
      <w:r w:rsidRPr="00265B2D">
        <w:rPr>
          <w:lang w:val="en-US"/>
        </w:rPr>
        <w:t>6.5</w:t>
      </w:r>
      <w:r w:rsidR="001303FB" w:rsidRPr="00265B2D">
        <w:rPr>
          <w:lang w:val="en-US"/>
        </w:rPr>
        <w:t xml:space="preserve">, </w:t>
      </w:r>
      <w:r w:rsidR="00536FA1" w:rsidRPr="00265B2D">
        <w:rPr>
          <w:lang w:val="en-US"/>
        </w:rPr>
        <w:t>art. </w:t>
      </w:r>
      <w:r w:rsidR="00E93309" w:rsidRPr="00265B2D">
        <w:t>1(1)i) « </w:t>
      </w:r>
      <w:r w:rsidR="00E93309" w:rsidRPr="00265B2D">
        <w:rPr>
          <w:i/>
        </w:rPr>
        <w:t>organization</w:t>
      </w:r>
      <w:r w:rsidR="00E93309" w:rsidRPr="00265B2D">
        <w:t> », k) « </w:t>
      </w:r>
      <w:r w:rsidR="00E93309" w:rsidRPr="00265B2D">
        <w:rPr>
          <w:i/>
        </w:rPr>
        <w:t>personal information</w:t>
      </w:r>
      <w:r w:rsidR="00E93309" w:rsidRPr="00265B2D">
        <w:t xml:space="preserve"> », </w:t>
      </w:r>
      <w:r w:rsidR="001303FB" w:rsidRPr="00265B2D">
        <w:rPr>
          <w:lang w:val="en-US"/>
        </w:rPr>
        <w:t>3</w:t>
      </w:r>
      <w:r w:rsidR="00A266CB" w:rsidRPr="00265B2D">
        <w:rPr>
          <w:lang w:val="en-US"/>
        </w:rPr>
        <w:t xml:space="preserve">, </w:t>
      </w:r>
      <w:r w:rsidR="00DE757D" w:rsidRPr="00265B2D">
        <w:t xml:space="preserve">4(1), (3)a), b), c), </w:t>
      </w:r>
      <w:r w:rsidR="00A266CB" w:rsidRPr="00265B2D">
        <w:rPr>
          <w:lang w:val="en-US"/>
        </w:rPr>
        <w:t>7</w:t>
      </w:r>
      <w:r w:rsidR="000664BC" w:rsidRPr="00265B2D">
        <w:rPr>
          <w:lang w:val="en-US"/>
        </w:rPr>
        <w:t>(1)</w:t>
      </w:r>
      <w:r w:rsidR="00B047A1" w:rsidRPr="00265B2D">
        <w:rPr>
          <w:lang w:val="en-US"/>
        </w:rPr>
        <w:t xml:space="preserve">, </w:t>
      </w:r>
      <w:r w:rsidR="001D3CFE" w:rsidRPr="00265B2D">
        <w:rPr>
          <w:lang w:val="en-US"/>
        </w:rPr>
        <w:t xml:space="preserve">14d), e), 17d), e), 20f), j), m), </w:t>
      </w:r>
      <w:r w:rsidR="00B047A1" w:rsidRPr="00265B2D">
        <w:rPr>
          <w:lang w:val="en-US"/>
        </w:rPr>
        <w:t>56(2), (3)</w:t>
      </w:r>
      <w:r w:rsidR="00107143" w:rsidRPr="00265B2D">
        <w:rPr>
          <w:lang w:val="en-US"/>
        </w:rPr>
        <w:t>.</w:t>
      </w:r>
    </w:p>
    <w:p w:rsidR="004D7D95" w:rsidRPr="00B32A83" w:rsidRDefault="00200C51" w:rsidP="005A00FD">
      <w:pPr>
        <w:pStyle w:val="SCCNormalDoubleSpacing"/>
        <w:spacing w:after="720" w:line="240" w:lineRule="auto"/>
        <w:ind w:left="600" w:hanging="600"/>
        <w:rPr>
          <w:lang w:val="en-US"/>
        </w:rPr>
      </w:pPr>
      <w:r w:rsidRPr="00B32A83">
        <w:rPr>
          <w:i/>
          <w:lang w:val="en-US"/>
        </w:rPr>
        <w:t>Personal Information Protection Act Regulation</w:t>
      </w:r>
      <w:r w:rsidRPr="00B32A83">
        <w:rPr>
          <w:lang w:val="en-US"/>
        </w:rPr>
        <w:t>, Alta</w:t>
      </w:r>
      <w:r w:rsidR="00B32A83" w:rsidRPr="00B32A83">
        <w:rPr>
          <w:lang w:val="en-US"/>
        </w:rPr>
        <w:t>.</w:t>
      </w:r>
      <w:r w:rsidRPr="00B32A83">
        <w:rPr>
          <w:lang w:val="en-US"/>
        </w:rPr>
        <w:t xml:space="preserve"> Reg. 366/2003</w:t>
      </w:r>
      <w:r w:rsidR="00B32A83" w:rsidRPr="00B32A83">
        <w:rPr>
          <w:lang w:val="en-US"/>
        </w:rPr>
        <w:t>, art</w:t>
      </w:r>
      <w:r w:rsidR="0013236B" w:rsidRPr="00B32A83">
        <w:rPr>
          <w:lang w:val="en-US"/>
        </w:rPr>
        <w:t>. </w:t>
      </w:r>
      <w:r w:rsidR="000664BC" w:rsidRPr="00B32A83">
        <w:rPr>
          <w:lang w:val="en-US"/>
        </w:rPr>
        <w:t>7</w:t>
      </w:r>
      <w:r w:rsidRPr="00B32A83">
        <w:rPr>
          <w:lang w:val="en-US"/>
        </w:rPr>
        <w:t>.</w:t>
      </w:r>
    </w:p>
    <w:p w:rsidR="004D7D95" w:rsidRPr="00265B2D" w:rsidRDefault="004D7D95" w:rsidP="0013236B">
      <w:pPr>
        <w:pStyle w:val="SCCNormalDoubleSpacing"/>
        <w:keepNext/>
        <w:spacing w:after="720" w:line="240" w:lineRule="auto"/>
        <w:rPr>
          <w:b/>
          <w:lang w:val="fr-CA"/>
        </w:rPr>
      </w:pPr>
      <w:r w:rsidRPr="00265B2D">
        <w:rPr>
          <w:b/>
          <w:lang w:val="fr-CA"/>
        </w:rPr>
        <w:t>Doctrine et autres documents cités</w:t>
      </w:r>
    </w:p>
    <w:p w:rsidR="00D216A6" w:rsidRPr="00265B2D" w:rsidRDefault="0013236B" w:rsidP="00AC76AE">
      <w:pPr>
        <w:pStyle w:val="SCCNormalDoubleSpacing"/>
        <w:spacing w:after="240" w:line="240" w:lineRule="auto"/>
        <w:ind w:left="605" w:hanging="605"/>
      </w:pPr>
      <w:r w:rsidRPr="00265B2D">
        <w:t>Adams</w:t>
      </w:r>
      <w:r w:rsidRPr="00265B2D">
        <w:rPr>
          <w:lang w:val="en-US"/>
        </w:rPr>
        <w:t>, George </w:t>
      </w:r>
      <w:r w:rsidR="00D216A6" w:rsidRPr="00265B2D">
        <w:rPr>
          <w:lang w:val="en-US"/>
        </w:rPr>
        <w:t xml:space="preserve">W.  </w:t>
      </w:r>
      <w:r w:rsidR="00D216A6" w:rsidRPr="00265B2D">
        <w:rPr>
          <w:i/>
        </w:rPr>
        <w:t>Canadian Labour Law</w:t>
      </w:r>
      <w:r w:rsidR="00D216A6" w:rsidRPr="00265B2D">
        <w:t>, 2nd ed.</w:t>
      </w:r>
      <w:r w:rsidR="00B53C06">
        <w:t>, vol. 1.</w:t>
      </w:r>
      <w:r w:rsidR="00D216A6" w:rsidRPr="00265B2D">
        <w:t xml:space="preserve">  Aurora, Ont.</w:t>
      </w:r>
      <w:r w:rsidR="00536FA1" w:rsidRPr="00265B2D">
        <w:t> :</w:t>
      </w:r>
      <w:r w:rsidR="00D216A6" w:rsidRPr="00265B2D">
        <w:t xml:space="preserve"> Canada Law Book, 1993 (loose</w:t>
      </w:r>
      <w:r w:rsidR="00A54F21">
        <w:rPr>
          <w:rFonts w:eastAsia="MS Mincho"/>
        </w:rPr>
        <w:t>-</w:t>
      </w:r>
      <w:r w:rsidR="00D216A6" w:rsidRPr="00265B2D">
        <w:t>leaf updated June 2013, release 46).</w:t>
      </w:r>
    </w:p>
    <w:p w:rsidR="00F54418" w:rsidRPr="00265B2D" w:rsidRDefault="00A579FA" w:rsidP="00AC76AE">
      <w:pPr>
        <w:pStyle w:val="SCCNormalDoubleSpacing"/>
        <w:spacing w:after="240" w:line="240" w:lineRule="auto"/>
        <w:ind w:left="605" w:hanging="605"/>
        <w:rPr>
          <w:lang w:val="fr-CA"/>
        </w:rPr>
      </w:pPr>
      <w:r w:rsidRPr="00265B2D">
        <w:rPr>
          <w:lang w:val="fr-CA"/>
        </w:rPr>
        <w:t xml:space="preserve">Canada.  Rapport du Groupe d’étude établi conjointement par le ministère des Communications et le ministère de la Justice.  </w:t>
      </w:r>
      <w:r w:rsidRPr="00265B2D">
        <w:rPr>
          <w:i/>
          <w:lang w:val="fr-CA"/>
        </w:rPr>
        <w:t>L’ordinateur et la vie privée</w:t>
      </w:r>
      <w:r w:rsidRPr="00265B2D">
        <w:rPr>
          <w:lang w:val="fr-CA"/>
        </w:rPr>
        <w:t>. Ottawa</w:t>
      </w:r>
      <w:r w:rsidR="00536FA1" w:rsidRPr="00265B2D">
        <w:rPr>
          <w:lang w:val="fr-CA"/>
        </w:rPr>
        <w:t> :</w:t>
      </w:r>
      <w:r w:rsidRPr="00265B2D">
        <w:rPr>
          <w:lang w:val="fr-CA"/>
        </w:rPr>
        <w:t xml:space="preserve"> Information Canada, 1972.</w:t>
      </w:r>
    </w:p>
    <w:p w:rsidR="000F6772" w:rsidRPr="00265B2D" w:rsidRDefault="0013236B" w:rsidP="00AC76AE">
      <w:pPr>
        <w:pStyle w:val="SCCNormalDoubleSpacing"/>
        <w:spacing w:after="240" w:line="240" w:lineRule="auto"/>
        <w:ind w:left="605" w:hanging="605"/>
      </w:pPr>
      <w:r w:rsidRPr="00265B2D">
        <w:t>Craig</w:t>
      </w:r>
      <w:r w:rsidRPr="00265B2D">
        <w:rPr>
          <w:lang w:val="en-US"/>
        </w:rPr>
        <w:t>, John </w:t>
      </w:r>
      <w:r w:rsidR="000F6772" w:rsidRPr="00265B2D">
        <w:rPr>
          <w:lang w:val="en-US"/>
        </w:rPr>
        <w:t>D.</w:t>
      </w:r>
      <w:r w:rsidRPr="00265B2D">
        <w:rPr>
          <w:lang w:val="en-US"/>
        </w:rPr>
        <w:t> </w:t>
      </w:r>
      <w:r w:rsidR="000F6772" w:rsidRPr="00265B2D">
        <w:rPr>
          <w:lang w:val="en-US"/>
        </w:rPr>
        <w:t xml:space="preserve">R.  </w:t>
      </w:r>
      <w:r w:rsidR="000F6772" w:rsidRPr="00265B2D">
        <w:t xml:space="preserve">« Invasion of Privacy and </w:t>
      </w:r>
      <w:r w:rsidR="000F6772" w:rsidRPr="00265B2D">
        <w:rPr>
          <w:i/>
        </w:rPr>
        <w:t>Charter</w:t>
      </w:r>
      <w:r w:rsidR="000F6772" w:rsidRPr="00265B2D">
        <w:t xml:space="preserve"> Values</w:t>
      </w:r>
      <w:r w:rsidR="00536FA1" w:rsidRPr="00265B2D">
        <w:t> :</w:t>
      </w:r>
      <w:r w:rsidR="000F6772" w:rsidRPr="00265B2D">
        <w:t xml:space="preserve"> The Common</w:t>
      </w:r>
      <w:r w:rsidR="00536FA1" w:rsidRPr="00265B2D">
        <w:noBreakHyphen/>
      </w:r>
      <w:r w:rsidR="000F6772" w:rsidRPr="00265B2D">
        <w:t>Law Tort Awakens » (1997)</w:t>
      </w:r>
      <w:r w:rsidR="00B32A83">
        <w:t>,</w:t>
      </w:r>
      <w:r w:rsidR="000F6772" w:rsidRPr="00265B2D">
        <w:t xml:space="preserve"> 42 </w:t>
      </w:r>
      <w:r w:rsidR="000F6772" w:rsidRPr="00265B2D">
        <w:rPr>
          <w:i/>
        </w:rPr>
        <w:t>R.D. McGill</w:t>
      </w:r>
      <w:r w:rsidR="000F6772" w:rsidRPr="00265B2D">
        <w:t xml:space="preserve"> 355.</w:t>
      </w:r>
    </w:p>
    <w:p w:rsidR="00810DCE" w:rsidRPr="00265B2D" w:rsidRDefault="0013236B" w:rsidP="00AC76AE">
      <w:pPr>
        <w:pStyle w:val="SCCNormalDoubleSpacing"/>
        <w:spacing w:after="240" w:line="240" w:lineRule="auto"/>
        <w:ind w:left="605" w:hanging="605"/>
      </w:pPr>
      <w:r w:rsidRPr="00265B2D">
        <w:rPr>
          <w:lang w:val="fr-CA"/>
        </w:rPr>
        <w:t>Drapeau, Michel </w:t>
      </w:r>
      <w:r w:rsidR="00810DCE" w:rsidRPr="00265B2D">
        <w:rPr>
          <w:lang w:val="fr-CA"/>
        </w:rPr>
        <w:t>W., and Marc</w:t>
      </w:r>
      <w:r w:rsidR="00536FA1" w:rsidRPr="00265B2D">
        <w:rPr>
          <w:lang w:val="fr-CA"/>
        </w:rPr>
        <w:noBreakHyphen/>
      </w:r>
      <w:r w:rsidR="00810DCE" w:rsidRPr="00265B2D">
        <w:rPr>
          <w:lang w:val="fr-CA"/>
        </w:rPr>
        <w:t xml:space="preserve">Aurèle Racicot.  </w:t>
      </w:r>
      <w:r w:rsidR="00810DCE" w:rsidRPr="00265B2D">
        <w:rPr>
          <w:i/>
        </w:rPr>
        <w:t>Protection of Privacy in the Canadian Private and Health Sectors 2013</w:t>
      </w:r>
      <w:r w:rsidR="00810DCE" w:rsidRPr="00265B2D">
        <w:t>.  Toronto</w:t>
      </w:r>
      <w:r w:rsidR="00536FA1" w:rsidRPr="00265B2D">
        <w:t> :</w:t>
      </w:r>
      <w:r w:rsidR="00810DCE" w:rsidRPr="00265B2D">
        <w:t xml:space="preserve"> Carswell, 2012.</w:t>
      </w:r>
    </w:p>
    <w:p w:rsidR="006424C5" w:rsidRPr="00265B2D" w:rsidRDefault="006424C5" w:rsidP="00AC76AE">
      <w:pPr>
        <w:pStyle w:val="SCCNormalDoubleSpacing"/>
        <w:spacing w:after="240" w:line="240" w:lineRule="auto"/>
        <w:ind w:left="605" w:hanging="605"/>
      </w:pPr>
      <w:r w:rsidRPr="00265B2D">
        <w:t>Gratton</w:t>
      </w:r>
      <w:r w:rsidRPr="00265B2D">
        <w:rPr>
          <w:lang w:val="en-US"/>
        </w:rPr>
        <w:t xml:space="preserve">, Éloïse.  </w:t>
      </w:r>
      <w:r w:rsidRPr="00265B2D">
        <w:rPr>
          <w:i/>
        </w:rPr>
        <w:t>Understanding Personal Information</w:t>
      </w:r>
      <w:r w:rsidR="00536FA1" w:rsidRPr="00265B2D">
        <w:rPr>
          <w:i/>
        </w:rPr>
        <w:t> :</w:t>
      </w:r>
      <w:r w:rsidRPr="00265B2D">
        <w:rPr>
          <w:i/>
        </w:rPr>
        <w:t xml:space="preserve">  Managing Privacy Risks</w:t>
      </w:r>
      <w:r w:rsidRPr="00265B2D">
        <w:t>.  Markham, Ont.</w:t>
      </w:r>
      <w:r w:rsidR="00536FA1" w:rsidRPr="00265B2D">
        <w:t> :</w:t>
      </w:r>
      <w:r w:rsidRPr="00265B2D">
        <w:t xml:space="preserve"> LexisNexis, 2013.</w:t>
      </w:r>
    </w:p>
    <w:p w:rsidR="00F5266C" w:rsidRPr="00265B2D" w:rsidRDefault="0013236B" w:rsidP="00AC76AE">
      <w:pPr>
        <w:pStyle w:val="SCCNormalDoubleSpacing"/>
        <w:spacing w:after="240" w:line="240" w:lineRule="auto"/>
        <w:ind w:left="605" w:hanging="605"/>
      </w:pPr>
      <w:r w:rsidRPr="00265B2D">
        <w:lastRenderedPageBreak/>
        <w:t>Hogg, Peter </w:t>
      </w:r>
      <w:r w:rsidR="00F5266C" w:rsidRPr="00265B2D">
        <w:t xml:space="preserve">W.  </w:t>
      </w:r>
      <w:r w:rsidR="00F5266C" w:rsidRPr="00265B2D">
        <w:rPr>
          <w:i/>
        </w:rPr>
        <w:t>Constitutional Law of Canada</w:t>
      </w:r>
      <w:r w:rsidR="00F5266C" w:rsidRPr="00265B2D">
        <w:t xml:space="preserve">, 5th ed. Supp., </w:t>
      </w:r>
      <w:r w:rsidR="00536FA1" w:rsidRPr="00265B2D">
        <w:t>vol. </w:t>
      </w:r>
      <w:r w:rsidR="00F5266C" w:rsidRPr="00265B2D">
        <w:t>2.  Toronto</w:t>
      </w:r>
      <w:r w:rsidR="00536FA1" w:rsidRPr="00265B2D">
        <w:t> :</w:t>
      </w:r>
      <w:r w:rsidR="00F5266C" w:rsidRPr="00265B2D">
        <w:t xml:space="preserve"> Thomson/Carswell, 2007 (updated 2012, release 1).</w:t>
      </w:r>
    </w:p>
    <w:p w:rsidR="002F384F" w:rsidRPr="00265B2D" w:rsidRDefault="002F384F" w:rsidP="00AC76AE">
      <w:pPr>
        <w:pStyle w:val="SCCNormalDoubleSpacing"/>
        <w:spacing w:after="240" w:line="240" w:lineRule="auto"/>
        <w:ind w:left="605" w:hanging="605"/>
      </w:pPr>
      <w:r w:rsidRPr="00265B2D">
        <w:t>Hunt</w:t>
      </w:r>
      <w:r w:rsidR="0013236B" w:rsidRPr="00265B2D">
        <w:t>, Chris </w:t>
      </w:r>
      <w:r w:rsidRPr="00265B2D">
        <w:t>D.</w:t>
      </w:r>
      <w:r w:rsidR="0013236B" w:rsidRPr="00265B2D">
        <w:t> </w:t>
      </w:r>
      <w:r w:rsidRPr="00265B2D">
        <w:t>L.  « Conceptualizing Privacy and Elucidating its Importance</w:t>
      </w:r>
      <w:r w:rsidR="00536FA1" w:rsidRPr="00265B2D">
        <w:t> :</w:t>
      </w:r>
      <w:r w:rsidRPr="00265B2D">
        <w:t xml:space="preserve"> Foundational Considerations for the Development of Canada’s Fledgling Privacy Tort » (2011), 37 </w:t>
      </w:r>
      <w:r w:rsidRPr="00265B2D">
        <w:rPr>
          <w:i/>
        </w:rPr>
        <w:t>Queen’s L.J.</w:t>
      </w:r>
      <w:r w:rsidRPr="00265B2D">
        <w:t xml:space="preserve"> 167.</w:t>
      </w:r>
    </w:p>
    <w:p w:rsidR="000A034C" w:rsidRPr="00265B2D" w:rsidRDefault="000A034C" w:rsidP="00AC76AE">
      <w:pPr>
        <w:pStyle w:val="SCCNormalDoubleSpacing"/>
        <w:spacing w:after="240" w:line="240" w:lineRule="auto"/>
        <w:ind w:left="605" w:hanging="605"/>
      </w:pPr>
      <w:r w:rsidRPr="00265B2D">
        <w:rPr>
          <w:lang w:val="en-US"/>
        </w:rPr>
        <w:t>MacNeil</w:t>
      </w:r>
      <w:r w:rsidRPr="00265B2D">
        <w:t xml:space="preserve">, Michael.  « Unions and the </w:t>
      </w:r>
      <w:r w:rsidRPr="00265B2D">
        <w:rPr>
          <w:i/>
        </w:rPr>
        <w:t>Charter</w:t>
      </w:r>
      <w:r w:rsidR="00536FA1" w:rsidRPr="00265B2D">
        <w:t> :</w:t>
      </w:r>
      <w:r w:rsidRPr="00265B2D">
        <w:t xml:space="preserve"> The Supreme Court of Canada and Democratic Values » (2003), 10 </w:t>
      </w:r>
      <w:r w:rsidRPr="00265B2D">
        <w:rPr>
          <w:i/>
        </w:rPr>
        <w:t>C.L.E.L.J.</w:t>
      </w:r>
      <w:r w:rsidRPr="00265B2D">
        <w:t xml:space="preserve"> 3.</w:t>
      </w:r>
    </w:p>
    <w:p w:rsidR="004D7D95" w:rsidRPr="00265B2D" w:rsidRDefault="00B32A83" w:rsidP="00B32A83">
      <w:pPr>
        <w:pStyle w:val="SCCNormalDoubleSpacing"/>
        <w:spacing w:after="240" w:line="240" w:lineRule="auto"/>
        <w:ind w:left="605" w:hanging="605"/>
        <w:rPr>
          <w:lang w:val="fr-CA"/>
        </w:rPr>
      </w:pPr>
      <w:r>
        <w:rPr>
          <w:lang w:val="fr-CA"/>
        </w:rPr>
        <w:t>Organisation internationale du t</w:t>
      </w:r>
      <w:r w:rsidR="007D4F3D" w:rsidRPr="00265B2D">
        <w:rPr>
          <w:lang w:val="fr-CA"/>
        </w:rPr>
        <w:t xml:space="preserve">ravail.  </w:t>
      </w:r>
      <w:r w:rsidR="007D4F3D" w:rsidRPr="00265B2D">
        <w:rPr>
          <w:i/>
          <w:lang w:val="fr-CA"/>
        </w:rPr>
        <w:t xml:space="preserve">Rapport du </w:t>
      </w:r>
      <w:r>
        <w:rPr>
          <w:i/>
          <w:lang w:val="fr-CA"/>
        </w:rPr>
        <w:t>d</w:t>
      </w:r>
      <w:r w:rsidR="007D4F3D" w:rsidRPr="00265B2D">
        <w:rPr>
          <w:i/>
          <w:lang w:val="fr-CA"/>
        </w:rPr>
        <w:t>irecteur</w:t>
      </w:r>
      <w:r>
        <w:rPr>
          <w:i/>
          <w:lang w:val="fr-CA"/>
        </w:rPr>
        <w:t xml:space="preserve"> </w:t>
      </w:r>
      <w:r w:rsidR="007D4F3D" w:rsidRPr="00265B2D">
        <w:rPr>
          <w:i/>
          <w:lang w:val="fr-CA"/>
        </w:rPr>
        <w:t>général</w:t>
      </w:r>
      <w:r w:rsidR="00536FA1" w:rsidRPr="00265B2D">
        <w:rPr>
          <w:i/>
          <w:lang w:val="fr-CA"/>
        </w:rPr>
        <w:t> :</w:t>
      </w:r>
      <w:r w:rsidR="007D4F3D" w:rsidRPr="00265B2D">
        <w:rPr>
          <w:i/>
          <w:lang w:val="fr-CA"/>
        </w:rPr>
        <w:t xml:space="preserve"> Liberté d’association</w:t>
      </w:r>
      <w:r w:rsidR="00536FA1" w:rsidRPr="00265B2D">
        <w:rPr>
          <w:i/>
          <w:lang w:val="fr-CA"/>
        </w:rPr>
        <w:t> :</w:t>
      </w:r>
      <w:r w:rsidR="007D4F3D" w:rsidRPr="00265B2D">
        <w:rPr>
          <w:i/>
          <w:lang w:val="fr-CA"/>
        </w:rPr>
        <w:t xml:space="preserve"> enseignements tirés de la pratique</w:t>
      </w:r>
      <w:r w:rsidR="007D4F3D" w:rsidRPr="00265B2D">
        <w:rPr>
          <w:lang w:val="fr-CA"/>
        </w:rPr>
        <w:t>.  Genève</w:t>
      </w:r>
      <w:r w:rsidR="00536FA1" w:rsidRPr="00265B2D">
        <w:rPr>
          <w:lang w:val="fr-CA"/>
        </w:rPr>
        <w:t> :</w:t>
      </w:r>
      <w:r w:rsidR="007D4F3D" w:rsidRPr="00265B2D">
        <w:rPr>
          <w:lang w:val="fr-CA"/>
        </w:rPr>
        <w:t xml:space="preserve"> Bureau international du Travail, 2008 (en ligne</w:t>
      </w:r>
      <w:r w:rsidR="00536FA1" w:rsidRPr="00265B2D">
        <w:rPr>
          <w:lang w:val="fr-CA"/>
        </w:rPr>
        <w:t> :</w:t>
      </w:r>
      <w:r>
        <w:rPr>
          <w:lang w:val="fr-CA"/>
        </w:rPr>
        <w:t xml:space="preserve"> </w:t>
      </w:r>
      <w:r w:rsidR="007D4F3D" w:rsidRPr="00265B2D">
        <w:rPr>
          <w:lang w:val="fr-CA"/>
        </w:rPr>
        <w:t>http://www.ilo.org/wcmsp5/groups/public/</w:t>
      </w:r>
      <w:r>
        <w:rPr>
          <w:lang w:val="fr-CA"/>
        </w:rPr>
        <w:t>@</w:t>
      </w:r>
      <w:r w:rsidR="007D4F3D" w:rsidRPr="00265B2D">
        <w:rPr>
          <w:lang w:val="fr-CA"/>
        </w:rPr>
        <w:t>dgreports/</w:t>
      </w:r>
      <w:r>
        <w:rPr>
          <w:lang w:val="fr-CA"/>
        </w:rPr>
        <w:t>@</w:t>
      </w:r>
      <w:r w:rsidR="007D4F3D" w:rsidRPr="00265B2D">
        <w:rPr>
          <w:lang w:val="fr-CA"/>
        </w:rPr>
        <w:t>dcomm/documents/publication/wcms_096123.pdf).</w:t>
      </w:r>
    </w:p>
    <w:p w:rsidR="005B3089" w:rsidRPr="00265B2D" w:rsidRDefault="005B3089" w:rsidP="00AC76AE">
      <w:pPr>
        <w:pStyle w:val="SCCNormalDoubleSpacing"/>
        <w:spacing w:after="720" w:line="240" w:lineRule="auto"/>
        <w:ind w:left="605" w:hanging="605"/>
        <w:rPr>
          <w:lang w:val="fr-CA"/>
        </w:rPr>
      </w:pPr>
      <w:r w:rsidRPr="00265B2D">
        <w:t xml:space="preserve">Rayner, </w:t>
      </w:r>
      <w:r w:rsidR="0013236B" w:rsidRPr="00265B2D">
        <w:t>Wesley </w:t>
      </w:r>
      <w:r w:rsidRPr="00265B2D">
        <w:t xml:space="preserve">B.  </w:t>
      </w:r>
      <w:r w:rsidRPr="00265B2D">
        <w:rPr>
          <w:i/>
        </w:rPr>
        <w:t>Canadian Collective Bargaining Law</w:t>
      </w:r>
      <w:r w:rsidRPr="00265B2D">
        <w:t xml:space="preserve">, 2nd ed.  </w:t>
      </w:r>
      <w:r w:rsidRPr="00265B2D">
        <w:rPr>
          <w:lang w:val="fr-CA"/>
        </w:rPr>
        <w:t>Markham, Ont.</w:t>
      </w:r>
      <w:r w:rsidR="00536FA1" w:rsidRPr="00265B2D">
        <w:rPr>
          <w:lang w:val="fr-CA"/>
        </w:rPr>
        <w:t> :</w:t>
      </w:r>
      <w:r w:rsidRPr="00265B2D">
        <w:rPr>
          <w:lang w:val="fr-CA"/>
        </w:rPr>
        <w:t xml:space="preserve"> LexisNexis, 2007.</w:t>
      </w:r>
    </w:p>
    <w:p w:rsidR="003C5F76" w:rsidRPr="00265B2D" w:rsidRDefault="004D7D95" w:rsidP="0013236B">
      <w:pPr>
        <w:pStyle w:val="SCCNormalDoubleSpacing"/>
        <w:spacing w:after="480"/>
        <w:rPr>
          <w:lang w:val="fr-CA"/>
        </w:rPr>
      </w:pPr>
      <w:r w:rsidRPr="00265B2D">
        <w:rPr>
          <w:lang w:val="fr-CA"/>
        </w:rPr>
        <w:tab/>
        <w:t>POURVOI contre un arrêt de la Cour</w:t>
      </w:r>
      <w:r w:rsidR="003C5F76" w:rsidRPr="00265B2D">
        <w:rPr>
          <w:lang w:val="fr-CA"/>
        </w:rPr>
        <w:t xml:space="preserve"> d</w:t>
      </w:r>
      <w:r w:rsidR="00695FEB" w:rsidRPr="00265B2D">
        <w:rPr>
          <w:lang w:val="fr-CA"/>
        </w:rPr>
        <w:t>’</w:t>
      </w:r>
      <w:r w:rsidR="003C5F76" w:rsidRPr="00265B2D">
        <w:rPr>
          <w:lang w:val="fr-CA"/>
        </w:rPr>
        <w:t>appel de l’Alberta (les juges Slatter, McDonald et Read (</w:t>
      </w:r>
      <w:r w:rsidR="003C5F76" w:rsidRPr="00265B2D">
        <w:rPr>
          <w:i/>
          <w:lang w:val="fr-CA"/>
        </w:rPr>
        <w:t>ad hoc</w:t>
      </w:r>
      <w:r w:rsidR="003C5F76" w:rsidRPr="00265B2D">
        <w:rPr>
          <w:lang w:val="fr-CA"/>
        </w:rPr>
        <w:t>)</w:t>
      </w:r>
      <w:r w:rsidR="00562041" w:rsidRPr="00265B2D">
        <w:rPr>
          <w:lang w:val="fr-CA"/>
        </w:rPr>
        <w:t>)</w:t>
      </w:r>
      <w:r w:rsidR="003C5F76" w:rsidRPr="00265B2D">
        <w:rPr>
          <w:lang w:val="fr-CA"/>
        </w:rPr>
        <w:t>, 2012 ABCA 130, 57 Alta. L.R. (5th) 249, 522 A.R. 197, 544 W.A.C. 197, 349 D.L.R. (4th) 654, 258 C.R.R. (2d) 110, 33 Admin. L.R. (5th) 321, [2012] 6 W.W.R. 211</w:t>
      </w:r>
      <w:r w:rsidR="00095B99" w:rsidRPr="00265B2D">
        <w:rPr>
          <w:lang w:val="fr-CA"/>
        </w:rPr>
        <w:t>, 2012 CLLC ¶210</w:t>
      </w:r>
      <w:r w:rsidR="00536FA1" w:rsidRPr="00265B2D">
        <w:rPr>
          <w:lang w:val="fr-CA"/>
        </w:rPr>
        <w:noBreakHyphen/>
      </w:r>
      <w:r w:rsidR="00095B99" w:rsidRPr="00265B2D">
        <w:rPr>
          <w:lang w:val="fr-CA"/>
        </w:rPr>
        <w:t>025</w:t>
      </w:r>
      <w:r w:rsidR="003C5F76" w:rsidRPr="00265B2D">
        <w:rPr>
          <w:lang w:val="fr-CA"/>
        </w:rPr>
        <w:t xml:space="preserve">, [2012] A.J. </w:t>
      </w:r>
      <w:r w:rsidR="00536FA1" w:rsidRPr="00265B2D">
        <w:rPr>
          <w:lang w:val="fr-CA"/>
        </w:rPr>
        <w:t>No. </w:t>
      </w:r>
      <w:r w:rsidR="003C5F76" w:rsidRPr="00265B2D">
        <w:rPr>
          <w:lang w:val="fr-CA"/>
        </w:rPr>
        <w:t xml:space="preserve">427 (QL), 2012 CarswellAlta 760, qui a </w:t>
      </w:r>
      <w:r w:rsidR="00562041" w:rsidRPr="00265B2D">
        <w:rPr>
          <w:lang w:val="fr-CA"/>
        </w:rPr>
        <w:t>accueilli</w:t>
      </w:r>
      <w:r w:rsidR="003C5F76" w:rsidRPr="00265B2D">
        <w:rPr>
          <w:lang w:val="fr-CA"/>
        </w:rPr>
        <w:t xml:space="preserve"> en partie </w:t>
      </w:r>
      <w:r w:rsidR="00562041" w:rsidRPr="00265B2D">
        <w:rPr>
          <w:lang w:val="fr-CA"/>
        </w:rPr>
        <w:t xml:space="preserve">(seulement dans la mesure où la réparation a été modifiée) </w:t>
      </w:r>
      <w:r w:rsidR="003C5F76" w:rsidRPr="00265B2D">
        <w:rPr>
          <w:lang w:val="fr-CA"/>
        </w:rPr>
        <w:t xml:space="preserve">une décision de la juge Goss, 2011 ABQB 415, 53 Alta. L.R. (5th) 235, 509 A.R. 150, 339 D.L.R. (4th) 279, 32 Admin. </w:t>
      </w:r>
      <w:r w:rsidR="003C5F76" w:rsidRPr="008A5E47">
        <w:rPr>
          <w:lang w:val="fr-CA"/>
        </w:rPr>
        <w:t>L.R. (5th) 107, [2012] 4 W.W.R. 324, 2011 CLLC ¶210</w:t>
      </w:r>
      <w:r w:rsidR="00536FA1" w:rsidRPr="008A5E47">
        <w:rPr>
          <w:lang w:val="fr-CA"/>
        </w:rPr>
        <w:noBreakHyphen/>
      </w:r>
      <w:r w:rsidR="003C5F76" w:rsidRPr="008A5E47">
        <w:rPr>
          <w:lang w:val="fr-CA"/>
        </w:rPr>
        <w:t xml:space="preserve">055, [2011] A.J. </w:t>
      </w:r>
      <w:r w:rsidR="00536FA1" w:rsidRPr="008A5E47">
        <w:rPr>
          <w:lang w:val="fr-CA"/>
        </w:rPr>
        <w:t>No. </w:t>
      </w:r>
      <w:r w:rsidR="003C5F76" w:rsidRPr="008A5E47">
        <w:rPr>
          <w:lang w:val="fr-CA"/>
        </w:rPr>
        <w:t>940 (QL), 2011 CarswellAlta 1486</w:t>
      </w:r>
      <w:r w:rsidR="008A5E47" w:rsidRPr="008A5E47">
        <w:rPr>
          <w:lang w:val="fr-CA"/>
        </w:rPr>
        <w:t xml:space="preserve">, qui a infirmé une décision </w:t>
      </w:r>
      <w:r w:rsidR="008A5E47" w:rsidRPr="00DF5B43">
        <w:rPr>
          <w:lang w:val="fr-CA"/>
        </w:rPr>
        <w:t>de l’</w:t>
      </w:r>
      <w:r w:rsidR="008A5E47" w:rsidRPr="008A5E47">
        <w:rPr>
          <w:lang w:val="fr-CA"/>
        </w:rPr>
        <w:t>Information and Privacy Commissioner, Order P2008</w:t>
      </w:r>
      <w:r w:rsidR="008A5E47" w:rsidRPr="008A5E47">
        <w:rPr>
          <w:lang w:val="fr-CA"/>
        </w:rPr>
        <w:noBreakHyphen/>
        <w:t>008,</w:t>
      </w:r>
      <w:r w:rsidR="008A5E47">
        <w:rPr>
          <w:lang w:val="fr-CA"/>
        </w:rPr>
        <w:t xml:space="preserve"> 2009 C</w:t>
      </w:r>
      <w:r w:rsidR="00C638F4">
        <w:rPr>
          <w:lang w:val="fr-CA"/>
        </w:rPr>
        <w:t>an</w:t>
      </w:r>
      <w:r w:rsidR="008A5E47">
        <w:rPr>
          <w:lang w:val="fr-CA"/>
        </w:rPr>
        <w:t>LII 90942</w:t>
      </w:r>
      <w:r w:rsidR="003C5F76" w:rsidRPr="008A5E47">
        <w:rPr>
          <w:lang w:val="fr-CA"/>
        </w:rPr>
        <w:t xml:space="preserve">.  </w:t>
      </w:r>
      <w:r w:rsidR="003C5F76" w:rsidRPr="00265B2D">
        <w:rPr>
          <w:lang w:val="fr-CA"/>
        </w:rPr>
        <w:t>Pourvoi rejeté</w:t>
      </w:r>
      <w:r w:rsidR="00562041" w:rsidRPr="00265B2D">
        <w:rPr>
          <w:lang w:val="fr-CA"/>
        </w:rPr>
        <w:t xml:space="preserve"> en grande partie</w:t>
      </w:r>
      <w:r w:rsidR="003C5F76" w:rsidRPr="00265B2D">
        <w:rPr>
          <w:lang w:val="fr-CA"/>
        </w:rPr>
        <w:t>.</w:t>
      </w:r>
    </w:p>
    <w:p w:rsidR="00811750" w:rsidRPr="008A5E47" w:rsidRDefault="0015641A" w:rsidP="0013236B">
      <w:pPr>
        <w:pStyle w:val="SCCNormalDoubleSpacing"/>
        <w:spacing w:after="480"/>
        <w:rPr>
          <w:lang w:val="en-US"/>
        </w:rPr>
      </w:pPr>
      <w:r w:rsidRPr="00C87959">
        <w:rPr>
          <w:i/>
          <w:lang w:val="fr-CA"/>
        </w:rPr>
        <w:tab/>
      </w:r>
      <w:r w:rsidRPr="008A5E47">
        <w:rPr>
          <w:i/>
          <w:lang w:val="en-US"/>
        </w:rPr>
        <w:t>Glenn Solomon</w:t>
      </w:r>
      <w:r w:rsidR="00695FEB" w:rsidRPr="00DD78D4">
        <w:rPr>
          <w:lang w:val="en-US"/>
        </w:rPr>
        <w:t xml:space="preserve">, </w:t>
      </w:r>
      <w:r w:rsidR="00695FEB" w:rsidRPr="008A5E47">
        <w:rPr>
          <w:i/>
          <w:lang w:val="en-US"/>
        </w:rPr>
        <w:t>c.r.</w:t>
      </w:r>
      <w:r w:rsidR="00695FEB" w:rsidRPr="00DD78D4">
        <w:rPr>
          <w:lang w:val="en-US"/>
        </w:rPr>
        <w:t>,</w:t>
      </w:r>
      <w:r w:rsidRPr="00DD78D4">
        <w:rPr>
          <w:lang w:val="en-US"/>
        </w:rPr>
        <w:t xml:space="preserve"> </w:t>
      </w:r>
      <w:r w:rsidRPr="008A5E47">
        <w:rPr>
          <w:lang w:val="en-US"/>
        </w:rPr>
        <w:t xml:space="preserve">et </w:t>
      </w:r>
      <w:r w:rsidRPr="008A5E47">
        <w:rPr>
          <w:i/>
          <w:lang w:val="en-US"/>
        </w:rPr>
        <w:t>Rob</w:t>
      </w:r>
      <w:r w:rsidR="00695FEB" w:rsidRPr="008A5E47">
        <w:rPr>
          <w:i/>
          <w:lang w:val="en-US"/>
        </w:rPr>
        <w:t>ert</w:t>
      </w:r>
      <w:r w:rsidR="0013236B" w:rsidRPr="008A5E47">
        <w:rPr>
          <w:i/>
          <w:lang w:val="en-US"/>
        </w:rPr>
        <w:t> </w:t>
      </w:r>
      <w:r w:rsidRPr="008A5E47">
        <w:rPr>
          <w:i/>
          <w:lang w:val="en-US"/>
        </w:rPr>
        <w:t>W. Armstrong</w:t>
      </w:r>
      <w:r w:rsidRPr="008A5E47">
        <w:rPr>
          <w:lang w:val="en-US"/>
        </w:rPr>
        <w:t>, pour l</w:t>
      </w:r>
      <w:r w:rsidR="00695FEB" w:rsidRPr="008A5E47">
        <w:rPr>
          <w:lang w:val="en-US"/>
        </w:rPr>
        <w:t>’</w:t>
      </w:r>
      <w:r w:rsidRPr="008A5E47">
        <w:rPr>
          <w:lang w:val="en-US"/>
        </w:rPr>
        <w:t>appelant</w:t>
      </w:r>
      <w:r w:rsidR="00695FEB" w:rsidRPr="008A5E47">
        <w:rPr>
          <w:lang w:val="en-US"/>
        </w:rPr>
        <w:t xml:space="preserve"> Information and Privacy Commissioner</w:t>
      </w:r>
      <w:r w:rsidR="009659F3" w:rsidRPr="008A5E47">
        <w:rPr>
          <w:lang w:val="en-US"/>
        </w:rPr>
        <w:t xml:space="preserve"> of Alberta</w:t>
      </w:r>
      <w:r w:rsidRPr="008A5E47">
        <w:rPr>
          <w:lang w:val="en-US"/>
        </w:rPr>
        <w:t>.</w:t>
      </w:r>
    </w:p>
    <w:p w:rsidR="00811750" w:rsidRPr="00265B2D" w:rsidRDefault="0015641A" w:rsidP="0013236B">
      <w:pPr>
        <w:pStyle w:val="SCCNormalDoubleSpacing"/>
        <w:spacing w:after="480"/>
        <w:rPr>
          <w:lang w:val="fr-CA"/>
        </w:rPr>
      </w:pPr>
      <w:r w:rsidRPr="008A5E47">
        <w:rPr>
          <w:i/>
          <w:lang w:val="en-US"/>
        </w:rPr>
        <w:lastRenderedPageBreak/>
        <w:tab/>
      </w:r>
      <w:r w:rsidRPr="00C87959">
        <w:rPr>
          <w:i/>
          <w:lang w:val="fr-CA"/>
        </w:rPr>
        <w:t>Roderick Wiltshire</w:t>
      </w:r>
      <w:r w:rsidRPr="00265B2D">
        <w:rPr>
          <w:lang w:val="fr-CA"/>
        </w:rPr>
        <w:t>, pour l</w:t>
      </w:r>
      <w:r w:rsidR="00695FEB" w:rsidRPr="00265B2D">
        <w:rPr>
          <w:lang w:val="fr-CA"/>
        </w:rPr>
        <w:t>’</w:t>
      </w:r>
      <w:r w:rsidRPr="00265B2D">
        <w:rPr>
          <w:lang w:val="fr-CA"/>
        </w:rPr>
        <w:t>appelant</w:t>
      </w:r>
      <w:r w:rsidR="00695FEB" w:rsidRPr="00265B2D">
        <w:rPr>
          <w:lang w:val="fr-CA"/>
        </w:rPr>
        <w:t xml:space="preserve"> le procureur général de l’Alberta</w:t>
      </w:r>
      <w:r w:rsidRPr="00265B2D">
        <w:rPr>
          <w:lang w:val="fr-CA"/>
        </w:rPr>
        <w:t>.</w:t>
      </w:r>
    </w:p>
    <w:p w:rsidR="00811750" w:rsidRPr="00265B2D" w:rsidRDefault="0015641A" w:rsidP="0013236B">
      <w:pPr>
        <w:pStyle w:val="SCCNormalDoubleSpacing"/>
        <w:spacing w:after="480"/>
        <w:rPr>
          <w:lang w:val="fr-CA"/>
        </w:rPr>
      </w:pPr>
      <w:r w:rsidRPr="00C87959">
        <w:rPr>
          <w:i/>
          <w:lang w:val="fr-CA"/>
        </w:rPr>
        <w:tab/>
        <w:t>Gwen</w:t>
      </w:r>
      <w:r w:rsidR="00722BB6" w:rsidRPr="00C87959">
        <w:rPr>
          <w:i/>
          <w:lang w:val="fr-CA"/>
        </w:rPr>
        <w:t> </w:t>
      </w:r>
      <w:r w:rsidRPr="00C87959">
        <w:rPr>
          <w:i/>
          <w:lang w:val="fr-CA"/>
        </w:rPr>
        <w:t>J. Gray</w:t>
      </w:r>
      <w:r w:rsidRPr="00DD78D4">
        <w:rPr>
          <w:lang w:val="fr-CA"/>
        </w:rPr>
        <w:t xml:space="preserve">, </w:t>
      </w:r>
      <w:r w:rsidR="00695FEB" w:rsidRPr="00C87959">
        <w:rPr>
          <w:i/>
          <w:lang w:val="fr-CA"/>
        </w:rPr>
        <w:t>c.r.</w:t>
      </w:r>
      <w:r w:rsidR="00695FEB" w:rsidRPr="00350694">
        <w:rPr>
          <w:lang w:val="fr-CA"/>
        </w:rPr>
        <w:t>,</w:t>
      </w:r>
      <w:r w:rsidR="00695FEB" w:rsidRPr="00C87959">
        <w:rPr>
          <w:i/>
          <w:lang w:val="fr-CA"/>
        </w:rPr>
        <w:t xml:space="preserve"> </w:t>
      </w:r>
      <w:r w:rsidRPr="00265B2D">
        <w:rPr>
          <w:lang w:val="fr-CA"/>
        </w:rPr>
        <w:t xml:space="preserve">et </w:t>
      </w:r>
      <w:r w:rsidRPr="00C87959">
        <w:rPr>
          <w:i/>
          <w:lang w:val="fr-CA"/>
        </w:rPr>
        <w:t>Vanessa Cosco</w:t>
      </w:r>
      <w:r w:rsidRPr="00265B2D">
        <w:rPr>
          <w:lang w:val="fr-CA"/>
        </w:rPr>
        <w:t>, pour l</w:t>
      </w:r>
      <w:r w:rsidR="00695FEB" w:rsidRPr="00265B2D">
        <w:rPr>
          <w:lang w:val="fr-CA"/>
        </w:rPr>
        <w:t>’</w:t>
      </w:r>
      <w:r w:rsidRPr="00265B2D">
        <w:rPr>
          <w:lang w:val="fr-CA"/>
        </w:rPr>
        <w:t>intimé.</w:t>
      </w:r>
    </w:p>
    <w:p w:rsidR="00811750" w:rsidRPr="00265B2D" w:rsidRDefault="0015641A" w:rsidP="0013236B">
      <w:pPr>
        <w:pStyle w:val="SCCNormalDoubleSpacing"/>
        <w:spacing w:after="480"/>
        <w:rPr>
          <w:lang w:val="fr-CA"/>
        </w:rPr>
      </w:pPr>
      <w:r w:rsidRPr="00C87959">
        <w:rPr>
          <w:i/>
          <w:lang w:val="fr-CA"/>
        </w:rPr>
        <w:tab/>
        <w:t>Sean Gaudet</w:t>
      </w:r>
      <w:r w:rsidRPr="00265B2D">
        <w:rPr>
          <w:lang w:val="fr-CA"/>
        </w:rPr>
        <w:t>, pour l</w:t>
      </w:r>
      <w:r w:rsidR="00695FEB" w:rsidRPr="00265B2D">
        <w:rPr>
          <w:lang w:val="fr-CA"/>
        </w:rPr>
        <w:t>’</w:t>
      </w:r>
      <w:r w:rsidRPr="00265B2D">
        <w:rPr>
          <w:lang w:val="fr-CA"/>
        </w:rPr>
        <w:t>intervenant</w:t>
      </w:r>
      <w:r w:rsidR="00695FEB" w:rsidRPr="00265B2D">
        <w:rPr>
          <w:lang w:val="fr-CA"/>
        </w:rPr>
        <w:t xml:space="preserve"> le p</w:t>
      </w:r>
      <w:r w:rsidRPr="00265B2D">
        <w:rPr>
          <w:lang w:val="fr-CA"/>
        </w:rPr>
        <w:t>rocureur général du Canada.</w:t>
      </w:r>
    </w:p>
    <w:p w:rsidR="00811750" w:rsidRPr="00265B2D" w:rsidRDefault="0015641A" w:rsidP="0013236B">
      <w:pPr>
        <w:pStyle w:val="SCCNormalDoubleSpacing"/>
        <w:spacing w:after="480"/>
        <w:rPr>
          <w:lang w:val="fr-CA"/>
        </w:rPr>
      </w:pPr>
      <w:r w:rsidRPr="00C87959">
        <w:rPr>
          <w:i/>
          <w:lang w:val="fr-CA"/>
        </w:rPr>
        <w:tab/>
        <w:t>Rochelle</w:t>
      </w:r>
      <w:r w:rsidR="007C1FC8" w:rsidRPr="00C87959">
        <w:rPr>
          <w:i/>
          <w:lang w:val="fr-CA"/>
        </w:rPr>
        <w:t xml:space="preserve"> S.</w:t>
      </w:r>
      <w:r w:rsidRPr="00C87959">
        <w:rPr>
          <w:i/>
          <w:lang w:val="fr-CA"/>
        </w:rPr>
        <w:t xml:space="preserve"> Fox</w:t>
      </w:r>
      <w:r w:rsidRPr="00265B2D">
        <w:rPr>
          <w:lang w:val="fr-CA"/>
        </w:rPr>
        <w:t xml:space="preserve"> et </w:t>
      </w:r>
      <w:r w:rsidRPr="00C87959">
        <w:rPr>
          <w:i/>
          <w:lang w:val="fr-CA"/>
        </w:rPr>
        <w:t>Sara Weinrib</w:t>
      </w:r>
      <w:r w:rsidRPr="00265B2D">
        <w:rPr>
          <w:lang w:val="fr-CA"/>
        </w:rPr>
        <w:t>, pour l</w:t>
      </w:r>
      <w:r w:rsidR="00B242AA" w:rsidRPr="00265B2D">
        <w:rPr>
          <w:lang w:val="fr-CA"/>
        </w:rPr>
        <w:t>’</w:t>
      </w:r>
      <w:r w:rsidRPr="00265B2D">
        <w:rPr>
          <w:lang w:val="fr-CA"/>
        </w:rPr>
        <w:t>intervenant</w:t>
      </w:r>
      <w:r w:rsidR="00B242AA" w:rsidRPr="00265B2D">
        <w:rPr>
          <w:lang w:val="fr-CA"/>
        </w:rPr>
        <w:t xml:space="preserve"> le p</w:t>
      </w:r>
      <w:r w:rsidRPr="00265B2D">
        <w:rPr>
          <w:lang w:val="fr-CA"/>
        </w:rPr>
        <w:t>rocureur général de l</w:t>
      </w:r>
      <w:r w:rsidR="00B242AA" w:rsidRPr="00265B2D">
        <w:rPr>
          <w:lang w:val="fr-CA"/>
        </w:rPr>
        <w:t>’</w:t>
      </w:r>
      <w:r w:rsidRPr="00265B2D">
        <w:rPr>
          <w:lang w:val="fr-CA"/>
        </w:rPr>
        <w:t>Ontario.</w:t>
      </w:r>
    </w:p>
    <w:p w:rsidR="00B242AA" w:rsidRPr="00265B2D" w:rsidRDefault="00B242AA" w:rsidP="0013236B">
      <w:pPr>
        <w:pStyle w:val="SCCNormalDoubleSpacing"/>
        <w:spacing w:after="480"/>
        <w:rPr>
          <w:lang w:val="fr-CA"/>
        </w:rPr>
      </w:pPr>
      <w:r w:rsidRPr="00C87959">
        <w:rPr>
          <w:i/>
          <w:lang w:val="fr-CA"/>
        </w:rPr>
        <w:tab/>
        <w:t>Mahmud Jamal</w:t>
      </w:r>
      <w:r w:rsidRPr="00265B2D">
        <w:rPr>
          <w:lang w:val="fr-CA"/>
        </w:rPr>
        <w:t xml:space="preserve">, </w:t>
      </w:r>
      <w:r w:rsidRPr="00C87959">
        <w:rPr>
          <w:i/>
          <w:lang w:val="fr-CA"/>
        </w:rPr>
        <w:t>Patricia Kosseim</w:t>
      </w:r>
      <w:r w:rsidRPr="00DD78D4">
        <w:rPr>
          <w:lang w:val="fr-CA"/>
        </w:rPr>
        <w:t xml:space="preserve">, </w:t>
      </w:r>
      <w:r w:rsidRPr="00C87959">
        <w:rPr>
          <w:i/>
          <w:lang w:val="fr-CA"/>
        </w:rPr>
        <w:t>Regan Morris</w:t>
      </w:r>
      <w:r w:rsidRPr="00265B2D">
        <w:rPr>
          <w:lang w:val="fr-CA"/>
        </w:rPr>
        <w:t xml:space="preserve"> et </w:t>
      </w:r>
      <w:r w:rsidRPr="00C87959">
        <w:rPr>
          <w:i/>
          <w:lang w:val="fr-CA"/>
        </w:rPr>
        <w:t>Kirk Shannon</w:t>
      </w:r>
      <w:r w:rsidR="009924E1">
        <w:rPr>
          <w:lang w:val="fr-CA"/>
        </w:rPr>
        <w:t>, pour l’intervenant le c</w:t>
      </w:r>
      <w:r w:rsidRPr="00265B2D">
        <w:rPr>
          <w:lang w:val="fr-CA"/>
        </w:rPr>
        <w:t>ommi</w:t>
      </w:r>
      <w:r w:rsidR="00AF02C1" w:rsidRPr="00265B2D">
        <w:rPr>
          <w:lang w:val="fr-CA"/>
        </w:rPr>
        <w:t>s</w:t>
      </w:r>
      <w:r w:rsidRPr="00265B2D">
        <w:rPr>
          <w:lang w:val="fr-CA"/>
        </w:rPr>
        <w:t>saire à la protection de la vie privée du Canada.</w:t>
      </w:r>
    </w:p>
    <w:p w:rsidR="006826CE" w:rsidRPr="00265B2D" w:rsidRDefault="0013236B" w:rsidP="0013236B">
      <w:pPr>
        <w:pStyle w:val="SCCNormalDoubleSpacing"/>
        <w:spacing w:after="480"/>
        <w:rPr>
          <w:lang w:val="fr-CA"/>
        </w:rPr>
      </w:pPr>
      <w:r w:rsidRPr="00C87959">
        <w:rPr>
          <w:i/>
          <w:lang w:val="fr-CA"/>
        </w:rPr>
        <w:tab/>
        <w:t>Patricia </w:t>
      </w:r>
      <w:r w:rsidR="006826CE" w:rsidRPr="00C87959">
        <w:rPr>
          <w:i/>
          <w:lang w:val="fr-CA"/>
        </w:rPr>
        <w:t>D.</w:t>
      </w:r>
      <w:r w:rsidRPr="00C87959">
        <w:rPr>
          <w:i/>
          <w:lang w:val="fr-CA"/>
        </w:rPr>
        <w:t> </w:t>
      </w:r>
      <w:r w:rsidR="006826CE" w:rsidRPr="00C87959">
        <w:rPr>
          <w:i/>
          <w:lang w:val="fr-CA"/>
        </w:rPr>
        <w:t>S. Jackson</w:t>
      </w:r>
      <w:r w:rsidR="006826CE" w:rsidRPr="00265B2D">
        <w:rPr>
          <w:lang w:val="fr-CA"/>
        </w:rPr>
        <w:t xml:space="preserve"> et </w:t>
      </w:r>
      <w:r w:rsidR="006826CE" w:rsidRPr="00C87959">
        <w:rPr>
          <w:i/>
          <w:lang w:val="fr-CA"/>
        </w:rPr>
        <w:t>Sarah Whitmore</w:t>
      </w:r>
      <w:r w:rsidR="006826CE" w:rsidRPr="00265B2D">
        <w:rPr>
          <w:lang w:val="fr-CA"/>
        </w:rPr>
        <w:t>, pour l’intervenante l’Association canadienne des libertés civiles.</w:t>
      </w:r>
    </w:p>
    <w:p w:rsidR="006826CE" w:rsidRPr="00265B2D" w:rsidRDefault="0013236B" w:rsidP="0013236B">
      <w:pPr>
        <w:pStyle w:val="SCCNormalDoubleSpacing"/>
        <w:spacing w:after="480"/>
        <w:rPr>
          <w:lang w:val="fr-CA"/>
        </w:rPr>
      </w:pPr>
      <w:r w:rsidRPr="00C87959">
        <w:rPr>
          <w:i/>
          <w:lang w:val="fr-CA"/>
        </w:rPr>
        <w:tab/>
        <w:t>Lindsay </w:t>
      </w:r>
      <w:r w:rsidR="006826CE" w:rsidRPr="00C87959">
        <w:rPr>
          <w:i/>
          <w:lang w:val="fr-CA"/>
        </w:rPr>
        <w:t>M. Lyster</w:t>
      </w:r>
      <w:r w:rsidR="006826CE" w:rsidRPr="00265B2D">
        <w:rPr>
          <w:lang w:val="fr-CA"/>
        </w:rPr>
        <w:t>, pour l’intervenante l’Association des libertés civiles de la Colombie</w:t>
      </w:r>
      <w:r w:rsidR="00536FA1" w:rsidRPr="00265B2D">
        <w:rPr>
          <w:lang w:val="fr-CA"/>
        </w:rPr>
        <w:noBreakHyphen/>
      </w:r>
      <w:r w:rsidR="006826CE" w:rsidRPr="00265B2D">
        <w:rPr>
          <w:lang w:val="fr-CA"/>
        </w:rPr>
        <w:t>Britannique.</w:t>
      </w:r>
    </w:p>
    <w:p w:rsidR="003E5D24" w:rsidRPr="00265B2D" w:rsidRDefault="0013236B" w:rsidP="0013236B">
      <w:pPr>
        <w:pStyle w:val="SCCNormalDoubleSpacing"/>
        <w:spacing w:after="480"/>
        <w:rPr>
          <w:lang w:val="fr-CA"/>
        </w:rPr>
      </w:pPr>
      <w:r w:rsidRPr="00C87959">
        <w:rPr>
          <w:i/>
          <w:lang w:val="fr-CA"/>
        </w:rPr>
        <w:tab/>
        <w:t>William </w:t>
      </w:r>
      <w:r w:rsidR="003E5D24" w:rsidRPr="00C87959">
        <w:rPr>
          <w:i/>
          <w:lang w:val="fr-CA"/>
        </w:rPr>
        <w:t>S. Challis</w:t>
      </w:r>
      <w:r w:rsidR="003E5D24" w:rsidRPr="00265B2D">
        <w:rPr>
          <w:lang w:val="fr-CA"/>
        </w:rPr>
        <w:t xml:space="preserve">, pour l’intervenant le </w:t>
      </w:r>
      <w:r w:rsidR="006C4E47">
        <w:rPr>
          <w:lang w:val="fr-CA"/>
        </w:rPr>
        <w:t>c</w:t>
      </w:r>
      <w:r w:rsidR="003E5D24" w:rsidRPr="00265B2D">
        <w:rPr>
          <w:lang w:val="fr-CA"/>
        </w:rPr>
        <w:t>ommissaire à l’information et à la protection de la vie privée de l’Ontario.</w:t>
      </w:r>
    </w:p>
    <w:p w:rsidR="00811750" w:rsidRPr="00265B2D" w:rsidRDefault="0015641A" w:rsidP="0013236B">
      <w:pPr>
        <w:pStyle w:val="SCCNormalDoubleSpacing"/>
        <w:spacing w:after="480"/>
        <w:rPr>
          <w:lang w:val="fr-CA"/>
        </w:rPr>
      </w:pPr>
      <w:r w:rsidRPr="00C87959">
        <w:rPr>
          <w:i/>
          <w:lang w:val="fr-CA"/>
        </w:rPr>
        <w:tab/>
        <w:t>Simon Ruel</w:t>
      </w:r>
      <w:r w:rsidRPr="00265B2D">
        <w:rPr>
          <w:lang w:val="fr-CA"/>
        </w:rPr>
        <w:t>, pour l</w:t>
      </w:r>
      <w:r w:rsidR="00EE0869" w:rsidRPr="00265B2D">
        <w:rPr>
          <w:lang w:val="fr-CA"/>
        </w:rPr>
        <w:t xml:space="preserve">es </w:t>
      </w:r>
      <w:r w:rsidRPr="00265B2D">
        <w:rPr>
          <w:lang w:val="fr-CA"/>
        </w:rPr>
        <w:t>intervenant</w:t>
      </w:r>
      <w:r w:rsidR="00EE0869" w:rsidRPr="00265B2D">
        <w:rPr>
          <w:lang w:val="fr-CA"/>
        </w:rPr>
        <w:t>es</w:t>
      </w:r>
      <w:r w:rsidRPr="00265B2D">
        <w:rPr>
          <w:lang w:val="fr-CA"/>
        </w:rPr>
        <w:t xml:space="preserve"> Coalition of British Columbia Businesses </w:t>
      </w:r>
      <w:r w:rsidR="00EE0869" w:rsidRPr="00265B2D">
        <w:rPr>
          <w:lang w:val="fr-CA"/>
        </w:rPr>
        <w:t>et</w:t>
      </w:r>
      <w:r w:rsidRPr="00265B2D">
        <w:rPr>
          <w:lang w:val="fr-CA"/>
        </w:rPr>
        <w:t xml:space="preserve"> Merit Canada.</w:t>
      </w:r>
    </w:p>
    <w:p w:rsidR="006826CE" w:rsidRPr="00265B2D" w:rsidRDefault="006826CE" w:rsidP="0013236B">
      <w:pPr>
        <w:pStyle w:val="SCCNormalDoubleSpacing"/>
        <w:spacing w:after="480"/>
        <w:rPr>
          <w:lang w:val="fr-CA"/>
        </w:rPr>
      </w:pPr>
      <w:r w:rsidRPr="00C87959">
        <w:rPr>
          <w:i/>
          <w:lang w:val="fr-CA"/>
        </w:rPr>
        <w:lastRenderedPageBreak/>
        <w:tab/>
      </w:r>
      <w:r w:rsidRPr="00DD78D4">
        <w:rPr>
          <w:lang w:val="fr-CA"/>
        </w:rPr>
        <w:t>Argumentation écrite seulement par</w:t>
      </w:r>
      <w:r w:rsidRPr="00C87959">
        <w:rPr>
          <w:i/>
          <w:lang w:val="fr-CA"/>
        </w:rPr>
        <w:t xml:space="preserve"> Nitya Iyer</w:t>
      </w:r>
      <w:r w:rsidRPr="00265B2D">
        <w:rPr>
          <w:lang w:val="fr-CA"/>
        </w:rPr>
        <w:t>, pour l’intervenant Information and Privacy Commissioner of British Columbia.</w:t>
      </w:r>
    </w:p>
    <w:p w:rsidR="00811750" w:rsidRDefault="0015641A" w:rsidP="0013236B">
      <w:pPr>
        <w:pStyle w:val="SCCNormalDoubleSpacing"/>
        <w:spacing w:after="480"/>
        <w:rPr>
          <w:lang w:val="en-US"/>
        </w:rPr>
      </w:pPr>
      <w:r w:rsidRPr="00C87959">
        <w:rPr>
          <w:i/>
          <w:lang w:val="fr-CA"/>
        </w:rPr>
        <w:tab/>
      </w:r>
      <w:r w:rsidRPr="00C87959">
        <w:rPr>
          <w:i/>
          <w:lang w:val="en-US"/>
        </w:rPr>
        <w:t>David Williams</w:t>
      </w:r>
      <w:r w:rsidRPr="00265B2D">
        <w:rPr>
          <w:lang w:val="en-US"/>
        </w:rPr>
        <w:t xml:space="preserve"> et </w:t>
      </w:r>
      <w:r w:rsidRPr="00C87959">
        <w:rPr>
          <w:i/>
          <w:lang w:val="en-US"/>
        </w:rPr>
        <w:t>Kristan McLeod</w:t>
      </w:r>
      <w:r w:rsidRPr="00265B2D">
        <w:rPr>
          <w:lang w:val="en-US"/>
        </w:rPr>
        <w:t>, pour l</w:t>
      </w:r>
      <w:r w:rsidR="00EE0869" w:rsidRPr="00265B2D">
        <w:rPr>
          <w:lang w:val="en-US"/>
        </w:rPr>
        <w:t>’</w:t>
      </w:r>
      <w:r w:rsidRPr="00265B2D">
        <w:rPr>
          <w:lang w:val="en-US"/>
        </w:rPr>
        <w:t>intervenante Alberta Federation of Labour.</w:t>
      </w:r>
    </w:p>
    <w:p w:rsidR="00503A71" w:rsidRPr="00DD78D4" w:rsidRDefault="00DD78D4" w:rsidP="0013236B">
      <w:pPr>
        <w:pStyle w:val="SCCNormalDoubleSpacing"/>
        <w:spacing w:after="480"/>
        <w:rPr>
          <w:lang w:val="fr-CA"/>
        </w:rPr>
      </w:pPr>
      <w:r>
        <w:rPr>
          <w:lang w:val="en-US"/>
        </w:rPr>
        <w:tab/>
      </w:r>
      <w:r w:rsidRPr="00DD78D4">
        <w:rPr>
          <w:lang w:val="fr-CA"/>
        </w:rPr>
        <w:t>Version française du jugement d</w:t>
      </w:r>
      <w:r>
        <w:rPr>
          <w:lang w:val="fr-CA"/>
        </w:rPr>
        <w:t>e la Cour rendu par</w:t>
      </w:r>
    </w:p>
    <w:p w:rsidR="00503A71" w:rsidRPr="00A41CF8" w:rsidRDefault="00503A71" w:rsidP="00503A71">
      <w:pPr>
        <w:pStyle w:val="JudgeJuge"/>
        <w:spacing w:before="480"/>
        <w:rPr>
          <w:lang w:val="fr-CA"/>
        </w:rPr>
      </w:pPr>
      <w:r w:rsidRPr="00DD78D4">
        <w:rPr>
          <w:lang w:val="fr-CA"/>
        </w:rPr>
        <w:tab/>
      </w:r>
      <w:r w:rsidRPr="00A41CF8">
        <w:rPr>
          <w:lang w:val="fr-CA"/>
        </w:rPr>
        <w:t xml:space="preserve">Les juges Abella et Cromwell — </w:t>
      </w:r>
    </w:p>
    <w:p w:rsidR="00503A71" w:rsidRPr="00A41CF8" w:rsidRDefault="00503A71" w:rsidP="00503A71">
      <w:pPr>
        <w:pStyle w:val="TitleTitre-AltT"/>
        <w:keepNext/>
        <w:spacing w:before="0" w:after="720"/>
        <w:rPr>
          <w:rFonts w:cs="Times New Roman"/>
          <w:u w:val="single"/>
          <w:lang w:val="fr-CA"/>
        </w:rPr>
      </w:pPr>
      <w:r w:rsidRPr="00A41CF8">
        <w:rPr>
          <w:rFonts w:cs="Times New Roman"/>
          <w:u w:val="single"/>
          <w:lang w:val="fr-CA"/>
        </w:rPr>
        <w:t>Vue d’ensemble</w:t>
      </w:r>
    </w:p>
    <w:p w:rsidR="00503A71" w:rsidRPr="00A41CF8" w:rsidRDefault="00503A71" w:rsidP="00503A71">
      <w:pPr>
        <w:pStyle w:val="ParaNoNdepar-AltN"/>
        <w:tabs>
          <w:tab w:val="clear" w:pos="1166"/>
          <w:tab w:val="num" w:pos="1152"/>
        </w:tabs>
        <w:rPr>
          <w:rFonts w:cs="Times New Roman"/>
          <w:u w:val="single"/>
          <w:lang w:val="fr-CA"/>
        </w:rPr>
      </w:pPr>
      <w:r w:rsidRPr="00A41CF8">
        <w:rPr>
          <w:rFonts w:cs="Times New Roman"/>
          <w:lang w:val="fr-CA"/>
        </w:rPr>
        <w:t xml:space="preserve">Dans le présent pourvoi, la Cour doit déterminer si la </w:t>
      </w:r>
      <w:r w:rsidRPr="00A41CF8">
        <w:rPr>
          <w:rFonts w:cs="Times New Roman"/>
          <w:i/>
          <w:lang w:val="fr-CA"/>
        </w:rPr>
        <w:t>Personal Information Protection Act</w:t>
      </w:r>
      <w:r w:rsidR="00DD78D4">
        <w:rPr>
          <w:rFonts w:cs="Times New Roman"/>
          <w:i/>
          <w:lang w:val="fr-CA"/>
        </w:rPr>
        <w:t xml:space="preserve"> </w:t>
      </w:r>
      <w:r w:rsidRPr="00A41CF8">
        <w:rPr>
          <w:rFonts w:cs="Times New Roman"/>
          <w:lang w:val="fr-CA"/>
        </w:rPr>
        <w:t xml:space="preserve">de l’Alberta restreint indûment le droit d’un syndicat à la liberté d’expression dans le cadre d’une grève légale.  Il s’agit de savoir si la </w:t>
      </w:r>
      <w:r w:rsidRPr="00A41CF8">
        <w:rPr>
          <w:rFonts w:cs="Times New Roman"/>
          <w:i/>
          <w:lang w:val="fr-CA"/>
        </w:rPr>
        <w:t>Loi</w:t>
      </w:r>
      <w:r w:rsidRPr="00A41CF8">
        <w:rPr>
          <w:rFonts w:cs="Times New Roman"/>
          <w:lang w:val="fr-CA"/>
        </w:rPr>
        <w:t xml:space="preserve"> atteint un équilibre acceptable sur le plan constitutionnel entre, d’une part, le droit des personnes d’exercer un droit de regard sur la collecte, l’utilisation et la communication des renseignements personnels les concernant et, d’autre part, la liberté d’expression d’un syndicat.</w:t>
      </w:r>
    </w:p>
    <w:p w:rsidR="00503A71" w:rsidRPr="00A41CF8" w:rsidRDefault="00503A71" w:rsidP="00503A71">
      <w:pPr>
        <w:pStyle w:val="ParaNoNdepar-AltN"/>
        <w:tabs>
          <w:tab w:val="clear" w:pos="1166"/>
          <w:tab w:val="num" w:pos="1152"/>
        </w:tabs>
        <w:rPr>
          <w:rFonts w:cs="Times New Roman"/>
          <w:u w:val="single"/>
          <w:lang w:val="fr-CA"/>
        </w:rPr>
      </w:pPr>
      <w:r w:rsidRPr="00A41CF8">
        <w:rPr>
          <w:rFonts w:cs="Times New Roman"/>
          <w:lang w:val="fr-CA"/>
        </w:rPr>
        <w:t>Le litige dont il est question en l’espèce a pri</w:t>
      </w:r>
      <w:r w:rsidR="00DD78D4">
        <w:rPr>
          <w:rFonts w:cs="Times New Roman"/>
          <w:lang w:val="fr-CA"/>
        </w:rPr>
        <w:t xml:space="preserve">s naissance lorsque le syndicat des </w:t>
      </w:r>
      <w:r w:rsidRPr="00A41CF8">
        <w:rPr>
          <w:rFonts w:cs="Times New Roman"/>
          <w:lang w:val="fr-CA"/>
        </w:rPr>
        <w:t>T</w:t>
      </w:r>
      <w:r w:rsidRPr="00A41CF8">
        <w:rPr>
          <w:rFonts w:cs="Times New Roman"/>
          <w:bCs/>
          <w:lang w:val="fr-CA"/>
        </w:rPr>
        <w:t xml:space="preserve">ravailleurs et travailleuses unis de l’alimentation et du commerce, section locale 401 (« syndicat ») a enregistré des vidéos et pris des </w:t>
      </w:r>
      <w:r w:rsidRPr="00A41CF8">
        <w:rPr>
          <w:rFonts w:cs="Times New Roman"/>
          <w:lang w:val="fr-CA"/>
        </w:rPr>
        <w:t xml:space="preserve">photos de personnes en train de franchir sa ligne de piquetage, en vue de s’en servir par la suite </w:t>
      </w:r>
      <w:r w:rsidRPr="00A41CF8">
        <w:rPr>
          <w:rFonts w:cs="Times New Roman"/>
          <w:lang w:val="fr-CA"/>
        </w:rPr>
        <w:lastRenderedPageBreak/>
        <w:t xml:space="preserve">dans le cadre de son conflit de travail.  Plusieurs des personnes dont les images avaient été captées se sont plaintes au commissaire à l’information et à la protection de la vie privée de l’Alberta (« commissaire ») que les activités du syndicat contrevenaient à la </w:t>
      </w:r>
      <w:r w:rsidR="00DD78D4">
        <w:rPr>
          <w:rFonts w:cs="Times New Roman"/>
          <w:i/>
          <w:lang w:val="fr-CA"/>
        </w:rPr>
        <w:t>Personal Information Protection Act</w:t>
      </w:r>
      <w:r w:rsidR="00DD78D4" w:rsidRPr="00A41CF8">
        <w:rPr>
          <w:rFonts w:cs="Times New Roman"/>
          <w:lang w:val="fr-CA"/>
        </w:rPr>
        <w:t>, S.A. 2003, ch. P</w:t>
      </w:r>
      <w:r w:rsidR="00DD78D4" w:rsidRPr="00A41CF8">
        <w:rPr>
          <w:rFonts w:cs="Times New Roman"/>
          <w:lang w:val="fr-CA"/>
        </w:rPr>
        <w:noBreakHyphen/>
        <w:t>6.5 (« </w:t>
      </w:r>
      <w:r w:rsidR="00DD78D4" w:rsidRPr="00A41CF8">
        <w:rPr>
          <w:rFonts w:cs="Times New Roman"/>
          <w:i/>
          <w:lang w:val="fr-CA"/>
        </w:rPr>
        <w:t>PIPA</w:t>
      </w:r>
      <w:r w:rsidR="00DD78D4" w:rsidRPr="00A41CF8">
        <w:rPr>
          <w:rFonts w:cs="Times New Roman"/>
          <w:lang w:val="fr-CA"/>
        </w:rPr>
        <w:t> »</w:t>
      </w:r>
      <w:r w:rsidR="00DD78D4" w:rsidRPr="00A41CF8">
        <w:rPr>
          <w:rFonts w:cs="Times New Roman"/>
          <w:i/>
          <w:lang w:val="fr-CA"/>
        </w:rPr>
        <w:t xml:space="preserve"> </w:t>
      </w:r>
      <w:r w:rsidR="00DD78D4" w:rsidRPr="00A41CF8">
        <w:rPr>
          <w:rFonts w:cs="Times New Roman"/>
          <w:lang w:val="fr-CA"/>
        </w:rPr>
        <w:t>ou « </w:t>
      </w:r>
      <w:r w:rsidR="00DD78D4" w:rsidRPr="00A41CF8">
        <w:rPr>
          <w:rFonts w:cs="Times New Roman"/>
          <w:i/>
          <w:lang w:val="fr-CA"/>
        </w:rPr>
        <w:t>Loi </w:t>
      </w:r>
      <w:r w:rsidR="00DD78D4" w:rsidRPr="00A41CF8">
        <w:rPr>
          <w:rFonts w:cs="Times New Roman"/>
          <w:lang w:val="fr-CA"/>
        </w:rPr>
        <w:t>»)</w:t>
      </w:r>
      <w:r w:rsidRPr="00A41CF8">
        <w:rPr>
          <w:rFonts w:cs="Times New Roman"/>
          <w:lang w:val="fr-CA"/>
        </w:rPr>
        <w:t>, qui restreint la faculté d’un certain nombre d’organismes de recueillir, d’utiliser et de communiquer des renseignements personnels.  Ces personnes ayant obtenu gain de cause, le syndicat a formulé une demande de contrôle judiciaire dans laquelle il a allégué que la loi en question portait atteinte à la liberté d’expression que lui garantit l’al. 2</w:t>
      </w:r>
      <w:r w:rsidRPr="00A41CF8">
        <w:rPr>
          <w:rFonts w:cs="Times New Roman"/>
          <w:i/>
          <w:lang w:val="fr-CA"/>
        </w:rPr>
        <w:t>b</w:t>
      </w:r>
      <w:r w:rsidRPr="00A41CF8">
        <w:rPr>
          <w:rFonts w:cs="Times New Roman"/>
          <w:lang w:val="fr-CA"/>
        </w:rPr>
        <w:t xml:space="preserve">) de la </w:t>
      </w:r>
      <w:r w:rsidRPr="00A41CF8">
        <w:rPr>
          <w:rFonts w:cs="Times New Roman"/>
          <w:i/>
          <w:lang w:val="fr-CA"/>
        </w:rPr>
        <w:t xml:space="preserve">Charte canadienne des droits et libertés </w:t>
      </w:r>
      <w:r w:rsidRPr="00A41CF8">
        <w:rPr>
          <w:rFonts w:cs="Times New Roman"/>
          <w:lang w:val="fr-CA"/>
        </w:rPr>
        <w:t xml:space="preserve">et que cette atteinte n’était pas justifiée au sens de l’article premier.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À notre avis, non seulement la </w:t>
      </w:r>
      <w:r w:rsidRPr="00A41CF8">
        <w:rPr>
          <w:rFonts w:cs="Times New Roman"/>
          <w:i/>
          <w:lang w:val="fr-CA"/>
        </w:rPr>
        <w:t>Loi</w:t>
      </w:r>
      <w:r w:rsidRPr="00A41CF8">
        <w:rPr>
          <w:rFonts w:cs="Times New Roman"/>
          <w:lang w:val="fr-CA"/>
        </w:rPr>
        <w:t xml:space="preserve"> viole</w:t>
      </w:r>
      <w:r w:rsidRPr="00A41CF8">
        <w:rPr>
          <w:rFonts w:cs="Times New Roman"/>
          <w:lang w:val="fr-CA"/>
        </w:rPr>
        <w:noBreakHyphen/>
        <w:t>t</w:t>
      </w:r>
      <w:r w:rsidRPr="00A41CF8">
        <w:rPr>
          <w:rFonts w:cs="Times New Roman"/>
          <w:lang w:val="fr-CA"/>
        </w:rPr>
        <w:noBreakHyphen/>
        <w:t>elle l’al. 2</w:t>
      </w:r>
      <w:r w:rsidRPr="00A41CF8">
        <w:rPr>
          <w:rFonts w:cs="Times New Roman"/>
          <w:i/>
          <w:lang w:val="fr-CA"/>
        </w:rPr>
        <w:t>b</w:t>
      </w:r>
      <w:r w:rsidRPr="00A41CF8">
        <w:rPr>
          <w:rFonts w:cs="Times New Roman"/>
          <w:lang w:val="fr-CA"/>
        </w:rPr>
        <w:t xml:space="preserve">) parce que ses répercussions sur la liberté d’expression dans le contexte du travail sont démesurées, mais l’atteinte qu’elle cause n’est pas justifiée au sens de l’article premier. </w:t>
      </w:r>
    </w:p>
    <w:p w:rsidR="00503A71" w:rsidRPr="00A41CF8" w:rsidRDefault="00503A71" w:rsidP="00503A71">
      <w:pPr>
        <w:pStyle w:val="TitleTitre-AltT"/>
        <w:keepNext/>
        <w:spacing w:before="0" w:after="720"/>
        <w:rPr>
          <w:rFonts w:cs="Times New Roman"/>
          <w:u w:val="single"/>
          <w:lang w:val="fr-CA"/>
        </w:rPr>
      </w:pPr>
      <w:r w:rsidRPr="00A41CF8">
        <w:rPr>
          <w:rFonts w:cs="Times New Roman"/>
          <w:u w:val="single"/>
          <w:lang w:val="fr-CA"/>
        </w:rPr>
        <w:t>Les faits</w:t>
      </w:r>
    </w:p>
    <w:p w:rsidR="00503A71" w:rsidRPr="00A41CF8" w:rsidRDefault="00503A71" w:rsidP="00503A71">
      <w:pPr>
        <w:pStyle w:val="ParaNoNdepar-AltN"/>
        <w:rPr>
          <w:rFonts w:cs="Times New Roman"/>
          <w:lang w:val="fr-CA"/>
        </w:rPr>
      </w:pPr>
      <w:r w:rsidRPr="00A41CF8">
        <w:rPr>
          <w:rFonts w:cs="Times New Roman"/>
          <w:lang w:val="fr-CA"/>
        </w:rPr>
        <w:t xml:space="preserve">Le syndicat représente les employés du Palace Casino du West Edmonton Mall, situé en Alberta.  En 2006, à l’occasion d’une grève légale qui a duré 305 jours, tant le syndicat qu’une agence de sécurité engagée par l’employeur ont </w:t>
      </w:r>
      <w:r w:rsidRPr="00A41CF8">
        <w:rPr>
          <w:rFonts w:cs="Times New Roman"/>
          <w:bCs/>
          <w:lang w:val="fr-CA"/>
        </w:rPr>
        <w:t xml:space="preserve">enregistré des vidéos et pris des </w:t>
      </w:r>
      <w:r w:rsidRPr="00A41CF8">
        <w:rPr>
          <w:rFonts w:cs="Times New Roman"/>
          <w:lang w:val="fr-CA"/>
        </w:rPr>
        <w:t xml:space="preserve">photos de la ligne de piquetage dressée près de l’entrée principale du casino.  Le syndicat a installé des affiches à l’intérieur de la zone de piquetage annonçant que les images des personnes qui franchissaient la ligne étaient susceptibles d’être publiées sur le site Web www.casinoscabs.ca. </w:t>
      </w:r>
    </w:p>
    <w:p w:rsidR="00503A71" w:rsidRPr="00A41CF8" w:rsidRDefault="00503A71" w:rsidP="00503A71">
      <w:pPr>
        <w:pStyle w:val="ParaNoNdepar-AltN"/>
        <w:rPr>
          <w:rFonts w:cs="Times New Roman"/>
          <w:lang w:val="fr-CA"/>
        </w:rPr>
      </w:pPr>
      <w:r w:rsidRPr="00A41CF8">
        <w:rPr>
          <w:rFonts w:cs="Times New Roman"/>
          <w:lang w:val="fr-CA"/>
        </w:rPr>
        <w:lastRenderedPageBreak/>
        <w:t xml:space="preserve">Plusieurs des personnes filmées ou photographiées en train de franchir la ligne de piquetage ont déposé une plainte, en application de la </w:t>
      </w:r>
      <w:r w:rsidRPr="00A41CF8">
        <w:rPr>
          <w:rFonts w:cs="Times New Roman"/>
          <w:i/>
          <w:lang w:val="fr-CA"/>
        </w:rPr>
        <w:t>PIPA</w:t>
      </w:r>
      <w:r w:rsidRPr="00A41CF8">
        <w:rPr>
          <w:rFonts w:cs="Times New Roman"/>
          <w:lang w:val="fr-CA"/>
        </w:rPr>
        <w:t>, auprès du commissaire à l’information et à la protection de la vie privée de l’Alberta</w:t>
      </w:r>
      <w:r w:rsidRPr="00DD78D4">
        <w:rPr>
          <w:rFonts w:cs="Times New Roman"/>
          <w:lang w:val="fr-CA"/>
        </w:rPr>
        <w:t>.</w:t>
      </w:r>
      <w:r w:rsidRPr="00A41CF8">
        <w:rPr>
          <w:rFonts w:cs="Times New Roman"/>
          <w:i/>
          <w:lang w:val="fr-CA"/>
        </w:rPr>
        <w:t xml:space="preserve">  </w:t>
      </w:r>
      <w:r w:rsidRPr="00A41CF8">
        <w:rPr>
          <w:rFonts w:cs="Times New Roman"/>
          <w:lang w:val="fr-CA"/>
        </w:rPr>
        <w:t>Le vice</w:t>
      </w:r>
      <w:r w:rsidRPr="00A41CF8">
        <w:rPr>
          <w:rFonts w:cs="Times New Roman"/>
          <w:lang w:val="fr-CA"/>
        </w:rPr>
        <w:noBreakHyphen/>
        <w:t xml:space="preserve">président du casino s’est plaint d’avoir été photographié ou filmé sur bande vidéo, et du fait que deux photos de lui s’étaient retrouvées sur une affiche exhibée à la ligne de piquetage et portant la mention : </w:t>
      </w:r>
      <w:r w:rsidRPr="00A41CF8">
        <w:rPr>
          <w:rFonts w:cs="Times New Roman"/>
          <w:smallCaps/>
          <w:lang w:val="fr-CA"/>
        </w:rPr>
        <w:t>[traduction]</w:t>
      </w:r>
      <w:r w:rsidRPr="00A41CF8">
        <w:rPr>
          <w:rFonts w:cs="Times New Roman"/>
          <w:lang w:val="fr-CA"/>
        </w:rPr>
        <w:t xml:space="preserve"> « Ph</w:t>
      </w:r>
      <w:r>
        <w:rPr>
          <w:rFonts w:cs="Times New Roman"/>
          <w:lang w:val="fr-CA"/>
        </w:rPr>
        <w:t xml:space="preserve">otos signalétiques de la police </w:t>
      </w:r>
      <w:r w:rsidRPr="00A41CF8">
        <w:rPr>
          <w:rFonts w:cs="Times New Roman"/>
          <w:lang w:val="fr-CA"/>
        </w:rPr>
        <w:t>de [x] ».  Des images de son visage se sont également retrouvées sur des tracts et des bulletins d’information du syndicat avec des légendes qui se voulaient humoristiques.  Un autre plaignant, un simple citoyen, a expliqué qu’il y avait des caméras à l’entrée du casino, là où il rencontrait fréquemment des amis.  Une troisième plaignante a affirmé avoir été photographiée et filmée sur bande vidéo alors qu’elle travaillait près de l’entrée du casi</w:t>
      </w:r>
      <w:r>
        <w:rPr>
          <w:rFonts w:cs="Times New Roman"/>
          <w:lang w:val="fr-CA"/>
        </w:rPr>
        <w:t xml:space="preserve">no. </w:t>
      </w:r>
      <w:r w:rsidRPr="00A41CF8">
        <w:rPr>
          <w:rFonts w:cs="Times New Roman"/>
          <w:lang w:val="fr-CA"/>
        </w:rPr>
        <w:t xml:space="preserve"> Aucune image des plaignants n’a été publiée sur le site Web. </w:t>
      </w:r>
    </w:p>
    <w:p w:rsidR="00503A71" w:rsidRPr="00A41CF8" w:rsidRDefault="00503A71" w:rsidP="00503A71">
      <w:pPr>
        <w:pStyle w:val="ParaNoNdepar-AltN"/>
        <w:rPr>
          <w:rFonts w:cs="Times New Roman"/>
          <w:lang w:val="fr-CA"/>
        </w:rPr>
      </w:pPr>
      <w:r w:rsidRPr="00A41CF8">
        <w:rPr>
          <w:rFonts w:cs="Times New Roman"/>
          <w:lang w:val="fr-CA"/>
        </w:rPr>
        <w:t xml:space="preserve">Le commissaire a désigné une arbitre chargée de décider si le syndicat avait contrevenu à la </w:t>
      </w:r>
      <w:r w:rsidRPr="00A41CF8">
        <w:rPr>
          <w:rFonts w:cs="Times New Roman"/>
          <w:i/>
          <w:lang w:val="fr-CA"/>
        </w:rPr>
        <w:t>PIPA</w:t>
      </w:r>
      <w:r w:rsidRPr="00A41CF8">
        <w:rPr>
          <w:rFonts w:cs="Times New Roman"/>
          <w:lang w:val="fr-CA"/>
        </w:rPr>
        <w:t xml:space="preserve"> en recueillant, utilisant et communiquant des renseignements personnels sans le consentement des personnes à qui ils se rapportent.  </w:t>
      </w:r>
      <w:r w:rsidRPr="00A41CF8">
        <w:rPr>
          <w:rFonts w:cs="Times New Roman"/>
        </w:rPr>
        <w:t>En Alberta, l’</w:t>
      </w:r>
      <w:r w:rsidRPr="00A41CF8">
        <w:rPr>
          <w:rFonts w:cs="Times New Roman"/>
          <w:i/>
        </w:rPr>
        <w:t>Administrative Procedures and Jurisdiction Act</w:t>
      </w:r>
      <w:r w:rsidRPr="00A41CF8">
        <w:rPr>
          <w:rFonts w:cs="Times New Roman"/>
        </w:rPr>
        <w:t>,</w:t>
      </w:r>
      <w:r w:rsidRPr="00A41CF8">
        <w:rPr>
          <w:rFonts w:cs="Times New Roman"/>
          <w:i/>
        </w:rPr>
        <w:t xml:space="preserve"> </w:t>
      </w:r>
      <w:r w:rsidRPr="00A41CF8">
        <w:rPr>
          <w:rFonts w:cs="Times New Roman"/>
        </w:rPr>
        <w:t>R.S.A. 2000, ch. </w:t>
      </w:r>
      <w:r w:rsidRPr="00A41CF8">
        <w:rPr>
          <w:rFonts w:cs="Times New Roman"/>
          <w:lang w:val="fr-CA"/>
        </w:rPr>
        <w:t>A</w:t>
      </w:r>
      <w:r w:rsidRPr="00A41CF8">
        <w:rPr>
          <w:rFonts w:cs="Times New Roman"/>
          <w:lang w:val="fr-CA"/>
        </w:rPr>
        <w:noBreakHyphen/>
        <w:t>3,</w:t>
      </w:r>
      <w:r w:rsidRPr="00A41CF8">
        <w:rPr>
          <w:rFonts w:cs="Times New Roman"/>
          <w:i/>
          <w:lang w:val="fr-CA"/>
        </w:rPr>
        <w:t xml:space="preserve"> </w:t>
      </w:r>
      <w:r w:rsidRPr="00A41CF8">
        <w:rPr>
          <w:rFonts w:cs="Times New Roman"/>
          <w:lang w:val="fr-CA"/>
        </w:rPr>
        <w:t xml:space="preserve">et ses règlements d’application empêchent le commissaire de trancher des questions de droit constitutionnel.  L’arbitre n’avait donc pas compétence pour examiner les arguments du syndicat quant à la constitutionnalité de la </w:t>
      </w:r>
      <w:r w:rsidRPr="00A41CF8">
        <w:rPr>
          <w:rFonts w:cs="Times New Roman"/>
          <w:i/>
          <w:lang w:val="fr-CA"/>
        </w:rPr>
        <w:t xml:space="preserve">PIPA </w:t>
      </w:r>
      <w:r w:rsidRPr="00A41CF8">
        <w:rPr>
          <w:rFonts w:cs="Times New Roman"/>
          <w:lang w:val="fr-CA"/>
        </w:rPr>
        <w:t xml:space="preserve">ou quant à son application aux activités du syndicat.  L’arbitre a accepté les éléments de preuve du syndicat suivant lesquels il est courant en Alberta que les employeurs et les syndicats </w:t>
      </w:r>
      <w:r w:rsidRPr="00A41CF8">
        <w:rPr>
          <w:rFonts w:cs="Times New Roman"/>
          <w:lang w:val="fr-CA"/>
        </w:rPr>
        <w:lastRenderedPageBreak/>
        <w:t>enregistrent sur bande vidéo et photographient ce qui se passe sur les lignes de piquetage.  Elle a ajouté que le syndicat l’avait fait pour les raisons suivantes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informer le public au sujet de la grève, notamment au moyen de tracts, de bulletins d’information et d’un site Web;</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informer les membres du syndicat qui faisaient du piquetage au sujet de la grève, notamment au moyen de tracts, de bulletins d’information et d’un site Web;</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 xml:space="preserve">dissuader quiconque de franchir la ligne de piquetage;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 xml:space="preserve">s’en servir comme moyen pour dissuader les personnes ne faisant pas de piquetage de recourir à la violence;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 xml:space="preserve">recueillir des éléments de preuve qui pourraient s’avérer utiles lors d’une enquête ou d’une instance judiciaire (tant en ce qui concerne les altercations que pour faire la preuve des longues périodes de piquetage paisible);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 xml:space="preserve">créer du matériel didactique pouvant servir à la formation des membres du syndicat;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offrir du matériel éducatif aux autres syndicats;</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 xml:space="preserve">appuyer le moral des syndiqués sur la ligne de piquetage en recourant à l’humour; </w:t>
      </w:r>
    </w:p>
    <w:p w:rsidR="00503A71" w:rsidRPr="00A41CF8" w:rsidRDefault="00503A71" w:rsidP="00DD78D4">
      <w:pPr>
        <w:pStyle w:val="Citation-AltC"/>
        <w:numPr>
          <w:ilvl w:val="0"/>
          <w:numId w:val="15"/>
        </w:numPr>
        <w:spacing w:after="240"/>
        <w:ind w:left="720" w:hanging="720"/>
        <w:contextualSpacing w:val="0"/>
        <w:rPr>
          <w:lang w:val="fr-CA"/>
        </w:rPr>
      </w:pPr>
      <w:r w:rsidRPr="00A41CF8">
        <w:rPr>
          <w:lang w:val="fr-CA"/>
        </w:rPr>
        <w:t>réagir aux mesures semblables prises par l’employeur;</w:t>
      </w:r>
    </w:p>
    <w:p w:rsidR="00503A71" w:rsidRPr="00A41CF8" w:rsidRDefault="00503A71" w:rsidP="00DD78D4">
      <w:pPr>
        <w:pStyle w:val="Citation-AltC"/>
        <w:numPr>
          <w:ilvl w:val="0"/>
          <w:numId w:val="15"/>
        </w:numPr>
        <w:ind w:left="720" w:hanging="720"/>
        <w:contextualSpacing w:val="0"/>
        <w:rPr>
          <w:lang w:val="fr-CA"/>
        </w:rPr>
      </w:pPr>
      <w:r w:rsidRPr="00A41CF8">
        <w:rPr>
          <w:lang w:val="fr-CA"/>
        </w:rPr>
        <w:t xml:space="preserve">dissuader le vol de biens appartenant au syndicat. </w:t>
      </w:r>
    </w:p>
    <w:p w:rsidR="00503A71" w:rsidRPr="00DD78D4" w:rsidRDefault="00503A71" w:rsidP="00503A71">
      <w:pPr>
        <w:pStyle w:val="ContinueParaSuitedupar-AltP"/>
        <w:spacing w:before="0" w:after="720" w:line="240" w:lineRule="auto"/>
        <w:rPr>
          <w:rFonts w:cs="Times New Roman"/>
          <w:lang w:val="en-US"/>
        </w:rPr>
      </w:pPr>
      <w:r w:rsidRPr="00A54F21">
        <w:rPr>
          <w:rFonts w:cs="Times New Roman"/>
          <w:lang w:val="en-US"/>
        </w:rPr>
        <w:t>(</w:t>
      </w:r>
      <w:r w:rsidR="00DD78D4" w:rsidRPr="00DD78D4">
        <w:rPr>
          <w:rFonts w:cs="Times New Roman"/>
          <w:i/>
          <w:lang w:val="en-US"/>
        </w:rPr>
        <w:t>Ord</w:t>
      </w:r>
      <w:r w:rsidR="009924E1">
        <w:rPr>
          <w:rFonts w:cs="Times New Roman"/>
          <w:i/>
          <w:lang w:val="en-US"/>
        </w:rPr>
        <w:t>er</w:t>
      </w:r>
      <w:r w:rsidR="00DD78D4" w:rsidRPr="00DD78D4">
        <w:rPr>
          <w:rFonts w:cs="Times New Roman"/>
          <w:i/>
          <w:lang w:val="en-US"/>
        </w:rPr>
        <w:t xml:space="preserve"> </w:t>
      </w:r>
      <w:r w:rsidRPr="00DD78D4">
        <w:rPr>
          <w:rFonts w:cs="Times New Roman"/>
          <w:i/>
          <w:lang w:val="en-US"/>
        </w:rPr>
        <w:t>P2008</w:t>
      </w:r>
      <w:r w:rsidRPr="00DD78D4">
        <w:rPr>
          <w:rFonts w:cs="Times New Roman"/>
          <w:i/>
          <w:lang w:val="en-US"/>
        </w:rPr>
        <w:noBreakHyphen/>
        <w:t xml:space="preserve">008; </w:t>
      </w:r>
      <w:r w:rsidR="00DD78D4" w:rsidRPr="00DD78D4">
        <w:rPr>
          <w:rFonts w:cs="Times New Roman"/>
          <w:i/>
          <w:lang w:val="en-US"/>
        </w:rPr>
        <w:t xml:space="preserve">United Food and Commercial Workers, Local </w:t>
      </w:r>
      <w:r w:rsidR="00DD78D4">
        <w:rPr>
          <w:rFonts w:cs="Times New Roman"/>
          <w:i/>
          <w:lang w:val="en-US"/>
        </w:rPr>
        <w:t>401</w:t>
      </w:r>
      <w:r w:rsidRPr="00DD78D4">
        <w:rPr>
          <w:rFonts w:cs="Times New Roman"/>
          <w:lang w:val="en-US"/>
        </w:rPr>
        <w:t xml:space="preserve">, </w:t>
      </w:r>
      <w:r w:rsidR="00DD78D4" w:rsidRPr="00DD78D4">
        <w:rPr>
          <w:rFonts w:cs="Times New Roman"/>
          <w:lang w:val="en-US"/>
        </w:rPr>
        <w:t xml:space="preserve">2009 </w:t>
      </w:r>
      <w:r w:rsidRPr="00DD78D4">
        <w:rPr>
          <w:rFonts w:cs="Times New Roman"/>
          <w:lang w:val="en-US"/>
        </w:rPr>
        <w:t xml:space="preserve">CanLII 90942 (OIPC Alb.), par. 20) </w:t>
      </w:r>
    </w:p>
    <w:p w:rsidR="00503A71" w:rsidRPr="00A41CF8" w:rsidRDefault="00503A71" w:rsidP="00503A71">
      <w:pPr>
        <w:pStyle w:val="ContinueParaSuitedupar-AltP"/>
        <w:rPr>
          <w:rFonts w:cs="Times New Roman"/>
          <w:szCs w:val="24"/>
          <w:lang w:val="fr-CA"/>
        </w:rPr>
      </w:pPr>
      <w:r w:rsidRPr="00A41CF8">
        <w:rPr>
          <w:rFonts w:cs="Times New Roman"/>
          <w:lang w:val="fr-CA"/>
        </w:rPr>
        <w:t>L’arbitre a conclu que [</w:t>
      </w:r>
      <w:r w:rsidRPr="00A41CF8">
        <w:rPr>
          <w:rFonts w:cs="Times New Roman"/>
          <w:smallCaps/>
          <w:lang w:val="fr-CA"/>
        </w:rPr>
        <w:t>traduction</w:t>
      </w:r>
      <w:r w:rsidRPr="00A41CF8">
        <w:rPr>
          <w:rFonts w:cs="Times New Roman"/>
          <w:lang w:val="fr-CA"/>
        </w:rPr>
        <w:t xml:space="preserve">] « bon nombre des objectifs en question favorisaient également l’atteinte de l’objectif fondamental de la grève, soit celui de parvenir à un règlement du conflit de travail en faveur du syndicat » (par. 20).  </w:t>
      </w:r>
      <w:r w:rsidRPr="00A41CF8">
        <w:rPr>
          <w:rFonts w:cs="Times New Roman"/>
          <w:lang w:val="fr-CA"/>
        </w:rPr>
        <w:lastRenderedPageBreak/>
        <w:t>L’</w:t>
      </w:r>
      <w:r w:rsidRPr="00A41CF8">
        <w:rPr>
          <w:rFonts w:cs="Times New Roman"/>
          <w:szCs w:val="24"/>
          <w:lang w:val="fr-CA"/>
        </w:rPr>
        <w:t>arbitre a aussi conclu que la collecte, l’utilisation et la communication de renseignements personnels par le syndicat visaient un objectif de nature expressive.  À cet égard, elle a affirmé qu’</w:t>
      </w:r>
      <w:r w:rsidRPr="00A41CF8">
        <w:rPr>
          <w:rFonts w:cs="Times New Roman"/>
          <w:lang w:val="fr-CA"/>
        </w:rPr>
        <w:t xml:space="preserve">« en recueillant les renseignements en question, le syndicat visait notamment à dissuader les gens de franchir la </w:t>
      </w:r>
      <w:r w:rsidRPr="00A41CF8">
        <w:rPr>
          <w:rFonts w:cs="Times New Roman"/>
          <w:szCs w:val="24"/>
          <w:lang w:val="fr-CA"/>
        </w:rPr>
        <w:t xml:space="preserve">ligne de piquetage » (par. 51).  L’arbitre a également conclu qu’elle ne connaissait, et qu’on ne lui avait cité, aucune disposition de la </w:t>
      </w:r>
      <w:r w:rsidRPr="00A41CF8">
        <w:rPr>
          <w:rFonts w:cs="Times New Roman"/>
          <w:i/>
          <w:szCs w:val="24"/>
          <w:lang w:val="fr-CA"/>
        </w:rPr>
        <w:t>PIPA</w:t>
      </w:r>
      <w:r w:rsidRPr="00A41CF8">
        <w:rPr>
          <w:rFonts w:cs="Times New Roman"/>
          <w:szCs w:val="24"/>
          <w:lang w:val="fr-CA"/>
        </w:rPr>
        <w:t xml:space="preserve"> autorisant la collecte, l’utilisation et la communication de renseignements personnels à cette fin (par. 67).  Elle a rejeté l’argument du </w:t>
      </w:r>
      <w:r w:rsidRPr="00A41CF8">
        <w:rPr>
          <w:rFonts w:cs="Times New Roman"/>
          <w:lang w:val="fr-CA"/>
        </w:rPr>
        <w:t xml:space="preserve">syndicat suivant lequel ce dernier était protégé par l’exception relative aux « fins journalistiques », puisque ses activités visaient également à résoudre le conflit de travail en sa faveur.  Pour elle, l’exception relative aux « fins journalistiques » prévue par la </w:t>
      </w:r>
      <w:r w:rsidRPr="00A41CF8">
        <w:rPr>
          <w:rFonts w:cs="Times New Roman"/>
          <w:i/>
          <w:lang w:val="fr-CA"/>
        </w:rPr>
        <w:t>Loi</w:t>
      </w:r>
      <w:r w:rsidRPr="00A41CF8">
        <w:rPr>
          <w:rFonts w:cs="Times New Roman"/>
          <w:lang w:val="fr-CA"/>
        </w:rPr>
        <w:t xml:space="preserve"> ne s’appliquait donc pas, dès lors que les renseignements avaient été recueillis, utilisés ou communiqués à d’autres fins.  L’argument accessoire du syndicat suivant lequel la collecte, l’utilisation et la communication des renseignements personnels étaient autorisées par une autre exception — soit celle relative à la tenue d’une éventuelle enquête ou à l’introduction d’une éventuelle instance judiciaire — a été accepté, mais cela n’était pas suffisant pour soustraire ses activités à l’application de la </w:t>
      </w:r>
      <w:r w:rsidRPr="00A41CF8">
        <w:rPr>
          <w:rFonts w:cs="Times New Roman"/>
          <w:i/>
          <w:iCs/>
          <w:lang w:val="fr-CA"/>
        </w:rPr>
        <w:t xml:space="preserve">PIPA </w:t>
      </w:r>
      <w:r w:rsidRPr="00A41CF8">
        <w:rPr>
          <w:rFonts w:cs="Times New Roman"/>
          <w:lang w:val="fr-CA"/>
        </w:rPr>
        <w:t xml:space="preserve">à toute autre fin.  Le syndicat a donc reçu l’ordre de cesser de recueillir des renseignements personnels à toute autre fin qu’une éventuelle enquête ou instance judiciaire ainsi que de détruire tout renseignement personnel qu’il avait en sa possession et qui avait été obtenu en contravention de la </w:t>
      </w:r>
      <w:r w:rsidRPr="00A41CF8">
        <w:rPr>
          <w:rFonts w:cs="Times New Roman"/>
          <w:i/>
          <w:lang w:val="fr-CA"/>
        </w:rPr>
        <w:t>Loi</w:t>
      </w:r>
      <w:r w:rsidRPr="00A41CF8">
        <w:rPr>
          <w:rFonts w:cs="Times New Roman"/>
          <w:lang w:val="fr-CA"/>
        </w:rPr>
        <w:t>.</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lastRenderedPageBreak/>
        <w:t xml:space="preserve">Lors du contrôle judiciaire, le syndicat a fait valoir que les dispositions de la </w:t>
      </w:r>
      <w:r w:rsidRPr="00A41CF8">
        <w:rPr>
          <w:rFonts w:cs="Times New Roman"/>
          <w:i/>
          <w:lang w:val="fr-CA"/>
        </w:rPr>
        <w:t xml:space="preserve">PIPA </w:t>
      </w:r>
      <w:r w:rsidRPr="00A41CF8">
        <w:rPr>
          <w:rFonts w:cs="Times New Roman"/>
          <w:lang w:val="fr-CA"/>
        </w:rPr>
        <w:t>qui l’empêchaient de recueillir, d’utiliser et de communiquer des renseignements personnels obtenus sur sa ligne de piquetage licite contrevenaient à l’alinéa 2</w:t>
      </w:r>
      <w:r w:rsidRPr="00A41CF8">
        <w:rPr>
          <w:rFonts w:cs="Times New Roman"/>
          <w:i/>
          <w:lang w:val="fr-CA"/>
        </w:rPr>
        <w:t>b</w:t>
      </w:r>
      <w:r w:rsidRPr="00A41CF8">
        <w:rPr>
          <w:rFonts w:cs="Times New Roman"/>
          <w:lang w:val="fr-CA"/>
        </w:rPr>
        <w:t xml:space="preserve">) de la </w:t>
      </w:r>
      <w:r w:rsidRPr="00A41CF8">
        <w:rPr>
          <w:rFonts w:cs="Times New Roman"/>
          <w:i/>
          <w:lang w:val="fr-CA"/>
        </w:rPr>
        <w:t xml:space="preserve">Charte </w:t>
      </w:r>
      <w:r w:rsidRPr="00A41CF8">
        <w:rPr>
          <w:rFonts w:cs="Times New Roman"/>
          <w:lang w:val="fr-CA"/>
        </w:rPr>
        <w:t>(2011 ABQB 415, 53 Alta. L.R. (5th) 235)</w:t>
      </w:r>
      <w:r w:rsidRPr="000F2BA2">
        <w:rPr>
          <w:rFonts w:cs="Times New Roman"/>
          <w:lang w:val="fr-CA"/>
        </w:rPr>
        <w:t>.</w:t>
      </w:r>
      <w:r w:rsidRPr="00A41CF8">
        <w:rPr>
          <w:rFonts w:cs="Times New Roman"/>
          <w:i/>
          <w:lang w:val="fr-CA"/>
        </w:rPr>
        <w:t xml:space="preserve">  </w:t>
      </w:r>
      <w:r w:rsidRPr="00A41CF8">
        <w:rPr>
          <w:rFonts w:cs="Times New Roman"/>
          <w:lang w:val="fr-CA"/>
        </w:rPr>
        <w:t>La juge en son cabinet a conclu que les activités du syndicat comportaient un contenu expressif et qu’il n’y avait aucune raison de les soustraire à la protection de l’al</w:t>
      </w:r>
      <w:r w:rsidR="000F2BA2">
        <w:rPr>
          <w:rFonts w:cs="Times New Roman"/>
          <w:lang w:val="fr-CA"/>
        </w:rPr>
        <w:t>.</w:t>
      </w:r>
      <w:r w:rsidRPr="00A41CF8">
        <w:rPr>
          <w:rFonts w:cs="Times New Roman"/>
          <w:lang w:val="fr-CA"/>
        </w:rPr>
        <w:t> 2</w:t>
      </w:r>
      <w:r w:rsidRPr="00A41CF8">
        <w:rPr>
          <w:rFonts w:cs="Times New Roman"/>
          <w:i/>
          <w:lang w:val="fr-CA"/>
        </w:rPr>
        <w:t>b</w:t>
      </w:r>
      <w:r w:rsidRPr="00A41CF8">
        <w:rPr>
          <w:rFonts w:cs="Times New Roman"/>
          <w:lang w:val="fr-CA"/>
        </w:rPr>
        <w:t xml:space="preserve">).  Elle a affirmé que, selon l’interprétation que l’arbitre lui en avait donnée, la </w:t>
      </w:r>
      <w:r w:rsidRPr="00A41CF8">
        <w:rPr>
          <w:rFonts w:cs="Times New Roman"/>
          <w:i/>
          <w:iCs/>
          <w:lang w:val="fr-CA"/>
        </w:rPr>
        <w:t>PIPA</w:t>
      </w:r>
      <w:r w:rsidRPr="00A41CF8">
        <w:rPr>
          <w:rFonts w:cs="Times New Roman"/>
          <w:lang w:val="fr-CA"/>
        </w:rPr>
        <w:t xml:space="preserve"> restreignait directement la liberté d’expression du syndicat en lui interdisant de recueillir, d’utiliser et de communiquer des renseignements personnels concernant des personnes alors qu’elles étaient à la vue du public.  Elle a également conclu que cette violation ne pouvait se justifier au sens de l’article premier.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La Cour d’appel s’est dite d’avis que la véritable question en litige était celle de savoir s’il était justifié de restreindre l’expression favorable aux activités se rapportant à des relations de travail et à une négociation collective (2012 ABCA 130, 57 Alta</w:t>
      </w:r>
      <w:r w:rsidR="000F2BA2">
        <w:rPr>
          <w:rFonts w:cs="Times New Roman"/>
          <w:lang w:val="fr-CA"/>
        </w:rPr>
        <w:t>.</w:t>
      </w:r>
      <w:r w:rsidRPr="00A41CF8">
        <w:rPr>
          <w:rFonts w:cs="Times New Roman"/>
          <w:lang w:val="fr-CA"/>
        </w:rPr>
        <w:t xml:space="preserve"> L.R. (5th) 249).  Elle a conclu que la </w:t>
      </w:r>
      <w:r w:rsidRPr="00A41CF8">
        <w:rPr>
          <w:rFonts w:cs="Times New Roman"/>
          <w:i/>
          <w:lang w:val="fr-CA"/>
        </w:rPr>
        <w:t>PIPA</w:t>
      </w:r>
      <w:r w:rsidRPr="00A41CF8">
        <w:rPr>
          <w:rFonts w:cs="Times New Roman"/>
          <w:lang w:val="fr-CA"/>
        </w:rPr>
        <w:t xml:space="preserve"> avait une portée trop large.  En effet, d’une part, le droit au respect de la vie privée en jeu était mineur, puisque les plaignants se trouvaient dans un lieu public, qu’ils franchissaient une ligne de piquetage et qu’ils étaient avisés que des images étaient recueillies.  D’autre part, il fallait tenir com</w:t>
      </w:r>
      <w:r w:rsidR="008230F2">
        <w:rPr>
          <w:rFonts w:cs="Times New Roman"/>
          <w:lang w:val="fr-CA"/>
        </w:rPr>
        <w:t>p</w:t>
      </w:r>
      <w:r w:rsidRPr="00A41CF8">
        <w:rPr>
          <w:rFonts w:cs="Times New Roman"/>
          <w:lang w:val="fr-CA"/>
        </w:rPr>
        <w:t>te du droit des travailleurs de négocier collectivement et de celui du syndicat de communiquer avec le public (par. 74).  La Cour d’appel s’est aussi dite d’accord avec la juge en son cabinet pour conclure que la violation de l’al. 2</w:t>
      </w:r>
      <w:r w:rsidRPr="00A41CF8">
        <w:rPr>
          <w:rFonts w:cs="Times New Roman"/>
          <w:i/>
          <w:lang w:val="fr-CA"/>
        </w:rPr>
        <w:t>b</w:t>
      </w:r>
      <w:r w:rsidRPr="00A41CF8">
        <w:rPr>
          <w:rFonts w:cs="Times New Roman"/>
          <w:lang w:val="fr-CA"/>
        </w:rPr>
        <w:t xml:space="preserve">) ne </w:t>
      </w:r>
      <w:r w:rsidRPr="00A41CF8">
        <w:rPr>
          <w:rFonts w:cs="Times New Roman"/>
          <w:lang w:val="fr-CA"/>
        </w:rPr>
        <w:lastRenderedPageBreak/>
        <w:t xml:space="preserve">pouvait être justifiée au sens de l’article premier et elle a donc accordé au syndicat une exemption constitutionnelle quant à l’application de la </w:t>
      </w:r>
      <w:r w:rsidRPr="00A41CF8">
        <w:rPr>
          <w:rFonts w:cs="Times New Roman"/>
          <w:i/>
          <w:lang w:val="fr-CA"/>
        </w:rPr>
        <w:t>PIPA</w:t>
      </w:r>
      <w:r w:rsidRPr="00A41CF8">
        <w:rPr>
          <w:rFonts w:cs="Times New Roman"/>
          <w:lang w:val="fr-CA"/>
        </w:rPr>
        <w:t xml:space="preserve">.  </w:t>
      </w:r>
    </w:p>
    <w:p w:rsidR="00503A71" w:rsidRPr="00A41CF8" w:rsidRDefault="00503A71" w:rsidP="00503A71">
      <w:pPr>
        <w:pStyle w:val="TitleTitre-AltT"/>
        <w:keepNext/>
        <w:spacing w:before="0" w:after="720"/>
        <w:rPr>
          <w:rFonts w:cs="Times New Roman"/>
          <w:u w:val="single"/>
          <w:lang w:val="fr-CA"/>
        </w:rPr>
      </w:pPr>
      <w:r w:rsidRPr="00A41CF8">
        <w:rPr>
          <w:rFonts w:cs="Times New Roman"/>
          <w:u w:val="single"/>
          <w:lang w:val="fr-CA"/>
        </w:rPr>
        <w:t>Analyse</w:t>
      </w:r>
    </w:p>
    <w:p w:rsidR="00503A71" w:rsidRPr="00A41CF8" w:rsidRDefault="00503A71" w:rsidP="00503A71">
      <w:pPr>
        <w:pStyle w:val="ParaNoNdepar-AltN"/>
        <w:rPr>
          <w:rFonts w:cs="Times New Roman"/>
          <w:lang w:val="fr-CA"/>
        </w:rPr>
      </w:pPr>
      <w:r w:rsidRPr="00A41CF8">
        <w:rPr>
          <w:rFonts w:cs="Times New Roman"/>
          <w:lang w:val="fr-CA"/>
        </w:rPr>
        <w:t>Les questions constitutionnelles énoncées en l’espèce sont les suivantes :</w:t>
      </w:r>
    </w:p>
    <w:p w:rsidR="00503A71" w:rsidRPr="00A41CF8" w:rsidRDefault="00503A71" w:rsidP="008230F2">
      <w:pPr>
        <w:pStyle w:val="Citation-AltC"/>
        <w:tabs>
          <w:tab w:val="left" w:pos="1170"/>
        </w:tabs>
        <w:spacing w:after="240"/>
        <w:ind w:left="1620" w:hanging="1620"/>
        <w:contextualSpacing w:val="0"/>
        <w:rPr>
          <w:lang w:val="fr-CA"/>
        </w:rPr>
      </w:pPr>
      <w:r w:rsidRPr="00A41CF8">
        <w:rPr>
          <w:lang w:val="fr-CA"/>
        </w:rPr>
        <w:tab/>
        <w:t>1.</w:t>
      </w:r>
      <w:r w:rsidRPr="00A41CF8">
        <w:rPr>
          <w:lang w:val="fr-CA"/>
        </w:rPr>
        <w:tab/>
        <w:t xml:space="preserve">La </w:t>
      </w:r>
      <w:bookmarkStart w:id="0" w:name="OLE_LINK2"/>
      <w:bookmarkStart w:id="1" w:name="OLE_LINK1"/>
      <w:bookmarkEnd w:id="0"/>
      <w:bookmarkEnd w:id="1"/>
      <w:r w:rsidRPr="00A41CF8">
        <w:rPr>
          <w:i/>
          <w:lang w:val="fr-CA"/>
        </w:rPr>
        <w:t>Personal Information Protection Act</w:t>
      </w:r>
      <w:r w:rsidRPr="00A41CF8">
        <w:rPr>
          <w:lang w:val="fr-CA"/>
        </w:rPr>
        <w:t>, S.A. 2003, ch. P</w:t>
      </w:r>
      <w:r w:rsidRPr="00A41CF8">
        <w:rPr>
          <w:lang w:val="fr-CA"/>
        </w:rPr>
        <w:noBreakHyphen/>
        <w:t xml:space="preserve">6.5, et le </w:t>
      </w:r>
      <w:r w:rsidRPr="00A41CF8">
        <w:rPr>
          <w:i/>
          <w:iCs/>
          <w:lang w:val="fr-CA"/>
        </w:rPr>
        <w:t xml:space="preserve">Personal Information Protection </w:t>
      </w:r>
      <w:r w:rsidR="008230F2">
        <w:rPr>
          <w:i/>
          <w:iCs/>
          <w:lang w:val="fr-CA"/>
        </w:rPr>
        <w:t xml:space="preserve">Act </w:t>
      </w:r>
      <w:r w:rsidRPr="00A41CF8">
        <w:rPr>
          <w:i/>
          <w:iCs/>
          <w:lang w:val="fr-CA"/>
        </w:rPr>
        <w:t>Regulation</w:t>
      </w:r>
      <w:r w:rsidRPr="00A41CF8">
        <w:rPr>
          <w:lang w:val="fr-CA"/>
        </w:rPr>
        <w:t>, Alta</w:t>
      </w:r>
      <w:r w:rsidR="008230F2">
        <w:rPr>
          <w:lang w:val="fr-CA"/>
        </w:rPr>
        <w:t>.</w:t>
      </w:r>
      <w:r w:rsidRPr="00A41CF8">
        <w:rPr>
          <w:lang w:val="fr-CA"/>
        </w:rPr>
        <w:t xml:space="preserve"> Reg. 366/2003, portent</w:t>
      </w:r>
      <w:r w:rsidRPr="00A41CF8">
        <w:rPr>
          <w:lang w:val="fr-CA"/>
        </w:rPr>
        <w:noBreakHyphen/>
        <w:t>ils atteinte aux droits protégés par l’al. 2</w:t>
      </w:r>
      <w:r w:rsidRPr="00A41CF8">
        <w:rPr>
          <w:i/>
          <w:lang w:val="fr-CA"/>
        </w:rPr>
        <w:t>b</w:t>
      </w:r>
      <w:r w:rsidRPr="00A41CF8">
        <w:rPr>
          <w:lang w:val="fr-CA"/>
        </w:rPr>
        <w:t xml:space="preserve">) de la </w:t>
      </w:r>
      <w:r w:rsidRPr="00A41CF8">
        <w:rPr>
          <w:i/>
          <w:lang w:val="fr-CA"/>
        </w:rPr>
        <w:t xml:space="preserve">Charte canadienne des droits et libertés </w:t>
      </w:r>
      <w:r w:rsidRPr="00A41CF8">
        <w:rPr>
          <w:lang w:val="fr-CA"/>
        </w:rPr>
        <w:t xml:space="preserve">dans la mesure où ils limitent la capacité d’un syndicat de recueillir, d’utiliser </w:t>
      </w:r>
      <w:r>
        <w:rPr>
          <w:lang w:val="fr-CA"/>
        </w:rPr>
        <w:t>ou</w:t>
      </w:r>
      <w:r w:rsidRPr="00A41CF8">
        <w:rPr>
          <w:lang w:val="fr-CA"/>
        </w:rPr>
        <w:t xml:space="preserve"> de communiquer des renseignements personnels pendant une grève légale?</w:t>
      </w:r>
    </w:p>
    <w:p w:rsidR="00503A71" w:rsidRPr="00A41CF8" w:rsidRDefault="00503A71" w:rsidP="008230F2">
      <w:pPr>
        <w:pStyle w:val="Citation-AltC"/>
        <w:tabs>
          <w:tab w:val="left" w:pos="1170"/>
        </w:tabs>
        <w:ind w:left="1627" w:hanging="1627"/>
        <w:contextualSpacing w:val="0"/>
        <w:rPr>
          <w:lang w:val="fr-CA"/>
        </w:rPr>
      </w:pPr>
      <w:r w:rsidRPr="00A41CF8">
        <w:rPr>
          <w:lang w:val="fr-CA"/>
        </w:rPr>
        <w:tab/>
        <w:t>2.</w:t>
      </w:r>
      <w:r w:rsidRPr="00A41CF8">
        <w:rPr>
          <w:lang w:val="fr-CA"/>
        </w:rPr>
        <w:tab/>
        <w:t>Dans l’affirmative, cette atteinte constitue</w:t>
      </w:r>
      <w:r w:rsidRPr="00A41CF8">
        <w:rPr>
          <w:lang w:val="fr-CA"/>
        </w:rPr>
        <w:noBreakHyphen/>
        <w:t>t</w:t>
      </w:r>
      <w:r w:rsidRPr="00A41CF8">
        <w:rPr>
          <w:lang w:val="fr-CA"/>
        </w:rPr>
        <w:noBreakHyphen/>
        <w:t xml:space="preserve">elle une limite raisonnable, prescrite par une règle de droit, dont la justification peut être démontrée dans une société libre et démocratique au sens de l’article premier de la </w:t>
      </w:r>
      <w:r w:rsidRPr="00A41CF8">
        <w:rPr>
          <w:i/>
          <w:lang w:val="fr-CA"/>
        </w:rPr>
        <w:t>Charte canadienne des droits et libertés</w:t>
      </w:r>
      <w:r w:rsidRPr="00A41CF8">
        <w:rPr>
          <w:lang w:val="fr-CA"/>
        </w:rPr>
        <w:t xml:space="preserve">?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Examinons d’abord la question de savoir si la </w:t>
      </w:r>
      <w:r w:rsidRPr="00A41CF8">
        <w:rPr>
          <w:rFonts w:cs="Times New Roman"/>
          <w:i/>
          <w:lang w:val="fr-CA"/>
        </w:rPr>
        <w:t>PIPA</w:t>
      </w:r>
      <w:r w:rsidRPr="00A41CF8">
        <w:rPr>
          <w:rFonts w:cs="Times New Roman"/>
          <w:lang w:val="fr-CA"/>
        </w:rPr>
        <w:t xml:space="preserve"> restreint la liberté d’expression.  La présente affaire est survenue dans le contexte factuel précis qui a été soumis à l’arbitre, mais c’est la </w:t>
      </w:r>
      <w:r w:rsidRPr="00A41CF8">
        <w:rPr>
          <w:rFonts w:cs="Times New Roman"/>
          <w:i/>
          <w:lang w:val="fr-CA"/>
        </w:rPr>
        <w:t>PIPA</w:t>
      </w:r>
      <w:r w:rsidRPr="00A41CF8">
        <w:rPr>
          <w:rFonts w:cs="Times New Roman"/>
          <w:lang w:val="fr-CA"/>
        </w:rPr>
        <w:t xml:space="preserve"> dans son ensemble qui est contestée.  Bien qu’il y ait eu un certain débat quant à la question de savoir si des aspects particuliers des agissements du syndicat étaient protégés par l’al. 2</w:t>
      </w:r>
      <w:r w:rsidRPr="00A41CF8">
        <w:rPr>
          <w:rFonts w:cs="Times New Roman"/>
          <w:i/>
          <w:lang w:val="fr-CA"/>
        </w:rPr>
        <w:t>b</w:t>
      </w:r>
      <w:r w:rsidRPr="00A41CF8">
        <w:rPr>
          <w:rFonts w:cs="Times New Roman"/>
          <w:lang w:val="fr-CA"/>
        </w:rPr>
        <w:t xml:space="preserve">), il nous apparaît incontestable que la </w:t>
      </w:r>
      <w:r w:rsidRPr="00A41CF8">
        <w:rPr>
          <w:rFonts w:cs="Times New Roman"/>
          <w:i/>
          <w:lang w:val="fr-CA"/>
        </w:rPr>
        <w:t>PIPA</w:t>
      </w:r>
      <w:r w:rsidRPr="00A41CF8">
        <w:rPr>
          <w:rFonts w:cs="Times New Roman"/>
          <w:lang w:val="fr-CA"/>
        </w:rPr>
        <w:t xml:space="preserve"> restreint les activités expressives ainsi protégées.  La juge saisie de la demande de contrôle judiciaire ainsi que la Cour d’appel ont toutes deux reconnu que la collecte, l’utilisation et la communication, par le syndicat, de renseignements personnels dans le contexte d’un piquetage au cours d’une grève </w:t>
      </w:r>
      <w:r w:rsidRPr="00A41CF8">
        <w:rPr>
          <w:rFonts w:cs="Times New Roman"/>
          <w:lang w:val="fr-CA"/>
        </w:rPr>
        <w:lastRenderedPageBreak/>
        <w:t xml:space="preserve">légale constituaient intrinsèquement des activités expressives.  Nous sommes du même avis.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Comme l’ont admis les parties, les activités du syndicat font manifestement intervenir la liberté d’expression protégée par l’al. 2</w:t>
      </w:r>
      <w:r w:rsidRPr="00A41CF8">
        <w:rPr>
          <w:rFonts w:cs="Times New Roman"/>
          <w:i/>
          <w:lang w:val="fr-CA"/>
        </w:rPr>
        <w:t>b</w:t>
      </w:r>
      <w:r w:rsidRPr="00A41CF8">
        <w:rPr>
          <w:rFonts w:cs="Times New Roman"/>
          <w:lang w:val="fr-CA"/>
        </w:rPr>
        <w:t xml:space="preserve">).  Le syndicat a recueilli des renseignements personnels en filmant et photographiant la ligne de piquetage.  Comme l’a reconnu l’arbitre, en </w:t>
      </w:r>
      <w:r w:rsidRPr="00D6716D">
        <w:rPr>
          <w:rFonts w:cs="Times New Roman"/>
          <w:i/>
          <w:lang w:val="fr-CA"/>
        </w:rPr>
        <w:t>recueillant</w:t>
      </w:r>
      <w:r w:rsidRPr="00A41CF8">
        <w:rPr>
          <w:rFonts w:cs="Times New Roman"/>
          <w:lang w:val="fr-CA"/>
        </w:rPr>
        <w:t xml:space="preserve"> des renseignements personnels, le syndicat visait notamment à dissuader quiconque de franchir la ligne de piquetage (par. 51; motifs de la juge Goss, par. 31</w:t>
      </w:r>
      <w:r>
        <w:rPr>
          <w:rFonts w:cs="Times New Roman"/>
          <w:lang w:val="fr-CA"/>
        </w:rPr>
        <w:noBreakHyphen/>
      </w:r>
      <w:r w:rsidRPr="00A41CF8">
        <w:rPr>
          <w:rFonts w:cs="Times New Roman"/>
          <w:lang w:val="fr-CA"/>
        </w:rPr>
        <w:t xml:space="preserve">34; motifs de la Cour d’appel, par. 64).  Le fait de filmer et de photographier des actes relatifs au piquetage, plus particulièrement relatifs à une ligne de piquetage légale et à toute personne qui la franchit, est une activité expressive : il s’agit de persuader des personnes d’appuyer le syndicat.  Il en est de même du fait de filmer ou de prendre des photos ainsi que de potentiellement utiliser ou distribuer les enregistrements montrant des personnes en train de franchir la ligne de piquetage : dans ce cas, il s’agit de dissuader quiconque de faire de même et de renseigner le public sur la grève.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Pour comprendre comment la </w:t>
      </w:r>
      <w:r w:rsidRPr="00A41CF8">
        <w:rPr>
          <w:rFonts w:cs="Times New Roman"/>
          <w:i/>
          <w:lang w:val="fr-CA"/>
        </w:rPr>
        <w:t xml:space="preserve">PIPA </w:t>
      </w:r>
      <w:r w:rsidRPr="00A41CF8">
        <w:rPr>
          <w:rFonts w:cs="Times New Roman"/>
          <w:iCs/>
          <w:lang w:val="fr-CA"/>
        </w:rPr>
        <w:t xml:space="preserve">restreint les activités expressives du </w:t>
      </w:r>
      <w:r w:rsidRPr="00A41CF8">
        <w:rPr>
          <w:rFonts w:cs="Times New Roman"/>
          <w:lang w:val="fr-CA"/>
        </w:rPr>
        <w:t xml:space="preserve">syndicat, il est utile d’examiner la loi en question de façon assez détaillée. </w:t>
      </w:r>
    </w:p>
    <w:p w:rsidR="00503A71" w:rsidRPr="00A41CF8" w:rsidRDefault="00503A71" w:rsidP="00503A71">
      <w:pPr>
        <w:pStyle w:val="ParaNoNdepar-AltN"/>
        <w:rPr>
          <w:rFonts w:cs="Times New Roman"/>
          <w:lang w:val="fr-CA"/>
        </w:rPr>
      </w:pPr>
      <w:r w:rsidRPr="00A41CF8">
        <w:rPr>
          <w:rFonts w:cs="Times New Roman"/>
          <w:lang w:val="fr-CA"/>
        </w:rPr>
        <w:t xml:space="preserve">La </w:t>
      </w:r>
      <w:r w:rsidRPr="00A41CF8">
        <w:rPr>
          <w:rFonts w:cs="Times New Roman"/>
          <w:i/>
          <w:lang w:val="fr-CA"/>
        </w:rPr>
        <w:t xml:space="preserve">PIPA </w:t>
      </w:r>
      <w:r w:rsidRPr="00A41CF8">
        <w:rPr>
          <w:rFonts w:cs="Times New Roman"/>
          <w:lang w:val="fr-CA"/>
        </w:rPr>
        <w:t xml:space="preserve">de l’Alberta s’inspire d’une loi fédérale, la </w:t>
      </w:r>
      <w:r w:rsidRPr="00A41CF8">
        <w:rPr>
          <w:rFonts w:cs="Times New Roman"/>
          <w:i/>
          <w:lang w:val="fr-CA"/>
        </w:rPr>
        <w:t>Loi sur la protection des renseignements personnels et les documents électroniques</w:t>
      </w:r>
      <w:r w:rsidRPr="00A41CF8">
        <w:rPr>
          <w:rFonts w:cs="Times New Roman"/>
          <w:lang w:val="fr-CA"/>
        </w:rPr>
        <w:t>, L.C. 2000, ch. 5 (« </w:t>
      </w:r>
      <w:r w:rsidRPr="00A41CF8">
        <w:rPr>
          <w:rFonts w:cs="Times New Roman"/>
          <w:i/>
          <w:lang w:val="fr-CA"/>
        </w:rPr>
        <w:t>LPRPDÉ</w:t>
      </w:r>
      <w:r w:rsidRPr="00A41CF8">
        <w:rPr>
          <w:rFonts w:cs="Times New Roman"/>
          <w:lang w:val="fr-CA"/>
        </w:rPr>
        <w:t xml:space="preserve"> »).  Ces deux lois s’inscrivent dans une tendance internationale vers la reconnaissance d’un plus grand droit de regard des personnes sur les renseignements </w:t>
      </w:r>
      <w:r w:rsidRPr="00A41CF8">
        <w:rPr>
          <w:rFonts w:cs="Times New Roman"/>
          <w:lang w:val="fr-CA"/>
        </w:rPr>
        <w:lastRenderedPageBreak/>
        <w:t xml:space="preserve">personnels les concernant (Éloïse Gratton, </w:t>
      </w:r>
      <w:r w:rsidRPr="00A41CF8">
        <w:rPr>
          <w:rFonts w:cs="Times New Roman"/>
          <w:i/>
          <w:lang w:val="fr-CA"/>
        </w:rPr>
        <w:t>Understanding Personal Information</w:t>
      </w:r>
      <w:r w:rsidR="008230F2">
        <w:rPr>
          <w:rFonts w:cs="Times New Roman"/>
          <w:i/>
          <w:lang w:val="fr-CA"/>
        </w:rPr>
        <w:t xml:space="preserve"> </w:t>
      </w:r>
      <w:r w:rsidRPr="00A41CF8">
        <w:rPr>
          <w:rFonts w:cs="Times New Roman"/>
          <w:i/>
          <w:lang w:val="fr-CA"/>
        </w:rPr>
        <w:t>: Managing Privacy Risks</w:t>
      </w:r>
      <w:r w:rsidRPr="00A41CF8">
        <w:rPr>
          <w:rFonts w:cs="Times New Roman"/>
          <w:lang w:val="fr-CA"/>
        </w:rPr>
        <w:t xml:space="preserve"> (2013), p. 6 et suiv.).  La</w:t>
      </w:r>
      <w:r w:rsidRPr="00A41CF8">
        <w:rPr>
          <w:rFonts w:cs="Times New Roman"/>
          <w:i/>
          <w:lang w:val="fr-CA"/>
        </w:rPr>
        <w:t xml:space="preserve"> </w:t>
      </w:r>
      <w:r w:rsidRPr="00A41CF8">
        <w:rPr>
          <w:rFonts w:cs="Times New Roman"/>
          <w:i/>
          <w:iCs/>
          <w:lang w:val="fr-CA"/>
        </w:rPr>
        <w:t xml:space="preserve">LPRPDÉ </w:t>
      </w:r>
      <w:r w:rsidRPr="00A41CF8">
        <w:rPr>
          <w:rFonts w:cs="Times New Roman"/>
          <w:lang w:val="fr-CA"/>
        </w:rPr>
        <w:t xml:space="preserve">s’applique de manière générale aux organisations du secteur privé qui se livrent à des activités commerciales dans une province.  Elle ne s’applique toutefois pas si le gouverneur en conseil estime qu’il existe déjà une protection comparable dans la province en question, comme c’est le cas avec la </w:t>
      </w:r>
      <w:r w:rsidRPr="00A41CF8">
        <w:rPr>
          <w:rFonts w:cs="Times New Roman"/>
          <w:i/>
          <w:lang w:val="fr-CA"/>
        </w:rPr>
        <w:t>PIPA</w:t>
      </w:r>
      <w:r w:rsidRPr="00A41CF8">
        <w:rPr>
          <w:rFonts w:cs="Times New Roman"/>
          <w:lang w:val="fr-CA"/>
        </w:rPr>
        <w:t xml:space="preserve"> en Alberta (</w:t>
      </w:r>
      <w:r w:rsidRPr="00A41CF8">
        <w:rPr>
          <w:rFonts w:cs="Times New Roman"/>
          <w:i/>
          <w:lang w:val="fr-CA"/>
        </w:rPr>
        <w:t>LPRPDÉ</w:t>
      </w:r>
      <w:r w:rsidRPr="00A41CF8">
        <w:rPr>
          <w:rFonts w:cs="Times New Roman"/>
          <w:lang w:val="fr-CA"/>
        </w:rPr>
        <w:t>, al. 26(2)</w:t>
      </w:r>
      <w:r w:rsidRPr="00A41CF8">
        <w:rPr>
          <w:rFonts w:cs="Times New Roman"/>
          <w:i/>
          <w:iCs/>
          <w:lang w:val="fr-CA"/>
        </w:rPr>
        <w:t>b</w:t>
      </w:r>
      <w:r w:rsidRPr="00A41CF8">
        <w:rPr>
          <w:rFonts w:cs="Times New Roman"/>
          <w:lang w:val="fr-CA"/>
        </w:rPr>
        <w:t>); Michel W. Drapeau et Marc</w:t>
      </w:r>
      <w:r w:rsidRPr="00A41CF8">
        <w:rPr>
          <w:rFonts w:cs="Times New Roman"/>
          <w:lang w:val="fr-CA"/>
        </w:rPr>
        <w:noBreakHyphen/>
        <w:t xml:space="preserve">Aurèle Racicot, </w:t>
      </w:r>
      <w:r w:rsidRPr="00A41CF8">
        <w:rPr>
          <w:rFonts w:cs="Times New Roman"/>
          <w:i/>
          <w:lang w:val="fr-CA"/>
        </w:rPr>
        <w:t>Protection of Privacy in the Canadian Private and Health Sectors 2013</w:t>
      </w:r>
      <w:r w:rsidRPr="00A41CF8">
        <w:rPr>
          <w:rFonts w:cs="Times New Roman"/>
          <w:lang w:val="fr-CA"/>
        </w:rPr>
        <w:t xml:space="preserve"> (2012), p. AB</w:t>
      </w:r>
      <w:r w:rsidRPr="00A41CF8">
        <w:rPr>
          <w:rFonts w:cs="Times New Roman"/>
          <w:lang w:val="fr-CA"/>
        </w:rPr>
        <w:noBreakHyphen/>
        <w:t xml:space="preserve">3). </w:t>
      </w:r>
    </w:p>
    <w:p w:rsidR="00503A71" w:rsidRPr="00A41CF8" w:rsidRDefault="00503A71" w:rsidP="00503A71">
      <w:pPr>
        <w:pStyle w:val="ParaNoNdepar-AltN"/>
        <w:rPr>
          <w:rFonts w:cs="Times New Roman"/>
          <w:lang w:val="fr-CA"/>
        </w:rPr>
      </w:pPr>
      <w:r w:rsidRPr="00A41CF8">
        <w:rPr>
          <w:rFonts w:cs="Times New Roman"/>
          <w:lang w:val="fr-CA"/>
        </w:rPr>
        <w:t>L’objectif déclaré de la</w:t>
      </w:r>
      <w:r w:rsidRPr="00A41CF8">
        <w:rPr>
          <w:rFonts w:cs="Times New Roman"/>
          <w:i/>
          <w:lang w:val="fr-CA"/>
        </w:rPr>
        <w:t xml:space="preserve"> PIPA </w:t>
      </w:r>
      <w:r w:rsidRPr="00A41CF8">
        <w:rPr>
          <w:rFonts w:cs="Times New Roman"/>
          <w:lang w:val="fr-CA"/>
        </w:rPr>
        <w:t>est presque identique à celui de la</w:t>
      </w:r>
      <w:r w:rsidRPr="00A41CF8">
        <w:rPr>
          <w:rFonts w:cs="Times New Roman"/>
          <w:i/>
          <w:lang w:val="fr-CA"/>
        </w:rPr>
        <w:t xml:space="preserve"> LPRPDÉ</w:t>
      </w:r>
      <w:r w:rsidRPr="00A41CF8">
        <w:rPr>
          <w:rFonts w:cs="Times New Roman"/>
          <w:lang w:val="fr-CA"/>
        </w:rPr>
        <w:t> et est explicitement énoncé à son art. 3 :</w:t>
      </w:r>
    </w:p>
    <w:p w:rsidR="00503A71" w:rsidRPr="00A41CF8" w:rsidRDefault="00503A71" w:rsidP="00503A71">
      <w:pPr>
        <w:pStyle w:val="Citation-AltC"/>
        <w:ind w:hanging="1166"/>
        <w:contextualSpacing w:val="0"/>
        <w:rPr>
          <w:lang w:val="fr-CA"/>
        </w:rPr>
      </w:pPr>
      <w:r w:rsidRPr="00A41CF8">
        <w:rPr>
          <w:smallCaps/>
          <w:szCs w:val="24"/>
          <w:lang w:val="fr-CA"/>
        </w:rPr>
        <w:tab/>
        <w:t xml:space="preserve">[traduction] . . . </w:t>
      </w:r>
      <w:r w:rsidRPr="00A41CF8">
        <w:rPr>
          <w:szCs w:val="24"/>
          <w:lang w:val="fr-CA"/>
        </w:rPr>
        <w:t>régir la collecte, l’utilisation et la communication de renseignements personnels d’une manière qui tient compte à la fois du droit des individus à la protection des renseignements personnels qui les concernent et du besoin des organisations de recueillir, d’utiliser ou de communiquer des renseignements personnels à des fins raisonnables.</w:t>
      </w:r>
    </w:p>
    <w:p w:rsidR="00503A71" w:rsidRPr="00A41CF8" w:rsidRDefault="00503A71" w:rsidP="00503A71">
      <w:pPr>
        <w:pStyle w:val="ParaNoNdepar-AltN"/>
        <w:widowControl w:val="0"/>
        <w:rPr>
          <w:rFonts w:cs="Times New Roman"/>
          <w:lang w:val="fr-CA"/>
        </w:rPr>
      </w:pPr>
      <w:r w:rsidRPr="00A41CF8">
        <w:rPr>
          <w:rFonts w:cs="Times New Roman"/>
          <w:lang w:val="fr-CA"/>
        </w:rPr>
        <w:t xml:space="preserve">La </w:t>
      </w:r>
      <w:r w:rsidRPr="00A41CF8">
        <w:rPr>
          <w:rFonts w:cs="Times New Roman"/>
          <w:i/>
          <w:lang w:val="fr-CA"/>
        </w:rPr>
        <w:t>PIPA</w:t>
      </w:r>
      <w:r w:rsidRPr="00A41CF8">
        <w:rPr>
          <w:rFonts w:cs="Times New Roman"/>
          <w:lang w:val="fr-CA"/>
        </w:rPr>
        <w:t xml:space="preserve"> a toutefois une portée beaucoup plus large que la </w:t>
      </w:r>
      <w:r w:rsidRPr="00A41CF8">
        <w:rPr>
          <w:rFonts w:cs="Times New Roman"/>
          <w:i/>
          <w:lang w:val="fr-CA"/>
        </w:rPr>
        <w:t>LPRPDÉ</w:t>
      </w:r>
      <w:r w:rsidRPr="00A41CF8">
        <w:rPr>
          <w:rFonts w:cs="Times New Roman"/>
          <w:lang w:val="fr-CA"/>
        </w:rPr>
        <w:t xml:space="preserve">.  En effet, contrairement aux mesures prévues par cette dernière, les restrictions que prévoit la </w:t>
      </w:r>
      <w:r w:rsidRPr="00A41CF8">
        <w:rPr>
          <w:rFonts w:cs="Times New Roman"/>
          <w:i/>
          <w:iCs/>
          <w:lang w:val="fr-CA"/>
        </w:rPr>
        <w:t xml:space="preserve">PIPA </w:t>
      </w:r>
      <w:r w:rsidRPr="00A41CF8">
        <w:rPr>
          <w:rFonts w:cs="Times New Roman"/>
          <w:iCs/>
          <w:lang w:val="fr-CA"/>
        </w:rPr>
        <w:t xml:space="preserve">quant à la </w:t>
      </w:r>
      <w:r w:rsidRPr="00A41CF8">
        <w:rPr>
          <w:rFonts w:cs="Times New Roman"/>
          <w:lang w:val="fr-CA"/>
        </w:rPr>
        <w:t xml:space="preserve">collecte, à l’utilisation et à la communication des renseignements personnels ne visent pas uniquement les activités ayant des fins commerciales.  La </w:t>
      </w:r>
      <w:r w:rsidRPr="00A41CF8">
        <w:rPr>
          <w:rFonts w:cs="Times New Roman"/>
          <w:i/>
          <w:lang w:val="fr-CA"/>
        </w:rPr>
        <w:t>PIPA</w:t>
      </w:r>
      <w:r w:rsidRPr="00A41CF8">
        <w:rPr>
          <w:rFonts w:cs="Times New Roman"/>
          <w:lang w:val="fr-CA"/>
        </w:rPr>
        <w:t xml:space="preserve"> pose plutôt comme règle générale que les organisations ne peuvent </w:t>
      </w:r>
      <w:r w:rsidRPr="00A41CF8">
        <w:rPr>
          <w:rFonts w:cs="Times New Roman"/>
          <w:szCs w:val="24"/>
          <w:lang w:val="fr-CA"/>
        </w:rPr>
        <w:t>recueillir, utiliser ou communiquer des renseignements personnels</w:t>
      </w:r>
      <w:r w:rsidRPr="00A41CF8">
        <w:rPr>
          <w:rFonts w:cs="Times New Roman"/>
          <w:lang w:val="fr-CA"/>
        </w:rPr>
        <w:t xml:space="preserve"> sans le consentement des intéressés (par. 7(1)).  Sauf dans la mesure prévue par la </w:t>
      </w:r>
      <w:r w:rsidRPr="00A41CF8">
        <w:rPr>
          <w:rFonts w:cs="Times New Roman"/>
          <w:i/>
          <w:iCs/>
          <w:lang w:val="fr-CA"/>
        </w:rPr>
        <w:t>PIPA</w:t>
      </w:r>
      <w:r w:rsidRPr="00A41CF8">
        <w:rPr>
          <w:rFonts w:cs="Times New Roman"/>
          <w:lang w:val="fr-CA"/>
        </w:rPr>
        <w:t>, celle</w:t>
      </w:r>
      <w:r w:rsidRPr="00A41CF8">
        <w:rPr>
          <w:rFonts w:cs="Times New Roman"/>
          <w:lang w:val="fr-CA"/>
        </w:rPr>
        <w:noBreakHyphen/>
        <w:t>ci [</w:t>
      </w:r>
      <w:r w:rsidRPr="00A41CF8">
        <w:rPr>
          <w:rFonts w:cs="Times New Roman"/>
          <w:smallCaps/>
          <w:lang w:val="fr-CA"/>
        </w:rPr>
        <w:t>traduction</w:t>
      </w:r>
      <w:r w:rsidRPr="00A41CF8">
        <w:rPr>
          <w:rFonts w:cs="Times New Roman"/>
          <w:lang w:val="fr-CA"/>
        </w:rPr>
        <w:t xml:space="preserve">] « s’applique à toute organisation et à l’égard de tout </w:t>
      </w:r>
      <w:r w:rsidRPr="00A41CF8">
        <w:rPr>
          <w:rFonts w:cs="Times New Roman"/>
          <w:lang w:val="fr-CA"/>
        </w:rPr>
        <w:lastRenderedPageBreak/>
        <w:t>renseignement personnel » (par. 4(1)).  Le mot « organisation » s’entend notamment des personnes morales, des associations non constituées en personne morale, des organisations syndicales, des sociétés de personnes et des personnes physiques agissant dans le cadre d’une activité commerciale (al. 1(1)</w:t>
      </w:r>
      <w:r w:rsidRPr="008230F2">
        <w:rPr>
          <w:rFonts w:cs="Times New Roman"/>
          <w:iCs/>
          <w:lang w:val="fr-CA"/>
        </w:rPr>
        <w:t>i</w:t>
      </w:r>
      <w:r w:rsidRPr="00A41CF8">
        <w:rPr>
          <w:rFonts w:cs="Times New Roman"/>
          <w:lang w:val="fr-CA"/>
        </w:rPr>
        <w:t>)).  L’expression « renseignements personnels » est définie de façon large comme « tout renseignement concernant une personne identifiable » (al. 1(1)</w:t>
      </w:r>
      <w:r w:rsidRPr="008230F2">
        <w:rPr>
          <w:rFonts w:cs="Times New Roman"/>
          <w:iCs/>
          <w:lang w:val="fr-CA"/>
        </w:rPr>
        <w:t>k</w:t>
      </w:r>
      <w:r w:rsidRPr="00A41CF8">
        <w:rPr>
          <w:rFonts w:cs="Times New Roman"/>
          <w:lang w:val="fr-CA"/>
        </w:rPr>
        <w:t>)).  Le commissaire a bien précisé que les renseignements personnels comprennent ceux qui ne sont pas « privés », de sorte que [</w:t>
      </w:r>
      <w:r w:rsidRPr="00A41CF8">
        <w:rPr>
          <w:rFonts w:cs="Times New Roman"/>
          <w:smallCaps/>
          <w:lang w:val="fr-CA"/>
        </w:rPr>
        <w:t>traduction</w:t>
      </w:r>
      <w:r w:rsidRPr="00A41CF8">
        <w:rPr>
          <w:rFonts w:cs="Times New Roman"/>
          <w:lang w:val="fr-CA"/>
        </w:rPr>
        <w:t>] « les renseignements ne perdent pas leur caractère de renseignements personnels s’ils sont largement diffusés ou connus du public » (</w:t>
      </w:r>
      <w:r w:rsidR="008230F2">
        <w:rPr>
          <w:rFonts w:cs="Times New Roman"/>
          <w:i/>
          <w:lang w:val="fr-CA"/>
        </w:rPr>
        <w:t>Ord</w:t>
      </w:r>
      <w:r w:rsidR="009924E1">
        <w:rPr>
          <w:rFonts w:cs="Times New Roman"/>
          <w:i/>
          <w:lang w:val="fr-CA"/>
        </w:rPr>
        <w:t>er</w:t>
      </w:r>
      <w:r w:rsidR="008230F2">
        <w:rPr>
          <w:rFonts w:cs="Times New Roman"/>
          <w:i/>
          <w:lang w:val="fr-CA"/>
        </w:rPr>
        <w:t xml:space="preserve"> </w:t>
      </w:r>
      <w:r w:rsidRPr="00A41CF8">
        <w:rPr>
          <w:rFonts w:cs="Times New Roman"/>
          <w:i/>
          <w:lang w:val="fr-CA"/>
        </w:rPr>
        <w:t>P2010</w:t>
      </w:r>
      <w:r w:rsidRPr="00A41CF8">
        <w:rPr>
          <w:rFonts w:cs="Times New Roman"/>
          <w:i/>
          <w:lang w:val="fr-CA"/>
        </w:rPr>
        <w:noBreakHyphen/>
        <w:t>003</w:t>
      </w:r>
      <w:r w:rsidRPr="008230F2">
        <w:rPr>
          <w:rFonts w:cs="Times New Roman"/>
          <w:i/>
          <w:lang w:val="fr-CA"/>
        </w:rPr>
        <w:t xml:space="preserve">; </w:t>
      </w:r>
      <w:r w:rsidRPr="00A41CF8">
        <w:rPr>
          <w:rFonts w:cs="Times New Roman"/>
          <w:i/>
          <w:lang w:val="fr-CA"/>
        </w:rPr>
        <w:t>Synergen Housing Co</w:t>
      </w:r>
      <w:r w:rsidRPr="00A41CF8">
        <w:rPr>
          <w:rFonts w:cs="Times New Roman"/>
          <w:i/>
          <w:lang w:val="fr-CA"/>
        </w:rPr>
        <w:noBreakHyphen/>
        <w:t>op Ltd.</w:t>
      </w:r>
      <w:r w:rsidRPr="00A41CF8">
        <w:rPr>
          <w:rFonts w:cs="Times New Roman"/>
          <w:lang w:val="fr-CA"/>
        </w:rPr>
        <w:t>, 2010 CanLII 98626 (OIPC Alb.),</w:t>
      </w:r>
      <w:r w:rsidRPr="00A41CF8">
        <w:rPr>
          <w:rFonts w:cs="Times New Roman"/>
          <w:i/>
          <w:lang w:val="fr-CA"/>
        </w:rPr>
        <w:t xml:space="preserve"> </w:t>
      </w:r>
      <w:r w:rsidRPr="00A41CF8">
        <w:rPr>
          <w:rFonts w:cs="Times New Roman"/>
          <w:lang w:val="fr-CA"/>
        </w:rPr>
        <w:t xml:space="preserve">par. 17). </w:t>
      </w:r>
    </w:p>
    <w:p w:rsidR="00503A71" w:rsidRPr="00A41CF8" w:rsidRDefault="00503A71" w:rsidP="00503A71">
      <w:pPr>
        <w:pStyle w:val="ParaNoNdepar-AltN"/>
        <w:rPr>
          <w:rFonts w:cs="Times New Roman"/>
          <w:lang w:val="fr-CA"/>
        </w:rPr>
      </w:pPr>
      <w:r w:rsidRPr="00A41CF8">
        <w:rPr>
          <w:rFonts w:cs="Times New Roman"/>
          <w:lang w:val="fr-CA"/>
        </w:rPr>
        <w:t xml:space="preserve">Une série d’exceptions limite cependant la portée de la </w:t>
      </w:r>
      <w:r w:rsidRPr="00A41CF8">
        <w:rPr>
          <w:rFonts w:cs="Times New Roman"/>
          <w:i/>
          <w:lang w:val="fr-CA"/>
        </w:rPr>
        <w:t>PIPA</w:t>
      </w:r>
      <w:r w:rsidRPr="008230F2">
        <w:rPr>
          <w:rFonts w:cs="Times New Roman"/>
          <w:lang w:val="fr-CA"/>
        </w:rPr>
        <w:t>.</w:t>
      </w:r>
      <w:r w:rsidRPr="00A41CF8">
        <w:rPr>
          <w:rFonts w:cs="Times New Roman"/>
          <w:i/>
          <w:lang w:val="fr-CA"/>
        </w:rPr>
        <w:t xml:space="preserve">  </w:t>
      </w:r>
      <w:r w:rsidRPr="00A41CF8">
        <w:rPr>
          <w:rFonts w:cs="Times New Roman"/>
          <w:lang w:val="fr-CA"/>
        </w:rPr>
        <w:t xml:space="preserve">En voici certaines des </w:t>
      </w:r>
      <w:r w:rsidRPr="00A41CF8">
        <w:rPr>
          <w:rFonts w:cs="Times New Roman"/>
          <w:iCs/>
          <w:lang w:val="fr-CA"/>
        </w:rPr>
        <w:t xml:space="preserve">plus pertinentes.  Premièrement, en limitant la portée de la définition du mot « organisation », la </w:t>
      </w:r>
      <w:r w:rsidRPr="00A41CF8">
        <w:rPr>
          <w:rFonts w:cs="Times New Roman"/>
          <w:i/>
          <w:lang w:val="fr-CA"/>
        </w:rPr>
        <w:t>Loi</w:t>
      </w:r>
      <w:r w:rsidRPr="00A41CF8">
        <w:rPr>
          <w:rFonts w:cs="Times New Roman"/>
          <w:lang w:val="fr-CA"/>
        </w:rPr>
        <w:t xml:space="preserve"> exclut de son champ d’application les personnes qui agissent [</w:t>
      </w:r>
      <w:r w:rsidRPr="00A41CF8">
        <w:rPr>
          <w:rFonts w:cs="Times New Roman"/>
          <w:smallCaps/>
          <w:lang w:val="fr-CA"/>
        </w:rPr>
        <w:t>traduction</w:t>
      </w:r>
      <w:r w:rsidRPr="00A41CF8">
        <w:rPr>
          <w:rFonts w:cs="Times New Roman"/>
          <w:lang w:val="fr-CA"/>
        </w:rPr>
        <w:t>] « à titre personnel ou familial » (al. 1(1)</w:t>
      </w:r>
      <w:r w:rsidRPr="008230F2">
        <w:rPr>
          <w:rFonts w:cs="Times New Roman"/>
          <w:iCs/>
          <w:lang w:val="fr-CA"/>
        </w:rPr>
        <w:t>i</w:t>
      </w:r>
      <w:r w:rsidRPr="00A41CF8">
        <w:rPr>
          <w:rFonts w:cs="Times New Roman"/>
          <w:lang w:val="fr-CA"/>
        </w:rPr>
        <w:t>) et al. 4(3)</w:t>
      </w:r>
      <w:r w:rsidRPr="008230F2">
        <w:rPr>
          <w:rFonts w:cs="Times New Roman"/>
          <w:iCs/>
          <w:lang w:val="fr-CA"/>
        </w:rPr>
        <w:t>a</w:t>
      </w:r>
      <w:r w:rsidRPr="00A41CF8">
        <w:rPr>
          <w:rFonts w:cs="Times New Roman"/>
          <w:lang w:val="fr-CA"/>
        </w:rPr>
        <w:t>)</w:t>
      </w:r>
      <w:r w:rsidR="00A54F21">
        <w:rPr>
          <w:rFonts w:cs="Times New Roman"/>
          <w:lang w:val="fr-CA"/>
        </w:rPr>
        <w:t>)</w:t>
      </w:r>
      <w:r w:rsidRPr="00A41CF8">
        <w:rPr>
          <w:rFonts w:cs="Times New Roman"/>
          <w:lang w:val="fr-CA"/>
        </w:rPr>
        <w:t>. Deuxièmement, compte tenu de l’effet combiné des par</w:t>
      </w:r>
      <w:r w:rsidR="00A54F21">
        <w:rPr>
          <w:rFonts w:cs="Times New Roman"/>
          <w:lang w:val="fr-CA"/>
        </w:rPr>
        <w:t>.</w:t>
      </w:r>
      <w:r w:rsidRPr="00A41CF8">
        <w:rPr>
          <w:rFonts w:cs="Times New Roman"/>
          <w:lang w:val="fr-CA"/>
        </w:rPr>
        <w:t xml:space="preserve"> 56(2) et (3), la </w:t>
      </w:r>
      <w:r w:rsidRPr="00A41CF8">
        <w:rPr>
          <w:rFonts w:cs="Times New Roman"/>
          <w:i/>
          <w:lang w:val="fr-CA"/>
        </w:rPr>
        <w:t>PIPA</w:t>
      </w:r>
      <w:r w:rsidRPr="00A41CF8">
        <w:rPr>
          <w:rFonts w:cs="Times New Roman"/>
          <w:lang w:val="fr-CA"/>
        </w:rPr>
        <w:t xml:space="preserve"> ne s’applique pas aux organismes sans but lucratif à moins que ceux</w:t>
      </w:r>
      <w:r w:rsidRPr="00A41CF8">
        <w:rPr>
          <w:rFonts w:cs="Times New Roman"/>
          <w:lang w:val="fr-CA"/>
        </w:rPr>
        <w:noBreakHyphen/>
        <w:t xml:space="preserve">ci ne recueillent, utilisent ou communiquent des renseignements dans le cadre d’une activité commerciale.  Troisièmement, les dispositions de la </w:t>
      </w:r>
      <w:r w:rsidRPr="00A41CF8">
        <w:rPr>
          <w:rFonts w:cs="Times New Roman"/>
          <w:i/>
          <w:iCs/>
          <w:lang w:val="fr-CA"/>
        </w:rPr>
        <w:t>Loi</w:t>
      </w:r>
      <w:r w:rsidRPr="00A41CF8">
        <w:rPr>
          <w:rFonts w:cs="Times New Roman"/>
          <w:lang w:val="fr-CA"/>
        </w:rPr>
        <w:t xml:space="preserve"> relatives à son champ d’application précisent qu’elle ne s’applique pas dans certaines circonstances, notamment lorsque les renseignements sont recueillis, utilisés ou communiqués « à des fins artistiques ou littéraires et à aucune autre fin » (al. 4(3)</w:t>
      </w:r>
      <w:r w:rsidRPr="008230F2">
        <w:rPr>
          <w:rFonts w:cs="Times New Roman"/>
          <w:iCs/>
          <w:lang w:val="fr-CA"/>
        </w:rPr>
        <w:t>b</w:t>
      </w:r>
      <w:r w:rsidRPr="00A41CF8">
        <w:rPr>
          <w:rFonts w:cs="Times New Roman"/>
          <w:lang w:val="fr-CA"/>
        </w:rPr>
        <w:t xml:space="preserve">)) ou « à des fins journalistiques </w:t>
      </w:r>
      <w:r w:rsidRPr="00047039">
        <w:rPr>
          <w:rFonts w:cs="Times New Roman"/>
          <w:i/>
          <w:iCs/>
          <w:lang w:val="fr-CA"/>
        </w:rPr>
        <w:t>et à aucune autre fin</w:t>
      </w:r>
      <w:r w:rsidRPr="00A41CF8">
        <w:rPr>
          <w:rFonts w:cs="Times New Roman"/>
          <w:lang w:val="fr-CA"/>
        </w:rPr>
        <w:t> » (al. 4(3)</w:t>
      </w:r>
      <w:r w:rsidRPr="008230F2">
        <w:rPr>
          <w:rFonts w:cs="Times New Roman"/>
          <w:iCs/>
          <w:lang w:val="fr-CA"/>
        </w:rPr>
        <w:t>c</w:t>
      </w:r>
      <w:r w:rsidRPr="00A41CF8">
        <w:rPr>
          <w:rFonts w:cs="Times New Roman"/>
          <w:lang w:val="fr-CA"/>
        </w:rPr>
        <w:t xml:space="preserve">)).  Enfin, la </w:t>
      </w:r>
      <w:r w:rsidRPr="00A41CF8">
        <w:rPr>
          <w:rFonts w:cs="Times New Roman"/>
          <w:i/>
          <w:lang w:val="fr-CA"/>
        </w:rPr>
        <w:t>PIPA</w:t>
      </w:r>
      <w:r w:rsidRPr="00A41CF8">
        <w:rPr>
          <w:rFonts w:cs="Times New Roman"/>
          <w:lang w:val="fr-CA"/>
        </w:rPr>
        <w:t xml:space="preserve"> prévoit une </w:t>
      </w:r>
      <w:r w:rsidRPr="00A41CF8">
        <w:rPr>
          <w:rFonts w:cs="Times New Roman"/>
          <w:lang w:val="fr-CA"/>
        </w:rPr>
        <w:lastRenderedPageBreak/>
        <w:t>exception à l’exigence du consentement lorsque la collecte, l’utilisation ou la communication des renseignements est raisonnable à des fins relatives à une enquête ou à une instance judiciaire (al. 14</w:t>
      </w:r>
      <w:r w:rsidRPr="008230F2">
        <w:rPr>
          <w:rFonts w:cs="Times New Roman"/>
          <w:iCs/>
          <w:lang w:val="fr-CA"/>
        </w:rPr>
        <w:t>d</w:t>
      </w:r>
      <w:r w:rsidR="00FD32D3">
        <w:rPr>
          <w:rFonts w:cs="Times New Roman"/>
          <w:lang w:val="fr-CA"/>
        </w:rPr>
        <w:t>), 17</w:t>
      </w:r>
      <w:r w:rsidRPr="008230F2">
        <w:rPr>
          <w:rFonts w:cs="Times New Roman"/>
          <w:iCs/>
          <w:lang w:val="fr-CA"/>
        </w:rPr>
        <w:t>d</w:t>
      </w:r>
      <w:r w:rsidR="00FD32D3">
        <w:rPr>
          <w:rFonts w:cs="Times New Roman"/>
          <w:lang w:val="fr-CA"/>
        </w:rPr>
        <w:t>), 20</w:t>
      </w:r>
      <w:r w:rsidRPr="008230F2">
        <w:rPr>
          <w:rFonts w:cs="Times New Roman"/>
          <w:iCs/>
          <w:lang w:val="fr-CA"/>
        </w:rPr>
        <w:t>f</w:t>
      </w:r>
      <w:r w:rsidR="00FD32D3">
        <w:rPr>
          <w:rFonts w:cs="Times New Roman"/>
          <w:lang w:val="fr-CA"/>
        </w:rPr>
        <w:t>) et 20</w:t>
      </w:r>
      <w:r w:rsidRPr="008230F2">
        <w:rPr>
          <w:rFonts w:cs="Times New Roman"/>
          <w:iCs/>
          <w:lang w:val="fr-CA"/>
        </w:rPr>
        <w:t>m</w:t>
      </w:r>
      <w:r w:rsidRPr="00A41CF8">
        <w:rPr>
          <w:rFonts w:cs="Times New Roman"/>
          <w:lang w:val="fr-CA"/>
        </w:rPr>
        <w:t>)) ou lorsque les renseignements sont « accessibles au public selon ce qui est prescrit ou autrement prévu par règlement » (al. 14</w:t>
      </w:r>
      <w:r w:rsidRPr="008230F2">
        <w:rPr>
          <w:rFonts w:cs="Times New Roman"/>
          <w:iCs/>
          <w:lang w:val="fr-CA"/>
        </w:rPr>
        <w:t>e</w:t>
      </w:r>
      <w:r w:rsidR="00FD32D3">
        <w:rPr>
          <w:rFonts w:cs="Times New Roman"/>
          <w:lang w:val="fr-CA"/>
        </w:rPr>
        <w:t>), 17</w:t>
      </w:r>
      <w:r w:rsidRPr="008230F2">
        <w:rPr>
          <w:rFonts w:cs="Times New Roman"/>
          <w:iCs/>
          <w:lang w:val="fr-CA"/>
        </w:rPr>
        <w:t>e</w:t>
      </w:r>
      <w:r w:rsidR="00FD32D3">
        <w:rPr>
          <w:rFonts w:cs="Times New Roman"/>
          <w:lang w:val="fr-CA"/>
        </w:rPr>
        <w:t>) et 20</w:t>
      </w:r>
      <w:r w:rsidRPr="008230F2">
        <w:rPr>
          <w:rFonts w:cs="Times New Roman"/>
          <w:iCs/>
          <w:lang w:val="fr-CA"/>
        </w:rPr>
        <w:t>j</w:t>
      </w:r>
      <w:r w:rsidRPr="00A41CF8">
        <w:rPr>
          <w:rFonts w:cs="Times New Roman"/>
          <w:lang w:val="fr-CA"/>
        </w:rPr>
        <w:t xml:space="preserve">)).  L’article 7 du </w:t>
      </w:r>
      <w:r w:rsidRPr="00A41CF8">
        <w:rPr>
          <w:rFonts w:cs="Times New Roman"/>
          <w:i/>
          <w:lang w:val="fr-CA"/>
        </w:rPr>
        <w:t>Personal Information Protection Act Regulation</w:t>
      </w:r>
      <w:r w:rsidRPr="00A41CF8">
        <w:rPr>
          <w:rFonts w:cs="Times New Roman"/>
          <w:lang w:val="fr-CA"/>
        </w:rPr>
        <w:t>, Alta. Reg. 366/2003, donne une définition étroite de l’expression [</w:t>
      </w:r>
      <w:r w:rsidRPr="00A41CF8">
        <w:rPr>
          <w:rFonts w:cs="Times New Roman"/>
          <w:smallCaps/>
          <w:lang w:val="fr-CA"/>
        </w:rPr>
        <w:t>traduction</w:t>
      </w:r>
      <w:r w:rsidRPr="00A41CF8">
        <w:rPr>
          <w:rFonts w:cs="Times New Roman"/>
          <w:lang w:val="fr-CA"/>
        </w:rPr>
        <w:t>]</w:t>
      </w:r>
      <w:r>
        <w:rPr>
          <w:rFonts w:cs="Times New Roman"/>
          <w:lang w:val="fr-CA"/>
        </w:rPr>
        <w:t xml:space="preserve"> </w:t>
      </w:r>
      <w:r w:rsidRPr="00A41CF8">
        <w:rPr>
          <w:rFonts w:cs="Times New Roman"/>
          <w:lang w:val="fr-CA"/>
        </w:rPr>
        <w:t>« accessibles au public », en précisant qu’il s’agit de renseignements que l’on peut obtenir en consultant un annuaire téléphonique ou commercial (ou tout autre répertoire semblable), les registres d’un organisme quasi judiciaire ou encore un magazine, un livre ou un journal. </w:t>
      </w:r>
    </w:p>
    <w:p w:rsidR="00503A71" w:rsidRPr="00A41CF8" w:rsidRDefault="00503A71" w:rsidP="00503A71">
      <w:pPr>
        <w:pStyle w:val="ParaNoNdepar-AltN"/>
        <w:rPr>
          <w:rFonts w:cs="Times New Roman"/>
          <w:lang w:val="fr-CA"/>
        </w:rPr>
      </w:pPr>
      <w:r w:rsidRPr="00A41CF8">
        <w:rPr>
          <w:rFonts w:cs="Times New Roman"/>
          <w:lang w:val="fr-CA"/>
        </w:rPr>
        <w:t xml:space="preserve">Vu la conclusion de l’arbitre suivant laquelle aucune des exceptions susmentionnées ne s’appliquait de manière à permettre au syndicat de recueillir, d’utiliser </w:t>
      </w:r>
      <w:r>
        <w:rPr>
          <w:rFonts w:cs="Times New Roman"/>
          <w:lang w:val="fr-CA"/>
        </w:rPr>
        <w:t>et</w:t>
      </w:r>
      <w:r w:rsidRPr="00A41CF8">
        <w:rPr>
          <w:rFonts w:cs="Times New Roman"/>
          <w:lang w:val="fr-CA"/>
        </w:rPr>
        <w:t xml:space="preserve"> de communiquer des renseignements personnels en vue de faire valoir ses intérêts dans le cadre d’un conflit de travail, nous n’avons aucune difficulté à conclure que la </w:t>
      </w:r>
      <w:r w:rsidRPr="00A41CF8">
        <w:rPr>
          <w:rFonts w:cs="Times New Roman"/>
          <w:i/>
          <w:lang w:val="fr-CA"/>
        </w:rPr>
        <w:t>Loi</w:t>
      </w:r>
      <w:r w:rsidRPr="00A41CF8">
        <w:rPr>
          <w:rFonts w:cs="Times New Roman"/>
          <w:lang w:val="fr-CA"/>
        </w:rPr>
        <w:t xml:space="preserve"> restreint la liberté d’expression du syndicat. </w:t>
      </w:r>
    </w:p>
    <w:p w:rsidR="00503A71" w:rsidRPr="00A41CF8" w:rsidRDefault="00503A71" w:rsidP="00503A71">
      <w:pPr>
        <w:pStyle w:val="ParaNoNdepar-AltN"/>
        <w:tabs>
          <w:tab w:val="clear" w:pos="1166"/>
          <w:tab w:val="num" w:pos="1152"/>
        </w:tabs>
        <w:spacing w:before="240"/>
        <w:rPr>
          <w:rFonts w:cs="Times New Roman"/>
          <w:lang w:val="fr-CA"/>
        </w:rPr>
      </w:pPr>
      <w:r w:rsidRPr="00A41CF8">
        <w:rPr>
          <w:rFonts w:cs="Times New Roman"/>
          <w:lang w:val="fr-CA"/>
        </w:rPr>
        <w:t>Cela nous amène à l’analyse fondée sur l’article premier.  À cette étape</w:t>
      </w:r>
      <w:r w:rsidRPr="00A41CF8">
        <w:rPr>
          <w:rFonts w:cs="Times New Roman"/>
          <w:lang w:val="fr-CA"/>
        </w:rPr>
        <w:noBreakHyphen/>
        <w:t xml:space="preserve">ci, il nous faut déterminer si la </w:t>
      </w:r>
      <w:r w:rsidRPr="00A41CF8">
        <w:rPr>
          <w:rFonts w:cs="Times New Roman"/>
          <w:i/>
          <w:lang w:val="fr-CA"/>
        </w:rPr>
        <w:t>PIPA</w:t>
      </w:r>
      <w:r w:rsidRPr="00A41CF8">
        <w:rPr>
          <w:rFonts w:cs="Times New Roman"/>
          <w:lang w:val="fr-CA"/>
        </w:rPr>
        <w:t xml:space="preserve"> vise un objectif urgent et réel et, dans l’affirmative, si ses dispositions sont rationnellement liées à cet objectif, si cet objectif porte atteinte au droit à la liberté d’expression au</w:t>
      </w:r>
      <w:r w:rsidRPr="00A41CF8">
        <w:rPr>
          <w:rFonts w:cs="Times New Roman"/>
          <w:lang w:val="fr-CA"/>
        </w:rPr>
        <w:noBreakHyphen/>
        <w:t xml:space="preserve">delà de ce qui est nécessaire et si ses effets sont proportionnels à l’objectif du gouvernement.  Bien que la </w:t>
      </w:r>
      <w:r w:rsidRPr="00A41CF8">
        <w:rPr>
          <w:rFonts w:cs="Times New Roman"/>
          <w:i/>
          <w:lang w:val="fr-CA"/>
        </w:rPr>
        <w:t>PIPA</w:t>
      </w:r>
      <w:r w:rsidRPr="00A41CF8">
        <w:rPr>
          <w:rFonts w:cs="Times New Roman"/>
          <w:lang w:val="fr-CA"/>
        </w:rPr>
        <w:t xml:space="preserve"> soit rationnellement liée à un objectif urgent et réel, la justification des restrictions </w:t>
      </w:r>
      <w:r w:rsidRPr="00A41CF8">
        <w:rPr>
          <w:rFonts w:cs="Times New Roman"/>
          <w:lang w:val="fr-CA"/>
        </w:rPr>
        <w:lastRenderedPageBreak/>
        <w:t xml:space="preserve">considérables qu’elle impose à la liberté d’expression ne peut se démontrer parce que ces restrictions sont disproportionnées par rapport aux bienfaits qu’elle cherche à promouvoir.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Il est acquis aux débats que la </w:t>
      </w:r>
      <w:r w:rsidRPr="00A41CF8">
        <w:rPr>
          <w:rFonts w:cs="Times New Roman"/>
          <w:i/>
          <w:lang w:val="fr-CA"/>
        </w:rPr>
        <w:t xml:space="preserve">PIPA </w:t>
      </w:r>
      <w:r w:rsidRPr="00A41CF8">
        <w:rPr>
          <w:rFonts w:cs="Times New Roman"/>
          <w:lang w:val="fr-CA"/>
        </w:rPr>
        <w:t xml:space="preserve">vise un objectif urgent et réel.  Son objet est explicitement énoncé à l’art. 3 qui, comme nous l’avons déjà signalé, prévoit que : </w:t>
      </w:r>
    </w:p>
    <w:p w:rsidR="00503A71" w:rsidRPr="00A41CF8" w:rsidRDefault="00503A71" w:rsidP="00503A71">
      <w:pPr>
        <w:pStyle w:val="Citation-AltC"/>
        <w:ind w:hanging="1166"/>
        <w:contextualSpacing w:val="0"/>
        <w:rPr>
          <w:lang w:val="fr-CA"/>
        </w:rPr>
      </w:pPr>
      <w:r w:rsidRPr="00A41CF8">
        <w:rPr>
          <w:smallCaps/>
          <w:lang w:val="fr-CA"/>
        </w:rPr>
        <w:tab/>
        <w:t xml:space="preserve">[traduction] </w:t>
      </w:r>
      <w:r w:rsidR="008230F2" w:rsidRPr="008230F2">
        <w:rPr>
          <w:b/>
          <w:smallCaps/>
          <w:lang w:val="fr-CA"/>
        </w:rPr>
        <w:t>3</w:t>
      </w:r>
      <w:r w:rsidR="008230F2">
        <w:rPr>
          <w:smallCaps/>
          <w:lang w:val="fr-CA"/>
        </w:rPr>
        <w:t xml:space="preserve"> </w:t>
      </w:r>
      <w:r w:rsidRPr="00A41CF8">
        <w:rPr>
          <w:smallCaps/>
          <w:lang w:val="fr-CA"/>
        </w:rPr>
        <w:t xml:space="preserve"> </w:t>
      </w:r>
      <w:r w:rsidRPr="00A41CF8">
        <w:rPr>
          <w:lang w:val="fr-CA"/>
        </w:rPr>
        <w:t xml:space="preserve">La présente loi a pour objet de </w:t>
      </w:r>
      <w:r w:rsidRPr="00A41CF8">
        <w:rPr>
          <w:szCs w:val="24"/>
          <w:lang w:val="fr-CA"/>
        </w:rPr>
        <w:t>régir la collecte, l’utilisation et la communication de renseignements personnels d’une manière qui tient compte à la fois du droit des individus à la protection des renseignements personnels qui les concernent et du besoin des organisations de recueillir, d’utiliser ou de communiquer des renseignements personnels à des fins raisonnables.</w:t>
      </w:r>
    </w:p>
    <w:p w:rsidR="00503A71" w:rsidRPr="00A41CF8" w:rsidRDefault="00503A71" w:rsidP="00503A71">
      <w:pPr>
        <w:pStyle w:val="ContinueParaSuitedupar-AltP"/>
        <w:rPr>
          <w:rFonts w:cs="Times New Roman"/>
          <w:lang w:val="fr-CA"/>
        </w:rPr>
      </w:pPr>
      <w:r w:rsidRPr="00A41CF8">
        <w:rPr>
          <w:rFonts w:cs="Times New Roman"/>
          <w:lang w:val="fr-CA"/>
        </w:rPr>
        <w:t xml:space="preserve">La </w:t>
      </w:r>
      <w:r w:rsidRPr="00A41CF8">
        <w:rPr>
          <w:rFonts w:cs="Times New Roman"/>
          <w:i/>
          <w:lang w:val="fr-CA"/>
        </w:rPr>
        <w:t>Loi</w:t>
      </w:r>
      <w:r w:rsidRPr="00A41CF8">
        <w:rPr>
          <w:rFonts w:cs="Times New Roman"/>
          <w:lang w:val="fr-CA"/>
        </w:rPr>
        <w:t xml:space="preserve"> cherche d’abord et avant tout à conférer aux personnes un certain droit de regard sur les renseignements personnels les concernant (Gratton, p. 6 et suiv.).  Or, la faculté d’une personne d’exercer un tel droit est intimement liée à son autonomie, à sa dignité et à son droit à la vie privée.  Il s’agit de valeurs fondamentales qui se situent au cœur de toute démocratie.  Ainsi que la Cour l’a déjà reconnu, une loi qui vise à protéger un droit de regard sur des renseignements personnels devrait être qualifiée de « quasi constitutionnelle » en raison du rôle fondamental que joue le respect de la vie privée dans le maintien d’une société libre et démocratique (</w:t>
      </w:r>
      <w:r w:rsidRPr="00A41CF8">
        <w:rPr>
          <w:rFonts w:cs="Times New Roman"/>
          <w:i/>
          <w:iCs/>
          <w:lang w:val="fr-CA"/>
        </w:rPr>
        <w:t>Lavigne c. Canada (Commissariat aux langues officielles)</w:t>
      </w:r>
      <w:r w:rsidRPr="00A41CF8">
        <w:rPr>
          <w:rFonts w:cs="Times New Roman"/>
          <w:lang w:val="fr-CA"/>
        </w:rPr>
        <w:t xml:space="preserve">, [2002] 2 R.C.S. 773, par. 24; </w:t>
      </w:r>
      <w:r w:rsidRPr="00A41CF8">
        <w:rPr>
          <w:rFonts w:cs="Times New Roman"/>
          <w:i/>
          <w:lang w:val="fr-CA"/>
        </w:rPr>
        <w:t>Dagg c. Canada (Ministre des Finances)</w:t>
      </w:r>
      <w:r w:rsidRPr="00A41CF8">
        <w:rPr>
          <w:rFonts w:cs="Times New Roman"/>
          <w:lang w:val="fr-CA"/>
        </w:rPr>
        <w:t>, [1997] 2 R.C.S. 403, par. 65</w:t>
      </w:r>
      <w:r w:rsidR="008230F2">
        <w:rPr>
          <w:rFonts w:cs="Times New Roman"/>
          <w:lang w:val="fr-CA"/>
        </w:rPr>
        <w:t>-</w:t>
      </w:r>
      <w:r w:rsidRPr="00A41CF8">
        <w:rPr>
          <w:rFonts w:cs="Times New Roman"/>
          <w:lang w:val="fr-CA"/>
        </w:rPr>
        <w:t xml:space="preserve">66; </w:t>
      </w:r>
      <w:r w:rsidRPr="009924E1">
        <w:rPr>
          <w:rFonts w:cs="Times New Roman"/>
          <w:i/>
          <w:lang w:val="fr-CA"/>
        </w:rPr>
        <w:t xml:space="preserve">Cie </w:t>
      </w:r>
      <w:r w:rsidR="008230F2">
        <w:rPr>
          <w:rFonts w:cs="Times New Roman"/>
          <w:i/>
          <w:lang w:val="fr-CA"/>
        </w:rPr>
        <w:t>H.J. Heinz du Canada l</w:t>
      </w:r>
      <w:r w:rsidRPr="00A41CF8">
        <w:rPr>
          <w:rFonts w:cs="Times New Roman"/>
          <w:i/>
          <w:lang w:val="fr-CA"/>
        </w:rPr>
        <w:t>tée c. Canada (Procureur général)</w:t>
      </w:r>
      <w:r w:rsidRPr="00A41CF8">
        <w:rPr>
          <w:rFonts w:cs="Times New Roman"/>
          <w:lang w:val="fr-CA"/>
        </w:rPr>
        <w:t xml:space="preserve">, [2006] 1 R.C.S. 441, par. 28).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iCs/>
          <w:lang w:val="fr-CA"/>
        </w:rPr>
        <w:lastRenderedPageBreak/>
        <w:t xml:space="preserve">L’objectif visé par la </w:t>
      </w:r>
      <w:r w:rsidRPr="00A41CF8">
        <w:rPr>
          <w:rFonts w:cs="Times New Roman"/>
          <w:i/>
          <w:lang w:val="fr-CA"/>
        </w:rPr>
        <w:t>PIPA</w:t>
      </w:r>
      <w:r w:rsidRPr="00A41CF8">
        <w:rPr>
          <w:rFonts w:cs="Times New Roman"/>
          <w:lang w:val="fr-CA"/>
        </w:rPr>
        <w:t xml:space="preserve"> gagne en importance à l’ère moderne, où les nouvelles technologies fournissent aux organisations une capacité quasi illimitée de recueillir des renseignements personnels, de les analyser, de les utiliser et de les communiquer à autrui pour leurs propres fins. En outre, on ne peut sérieusement mettre en doute l’existence d’un lien rationnel entre la </w:t>
      </w:r>
      <w:r w:rsidRPr="00A41CF8">
        <w:rPr>
          <w:rFonts w:cs="Times New Roman"/>
          <w:i/>
          <w:lang w:val="fr-CA"/>
        </w:rPr>
        <w:t xml:space="preserve">PIPA </w:t>
      </w:r>
      <w:r w:rsidRPr="00A41CF8">
        <w:rPr>
          <w:rFonts w:cs="Times New Roman"/>
          <w:lang w:val="fr-CA"/>
        </w:rPr>
        <w:t xml:space="preserve">et cet objectif important.  Comme le reconnaît le syndicat, la </w:t>
      </w:r>
      <w:r w:rsidRPr="00A41CF8">
        <w:rPr>
          <w:rFonts w:cs="Times New Roman"/>
          <w:i/>
          <w:lang w:val="fr-CA"/>
        </w:rPr>
        <w:t xml:space="preserve">Loi </w:t>
      </w:r>
      <w:r w:rsidRPr="00A41CF8">
        <w:rPr>
          <w:rFonts w:cs="Times New Roman"/>
          <w:lang w:val="fr-CA"/>
        </w:rPr>
        <w:t>aborde de front cet objectif en restreignant considérablement la collecte, l’utilisation et la communication des renseignements personnels.  Ces restrictions considérables nous paraissent toutefois injustifiées parce qu’elles sont disproportionnées par rapport aux bienfaits que la loi cherche à promouvoir.  Autrement dit, [</w:t>
      </w:r>
      <w:r w:rsidRPr="00A41CF8">
        <w:rPr>
          <w:rFonts w:cs="Times New Roman"/>
          <w:smallCaps/>
          <w:lang w:val="fr-CA"/>
        </w:rPr>
        <w:t>traduction</w:t>
      </w:r>
      <w:r w:rsidRPr="00A41CF8">
        <w:rPr>
          <w:rFonts w:cs="Times New Roman"/>
          <w:lang w:val="fr-CA"/>
        </w:rPr>
        <w:t xml:space="preserve">] « la violation de la </w:t>
      </w:r>
      <w:r w:rsidRPr="00A41CF8">
        <w:rPr>
          <w:rFonts w:cs="Times New Roman"/>
          <w:i/>
          <w:lang w:val="fr-CA"/>
        </w:rPr>
        <w:t>Charte</w:t>
      </w:r>
      <w:r w:rsidRPr="00A41CF8">
        <w:rPr>
          <w:rFonts w:cs="Times New Roman"/>
          <w:lang w:val="fr-CA"/>
        </w:rPr>
        <w:t xml:space="preserve"> constitue un prix trop élevé à payer pour avoir droit au bénéfice de la loi » (Peter W. Hogg, </w:t>
      </w:r>
      <w:r w:rsidRPr="00A41CF8">
        <w:rPr>
          <w:rFonts w:cs="Times New Roman"/>
          <w:i/>
          <w:lang w:val="fr-CA"/>
        </w:rPr>
        <w:t>Constitutional Law of Canada</w:t>
      </w:r>
      <w:r w:rsidRPr="00A41CF8">
        <w:rPr>
          <w:rFonts w:cs="Times New Roman"/>
          <w:lang w:val="fr-CA"/>
        </w:rPr>
        <w:t xml:space="preserve"> (5</w:t>
      </w:r>
      <w:r w:rsidRPr="00A41CF8">
        <w:rPr>
          <w:rFonts w:cs="Times New Roman"/>
          <w:vertAlign w:val="superscript"/>
          <w:lang w:val="fr-CA"/>
        </w:rPr>
        <w:t>e</w:t>
      </w:r>
      <w:r w:rsidRPr="00A41CF8">
        <w:rPr>
          <w:rFonts w:cs="Times New Roman"/>
          <w:lang w:val="fr-CA"/>
        </w:rPr>
        <w:t> éd. suppl.), vol. 2, p. 38</w:t>
      </w:r>
      <w:r w:rsidRPr="00A41CF8">
        <w:rPr>
          <w:rFonts w:cs="Times New Roman"/>
          <w:lang w:val="fr-CA"/>
        </w:rPr>
        <w:noBreakHyphen/>
        <w:t>43).</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Les effets bénéfiques de l’objet visé par la </w:t>
      </w:r>
      <w:r w:rsidRPr="00A41CF8">
        <w:rPr>
          <w:rFonts w:cs="Times New Roman"/>
          <w:i/>
          <w:lang w:val="fr-CA"/>
        </w:rPr>
        <w:t>PIPA</w:t>
      </w:r>
      <w:r w:rsidRPr="00A41CF8">
        <w:rPr>
          <w:rFonts w:cs="Times New Roman"/>
          <w:lang w:val="fr-CA"/>
        </w:rPr>
        <w:t xml:space="preserve"> peuvent être démontrés.  En effet, la </w:t>
      </w:r>
      <w:r w:rsidRPr="00A41CF8">
        <w:rPr>
          <w:rFonts w:cs="Times New Roman"/>
          <w:i/>
          <w:lang w:val="fr-CA"/>
        </w:rPr>
        <w:t xml:space="preserve">PIPA </w:t>
      </w:r>
      <w:r w:rsidRPr="00A41CF8">
        <w:rPr>
          <w:rFonts w:cs="Times New Roman"/>
          <w:lang w:val="fr-CA"/>
        </w:rPr>
        <w:t>vise à renforcer le droit de regard d’une personne sur les renseignements personnels la concernant</w:t>
      </w:r>
      <w:r w:rsidR="009924E1">
        <w:rPr>
          <w:rFonts w:cs="Times New Roman"/>
          <w:lang w:val="fr-CA"/>
        </w:rPr>
        <w:t>,</w:t>
      </w:r>
      <w:r w:rsidRPr="00A41CF8">
        <w:rPr>
          <w:rFonts w:cs="Times New Roman"/>
          <w:lang w:val="fr-CA"/>
        </w:rPr>
        <w:t xml:space="preserve"> en précisant qui peut les recueillir, les utiliser et les communiquer sans son consentement</w:t>
      </w:r>
      <w:r w:rsidR="009924E1">
        <w:rPr>
          <w:rFonts w:cs="Times New Roman"/>
          <w:lang w:val="fr-CA"/>
        </w:rPr>
        <w:t>,</w:t>
      </w:r>
      <w:r w:rsidRPr="00A41CF8">
        <w:rPr>
          <w:rFonts w:cs="Times New Roman"/>
          <w:lang w:val="fr-CA"/>
        </w:rPr>
        <w:t xml:space="preserve"> et en limitant la portée de leur collecte, de leur utilisation et de leur communication.  La </w:t>
      </w:r>
      <w:r w:rsidRPr="00A41CF8">
        <w:rPr>
          <w:rFonts w:cs="Times New Roman"/>
          <w:i/>
          <w:lang w:val="fr-CA"/>
        </w:rPr>
        <w:t>PIPA</w:t>
      </w:r>
      <w:r w:rsidRPr="00A41CF8">
        <w:rPr>
          <w:rFonts w:cs="Times New Roman"/>
          <w:lang w:val="fr-CA"/>
        </w:rPr>
        <w:t xml:space="preserve"> et les lois similaires témoignent de la nouvelle reconnaissance du fait que le nombre de personnes et d’entités susceptibles de consulter et d’utiliser des renseignements personnels a considérablement augmenté et que de nombreux acteurs du secteur privé figurent aujourd’hui parmi elles.  La </w:t>
      </w:r>
      <w:r w:rsidRPr="00A41CF8">
        <w:rPr>
          <w:rFonts w:cs="Times New Roman"/>
          <w:i/>
          <w:lang w:val="fr-CA"/>
        </w:rPr>
        <w:t>PIPA</w:t>
      </w:r>
      <w:r w:rsidRPr="00A41CF8">
        <w:rPr>
          <w:rFonts w:cs="Times New Roman"/>
          <w:lang w:val="fr-CA"/>
        </w:rPr>
        <w:t xml:space="preserve"> vise à réglementer l’utilisation des renseignements personnels et à protéger par le fait même leur caractère privé, un objectif fondé sur le </w:t>
      </w:r>
      <w:r w:rsidRPr="00A41CF8">
        <w:rPr>
          <w:rFonts w:cs="Times New Roman"/>
          <w:lang w:val="fr-CA"/>
        </w:rPr>
        <w:lastRenderedPageBreak/>
        <w:t xml:space="preserve">principe selon lequel « l’information de caractère personnel est propre à l’intéressé, qui est libre de la communiquer ou de la taire comme il l’entend » (Rapport du Groupe d’étude établi conjointement par le ministère des Communications et le ministère de la Justice, </w:t>
      </w:r>
      <w:r w:rsidRPr="00A41CF8">
        <w:rPr>
          <w:rFonts w:cs="Times New Roman"/>
          <w:i/>
          <w:lang w:val="fr-CA"/>
        </w:rPr>
        <w:t>L’ordinateur et la vie privée</w:t>
      </w:r>
      <w:r w:rsidRPr="00A41CF8">
        <w:rPr>
          <w:rFonts w:cs="Times New Roman"/>
          <w:lang w:val="fr-CA"/>
        </w:rPr>
        <w:t xml:space="preserve"> (1972), p. 13).</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Dans la mesure où elle vise à faire respecter le caractère privé des renseignements personnels, la </w:t>
      </w:r>
      <w:r w:rsidRPr="00A41CF8">
        <w:rPr>
          <w:rFonts w:cs="Times New Roman"/>
          <w:i/>
          <w:lang w:val="fr-CA"/>
        </w:rPr>
        <w:t xml:space="preserve">PIPA </w:t>
      </w:r>
      <w:r w:rsidRPr="00A41CF8">
        <w:rPr>
          <w:rFonts w:cs="Times New Roman"/>
          <w:lang w:val="fr-CA"/>
        </w:rPr>
        <w:t>est de nature « quasi constitutionnelle » (</w:t>
      </w:r>
      <w:r w:rsidRPr="00A41CF8">
        <w:rPr>
          <w:rFonts w:cs="Times New Roman"/>
          <w:i/>
          <w:iCs/>
          <w:lang w:val="fr-CA"/>
        </w:rPr>
        <w:t>Lavigne</w:t>
      </w:r>
      <w:r w:rsidRPr="00A41CF8">
        <w:rPr>
          <w:rFonts w:cs="Times New Roman"/>
          <w:lang w:val="fr-CA"/>
        </w:rPr>
        <w:t xml:space="preserve">, par. 24; </w:t>
      </w:r>
      <w:r w:rsidRPr="00A41CF8">
        <w:rPr>
          <w:rFonts w:cs="Times New Roman"/>
          <w:i/>
          <w:lang w:val="fr-CA"/>
        </w:rPr>
        <w:t>Dagg</w:t>
      </w:r>
      <w:r w:rsidRPr="00A41CF8">
        <w:rPr>
          <w:rFonts w:cs="Times New Roman"/>
          <w:lang w:val="fr-CA"/>
        </w:rPr>
        <w:t>, par. 65</w:t>
      </w:r>
      <w:r w:rsidRPr="00A41CF8">
        <w:rPr>
          <w:rFonts w:cs="Times New Roman"/>
          <w:lang w:val="fr-CA"/>
        </w:rPr>
        <w:noBreakHyphen/>
        <w:t xml:space="preserve">66; </w:t>
      </w:r>
      <w:r w:rsidRPr="00A41CF8">
        <w:rPr>
          <w:rFonts w:cs="Times New Roman"/>
          <w:i/>
          <w:lang w:val="fr-CA"/>
        </w:rPr>
        <w:t>H.J. Heinz</w:t>
      </w:r>
      <w:r w:rsidRPr="00A41CF8">
        <w:rPr>
          <w:rFonts w:cs="Times New Roman"/>
          <w:lang w:val="fr-CA"/>
        </w:rPr>
        <w:t xml:space="preserve">, par. 28).  On ne saurait trop insister sur l’importance de protéger la vie privée dans une démocratie dynamique (voir John D. R. Craig, « Invasion of Privacy and </w:t>
      </w:r>
      <w:r w:rsidRPr="00A41CF8">
        <w:rPr>
          <w:rFonts w:cs="Times New Roman"/>
          <w:i/>
          <w:lang w:val="fr-CA"/>
        </w:rPr>
        <w:t>Charter</w:t>
      </w:r>
      <w:r w:rsidRPr="00A41CF8">
        <w:rPr>
          <w:rFonts w:cs="Times New Roman"/>
          <w:lang w:val="fr-CA"/>
        </w:rPr>
        <w:t xml:space="preserve"> Values</w:t>
      </w:r>
      <w:r w:rsidR="00301B92">
        <w:rPr>
          <w:rFonts w:cs="Times New Roman"/>
          <w:lang w:val="fr-CA"/>
        </w:rPr>
        <w:t xml:space="preserve"> </w:t>
      </w:r>
      <w:r w:rsidRPr="00A41CF8">
        <w:rPr>
          <w:rFonts w:cs="Times New Roman"/>
          <w:lang w:val="fr-CA"/>
        </w:rPr>
        <w:t>: The Common</w:t>
      </w:r>
      <w:r w:rsidRPr="00A41CF8">
        <w:rPr>
          <w:rFonts w:cs="Times New Roman"/>
          <w:lang w:val="fr-CA"/>
        </w:rPr>
        <w:noBreakHyphen/>
        <w:t xml:space="preserve">Law Tort Awakens » (1997), 42 </w:t>
      </w:r>
      <w:r w:rsidR="00301B92" w:rsidRPr="00301B92">
        <w:rPr>
          <w:rFonts w:cs="Times New Roman"/>
          <w:i/>
          <w:lang w:val="fr-CA"/>
        </w:rPr>
        <w:t>R.D</w:t>
      </w:r>
      <w:r w:rsidR="00FF26F5">
        <w:rPr>
          <w:rFonts w:cs="Times New Roman"/>
          <w:i/>
          <w:lang w:val="fr-CA"/>
        </w:rPr>
        <w:t>.</w:t>
      </w:r>
      <w:r w:rsidR="00301B92">
        <w:rPr>
          <w:rFonts w:cs="Times New Roman"/>
          <w:lang w:val="fr-CA"/>
        </w:rPr>
        <w:t xml:space="preserve"> </w:t>
      </w:r>
      <w:r w:rsidRPr="00A41CF8">
        <w:rPr>
          <w:rFonts w:cs="Times New Roman"/>
          <w:i/>
          <w:lang w:val="fr-CA"/>
        </w:rPr>
        <w:t xml:space="preserve">McGill </w:t>
      </w:r>
      <w:r w:rsidRPr="00A41CF8">
        <w:rPr>
          <w:rFonts w:cs="Times New Roman"/>
          <w:lang w:val="fr-CA"/>
        </w:rPr>
        <w:t>355, p. 360</w:t>
      </w:r>
      <w:r w:rsidRPr="00A41CF8">
        <w:rPr>
          <w:rFonts w:cs="Times New Roman"/>
          <w:lang w:val="fr-CA"/>
        </w:rPr>
        <w:noBreakHyphen/>
        <w:t>361).  Comme l’affirme Chris D. L. Hunt dans « Conceptualizing Privacy and Elucidating its Importance : Foundational Considerations for the Development of Canada’</w:t>
      </w:r>
      <w:r>
        <w:rPr>
          <w:rFonts w:cs="Times New Roman"/>
          <w:lang w:val="fr-CA"/>
        </w:rPr>
        <w:t>s Fledgling Privacy Tort »</w:t>
      </w:r>
      <w:r w:rsidRPr="00A41CF8">
        <w:rPr>
          <w:rFonts w:cs="Times New Roman"/>
          <w:lang w:val="fr-CA"/>
        </w:rPr>
        <w:t xml:space="preserve"> (2011), 37 </w:t>
      </w:r>
      <w:r w:rsidRPr="00A41CF8">
        <w:rPr>
          <w:rFonts w:cs="Times New Roman"/>
          <w:i/>
          <w:lang w:val="fr-CA"/>
        </w:rPr>
        <w:t>Queen’s L.J.</w:t>
      </w:r>
      <w:r w:rsidRPr="00A41CF8">
        <w:rPr>
          <w:rFonts w:cs="Times New Roman"/>
          <w:lang w:val="fr-CA"/>
        </w:rPr>
        <w:t xml:space="preserve"> 167, p. 217, [</w:t>
      </w:r>
      <w:r w:rsidRPr="00A41CF8">
        <w:rPr>
          <w:rFonts w:cs="Times New Roman"/>
          <w:smallCaps/>
          <w:lang w:val="fr-CA"/>
        </w:rPr>
        <w:t>traduction</w:t>
      </w:r>
      <w:r w:rsidRPr="00A41CF8">
        <w:rPr>
          <w:rFonts w:cs="Times New Roman"/>
          <w:lang w:val="fr-CA"/>
        </w:rPr>
        <w:t>] « </w:t>
      </w:r>
      <w:r w:rsidR="006C4E47">
        <w:rPr>
          <w:rFonts w:cs="Times New Roman"/>
          <w:lang w:val="fr-CA"/>
        </w:rPr>
        <w:t>[</w:t>
      </w:r>
      <w:r w:rsidRPr="00A41CF8">
        <w:rPr>
          <w:rFonts w:cs="Times New Roman"/>
          <w:lang w:val="fr-CA"/>
        </w:rPr>
        <w:t>l</w:t>
      </w:r>
      <w:r w:rsidR="006C4E47">
        <w:rPr>
          <w:rFonts w:cs="Times New Roman"/>
          <w:lang w:val="fr-CA"/>
        </w:rPr>
        <w:t>]</w:t>
      </w:r>
      <w:r w:rsidRPr="00A41CF8">
        <w:rPr>
          <w:rFonts w:cs="Times New Roman"/>
          <w:lang w:val="fr-CA"/>
        </w:rPr>
        <w:t>a démocratie a besoin de citoyens autonomes qui se réalisent et qui sont libres de formuler et d’exprimer des opinions non conformistes.  Si les atteintes à la vie privée gênent l’individualité et entraînent le conformisme, c’est la démocratie elle</w:t>
      </w:r>
      <w:r w:rsidRPr="00A41CF8">
        <w:rPr>
          <w:rFonts w:cs="Times New Roman"/>
          <w:lang w:val="fr-CA"/>
        </w:rPr>
        <w:noBreakHyphen/>
        <w:t xml:space="preserve">même qui en souffre. »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La </w:t>
      </w:r>
      <w:r w:rsidRPr="00A41CF8">
        <w:rPr>
          <w:rFonts w:cs="Times New Roman"/>
          <w:i/>
          <w:lang w:val="fr-CA"/>
        </w:rPr>
        <w:t xml:space="preserve">PIPA </w:t>
      </w:r>
      <w:r w:rsidRPr="00A41CF8">
        <w:rPr>
          <w:rFonts w:cs="Times New Roman"/>
          <w:lang w:val="fr-CA"/>
        </w:rPr>
        <w:t>vise également à éviter la survenance du préjudice pouvant découler de la conservation permanente ou de la diffusion illimitée de renseignements personnels par Internet ou d’autres technologies sans le consentement de l’intéressé.</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Enfin, comme nous l’avons vu, l’objectif de fournir à une personne un certain droit de regard sur les renseignements personnels la concernant est intimement </w:t>
      </w:r>
      <w:r w:rsidRPr="00A41CF8">
        <w:rPr>
          <w:rFonts w:cs="Times New Roman"/>
          <w:lang w:val="fr-CA"/>
        </w:rPr>
        <w:lastRenderedPageBreak/>
        <w:t>lié à son autonomie, à sa dignité et à son droit à la vie privée, des valeurs sociales dont l’importance va de soi.</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En revanche, la </w:t>
      </w:r>
      <w:r w:rsidRPr="00A41CF8">
        <w:rPr>
          <w:rFonts w:cs="Times New Roman"/>
          <w:i/>
          <w:lang w:val="fr-CA"/>
        </w:rPr>
        <w:t>PIPA</w:t>
      </w:r>
      <w:r w:rsidRPr="00A41CF8">
        <w:rPr>
          <w:rFonts w:cs="Times New Roman"/>
          <w:lang w:val="fr-CA"/>
        </w:rPr>
        <w:t xml:space="preserve"> a des conséquences disproportionnées par rapport aux bienfaits qu’elle promeut.  En effet, elle</w:t>
      </w:r>
      <w:r w:rsidRPr="00A41CF8">
        <w:rPr>
          <w:rFonts w:cs="Times New Roman"/>
          <w:i/>
          <w:lang w:val="fr-CA"/>
        </w:rPr>
        <w:t xml:space="preserve"> </w:t>
      </w:r>
      <w:r w:rsidRPr="00A41CF8">
        <w:rPr>
          <w:rFonts w:cs="Times New Roman"/>
          <w:lang w:val="fr-CA"/>
        </w:rPr>
        <w:t>restreint la collecte, l’utilisation et la communication de renseignements personnels effectué</w:t>
      </w:r>
      <w:r w:rsidR="00574288">
        <w:rPr>
          <w:rFonts w:cs="Times New Roman"/>
          <w:lang w:val="fr-CA"/>
        </w:rPr>
        <w:t>e</w:t>
      </w:r>
      <w:r w:rsidRPr="00A41CF8">
        <w:rPr>
          <w:rFonts w:cs="Times New Roman"/>
          <w:lang w:val="fr-CA"/>
        </w:rPr>
        <w:t xml:space="preserve">s en l’absence du consentement de l’intéressé sans égard à la nature de ces renseignements, à l’objectif de </w:t>
      </w:r>
      <w:r>
        <w:rPr>
          <w:rFonts w:cs="Times New Roman"/>
          <w:lang w:val="fr-CA"/>
        </w:rPr>
        <w:t>leur</w:t>
      </w:r>
      <w:r w:rsidRPr="00A41CF8">
        <w:rPr>
          <w:rFonts w:cs="Times New Roman"/>
          <w:lang w:val="fr-CA"/>
        </w:rPr>
        <w:t xml:space="preserve"> collecte, utilisation ou communication et au contexte dans lequel ils se situent.  Ainsi que l’arbitre l’a reconnu dans sa décision, la </w:t>
      </w:r>
      <w:r w:rsidRPr="00A41CF8">
        <w:rPr>
          <w:rFonts w:cs="Times New Roman"/>
          <w:i/>
          <w:lang w:val="fr-CA"/>
        </w:rPr>
        <w:t>PIPA</w:t>
      </w:r>
      <w:r w:rsidRPr="00A41CF8">
        <w:rPr>
          <w:rFonts w:cs="Times New Roman"/>
          <w:lang w:val="fr-CA"/>
        </w:rPr>
        <w:t xml:space="preserve"> ne prévoit aucune façon de tenir compte des objectifs expressifs visés par les syndicats qui se livrent à des grèves légales.  En effet, elle</w:t>
      </w:r>
      <w:r w:rsidRPr="00A41CF8">
        <w:rPr>
          <w:rFonts w:cs="Times New Roman"/>
          <w:i/>
          <w:lang w:val="fr-CA"/>
        </w:rPr>
        <w:t xml:space="preserve"> </w:t>
      </w:r>
      <w:r w:rsidRPr="00A41CF8">
        <w:rPr>
          <w:rFonts w:cs="Times New Roman"/>
          <w:iCs/>
          <w:lang w:val="fr-CA"/>
        </w:rPr>
        <w:t xml:space="preserve">ne prévoit aucun mécanisme permettant de trouver un équilibre entre le droit constitutionnel </w:t>
      </w:r>
      <w:r w:rsidRPr="00A41CF8">
        <w:rPr>
          <w:rFonts w:cs="Times New Roman"/>
          <w:lang w:val="fr-CA"/>
        </w:rPr>
        <w:t xml:space="preserve">du syndicat </w:t>
      </w:r>
      <w:r w:rsidRPr="00A41CF8">
        <w:rPr>
          <w:rFonts w:cs="Times New Roman"/>
          <w:iCs/>
          <w:lang w:val="fr-CA"/>
        </w:rPr>
        <w:t xml:space="preserve">à la </w:t>
      </w:r>
      <w:r w:rsidRPr="00A41CF8">
        <w:rPr>
          <w:rFonts w:cs="Times New Roman"/>
          <w:lang w:val="fr-CA"/>
        </w:rPr>
        <w:t xml:space="preserve">liberté d’expression et les intérêts qu’elle protège.  Ainsi que l’avocat du commissaire l’a admis au cours de son plaidoyer, la </w:t>
      </w:r>
      <w:r w:rsidRPr="00A41CF8">
        <w:rPr>
          <w:rFonts w:cs="Times New Roman"/>
          <w:i/>
          <w:lang w:val="fr-CA"/>
        </w:rPr>
        <w:t>PIPA</w:t>
      </w:r>
      <w:r w:rsidRPr="00A41CF8">
        <w:rPr>
          <w:rFonts w:cs="Times New Roman"/>
          <w:lang w:val="fr-CA"/>
        </w:rPr>
        <w:t xml:space="preserve"> interdit globalement au syndicat d’utiliser des renseignements personnels — à défaut de consentement réel ou présumé — pour favoriser la réalisation de ses objectifs en matière de négociation collective.  Par conséquent, selon la </w:t>
      </w:r>
      <w:r w:rsidRPr="00A41CF8">
        <w:rPr>
          <w:rFonts w:cs="Times New Roman"/>
          <w:i/>
          <w:lang w:val="fr-CA"/>
        </w:rPr>
        <w:t>PIPA</w:t>
      </w:r>
      <w:r w:rsidRPr="00A41CF8">
        <w:rPr>
          <w:rFonts w:cs="Times New Roman"/>
          <w:lang w:val="fr-CA"/>
        </w:rPr>
        <w:t xml:space="preserve">, pratiquement tous les renseignements personnels méritent d’être protégés, peu importe le contexte.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Il faut toutefois situer dans son contexte la mesure dans laquelle on a effectivement porté atteinte à des valeurs importantes en l’espèce.  Le syndicat a recueilli les renseignements personnels lors d’une manifestation politique publique au cours de laquelle</w:t>
      </w:r>
      <w:r w:rsidR="00574288">
        <w:rPr>
          <w:rFonts w:cs="Times New Roman"/>
          <w:lang w:val="fr-CA"/>
        </w:rPr>
        <w:t xml:space="preserve"> le public pouvait facilement les </w:t>
      </w:r>
      <w:r w:rsidRPr="00A41CF8">
        <w:rPr>
          <w:rFonts w:cs="Times New Roman"/>
          <w:lang w:val="fr-CA"/>
        </w:rPr>
        <w:t xml:space="preserve">observer.  Les personnes </w:t>
      </w:r>
      <w:r w:rsidRPr="00A41CF8">
        <w:rPr>
          <w:rFonts w:cs="Times New Roman"/>
          <w:lang w:val="fr-CA"/>
        </w:rPr>
        <w:lastRenderedPageBreak/>
        <w:t>franchissant la ligne de piquetage pouvaient raisonnablement s’attendre à être filmées ou photographiées et à ce que leur image soit diffusée par autrui, notamment des journalistes.  En outre, les seuls renseignements personnels recueillis, utilisés et communiqués par le syndicat étaient des images de personnes franchissant une ligne de piquetage et ne comprenaient aucune information biographique intime.  Aucun détail intime concernant le mode de vie ou les choix personnels des intéressés n’a été dévoilé.</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Il va sans dire qu’en apparaissant en public, une personne ne renonce pas nécessaire</w:t>
      </w:r>
      <w:r w:rsidR="007A4C36">
        <w:rPr>
          <w:rFonts w:cs="Times New Roman"/>
          <w:lang w:val="fr-CA"/>
        </w:rPr>
        <w:t>ment à son droit de regard sur d</w:t>
      </w:r>
      <w:r w:rsidRPr="00A41CF8">
        <w:rPr>
          <w:rFonts w:cs="Times New Roman"/>
          <w:lang w:val="fr-CA"/>
        </w:rPr>
        <w:t>es renseignements personnels ainsi exposés.  Cela est particulièrement vrai compte tenu des avancées technologiques perm</w:t>
      </w:r>
      <w:r w:rsidR="00A657CC">
        <w:rPr>
          <w:rFonts w:cs="Times New Roman"/>
          <w:lang w:val="fr-CA"/>
        </w:rPr>
        <w:t>ettant d’enregistrer aisément de</w:t>
      </w:r>
      <w:r w:rsidRPr="00A41CF8">
        <w:rPr>
          <w:rFonts w:cs="Times New Roman"/>
          <w:lang w:val="fr-CA"/>
        </w:rPr>
        <w:t xml:space="preserve">s renseignements personnels, de les diffuser à un auditoire presque illimité et de les conserver indéfiniment.  Malgré cela, les restrictions prévues par la </w:t>
      </w:r>
      <w:r w:rsidRPr="00A41CF8">
        <w:rPr>
          <w:rFonts w:cs="Times New Roman"/>
          <w:i/>
          <w:lang w:val="fr-CA"/>
        </w:rPr>
        <w:t>PIPA</w:t>
      </w:r>
      <w:r w:rsidRPr="00A41CF8">
        <w:rPr>
          <w:rFonts w:cs="Times New Roman"/>
          <w:lang w:val="fr-CA"/>
        </w:rPr>
        <w:t xml:space="preserve"> s’appliquent</w:t>
      </w:r>
      <w:r w:rsidR="007A4C36">
        <w:rPr>
          <w:rFonts w:cs="Times New Roman"/>
          <w:lang w:val="fr-CA"/>
        </w:rPr>
        <w:t>,</w:t>
      </w:r>
      <w:r w:rsidRPr="00A41CF8">
        <w:rPr>
          <w:rFonts w:cs="Times New Roman"/>
          <w:lang w:val="fr-CA"/>
        </w:rPr>
        <w:t xml:space="preserve"> dans le contexte d’un cas comme celui qui nous occupe</w:t>
      </w:r>
      <w:r w:rsidR="007A4C36">
        <w:rPr>
          <w:rFonts w:cs="Times New Roman"/>
          <w:lang w:val="fr-CA"/>
        </w:rPr>
        <w:t>,</w:t>
      </w:r>
      <w:r w:rsidRPr="00A41CF8">
        <w:rPr>
          <w:rFonts w:cs="Times New Roman"/>
          <w:lang w:val="fr-CA"/>
        </w:rPr>
        <w:t xml:space="preserve"> pour entraver la formulation et l’expression d’opinions sur d’importantes questions d’intérêt public majeur.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iCs/>
          <w:lang w:val="fr-CA"/>
        </w:rPr>
        <w:t xml:space="preserve">Les effets néfastes de la </w:t>
      </w:r>
      <w:r w:rsidRPr="00A41CF8">
        <w:rPr>
          <w:rFonts w:cs="Times New Roman"/>
          <w:i/>
          <w:iCs/>
          <w:lang w:val="fr-CA"/>
        </w:rPr>
        <w:t>PIPA</w:t>
      </w:r>
      <w:r w:rsidRPr="00A41CF8">
        <w:rPr>
          <w:rFonts w:cs="Times New Roman"/>
          <w:iCs/>
          <w:lang w:val="fr-CA"/>
        </w:rPr>
        <w:t xml:space="preserve"> pèsent fortement dans la balance.  Ce qui importe le plus, selon nous, c’est que la </w:t>
      </w:r>
      <w:r w:rsidRPr="00A41CF8">
        <w:rPr>
          <w:rFonts w:cs="Times New Roman"/>
          <w:i/>
          <w:iCs/>
          <w:lang w:val="fr-CA"/>
        </w:rPr>
        <w:t>PIPA</w:t>
      </w:r>
      <w:r w:rsidRPr="00A41CF8">
        <w:rPr>
          <w:rFonts w:cs="Times New Roman"/>
          <w:iCs/>
          <w:lang w:val="fr-CA"/>
        </w:rPr>
        <w:t xml:space="preserve"> interdit </w:t>
      </w:r>
      <w:r w:rsidRPr="00A41CF8">
        <w:rPr>
          <w:rFonts w:cs="Times New Roman"/>
          <w:lang w:val="fr-CA"/>
        </w:rPr>
        <w:t xml:space="preserve">la collecte, l’utilisation </w:t>
      </w:r>
      <w:r>
        <w:rPr>
          <w:rFonts w:cs="Times New Roman"/>
          <w:lang w:val="fr-CA"/>
        </w:rPr>
        <w:t>ou</w:t>
      </w:r>
      <w:r w:rsidRPr="00A41CF8">
        <w:rPr>
          <w:rFonts w:cs="Times New Roman"/>
          <w:lang w:val="fr-CA"/>
        </w:rPr>
        <w:t xml:space="preserve"> la communication de renseignements personnels qui serviraient de nombreux objectifs expressifs légitimes relatifs aux relations de travail.  Parmi ces objectifs, mentionnons ceux consistant à assurer la sécurité des membres du syndicat, la tentative de convaincre le public de s’abstenir de faire affaire avec un employeur donné et le fait </w:t>
      </w:r>
      <w:r w:rsidRPr="00A41CF8">
        <w:rPr>
          <w:rFonts w:cs="Times New Roman"/>
          <w:lang w:val="fr-CA"/>
        </w:rPr>
        <w:lastRenderedPageBreak/>
        <w:t>de transporter sur la place publique le débat sur les conditions de travail imposées par un employeur.  Ces objectifs se situent au cœur même des activités expressives protégées par l’al</w:t>
      </w:r>
      <w:r w:rsidR="000F1573">
        <w:rPr>
          <w:rFonts w:cs="Times New Roman"/>
          <w:lang w:val="fr-CA"/>
        </w:rPr>
        <w:t>.</w:t>
      </w:r>
      <w:r w:rsidRPr="00A41CF8">
        <w:rPr>
          <w:rFonts w:cs="Times New Roman"/>
          <w:lang w:val="fr-CA"/>
        </w:rPr>
        <w:t> 2</w:t>
      </w:r>
      <w:r w:rsidRPr="00A41CF8">
        <w:rPr>
          <w:rFonts w:cs="Times New Roman"/>
          <w:i/>
          <w:lang w:val="fr-CA"/>
        </w:rPr>
        <w:t>b</w:t>
      </w:r>
      <w:r w:rsidRPr="00A41CF8">
        <w:rPr>
          <w:rFonts w:cs="Times New Roman"/>
          <w:lang w:val="fr-CA"/>
        </w:rPr>
        <w:t>).</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La Cour reconnaît depuis longtemps l’importance fondamentale que revêt la liberté d’expression dans le contexte des conflits de travail (</w:t>
      </w:r>
      <w:r w:rsidRPr="00A41CF8">
        <w:rPr>
          <w:rFonts w:cs="Times New Roman"/>
          <w:i/>
          <w:lang w:val="fr-CA"/>
        </w:rPr>
        <w:t>S.D.G.M.R., section locale 558 c. Pepsi</w:t>
      </w:r>
      <w:r w:rsidRPr="00A41CF8">
        <w:rPr>
          <w:rFonts w:cs="Times New Roman"/>
          <w:i/>
          <w:lang w:val="fr-CA"/>
        </w:rPr>
        <w:noBreakHyphen/>
        <w:t>Cola Canada Beverages (West) Ltd.</w:t>
      </w:r>
      <w:r w:rsidRPr="00A41CF8">
        <w:rPr>
          <w:rFonts w:cs="Times New Roman"/>
          <w:lang w:val="fr-CA"/>
        </w:rPr>
        <w:t>, [2002] 1 R.C.S. 156 (« </w:t>
      </w:r>
      <w:r w:rsidRPr="00A41CF8">
        <w:rPr>
          <w:rFonts w:cs="Times New Roman"/>
          <w:i/>
          <w:lang w:val="fr-CA"/>
        </w:rPr>
        <w:t>Pepsi </w:t>
      </w:r>
      <w:r w:rsidRPr="00A41CF8">
        <w:rPr>
          <w:rFonts w:cs="Times New Roman"/>
          <w:lang w:val="fr-CA"/>
        </w:rPr>
        <w:t xml:space="preserve">»), par. 33).  Dans l’arrêt </w:t>
      </w:r>
      <w:r w:rsidRPr="00A41CF8">
        <w:rPr>
          <w:rFonts w:cs="Times New Roman"/>
          <w:bCs/>
          <w:i/>
          <w:szCs w:val="24"/>
          <w:lang w:val="fr-CA" w:eastAsia="fr-CA"/>
        </w:rPr>
        <w:t>T.U.A.C., section locale 1518 c.</w:t>
      </w:r>
      <w:r w:rsidRPr="00A41CF8">
        <w:rPr>
          <w:rFonts w:cs="Times New Roman"/>
          <w:bCs/>
          <w:szCs w:val="24"/>
          <w:lang w:val="fr-CA" w:eastAsia="fr-CA"/>
        </w:rPr>
        <w:t xml:space="preserve"> </w:t>
      </w:r>
      <w:r w:rsidRPr="00A41CF8">
        <w:rPr>
          <w:rFonts w:cs="Times New Roman"/>
          <w:i/>
          <w:iCs/>
          <w:lang w:val="fr-CA"/>
        </w:rPr>
        <w:t>KMart Canada Ltd.</w:t>
      </w:r>
      <w:r w:rsidRPr="00A41CF8">
        <w:rPr>
          <w:rFonts w:cs="Times New Roman"/>
          <w:lang w:val="fr-CA"/>
        </w:rPr>
        <w:t xml:space="preserve">, [1999] 2 R.C.S. 1083 </w:t>
      </w:r>
      <w:r w:rsidRPr="00A41CF8">
        <w:rPr>
          <w:rFonts w:cs="Times New Roman"/>
          <w:iCs/>
          <w:lang w:val="fr-CA"/>
        </w:rPr>
        <w:t>(«</w:t>
      </w:r>
      <w:r w:rsidRPr="00A41CF8">
        <w:rPr>
          <w:rFonts w:cs="Times New Roman"/>
          <w:i/>
          <w:iCs/>
          <w:lang w:val="fr-CA"/>
        </w:rPr>
        <w:t> KMart </w:t>
      </w:r>
      <w:r w:rsidRPr="00A41CF8">
        <w:rPr>
          <w:rFonts w:cs="Times New Roman"/>
          <w:iCs/>
          <w:lang w:val="fr-CA"/>
        </w:rPr>
        <w:t>»)</w:t>
      </w:r>
      <w:r w:rsidRPr="00A41CF8">
        <w:rPr>
          <w:rFonts w:cs="Times New Roman"/>
          <w:lang w:val="fr-CA"/>
        </w:rPr>
        <w:t>, le juge Cory a affirmé, au nom de la Cour, que </w:t>
      </w:r>
      <w:r w:rsidRPr="00A41CF8">
        <w:rPr>
          <w:rFonts w:cs="Times New Roman"/>
          <w:szCs w:val="24"/>
          <w:lang w:val="fr-CA"/>
        </w:rPr>
        <w:t xml:space="preserve">« [p]our les employés, la liberté d’expression </w:t>
      </w:r>
      <w:r w:rsidRPr="00A41CF8">
        <w:rPr>
          <w:rStyle w:val="highlight"/>
          <w:szCs w:val="24"/>
          <w:lang w:val="fr-CA"/>
        </w:rPr>
        <w:t xml:space="preserve">devient une composante non seulement importante, mais </w:t>
      </w:r>
      <w:r w:rsidRPr="00A718E7">
        <w:rPr>
          <w:rStyle w:val="highlight"/>
          <w:i/>
          <w:szCs w:val="24"/>
          <w:lang w:val="fr-CA"/>
        </w:rPr>
        <w:t>essentielle</w:t>
      </w:r>
      <w:r w:rsidRPr="00A41CF8">
        <w:rPr>
          <w:rStyle w:val="highlight"/>
          <w:szCs w:val="24"/>
          <w:lang w:val="fr-CA"/>
        </w:rPr>
        <w:t xml:space="preserve"> des relations du travail </w:t>
      </w:r>
      <w:r w:rsidRPr="00A41CF8">
        <w:rPr>
          <w:rFonts w:cs="Times New Roman"/>
          <w:szCs w:val="24"/>
          <w:lang w:val="fr-CA"/>
        </w:rPr>
        <w:t>»</w:t>
      </w:r>
      <w:r w:rsidRPr="00A41CF8">
        <w:rPr>
          <w:rFonts w:cs="Times New Roman"/>
          <w:lang w:val="fr-CA"/>
        </w:rPr>
        <w:t xml:space="preserve"> (par. 25 (nous soulignons)).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Les activités expressives dans le contexte du travail se rattachent directement au droit des travailleurs, protégé par l’al. 2</w:t>
      </w:r>
      <w:r w:rsidRPr="00A41CF8">
        <w:rPr>
          <w:rFonts w:cs="Times New Roman"/>
          <w:i/>
          <w:iCs/>
          <w:lang w:val="fr-CA"/>
        </w:rPr>
        <w:t>d</w:t>
      </w:r>
      <w:r w:rsidRPr="00A41CF8">
        <w:rPr>
          <w:rFonts w:cs="Times New Roman"/>
          <w:lang w:val="fr-CA"/>
        </w:rPr>
        <w:t xml:space="preserve">) de la </w:t>
      </w:r>
      <w:r w:rsidRPr="00A41CF8">
        <w:rPr>
          <w:rFonts w:cs="Times New Roman"/>
          <w:i/>
          <w:lang w:val="fr-CA"/>
        </w:rPr>
        <w:t>Charte</w:t>
      </w:r>
      <w:r w:rsidRPr="00A41CF8">
        <w:rPr>
          <w:rFonts w:cs="Times New Roman"/>
          <w:lang w:val="fr-CA"/>
        </w:rPr>
        <w:t>, de s’associer pour atteindre des objectifs communs liés au travail</w:t>
      </w:r>
      <w:r w:rsidRPr="00A41CF8">
        <w:rPr>
          <w:rFonts w:cs="Times New Roman"/>
          <w:i/>
          <w:lang w:val="fr-CA"/>
        </w:rPr>
        <w:t xml:space="preserve"> </w:t>
      </w:r>
      <w:r w:rsidRPr="00A41CF8">
        <w:rPr>
          <w:rFonts w:cs="Times New Roman"/>
          <w:lang w:val="fr-CA"/>
        </w:rPr>
        <w:t>(</w:t>
      </w:r>
      <w:r w:rsidRPr="00A41CF8">
        <w:rPr>
          <w:rFonts w:cs="Times New Roman"/>
          <w:i/>
          <w:lang w:val="fr-CA"/>
        </w:rPr>
        <w:t>Ontario (Procureur général) c. Fraser</w:t>
      </w:r>
      <w:r w:rsidRPr="00A41CF8">
        <w:rPr>
          <w:rFonts w:cs="Times New Roman"/>
          <w:lang w:val="fr-CA"/>
        </w:rPr>
        <w:t>,</w:t>
      </w:r>
      <w:r w:rsidRPr="00A41CF8">
        <w:rPr>
          <w:rFonts w:cs="Times New Roman"/>
          <w:i/>
          <w:lang w:val="fr-CA"/>
        </w:rPr>
        <w:t xml:space="preserve"> </w:t>
      </w:r>
      <w:r w:rsidRPr="00A41CF8">
        <w:rPr>
          <w:rFonts w:cs="Times New Roman"/>
          <w:lang w:val="fr-CA"/>
        </w:rPr>
        <w:t>[2011] 2 R.C.S. 3, par. 38).  Ainsi que l’a fait observer l</w:t>
      </w:r>
      <w:r w:rsidR="002B090D">
        <w:rPr>
          <w:rFonts w:cs="Times New Roman"/>
          <w:lang w:val="fr-CA"/>
        </w:rPr>
        <w:t xml:space="preserve">’Organisation </w:t>
      </w:r>
      <w:r w:rsidRPr="00A41CF8">
        <w:rPr>
          <w:rFonts w:cs="Times New Roman"/>
          <w:lang w:val="fr-CA"/>
        </w:rPr>
        <w:t>international</w:t>
      </w:r>
      <w:r w:rsidR="002B090D">
        <w:rPr>
          <w:rFonts w:cs="Times New Roman"/>
          <w:lang w:val="fr-CA"/>
        </w:rPr>
        <w:t>e</w:t>
      </w:r>
      <w:r w:rsidRPr="00A41CF8">
        <w:rPr>
          <w:rFonts w:cs="Times New Roman"/>
          <w:lang w:val="fr-CA"/>
        </w:rPr>
        <w:t xml:space="preserve"> du travail</w:t>
      </w:r>
      <w:r w:rsidR="002B090D">
        <w:rPr>
          <w:rFonts w:cs="Times New Roman"/>
          <w:lang w:val="fr-CA"/>
        </w:rPr>
        <w:t>,</w:t>
      </w:r>
      <w:r w:rsidRPr="00A41CF8">
        <w:rPr>
          <w:rFonts w:cs="Times New Roman"/>
          <w:lang w:val="fr-CA"/>
        </w:rPr>
        <w:t xml:space="preserve"> « [l]’exercice de la liberté d’association et du droit de négociation collective repose sur la défense des libertés civiles fondamentales et notamment des suivantes : droit à [. . .] la l</w:t>
      </w:r>
      <w:r w:rsidR="000F1573">
        <w:rPr>
          <w:rFonts w:cs="Times New Roman"/>
          <w:lang w:val="fr-CA"/>
        </w:rPr>
        <w:t>iberté d’opinion, d’expression</w:t>
      </w:r>
      <w:r w:rsidRPr="00A41CF8">
        <w:rPr>
          <w:rFonts w:cs="Times New Roman"/>
          <w:lang w:val="fr-CA"/>
        </w:rPr>
        <w:t> » (</w:t>
      </w:r>
      <w:r w:rsidRPr="00A41CF8">
        <w:rPr>
          <w:rFonts w:cs="Times New Roman"/>
          <w:i/>
          <w:lang w:val="fr-CA"/>
        </w:rPr>
        <w:t>Rapport du directeur général</w:t>
      </w:r>
      <w:r w:rsidRPr="00A41CF8">
        <w:rPr>
          <w:rFonts w:cs="Times New Roman"/>
          <w:lang w:val="fr-CA"/>
        </w:rPr>
        <w:t> </w:t>
      </w:r>
      <w:r w:rsidRPr="000F1573">
        <w:rPr>
          <w:rFonts w:cs="Times New Roman"/>
          <w:i/>
          <w:lang w:val="fr-CA"/>
        </w:rPr>
        <w:t>:</w:t>
      </w:r>
      <w:r w:rsidRPr="00A41CF8">
        <w:rPr>
          <w:rFonts w:cs="Times New Roman"/>
          <w:lang w:val="fr-CA"/>
        </w:rPr>
        <w:t xml:space="preserve"> </w:t>
      </w:r>
      <w:r w:rsidRPr="00A41CF8">
        <w:rPr>
          <w:rFonts w:cs="Times New Roman"/>
          <w:i/>
          <w:lang w:val="fr-CA"/>
        </w:rPr>
        <w:t>Liberté d’association : enseignements tirés de la pratique</w:t>
      </w:r>
      <w:r w:rsidRPr="00A41CF8">
        <w:rPr>
          <w:rFonts w:cs="Times New Roman"/>
          <w:lang w:val="fr-CA"/>
        </w:rPr>
        <w:t xml:space="preserve"> (2008), par. 34).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spacing w:val="-3"/>
          <w:lang w:val="fr-CA"/>
        </w:rPr>
        <w:lastRenderedPageBreak/>
        <w:t xml:space="preserve">L’emploi d’une personne et ses conditions de travail sont susceptibles de façonner son identité, sa santé psychologique et sa perception de sa valeur personnelle </w:t>
      </w:r>
      <w:r w:rsidRPr="00A41CF8">
        <w:rPr>
          <w:rFonts w:cs="Times New Roman"/>
          <w:lang w:val="fr-CA"/>
        </w:rPr>
        <w:t>(</w:t>
      </w:r>
      <w:r w:rsidRPr="00A41CF8">
        <w:rPr>
          <w:rFonts w:cs="Times New Roman"/>
          <w:i/>
          <w:iCs/>
          <w:lang w:val="fr-CA"/>
        </w:rPr>
        <w:t>Renvoi relatif à la Public Service Employee Relations Act (Alb.)</w:t>
      </w:r>
      <w:r w:rsidRPr="00A41CF8">
        <w:rPr>
          <w:rFonts w:cs="Times New Roman"/>
          <w:lang w:val="fr-CA"/>
        </w:rPr>
        <w:t xml:space="preserve">, [1987] 1 R.C.S. 313, p. 368)).  Ainsi que la juge en chef McLachlin et le juge LeBel l’ont reconnu dans l’arrêt </w:t>
      </w:r>
      <w:r w:rsidRPr="00A41CF8">
        <w:rPr>
          <w:rFonts w:cs="Times New Roman"/>
          <w:i/>
          <w:lang w:val="fr-CA"/>
        </w:rPr>
        <w:t>Pepsi</w:t>
      </w:r>
      <w:r w:rsidRPr="00A41CF8">
        <w:rPr>
          <w:rFonts w:cs="Times New Roman"/>
          <w:lang w:val="fr-CA"/>
        </w:rPr>
        <w:t>,</w:t>
      </w:r>
      <w:r w:rsidRPr="00A41CF8">
        <w:rPr>
          <w:rFonts w:cs="Times New Roman"/>
          <w:i/>
          <w:lang w:val="fr-CA"/>
        </w:rPr>
        <w:t xml:space="preserve"> </w:t>
      </w:r>
      <w:r w:rsidRPr="00A41CF8">
        <w:rPr>
          <w:rFonts w:cs="Times New Roman"/>
          <w:lang w:val="fr-CA"/>
        </w:rPr>
        <w:t xml:space="preserve">la libre expression d’opinions sur ces questions « contribue [donc] à la compréhension de soi ainsi qu’à la capacité d’influencer sa vie au travail et sa vie en dehors du travail » (par. 34).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Dans le contexte du travail, la liberté d’expression peut également jouer un rôle important </w:t>
      </w:r>
      <w:r w:rsidRPr="00A41CF8">
        <w:rPr>
          <w:rFonts w:cs="Times New Roman"/>
          <w:lang w:val="fr-FR"/>
        </w:rPr>
        <w:t>pour éliminer ou atténuer l’inégalité</w:t>
      </w:r>
      <w:r w:rsidRPr="00A41CF8">
        <w:rPr>
          <w:rFonts w:cs="Times New Roman"/>
          <w:lang w:val="fr-CA"/>
        </w:rPr>
        <w:t xml:space="preserve"> présumée </w:t>
      </w:r>
      <w:r w:rsidRPr="00A41CF8">
        <w:rPr>
          <w:rFonts w:cs="Times New Roman"/>
          <w:lang w:val="fr-FR"/>
        </w:rPr>
        <w:t>entre le pouvoir économique de l’employeur et la vulnérabilité relative du travailleur</w:t>
      </w:r>
      <w:r w:rsidRPr="00A41CF8">
        <w:rPr>
          <w:rFonts w:cs="Times New Roman"/>
          <w:lang w:val="fr-CA"/>
        </w:rPr>
        <w:t xml:space="preserve"> (</w:t>
      </w:r>
      <w:r w:rsidRPr="00A41CF8">
        <w:rPr>
          <w:rFonts w:cs="Times New Roman"/>
          <w:i/>
          <w:lang w:val="fr-CA"/>
        </w:rPr>
        <w:t>Pepsi</w:t>
      </w:r>
      <w:r w:rsidRPr="00A41CF8">
        <w:rPr>
          <w:rFonts w:cs="Times New Roman"/>
          <w:lang w:val="fr-CA"/>
        </w:rPr>
        <w:t>,</w:t>
      </w:r>
      <w:r w:rsidRPr="00A41CF8">
        <w:rPr>
          <w:rFonts w:cs="Times New Roman"/>
          <w:i/>
          <w:lang w:val="fr-CA"/>
        </w:rPr>
        <w:t xml:space="preserve"> </w:t>
      </w:r>
      <w:r w:rsidRPr="00A41CF8">
        <w:rPr>
          <w:rFonts w:cs="Times New Roman"/>
          <w:lang w:val="fr-CA"/>
        </w:rPr>
        <w:t xml:space="preserve">par. 34).  </w:t>
      </w:r>
      <w:r w:rsidRPr="00A41CF8">
        <w:rPr>
          <w:rFonts w:cs="Times New Roman"/>
          <w:lang w:val="fr-FR"/>
        </w:rPr>
        <w:t xml:space="preserve">C’est grâce à leurs activités expressives que les syndicats sont en mesure de formuler et de promouvoir leurs intérêts communs et, en cas de conflit de travail, </w:t>
      </w:r>
      <w:r w:rsidRPr="00A41CF8">
        <w:rPr>
          <w:rFonts w:cs="Times New Roman"/>
          <w:lang w:val="fr-CA"/>
        </w:rPr>
        <w:t xml:space="preserve">de tenter d’infléchir l’employeur.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Enfin, dans le contexte du travail, la liberté d’expression est susceptible de favoriser des intérêts collectifs plus larges.  Ainsi que l’a jugé la Cour dans l’arrêt </w:t>
      </w:r>
      <w:r w:rsidRPr="00A41CF8">
        <w:rPr>
          <w:rFonts w:cs="Times New Roman"/>
          <w:i/>
          <w:lang w:val="fr-CA"/>
        </w:rPr>
        <w:t>Pepsi</w:t>
      </w:r>
      <w:r w:rsidRPr="00A41CF8">
        <w:rPr>
          <w:rFonts w:cs="Times New Roman"/>
          <w:lang w:val="fr-CA"/>
        </w:rPr>
        <w:t xml:space="preserve">, la </w:t>
      </w:r>
      <w:r w:rsidRPr="00A41CF8">
        <w:rPr>
          <w:rFonts w:cs="Times New Roman"/>
          <w:lang w:val="fr-FR"/>
        </w:rPr>
        <w:t>liberté d’expression des syndicats et de leurs membres durant un conflit de travail contribue largement à transporter sur la place publique le débat sur les co</w:t>
      </w:r>
      <w:r w:rsidR="000F1573">
        <w:rPr>
          <w:rFonts w:cs="Times New Roman"/>
          <w:lang w:val="fr-FR"/>
        </w:rPr>
        <w:t>nditions de travail (par. 34-</w:t>
      </w:r>
      <w:r w:rsidRPr="00A41CF8">
        <w:rPr>
          <w:rFonts w:cs="Times New Roman"/>
          <w:lang w:val="fr-FR"/>
        </w:rPr>
        <w:t xml:space="preserve">35).  </w:t>
      </w:r>
      <w:r w:rsidRPr="00A41CF8">
        <w:rPr>
          <w:rFonts w:cs="Times New Roman"/>
          <w:lang w:val="fr-CA"/>
        </w:rPr>
        <w:t>Comme l’a souligné la Cour dans le même arrêt</w:t>
      </w:r>
      <w:r w:rsidRPr="00A41CF8">
        <w:rPr>
          <w:rFonts w:cs="Times New Roman"/>
          <w:iCs/>
          <w:lang w:val="fr-CA"/>
        </w:rPr>
        <w:t>,</w:t>
      </w:r>
      <w:r w:rsidRPr="00A41CF8">
        <w:rPr>
          <w:rFonts w:cs="Times New Roman"/>
          <w:lang w:val="fr-FR"/>
        </w:rPr>
        <w:t xml:space="preserve"> </w:t>
      </w:r>
      <w:r w:rsidRPr="00A41CF8">
        <w:rPr>
          <w:rFonts w:cs="Times New Roman"/>
          <w:iCs/>
          <w:lang w:val="fr-CA"/>
        </w:rPr>
        <w:t>la liberté d’expression [</w:t>
      </w:r>
      <w:r w:rsidRPr="00A41CF8">
        <w:rPr>
          <w:rFonts w:cs="Times New Roman"/>
          <w:iCs/>
          <w:smallCaps/>
          <w:lang w:val="fr-CA"/>
        </w:rPr>
        <w:t>traduction</w:t>
      </w:r>
      <w:r w:rsidRPr="00A41CF8">
        <w:rPr>
          <w:rFonts w:cs="Times New Roman"/>
          <w:iCs/>
          <w:lang w:val="fr-CA"/>
        </w:rPr>
        <w:t xml:space="preserve">] « offre aux </w:t>
      </w:r>
      <w:r w:rsidRPr="00A41CF8">
        <w:rPr>
          <w:rFonts w:cs="Times New Roman"/>
          <w:lang w:val="fr-CA"/>
        </w:rPr>
        <w:t xml:space="preserve">syndicats un moyen de favoriser un débat public sur des questions de négociation collective au sein de la société civile en faisant en sorte que ces questions ne soient plus confinées au domaine étroit des </w:t>
      </w:r>
      <w:r w:rsidRPr="00A41CF8">
        <w:rPr>
          <w:rFonts w:cs="Times New Roman"/>
          <w:lang w:val="fr-CA"/>
        </w:rPr>
        <w:lastRenderedPageBreak/>
        <w:t xml:space="preserve">conflits économiques individualisés » (Michael MacNeil, « Unions and the </w:t>
      </w:r>
      <w:r w:rsidRPr="00A41CF8">
        <w:rPr>
          <w:rFonts w:cs="Times New Roman"/>
          <w:i/>
          <w:lang w:val="fr-CA"/>
        </w:rPr>
        <w:t>Charter</w:t>
      </w:r>
      <w:r w:rsidR="000F1573">
        <w:rPr>
          <w:rFonts w:cs="Times New Roman"/>
          <w:i/>
          <w:lang w:val="fr-CA"/>
        </w:rPr>
        <w:t xml:space="preserve"> </w:t>
      </w:r>
      <w:r w:rsidRPr="00A41CF8">
        <w:rPr>
          <w:rFonts w:cs="Times New Roman"/>
          <w:lang w:val="fr-CA"/>
        </w:rPr>
        <w:t xml:space="preserve">: The Supreme Court of Canada and Democratic Values » (2003), 10 </w:t>
      </w:r>
      <w:r w:rsidRPr="00A41CF8">
        <w:rPr>
          <w:rFonts w:cs="Times New Roman"/>
          <w:i/>
          <w:lang w:val="fr-CA"/>
        </w:rPr>
        <w:t>C.L.E.L.J.</w:t>
      </w:r>
      <w:r w:rsidRPr="00A41CF8">
        <w:rPr>
          <w:rFonts w:cs="Times New Roman"/>
          <w:lang w:val="fr-CA"/>
        </w:rPr>
        <w:t xml:space="preserve"> 3, p. 24).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Depuis la Seconde Guerre mondiale, le gouvernement canadien reconnaît que les syndicats ont un rôle à jouer au sein de l’économie canadienne et de la société en général (George W. Adams, </w:t>
      </w:r>
      <w:r w:rsidRPr="00A41CF8">
        <w:rPr>
          <w:rFonts w:cs="Times New Roman"/>
          <w:i/>
          <w:lang w:val="fr-CA"/>
        </w:rPr>
        <w:t>Canadian Labour Law</w:t>
      </w:r>
      <w:r w:rsidRPr="00A41CF8">
        <w:rPr>
          <w:rFonts w:cs="Times New Roman"/>
          <w:lang w:val="fr-CA"/>
        </w:rPr>
        <w:t xml:space="preserve"> (2</w:t>
      </w:r>
      <w:r w:rsidRPr="00A41CF8">
        <w:rPr>
          <w:rFonts w:cs="Times New Roman"/>
          <w:vertAlign w:val="superscript"/>
          <w:lang w:val="fr-CA"/>
        </w:rPr>
        <w:t>e</w:t>
      </w:r>
      <w:r w:rsidRPr="00A41CF8">
        <w:rPr>
          <w:rFonts w:cs="Times New Roman"/>
          <w:lang w:val="fr-CA"/>
        </w:rPr>
        <w:t> éd. (f</w:t>
      </w:r>
      <w:r w:rsidR="00FF26F5">
        <w:rPr>
          <w:rFonts w:cs="Times New Roman"/>
          <w:lang w:val="fr-CA"/>
        </w:rPr>
        <w:t>euilles mobiles)), vol. 1, p. 1-</w:t>
      </w:r>
      <w:r w:rsidRPr="00A41CF8">
        <w:rPr>
          <w:rFonts w:cs="Times New Roman"/>
          <w:lang w:val="fr-CA"/>
        </w:rPr>
        <w:t xml:space="preserve">11 </w:t>
      </w:r>
      <w:r w:rsidR="000F1573">
        <w:rPr>
          <w:rFonts w:cs="Times New Roman"/>
          <w:lang w:val="fr-CA"/>
        </w:rPr>
        <w:t>à</w:t>
      </w:r>
      <w:r w:rsidR="00FF26F5">
        <w:rPr>
          <w:rFonts w:cs="Times New Roman"/>
          <w:lang w:val="fr-CA"/>
        </w:rPr>
        <w:t xml:space="preserve"> 1-</w:t>
      </w:r>
      <w:r w:rsidRPr="00A41CF8">
        <w:rPr>
          <w:rFonts w:cs="Times New Roman"/>
          <w:lang w:val="fr-CA"/>
        </w:rPr>
        <w:t xml:space="preserve">16).  On en est ainsi venu à accepter de façon générale que les travailleurs ont le droit de s’associer et de négocier collectivement et que, en cas de rupture des négociations collectives, les syndicats et les employeurs peuvent, dans certains cas, exercer légitimement des sanctions économiques pour faciliter le règlement du différend en leur faveur (Wesley B. Rayner, </w:t>
      </w:r>
      <w:r w:rsidRPr="00A41CF8">
        <w:rPr>
          <w:rFonts w:cs="Times New Roman"/>
          <w:i/>
          <w:lang w:val="fr-CA"/>
        </w:rPr>
        <w:t xml:space="preserve">Canadian Collective Bargaining Law </w:t>
      </w:r>
      <w:r w:rsidRPr="00A41CF8">
        <w:rPr>
          <w:rFonts w:cs="Times New Roman"/>
          <w:lang w:val="fr-CA"/>
        </w:rPr>
        <w:t>(2</w:t>
      </w:r>
      <w:r w:rsidRPr="00A41CF8">
        <w:rPr>
          <w:rFonts w:cs="Times New Roman"/>
          <w:vertAlign w:val="superscript"/>
          <w:lang w:val="fr-CA"/>
        </w:rPr>
        <w:t>e</w:t>
      </w:r>
      <w:r w:rsidR="000F1573">
        <w:rPr>
          <w:rFonts w:cs="Times New Roman"/>
          <w:lang w:val="fr-CA"/>
        </w:rPr>
        <w:t> éd.</w:t>
      </w:r>
      <w:r w:rsidRPr="00A41CF8">
        <w:rPr>
          <w:rFonts w:cs="Times New Roman"/>
          <w:lang w:val="fr-CA"/>
        </w:rPr>
        <w:t xml:space="preserve"> 2007), p. 2 et 457).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Dans le contexte du travail, le piquetage constitue une forme d’expression particulièrement vitale et fermement ancrée dans l’histoire.  Les syndicats canadiens recourent aux grèves et aux lignes de piquetage pour exercer des pressions économiques et négocier avec les employeurs depuis plus d’</w:t>
      </w:r>
      <w:r w:rsidR="000F1573">
        <w:rPr>
          <w:rFonts w:cs="Times New Roman"/>
          <w:lang w:val="fr-CA"/>
        </w:rPr>
        <w:t>un siècle (affidavit de Jeffer</w:t>
      </w:r>
      <w:r w:rsidRPr="00A41CF8">
        <w:rPr>
          <w:rFonts w:cs="Times New Roman"/>
          <w:lang w:val="fr-CA"/>
        </w:rPr>
        <w:t>y M. Taylor, d.a., vol. IV, p. 35).  Le recours aux lignes de piquetage constitue un outil d’une valeur inestimable dans l’arsenal économique des travailleurs au cours des négociations collectives (Rayner, p. 483).  Ainsi que</w:t>
      </w:r>
      <w:r w:rsidR="000F1573">
        <w:rPr>
          <w:rFonts w:cs="Times New Roman"/>
          <w:lang w:val="fr-CA"/>
        </w:rPr>
        <w:t xml:space="preserve"> </w:t>
      </w:r>
      <w:r w:rsidRPr="00A41CF8">
        <w:rPr>
          <w:rFonts w:cs="Times New Roman"/>
          <w:lang w:val="fr-CA"/>
        </w:rPr>
        <w:t xml:space="preserve">Judith McCormack, qui était alors présidente de la Commission des relations de travail de l’Ontario, l’a expliqué </w:t>
      </w:r>
      <w:r w:rsidRPr="00A41CF8">
        <w:rPr>
          <w:rFonts w:cs="Times New Roman"/>
          <w:lang w:val="fr-CA"/>
        </w:rPr>
        <w:lastRenderedPageBreak/>
        <w:t xml:space="preserve">dans la décision </w:t>
      </w:r>
      <w:r w:rsidRPr="00A41CF8">
        <w:rPr>
          <w:rFonts w:cs="Times New Roman"/>
          <w:i/>
          <w:iCs/>
          <w:lang w:val="fr-CA"/>
        </w:rPr>
        <w:t>Great Atlantic &amp; Pacific Co. of Canada</w:t>
      </w:r>
      <w:r w:rsidR="000F1573">
        <w:rPr>
          <w:rFonts w:cs="Times New Roman"/>
          <w:lang w:val="fr-CA"/>
        </w:rPr>
        <w:t>, [1994] O.L.R.B. Rep.</w:t>
      </w:r>
      <w:r w:rsidRPr="00A41CF8">
        <w:rPr>
          <w:rFonts w:cs="Times New Roman"/>
          <w:lang w:val="fr-CA"/>
        </w:rPr>
        <w:t xml:space="preserve"> </w:t>
      </w:r>
      <w:r w:rsidR="002B090D">
        <w:rPr>
          <w:rFonts w:cs="Times New Roman"/>
          <w:lang w:val="fr-CA"/>
        </w:rPr>
        <w:t>March</w:t>
      </w:r>
      <w:r w:rsidRPr="00A41CF8">
        <w:rPr>
          <w:rFonts w:cs="Times New Roman"/>
          <w:lang w:val="fr-CA"/>
        </w:rPr>
        <w:t> 303 :</w:t>
      </w:r>
    </w:p>
    <w:p w:rsidR="00503A71" w:rsidRPr="00A41CF8" w:rsidRDefault="00503A71" w:rsidP="00503A71">
      <w:pPr>
        <w:pStyle w:val="Citation-AltC"/>
        <w:ind w:hanging="1166"/>
        <w:contextualSpacing w:val="0"/>
        <w:rPr>
          <w:szCs w:val="24"/>
          <w:lang w:val="fr-CA"/>
        </w:rPr>
      </w:pPr>
      <w:r w:rsidRPr="00A41CF8">
        <w:rPr>
          <w:lang w:val="fr-CA"/>
        </w:rPr>
        <w:tab/>
        <w:t>[</w:t>
      </w:r>
      <w:r w:rsidRPr="00A41CF8">
        <w:rPr>
          <w:smallCaps/>
          <w:lang w:val="fr-CA"/>
        </w:rPr>
        <w:t>traduction</w:t>
      </w:r>
      <w:r w:rsidRPr="00A41CF8">
        <w:rPr>
          <w:lang w:val="fr-CA"/>
        </w:rPr>
        <w:t>]  La mise en place de piquets de grève fait [. . .] partie d’une série de sanctions économiques qui sont considérées comme un élément essentiel du régime de négociations collectives dans son ensemble.  Bien qu’on ne recoure pas fréquemment à ce type de sanctions en matière de négociation collective, il est évident que c’est la menace sous</w:t>
      </w:r>
      <w:r w:rsidRPr="00A41CF8">
        <w:rPr>
          <w:lang w:val="fr-CA"/>
        </w:rPr>
        <w:noBreakHyphen/>
        <w:t>jacente des conflits économiques qui explique le dénouement sans histoire de la grande majorité des négociations ainsi que la conclusion également sans histoire des conventions collectives</w:t>
      </w:r>
      <w:r w:rsidR="000F1573">
        <w:rPr>
          <w:szCs w:val="24"/>
          <w:lang w:val="fr-CA"/>
        </w:rPr>
        <w:t>.  [p</w:t>
      </w:r>
      <w:r w:rsidRPr="00A41CF8">
        <w:rPr>
          <w:szCs w:val="24"/>
          <w:lang w:val="fr-CA"/>
        </w:rPr>
        <w:t>ar. 35]</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L’efficacité des lignes de piquetage dépend de la capacité du syndicat de convaincre le public de ne pas les franchir et de s’abstenir de faire affaire avec l’employeur.  Le juge Cory a reconnu l’importance de l’opinion publique dans l’arrêt </w:t>
      </w:r>
      <w:r w:rsidRPr="00A41CF8">
        <w:rPr>
          <w:rFonts w:cs="Times New Roman"/>
          <w:i/>
          <w:lang w:val="fr-CA"/>
        </w:rPr>
        <w:t>KMart</w:t>
      </w:r>
      <w:r w:rsidRPr="00A41CF8">
        <w:rPr>
          <w:rFonts w:cs="Times New Roman"/>
          <w:lang w:val="fr-CA"/>
        </w:rPr>
        <w:t>,</w:t>
      </w:r>
      <w:r w:rsidRPr="00A41CF8">
        <w:rPr>
          <w:rFonts w:cs="Times New Roman"/>
          <w:i/>
          <w:lang w:val="fr-CA"/>
        </w:rPr>
        <w:t xml:space="preserve"> </w:t>
      </w:r>
      <w:r w:rsidRPr="00A41CF8">
        <w:rPr>
          <w:rFonts w:cs="Times New Roman"/>
          <w:lang w:val="fr-CA"/>
        </w:rPr>
        <w:t>où</w:t>
      </w:r>
      <w:r w:rsidRPr="00A41CF8">
        <w:rPr>
          <w:rFonts w:cs="Times New Roman"/>
          <w:iCs/>
          <w:lang w:val="fr-CA"/>
        </w:rPr>
        <w:t xml:space="preserve"> il a fait observer que </w:t>
      </w:r>
      <w:r w:rsidRPr="00A41CF8">
        <w:rPr>
          <w:rFonts w:cs="Times New Roman"/>
          <w:lang w:val="fr-CA"/>
        </w:rPr>
        <w:t xml:space="preserve">« c’est souvent le poids de l’opinion publique qui détermine l’issue </w:t>
      </w:r>
      <w:r w:rsidR="002B090D">
        <w:rPr>
          <w:rFonts w:cs="Times New Roman"/>
          <w:lang w:val="fr-CA"/>
        </w:rPr>
        <w:t>[du]</w:t>
      </w:r>
      <w:r w:rsidRPr="00A41CF8">
        <w:rPr>
          <w:rFonts w:cs="Times New Roman"/>
          <w:lang w:val="fr-CA"/>
        </w:rPr>
        <w:t xml:space="preserve"> conflit » (par. 46).  Dans certains cas, on peut atteindre cet objectif simplement en faisant connaître l’existence du conflit de travail.  Dans d’autres, toutefois, le syndicat peut atteindre son objectif en exerçant des pressions sur les personnes qui ont l’intention de franchir la ligne de piquetage.  On en est venu à accepter que l’exercice de pressions publiques ou économiques constitue un prix légitime à payer pour inciter les parties à régler leur différend.  Comme la juge en chef McLachlin et le juge LeBel l’ont fait observer dans l’arrêt </w:t>
      </w:r>
      <w:r w:rsidRPr="00A41CF8">
        <w:rPr>
          <w:rFonts w:cs="Times New Roman"/>
          <w:i/>
          <w:lang w:val="fr-CA"/>
        </w:rPr>
        <w:t>Pepsi</w:t>
      </w:r>
      <w:r w:rsidRPr="00A41CF8">
        <w:rPr>
          <w:rFonts w:cs="Times New Roman"/>
          <w:lang w:val="fr-CA"/>
        </w:rPr>
        <w:t>,</w:t>
      </w:r>
      <w:r w:rsidRPr="00A41CF8">
        <w:rPr>
          <w:rFonts w:cs="Times New Roman"/>
          <w:i/>
          <w:lang w:val="fr-CA"/>
        </w:rPr>
        <w:t xml:space="preserve"> </w:t>
      </w:r>
      <w:r w:rsidRPr="00A41CF8">
        <w:rPr>
          <w:rFonts w:cs="Times New Roman"/>
          <w:lang w:val="fr-CA"/>
        </w:rPr>
        <w:t>une grève n’est pas une partie de plaisir (par. 90).  La Cour a reconnu que cette pression était permise dès lors qu’elle ne dégénère pas au point de donner lieu à un acte délictueux ou criminel (</w:t>
      </w:r>
      <w:r w:rsidRPr="00A41CF8">
        <w:rPr>
          <w:rFonts w:cs="Times New Roman"/>
          <w:i/>
          <w:lang w:val="fr-CA"/>
        </w:rPr>
        <w:t>Pepsi</w:t>
      </w:r>
      <w:r w:rsidRPr="00A41CF8">
        <w:rPr>
          <w:rFonts w:cs="Times New Roman"/>
          <w:iCs/>
          <w:lang w:val="fr-CA"/>
        </w:rPr>
        <w:t>,</w:t>
      </w:r>
      <w:r w:rsidRPr="00A41CF8">
        <w:rPr>
          <w:rFonts w:cs="Times New Roman"/>
          <w:i/>
          <w:lang w:val="fr-CA"/>
        </w:rPr>
        <w:t xml:space="preserve"> </w:t>
      </w:r>
      <w:r w:rsidRPr="00A41CF8">
        <w:rPr>
          <w:rFonts w:cs="Times New Roman"/>
          <w:lang w:val="fr-CA"/>
        </w:rPr>
        <w:t>par. 96 et 101</w:t>
      </w:r>
      <w:r w:rsidRPr="00A41CF8">
        <w:rPr>
          <w:rFonts w:cs="Times New Roman"/>
          <w:lang w:val="fr-CA"/>
        </w:rPr>
        <w:noBreakHyphen/>
        <w:t xml:space="preserve">107).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iCs/>
          <w:lang w:val="fr-CA"/>
        </w:rPr>
        <w:lastRenderedPageBreak/>
        <w:t xml:space="preserve">La </w:t>
      </w:r>
      <w:r w:rsidRPr="00A41CF8">
        <w:rPr>
          <w:rFonts w:cs="Times New Roman"/>
          <w:i/>
          <w:lang w:val="fr-CA"/>
        </w:rPr>
        <w:t>PIPA</w:t>
      </w:r>
      <w:r w:rsidRPr="00A41CF8">
        <w:rPr>
          <w:rFonts w:cs="Times New Roman"/>
          <w:lang w:val="fr-CA"/>
        </w:rPr>
        <w:t xml:space="preserve"> restreint la faculté du </w:t>
      </w:r>
      <w:r w:rsidRPr="00A41CF8">
        <w:rPr>
          <w:rFonts w:cs="Times New Roman"/>
          <w:szCs w:val="24"/>
          <w:lang w:val="fr-CA" w:eastAsia="en-CA"/>
        </w:rPr>
        <w:t>syndicat de communiquer avec le public et de le convaincre du bien</w:t>
      </w:r>
      <w:r w:rsidRPr="00A41CF8">
        <w:rPr>
          <w:rFonts w:cs="Times New Roman"/>
          <w:szCs w:val="24"/>
          <w:lang w:val="fr-CA" w:eastAsia="en-CA"/>
        </w:rPr>
        <w:noBreakHyphen/>
        <w:t>fondé de sa cause, compromettant ainsi sa capacité de recourir à une de ses stratégies de négociation les plus efficaces au cours d’une grève légale.  À notre avis, cette atteinte au droit à la liberté d’expression est disproportionnée par rapport à l’objectif du gouvernement d’accorder aux personnes un droit de regard sur les renseignements personnels qu’</w:t>
      </w:r>
      <w:r w:rsidR="002B090D">
        <w:rPr>
          <w:rFonts w:cs="Times New Roman"/>
          <w:szCs w:val="24"/>
          <w:lang w:val="fr-CA" w:eastAsia="en-CA"/>
        </w:rPr>
        <w:t>elles</w:t>
      </w:r>
      <w:r w:rsidRPr="00A41CF8">
        <w:rPr>
          <w:rFonts w:cs="Times New Roman"/>
          <w:szCs w:val="24"/>
          <w:lang w:val="fr-CA" w:eastAsia="en-CA"/>
        </w:rPr>
        <w:t xml:space="preserve"> exposent en franchissant une ligne de piquetage.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Cette conclusion ne nous oblige pas à cautionner toutes les activités du syndicat.  Vu l’ampleur des restrictions imposées par la </w:t>
      </w:r>
      <w:r w:rsidRPr="00A41CF8">
        <w:rPr>
          <w:rFonts w:cs="Times New Roman"/>
          <w:i/>
          <w:lang w:val="fr-CA"/>
        </w:rPr>
        <w:t>Loi</w:t>
      </w:r>
      <w:r w:rsidRPr="00A41CF8">
        <w:rPr>
          <w:rFonts w:cs="Times New Roman"/>
          <w:lang w:val="fr-CA"/>
        </w:rPr>
        <w:t xml:space="preserve">, il n’est pas nécessaire d’examiner l’activité expressive précise en litige dans la présente affaire.  Il suffit de souligner qu’à l’instar de la protection de la vie privée, la liberté d’expression n’est pas une valeur absolue et qu’on doit tenir compte à la fois de la nature des droits à la vie privée en jeu et de celle de l’expression pour atteindre un juste équilibre entre eux.  Dans la mesure où la </w:t>
      </w:r>
      <w:r w:rsidRPr="00A41CF8">
        <w:rPr>
          <w:rFonts w:cs="Times New Roman"/>
          <w:i/>
          <w:lang w:val="fr-CA"/>
        </w:rPr>
        <w:t xml:space="preserve">PIPA </w:t>
      </w:r>
      <w:r w:rsidRPr="00A41CF8">
        <w:rPr>
          <w:rFonts w:cs="Times New Roman"/>
          <w:iCs/>
          <w:lang w:val="fr-CA"/>
        </w:rPr>
        <w:t xml:space="preserve">empêchait le </w:t>
      </w:r>
      <w:r w:rsidRPr="00A41CF8">
        <w:rPr>
          <w:rFonts w:cs="Times New Roman"/>
          <w:lang w:val="fr-CA"/>
        </w:rPr>
        <w:t xml:space="preserve">syndicat de recueillir, d’utiliser et de communiquer des renseignements personnels à des fins légitimes de relations du travail, la </w:t>
      </w:r>
      <w:r w:rsidRPr="00A41CF8">
        <w:rPr>
          <w:rFonts w:cs="Times New Roman"/>
          <w:i/>
          <w:lang w:val="fr-CA"/>
        </w:rPr>
        <w:t>Loi</w:t>
      </w:r>
      <w:r w:rsidRPr="00A41CF8">
        <w:rPr>
          <w:rFonts w:cs="Times New Roman"/>
          <w:lang w:val="fr-CA"/>
        </w:rPr>
        <w:t xml:space="preserve"> viole l’al. 2</w:t>
      </w:r>
      <w:r w:rsidRPr="00A41CF8">
        <w:rPr>
          <w:rFonts w:cs="Times New Roman"/>
          <w:i/>
          <w:lang w:val="fr-CA"/>
        </w:rPr>
        <w:t>b</w:t>
      </w:r>
      <w:r w:rsidRPr="00A41CF8">
        <w:rPr>
          <w:rFonts w:cs="Times New Roman"/>
          <w:lang w:val="fr-CA"/>
        </w:rPr>
        <w:t xml:space="preserve">) de la </w:t>
      </w:r>
      <w:r w:rsidRPr="00A41CF8">
        <w:rPr>
          <w:rFonts w:cs="Times New Roman"/>
          <w:i/>
          <w:lang w:val="fr-CA"/>
        </w:rPr>
        <w:t xml:space="preserve">Charte </w:t>
      </w:r>
      <w:r w:rsidRPr="00A41CF8">
        <w:rPr>
          <w:rFonts w:cs="Times New Roman"/>
          <w:iCs/>
          <w:lang w:val="fr-CA"/>
        </w:rPr>
        <w:t xml:space="preserve">et cette violation ne saurait se justifier </w:t>
      </w:r>
      <w:r w:rsidRPr="00A41CF8">
        <w:rPr>
          <w:rFonts w:cs="Times New Roman"/>
          <w:lang w:val="fr-CA"/>
        </w:rPr>
        <w:t>au sens de l’article premier.</w:t>
      </w:r>
    </w:p>
    <w:p w:rsidR="00503A71" w:rsidRPr="00A41CF8" w:rsidRDefault="00503A71" w:rsidP="00503A71">
      <w:pPr>
        <w:pStyle w:val="ParaNoNdepar-AltN"/>
        <w:widowControl w:val="0"/>
        <w:tabs>
          <w:tab w:val="clear" w:pos="1166"/>
          <w:tab w:val="num" w:pos="1152"/>
        </w:tabs>
        <w:rPr>
          <w:rFonts w:cs="Times New Roman"/>
          <w:lang w:val="fr-CA"/>
        </w:rPr>
      </w:pPr>
      <w:r w:rsidRPr="00A41CF8">
        <w:rPr>
          <w:rFonts w:cs="Times New Roman"/>
          <w:lang w:val="fr-CA"/>
        </w:rPr>
        <w:t xml:space="preserve">Par conséquent, nous sommes d’avis de répondre comme suit aux questions constitutionnelles : </w:t>
      </w:r>
    </w:p>
    <w:p w:rsidR="00503A71" w:rsidRPr="00A41CF8" w:rsidRDefault="00503A71" w:rsidP="000F1573">
      <w:pPr>
        <w:pStyle w:val="Citation-AltC"/>
        <w:tabs>
          <w:tab w:val="left" w:pos="1170"/>
        </w:tabs>
        <w:ind w:left="1714" w:hanging="1714"/>
        <w:contextualSpacing w:val="0"/>
        <w:rPr>
          <w:lang w:val="fr-CA"/>
        </w:rPr>
      </w:pPr>
      <w:r w:rsidRPr="00A41CF8">
        <w:rPr>
          <w:lang w:val="fr-CA"/>
        </w:rPr>
        <w:tab/>
        <w:t xml:space="preserve">1. </w:t>
      </w:r>
      <w:r w:rsidRPr="00A41CF8">
        <w:rPr>
          <w:lang w:val="fr-CA"/>
        </w:rPr>
        <w:tab/>
        <w:t xml:space="preserve">La </w:t>
      </w:r>
      <w:r w:rsidRPr="00A41CF8">
        <w:rPr>
          <w:i/>
          <w:lang w:val="fr-CA"/>
        </w:rPr>
        <w:t>Personal Information Protection Act</w:t>
      </w:r>
      <w:r w:rsidRPr="00A41CF8">
        <w:rPr>
          <w:lang w:val="fr-CA"/>
        </w:rPr>
        <w:t>, S.A. 2003, ch. P</w:t>
      </w:r>
      <w:r w:rsidRPr="00A41CF8">
        <w:rPr>
          <w:lang w:val="fr-CA"/>
        </w:rPr>
        <w:noBreakHyphen/>
        <w:t xml:space="preserve">6.5, et le </w:t>
      </w:r>
      <w:r w:rsidRPr="00A41CF8">
        <w:rPr>
          <w:i/>
          <w:iCs/>
          <w:lang w:val="fr-CA"/>
        </w:rPr>
        <w:t>Personal Information Protection</w:t>
      </w:r>
      <w:r w:rsidR="000F1573">
        <w:rPr>
          <w:i/>
          <w:iCs/>
          <w:lang w:val="fr-CA"/>
        </w:rPr>
        <w:t xml:space="preserve"> Act</w:t>
      </w:r>
      <w:r w:rsidRPr="00A41CF8">
        <w:rPr>
          <w:i/>
          <w:iCs/>
          <w:lang w:val="fr-CA"/>
        </w:rPr>
        <w:t xml:space="preserve"> Regulation</w:t>
      </w:r>
      <w:r w:rsidRPr="00A41CF8">
        <w:rPr>
          <w:lang w:val="fr-CA"/>
        </w:rPr>
        <w:t>, Alta</w:t>
      </w:r>
      <w:r w:rsidR="000F1573">
        <w:rPr>
          <w:lang w:val="fr-CA"/>
        </w:rPr>
        <w:t>.</w:t>
      </w:r>
      <w:r w:rsidRPr="00A41CF8">
        <w:rPr>
          <w:lang w:val="fr-CA"/>
        </w:rPr>
        <w:t xml:space="preserve"> Reg. 366/2003, portent</w:t>
      </w:r>
      <w:r w:rsidRPr="00A41CF8">
        <w:rPr>
          <w:lang w:val="fr-CA"/>
        </w:rPr>
        <w:noBreakHyphen/>
        <w:t>ils atteinte aux droits protégés par l’al. 2</w:t>
      </w:r>
      <w:r w:rsidRPr="00A41CF8">
        <w:rPr>
          <w:i/>
          <w:lang w:val="fr-CA"/>
        </w:rPr>
        <w:t>b</w:t>
      </w:r>
      <w:r w:rsidRPr="00A41CF8">
        <w:rPr>
          <w:lang w:val="fr-CA"/>
        </w:rPr>
        <w:t xml:space="preserve">) de la </w:t>
      </w:r>
      <w:r w:rsidRPr="00A41CF8">
        <w:rPr>
          <w:i/>
          <w:lang w:val="fr-CA"/>
        </w:rPr>
        <w:lastRenderedPageBreak/>
        <w:t xml:space="preserve">Charte canadienne des droits et libertés </w:t>
      </w:r>
      <w:r w:rsidRPr="00A41CF8">
        <w:rPr>
          <w:lang w:val="fr-CA"/>
        </w:rPr>
        <w:t xml:space="preserve">dans la mesure où ils limitent la capacité d’un syndicat de recueillir, d’utiliser </w:t>
      </w:r>
      <w:r>
        <w:rPr>
          <w:lang w:val="fr-CA"/>
        </w:rPr>
        <w:t>ou</w:t>
      </w:r>
      <w:r w:rsidRPr="00A41CF8">
        <w:rPr>
          <w:lang w:val="fr-CA"/>
        </w:rPr>
        <w:t xml:space="preserve"> de communiquer des renseignements personnels pendant une grève légale?</w:t>
      </w:r>
    </w:p>
    <w:p w:rsidR="00503A71" w:rsidRPr="00A41CF8" w:rsidRDefault="000F1573" w:rsidP="000F1573">
      <w:pPr>
        <w:pStyle w:val="Citation-AltC"/>
        <w:spacing w:after="480" w:line="480" w:lineRule="auto"/>
        <w:ind w:hanging="1166"/>
        <w:contextualSpacing w:val="0"/>
        <w:rPr>
          <w:lang w:val="fr-CA"/>
        </w:rPr>
      </w:pPr>
      <w:r>
        <w:rPr>
          <w:lang w:val="fr-CA"/>
        </w:rPr>
        <w:t xml:space="preserve">Réponse : </w:t>
      </w:r>
      <w:r w:rsidR="00503A71" w:rsidRPr="00A41CF8">
        <w:rPr>
          <w:lang w:val="fr-CA"/>
        </w:rPr>
        <w:t>Oui.</w:t>
      </w:r>
    </w:p>
    <w:p w:rsidR="00503A71" w:rsidRPr="00A41CF8" w:rsidRDefault="00503A71" w:rsidP="000F1573">
      <w:pPr>
        <w:pStyle w:val="Citation-AltC"/>
        <w:tabs>
          <w:tab w:val="left" w:pos="1170"/>
        </w:tabs>
        <w:ind w:left="1714" w:hanging="1714"/>
        <w:contextualSpacing w:val="0"/>
        <w:rPr>
          <w:lang w:val="fr-CA"/>
        </w:rPr>
      </w:pPr>
      <w:r w:rsidRPr="00A41CF8">
        <w:rPr>
          <w:lang w:val="fr-CA"/>
        </w:rPr>
        <w:tab/>
        <w:t>2.</w:t>
      </w:r>
      <w:r w:rsidRPr="00A41CF8">
        <w:rPr>
          <w:lang w:val="fr-CA"/>
        </w:rPr>
        <w:tab/>
        <w:t>Dans l’affirmative, cette atteinte constitue</w:t>
      </w:r>
      <w:r w:rsidRPr="00A41CF8">
        <w:rPr>
          <w:lang w:val="fr-CA"/>
        </w:rPr>
        <w:noBreakHyphen/>
        <w:t>t</w:t>
      </w:r>
      <w:r w:rsidRPr="00A41CF8">
        <w:rPr>
          <w:lang w:val="fr-CA"/>
        </w:rPr>
        <w:noBreakHyphen/>
        <w:t xml:space="preserve">elle une limite raisonnable, prescrite par une règle de droit, dont la justification peut être démontrée dans une société libre et démocratique au sens de l’article premier de la </w:t>
      </w:r>
      <w:r w:rsidRPr="00A41CF8">
        <w:rPr>
          <w:i/>
          <w:lang w:val="fr-CA"/>
        </w:rPr>
        <w:t>Charte canadienne des droits et libertés</w:t>
      </w:r>
      <w:r w:rsidRPr="00A41CF8">
        <w:rPr>
          <w:lang w:val="fr-CA"/>
        </w:rPr>
        <w:t xml:space="preserve">? </w:t>
      </w:r>
    </w:p>
    <w:p w:rsidR="00503A71" w:rsidRPr="00A41CF8" w:rsidRDefault="000F1573" w:rsidP="000F1573">
      <w:pPr>
        <w:pStyle w:val="Citation-AltC"/>
        <w:spacing w:after="480" w:line="480" w:lineRule="auto"/>
        <w:ind w:hanging="1166"/>
        <w:contextualSpacing w:val="0"/>
        <w:rPr>
          <w:lang w:val="fr-CA"/>
        </w:rPr>
      </w:pPr>
      <w:r>
        <w:rPr>
          <w:lang w:val="fr-CA"/>
        </w:rPr>
        <w:t xml:space="preserve">Réponse : </w:t>
      </w:r>
      <w:r w:rsidR="00503A71" w:rsidRPr="00A41CF8">
        <w:rPr>
          <w:lang w:val="fr-CA"/>
        </w:rPr>
        <w:t>Non.</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Tant le commissaire à l’information et à la protection de la vie privée que le procureur général de l’Alberta ont affirmé lors des débats que s’ils n’obtenaient pas gain de cause, ils préféreraient que la </w:t>
      </w:r>
      <w:r w:rsidRPr="00A41CF8">
        <w:rPr>
          <w:rFonts w:cs="Times New Roman"/>
          <w:i/>
          <w:lang w:val="fr-CA"/>
        </w:rPr>
        <w:t>PIPA</w:t>
      </w:r>
      <w:r w:rsidRPr="00A41CF8">
        <w:rPr>
          <w:rFonts w:cs="Times New Roman"/>
          <w:lang w:val="fr-CA"/>
        </w:rPr>
        <w:t xml:space="preserve"> soit invalidée en entier.  Nous sommes du même avis.  Compte tenu de l’économie exhaustive et intégrée de la </w:t>
      </w:r>
      <w:r w:rsidRPr="00A41CF8">
        <w:rPr>
          <w:rFonts w:cs="Times New Roman"/>
          <w:i/>
          <w:lang w:val="fr-CA"/>
        </w:rPr>
        <w:t>Loi</w:t>
      </w:r>
      <w:r w:rsidRPr="00A41CF8">
        <w:rPr>
          <w:rFonts w:cs="Times New Roman"/>
          <w:lang w:val="fr-CA"/>
        </w:rPr>
        <w:t xml:space="preserve">, il ne nous paraît pas approprié de faire un tri parmi les diverses modifications qui rendraient la </w:t>
      </w:r>
      <w:r w:rsidRPr="00A41CF8">
        <w:rPr>
          <w:rFonts w:cs="Times New Roman"/>
          <w:i/>
          <w:lang w:val="fr-CA"/>
        </w:rPr>
        <w:t>PIPA</w:t>
      </w:r>
      <w:r w:rsidRPr="00A41CF8">
        <w:rPr>
          <w:rFonts w:cs="Times New Roman"/>
          <w:lang w:val="fr-CA"/>
        </w:rPr>
        <w:t xml:space="preserve"> conforme à la Constitution (</w:t>
      </w:r>
      <w:r w:rsidRPr="00A41CF8">
        <w:rPr>
          <w:rFonts w:cs="Times New Roman"/>
          <w:i/>
          <w:lang w:val="fr-CA"/>
        </w:rPr>
        <w:t>R. c. Morgentaler</w:t>
      </w:r>
      <w:r w:rsidRPr="00A41CF8">
        <w:rPr>
          <w:rFonts w:cs="Times New Roman"/>
          <w:lang w:val="fr-CA"/>
        </w:rPr>
        <w:t>,</w:t>
      </w:r>
      <w:r w:rsidRPr="00A41CF8">
        <w:rPr>
          <w:rFonts w:cs="Times New Roman"/>
          <w:i/>
          <w:lang w:val="fr-CA"/>
        </w:rPr>
        <w:t xml:space="preserve"> </w:t>
      </w:r>
      <w:r w:rsidRPr="00A41CF8">
        <w:rPr>
          <w:rFonts w:cs="Times New Roman"/>
          <w:lang w:val="fr-CA"/>
        </w:rPr>
        <w:t xml:space="preserve">[1988] 1 R.C.S. 30, p. 80; </w:t>
      </w:r>
      <w:r w:rsidRPr="00A41CF8">
        <w:rPr>
          <w:rFonts w:cs="Times New Roman"/>
          <w:i/>
          <w:lang w:val="fr-CA"/>
        </w:rPr>
        <w:t>Schachter c. Canada</w:t>
      </w:r>
      <w:r w:rsidRPr="00A41CF8">
        <w:rPr>
          <w:rFonts w:cs="Times New Roman"/>
          <w:lang w:val="fr-CA"/>
        </w:rPr>
        <w:t>,</w:t>
      </w:r>
      <w:r w:rsidRPr="00A41CF8">
        <w:rPr>
          <w:rFonts w:cs="Times New Roman"/>
          <w:i/>
          <w:lang w:val="fr-CA"/>
        </w:rPr>
        <w:t xml:space="preserve"> </w:t>
      </w:r>
      <w:r w:rsidRPr="00A41CF8">
        <w:rPr>
          <w:rFonts w:cs="Times New Roman"/>
          <w:lang w:val="fr-CA"/>
        </w:rPr>
        <w:t xml:space="preserve">[1992] 2 R.C.S. 679, p. 707).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Nous sommes par conséquent d’avis de déclarer la </w:t>
      </w:r>
      <w:r w:rsidRPr="00A41CF8">
        <w:rPr>
          <w:rFonts w:cs="Times New Roman"/>
          <w:i/>
          <w:lang w:val="fr-CA"/>
        </w:rPr>
        <w:t>PIPA</w:t>
      </w:r>
      <w:r w:rsidRPr="00A41CF8">
        <w:rPr>
          <w:rFonts w:cs="Times New Roman"/>
          <w:lang w:val="fr-CA"/>
        </w:rPr>
        <w:t xml:space="preserve"> invalide, mais de suspendre cette déclaration d’invalidité pendant 12 mois afin de donner à la législature albertaine le temps nécessaire pour décider de la meilleure façon de rendre la loi constitutionnelle.  Nous sommes en outre d’avis d’annuler simplement </w:t>
      </w:r>
      <w:r w:rsidRPr="00A41CF8">
        <w:rPr>
          <w:rFonts w:cs="Times New Roman"/>
          <w:lang w:val="fr-CA"/>
        </w:rPr>
        <w:lastRenderedPageBreak/>
        <w:t xml:space="preserve">l’ordonnance de l’arbitre plutôt que de confirmer l’exemption constitutionnelle décrétée par la Cour d’appel. </w:t>
      </w:r>
    </w:p>
    <w:p w:rsidR="00503A71" w:rsidRPr="00A41CF8" w:rsidRDefault="00503A71" w:rsidP="00503A71">
      <w:pPr>
        <w:pStyle w:val="ParaNoNdepar-AltN"/>
        <w:tabs>
          <w:tab w:val="clear" w:pos="1166"/>
          <w:tab w:val="num" w:pos="1152"/>
        </w:tabs>
        <w:rPr>
          <w:rFonts w:cs="Times New Roman"/>
          <w:lang w:val="fr-CA"/>
        </w:rPr>
      </w:pPr>
      <w:r w:rsidRPr="00A41CF8">
        <w:rPr>
          <w:rFonts w:cs="Times New Roman"/>
          <w:lang w:val="fr-CA"/>
        </w:rPr>
        <w:t xml:space="preserve">Le syndicat a droit à ses dépens devant toutes les cours. </w:t>
      </w:r>
    </w:p>
    <w:p w:rsidR="004D7D95" w:rsidRPr="00265B2D" w:rsidRDefault="004D7D95" w:rsidP="00FA0B2E">
      <w:pPr>
        <w:pStyle w:val="SCCNormalDoubleSpacing"/>
        <w:spacing w:after="480"/>
        <w:rPr>
          <w:lang w:val="fr-CA"/>
        </w:rPr>
      </w:pPr>
      <w:r w:rsidRPr="00265B2D">
        <w:rPr>
          <w:lang w:val="fr-CA"/>
        </w:rPr>
        <w:tab/>
      </w:r>
      <w:r w:rsidR="00E932F2" w:rsidRPr="00265B2D">
        <w:rPr>
          <w:i/>
          <w:lang w:val="fr-CA"/>
        </w:rPr>
        <w:t>Pourvoi rejeté</w:t>
      </w:r>
      <w:r w:rsidR="00F54418" w:rsidRPr="00265B2D">
        <w:rPr>
          <w:i/>
          <w:lang w:val="fr-CA"/>
        </w:rPr>
        <w:t xml:space="preserve"> </w:t>
      </w:r>
      <w:r w:rsidR="00DD2D81" w:rsidRPr="00265B2D">
        <w:rPr>
          <w:i/>
          <w:lang w:val="fr-CA"/>
        </w:rPr>
        <w:t xml:space="preserve">en grande partie </w:t>
      </w:r>
      <w:r w:rsidR="00F54418" w:rsidRPr="00265B2D">
        <w:rPr>
          <w:i/>
          <w:lang w:val="fr-CA"/>
        </w:rPr>
        <w:t>avec dépens</w:t>
      </w:r>
      <w:r w:rsidR="00E932F2" w:rsidRPr="00265B2D">
        <w:rPr>
          <w:i/>
          <w:lang w:val="fr-CA"/>
        </w:rPr>
        <w:t>.</w:t>
      </w:r>
      <w:r w:rsidR="00E932F2" w:rsidRPr="00265B2D">
        <w:rPr>
          <w:lang w:val="fr-CA"/>
        </w:rPr>
        <w:t xml:space="preserve"> </w:t>
      </w:r>
    </w:p>
    <w:p w:rsidR="005A4F6E" w:rsidRPr="00265B2D" w:rsidRDefault="005A4F6E" w:rsidP="00FA0B2E">
      <w:pPr>
        <w:pStyle w:val="SCCLawFirm"/>
        <w:spacing w:after="480"/>
        <w:rPr>
          <w:lang w:val="fr-CA"/>
        </w:rPr>
      </w:pPr>
      <w:r w:rsidRPr="00265B2D">
        <w:rPr>
          <w:lang w:val="fr-CA"/>
        </w:rPr>
        <w:tab/>
        <w:t>Procureurs de l’appelant Information and Privacy Commissioner</w:t>
      </w:r>
      <w:r w:rsidR="009659F3" w:rsidRPr="00265B2D">
        <w:rPr>
          <w:lang w:val="fr-CA"/>
        </w:rPr>
        <w:t xml:space="preserve"> of Alberta</w:t>
      </w:r>
      <w:r w:rsidR="00536FA1" w:rsidRPr="00265B2D">
        <w:rPr>
          <w:lang w:val="fr-CA"/>
        </w:rPr>
        <w:t> :</w:t>
      </w:r>
      <w:r w:rsidR="00722BB6" w:rsidRPr="00265B2D">
        <w:rPr>
          <w:lang w:val="fr-CA"/>
        </w:rPr>
        <w:t> </w:t>
      </w:r>
      <w:r w:rsidRPr="00265B2D">
        <w:rPr>
          <w:lang w:val="fr-CA"/>
        </w:rPr>
        <w:t>Jensen Shawa Solomon Duguid Hawkes, Calgary.</w:t>
      </w:r>
    </w:p>
    <w:p w:rsidR="005A4F6E" w:rsidRPr="00265B2D" w:rsidRDefault="005A4F6E" w:rsidP="00FA0B2E">
      <w:pPr>
        <w:pStyle w:val="SCCLawFirm"/>
        <w:spacing w:after="480"/>
        <w:rPr>
          <w:lang w:val="fr-CA"/>
        </w:rPr>
      </w:pPr>
      <w:r w:rsidRPr="00265B2D">
        <w:rPr>
          <w:lang w:val="fr-CA"/>
        </w:rPr>
        <w:tab/>
        <w:t>Procureur de l’appelant le procureur général de l’Alberta</w:t>
      </w:r>
      <w:r w:rsidR="00536FA1" w:rsidRPr="00265B2D">
        <w:rPr>
          <w:lang w:val="fr-CA"/>
        </w:rPr>
        <w:t> :</w:t>
      </w:r>
      <w:r w:rsidR="00722BB6" w:rsidRPr="00265B2D">
        <w:rPr>
          <w:lang w:val="fr-CA"/>
        </w:rPr>
        <w:t> </w:t>
      </w:r>
      <w:r w:rsidRPr="00265B2D">
        <w:rPr>
          <w:lang w:val="fr-CA"/>
        </w:rPr>
        <w:t>Procureur général de l’Alberta, Edmonton.</w:t>
      </w:r>
    </w:p>
    <w:p w:rsidR="005A4F6E" w:rsidRPr="00265B2D" w:rsidRDefault="005A4F6E" w:rsidP="00FA0B2E">
      <w:pPr>
        <w:pStyle w:val="SCCLawFirm"/>
        <w:spacing w:after="480"/>
        <w:rPr>
          <w:lang w:val="fr-CA"/>
        </w:rPr>
      </w:pPr>
      <w:r w:rsidRPr="00265B2D">
        <w:rPr>
          <w:lang w:val="fr-CA"/>
        </w:rPr>
        <w:tab/>
        <w:t>Procureurs de l’intimé</w:t>
      </w:r>
      <w:r w:rsidR="00536FA1" w:rsidRPr="00265B2D">
        <w:rPr>
          <w:lang w:val="fr-CA"/>
        </w:rPr>
        <w:t> :</w:t>
      </w:r>
      <w:r w:rsidR="00722BB6" w:rsidRPr="00265B2D">
        <w:rPr>
          <w:lang w:val="fr-CA"/>
        </w:rPr>
        <w:t> </w:t>
      </w:r>
      <w:r w:rsidRPr="00265B2D">
        <w:rPr>
          <w:lang w:val="fr-CA"/>
        </w:rPr>
        <w:t>Chivers Carpenter, Edmonton.</w:t>
      </w:r>
    </w:p>
    <w:p w:rsidR="005A4F6E" w:rsidRPr="00265B2D" w:rsidRDefault="005A4F6E" w:rsidP="00FA0B2E">
      <w:pPr>
        <w:pStyle w:val="SCCLawFirm"/>
        <w:spacing w:after="480"/>
        <w:rPr>
          <w:lang w:val="fr-CA"/>
        </w:rPr>
      </w:pPr>
      <w:r w:rsidRPr="00265B2D">
        <w:rPr>
          <w:lang w:val="fr-CA"/>
        </w:rPr>
        <w:tab/>
        <w:t>Procureur de l’intervenant le procureur général du Canada</w:t>
      </w:r>
      <w:r w:rsidR="00536FA1" w:rsidRPr="00265B2D">
        <w:rPr>
          <w:lang w:val="fr-CA"/>
        </w:rPr>
        <w:t> :</w:t>
      </w:r>
      <w:r w:rsidR="00722BB6" w:rsidRPr="00265B2D">
        <w:rPr>
          <w:lang w:val="fr-CA"/>
        </w:rPr>
        <w:t> </w:t>
      </w:r>
      <w:r w:rsidRPr="00265B2D">
        <w:rPr>
          <w:lang w:val="fr-CA"/>
        </w:rPr>
        <w:t>Procureur général du Canada, Toronto.</w:t>
      </w:r>
    </w:p>
    <w:p w:rsidR="005A4F6E" w:rsidRPr="00265B2D" w:rsidRDefault="002B090D" w:rsidP="00FA0B2E">
      <w:pPr>
        <w:pStyle w:val="SCCLawFirm"/>
        <w:spacing w:after="480"/>
        <w:rPr>
          <w:lang w:val="fr-CA"/>
        </w:rPr>
      </w:pPr>
      <w:r>
        <w:rPr>
          <w:lang w:val="fr-CA"/>
        </w:rPr>
        <w:tab/>
        <w:t>Procureur</w:t>
      </w:r>
      <w:r w:rsidR="005A4F6E" w:rsidRPr="00265B2D">
        <w:rPr>
          <w:lang w:val="fr-CA"/>
        </w:rPr>
        <w:t xml:space="preserve"> de l’intervenant le procureur général de l’Ontario</w:t>
      </w:r>
      <w:r w:rsidR="00536FA1" w:rsidRPr="00265B2D">
        <w:rPr>
          <w:lang w:val="fr-CA"/>
        </w:rPr>
        <w:t> :</w:t>
      </w:r>
      <w:r w:rsidR="00722BB6" w:rsidRPr="00265B2D">
        <w:rPr>
          <w:lang w:val="fr-CA"/>
        </w:rPr>
        <w:t> </w:t>
      </w:r>
      <w:r w:rsidR="005A4F6E" w:rsidRPr="00265B2D">
        <w:rPr>
          <w:lang w:val="fr-CA"/>
        </w:rPr>
        <w:t>Procureur général de l’Ontario, Toronto.</w:t>
      </w:r>
    </w:p>
    <w:p w:rsidR="005A4F6E" w:rsidRPr="00265B2D" w:rsidRDefault="005A4F6E" w:rsidP="00FA0B2E">
      <w:pPr>
        <w:pStyle w:val="SCCLawFirm"/>
        <w:spacing w:after="480"/>
        <w:rPr>
          <w:lang w:val="fr-CA"/>
        </w:rPr>
      </w:pPr>
      <w:r w:rsidRPr="00265B2D">
        <w:rPr>
          <w:lang w:val="fr-CA"/>
        </w:rPr>
        <w:tab/>
        <w:t xml:space="preserve">Procureurs de </w:t>
      </w:r>
      <w:r w:rsidR="002B090D">
        <w:rPr>
          <w:lang w:val="fr-CA"/>
        </w:rPr>
        <w:t>l’intervenant le c</w:t>
      </w:r>
      <w:r w:rsidRPr="00265B2D">
        <w:rPr>
          <w:lang w:val="fr-CA"/>
        </w:rPr>
        <w:t>ommissaire à la protection de la vie privée du Canada</w:t>
      </w:r>
      <w:r w:rsidR="00536FA1" w:rsidRPr="00265B2D">
        <w:rPr>
          <w:lang w:val="fr-CA"/>
        </w:rPr>
        <w:t> :</w:t>
      </w:r>
      <w:r w:rsidR="00722BB6" w:rsidRPr="00265B2D">
        <w:rPr>
          <w:lang w:val="fr-CA"/>
        </w:rPr>
        <w:t> </w:t>
      </w:r>
      <w:r w:rsidRPr="00265B2D">
        <w:rPr>
          <w:lang w:val="fr-CA"/>
        </w:rPr>
        <w:t>Osler, Hoskin &amp; Harcourt, Toronto; Commissariat à la protection de la vie privée du Canada, Ottawa.</w:t>
      </w:r>
    </w:p>
    <w:p w:rsidR="006826CE" w:rsidRPr="00265B2D" w:rsidRDefault="006826CE" w:rsidP="00FA0B2E">
      <w:pPr>
        <w:pStyle w:val="SCCLawFirm"/>
        <w:spacing w:after="480"/>
        <w:rPr>
          <w:lang w:val="fr-CA"/>
        </w:rPr>
      </w:pPr>
      <w:r w:rsidRPr="00265B2D">
        <w:rPr>
          <w:lang w:val="fr-CA"/>
        </w:rPr>
        <w:lastRenderedPageBreak/>
        <w:tab/>
        <w:t>Procureurs de l’intervenante l’Association canadienne des libertés civiles</w:t>
      </w:r>
      <w:r w:rsidR="00536FA1" w:rsidRPr="00265B2D">
        <w:rPr>
          <w:lang w:val="fr-CA"/>
        </w:rPr>
        <w:t> :</w:t>
      </w:r>
      <w:r w:rsidR="00722BB6" w:rsidRPr="00265B2D">
        <w:rPr>
          <w:lang w:val="fr-CA"/>
        </w:rPr>
        <w:t> </w:t>
      </w:r>
      <w:r w:rsidRPr="00265B2D">
        <w:rPr>
          <w:lang w:val="fr-CA"/>
        </w:rPr>
        <w:t>Torys, Toronto.</w:t>
      </w:r>
    </w:p>
    <w:p w:rsidR="006826CE" w:rsidRPr="00265B2D" w:rsidRDefault="006826CE" w:rsidP="00FA0B2E">
      <w:pPr>
        <w:pStyle w:val="SCCLawFirm"/>
        <w:spacing w:after="480"/>
        <w:rPr>
          <w:lang w:val="fr-CA"/>
        </w:rPr>
      </w:pPr>
      <w:r w:rsidRPr="00265B2D">
        <w:rPr>
          <w:lang w:val="fr-CA"/>
        </w:rPr>
        <w:tab/>
        <w:t>Procureurs de l’intervenante l’Association des libertés civiles de la Colombie</w:t>
      </w:r>
      <w:r w:rsidR="00536FA1" w:rsidRPr="00265B2D">
        <w:rPr>
          <w:lang w:val="fr-CA"/>
        </w:rPr>
        <w:noBreakHyphen/>
      </w:r>
      <w:r w:rsidRPr="00265B2D">
        <w:rPr>
          <w:lang w:val="fr-CA"/>
        </w:rPr>
        <w:t>Britannique</w:t>
      </w:r>
      <w:r w:rsidR="00536FA1" w:rsidRPr="00265B2D">
        <w:rPr>
          <w:lang w:val="fr-CA"/>
        </w:rPr>
        <w:t> :</w:t>
      </w:r>
      <w:r w:rsidR="00722BB6" w:rsidRPr="00265B2D">
        <w:rPr>
          <w:lang w:val="fr-CA"/>
        </w:rPr>
        <w:t> </w:t>
      </w:r>
      <w:r w:rsidRPr="00265B2D">
        <w:rPr>
          <w:lang w:val="fr-CA"/>
        </w:rPr>
        <w:t>Moore, Edgar, Lyster, Vancouver.</w:t>
      </w:r>
    </w:p>
    <w:p w:rsidR="005A4F6E" w:rsidRPr="00265B2D" w:rsidRDefault="005A4F6E" w:rsidP="00FA0B2E">
      <w:pPr>
        <w:pStyle w:val="SCCLawFirm"/>
        <w:spacing w:after="480"/>
        <w:rPr>
          <w:lang w:val="fr-CA"/>
        </w:rPr>
      </w:pPr>
      <w:r w:rsidRPr="00265B2D">
        <w:rPr>
          <w:lang w:val="fr-CA"/>
        </w:rPr>
        <w:tab/>
        <w:t xml:space="preserve">Procureur de </w:t>
      </w:r>
      <w:r w:rsidR="002B090D">
        <w:rPr>
          <w:lang w:val="fr-CA"/>
        </w:rPr>
        <w:t>l’intervenant le c</w:t>
      </w:r>
      <w:r w:rsidR="000F1573">
        <w:rPr>
          <w:lang w:val="fr-CA"/>
        </w:rPr>
        <w:t>ommissaire à l’</w:t>
      </w:r>
      <w:r w:rsidRPr="00265B2D">
        <w:rPr>
          <w:lang w:val="fr-CA"/>
        </w:rPr>
        <w:t>information et à la protection de la vie privée de l’Ontario</w:t>
      </w:r>
      <w:r w:rsidR="00536FA1" w:rsidRPr="00265B2D">
        <w:rPr>
          <w:lang w:val="fr-CA"/>
        </w:rPr>
        <w:t> :</w:t>
      </w:r>
      <w:r w:rsidR="00722BB6" w:rsidRPr="00265B2D">
        <w:rPr>
          <w:lang w:val="fr-CA"/>
        </w:rPr>
        <w:t> </w:t>
      </w:r>
      <w:r w:rsidRPr="00265B2D">
        <w:rPr>
          <w:lang w:val="fr-CA"/>
        </w:rPr>
        <w:t>Co</w:t>
      </w:r>
      <w:r w:rsidR="000F1573">
        <w:rPr>
          <w:lang w:val="fr-CA"/>
        </w:rPr>
        <w:t>mmissaire à l’</w:t>
      </w:r>
      <w:r w:rsidRPr="00265B2D">
        <w:rPr>
          <w:lang w:val="fr-CA"/>
        </w:rPr>
        <w:t>information et à la protection de la vie privée de l’Ontario, Toronto.</w:t>
      </w:r>
    </w:p>
    <w:p w:rsidR="006826CE" w:rsidRPr="00265B2D" w:rsidRDefault="006826CE" w:rsidP="00FA0B2E">
      <w:pPr>
        <w:pStyle w:val="SCCLawFirm"/>
        <w:spacing w:after="480"/>
        <w:rPr>
          <w:lang w:val="en-US"/>
        </w:rPr>
      </w:pPr>
      <w:r w:rsidRPr="00265B2D">
        <w:rPr>
          <w:lang w:val="fr-CA"/>
        </w:rPr>
        <w:tab/>
      </w:r>
      <w:r w:rsidRPr="00265B2D">
        <w:rPr>
          <w:lang w:val="en-US"/>
        </w:rPr>
        <w:t>Procureurs des intervenantes Coalition of British Columbia Businesses et Merit Canada</w:t>
      </w:r>
      <w:r w:rsidR="00536FA1" w:rsidRPr="00265B2D">
        <w:rPr>
          <w:lang w:val="en-US"/>
        </w:rPr>
        <w:t> :</w:t>
      </w:r>
      <w:r w:rsidR="00722BB6" w:rsidRPr="00265B2D">
        <w:rPr>
          <w:lang w:val="en-US"/>
        </w:rPr>
        <w:t> </w:t>
      </w:r>
      <w:r w:rsidRPr="00265B2D">
        <w:rPr>
          <w:lang w:val="en-US"/>
        </w:rPr>
        <w:t>Heenan Blaikie, Ottawa.</w:t>
      </w:r>
    </w:p>
    <w:p w:rsidR="005A4F6E" w:rsidRPr="00265B2D" w:rsidRDefault="005A4F6E" w:rsidP="00FA0B2E">
      <w:pPr>
        <w:pStyle w:val="SCCLawFirm"/>
        <w:spacing w:after="480"/>
        <w:rPr>
          <w:lang w:val="en-US"/>
        </w:rPr>
      </w:pPr>
      <w:r w:rsidRPr="00265B2D">
        <w:rPr>
          <w:lang w:val="en-US"/>
        </w:rPr>
        <w:tab/>
        <w:t>Procureurs de l’intervenant Information and Privacy Commissioner of British Columbia</w:t>
      </w:r>
      <w:r w:rsidR="00536FA1" w:rsidRPr="00265B2D">
        <w:rPr>
          <w:lang w:val="en-US"/>
        </w:rPr>
        <w:t> :</w:t>
      </w:r>
      <w:r w:rsidR="00722BB6" w:rsidRPr="00265B2D">
        <w:rPr>
          <w:lang w:val="en-US"/>
        </w:rPr>
        <w:t> </w:t>
      </w:r>
      <w:r w:rsidRPr="00265B2D">
        <w:rPr>
          <w:lang w:val="en-US"/>
        </w:rPr>
        <w:t>Lovett Westmacott, Vancouver.</w:t>
      </w:r>
    </w:p>
    <w:p w:rsidR="00A70203" w:rsidRDefault="005A4F6E" w:rsidP="00503A71">
      <w:pPr>
        <w:pStyle w:val="SCCLawFirm"/>
        <w:rPr>
          <w:b/>
          <w:i w:val="0"/>
          <w:lang w:val="fr-CA"/>
        </w:rPr>
      </w:pPr>
      <w:r w:rsidRPr="00265B2D">
        <w:rPr>
          <w:lang w:val="en-US"/>
        </w:rPr>
        <w:tab/>
      </w:r>
      <w:r w:rsidRPr="00265B2D">
        <w:rPr>
          <w:lang w:val="fr-CA"/>
        </w:rPr>
        <w:t>Procureurs de l’intervenante Alberta Federation of Labour</w:t>
      </w:r>
      <w:r w:rsidR="00536FA1" w:rsidRPr="00265B2D">
        <w:rPr>
          <w:lang w:val="fr-CA"/>
        </w:rPr>
        <w:t> :</w:t>
      </w:r>
      <w:r w:rsidR="00722BB6" w:rsidRPr="00265B2D">
        <w:rPr>
          <w:lang w:val="fr-CA"/>
        </w:rPr>
        <w:t> </w:t>
      </w:r>
      <w:r w:rsidRPr="00265B2D">
        <w:rPr>
          <w:lang w:val="fr-CA"/>
        </w:rPr>
        <w:t>Chivers Carpenter, Edmonton.</w:t>
      </w:r>
    </w:p>
    <w:p w:rsidR="00503A71" w:rsidRDefault="00503A71" w:rsidP="00503A71">
      <w:pPr>
        <w:pStyle w:val="SCCNormalDoubleSpacing"/>
        <w:rPr>
          <w:lang w:val="fr-CA"/>
        </w:rPr>
      </w:pPr>
    </w:p>
    <w:p w:rsidR="00503A71" w:rsidRPr="00503A71" w:rsidRDefault="00503A71" w:rsidP="00503A71">
      <w:pPr>
        <w:pStyle w:val="SCCNormalDoubleSpacing"/>
        <w:rPr>
          <w:lang w:val="fr-CA"/>
        </w:rPr>
      </w:pPr>
    </w:p>
    <w:sectPr w:rsidR="00503A71" w:rsidRPr="00503A71" w:rsidSect="00B32A8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71" w:rsidRDefault="00503A71">
      <w:r>
        <w:separator/>
      </w:r>
    </w:p>
  </w:endnote>
  <w:endnote w:type="continuationSeparator" w:id="0">
    <w:p w:rsidR="00503A71" w:rsidRDefault="00503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71" w:rsidRDefault="00503A71">
      <w:r>
        <w:separator/>
      </w:r>
    </w:p>
  </w:footnote>
  <w:footnote w:type="continuationSeparator" w:id="0">
    <w:p w:rsidR="00503A71" w:rsidRDefault="0050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894"/>
      <w:docPartObj>
        <w:docPartGallery w:val="Page Numbers (Top of Page)"/>
        <w:docPartUnique/>
      </w:docPartObj>
    </w:sdtPr>
    <w:sdtContent>
      <w:p w:rsidR="00B32A83" w:rsidRDefault="00B32A83">
        <w:pPr>
          <w:pStyle w:val="Header"/>
          <w:jc w:val="center"/>
        </w:pPr>
        <w:r>
          <w:t xml:space="preserve">- </w:t>
        </w:r>
        <w:fldSimple w:instr=" PAGE   \* MERGEFORMAT ">
          <w:r w:rsidR="00DC35D7">
            <w:rPr>
              <w:noProof/>
            </w:rPr>
            <w:t>2</w:t>
          </w:r>
        </w:fldSimple>
        <w:r>
          <w:t xml:space="preserve"> -</w:t>
        </w:r>
      </w:p>
    </w:sdtContent>
  </w:sdt>
  <w:p w:rsidR="00503A71" w:rsidRPr="00450352" w:rsidRDefault="00503A7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3DB1187"/>
    <w:multiLevelType w:val="hybridMultilevel"/>
    <w:tmpl w:val="2F542D5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5E7A72"/>
    <w:multiLevelType w:val="hybridMultilevel"/>
    <w:tmpl w:val="687A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823CAC"/>
    <w:multiLevelType w:val="hybridMultilevel"/>
    <w:tmpl w:val="AD02CCEA"/>
    <w:lvl w:ilvl="0" w:tplc="F26EF5C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C420B4"/>
    <w:multiLevelType w:val="hybridMultilevel"/>
    <w:tmpl w:val="30243544"/>
    <w:lvl w:ilvl="0" w:tplc="17E29CF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1960474"/>
    <w:multiLevelType w:val="hybridMultilevel"/>
    <w:tmpl w:val="86F0490E"/>
    <w:lvl w:ilvl="0" w:tplc="ECDEA1C4">
      <w:start w:val="3"/>
      <w:numFmt w:val="bullet"/>
      <w:lvlText w:val="-"/>
      <w:lvlJc w:val="left"/>
      <w:pPr>
        <w:ind w:left="1526" w:hanging="360"/>
      </w:pPr>
      <w:rPr>
        <w:rFonts w:ascii="Times New Roman" w:eastAsia="Times New Roman" w:hAnsi="Times New Roman" w:hint="default"/>
      </w:rPr>
    </w:lvl>
    <w:lvl w:ilvl="1" w:tplc="10090003" w:tentative="1">
      <w:start w:val="1"/>
      <w:numFmt w:val="bullet"/>
      <w:lvlText w:val="o"/>
      <w:lvlJc w:val="left"/>
      <w:pPr>
        <w:ind w:left="2246" w:hanging="360"/>
      </w:pPr>
      <w:rPr>
        <w:rFonts w:ascii="Courier New" w:hAnsi="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7">
    <w:nsid w:val="335A36EC"/>
    <w:multiLevelType w:val="hybridMultilevel"/>
    <w:tmpl w:val="FE384564"/>
    <w:lvl w:ilvl="0" w:tplc="DCDC69DE">
      <w:start w:val="3"/>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83EE8"/>
    <w:multiLevelType w:val="multilevel"/>
    <w:tmpl w:val="9432CF58"/>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4A09FB"/>
    <w:multiLevelType w:val="hybridMultilevel"/>
    <w:tmpl w:val="80AE1BA6"/>
    <w:lvl w:ilvl="0" w:tplc="D6D2C036">
      <w:start w:val="1"/>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2E0773"/>
    <w:multiLevelType w:val="hybridMultilevel"/>
    <w:tmpl w:val="39B07838"/>
    <w:lvl w:ilvl="0" w:tplc="10090015">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718D0909"/>
    <w:multiLevelType w:val="hybridMultilevel"/>
    <w:tmpl w:val="C05C1B10"/>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hint="default"/>
      </w:rPr>
    </w:lvl>
    <w:lvl w:ilvl="8" w:tplc="10090005" w:tentative="1">
      <w:start w:val="1"/>
      <w:numFmt w:val="bullet"/>
      <w:lvlText w:val=""/>
      <w:lvlJc w:val="left"/>
      <w:pPr>
        <w:ind w:left="7286" w:hanging="360"/>
      </w:pPr>
      <w:rPr>
        <w:rFonts w:ascii="Wingdings" w:hAnsi="Wingdings" w:hint="default"/>
      </w:rPr>
    </w:lvl>
  </w:abstractNum>
  <w:num w:numId="1">
    <w:abstractNumId w:val="21"/>
  </w:num>
  <w:num w:numId="2">
    <w:abstractNumId w:val="23"/>
  </w:num>
  <w:num w:numId="3">
    <w:abstractNumId w:val="14"/>
  </w:num>
  <w:num w:numId="4">
    <w:abstractNumId w:val="11"/>
  </w:num>
  <w:num w:numId="5">
    <w:abstractNumId w:val="19"/>
  </w:num>
  <w:num w:numId="6">
    <w:abstractNumId w:val="20"/>
  </w:num>
  <w:num w:numId="7">
    <w:abstractNumId w:val="22"/>
  </w:num>
  <w:num w:numId="8">
    <w:abstractNumId w:val="12"/>
  </w:num>
  <w:num w:numId="9">
    <w:abstractNumId w:val="24"/>
  </w:num>
  <w:num w:numId="10">
    <w:abstractNumId w:val="13"/>
  </w:num>
  <w:num w:numId="11">
    <w:abstractNumId w:val="16"/>
  </w:num>
  <w:num w:numId="12">
    <w:abstractNumId w:val="17"/>
  </w:num>
  <w:num w:numId="13">
    <w:abstractNumId w:val="10"/>
  </w:num>
  <w:num w:numId="14">
    <w:abstractNumId w:val="15"/>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23FC7"/>
    <w:rsid w:val="00025198"/>
    <w:rsid w:val="00042060"/>
    <w:rsid w:val="00043069"/>
    <w:rsid w:val="00043465"/>
    <w:rsid w:val="000578A3"/>
    <w:rsid w:val="000648CC"/>
    <w:rsid w:val="000664BC"/>
    <w:rsid w:val="00067607"/>
    <w:rsid w:val="00095B99"/>
    <w:rsid w:val="00097CF4"/>
    <w:rsid w:val="000A034C"/>
    <w:rsid w:val="000C59B8"/>
    <w:rsid w:val="000C6AF0"/>
    <w:rsid w:val="000D0A77"/>
    <w:rsid w:val="000F1573"/>
    <w:rsid w:val="000F2BA2"/>
    <w:rsid w:val="000F6772"/>
    <w:rsid w:val="000F7993"/>
    <w:rsid w:val="00104F33"/>
    <w:rsid w:val="00107143"/>
    <w:rsid w:val="00111DE2"/>
    <w:rsid w:val="00116B38"/>
    <w:rsid w:val="00120F5B"/>
    <w:rsid w:val="001303FB"/>
    <w:rsid w:val="0013236B"/>
    <w:rsid w:val="00135406"/>
    <w:rsid w:val="00135972"/>
    <w:rsid w:val="001412E8"/>
    <w:rsid w:val="001426A9"/>
    <w:rsid w:val="00150D68"/>
    <w:rsid w:val="00154D7C"/>
    <w:rsid w:val="0015641A"/>
    <w:rsid w:val="001570B0"/>
    <w:rsid w:val="0015752C"/>
    <w:rsid w:val="00157737"/>
    <w:rsid w:val="00165277"/>
    <w:rsid w:val="00170592"/>
    <w:rsid w:val="001720F7"/>
    <w:rsid w:val="00176F55"/>
    <w:rsid w:val="00181641"/>
    <w:rsid w:val="00194752"/>
    <w:rsid w:val="00195D83"/>
    <w:rsid w:val="001A00C1"/>
    <w:rsid w:val="001B33E0"/>
    <w:rsid w:val="001B4573"/>
    <w:rsid w:val="001C779F"/>
    <w:rsid w:val="001D07DA"/>
    <w:rsid w:val="001D2AC1"/>
    <w:rsid w:val="001D3CFE"/>
    <w:rsid w:val="001D4E88"/>
    <w:rsid w:val="001F0566"/>
    <w:rsid w:val="00200C51"/>
    <w:rsid w:val="00220FC2"/>
    <w:rsid w:val="002222F4"/>
    <w:rsid w:val="00224FC0"/>
    <w:rsid w:val="00225EA4"/>
    <w:rsid w:val="00226EAF"/>
    <w:rsid w:val="00231F3A"/>
    <w:rsid w:val="002406EE"/>
    <w:rsid w:val="00243EC8"/>
    <w:rsid w:val="00265B2D"/>
    <w:rsid w:val="00270D93"/>
    <w:rsid w:val="002745CC"/>
    <w:rsid w:val="00285923"/>
    <w:rsid w:val="002B090D"/>
    <w:rsid w:val="002B6FBE"/>
    <w:rsid w:val="002B7924"/>
    <w:rsid w:val="002C10A6"/>
    <w:rsid w:val="002D28C3"/>
    <w:rsid w:val="002D39A4"/>
    <w:rsid w:val="002D4B76"/>
    <w:rsid w:val="002E6705"/>
    <w:rsid w:val="002F384F"/>
    <w:rsid w:val="00301B92"/>
    <w:rsid w:val="0030329A"/>
    <w:rsid w:val="0031086F"/>
    <w:rsid w:val="0031414C"/>
    <w:rsid w:val="00314E01"/>
    <w:rsid w:val="0032089D"/>
    <w:rsid w:val="003310DE"/>
    <w:rsid w:val="003323B0"/>
    <w:rsid w:val="00340A49"/>
    <w:rsid w:val="00350694"/>
    <w:rsid w:val="0035169A"/>
    <w:rsid w:val="0035259D"/>
    <w:rsid w:val="00364B18"/>
    <w:rsid w:val="003A125D"/>
    <w:rsid w:val="003A4C70"/>
    <w:rsid w:val="003B215F"/>
    <w:rsid w:val="003C5F76"/>
    <w:rsid w:val="003C799C"/>
    <w:rsid w:val="003D0399"/>
    <w:rsid w:val="003D7120"/>
    <w:rsid w:val="003E1C71"/>
    <w:rsid w:val="003E5D24"/>
    <w:rsid w:val="003F327B"/>
    <w:rsid w:val="00406166"/>
    <w:rsid w:val="0040704B"/>
    <w:rsid w:val="00410A55"/>
    <w:rsid w:val="00411300"/>
    <w:rsid w:val="00413F17"/>
    <w:rsid w:val="00415417"/>
    <w:rsid w:val="00426659"/>
    <w:rsid w:val="00440AB6"/>
    <w:rsid w:val="00446F28"/>
    <w:rsid w:val="00450352"/>
    <w:rsid w:val="00454BDB"/>
    <w:rsid w:val="00462BC4"/>
    <w:rsid w:val="00465132"/>
    <w:rsid w:val="00480C90"/>
    <w:rsid w:val="0048396F"/>
    <w:rsid w:val="00493C18"/>
    <w:rsid w:val="004A600C"/>
    <w:rsid w:val="004A6118"/>
    <w:rsid w:val="004B0A5F"/>
    <w:rsid w:val="004C478D"/>
    <w:rsid w:val="004D7D95"/>
    <w:rsid w:val="004E2C26"/>
    <w:rsid w:val="00503A71"/>
    <w:rsid w:val="00510DBE"/>
    <w:rsid w:val="005125A8"/>
    <w:rsid w:val="00517549"/>
    <w:rsid w:val="00520ABC"/>
    <w:rsid w:val="00521AE8"/>
    <w:rsid w:val="00525E2F"/>
    <w:rsid w:val="00527180"/>
    <w:rsid w:val="00536FA1"/>
    <w:rsid w:val="00555291"/>
    <w:rsid w:val="00562041"/>
    <w:rsid w:val="00563571"/>
    <w:rsid w:val="00566AD1"/>
    <w:rsid w:val="00574288"/>
    <w:rsid w:val="00583EDE"/>
    <w:rsid w:val="005978C4"/>
    <w:rsid w:val="005A00FD"/>
    <w:rsid w:val="005A4F6E"/>
    <w:rsid w:val="005A6079"/>
    <w:rsid w:val="005B05A2"/>
    <w:rsid w:val="005B3089"/>
    <w:rsid w:val="005B34EF"/>
    <w:rsid w:val="005D20B9"/>
    <w:rsid w:val="005D44E5"/>
    <w:rsid w:val="005E4698"/>
    <w:rsid w:val="00603924"/>
    <w:rsid w:val="00607625"/>
    <w:rsid w:val="00610539"/>
    <w:rsid w:val="00610BC1"/>
    <w:rsid w:val="00613969"/>
    <w:rsid w:val="00625C35"/>
    <w:rsid w:val="00632045"/>
    <w:rsid w:val="006424C5"/>
    <w:rsid w:val="00647E49"/>
    <w:rsid w:val="00656313"/>
    <w:rsid w:val="006565F4"/>
    <w:rsid w:val="00665851"/>
    <w:rsid w:val="00666099"/>
    <w:rsid w:val="006826CE"/>
    <w:rsid w:val="00684EEA"/>
    <w:rsid w:val="00695FEB"/>
    <w:rsid w:val="0069689B"/>
    <w:rsid w:val="006B5FF5"/>
    <w:rsid w:val="006C4E47"/>
    <w:rsid w:val="006D7FF1"/>
    <w:rsid w:val="006F30AF"/>
    <w:rsid w:val="00701759"/>
    <w:rsid w:val="00705C15"/>
    <w:rsid w:val="007110F6"/>
    <w:rsid w:val="007208D1"/>
    <w:rsid w:val="00722BB6"/>
    <w:rsid w:val="007251B3"/>
    <w:rsid w:val="00744518"/>
    <w:rsid w:val="00747288"/>
    <w:rsid w:val="00747DD3"/>
    <w:rsid w:val="007549C8"/>
    <w:rsid w:val="00765C6B"/>
    <w:rsid w:val="00766D14"/>
    <w:rsid w:val="00767A0F"/>
    <w:rsid w:val="00776704"/>
    <w:rsid w:val="007855B3"/>
    <w:rsid w:val="00791272"/>
    <w:rsid w:val="00791801"/>
    <w:rsid w:val="007A05F6"/>
    <w:rsid w:val="007A4C36"/>
    <w:rsid w:val="007B6F4A"/>
    <w:rsid w:val="007C1FC8"/>
    <w:rsid w:val="007D4F3D"/>
    <w:rsid w:val="007E1C47"/>
    <w:rsid w:val="007E337A"/>
    <w:rsid w:val="007E5C70"/>
    <w:rsid w:val="007F2FF5"/>
    <w:rsid w:val="007F3F08"/>
    <w:rsid w:val="00804CC6"/>
    <w:rsid w:val="00810DCE"/>
    <w:rsid w:val="00811750"/>
    <w:rsid w:val="00815E7E"/>
    <w:rsid w:val="00817190"/>
    <w:rsid w:val="008230F2"/>
    <w:rsid w:val="008260E2"/>
    <w:rsid w:val="008322BD"/>
    <w:rsid w:val="00834F73"/>
    <w:rsid w:val="0084722C"/>
    <w:rsid w:val="00853F26"/>
    <w:rsid w:val="00864C8A"/>
    <w:rsid w:val="00864CF8"/>
    <w:rsid w:val="00874914"/>
    <w:rsid w:val="00891422"/>
    <w:rsid w:val="00892E1A"/>
    <w:rsid w:val="008948BC"/>
    <w:rsid w:val="008A5E47"/>
    <w:rsid w:val="008B660A"/>
    <w:rsid w:val="008C01DA"/>
    <w:rsid w:val="008F2674"/>
    <w:rsid w:val="008F78E9"/>
    <w:rsid w:val="00905998"/>
    <w:rsid w:val="0090620A"/>
    <w:rsid w:val="009179F9"/>
    <w:rsid w:val="00917C7A"/>
    <w:rsid w:val="00933E5E"/>
    <w:rsid w:val="00935218"/>
    <w:rsid w:val="00937C52"/>
    <w:rsid w:val="009403F3"/>
    <w:rsid w:val="00941119"/>
    <w:rsid w:val="009555B7"/>
    <w:rsid w:val="009567AA"/>
    <w:rsid w:val="009602C9"/>
    <w:rsid w:val="009659F3"/>
    <w:rsid w:val="00967374"/>
    <w:rsid w:val="00976355"/>
    <w:rsid w:val="0098232A"/>
    <w:rsid w:val="009924E1"/>
    <w:rsid w:val="009A343A"/>
    <w:rsid w:val="009B27AC"/>
    <w:rsid w:val="009B2F23"/>
    <w:rsid w:val="009B57B3"/>
    <w:rsid w:val="009C3F06"/>
    <w:rsid w:val="009D2920"/>
    <w:rsid w:val="009D3E90"/>
    <w:rsid w:val="009D5AEB"/>
    <w:rsid w:val="009F0E33"/>
    <w:rsid w:val="00A149DF"/>
    <w:rsid w:val="00A1755C"/>
    <w:rsid w:val="00A21B90"/>
    <w:rsid w:val="00A22AAC"/>
    <w:rsid w:val="00A266CB"/>
    <w:rsid w:val="00A41805"/>
    <w:rsid w:val="00A51882"/>
    <w:rsid w:val="00A52AFB"/>
    <w:rsid w:val="00A548CB"/>
    <w:rsid w:val="00A54F21"/>
    <w:rsid w:val="00A5521C"/>
    <w:rsid w:val="00A575C5"/>
    <w:rsid w:val="00A579FA"/>
    <w:rsid w:val="00A643E7"/>
    <w:rsid w:val="00A657CC"/>
    <w:rsid w:val="00A70203"/>
    <w:rsid w:val="00A73C38"/>
    <w:rsid w:val="00A92077"/>
    <w:rsid w:val="00AA0474"/>
    <w:rsid w:val="00AB1F5F"/>
    <w:rsid w:val="00AB6131"/>
    <w:rsid w:val="00AB670D"/>
    <w:rsid w:val="00AC6E44"/>
    <w:rsid w:val="00AC76AE"/>
    <w:rsid w:val="00AD0017"/>
    <w:rsid w:val="00AF02C1"/>
    <w:rsid w:val="00AF03C5"/>
    <w:rsid w:val="00B000D8"/>
    <w:rsid w:val="00B00F75"/>
    <w:rsid w:val="00B02E31"/>
    <w:rsid w:val="00B047A1"/>
    <w:rsid w:val="00B145B6"/>
    <w:rsid w:val="00B242AA"/>
    <w:rsid w:val="00B279EB"/>
    <w:rsid w:val="00B32A83"/>
    <w:rsid w:val="00B50C81"/>
    <w:rsid w:val="00B53C06"/>
    <w:rsid w:val="00B557F8"/>
    <w:rsid w:val="00B67254"/>
    <w:rsid w:val="00B815FC"/>
    <w:rsid w:val="00B81A0C"/>
    <w:rsid w:val="00B93FBC"/>
    <w:rsid w:val="00BA0A02"/>
    <w:rsid w:val="00BA7DA0"/>
    <w:rsid w:val="00BB2EE4"/>
    <w:rsid w:val="00BB4C92"/>
    <w:rsid w:val="00BC2108"/>
    <w:rsid w:val="00BD0E9E"/>
    <w:rsid w:val="00BD18F4"/>
    <w:rsid w:val="00BD1BEC"/>
    <w:rsid w:val="00BD32FF"/>
    <w:rsid w:val="00BF40A3"/>
    <w:rsid w:val="00BF6FE9"/>
    <w:rsid w:val="00C02092"/>
    <w:rsid w:val="00C24D91"/>
    <w:rsid w:val="00C25786"/>
    <w:rsid w:val="00C26DB2"/>
    <w:rsid w:val="00C50C73"/>
    <w:rsid w:val="00C53F14"/>
    <w:rsid w:val="00C600CF"/>
    <w:rsid w:val="00C6084F"/>
    <w:rsid w:val="00C62A66"/>
    <w:rsid w:val="00C638F4"/>
    <w:rsid w:val="00C66359"/>
    <w:rsid w:val="00C71458"/>
    <w:rsid w:val="00C7600B"/>
    <w:rsid w:val="00C77613"/>
    <w:rsid w:val="00C828E7"/>
    <w:rsid w:val="00C86719"/>
    <w:rsid w:val="00C87959"/>
    <w:rsid w:val="00C87A98"/>
    <w:rsid w:val="00C921DD"/>
    <w:rsid w:val="00C94BB8"/>
    <w:rsid w:val="00CA6391"/>
    <w:rsid w:val="00CE036E"/>
    <w:rsid w:val="00CE3171"/>
    <w:rsid w:val="00CE6731"/>
    <w:rsid w:val="00CF1601"/>
    <w:rsid w:val="00D0172F"/>
    <w:rsid w:val="00D01E33"/>
    <w:rsid w:val="00D068A7"/>
    <w:rsid w:val="00D12A4F"/>
    <w:rsid w:val="00D17476"/>
    <w:rsid w:val="00D216A6"/>
    <w:rsid w:val="00D32086"/>
    <w:rsid w:val="00D3418D"/>
    <w:rsid w:val="00D37A3F"/>
    <w:rsid w:val="00D4431D"/>
    <w:rsid w:val="00D4667A"/>
    <w:rsid w:val="00D60DF5"/>
    <w:rsid w:val="00D63A1C"/>
    <w:rsid w:val="00D71540"/>
    <w:rsid w:val="00D7516F"/>
    <w:rsid w:val="00D914E7"/>
    <w:rsid w:val="00D95F8E"/>
    <w:rsid w:val="00DA0590"/>
    <w:rsid w:val="00DA5F78"/>
    <w:rsid w:val="00DC1739"/>
    <w:rsid w:val="00DC1788"/>
    <w:rsid w:val="00DC35D7"/>
    <w:rsid w:val="00DD2D81"/>
    <w:rsid w:val="00DD78D4"/>
    <w:rsid w:val="00DE2FF8"/>
    <w:rsid w:val="00DE319C"/>
    <w:rsid w:val="00DE558C"/>
    <w:rsid w:val="00DE757D"/>
    <w:rsid w:val="00DF0CA8"/>
    <w:rsid w:val="00DF1907"/>
    <w:rsid w:val="00DF2B48"/>
    <w:rsid w:val="00DF49A7"/>
    <w:rsid w:val="00DF5B43"/>
    <w:rsid w:val="00E07EE2"/>
    <w:rsid w:val="00E07FD1"/>
    <w:rsid w:val="00E154C8"/>
    <w:rsid w:val="00E2105F"/>
    <w:rsid w:val="00E24573"/>
    <w:rsid w:val="00E25E1E"/>
    <w:rsid w:val="00E27EE7"/>
    <w:rsid w:val="00E35404"/>
    <w:rsid w:val="00E42E4A"/>
    <w:rsid w:val="00E45109"/>
    <w:rsid w:val="00E47B7A"/>
    <w:rsid w:val="00E56A44"/>
    <w:rsid w:val="00E60269"/>
    <w:rsid w:val="00E615F2"/>
    <w:rsid w:val="00E822EA"/>
    <w:rsid w:val="00E932F2"/>
    <w:rsid w:val="00E93309"/>
    <w:rsid w:val="00E97830"/>
    <w:rsid w:val="00EB42EB"/>
    <w:rsid w:val="00EC10AB"/>
    <w:rsid w:val="00EC11C5"/>
    <w:rsid w:val="00ED6B81"/>
    <w:rsid w:val="00EE0830"/>
    <w:rsid w:val="00EE0869"/>
    <w:rsid w:val="00EE4D55"/>
    <w:rsid w:val="00EE6CB8"/>
    <w:rsid w:val="00EE750B"/>
    <w:rsid w:val="00EF0683"/>
    <w:rsid w:val="00F0070C"/>
    <w:rsid w:val="00F00EB7"/>
    <w:rsid w:val="00F36AB6"/>
    <w:rsid w:val="00F37A09"/>
    <w:rsid w:val="00F409CE"/>
    <w:rsid w:val="00F4379D"/>
    <w:rsid w:val="00F43A1B"/>
    <w:rsid w:val="00F50D2D"/>
    <w:rsid w:val="00F5266C"/>
    <w:rsid w:val="00F54208"/>
    <w:rsid w:val="00F54418"/>
    <w:rsid w:val="00F56C8B"/>
    <w:rsid w:val="00F62639"/>
    <w:rsid w:val="00F66810"/>
    <w:rsid w:val="00F82EDD"/>
    <w:rsid w:val="00F84DF4"/>
    <w:rsid w:val="00F85C97"/>
    <w:rsid w:val="00F86E3C"/>
    <w:rsid w:val="00F90DE4"/>
    <w:rsid w:val="00F96E19"/>
    <w:rsid w:val="00FA0B2E"/>
    <w:rsid w:val="00FB37D2"/>
    <w:rsid w:val="00FB79C3"/>
    <w:rsid w:val="00FC4EFB"/>
    <w:rsid w:val="00FD068D"/>
    <w:rsid w:val="00FD32D3"/>
    <w:rsid w:val="00FD4F28"/>
    <w:rsid w:val="00FE1600"/>
    <w:rsid w:val="00FE6784"/>
    <w:rsid w:val="00FE7A8B"/>
    <w:rsid w:val="00FF2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503A7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03A7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503A71"/>
    <w:rPr>
      <w:rFonts w:ascii="Cambria" w:hAnsi="Cambria"/>
      <w:b/>
      <w:bCs/>
      <w:color w:val="4F81BD"/>
      <w:sz w:val="24"/>
    </w:rPr>
  </w:style>
  <w:style w:type="character" w:customStyle="1" w:styleId="Heading4Char">
    <w:name w:val="Heading 4 Char"/>
    <w:basedOn w:val="DefaultParagraphFont"/>
    <w:link w:val="Heading4"/>
    <w:uiPriority w:val="99"/>
    <w:rsid w:val="00503A71"/>
    <w:rPr>
      <w:rFonts w:ascii="Cambria" w:hAnsi="Cambria"/>
      <w:b/>
      <w:bCs/>
      <w:i/>
      <w:iCs/>
      <w:color w:val="4F81BD"/>
      <w:sz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503A71"/>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D7154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03A7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503A71"/>
    <w:rPr>
      <w:rFonts w:eastAsiaTheme="minorHAnsi" w:cstheme="minorBidi"/>
      <w:sz w:val="24"/>
      <w:szCs w:val="22"/>
      <w:lang w:eastAsia="en-US"/>
    </w:rPr>
  </w:style>
  <w:style w:type="paragraph" w:customStyle="1" w:styleId="Citation-AltC">
    <w:name w:val="Citation - Alt C"/>
    <w:uiPriority w:val="2"/>
    <w:qFormat/>
    <w:rsid w:val="00503A7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03A7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03A71"/>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503A71"/>
    <w:pPr>
      <w:tabs>
        <w:tab w:val="left" w:pos="360"/>
      </w:tabs>
      <w:spacing w:before="480" w:after="480"/>
      <w:ind w:left="360" w:hanging="360"/>
      <w:jc w:val="both"/>
    </w:pPr>
    <w:rPr>
      <w:rFonts w:eastAsiaTheme="minorHAnsi" w:cstheme="minorBidi"/>
      <w:sz w:val="24"/>
      <w:szCs w:val="22"/>
      <w:lang w:eastAsia="en-US"/>
    </w:rPr>
  </w:style>
  <w:style w:type="character" w:styleId="Hyperlink">
    <w:name w:val="Hyperlink"/>
    <w:basedOn w:val="DefaultParagraphFont"/>
    <w:uiPriority w:val="99"/>
    <w:rsid w:val="00503A71"/>
    <w:rPr>
      <w:rFonts w:cs="Times New Roman"/>
      <w:color w:val="0000FF"/>
      <w:u w:val="single"/>
    </w:rPr>
  </w:style>
  <w:style w:type="paragraph" w:styleId="ListParagraph">
    <w:name w:val="List Paragraph"/>
    <w:basedOn w:val="Normal"/>
    <w:uiPriority w:val="99"/>
    <w:qFormat/>
    <w:rsid w:val="00503A71"/>
    <w:pPr>
      <w:ind w:left="720"/>
      <w:contextualSpacing/>
    </w:pPr>
    <w:rPr>
      <w:szCs w:val="24"/>
      <w:lang w:eastAsia="en-US"/>
    </w:rPr>
  </w:style>
  <w:style w:type="character" w:customStyle="1" w:styleId="SCCLowerCourtName">
    <w:name w:val="SCC.LowerCourtName"/>
    <w:basedOn w:val="DefaultParagraphFont"/>
    <w:uiPriority w:val="99"/>
    <w:rsid w:val="00503A71"/>
    <w:rPr>
      <w:rFonts w:cs="Times New Roman"/>
      <w:b/>
    </w:rPr>
  </w:style>
  <w:style w:type="character" w:customStyle="1" w:styleId="SCCLowerCourtJudge">
    <w:name w:val="SCC.LowerCourtJudge"/>
    <w:basedOn w:val="DefaultParagraphFont"/>
    <w:uiPriority w:val="99"/>
    <w:rsid w:val="00503A71"/>
    <w:rPr>
      <w:rFonts w:cs="Times New Roman"/>
    </w:rPr>
  </w:style>
  <w:style w:type="character" w:customStyle="1" w:styleId="FootnoteTextChar">
    <w:name w:val="Footnote Text Char"/>
    <w:basedOn w:val="DefaultParagraphFont"/>
    <w:link w:val="FootnoteText"/>
    <w:uiPriority w:val="99"/>
    <w:semiHidden/>
    <w:rsid w:val="00503A71"/>
  </w:style>
  <w:style w:type="paragraph" w:styleId="FootnoteText">
    <w:name w:val="footnote text"/>
    <w:basedOn w:val="Normal"/>
    <w:link w:val="FootnoteTextChar"/>
    <w:uiPriority w:val="99"/>
    <w:semiHidden/>
    <w:rsid w:val="00503A71"/>
    <w:rPr>
      <w:sz w:val="20"/>
    </w:rPr>
  </w:style>
  <w:style w:type="character" w:customStyle="1" w:styleId="highlight">
    <w:name w:val="highlight"/>
    <w:basedOn w:val="DefaultParagraphFont"/>
    <w:uiPriority w:val="99"/>
    <w:rsid w:val="00503A71"/>
    <w:rPr>
      <w:rFonts w:cs="Times New Roman"/>
    </w:rPr>
  </w:style>
  <w:style w:type="character" w:customStyle="1" w:styleId="CommentTextChar">
    <w:name w:val="Comment Text Char"/>
    <w:basedOn w:val="DefaultParagraphFont"/>
    <w:link w:val="CommentText"/>
    <w:uiPriority w:val="99"/>
    <w:semiHidden/>
    <w:rsid w:val="00503A71"/>
  </w:style>
  <w:style w:type="paragraph" w:styleId="CommentText">
    <w:name w:val="annotation text"/>
    <w:basedOn w:val="Normal"/>
    <w:link w:val="CommentTextChar"/>
    <w:uiPriority w:val="99"/>
    <w:semiHidden/>
    <w:unhideWhenUsed/>
    <w:rsid w:val="00503A71"/>
    <w:rPr>
      <w:sz w:val="20"/>
    </w:rPr>
  </w:style>
  <w:style w:type="character" w:customStyle="1" w:styleId="CommentSubjectChar">
    <w:name w:val="Comment Subject Char"/>
    <w:basedOn w:val="CommentTextChar"/>
    <w:link w:val="CommentSubject"/>
    <w:uiPriority w:val="99"/>
    <w:semiHidden/>
    <w:rsid w:val="00503A71"/>
    <w:rPr>
      <w:b/>
      <w:bCs/>
    </w:rPr>
  </w:style>
  <w:style w:type="paragraph" w:styleId="CommentSubject">
    <w:name w:val="annotation subject"/>
    <w:basedOn w:val="CommentText"/>
    <w:next w:val="CommentText"/>
    <w:link w:val="CommentSubjectChar"/>
    <w:uiPriority w:val="99"/>
    <w:semiHidden/>
    <w:unhideWhenUsed/>
    <w:rsid w:val="00503A71"/>
    <w:rPr>
      <w:b/>
      <w:bCs/>
    </w:rPr>
  </w:style>
  <w:style w:type="table" w:customStyle="1" w:styleId="TableGrid1">
    <w:name w:val="Table Grid1"/>
    <w:basedOn w:val="TableNormal"/>
    <w:next w:val="Citation-AltC"/>
    <w:uiPriority w:val="59"/>
    <w:rsid w:val="00DC35D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C3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3D347-A772-4049-A5F5-2B67EEE5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7717</Words>
  <Characters>42061</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2014-04-03T16:05:00Z</dcterms:created>
  <dcterms:modified xsi:type="dcterms:W3CDTF">2014-04-03T16:05:00Z</dcterms:modified>
</cp:coreProperties>
</file>