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C1" w:rsidRPr="00B656C1" w:rsidRDefault="00B656C1" w:rsidP="00B656C1">
      <w:pPr>
        <w:tabs>
          <w:tab w:val="center" w:pos="4680"/>
          <w:tab w:val="right" w:pos="9360"/>
        </w:tabs>
        <w:jc w:val="center"/>
        <w:rPr>
          <w:rFonts w:eastAsiaTheme="minorHAnsi" w:cstheme="minorBidi"/>
          <w:szCs w:val="24"/>
          <w:lang w:val="fr-CA" w:eastAsia="en-US"/>
        </w:rPr>
      </w:pPr>
      <w:r w:rsidRPr="00B656C1">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7" o:title=""/>
          </v:shape>
          <o:OLEObject Type="Embed" ProgID="Presentations.Drawing.13" ShapeID="_x0000_i1025" DrawAspect="Content" ObjectID="_1601107065" r:id="rId8"/>
        </w:object>
      </w:r>
    </w:p>
    <w:p w:rsidR="00B656C1" w:rsidRPr="00B656C1" w:rsidRDefault="00B656C1" w:rsidP="00B656C1">
      <w:pPr>
        <w:tabs>
          <w:tab w:val="center" w:pos="4680"/>
          <w:tab w:val="right" w:pos="9360"/>
        </w:tabs>
        <w:rPr>
          <w:rFonts w:eastAsiaTheme="minorHAnsi" w:cstheme="minorBidi"/>
          <w:szCs w:val="24"/>
          <w:lang w:val="fr-CA" w:eastAsia="en-US"/>
        </w:rPr>
      </w:pPr>
    </w:p>
    <w:p w:rsidR="00B656C1" w:rsidRPr="00B656C1" w:rsidRDefault="00B656C1" w:rsidP="00B656C1">
      <w:pPr>
        <w:jc w:val="center"/>
        <w:rPr>
          <w:rFonts w:eastAsiaTheme="minorHAnsi" w:cstheme="minorBidi"/>
          <w:b/>
          <w:szCs w:val="24"/>
          <w:lang w:val="fr-CA" w:eastAsia="en-US"/>
        </w:rPr>
      </w:pPr>
      <w:r w:rsidRPr="00B656C1">
        <w:rPr>
          <w:rFonts w:eastAsiaTheme="minorHAnsi" w:cstheme="minorBidi"/>
          <w:b/>
          <w:szCs w:val="24"/>
          <w:lang w:val="fr-CA" w:eastAsia="en-US"/>
        </w:rPr>
        <w:t>COUR SUPRÊME DU CANADA</w:t>
      </w:r>
    </w:p>
    <w:p w:rsidR="00B656C1" w:rsidRPr="00B656C1" w:rsidRDefault="00B656C1" w:rsidP="00B656C1">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656C1" w:rsidRPr="00B656C1" w:rsidTr="006E3084">
        <w:trPr>
          <w:cantSplit/>
        </w:trPr>
        <w:tc>
          <w:tcPr>
            <w:tcW w:w="6768" w:type="dxa"/>
          </w:tcPr>
          <w:p w:rsidR="00B656C1" w:rsidRPr="00B656C1" w:rsidRDefault="00B656C1" w:rsidP="00B656C1">
            <w:pPr>
              <w:rPr>
                <w:lang w:val="fr-CA"/>
              </w:rPr>
            </w:pPr>
            <w:r w:rsidRPr="00B656C1">
              <w:rPr>
                <w:b/>
                <w:smallCaps/>
                <w:lang w:val="fr-CA"/>
              </w:rPr>
              <w:t>Référence :</w:t>
            </w:r>
            <w:r w:rsidRPr="00B656C1">
              <w:rPr>
                <w:lang w:val="fr-CA"/>
              </w:rPr>
              <w:t xml:space="preserve"> Québec</w:t>
            </w:r>
            <w:r w:rsidRPr="00B656C1">
              <w:rPr>
                <w:iCs/>
                <w:color w:val="000000" w:themeColor="text1"/>
                <w:lang w:val="fr-CA"/>
              </w:rPr>
              <w:t xml:space="preserve"> (Agence du </w:t>
            </w:r>
            <w:r w:rsidR="0058350E">
              <w:rPr>
                <w:lang w:val="fr-CA"/>
              </w:rPr>
              <w:t>r</w:t>
            </w:r>
            <w:r w:rsidRPr="00B656C1">
              <w:rPr>
                <w:lang w:val="fr-CA"/>
              </w:rPr>
              <w:t>evenu)</w:t>
            </w:r>
            <w:r w:rsidRPr="00B656C1">
              <w:rPr>
                <w:iCs/>
                <w:color w:val="000000" w:themeColor="text1"/>
                <w:lang w:val="fr-CA"/>
              </w:rPr>
              <w:t xml:space="preserve"> </w:t>
            </w:r>
            <w:r w:rsidRPr="00B656C1">
              <w:rPr>
                <w:i/>
                <w:iCs/>
                <w:color w:val="000000" w:themeColor="text1"/>
                <w:lang w:val="fr-CA"/>
              </w:rPr>
              <w:t>c.</w:t>
            </w:r>
            <w:r w:rsidRPr="00B656C1">
              <w:rPr>
                <w:iCs/>
                <w:color w:val="000000" w:themeColor="text1"/>
                <w:lang w:val="fr-CA"/>
              </w:rPr>
              <w:t xml:space="preserve"> </w:t>
            </w:r>
            <w:r w:rsidRPr="00B656C1">
              <w:rPr>
                <w:lang w:val="fr-CA"/>
              </w:rPr>
              <w:t xml:space="preserve">Services Environnementaux AES </w:t>
            </w:r>
            <w:proofErr w:type="spellStart"/>
            <w:r w:rsidRPr="00B656C1">
              <w:rPr>
                <w:lang w:val="fr-CA"/>
              </w:rPr>
              <w:t>inc.</w:t>
            </w:r>
            <w:proofErr w:type="spellEnd"/>
            <w:r w:rsidRPr="00B656C1">
              <w:rPr>
                <w:iCs/>
                <w:color w:val="000000" w:themeColor="text1"/>
                <w:lang w:val="fr-CA"/>
              </w:rPr>
              <w:t>,</w:t>
            </w:r>
            <w:r w:rsidRPr="00B656C1">
              <w:rPr>
                <w:lang w:val="fr-CA"/>
              </w:rPr>
              <w:t xml:space="preserve"> 2013 CSC 65</w:t>
            </w:r>
          </w:p>
        </w:tc>
        <w:tc>
          <w:tcPr>
            <w:tcW w:w="2808" w:type="dxa"/>
          </w:tcPr>
          <w:p w:rsidR="00B656C1" w:rsidRPr="00B656C1" w:rsidRDefault="00B656C1" w:rsidP="00B656C1">
            <w:pPr>
              <w:rPr>
                <w:lang w:val="fr-CA"/>
              </w:rPr>
            </w:pPr>
            <w:r w:rsidRPr="00B656C1">
              <w:rPr>
                <w:b/>
                <w:smallCaps/>
                <w:lang w:val="fr-CA"/>
              </w:rPr>
              <w:t>Date :</w:t>
            </w:r>
            <w:r w:rsidRPr="00B656C1">
              <w:rPr>
                <w:lang w:val="fr-CA"/>
              </w:rPr>
              <w:t xml:space="preserve"> 20131128</w:t>
            </w:r>
          </w:p>
          <w:p w:rsidR="00B656C1" w:rsidRPr="00B656C1" w:rsidRDefault="00B656C1" w:rsidP="00B656C1">
            <w:pPr>
              <w:rPr>
                <w:lang w:val="fr-CA"/>
              </w:rPr>
            </w:pPr>
            <w:r w:rsidRPr="00B656C1">
              <w:rPr>
                <w:b/>
                <w:smallCaps/>
                <w:lang w:val="fr-CA"/>
              </w:rPr>
              <w:t>Dossier :</w:t>
            </w:r>
            <w:r w:rsidRPr="00B656C1">
              <w:rPr>
                <w:lang w:val="fr-CA"/>
              </w:rPr>
              <w:t xml:space="preserve"> 34235, 34393</w:t>
            </w:r>
          </w:p>
        </w:tc>
      </w:tr>
    </w:tbl>
    <w:p w:rsidR="00B656C1" w:rsidRPr="00B656C1" w:rsidRDefault="00B656C1" w:rsidP="00B656C1">
      <w:pPr>
        <w:rPr>
          <w:rFonts w:eastAsiaTheme="minorHAnsi" w:cstheme="minorBidi"/>
          <w:szCs w:val="24"/>
          <w:lang w:val="fr-CA" w:eastAsia="en-US"/>
        </w:rPr>
      </w:pPr>
    </w:p>
    <w:p w:rsidR="00B656C1" w:rsidRPr="00B656C1" w:rsidRDefault="00B656C1" w:rsidP="00B656C1">
      <w:pPr>
        <w:rPr>
          <w:rFonts w:eastAsiaTheme="minorHAnsi" w:cstheme="minorBidi"/>
          <w:b/>
          <w:smallCaps/>
          <w:szCs w:val="24"/>
          <w:lang w:val="fr-CA" w:eastAsia="en-US"/>
        </w:rPr>
      </w:pPr>
      <w:r w:rsidRPr="00B656C1">
        <w:rPr>
          <w:rFonts w:eastAsiaTheme="minorHAnsi" w:cstheme="minorBidi"/>
          <w:b/>
          <w:smallCaps/>
          <w:szCs w:val="24"/>
          <w:lang w:val="fr-CA" w:eastAsia="en-US"/>
        </w:rPr>
        <w:t>Entre :</w:t>
      </w:r>
    </w:p>
    <w:p w:rsidR="00B656C1" w:rsidRPr="00B656C1" w:rsidRDefault="0058350E" w:rsidP="00B656C1">
      <w:pPr>
        <w:jc w:val="center"/>
        <w:rPr>
          <w:rFonts w:eastAsiaTheme="minorHAnsi" w:cstheme="minorBidi"/>
          <w:b/>
          <w:szCs w:val="24"/>
          <w:lang w:val="fr-CA" w:eastAsia="en-US"/>
        </w:rPr>
      </w:pPr>
      <w:r>
        <w:rPr>
          <w:rFonts w:eastAsiaTheme="minorHAnsi" w:cstheme="minorBidi"/>
          <w:b/>
          <w:szCs w:val="24"/>
          <w:lang w:val="fr-CA" w:eastAsia="en-US"/>
        </w:rPr>
        <w:t>Agence du r</w:t>
      </w:r>
      <w:r w:rsidR="00B656C1" w:rsidRPr="00B656C1">
        <w:rPr>
          <w:rFonts w:eastAsiaTheme="minorHAnsi" w:cstheme="minorBidi"/>
          <w:b/>
          <w:szCs w:val="24"/>
          <w:lang w:val="fr-CA" w:eastAsia="en-US"/>
        </w:rPr>
        <w:t>evenu du Québec (anciennement le Sous-ministre du Revenu du Québec)</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Appelante</w:t>
      </w:r>
    </w:p>
    <w:p w:rsidR="00B656C1" w:rsidRPr="00B656C1" w:rsidRDefault="00B656C1" w:rsidP="00B656C1">
      <w:pPr>
        <w:jc w:val="center"/>
        <w:rPr>
          <w:rFonts w:eastAsiaTheme="minorHAnsi" w:cstheme="minorBidi"/>
          <w:szCs w:val="24"/>
          <w:lang w:val="fr-CA" w:eastAsia="en-US"/>
        </w:rPr>
      </w:pPr>
      <w:proofErr w:type="gramStart"/>
      <w:r w:rsidRPr="00B656C1">
        <w:rPr>
          <w:rFonts w:eastAsiaTheme="minorHAnsi" w:cstheme="minorBidi"/>
          <w:szCs w:val="24"/>
          <w:lang w:val="fr-CA" w:eastAsia="en-US"/>
        </w:rPr>
        <w:t>et</w:t>
      </w:r>
      <w:proofErr w:type="gramEnd"/>
    </w:p>
    <w:p w:rsidR="00B656C1" w:rsidRPr="00B656C1" w:rsidRDefault="00B656C1" w:rsidP="00B656C1">
      <w:pPr>
        <w:jc w:val="center"/>
        <w:rPr>
          <w:rFonts w:eastAsiaTheme="minorHAnsi" w:cstheme="minorBidi"/>
          <w:b/>
          <w:szCs w:val="24"/>
          <w:lang w:val="fr-CA" w:eastAsia="en-US"/>
        </w:rPr>
      </w:pPr>
      <w:r w:rsidRPr="00B656C1">
        <w:rPr>
          <w:rFonts w:eastAsiaTheme="minorHAnsi" w:cstheme="minorBidi"/>
          <w:b/>
          <w:szCs w:val="24"/>
          <w:lang w:val="fr-CA" w:eastAsia="en-US"/>
        </w:rPr>
        <w:t xml:space="preserve">Services Environnementaux AES </w:t>
      </w:r>
      <w:proofErr w:type="spellStart"/>
      <w:r w:rsidRPr="00B656C1">
        <w:rPr>
          <w:rFonts w:eastAsiaTheme="minorHAnsi" w:cstheme="minorBidi"/>
          <w:b/>
          <w:szCs w:val="24"/>
          <w:lang w:val="fr-CA" w:eastAsia="en-US"/>
        </w:rPr>
        <w:t>inc.</w:t>
      </w:r>
      <w:proofErr w:type="spellEnd"/>
      <w:r w:rsidRPr="00B656C1">
        <w:rPr>
          <w:rFonts w:eastAsiaTheme="minorHAnsi" w:cstheme="minorBidi"/>
          <w:b/>
          <w:szCs w:val="24"/>
          <w:lang w:val="fr-CA" w:eastAsia="en-US"/>
        </w:rPr>
        <w:t xml:space="preserve"> et Centre Technologique AES </w:t>
      </w:r>
      <w:proofErr w:type="spellStart"/>
      <w:r w:rsidRPr="00B656C1">
        <w:rPr>
          <w:rFonts w:eastAsiaTheme="minorHAnsi" w:cstheme="minorBidi"/>
          <w:b/>
          <w:szCs w:val="24"/>
          <w:lang w:val="fr-CA" w:eastAsia="en-US"/>
        </w:rPr>
        <w:t>inc.</w:t>
      </w:r>
      <w:proofErr w:type="spellEnd"/>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Intimées</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 et -</w:t>
      </w:r>
    </w:p>
    <w:p w:rsidR="00B656C1" w:rsidRPr="00B656C1" w:rsidRDefault="00B656C1" w:rsidP="00B656C1">
      <w:pPr>
        <w:jc w:val="center"/>
        <w:rPr>
          <w:rFonts w:eastAsiaTheme="minorHAnsi" w:cstheme="minorBidi"/>
          <w:b/>
          <w:szCs w:val="24"/>
          <w:lang w:val="fr-CA" w:eastAsia="en-US"/>
        </w:rPr>
      </w:pPr>
      <w:r w:rsidRPr="00B656C1">
        <w:rPr>
          <w:rFonts w:eastAsiaTheme="minorHAnsi" w:cstheme="minorBidi"/>
          <w:b/>
          <w:szCs w:val="24"/>
          <w:lang w:val="fr-CA" w:eastAsia="en-US"/>
        </w:rPr>
        <w:t>Procureur général du Canada</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Intervenant</w:t>
      </w:r>
      <w:r w:rsidRPr="00B656C1">
        <w:rPr>
          <w:rFonts w:eastAsiaTheme="minorHAnsi" w:cstheme="minorBidi"/>
          <w:szCs w:val="24"/>
          <w:lang w:val="fr-CA" w:eastAsia="en-US"/>
        </w:rPr>
        <w:br/>
      </w:r>
    </w:p>
    <w:p w:rsidR="00B656C1" w:rsidRPr="00B656C1" w:rsidRDefault="00B656C1" w:rsidP="00B656C1">
      <w:pPr>
        <w:rPr>
          <w:rFonts w:eastAsiaTheme="minorHAnsi" w:cstheme="minorBidi"/>
          <w:b/>
          <w:smallCaps/>
          <w:szCs w:val="24"/>
          <w:lang w:val="fr-CA" w:eastAsia="en-US"/>
        </w:rPr>
      </w:pPr>
      <w:r w:rsidRPr="00B656C1">
        <w:rPr>
          <w:rFonts w:eastAsiaTheme="minorHAnsi" w:cstheme="minorBidi"/>
          <w:b/>
          <w:smallCaps/>
          <w:szCs w:val="24"/>
          <w:lang w:val="fr-CA" w:eastAsia="en-US"/>
        </w:rPr>
        <w:t>Et entre :</w:t>
      </w:r>
    </w:p>
    <w:p w:rsidR="00B656C1" w:rsidRPr="00B656C1" w:rsidRDefault="0058350E" w:rsidP="00B656C1">
      <w:pPr>
        <w:jc w:val="center"/>
        <w:rPr>
          <w:rFonts w:eastAsiaTheme="minorHAnsi" w:cstheme="minorBidi"/>
          <w:b/>
          <w:szCs w:val="24"/>
          <w:lang w:val="fr-CA" w:eastAsia="en-US"/>
        </w:rPr>
      </w:pPr>
      <w:r>
        <w:rPr>
          <w:rFonts w:eastAsiaTheme="minorHAnsi" w:cstheme="minorBidi"/>
          <w:b/>
          <w:szCs w:val="24"/>
          <w:lang w:val="fr-CA" w:eastAsia="en-US"/>
        </w:rPr>
        <w:t>Agence du r</w:t>
      </w:r>
      <w:r w:rsidR="00B656C1" w:rsidRPr="00B656C1">
        <w:rPr>
          <w:rFonts w:eastAsiaTheme="minorHAnsi" w:cstheme="minorBidi"/>
          <w:b/>
          <w:szCs w:val="24"/>
          <w:lang w:val="fr-CA" w:eastAsia="en-US"/>
        </w:rPr>
        <w:t>evenu du Québec (anciennement le Sous-ministre du Revenu du Québec)</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Appelante</w:t>
      </w:r>
    </w:p>
    <w:p w:rsidR="00B656C1" w:rsidRPr="00B656C1" w:rsidRDefault="00B656C1" w:rsidP="00B656C1">
      <w:pPr>
        <w:jc w:val="center"/>
        <w:rPr>
          <w:rFonts w:eastAsiaTheme="minorHAnsi" w:cstheme="minorBidi"/>
          <w:szCs w:val="24"/>
          <w:lang w:val="fr-CA" w:eastAsia="en-US"/>
        </w:rPr>
      </w:pPr>
      <w:proofErr w:type="gramStart"/>
      <w:r w:rsidRPr="00B656C1">
        <w:rPr>
          <w:rFonts w:eastAsiaTheme="minorHAnsi" w:cstheme="minorBidi"/>
          <w:szCs w:val="24"/>
          <w:lang w:val="fr-CA" w:eastAsia="en-US"/>
        </w:rPr>
        <w:t>et</w:t>
      </w:r>
      <w:proofErr w:type="gramEnd"/>
    </w:p>
    <w:p w:rsidR="00B656C1" w:rsidRPr="00B656C1" w:rsidRDefault="00B656C1" w:rsidP="00B656C1">
      <w:pPr>
        <w:jc w:val="center"/>
        <w:rPr>
          <w:rFonts w:eastAsiaTheme="minorHAnsi" w:cstheme="minorBidi"/>
          <w:b/>
          <w:szCs w:val="24"/>
          <w:lang w:val="fr-CA" w:eastAsia="en-US"/>
        </w:rPr>
      </w:pPr>
      <w:r w:rsidRPr="00B656C1">
        <w:rPr>
          <w:rFonts w:eastAsiaTheme="minorHAnsi" w:cstheme="minorBidi"/>
          <w:b/>
          <w:szCs w:val="24"/>
          <w:lang w:val="fr-CA" w:eastAsia="en-US"/>
        </w:rPr>
        <w:t xml:space="preserve">Jean </w:t>
      </w:r>
      <w:proofErr w:type="spellStart"/>
      <w:r w:rsidRPr="00B656C1">
        <w:rPr>
          <w:rFonts w:eastAsiaTheme="minorHAnsi" w:cstheme="minorBidi"/>
          <w:b/>
          <w:szCs w:val="24"/>
          <w:lang w:val="fr-CA" w:eastAsia="en-US"/>
        </w:rPr>
        <w:t>Riopel</w:t>
      </w:r>
      <w:proofErr w:type="spellEnd"/>
      <w:r w:rsidRPr="00B656C1">
        <w:rPr>
          <w:rFonts w:eastAsiaTheme="minorHAnsi" w:cstheme="minorBidi"/>
          <w:b/>
          <w:szCs w:val="24"/>
          <w:lang w:val="fr-CA" w:eastAsia="en-US"/>
        </w:rPr>
        <w:t xml:space="preserve">, Christiane Archambault et Entreprise J.P.F. </w:t>
      </w:r>
      <w:proofErr w:type="spellStart"/>
      <w:r w:rsidRPr="00B656C1">
        <w:rPr>
          <w:rFonts w:eastAsiaTheme="minorHAnsi" w:cstheme="minorBidi"/>
          <w:b/>
          <w:szCs w:val="24"/>
          <w:lang w:val="fr-CA" w:eastAsia="en-US"/>
        </w:rPr>
        <w:t>Riopel</w:t>
      </w:r>
      <w:proofErr w:type="spellEnd"/>
      <w:r w:rsidRPr="00B656C1">
        <w:rPr>
          <w:rFonts w:eastAsiaTheme="minorHAnsi" w:cstheme="minorBidi"/>
          <w:b/>
          <w:szCs w:val="24"/>
          <w:lang w:val="fr-CA" w:eastAsia="en-US"/>
        </w:rPr>
        <w:t xml:space="preserve"> </w:t>
      </w:r>
      <w:proofErr w:type="spellStart"/>
      <w:r w:rsidRPr="00B656C1">
        <w:rPr>
          <w:rFonts w:eastAsiaTheme="minorHAnsi" w:cstheme="minorBidi"/>
          <w:b/>
          <w:szCs w:val="24"/>
          <w:lang w:val="fr-CA" w:eastAsia="en-US"/>
        </w:rPr>
        <w:t>inc.</w:t>
      </w:r>
      <w:proofErr w:type="spellEnd"/>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Intimés</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 et -</w:t>
      </w:r>
    </w:p>
    <w:p w:rsidR="00B656C1" w:rsidRPr="00B656C1" w:rsidRDefault="00B656C1" w:rsidP="00B656C1">
      <w:pPr>
        <w:jc w:val="center"/>
        <w:rPr>
          <w:rFonts w:eastAsiaTheme="minorHAnsi" w:cstheme="minorBidi"/>
          <w:b/>
          <w:szCs w:val="24"/>
          <w:lang w:val="fr-CA" w:eastAsia="en-US"/>
        </w:rPr>
      </w:pPr>
      <w:r w:rsidRPr="00B656C1">
        <w:rPr>
          <w:rFonts w:eastAsiaTheme="minorHAnsi" w:cstheme="minorBidi"/>
          <w:b/>
          <w:szCs w:val="24"/>
          <w:lang w:val="fr-CA" w:eastAsia="en-US"/>
        </w:rPr>
        <w:t>Procureur général du Canada</w:t>
      </w:r>
    </w:p>
    <w:p w:rsidR="00B656C1" w:rsidRPr="00B656C1" w:rsidRDefault="00B656C1" w:rsidP="00B656C1">
      <w:pPr>
        <w:jc w:val="center"/>
        <w:rPr>
          <w:rFonts w:eastAsiaTheme="minorHAnsi" w:cstheme="minorBidi"/>
          <w:szCs w:val="24"/>
          <w:lang w:val="fr-CA" w:eastAsia="en-US"/>
        </w:rPr>
      </w:pPr>
      <w:r w:rsidRPr="00B656C1">
        <w:rPr>
          <w:rFonts w:eastAsiaTheme="minorHAnsi" w:cstheme="minorBidi"/>
          <w:szCs w:val="24"/>
          <w:lang w:val="fr-CA" w:eastAsia="en-US"/>
        </w:rPr>
        <w:t>Intervenant</w:t>
      </w:r>
    </w:p>
    <w:p w:rsidR="00B656C1" w:rsidRPr="00B656C1" w:rsidRDefault="00B656C1" w:rsidP="00B656C1">
      <w:pPr>
        <w:rPr>
          <w:rFonts w:eastAsiaTheme="minorHAnsi" w:cstheme="minorBidi"/>
          <w:szCs w:val="24"/>
          <w:lang w:val="fr-CA" w:eastAsia="en-US"/>
        </w:rPr>
      </w:pPr>
    </w:p>
    <w:p w:rsidR="00B656C1" w:rsidRPr="00B656C1" w:rsidRDefault="00B656C1" w:rsidP="00B656C1">
      <w:pPr>
        <w:rPr>
          <w:rFonts w:eastAsiaTheme="minorHAnsi" w:cstheme="minorBidi"/>
          <w:szCs w:val="24"/>
          <w:lang w:val="fr-CA" w:eastAsia="en-US"/>
        </w:rPr>
      </w:pPr>
      <w:r w:rsidRPr="00B656C1">
        <w:rPr>
          <w:rFonts w:eastAsiaTheme="minorHAnsi" w:cstheme="minorBidi"/>
          <w:b/>
          <w:smallCaps/>
          <w:szCs w:val="24"/>
          <w:lang w:val="fr-CA" w:eastAsia="en-US"/>
        </w:rPr>
        <w:t>Coram :</w:t>
      </w:r>
      <w:r w:rsidRPr="00B656C1">
        <w:rPr>
          <w:rFonts w:eastAsiaTheme="minorHAnsi" w:cstheme="minorBidi"/>
          <w:szCs w:val="24"/>
          <w:lang w:val="fr-CA" w:eastAsia="en-US"/>
        </w:rPr>
        <w:t xml:space="preserve"> La juge en chef McLachlin et les juges </w:t>
      </w:r>
      <w:proofErr w:type="spellStart"/>
      <w:r w:rsidRPr="00B656C1">
        <w:rPr>
          <w:rFonts w:eastAsiaTheme="minorHAnsi" w:cstheme="minorBidi"/>
          <w:szCs w:val="24"/>
          <w:lang w:val="fr-CA" w:eastAsia="en-US"/>
        </w:rPr>
        <w:t>LeBel</w:t>
      </w:r>
      <w:proofErr w:type="spellEnd"/>
      <w:r w:rsidRPr="00B656C1">
        <w:rPr>
          <w:rFonts w:eastAsiaTheme="minorHAnsi" w:cstheme="minorBidi"/>
          <w:szCs w:val="24"/>
          <w:lang w:val="fr-CA" w:eastAsia="en-US"/>
        </w:rPr>
        <w:t xml:space="preserve">, Fish, Abella, </w:t>
      </w:r>
      <w:proofErr w:type="spellStart"/>
      <w:r w:rsidRPr="00B656C1">
        <w:rPr>
          <w:rFonts w:eastAsiaTheme="minorHAnsi" w:cstheme="minorBidi"/>
          <w:szCs w:val="24"/>
          <w:lang w:val="fr-CA" w:eastAsia="en-US"/>
        </w:rPr>
        <w:t>Rothstein</w:t>
      </w:r>
      <w:proofErr w:type="spellEnd"/>
      <w:r w:rsidRPr="00B656C1">
        <w:rPr>
          <w:rFonts w:eastAsiaTheme="minorHAnsi" w:cstheme="minorBidi"/>
          <w:szCs w:val="24"/>
          <w:lang w:val="fr-CA" w:eastAsia="en-US"/>
        </w:rPr>
        <w:t>, Cromwell et Karakatsanis</w:t>
      </w:r>
    </w:p>
    <w:p w:rsidR="00B656C1" w:rsidRPr="00B656C1" w:rsidRDefault="00B656C1" w:rsidP="00B656C1">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56C1" w:rsidRPr="0058350E" w:rsidTr="006E3084">
        <w:trPr>
          <w:cantSplit/>
        </w:trPr>
        <w:tc>
          <w:tcPr>
            <w:tcW w:w="3618" w:type="dxa"/>
          </w:tcPr>
          <w:p w:rsidR="00B656C1" w:rsidRPr="00B656C1" w:rsidRDefault="00B656C1" w:rsidP="00B656C1">
            <w:pPr>
              <w:rPr>
                <w:b/>
                <w:smallCaps/>
                <w:lang w:val="fr-CA"/>
              </w:rPr>
            </w:pPr>
            <w:r w:rsidRPr="00B656C1">
              <w:rPr>
                <w:b/>
                <w:smallCaps/>
                <w:lang w:val="fr-CA"/>
              </w:rPr>
              <w:t>Motifs de jugement :</w:t>
            </w:r>
          </w:p>
          <w:p w:rsidR="00B656C1" w:rsidRPr="00B656C1" w:rsidRDefault="00B656C1" w:rsidP="00B656C1">
            <w:pPr>
              <w:rPr>
                <w:lang w:val="fr-CA"/>
              </w:rPr>
            </w:pPr>
            <w:r w:rsidRPr="00B656C1">
              <w:rPr>
                <w:lang w:val="fr-CA"/>
              </w:rPr>
              <w:t>(par. 1 à 56)</w:t>
            </w:r>
          </w:p>
        </w:tc>
        <w:tc>
          <w:tcPr>
            <w:tcW w:w="5958" w:type="dxa"/>
          </w:tcPr>
          <w:p w:rsidR="00B656C1" w:rsidRPr="00B656C1" w:rsidRDefault="00B656C1" w:rsidP="00B656C1">
            <w:pPr>
              <w:rPr>
                <w:lang w:val="fr-CA"/>
              </w:rPr>
            </w:pPr>
            <w:r w:rsidRPr="00B656C1">
              <w:rPr>
                <w:lang w:val="fr-CA"/>
              </w:rPr>
              <w:t xml:space="preserve">Le juge </w:t>
            </w:r>
            <w:proofErr w:type="spellStart"/>
            <w:r w:rsidRPr="00B656C1">
              <w:rPr>
                <w:lang w:val="fr-CA"/>
              </w:rPr>
              <w:t>LeBel</w:t>
            </w:r>
            <w:proofErr w:type="spellEnd"/>
            <w:r w:rsidRPr="00B656C1">
              <w:rPr>
                <w:lang w:val="fr-CA"/>
              </w:rPr>
              <w:t xml:space="preserve"> (avec l’accord de la juge en chef McLachlin et des juges Fish, Abella, </w:t>
            </w:r>
            <w:proofErr w:type="spellStart"/>
            <w:r w:rsidRPr="00B656C1">
              <w:rPr>
                <w:lang w:val="fr-CA"/>
              </w:rPr>
              <w:t>Rothstein</w:t>
            </w:r>
            <w:proofErr w:type="spellEnd"/>
            <w:r w:rsidRPr="00B656C1">
              <w:rPr>
                <w:lang w:val="fr-CA"/>
              </w:rPr>
              <w:t xml:space="preserve">, Cromwell et </w:t>
            </w:r>
            <w:proofErr w:type="spellStart"/>
            <w:r w:rsidRPr="00B656C1">
              <w:rPr>
                <w:lang w:val="fr-CA"/>
              </w:rPr>
              <w:t>Karakatsanis</w:t>
            </w:r>
            <w:proofErr w:type="spellEnd"/>
            <w:r w:rsidRPr="00B656C1">
              <w:rPr>
                <w:lang w:val="fr-CA"/>
              </w:rPr>
              <w:t>)</w:t>
            </w:r>
          </w:p>
        </w:tc>
      </w:tr>
    </w:tbl>
    <w:p w:rsidR="00B656C1" w:rsidRPr="00B656C1" w:rsidRDefault="00B656C1" w:rsidP="00B656C1">
      <w:pPr>
        <w:rPr>
          <w:rFonts w:eastAsiaTheme="minorHAnsi" w:cstheme="minorBidi"/>
          <w:szCs w:val="24"/>
          <w:lang w:val="fr-CA" w:eastAsia="en-US"/>
        </w:rPr>
      </w:pPr>
    </w:p>
    <w:p w:rsidR="00B656C1" w:rsidRPr="00B656C1" w:rsidRDefault="00B656C1" w:rsidP="00B656C1">
      <w:pPr>
        <w:rPr>
          <w:rFonts w:eastAsiaTheme="minorHAnsi" w:cstheme="minorBidi"/>
          <w:szCs w:val="24"/>
          <w:lang w:val="fr-CA" w:eastAsia="en-US"/>
        </w:rPr>
      </w:pPr>
      <w:r w:rsidRPr="00B656C1">
        <w:rPr>
          <w:rFonts w:eastAsiaTheme="minorHAnsi" w:cstheme="minorBidi"/>
          <w:b/>
          <w:smallCaps/>
          <w:szCs w:val="24"/>
          <w:lang w:val="fr-CA" w:eastAsia="en-US"/>
        </w:rPr>
        <w:t>Note :</w:t>
      </w:r>
      <w:r w:rsidRPr="00B656C1">
        <w:rPr>
          <w:rFonts w:eastAsiaTheme="minorHAnsi" w:cstheme="minorBidi"/>
          <w:szCs w:val="24"/>
          <w:lang w:val="fr-CA" w:eastAsia="en-US"/>
        </w:rPr>
        <w:t xml:space="preserve"> Ce document fera l’objet de retouches de forme avant la parution de sa version définitive dans le </w:t>
      </w:r>
      <w:r w:rsidRPr="00B656C1">
        <w:rPr>
          <w:rFonts w:eastAsiaTheme="minorHAnsi" w:cstheme="minorBidi"/>
          <w:i/>
          <w:szCs w:val="24"/>
          <w:lang w:val="fr-CA" w:eastAsia="en-US"/>
        </w:rPr>
        <w:t>Recueil des arrêts de la Cour suprême du Canada</w:t>
      </w:r>
      <w:r w:rsidRPr="00B656C1">
        <w:rPr>
          <w:rFonts w:eastAsiaTheme="minorHAnsi" w:cstheme="minorBidi"/>
          <w:szCs w:val="24"/>
          <w:lang w:val="fr-CA" w:eastAsia="en-US"/>
        </w:rPr>
        <w:t>.</w:t>
      </w:r>
    </w:p>
    <w:p w:rsidR="00B656C1" w:rsidRPr="00B656C1" w:rsidRDefault="00B656C1" w:rsidP="00B656C1">
      <w:pPr>
        <w:rPr>
          <w:rFonts w:eastAsiaTheme="minorHAnsi" w:cstheme="minorBidi"/>
          <w:szCs w:val="24"/>
          <w:lang w:val="fr-CA" w:eastAsia="en-US"/>
        </w:rPr>
      </w:pPr>
    </w:p>
    <w:p w:rsidR="00B656C1" w:rsidRPr="00B656C1" w:rsidRDefault="00A5606E" w:rsidP="00B656C1">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B656C1" w:rsidRDefault="00B656C1">
      <w:pPr>
        <w:rPr>
          <w:smallCaps/>
          <w:lang w:val="fr-CA"/>
        </w:rPr>
      </w:pPr>
      <w:r>
        <w:rPr>
          <w:smallCaps/>
          <w:lang w:val="fr-CA"/>
        </w:rPr>
        <w:br w:type="page"/>
      </w:r>
    </w:p>
    <w:p w:rsidR="006B21F9" w:rsidRPr="003C54A8" w:rsidRDefault="00791168" w:rsidP="008064A8">
      <w:pPr>
        <w:spacing w:after="720"/>
        <w:jc w:val="both"/>
        <w:rPr>
          <w:smallCaps/>
          <w:lang w:val="fr-CA"/>
        </w:rPr>
      </w:pPr>
      <w:proofErr w:type="spellStart"/>
      <w:r w:rsidRPr="003C54A8">
        <w:rPr>
          <w:smallCaps/>
          <w:lang w:val="fr-CA"/>
        </w:rPr>
        <w:lastRenderedPageBreak/>
        <w:t>québec</w:t>
      </w:r>
      <w:proofErr w:type="spellEnd"/>
      <w:r w:rsidRPr="003C54A8">
        <w:rPr>
          <w:lang w:val="fr-CA"/>
        </w:rPr>
        <w:t xml:space="preserve"> </w:t>
      </w:r>
      <w:r w:rsidR="00572082" w:rsidRPr="003C54A8">
        <w:rPr>
          <w:lang w:val="fr-CA"/>
        </w:rPr>
        <w:t>(</w:t>
      </w:r>
      <w:r w:rsidR="00810CE4" w:rsidRPr="00810CE4">
        <w:rPr>
          <w:smallCaps/>
          <w:lang w:val="fr-CA"/>
        </w:rPr>
        <w:t>agence du</w:t>
      </w:r>
      <w:r w:rsidR="00810CE4">
        <w:rPr>
          <w:lang w:val="fr-CA"/>
        </w:rPr>
        <w:t xml:space="preserve"> </w:t>
      </w:r>
      <w:r w:rsidR="00572082" w:rsidRPr="003C54A8">
        <w:rPr>
          <w:smallCaps/>
          <w:lang w:val="fr-CA"/>
        </w:rPr>
        <w:t xml:space="preserve">revenu) </w:t>
      </w:r>
      <w:r w:rsidR="006B21F9" w:rsidRPr="003C54A8">
        <w:rPr>
          <w:i/>
          <w:lang w:val="fr-CA"/>
        </w:rPr>
        <w:t>c.</w:t>
      </w:r>
      <w:r w:rsidR="006B21F9" w:rsidRPr="003C54A8">
        <w:rPr>
          <w:lang w:val="fr-CA"/>
        </w:rPr>
        <w:t xml:space="preserve"> </w:t>
      </w:r>
      <w:r w:rsidRPr="003C54A8">
        <w:rPr>
          <w:smallCaps/>
          <w:lang w:val="fr-CA"/>
        </w:rPr>
        <w:t>services environnementaux aes</w:t>
      </w:r>
    </w:p>
    <w:p w:rsidR="00F85C7A" w:rsidRPr="003C54A8" w:rsidRDefault="00572082" w:rsidP="00F85C7A">
      <w:pPr>
        <w:pStyle w:val="SCCLsocLastPartyInRole"/>
        <w:spacing w:after="0"/>
        <w:rPr>
          <w:lang w:val="fr-CA"/>
        </w:rPr>
      </w:pPr>
      <w:r w:rsidRPr="003C54A8">
        <w:rPr>
          <w:lang w:val="fr-CA"/>
        </w:rPr>
        <w:t xml:space="preserve">Agence du </w:t>
      </w:r>
      <w:r w:rsidR="0058350E">
        <w:rPr>
          <w:lang w:val="fr-CA"/>
        </w:rPr>
        <w:t>r</w:t>
      </w:r>
      <w:r w:rsidR="006873E9" w:rsidRPr="003C54A8">
        <w:rPr>
          <w:lang w:val="fr-CA"/>
        </w:rPr>
        <w:t xml:space="preserve">evenu du Québec (anciennement le </w:t>
      </w:r>
    </w:p>
    <w:p w:rsidR="00E6359D" w:rsidRPr="003C54A8" w:rsidRDefault="006873E9" w:rsidP="008064A8">
      <w:pPr>
        <w:pStyle w:val="SCCLsocLastPartyInRole"/>
        <w:rPr>
          <w:lang w:val="fr-CA"/>
        </w:rPr>
      </w:pPr>
      <w:r w:rsidRPr="003C54A8">
        <w:rPr>
          <w:lang w:val="fr-CA"/>
        </w:rPr>
        <w:t>Sous</w:t>
      </w:r>
      <w:r w:rsidR="008064A8" w:rsidRPr="003C54A8">
        <w:rPr>
          <w:lang w:val="fr-CA"/>
        </w:rPr>
        <w:noBreakHyphen/>
      </w:r>
      <w:r w:rsidRPr="003C54A8">
        <w:rPr>
          <w:lang w:val="fr-CA"/>
        </w:rPr>
        <w:t>ministre du Revenu du Québec)</w:t>
      </w:r>
      <w:r w:rsidR="006B21F9" w:rsidRPr="003C54A8">
        <w:rPr>
          <w:rStyle w:val="SCCLsocPartyRole"/>
          <w:lang w:val="fr-CA"/>
        </w:rPr>
        <w:tab/>
        <w:t>Appelant</w:t>
      </w:r>
      <w:r w:rsidRPr="003C54A8">
        <w:rPr>
          <w:rStyle w:val="SCCLsocPartyRole"/>
          <w:lang w:val="fr-CA"/>
        </w:rPr>
        <w:t>e</w:t>
      </w:r>
    </w:p>
    <w:p w:rsidR="00E6359D" w:rsidRPr="003C54A8" w:rsidRDefault="006873E9" w:rsidP="008064A8">
      <w:pPr>
        <w:pStyle w:val="SCCLsocVersus"/>
        <w:rPr>
          <w:lang w:val="fr-CA"/>
        </w:rPr>
      </w:pPr>
      <w:proofErr w:type="gramStart"/>
      <w:r w:rsidRPr="003C54A8">
        <w:rPr>
          <w:lang w:val="fr-CA"/>
        </w:rPr>
        <w:t>c</w:t>
      </w:r>
      <w:proofErr w:type="gramEnd"/>
      <w:r w:rsidRPr="003C54A8">
        <w:rPr>
          <w:lang w:val="fr-CA"/>
        </w:rPr>
        <w:t>.</w:t>
      </w:r>
    </w:p>
    <w:p w:rsidR="00E6359D" w:rsidRPr="003C54A8" w:rsidRDefault="006873E9" w:rsidP="00F85C7A">
      <w:pPr>
        <w:pStyle w:val="SCCLsocParty"/>
        <w:rPr>
          <w:lang w:val="fr-CA"/>
        </w:rPr>
      </w:pPr>
      <w:r w:rsidRPr="003C54A8">
        <w:rPr>
          <w:lang w:val="fr-CA"/>
        </w:rPr>
        <w:t xml:space="preserve">Services Environnementaux AES </w:t>
      </w:r>
      <w:proofErr w:type="spellStart"/>
      <w:r w:rsidR="00C53E06" w:rsidRPr="003C54A8">
        <w:rPr>
          <w:lang w:val="fr-CA"/>
        </w:rPr>
        <w:t>i</w:t>
      </w:r>
      <w:r w:rsidRPr="003C54A8">
        <w:rPr>
          <w:lang w:val="fr-CA"/>
        </w:rPr>
        <w:t>nc.</w:t>
      </w:r>
      <w:proofErr w:type="spellEnd"/>
      <w:r w:rsidR="00791168" w:rsidRPr="003C54A8">
        <w:rPr>
          <w:lang w:val="fr-CA"/>
        </w:rPr>
        <w:t xml:space="preserve"> et</w:t>
      </w:r>
    </w:p>
    <w:p w:rsidR="00E6359D" w:rsidRPr="003C54A8" w:rsidRDefault="00C53E06" w:rsidP="008064A8">
      <w:pPr>
        <w:pStyle w:val="SCCLsocLastPartyInRole"/>
        <w:rPr>
          <w:lang w:val="fr-CA"/>
        </w:rPr>
      </w:pPr>
      <w:r w:rsidRPr="003C54A8">
        <w:rPr>
          <w:lang w:val="fr-CA"/>
        </w:rPr>
        <w:t xml:space="preserve">Centre Technologique AES </w:t>
      </w:r>
      <w:proofErr w:type="spellStart"/>
      <w:r w:rsidRPr="003C54A8">
        <w:rPr>
          <w:lang w:val="fr-CA"/>
        </w:rPr>
        <w:t>i</w:t>
      </w:r>
      <w:r w:rsidR="006873E9" w:rsidRPr="003C54A8">
        <w:rPr>
          <w:lang w:val="fr-CA"/>
        </w:rPr>
        <w:t>nc.</w:t>
      </w:r>
      <w:proofErr w:type="spellEnd"/>
      <w:r w:rsidR="00F85C7A" w:rsidRPr="003C54A8">
        <w:rPr>
          <w:rStyle w:val="SCCLsocPartyRole"/>
          <w:lang w:val="fr-CA"/>
        </w:rPr>
        <w:tab/>
        <w:t>Intimé</w:t>
      </w:r>
      <w:r w:rsidR="005F01C1" w:rsidRPr="003C54A8">
        <w:rPr>
          <w:rStyle w:val="SCCLsocPartyRole"/>
          <w:lang w:val="fr-CA"/>
        </w:rPr>
        <w:t>e</w:t>
      </w:r>
      <w:r w:rsidR="006873E9" w:rsidRPr="003C54A8">
        <w:rPr>
          <w:rStyle w:val="SCCLsocPartyRole"/>
          <w:lang w:val="fr-CA"/>
        </w:rPr>
        <w:t>s</w:t>
      </w:r>
    </w:p>
    <w:p w:rsidR="00000B3F" w:rsidRPr="003C54A8" w:rsidRDefault="00000B3F" w:rsidP="008064A8">
      <w:pPr>
        <w:pStyle w:val="SCCLsocOtherPartySeparator"/>
        <w:rPr>
          <w:lang w:val="fr-CA"/>
        </w:rPr>
      </w:pPr>
      <w:proofErr w:type="gramStart"/>
      <w:r w:rsidRPr="003C54A8">
        <w:rPr>
          <w:lang w:val="fr-CA"/>
        </w:rPr>
        <w:t>et</w:t>
      </w:r>
      <w:proofErr w:type="gramEnd"/>
    </w:p>
    <w:p w:rsidR="00000B3F" w:rsidRPr="003C54A8" w:rsidRDefault="00000B3F" w:rsidP="008064A8">
      <w:pPr>
        <w:pStyle w:val="SCCLsocLastPartyInRole"/>
        <w:rPr>
          <w:lang w:val="fr-CA"/>
        </w:rPr>
      </w:pPr>
      <w:r w:rsidRPr="003C54A8">
        <w:rPr>
          <w:lang w:val="fr-CA"/>
        </w:rPr>
        <w:t>Procureur général du Canada</w:t>
      </w:r>
      <w:r w:rsidRPr="003C54A8">
        <w:rPr>
          <w:rStyle w:val="SCCLsocPartyRole"/>
          <w:lang w:val="fr-CA"/>
        </w:rPr>
        <w:tab/>
        <w:t>Intervenant</w:t>
      </w:r>
    </w:p>
    <w:p w:rsidR="006B21F9" w:rsidRPr="003C54A8" w:rsidRDefault="008064A8" w:rsidP="008064A8">
      <w:pPr>
        <w:pStyle w:val="SCCLsocOtherPartySeparator"/>
        <w:rPr>
          <w:lang w:val="fr-CA"/>
        </w:rPr>
      </w:pPr>
      <w:r w:rsidRPr="003C54A8">
        <w:rPr>
          <w:lang w:val="fr-CA"/>
        </w:rPr>
        <w:noBreakHyphen/>
      </w:r>
      <w:r w:rsidR="006B21F9" w:rsidRPr="003C54A8">
        <w:rPr>
          <w:lang w:val="fr-CA"/>
        </w:rPr>
        <w:t xml:space="preserve"> </w:t>
      </w:r>
      <w:proofErr w:type="gramStart"/>
      <w:r w:rsidR="006B21F9" w:rsidRPr="003C54A8">
        <w:rPr>
          <w:lang w:val="fr-CA"/>
        </w:rPr>
        <w:t>et</w:t>
      </w:r>
      <w:proofErr w:type="gramEnd"/>
      <w:r w:rsidR="006B21F9" w:rsidRPr="003C54A8">
        <w:rPr>
          <w:lang w:val="fr-CA"/>
        </w:rPr>
        <w:t xml:space="preserve"> </w:t>
      </w:r>
      <w:r w:rsidRPr="003C54A8">
        <w:rPr>
          <w:lang w:val="fr-CA"/>
        </w:rPr>
        <w:noBreakHyphen/>
      </w:r>
    </w:p>
    <w:p w:rsidR="005F01C1" w:rsidRPr="003C54A8" w:rsidRDefault="00572082" w:rsidP="005F01C1">
      <w:pPr>
        <w:pStyle w:val="SCCLsocLastPartyInRole"/>
        <w:spacing w:after="0"/>
        <w:rPr>
          <w:lang w:val="fr-CA"/>
        </w:rPr>
      </w:pPr>
      <w:r w:rsidRPr="003C54A8">
        <w:rPr>
          <w:lang w:val="fr-CA"/>
        </w:rPr>
        <w:t xml:space="preserve">Agence du </w:t>
      </w:r>
      <w:r w:rsidR="0058350E">
        <w:rPr>
          <w:lang w:val="fr-CA"/>
        </w:rPr>
        <w:t>r</w:t>
      </w:r>
      <w:r w:rsidR="006B21F9" w:rsidRPr="003C54A8">
        <w:rPr>
          <w:lang w:val="fr-CA"/>
        </w:rPr>
        <w:t>evenu du Québec</w:t>
      </w:r>
      <w:r w:rsidR="005F01C1" w:rsidRPr="003C54A8">
        <w:rPr>
          <w:lang w:val="fr-CA"/>
        </w:rPr>
        <w:t xml:space="preserve"> (anciennement le </w:t>
      </w:r>
    </w:p>
    <w:p w:rsidR="006B21F9" w:rsidRPr="003C54A8" w:rsidRDefault="005F01C1" w:rsidP="008064A8">
      <w:pPr>
        <w:pStyle w:val="SCCLsocLastPartyInRole"/>
        <w:rPr>
          <w:lang w:val="fr-CA"/>
        </w:rPr>
      </w:pPr>
      <w:r w:rsidRPr="003C54A8">
        <w:rPr>
          <w:lang w:val="fr-CA"/>
        </w:rPr>
        <w:t>Sous</w:t>
      </w:r>
      <w:r w:rsidR="008064A8" w:rsidRPr="003C54A8">
        <w:rPr>
          <w:lang w:val="fr-CA"/>
        </w:rPr>
        <w:noBreakHyphen/>
      </w:r>
      <w:r w:rsidRPr="003C54A8">
        <w:rPr>
          <w:lang w:val="fr-CA"/>
        </w:rPr>
        <w:t>ministre du Revenu du Québec)</w:t>
      </w:r>
      <w:r w:rsidR="006B21F9" w:rsidRPr="003C54A8">
        <w:rPr>
          <w:rStyle w:val="SCCLsocPartyRole"/>
          <w:lang w:val="fr-CA"/>
        </w:rPr>
        <w:tab/>
        <w:t>Appelante</w:t>
      </w:r>
    </w:p>
    <w:p w:rsidR="006B21F9" w:rsidRPr="003C54A8" w:rsidRDefault="006B21F9" w:rsidP="008064A8">
      <w:pPr>
        <w:pStyle w:val="SCCLsocVersus"/>
        <w:rPr>
          <w:lang w:val="fr-CA"/>
        </w:rPr>
      </w:pPr>
      <w:proofErr w:type="gramStart"/>
      <w:r w:rsidRPr="003C54A8">
        <w:rPr>
          <w:lang w:val="fr-CA"/>
        </w:rPr>
        <w:t>c</w:t>
      </w:r>
      <w:proofErr w:type="gramEnd"/>
      <w:r w:rsidRPr="003C54A8">
        <w:rPr>
          <w:lang w:val="fr-CA"/>
        </w:rPr>
        <w:t>.</w:t>
      </w:r>
    </w:p>
    <w:p w:rsidR="006B21F9" w:rsidRPr="003C54A8" w:rsidRDefault="006B21F9" w:rsidP="00F85C7A">
      <w:pPr>
        <w:rPr>
          <w:b/>
          <w:lang w:val="fr-CA"/>
        </w:rPr>
      </w:pPr>
      <w:r w:rsidRPr="003C54A8">
        <w:rPr>
          <w:b/>
          <w:lang w:val="fr-CA"/>
        </w:rPr>
        <w:t xml:space="preserve">Jean </w:t>
      </w:r>
      <w:proofErr w:type="spellStart"/>
      <w:r w:rsidRPr="003C54A8">
        <w:rPr>
          <w:b/>
          <w:lang w:val="fr-CA"/>
        </w:rPr>
        <w:t>Riopel</w:t>
      </w:r>
      <w:proofErr w:type="spellEnd"/>
      <w:r w:rsidRPr="003C54A8">
        <w:rPr>
          <w:b/>
          <w:lang w:val="fr-CA"/>
        </w:rPr>
        <w:t xml:space="preserve">, Christiane Archambault </w:t>
      </w:r>
      <w:r w:rsidR="00791168" w:rsidRPr="003C54A8">
        <w:rPr>
          <w:b/>
          <w:lang w:val="fr-CA"/>
        </w:rPr>
        <w:t>et</w:t>
      </w:r>
    </w:p>
    <w:p w:rsidR="006B21F9" w:rsidRPr="003C54A8" w:rsidRDefault="006B21F9" w:rsidP="008064A8">
      <w:pPr>
        <w:pStyle w:val="SCCLsocLastPartyInRole"/>
        <w:rPr>
          <w:lang w:val="fr-CA"/>
        </w:rPr>
      </w:pPr>
      <w:r w:rsidRPr="003C54A8">
        <w:rPr>
          <w:lang w:val="fr-CA"/>
        </w:rPr>
        <w:t xml:space="preserve">Entreprise J.P.F. </w:t>
      </w:r>
      <w:proofErr w:type="spellStart"/>
      <w:r w:rsidRPr="003C54A8">
        <w:rPr>
          <w:lang w:val="fr-CA"/>
        </w:rPr>
        <w:t>Riopel</w:t>
      </w:r>
      <w:proofErr w:type="spellEnd"/>
      <w:r w:rsidRPr="003C54A8">
        <w:rPr>
          <w:lang w:val="fr-CA"/>
        </w:rPr>
        <w:t xml:space="preserve"> </w:t>
      </w:r>
      <w:proofErr w:type="spellStart"/>
      <w:r w:rsidR="00C53E06" w:rsidRPr="003C54A8">
        <w:rPr>
          <w:lang w:val="fr-CA"/>
        </w:rPr>
        <w:t>i</w:t>
      </w:r>
      <w:r w:rsidRPr="003C54A8">
        <w:rPr>
          <w:lang w:val="fr-CA"/>
        </w:rPr>
        <w:t>nc.</w:t>
      </w:r>
      <w:proofErr w:type="spellEnd"/>
      <w:r w:rsidRPr="003C54A8">
        <w:rPr>
          <w:rStyle w:val="SCCLsocPartyRole"/>
          <w:lang w:val="fr-CA"/>
        </w:rPr>
        <w:tab/>
      </w:r>
      <w:r w:rsidR="00CB4F31" w:rsidRPr="003C54A8">
        <w:rPr>
          <w:rStyle w:val="SCCLsocPartyRole"/>
          <w:lang w:val="fr-CA"/>
        </w:rPr>
        <w:t>Intimé</w:t>
      </w:r>
      <w:r w:rsidRPr="003C54A8">
        <w:rPr>
          <w:rStyle w:val="SCCLsocPartyRole"/>
          <w:lang w:val="fr-CA"/>
        </w:rPr>
        <w:t>s</w:t>
      </w:r>
    </w:p>
    <w:p w:rsidR="006B21F9" w:rsidRPr="003C54A8" w:rsidRDefault="006B21F9" w:rsidP="008064A8">
      <w:pPr>
        <w:pStyle w:val="SCCLsocOtherPartySeparator"/>
        <w:rPr>
          <w:lang w:val="fr-CA"/>
        </w:rPr>
      </w:pPr>
      <w:proofErr w:type="gramStart"/>
      <w:r w:rsidRPr="003C54A8">
        <w:rPr>
          <w:lang w:val="fr-CA"/>
        </w:rPr>
        <w:t>et</w:t>
      </w:r>
      <w:proofErr w:type="gramEnd"/>
    </w:p>
    <w:p w:rsidR="006B21F9" w:rsidRPr="003C54A8" w:rsidRDefault="006B21F9" w:rsidP="008064A8">
      <w:pPr>
        <w:pStyle w:val="SCCLsocLastPartyInRole"/>
        <w:rPr>
          <w:lang w:val="fr-CA"/>
        </w:rPr>
      </w:pPr>
      <w:r w:rsidRPr="003C54A8">
        <w:rPr>
          <w:lang w:val="fr-CA"/>
        </w:rPr>
        <w:t>Procureur général du Canada</w:t>
      </w:r>
      <w:r w:rsidRPr="003C54A8">
        <w:rPr>
          <w:rStyle w:val="SCCLsocPartyRole"/>
          <w:lang w:val="fr-CA"/>
        </w:rPr>
        <w:tab/>
        <w:t>Intervenant</w:t>
      </w:r>
    </w:p>
    <w:p w:rsidR="004D7D95" w:rsidRPr="003C54A8" w:rsidRDefault="004D7D95" w:rsidP="008064A8">
      <w:pPr>
        <w:spacing w:after="720"/>
        <w:jc w:val="both"/>
        <w:rPr>
          <w:b/>
          <w:lang w:val="fr-CA"/>
        </w:rPr>
      </w:pPr>
      <w:r w:rsidRPr="003C54A8">
        <w:rPr>
          <w:b/>
          <w:lang w:val="fr-CA"/>
        </w:rPr>
        <w:t>Répertorié</w:t>
      </w:r>
      <w:r w:rsidR="008064A8" w:rsidRPr="003C54A8">
        <w:rPr>
          <w:b/>
          <w:lang w:val="fr-CA"/>
        </w:rPr>
        <w:t> :</w:t>
      </w:r>
      <w:r w:rsidRPr="003C54A8">
        <w:rPr>
          <w:b/>
          <w:lang w:val="fr-CA"/>
        </w:rPr>
        <w:t> </w:t>
      </w:r>
      <w:r w:rsidR="006B21F9" w:rsidRPr="003C54A8">
        <w:rPr>
          <w:b/>
          <w:lang w:val="fr-CA"/>
        </w:rPr>
        <w:t xml:space="preserve">Québec </w:t>
      </w:r>
      <w:r w:rsidR="00572082" w:rsidRPr="003C54A8">
        <w:rPr>
          <w:b/>
          <w:lang w:val="fr-CA"/>
        </w:rPr>
        <w:t>(</w:t>
      </w:r>
      <w:r w:rsidR="00810CE4" w:rsidRPr="00810CE4">
        <w:rPr>
          <w:b/>
          <w:lang w:val="fr-CA"/>
        </w:rPr>
        <w:t>Agence du</w:t>
      </w:r>
      <w:r w:rsidR="00810CE4">
        <w:rPr>
          <w:lang w:val="fr-CA"/>
        </w:rPr>
        <w:t xml:space="preserve"> </w:t>
      </w:r>
      <w:r w:rsidR="0058350E">
        <w:rPr>
          <w:b/>
          <w:lang w:val="fr-CA"/>
        </w:rPr>
        <w:t>r</w:t>
      </w:r>
      <w:r w:rsidR="00572082" w:rsidRPr="003C54A8">
        <w:rPr>
          <w:b/>
          <w:lang w:val="fr-CA"/>
        </w:rPr>
        <w:t xml:space="preserve">evenu) </w:t>
      </w:r>
      <w:r w:rsidR="00D9464E" w:rsidRPr="003C54A8">
        <w:rPr>
          <w:b/>
          <w:i/>
          <w:lang w:val="fr-CA"/>
        </w:rPr>
        <w:t>c</w:t>
      </w:r>
      <w:r w:rsidR="006B21F9" w:rsidRPr="003C54A8">
        <w:rPr>
          <w:b/>
          <w:i/>
          <w:lang w:val="fr-CA"/>
        </w:rPr>
        <w:t>.</w:t>
      </w:r>
      <w:r w:rsidR="006B21F9" w:rsidRPr="003C54A8">
        <w:rPr>
          <w:b/>
          <w:lang w:val="fr-CA"/>
        </w:rPr>
        <w:t xml:space="preserve"> Services Environnementaux </w:t>
      </w:r>
      <w:r w:rsidR="00CB4F31" w:rsidRPr="003C54A8">
        <w:rPr>
          <w:b/>
          <w:lang w:val="fr-CA"/>
        </w:rPr>
        <w:t xml:space="preserve">AES </w:t>
      </w:r>
      <w:proofErr w:type="spellStart"/>
      <w:r w:rsidR="00C53E06" w:rsidRPr="003C54A8">
        <w:rPr>
          <w:b/>
          <w:lang w:val="fr-CA"/>
        </w:rPr>
        <w:t>i</w:t>
      </w:r>
      <w:r w:rsidR="00C11126" w:rsidRPr="003C54A8">
        <w:rPr>
          <w:b/>
          <w:lang w:val="fr-CA"/>
        </w:rPr>
        <w:t>nc</w:t>
      </w:r>
      <w:r w:rsidR="00CB4F31" w:rsidRPr="003C54A8">
        <w:rPr>
          <w:b/>
          <w:lang w:val="fr-CA"/>
        </w:rPr>
        <w:t>.</w:t>
      </w:r>
      <w:proofErr w:type="spellEnd"/>
    </w:p>
    <w:p w:rsidR="004D7D95" w:rsidRPr="003C54A8" w:rsidRDefault="00F62639" w:rsidP="008064A8">
      <w:pPr>
        <w:pStyle w:val="SCCSystemYear"/>
        <w:spacing w:after="720"/>
        <w:jc w:val="both"/>
        <w:rPr>
          <w:lang w:val="fr-CA"/>
        </w:rPr>
      </w:pPr>
      <w:r w:rsidRPr="003C54A8">
        <w:rPr>
          <w:lang w:val="fr-CA"/>
        </w:rPr>
        <w:t>2013</w:t>
      </w:r>
      <w:r w:rsidR="004D7D95" w:rsidRPr="003C54A8">
        <w:rPr>
          <w:lang w:val="fr-CA"/>
        </w:rPr>
        <w:t xml:space="preserve"> CSC </w:t>
      </w:r>
      <w:r w:rsidR="00D50B35" w:rsidRPr="003C54A8">
        <w:rPr>
          <w:lang w:val="fr-CA"/>
        </w:rPr>
        <w:t>65</w:t>
      </w:r>
    </w:p>
    <w:p w:rsidR="004D7D95" w:rsidRPr="003C54A8" w:rsidRDefault="004D7D95" w:rsidP="008064A8">
      <w:pPr>
        <w:spacing w:after="720"/>
        <w:jc w:val="both"/>
        <w:rPr>
          <w:lang w:val="fr-CA"/>
        </w:rPr>
      </w:pPr>
      <w:r w:rsidRPr="003C54A8">
        <w:rPr>
          <w:lang w:val="fr-CA"/>
        </w:rPr>
        <w:t>N</w:t>
      </w:r>
      <w:r w:rsidRPr="003C54A8">
        <w:rPr>
          <w:vertAlign w:val="superscript"/>
          <w:lang w:val="fr-CA"/>
        </w:rPr>
        <w:t>o</w:t>
      </w:r>
      <w:r w:rsidR="00791168" w:rsidRPr="003C54A8">
        <w:rPr>
          <w:vertAlign w:val="superscript"/>
          <w:lang w:val="fr-CA"/>
        </w:rPr>
        <w:t>s</w:t>
      </w:r>
      <w:r w:rsidRPr="003C54A8">
        <w:rPr>
          <w:lang w:val="fr-CA"/>
        </w:rPr>
        <w:t xml:space="preserve"> du greffe</w:t>
      </w:r>
      <w:r w:rsidR="008064A8" w:rsidRPr="003C54A8">
        <w:rPr>
          <w:lang w:val="fr-CA"/>
        </w:rPr>
        <w:t> :</w:t>
      </w:r>
      <w:r w:rsidRPr="003C54A8">
        <w:rPr>
          <w:lang w:val="fr-CA"/>
        </w:rPr>
        <w:t> </w:t>
      </w:r>
      <w:r w:rsidR="006B21F9" w:rsidRPr="003C54A8">
        <w:rPr>
          <w:lang w:val="fr-CA"/>
        </w:rPr>
        <w:t>34235, 34393.</w:t>
      </w:r>
    </w:p>
    <w:p w:rsidR="004D7D95" w:rsidRPr="003C54A8" w:rsidRDefault="006B21F9" w:rsidP="008064A8">
      <w:pPr>
        <w:spacing w:after="720"/>
        <w:jc w:val="both"/>
        <w:rPr>
          <w:lang w:val="fr-CA"/>
        </w:rPr>
      </w:pPr>
      <w:r w:rsidRPr="003C54A8">
        <w:rPr>
          <w:lang w:val="fr-CA"/>
        </w:rPr>
        <w:t>2012</w:t>
      </w:r>
      <w:r w:rsidR="008064A8" w:rsidRPr="003C54A8">
        <w:rPr>
          <w:lang w:val="fr-CA"/>
        </w:rPr>
        <w:t> :</w:t>
      </w:r>
      <w:r w:rsidR="00791168" w:rsidRPr="003C54A8">
        <w:rPr>
          <w:lang w:val="fr-CA"/>
        </w:rPr>
        <w:t> </w:t>
      </w:r>
      <w:r w:rsidR="008064A8" w:rsidRPr="003C54A8">
        <w:rPr>
          <w:lang w:val="fr-CA"/>
        </w:rPr>
        <w:t>8 </w:t>
      </w:r>
      <w:r w:rsidRPr="003C54A8">
        <w:rPr>
          <w:lang w:val="fr-CA"/>
        </w:rPr>
        <w:t>novembre</w:t>
      </w:r>
      <w:r w:rsidR="00791168" w:rsidRPr="003C54A8">
        <w:rPr>
          <w:lang w:val="fr-CA"/>
        </w:rPr>
        <w:t xml:space="preserve">; </w:t>
      </w:r>
      <w:r w:rsidR="008064A8" w:rsidRPr="003C54A8">
        <w:rPr>
          <w:lang w:val="fr-CA"/>
        </w:rPr>
        <w:t>2013 : </w:t>
      </w:r>
      <w:r w:rsidR="00857C76" w:rsidRPr="003C54A8">
        <w:rPr>
          <w:lang w:val="fr-CA"/>
        </w:rPr>
        <w:t>28</w:t>
      </w:r>
      <w:r w:rsidR="008064A8" w:rsidRPr="003C54A8">
        <w:rPr>
          <w:lang w:val="fr-CA"/>
        </w:rPr>
        <w:t> </w:t>
      </w:r>
      <w:r w:rsidR="000814E3" w:rsidRPr="003C54A8">
        <w:rPr>
          <w:lang w:val="fr-CA"/>
        </w:rPr>
        <w:t>no</w:t>
      </w:r>
      <w:r w:rsidR="00164AF8" w:rsidRPr="003C54A8">
        <w:rPr>
          <w:lang w:val="fr-CA"/>
        </w:rPr>
        <w:t>v</w:t>
      </w:r>
      <w:r w:rsidR="000814E3" w:rsidRPr="003C54A8">
        <w:rPr>
          <w:lang w:val="fr-CA"/>
        </w:rPr>
        <w:t>embre</w:t>
      </w:r>
      <w:r w:rsidRPr="003C54A8">
        <w:rPr>
          <w:lang w:val="fr-CA"/>
        </w:rPr>
        <w:t>.</w:t>
      </w:r>
    </w:p>
    <w:p w:rsidR="004D7D95" w:rsidRPr="003C54A8" w:rsidRDefault="004D7D95" w:rsidP="008064A8">
      <w:pPr>
        <w:spacing w:after="720"/>
        <w:jc w:val="both"/>
        <w:rPr>
          <w:lang w:val="fr-CA"/>
        </w:rPr>
      </w:pPr>
      <w:r w:rsidRPr="003C54A8">
        <w:rPr>
          <w:lang w:val="fr-CA"/>
        </w:rPr>
        <w:t>Présents</w:t>
      </w:r>
      <w:r w:rsidR="008064A8" w:rsidRPr="003C54A8">
        <w:rPr>
          <w:lang w:val="fr-CA"/>
        </w:rPr>
        <w:t> :</w:t>
      </w:r>
      <w:r w:rsidRPr="003C54A8">
        <w:rPr>
          <w:lang w:val="fr-CA"/>
        </w:rPr>
        <w:t xml:space="preserve"> La juge en chef McLachlin et les juges </w:t>
      </w:r>
      <w:proofErr w:type="spellStart"/>
      <w:r w:rsidRPr="003C54A8">
        <w:rPr>
          <w:lang w:val="fr-CA"/>
        </w:rPr>
        <w:t>LeBel</w:t>
      </w:r>
      <w:proofErr w:type="spellEnd"/>
      <w:r w:rsidRPr="003C54A8">
        <w:rPr>
          <w:lang w:val="fr-CA"/>
        </w:rPr>
        <w:t xml:space="preserve">, Fish, Abella, </w:t>
      </w:r>
      <w:proofErr w:type="spellStart"/>
      <w:r w:rsidRPr="003C54A8">
        <w:rPr>
          <w:lang w:val="fr-CA"/>
        </w:rPr>
        <w:t>Rothstein</w:t>
      </w:r>
      <w:proofErr w:type="spellEnd"/>
      <w:r w:rsidRPr="003C54A8">
        <w:rPr>
          <w:lang w:val="fr-CA"/>
        </w:rPr>
        <w:t>, Cromwell et Karakatsanis.</w:t>
      </w:r>
    </w:p>
    <w:p w:rsidR="004D7D95" w:rsidRPr="003C54A8" w:rsidRDefault="004D7D95" w:rsidP="008064A8">
      <w:pPr>
        <w:spacing w:after="720"/>
        <w:jc w:val="both"/>
        <w:rPr>
          <w:smallCaps/>
          <w:lang w:val="fr-CA"/>
        </w:rPr>
      </w:pPr>
      <w:r w:rsidRPr="003C54A8">
        <w:rPr>
          <w:smallCaps/>
          <w:lang w:val="fr-CA"/>
        </w:rPr>
        <w:t xml:space="preserve">en appel de la </w:t>
      </w:r>
      <w:r w:rsidR="006B21F9" w:rsidRPr="003C54A8">
        <w:rPr>
          <w:smallCaps/>
          <w:lang w:val="fr-CA"/>
        </w:rPr>
        <w:t xml:space="preserve">cour d’appel du québec </w:t>
      </w:r>
    </w:p>
    <w:p w:rsidR="00464CC1" w:rsidRPr="003C54A8" w:rsidRDefault="00464CC1" w:rsidP="008064A8">
      <w:pPr>
        <w:pStyle w:val="SCCNormalDoubleSpacing"/>
        <w:spacing w:before="480" w:after="480"/>
        <w:rPr>
          <w:i/>
          <w:lang w:val="fr-CA"/>
        </w:rPr>
      </w:pPr>
      <w:r w:rsidRPr="003C54A8">
        <w:rPr>
          <w:i/>
          <w:lang w:val="fr-CA"/>
        </w:rPr>
        <w:tab/>
        <w:t xml:space="preserve">Contrats </w:t>
      </w:r>
      <w:r w:rsidR="008064A8" w:rsidRPr="003C54A8">
        <w:rPr>
          <w:i/>
          <w:lang w:val="fr-CA"/>
        </w:rPr>
        <w:t xml:space="preserve">— </w:t>
      </w:r>
      <w:r w:rsidRPr="003C54A8">
        <w:rPr>
          <w:i/>
          <w:lang w:val="fr-CA"/>
        </w:rPr>
        <w:t xml:space="preserve">Interprétation </w:t>
      </w:r>
      <w:r w:rsidR="008064A8" w:rsidRPr="003C54A8">
        <w:rPr>
          <w:i/>
          <w:lang w:val="fr-CA"/>
        </w:rPr>
        <w:t xml:space="preserve">— </w:t>
      </w:r>
      <w:r w:rsidRPr="003C54A8">
        <w:rPr>
          <w:i/>
          <w:lang w:val="fr-CA"/>
        </w:rPr>
        <w:t xml:space="preserve">Intention des parties </w:t>
      </w:r>
      <w:r w:rsidR="008064A8" w:rsidRPr="003C54A8">
        <w:rPr>
          <w:i/>
          <w:lang w:val="fr-CA"/>
        </w:rPr>
        <w:t xml:space="preserve">— </w:t>
      </w:r>
      <w:r w:rsidRPr="003C54A8">
        <w:rPr>
          <w:i/>
          <w:lang w:val="fr-CA"/>
        </w:rPr>
        <w:t xml:space="preserve">Volonté déclarée dans des documents relatifs à des transactions ne reflétant pas la commune intention des parties en raison d’erreurs commises par des professionnels </w:t>
      </w:r>
      <w:r w:rsidR="008064A8" w:rsidRPr="003C54A8">
        <w:rPr>
          <w:i/>
          <w:lang w:val="fr-CA"/>
        </w:rPr>
        <w:t xml:space="preserve">— </w:t>
      </w:r>
      <w:r w:rsidRPr="003C54A8">
        <w:rPr>
          <w:i/>
          <w:lang w:val="fr-CA"/>
        </w:rPr>
        <w:t xml:space="preserve">Transactions entraînant des impacts fiscaux non prévus </w:t>
      </w:r>
      <w:r w:rsidR="008064A8" w:rsidRPr="003C54A8">
        <w:rPr>
          <w:i/>
          <w:lang w:val="fr-CA"/>
        </w:rPr>
        <w:t xml:space="preserve">— </w:t>
      </w:r>
      <w:r w:rsidRPr="003C54A8">
        <w:rPr>
          <w:i/>
          <w:lang w:val="fr-CA"/>
        </w:rPr>
        <w:t>Les tribunaux peuvent</w:t>
      </w:r>
      <w:r w:rsidR="008064A8" w:rsidRPr="003C54A8">
        <w:rPr>
          <w:i/>
          <w:lang w:val="fr-CA"/>
        </w:rPr>
        <w:noBreakHyphen/>
      </w:r>
      <w:r w:rsidRPr="003C54A8">
        <w:rPr>
          <w:i/>
          <w:lang w:val="fr-CA"/>
        </w:rPr>
        <w:t xml:space="preserve">ils intervenir pour constater la légitimité et la nécessité des modifications apportées par les parties aux documents afférents aux transactions? </w:t>
      </w:r>
      <w:r w:rsidR="008064A8" w:rsidRPr="003C54A8">
        <w:rPr>
          <w:i/>
          <w:lang w:val="fr-CA"/>
        </w:rPr>
        <w:t xml:space="preserve">— </w:t>
      </w:r>
      <w:r w:rsidRPr="003C54A8">
        <w:rPr>
          <w:i/>
          <w:lang w:val="fr-CA"/>
        </w:rPr>
        <w:t xml:space="preserve">Code civil du Québec, L.Q. 1991, </w:t>
      </w:r>
      <w:r w:rsidR="008064A8" w:rsidRPr="003C54A8">
        <w:rPr>
          <w:i/>
          <w:lang w:val="fr-CA"/>
        </w:rPr>
        <w:t>ch. </w:t>
      </w:r>
      <w:r w:rsidRPr="003C54A8">
        <w:rPr>
          <w:i/>
          <w:lang w:val="fr-CA"/>
        </w:rPr>
        <w:t xml:space="preserve">64, </w:t>
      </w:r>
      <w:r w:rsidR="008064A8" w:rsidRPr="003C54A8">
        <w:rPr>
          <w:i/>
          <w:lang w:val="fr-CA"/>
        </w:rPr>
        <w:t>art. </w:t>
      </w:r>
      <w:r w:rsidRPr="003C54A8">
        <w:rPr>
          <w:i/>
          <w:lang w:val="fr-CA"/>
        </w:rPr>
        <w:t>1425.</w:t>
      </w:r>
    </w:p>
    <w:p w:rsidR="00464CC1" w:rsidRPr="003C54A8" w:rsidRDefault="00464CC1" w:rsidP="008064A8">
      <w:pPr>
        <w:pStyle w:val="SCCNormalDoubleSpacing"/>
        <w:spacing w:before="480" w:after="480"/>
        <w:rPr>
          <w:lang w:val="fr-CA"/>
        </w:rPr>
      </w:pPr>
      <w:r w:rsidRPr="003C54A8">
        <w:rPr>
          <w:lang w:val="fr-CA"/>
        </w:rPr>
        <w:tab/>
        <w:t>Des actionnaires de sociétés commerciales ont effectué des transactions pour procéder à la restructuration de ces sociétés sans incidences fiscales.</w:t>
      </w:r>
      <w:r w:rsidR="006E6BAA" w:rsidRPr="003C54A8">
        <w:rPr>
          <w:lang w:val="fr-CA"/>
        </w:rPr>
        <w:t xml:space="preserve"> </w:t>
      </w:r>
      <w:r w:rsidRPr="003C54A8">
        <w:rPr>
          <w:lang w:val="fr-CA"/>
        </w:rPr>
        <w:t xml:space="preserve"> À la suite d’erreurs commises par leurs conseillers fiscaux, le fisc a établi des avis de cotisation réclamant des impôts imprévus par les contribuables.  Dans l’affaire </w:t>
      </w:r>
      <w:r w:rsidRPr="003C54A8">
        <w:rPr>
          <w:i/>
          <w:lang w:val="fr-CA"/>
        </w:rPr>
        <w:t>AES</w:t>
      </w:r>
      <w:r w:rsidRPr="003C54A8">
        <w:rPr>
          <w:lang w:val="fr-CA"/>
        </w:rPr>
        <w:t>, les parties s’étaient entendues sur des transferts d’actions qui comportaient une opération de roulement, conformément aux modalités prévues par les lois fiscales pertinentes, sur la base d’un calcul du prix de base rajusté (« PBR ») des actions transférées.  Un aspect de la contrepartie versée pour la cession des actions consistait dans l’émission et la remise d’un billet égal au montant de leur PBR.  Cette entente, qui devait avoir pour effet de reporter l’im</w:t>
      </w:r>
      <w:r w:rsidR="00D36A7C" w:rsidRPr="003C54A8">
        <w:rPr>
          <w:lang w:val="fr-CA"/>
        </w:rPr>
        <w:t xml:space="preserve">pôt payable, a été viciée par une </w:t>
      </w:r>
      <w:r w:rsidRPr="003C54A8">
        <w:rPr>
          <w:lang w:val="fr-CA"/>
        </w:rPr>
        <w:t xml:space="preserve">erreur commise dans le calcul du PBR des actions. </w:t>
      </w:r>
      <w:r w:rsidR="006E6BAA" w:rsidRPr="003C54A8">
        <w:rPr>
          <w:lang w:val="fr-CA"/>
        </w:rPr>
        <w:t xml:space="preserve"> </w:t>
      </w:r>
      <w:r w:rsidRPr="003C54A8">
        <w:rPr>
          <w:lang w:val="fr-CA"/>
        </w:rPr>
        <w:t>Au lieu de demander l’annulation du contrat, les parties ont convenu de corriger l’erreur en modifiant les documents qui constataient et exécutaient leur entente, y compris les fo</w:t>
      </w:r>
      <w:r w:rsidR="006E6BAA" w:rsidRPr="003C54A8">
        <w:rPr>
          <w:lang w:val="fr-CA"/>
        </w:rPr>
        <w:t xml:space="preserve">rmulaires fiscaux nécessaires, </w:t>
      </w:r>
      <w:r w:rsidRPr="003C54A8">
        <w:rPr>
          <w:lang w:val="fr-CA"/>
        </w:rPr>
        <w:t>puis se sont adressées à la Cour supérieure au moyen d’une requê</w:t>
      </w:r>
      <w:r w:rsidR="006E6BAA" w:rsidRPr="003C54A8">
        <w:rPr>
          <w:lang w:val="fr-CA"/>
        </w:rPr>
        <w:t>te en rectification.</w:t>
      </w:r>
      <w:r w:rsidRPr="003C54A8">
        <w:rPr>
          <w:lang w:val="fr-CA"/>
        </w:rPr>
        <w:t xml:space="preserve">  Dans l’affaire </w:t>
      </w:r>
      <w:proofErr w:type="spellStart"/>
      <w:r w:rsidRPr="003C54A8">
        <w:rPr>
          <w:i/>
          <w:lang w:val="fr-CA"/>
        </w:rPr>
        <w:t>Riopel</w:t>
      </w:r>
      <w:proofErr w:type="spellEnd"/>
      <w:r w:rsidRPr="003C54A8">
        <w:rPr>
          <w:lang w:val="fr-CA"/>
        </w:rPr>
        <w:t>, les parties se sont entendues verbalement pour réaliser une planification fiscale détaillée, dont les modalités essentielles leur avaient été recommandées par leurs conseillers.  L’entente prévoyait un ensemble d’opérations et d’actes à accomplir, selon un échéancier précis, pour réaliser des cessions d’actions et une fusion de sociétés, et ce, d’une manière propre à assurer le report des obligations fiscales afférentes à ces transactions en utilisant des procédures prévues par les lois fiscales.  Les conseillers des parties ont interverti l’ordre de la fusion des sociétés commerciales et de la cession d’actions.  Comme cette erreur empêchait le report des impôts, ils ont tenté de la corriger en modifiant les actes originaux et les faisant signer par leurs clients, sans leur expliquer la nature des changements effectués.  Après l’établissement des avis de cotisation par le fisc et la découverte des erreurs commises dans la rédaction des écrits relatifs à la transaction, les parties ont convenu de donner effet à leur entente originale, en modifiant les actes défectueux.</w:t>
      </w:r>
    </w:p>
    <w:p w:rsidR="00464CC1" w:rsidRPr="003C54A8" w:rsidRDefault="00464CC1" w:rsidP="008064A8">
      <w:pPr>
        <w:pStyle w:val="SCCNormalDoubleSpacing"/>
        <w:spacing w:before="480" w:after="480"/>
        <w:rPr>
          <w:lang w:val="fr-CA"/>
        </w:rPr>
      </w:pPr>
      <w:r w:rsidRPr="003C54A8">
        <w:rPr>
          <w:lang w:val="fr-CA"/>
        </w:rPr>
        <w:tab/>
        <w:t xml:space="preserve">La Cour supérieure a accordé la demande de rectification dans l’affaire </w:t>
      </w:r>
      <w:r w:rsidRPr="003C54A8">
        <w:rPr>
          <w:i/>
          <w:lang w:val="fr-CA"/>
        </w:rPr>
        <w:t>AES</w:t>
      </w:r>
      <w:r w:rsidRPr="003C54A8">
        <w:rPr>
          <w:lang w:val="fr-CA"/>
        </w:rPr>
        <w:t xml:space="preserve"> mais l’a refusée dans l’affaire </w:t>
      </w:r>
      <w:proofErr w:type="spellStart"/>
      <w:r w:rsidRPr="003C54A8">
        <w:rPr>
          <w:i/>
          <w:lang w:val="fr-CA"/>
        </w:rPr>
        <w:t>Riopel</w:t>
      </w:r>
      <w:proofErr w:type="spellEnd"/>
      <w:r w:rsidRPr="003C54A8">
        <w:rPr>
          <w:lang w:val="fr-CA"/>
        </w:rPr>
        <w:t xml:space="preserve">. La Cour d’appel du Québec a fait </w:t>
      </w:r>
      <w:proofErr w:type="gramStart"/>
      <w:r w:rsidRPr="003C54A8">
        <w:rPr>
          <w:lang w:val="fr-CA"/>
        </w:rPr>
        <w:t>droit</w:t>
      </w:r>
      <w:proofErr w:type="gramEnd"/>
      <w:r w:rsidRPr="003C54A8">
        <w:rPr>
          <w:lang w:val="fr-CA"/>
        </w:rPr>
        <w:t xml:space="preserve"> dans les deux cas aux demandes de rectification, concluant que l’</w:t>
      </w:r>
      <w:r w:rsidR="008064A8" w:rsidRPr="003C54A8">
        <w:rPr>
          <w:lang w:val="fr-CA"/>
        </w:rPr>
        <w:t>art. </w:t>
      </w:r>
      <w:r w:rsidRPr="003C54A8">
        <w:rPr>
          <w:lang w:val="fr-CA"/>
        </w:rPr>
        <w:t xml:space="preserve">1425 </w:t>
      </w:r>
      <w:proofErr w:type="spellStart"/>
      <w:r w:rsidRPr="003C54A8">
        <w:rPr>
          <w:i/>
          <w:lang w:val="fr-CA"/>
        </w:rPr>
        <w:t>C.c.Q</w:t>
      </w:r>
      <w:proofErr w:type="spellEnd"/>
      <w:r w:rsidRPr="003C54A8">
        <w:rPr>
          <w:i/>
          <w:lang w:val="fr-CA"/>
        </w:rPr>
        <w:t>.</w:t>
      </w:r>
      <w:r w:rsidRPr="003C54A8">
        <w:rPr>
          <w:lang w:val="fr-CA"/>
        </w:rPr>
        <w:t xml:space="preserve"> permettait de corriger l’écart entre l’intention commune des parties et l’intention</w:t>
      </w:r>
      <w:r w:rsidR="00D36A7C" w:rsidRPr="003C54A8">
        <w:rPr>
          <w:lang w:val="fr-CA"/>
        </w:rPr>
        <w:t xml:space="preserve"> déclarée dans les actes, car les</w:t>
      </w:r>
      <w:r w:rsidRPr="003C54A8">
        <w:rPr>
          <w:lang w:val="fr-CA"/>
        </w:rPr>
        <w:t xml:space="preserve"> demande</w:t>
      </w:r>
      <w:r w:rsidR="00D36A7C" w:rsidRPr="003C54A8">
        <w:rPr>
          <w:lang w:val="fr-CA"/>
        </w:rPr>
        <w:t>s</w:t>
      </w:r>
      <w:r w:rsidRPr="003C54A8">
        <w:rPr>
          <w:lang w:val="fr-CA"/>
        </w:rPr>
        <w:t xml:space="preserve"> étai</w:t>
      </w:r>
      <w:r w:rsidR="00D36A7C" w:rsidRPr="003C54A8">
        <w:rPr>
          <w:lang w:val="fr-CA"/>
        </w:rPr>
        <w:t>en</w:t>
      </w:r>
      <w:r w:rsidRPr="003C54A8">
        <w:rPr>
          <w:lang w:val="fr-CA"/>
        </w:rPr>
        <w:t>t légitime</w:t>
      </w:r>
      <w:r w:rsidR="00D36A7C" w:rsidRPr="003C54A8">
        <w:rPr>
          <w:lang w:val="fr-CA"/>
        </w:rPr>
        <w:t>s</w:t>
      </w:r>
      <w:r w:rsidRPr="003C54A8">
        <w:rPr>
          <w:lang w:val="fr-CA"/>
        </w:rPr>
        <w:t xml:space="preserve"> et la correction ne portait pas atteinte aux droits des tiers.</w:t>
      </w:r>
    </w:p>
    <w:p w:rsidR="00464CC1" w:rsidRPr="003C54A8" w:rsidRDefault="00464CC1" w:rsidP="008064A8">
      <w:pPr>
        <w:pStyle w:val="SCCNormalDoubleSpacing"/>
        <w:spacing w:before="480" w:after="480"/>
        <w:rPr>
          <w:lang w:val="fr-CA"/>
        </w:rPr>
      </w:pPr>
      <w:r w:rsidRPr="003C54A8">
        <w:rPr>
          <w:lang w:val="fr-CA"/>
        </w:rPr>
        <w:tab/>
      </w:r>
      <w:r w:rsidRPr="003C54A8">
        <w:rPr>
          <w:i/>
          <w:lang w:val="fr-CA"/>
        </w:rPr>
        <w:t>Arrêt</w:t>
      </w:r>
      <w:r w:rsidR="008064A8" w:rsidRPr="003C54A8">
        <w:rPr>
          <w:lang w:val="fr-CA"/>
        </w:rPr>
        <w:t> :</w:t>
      </w:r>
      <w:r w:rsidRPr="003C54A8">
        <w:rPr>
          <w:lang w:val="fr-CA"/>
        </w:rPr>
        <w:t xml:space="preserve"> Les pourvois sont rejetés.</w:t>
      </w:r>
    </w:p>
    <w:p w:rsidR="00464CC1" w:rsidRPr="003C54A8" w:rsidRDefault="00464CC1" w:rsidP="008064A8">
      <w:pPr>
        <w:pStyle w:val="SCCNormalDoubleSpacing"/>
        <w:spacing w:before="480" w:after="480"/>
        <w:rPr>
          <w:lang w:val="fr-CA"/>
        </w:rPr>
      </w:pPr>
      <w:r w:rsidRPr="003C54A8">
        <w:rPr>
          <w:lang w:val="fr-CA"/>
        </w:rPr>
        <w:tab/>
        <w:t xml:space="preserve">L’interaction du droit civil et du droit fiscal limite le champ d’intervention des tribunaux.  Les règles de la </w:t>
      </w:r>
      <w:proofErr w:type="spellStart"/>
      <w:r w:rsidRPr="003C54A8">
        <w:rPr>
          <w:lang w:val="fr-CA"/>
        </w:rPr>
        <w:t>common</w:t>
      </w:r>
      <w:proofErr w:type="spellEnd"/>
      <w:r w:rsidRPr="003C54A8">
        <w:rPr>
          <w:lang w:val="fr-CA"/>
        </w:rPr>
        <w:t xml:space="preserve"> </w:t>
      </w:r>
      <w:proofErr w:type="spellStart"/>
      <w:r w:rsidRPr="003C54A8">
        <w:rPr>
          <w:lang w:val="fr-CA"/>
        </w:rPr>
        <w:t>law</w:t>
      </w:r>
      <w:proofErr w:type="spellEnd"/>
      <w:r w:rsidRPr="003C54A8">
        <w:rPr>
          <w:lang w:val="fr-CA"/>
        </w:rPr>
        <w:t xml:space="preserve"> et du droit civil déterminent en principe la nature et les conséquences juridiques des opérations visées par le droit fiscal, mais les tribunaux saisis d’une contestation relative à des aspects civils d’une transaction ayant des implications fiscales ne peuvent statuer sur les avis de cotisation et les avis d’opposition établis ou déposés à l’égard de cette transaction.  Il appartiendra plutôt aux juridictions déclarées compétentes en la matière de se prononcer sur la validité et les effets de ce</w:t>
      </w:r>
      <w:r w:rsidR="00E70F36" w:rsidRPr="003C54A8">
        <w:rPr>
          <w:lang w:val="fr-CA"/>
        </w:rPr>
        <w:t>s</w:t>
      </w:r>
      <w:r w:rsidRPr="003C54A8">
        <w:rPr>
          <w:lang w:val="fr-CA"/>
        </w:rPr>
        <w:t xml:space="preserve"> avis, s’il y a lieu de le faire, et d’évaluer les conséquences des jugements rendus par les cours civiles au sujet des opérations à l’origine des avis de cotisation.</w:t>
      </w:r>
    </w:p>
    <w:p w:rsidR="00464CC1" w:rsidRPr="003C54A8" w:rsidRDefault="00464CC1" w:rsidP="008064A8">
      <w:pPr>
        <w:pStyle w:val="SCCNormalDoubleSpacing"/>
        <w:spacing w:before="480" w:after="480"/>
        <w:rPr>
          <w:lang w:val="fr-CA"/>
        </w:rPr>
      </w:pPr>
      <w:r w:rsidRPr="003C54A8">
        <w:rPr>
          <w:lang w:val="fr-CA"/>
        </w:rPr>
        <w:tab/>
        <w:t>Le droit civil des contrats repose sur le principe du consensualisme et retient la distinction fondamentale entre l’échange des consentements et son expression écrite.  Le contrat appartient aux parties.  Entre elles, mais sous réserve des droits qui ont pu être acquis par des tiers, les parties sont libres de modifier ou d’annuler le contrat et les documents qui le constatent.  Rien ne les empêche de reconnaître l’existence d’une erreur commune et de convenir de la corriger de consentement mutuel.  La recherche de l’intention ou volonté commune des parties par les tribunaux représente une véritable opération d’interprétation, et l’</w:t>
      </w:r>
      <w:r w:rsidR="008064A8" w:rsidRPr="003C54A8">
        <w:rPr>
          <w:lang w:val="fr-CA"/>
        </w:rPr>
        <w:t>art. </w:t>
      </w:r>
      <w:r w:rsidRPr="003C54A8">
        <w:rPr>
          <w:lang w:val="fr-CA"/>
        </w:rPr>
        <w:t xml:space="preserve">1425 </w:t>
      </w:r>
      <w:proofErr w:type="spellStart"/>
      <w:r w:rsidRPr="003C54A8">
        <w:rPr>
          <w:i/>
          <w:lang w:val="fr-CA"/>
        </w:rPr>
        <w:t>C.c.Q</w:t>
      </w:r>
      <w:proofErr w:type="spellEnd"/>
      <w:r w:rsidRPr="003C54A8">
        <w:rPr>
          <w:i/>
          <w:lang w:val="fr-CA"/>
        </w:rPr>
        <w:t>.</w:t>
      </w:r>
      <w:r w:rsidRPr="003C54A8">
        <w:rPr>
          <w:lang w:val="fr-CA"/>
        </w:rPr>
        <w:t xml:space="preserve"> leur permet d’intervenir à cette fin.  Si l’acte sous seing privé est entaché d’erreur, une fois cette erreur établie conformément aux règles de la preuve civile, le tribunal doit la constater et faire en sorte qu’on y remédie.  En droit civil, le fisc ne possède pas de droit acquis au bénéfice d’une erreur que les parties à un contrat auraient commise, puis corrigée de consentement mutuel. </w:t>
      </w:r>
    </w:p>
    <w:p w:rsidR="00464CC1" w:rsidRPr="003C54A8" w:rsidRDefault="00464CC1" w:rsidP="008064A8">
      <w:pPr>
        <w:pStyle w:val="SCCNormalDoubleSpacing"/>
        <w:spacing w:before="480" w:after="480"/>
        <w:rPr>
          <w:lang w:val="fr-CA"/>
        </w:rPr>
      </w:pPr>
      <w:r w:rsidRPr="003C54A8">
        <w:rPr>
          <w:lang w:val="fr-CA"/>
        </w:rPr>
        <w:tab/>
        <w:t>En l’espèce, l’ensemble des écrits préparés pour réaliser les planifications fiscales dont ont convenu les parties représentait une expression erronée de leur volonté commune.  Les tribunaux pouvaient intervenir pour constater la légitimité et la nécessité des modifications apportées par les p</w:t>
      </w:r>
      <w:r w:rsidR="00427C3D" w:rsidRPr="003C54A8">
        <w:rPr>
          <w:lang w:val="fr-CA"/>
        </w:rPr>
        <w:t xml:space="preserve">arties aux actes en litige. </w:t>
      </w:r>
      <w:r w:rsidRPr="003C54A8">
        <w:rPr>
          <w:lang w:val="fr-CA"/>
        </w:rPr>
        <w:t xml:space="preserve"> Le droit substantiel justi</w:t>
      </w:r>
      <w:r w:rsidR="00427C3D" w:rsidRPr="003C54A8">
        <w:rPr>
          <w:lang w:val="fr-CA"/>
        </w:rPr>
        <w:t>fiait leur intervention, et</w:t>
      </w:r>
      <w:r w:rsidRPr="003C54A8">
        <w:rPr>
          <w:lang w:val="fr-CA"/>
        </w:rPr>
        <w:t xml:space="preserve"> la procédure civile québécoise n’y faisait pas obstacle.  Le débat relevait du domaine du contradictoire.  Le fisc avait été appelé en cause, comme il devait l’être, et la requête en rectification était la voie normale pour saisir la Cour supérieure et lui demander d’intervenir à des fins d’abord et avant tout déclaratoires. </w:t>
      </w:r>
    </w:p>
    <w:p w:rsidR="004D7D95" w:rsidRPr="003C54A8" w:rsidRDefault="004D7D95" w:rsidP="008064A8">
      <w:pPr>
        <w:pStyle w:val="SCCNormalDoubleSpacing"/>
        <w:keepNext/>
        <w:spacing w:after="720" w:line="240" w:lineRule="auto"/>
        <w:rPr>
          <w:b/>
          <w:lang w:val="fr-CA"/>
        </w:rPr>
      </w:pPr>
      <w:r w:rsidRPr="003C54A8">
        <w:rPr>
          <w:b/>
          <w:lang w:val="fr-CA"/>
        </w:rPr>
        <w:t>Jurisprudence</w:t>
      </w:r>
    </w:p>
    <w:p w:rsidR="004428B4" w:rsidRPr="003C54A8" w:rsidRDefault="004D7D95" w:rsidP="008064A8">
      <w:pPr>
        <w:pStyle w:val="SCCNormalDoubleSpacing"/>
        <w:spacing w:after="480"/>
        <w:rPr>
          <w:lang w:val="fr-CA"/>
        </w:rPr>
      </w:pPr>
      <w:r w:rsidRPr="003C54A8">
        <w:rPr>
          <w:lang w:val="fr-CA"/>
        </w:rPr>
        <w:tab/>
      </w:r>
      <w:r w:rsidRPr="003C54A8">
        <w:rPr>
          <w:b/>
          <w:lang w:val="fr-CA"/>
        </w:rPr>
        <w:t>Arrêts mentionnés</w:t>
      </w:r>
      <w:r w:rsidR="008064A8" w:rsidRPr="003C54A8">
        <w:rPr>
          <w:b/>
          <w:lang w:val="fr-CA"/>
        </w:rPr>
        <w:t> :</w:t>
      </w:r>
      <w:r w:rsidRPr="003C54A8">
        <w:rPr>
          <w:lang w:val="fr-CA"/>
        </w:rPr>
        <w:t xml:space="preserve"> </w:t>
      </w:r>
      <w:r w:rsidR="00FB08E7" w:rsidRPr="003C54A8">
        <w:rPr>
          <w:i/>
          <w:lang w:val="fr-CA"/>
        </w:rPr>
        <w:t xml:space="preserve">Canada (Attorney General) c. </w:t>
      </w:r>
      <w:proofErr w:type="spellStart"/>
      <w:r w:rsidR="00FB08E7" w:rsidRPr="003C54A8">
        <w:rPr>
          <w:i/>
          <w:lang w:val="fr-CA"/>
        </w:rPr>
        <w:t>Juliar</w:t>
      </w:r>
      <w:proofErr w:type="spellEnd"/>
      <w:r w:rsidR="00FB08E7" w:rsidRPr="003C54A8">
        <w:rPr>
          <w:lang w:val="fr-CA"/>
        </w:rPr>
        <w:t xml:space="preserve"> (2000), 50 O.R. (3d) 728; </w:t>
      </w:r>
      <w:r w:rsidR="00FB08E7" w:rsidRPr="003C54A8">
        <w:rPr>
          <w:i/>
          <w:lang w:val="fr-CA"/>
        </w:rPr>
        <w:t>Banque de Nouvelle</w:t>
      </w:r>
      <w:r w:rsidR="008064A8" w:rsidRPr="003C54A8">
        <w:rPr>
          <w:i/>
          <w:lang w:val="fr-CA"/>
        </w:rPr>
        <w:noBreakHyphen/>
      </w:r>
      <w:r w:rsidR="00FB08E7" w:rsidRPr="003C54A8">
        <w:rPr>
          <w:i/>
          <w:lang w:val="fr-CA"/>
        </w:rPr>
        <w:t>Écosse c. Angelica</w:t>
      </w:r>
      <w:r w:rsidR="008064A8" w:rsidRPr="003C54A8">
        <w:rPr>
          <w:i/>
          <w:lang w:val="fr-CA"/>
        </w:rPr>
        <w:noBreakHyphen/>
      </w:r>
      <w:proofErr w:type="spellStart"/>
      <w:r w:rsidR="00FB08E7" w:rsidRPr="003C54A8">
        <w:rPr>
          <w:i/>
          <w:lang w:val="fr-CA"/>
        </w:rPr>
        <w:t>Whitewear</w:t>
      </w:r>
      <w:proofErr w:type="spellEnd"/>
      <w:r w:rsidR="00FB08E7" w:rsidRPr="003C54A8">
        <w:rPr>
          <w:i/>
          <w:lang w:val="fr-CA"/>
        </w:rPr>
        <w:t xml:space="preserve"> Ltd.</w:t>
      </w:r>
      <w:r w:rsidR="00FB08E7" w:rsidRPr="003C54A8">
        <w:rPr>
          <w:lang w:val="fr-CA"/>
        </w:rPr>
        <w:t>,</w:t>
      </w:r>
      <w:r w:rsidR="00FB08E7" w:rsidRPr="003C54A8">
        <w:rPr>
          <w:i/>
          <w:lang w:val="fr-CA"/>
        </w:rPr>
        <w:t xml:space="preserve"> </w:t>
      </w:r>
      <w:r w:rsidR="00FB08E7" w:rsidRPr="003C54A8">
        <w:rPr>
          <w:lang w:val="fr-CA"/>
        </w:rPr>
        <w:t xml:space="preserve">[1987] 1 R.C.S. 59; </w:t>
      </w:r>
      <w:r w:rsidR="00FB08E7" w:rsidRPr="003C54A8">
        <w:rPr>
          <w:i/>
          <w:lang w:val="fr-CA"/>
        </w:rPr>
        <w:t>Banque de Montréal c. Européenne de Condiments S.A.</w:t>
      </w:r>
      <w:r w:rsidR="00FB08E7" w:rsidRPr="003C54A8">
        <w:rPr>
          <w:lang w:val="fr-CA"/>
        </w:rPr>
        <w:t>,</w:t>
      </w:r>
      <w:r w:rsidR="00FB08E7" w:rsidRPr="003C54A8">
        <w:rPr>
          <w:i/>
          <w:lang w:val="fr-CA"/>
        </w:rPr>
        <w:t xml:space="preserve"> </w:t>
      </w:r>
      <w:r w:rsidR="00FB08E7" w:rsidRPr="003C54A8">
        <w:rPr>
          <w:lang w:val="fr-CA"/>
        </w:rPr>
        <w:t>[1989] R.J.Q. 246</w:t>
      </w:r>
      <w:r w:rsidR="004428B4" w:rsidRPr="003C54A8">
        <w:rPr>
          <w:lang w:val="fr-CA"/>
        </w:rPr>
        <w:t xml:space="preserve">; </w:t>
      </w:r>
      <w:r w:rsidR="004428B4" w:rsidRPr="003C54A8">
        <w:rPr>
          <w:i/>
          <w:lang w:val="fr-CA"/>
        </w:rPr>
        <w:t xml:space="preserve">Canada c. Addison &amp; </w:t>
      </w:r>
      <w:proofErr w:type="spellStart"/>
      <w:r w:rsidR="004428B4" w:rsidRPr="003C54A8">
        <w:rPr>
          <w:i/>
          <w:lang w:val="fr-CA"/>
        </w:rPr>
        <w:t>Leyen</w:t>
      </w:r>
      <w:proofErr w:type="spellEnd"/>
      <w:r w:rsidR="004428B4" w:rsidRPr="003C54A8">
        <w:rPr>
          <w:i/>
          <w:lang w:val="fr-CA"/>
        </w:rPr>
        <w:t xml:space="preserve"> Ltd.</w:t>
      </w:r>
      <w:r w:rsidR="004428B4" w:rsidRPr="003C54A8">
        <w:rPr>
          <w:lang w:val="fr-CA"/>
        </w:rPr>
        <w:t xml:space="preserve">, </w:t>
      </w:r>
      <w:r w:rsidR="004428B4" w:rsidRPr="003C54A8">
        <w:rPr>
          <w:szCs w:val="24"/>
          <w:lang w:val="fr-CA"/>
        </w:rPr>
        <w:t>2007 CSC 33,</w:t>
      </w:r>
      <w:r w:rsidR="004428B4" w:rsidRPr="003C54A8">
        <w:rPr>
          <w:lang w:val="fr-CA"/>
        </w:rPr>
        <w:t xml:space="preserve"> [2007] 2 R.C.S. 793</w:t>
      </w:r>
      <w:r w:rsidR="00D95AA9" w:rsidRPr="003C54A8">
        <w:rPr>
          <w:lang w:val="fr-CA"/>
        </w:rPr>
        <w:t xml:space="preserve">; </w:t>
      </w:r>
      <w:proofErr w:type="spellStart"/>
      <w:r w:rsidR="00D95AA9" w:rsidRPr="003C54A8">
        <w:rPr>
          <w:i/>
          <w:lang w:val="fr-CA"/>
        </w:rPr>
        <w:t>Sobeys</w:t>
      </w:r>
      <w:proofErr w:type="spellEnd"/>
      <w:r w:rsidR="00D95AA9" w:rsidRPr="003C54A8">
        <w:rPr>
          <w:i/>
          <w:lang w:val="fr-CA"/>
        </w:rPr>
        <w:t xml:space="preserve"> Québec </w:t>
      </w:r>
      <w:proofErr w:type="spellStart"/>
      <w:r w:rsidR="00D43CF6" w:rsidRPr="003C54A8">
        <w:rPr>
          <w:i/>
          <w:lang w:val="fr-CA"/>
        </w:rPr>
        <w:t>i</w:t>
      </w:r>
      <w:r w:rsidR="00D95AA9" w:rsidRPr="003C54A8">
        <w:rPr>
          <w:i/>
          <w:lang w:val="fr-CA"/>
        </w:rPr>
        <w:t>nc.</w:t>
      </w:r>
      <w:proofErr w:type="spellEnd"/>
      <w:r w:rsidR="00D95AA9" w:rsidRPr="003C54A8">
        <w:rPr>
          <w:i/>
          <w:lang w:val="fr-CA"/>
        </w:rPr>
        <w:t xml:space="preserve"> c. Coopérative des consommateurs de Sainte–Foy</w:t>
      </w:r>
      <w:r w:rsidR="00D95AA9" w:rsidRPr="003C54A8">
        <w:rPr>
          <w:lang w:val="fr-CA"/>
        </w:rPr>
        <w:t>,</w:t>
      </w:r>
      <w:r w:rsidR="00D95AA9" w:rsidRPr="003C54A8">
        <w:rPr>
          <w:i/>
          <w:lang w:val="fr-CA"/>
        </w:rPr>
        <w:t xml:space="preserve"> </w:t>
      </w:r>
      <w:r w:rsidR="00301A54" w:rsidRPr="003C54A8">
        <w:rPr>
          <w:lang w:val="fr-CA"/>
        </w:rPr>
        <w:t xml:space="preserve">2005 QCCA 1172, </w:t>
      </w:r>
      <w:r w:rsidR="00D95AA9" w:rsidRPr="003C54A8">
        <w:rPr>
          <w:lang w:val="fr-CA"/>
        </w:rPr>
        <w:t>[2006] R.J.Q. 100</w:t>
      </w:r>
      <w:r w:rsidR="00F96616" w:rsidRPr="003C54A8">
        <w:rPr>
          <w:lang w:val="fr-CA"/>
        </w:rPr>
        <w:t xml:space="preserve">; </w:t>
      </w:r>
      <w:proofErr w:type="spellStart"/>
      <w:r w:rsidR="00F96616" w:rsidRPr="003C54A8">
        <w:rPr>
          <w:i/>
          <w:lang w:val="fr-CA"/>
        </w:rPr>
        <w:t>Shafron</w:t>
      </w:r>
      <w:proofErr w:type="spellEnd"/>
      <w:r w:rsidR="00F96616" w:rsidRPr="003C54A8">
        <w:rPr>
          <w:i/>
          <w:lang w:val="fr-CA"/>
        </w:rPr>
        <w:t xml:space="preserve"> c. KRG </w:t>
      </w:r>
      <w:proofErr w:type="spellStart"/>
      <w:r w:rsidR="00F96616" w:rsidRPr="003C54A8">
        <w:rPr>
          <w:i/>
          <w:lang w:val="fr-CA"/>
        </w:rPr>
        <w:t>Insurance</w:t>
      </w:r>
      <w:proofErr w:type="spellEnd"/>
      <w:r w:rsidR="00F96616" w:rsidRPr="003C54A8">
        <w:rPr>
          <w:i/>
          <w:lang w:val="fr-CA"/>
        </w:rPr>
        <w:t xml:space="preserve"> Brokers (Western) Inc.</w:t>
      </w:r>
      <w:r w:rsidR="00F96616" w:rsidRPr="003C54A8">
        <w:rPr>
          <w:lang w:val="fr-CA"/>
        </w:rPr>
        <w:t xml:space="preserve">, </w:t>
      </w:r>
      <w:r w:rsidR="00F96616" w:rsidRPr="003C54A8">
        <w:rPr>
          <w:szCs w:val="24"/>
          <w:lang w:val="fr-CA"/>
        </w:rPr>
        <w:t>2009 CSC 6,</w:t>
      </w:r>
      <w:r w:rsidR="00F96616" w:rsidRPr="003C54A8">
        <w:rPr>
          <w:lang w:val="fr-CA"/>
        </w:rPr>
        <w:t xml:space="preserve"> [2009] 1 R.C.S. 157; </w:t>
      </w:r>
      <w:r w:rsidR="00F96616" w:rsidRPr="003C54A8">
        <w:rPr>
          <w:i/>
          <w:lang w:val="fr-CA"/>
        </w:rPr>
        <w:t xml:space="preserve">Performance Industries Ltd. c. </w:t>
      </w:r>
      <w:proofErr w:type="spellStart"/>
      <w:r w:rsidR="00F96616" w:rsidRPr="003C54A8">
        <w:rPr>
          <w:i/>
          <w:lang w:val="fr-CA"/>
        </w:rPr>
        <w:t>Sylvan</w:t>
      </w:r>
      <w:proofErr w:type="spellEnd"/>
      <w:r w:rsidR="00F96616" w:rsidRPr="003C54A8">
        <w:rPr>
          <w:i/>
          <w:lang w:val="fr-CA"/>
        </w:rPr>
        <w:t xml:space="preserve"> Lake Golf &amp; Tennis Club Ltd.</w:t>
      </w:r>
      <w:r w:rsidR="00F96616" w:rsidRPr="003C54A8">
        <w:rPr>
          <w:lang w:val="fr-CA"/>
        </w:rPr>
        <w:t>,</w:t>
      </w:r>
      <w:r w:rsidR="00F96616" w:rsidRPr="003C54A8">
        <w:rPr>
          <w:i/>
          <w:lang w:val="fr-CA"/>
        </w:rPr>
        <w:t xml:space="preserve"> </w:t>
      </w:r>
      <w:r w:rsidR="00F96616" w:rsidRPr="003C54A8">
        <w:rPr>
          <w:szCs w:val="24"/>
          <w:lang w:val="fr-CA"/>
        </w:rPr>
        <w:t xml:space="preserve">2002 CSC 19, </w:t>
      </w:r>
      <w:r w:rsidR="00F96616" w:rsidRPr="003C54A8">
        <w:rPr>
          <w:lang w:val="fr-CA"/>
        </w:rPr>
        <w:t>[2002] 1 R.C.S. 678.</w:t>
      </w:r>
    </w:p>
    <w:p w:rsidR="004D7D95" w:rsidRPr="003C54A8" w:rsidRDefault="004D7D95" w:rsidP="008064A8">
      <w:pPr>
        <w:pStyle w:val="SCCNormalDoubleSpacing"/>
        <w:keepNext/>
        <w:spacing w:after="720" w:line="240" w:lineRule="auto"/>
        <w:rPr>
          <w:b/>
          <w:lang w:val="fr-CA"/>
        </w:rPr>
      </w:pPr>
      <w:r w:rsidRPr="003C54A8">
        <w:rPr>
          <w:b/>
          <w:lang w:val="fr-CA"/>
        </w:rPr>
        <w:t>Lois et règlements cités</w:t>
      </w:r>
    </w:p>
    <w:p w:rsidR="001C46BC" w:rsidRPr="003C54A8" w:rsidRDefault="001C46BC" w:rsidP="008064A8">
      <w:pPr>
        <w:pStyle w:val="SCCNormalDoubleSpacing"/>
        <w:spacing w:after="240" w:line="240" w:lineRule="auto"/>
        <w:ind w:left="547" w:hanging="547"/>
        <w:rPr>
          <w:lang w:val="fr-CA"/>
        </w:rPr>
      </w:pPr>
      <w:r w:rsidRPr="003C54A8">
        <w:rPr>
          <w:i/>
          <w:lang w:val="fr-CA"/>
        </w:rPr>
        <w:t>Code civil du Québec</w:t>
      </w:r>
      <w:r w:rsidRPr="003C54A8">
        <w:rPr>
          <w:lang w:val="fr-CA"/>
        </w:rPr>
        <w:t xml:space="preserve">, L.Q. 1991, </w:t>
      </w:r>
      <w:r w:rsidR="008064A8" w:rsidRPr="003C54A8">
        <w:rPr>
          <w:lang w:val="fr-CA"/>
        </w:rPr>
        <w:t>ch. </w:t>
      </w:r>
      <w:r w:rsidRPr="003C54A8">
        <w:rPr>
          <w:lang w:val="fr-CA"/>
        </w:rPr>
        <w:t xml:space="preserve">64, </w:t>
      </w:r>
      <w:r w:rsidR="008064A8" w:rsidRPr="003C54A8">
        <w:rPr>
          <w:lang w:val="fr-CA"/>
        </w:rPr>
        <w:t>art. </w:t>
      </w:r>
      <w:r w:rsidR="003769BF" w:rsidRPr="003C54A8">
        <w:rPr>
          <w:szCs w:val="24"/>
          <w:lang w:val="fr-CA"/>
        </w:rPr>
        <w:t xml:space="preserve">1372, 1373, </w:t>
      </w:r>
      <w:r w:rsidR="005F6481" w:rsidRPr="003C54A8">
        <w:rPr>
          <w:szCs w:val="24"/>
          <w:lang w:val="fr-CA"/>
        </w:rPr>
        <w:t xml:space="preserve">1374, </w:t>
      </w:r>
      <w:r w:rsidRPr="003C54A8">
        <w:rPr>
          <w:lang w:val="fr-CA"/>
        </w:rPr>
        <w:t xml:space="preserve">1378, 1385, </w:t>
      </w:r>
      <w:r w:rsidR="003769BF" w:rsidRPr="003C54A8">
        <w:rPr>
          <w:lang w:val="fr-CA"/>
        </w:rPr>
        <w:t xml:space="preserve">1412, </w:t>
      </w:r>
      <w:r w:rsidRPr="003C54A8">
        <w:rPr>
          <w:lang w:val="fr-CA"/>
        </w:rPr>
        <w:t xml:space="preserve">1425, 1439, </w:t>
      </w:r>
      <w:r w:rsidRPr="003C54A8">
        <w:rPr>
          <w:szCs w:val="24"/>
          <w:lang w:val="fr-CA"/>
        </w:rPr>
        <w:t>2818, 2829</w:t>
      </w:r>
      <w:r w:rsidRPr="003C54A8">
        <w:rPr>
          <w:lang w:val="fr-CA"/>
        </w:rPr>
        <w:t>.</w:t>
      </w:r>
    </w:p>
    <w:p w:rsidR="001C46BC" w:rsidRPr="003C54A8" w:rsidRDefault="001C46BC" w:rsidP="008064A8">
      <w:pPr>
        <w:pStyle w:val="SCCNormalDoubleSpacing"/>
        <w:spacing w:after="240" w:line="240" w:lineRule="auto"/>
        <w:ind w:left="547" w:hanging="547"/>
        <w:rPr>
          <w:lang w:val="fr-CA"/>
        </w:rPr>
      </w:pPr>
      <w:r w:rsidRPr="003C54A8">
        <w:rPr>
          <w:i/>
          <w:lang w:val="fr-CA"/>
        </w:rPr>
        <w:t>Code de procédure civile</w:t>
      </w:r>
      <w:r w:rsidRPr="003C54A8">
        <w:rPr>
          <w:lang w:val="fr-CA"/>
        </w:rPr>
        <w:t xml:space="preserve">, L.R.Q., </w:t>
      </w:r>
      <w:r w:rsidR="008064A8" w:rsidRPr="003C54A8">
        <w:rPr>
          <w:lang w:val="fr-CA"/>
        </w:rPr>
        <w:t>ch. </w:t>
      </w:r>
      <w:r w:rsidRPr="003C54A8">
        <w:rPr>
          <w:lang w:val="fr-CA"/>
        </w:rPr>
        <w:t>C</w:t>
      </w:r>
      <w:r w:rsidRPr="003C54A8">
        <w:rPr>
          <w:rFonts w:eastAsia="MS Mincho" w:hint="eastAsia"/>
          <w:lang w:val="fr-CA"/>
        </w:rPr>
        <w:t>‑</w:t>
      </w:r>
      <w:r w:rsidRPr="003C54A8">
        <w:rPr>
          <w:lang w:val="fr-CA"/>
        </w:rPr>
        <w:t xml:space="preserve">25, </w:t>
      </w:r>
      <w:r w:rsidR="008064A8" w:rsidRPr="003C54A8">
        <w:rPr>
          <w:lang w:val="fr-CA"/>
        </w:rPr>
        <w:t>art. </w:t>
      </w:r>
      <w:r w:rsidRPr="003C54A8">
        <w:rPr>
          <w:lang w:val="fr-CA"/>
        </w:rPr>
        <w:t>5.</w:t>
      </w:r>
    </w:p>
    <w:p w:rsidR="004D7D95" w:rsidRPr="003C54A8" w:rsidRDefault="00D04983" w:rsidP="008064A8">
      <w:pPr>
        <w:pStyle w:val="SCCNormalDoubleSpacing"/>
        <w:spacing w:after="240" w:line="240" w:lineRule="auto"/>
        <w:ind w:left="547" w:hanging="547"/>
        <w:rPr>
          <w:lang w:val="fr-CA"/>
        </w:rPr>
      </w:pPr>
      <w:r w:rsidRPr="003C54A8">
        <w:rPr>
          <w:i/>
          <w:lang w:val="fr-CA"/>
        </w:rPr>
        <w:t>Loi de l’impôt sur le revenu</w:t>
      </w:r>
      <w:r w:rsidRPr="003C54A8">
        <w:rPr>
          <w:lang w:val="fr-CA"/>
        </w:rPr>
        <w:t xml:space="preserve">, L.R.C. 1985, </w:t>
      </w:r>
      <w:r w:rsidR="008064A8" w:rsidRPr="003C54A8">
        <w:rPr>
          <w:lang w:val="fr-CA"/>
        </w:rPr>
        <w:t>ch. </w:t>
      </w:r>
      <w:r w:rsidRPr="003C54A8">
        <w:rPr>
          <w:lang w:val="fr-CA"/>
        </w:rPr>
        <w:t>1 (5</w:t>
      </w:r>
      <w:r w:rsidRPr="003C54A8">
        <w:rPr>
          <w:vertAlign w:val="superscript"/>
          <w:lang w:val="fr-CA"/>
        </w:rPr>
        <w:t>e</w:t>
      </w:r>
      <w:r w:rsidRPr="003C54A8">
        <w:rPr>
          <w:lang w:val="fr-CA"/>
        </w:rPr>
        <w:t xml:space="preserve"> suppl.), </w:t>
      </w:r>
      <w:r w:rsidR="008064A8" w:rsidRPr="003C54A8">
        <w:rPr>
          <w:lang w:val="fr-CA"/>
        </w:rPr>
        <w:t>art. </w:t>
      </w:r>
      <w:r w:rsidRPr="003C54A8">
        <w:rPr>
          <w:lang w:val="fr-CA"/>
        </w:rPr>
        <w:t>86.</w:t>
      </w:r>
    </w:p>
    <w:p w:rsidR="004D7D95" w:rsidRPr="003C54A8" w:rsidRDefault="004A4283" w:rsidP="008064A8">
      <w:pPr>
        <w:pStyle w:val="SCCNormalDoubleSpacing"/>
        <w:spacing w:after="240" w:line="240" w:lineRule="auto"/>
        <w:ind w:left="547" w:hanging="547"/>
        <w:rPr>
          <w:lang w:val="fr-CA"/>
        </w:rPr>
      </w:pPr>
      <w:r w:rsidRPr="003C54A8">
        <w:rPr>
          <w:i/>
          <w:lang w:val="fr-CA"/>
        </w:rPr>
        <w:t>Loi sur les compagnies</w:t>
      </w:r>
      <w:r w:rsidRPr="003C54A8">
        <w:rPr>
          <w:lang w:val="fr-CA"/>
        </w:rPr>
        <w:t xml:space="preserve">, L.R.Q., </w:t>
      </w:r>
      <w:r w:rsidR="008064A8" w:rsidRPr="003C54A8">
        <w:rPr>
          <w:lang w:val="fr-CA"/>
        </w:rPr>
        <w:t>ch. </w:t>
      </w:r>
      <w:r w:rsidRPr="003C54A8">
        <w:rPr>
          <w:lang w:val="fr-CA"/>
        </w:rPr>
        <w:t>C</w:t>
      </w:r>
      <w:r w:rsidR="008064A8" w:rsidRPr="003C54A8">
        <w:rPr>
          <w:lang w:val="fr-CA"/>
        </w:rPr>
        <w:noBreakHyphen/>
      </w:r>
      <w:r w:rsidRPr="003C54A8">
        <w:rPr>
          <w:lang w:val="fr-CA"/>
        </w:rPr>
        <w:t>38.</w:t>
      </w:r>
    </w:p>
    <w:p w:rsidR="00D04983" w:rsidRPr="003C54A8" w:rsidRDefault="00D04983" w:rsidP="008064A8">
      <w:pPr>
        <w:pStyle w:val="SCCNormalDoubleSpacing"/>
        <w:spacing w:after="720" w:line="240" w:lineRule="auto"/>
        <w:ind w:left="547" w:hanging="547"/>
        <w:rPr>
          <w:lang w:val="fr-CA"/>
        </w:rPr>
      </w:pPr>
      <w:r w:rsidRPr="003C54A8">
        <w:rPr>
          <w:i/>
          <w:lang w:val="fr-CA"/>
        </w:rPr>
        <w:t>Loi sur les impôts</w:t>
      </w:r>
      <w:r w:rsidRPr="003C54A8">
        <w:rPr>
          <w:lang w:val="fr-CA"/>
        </w:rPr>
        <w:t xml:space="preserve">, L.R.Q., </w:t>
      </w:r>
      <w:r w:rsidR="008064A8" w:rsidRPr="003C54A8">
        <w:rPr>
          <w:lang w:val="fr-CA"/>
        </w:rPr>
        <w:t>ch. </w:t>
      </w:r>
      <w:r w:rsidRPr="003C54A8">
        <w:rPr>
          <w:lang w:val="fr-CA"/>
        </w:rPr>
        <w:t>I</w:t>
      </w:r>
      <w:r w:rsidR="008064A8" w:rsidRPr="003C54A8">
        <w:rPr>
          <w:lang w:val="fr-CA"/>
        </w:rPr>
        <w:noBreakHyphen/>
      </w:r>
      <w:r w:rsidRPr="003C54A8">
        <w:rPr>
          <w:lang w:val="fr-CA"/>
        </w:rPr>
        <w:t xml:space="preserve">3, </w:t>
      </w:r>
      <w:r w:rsidR="008064A8" w:rsidRPr="003C54A8">
        <w:rPr>
          <w:lang w:val="fr-CA"/>
        </w:rPr>
        <w:t>art. </w:t>
      </w:r>
      <w:r w:rsidRPr="003C54A8">
        <w:rPr>
          <w:lang w:val="fr-CA"/>
        </w:rPr>
        <w:t>541 à 543.</w:t>
      </w:r>
    </w:p>
    <w:p w:rsidR="004D7D95" w:rsidRPr="003C54A8" w:rsidRDefault="004D7D95" w:rsidP="008064A8">
      <w:pPr>
        <w:pStyle w:val="SCCNormalDoubleSpacing"/>
        <w:keepNext/>
        <w:spacing w:after="720" w:line="240" w:lineRule="auto"/>
        <w:rPr>
          <w:b/>
          <w:lang w:val="fr-CA"/>
        </w:rPr>
      </w:pPr>
      <w:r w:rsidRPr="003C54A8">
        <w:rPr>
          <w:b/>
          <w:lang w:val="fr-CA"/>
        </w:rPr>
        <w:t>Doctrine et autres documents cités</w:t>
      </w:r>
    </w:p>
    <w:p w:rsidR="003E67D6" w:rsidRPr="003C54A8" w:rsidRDefault="003E67D6" w:rsidP="008064A8">
      <w:pPr>
        <w:pStyle w:val="SCCNormalDoubleSpacing"/>
        <w:spacing w:after="240" w:line="240" w:lineRule="auto"/>
        <w:ind w:left="540" w:hanging="540"/>
        <w:rPr>
          <w:lang w:val="fr-CA"/>
        </w:rPr>
      </w:pPr>
      <w:r w:rsidRPr="003C54A8">
        <w:rPr>
          <w:lang w:val="fr-CA"/>
        </w:rPr>
        <w:t>Baudouin, Jean</w:t>
      </w:r>
      <w:r w:rsidR="008064A8" w:rsidRPr="003C54A8">
        <w:rPr>
          <w:lang w:val="fr-CA"/>
        </w:rPr>
        <w:noBreakHyphen/>
      </w:r>
      <w:r w:rsidRPr="003C54A8">
        <w:rPr>
          <w:lang w:val="fr-CA"/>
        </w:rPr>
        <w:t>Louis, et Pierre</w:t>
      </w:r>
      <w:r w:rsidR="008064A8" w:rsidRPr="003C54A8">
        <w:rPr>
          <w:lang w:val="fr-CA"/>
        </w:rPr>
        <w:noBreakHyphen/>
      </w:r>
      <w:r w:rsidRPr="003C54A8">
        <w:rPr>
          <w:lang w:val="fr-CA"/>
        </w:rPr>
        <w:t xml:space="preserve">Gabriel </w:t>
      </w:r>
      <w:proofErr w:type="spellStart"/>
      <w:r w:rsidRPr="003C54A8">
        <w:rPr>
          <w:lang w:val="fr-CA"/>
        </w:rPr>
        <w:t>Jobin</w:t>
      </w:r>
      <w:proofErr w:type="spellEnd"/>
      <w:r w:rsidRPr="003C54A8">
        <w:rPr>
          <w:lang w:val="fr-CA"/>
        </w:rPr>
        <w:t xml:space="preserve">.  </w:t>
      </w:r>
      <w:r w:rsidRPr="003C54A8">
        <w:rPr>
          <w:i/>
          <w:lang w:val="fr-CA"/>
        </w:rPr>
        <w:t>Les obligations</w:t>
      </w:r>
      <w:r w:rsidRPr="003C54A8">
        <w:rPr>
          <w:lang w:val="fr-CA"/>
        </w:rPr>
        <w:t>, 7</w:t>
      </w:r>
      <w:r w:rsidRPr="003C54A8">
        <w:rPr>
          <w:vertAlign w:val="superscript"/>
          <w:lang w:val="fr-CA"/>
        </w:rPr>
        <w:t>e</w:t>
      </w:r>
      <w:r w:rsidR="008064A8" w:rsidRPr="003C54A8">
        <w:rPr>
          <w:lang w:val="fr-CA"/>
        </w:rPr>
        <w:t> </w:t>
      </w:r>
      <w:r w:rsidRPr="003C54A8">
        <w:rPr>
          <w:lang w:val="fr-CA"/>
        </w:rPr>
        <w:t>éd. par Pierre</w:t>
      </w:r>
      <w:r w:rsidR="008064A8" w:rsidRPr="003C54A8">
        <w:rPr>
          <w:lang w:val="fr-CA"/>
        </w:rPr>
        <w:noBreakHyphen/>
      </w:r>
      <w:r w:rsidRPr="003C54A8">
        <w:rPr>
          <w:lang w:val="fr-CA"/>
        </w:rPr>
        <w:t xml:space="preserve">Gabriel </w:t>
      </w:r>
      <w:proofErr w:type="spellStart"/>
      <w:r w:rsidRPr="003C54A8">
        <w:rPr>
          <w:lang w:val="fr-CA"/>
        </w:rPr>
        <w:t>Jobin</w:t>
      </w:r>
      <w:proofErr w:type="spellEnd"/>
      <w:r w:rsidRPr="003C54A8">
        <w:rPr>
          <w:lang w:val="fr-CA"/>
        </w:rPr>
        <w:t xml:space="preserve"> et Nathalie Vézina.  </w:t>
      </w:r>
      <w:proofErr w:type="spellStart"/>
      <w:r w:rsidRPr="003C54A8">
        <w:rPr>
          <w:lang w:val="fr-CA"/>
        </w:rPr>
        <w:t>Cowansville</w:t>
      </w:r>
      <w:proofErr w:type="spellEnd"/>
      <w:r w:rsidRPr="003C54A8">
        <w:rPr>
          <w:lang w:val="fr-CA"/>
        </w:rPr>
        <w:t xml:space="preserve">, </w:t>
      </w:r>
      <w:proofErr w:type="spellStart"/>
      <w:r w:rsidRPr="003C54A8">
        <w:rPr>
          <w:lang w:val="fr-CA"/>
        </w:rPr>
        <w:t>Qué</w:t>
      </w:r>
      <w:proofErr w:type="spellEnd"/>
      <w:r w:rsidRPr="003C54A8">
        <w:rPr>
          <w:lang w:val="fr-CA"/>
        </w:rPr>
        <w:t>.</w:t>
      </w:r>
      <w:r w:rsidR="008064A8" w:rsidRPr="003C54A8">
        <w:rPr>
          <w:lang w:val="fr-CA"/>
        </w:rPr>
        <w:t> :</w:t>
      </w:r>
      <w:r w:rsidRPr="003C54A8">
        <w:rPr>
          <w:lang w:val="fr-CA"/>
        </w:rPr>
        <w:t xml:space="preserve"> Yvon Blais, 2013.</w:t>
      </w:r>
    </w:p>
    <w:p w:rsidR="004428B4" w:rsidRPr="003C54A8" w:rsidRDefault="004428B4" w:rsidP="008064A8">
      <w:pPr>
        <w:pStyle w:val="SCCNormalDoubleSpacing"/>
        <w:spacing w:after="240" w:line="240" w:lineRule="auto"/>
        <w:ind w:left="540" w:hanging="540"/>
        <w:rPr>
          <w:lang w:val="en-US"/>
        </w:rPr>
      </w:pPr>
      <w:r w:rsidRPr="003C54A8">
        <w:t xml:space="preserve">Campbell, Colin.  </w:t>
      </w:r>
      <w:r w:rsidRPr="003C54A8">
        <w:rPr>
          <w:i/>
        </w:rPr>
        <w:t>Administration of Income Tax 2013</w:t>
      </w:r>
      <w:r w:rsidRPr="003C54A8">
        <w:t xml:space="preserve">.  </w:t>
      </w:r>
      <w:proofErr w:type="gramStart"/>
      <w:r w:rsidRPr="003C54A8">
        <w:rPr>
          <w:lang w:val="en-US"/>
        </w:rPr>
        <w:t>Toronto</w:t>
      </w:r>
      <w:r w:rsidR="008064A8" w:rsidRPr="003C54A8">
        <w:rPr>
          <w:lang w:val="en-US"/>
        </w:rPr>
        <w:t> :</w:t>
      </w:r>
      <w:proofErr w:type="gramEnd"/>
      <w:r w:rsidRPr="003C54A8">
        <w:rPr>
          <w:lang w:val="en-US"/>
        </w:rPr>
        <w:t xml:space="preserve"> Thomson/Carswell, 2013.</w:t>
      </w:r>
    </w:p>
    <w:p w:rsidR="00AA1376" w:rsidRPr="003C54A8" w:rsidRDefault="00AA1376" w:rsidP="008064A8">
      <w:pPr>
        <w:pStyle w:val="SCCNormalDoubleSpacing"/>
        <w:spacing w:after="240" w:line="240" w:lineRule="auto"/>
        <w:ind w:left="540" w:hanging="540"/>
        <w:rPr>
          <w:lang w:val="fr-CA"/>
        </w:rPr>
      </w:pPr>
      <w:proofErr w:type="spellStart"/>
      <w:r w:rsidRPr="003C54A8">
        <w:rPr>
          <w:lang w:val="en-US"/>
        </w:rPr>
        <w:t>Cresp</w:t>
      </w:r>
      <w:proofErr w:type="spellEnd"/>
      <w:r w:rsidRPr="003C54A8">
        <w:rPr>
          <w:lang w:val="en-US"/>
        </w:rPr>
        <w:t xml:space="preserve">, Marie.  </w:t>
      </w:r>
      <w:r w:rsidRPr="003C54A8">
        <w:rPr>
          <w:i/>
          <w:lang w:val="fr-CA"/>
        </w:rPr>
        <w:t>Le temps juridique en droit privé</w:t>
      </w:r>
      <w:r w:rsidR="00937334" w:rsidRPr="003C54A8">
        <w:rPr>
          <w:i/>
          <w:lang w:val="fr-CA"/>
        </w:rPr>
        <w:t>,</w:t>
      </w:r>
      <w:r w:rsidRPr="003C54A8">
        <w:rPr>
          <w:i/>
          <w:lang w:val="fr-CA"/>
        </w:rPr>
        <w:t xml:space="preserve"> essai d’une théorie générale</w:t>
      </w:r>
      <w:r w:rsidRPr="003C54A8">
        <w:rPr>
          <w:lang w:val="fr-CA"/>
        </w:rPr>
        <w:t>.</w:t>
      </w:r>
      <w:r w:rsidRPr="003C54A8">
        <w:rPr>
          <w:i/>
          <w:lang w:val="fr-CA"/>
        </w:rPr>
        <w:t xml:space="preserve">  </w:t>
      </w:r>
      <w:r w:rsidRPr="003C54A8">
        <w:rPr>
          <w:lang w:val="fr-CA"/>
        </w:rPr>
        <w:t>Aix</w:t>
      </w:r>
      <w:r w:rsidR="008064A8" w:rsidRPr="003C54A8">
        <w:rPr>
          <w:lang w:val="fr-CA"/>
        </w:rPr>
        <w:noBreakHyphen/>
      </w:r>
      <w:r w:rsidR="00FE20A8" w:rsidRPr="003C54A8">
        <w:rPr>
          <w:lang w:val="fr-CA"/>
        </w:rPr>
        <w:t>en</w:t>
      </w:r>
      <w:r w:rsidR="008064A8" w:rsidRPr="003C54A8">
        <w:rPr>
          <w:lang w:val="fr-CA"/>
        </w:rPr>
        <w:noBreakHyphen/>
      </w:r>
      <w:r w:rsidR="00FE20A8" w:rsidRPr="003C54A8">
        <w:rPr>
          <w:lang w:val="fr-CA"/>
        </w:rPr>
        <w:t>Provence</w:t>
      </w:r>
      <w:r w:rsidRPr="003C54A8">
        <w:rPr>
          <w:lang w:val="fr-CA"/>
        </w:rPr>
        <w:t>, France</w:t>
      </w:r>
      <w:r w:rsidR="008064A8" w:rsidRPr="003C54A8">
        <w:rPr>
          <w:lang w:val="fr-CA"/>
        </w:rPr>
        <w:t> :</w:t>
      </w:r>
      <w:r w:rsidRPr="003C54A8">
        <w:rPr>
          <w:lang w:val="fr-CA"/>
        </w:rPr>
        <w:t xml:space="preserve"> Presses universitaires d’Aix</w:t>
      </w:r>
      <w:r w:rsidR="008064A8" w:rsidRPr="003C54A8">
        <w:rPr>
          <w:lang w:val="fr-CA"/>
        </w:rPr>
        <w:noBreakHyphen/>
      </w:r>
      <w:r w:rsidRPr="003C54A8">
        <w:rPr>
          <w:lang w:val="fr-CA"/>
        </w:rPr>
        <w:t>Marseille, 2013.</w:t>
      </w:r>
    </w:p>
    <w:p w:rsidR="00520600" w:rsidRPr="003C54A8" w:rsidRDefault="00520600" w:rsidP="008064A8">
      <w:pPr>
        <w:pStyle w:val="SCCNormalDoubleSpacing"/>
        <w:spacing w:after="240" w:line="240" w:lineRule="auto"/>
        <w:ind w:left="540" w:hanging="540"/>
        <w:rPr>
          <w:lang w:val="fr-CA"/>
        </w:rPr>
      </w:pPr>
      <w:proofErr w:type="spellStart"/>
      <w:r w:rsidRPr="003C54A8">
        <w:rPr>
          <w:lang w:val="fr-CA"/>
        </w:rPr>
        <w:t>Deslauriers</w:t>
      </w:r>
      <w:proofErr w:type="spellEnd"/>
      <w:r w:rsidRPr="003C54A8">
        <w:rPr>
          <w:lang w:val="fr-CA"/>
        </w:rPr>
        <w:t xml:space="preserve">, Jacques.  </w:t>
      </w:r>
      <w:r w:rsidRPr="003C54A8">
        <w:rPr>
          <w:i/>
          <w:lang w:val="fr-CA"/>
        </w:rPr>
        <w:t>Vente, louage, contrat d’entreprise ou de service</w:t>
      </w:r>
      <w:r w:rsidRPr="003C54A8">
        <w:rPr>
          <w:lang w:val="fr-CA"/>
        </w:rPr>
        <w:t>, 2</w:t>
      </w:r>
      <w:r w:rsidRPr="003C54A8">
        <w:rPr>
          <w:vertAlign w:val="superscript"/>
          <w:lang w:val="fr-CA"/>
        </w:rPr>
        <w:t>e</w:t>
      </w:r>
      <w:r w:rsidR="008064A8" w:rsidRPr="003C54A8">
        <w:rPr>
          <w:lang w:val="fr-CA"/>
        </w:rPr>
        <w:t> </w:t>
      </w:r>
      <w:r w:rsidRPr="003C54A8">
        <w:rPr>
          <w:lang w:val="fr-CA"/>
        </w:rPr>
        <w:t>éd.  Montréal</w:t>
      </w:r>
      <w:r w:rsidR="008064A8" w:rsidRPr="003C54A8">
        <w:rPr>
          <w:lang w:val="fr-CA"/>
        </w:rPr>
        <w:t> :</w:t>
      </w:r>
      <w:r w:rsidRPr="003C54A8">
        <w:rPr>
          <w:lang w:val="fr-CA"/>
        </w:rPr>
        <w:t xml:space="preserve"> Wilson &amp; Lafleur, 2013.</w:t>
      </w:r>
    </w:p>
    <w:p w:rsidR="003E67D6" w:rsidRPr="003C54A8" w:rsidRDefault="008C6CF9" w:rsidP="008064A8">
      <w:pPr>
        <w:pStyle w:val="SCCNormalDoubleSpacing"/>
        <w:spacing w:after="240" w:line="240" w:lineRule="auto"/>
        <w:ind w:left="540" w:hanging="540"/>
        <w:rPr>
          <w:lang w:val="fr-CA"/>
        </w:rPr>
      </w:pPr>
      <w:r w:rsidRPr="003C54A8">
        <w:rPr>
          <w:lang w:val="fr-CA"/>
        </w:rPr>
        <w:t xml:space="preserve">Gendron, François.  </w:t>
      </w:r>
      <w:r w:rsidRPr="003C54A8">
        <w:rPr>
          <w:i/>
          <w:lang w:val="fr-CA"/>
        </w:rPr>
        <w:t>L’interprétation des contrats</w:t>
      </w:r>
      <w:r w:rsidRPr="003C54A8">
        <w:rPr>
          <w:lang w:val="fr-CA"/>
        </w:rPr>
        <w:t>.  Montréal</w:t>
      </w:r>
      <w:r w:rsidR="008064A8" w:rsidRPr="003C54A8">
        <w:rPr>
          <w:lang w:val="fr-CA"/>
        </w:rPr>
        <w:t> :</w:t>
      </w:r>
      <w:r w:rsidRPr="003C54A8">
        <w:rPr>
          <w:lang w:val="fr-CA"/>
        </w:rPr>
        <w:t xml:space="preserve"> Wilson &amp; Lafleur, 2002.</w:t>
      </w:r>
    </w:p>
    <w:p w:rsidR="003E67D6" w:rsidRPr="003C54A8" w:rsidRDefault="003E67D6" w:rsidP="008064A8">
      <w:pPr>
        <w:pStyle w:val="SCCNormalDoubleSpacing"/>
        <w:spacing w:after="240" w:line="240" w:lineRule="auto"/>
        <w:ind w:left="540" w:hanging="540"/>
        <w:rPr>
          <w:lang w:val="fr-CA"/>
        </w:rPr>
      </w:pPr>
      <w:proofErr w:type="spellStart"/>
      <w:r w:rsidRPr="003C54A8">
        <w:rPr>
          <w:lang w:val="fr-CA"/>
        </w:rPr>
        <w:t>Ghestin</w:t>
      </w:r>
      <w:proofErr w:type="spellEnd"/>
      <w:r w:rsidRPr="003C54A8">
        <w:rPr>
          <w:lang w:val="fr-CA"/>
        </w:rPr>
        <w:t xml:space="preserve">, Jacques.  « La notion de contrat » (1990), 12 </w:t>
      </w:r>
      <w:r w:rsidRPr="003C54A8">
        <w:rPr>
          <w:i/>
          <w:lang w:val="fr-CA"/>
        </w:rPr>
        <w:t>Droits</w:t>
      </w:r>
      <w:r w:rsidRPr="003C54A8">
        <w:rPr>
          <w:lang w:val="fr-CA"/>
        </w:rPr>
        <w:t xml:space="preserve"> 7.</w:t>
      </w:r>
    </w:p>
    <w:p w:rsidR="00DF136F" w:rsidRPr="003C54A8" w:rsidRDefault="00DF136F" w:rsidP="008064A8">
      <w:pPr>
        <w:pStyle w:val="SCCNormalDoubleSpacing"/>
        <w:spacing w:after="240" w:line="240" w:lineRule="auto"/>
        <w:ind w:left="540" w:hanging="540"/>
        <w:rPr>
          <w:lang w:val="fr-CA"/>
        </w:rPr>
      </w:pPr>
      <w:r w:rsidRPr="003C54A8">
        <w:rPr>
          <w:lang w:val="en-US"/>
        </w:rPr>
        <w:t xml:space="preserve">Krishna, Vern.  </w:t>
      </w:r>
      <w:r w:rsidRPr="003C54A8">
        <w:rPr>
          <w:i/>
          <w:lang w:val="en-US"/>
        </w:rPr>
        <w:t>The Fundamentals of Canadian Income Tax</w:t>
      </w:r>
      <w:r w:rsidR="008064A8" w:rsidRPr="003C54A8">
        <w:rPr>
          <w:lang w:val="en-US"/>
        </w:rPr>
        <w:t>, 9th </w:t>
      </w:r>
      <w:proofErr w:type="gramStart"/>
      <w:r w:rsidRPr="003C54A8">
        <w:rPr>
          <w:lang w:val="en-US"/>
        </w:rPr>
        <w:t>ed</w:t>
      </w:r>
      <w:proofErr w:type="gramEnd"/>
      <w:r w:rsidRPr="003C54A8">
        <w:rPr>
          <w:lang w:val="en-US"/>
        </w:rPr>
        <w:t xml:space="preserve">.  </w:t>
      </w:r>
      <w:r w:rsidRPr="003C54A8">
        <w:rPr>
          <w:lang w:val="fr-CA"/>
        </w:rPr>
        <w:t>Toronto</w:t>
      </w:r>
      <w:r w:rsidR="008064A8" w:rsidRPr="003C54A8">
        <w:rPr>
          <w:lang w:val="fr-CA"/>
        </w:rPr>
        <w:t> :</w:t>
      </w:r>
      <w:r w:rsidRPr="003C54A8">
        <w:rPr>
          <w:lang w:val="fr-CA"/>
        </w:rPr>
        <w:t xml:space="preserve"> Thomson/Carswell, 2006.</w:t>
      </w:r>
    </w:p>
    <w:p w:rsidR="00776AED" w:rsidRPr="003C54A8" w:rsidRDefault="00776AED" w:rsidP="008064A8">
      <w:pPr>
        <w:pStyle w:val="SCCNormalDoubleSpacing"/>
        <w:spacing w:after="240" w:line="240" w:lineRule="auto"/>
        <w:ind w:left="540" w:hanging="540"/>
        <w:rPr>
          <w:i/>
          <w:lang w:val="fr-CA"/>
        </w:rPr>
      </w:pPr>
      <w:r w:rsidRPr="003C54A8">
        <w:rPr>
          <w:lang w:val="fr-CA"/>
        </w:rPr>
        <w:t>Lafond, Pierre</w:t>
      </w:r>
      <w:r w:rsidR="008064A8" w:rsidRPr="003C54A8">
        <w:rPr>
          <w:lang w:val="fr-CA"/>
        </w:rPr>
        <w:noBreakHyphen/>
      </w:r>
      <w:r w:rsidRPr="003C54A8">
        <w:rPr>
          <w:lang w:val="fr-CA"/>
        </w:rPr>
        <w:t xml:space="preserve">Claude, dir.  </w:t>
      </w:r>
      <w:proofErr w:type="spellStart"/>
      <w:r w:rsidRPr="003C54A8">
        <w:rPr>
          <w:i/>
          <w:lang w:val="fr-CA"/>
        </w:rPr>
        <w:t>JurisClasseur</w:t>
      </w:r>
      <w:proofErr w:type="spellEnd"/>
      <w:r w:rsidR="00727910" w:rsidRPr="003C54A8">
        <w:rPr>
          <w:i/>
          <w:lang w:val="fr-CA"/>
        </w:rPr>
        <w:t xml:space="preserve"> —</w:t>
      </w:r>
      <w:r w:rsidRPr="003C54A8">
        <w:rPr>
          <w:i/>
          <w:lang w:val="fr-CA"/>
        </w:rPr>
        <w:t xml:space="preserve"> Collection droit civil</w:t>
      </w:r>
      <w:r w:rsidR="00727910" w:rsidRPr="003C54A8">
        <w:rPr>
          <w:i/>
          <w:lang w:val="fr-CA"/>
        </w:rPr>
        <w:t xml:space="preserve"> — </w:t>
      </w:r>
      <w:r w:rsidRPr="003C54A8">
        <w:rPr>
          <w:i/>
          <w:lang w:val="fr-CA"/>
        </w:rPr>
        <w:t>Obligations et responsabilité civile</w:t>
      </w:r>
      <w:r w:rsidRPr="003C54A8">
        <w:rPr>
          <w:lang w:val="fr-CA"/>
        </w:rPr>
        <w:t>.  Montréal</w:t>
      </w:r>
      <w:r w:rsidR="008064A8" w:rsidRPr="003C54A8">
        <w:rPr>
          <w:lang w:val="fr-CA"/>
        </w:rPr>
        <w:t> :</w:t>
      </w:r>
      <w:r w:rsidRPr="003C54A8">
        <w:rPr>
          <w:lang w:val="fr-CA"/>
        </w:rPr>
        <w:t xml:space="preserve"> LexisNexis, 2008 (feuilles mobiles mises à jour mars 2013, envoi n</w:t>
      </w:r>
      <w:r w:rsidRPr="003C54A8">
        <w:rPr>
          <w:vertAlign w:val="superscript"/>
          <w:lang w:val="fr-CA"/>
        </w:rPr>
        <w:t>o</w:t>
      </w:r>
      <w:r w:rsidR="008064A8" w:rsidRPr="003C54A8">
        <w:rPr>
          <w:lang w:val="fr-CA"/>
        </w:rPr>
        <w:t> </w:t>
      </w:r>
      <w:r w:rsidRPr="003C54A8">
        <w:rPr>
          <w:lang w:val="fr-CA"/>
        </w:rPr>
        <w:t>8).</w:t>
      </w:r>
    </w:p>
    <w:p w:rsidR="00FB08E7" w:rsidRPr="003C54A8" w:rsidRDefault="00FB08E7" w:rsidP="008064A8">
      <w:pPr>
        <w:pStyle w:val="SCCNormalDoubleSpacing"/>
        <w:spacing w:after="240" w:line="240" w:lineRule="auto"/>
        <w:ind w:left="540" w:hanging="540"/>
        <w:rPr>
          <w:b/>
          <w:lang w:val="fr-CA"/>
        </w:rPr>
      </w:pPr>
      <w:r w:rsidRPr="003C54A8">
        <w:rPr>
          <w:lang w:val="fr-CA"/>
        </w:rPr>
        <w:t xml:space="preserve">L’Heureux, Nicole, Édith Fortin et Marc </w:t>
      </w:r>
      <w:proofErr w:type="spellStart"/>
      <w:r w:rsidRPr="003C54A8">
        <w:rPr>
          <w:lang w:val="fr-CA"/>
        </w:rPr>
        <w:t>Lacoursière</w:t>
      </w:r>
      <w:proofErr w:type="spellEnd"/>
      <w:r w:rsidRPr="003C54A8">
        <w:rPr>
          <w:lang w:val="fr-CA"/>
        </w:rPr>
        <w:t xml:space="preserve">.  </w:t>
      </w:r>
      <w:r w:rsidRPr="003C54A8">
        <w:rPr>
          <w:i/>
          <w:lang w:val="fr-CA"/>
        </w:rPr>
        <w:t>Droit bancaire</w:t>
      </w:r>
      <w:r w:rsidRPr="003C54A8">
        <w:rPr>
          <w:lang w:val="fr-CA"/>
        </w:rPr>
        <w:t>, 4</w:t>
      </w:r>
      <w:r w:rsidRPr="003C54A8">
        <w:rPr>
          <w:vertAlign w:val="superscript"/>
          <w:lang w:val="fr-CA"/>
        </w:rPr>
        <w:t>e</w:t>
      </w:r>
      <w:r w:rsidR="008064A8" w:rsidRPr="003C54A8">
        <w:rPr>
          <w:lang w:val="fr-CA"/>
        </w:rPr>
        <w:t> </w:t>
      </w:r>
      <w:r w:rsidRPr="003C54A8">
        <w:rPr>
          <w:lang w:val="fr-CA"/>
        </w:rPr>
        <w:t>éd.  Montréal</w:t>
      </w:r>
      <w:r w:rsidR="008064A8" w:rsidRPr="003C54A8">
        <w:rPr>
          <w:lang w:val="fr-CA"/>
        </w:rPr>
        <w:t> :</w:t>
      </w:r>
      <w:r w:rsidRPr="003C54A8">
        <w:rPr>
          <w:lang w:val="fr-CA"/>
        </w:rPr>
        <w:t xml:space="preserve"> Yvon Blais, 2004.</w:t>
      </w:r>
    </w:p>
    <w:p w:rsidR="008F6F4C" w:rsidRPr="003C54A8" w:rsidRDefault="008F6F4C" w:rsidP="008064A8">
      <w:pPr>
        <w:pStyle w:val="SCCNormalDoubleSpacing"/>
        <w:spacing w:after="240" w:line="240" w:lineRule="auto"/>
        <w:ind w:left="540" w:hanging="540"/>
        <w:rPr>
          <w:lang w:val="fr-CA"/>
        </w:rPr>
      </w:pPr>
      <w:proofErr w:type="spellStart"/>
      <w:r w:rsidRPr="003C54A8">
        <w:rPr>
          <w:lang w:val="fr-CA"/>
        </w:rPr>
        <w:t>Lluelles</w:t>
      </w:r>
      <w:proofErr w:type="spellEnd"/>
      <w:r w:rsidRPr="003C54A8">
        <w:rPr>
          <w:lang w:val="fr-CA"/>
        </w:rPr>
        <w:t xml:space="preserve">, Didier, et Benoît Moore.  </w:t>
      </w:r>
      <w:r w:rsidRPr="003C54A8">
        <w:rPr>
          <w:i/>
          <w:lang w:val="fr-CA"/>
        </w:rPr>
        <w:t>Droit des obligations</w:t>
      </w:r>
      <w:r w:rsidRPr="003C54A8">
        <w:rPr>
          <w:lang w:val="fr-CA"/>
        </w:rPr>
        <w:t>,</w:t>
      </w:r>
      <w:r w:rsidRPr="003C54A8">
        <w:rPr>
          <w:i/>
          <w:lang w:val="fr-CA"/>
        </w:rPr>
        <w:t xml:space="preserve"> </w:t>
      </w:r>
      <w:r w:rsidRPr="003C54A8">
        <w:rPr>
          <w:lang w:val="fr-CA"/>
        </w:rPr>
        <w:t>2</w:t>
      </w:r>
      <w:r w:rsidRPr="003C54A8">
        <w:rPr>
          <w:vertAlign w:val="superscript"/>
          <w:lang w:val="fr-CA"/>
        </w:rPr>
        <w:t>e</w:t>
      </w:r>
      <w:r w:rsidR="008064A8" w:rsidRPr="003C54A8">
        <w:rPr>
          <w:lang w:val="fr-CA"/>
        </w:rPr>
        <w:t> </w:t>
      </w:r>
      <w:r w:rsidRPr="003C54A8">
        <w:rPr>
          <w:lang w:val="fr-CA"/>
        </w:rPr>
        <w:t>éd.  Montréal</w:t>
      </w:r>
      <w:r w:rsidR="008064A8" w:rsidRPr="003C54A8">
        <w:rPr>
          <w:lang w:val="fr-CA"/>
        </w:rPr>
        <w:t> :</w:t>
      </w:r>
      <w:r w:rsidRPr="003C54A8">
        <w:rPr>
          <w:lang w:val="fr-CA"/>
        </w:rPr>
        <w:t xml:space="preserve"> Thémis, 2012</w:t>
      </w:r>
      <w:r w:rsidR="003E67D6" w:rsidRPr="003C54A8">
        <w:rPr>
          <w:lang w:val="fr-CA"/>
        </w:rPr>
        <w:t>.</w:t>
      </w:r>
    </w:p>
    <w:p w:rsidR="00F63E5F" w:rsidRPr="003C54A8" w:rsidRDefault="00F63E5F" w:rsidP="008064A8">
      <w:pPr>
        <w:pStyle w:val="SCCNormalDoubleSpacing"/>
        <w:spacing w:after="240" w:line="240" w:lineRule="auto"/>
        <w:ind w:left="540" w:hanging="540"/>
        <w:rPr>
          <w:lang w:val="fr-CA"/>
        </w:rPr>
      </w:pPr>
      <w:r w:rsidRPr="003C54A8">
        <w:rPr>
          <w:lang w:val="fr-CA"/>
        </w:rPr>
        <w:t>Marquis, Paul</w:t>
      </w:r>
      <w:r w:rsidR="008064A8" w:rsidRPr="003C54A8">
        <w:rPr>
          <w:lang w:val="fr-CA"/>
        </w:rPr>
        <w:noBreakHyphen/>
      </w:r>
      <w:r w:rsidRPr="003C54A8">
        <w:rPr>
          <w:lang w:val="fr-CA"/>
        </w:rPr>
        <w:t>Yvan.  « L’inscription de faux et la correction des actes notariés »</w:t>
      </w:r>
      <w:r w:rsidRPr="003C54A8">
        <w:rPr>
          <w:i/>
          <w:lang w:val="fr-CA"/>
        </w:rPr>
        <w:t xml:space="preserve"> </w:t>
      </w:r>
      <w:r w:rsidRPr="003C54A8">
        <w:rPr>
          <w:lang w:val="fr-CA"/>
        </w:rPr>
        <w:t xml:space="preserve">(1990), 92 </w:t>
      </w:r>
      <w:r w:rsidRPr="003C54A8">
        <w:rPr>
          <w:i/>
          <w:lang w:val="fr-CA"/>
        </w:rPr>
        <w:t>R. du N.</w:t>
      </w:r>
      <w:r w:rsidRPr="003C54A8">
        <w:rPr>
          <w:lang w:val="fr-CA"/>
        </w:rPr>
        <w:t xml:space="preserve"> 407.</w:t>
      </w:r>
    </w:p>
    <w:p w:rsidR="006C5CFB" w:rsidRPr="003C54A8" w:rsidRDefault="006C5CFB" w:rsidP="008064A8">
      <w:pPr>
        <w:pStyle w:val="SCCNormalDoubleSpacing"/>
        <w:spacing w:after="240" w:line="240" w:lineRule="auto"/>
        <w:ind w:left="540" w:hanging="540"/>
        <w:rPr>
          <w:lang w:val="fr-CA"/>
        </w:rPr>
      </w:pPr>
      <w:r w:rsidRPr="003C54A8">
        <w:rPr>
          <w:lang w:val="fr-CA"/>
        </w:rPr>
        <w:t xml:space="preserve">Moore, Benoît.  « Flexible Contrat », </w:t>
      </w:r>
      <w:r w:rsidR="00F2492D" w:rsidRPr="003C54A8">
        <w:rPr>
          <w:lang w:val="fr-CA"/>
        </w:rPr>
        <w:t xml:space="preserve">dans Benoît Moore, </w:t>
      </w:r>
      <w:proofErr w:type="spellStart"/>
      <w:proofErr w:type="gramStart"/>
      <w:r w:rsidRPr="003C54A8">
        <w:rPr>
          <w:lang w:val="fr-CA"/>
        </w:rPr>
        <w:t>d</w:t>
      </w:r>
      <w:r w:rsidR="00F2492D" w:rsidRPr="003C54A8">
        <w:rPr>
          <w:lang w:val="fr-CA"/>
        </w:rPr>
        <w:t>ir</w:t>
      </w:r>
      <w:proofErr w:type="spellEnd"/>
      <w:r w:rsidRPr="003C54A8">
        <w:rPr>
          <w:lang w:val="fr-CA"/>
        </w:rPr>
        <w:t>.,</w:t>
      </w:r>
      <w:proofErr w:type="gramEnd"/>
      <w:r w:rsidRPr="003C54A8">
        <w:rPr>
          <w:lang w:val="fr-CA"/>
        </w:rPr>
        <w:t xml:space="preserve"> </w:t>
      </w:r>
      <w:r w:rsidRPr="003C54A8">
        <w:rPr>
          <w:i/>
          <w:lang w:val="fr-CA"/>
        </w:rPr>
        <w:t>Mélanges Jean</w:t>
      </w:r>
      <w:r w:rsidR="008064A8" w:rsidRPr="003C54A8">
        <w:rPr>
          <w:i/>
          <w:lang w:val="fr-CA"/>
        </w:rPr>
        <w:noBreakHyphen/>
      </w:r>
      <w:r w:rsidRPr="003C54A8">
        <w:rPr>
          <w:i/>
          <w:lang w:val="fr-CA"/>
        </w:rPr>
        <w:t>Louis Baudouin</w:t>
      </w:r>
      <w:r w:rsidR="0050388E" w:rsidRPr="003C54A8">
        <w:rPr>
          <w:lang w:val="fr-CA"/>
        </w:rPr>
        <w:t xml:space="preserve">.  </w:t>
      </w:r>
      <w:proofErr w:type="spellStart"/>
      <w:r w:rsidR="0050388E" w:rsidRPr="003C54A8">
        <w:rPr>
          <w:lang w:val="fr-CA"/>
        </w:rPr>
        <w:t>Cowansville</w:t>
      </w:r>
      <w:proofErr w:type="spellEnd"/>
      <w:r w:rsidR="0050388E" w:rsidRPr="003C54A8">
        <w:rPr>
          <w:lang w:val="fr-CA"/>
        </w:rPr>
        <w:t xml:space="preserve">, </w:t>
      </w:r>
      <w:proofErr w:type="spellStart"/>
      <w:r w:rsidR="0050388E" w:rsidRPr="003C54A8">
        <w:rPr>
          <w:lang w:val="fr-CA"/>
        </w:rPr>
        <w:t>Qué</w:t>
      </w:r>
      <w:proofErr w:type="spellEnd"/>
      <w:r w:rsidR="0050388E" w:rsidRPr="003C54A8">
        <w:rPr>
          <w:lang w:val="fr-CA"/>
        </w:rPr>
        <w:t>.</w:t>
      </w:r>
      <w:r w:rsidR="008064A8" w:rsidRPr="003C54A8">
        <w:rPr>
          <w:lang w:val="fr-CA"/>
        </w:rPr>
        <w:t> :</w:t>
      </w:r>
      <w:r w:rsidR="0050388E" w:rsidRPr="003C54A8">
        <w:rPr>
          <w:lang w:val="fr-CA"/>
        </w:rPr>
        <w:t xml:space="preserve"> Yvon Blais, 2012,</w:t>
      </w:r>
      <w:r w:rsidRPr="003C54A8">
        <w:rPr>
          <w:lang w:val="fr-CA"/>
        </w:rPr>
        <w:t xml:space="preserve"> 569.</w:t>
      </w:r>
    </w:p>
    <w:p w:rsidR="007C604C" w:rsidRPr="003C54A8" w:rsidRDefault="008F6F4C" w:rsidP="008064A8">
      <w:pPr>
        <w:pStyle w:val="SCCNormalDoubleSpacing"/>
        <w:spacing w:after="240" w:line="240" w:lineRule="auto"/>
        <w:ind w:left="540" w:hanging="540"/>
        <w:rPr>
          <w:lang w:val="fr-CA"/>
        </w:rPr>
      </w:pPr>
      <w:r w:rsidRPr="003C54A8">
        <w:rPr>
          <w:lang w:val="fr-CA"/>
        </w:rPr>
        <w:t>Pineau</w:t>
      </w:r>
      <w:r w:rsidR="007C604C" w:rsidRPr="003C54A8">
        <w:rPr>
          <w:lang w:val="fr-CA"/>
        </w:rPr>
        <w:t>, Jean, Danielle</w:t>
      </w:r>
      <w:r w:rsidRPr="003C54A8">
        <w:rPr>
          <w:lang w:val="fr-CA"/>
        </w:rPr>
        <w:t xml:space="preserve"> </w:t>
      </w:r>
      <w:proofErr w:type="spellStart"/>
      <w:r w:rsidRPr="003C54A8">
        <w:rPr>
          <w:lang w:val="fr-CA"/>
        </w:rPr>
        <w:t>Burman</w:t>
      </w:r>
      <w:proofErr w:type="spellEnd"/>
      <w:r w:rsidR="007C604C" w:rsidRPr="003C54A8">
        <w:rPr>
          <w:lang w:val="fr-CA"/>
        </w:rPr>
        <w:t xml:space="preserve"> et Serge</w:t>
      </w:r>
      <w:r w:rsidRPr="003C54A8">
        <w:rPr>
          <w:lang w:val="fr-CA"/>
        </w:rPr>
        <w:t xml:space="preserve"> Gaudet</w:t>
      </w:r>
      <w:r w:rsidR="007C604C" w:rsidRPr="003C54A8">
        <w:rPr>
          <w:lang w:val="fr-CA"/>
        </w:rPr>
        <w:t xml:space="preserve">.  </w:t>
      </w:r>
      <w:r w:rsidRPr="003C54A8">
        <w:rPr>
          <w:i/>
          <w:lang w:val="fr-CA"/>
        </w:rPr>
        <w:t>Théorie des obligations</w:t>
      </w:r>
      <w:r w:rsidRPr="003C54A8">
        <w:rPr>
          <w:lang w:val="fr-CA"/>
        </w:rPr>
        <w:t>,</w:t>
      </w:r>
      <w:r w:rsidRPr="003C54A8">
        <w:rPr>
          <w:i/>
          <w:lang w:val="fr-CA"/>
        </w:rPr>
        <w:t xml:space="preserve"> </w:t>
      </w:r>
      <w:r w:rsidRPr="003C54A8">
        <w:rPr>
          <w:lang w:val="fr-CA"/>
        </w:rPr>
        <w:t>4</w:t>
      </w:r>
      <w:r w:rsidRPr="003C54A8">
        <w:rPr>
          <w:vertAlign w:val="superscript"/>
          <w:lang w:val="fr-CA"/>
        </w:rPr>
        <w:t>e</w:t>
      </w:r>
      <w:r w:rsidR="008064A8" w:rsidRPr="003C54A8">
        <w:rPr>
          <w:lang w:val="fr-CA"/>
        </w:rPr>
        <w:t> </w:t>
      </w:r>
      <w:r w:rsidRPr="003C54A8">
        <w:rPr>
          <w:lang w:val="fr-CA"/>
        </w:rPr>
        <w:t>éd.</w:t>
      </w:r>
      <w:r w:rsidR="0079145B" w:rsidRPr="003C54A8">
        <w:rPr>
          <w:lang w:val="fr-CA"/>
        </w:rPr>
        <w:t xml:space="preserve"> p</w:t>
      </w:r>
      <w:r w:rsidR="007C604C" w:rsidRPr="003C54A8">
        <w:rPr>
          <w:lang w:val="fr-CA"/>
        </w:rPr>
        <w:t>ar Jean Pineau et Serge Gaudet.  Montréal</w:t>
      </w:r>
      <w:r w:rsidR="008064A8" w:rsidRPr="003C54A8">
        <w:rPr>
          <w:lang w:val="fr-CA"/>
        </w:rPr>
        <w:t> :</w:t>
      </w:r>
      <w:r w:rsidR="007C604C" w:rsidRPr="003C54A8">
        <w:rPr>
          <w:lang w:val="fr-CA"/>
        </w:rPr>
        <w:t xml:space="preserve"> Thémis, 2001.</w:t>
      </w:r>
    </w:p>
    <w:p w:rsidR="00905986" w:rsidRPr="003C54A8" w:rsidRDefault="00905986" w:rsidP="008064A8">
      <w:pPr>
        <w:pStyle w:val="SCCNormalDoubleSpacing"/>
        <w:spacing w:after="720" w:line="240" w:lineRule="auto"/>
        <w:ind w:left="547" w:hanging="547"/>
        <w:rPr>
          <w:lang w:val="fr-CA"/>
        </w:rPr>
      </w:pPr>
      <w:r w:rsidRPr="003C54A8">
        <w:rPr>
          <w:lang w:val="en-US"/>
        </w:rPr>
        <w:t xml:space="preserve">Swan, Angela, and Jakub </w:t>
      </w:r>
      <w:proofErr w:type="spellStart"/>
      <w:r w:rsidRPr="003C54A8">
        <w:rPr>
          <w:lang w:val="en-US"/>
        </w:rPr>
        <w:t>Adamski</w:t>
      </w:r>
      <w:proofErr w:type="spellEnd"/>
      <w:r w:rsidRPr="003C54A8">
        <w:rPr>
          <w:lang w:val="en-US"/>
        </w:rPr>
        <w:t xml:space="preserve">.  </w:t>
      </w:r>
      <w:r w:rsidRPr="003C54A8">
        <w:rPr>
          <w:i/>
        </w:rPr>
        <w:t>Canadian Contract Law</w:t>
      </w:r>
      <w:r w:rsidRPr="003C54A8">
        <w:t xml:space="preserve">, </w:t>
      </w:r>
      <w:r w:rsidR="000575C9" w:rsidRPr="003C54A8">
        <w:t>3</w:t>
      </w:r>
      <w:r w:rsidRPr="003C54A8">
        <w:t>rd</w:t>
      </w:r>
      <w:r w:rsidR="008064A8" w:rsidRPr="003C54A8">
        <w:t> </w:t>
      </w:r>
      <w:proofErr w:type="gramStart"/>
      <w:r w:rsidRPr="003C54A8">
        <w:t>ed</w:t>
      </w:r>
      <w:proofErr w:type="gramEnd"/>
      <w:r w:rsidRPr="003C54A8">
        <w:t xml:space="preserve">.  </w:t>
      </w:r>
      <w:r w:rsidRPr="003C54A8">
        <w:rPr>
          <w:lang w:val="fr-CA"/>
        </w:rPr>
        <w:t>Markham, Ont.</w:t>
      </w:r>
      <w:r w:rsidR="008064A8" w:rsidRPr="003C54A8">
        <w:rPr>
          <w:lang w:val="fr-CA"/>
        </w:rPr>
        <w:t> :</w:t>
      </w:r>
      <w:r w:rsidRPr="003C54A8">
        <w:rPr>
          <w:lang w:val="fr-CA"/>
        </w:rPr>
        <w:t xml:space="preserve"> LexisNexis, 2012.</w:t>
      </w:r>
    </w:p>
    <w:p w:rsidR="00E23FE6" w:rsidRPr="003C54A8" w:rsidRDefault="00E23FE6" w:rsidP="008064A8">
      <w:pPr>
        <w:pStyle w:val="SCCNormalDoubleSpacing"/>
        <w:spacing w:before="480" w:after="480"/>
        <w:rPr>
          <w:lang w:val="fr-CA"/>
        </w:rPr>
      </w:pPr>
      <w:r w:rsidRPr="003C54A8">
        <w:rPr>
          <w:lang w:val="fr-CA"/>
        </w:rPr>
        <w:tab/>
      </w:r>
      <w:r w:rsidR="004D7D95" w:rsidRPr="003C54A8">
        <w:rPr>
          <w:lang w:val="fr-CA"/>
        </w:rPr>
        <w:t>POURVOI contre un arrêt de la C</w:t>
      </w:r>
      <w:r w:rsidRPr="003C54A8">
        <w:rPr>
          <w:lang w:val="fr-CA"/>
        </w:rPr>
        <w:t xml:space="preserve">our d’appel du Québec (les juges Chamberland, Morissette </w:t>
      </w:r>
      <w:r w:rsidR="004A4B25" w:rsidRPr="003C54A8">
        <w:rPr>
          <w:lang w:val="fr-CA"/>
        </w:rPr>
        <w:t>et</w:t>
      </w:r>
      <w:r w:rsidRPr="003C54A8">
        <w:rPr>
          <w:lang w:val="fr-CA"/>
        </w:rPr>
        <w:t xml:space="preserve"> </w:t>
      </w:r>
      <w:proofErr w:type="spellStart"/>
      <w:r w:rsidRPr="003C54A8">
        <w:rPr>
          <w:lang w:val="fr-CA"/>
        </w:rPr>
        <w:t>Kasirer</w:t>
      </w:r>
      <w:proofErr w:type="spellEnd"/>
      <w:r w:rsidRPr="003C54A8">
        <w:rPr>
          <w:lang w:val="fr-CA"/>
        </w:rPr>
        <w:t>), 2011 QCCA 394, 2011 D.T.C. 5045, [2011] J.Q. n</w:t>
      </w:r>
      <w:r w:rsidR="00791168" w:rsidRPr="003C54A8">
        <w:rPr>
          <w:vertAlign w:val="superscript"/>
          <w:lang w:val="fr-CA"/>
        </w:rPr>
        <w:t>o</w:t>
      </w:r>
      <w:r w:rsidR="008064A8" w:rsidRPr="003C54A8">
        <w:rPr>
          <w:lang w:val="fr-CA"/>
        </w:rPr>
        <w:t> </w:t>
      </w:r>
      <w:r w:rsidRPr="003C54A8">
        <w:rPr>
          <w:lang w:val="fr-CA"/>
        </w:rPr>
        <w:t xml:space="preserve">1911 (QL), 2011 </w:t>
      </w:r>
      <w:proofErr w:type="spellStart"/>
      <w:r w:rsidRPr="003C54A8">
        <w:rPr>
          <w:lang w:val="fr-CA"/>
        </w:rPr>
        <w:t>CarswellQue</w:t>
      </w:r>
      <w:proofErr w:type="spellEnd"/>
      <w:r w:rsidRPr="003C54A8">
        <w:rPr>
          <w:lang w:val="fr-CA"/>
        </w:rPr>
        <w:t xml:space="preserve"> 1</w:t>
      </w:r>
      <w:r w:rsidR="00791168" w:rsidRPr="003C54A8">
        <w:rPr>
          <w:lang w:val="fr-CA"/>
        </w:rPr>
        <w:t>07</w:t>
      </w:r>
      <w:r w:rsidRPr="003C54A8">
        <w:rPr>
          <w:lang w:val="fr-CA"/>
        </w:rPr>
        <w:t xml:space="preserve">9, </w:t>
      </w:r>
      <w:r w:rsidR="00AF535A" w:rsidRPr="003C54A8">
        <w:rPr>
          <w:lang w:val="fr-CA"/>
        </w:rPr>
        <w:t>SOQUIJ AZ</w:t>
      </w:r>
      <w:r w:rsidR="008064A8" w:rsidRPr="003C54A8">
        <w:rPr>
          <w:lang w:val="fr-CA"/>
        </w:rPr>
        <w:noBreakHyphen/>
      </w:r>
      <w:r w:rsidR="00A9617E" w:rsidRPr="003C54A8">
        <w:rPr>
          <w:lang w:val="fr-CA"/>
        </w:rPr>
        <w:t xml:space="preserve">50727855, </w:t>
      </w:r>
      <w:r w:rsidRPr="003C54A8">
        <w:rPr>
          <w:lang w:val="fr-CA"/>
        </w:rPr>
        <w:t xml:space="preserve">qui a </w:t>
      </w:r>
      <w:r w:rsidR="00A010D4" w:rsidRPr="003C54A8">
        <w:rPr>
          <w:lang w:val="fr-CA"/>
        </w:rPr>
        <w:t>confirmé u</w:t>
      </w:r>
      <w:r w:rsidRPr="003C54A8">
        <w:rPr>
          <w:lang w:val="fr-CA"/>
        </w:rPr>
        <w:t>ne décision d</w:t>
      </w:r>
      <w:r w:rsidR="004A4B25" w:rsidRPr="003C54A8">
        <w:rPr>
          <w:lang w:val="fr-CA"/>
        </w:rPr>
        <w:t>e la</w:t>
      </w:r>
      <w:r w:rsidRPr="003C54A8">
        <w:rPr>
          <w:lang w:val="fr-CA"/>
        </w:rPr>
        <w:t xml:space="preserve"> juge </w:t>
      </w:r>
      <w:proofErr w:type="spellStart"/>
      <w:r w:rsidRPr="003C54A8">
        <w:rPr>
          <w:lang w:val="fr-CA"/>
        </w:rPr>
        <w:t>Borenstein</w:t>
      </w:r>
      <w:proofErr w:type="spellEnd"/>
      <w:r w:rsidRPr="003C54A8">
        <w:rPr>
          <w:lang w:val="fr-CA"/>
        </w:rPr>
        <w:t>, 2009 QCCS 790</w:t>
      </w:r>
      <w:r w:rsidR="002658DB" w:rsidRPr="003C54A8">
        <w:rPr>
          <w:lang w:val="fr-CA"/>
        </w:rPr>
        <w:t xml:space="preserve"> (</w:t>
      </w:r>
      <w:proofErr w:type="spellStart"/>
      <w:r w:rsidR="002658DB" w:rsidRPr="003C54A8">
        <w:rPr>
          <w:lang w:val="fr-CA"/>
        </w:rPr>
        <w:t>CanLII</w:t>
      </w:r>
      <w:proofErr w:type="spellEnd"/>
      <w:r w:rsidR="002658DB" w:rsidRPr="003C54A8">
        <w:rPr>
          <w:lang w:val="fr-CA"/>
        </w:rPr>
        <w:t>)</w:t>
      </w:r>
      <w:r w:rsidRPr="003C54A8">
        <w:rPr>
          <w:lang w:val="fr-CA"/>
        </w:rPr>
        <w:t xml:space="preserve">, [2009] J.Q. </w:t>
      </w:r>
      <w:r w:rsidR="00791168" w:rsidRPr="003C54A8">
        <w:rPr>
          <w:lang w:val="fr-CA"/>
        </w:rPr>
        <w:t>n</w:t>
      </w:r>
      <w:r w:rsidR="00791168" w:rsidRPr="003C54A8">
        <w:rPr>
          <w:vertAlign w:val="superscript"/>
          <w:lang w:val="fr-CA"/>
        </w:rPr>
        <w:t>o</w:t>
      </w:r>
      <w:r w:rsidR="008064A8" w:rsidRPr="003C54A8">
        <w:rPr>
          <w:vertAlign w:val="superscript"/>
          <w:lang w:val="fr-CA"/>
        </w:rPr>
        <w:t> </w:t>
      </w:r>
      <w:r w:rsidRPr="003C54A8">
        <w:rPr>
          <w:lang w:val="fr-CA"/>
        </w:rPr>
        <w:t xml:space="preserve">1554 (QL), 2009 </w:t>
      </w:r>
      <w:proofErr w:type="spellStart"/>
      <w:r w:rsidRPr="003C54A8">
        <w:rPr>
          <w:lang w:val="fr-CA"/>
        </w:rPr>
        <w:t>CarswellQue</w:t>
      </w:r>
      <w:proofErr w:type="spellEnd"/>
      <w:r w:rsidRPr="003C54A8">
        <w:rPr>
          <w:lang w:val="fr-CA"/>
        </w:rPr>
        <w:t xml:space="preserve"> 1643</w:t>
      </w:r>
      <w:r w:rsidR="00A9617E" w:rsidRPr="003C54A8">
        <w:rPr>
          <w:lang w:val="fr-CA"/>
        </w:rPr>
        <w:t>, SOQUIJ AZ</w:t>
      </w:r>
      <w:r w:rsidR="008064A8" w:rsidRPr="003C54A8">
        <w:rPr>
          <w:lang w:val="fr-CA"/>
        </w:rPr>
        <w:noBreakHyphen/>
      </w:r>
      <w:r w:rsidR="00A9617E" w:rsidRPr="003C54A8">
        <w:rPr>
          <w:lang w:val="fr-CA"/>
        </w:rPr>
        <w:t>50541289</w:t>
      </w:r>
      <w:r w:rsidRPr="003C54A8">
        <w:rPr>
          <w:lang w:val="fr-CA"/>
        </w:rPr>
        <w:t xml:space="preserve">. </w:t>
      </w:r>
      <w:r w:rsidR="00A9617E" w:rsidRPr="003C54A8">
        <w:rPr>
          <w:lang w:val="fr-CA"/>
        </w:rPr>
        <w:t xml:space="preserve"> </w:t>
      </w:r>
      <w:r w:rsidR="004A4B25" w:rsidRPr="003C54A8">
        <w:rPr>
          <w:lang w:val="fr-CA"/>
        </w:rPr>
        <w:t>Pourvoi</w:t>
      </w:r>
      <w:r w:rsidRPr="003C54A8">
        <w:rPr>
          <w:lang w:val="fr-CA"/>
        </w:rPr>
        <w:t xml:space="preserve"> </w:t>
      </w:r>
      <w:r w:rsidR="00A9617E" w:rsidRPr="003C54A8">
        <w:rPr>
          <w:lang w:val="fr-CA"/>
        </w:rPr>
        <w:t>rejeté</w:t>
      </w:r>
      <w:r w:rsidRPr="003C54A8">
        <w:rPr>
          <w:lang w:val="fr-CA"/>
        </w:rPr>
        <w:t>.</w:t>
      </w:r>
    </w:p>
    <w:p w:rsidR="00E23FE6" w:rsidRPr="003C54A8" w:rsidRDefault="00E23FE6" w:rsidP="008064A8">
      <w:pPr>
        <w:pStyle w:val="SCCNormalDoubleSpacing"/>
        <w:spacing w:before="480" w:after="480"/>
        <w:rPr>
          <w:lang w:val="fr-CA"/>
        </w:rPr>
      </w:pPr>
      <w:r w:rsidRPr="003C54A8">
        <w:rPr>
          <w:lang w:val="fr-CA"/>
        </w:rPr>
        <w:tab/>
      </w:r>
      <w:r w:rsidR="004A4B25" w:rsidRPr="003C54A8">
        <w:rPr>
          <w:lang w:val="fr-CA"/>
        </w:rPr>
        <w:t xml:space="preserve">POURVOI contre un arrêt de la Cour d’appel du Québec (les juges </w:t>
      </w:r>
      <w:proofErr w:type="spellStart"/>
      <w:r w:rsidRPr="003C54A8">
        <w:rPr>
          <w:lang w:val="fr-CA"/>
        </w:rPr>
        <w:t>Bich</w:t>
      </w:r>
      <w:proofErr w:type="spellEnd"/>
      <w:r w:rsidRPr="003C54A8">
        <w:rPr>
          <w:lang w:val="fr-CA"/>
        </w:rPr>
        <w:t xml:space="preserve">, </w:t>
      </w:r>
      <w:proofErr w:type="spellStart"/>
      <w:r w:rsidRPr="003C54A8">
        <w:rPr>
          <w:lang w:val="fr-CA"/>
        </w:rPr>
        <w:t>Kasirer</w:t>
      </w:r>
      <w:proofErr w:type="spellEnd"/>
      <w:r w:rsidRPr="003C54A8">
        <w:rPr>
          <w:lang w:val="fr-CA"/>
        </w:rPr>
        <w:t xml:space="preserve"> </w:t>
      </w:r>
      <w:r w:rsidR="004A4B25" w:rsidRPr="003C54A8">
        <w:rPr>
          <w:lang w:val="fr-CA"/>
        </w:rPr>
        <w:t>et</w:t>
      </w:r>
      <w:r w:rsidRPr="003C54A8">
        <w:rPr>
          <w:lang w:val="fr-CA"/>
        </w:rPr>
        <w:t xml:space="preserve"> Wagner), 2011 QCCA 954</w:t>
      </w:r>
      <w:r w:rsidR="002658DB" w:rsidRPr="003C54A8">
        <w:rPr>
          <w:lang w:val="fr-CA"/>
        </w:rPr>
        <w:t xml:space="preserve"> (</w:t>
      </w:r>
      <w:proofErr w:type="spellStart"/>
      <w:r w:rsidR="002658DB" w:rsidRPr="003C54A8">
        <w:rPr>
          <w:lang w:val="fr-CA"/>
        </w:rPr>
        <w:t>CanLII</w:t>
      </w:r>
      <w:proofErr w:type="spellEnd"/>
      <w:r w:rsidR="002658DB" w:rsidRPr="003C54A8">
        <w:rPr>
          <w:lang w:val="fr-CA"/>
        </w:rPr>
        <w:t>)</w:t>
      </w:r>
      <w:r w:rsidRPr="003C54A8">
        <w:rPr>
          <w:lang w:val="fr-CA"/>
        </w:rPr>
        <w:t xml:space="preserve">, [2011] J.Q. </w:t>
      </w:r>
      <w:r w:rsidR="00791168" w:rsidRPr="003C54A8">
        <w:rPr>
          <w:lang w:val="fr-CA"/>
        </w:rPr>
        <w:t>n</w:t>
      </w:r>
      <w:r w:rsidR="00791168" w:rsidRPr="003C54A8">
        <w:rPr>
          <w:vertAlign w:val="superscript"/>
          <w:lang w:val="fr-CA"/>
        </w:rPr>
        <w:t>o</w:t>
      </w:r>
      <w:r w:rsidR="008064A8" w:rsidRPr="003C54A8">
        <w:rPr>
          <w:lang w:val="fr-CA"/>
        </w:rPr>
        <w:t> </w:t>
      </w:r>
      <w:r w:rsidRPr="003C54A8">
        <w:rPr>
          <w:lang w:val="fr-CA"/>
        </w:rPr>
        <w:t xml:space="preserve">5720 (QL), 2011 </w:t>
      </w:r>
      <w:proofErr w:type="spellStart"/>
      <w:r w:rsidRPr="003C54A8">
        <w:rPr>
          <w:lang w:val="fr-CA"/>
        </w:rPr>
        <w:t>CarswellQue</w:t>
      </w:r>
      <w:proofErr w:type="spellEnd"/>
      <w:r w:rsidRPr="003C54A8">
        <w:rPr>
          <w:lang w:val="fr-CA"/>
        </w:rPr>
        <w:t xml:space="preserve"> 5360</w:t>
      </w:r>
      <w:r w:rsidR="00A9617E" w:rsidRPr="003C54A8">
        <w:rPr>
          <w:lang w:val="fr-CA"/>
        </w:rPr>
        <w:t>, SOQUIJ AZ</w:t>
      </w:r>
      <w:r w:rsidR="008064A8" w:rsidRPr="003C54A8">
        <w:rPr>
          <w:lang w:val="fr-CA"/>
        </w:rPr>
        <w:noBreakHyphen/>
      </w:r>
      <w:r w:rsidR="00A9617E" w:rsidRPr="003C54A8">
        <w:rPr>
          <w:lang w:val="fr-CA"/>
        </w:rPr>
        <w:t>50755104</w:t>
      </w:r>
      <w:r w:rsidRPr="003C54A8">
        <w:rPr>
          <w:lang w:val="fr-CA"/>
        </w:rPr>
        <w:t xml:space="preserve">, </w:t>
      </w:r>
      <w:r w:rsidR="004A4B25" w:rsidRPr="003C54A8">
        <w:rPr>
          <w:lang w:val="fr-CA"/>
        </w:rPr>
        <w:t>qui a annulé une décision de la juge</w:t>
      </w:r>
      <w:r w:rsidRPr="003C54A8">
        <w:rPr>
          <w:lang w:val="fr-CA"/>
        </w:rPr>
        <w:t xml:space="preserve"> </w:t>
      </w:r>
      <w:proofErr w:type="spellStart"/>
      <w:r w:rsidRPr="003C54A8">
        <w:rPr>
          <w:lang w:val="fr-CA"/>
        </w:rPr>
        <w:t>Nantel</w:t>
      </w:r>
      <w:proofErr w:type="spellEnd"/>
      <w:r w:rsidRPr="003C54A8">
        <w:rPr>
          <w:lang w:val="fr-CA"/>
        </w:rPr>
        <w:t>, 2010 QCCS 1576</w:t>
      </w:r>
      <w:r w:rsidR="002658DB" w:rsidRPr="003C54A8">
        <w:rPr>
          <w:lang w:val="fr-CA"/>
        </w:rPr>
        <w:t xml:space="preserve"> (</w:t>
      </w:r>
      <w:proofErr w:type="spellStart"/>
      <w:r w:rsidR="002658DB" w:rsidRPr="003C54A8">
        <w:rPr>
          <w:lang w:val="fr-CA"/>
        </w:rPr>
        <w:t>CanLII</w:t>
      </w:r>
      <w:proofErr w:type="spellEnd"/>
      <w:r w:rsidR="002658DB" w:rsidRPr="003C54A8">
        <w:rPr>
          <w:lang w:val="fr-CA"/>
        </w:rPr>
        <w:t>)</w:t>
      </w:r>
      <w:r w:rsidRPr="003C54A8">
        <w:rPr>
          <w:lang w:val="fr-CA"/>
        </w:rPr>
        <w:t xml:space="preserve">, [2010] J.Q. </w:t>
      </w:r>
      <w:r w:rsidR="00791168" w:rsidRPr="003C54A8">
        <w:rPr>
          <w:lang w:val="fr-CA"/>
        </w:rPr>
        <w:t>n</w:t>
      </w:r>
      <w:r w:rsidR="00791168" w:rsidRPr="003C54A8">
        <w:rPr>
          <w:vertAlign w:val="superscript"/>
          <w:lang w:val="fr-CA"/>
        </w:rPr>
        <w:t>o</w:t>
      </w:r>
      <w:r w:rsidR="008064A8" w:rsidRPr="003C54A8">
        <w:rPr>
          <w:lang w:val="fr-CA"/>
        </w:rPr>
        <w:t> </w:t>
      </w:r>
      <w:r w:rsidRPr="003C54A8">
        <w:rPr>
          <w:lang w:val="fr-CA"/>
        </w:rPr>
        <w:t xml:space="preserve">3418 (QL), 2010 </w:t>
      </w:r>
      <w:proofErr w:type="spellStart"/>
      <w:r w:rsidRPr="003C54A8">
        <w:rPr>
          <w:lang w:val="fr-CA"/>
        </w:rPr>
        <w:t>CarswellQue</w:t>
      </w:r>
      <w:proofErr w:type="spellEnd"/>
      <w:r w:rsidRPr="003C54A8">
        <w:rPr>
          <w:lang w:val="fr-CA"/>
        </w:rPr>
        <w:t xml:space="preserve"> 3545</w:t>
      </w:r>
      <w:r w:rsidR="00A9617E" w:rsidRPr="003C54A8">
        <w:rPr>
          <w:lang w:val="fr-CA"/>
        </w:rPr>
        <w:t>, SOQUIJ AZ</w:t>
      </w:r>
      <w:r w:rsidR="008064A8" w:rsidRPr="003C54A8">
        <w:rPr>
          <w:lang w:val="fr-CA"/>
        </w:rPr>
        <w:noBreakHyphen/>
      </w:r>
      <w:r w:rsidR="00A9617E" w:rsidRPr="003C54A8">
        <w:rPr>
          <w:lang w:val="fr-CA"/>
        </w:rPr>
        <w:t>50628627</w:t>
      </w:r>
      <w:r w:rsidRPr="003C54A8">
        <w:rPr>
          <w:lang w:val="fr-CA"/>
        </w:rPr>
        <w:t>.</w:t>
      </w:r>
      <w:r w:rsidR="00A9617E" w:rsidRPr="003C54A8">
        <w:rPr>
          <w:lang w:val="fr-CA"/>
        </w:rPr>
        <w:t xml:space="preserve"> </w:t>
      </w:r>
      <w:r w:rsidRPr="003C54A8">
        <w:rPr>
          <w:lang w:val="fr-CA"/>
        </w:rPr>
        <w:t xml:space="preserve"> </w:t>
      </w:r>
      <w:r w:rsidR="004A4B25" w:rsidRPr="003C54A8">
        <w:rPr>
          <w:lang w:val="fr-CA"/>
        </w:rPr>
        <w:t xml:space="preserve">Pourvoi </w:t>
      </w:r>
      <w:r w:rsidR="00A9617E" w:rsidRPr="003C54A8">
        <w:rPr>
          <w:lang w:val="fr-CA"/>
        </w:rPr>
        <w:t>rejeté</w:t>
      </w:r>
      <w:r w:rsidR="004A4B25" w:rsidRPr="003C54A8">
        <w:rPr>
          <w:lang w:val="fr-CA"/>
        </w:rPr>
        <w:t>.</w:t>
      </w:r>
    </w:p>
    <w:p w:rsidR="00E6359D" w:rsidRPr="003C54A8" w:rsidRDefault="006873E9" w:rsidP="008064A8">
      <w:pPr>
        <w:pStyle w:val="SCCNormalDoubleSpacing"/>
        <w:spacing w:before="480" w:after="480"/>
        <w:rPr>
          <w:lang w:val="fr-CA"/>
        </w:rPr>
      </w:pPr>
      <w:r w:rsidRPr="003C54A8">
        <w:rPr>
          <w:i/>
          <w:lang w:val="fr-CA"/>
        </w:rPr>
        <w:tab/>
        <w:t xml:space="preserve">Pierre </w:t>
      </w:r>
      <w:proofErr w:type="spellStart"/>
      <w:r w:rsidRPr="003C54A8">
        <w:rPr>
          <w:i/>
          <w:lang w:val="fr-CA"/>
        </w:rPr>
        <w:t>Zemaitis</w:t>
      </w:r>
      <w:proofErr w:type="spellEnd"/>
      <w:r w:rsidRPr="003C54A8">
        <w:rPr>
          <w:i/>
          <w:lang w:val="fr-CA"/>
        </w:rPr>
        <w:t>, Christian Boutin</w:t>
      </w:r>
      <w:r w:rsidRPr="003C54A8">
        <w:rPr>
          <w:lang w:val="fr-CA"/>
        </w:rPr>
        <w:t xml:space="preserve"> et </w:t>
      </w:r>
      <w:proofErr w:type="spellStart"/>
      <w:r w:rsidR="002658DB" w:rsidRPr="003C54A8">
        <w:rPr>
          <w:i/>
          <w:lang w:val="fr-CA"/>
        </w:rPr>
        <w:t>Khashayar</w:t>
      </w:r>
      <w:proofErr w:type="spellEnd"/>
      <w:r w:rsidR="002658DB" w:rsidRPr="003C54A8">
        <w:rPr>
          <w:i/>
          <w:lang w:val="fr-CA"/>
        </w:rPr>
        <w:t xml:space="preserve"> </w:t>
      </w:r>
      <w:proofErr w:type="spellStart"/>
      <w:r w:rsidR="002658DB" w:rsidRPr="003C54A8">
        <w:rPr>
          <w:i/>
          <w:lang w:val="fr-CA"/>
        </w:rPr>
        <w:t>Haghgouyan</w:t>
      </w:r>
      <w:proofErr w:type="spellEnd"/>
      <w:r w:rsidR="00F933EB" w:rsidRPr="003C54A8">
        <w:rPr>
          <w:lang w:val="fr-CA"/>
        </w:rPr>
        <w:t>, pour l’</w:t>
      </w:r>
      <w:r w:rsidRPr="003C54A8">
        <w:rPr>
          <w:lang w:val="fr-CA"/>
        </w:rPr>
        <w:t>appela</w:t>
      </w:r>
      <w:r w:rsidR="009B5B1A" w:rsidRPr="003C54A8">
        <w:rPr>
          <w:lang w:val="fr-CA"/>
        </w:rPr>
        <w:t>nte</w:t>
      </w:r>
      <w:r w:rsidRPr="003C54A8">
        <w:rPr>
          <w:lang w:val="fr-CA"/>
        </w:rPr>
        <w:t>.</w:t>
      </w:r>
    </w:p>
    <w:p w:rsidR="00E6359D" w:rsidRPr="003C54A8" w:rsidRDefault="00C7449B" w:rsidP="008064A8">
      <w:pPr>
        <w:pStyle w:val="SCCNormalDoubleSpacing"/>
        <w:spacing w:before="480" w:after="480"/>
        <w:rPr>
          <w:lang w:val="fr-CA"/>
        </w:rPr>
      </w:pPr>
      <w:r w:rsidRPr="003C54A8">
        <w:rPr>
          <w:i/>
          <w:lang w:val="fr-CA"/>
        </w:rPr>
        <w:tab/>
      </w:r>
      <w:proofErr w:type="spellStart"/>
      <w:r w:rsidRPr="003C54A8">
        <w:rPr>
          <w:i/>
          <w:lang w:val="fr-CA"/>
        </w:rPr>
        <w:t>Dominic</w:t>
      </w:r>
      <w:proofErr w:type="spellEnd"/>
      <w:r w:rsidR="0098198C" w:rsidRPr="003C54A8">
        <w:rPr>
          <w:i/>
          <w:lang w:val="fr-CA"/>
        </w:rPr>
        <w:t xml:space="preserve"> C.</w:t>
      </w:r>
      <w:r w:rsidR="006873E9" w:rsidRPr="003C54A8">
        <w:rPr>
          <w:i/>
          <w:lang w:val="fr-CA"/>
        </w:rPr>
        <w:t xml:space="preserve"> Belley</w:t>
      </w:r>
      <w:r w:rsidR="009B5B1A" w:rsidRPr="003C54A8">
        <w:rPr>
          <w:lang w:val="fr-CA"/>
        </w:rPr>
        <w:t xml:space="preserve">, pour les intimées Services Environnementaux AES </w:t>
      </w:r>
      <w:proofErr w:type="spellStart"/>
      <w:r w:rsidR="00C53E06" w:rsidRPr="003C54A8">
        <w:rPr>
          <w:lang w:val="fr-CA"/>
        </w:rPr>
        <w:t>i</w:t>
      </w:r>
      <w:r w:rsidR="009B5B1A" w:rsidRPr="003C54A8">
        <w:rPr>
          <w:lang w:val="fr-CA"/>
        </w:rPr>
        <w:t>nc.</w:t>
      </w:r>
      <w:proofErr w:type="spellEnd"/>
      <w:r w:rsidR="009B5B1A" w:rsidRPr="003C54A8">
        <w:rPr>
          <w:lang w:val="fr-CA"/>
        </w:rPr>
        <w:t xml:space="preserve"> et Centre Technologique AES </w:t>
      </w:r>
      <w:proofErr w:type="spellStart"/>
      <w:r w:rsidR="00C53E06" w:rsidRPr="003C54A8">
        <w:rPr>
          <w:lang w:val="fr-CA"/>
        </w:rPr>
        <w:t>i</w:t>
      </w:r>
      <w:r w:rsidR="009B5B1A" w:rsidRPr="003C54A8">
        <w:rPr>
          <w:lang w:val="fr-CA"/>
        </w:rPr>
        <w:t>nc</w:t>
      </w:r>
      <w:r w:rsidR="006873E9" w:rsidRPr="003C54A8">
        <w:rPr>
          <w:lang w:val="fr-CA"/>
        </w:rPr>
        <w:t>.</w:t>
      </w:r>
      <w:proofErr w:type="spellEnd"/>
    </w:p>
    <w:p w:rsidR="00E6359D" w:rsidRPr="003C54A8" w:rsidRDefault="006873E9" w:rsidP="008064A8">
      <w:pPr>
        <w:pStyle w:val="SCCNormalDoubleSpacing"/>
        <w:spacing w:before="480" w:after="480"/>
        <w:rPr>
          <w:lang w:val="fr-CA"/>
        </w:rPr>
      </w:pPr>
      <w:r w:rsidRPr="003C54A8">
        <w:rPr>
          <w:i/>
          <w:lang w:val="fr-CA"/>
        </w:rPr>
        <w:tab/>
      </w:r>
      <w:r w:rsidR="00CB4F31" w:rsidRPr="003C54A8">
        <w:rPr>
          <w:i/>
          <w:lang w:val="fr-CA"/>
        </w:rPr>
        <w:t>Bruno Racine et Marc</w:t>
      </w:r>
      <w:r w:rsidR="008064A8" w:rsidRPr="003C54A8">
        <w:rPr>
          <w:i/>
          <w:lang w:val="fr-CA"/>
        </w:rPr>
        <w:noBreakHyphen/>
      </w:r>
      <w:r w:rsidR="00CB4F31" w:rsidRPr="003C54A8">
        <w:rPr>
          <w:i/>
          <w:lang w:val="fr-CA"/>
        </w:rPr>
        <w:t>Antoine St</w:t>
      </w:r>
      <w:r w:rsidR="008064A8" w:rsidRPr="003C54A8">
        <w:rPr>
          <w:i/>
          <w:lang w:val="fr-CA"/>
        </w:rPr>
        <w:noBreakHyphen/>
      </w:r>
      <w:r w:rsidR="00CB4F31" w:rsidRPr="003C54A8">
        <w:rPr>
          <w:i/>
          <w:lang w:val="fr-CA"/>
        </w:rPr>
        <w:t>Pierre</w:t>
      </w:r>
      <w:r w:rsidR="00CB4F31" w:rsidRPr="003C54A8">
        <w:rPr>
          <w:lang w:val="fr-CA"/>
        </w:rPr>
        <w:t xml:space="preserve">, pour les intimés Jean </w:t>
      </w:r>
      <w:proofErr w:type="spellStart"/>
      <w:r w:rsidR="00CB4F31" w:rsidRPr="003C54A8">
        <w:rPr>
          <w:lang w:val="fr-CA"/>
        </w:rPr>
        <w:t>Riopel</w:t>
      </w:r>
      <w:proofErr w:type="spellEnd"/>
      <w:r w:rsidR="00CB4F31" w:rsidRPr="003C54A8">
        <w:rPr>
          <w:lang w:val="fr-CA"/>
        </w:rPr>
        <w:t xml:space="preserve">, Christiane Archambault </w:t>
      </w:r>
      <w:r w:rsidR="00847C8F" w:rsidRPr="003C54A8">
        <w:rPr>
          <w:lang w:val="fr-CA"/>
        </w:rPr>
        <w:t>et</w:t>
      </w:r>
      <w:r w:rsidR="00CB4F31" w:rsidRPr="003C54A8">
        <w:rPr>
          <w:lang w:val="fr-CA"/>
        </w:rPr>
        <w:t xml:space="preserve"> Entreprise J.P.F. </w:t>
      </w:r>
      <w:proofErr w:type="spellStart"/>
      <w:r w:rsidR="00CB4F31" w:rsidRPr="003C54A8">
        <w:rPr>
          <w:lang w:val="fr-CA"/>
        </w:rPr>
        <w:t>Riopel</w:t>
      </w:r>
      <w:proofErr w:type="spellEnd"/>
      <w:r w:rsidR="00CB4F31" w:rsidRPr="003C54A8">
        <w:rPr>
          <w:lang w:val="fr-CA"/>
        </w:rPr>
        <w:t xml:space="preserve"> </w:t>
      </w:r>
      <w:proofErr w:type="spellStart"/>
      <w:r w:rsidR="00C53E06" w:rsidRPr="003C54A8">
        <w:rPr>
          <w:lang w:val="fr-CA"/>
        </w:rPr>
        <w:t>i</w:t>
      </w:r>
      <w:r w:rsidR="00CB4F31" w:rsidRPr="003C54A8">
        <w:rPr>
          <w:lang w:val="fr-CA"/>
        </w:rPr>
        <w:t>nc.</w:t>
      </w:r>
      <w:proofErr w:type="spellEnd"/>
    </w:p>
    <w:p w:rsidR="00E6359D" w:rsidRPr="003C54A8" w:rsidRDefault="006873E9" w:rsidP="008064A8">
      <w:pPr>
        <w:pStyle w:val="SCCNormalDoubleSpacing"/>
        <w:spacing w:before="480" w:after="480"/>
        <w:rPr>
          <w:lang w:val="fr-CA"/>
        </w:rPr>
      </w:pPr>
      <w:r w:rsidRPr="003C54A8">
        <w:rPr>
          <w:i/>
          <w:lang w:val="fr-CA"/>
        </w:rPr>
        <w:tab/>
        <w:t>Pierre Cossette</w:t>
      </w:r>
      <w:r w:rsidRPr="003C54A8">
        <w:rPr>
          <w:lang w:val="fr-CA"/>
        </w:rPr>
        <w:t xml:space="preserve"> et </w:t>
      </w:r>
      <w:r w:rsidRPr="003C54A8">
        <w:rPr>
          <w:i/>
          <w:lang w:val="fr-CA"/>
        </w:rPr>
        <w:t xml:space="preserve">Susan </w:t>
      </w:r>
      <w:proofErr w:type="spellStart"/>
      <w:r w:rsidRPr="003C54A8">
        <w:rPr>
          <w:i/>
          <w:lang w:val="fr-CA"/>
        </w:rPr>
        <w:t>Shaughnessy</w:t>
      </w:r>
      <w:proofErr w:type="spellEnd"/>
      <w:r w:rsidR="00F933EB" w:rsidRPr="003C54A8">
        <w:rPr>
          <w:lang w:val="fr-CA"/>
        </w:rPr>
        <w:t>, pour l’intervenant</w:t>
      </w:r>
      <w:r w:rsidRPr="003C54A8">
        <w:rPr>
          <w:lang w:val="fr-CA"/>
        </w:rPr>
        <w:t>.</w:t>
      </w:r>
    </w:p>
    <w:p w:rsidR="00E6359D" w:rsidRDefault="00E6359D" w:rsidP="00B656C1">
      <w:pPr>
        <w:pStyle w:val="SCCLawFirm"/>
        <w:spacing w:before="480" w:after="480"/>
        <w:rPr>
          <w:lang w:val="fr-CA"/>
        </w:rPr>
      </w:pPr>
    </w:p>
    <w:p w:rsidR="00B656C1" w:rsidRDefault="00B656C1" w:rsidP="00B656C1">
      <w:pPr>
        <w:pStyle w:val="SCCNormalDoubleSpacing"/>
        <w:rPr>
          <w:lang w:val="fr-CA"/>
        </w:rPr>
      </w:pPr>
    </w:p>
    <w:p w:rsidR="00B656C1" w:rsidRDefault="00B656C1" w:rsidP="00B656C1">
      <w:pPr>
        <w:rPr>
          <w:szCs w:val="24"/>
          <w:lang w:val="fr-CA"/>
        </w:rPr>
      </w:pPr>
      <w:r>
        <w:rPr>
          <w:szCs w:val="24"/>
          <w:lang w:val="fr-CA"/>
        </w:rPr>
        <w:t>Le jugement de la Cour a été rendu par</w:t>
      </w:r>
    </w:p>
    <w:p w:rsidR="00B656C1" w:rsidRDefault="00B656C1" w:rsidP="00B656C1">
      <w:pPr>
        <w:rPr>
          <w:szCs w:val="24"/>
          <w:lang w:val="fr-CA"/>
        </w:rPr>
      </w:pPr>
    </w:p>
    <w:p w:rsidR="00B656C1" w:rsidRPr="007C5004" w:rsidRDefault="00B656C1" w:rsidP="00B656C1">
      <w:pPr>
        <w:pStyle w:val="JudgeJuge"/>
      </w:pPr>
      <w:r>
        <w:rPr>
          <w:szCs w:val="24"/>
        </w:rPr>
        <w:tab/>
      </w:r>
      <w:r w:rsidRPr="007C5004">
        <w:tab/>
        <w:t xml:space="preserve">Le juge </w:t>
      </w:r>
      <w:proofErr w:type="spellStart"/>
      <w:r w:rsidRPr="007C5004">
        <w:t>LeBel</w:t>
      </w:r>
      <w:proofErr w:type="spellEnd"/>
      <w:r w:rsidRPr="007C5004">
        <w:t xml:space="preserve"> — </w:t>
      </w:r>
    </w:p>
    <w:p w:rsidR="00B656C1" w:rsidRPr="007C5004" w:rsidRDefault="00B656C1" w:rsidP="00B656C1">
      <w:pPr>
        <w:pStyle w:val="TitleTitre-AltT"/>
        <w:rPr>
          <w:i/>
        </w:rPr>
      </w:pPr>
      <w:r w:rsidRPr="007C5004">
        <w:t>I.</w:t>
      </w:r>
      <w:r w:rsidRPr="007C5004">
        <w:tab/>
      </w:r>
      <w:r w:rsidRPr="00EA3EBA">
        <w:rPr>
          <w:u w:val="single"/>
        </w:rPr>
        <w:t>Introduction</w:t>
      </w:r>
    </w:p>
    <w:p w:rsidR="00B656C1" w:rsidRPr="007C5004" w:rsidRDefault="00B656C1" w:rsidP="00B656C1">
      <w:pPr>
        <w:pStyle w:val="ParaNoNdepar-AltN"/>
        <w:rPr>
          <w:rFonts w:cs="Times New Roman"/>
        </w:rPr>
      </w:pPr>
      <w:r w:rsidRPr="007C5004">
        <w:rPr>
          <w:rFonts w:cs="Times New Roman"/>
        </w:rPr>
        <w:t xml:space="preserve">Ces appels soulèvent des problèmes </w:t>
      </w:r>
      <w:r>
        <w:rPr>
          <w:rFonts w:cs="Times New Roman"/>
        </w:rPr>
        <w:t>liés à la</w:t>
      </w:r>
      <w:r w:rsidRPr="007C5004">
        <w:rPr>
          <w:rFonts w:cs="Times New Roman"/>
        </w:rPr>
        <w:t xml:space="preserve"> détermination de la nature et de la portée d’ententes intervenues entre des contribuables relativement à </w:t>
      </w:r>
      <w:r>
        <w:rPr>
          <w:rFonts w:cs="Times New Roman"/>
        </w:rPr>
        <w:t>la</w:t>
      </w:r>
      <w:r w:rsidRPr="007C5004">
        <w:rPr>
          <w:rFonts w:cs="Times New Roman"/>
        </w:rPr>
        <w:t xml:space="preserve"> réorganisation</w:t>
      </w:r>
      <w:r>
        <w:rPr>
          <w:rFonts w:cs="Times New Roman"/>
        </w:rPr>
        <w:t xml:space="preserve"> d’entreprises</w:t>
      </w:r>
      <w:r w:rsidRPr="007C5004">
        <w:rPr>
          <w:rFonts w:cs="Times New Roman"/>
        </w:rPr>
        <w:t xml:space="preserve">, à des planifications fiscales et </w:t>
      </w:r>
      <w:r>
        <w:rPr>
          <w:rFonts w:cs="Times New Roman"/>
        </w:rPr>
        <w:t>aux</w:t>
      </w:r>
      <w:r w:rsidRPr="007C5004">
        <w:rPr>
          <w:rFonts w:cs="Times New Roman"/>
        </w:rPr>
        <w:t xml:space="preserve"> effets </w:t>
      </w:r>
      <w:r>
        <w:rPr>
          <w:rFonts w:cs="Times New Roman"/>
        </w:rPr>
        <w:t xml:space="preserve">de ces mesures </w:t>
      </w:r>
      <w:r w:rsidRPr="007C5004">
        <w:rPr>
          <w:rFonts w:cs="Times New Roman"/>
        </w:rPr>
        <w:t xml:space="preserve">à l’égard du fisc. En bref, dans ces deux affaires, des actionnaires de sociétés commerciales effectuèrent diverses transactions pour </w:t>
      </w:r>
      <w:r>
        <w:rPr>
          <w:rFonts w:cs="Times New Roman"/>
        </w:rPr>
        <w:t xml:space="preserve">procéder à la restructuration </w:t>
      </w:r>
      <w:r w:rsidRPr="007C5004">
        <w:rPr>
          <w:rFonts w:cs="Times New Roman"/>
        </w:rPr>
        <w:t xml:space="preserve">de </w:t>
      </w:r>
      <w:r>
        <w:rPr>
          <w:rFonts w:cs="Times New Roman"/>
        </w:rPr>
        <w:t>ces sociétés</w:t>
      </w:r>
      <w:r w:rsidRPr="007C5004">
        <w:rPr>
          <w:rFonts w:cs="Times New Roman"/>
        </w:rPr>
        <w:t xml:space="preserve"> et </w:t>
      </w:r>
      <w:r>
        <w:rPr>
          <w:rFonts w:cs="Times New Roman"/>
        </w:rPr>
        <w:t>la</w:t>
      </w:r>
      <w:r w:rsidRPr="007C5004">
        <w:rPr>
          <w:rFonts w:cs="Times New Roman"/>
        </w:rPr>
        <w:t xml:space="preserve"> cession d’intérêts dans celles-ci. Leurs ententes devaient être réalisées sans </w:t>
      </w:r>
      <w:r>
        <w:rPr>
          <w:rFonts w:cs="Times New Roman"/>
        </w:rPr>
        <w:t>produire d’</w:t>
      </w:r>
      <w:r w:rsidRPr="007C5004">
        <w:rPr>
          <w:rFonts w:cs="Times New Roman"/>
        </w:rPr>
        <w:t>incidences fiscales. À la suite d’erreurs commises par les conseillers fiscaux</w:t>
      </w:r>
      <w:r>
        <w:rPr>
          <w:rFonts w:cs="Times New Roman"/>
        </w:rPr>
        <w:t xml:space="preserve"> d</w:t>
      </w:r>
      <w:r w:rsidRPr="007C5004">
        <w:rPr>
          <w:rFonts w:cs="Times New Roman"/>
        </w:rPr>
        <w:t>es contr</w:t>
      </w:r>
      <w:r w:rsidR="0058350E">
        <w:rPr>
          <w:rFonts w:cs="Times New Roman"/>
        </w:rPr>
        <w:t>ibuables en cause, l’Agence du r</w:t>
      </w:r>
      <w:r w:rsidRPr="007C5004">
        <w:rPr>
          <w:rFonts w:cs="Times New Roman"/>
        </w:rPr>
        <w:t>evenu du Q</w:t>
      </w:r>
      <w:r w:rsidR="0058350E">
        <w:rPr>
          <w:rFonts w:cs="Times New Roman"/>
        </w:rPr>
        <w:t>uébec (« ARQ ») et l’Agence du r</w:t>
      </w:r>
      <w:r w:rsidRPr="007C5004">
        <w:rPr>
          <w:rFonts w:cs="Times New Roman"/>
        </w:rPr>
        <w:t>evenu du Canada (« ARC ») é</w:t>
      </w:r>
      <w:r>
        <w:rPr>
          <w:rFonts w:cs="Times New Roman"/>
        </w:rPr>
        <w:t>tablirent</w:t>
      </w:r>
      <w:r w:rsidRPr="007C5004">
        <w:rPr>
          <w:rFonts w:cs="Times New Roman"/>
        </w:rPr>
        <w:t xml:space="preserve"> des avis de cotisation </w:t>
      </w:r>
      <w:r>
        <w:rPr>
          <w:rFonts w:cs="Times New Roman"/>
        </w:rPr>
        <w:t>réclamant</w:t>
      </w:r>
      <w:r w:rsidRPr="007C5004">
        <w:rPr>
          <w:rFonts w:cs="Times New Roman"/>
        </w:rPr>
        <w:t xml:space="preserve"> des impôts imprévus par</w:t>
      </w:r>
      <w:r>
        <w:rPr>
          <w:rFonts w:cs="Times New Roman"/>
        </w:rPr>
        <w:t xml:space="preserve"> ces contribuables</w:t>
      </w:r>
      <w:r w:rsidRPr="007C5004">
        <w:rPr>
          <w:rFonts w:cs="Times New Roman"/>
        </w:rPr>
        <w:t>.</w:t>
      </w:r>
    </w:p>
    <w:p w:rsidR="00B656C1" w:rsidRPr="007C5004" w:rsidRDefault="00B656C1" w:rsidP="00B656C1">
      <w:pPr>
        <w:pStyle w:val="ParaNoNdepar-AltN"/>
        <w:rPr>
          <w:rFonts w:cs="Times New Roman"/>
        </w:rPr>
      </w:pPr>
      <w:r w:rsidRPr="007C5004">
        <w:rPr>
          <w:rFonts w:cs="Times New Roman"/>
        </w:rPr>
        <w:t>À la suite de l’é</w:t>
      </w:r>
      <w:r>
        <w:rPr>
          <w:rFonts w:cs="Times New Roman"/>
        </w:rPr>
        <w:t>tablissement</w:t>
      </w:r>
      <w:r w:rsidRPr="007C5004">
        <w:rPr>
          <w:rFonts w:cs="Times New Roman"/>
        </w:rPr>
        <w:t xml:space="preserve"> des avis de cotisation dans ces deux dossiers, les parties </w:t>
      </w:r>
      <w:r>
        <w:rPr>
          <w:rFonts w:cs="Times New Roman"/>
        </w:rPr>
        <w:t>concernées</w:t>
      </w:r>
      <w:r w:rsidRPr="007C5004">
        <w:rPr>
          <w:rFonts w:cs="Times New Roman"/>
        </w:rPr>
        <w:t xml:space="preserve"> s’entendirent pour corriger les documents relatifs à leurs ententes afin d’obtenir l’effet de neutralité fiscale qu’</w:t>
      </w:r>
      <w:r>
        <w:rPr>
          <w:rFonts w:cs="Times New Roman"/>
        </w:rPr>
        <w:t>elles</w:t>
      </w:r>
      <w:r w:rsidRPr="007C5004">
        <w:rPr>
          <w:rFonts w:cs="Times New Roman"/>
        </w:rPr>
        <w:t xml:space="preserve"> recherchaient. </w:t>
      </w:r>
      <w:r>
        <w:rPr>
          <w:rFonts w:cs="Times New Roman"/>
        </w:rPr>
        <w:t>Elle</w:t>
      </w:r>
      <w:r w:rsidRPr="007C5004">
        <w:rPr>
          <w:rFonts w:cs="Times New Roman"/>
        </w:rPr>
        <w:t>s demandèrent à la Cour supérieure du Québec de rectifier leurs documents originaux</w:t>
      </w:r>
      <w:r>
        <w:rPr>
          <w:rFonts w:cs="Times New Roman"/>
        </w:rPr>
        <w:t>,</w:t>
      </w:r>
      <w:r w:rsidRPr="007C5004">
        <w:rPr>
          <w:rFonts w:cs="Times New Roman"/>
        </w:rPr>
        <w:t xml:space="preserve"> </w:t>
      </w:r>
      <w:r>
        <w:rPr>
          <w:rFonts w:cs="Times New Roman"/>
        </w:rPr>
        <w:t>lesquels</w:t>
      </w:r>
      <w:r w:rsidRPr="007C5004">
        <w:rPr>
          <w:rFonts w:cs="Times New Roman"/>
        </w:rPr>
        <w:t xml:space="preserve"> ne reflétaient pas </w:t>
      </w:r>
      <w:r>
        <w:rPr>
          <w:rFonts w:cs="Times New Roman"/>
        </w:rPr>
        <w:t xml:space="preserve">selon elles </w:t>
      </w:r>
      <w:r w:rsidRPr="007C5004">
        <w:rPr>
          <w:rFonts w:cs="Times New Roman"/>
        </w:rPr>
        <w:t>leurs véritables ententes. La Cour supérieure rendit des jugements contradictoires dans ces dossiers, accorda</w:t>
      </w:r>
      <w:r>
        <w:rPr>
          <w:rFonts w:cs="Times New Roman"/>
        </w:rPr>
        <w:t>nt</w:t>
      </w:r>
      <w:r w:rsidRPr="007C5004">
        <w:rPr>
          <w:rFonts w:cs="Times New Roman"/>
        </w:rPr>
        <w:t xml:space="preserve"> la demande de rectification d</w:t>
      </w:r>
      <w:r>
        <w:rPr>
          <w:rFonts w:cs="Times New Roman"/>
        </w:rPr>
        <w:t>ans</w:t>
      </w:r>
      <w:r w:rsidRPr="007C5004">
        <w:rPr>
          <w:rFonts w:cs="Times New Roman"/>
        </w:rPr>
        <w:t xml:space="preserve"> l’un </w:t>
      </w:r>
      <w:r>
        <w:rPr>
          <w:rFonts w:cs="Times New Roman"/>
        </w:rPr>
        <w:t>(2009 QCCS 790 (</w:t>
      </w:r>
      <w:proofErr w:type="spellStart"/>
      <w:r>
        <w:rPr>
          <w:rFonts w:cs="Times New Roman"/>
        </w:rPr>
        <w:t>CanLII</w:t>
      </w:r>
      <w:proofErr w:type="spellEnd"/>
      <w:r>
        <w:rPr>
          <w:rFonts w:cs="Times New Roman"/>
        </w:rPr>
        <w:t xml:space="preserve">)) et </w:t>
      </w:r>
      <w:r w:rsidRPr="007C5004">
        <w:rPr>
          <w:rFonts w:cs="Times New Roman"/>
        </w:rPr>
        <w:t>la rejeta</w:t>
      </w:r>
      <w:r>
        <w:rPr>
          <w:rFonts w:cs="Times New Roman"/>
        </w:rPr>
        <w:t>nt dans</w:t>
      </w:r>
      <w:r w:rsidRPr="007C5004">
        <w:rPr>
          <w:rFonts w:cs="Times New Roman"/>
        </w:rPr>
        <w:t xml:space="preserve"> l’autre </w:t>
      </w:r>
      <w:r>
        <w:rPr>
          <w:rFonts w:cs="Times New Roman"/>
        </w:rPr>
        <w:t>(2010 QCCS 1576 (</w:t>
      </w:r>
      <w:proofErr w:type="spellStart"/>
      <w:r>
        <w:rPr>
          <w:rFonts w:cs="Times New Roman"/>
        </w:rPr>
        <w:t>CanLII</w:t>
      </w:r>
      <w:proofErr w:type="spellEnd"/>
      <w:r>
        <w:rPr>
          <w:rFonts w:cs="Times New Roman"/>
        </w:rPr>
        <w:t>))</w:t>
      </w:r>
      <w:r w:rsidRPr="007C5004">
        <w:rPr>
          <w:rFonts w:cs="Times New Roman"/>
        </w:rPr>
        <w:t xml:space="preserve">. La Cour d’appel du Québec </w:t>
      </w:r>
      <w:r>
        <w:rPr>
          <w:rFonts w:cs="Times New Roman"/>
        </w:rPr>
        <w:t>f</w:t>
      </w:r>
      <w:r w:rsidRPr="007C5004">
        <w:rPr>
          <w:rFonts w:cs="Times New Roman"/>
        </w:rPr>
        <w:t xml:space="preserve">it </w:t>
      </w:r>
      <w:r>
        <w:rPr>
          <w:rFonts w:cs="Times New Roman"/>
        </w:rPr>
        <w:t xml:space="preserve">droit dans les deux cas aux </w:t>
      </w:r>
      <w:r w:rsidRPr="007C5004">
        <w:rPr>
          <w:rFonts w:cs="Times New Roman"/>
        </w:rPr>
        <w:t xml:space="preserve">demandes de rectification </w:t>
      </w:r>
      <w:r>
        <w:rPr>
          <w:rFonts w:cs="Times New Roman"/>
        </w:rPr>
        <w:t>visant à</w:t>
      </w:r>
      <w:r w:rsidRPr="007C5004">
        <w:rPr>
          <w:rFonts w:cs="Times New Roman"/>
        </w:rPr>
        <w:t xml:space="preserve"> donner effet à la volonté réelle des parties</w:t>
      </w:r>
      <w:r>
        <w:rPr>
          <w:rFonts w:cs="Times New Roman"/>
        </w:rPr>
        <w:t xml:space="preserve"> (2011 QCCA 394, 2011 D.T.C. 5045; 2011 QCCA 954 (</w:t>
      </w:r>
      <w:proofErr w:type="spellStart"/>
      <w:r>
        <w:rPr>
          <w:rFonts w:cs="Times New Roman"/>
        </w:rPr>
        <w:t>CanLII</w:t>
      </w:r>
      <w:proofErr w:type="spellEnd"/>
      <w:r>
        <w:rPr>
          <w:rFonts w:cs="Times New Roman"/>
        </w:rPr>
        <w:t>))</w:t>
      </w:r>
      <w:r w:rsidRPr="007C5004">
        <w:rPr>
          <w:rFonts w:cs="Times New Roman"/>
        </w:rPr>
        <w:t>. Pour des motifs différ</w:t>
      </w:r>
      <w:r>
        <w:rPr>
          <w:rFonts w:cs="Times New Roman"/>
        </w:rPr>
        <w:t>a</w:t>
      </w:r>
      <w:r w:rsidRPr="007C5004">
        <w:rPr>
          <w:rFonts w:cs="Times New Roman"/>
        </w:rPr>
        <w:t>nt en partie de ceux de la Cour d’appel, je rejetterais les pourvois de l’ARQ</w:t>
      </w:r>
      <w:r>
        <w:rPr>
          <w:rFonts w:cs="Times New Roman"/>
        </w:rPr>
        <w:t>,</w:t>
      </w:r>
      <w:r w:rsidRPr="007C5004">
        <w:rPr>
          <w:rFonts w:cs="Times New Roman"/>
        </w:rPr>
        <w:t xml:space="preserve"> déclar</w:t>
      </w:r>
      <w:r>
        <w:rPr>
          <w:rFonts w:cs="Times New Roman"/>
        </w:rPr>
        <w:t>erais</w:t>
      </w:r>
      <w:r w:rsidRPr="007C5004">
        <w:rPr>
          <w:rFonts w:cs="Times New Roman"/>
        </w:rPr>
        <w:t xml:space="preserve"> que les intimés pouvaient modifier leurs conventions et </w:t>
      </w:r>
      <w:r>
        <w:rPr>
          <w:rFonts w:cs="Times New Roman"/>
        </w:rPr>
        <w:t xml:space="preserve">constaterais </w:t>
      </w:r>
      <w:r w:rsidRPr="007C5004">
        <w:rPr>
          <w:rFonts w:cs="Times New Roman"/>
        </w:rPr>
        <w:t xml:space="preserve">cette modification.  </w:t>
      </w:r>
    </w:p>
    <w:p w:rsidR="00B656C1" w:rsidRPr="007C5004" w:rsidRDefault="00B656C1" w:rsidP="00B656C1">
      <w:pPr>
        <w:pStyle w:val="TitleTitre-AltT"/>
        <w:tabs>
          <w:tab w:val="clear" w:pos="360"/>
          <w:tab w:val="left" w:pos="540"/>
        </w:tabs>
        <w:ind w:left="547" w:hanging="547"/>
        <w:rPr>
          <w:rFonts w:cs="Times New Roman"/>
        </w:rPr>
      </w:pPr>
      <w:r w:rsidRPr="007C5004">
        <w:rPr>
          <w:rFonts w:cs="Times New Roman"/>
        </w:rPr>
        <w:t>II.</w:t>
      </w:r>
      <w:r w:rsidRPr="007C5004">
        <w:rPr>
          <w:rFonts w:cs="Times New Roman"/>
        </w:rPr>
        <w:tab/>
      </w:r>
      <w:r w:rsidRPr="007C5004">
        <w:rPr>
          <w:rFonts w:cs="Times New Roman"/>
          <w:u w:val="single"/>
        </w:rPr>
        <w:t>L’origine des litiges</w:t>
      </w:r>
    </w:p>
    <w:p w:rsidR="00B656C1" w:rsidRPr="007C5004" w:rsidRDefault="00B656C1" w:rsidP="00B656C1">
      <w:pPr>
        <w:pStyle w:val="TitleTitre-AltT"/>
      </w:pPr>
      <w:r w:rsidRPr="007C5004">
        <w:t>A.</w:t>
      </w:r>
      <w:r w:rsidRPr="007C5004">
        <w:tab/>
      </w:r>
      <w:r w:rsidRPr="007F78D3">
        <w:rPr>
          <w:i/>
        </w:rPr>
        <w:t xml:space="preserve">Affaire </w:t>
      </w:r>
      <w:r w:rsidRPr="00EA3EBA">
        <w:rPr>
          <w:i/>
        </w:rPr>
        <w:t xml:space="preserve">Services Environnementaux AES </w:t>
      </w:r>
      <w:proofErr w:type="spellStart"/>
      <w:r w:rsidRPr="00EA3EBA">
        <w:rPr>
          <w:i/>
        </w:rPr>
        <w:t>inc.</w:t>
      </w:r>
      <w:proofErr w:type="spellEnd"/>
    </w:p>
    <w:p w:rsidR="00B656C1" w:rsidRPr="007C5004" w:rsidRDefault="00B656C1" w:rsidP="00B656C1">
      <w:pPr>
        <w:pStyle w:val="ParaNoNdepar-AltN"/>
        <w:rPr>
          <w:rFonts w:cs="Times New Roman"/>
        </w:rPr>
      </w:pPr>
      <w:r w:rsidRPr="007C5004">
        <w:rPr>
          <w:rFonts w:cs="Times New Roman"/>
        </w:rPr>
        <w:t xml:space="preserve">Le premier </w:t>
      </w:r>
      <w:r>
        <w:rPr>
          <w:rFonts w:cs="Times New Roman"/>
        </w:rPr>
        <w:t>pourvoi</w:t>
      </w:r>
      <w:r w:rsidRPr="007C5004">
        <w:rPr>
          <w:rFonts w:cs="Times New Roman"/>
        </w:rPr>
        <w:t xml:space="preserve"> est celui </w:t>
      </w:r>
      <w:r>
        <w:rPr>
          <w:rFonts w:cs="Times New Roman"/>
        </w:rPr>
        <w:t>concernant</w:t>
      </w:r>
      <w:r w:rsidRPr="007C5004">
        <w:rPr>
          <w:rFonts w:cs="Times New Roman"/>
        </w:rPr>
        <w:t xml:space="preserve"> Services </w:t>
      </w:r>
      <w:r>
        <w:rPr>
          <w:rFonts w:cs="Times New Roman"/>
        </w:rPr>
        <w:t>E</w:t>
      </w:r>
      <w:r w:rsidRPr="007C5004">
        <w:rPr>
          <w:rFonts w:cs="Times New Roman"/>
        </w:rPr>
        <w:t xml:space="preserve">nvironnementaux AES </w:t>
      </w:r>
      <w:proofErr w:type="spellStart"/>
      <w:r w:rsidRPr="007C5004">
        <w:rPr>
          <w:rFonts w:cs="Times New Roman"/>
        </w:rPr>
        <w:t>inc.</w:t>
      </w:r>
      <w:proofErr w:type="spellEnd"/>
      <w:r w:rsidRPr="007C5004">
        <w:rPr>
          <w:rFonts w:cs="Times New Roman"/>
        </w:rPr>
        <w:t xml:space="preserve"> (« AES ») et Centre technologique AES </w:t>
      </w:r>
      <w:proofErr w:type="spellStart"/>
      <w:r w:rsidRPr="007C5004">
        <w:rPr>
          <w:rFonts w:cs="Times New Roman"/>
        </w:rPr>
        <w:t>inc.</w:t>
      </w:r>
      <w:proofErr w:type="spellEnd"/>
      <w:r w:rsidRPr="007C5004">
        <w:rPr>
          <w:rFonts w:cs="Times New Roman"/>
        </w:rPr>
        <w:t xml:space="preserve"> (« Centre</w:t>
      </w:r>
      <w:r>
        <w:rPr>
          <w:rFonts w:cs="Times New Roman"/>
        </w:rPr>
        <w:t xml:space="preserve"> technologique</w:t>
      </w:r>
      <w:r w:rsidRPr="007C5004">
        <w:rPr>
          <w:rFonts w:cs="Times New Roman"/>
        </w:rPr>
        <w:t> »)</w:t>
      </w:r>
      <w:r>
        <w:rPr>
          <w:rFonts w:cs="Times New Roman"/>
        </w:rPr>
        <w:t>.</w:t>
      </w:r>
      <w:r w:rsidRPr="007C5004">
        <w:rPr>
          <w:rFonts w:cs="Times New Roman"/>
        </w:rPr>
        <w:t xml:space="preserve"> D</w:t>
      </w:r>
      <w:r>
        <w:rPr>
          <w:rFonts w:cs="Times New Roman"/>
        </w:rPr>
        <w:t>ans des</w:t>
      </w:r>
      <w:r w:rsidRPr="007C5004">
        <w:rPr>
          <w:rFonts w:cs="Times New Roman"/>
        </w:rPr>
        <w:t xml:space="preserve"> admissions</w:t>
      </w:r>
      <w:r>
        <w:rPr>
          <w:rFonts w:cs="Times New Roman"/>
        </w:rPr>
        <w:t xml:space="preserve"> dont elles ont</w:t>
      </w:r>
      <w:r w:rsidRPr="007C5004">
        <w:rPr>
          <w:rFonts w:cs="Times New Roman"/>
        </w:rPr>
        <w:t xml:space="preserve"> convenu et </w:t>
      </w:r>
      <w:r>
        <w:rPr>
          <w:rFonts w:cs="Times New Roman"/>
        </w:rPr>
        <w:t xml:space="preserve">qu’elles ont </w:t>
      </w:r>
      <w:r w:rsidRPr="007C5004">
        <w:rPr>
          <w:rFonts w:cs="Times New Roman"/>
        </w:rPr>
        <w:t>produites devant la Cour supérieure</w:t>
      </w:r>
      <w:r>
        <w:rPr>
          <w:rFonts w:cs="Times New Roman"/>
        </w:rPr>
        <w:t xml:space="preserve">, </w:t>
      </w:r>
      <w:r w:rsidRPr="007C5004">
        <w:rPr>
          <w:rFonts w:cs="Times New Roman"/>
        </w:rPr>
        <w:t>les parties ont résumé la preuve relative aux transactions qui ont provoqué le conflit entre les autorités fiscales et AES.</w:t>
      </w:r>
    </w:p>
    <w:p w:rsidR="00B656C1" w:rsidRPr="007C5004" w:rsidRDefault="00B656C1" w:rsidP="00B656C1">
      <w:pPr>
        <w:pStyle w:val="ParaNoNdepar-AltN"/>
        <w:rPr>
          <w:rFonts w:cs="Times New Roman"/>
        </w:rPr>
      </w:pPr>
      <w:r w:rsidRPr="007C5004">
        <w:rPr>
          <w:rFonts w:cs="Times New Roman"/>
        </w:rPr>
        <w:t xml:space="preserve">AES </w:t>
      </w:r>
      <w:r>
        <w:rPr>
          <w:rFonts w:cs="Times New Roman"/>
        </w:rPr>
        <w:t>es</w:t>
      </w:r>
      <w:r w:rsidRPr="007C5004">
        <w:rPr>
          <w:rFonts w:cs="Times New Roman"/>
        </w:rPr>
        <w:t xml:space="preserve">t une société commerciale </w:t>
      </w:r>
      <w:r>
        <w:rPr>
          <w:rFonts w:cs="Times New Roman"/>
        </w:rPr>
        <w:t xml:space="preserve">qui a été </w:t>
      </w:r>
      <w:r w:rsidRPr="007C5004">
        <w:rPr>
          <w:rFonts w:cs="Times New Roman"/>
        </w:rPr>
        <w:t xml:space="preserve">constituée en 1993 en vertu de la Partie </w:t>
      </w:r>
      <w:r>
        <w:rPr>
          <w:rFonts w:cs="Times New Roman"/>
        </w:rPr>
        <w:t>I</w:t>
      </w:r>
      <w:r w:rsidRPr="007C5004">
        <w:rPr>
          <w:rFonts w:cs="Times New Roman"/>
        </w:rPr>
        <w:t xml:space="preserve">A de la </w:t>
      </w:r>
      <w:r w:rsidRPr="007C5004">
        <w:rPr>
          <w:rFonts w:cs="Times New Roman"/>
          <w:i/>
        </w:rPr>
        <w:t>Loi sur les compagnies</w:t>
      </w:r>
      <w:r w:rsidRPr="007C5004">
        <w:rPr>
          <w:rFonts w:cs="Times New Roman"/>
        </w:rPr>
        <w:t>,</w:t>
      </w:r>
      <w:r w:rsidRPr="007C5004">
        <w:rPr>
          <w:rFonts w:cs="Times New Roman"/>
          <w:i/>
        </w:rPr>
        <w:t xml:space="preserve"> </w:t>
      </w:r>
      <w:r w:rsidRPr="007C5004">
        <w:rPr>
          <w:rFonts w:cs="Times New Roman"/>
        </w:rPr>
        <w:t>L.R.Q., c</w:t>
      </w:r>
      <w:r>
        <w:rPr>
          <w:rFonts w:cs="Times New Roman"/>
        </w:rPr>
        <w:t>h</w:t>
      </w:r>
      <w:r w:rsidRPr="007C5004">
        <w:rPr>
          <w:rFonts w:cs="Times New Roman"/>
        </w:rPr>
        <w:t>. C-38. Centre</w:t>
      </w:r>
      <w:r>
        <w:rPr>
          <w:rFonts w:cs="Times New Roman"/>
        </w:rPr>
        <w:t xml:space="preserve"> technologique</w:t>
      </w:r>
      <w:r w:rsidRPr="007C5004">
        <w:rPr>
          <w:rFonts w:cs="Times New Roman"/>
        </w:rPr>
        <w:t xml:space="preserve"> a été </w:t>
      </w:r>
      <w:proofErr w:type="gramStart"/>
      <w:r w:rsidRPr="007C5004">
        <w:rPr>
          <w:rFonts w:cs="Times New Roman"/>
        </w:rPr>
        <w:t>créé</w:t>
      </w:r>
      <w:r>
        <w:rPr>
          <w:rFonts w:cs="Times New Roman"/>
        </w:rPr>
        <w:t>e</w:t>
      </w:r>
      <w:proofErr w:type="gramEnd"/>
      <w:r w:rsidRPr="007C5004">
        <w:rPr>
          <w:rFonts w:cs="Times New Roman"/>
        </w:rPr>
        <w:t xml:space="preserve"> en vertu de la même loi, en 1997, comme filiale à part entière d’AES. </w:t>
      </w:r>
      <w:r>
        <w:rPr>
          <w:rFonts w:cs="Times New Roman"/>
        </w:rPr>
        <w:t>En 1998, d</w:t>
      </w:r>
      <w:r w:rsidRPr="007C5004">
        <w:rPr>
          <w:rFonts w:cs="Times New Roman"/>
        </w:rPr>
        <w:t>ans le cadre d’une réorganisation d’entreprise, AES s’entendit avec un investisseur, Groupe Sani–Gestion, pour lui céder 25</w:t>
      </w:r>
      <w:r>
        <w:rPr>
          <w:rFonts w:cs="Times New Roman"/>
        </w:rPr>
        <w:t xml:space="preserve"> pour cent</w:t>
      </w:r>
      <w:r w:rsidRPr="007C5004">
        <w:rPr>
          <w:rFonts w:cs="Times New Roman"/>
        </w:rPr>
        <w:t xml:space="preserve"> des actions qu’elle détenait dans le capital–actions de Centre</w:t>
      </w:r>
      <w:r>
        <w:rPr>
          <w:rFonts w:cs="Times New Roman"/>
        </w:rPr>
        <w:t xml:space="preserve"> technologique</w:t>
      </w:r>
      <w:r w:rsidRPr="007C5004">
        <w:rPr>
          <w:rFonts w:cs="Times New Roman"/>
        </w:rPr>
        <w:t xml:space="preserve">. Pour réaliser cet investissement, AES et Centre </w:t>
      </w:r>
      <w:r>
        <w:rPr>
          <w:rFonts w:cs="Times New Roman"/>
        </w:rPr>
        <w:t xml:space="preserve">technologique </w:t>
      </w:r>
      <w:r w:rsidRPr="007C5004">
        <w:rPr>
          <w:rFonts w:cs="Times New Roman"/>
        </w:rPr>
        <w:t>conclurent une entente de réorganisation et de planification fiscale et donnèrent mandat à leurs conseillers fiscaux de la mettre en œuvre. Pour assurer la neutralité fiscale de ce</w:t>
      </w:r>
      <w:r>
        <w:rPr>
          <w:rFonts w:cs="Times New Roman"/>
        </w:rPr>
        <w:t>tte</w:t>
      </w:r>
      <w:r w:rsidRPr="007C5004">
        <w:rPr>
          <w:rFonts w:cs="Times New Roman"/>
        </w:rPr>
        <w:t xml:space="preserve"> entente, AES et Centre </w:t>
      </w:r>
      <w:r>
        <w:rPr>
          <w:rFonts w:cs="Times New Roman"/>
        </w:rPr>
        <w:t xml:space="preserve">technologique </w:t>
      </w:r>
      <w:r w:rsidRPr="007C5004">
        <w:rPr>
          <w:rFonts w:cs="Times New Roman"/>
        </w:rPr>
        <w:t xml:space="preserve">utilisèrent certaines dispositions relatives aux échanges d’actions </w:t>
      </w:r>
      <w:r>
        <w:rPr>
          <w:rFonts w:cs="Times New Roman"/>
        </w:rPr>
        <w:t>prévues</w:t>
      </w:r>
      <w:r w:rsidRPr="007C5004">
        <w:rPr>
          <w:rFonts w:cs="Times New Roman"/>
        </w:rPr>
        <w:t xml:space="preserve"> à l’art</w:t>
      </w:r>
      <w:r>
        <w:rPr>
          <w:rFonts w:cs="Times New Roman"/>
        </w:rPr>
        <w:t>.</w:t>
      </w:r>
      <w:r w:rsidRPr="007C5004">
        <w:rPr>
          <w:rFonts w:cs="Times New Roman"/>
        </w:rPr>
        <w:t xml:space="preserve"> 86 de la </w:t>
      </w:r>
      <w:r w:rsidRPr="007C5004">
        <w:rPr>
          <w:rFonts w:cs="Times New Roman"/>
          <w:i/>
        </w:rPr>
        <w:t>Loi de l’impôt sur le revenu</w:t>
      </w:r>
      <w:r w:rsidRPr="007C5004">
        <w:rPr>
          <w:rFonts w:cs="Times New Roman"/>
        </w:rPr>
        <w:t>,</w:t>
      </w:r>
      <w:r w:rsidRPr="007C5004">
        <w:rPr>
          <w:rFonts w:cs="Times New Roman"/>
          <w:i/>
        </w:rPr>
        <w:t xml:space="preserve"> </w:t>
      </w:r>
      <w:r w:rsidRPr="007C5004">
        <w:rPr>
          <w:rFonts w:cs="Times New Roman"/>
        </w:rPr>
        <w:t>L.R.C. 1985</w:t>
      </w:r>
      <w:r>
        <w:rPr>
          <w:rFonts w:cs="Times New Roman"/>
        </w:rPr>
        <w:t>,</w:t>
      </w:r>
      <w:r w:rsidRPr="007C5004">
        <w:rPr>
          <w:rFonts w:cs="Times New Roman"/>
        </w:rPr>
        <w:t xml:space="preserve"> c</w:t>
      </w:r>
      <w:r>
        <w:rPr>
          <w:rFonts w:cs="Times New Roman"/>
        </w:rPr>
        <w:t>h</w:t>
      </w:r>
      <w:r w:rsidRPr="007C5004">
        <w:rPr>
          <w:rFonts w:cs="Times New Roman"/>
        </w:rPr>
        <w:t>. 1 (5</w:t>
      </w:r>
      <w:r w:rsidRPr="007C5004">
        <w:rPr>
          <w:rFonts w:cs="Times New Roman"/>
          <w:vertAlign w:val="superscript"/>
        </w:rPr>
        <w:t>e</w:t>
      </w:r>
      <w:r w:rsidRPr="007C5004">
        <w:rPr>
          <w:rFonts w:cs="Times New Roman"/>
        </w:rPr>
        <w:t> supp</w:t>
      </w:r>
      <w:r>
        <w:rPr>
          <w:rFonts w:cs="Times New Roman"/>
        </w:rPr>
        <w:t>l</w:t>
      </w:r>
      <w:r w:rsidRPr="007C5004">
        <w:rPr>
          <w:rFonts w:cs="Times New Roman"/>
        </w:rPr>
        <w:t>.)</w:t>
      </w:r>
      <w:r>
        <w:rPr>
          <w:rFonts w:cs="Times New Roman"/>
        </w:rPr>
        <w:t xml:space="preserve">, </w:t>
      </w:r>
      <w:r w:rsidRPr="007C5004">
        <w:rPr>
          <w:rFonts w:cs="Times New Roman"/>
        </w:rPr>
        <w:t xml:space="preserve">et </w:t>
      </w:r>
      <w:proofErr w:type="gramStart"/>
      <w:r>
        <w:rPr>
          <w:rFonts w:cs="Times New Roman"/>
        </w:rPr>
        <w:t>aux</w:t>
      </w:r>
      <w:r w:rsidRPr="007C5004">
        <w:rPr>
          <w:rFonts w:cs="Times New Roman"/>
        </w:rPr>
        <w:t xml:space="preserve"> art</w:t>
      </w:r>
      <w:proofErr w:type="gramEnd"/>
      <w:r>
        <w:rPr>
          <w:rFonts w:cs="Times New Roman"/>
        </w:rPr>
        <w:t>.</w:t>
      </w:r>
      <w:r w:rsidRPr="007C5004">
        <w:rPr>
          <w:rFonts w:cs="Times New Roman"/>
        </w:rPr>
        <w:t xml:space="preserve"> 541 à 543 de la </w:t>
      </w:r>
      <w:r w:rsidRPr="007C5004">
        <w:rPr>
          <w:rFonts w:cs="Times New Roman"/>
          <w:i/>
        </w:rPr>
        <w:t>Loi sur les impôts</w:t>
      </w:r>
      <w:r w:rsidRPr="007C5004">
        <w:rPr>
          <w:rFonts w:cs="Times New Roman"/>
        </w:rPr>
        <w:t>,</w:t>
      </w:r>
      <w:r w:rsidRPr="007C5004">
        <w:rPr>
          <w:rFonts w:cs="Times New Roman"/>
          <w:i/>
        </w:rPr>
        <w:t xml:space="preserve"> </w:t>
      </w:r>
      <w:r w:rsidRPr="007C5004">
        <w:rPr>
          <w:rFonts w:cs="Times New Roman"/>
        </w:rPr>
        <w:t xml:space="preserve">L.R.Q., ch. I-3. Pour différer l’effet fiscal d’un </w:t>
      </w:r>
      <w:r>
        <w:rPr>
          <w:rFonts w:cs="Times New Roman"/>
        </w:rPr>
        <w:t>échange</w:t>
      </w:r>
      <w:r w:rsidRPr="007C5004">
        <w:rPr>
          <w:rFonts w:cs="Times New Roman"/>
        </w:rPr>
        <w:t xml:space="preserve"> d’actions, ces dispositions exigent</w:t>
      </w:r>
      <w:r>
        <w:rPr>
          <w:rFonts w:cs="Times New Roman"/>
        </w:rPr>
        <w:t xml:space="preserve">, notamment, </w:t>
      </w:r>
      <w:r w:rsidRPr="007C5004">
        <w:rPr>
          <w:rFonts w:cs="Times New Roman"/>
        </w:rPr>
        <w:t xml:space="preserve">que la contrepartie payée autrement qu’en actions n’excède pas le prix de base rajusté </w:t>
      </w:r>
      <w:r>
        <w:rPr>
          <w:rFonts w:cs="Times New Roman"/>
        </w:rPr>
        <w:t xml:space="preserve">(« PBR ») </w:t>
      </w:r>
      <w:r w:rsidRPr="007C5004">
        <w:rPr>
          <w:rFonts w:cs="Times New Roman"/>
        </w:rPr>
        <w:t xml:space="preserve">des actions </w:t>
      </w:r>
      <w:r>
        <w:rPr>
          <w:rFonts w:cs="Times New Roman"/>
        </w:rPr>
        <w:t>reçues</w:t>
      </w:r>
      <w:r w:rsidRPr="007C5004">
        <w:rPr>
          <w:rFonts w:cs="Times New Roman"/>
        </w:rPr>
        <w:t>.</w:t>
      </w:r>
    </w:p>
    <w:p w:rsidR="00B656C1" w:rsidRPr="007C5004" w:rsidRDefault="00B656C1" w:rsidP="00B656C1">
      <w:pPr>
        <w:pStyle w:val="ParaNoNdepar-AltN"/>
        <w:rPr>
          <w:rFonts w:cs="Times New Roman"/>
        </w:rPr>
      </w:pPr>
      <w:r w:rsidRPr="007C5004">
        <w:rPr>
          <w:rFonts w:cs="Times New Roman"/>
        </w:rPr>
        <w:t>Une erreur</w:t>
      </w:r>
      <w:r>
        <w:rPr>
          <w:rFonts w:cs="Times New Roman"/>
        </w:rPr>
        <w:t>,</w:t>
      </w:r>
      <w:r w:rsidRPr="007C5004">
        <w:rPr>
          <w:rFonts w:cs="Times New Roman"/>
        </w:rPr>
        <w:t xml:space="preserve"> attribuée aux conseillers d’AES</w:t>
      </w:r>
      <w:r>
        <w:rPr>
          <w:rFonts w:cs="Times New Roman"/>
        </w:rPr>
        <w:t>,</w:t>
      </w:r>
      <w:r w:rsidRPr="007C5004">
        <w:rPr>
          <w:rFonts w:cs="Times New Roman"/>
        </w:rPr>
        <w:t xml:space="preserve"> fut commise dans l’évaluation du </w:t>
      </w:r>
      <w:r>
        <w:rPr>
          <w:rFonts w:cs="Times New Roman"/>
        </w:rPr>
        <w:t>PBR</w:t>
      </w:r>
      <w:r w:rsidRPr="007C5004">
        <w:rPr>
          <w:rFonts w:cs="Times New Roman"/>
        </w:rPr>
        <w:t xml:space="preserve"> des actions cédées. Ce</w:t>
      </w:r>
      <w:r>
        <w:rPr>
          <w:rFonts w:cs="Times New Roman"/>
        </w:rPr>
        <w:t>lui-ci</w:t>
      </w:r>
      <w:r w:rsidRPr="007C5004">
        <w:rPr>
          <w:rFonts w:cs="Times New Roman"/>
        </w:rPr>
        <w:t xml:space="preserve"> avait été évalué à 1 217 029 $</w:t>
      </w:r>
      <w:r>
        <w:rPr>
          <w:rFonts w:cs="Times New Roman"/>
        </w:rPr>
        <w:t>, alors qu’e</w:t>
      </w:r>
      <w:r w:rsidRPr="007C5004">
        <w:rPr>
          <w:rFonts w:cs="Times New Roman"/>
        </w:rPr>
        <w:t>n réalité il n’atteignait que 96 001 $. Sur la foi de cette évaluation erronée, lors d</w:t>
      </w:r>
      <w:r>
        <w:rPr>
          <w:rFonts w:cs="Times New Roman"/>
        </w:rPr>
        <w:t>e l’</w:t>
      </w:r>
      <w:r w:rsidRPr="007C5004">
        <w:rPr>
          <w:rFonts w:cs="Times New Roman"/>
        </w:rPr>
        <w:t>échange de ses 1 217 029 actions votantes dans le capital</w:t>
      </w:r>
      <w:r>
        <w:rPr>
          <w:rFonts w:cs="Times New Roman"/>
        </w:rPr>
        <w:t>-</w:t>
      </w:r>
      <w:r w:rsidRPr="007C5004">
        <w:rPr>
          <w:rFonts w:cs="Times New Roman"/>
        </w:rPr>
        <w:t>actions de Centre</w:t>
      </w:r>
      <w:r>
        <w:rPr>
          <w:rFonts w:cs="Times New Roman"/>
        </w:rPr>
        <w:t xml:space="preserve"> technologique</w:t>
      </w:r>
      <w:r w:rsidRPr="007C5004">
        <w:rPr>
          <w:rFonts w:cs="Times New Roman"/>
        </w:rPr>
        <w:t xml:space="preserve">, AES reçut 4 500 000 actions votantes et participantes de Centre </w:t>
      </w:r>
      <w:r>
        <w:rPr>
          <w:rFonts w:cs="Times New Roman"/>
        </w:rPr>
        <w:t>technologique, ainsi qu’</w:t>
      </w:r>
      <w:r w:rsidRPr="007C5004">
        <w:rPr>
          <w:rFonts w:cs="Times New Roman"/>
        </w:rPr>
        <w:t xml:space="preserve">un billet à demande de </w:t>
      </w:r>
      <w:r>
        <w:rPr>
          <w:rFonts w:cs="Times New Roman"/>
        </w:rPr>
        <w:t>cette dernière d’une valeur</w:t>
      </w:r>
      <w:r w:rsidRPr="007C5004">
        <w:rPr>
          <w:rFonts w:cs="Times New Roman"/>
        </w:rPr>
        <w:t xml:space="preserve"> de 1 217 02</w:t>
      </w:r>
      <w:r>
        <w:rPr>
          <w:rFonts w:cs="Times New Roman"/>
        </w:rPr>
        <w:t>8</w:t>
      </w:r>
      <w:r w:rsidRPr="007C5004">
        <w:rPr>
          <w:rFonts w:cs="Times New Roman"/>
        </w:rPr>
        <w:t xml:space="preserve"> $. Centre </w:t>
      </w:r>
      <w:r>
        <w:rPr>
          <w:rFonts w:cs="Times New Roman"/>
        </w:rPr>
        <w:t xml:space="preserve">technologique </w:t>
      </w:r>
      <w:r w:rsidRPr="007C5004">
        <w:rPr>
          <w:rFonts w:cs="Times New Roman"/>
        </w:rPr>
        <w:t xml:space="preserve">paya ce billet à AES </w:t>
      </w:r>
      <w:r>
        <w:rPr>
          <w:rFonts w:cs="Times New Roman"/>
        </w:rPr>
        <w:t>entre le 18 décembre 1998 et</w:t>
      </w:r>
      <w:r w:rsidRPr="007C5004">
        <w:rPr>
          <w:rFonts w:cs="Times New Roman"/>
        </w:rPr>
        <w:t xml:space="preserve"> le 30 septembre 1999. En 2000, les autorités fiscales ajoutèrent un gain </w:t>
      </w:r>
      <w:r>
        <w:rPr>
          <w:rFonts w:cs="Times New Roman"/>
        </w:rPr>
        <w:t>en</w:t>
      </w:r>
      <w:r w:rsidRPr="007C5004">
        <w:rPr>
          <w:rFonts w:cs="Times New Roman"/>
        </w:rPr>
        <w:t xml:space="preserve"> capital imposable de 840 770 $ au revenu déclaré par AES pour l’année d’imposition terminée le 30 septembre 1999.</w:t>
      </w:r>
    </w:p>
    <w:p w:rsidR="00B656C1" w:rsidRDefault="00B656C1" w:rsidP="00B656C1">
      <w:pPr>
        <w:pStyle w:val="ParaNoNdepar-AltN"/>
        <w:rPr>
          <w:rFonts w:cs="Times New Roman"/>
        </w:rPr>
      </w:pPr>
      <w:r w:rsidRPr="007C5004">
        <w:rPr>
          <w:rFonts w:cs="Times New Roman"/>
        </w:rPr>
        <w:t>Des avis de cotisation furent é</w:t>
      </w:r>
      <w:r>
        <w:rPr>
          <w:rFonts w:cs="Times New Roman"/>
        </w:rPr>
        <w:t>tablis et d</w:t>
      </w:r>
      <w:r w:rsidRPr="007C5004">
        <w:rPr>
          <w:rFonts w:cs="Times New Roman"/>
        </w:rPr>
        <w:t xml:space="preserve">es avis d’opposition déposés. Cet aspect du dossier n’est pas devant notre Cour. </w:t>
      </w:r>
      <w:r>
        <w:rPr>
          <w:rFonts w:cs="Times New Roman"/>
        </w:rPr>
        <w:t>Celle-ci</w:t>
      </w:r>
      <w:r w:rsidRPr="007C5004">
        <w:rPr>
          <w:rFonts w:cs="Times New Roman"/>
        </w:rPr>
        <w:t xml:space="preserve"> est saisie des conséquences de la tentative d’AES et de Centre </w:t>
      </w:r>
      <w:r>
        <w:rPr>
          <w:rFonts w:cs="Times New Roman"/>
        </w:rPr>
        <w:t xml:space="preserve">technologique </w:t>
      </w:r>
      <w:r w:rsidRPr="007C5004">
        <w:rPr>
          <w:rFonts w:cs="Times New Roman"/>
        </w:rPr>
        <w:t>de corriger une transaction qui ne p</w:t>
      </w:r>
      <w:r>
        <w:rPr>
          <w:rFonts w:cs="Times New Roman"/>
        </w:rPr>
        <w:t>ermettait pas d’</w:t>
      </w:r>
      <w:r w:rsidRPr="007C5004">
        <w:rPr>
          <w:rFonts w:cs="Times New Roman"/>
        </w:rPr>
        <w:t xml:space="preserve">atteindre la neutralité fiscale recherchée par les parties en raison de </w:t>
      </w:r>
      <w:r>
        <w:rPr>
          <w:rFonts w:cs="Times New Roman"/>
        </w:rPr>
        <w:t>l’</w:t>
      </w:r>
      <w:r w:rsidRPr="007C5004">
        <w:rPr>
          <w:rFonts w:cs="Times New Roman"/>
        </w:rPr>
        <w:t xml:space="preserve">erreur commise dans sa réalisation. </w:t>
      </w:r>
      <w:r>
        <w:rPr>
          <w:rFonts w:cs="Times New Roman"/>
        </w:rPr>
        <w:t>Après qu’AES se soit opposée aux avis de cotisation, l</w:t>
      </w:r>
      <w:r w:rsidRPr="007C5004">
        <w:rPr>
          <w:rFonts w:cs="Times New Roman"/>
        </w:rPr>
        <w:t>e 1</w:t>
      </w:r>
      <w:r w:rsidRPr="007C5004">
        <w:rPr>
          <w:rFonts w:cs="Times New Roman"/>
          <w:vertAlign w:val="superscript"/>
        </w:rPr>
        <w:t>er</w:t>
      </w:r>
      <w:r w:rsidRPr="007C5004">
        <w:rPr>
          <w:rFonts w:cs="Times New Roman"/>
        </w:rPr>
        <w:t xml:space="preserve"> novembre 2001 les parties </w:t>
      </w:r>
      <w:r>
        <w:rPr>
          <w:rFonts w:cs="Times New Roman"/>
        </w:rPr>
        <w:t>convinrent d’</w:t>
      </w:r>
      <w:r w:rsidRPr="007C5004">
        <w:rPr>
          <w:rFonts w:cs="Times New Roman"/>
        </w:rPr>
        <w:t xml:space="preserve">annuler et </w:t>
      </w:r>
      <w:r>
        <w:rPr>
          <w:rFonts w:cs="Times New Roman"/>
        </w:rPr>
        <w:t xml:space="preserve">de </w:t>
      </w:r>
      <w:r w:rsidRPr="007C5004">
        <w:rPr>
          <w:rFonts w:cs="Times New Roman"/>
        </w:rPr>
        <w:t>reprendre le billet de 1 217 028</w:t>
      </w:r>
      <w:r>
        <w:rPr>
          <w:rFonts w:cs="Times New Roman"/>
        </w:rPr>
        <w:t> $</w:t>
      </w:r>
      <w:r w:rsidRPr="007C5004">
        <w:rPr>
          <w:rFonts w:cs="Times New Roman"/>
        </w:rPr>
        <w:t>. Un nouveau billet de 95 000 $</w:t>
      </w:r>
      <w:r>
        <w:rPr>
          <w:rFonts w:cs="Times New Roman"/>
        </w:rPr>
        <w:t>,</w:t>
      </w:r>
      <w:r w:rsidRPr="007C5004">
        <w:rPr>
          <w:rFonts w:cs="Times New Roman"/>
        </w:rPr>
        <w:t xml:space="preserve"> daté du 11 décembre 1998</w:t>
      </w:r>
      <w:r>
        <w:rPr>
          <w:rFonts w:cs="Times New Roman"/>
        </w:rPr>
        <w:t>, serait émis, de même que</w:t>
      </w:r>
      <w:r w:rsidRPr="007C5004">
        <w:rPr>
          <w:rFonts w:cs="Times New Roman"/>
        </w:rPr>
        <w:t xml:space="preserve"> 1 122 029 actions de catégorie C, d’une valeur de 1 122 029 $. AES et Centre </w:t>
      </w:r>
      <w:r>
        <w:rPr>
          <w:rFonts w:cs="Times New Roman"/>
        </w:rPr>
        <w:t xml:space="preserve">technologique </w:t>
      </w:r>
      <w:r w:rsidRPr="007C5004">
        <w:rPr>
          <w:rFonts w:cs="Times New Roman"/>
        </w:rPr>
        <w:t xml:space="preserve">présentèrent ensuite à la Cour supérieure du Québec une requête en rectification et jugement déclaratoire. </w:t>
      </w:r>
      <w:r>
        <w:rPr>
          <w:rFonts w:cs="Times New Roman"/>
        </w:rPr>
        <w:t>Cette procédure demandait à la c</w:t>
      </w:r>
      <w:r w:rsidRPr="007C5004">
        <w:rPr>
          <w:rFonts w:cs="Times New Roman"/>
        </w:rPr>
        <w:t xml:space="preserve">our de modifier les ententes originales </w:t>
      </w:r>
      <w:r>
        <w:rPr>
          <w:rFonts w:cs="Times New Roman"/>
        </w:rPr>
        <w:t>pour qu’elles</w:t>
      </w:r>
      <w:r w:rsidRPr="007C5004">
        <w:rPr>
          <w:rFonts w:cs="Times New Roman"/>
        </w:rPr>
        <w:t xml:space="preserve"> refl</w:t>
      </w:r>
      <w:r>
        <w:rPr>
          <w:rFonts w:cs="Times New Roman"/>
        </w:rPr>
        <w:t>è</w:t>
      </w:r>
      <w:r w:rsidRPr="007C5004">
        <w:rPr>
          <w:rFonts w:cs="Times New Roman"/>
        </w:rPr>
        <w:t>te</w:t>
      </w:r>
      <w:r>
        <w:rPr>
          <w:rFonts w:cs="Times New Roman"/>
        </w:rPr>
        <w:t>nt</w:t>
      </w:r>
      <w:r w:rsidRPr="007C5004">
        <w:rPr>
          <w:rFonts w:cs="Times New Roman"/>
        </w:rPr>
        <w:t xml:space="preserve"> l’intention originale des parties, de leur donner effet rétroacti</w:t>
      </w:r>
      <w:r>
        <w:rPr>
          <w:rFonts w:cs="Times New Roman"/>
        </w:rPr>
        <w:t>vement</w:t>
      </w:r>
      <w:r w:rsidRPr="007C5004">
        <w:rPr>
          <w:rFonts w:cs="Times New Roman"/>
        </w:rPr>
        <w:t xml:space="preserve"> à la date originale de la transaction, c’est-à-dire décembre 1998</w:t>
      </w:r>
      <w:r>
        <w:rPr>
          <w:rFonts w:cs="Times New Roman"/>
        </w:rPr>
        <w:t>,</w:t>
      </w:r>
      <w:r w:rsidRPr="007C5004">
        <w:rPr>
          <w:rFonts w:cs="Times New Roman"/>
        </w:rPr>
        <w:t xml:space="preserve"> et de déclarer ces modifications opposables aux tiers. Le Sous-ministre du Revenu du Québec, aux droits duquel est maintenant l’ARQ, contesta la requête dont elle demanda le rejet, </w:t>
      </w:r>
      <w:r>
        <w:rPr>
          <w:rFonts w:cs="Times New Roman"/>
        </w:rPr>
        <w:t>comme d’ailleurs l’AR</w:t>
      </w:r>
      <w:r w:rsidRPr="007C5004">
        <w:rPr>
          <w:rFonts w:cs="Times New Roman"/>
        </w:rPr>
        <w:t>C.</w:t>
      </w:r>
    </w:p>
    <w:p w:rsidR="00B656C1" w:rsidRPr="007C5004" w:rsidRDefault="00B656C1" w:rsidP="00B656C1">
      <w:pPr>
        <w:pStyle w:val="ParaNoNdepar-AltN"/>
        <w:numPr>
          <w:ilvl w:val="0"/>
          <w:numId w:val="0"/>
        </w:numPr>
        <w:rPr>
          <w:rFonts w:cs="Times New Roman"/>
        </w:rPr>
      </w:pPr>
    </w:p>
    <w:p w:rsidR="00B656C1" w:rsidRPr="007C5004" w:rsidRDefault="00B656C1" w:rsidP="00B656C1">
      <w:pPr>
        <w:pStyle w:val="TitleTitre-AltT"/>
      </w:pPr>
      <w:r w:rsidRPr="007C5004">
        <w:t>B.</w:t>
      </w:r>
      <w:r w:rsidRPr="007C5004">
        <w:tab/>
      </w:r>
      <w:r w:rsidRPr="00DC74A7">
        <w:rPr>
          <w:i/>
        </w:rPr>
        <w:t xml:space="preserve">Affaire </w:t>
      </w:r>
      <w:proofErr w:type="spellStart"/>
      <w:r w:rsidRPr="00EA3EBA">
        <w:rPr>
          <w:i/>
        </w:rPr>
        <w:t>Riopel</w:t>
      </w:r>
      <w:proofErr w:type="spellEnd"/>
    </w:p>
    <w:p w:rsidR="00B656C1" w:rsidRPr="007C5004" w:rsidRDefault="00B656C1" w:rsidP="00B656C1">
      <w:pPr>
        <w:pStyle w:val="ParaNoNdepar-AltN"/>
        <w:rPr>
          <w:rFonts w:cs="Times New Roman"/>
        </w:rPr>
      </w:pPr>
      <w:r w:rsidRPr="007C5004">
        <w:rPr>
          <w:rFonts w:cs="Times New Roman"/>
        </w:rPr>
        <w:t xml:space="preserve">En 2004, les intimés </w:t>
      </w:r>
      <w:r>
        <w:rPr>
          <w:rFonts w:cs="Times New Roman"/>
        </w:rPr>
        <w:t>J</w:t>
      </w:r>
      <w:r w:rsidRPr="007C5004">
        <w:rPr>
          <w:rFonts w:cs="Times New Roman"/>
        </w:rPr>
        <w:t xml:space="preserve">ean </w:t>
      </w:r>
      <w:proofErr w:type="spellStart"/>
      <w:r w:rsidRPr="007C5004">
        <w:rPr>
          <w:rFonts w:cs="Times New Roman"/>
        </w:rPr>
        <w:t>Riopel</w:t>
      </w:r>
      <w:proofErr w:type="spellEnd"/>
      <w:r w:rsidRPr="007C5004">
        <w:rPr>
          <w:rFonts w:cs="Times New Roman"/>
        </w:rPr>
        <w:t xml:space="preserve"> et Christiane Archambault, </w:t>
      </w:r>
      <w:r>
        <w:rPr>
          <w:rFonts w:cs="Times New Roman"/>
        </w:rPr>
        <w:t xml:space="preserve">qui sont </w:t>
      </w:r>
      <w:r w:rsidRPr="007C5004">
        <w:rPr>
          <w:rFonts w:cs="Times New Roman"/>
        </w:rPr>
        <w:t>mariés depuis 1984, possédaient respectivement 60</w:t>
      </w:r>
      <w:r>
        <w:rPr>
          <w:rFonts w:cs="Times New Roman"/>
        </w:rPr>
        <w:t xml:space="preserve"> pour cent </w:t>
      </w:r>
      <w:r w:rsidRPr="007C5004">
        <w:rPr>
          <w:rFonts w:cs="Times New Roman"/>
        </w:rPr>
        <w:t>et 40</w:t>
      </w:r>
      <w:r>
        <w:rPr>
          <w:rFonts w:cs="Times New Roman"/>
        </w:rPr>
        <w:t xml:space="preserve"> pour cent</w:t>
      </w:r>
      <w:r w:rsidRPr="007C5004">
        <w:rPr>
          <w:rFonts w:cs="Times New Roman"/>
        </w:rPr>
        <w:t xml:space="preserve"> des actions d’une société commerciale, Déchiquetage Mobile JR </w:t>
      </w:r>
      <w:proofErr w:type="spellStart"/>
      <w:r w:rsidRPr="007C5004">
        <w:rPr>
          <w:rFonts w:cs="Times New Roman"/>
        </w:rPr>
        <w:t>inc.</w:t>
      </w:r>
      <w:proofErr w:type="spellEnd"/>
      <w:r w:rsidRPr="007C5004">
        <w:rPr>
          <w:rFonts w:cs="Times New Roman"/>
        </w:rPr>
        <w:t xml:space="preserve"> (« Déchiquetage</w:t>
      </w:r>
      <w:r>
        <w:rPr>
          <w:rFonts w:cs="Times New Roman"/>
        </w:rPr>
        <w:t xml:space="preserve"> Mobile</w:t>
      </w:r>
      <w:r w:rsidRPr="007C5004">
        <w:rPr>
          <w:rFonts w:cs="Times New Roman"/>
        </w:rPr>
        <w:t> »). En juillet 2004, tous les éléments d’actif de Déchiquetage</w:t>
      </w:r>
      <w:r>
        <w:rPr>
          <w:rFonts w:cs="Times New Roman"/>
        </w:rPr>
        <w:t xml:space="preserve"> Mobile</w:t>
      </w:r>
      <w:r w:rsidRPr="007C5004">
        <w:rPr>
          <w:rFonts w:cs="Times New Roman"/>
        </w:rPr>
        <w:t xml:space="preserve"> sont vendus à des tiers. Le seul actif consiste alors dans le produit de la vente de ces éléments d’actif. </w:t>
      </w:r>
      <w:r>
        <w:rPr>
          <w:rFonts w:cs="Times New Roman"/>
        </w:rPr>
        <w:t>À</w:t>
      </w:r>
      <w:r w:rsidRPr="007C5004">
        <w:rPr>
          <w:rFonts w:cs="Times New Roman"/>
        </w:rPr>
        <w:t xml:space="preserve"> ce moment</w:t>
      </w:r>
      <w:r>
        <w:rPr>
          <w:rFonts w:cs="Times New Roman"/>
        </w:rPr>
        <w:t>-là,</w:t>
      </w:r>
      <w:r w:rsidRPr="007C5004">
        <w:rPr>
          <w:rFonts w:cs="Times New Roman"/>
        </w:rPr>
        <w:t xml:space="preserve"> M. </w:t>
      </w:r>
      <w:proofErr w:type="spellStart"/>
      <w:r w:rsidRPr="007C5004">
        <w:rPr>
          <w:rFonts w:cs="Times New Roman"/>
        </w:rPr>
        <w:t>Riopel</w:t>
      </w:r>
      <w:proofErr w:type="spellEnd"/>
      <w:r w:rsidRPr="007C5004">
        <w:rPr>
          <w:rFonts w:cs="Times New Roman"/>
        </w:rPr>
        <w:t xml:space="preserve"> est aussi l’unique actionnaire d’une société de portefeuille, Entreprise J.P.F. </w:t>
      </w:r>
      <w:proofErr w:type="spellStart"/>
      <w:r w:rsidRPr="007C5004">
        <w:rPr>
          <w:rFonts w:cs="Times New Roman"/>
        </w:rPr>
        <w:t>Riopel</w:t>
      </w:r>
      <w:proofErr w:type="spellEnd"/>
      <w:r w:rsidRPr="007C5004">
        <w:rPr>
          <w:rFonts w:cs="Times New Roman"/>
        </w:rPr>
        <w:t xml:space="preserve"> </w:t>
      </w:r>
      <w:proofErr w:type="spellStart"/>
      <w:r w:rsidRPr="007C5004">
        <w:rPr>
          <w:rFonts w:cs="Times New Roman"/>
        </w:rPr>
        <w:t>inc.</w:t>
      </w:r>
      <w:proofErr w:type="spellEnd"/>
      <w:r w:rsidRPr="007C5004">
        <w:rPr>
          <w:rFonts w:cs="Times New Roman"/>
        </w:rPr>
        <w:t xml:space="preserve"> (« JPF »).</w:t>
      </w:r>
    </w:p>
    <w:p w:rsidR="00B656C1" w:rsidRPr="007C5004" w:rsidRDefault="00B656C1" w:rsidP="00B656C1">
      <w:pPr>
        <w:pStyle w:val="ParaNoNdepar-AltN"/>
        <w:rPr>
          <w:rFonts w:cs="Times New Roman"/>
        </w:rPr>
      </w:pPr>
      <w:r w:rsidRPr="007C5004">
        <w:rPr>
          <w:rFonts w:cs="Times New Roman"/>
        </w:rPr>
        <w:t xml:space="preserve">Sur la recommandation de leur comptable, M. </w:t>
      </w:r>
      <w:proofErr w:type="spellStart"/>
      <w:r w:rsidRPr="007C5004">
        <w:rPr>
          <w:rFonts w:cs="Times New Roman"/>
        </w:rPr>
        <w:t>Riopel</w:t>
      </w:r>
      <w:proofErr w:type="spellEnd"/>
      <w:r w:rsidRPr="007C5004">
        <w:rPr>
          <w:rFonts w:cs="Times New Roman"/>
        </w:rPr>
        <w:t xml:space="preserve"> et M</w:t>
      </w:r>
      <w:r w:rsidRPr="007C5004">
        <w:rPr>
          <w:rFonts w:cs="Times New Roman"/>
          <w:vertAlign w:val="superscript"/>
        </w:rPr>
        <w:t>me</w:t>
      </w:r>
      <w:r>
        <w:rPr>
          <w:rFonts w:cs="Times New Roman"/>
        </w:rPr>
        <w:t> </w:t>
      </w:r>
      <w:r w:rsidRPr="007C5004">
        <w:rPr>
          <w:rFonts w:cs="Times New Roman"/>
        </w:rPr>
        <w:t xml:space="preserve">Archambault conviennent de fusionner Déchiquetage </w:t>
      </w:r>
      <w:r>
        <w:rPr>
          <w:rFonts w:cs="Times New Roman"/>
        </w:rPr>
        <w:t xml:space="preserve">Mobile </w:t>
      </w:r>
      <w:r w:rsidRPr="007C5004">
        <w:rPr>
          <w:rFonts w:cs="Times New Roman"/>
        </w:rPr>
        <w:t>et JPF. M</w:t>
      </w:r>
      <w:r>
        <w:rPr>
          <w:rFonts w:cs="Times New Roman"/>
        </w:rPr>
        <w:t>onsieur</w:t>
      </w:r>
      <w:r w:rsidRPr="007C5004">
        <w:rPr>
          <w:rFonts w:cs="Times New Roman"/>
        </w:rPr>
        <w:t xml:space="preserve"> </w:t>
      </w:r>
      <w:proofErr w:type="spellStart"/>
      <w:r w:rsidRPr="007C5004">
        <w:rPr>
          <w:rFonts w:cs="Times New Roman"/>
        </w:rPr>
        <w:t>Riopel</w:t>
      </w:r>
      <w:proofErr w:type="spellEnd"/>
      <w:r w:rsidRPr="007C5004">
        <w:rPr>
          <w:rFonts w:cs="Times New Roman"/>
        </w:rPr>
        <w:t xml:space="preserve"> doit devenir le seul actionnaire de la </w:t>
      </w:r>
      <w:r>
        <w:rPr>
          <w:rFonts w:cs="Times New Roman"/>
        </w:rPr>
        <w:t>société résultant de la</w:t>
      </w:r>
      <w:r w:rsidRPr="007C5004">
        <w:rPr>
          <w:rFonts w:cs="Times New Roman"/>
        </w:rPr>
        <w:t xml:space="preserve"> fusion, M</w:t>
      </w:r>
      <w:r w:rsidRPr="007C5004">
        <w:rPr>
          <w:rFonts w:cs="Times New Roman"/>
          <w:vertAlign w:val="superscript"/>
        </w:rPr>
        <w:t>me</w:t>
      </w:r>
      <w:r w:rsidRPr="007C5004">
        <w:rPr>
          <w:rFonts w:cs="Times New Roman"/>
        </w:rPr>
        <w:t xml:space="preserve"> Archambault lui cédant tous ses intérêts dans Déchiquetage</w:t>
      </w:r>
      <w:r>
        <w:rPr>
          <w:rFonts w:cs="Times New Roman"/>
        </w:rPr>
        <w:t xml:space="preserve"> Mobile</w:t>
      </w:r>
      <w:r w:rsidRPr="007C5004">
        <w:rPr>
          <w:rFonts w:cs="Times New Roman"/>
        </w:rPr>
        <w:t xml:space="preserve"> moyennant un prix convenu. L’opération doit se dérouler sans conséquences fiscales pour M</w:t>
      </w:r>
      <w:r w:rsidRPr="007C5004">
        <w:rPr>
          <w:rFonts w:cs="Times New Roman"/>
          <w:vertAlign w:val="superscript"/>
        </w:rPr>
        <w:t>me</w:t>
      </w:r>
      <w:r w:rsidRPr="007C5004">
        <w:rPr>
          <w:rFonts w:cs="Times New Roman"/>
        </w:rPr>
        <w:t xml:space="preserve"> Archambault. Le comptable et un avocat fiscaliste reçoivent le mandat de mener à </w:t>
      </w:r>
      <w:r>
        <w:rPr>
          <w:rFonts w:cs="Times New Roman"/>
        </w:rPr>
        <w:t>bien</w:t>
      </w:r>
      <w:r w:rsidRPr="007C5004">
        <w:rPr>
          <w:rFonts w:cs="Times New Roman"/>
        </w:rPr>
        <w:t xml:space="preserve"> ce projet.</w:t>
      </w:r>
    </w:p>
    <w:p w:rsidR="00B656C1" w:rsidRPr="007C5004" w:rsidRDefault="00B656C1" w:rsidP="00B656C1">
      <w:pPr>
        <w:pStyle w:val="ParaNoNdepar-AltN"/>
        <w:rPr>
          <w:rFonts w:cs="Times New Roman"/>
        </w:rPr>
      </w:pPr>
      <w:r w:rsidRPr="007C5004">
        <w:rPr>
          <w:rFonts w:cs="Times New Roman"/>
        </w:rPr>
        <w:t>Le 1</w:t>
      </w:r>
      <w:r w:rsidRPr="007C5004">
        <w:rPr>
          <w:rFonts w:cs="Times New Roman"/>
          <w:vertAlign w:val="superscript"/>
        </w:rPr>
        <w:t>er</w:t>
      </w:r>
      <w:r w:rsidRPr="007C5004">
        <w:rPr>
          <w:rFonts w:cs="Times New Roman"/>
        </w:rPr>
        <w:t> septembre 2004, les conseillers de M</w:t>
      </w:r>
      <w:r w:rsidRPr="007C5004">
        <w:rPr>
          <w:rFonts w:cs="Times New Roman"/>
          <w:vertAlign w:val="superscript"/>
        </w:rPr>
        <w:t>me</w:t>
      </w:r>
      <w:r w:rsidRPr="007C5004">
        <w:rPr>
          <w:rFonts w:cs="Times New Roman"/>
        </w:rPr>
        <w:t> Archambault et de M. </w:t>
      </w:r>
      <w:proofErr w:type="spellStart"/>
      <w:r w:rsidRPr="007C5004">
        <w:rPr>
          <w:rFonts w:cs="Times New Roman"/>
        </w:rPr>
        <w:t>Riopel</w:t>
      </w:r>
      <w:proofErr w:type="spellEnd"/>
      <w:r w:rsidRPr="007C5004">
        <w:rPr>
          <w:rFonts w:cs="Times New Roman"/>
        </w:rPr>
        <w:t xml:space="preserve"> leur présentent un plan détaillé </w:t>
      </w:r>
      <w:r>
        <w:rPr>
          <w:rFonts w:cs="Times New Roman"/>
        </w:rPr>
        <w:t xml:space="preserve">en vue </w:t>
      </w:r>
      <w:r w:rsidRPr="007C5004">
        <w:rPr>
          <w:rFonts w:cs="Times New Roman"/>
        </w:rPr>
        <w:t>de</w:t>
      </w:r>
      <w:r>
        <w:rPr>
          <w:rFonts w:cs="Times New Roman"/>
        </w:rPr>
        <w:t xml:space="preserve"> la</w:t>
      </w:r>
      <w:r w:rsidRPr="007C5004">
        <w:rPr>
          <w:rFonts w:cs="Times New Roman"/>
        </w:rPr>
        <w:t xml:space="preserve"> réalisation du projet de fusion </w:t>
      </w:r>
      <w:r>
        <w:rPr>
          <w:rFonts w:cs="Times New Roman"/>
        </w:rPr>
        <w:t xml:space="preserve">des deux sociétés, </w:t>
      </w:r>
      <w:r w:rsidRPr="007C5004">
        <w:rPr>
          <w:rFonts w:cs="Times New Roman"/>
        </w:rPr>
        <w:t>de cession d’intérêts et d</w:t>
      </w:r>
      <w:r>
        <w:rPr>
          <w:rFonts w:cs="Times New Roman"/>
        </w:rPr>
        <w:t>e la</w:t>
      </w:r>
      <w:r w:rsidRPr="007C5004">
        <w:rPr>
          <w:rFonts w:cs="Times New Roman"/>
        </w:rPr>
        <w:t xml:space="preserve"> planification fiscale destinée à reporter l’impact fiscal de la transaction. D’abord, le 30 octobre 2004, M</w:t>
      </w:r>
      <w:r w:rsidRPr="007C5004">
        <w:rPr>
          <w:rFonts w:cs="Times New Roman"/>
          <w:vertAlign w:val="superscript"/>
        </w:rPr>
        <w:t>me</w:t>
      </w:r>
      <w:r>
        <w:rPr>
          <w:rFonts w:cs="Times New Roman"/>
        </w:rPr>
        <w:t> </w:t>
      </w:r>
      <w:r w:rsidRPr="007C5004">
        <w:rPr>
          <w:rFonts w:cs="Times New Roman"/>
        </w:rPr>
        <w:t>Archambault vendra à M. </w:t>
      </w:r>
      <w:proofErr w:type="spellStart"/>
      <w:r w:rsidRPr="007C5004">
        <w:rPr>
          <w:rFonts w:cs="Times New Roman"/>
        </w:rPr>
        <w:t>Riopel</w:t>
      </w:r>
      <w:proofErr w:type="spellEnd"/>
      <w:r w:rsidRPr="007C5004">
        <w:rPr>
          <w:rFonts w:cs="Times New Roman"/>
        </w:rPr>
        <w:t xml:space="preserve"> ses actions d</w:t>
      </w:r>
      <w:r>
        <w:rPr>
          <w:rFonts w:cs="Times New Roman"/>
        </w:rPr>
        <w:t>ans</w:t>
      </w:r>
      <w:r w:rsidRPr="007C5004">
        <w:rPr>
          <w:rFonts w:cs="Times New Roman"/>
        </w:rPr>
        <w:t xml:space="preserve"> Déchiquetage </w:t>
      </w:r>
      <w:r>
        <w:rPr>
          <w:rFonts w:cs="Times New Roman"/>
        </w:rPr>
        <w:t xml:space="preserve">Mobile </w:t>
      </w:r>
      <w:r w:rsidRPr="007C5004">
        <w:rPr>
          <w:rFonts w:cs="Times New Roman"/>
        </w:rPr>
        <w:t>pour un prix de 720 000 </w:t>
      </w:r>
      <w:r>
        <w:rPr>
          <w:rFonts w:cs="Times New Roman"/>
        </w:rPr>
        <w:t>$. Ce prix sera acquitté</w:t>
      </w:r>
      <w:r w:rsidRPr="007C5004">
        <w:rPr>
          <w:rFonts w:cs="Times New Roman"/>
        </w:rPr>
        <w:t xml:space="preserve"> </w:t>
      </w:r>
      <w:r>
        <w:rPr>
          <w:rFonts w:cs="Times New Roman"/>
        </w:rPr>
        <w:t>en partie</w:t>
      </w:r>
      <w:r w:rsidRPr="007C5004">
        <w:rPr>
          <w:rFonts w:cs="Times New Roman"/>
        </w:rPr>
        <w:t xml:space="preserve"> par un billet </w:t>
      </w:r>
      <w:r>
        <w:rPr>
          <w:rFonts w:cs="Times New Roman"/>
        </w:rPr>
        <w:t xml:space="preserve">d’une valeur </w:t>
      </w:r>
      <w:r w:rsidRPr="007C5004">
        <w:rPr>
          <w:rFonts w:cs="Times New Roman"/>
        </w:rPr>
        <w:t>de 335 000 $</w:t>
      </w:r>
      <w:r>
        <w:rPr>
          <w:rFonts w:cs="Times New Roman"/>
        </w:rPr>
        <w:t>, somme</w:t>
      </w:r>
      <w:r w:rsidRPr="007C5004">
        <w:rPr>
          <w:rFonts w:cs="Times New Roman"/>
        </w:rPr>
        <w:t xml:space="preserve"> qui correspond au </w:t>
      </w:r>
      <w:r>
        <w:rPr>
          <w:rFonts w:cs="Times New Roman"/>
        </w:rPr>
        <w:t>PBR</w:t>
      </w:r>
      <w:r w:rsidRPr="007C5004">
        <w:rPr>
          <w:rFonts w:cs="Times New Roman"/>
        </w:rPr>
        <w:t xml:space="preserve"> des actions de M</w:t>
      </w:r>
      <w:r w:rsidRPr="007C5004">
        <w:rPr>
          <w:rFonts w:cs="Times New Roman"/>
          <w:vertAlign w:val="superscript"/>
        </w:rPr>
        <w:t>me</w:t>
      </w:r>
      <w:r w:rsidRPr="007C5004">
        <w:rPr>
          <w:rFonts w:cs="Times New Roman"/>
        </w:rPr>
        <w:t xml:space="preserve"> Archambault. Le </w:t>
      </w:r>
      <w:r>
        <w:rPr>
          <w:rFonts w:cs="Times New Roman"/>
        </w:rPr>
        <w:t>solde</w:t>
      </w:r>
      <w:r w:rsidRPr="007C5004">
        <w:rPr>
          <w:rFonts w:cs="Times New Roman"/>
        </w:rPr>
        <w:t xml:space="preserve"> du prix</w:t>
      </w:r>
      <w:r>
        <w:rPr>
          <w:rFonts w:cs="Times New Roman"/>
        </w:rPr>
        <w:t xml:space="preserve"> de vente</w:t>
      </w:r>
      <w:r w:rsidRPr="007C5004">
        <w:rPr>
          <w:rFonts w:cs="Times New Roman"/>
        </w:rPr>
        <w:t xml:space="preserve">, qui est égal à la différence entre la juste valeur marchande </w:t>
      </w:r>
      <w:r>
        <w:rPr>
          <w:rFonts w:cs="Times New Roman"/>
        </w:rPr>
        <w:t xml:space="preserve">et le PBR </w:t>
      </w:r>
      <w:r w:rsidRPr="007C5004">
        <w:rPr>
          <w:rFonts w:cs="Times New Roman"/>
        </w:rPr>
        <w:t xml:space="preserve">des actions, </w:t>
      </w:r>
      <w:r>
        <w:rPr>
          <w:rFonts w:cs="Times New Roman"/>
        </w:rPr>
        <w:t xml:space="preserve">soit 385 000 $, </w:t>
      </w:r>
      <w:r w:rsidRPr="007C5004">
        <w:rPr>
          <w:rFonts w:cs="Times New Roman"/>
        </w:rPr>
        <w:t>sera acquitté par l’émission de 385 000 actions privilégiées de JPF à un prix de rachat de 385 000 $. Le 1</w:t>
      </w:r>
      <w:r w:rsidRPr="007C5004">
        <w:rPr>
          <w:rFonts w:cs="Times New Roman"/>
          <w:vertAlign w:val="superscript"/>
        </w:rPr>
        <w:t>er</w:t>
      </w:r>
      <w:r w:rsidRPr="007C5004">
        <w:rPr>
          <w:rFonts w:cs="Times New Roman"/>
        </w:rPr>
        <w:t xml:space="preserve"> novembre 2004, les statuts de fusion et le certificat de fusion de Déchiquetage </w:t>
      </w:r>
      <w:r>
        <w:rPr>
          <w:rFonts w:cs="Times New Roman"/>
        </w:rPr>
        <w:t xml:space="preserve">Mobile </w:t>
      </w:r>
      <w:r w:rsidRPr="007C5004">
        <w:rPr>
          <w:rFonts w:cs="Times New Roman"/>
        </w:rPr>
        <w:t>et de JPF seront complétés et ces deux sociétés ser</w:t>
      </w:r>
      <w:r>
        <w:rPr>
          <w:rFonts w:cs="Times New Roman"/>
        </w:rPr>
        <w:t>ont fusionnées</w:t>
      </w:r>
      <w:r w:rsidRPr="007C5004">
        <w:rPr>
          <w:rFonts w:cs="Times New Roman"/>
        </w:rPr>
        <w:t xml:space="preserve"> sous le nom d</w:t>
      </w:r>
      <w:r>
        <w:rPr>
          <w:rFonts w:cs="Times New Roman"/>
        </w:rPr>
        <w:t xml:space="preserve">’Entreprise J.P.F. </w:t>
      </w:r>
      <w:proofErr w:type="spellStart"/>
      <w:r>
        <w:rPr>
          <w:rFonts w:cs="Times New Roman"/>
        </w:rPr>
        <w:t>Riopel</w:t>
      </w:r>
      <w:proofErr w:type="spellEnd"/>
      <w:r>
        <w:rPr>
          <w:rFonts w:cs="Times New Roman"/>
        </w:rPr>
        <w:t xml:space="preserve"> </w:t>
      </w:r>
      <w:proofErr w:type="spellStart"/>
      <w:r>
        <w:rPr>
          <w:rFonts w:cs="Times New Roman"/>
        </w:rPr>
        <w:t>inc.</w:t>
      </w:r>
      <w:proofErr w:type="spellEnd"/>
      <w:r>
        <w:rPr>
          <w:rFonts w:cs="Times New Roman"/>
        </w:rPr>
        <w:t xml:space="preserve"> (« </w:t>
      </w:r>
      <w:r w:rsidRPr="007C5004">
        <w:rPr>
          <w:rFonts w:cs="Times New Roman"/>
        </w:rPr>
        <w:t>JPF</w:t>
      </w:r>
      <w:r>
        <w:rPr>
          <w:rFonts w:cs="Times New Roman"/>
        </w:rPr>
        <w:t>-2 »)</w:t>
      </w:r>
      <w:r w:rsidRPr="007C5004">
        <w:rPr>
          <w:rFonts w:cs="Times New Roman"/>
        </w:rPr>
        <w:t>. Puis, le 4 novembre 2004, JPF</w:t>
      </w:r>
      <w:r>
        <w:rPr>
          <w:rFonts w:cs="Times New Roman"/>
        </w:rPr>
        <w:t>-2</w:t>
      </w:r>
      <w:r w:rsidRPr="007C5004">
        <w:rPr>
          <w:rFonts w:cs="Times New Roman"/>
        </w:rPr>
        <w:t xml:space="preserve"> remboursera à M</w:t>
      </w:r>
      <w:r w:rsidRPr="00CC1941">
        <w:rPr>
          <w:rFonts w:cs="Times New Roman"/>
          <w:vertAlign w:val="superscript"/>
        </w:rPr>
        <w:t>me</w:t>
      </w:r>
      <w:r w:rsidRPr="007C5004">
        <w:rPr>
          <w:rFonts w:cs="Times New Roman"/>
        </w:rPr>
        <w:t xml:space="preserve"> Archambault le billet de 335 000 $ et </w:t>
      </w:r>
      <w:r>
        <w:rPr>
          <w:rFonts w:cs="Times New Roman"/>
        </w:rPr>
        <w:t xml:space="preserve">lui </w:t>
      </w:r>
      <w:r w:rsidRPr="007C5004">
        <w:rPr>
          <w:rFonts w:cs="Times New Roman"/>
        </w:rPr>
        <w:t xml:space="preserve">rachètera ses actions privilégiées d’une valeur totale de 385 000 $. Selon l’avocat fiscaliste, </w:t>
      </w:r>
      <w:r>
        <w:rPr>
          <w:rFonts w:cs="Times New Roman"/>
        </w:rPr>
        <w:t>l</w:t>
      </w:r>
      <w:r w:rsidRPr="007C5004">
        <w:rPr>
          <w:rFonts w:cs="Times New Roman"/>
        </w:rPr>
        <w:t>e rachat des actions privilégiées entraînera un dividende réputé de 385 000 $</w:t>
      </w:r>
      <w:r>
        <w:rPr>
          <w:rFonts w:cs="Times New Roman"/>
        </w:rPr>
        <w:t>, mais c</w:t>
      </w:r>
      <w:r w:rsidRPr="007C5004">
        <w:rPr>
          <w:rFonts w:cs="Times New Roman"/>
        </w:rPr>
        <w:t>e dividende n</w:t>
      </w:r>
      <w:r>
        <w:rPr>
          <w:rFonts w:cs="Times New Roman"/>
        </w:rPr>
        <w:t>e produira</w:t>
      </w:r>
      <w:r w:rsidRPr="007C5004">
        <w:rPr>
          <w:rFonts w:cs="Times New Roman"/>
        </w:rPr>
        <w:t xml:space="preserve"> aucune incidence fiscale</w:t>
      </w:r>
      <w:r>
        <w:rPr>
          <w:rFonts w:cs="Times New Roman"/>
        </w:rPr>
        <w:t>,</w:t>
      </w:r>
      <w:r w:rsidRPr="007C5004">
        <w:rPr>
          <w:rFonts w:cs="Times New Roman"/>
        </w:rPr>
        <w:t xml:space="preserve"> puisqu’il sera versé à partir du compte de dividendes en capital de JPF</w:t>
      </w:r>
      <w:r>
        <w:rPr>
          <w:rFonts w:cs="Times New Roman"/>
        </w:rPr>
        <w:t>-2</w:t>
      </w:r>
      <w:r w:rsidRPr="007C5004">
        <w:rPr>
          <w:rFonts w:cs="Times New Roman"/>
        </w:rPr>
        <w:t>.</w:t>
      </w:r>
    </w:p>
    <w:p w:rsidR="00B656C1" w:rsidRPr="007C5004" w:rsidRDefault="00B656C1" w:rsidP="00B656C1">
      <w:pPr>
        <w:pStyle w:val="ParaNoNdepar-AltN"/>
        <w:rPr>
          <w:rFonts w:cs="Times New Roman"/>
        </w:rPr>
      </w:pPr>
      <w:r w:rsidRPr="007C5004">
        <w:rPr>
          <w:rFonts w:cs="Times New Roman"/>
        </w:rPr>
        <w:t xml:space="preserve">Malheureusement, la transaction ne se déroula pas comme prévu. Les conseillers des parties commirent une série d’erreurs dans la </w:t>
      </w:r>
      <w:r>
        <w:rPr>
          <w:rFonts w:cs="Times New Roman"/>
        </w:rPr>
        <w:t>préparation</w:t>
      </w:r>
      <w:r w:rsidRPr="007C5004">
        <w:rPr>
          <w:rFonts w:cs="Times New Roman"/>
        </w:rPr>
        <w:t xml:space="preserve"> des actes juridiques nécessaires pour réaliser la planification qu’ils avaient recommandée à leurs clients. Les statuts de fusion déposés </w:t>
      </w:r>
      <w:r>
        <w:rPr>
          <w:rFonts w:cs="Times New Roman"/>
        </w:rPr>
        <w:t>auprès de l’I</w:t>
      </w:r>
      <w:r w:rsidRPr="007C5004">
        <w:rPr>
          <w:rFonts w:cs="Times New Roman"/>
        </w:rPr>
        <w:t>nspect</w:t>
      </w:r>
      <w:r>
        <w:rPr>
          <w:rFonts w:cs="Times New Roman"/>
        </w:rPr>
        <w:t>eur</w:t>
      </w:r>
      <w:r w:rsidRPr="007C5004">
        <w:rPr>
          <w:rFonts w:cs="Times New Roman"/>
        </w:rPr>
        <w:t xml:space="preserve"> général des institutions financières et datés du 1</w:t>
      </w:r>
      <w:r w:rsidRPr="007C5004">
        <w:rPr>
          <w:rFonts w:cs="Times New Roman"/>
          <w:vertAlign w:val="superscript"/>
        </w:rPr>
        <w:t>er</w:t>
      </w:r>
      <w:r w:rsidRPr="007C5004">
        <w:rPr>
          <w:rFonts w:cs="Times New Roman"/>
        </w:rPr>
        <w:t> novembre 2004 ne f</w:t>
      </w:r>
      <w:r>
        <w:rPr>
          <w:rFonts w:cs="Times New Roman"/>
        </w:rPr>
        <w:t>aisaient</w:t>
      </w:r>
      <w:r w:rsidRPr="007C5004">
        <w:rPr>
          <w:rFonts w:cs="Times New Roman"/>
        </w:rPr>
        <w:t xml:space="preserve"> aucune mention d’une cession des actions de M</w:t>
      </w:r>
      <w:r w:rsidRPr="007C5004">
        <w:rPr>
          <w:rFonts w:cs="Times New Roman"/>
          <w:vertAlign w:val="superscript"/>
        </w:rPr>
        <w:t>me</w:t>
      </w:r>
      <w:r w:rsidRPr="007C5004">
        <w:rPr>
          <w:rFonts w:cs="Times New Roman"/>
        </w:rPr>
        <w:t> Archambault qui aurait dû intervenir le 30 octobre. La fusion préc</w:t>
      </w:r>
      <w:r>
        <w:rPr>
          <w:rFonts w:cs="Times New Roman"/>
        </w:rPr>
        <w:t>é</w:t>
      </w:r>
      <w:r w:rsidRPr="007C5004">
        <w:rPr>
          <w:rFonts w:cs="Times New Roman"/>
        </w:rPr>
        <w:t>d</w:t>
      </w:r>
      <w:r>
        <w:rPr>
          <w:rFonts w:cs="Times New Roman"/>
        </w:rPr>
        <w:t>ait</w:t>
      </w:r>
      <w:r w:rsidRPr="007C5004">
        <w:rPr>
          <w:rFonts w:cs="Times New Roman"/>
        </w:rPr>
        <w:t xml:space="preserve"> ainsi la vente d</w:t>
      </w:r>
      <w:r>
        <w:rPr>
          <w:rFonts w:cs="Times New Roman"/>
        </w:rPr>
        <w:t xml:space="preserve">es </w:t>
      </w:r>
      <w:r w:rsidRPr="007C5004">
        <w:rPr>
          <w:rFonts w:cs="Times New Roman"/>
        </w:rPr>
        <w:t>actions, contrairement à la planification prévue, ce qui compromet</w:t>
      </w:r>
      <w:r>
        <w:rPr>
          <w:rFonts w:cs="Times New Roman"/>
        </w:rPr>
        <w:t>tait</w:t>
      </w:r>
      <w:r w:rsidRPr="007C5004">
        <w:rPr>
          <w:rFonts w:cs="Times New Roman"/>
        </w:rPr>
        <w:t xml:space="preserve"> l’effet de neutralité fiscale recherché.</w:t>
      </w:r>
    </w:p>
    <w:p w:rsidR="00B656C1" w:rsidRPr="007C5004" w:rsidRDefault="00B656C1" w:rsidP="00B656C1">
      <w:pPr>
        <w:pStyle w:val="ParaNoNdepar-AltN"/>
        <w:rPr>
          <w:rFonts w:cs="Times New Roman"/>
        </w:rPr>
      </w:pPr>
      <w:r w:rsidRPr="007C5004">
        <w:rPr>
          <w:rFonts w:cs="Times New Roman"/>
        </w:rPr>
        <w:t>Pour corriger la situation e</w:t>
      </w:r>
      <w:r>
        <w:rPr>
          <w:rFonts w:cs="Times New Roman"/>
        </w:rPr>
        <w:t>t</w:t>
      </w:r>
      <w:r w:rsidRPr="007C5004">
        <w:rPr>
          <w:rFonts w:cs="Times New Roman"/>
        </w:rPr>
        <w:t xml:space="preserve"> préserv</w:t>
      </w:r>
      <w:r>
        <w:rPr>
          <w:rFonts w:cs="Times New Roman"/>
        </w:rPr>
        <w:t>er</w:t>
      </w:r>
      <w:r w:rsidRPr="007C5004">
        <w:rPr>
          <w:rFonts w:cs="Times New Roman"/>
        </w:rPr>
        <w:t xml:space="preserve"> l’efficacité fiscale de la transaction, le comptable et l’avocat fiscaliste décidèrent, le 27 octobre 2004, de modifier la documentation juridique déjà préparée</w:t>
      </w:r>
      <w:r>
        <w:rPr>
          <w:rFonts w:cs="Times New Roman"/>
        </w:rPr>
        <w:t>, sans toutefois</w:t>
      </w:r>
      <w:r w:rsidRPr="007C5004">
        <w:rPr>
          <w:rFonts w:cs="Times New Roman"/>
        </w:rPr>
        <w:t xml:space="preserve"> en souffle</w:t>
      </w:r>
      <w:r>
        <w:rPr>
          <w:rFonts w:cs="Times New Roman"/>
        </w:rPr>
        <w:t>r</w:t>
      </w:r>
      <w:r w:rsidRPr="007C5004">
        <w:rPr>
          <w:rFonts w:cs="Times New Roman"/>
        </w:rPr>
        <w:t xml:space="preserve"> mot à leurs clients. Ils maintinrent au 1</w:t>
      </w:r>
      <w:r w:rsidRPr="007C5004">
        <w:rPr>
          <w:rFonts w:cs="Times New Roman"/>
          <w:vertAlign w:val="superscript"/>
        </w:rPr>
        <w:t>er</w:t>
      </w:r>
      <w:r w:rsidRPr="007C5004">
        <w:rPr>
          <w:rFonts w:cs="Times New Roman"/>
        </w:rPr>
        <w:t> novembre 2004</w:t>
      </w:r>
      <w:r>
        <w:rPr>
          <w:rFonts w:cs="Times New Roman"/>
        </w:rPr>
        <w:t xml:space="preserve"> </w:t>
      </w:r>
      <w:r w:rsidRPr="007C5004">
        <w:rPr>
          <w:rFonts w:cs="Times New Roman"/>
        </w:rPr>
        <w:t xml:space="preserve">la date formelle de la fusion, mais restructurèrent la transaction projetée </w:t>
      </w:r>
      <w:r>
        <w:rPr>
          <w:rFonts w:cs="Times New Roman"/>
        </w:rPr>
        <w:t xml:space="preserve">dans </w:t>
      </w:r>
      <w:r w:rsidRPr="007C5004">
        <w:rPr>
          <w:rFonts w:cs="Times New Roman"/>
        </w:rPr>
        <w:t>les documents qu’ils prépar</w:t>
      </w:r>
      <w:r>
        <w:rPr>
          <w:rFonts w:cs="Times New Roman"/>
        </w:rPr>
        <w:t>èr</w:t>
      </w:r>
      <w:r w:rsidRPr="007C5004">
        <w:rPr>
          <w:rFonts w:cs="Times New Roman"/>
        </w:rPr>
        <w:t>ent. Les actions détenues par M</w:t>
      </w:r>
      <w:r w:rsidRPr="007C5004">
        <w:rPr>
          <w:rFonts w:cs="Times New Roman"/>
          <w:vertAlign w:val="superscript"/>
        </w:rPr>
        <w:t>me</w:t>
      </w:r>
      <w:r w:rsidRPr="007C5004">
        <w:rPr>
          <w:rFonts w:cs="Times New Roman"/>
        </w:rPr>
        <w:t xml:space="preserve"> Archambault dans Déchiquetage </w:t>
      </w:r>
      <w:r>
        <w:rPr>
          <w:rFonts w:cs="Times New Roman"/>
        </w:rPr>
        <w:t xml:space="preserve">Mobile </w:t>
      </w:r>
      <w:r w:rsidRPr="007C5004">
        <w:rPr>
          <w:rFonts w:cs="Times New Roman"/>
        </w:rPr>
        <w:t>furent converties en 720 actions ordinaires de JPF</w:t>
      </w:r>
      <w:r>
        <w:rPr>
          <w:rFonts w:cs="Times New Roman"/>
        </w:rPr>
        <w:t>-2</w:t>
      </w:r>
      <w:r w:rsidRPr="007C5004">
        <w:rPr>
          <w:rFonts w:cs="Times New Roman"/>
        </w:rPr>
        <w:t xml:space="preserve">. Le 2 novembre 2004, </w:t>
      </w:r>
      <w:r>
        <w:rPr>
          <w:rFonts w:cs="Times New Roman"/>
        </w:rPr>
        <w:t xml:space="preserve">soit </w:t>
      </w:r>
      <w:r w:rsidRPr="007C5004">
        <w:rPr>
          <w:rFonts w:cs="Times New Roman"/>
        </w:rPr>
        <w:t>après la fusion, JPF</w:t>
      </w:r>
      <w:r>
        <w:rPr>
          <w:rFonts w:cs="Times New Roman"/>
        </w:rPr>
        <w:t>-2</w:t>
      </w:r>
      <w:r w:rsidRPr="007C5004">
        <w:rPr>
          <w:rFonts w:cs="Times New Roman"/>
        </w:rPr>
        <w:t xml:space="preserve"> racheta les 720 actions d</w:t>
      </w:r>
      <w:r>
        <w:rPr>
          <w:rFonts w:cs="Times New Roman"/>
        </w:rPr>
        <w:t>e M</w:t>
      </w:r>
      <w:r w:rsidRPr="00DA5F3C">
        <w:rPr>
          <w:rFonts w:cs="Times New Roman"/>
          <w:vertAlign w:val="superscript"/>
        </w:rPr>
        <w:t>me</w:t>
      </w:r>
      <w:r>
        <w:rPr>
          <w:rFonts w:cs="Times New Roman"/>
        </w:rPr>
        <w:t> </w:t>
      </w:r>
      <w:r w:rsidRPr="007C5004">
        <w:rPr>
          <w:rFonts w:cs="Times New Roman"/>
        </w:rPr>
        <w:t>Archambault en utilisant les dispositions des lois fiscales sur les roulements. Pour acquitter le prix d’achat, JPF</w:t>
      </w:r>
      <w:r>
        <w:rPr>
          <w:rFonts w:cs="Times New Roman"/>
        </w:rPr>
        <w:t>-2</w:t>
      </w:r>
      <w:r w:rsidRPr="007C5004">
        <w:rPr>
          <w:rFonts w:cs="Times New Roman"/>
        </w:rPr>
        <w:t xml:space="preserve"> remit un billet à demande de 335 000 $ et ém</w:t>
      </w:r>
      <w:r>
        <w:rPr>
          <w:rFonts w:cs="Times New Roman"/>
        </w:rPr>
        <w:t>i</w:t>
      </w:r>
      <w:r w:rsidRPr="007C5004">
        <w:rPr>
          <w:rFonts w:cs="Times New Roman"/>
        </w:rPr>
        <w:t xml:space="preserve">t 385 000 actions privilégiées sans valeur nominale et rachetables. Le 2 novembre, </w:t>
      </w:r>
      <w:r>
        <w:rPr>
          <w:rFonts w:cs="Times New Roman"/>
        </w:rPr>
        <w:t xml:space="preserve">M. </w:t>
      </w:r>
      <w:proofErr w:type="spellStart"/>
      <w:r>
        <w:rPr>
          <w:rFonts w:cs="Times New Roman"/>
        </w:rPr>
        <w:t>Riopel</w:t>
      </w:r>
      <w:proofErr w:type="spellEnd"/>
      <w:r>
        <w:rPr>
          <w:rFonts w:cs="Times New Roman"/>
        </w:rPr>
        <w:t xml:space="preserve"> et M</w:t>
      </w:r>
      <w:r w:rsidRPr="00DA5F3C">
        <w:rPr>
          <w:rFonts w:cs="Times New Roman"/>
          <w:vertAlign w:val="superscript"/>
        </w:rPr>
        <w:t>me</w:t>
      </w:r>
      <w:r>
        <w:rPr>
          <w:rFonts w:cs="Times New Roman"/>
        </w:rPr>
        <w:t xml:space="preserve"> Archambault</w:t>
      </w:r>
      <w:r w:rsidRPr="007C5004">
        <w:rPr>
          <w:rFonts w:cs="Times New Roman"/>
        </w:rPr>
        <w:t xml:space="preserve"> signèrent tous les contrats et documents nécessaires sans que leurs conseillers leur </w:t>
      </w:r>
      <w:r>
        <w:rPr>
          <w:rFonts w:cs="Times New Roman"/>
        </w:rPr>
        <w:t xml:space="preserve">aient </w:t>
      </w:r>
      <w:r w:rsidRPr="007C5004">
        <w:rPr>
          <w:rFonts w:cs="Times New Roman"/>
        </w:rPr>
        <w:t>expliqu</w:t>
      </w:r>
      <w:r>
        <w:rPr>
          <w:rFonts w:cs="Times New Roman"/>
        </w:rPr>
        <w:t>é</w:t>
      </w:r>
      <w:r w:rsidRPr="007C5004">
        <w:rPr>
          <w:rFonts w:cs="Times New Roman"/>
        </w:rPr>
        <w:t xml:space="preserve"> la nature des changements </w:t>
      </w:r>
      <w:r>
        <w:rPr>
          <w:rFonts w:cs="Times New Roman"/>
        </w:rPr>
        <w:t>apportés à</w:t>
      </w:r>
      <w:r w:rsidRPr="007C5004">
        <w:rPr>
          <w:rFonts w:cs="Times New Roman"/>
        </w:rPr>
        <w:t xml:space="preserve"> la planification établie à l’origine. </w:t>
      </w:r>
      <w:r>
        <w:rPr>
          <w:rFonts w:cs="Times New Roman"/>
        </w:rPr>
        <w:t>Il</w:t>
      </w:r>
      <w:r w:rsidRPr="007C5004">
        <w:rPr>
          <w:rFonts w:cs="Times New Roman"/>
        </w:rPr>
        <w:t xml:space="preserve">s reconnurent d’ailleurs </w:t>
      </w:r>
      <w:r>
        <w:rPr>
          <w:rFonts w:cs="Times New Roman"/>
        </w:rPr>
        <w:t>ne</w:t>
      </w:r>
      <w:r w:rsidRPr="007C5004">
        <w:rPr>
          <w:rFonts w:cs="Times New Roman"/>
        </w:rPr>
        <w:t xml:space="preserve"> pas </w:t>
      </w:r>
      <w:r>
        <w:rPr>
          <w:rFonts w:cs="Times New Roman"/>
        </w:rPr>
        <w:t xml:space="preserve">avoir </w:t>
      </w:r>
      <w:r w:rsidRPr="007C5004">
        <w:rPr>
          <w:rFonts w:cs="Times New Roman"/>
        </w:rPr>
        <w:t>lu les documents lors de la clôture de la transaction. Par la suite, JPF</w:t>
      </w:r>
      <w:r>
        <w:rPr>
          <w:rFonts w:cs="Times New Roman"/>
        </w:rPr>
        <w:t>-2</w:t>
      </w:r>
      <w:r w:rsidRPr="007C5004">
        <w:rPr>
          <w:rFonts w:cs="Times New Roman"/>
        </w:rPr>
        <w:t xml:space="preserve"> remboursa le billet dû à M</w:t>
      </w:r>
      <w:r w:rsidRPr="007C5004">
        <w:rPr>
          <w:rFonts w:cs="Times New Roman"/>
          <w:vertAlign w:val="superscript"/>
        </w:rPr>
        <w:t>me</w:t>
      </w:r>
      <w:r w:rsidRPr="007C5004">
        <w:rPr>
          <w:rFonts w:cs="Times New Roman"/>
        </w:rPr>
        <w:t> Archambault et lui racheta ses actions privilégiées</w:t>
      </w:r>
      <w:r>
        <w:rPr>
          <w:rFonts w:cs="Times New Roman"/>
        </w:rPr>
        <w:t xml:space="preserve"> pour 385 000 $</w:t>
      </w:r>
      <w:r w:rsidRPr="007C5004">
        <w:rPr>
          <w:rFonts w:cs="Times New Roman"/>
        </w:rPr>
        <w:t>.</w:t>
      </w:r>
    </w:p>
    <w:p w:rsidR="00B656C1" w:rsidRPr="007C5004" w:rsidRDefault="00B656C1" w:rsidP="00B656C1">
      <w:pPr>
        <w:pStyle w:val="ParaNoNdepar-AltN"/>
        <w:rPr>
          <w:rFonts w:cs="Times New Roman"/>
        </w:rPr>
      </w:pPr>
      <w:r w:rsidRPr="007C5004">
        <w:rPr>
          <w:rFonts w:cs="Times New Roman"/>
        </w:rPr>
        <w:t>Tout à coup, en janvier 2007, M</w:t>
      </w:r>
      <w:r w:rsidRPr="007C5004">
        <w:rPr>
          <w:rFonts w:cs="Times New Roman"/>
          <w:vertAlign w:val="superscript"/>
        </w:rPr>
        <w:t>me</w:t>
      </w:r>
      <w:r w:rsidRPr="007C5004">
        <w:rPr>
          <w:rFonts w:cs="Times New Roman"/>
        </w:rPr>
        <w:t> Archambault reçut des avis de cotisation de l’A</w:t>
      </w:r>
      <w:r>
        <w:rPr>
          <w:rFonts w:cs="Times New Roman"/>
        </w:rPr>
        <w:t>R</w:t>
      </w:r>
      <w:r w:rsidRPr="007C5004">
        <w:rPr>
          <w:rFonts w:cs="Times New Roman"/>
        </w:rPr>
        <w:t xml:space="preserve">C et du </w:t>
      </w:r>
      <w:r>
        <w:rPr>
          <w:rFonts w:cs="Times New Roman"/>
        </w:rPr>
        <w:t>m</w:t>
      </w:r>
      <w:r w:rsidRPr="007C5004">
        <w:rPr>
          <w:rFonts w:cs="Times New Roman"/>
        </w:rPr>
        <w:t xml:space="preserve">inistère du Revenu du Québec. On </w:t>
      </w:r>
      <w:r>
        <w:rPr>
          <w:rFonts w:cs="Times New Roman"/>
        </w:rPr>
        <w:t xml:space="preserve">attribua </w:t>
      </w:r>
      <w:r w:rsidRPr="007C5004">
        <w:rPr>
          <w:rFonts w:cs="Times New Roman"/>
        </w:rPr>
        <w:t>à M</w:t>
      </w:r>
      <w:r w:rsidRPr="007C5004">
        <w:rPr>
          <w:rFonts w:cs="Times New Roman"/>
          <w:vertAlign w:val="superscript"/>
        </w:rPr>
        <w:t>me</w:t>
      </w:r>
      <w:r>
        <w:rPr>
          <w:rFonts w:cs="Times New Roman"/>
        </w:rPr>
        <w:t> </w:t>
      </w:r>
      <w:r w:rsidRPr="007C5004">
        <w:rPr>
          <w:rFonts w:cs="Times New Roman"/>
        </w:rPr>
        <w:t xml:space="preserve">Archambault un dividende imposable de 335 000 $ et on lui réclama des arrérages d’impôt de 150 000 $, environ, </w:t>
      </w:r>
      <w:r>
        <w:rPr>
          <w:rFonts w:cs="Times New Roman"/>
        </w:rPr>
        <w:t>majorés des</w:t>
      </w:r>
      <w:r w:rsidRPr="007C5004">
        <w:rPr>
          <w:rFonts w:cs="Times New Roman"/>
        </w:rPr>
        <w:t xml:space="preserve"> intérêts usuels.</w:t>
      </w:r>
      <w:r>
        <w:rPr>
          <w:rFonts w:cs="Times New Roman"/>
        </w:rPr>
        <w:t xml:space="preserve"> Ces avis de cotisation signifiaient que les autorités fiscales estimaient que la planification fiscale comportait des erreurs et qu’elle ne pouvait atteindre son objectif.</w:t>
      </w:r>
    </w:p>
    <w:p w:rsidR="00B656C1" w:rsidRPr="007C5004" w:rsidRDefault="00B656C1" w:rsidP="00B656C1">
      <w:pPr>
        <w:pStyle w:val="ParaNoNdepar-AltN"/>
        <w:rPr>
          <w:rFonts w:cs="Times New Roman"/>
        </w:rPr>
      </w:pPr>
      <w:r>
        <w:rPr>
          <w:rFonts w:cs="Times New Roman"/>
        </w:rPr>
        <w:t>C</w:t>
      </w:r>
      <w:r w:rsidRPr="007C5004">
        <w:rPr>
          <w:rFonts w:cs="Times New Roman"/>
        </w:rPr>
        <w:t>onformément aux lois fiscales applicables</w:t>
      </w:r>
      <w:r>
        <w:rPr>
          <w:rFonts w:cs="Times New Roman"/>
        </w:rPr>
        <w:t>,</w:t>
      </w:r>
      <w:r w:rsidRPr="007C5004">
        <w:rPr>
          <w:rFonts w:cs="Times New Roman"/>
        </w:rPr>
        <w:t xml:space="preserve"> </w:t>
      </w:r>
      <w:r>
        <w:rPr>
          <w:rFonts w:cs="Times New Roman"/>
        </w:rPr>
        <w:t>l</w:t>
      </w:r>
      <w:r w:rsidRPr="007C5004">
        <w:rPr>
          <w:rFonts w:cs="Times New Roman"/>
        </w:rPr>
        <w:t xml:space="preserve">es intimés déposèrent un avis d’opposition </w:t>
      </w:r>
      <w:r>
        <w:rPr>
          <w:rFonts w:cs="Times New Roman"/>
        </w:rPr>
        <w:t>aux</w:t>
      </w:r>
      <w:r w:rsidRPr="007C5004">
        <w:rPr>
          <w:rFonts w:cs="Times New Roman"/>
        </w:rPr>
        <w:t xml:space="preserve"> </w:t>
      </w:r>
      <w:r>
        <w:rPr>
          <w:rFonts w:cs="Times New Roman"/>
        </w:rPr>
        <w:t>avis de</w:t>
      </w:r>
      <w:r w:rsidRPr="007C5004">
        <w:rPr>
          <w:rFonts w:cs="Times New Roman"/>
        </w:rPr>
        <w:t xml:space="preserve"> cotisation. Cet aspect du dossier demeure toujours en suspens. En effet, aprè</w:t>
      </w:r>
      <w:r>
        <w:rPr>
          <w:rFonts w:cs="Times New Roman"/>
        </w:rPr>
        <w:t>s la réception des avis de</w:t>
      </w:r>
      <w:r w:rsidRPr="007C5004">
        <w:rPr>
          <w:rFonts w:cs="Times New Roman"/>
        </w:rPr>
        <w:t xml:space="preserve"> cotisation, les intimés entamèrent devant la Cour supérieure du Québec une procédure qualifiée de « </w:t>
      </w:r>
      <w:r>
        <w:rPr>
          <w:rFonts w:cs="Times New Roman"/>
        </w:rPr>
        <w:t>R</w:t>
      </w:r>
      <w:r w:rsidRPr="007C5004">
        <w:rPr>
          <w:rFonts w:cs="Times New Roman"/>
        </w:rPr>
        <w:t xml:space="preserve">equête </w:t>
      </w:r>
      <w:r>
        <w:rPr>
          <w:rFonts w:cs="Times New Roman"/>
        </w:rPr>
        <w:t xml:space="preserve">introductive d’instance </w:t>
      </w:r>
      <w:r w:rsidRPr="007C5004">
        <w:rPr>
          <w:rFonts w:cs="Times New Roman"/>
        </w:rPr>
        <w:t xml:space="preserve">en rectification de contrat ». Selon les </w:t>
      </w:r>
      <w:r>
        <w:rPr>
          <w:rFonts w:cs="Times New Roman"/>
        </w:rPr>
        <w:t>intimés</w:t>
      </w:r>
      <w:r w:rsidRPr="007C5004">
        <w:rPr>
          <w:rFonts w:cs="Times New Roman"/>
        </w:rPr>
        <w:t xml:space="preserve">, l’objectif de cette procédure </w:t>
      </w:r>
      <w:r>
        <w:rPr>
          <w:rFonts w:cs="Times New Roman"/>
        </w:rPr>
        <w:t>consistait à</w:t>
      </w:r>
      <w:r w:rsidRPr="007C5004">
        <w:rPr>
          <w:rFonts w:cs="Times New Roman"/>
        </w:rPr>
        <w:t xml:space="preserve"> faire </w:t>
      </w:r>
      <w:r>
        <w:rPr>
          <w:rFonts w:cs="Times New Roman"/>
        </w:rPr>
        <w:t>constater</w:t>
      </w:r>
      <w:r w:rsidRPr="007C5004">
        <w:rPr>
          <w:rFonts w:cs="Times New Roman"/>
        </w:rPr>
        <w:t xml:space="preserve"> la véritable entente intervenue entre eux, pour </w:t>
      </w:r>
      <w:r>
        <w:rPr>
          <w:rFonts w:cs="Times New Roman"/>
        </w:rPr>
        <w:t xml:space="preserve">que les documents </w:t>
      </w:r>
      <w:r w:rsidRPr="007C5004">
        <w:rPr>
          <w:rFonts w:cs="Times New Roman"/>
        </w:rPr>
        <w:t>refl</w:t>
      </w:r>
      <w:r>
        <w:rPr>
          <w:rFonts w:cs="Times New Roman"/>
        </w:rPr>
        <w:t>è</w:t>
      </w:r>
      <w:r w:rsidRPr="007C5004">
        <w:rPr>
          <w:rFonts w:cs="Times New Roman"/>
        </w:rPr>
        <w:t>te</w:t>
      </w:r>
      <w:r>
        <w:rPr>
          <w:rFonts w:cs="Times New Roman"/>
        </w:rPr>
        <w:t>nt</w:t>
      </w:r>
      <w:r w:rsidRPr="007C5004">
        <w:rPr>
          <w:rFonts w:cs="Times New Roman"/>
        </w:rPr>
        <w:t xml:space="preserve"> leur intention réelle. Grâce à cette procédure, ils entendaient </w:t>
      </w:r>
      <w:r>
        <w:rPr>
          <w:rFonts w:cs="Times New Roman"/>
        </w:rPr>
        <w:t>donner effet aux</w:t>
      </w:r>
      <w:r w:rsidRPr="007C5004">
        <w:rPr>
          <w:rFonts w:cs="Times New Roman"/>
        </w:rPr>
        <w:t xml:space="preserve"> termes de la transaction prévus à l’origine, en modifiant ou en remplaçant les documents signés le 2 novembre 2004 chez leurs conseillers fiscaux.</w:t>
      </w:r>
    </w:p>
    <w:p w:rsidR="00B656C1" w:rsidRPr="007C5004" w:rsidRDefault="00B656C1" w:rsidP="00B656C1">
      <w:pPr>
        <w:pStyle w:val="ParaNoNdepar-AltN"/>
        <w:rPr>
          <w:rFonts w:cs="Times New Roman"/>
        </w:rPr>
      </w:pPr>
      <w:r w:rsidRPr="007C5004">
        <w:rPr>
          <w:rFonts w:cs="Times New Roman"/>
        </w:rPr>
        <w:t xml:space="preserve">Les intimés demandaient d’abord </w:t>
      </w:r>
      <w:r>
        <w:rPr>
          <w:rFonts w:cs="Times New Roman"/>
        </w:rPr>
        <w:t>la</w:t>
      </w:r>
      <w:r w:rsidRPr="007C5004">
        <w:rPr>
          <w:rFonts w:cs="Times New Roman"/>
        </w:rPr>
        <w:t xml:space="preserve"> modifi</w:t>
      </w:r>
      <w:r>
        <w:rPr>
          <w:rFonts w:cs="Times New Roman"/>
        </w:rPr>
        <w:t>cation</w:t>
      </w:r>
      <w:r w:rsidRPr="007C5004">
        <w:rPr>
          <w:rFonts w:cs="Times New Roman"/>
        </w:rPr>
        <w:t xml:space="preserve"> rétroactive</w:t>
      </w:r>
      <w:r>
        <w:rPr>
          <w:rFonts w:cs="Times New Roman"/>
        </w:rPr>
        <w:t xml:space="preserve"> de</w:t>
      </w:r>
      <w:r w:rsidRPr="007C5004">
        <w:rPr>
          <w:rFonts w:cs="Times New Roman"/>
        </w:rPr>
        <w:t xml:space="preserve"> la date de la vente de leurs actions</w:t>
      </w:r>
      <w:r>
        <w:rPr>
          <w:rFonts w:cs="Times New Roman"/>
        </w:rPr>
        <w:t>,</w:t>
      </w:r>
      <w:r w:rsidRPr="007C5004">
        <w:rPr>
          <w:rFonts w:cs="Times New Roman"/>
        </w:rPr>
        <w:t xml:space="preserve"> du 2 novembre au 30 octobre 2004. </w:t>
      </w:r>
      <w:r>
        <w:rPr>
          <w:rFonts w:cs="Times New Roman"/>
        </w:rPr>
        <w:t>La vente</w:t>
      </w:r>
      <w:r w:rsidRPr="007C5004">
        <w:rPr>
          <w:rFonts w:cs="Times New Roman"/>
        </w:rPr>
        <w:t xml:space="preserve"> serait </w:t>
      </w:r>
      <w:r>
        <w:rPr>
          <w:rFonts w:cs="Times New Roman"/>
        </w:rPr>
        <w:t xml:space="preserve">ainsi </w:t>
      </w:r>
      <w:r w:rsidRPr="007C5004">
        <w:rPr>
          <w:rFonts w:cs="Times New Roman"/>
        </w:rPr>
        <w:t xml:space="preserve">réputée avoir eu lieu à cette dernière date, c’est-à-dire avant la fusion. </w:t>
      </w:r>
      <w:r>
        <w:rPr>
          <w:rFonts w:cs="Times New Roman"/>
        </w:rPr>
        <w:t>Ils sollicitaient</w:t>
      </w:r>
      <w:r w:rsidRPr="007C5004">
        <w:rPr>
          <w:rFonts w:cs="Times New Roman"/>
        </w:rPr>
        <w:t xml:space="preserve"> également </w:t>
      </w:r>
      <w:r>
        <w:rPr>
          <w:rFonts w:cs="Times New Roman"/>
        </w:rPr>
        <w:t xml:space="preserve">dans leur </w:t>
      </w:r>
      <w:r w:rsidRPr="007C5004">
        <w:rPr>
          <w:rFonts w:cs="Times New Roman"/>
        </w:rPr>
        <w:t xml:space="preserve">requête des changements aux annexes des statuts de fusion, </w:t>
      </w:r>
      <w:r>
        <w:rPr>
          <w:rFonts w:cs="Times New Roman"/>
        </w:rPr>
        <w:t>à savoir</w:t>
      </w:r>
      <w:r w:rsidRPr="007C5004">
        <w:rPr>
          <w:rFonts w:cs="Times New Roman"/>
        </w:rPr>
        <w:t xml:space="preserve"> </w:t>
      </w:r>
      <w:r>
        <w:rPr>
          <w:rFonts w:cs="Times New Roman"/>
        </w:rPr>
        <w:t>la modification d</w:t>
      </w:r>
      <w:r w:rsidRPr="007C5004">
        <w:rPr>
          <w:rFonts w:cs="Times New Roman"/>
        </w:rPr>
        <w:t>es catégories d’actions établies le 2 novembre. En</w:t>
      </w:r>
      <w:r>
        <w:rPr>
          <w:rFonts w:cs="Times New Roman"/>
        </w:rPr>
        <w:t xml:space="preserve"> outre</w:t>
      </w:r>
      <w:r w:rsidRPr="007C5004">
        <w:rPr>
          <w:rFonts w:cs="Times New Roman"/>
        </w:rPr>
        <w:t xml:space="preserve">, </w:t>
      </w:r>
      <w:r>
        <w:rPr>
          <w:rFonts w:cs="Times New Roman"/>
        </w:rPr>
        <w:t>ils</w:t>
      </w:r>
      <w:r w:rsidRPr="007C5004">
        <w:rPr>
          <w:rFonts w:cs="Times New Roman"/>
        </w:rPr>
        <w:t xml:space="preserve"> réclamai</w:t>
      </w:r>
      <w:r>
        <w:rPr>
          <w:rFonts w:cs="Times New Roman"/>
        </w:rPr>
        <w:t>en</w:t>
      </w:r>
      <w:r w:rsidRPr="007C5004">
        <w:rPr>
          <w:rFonts w:cs="Times New Roman"/>
        </w:rPr>
        <w:t xml:space="preserve">t des modifications corrélatives aux formulaires fiscaux </w:t>
      </w:r>
      <w:r>
        <w:rPr>
          <w:rFonts w:cs="Times New Roman"/>
        </w:rPr>
        <w:t>T</w:t>
      </w:r>
      <w:r w:rsidRPr="007C5004">
        <w:rPr>
          <w:rFonts w:cs="Times New Roman"/>
        </w:rPr>
        <w:t xml:space="preserve">2057 et TP-518 </w:t>
      </w:r>
      <w:r>
        <w:rPr>
          <w:rFonts w:cs="Times New Roman"/>
        </w:rPr>
        <w:t xml:space="preserve">qu’ils avaient </w:t>
      </w:r>
      <w:r w:rsidRPr="007C5004">
        <w:rPr>
          <w:rFonts w:cs="Times New Roman"/>
        </w:rPr>
        <w:t xml:space="preserve">produits après la fusion. Enfin, </w:t>
      </w:r>
      <w:r>
        <w:rPr>
          <w:rFonts w:cs="Times New Roman"/>
        </w:rPr>
        <w:t xml:space="preserve">ils souhaitaient faire modifier </w:t>
      </w:r>
      <w:r w:rsidRPr="007C5004">
        <w:rPr>
          <w:rFonts w:cs="Times New Roman"/>
        </w:rPr>
        <w:t>le prix</w:t>
      </w:r>
      <w:r>
        <w:rPr>
          <w:rFonts w:cs="Times New Roman"/>
        </w:rPr>
        <w:t xml:space="preserve"> des </w:t>
      </w:r>
      <w:r w:rsidRPr="007C5004">
        <w:rPr>
          <w:rFonts w:cs="Times New Roman"/>
        </w:rPr>
        <w:t>actions cédé</w:t>
      </w:r>
      <w:r>
        <w:rPr>
          <w:rFonts w:cs="Times New Roman"/>
        </w:rPr>
        <w:t>e</w:t>
      </w:r>
      <w:r w:rsidRPr="007C5004">
        <w:rPr>
          <w:rFonts w:cs="Times New Roman"/>
        </w:rPr>
        <w:t>s</w:t>
      </w:r>
      <w:r>
        <w:rPr>
          <w:rFonts w:cs="Times New Roman"/>
        </w:rPr>
        <w:t xml:space="preserve">, ainsi que les catégories et le nombre de ces actions, </w:t>
      </w:r>
      <w:r w:rsidRPr="007C5004">
        <w:rPr>
          <w:rFonts w:cs="Times New Roman"/>
        </w:rPr>
        <w:t>pour rendre</w:t>
      </w:r>
      <w:r>
        <w:rPr>
          <w:rFonts w:cs="Times New Roman"/>
        </w:rPr>
        <w:t xml:space="preserve"> ces modalités</w:t>
      </w:r>
      <w:r w:rsidRPr="007C5004">
        <w:rPr>
          <w:rFonts w:cs="Times New Roman"/>
        </w:rPr>
        <w:t xml:space="preserve"> conformes à la planification fiscale convenue à l’origine. L’ensemble de ces modifications vis</w:t>
      </w:r>
      <w:r>
        <w:rPr>
          <w:rFonts w:cs="Times New Roman"/>
        </w:rPr>
        <w:t>ait</w:t>
      </w:r>
      <w:r w:rsidRPr="007C5004">
        <w:rPr>
          <w:rFonts w:cs="Times New Roman"/>
        </w:rPr>
        <w:t xml:space="preserve"> à éviter l’</w:t>
      </w:r>
      <w:r>
        <w:rPr>
          <w:rFonts w:cs="Times New Roman"/>
        </w:rPr>
        <w:t>attribution</w:t>
      </w:r>
      <w:r w:rsidRPr="007C5004">
        <w:rPr>
          <w:rFonts w:cs="Times New Roman"/>
        </w:rPr>
        <w:t xml:space="preserve"> d’un dividende imposable à l’intimé</w:t>
      </w:r>
      <w:r>
        <w:rPr>
          <w:rFonts w:cs="Times New Roman"/>
        </w:rPr>
        <w:t>e</w:t>
      </w:r>
      <w:r w:rsidRPr="007C5004">
        <w:rPr>
          <w:rFonts w:cs="Times New Roman"/>
        </w:rPr>
        <w:t xml:space="preserve"> M</w:t>
      </w:r>
      <w:r w:rsidRPr="00B5596C">
        <w:rPr>
          <w:rFonts w:cs="Times New Roman"/>
          <w:vertAlign w:val="superscript"/>
        </w:rPr>
        <w:t xml:space="preserve">me </w:t>
      </w:r>
      <w:r>
        <w:rPr>
          <w:rFonts w:cs="Times New Roman"/>
        </w:rPr>
        <w:t>Archambault</w:t>
      </w:r>
      <w:r w:rsidRPr="007C5004">
        <w:rPr>
          <w:rFonts w:cs="Times New Roman"/>
        </w:rPr>
        <w:t>, à la suite de la cession des actions.</w:t>
      </w:r>
    </w:p>
    <w:p w:rsidR="00B656C1" w:rsidRPr="007C5004" w:rsidRDefault="00B656C1" w:rsidP="00B656C1">
      <w:pPr>
        <w:pStyle w:val="ParaNoNdepar-AltN"/>
        <w:rPr>
          <w:rFonts w:cs="Times New Roman"/>
        </w:rPr>
      </w:pPr>
      <w:r w:rsidRPr="007C5004">
        <w:rPr>
          <w:rFonts w:cs="Times New Roman"/>
        </w:rPr>
        <w:t xml:space="preserve">Pour les intimés, </w:t>
      </w:r>
      <w:r>
        <w:rPr>
          <w:rFonts w:cs="Times New Roman"/>
        </w:rPr>
        <w:t>leur requête représentait</w:t>
      </w:r>
      <w:r w:rsidRPr="007C5004">
        <w:rPr>
          <w:rFonts w:cs="Times New Roman"/>
        </w:rPr>
        <w:t xml:space="preserve"> une simple </w:t>
      </w:r>
      <w:r>
        <w:rPr>
          <w:rFonts w:cs="Times New Roman"/>
        </w:rPr>
        <w:t xml:space="preserve">demande de </w:t>
      </w:r>
      <w:r w:rsidRPr="007C5004">
        <w:rPr>
          <w:rFonts w:cs="Times New Roman"/>
        </w:rPr>
        <w:t xml:space="preserve">rectification de contrat </w:t>
      </w:r>
      <w:r>
        <w:rPr>
          <w:rFonts w:cs="Times New Roman"/>
        </w:rPr>
        <w:t>visant à</w:t>
      </w:r>
      <w:r w:rsidRPr="007C5004">
        <w:rPr>
          <w:rFonts w:cs="Times New Roman"/>
        </w:rPr>
        <w:t xml:space="preserve"> faire corriger des écrits non conformes à leur accord véritable. L’ARQ et l’ARC contestèrent tou</w:t>
      </w:r>
      <w:r>
        <w:rPr>
          <w:rFonts w:cs="Times New Roman"/>
        </w:rPr>
        <w:t>tes</w:t>
      </w:r>
      <w:r w:rsidRPr="007C5004">
        <w:rPr>
          <w:rFonts w:cs="Times New Roman"/>
        </w:rPr>
        <w:t xml:space="preserve"> deux la recevabilité et le fondement de la requête</w:t>
      </w:r>
      <w:r>
        <w:rPr>
          <w:rFonts w:cs="Times New Roman"/>
        </w:rPr>
        <w:t xml:space="preserve"> des intimés</w:t>
      </w:r>
      <w:r w:rsidRPr="007C5004">
        <w:rPr>
          <w:rFonts w:cs="Times New Roman"/>
        </w:rPr>
        <w:t xml:space="preserve">. Selon </w:t>
      </w:r>
      <w:r>
        <w:rPr>
          <w:rFonts w:cs="Times New Roman"/>
        </w:rPr>
        <w:t>les autorités fiscales</w:t>
      </w:r>
      <w:r w:rsidRPr="007C5004">
        <w:rPr>
          <w:rFonts w:cs="Times New Roman"/>
        </w:rPr>
        <w:t>, la procédure civile québécoise ne permettait pas la présentation d’une telle requête devant la Cour supérieure du Québec et la prétendue demande de rectification était complètement étrangère au droit des obligations du Québec.</w:t>
      </w:r>
    </w:p>
    <w:p w:rsidR="00B656C1" w:rsidRPr="007C5004" w:rsidRDefault="00B656C1" w:rsidP="00B656C1">
      <w:pPr>
        <w:pStyle w:val="TitleTitre-AltT"/>
        <w:tabs>
          <w:tab w:val="clear" w:pos="360"/>
          <w:tab w:val="left" w:pos="540"/>
        </w:tabs>
        <w:ind w:left="547" w:hanging="547"/>
        <w:rPr>
          <w:rFonts w:cs="Times New Roman"/>
        </w:rPr>
      </w:pPr>
      <w:r w:rsidRPr="007C5004">
        <w:rPr>
          <w:rFonts w:cs="Times New Roman"/>
        </w:rPr>
        <w:t>III.</w:t>
      </w:r>
      <w:r w:rsidRPr="007C5004">
        <w:rPr>
          <w:rFonts w:cs="Times New Roman"/>
        </w:rPr>
        <w:tab/>
      </w:r>
      <w:r w:rsidRPr="007C5004">
        <w:rPr>
          <w:rFonts w:cs="Times New Roman"/>
          <w:u w:val="single"/>
        </w:rPr>
        <w:t>Historique judiciaire</w:t>
      </w:r>
    </w:p>
    <w:p w:rsidR="00B656C1" w:rsidRPr="007C5004" w:rsidRDefault="00B656C1" w:rsidP="00B656C1">
      <w:pPr>
        <w:pStyle w:val="ParaNoNdepar-AltN"/>
        <w:rPr>
          <w:rFonts w:cs="Times New Roman"/>
        </w:rPr>
      </w:pPr>
      <w:r w:rsidRPr="007C5004">
        <w:rPr>
          <w:rFonts w:cs="Times New Roman"/>
        </w:rPr>
        <w:t xml:space="preserve">Les deux </w:t>
      </w:r>
      <w:r>
        <w:rPr>
          <w:rFonts w:cs="Times New Roman"/>
        </w:rPr>
        <w:t>affaires, qui ont été</w:t>
      </w:r>
      <w:r w:rsidRPr="007C5004">
        <w:rPr>
          <w:rFonts w:cs="Times New Roman"/>
        </w:rPr>
        <w:t xml:space="preserve"> entendu</w:t>
      </w:r>
      <w:r>
        <w:rPr>
          <w:rFonts w:cs="Times New Roman"/>
        </w:rPr>
        <w:t>e</w:t>
      </w:r>
      <w:r w:rsidRPr="007C5004">
        <w:rPr>
          <w:rFonts w:cs="Times New Roman"/>
        </w:rPr>
        <w:t xml:space="preserve">s </w:t>
      </w:r>
      <w:r>
        <w:rPr>
          <w:rFonts w:cs="Times New Roman"/>
        </w:rPr>
        <w:t>en</w:t>
      </w:r>
      <w:r w:rsidRPr="007C5004">
        <w:rPr>
          <w:rFonts w:cs="Times New Roman"/>
        </w:rPr>
        <w:t xml:space="preserve"> même </w:t>
      </w:r>
      <w:r>
        <w:rPr>
          <w:rFonts w:cs="Times New Roman"/>
        </w:rPr>
        <w:t>temps</w:t>
      </w:r>
      <w:r w:rsidRPr="007C5004">
        <w:rPr>
          <w:rFonts w:cs="Times New Roman"/>
        </w:rPr>
        <w:t xml:space="preserve"> par notre Cour</w:t>
      </w:r>
      <w:r>
        <w:rPr>
          <w:rFonts w:cs="Times New Roman"/>
        </w:rPr>
        <w:t>,</w:t>
      </w:r>
      <w:r w:rsidRPr="007C5004">
        <w:rPr>
          <w:rFonts w:cs="Times New Roman"/>
        </w:rPr>
        <w:t xml:space="preserve"> ont été mené</w:t>
      </w:r>
      <w:r>
        <w:rPr>
          <w:rFonts w:cs="Times New Roman"/>
        </w:rPr>
        <w:t>e</w:t>
      </w:r>
      <w:r w:rsidRPr="007C5004">
        <w:rPr>
          <w:rFonts w:cs="Times New Roman"/>
        </w:rPr>
        <w:t xml:space="preserve">s de façon complètement </w:t>
      </w:r>
      <w:r>
        <w:rPr>
          <w:rFonts w:cs="Times New Roman"/>
        </w:rPr>
        <w:t>indépendante</w:t>
      </w:r>
      <w:r w:rsidRPr="007C5004">
        <w:rPr>
          <w:rFonts w:cs="Times New Roman"/>
        </w:rPr>
        <w:t xml:space="preserve"> devant les tribunaux du Québec. </w:t>
      </w:r>
      <w:r>
        <w:rPr>
          <w:rFonts w:cs="Times New Roman"/>
        </w:rPr>
        <w:t>Elles ont fait l’objet d’audiences et de décisions distinctes tant devant l</w:t>
      </w:r>
      <w:r w:rsidRPr="007C5004">
        <w:rPr>
          <w:rFonts w:cs="Times New Roman"/>
        </w:rPr>
        <w:t xml:space="preserve">a Cour supérieure </w:t>
      </w:r>
      <w:r>
        <w:rPr>
          <w:rFonts w:cs="Times New Roman"/>
        </w:rPr>
        <w:t>que</w:t>
      </w:r>
      <w:r w:rsidRPr="007C5004">
        <w:rPr>
          <w:rFonts w:cs="Times New Roman"/>
        </w:rPr>
        <w:t xml:space="preserve"> la Cour d’appel. Je résumerai d’abord les jugements rendus dans l’affaire </w:t>
      </w:r>
      <w:r w:rsidRPr="00EB2DBA">
        <w:rPr>
          <w:rFonts w:cs="Times New Roman"/>
          <w:i/>
        </w:rPr>
        <w:t>AES</w:t>
      </w:r>
      <w:r w:rsidRPr="007C5004">
        <w:rPr>
          <w:rFonts w:cs="Times New Roman"/>
        </w:rPr>
        <w:t>, puis ceux prononcés dans l</w:t>
      </w:r>
      <w:r>
        <w:rPr>
          <w:rFonts w:cs="Times New Roman"/>
        </w:rPr>
        <w:t>’affaire</w:t>
      </w:r>
      <w:r w:rsidRPr="007C5004">
        <w:rPr>
          <w:rFonts w:cs="Times New Roman"/>
        </w:rPr>
        <w:t xml:space="preserve"> </w:t>
      </w:r>
      <w:proofErr w:type="spellStart"/>
      <w:r w:rsidRPr="00EB2DBA">
        <w:rPr>
          <w:rFonts w:cs="Times New Roman"/>
          <w:i/>
        </w:rPr>
        <w:t>Riopel</w:t>
      </w:r>
      <w:proofErr w:type="spellEnd"/>
      <w:r w:rsidRPr="007C5004">
        <w:rPr>
          <w:rFonts w:cs="Times New Roman"/>
        </w:rPr>
        <w:t>.</w:t>
      </w:r>
    </w:p>
    <w:p w:rsidR="00B656C1" w:rsidRPr="007C5004" w:rsidRDefault="00B656C1" w:rsidP="00B656C1">
      <w:pPr>
        <w:pStyle w:val="TitleTitre-AltT"/>
        <w:tabs>
          <w:tab w:val="clear" w:pos="360"/>
          <w:tab w:val="left" w:pos="540"/>
        </w:tabs>
        <w:ind w:left="547" w:hanging="547"/>
        <w:rPr>
          <w:rFonts w:cs="Times New Roman"/>
        </w:rPr>
      </w:pPr>
      <w:r>
        <w:rPr>
          <w:rFonts w:cs="Times New Roman"/>
        </w:rPr>
        <w:t>A</w:t>
      </w:r>
      <w:r w:rsidRPr="007C5004">
        <w:rPr>
          <w:rFonts w:cs="Times New Roman"/>
        </w:rPr>
        <w:t>.</w:t>
      </w:r>
      <w:r w:rsidRPr="007C5004">
        <w:rPr>
          <w:rFonts w:cs="Times New Roman"/>
        </w:rPr>
        <w:tab/>
      </w:r>
      <w:r w:rsidRPr="007C5004">
        <w:rPr>
          <w:rFonts w:cs="Times New Roman"/>
          <w:i/>
        </w:rPr>
        <w:t>L’affaire AES</w:t>
      </w:r>
    </w:p>
    <w:p w:rsidR="00B656C1" w:rsidRPr="007C5004" w:rsidRDefault="00B656C1" w:rsidP="00B656C1">
      <w:pPr>
        <w:pStyle w:val="TitleTitre-AltT"/>
        <w:tabs>
          <w:tab w:val="clear" w:pos="360"/>
          <w:tab w:val="left" w:pos="540"/>
          <w:tab w:val="left" w:pos="900"/>
        </w:tabs>
        <w:ind w:left="897" w:hanging="710"/>
        <w:rPr>
          <w:rFonts w:cs="Times New Roman"/>
        </w:rPr>
      </w:pPr>
      <w:r w:rsidRPr="007C5004">
        <w:rPr>
          <w:rFonts w:cs="Times New Roman"/>
          <w:i/>
        </w:rPr>
        <w:tab/>
      </w:r>
      <w:r w:rsidRPr="007C5004">
        <w:rPr>
          <w:rFonts w:cs="Times New Roman"/>
        </w:rPr>
        <w:t>(1)</w:t>
      </w:r>
      <w:r w:rsidRPr="007C5004">
        <w:rPr>
          <w:rFonts w:cs="Times New Roman"/>
        </w:rPr>
        <w:tab/>
      </w:r>
      <w:r w:rsidRPr="007C5004">
        <w:rPr>
          <w:rFonts w:cs="Times New Roman"/>
          <w:u w:val="single"/>
        </w:rPr>
        <w:t xml:space="preserve">La Cour supérieure du Québec, la juge </w:t>
      </w:r>
      <w:proofErr w:type="spellStart"/>
      <w:r w:rsidRPr="007C5004">
        <w:rPr>
          <w:rFonts w:cs="Times New Roman"/>
          <w:u w:val="single"/>
        </w:rPr>
        <w:t>Borenstein</w:t>
      </w:r>
      <w:proofErr w:type="spellEnd"/>
      <w:r>
        <w:rPr>
          <w:rFonts w:cs="Times New Roman"/>
          <w:u w:val="single"/>
        </w:rPr>
        <w:t>, 2009 QCCS 790 (</w:t>
      </w:r>
      <w:proofErr w:type="spellStart"/>
      <w:r>
        <w:rPr>
          <w:rFonts w:cs="Times New Roman"/>
          <w:u w:val="single"/>
        </w:rPr>
        <w:t>CanLII</w:t>
      </w:r>
      <w:proofErr w:type="spellEnd"/>
      <w:r>
        <w:rPr>
          <w:rFonts w:cs="Times New Roman"/>
          <w:u w:val="single"/>
        </w:rPr>
        <w:t>)</w:t>
      </w:r>
    </w:p>
    <w:p w:rsidR="00B656C1" w:rsidRPr="007C5004" w:rsidRDefault="00B656C1" w:rsidP="00B656C1">
      <w:pPr>
        <w:pStyle w:val="ParaNoNdepar-AltN"/>
        <w:rPr>
          <w:rFonts w:cs="Times New Roman"/>
        </w:rPr>
      </w:pPr>
      <w:r>
        <w:rPr>
          <w:rFonts w:cs="Times New Roman"/>
        </w:rPr>
        <w:t>Sur la base d’admissions de faits déposées par les parties, l</w:t>
      </w:r>
      <w:r w:rsidRPr="007C5004">
        <w:rPr>
          <w:rFonts w:cs="Times New Roman"/>
        </w:rPr>
        <w:t>a Cour supérieure fait droit à la requête en rectification</w:t>
      </w:r>
      <w:r>
        <w:rPr>
          <w:rFonts w:cs="Times New Roman"/>
        </w:rPr>
        <w:t>, reconnaissant que la procédure civile québécoise</w:t>
      </w:r>
      <w:r w:rsidRPr="007C5004">
        <w:rPr>
          <w:rFonts w:cs="Times New Roman"/>
        </w:rPr>
        <w:t xml:space="preserve"> n’interdit pas la procédure présentée par les </w:t>
      </w:r>
      <w:r>
        <w:rPr>
          <w:rFonts w:cs="Times New Roman"/>
        </w:rPr>
        <w:t>intimé</w:t>
      </w:r>
      <w:r w:rsidRPr="007C5004">
        <w:rPr>
          <w:rFonts w:cs="Times New Roman"/>
        </w:rPr>
        <w:t xml:space="preserve">s. </w:t>
      </w:r>
      <w:r>
        <w:rPr>
          <w:rFonts w:cs="Times New Roman"/>
        </w:rPr>
        <w:t>L</w:t>
      </w:r>
      <w:r w:rsidRPr="007C5004">
        <w:rPr>
          <w:rFonts w:cs="Times New Roman"/>
        </w:rPr>
        <w:t xml:space="preserve">a juge </w:t>
      </w:r>
      <w:proofErr w:type="spellStart"/>
      <w:r w:rsidRPr="007C5004">
        <w:rPr>
          <w:rFonts w:cs="Times New Roman"/>
        </w:rPr>
        <w:t>Borenstein</w:t>
      </w:r>
      <w:proofErr w:type="spellEnd"/>
      <w:r w:rsidRPr="007C5004">
        <w:rPr>
          <w:rFonts w:cs="Times New Roman"/>
        </w:rPr>
        <w:t xml:space="preserve"> décide que le droit civil du Québec autorise une </w:t>
      </w:r>
      <w:r>
        <w:rPr>
          <w:rFonts w:cs="Times New Roman"/>
        </w:rPr>
        <w:t xml:space="preserve">certaine </w:t>
      </w:r>
      <w:r w:rsidRPr="007C5004">
        <w:rPr>
          <w:rFonts w:cs="Times New Roman"/>
        </w:rPr>
        <w:t xml:space="preserve">forme de rectification </w:t>
      </w:r>
      <w:r>
        <w:rPr>
          <w:rFonts w:cs="Times New Roman"/>
        </w:rPr>
        <w:t>afin de</w:t>
      </w:r>
      <w:r w:rsidRPr="007C5004">
        <w:rPr>
          <w:rFonts w:cs="Times New Roman"/>
        </w:rPr>
        <w:t xml:space="preserve"> refléter l’intention réelle des parties à un contrat. Elle permet donc la modification de tous les documents relatifs à la transaction, déclare ces modifications opposables au fisc et leur donne effet rétroacti</w:t>
      </w:r>
      <w:r>
        <w:rPr>
          <w:rFonts w:cs="Times New Roman"/>
        </w:rPr>
        <w:t>vement</w:t>
      </w:r>
      <w:r w:rsidRPr="007C5004">
        <w:rPr>
          <w:rFonts w:cs="Times New Roman"/>
        </w:rPr>
        <w:t xml:space="preserve"> à la date prévue à l’origine pour l’exécution de la transaction.</w:t>
      </w:r>
    </w:p>
    <w:p w:rsidR="00B656C1" w:rsidRPr="007C5004" w:rsidRDefault="00B656C1" w:rsidP="00B656C1">
      <w:pPr>
        <w:pStyle w:val="TitleTitre-AltT"/>
        <w:ind w:left="900"/>
        <w:rPr>
          <w:rFonts w:cs="Times New Roman"/>
        </w:rPr>
      </w:pPr>
      <w:r w:rsidRPr="007C5004">
        <w:rPr>
          <w:rFonts w:cs="Times New Roman"/>
        </w:rPr>
        <w:t>(2)</w:t>
      </w:r>
      <w:r w:rsidRPr="007C5004">
        <w:rPr>
          <w:rFonts w:cs="Times New Roman"/>
        </w:rPr>
        <w:tab/>
      </w:r>
      <w:r w:rsidRPr="007C5004">
        <w:rPr>
          <w:rFonts w:cs="Times New Roman"/>
          <w:u w:val="single"/>
        </w:rPr>
        <w:t xml:space="preserve">La Cour d’appel du Québec, les juges Chamberland, Morissette et </w:t>
      </w:r>
      <w:proofErr w:type="spellStart"/>
      <w:r w:rsidRPr="007C5004">
        <w:rPr>
          <w:rFonts w:cs="Times New Roman"/>
          <w:u w:val="single"/>
        </w:rPr>
        <w:t>Kasirer</w:t>
      </w:r>
      <w:proofErr w:type="spellEnd"/>
      <w:r>
        <w:rPr>
          <w:rFonts w:cs="Times New Roman"/>
          <w:u w:val="single"/>
        </w:rPr>
        <w:t>, 2011 QCCA 394, 2011 D.T.C. 5045</w:t>
      </w:r>
    </w:p>
    <w:p w:rsidR="00B656C1" w:rsidRDefault="00B656C1" w:rsidP="00B656C1">
      <w:pPr>
        <w:pStyle w:val="ParaNoNdepar-AltN"/>
        <w:rPr>
          <w:rFonts w:cs="Times New Roman"/>
        </w:rPr>
      </w:pPr>
      <w:r w:rsidRPr="007C5004">
        <w:rPr>
          <w:rFonts w:cs="Times New Roman"/>
        </w:rPr>
        <w:t xml:space="preserve">Un arrêt unanime de la Cour d’appel confirme le jugement de la Cour supérieure. La Cour d’appel ne voit aucun obstacle à la requête des </w:t>
      </w:r>
      <w:r>
        <w:rPr>
          <w:rFonts w:cs="Times New Roman"/>
        </w:rPr>
        <w:t xml:space="preserve">intimés </w:t>
      </w:r>
      <w:r w:rsidRPr="007C5004">
        <w:rPr>
          <w:rFonts w:cs="Times New Roman"/>
        </w:rPr>
        <w:t>en procédure civile québécoise. Selon l</w:t>
      </w:r>
      <w:r>
        <w:rPr>
          <w:rFonts w:cs="Times New Roman"/>
        </w:rPr>
        <w:t>a Cour d’appel</w:t>
      </w:r>
      <w:r w:rsidRPr="007C5004">
        <w:rPr>
          <w:rFonts w:cs="Times New Roman"/>
        </w:rPr>
        <w:t xml:space="preserve">, le droit civil du Québec </w:t>
      </w:r>
      <w:r>
        <w:rPr>
          <w:rFonts w:cs="Times New Roman"/>
        </w:rPr>
        <w:t>autorise les</w:t>
      </w:r>
      <w:r w:rsidRPr="007C5004">
        <w:rPr>
          <w:rFonts w:cs="Times New Roman"/>
        </w:rPr>
        <w:t xml:space="preserve"> tribunaux </w:t>
      </w:r>
      <w:r>
        <w:rPr>
          <w:rFonts w:cs="Times New Roman"/>
        </w:rPr>
        <w:t>à</w:t>
      </w:r>
      <w:r w:rsidRPr="007C5004">
        <w:rPr>
          <w:rFonts w:cs="Times New Roman"/>
        </w:rPr>
        <w:t xml:space="preserve"> corri</w:t>
      </w:r>
      <w:r>
        <w:rPr>
          <w:rFonts w:cs="Times New Roman"/>
        </w:rPr>
        <w:t>ger les actes intervenus entre d</w:t>
      </w:r>
      <w:r w:rsidRPr="007C5004">
        <w:rPr>
          <w:rFonts w:cs="Times New Roman"/>
        </w:rPr>
        <w:t xml:space="preserve">es parties </w:t>
      </w:r>
      <w:r>
        <w:rPr>
          <w:rFonts w:cs="Times New Roman"/>
        </w:rPr>
        <w:t>de façon à</w:t>
      </w:r>
      <w:r w:rsidRPr="007C5004">
        <w:rPr>
          <w:rFonts w:cs="Times New Roman"/>
        </w:rPr>
        <w:t xml:space="preserve"> donner effet à leur véritable intention commune, sans qu’il soit nécessaire d’importer dans le droit des obligations du Québec la </w:t>
      </w:r>
      <w:r>
        <w:rPr>
          <w:rFonts w:cs="Times New Roman"/>
        </w:rPr>
        <w:t xml:space="preserve">doctrine de la </w:t>
      </w:r>
      <w:r w:rsidRPr="007C5004">
        <w:rPr>
          <w:rFonts w:cs="Times New Roman"/>
        </w:rPr>
        <w:t xml:space="preserve">rectification </w:t>
      </w:r>
      <w:r>
        <w:rPr>
          <w:rFonts w:cs="Times New Roman"/>
        </w:rPr>
        <w:t>reconnue en</w:t>
      </w:r>
      <w:r w:rsidRPr="007C5004">
        <w:rPr>
          <w:rFonts w:cs="Times New Roman"/>
        </w:rPr>
        <w:t xml:space="preserve">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w:t>
      </w:r>
      <w:r>
        <w:rPr>
          <w:rFonts w:cs="Times New Roman"/>
        </w:rPr>
        <w:t>De l’avis de la Cour d’appel</w:t>
      </w:r>
      <w:r w:rsidRPr="007C5004">
        <w:rPr>
          <w:rFonts w:cs="Times New Roman"/>
        </w:rPr>
        <w:t>, l’art</w:t>
      </w:r>
      <w:r>
        <w:rPr>
          <w:rFonts w:cs="Times New Roman"/>
        </w:rPr>
        <w:t>.</w:t>
      </w:r>
      <w:r w:rsidRPr="007C5004">
        <w:rPr>
          <w:rFonts w:cs="Times New Roman"/>
        </w:rPr>
        <w:t xml:space="preserve"> 1425 du </w:t>
      </w:r>
      <w:r w:rsidRPr="007C5004">
        <w:rPr>
          <w:rFonts w:cs="Times New Roman"/>
          <w:i/>
        </w:rPr>
        <w:t>Code civil du Québec</w:t>
      </w:r>
      <w:r>
        <w:rPr>
          <w:rFonts w:cs="Times New Roman"/>
        </w:rPr>
        <w:t>, L.Q. 1991, ch. 64 (« </w:t>
      </w:r>
      <w:proofErr w:type="spellStart"/>
      <w:r w:rsidRPr="00801C92">
        <w:rPr>
          <w:rFonts w:cs="Times New Roman"/>
          <w:i/>
        </w:rPr>
        <w:t>C.c.Q</w:t>
      </w:r>
      <w:proofErr w:type="spellEnd"/>
      <w:r w:rsidRPr="00801C92">
        <w:rPr>
          <w:rFonts w:cs="Times New Roman"/>
          <w:i/>
        </w:rPr>
        <w:t>.</w:t>
      </w:r>
      <w:r>
        <w:rPr>
          <w:rFonts w:cs="Times New Roman"/>
        </w:rPr>
        <w:t xml:space="preserve"> »), </w:t>
      </w:r>
      <w:r w:rsidRPr="007C5004">
        <w:rPr>
          <w:rFonts w:cs="Times New Roman"/>
        </w:rPr>
        <w:t>permet de corriger l’écart entre l’intention commune des parties et l’intention déclarée dans les actes</w:t>
      </w:r>
      <w:r>
        <w:rPr>
          <w:rFonts w:cs="Times New Roman"/>
        </w:rPr>
        <w:t>,</w:t>
      </w:r>
      <w:r w:rsidRPr="007C5004">
        <w:rPr>
          <w:rFonts w:cs="Times New Roman"/>
        </w:rPr>
        <w:t xml:space="preserve"> pourvu </w:t>
      </w:r>
      <w:r>
        <w:rPr>
          <w:rFonts w:cs="Times New Roman"/>
        </w:rPr>
        <w:t xml:space="preserve">que la demande soit légitime et </w:t>
      </w:r>
      <w:r w:rsidRPr="007C5004">
        <w:rPr>
          <w:rFonts w:cs="Times New Roman"/>
        </w:rPr>
        <w:t>que la correction effectuée ne porte pas atteinte aux droits des tiers (par. 17-20). La Cour d’appel conclut que la demande est légitime et ne porte pas atteinte aux droits des autorités fiscales.</w:t>
      </w:r>
    </w:p>
    <w:p w:rsidR="00B656C1" w:rsidRPr="007C5004" w:rsidRDefault="00B656C1" w:rsidP="00B656C1">
      <w:pPr>
        <w:pStyle w:val="ParaNoNdepar-AltN"/>
        <w:numPr>
          <w:ilvl w:val="0"/>
          <w:numId w:val="0"/>
        </w:numPr>
        <w:rPr>
          <w:rFonts w:cs="Times New Roman"/>
        </w:rPr>
      </w:pPr>
    </w:p>
    <w:p w:rsidR="00B656C1" w:rsidRPr="007C5004" w:rsidRDefault="00B656C1" w:rsidP="00B656C1">
      <w:pPr>
        <w:pStyle w:val="TitleTitre-AltT"/>
        <w:tabs>
          <w:tab w:val="clear" w:pos="360"/>
          <w:tab w:val="left" w:pos="540"/>
        </w:tabs>
        <w:ind w:left="547" w:hanging="547"/>
        <w:rPr>
          <w:rFonts w:cs="Times New Roman"/>
        </w:rPr>
      </w:pPr>
      <w:r w:rsidRPr="007C5004">
        <w:rPr>
          <w:rFonts w:cs="Times New Roman"/>
        </w:rPr>
        <w:t>C.</w:t>
      </w:r>
      <w:r w:rsidRPr="007C5004">
        <w:rPr>
          <w:rFonts w:cs="Times New Roman"/>
        </w:rPr>
        <w:tab/>
      </w:r>
      <w:r w:rsidRPr="007C5004">
        <w:rPr>
          <w:rFonts w:cs="Times New Roman"/>
          <w:i/>
        </w:rPr>
        <w:t xml:space="preserve">L’affaire </w:t>
      </w:r>
      <w:proofErr w:type="spellStart"/>
      <w:r w:rsidRPr="007C5004">
        <w:rPr>
          <w:rFonts w:cs="Times New Roman"/>
          <w:i/>
        </w:rPr>
        <w:t>Riopel</w:t>
      </w:r>
      <w:proofErr w:type="spellEnd"/>
    </w:p>
    <w:p w:rsidR="00B656C1" w:rsidRPr="007C5004" w:rsidRDefault="00B656C1" w:rsidP="00B656C1">
      <w:pPr>
        <w:pStyle w:val="TitleTitre-AltT"/>
        <w:tabs>
          <w:tab w:val="clear" w:pos="360"/>
          <w:tab w:val="left" w:pos="540"/>
          <w:tab w:val="left" w:pos="900"/>
        </w:tabs>
        <w:ind w:left="547"/>
        <w:rPr>
          <w:rFonts w:cs="Times New Roman"/>
        </w:rPr>
      </w:pPr>
      <w:r w:rsidRPr="007C5004">
        <w:rPr>
          <w:rFonts w:cs="Times New Roman"/>
        </w:rPr>
        <w:tab/>
        <w:t>(1)</w:t>
      </w:r>
      <w:r w:rsidRPr="007C5004">
        <w:rPr>
          <w:rFonts w:cs="Times New Roman"/>
        </w:rPr>
        <w:tab/>
      </w:r>
      <w:r w:rsidRPr="007C5004">
        <w:rPr>
          <w:rFonts w:cs="Times New Roman"/>
          <w:u w:val="single"/>
        </w:rPr>
        <w:t xml:space="preserve">La Cour supérieure du Québec, la juge </w:t>
      </w:r>
      <w:proofErr w:type="spellStart"/>
      <w:r w:rsidRPr="007C5004">
        <w:rPr>
          <w:rFonts w:cs="Times New Roman"/>
          <w:u w:val="single"/>
        </w:rPr>
        <w:t>Nantel</w:t>
      </w:r>
      <w:proofErr w:type="spellEnd"/>
      <w:r>
        <w:rPr>
          <w:rFonts w:cs="Times New Roman"/>
          <w:u w:val="single"/>
        </w:rPr>
        <w:t>, 2010 QCCS 1576 (</w:t>
      </w:r>
      <w:proofErr w:type="spellStart"/>
      <w:r>
        <w:rPr>
          <w:rFonts w:cs="Times New Roman"/>
          <w:u w:val="single"/>
        </w:rPr>
        <w:t>CanLII</w:t>
      </w:r>
      <w:proofErr w:type="spellEnd"/>
      <w:r>
        <w:rPr>
          <w:rFonts w:cs="Times New Roman"/>
          <w:u w:val="single"/>
        </w:rPr>
        <w:t>)</w:t>
      </w:r>
    </w:p>
    <w:p w:rsidR="00B656C1" w:rsidRPr="007C5004" w:rsidRDefault="00B656C1" w:rsidP="00B656C1">
      <w:pPr>
        <w:pStyle w:val="ParaNoNdepar-AltN"/>
        <w:rPr>
          <w:rFonts w:cs="Times New Roman"/>
        </w:rPr>
      </w:pPr>
      <w:r>
        <w:rPr>
          <w:rFonts w:cs="Times New Roman"/>
        </w:rPr>
        <w:t>La juge conclut d’abord qu’aucun accord de volonté conduisant à la formation d’un contrat ne serait intervenu à l’issue de la rencontre des parties avec leurs conseillers le 1</w:t>
      </w:r>
      <w:r w:rsidRPr="00996015">
        <w:rPr>
          <w:rFonts w:cs="Times New Roman"/>
          <w:vertAlign w:val="superscript"/>
        </w:rPr>
        <w:t>er</w:t>
      </w:r>
      <w:r>
        <w:rPr>
          <w:rFonts w:cs="Times New Roman"/>
        </w:rPr>
        <w:t xml:space="preserve"> septembre 2004. De plus, et quoi qu’il en soit, l’erreur invoquée dépasse le cadre de l’erreur matérielle, la seule que le tribunal soit habilité corriger. Il s’agit en fait de modifier substantiellement la structure de la transaction, ce qui ne relève pas du pouvoir de la Cour supérieure, la doctrine de la rectification reconnue par la </w:t>
      </w:r>
      <w:proofErr w:type="spellStart"/>
      <w:r>
        <w:rPr>
          <w:rFonts w:cs="Times New Roman"/>
        </w:rPr>
        <w:t>common</w:t>
      </w:r>
      <w:proofErr w:type="spellEnd"/>
      <w:r>
        <w:rPr>
          <w:rFonts w:cs="Times New Roman"/>
        </w:rPr>
        <w:t xml:space="preserve"> </w:t>
      </w:r>
      <w:proofErr w:type="spellStart"/>
      <w:r>
        <w:rPr>
          <w:rFonts w:cs="Times New Roman"/>
        </w:rPr>
        <w:t>law</w:t>
      </w:r>
      <w:proofErr w:type="spellEnd"/>
      <w:r>
        <w:rPr>
          <w:rFonts w:cs="Times New Roman"/>
        </w:rPr>
        <w:t xml:space="preserve"> ne s’appliquant pas en droit civil québécois.</w:t>
      </w:r>
    </w:p>
    <w:p w:rsidR="00B656C1" w:rsidRPr="007C5004" w:rsidRDefault="00B656C1" w:rsidP="00B656C1">
      <w:pPr>
        <w:pStyle w:val="TitleTitre-AltT"/>
        <w:tabs>
          <w:tab w:val="clear" w:pos="360"/>
          <w:tab w:val="left" w:pos="540"/>
          <w:tab w:val="left" w:pos="900"/>
        </w:tabs>
        <w:ind w:left="900" w:hanging="900"/>
        <w:rPr>
          <w:rFonts w:cs="Times New Roman"/>
        </w:rPr>
      </w:pPr>
      <w:r w:rsidRPr="007C5004">
        <w:rPr>
          <w:rFonts w:cs="Times New Roman"/>
        </w:rPr>
        <w:tab/>
        <w:t>(2)</w:t>
      </w:r>
      <w:r w:rsidRPr="007C5004">
        <w:rPr>
          <w:rFonts w:cs="Times New Roman"/>
        </w:rPr>
        <w:tab/>
      </w:r>
      <w:r w:rsidRPr="007C5004">
        <w:rPr>
          <w:rFonts w:cs="Times New Roman"/>
          <w:u w:val="single"/>
        </w:rPr>
        <w:t xml:space="preserve">La Cour d’appel du Québec, les juges </w:t>
      </w:r>
      <w:proofErr w:type="spellStart"/>
      <w:r w:rsidRPr="007C5004">
        <w:rPr>
          <w:rFonts w:cs="Times New Roman"/>
          <w:u w:val="single"/>
        </w:rPr>
        <w:t>Bich</w:t>
      </w:r>
      <w:proofErr w:type="spellEnd"/>
      <w:r w:rsidRPr="007C5004">
        <w:rPr>
          <w:rFonts w:cs="Times New Roman"/>
          <w:u w:val="single"/>
        </w:rPr>
        <w:t xml:space="preserve">, </w:t>
      </w:r>
      <w:proofErr w:type="spellStart"/>
      <w:r w:rsidRPr="007C5004">
        <w:rPr>
          <w:rFonts w:cs="Times New Roman"/>
          <w:u w:val="single"/>
        </w:rPr>
        <w:t>Kasirer</w:t>
      </w:r>
      <w:proofErr w:type="spellEnd"/>
      <w:r w:rsidRPr="007C5004">
        <w:rPr>
          <w:rFonts w:cs="Times New Roman"/>
          <w:u w:val="single"/>
        </w:rPr>
        <w:t xml:space="preserve"> et Wagner</w:t>
      </w:r>
      <w:r>
        <w:rPr>
          <w:rFonts w:cs="Times New Roman"/>
          <w:u w:val="single"/>
        </w:rPr>
        <w:t>, 2011 QCCA 954 (</w:t>
      </w:r>
      <w:proofErr w:type="spellStart"/>
      <w:r>
        <w:rPr>
          <w:rFonts w:cs="Times New Roman"/>
          <w:u w:val="single"/>
        </w:rPr>
        <w:t>CanLII</w:t>
      </w:r>
      <w:proofErr w:type="spellEnd"/>
      <w:r>
        <w:rPr>
          <w:rFonts w:cs="Times New Roman"/>
          <w:u w:val="single"/>
        </w:rPr>
        <w:t>)</w:t>
      </w:r>
    </w:p>
    <w:p w:rsidR="00B656C1" w:rsidRPr="007C5004" w:rsidRDefault="00B656C1" w:rsidP="00B656C1">
      <w:pPr>
        <w:pStyle w:val="ParaNoNdepar-AltN"/>
        <w:rPr>
          <w:rFonts w:cs="Times New Roman"/>
        </w:rPr>
      </w:pPr>
      <w:r w:rsidRPr="007C5004">
        <w:rPr>
          <w:rFonts w:eastAsiaTheme="minorHAnsi" w:cs="Times New Roman"/>
        </w:rPr>
        <w:t xml:space="preserve">La Cour d’appel casse le jugement de la Cour supérieure et accueille les conclusions en rectification recherchées par les intimés, leur donnant un effet rétroactif et les rendant opposables au fisc. Son jugement adopte les principes établis antérieurement dans l’arrêt </w:t>
      </w:r>
      <w:r w:rsidRPr="007C5004">
        <w:rPr>
          <w:rFonts w:eastAsiaTheme="minorHAnsi" w:cs="Times New Roman"/>
          <w:i/>
        </w:rPr>
        <w:t>AES</w:t>
      </w:r>
      <w:r>
        <w:rPr>
          <w:rFonts w:eastAsiaTheme="minorHAnsi" w:cs="Times New Roman"/>
          <w:i/>
        </w:rPr>
        <w:t xml:space="preserve"> </w:t>
      </w:r>
      <w:r>
        <w:rPr>
          <w:rFonts w:eastAsiaTheme="minorHAnsi" w:cs="Times New Roman"/>
        </w:rPr>
        <w:t>et reconnaît que</w:t>
      </w:r>
      <w:r w:rsidRPr="007C5004">
        <w:rPr>
          <w:rFonts w:eastAsiaTheme="minorHAnsi" w:cs="Times New Roman"/>
        </w:rPr>
        <w:t xml:space="preserve"> la procédure civile québécoise autorise le type de requête déposée par les intimés. Sans appliquer la doctrine </w:t>
      </w:r>
      <w:r>
        <w:rPr>
          <w:rFonts w:eastAsiaTheme="minorHAnsi" w:cs="Times New Roman"/>
        </w:rPr>
        <w:t xml:space="preserve">de </w:t>
      </w:r>
      <w:r w:rsidRPr="007C5004">
        <w:rPr>
          <w:rFonts w:eastAsiaTheme="minorHAnsi" w:cs="Times New Roman"/>
        </w:rPr>
        <w:t>la rectification</w:t>
      </w:r>
      <w:r>
        <w:rPr>
          <w:rFonts w:eastAsiaTheme="minorHAnsi" w:cs="Times New Roman"/>
        </w:rPr>
        <w:t xml:space="preserve"> reconnue en </w:t>
      </w:r>
      <w:proofErr w:type="spellStart"/>
      <w:r w:rsidRPr="007C5004">
        <w:rPr>
          <w:rFonts w:eastAsiaTheme="minorHAnsi" w:cs="Times New Roman"/>
        </w:rPr>
        <w:t>common</w:t>
      </w:r>
      <w:proofErr w:type="spellEnd"/>
      <w:r w:rsidRPr="007C5004">
        <w:rPr>
          <w:rFonts w:eastAsiaTheme="minorHAnsi" w:cs="Times New Roman"/>
        </w:rPr>
        <w:t xml:space="preserve"> </w:t>
      </w:r>
      <w:proofErr w:type="spellStart"/>
      <w:r w:rsidRPr="007C5004">
        <w:rPr>
          <w:rFonts w:eastAsiaTheme="minorHAnsi" w:cs="Times New Roman"/>
        </w:rPr>
        <w:t>law</w:t>
      </w:r>
      <w:proofErr w:type="spellEnd"/>
      <w:r w:rsidRPr="007C5004">
        <w:rPr>
          <w:rFonts w:eastAsiaTheme="minorHAnsi" w:cs="Times New Roman"/>
        </w:rPr>
        <w:t>, le tribunal peut par interprétation, en vertu de l’art</w:t>
      </w:r>
      <w:r>
        <w:rPr>
          <w:rFonts w:eastAsiaTheme="minorHAnsi" w:cs="Times New Roman"/>
        </w:rPr>
        <w:t>.</w:t>
      </w:r>
      <w:r w:rsidRPr="007C5004">
        <w:rPr>
          <w:rFonts w:eastAsiaTheme="minorHAnsi" w:cs="Times New Roman"/>
        </w:rPr>
        <w:t xml:space="preserve"> 1425 </w:t>
      </w:r>
      <w:r w:rsidRPr="007C5004">
        <w:rPr>
          <w:rFonts w:eastAsiaTheme="minorHAnsi" w:cs="Times New Roman"/>
          <w:i/>
        </w:rPr>
        <w:t>C.c.Q.</w:t>
      </w:r>
      <w:r w:rsidRPr="007C5004">
        <w:rPr>
          <w:rFonts w:eastAsiaTheme="minorHAnsi" w:cs="Times New Roman"/>
        </w:rPr>
        <w:t>,</w:t>
      </w:r>
      <w:r w:rsidRPr="007C5004">
        <w:rPr>
          <w:rFonts w:eastAsiaTheme="minorHAnsi" w:cs="Times New Roman"/>
          <w:i/>
        </w:rPr>
        <w:t xml:space="preserve"> </w:t>
      </w:r>
      <w:r w:rsidRPr="007C5004">
        <w:rPr>
          <w:rFonts w:eastAsiaTheme="minorHAnsi" w:cs="Times New Roman"/>
        </w:rPr>
        <w:t xml:space="preserve">reconnaître le véritable accord intervenu entre les parties et constater qu’il ne correspond pas à leur volonté déclarée. </w:t>
      </w:r>
      <w:r>
        <w:rPr>
          <w:rFonts w:eastAsiaTheme="minorHAnsi" w:cs="Times New Roman"/>
        </w:rPr>
        <w:t>Selon la Cour d’appel, à la lumière de la preuve, l</w:t>
      </w:r>
      <w:r w:rsidRPr="007C5004">
        <w:rPr>
          <w:rFonts w:eastAsiaTheme="minorHAnsi" w:cs="Times New Roman"/>
        </w:rPr>
        <w:t xml:space="preserve">a Cour </w:t>
      </w:r>
      <w:r>
        <w:rPr>
          <w:rFonts w:eastAsiaTheme="minorHAnsi" w:cs="Times New Roman"/>
        </w:rPr>
        <w:t xml:space="preserve">supérieure pouvait donc </w:t>
      </w:r>
      <w:r w:rsidRPr="007C5004">
        <w:rPr>
          <w:rFonts w:eastAsiaTheme="minorHAnsi" w:cs="Times New Roman"/>
        </w:rPr>
        <w:t xml:space="preserve">corriger les erreurs </w:t>
      </w:r>
      <w:r>
        <w:rPr>
          <w:rFonts w:eastAsiaTheme="minorHAnsi" w:cs="Times New Roman"/>
        </w:rPr>
        <w:t>décel</w:t>
      </w:r>
      <w:r w:rsidRPr="007C5004">
        <w:rPr>
          <w:rFonts w:eastAsiaTheme="minorHAnsi" w:cs="Times New Roman"/>
        </w:rPr>
        <w:t xml:space="preserve">ées dans les documents. </w:t>
      </w:r>
    </w:p>
    <w:p w:rsidR="00B656C1" w:rsidRPr="007C5004" w:rsidRDefault="00B656C1" w:rsidP="00B656C1">
      <w:pPr>
        <w:pStyle w:val="TitleTitre-AltT"/>
        <w:tabs>
          <w:tab w:val="clear" w:pos="360"/>
          <w:tab w:val="left" w:pos="540"/>
        </w:tabs>
        <w:ind w:left="547" w:hanging="547"/>
        <w:rPr>
          <w:rFonts w:cs="Times New Roman"/>
          <w:i/>
        </w:rPr>
      </w:pPr>
      <w:r w:rsidRPr="007C5004">
        <w:rPr>
          <w:rFonts w:cs="Times New Roman"/>
        </w:rPr>
        <w:t>IV.</w:t>
      </w:r>
      <w:r w:rsidRPr="007C5004">
        <w:rPr>
          <w:rFonts w:cs="Times New Roman"/>
        </w:rPr>
        <w:tab/>
      </w:r>
      <w:r w:rsidRPr="007C5004">
        <w:rPr>
          <w:rFonts w:cs="Times New Roman"/>
          <w:u w:val="single"/>
        </w:rPr>
        <w:t>Analyse</w:t>
      </w:r>
    </w:p>
    <w:p w:rsidR="00B656C1" w:rsidRPr="007C5004" w:rsidRDefault="00B656C1" w:rsidP="00B656C1">
      <w:pPr>
        <w:pStyle w:val="TitleTitre-AltT"/>
        <w:tabs>
          <w:tab w:val="clear" w:pos="360"/>
          <w:tab w:val="left" w:pos="540"/>
        </w:tabs>
        <w:ind w:left="547" w:hanging="547"/>
        <w:rPr>
          <w:rFonts w:cs="Times New Roman"/>
          <w:i/>
        </w:rPr>
      </w:pPr>
      <w:r w:rsidRPr="007C5004">
        <w:rPr>
          <w:rFonts w:cs="Times New Roman"/>
        </w:rPr>
        <w:t>A.</w:t>
      </w:r>
      <w:r w:rsidRPr="007C5004">
        <w:rPr>
          <w:rFonts w:cs="Times New Roman"/>
          <w:i/>
        </w:rPr>
        <w:tab/>
        <w:t>Les questions en litige et la position des parties</w:t>
      </w:r>
    </w:p>
    <w:p w:rsidR="00B656C1" w:rsidRPr="007C5004" w:rsidRDefault="00B656C1" w:rsidP="00B656C1">
      <w:pPr>
        <w:pStyle w:val="ParaNoNdepar-AltN"/>
        <w:rPr>
          <w:rFonts w:cs="Times New Roman"/>
        </w:rPr>
      </w:pPr>
      <w:r w:rsidRPr="007C5004">
        <w:rPr>
          <w:rFonts w:cs="Times New Roman"/>
        </w:rPr>
        <w:t xml:space="preserve">Ces deux pourvois soulèvent des problèmes situés aux frontières du droit des obligations et du droit fiscal. Pour dégager des solutions répondant </w:t>
      </w:r>
      <w:r>
        <w:rPr>
          <w:rFonts w:cs="Times New Roman"/>
        </w:rPr>
        <w:t>à ces</w:t>
      </w:r>
      <w:r w:rsidRPr="007C5004">
        <w:rPr>
          <w:rFonts w:cs="Times New Roman"/>
        </w:rPr>
        <w:t xml:space="preserve"> problèmes, il importe d’identifier correctement la nature juridique des opérations effectuées par les parties et des instruments qu’elles ont employés pour les réaliser. Toutefois, il me faudra d’abord examiner </w:t>
      </w:r>
      <w:r>
        <w:rPr>
          <w:rFonts w:cs="Times New Roman"/>
        </w:rPr>
        <w:t>la manière dont</w:t>
      </w:r>
      <w:r w:rsidRPr="007C5004">
        <w:rPr>
          <w:rFonts w:cs="Times New Roman"/>
        </w:rPr>
        <w:t xml:space="preserve"> les parties identifient et formulent les questions en jeu</w:t>
      </w:r>
      <w:r>
        <w:rPr>
          <w:rFonts w:cs="Times New Roman"/>
        </w:rPr>
        <w:t>,</w:t>
      </w:r>
      <w:r w:rsidRPr="007C5004">
        <w:rPr>
          <w:rFonts w:cs="Times New Roman"/>
        </w:rPr>
        <w:t xml:space="preserve"> </w:t>
      </w:r>
      <w:r>
        <w:rPr>
          <w:rFonts w:cs="Times New Roman"/>
        </w:rPr>
        <w:t>ainsi que</w:t>
      </w:r>
      <w:r w:rsidRPr="007C5004">
        <w:rPr>
          <w:rFonts w:cs="Times New Roman"/>
        </w:rPr>
        <w:t xml:space="preserve"> les réponses qu’elles proposent d’y apporter. J’exposerai ensuite comment je définis et qualifie les problèmes posés par ces dossiers et les solutions </w:t>
      </w:r>
      <w:r>
        <w:rPr>
          <w:rFonts w:cs="Times New Roman"/>
        </w:rPr>
        <w:t>que</w:t>
      </w:r>
      <w:r w:rsidRPr="007C5004">
        <w:rPr>
          <w:rFonts w:cs="Times New Roman"/>
        </w:rPr>
        <w:t xml:space="preserve"> je </w:t>
      </w:r>
      <w:r>
        <w:rPr>
          <w:rFonts w:cs="Times New Roman"/>
        </w:rPr>
        <w:t>retiens</w:t>
      </w:r>
      <w:r w:rsidRPr="007C5004">
        <w:rPr>
          <w:rFonts w:cs="Times New Roman"/>
        </w:rPr>
        <w:t xml:space="preserve">. </w:t>
      </w:r>
    </w:p>
    <w:p w:rsidR="00B656C1" w:rsidRPr="007C5004" w:rsidRDefault="00B656C1" w:rsidP="00B656C1">
      <w:pPr>
        <w:pStyle w:val="ParaNoNdepar-AltN"/>
        <w:rPr>
          <w:rFonts w:cs="Times New Roman"/>
        </w:rPr>
      </w:pPr>
      <w:r w:rsidRPr="007C5004">
        <w:rPr>
          <w:rFonts w:cs="Times New Roman"/>
        </w:rPr>
        <w:t xml:space="preserve">Dans les deux </w:t>
      </w:r>
      <w:r>
        <w:rPr>
          <w:rFonts w:cs="Times New Roman"/>
        </w:rPr>
        <w:t>affaires,</w:t>
      </w:r>
      <w:r w:rsidRPr="007C5004">
        <w:rPr>
          <w:rFonts w:cs="Times New Roman"/>
        </w:rPr>
        <w:t xml:space="preserve"> </w:t>
      </w:r>
      <w:r w:rsidRPr="00C77EC3">
        <w:rPr>
          <w:rFonts w:cs="Times New Roman"/>
          <w:i/>
        </w:rPr>
        <w:t>AES</w:t>
      </w:r>
      <w:r w:rsidRPr="007C5004">
        <w:rPr>
          <w:rFonts w:cs="Times New Roman"/>
        </w:rPr>
        <w:t xml:space="preserve"> et </w:t>
      </w:r>
      <w:proofErr w:type="spellStart"/>
      <w:r w:rsidRPr="00C77EC3">
        <w:rPr>
          <w:rFonts w:cs="Times New Roman"/>
          <w:i/>
        </w:rPr>
        <w:t>Riopel</w:t>
      </w:r>
      <w:proofErr w:type="spellEnd"/>
      <w:r w:rsidRPr="007C5004">
        <w:rPr>
          <w:rFonts w:cs="Times New Roman"/>
        </w:rPr>
        <w:t>, l’ARQ a adopté des positions identiques</w:t>
      </w:r>
      <w:r>
        <w:rPr>
          <w:rFonts w:cs="Times New Roman"/>
        </w:rPr>
        <w:t>,</w:t>
      </w:r>
      <w:r w:rsidRPr="007C5004">
        <w:rPr>
          <w:rFonts w:cs="Times New Roman"/>
        </w:rPr>
        <w:t xml:space="preserve"> tout en notant les particularités de leur situation de faits</w:t>
      </w:r>
      <w:r>
        <w:rPr>
          <w:rFonts w:cs="Times New Roman"/>
        </w:rPr>
        <w:t xml:space="preserve"> respective</w:t>
      </w:r>
      <w:r w:rsidRPr="007C5004">
        <w:rPr>
          <w:rFonts w:cs="Times New Roman"/>
        </w:rPr>
        <w:t xml:space="preserve">. En bref, </w:t>
      </w:r>
      <w:proofErr w:type="gramStart"/>
      <w:r w:rsidRPr="007C5004">
        <w:rPr>
          <w:rFonts w:cs="Times New Roman"/>
        </w:rPr>
        <w:t>l’ARQ plaide</w:t>
      </w:r>
      <w:proofErr w:type="gramEnd"/>
      <w:r w:rsidRPr="007C5004">
        <w:rPr>
          <w:rFonts w:cs="Times New Roman"/>
        </w:rPr>
        <w:t xml:space="preserve"> d’abord que rien dans le </w:t>
      </w:r>
      <w:r w:rsidRPr="007C5004">
        <w:rPr>
          <w:rFonts w:cs="Times New Roman"/>
          <w:i/>
        </w:rPr>
        <w:t>C</w:t>
      </w:r>
      <w:r>
        <w:rPr>
          <w:rFonts w:cs="Times New Roman"/>
          <w:i/>
        </w:rPr>
        <w:t>ode de procédure civile</w:t>
      </w:r>
      <w:r>
        <w:rPr>
          <w:rFonts w:cs="Times New Roman"/>
        </w:rPr>
        <w:t>, L.R.Q., ch. C</w:t>
      </w:r>
      <w:r>
        <w:noBreakHyphen/>
      </w:r>
      <w:r w:rsidRPr="00B03239">
        <w:t>25</w:t>
      </w:r>
      <w:r>
        <w:rPr>
          <w:rFonts w:cs="Times New Roman"/>
        </w:rPr>
        <w:t>,</w:t>
      </w:r>
      <w:r w:rsidRPr="007C5004">
        <w:rPr>
          <w:rFonts w:cs="Times New Roman"/>
          <w:i/>
        </w:rPr>
        <w:t xml:space="preserve"> </w:t>
      </w:r>
      <w:r w:rsidRPr="007C5004">
        <w:rPr>
          <w:rFonts w:cs="Times New Roman"/>
        </w:rPr>
        <w:t>n</w:t>
      </w:r>
      <w:r>
        <w:rPr>
          <w:rFonts w:cs="Times New Roman"/>
        </w:rPr>
        <w:t>’autorisait</w:t>
      </w:r>
      <w:r w:rsidRPr="007C5004">
        <w:rPr>
          <w:rFonts w:cs="Times New Roman"/>
        </w:rPr>
        <w:t xml:space="preserve"> la Cour supérieure </w:t>
      </w:r>
      <w:r>
        <w:rPr>
          <w:rFonts w:cs="Times New Roman"/>
        </w:rPr>
        <w:t>à</w:t>
      </w:r>
      <w:r w:rsidRPr="007C5004">
        <w:rPr>
          <w:rFonts w:cs="Times New Roman"/>
        </w:rPr>
        <w:t xml:space="preserve"> </w:t>
      </w:r>
      <w:r>
        <w:rPr>
          <w:rFonts w:cs="Times New Roman"/>
        </w:rPr>
        <w:t xml:space="preserve">se </w:t>
      </w:r>
      <w:r w:rsidRPr="007C5004">
        <w:rPr>
          <w:rFonts w:cs="Times New Roman"/>
        </w:rPr>
        <w:t xml:space="preserve">saisir du type de requête présentée par les intimés. Le </w:t>
      </w:r>
      <w:proofErr w:type="spellStart"/>
      <w:r w:rsidRPr="007C5004">
        <w:rPr>
          <w:rFonts w:cs="Times New Roman"/>
          <w:i/>
        </w:rPr>
        <w:t>C</w:t>
      </w:r>
      <w:r>
        <w:rPr>
          <w:rFonts w:cs="Times New Roman"/>
          <w:i/>
        </w:rPr>
        <w:t>.p.c</w:t>
      </w:r>
      <w:proofErr w:type="spellEnd"/>
      <w:r>
        <w:rPr>
          <w:rFonts w:cs="Times New Roman"/>
          <w:i/>
        </w:rPr>
        <w:t>.</w:t>
      </w:r>
      <w:r w:rsidRPr="007C5004">
        <w:rPr>
          <w:rFonts w:cs="Times New Roman"/>
          <w:i/>
        </w:rPr>
        <w:t xml:space="preserve"> </w:t>
      </w:r>
      <w:r w:rsidRPr="007C5004">
        <w:rPr>
          <w:rFonts w:cs="Times New Roman"/>
        </w:rPr>
        <w:t>ne permettrait pas aux tribunaux de rectifier ou de modifier un contrat. Il faudrait trouver le fondement d</w:t>
      </w:r>
      <w:r>
        <w:rPr>
          <w:rFonts w:cs="Times New Roman"/>
        </w:rPr>
        <w:t>’un tel</w:t>
      </w:r>
      <w:r w:rsidRPr="007C5004">
        <w:rPr>
          <w:rFonts w:cs="Times New Roman"/>
        </w:rPr>
        <w:t xml:space="preserve"> pouvoir dans le droit substantiel établi par le </w:t>
      </w:r>
      <w:proofErr w:type="spellStart"/>
      <w:r w:rsidRPr="007C5004">
        <w:rPr>
          <w:rFonts w:cs="Times New Roman"/>
          <w:i/>
        </w:rPr>
        <w:t>C</w:t>
      </w:r>
      <w:r>
        <w:rPr>
          <w:rFonts w:cs="Times New Roman"/>
          <w:i/>
        </w:rPr>
        <w:t>.c.Q</w:t>
      </w:r>
      <w:proofErr w:type="spellEnd"/>
      <w:r>
        <w:rPr>
          <w:rFonts w:cs="Times New Roman"/>
          <w:i/>
        </w:rPr>
        <w:t>.</w:t>
      </w:r>
      <w:r w:rsidRPr="007C5004">
        <w:rPr>
          <w:rFonts w:cs="Times New Roman"/>
          <w:i/>
        </w:rPr>
        <w:t xml:space="preserve"> </w:t>
      </w:r>
      <w:r w:rsidRPr="007C5004">
        <w:rPr>
          <w:rFonts w:cs="Times New Roman"/>
        </w:rPr>
        <w:t>Or, selon l’ARQ, le pouvoir d’interprétation des contrats prévu par l’art</w:t>
      </w:r>
      <w:r>
        <w:rPr>
          <w:rFonts w:cs="Times New Roman"/>
        </w:rPr>
        <w:t>.</w:t>
      </w:r>
      <w:r w:rsidRPr="007C5004">
        <w:rPr>
          <w:rFonts w:cs="Times New Roman"/>
        </w:rPr>
        <w:t xml:space="preserve"> 1425 dont s’est prévalu la Cour d’appel pour accueillir les demandes ne trouvait pas application dans </w:t>
      </w:r>
      <w:r>
        <w:rPr>
          <w:rFonts w:cs="Times New Roman"/>
        </w:rPr>
        <w:t>l</w:t>
      </w:r>
      <w:r w:rsidRPr="007C5004">
        <w:rPr>
          <w:rFonts w:cs="Times New Roman"/>
        </w:rPr>
        <w:t xml:space="preserve">es </w:t>
      </w:r>
      <w:r>
        <w:rPr>
          <w:rFonts w:cs="Times New Roman"/>
        </w:rPr>
        <w:t xml:space="preserve">présents </w:t>
      </w:r>
      <w:r w:rsidRPr="007C5004">
        <w:rPr>
          <w:rFonts w:cs="Times New Roman"/>
        </w:rPr>
        <w:t>cas. En effet, il ne s’agi</w:t>
      </w:r>
      <w:r>
        <w:rPr>
          <w:rFonts w:cs="Times New Roman"/>
        </w:rPr>
        <w:t>ss</w:t>
      </w:r>
      <w:r w:rsidRPr="007C5004">
        <w:rPr>
          <w:rFonts w:cs="Times New Roman"/>
        </w:rPr>
        <w:t xml:space="preserve">ait pas d’un exercice d’interprétation au sens propre du terme. Seules les erreurs dites matérielles pourraient être corrigées par cette voie. Les erreurs soulevées par les intimés ne constituaient pas des erreurs de ce type. D’après l’ARQ, les erreurs </w:t>
      </w:r>
      <w:r>
        <w:rPr>
          <w:rFonts w:cs="Times New Roman"/>
        </w:rPr>
        <w:t>invoquées</w:t>
      </w:r>
      <w:r w:rsidRPr="007C5004">
        <w:rPr>
          <w:rFonts w:cs="Times New Roman"/>
        </w:rPr>
        <w:t xml:space="preserve"> par les contribuables ne porteraient que sur les conséquences économiques de leurs transactions et ne donneraient même pas lieu à un recours en annulation pour l’une des causes reconnues par le </w:t>
      </w:r>
      <w:proofErr w:type="spellStart"/>
      <w:r w:rsidRPr="007C5004">
        <w:rPr>
          <w:rFonts w:cs="Times New Roman"/>
          <w:i/>
        </w:rPr>
        <w:t>C</w:t>
      </w:r>
      <w:r>
        <w:rPr>
          <w:rFonts w:cs="Times New Roman"/>
          <w:i/>
        </w:rPr>
        <w:t>.c.Q</w:t>
      </w:r>
      <w:proofErr w:type="spellEnd"/>
      <w:r w:rsidRPr="007C5004">
        <w:rPr>
          <w:rFonts w:cs="Times New Roman"/>
          <w:i/>
        </w:rPr>
        <w:t xml:space="preserve">. </w:t>
      </w:r>
      <w:r w:rsidRPr="007C5004">
        <w:rPr>
          <w:rFonts w:cs="Times New Roman"/>
        </w:rPr>
        <w:t xml:space="preserve">L’ARQ affirme </w:t>
      </w:r>
      <w:r>
        <w:rPr>
          <w:rFonts w:cs="Times New Roman"/>
        </w:rPr>
        <w:t>par conséquent</w:t>
      </w:r>
      <w:r w:rsidRPr="007C5004">
        <w:rPr>
          <w:rFonts w:cs="Times New Roman"/>
        </w:rPr>
        <w:t xml:space="preserve"> qu’elle peut toujours se </w:t>
      </w:r>
      <w:r>
        <w:rPr>
          <w:rFonts w:cs="Times New Roman"/>
        </w:rPr>
        <w:t>fonder sur les</w:t>
      </w:r>
      <w:r w:rsidRPr="007C5004">
        <w:rPr>
          <w:rFonts w:cs="Times New Roman"/>
        </w:rPr>
        <w:t xml:space="preserve"> ententes dans la forme où elles ont été consignées par écrit à l’origine et que les modifications apportées </w:t>
      </w:r>
      <w:r>
        <w:rPr>
          <w:rFonts w:cs="Times New Roman"/>
        </w:rPr>
        <w:t xml:space="preserve">subséquemment </w:t>
      </w:r>
      <w:r w:rsidRPr="007C5004">
        <w:rPr>
          <w:rFonts w:cs="Times New Roman"/>
        </w:rPr>
        <w:t xml:space="preserve">à leur </w:t>
      </w:r>
      <w:r>
        <w:rPr>
          <w:rFonts w:cs="Times New Roman"/>
        </w:rPr>
        <w:t>texte</w:t>
      </w:r>
      <w:r w:rsidRPr="007C5004">
        <w:rPr>
          <w:rFonts w:cs="Times New Roman"/>
        </w:rPr>
        <w:t xml:space="preserve"> pour </w:t>
      </w:r>
      <w:r>
        <w:rPr>
          <w:rFonts w:cs="Times New Roman"/>
        </w:rPr>
        <w:t>constater la</w:t>
      </w:r>
      <w:r w:rsidRPr="007C5004">
        <w:rPr>
          <w:rFonts w:cs="Times New Roman"/>
        </w:rPr>
        <w:t xml:space="preserve"> soi-disant entente originale ne lui sont pas opposables.</w:t>
      </w:r>
    </w:p>
    <w:p w:rsidR="00B656C1" w:rsidRPr="007C5004" w:rsidRDefault="00B656C1" w:rsidP="00B656C1">
      <w:pPr>
        <w:pStyle w:val="ParaNoNdepar-AltN"/>
        <w:rPr>
          <w:rFonts w:cs="Times New Roman"/>
        </w:rPr>
      </w:pPr>
      <w:r w:rsidRPr="007C5004">
        <w:rPr>
          <w:rFonts w:cs="Times New Roman"/>
        </w:rPr>
        <w:t>Dans les deux appels, l</w:t>
      </w:r>
      <w:r>
        <w:rPr>
          <w:rFonts w:cs="Times New Roman"/>
        </w:rPr>
        <w:t>e procureur</w:t>
      </w:r>
      <w:r w:rsidRPr="007C5004">
        <w:rPr>
          <w:rFonts w:cs="Times New Roman"/>
        </w:rPr>
        <w:t xml:space="preserve"> </w:t>
      </w:r>
      <w:r>
        <w:rPr>
          <w:rFonts w:cs="Times New Roman"/>
        </w:rPr>
        <w:t xml:space="preserve">général du Canada </w:t>
      </w:r>
      <w:r w:rsidRPr="007C5004">
        <w:rPr>
          <w:rFonts w:cs="Times New Roman"/>
        </w:rPr>
        <w:t>s’est porté intervenant au soutien de l’ARQ. D’après l</w:t>
      </w:r>
      <w:r>
        <w:rPr>
          <w:rFonts w:cs="Times New Roman"/>
        </w:rPr>
        <w:t>e procureur général</w:t>
      </w:r>
      <w:r w:rsidRPr="007C5004">
        <w:rPr>
          <w:rFonts w:cs="Times New Roman"/>
        </w:rPr>
        <w:t>, en droit civil québécois le pouvoir de</w:t>
      </w:r>
      <w:r>
        <w:rPr>
          <w:rFonts w:cs="Times New Roman"/>
        </w:rPr>
        <w:t>s</w:t>
      </w:r>
      <w:r w:rsidRPr="007C5004">
        <w:rPr>
          <w:rFonts w:cs="Times New Roman"/>
        </w:rPr>
        <w:t xml:space="preserve"> tribunaux </w:t>
      </w:r>
      <w:r>
        <w:rPr>
          <w:rFonts w:cs="Times New Roman"/>
        </w:rPr>
        <w:t xml:space="preserve">de corriger des </w:t>
      </w:r>
      <w:r w:rsidRPr="007C5004">
        <w:rPr>
          <w:rFonts w:cs="Times New Roman"/>
        </w:rPr>
        <w:t xml:space="preserve">écrits </w:t>
      </w:r>
      <w:r>
        <w:rPr>
          <w:rFonts w:cs="Times New Roman"/>
        </w:rPr>
        <w:t>censément</w:t>
      </w:r>
      <w:r w:rsidRPr="007C5004">
        <w:rPr>
          <w:rFonts w:cs="Times New Roman"/>
        </w:rPr>
        <w:t xml:space="preserve"> défectueux se limite </w:t>
      </w:r>
      <w:r>
        <w:rPr>
          <w:rFonts w:cs="Times New Roman"/>
        </w:rPr>
        <w:t>aux</w:t>
      </w:r>
      <w:r w:rsidRPr="007C5004">
        <w:rPr>
          <w:rFonts w:cs="Times New Roman"/>
        </w:rPr>
        <w:t xml:space="preserve"> erreurs matérielles. Les procédures engagées </w:t>
      </w:r>
      <w:r>
        <w:rPr>
          <w:rFonts w:cs="Times New Roman"/>
        </w:rPr>
        <w:t>dans les affaires</w:t>
      </w:r>
      <w:r w:rsidRPr="007C5004">
        <w:rPr>
          <w:rFonts w:cs="Times New Roman"/>
        </w:rPr>
        <w:t xml:space="preserve"> </w:t>
      </w:r>
      <w:proofErr w:type="spellStart"/>
      <w:r w:rsidRPr="00FB5AFE">
        <w:rPr>
          <w:rFonts w:cs="Times New Roman"/>
          <w:i/>
        </w:rPr>
        <w:t>Riopel</w:t>
      </w:r>
      <w:proofErr w:type="spellEnd"/>
      <w:r w:rsidRPr="007C5004">
        <w:rPr>
          <w:rFonts w:cs="Times New Roman"/>
        </w:rPr>
        <w:t xml:space="preserve"> et </w:t>
      </w:r>
      <w:r w:rsidRPr="00FB5AFE">
        <w:rPr>
          <w:rFonts w:cs="Times New Roman"/>
          <w:i/>
        </w:rPr>
        <w:t>AES</w:t>
      </w:r>
      <w:r w:rsidRPr="007C5004">
        <w:rPr>
          <w:rFonts w:cs="Times New Roman"/>
        </w:rPr>
        <w:t xml:space="preserve"> ne posséderaient </w:t>
      </w:r>
      <w:r>
        <w:rPr>
          <w:rFonts w:cs="Times New Roman"/>
        </w:rPr>
        <w:t xml:space="preserve">donc </w:t>
      </w:r>
      <w:r w:rsidRPr="007C5004">
        <w:rPr>
          <w:rFonts w:cs="Times New Roman"/>
        </w:rPr>
        <w:t>aucun fondement en droit civil. Comme l’</w:t>
      </w:r>
      <w:r>
        <w:rPr>
          <w:rFonts w:cs="Times New Roman"/>
        </w:rPr>
        <w:t>ARQ</w:t>
      </w:r>
      <w:r w:rsidRPr="007C5004">
        <w:rPr>
          <w:rFonts w:cs="Times New Roman"/>
        </w:rPr>
        <w:t xml:space="preserve">, </w:t>
      </w:r>
      <w:r>
        <w:rPr>
          <w:rFonts w:cs="Times New Roman"/>
        </w:rPr>
        <w:t>il</w:t>
      </w:r>
      <w:r w:rsidRPr="007C5004">
        <w:rPr>
          <w:rFonts w:cs="Times New Roman"/>
        </w:rPr>
        <w:t xml:space="preserve"> argumente que la Cour d’appel a donné une portée trop étendue au pouvoir d’interprétation des contrats </w:t>
      </w:r>
      <w:r>
        <w:rPr>
          <w:rFonts w:cs="Times New Roman"/>
        </w:rPr>
        <w:t>prévu par</w:t>
      </w:r>
      <w:r w:rsidRPr="007C5004">
        <w:rPr>
          <w:rFonts w:cs="Times New Roman"/>
        </w:rPr>
        <w:t xml:space="preserve"> l’art</w:t>
      </w:r>
      <w:r>
        <w:rPr>
          <w:rFonts w:cs="Times New Roman"/>
        </w:rPr>
        <w:t>.</w:t>
      </w:r>
      <w:r w:rsidRPr="007C5004">
        <w:rPr>
          <w:rFonts w:cs="Times New Roman"/>
        </w:rPr>
        <w:t xml:space="preserve"> 1425 </w:t>
      </w:r>
      <w:proofErr w:type="spellStart"/>
      <w:r w:rsidRPr="007C5004">
        <w:rPr>
          <w:rFonts w:cs="Times New Roman"/>
          <w:i/>
        </w:rPr>
        <w:t>C.c.Q</w:t>
      </w:r>
      <w:proofErr w:type="spellEnd"/>
      <w:r w:rsidRPr="007C5004">
        <w:rPr>
          <w:rFonts w:cs="Times New Roman"/>
          <w:i/>
        </w:rPr>
        <w:t xml:space="preserve">. </w:t>
      </w:r>
      <w:r w:rsidRPr="007C5004">
        <w:rPr>
          <w:rFonts w:cs="Times New Roman"/>
        </w:rPr>
        <w:t>Enfin, l</w:t>
      </w:r>
      <w:r>
        <w:rPr>
          <w:rFonts w:cs="Times New Roman"/>
        </w:rPr>
        <w:t>e procureur général du Canada</w:t>
      </w:r>
      <w:r w:rsidRPr="007C5004">
        <w:rPr>
          <w:rFonts w:cs="Times New Roman"/>
        </w:rPr>
        <w:t xml:space="preserve"> critique la jurisprudence de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qui aurait indûment élargi la notion de rectification en matière fiscale depuis l’arrêt prononcé par la Cour d’appel d</w:t>
      </w:r>
      <w:r>
        <w:rPr>
          <w:rFonts w:cs="Times New Roman"/>
        </w:rPr>
        <w:t>e l</w:t>
      </w:r>
      <w:r w:rsidRPr="007C5004">
        <w:rPr>
          <w:rFonts w:cs="Times New Roman"/>
        </w:rPr>
        <w:t xml:space="preserve">’Ontario dans </w:t>
      </w:r>
      <w:r w:rsidRPr="007C5004">
        <w:rPr>
          <w:rFonts w:cs="Times New Roman"/>
          <w:i/>
        </w:rPr>
        <w:t xml:space="preserve">Canada (Attorney General) c. </w:t>
      </w:r>
      <w:proofErr w:type="spellStart"/>
      <w:r w:rsidRPr="007C5004">
        <w:rPr>
          <w:rFonts w:cs="Times New Roman"/>
          <w:i/>
        </w:rPr>
        <w:t>Juliar</w:t>
      </w:r>
      <w:proofErr w:type="spellEnd"/>
      <w:r w:rsidRPr="007C5004">
        <w:rPr>
          <w:rFonts w:cs="Times New Roman"/>
          <w:i/>
        </w:rPr>
        <w:t xml:space="preserve"> </w:t>
      </w:r>
      <w:r w:rsidRPr="007C5004">
        <w:rPr>
          <w:rFonts w:cs="Times New Roman"/>
        </w:rPr>
        <w:t>(2000)</w:t>
      </w:r>
      <w:r>
        <w:rPr>
          <w:rFonts w:cs="Times New Roman"/>
        </w:rPr>
        <w:t>,</w:t>
      </w:r>
      <w:r w:rsidRPr="007C5004">
        <w:rPr>
          <w:rFonts w:cs="Times New Roman"/>
        </w:rPr>
        <w:t xml:space="preserve"> 50 O.R.</w:t>
      </w:r>
      <w:r>
        <w:rPr>
          <w:rFonts w:cs="Times New Roman"/>
        </w:rPr>
        <w:t xml:space="preserve"> (</w:t>
      </w:r>
      <w:r w:rsidRPr="007C5004">
        <w:rPr>
          <w:rFonts w:cs="Times New Roman"/>
        </w:rPr>
        <w:t>3d</w:t>
      </w:r>
      <w:r>
        <w:rPr>
          <w:rFonts w:cs="Times New Roman"/>
        </w:rPr>
        <w:t>)</w:t>
      </w:r>
      <w:r w:rsidRPr="007C5004">
        <w:rPr>
          <w:rFonts w:cs="Times New Roman"/>
        </w:rPr>
        <w:t xml:space="preserve"> 728. De toute manière, cette conception de la r</w:t>
      </w:r>
      <w:r>
        <w:rPr>
          <w:rFonts w:cs="Times New Roman"/>
        </w:rPr>
        <w:t>ec</w:t>
      </w:r>
      <w:r w:rsidRPr="007C5004">
        <w:rPr>
          <w:rFonts w:cs="Times New Roman"/>
        </w:rPr>
        <w:t>tification serait irrecevable en droit civil. D’après l</w:t>
      </w:r>
      <w:r>
        <w:rPr>
          <w:rFonts w:cs="Times New Roman"/>
        </w:rPr>
        <w:t>e procureur général du Canada</w:t>
      </w:r>
      <w:r w:rsidRPr="007C5004">
        <w:rPr>
          <w:rFonts w:cs="Times New Roman"/>
        </w:rPr>
        <w:t xml:space="preserve">, </w:t>
      </w:r>
      <w:r>
        <w:rPr>
          <w:rFonts w:cs="Times New Roman"/>
        </w:rPr>
        <w:t>notre</w:t>
      </w:r>
      <w:r w:rsidRPr="007C5004">
        <w:rPr>
          <w:rFonts w:cs="Times New Roman"/>
        </w:rPr>
        <w:t xml:space="preserve"> Cour devrait même intervenir pour corriger cette jurisprudence et la rendre conforme à ses arrêts les plus récents en la matière.</w:t>
      </w:r>
    </w:p>
    <w:p w:rsidR="00B656C1" w:rsidRDefault="00B656C1" w:rsidP="00B656C1">
      <w:pPr>
        <w:pStyle w:val="ParaNoNdepar-AltN"/>
        <w:rPr>
          <w:rFonts w:cs="Times New Roman"/>
        </w:rPr>
      </w:pPr>
      <w:r w:rsidRPr="007C5004">
        <w:rPr>
          <w:rFonts w:cs="Times New Roman"/>
        </w:rPr>
        <w:t>Des moyens fondamentalement semblables ont été soulevés par</w:t>
      </w:r>
      <w:r>
        <w:rPr>
          <w:rFonts w:cs="Times New Roman"/>
        </w:rPr>
        <w:t xml:space="preserve"> les intimés dans</w:t>
      </w:r>
      <w:r w:rsidRPr="007C5004">
        <w:rPr>
          <w:rFonts w:cs="Times New Roman"/>
        </w:rPr>
        <w:t xml:space="preserve"> </w:t>
      </w:r>
      <w:r w:rsidRPr="00FC3B5D">
        <w:rPr>
          <w:rFonts w:cs="Times New Roman"/>
          <w:i/>
        </w:rPr>
        <w:t>AES</w:t>
      </w:r>
      <w:r w:rsidRPr="007C5004">
        <w:rPr>
          <w:rFonts w:cs="Times New Roman"/>
        </w:rPr>
        <w:t xml:space="preserve"> et </w:t>
      </w:r>
      <w:proofErr w:type="spellStart"/>
      <w:r w:rsidRPr="00FC3B5D">
        <w:rPr>
          <w:rFonts w:cs="Times New Roman"/>
          <w:i/>
        </w:rPr>
        <w:t>Riopel</w:t>
      </w:r>
      <w:proofErr w:type="spellEnd"/>
      <w:r w:rsidRPr="007C5004">
        <w:rPr>
          <w:rFonts w:cs="Times New Roman"/>
        </w:rPr>
        <w:t>, malgré les différences significatives entre leur situation de faits</w:t>
      </w:r>
      <w:r>
        <w:rPr>
          <w:rFonts w:cs="Times New Roman"/>
        </w:rPr>
        <w:t xml:space="preserve"> respective</w:t>
      </w:r>
      <w:r w:rsidRPr="007C5004">
        <w:rPr>
          <w:rFonts w:cs="Times New Roman"/>
        </w:rPr>
        <w:t xml:space="preserve">. En premier lieu, la procédure civile du Québec ne ferait pas obstacle aux recours entrepris. AES </w:t>
      </w:r>
      <w:r>
        <w:rPr>
          <w:rFonts w:cs="Times New Roman"/>
        </w:rPr>
        <w:t xml:space="preserve">et Centre technologique </w:t>
      </w:r>
      <w:r w:rsidRPr="007C5004">
        <w:rPr>
          <w:rFonts w:cs="Times New Roman"/>
        </w:rPr>
        <w:t>semble</w:t>
      </w:r>
      <w:r>
        <w:rPr>
          <w:rFonts w:cs="Times New Roman"/>
        </w:rPr>
        <w:t>nt</w:t>
      </w:r>
      <w:r w:rsidRPr="007C5004">
        <w:rPr>
          <w:rFonts w:cs="Times New Roman"/>
        </w:rPr>
        <w:t xml:space="preserve"> même suggérer que les pouvoirs implicites de la Cour supérieure pourraient constituer l’une des bases juridiques d’un recours en correction de contrats. Dans leurs plaidoiries, </w:t>
      </w:r>
      <w:r>
        <w:rPr>
          <w:rFonts w:cs="Times New Roman"/>
        </w:rPr>
        <w:t xml:space="preserve">les intimés dans les affaires </w:t>
      </w:r>
      <w:r w:rsidRPr="00FC3B5D">
        <w:rPr>
          <w:rFonts w:cs="Times New Roman"/>
          <w:i/>
        </w:rPr>
        <w:t>AES</w:t>
      </w:r>
      <w:r w:rsidRPr="007C5004">
        <w:rPr>
          <w:rFonts w:cs="Times New Roman"/>
        </w:rPr>
        <w:t xml:space="preserve"> et </w:t>
      </w:r>
      <w:proofErr w:type="spellStart"/>
      <w:r w:rsidRPr="00FC3B5D">
        <w:rPr>
          <w:rFonts w:cs="Times New Roman"/>
          <w:i/>
        </w:rPr>
        <w:t>Riopel</w:t>
      </w:r>
      <w:proofErr w:type="spellEnd"/>
      <w:r w:rsidRPr="007C5004">
        <w:rPr>
          <w:rFonts w:cs="Times New Roman"/>
        </w:rPr>
        <w:t xml:space="preserve"> </w:t>
      </w:r>
      <w:r>
        <w:rPr>
          <w:rFonts w:cs="Times New Roman"/>
        </w:rPr>
        <w:t xml:space="preserve">ont </w:t>
      </w:r>
      <w:r w:rsidRPr="007C5004">
        <w:rPr>
          <w:rFonts w:cs="Times New Roman"/>
        </w:rPr>
        <w:t>soulign</w:t>
      </w:r>
      <w:r>
        <w:rPr>
          <w:rFonts w:cs="Times New Roman"/>
        </w:rPr>
        <w:t>é avec insistance</w:t>
      </w:r>
      <w:r w:rsidRPr="007C5004">
        <w:rPr>
          <w:rFonts w:cs="Times New Roman"/>
        </w:rPr>
        <w:t xml:space="preserve"> qu’ils n</w:t>
      </w:r>
      <w:r>
        <w:rPr>
          <w:rFonts w:cs="Times New Roman"/>
        </w:rPr>
        <w:t>e deman</w:t>
      </w:r>
      <w:r w:rsidRPr="007C5004">
        <w:rPr>
          <w:rFonts w:cs="Times New Roman"/>
        </w:rPr>
        <w:t xml:space="preserve">dent pas la nullité des contrats en litige. Au contraire, loin de chercher à modifier leurs ententes, ils entendent </w:t>
      </w:r>
      <w:r>
        <w:rPr>
          <w:rFonts w:cs="Times New Roman"/>
        </w:rPr>
        <w:t xml:space="preserve">plutôt </w:t>
      </w:r>
      <w:r w:rsidRPr="007C5004">
        <w:rPr>
          <w:rFonts w:cs="Times New Roman"/>
        </w:rPr>
        <w:t xml:space="preserve">faire établir et reconnaître la véritable nature des accords qu’ils </w:t>
      </w:r>
      <w:r>
        <w:rPr>
          <w:rFonts w:cs="Times New Roman"/>
        </w:rPr>
        <w:t>o</w:t>
      </w:r>
      <w:r w:rsidRPr="007C5004">
        <w:rPr>
          <w:rFonts w:cs="Times New Roman"/>
        </w:rPr>
        <w:t xml:space="preserve">nt conclus, pour </w:t>
      </w:r>
      <w:r>
        <w:rPr>
          <w:rFonts w:cs="Times New Roman"/>
        </w:rPr>
        <w:t>que</w:t>
      </w:r>
      <w:r w:rsidRPr="007C5004">
        <w:rPr>
          <w:rFonts w:cs="Times New Roman"/>
        </w:rPr>
        <w:t xml:space="preserve"> l’expression de volonté déclarée dans leurs écrits</w:t>
      </w:r>
      <w:r>
        <w:rPr>
          <w:rFonts w:cs="Times New Roman"/>
        </w:rPr>
        <w:t xml:space="preserve"> soit </w:t>
      </w:r>
      <w:r w:rsidRPr="007C5004">
        <w:rPr>
          <w:rFonts w:cs="Times New Roman"/>
        </w:rPr>
        <w:t>conforme à leur intention réelle. Pour eux, il s’ag</w:t>
      </w:r>
      <w:r>
        <w:rPr>
          <w:rFonts w:cs="Times New Roman"/>
        </w:rPr>
        <w:t>i</w:t>
      </w:r>
      <w:r w:rsidRPr="007C5004">
        <w:rPr>
          <w:rFonts w:cs="Times New Roman"/>
        </w:rPr>
        <w:t>t</w:t>
      </w:r>
      <w:r>
        <w:rPr>
          <w:rFonts w:cs="Times New Roman"/>
        </w:rPr>
        <w:t xml:space="preserve"> </w:t>
      </w:r>
      <w:r w:rsidRPr="007C5004">
        <w:rPr>
          <w:rFonts w:cs="Times New Roman"/>
        </w:rPr>
        <w:t>là d’une opération d’interprétation permise par l’art</w:t>
      </w:r>
      <w:r>
        <w:rPr>
          <w:rFonts w:cs="Times New Roman"/>
        </w:rPr>
        <w:t>. </w:t>
      </w:r>
      <w:r w:rsidRPr="007C5004">
        <w:rPr>
          <w:rFonts w:cs="Times New Roman"/>
        </w:rPr>
        <w:t xml:space="preserve">1425 </w:t>
      </w:r>
      <w:proofErr w:type="spellStart"/>
      <w:r w:rsidRPr="007C5004">
        <w:rPr>
          <w:rFonts w:cs="Times New Roman"/>
          <w:i/>
        </w:rPr>
        <w:t>C.c.Q</w:t>
      </w:r>
      <w:proofErr w:type="spellEnd"/>
      <w:r w:rsidRPr="007C5004">
        <w:rPr>
          <w:rFonts w:cs="Times New Roman"/>
          <w:i/>
        </w:rPr>
        <w:t xml:space="preserve">. </w:t>
      </w:r>
      <w:r w:rsidRPr="007C5004">
        <w:rPr>
          <w:rFonts w:cs="Times New Roman"/>
        </w:rPr>
        <w:t xml:space="preserve">Enfin, les intimés se défendent de vouloir importer en droit civil la </w:t>
      </w:r>
      <w:r>
        <w:rPr>
          <w:rFonts w:cs="Times New Roman"/>
        </w:rPr>
        <w:t xml:space="preserve">doctrine de la </w:t>
      </w:r>
      <w:r w:rsidRPr="007C5004">
        <w:rPr>
          <w:rFonts w:cs="Times New Roman"/>
        </w:rPr>
        <w:t xml:space="preserve">rectification </w:t>
      </w:r>
      <w:r>
        <w:rPr>
          <w:rFonts w:cs="Times New Roman"/>
        </w:rPr>
        <w:t>reconnue en</w:t>
      </w:r>
      <w:r w:rsidRPr="007C5004">
        <w:rPr>
          <w:rFonts w:cs="Times New Roman"/>
        </w:rPr>
        <w:t xml:space="preserve">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La forme de rectification qu’ils invoquent </w:t>
      </w:r>
      <w:r>
        <w:rPr>
          <w:rFonts w:cs="Times New Roman"/>
        </w:rPr>
        <w:t>constituerait</w:t>
      </w:r>
      <w:r w:rsidRPr="007C5004">
        <w:rPr>
          <w:rFonts w:cs="Times New Roman"/>
        </w:rPr>
        <w:t xml:space="preserve"> une application correcte du droit civil du Québec </w:t>
      </w:r>
      <w:r>
        <w:rPr>
          <w:rFonts w:cs="Times New Roman"/>
        </w:rPr>
        <w:t xml:space="preserve">en matière </w:t>
      </w:r>
      <w:r w:rsidRPr="007C5004">
        <w:rPr>
          <w:rFonts w:cs="Times New Roman"/>
        </w:rPr>
        <w:t>d</w:t>
      </w:r>
      <w:r>
        <w:rPr>
          <w:rFonts w:cs="Times New Roman"/>
        </w:rPr>
        <w:t>’</w:t>
      </w:r>
      <w:r w:rsidRPr="007C5004">
        <w:rPr>
          <w:rFonts w:cs="Times New Roman"/>
        </w:rPr>
        <w:t xml:space="preserve">obligations </w:t>
      </w:r>
      <w:r>
        <w:rPr>
          <w:rFonts w:cs="Times New Roman"/>
        </w:rPr>
        <w:t xml:space="preserve">et </w:t>
      </w:r>
      <w:r w:rsidRPr="007C5004">
        <w:rPr>
          <w:rFonts w:cs="Times New Roman"/>
        </w:rPr>
        <w:t>respect</w:t>
      </w:r>
      <w:r>
        <w:rPr>
          <w:rFonts w:cs="Times New Roman"/>
        </w:rPr>
        <w:t>ueuse</w:t>
      </w:r>
      <w:r w:rsidRPr="007C5004">
        <w:rPr>
          <w:rFonts w:cs="Times New Roman"/>
        </w:rPr>
        <w:t xml:space="preserve"> de ses principes. La correction des écrits pourrait avoir un effet rétroactif et être opposable au fisc.</w:t>
      </w:r>
    </w:p>
    <w:p w:rsidR="00B656C1" w:rsidRPr="007C5004" w:rsidRDefault="00B656C1" w:rsidP="00B656C1">
      <w:pPr>
        <w:pStyle w:val="ParaNoNdepar-AltN"/>
        <w:numPr>
          <w:ilvl w:val="0"/>
          <w:numId w:val="0"/>
        </w:numPr>
        <w:rPr>
          <w:rFonts w:cs="Times New Roman"/>
        </w:rPr>
      </w:pPr>
    </w:p>
    <w:p w:rsidR="00B656C1" w:rsidRPr="007C5004" w:rsidRDefault="00B656C1" w:rsidP="00B656C1">
      <w:pPr>
        <w:pStyle w:val="TitleTitre-AltT"/>
      </w:pPr>
      <w:r w:rsidRPr="007C5004">
        <w:t>B.</w:t>
      </w:r>
      <w:r w:rsidRPr="007C5004">
        <w:tab/>
      </w:r>
      <w:r w:rsidRPr="00EA3EBA">
        <w:rPr>
          <w:i/>
        </w:rPr>
        <w:t>La nature des questions en litige</w:t>
      </w:r>
    </w:p>
    <w:p w:rsidR="00B656C1" w:rsidRPr="007C5004" w:rsidRDefault="00B656C1" w:rsidP="00B656C1">
      <w:pPr>
        <w:pStyle w:val="ParaNoNdepar-AltN"/>
        <w:rPr>
          <w:rFonts w:cs="Times New Roman"/>
        </w:rPr>
      </w:pPr>
      <w:r w:rsidRPr="007C5004">
        <w:rPr>
          <w:rFonts w:cs="Times New Roman"/>
        </w:rPr>
        <w:t xml:space="preserve">Le débat entre les parties soulève </w:t>
      </w:r>
      <w:r>
        <w:rPr>
          <w:rFonts w:cs="Times New Roman"/>
        </w:rPr>
        <w:t>donc</w:t>
      </w:r>
      <w:r w:rsidRPr="007C5004">
        <w:rPr>
          <w:rFonts w:cs="Times New Roman"/>
        </w:rPr>
        <w:t xml:space="preserve"> des questions procédur</w:t>
      </w:r>
      <w:r>
        <w:rPr>
          <w:rFonts w:cs="Times New Roman"/>
        </w:rPr>
        <w:t>ales</w:t>
      </w:r>
      <w:r w:rsidRPr="007C5004">
        <w:rPr>
          <w:rFonts w:cs="Times New Roman"/>
        </w:rPr>
        <w:t xml:space="preserve"> et </w:t>
      </w:r>
      <w:r>
        <w:rPr>
          <w:rFonts w:cs="Times New Roman"/>
        </w:rPr>
        <w:t>substantielles. Premièrement, les recours entrepris sont-ils</w:t>
      </w:r>
      <w:r w:rsidRPr="007C5004">
        <w:rPr>
          <w:rFonts w:cs="Times New Roman"/>
        </w:rPr>
        <w:t xml:space="preserve"> compatible</w:t>
      </w:r>
      <w:r>
        <w:rPr>
          <w:rFonts w:cs="Times New Roman"/>
        </w:rPr>
        <w:t>s</w:t>
      </w:r>
      <w:r w:rsidRPr="007C5004">
        <w:rPr>
          <w:rFonts w:cs="Times New Roman"/>
        </w:rPr>
        <w:t xml:space="preserve"> avec la procédure civile du Québec? </w:t>
      </w:r>
      <w:r>
        <w:rPr>
          <w:rFonts w:cs="Times New Roman"/>
        </w:rPr>
        <w:t>Deuxièmement</w:t>
      </w:r>
      <w:r w:rsidRPr="007C5004">
        <w:rPr>
          <w:rFonts w:cs="Times New Roman"/>
        </w:rPr>
        <w:t>, le droit civil québécois permet</w:t>
      </w:r>
      <w:r>
        <w:rPr>
          <w:rFonts w:cs="Times New Roman"/>
        </w:rPr>
        <w:t>-</w:t>
      </w:r>
      <w:r w:rsidRPr="007C5004">
        <w:rPr>
          <w:rFonts w:cs="Times New Roman"/>
        </w:rPr>
        <w:t xml:space="preserve">il les opérations de modification ou de correction de contrats </w:t>
      </w:r>
      <w:r>
        <w:rPr>
          <w:rFonts w:cs="Times New Roman"/>
        </w:rPr>
        <w:t>réalisées</w:t>
      </w:r>
      <w:r w:rsidRPr="007C5004">
        <w:rPr>
          <w:rFonts w:cs="Times New Roman"/>
        </w:rPr>
        <w:t xml:space="preserve"> par les intimés et dont la Cour d’appel a reconnu la recevabilité? Cette deuxième question </w:t>
      </w:r>
      <w:r>
        <w:rPr>
          <w:rFonts w:cs="Times New Roman"/>
        </w:rPr>
        <w:t>constitue</w:t>
      </w:r>
      <w:r w:rsidRPr="007C5004">
        <w:rPr>
          <w:rFonts w:cs="Times New Roman"/>
        </w:rPr>
        <w:t xml:space="preserve"> la question principale. Les problèmes procédur</w:t>
      </w:r>
      <w:r>
        <w:rPr>
          <w:rFonts w:cs="Times New Roman"/>
        </w:rPr>
        <w:t>aux</w:t>
      </w:r>
      <w:r w:rsidRPr="007C5004">
        <w:rPr>
          <w:rFonts w:cs="Times New Roman"/>
        </w:rPr>
        <w:t xml:space="preserve"> soulevés </w:t>
      </w:r>
      <w:r>
        <w:rPr>
          <w:rFonts w:cs="Times New Roman"/>
        </w:rPr>
        <w:t>par</w:t>
      </w:r>
      <w:r w:rsidRPr="007C5004">
        <w:rPr>
          <w:rFonts w:cs="Times New Roman"/>
        </w:rPr>
        <w:t xml:space="preserve"> ces affaires n</w:t>
      </w:r>
      <w:r>
        <w:rPr>
          <w:rFonts w:cs="Times New Roman"/>
        </w:rPr>
        <w:t>e revêtent</w:t>
      </w:r>
      <w:r w:rsidRPr="007C5004">
        <w:rPr>
          <w:rFonts w:cs="Times New Roman"/>
        </w:rPr>
        <w:t xml:space="preserve"> qu’une importance mineure.</w:t>
      </w:r>
    </w:p>
    <w:p w:rsidR="00B656C1" w:rsidRPr="007C5004" w:rsidRDefault="00B656C1" w:rsidP="00B656C1">
      <w:pPr>
        <w:pStyle w:val="ParaNoNdepar-AltN"/>
        <w:rPr>
          <w:rFonts w:cs="Times New Roman"/>
        </w:rPr>
      </w:pPr>
      <w:r w:rsidRPr="007C5004">
        <w:rPr>
          <w:rFonts w:cs="Times New Roman"/>
        </w:rPr>
        <w:t xml:space="preserve">Toutefois, la façon dont la preuve a été </w:t>
      </w:r>
      <w:r>
        <w:rPr>
          <w:rFonts w:cs="Times New Roman"/>
        </w:rPr>
        <w:t>présentée</w:t>
      </w:r>
      <w:r w:rsidRPr="007C5004">
        <w:rPr>
          <w:rFonts w:cs="Times New Roman"/>
        </w:rPr>
        <w:t xml:space="preserve"> dans ces dossiers a certainement eu un impact </w:t>
      </w:r>
      <w:r>
        <w:rPr>
          <w:rFonts w:cs="Times New Roman"/>
        </w:rPr>
        <w:t>appréciable</w:t>
      </w:r>
      <w:r w:rsidRPr="007C5004">
        <w:rPr>
          <w:rFonts w:cs="Times New Roman"/>
        </w:rPr>
        <w:t xml:space="preserve"> sur l’examen des questions en litige</w:t>
      </w:r>
      <w:r>
        <w:rPr>
          <w:rFonts w:cs="Times New Roman"/>
        </w:rPr>
        <w:t>, car elle a facilité la preuve des allégations des contribuables en l’occurrence</w:t>
      </w:r>
      <w:r w:rsidRPr="007C5004">
        <w:rPr>
          <w:rFonts w:cs="Times New Roman"/>
        </w:rPr>
        <w:t xml:space="preserve">. </w:t>
      </w:r>
      <w:r>
        <w:rPr>
          <w:rFonts w:cs="Times New Roman"/>
        </w:rPr>
        <w:t>D</w:t>
      </w:r>
      <w:r w:rsidRPr="007C5004">
        <w:rPr>
          <w:rFonts w:cs="Times New Roman"/>
        </w:rPr>
        <w:t xml:space="preserve">ans </w:t>
      </w:r>
      <w:r w:rsidRPr="00B34A7E">
        <w:rPr>
          <w:rFonts w:cs="Times New Roman"/>
          <w:i/>
        </w:rPr>
        <w:t>AES</w:t>
      </w:r>
      <w:r w:rsidRPr="007C5004">
        <w:rPr>
          <w:rFonts w:cs="Times New Roman"/>
        </w:rPr>
        <w:t xml:space="preserve">, la preuve consiste dans des admissions écrites et des pièces produites </w:t>
      </w:r>
      <w:r>
        <w:rPr>
          <w:rFonts w:cs="Times New Roman"/>
        </w:rPr>
        <w:t>conjointement</w:t>
      </w:r>
      <w:r w:rsidRPr="007C5004">
        <w:rPr>
          <w:rFonts w:cs="Times New Roman"/>
        </w:rPr>
        <w:t xml:space="preserve"> par les parties en première instance. Dans </w:t>
      </w:r>
      <w:proofErr w:type="spellStart"/>
      <w:r w:rsidRPr="00B34A7E">
        <w:rPr>
          <w:rFonts w:cs="Times New Roman"/>
          <w:i/>
        </w:rPr>
        <w:t>Riopel</w:t>
      </w:r>
      <w:proofErr w:type="spellEnd"/>
      <w:r w:rsidRPr="007C5004">
        <w:rPr>
          <w:rFonts w:cs="Times New Roman"/>
        </w:rPr>
        <w:t>, les intimés ont présenté en Cour supérieure, sans aucune objection de leurs adversaires, une preuve documentaire et testimoniale é</w:t>
      </w:r>
      <w:r>
        <w:rPr>
          <w:rFonts w:cs="Times New Roman"/>
        </w:rPr>
        <w:t>toffée afin</w:t>
      </w:r>
      <w:r w:rsidRPr="007C5004">
        <w:rPr>
          <w:rFonts w:cs="Times New Roman"/>
        </w:rPr>
        <w:t xml:space="preserve"> </w:t>
      </w:r>
      <w:r>
        <w:rPr>
          <w:rFonts w:cs="Times New Roman"/>
        </w:rPr>
        <w:t>d’</w:t>
      </w:r>
      <w:r w:rsidRPr="007C5004">
        <w:rPr>
          <w:rFonts w:cs="Times New Roman"/>
        </w:rPr>
        <w:t>établir la nature</w:t>
      </w:r>
      <w:r>
        <w:rPr>
          <w:rFonts w:cs="Times New Roman"/>
        </w:rPr>
        <w:t>,</w:t>
      </w:r>
      <w:r w:rsidRPr="007C5004">
        <w:rPr>
          <w:rFonts w:cs="Times New Roman"/>
        </w:rPr>
        <w:t xml:space="preserve"> </w:t>
      </w:r>
      <w:r>
        <w:rPr>
          <w:rFonts w:cs="Times New Roman"/>
        </w:rPr>
        <w:t xml:space="preserve">selon eux, </w:t>
      </w:r>
      <w:r w:rsidRPr="007C5004">
        <w:rPr>
          <w:rFonts w:cs="Times New Roman"/>
        </w:rPr>
        <w:t xml:space="preserve">de leur véritable entente, </w:t>
      </w:r>
      <w:r>
        <w:rPr>
          <w:rFonts w:cs="Times New Roman"/>
        </w:rPr>
        <w:t>ainsi que</w:t>
      </w:r>
      <w:r w:rsidRPr="007C5004">
        <w:rPr>
          <w:rFonts w:cs="Times New Roman"/>
        </w:rPr>
        <w:t xml:space="preserve"> les erreurs commises par leurs conseillers dans </w:t>
      </w:r>
      <w:r>
        <w:rPr>
          <w:rFonts w:cs="Times New Roman"/>
        </w:rPr>
        <w:t>la concrétisation de cette entente</w:t>
      </w:r>
      <w:r w:rsidRPr="007C5004">
        <w:rPr>
          <w:rFonts w:cs="Times New Roman"/>
        </w:rPr>
        <w:t xml:space="preserve">. </w:t>
      </w:r>
      <w:r>
        <w:rPr>
          <w:rFonts w:cs="Times New Roman"/>
        </w:rPr>
        <w:t>L</w:t>
      </w:r>
      <w:r w:rsidRPr="007C5004">
        <w:rPr>
          <w:rFonts w:cs="Times New Roman"/>
        </w:rPr>
        <w:t xml:space="preserve">’admissibilité de ces preuves n’a </w:t>
      </w:r>
      <w:r>
        <w:rPr>
          <w:rFonts w:cs="Times New Roman"/>
        </w:rPr>
        <w:t xml:space="preserve">pas </w:t>
      </w:r>
      <w:r w:rsidRPr="007C5004">
        <w:rPr>
          <w:rFonts w:cs="Times New Roman"/>
        </w:rPr>
        <w:t xml:space="preserve">été </w:t>
      </w:r>
      <w:r>
        <w:rPr>
          <w:rFonts w:cs="Times New Roman"/>
        </w:rPr>
        <w:t>débattue</w:t>
      </w:r>
      <w:r w:rsidRPr="007C5004">
        <w:rPr>
          <w:rFonts w:cs="Times New Roman"/>
        </w:rPr>
        <w:t xml:space="preserve"> au procès. Les questions de droit en </w:t>
      </w:r>
      <w:r>
        <w:rPr>
          <w:rFonts w:cs="Times New Roman"/>
        </w:rPr>
        <w:t>litige</w:t>
      </w:r>
      <w:r w:rsidRPr="007C5004">
        <w:rPr>
          <w:rFonts w:cs="Times New Roman"/>
        </w:rPr>
        <w:t xml:space="preserve"> doivent donc être examinées et réglées sur la base de cette preuve non contestée</w:t>
      </w:r>
      <w:r>
        <w:rPr>
          <w:rFonts w:cs="Times New Roman"/>
        </w:rPr>
        <w:t>,</w:t>
      </w:r>
      <w:r w:rsidRPr="007C5004">
        <w:rPr>
          <w:rFonts w:cs="Times New Roman"/>
        </w:rPr>
        <w:t xml:space="preserve"> qui établit la nature des ententes sur lesquel</w:t>
      </w:r>
      <w:r>
        <w:rPr>
          <w:rFonts w:cs="Times New Roman"/>
        </w:rPr>
        <w:t>le</w:t>
      </w:r>
      <w:r w:rsidRPr="007C5004">
        <w:rPr>
          <w:rFonts w:cs="Times New Roman"/>
        </w:rPr>
        <w:t xml:space="preserve">s ont porté les échanges de consentement intervenus entre les parties. </w:t>
      </w:r>
      <w:r>
        <w:rPr>
          <w:rFonts w:cs="Times New Roman"/>
        </w:rPr>
        <w:t xml:space="preserve">Toutefois, afin d’aider à la résolution d’affaires futures analogues, il faudra, eu égard à ces modes de constitution de la preuve, faire quelques rappels au sujet de l’effet possible des règles de preuve à l’égard des questions substantielles. </w:t>
      </w:r>
      <w:r w:rsidRPr="007C5004">
        <w:rPr>
          <w:rFonts w:cs="Times New Roman"/>
        </w:rPr>
        <w:t xml:space="preserve">Il faut </w:t>
      </w:r>
      <w:r>
        <w:rPr>
          <w:rFonts w:cs="Times New Roman"/>
        </w:rPr>
        <w:t>tout d’abord se demander</w:t>
      </w:r>
      <w:r w:rsidRPr="007C5004">
        <w:rPr>
          <w:rFonts w:cs="Times New Roman"/>
        </w:rPr>
        <w:t xml:space="preserve"> s’il s’agit de contrats au sens du droit civil.</w:t>
      </w:r>
    </w:p>
    <w:p w:rsidR="00B656C1" w:rsidRPr="007C5004" w:rsidRDefault="00B656C1" w:rsidP="00B656C1">
      <w:pPr>
        <w:pStyle w:val="TitleTitre-AltT"/>
        <w:tabs>
          <w:tab w:val="clear" w:pos="360"/>
        </w:tabs>
        <w:ind w:left="547" w:hanging="547"/>
        <w:rPr>
          <w:rFonts w:cs="Times New Roman"/>
        </w:rPr>
      </w:pPr>
      <w:r w:rsidRPr="007C5004">
        <w:rPr>
          <w:rFonts w:cs="Times New Roman"/>
        </w:rPr>
        <w:t>C.</w:t>
      </w:r>
      <w:r w:rsidRPr="007C5004">
        <w:rPr>
          <w:rFonts w:cs="Times New Roman"/>
        </w:rPr>
        <w:tab/>
      </w:r>
      <w:r w:rsidRPr="007C5004">
        <w:rPr>
          <w:rFonts w:cs="Times New Roman"/>
          <w:i/>
        </w:rPr>
        <w:t xml:space="preserve">La notion de contrat </w:t>
      </w:r>
    </w:p>
    <w:p w:rsidR="00B656C1" w:rsidRPr="007C5004" w:rsidRDefault="00B656C1" w:rsidP="00B656C1">
      <w:pPr>
        <w:pStyle w:val="ParaNoNdepar-AltN"/>
        <w:rPr>
          <w:rFonts w:cs="Times New Roman"/>
        </w:rPr>
      </w:pPr>
      <w:r>
        <w:rPr>
          <w:rFonts w:cs="Times New Roman"/>
        </w:rPr>
        <w:t>Bien que</w:t>
      </w:r>
      <w:r w:rsidRPr="007C5004">
        <w:rPr>
          <w:rFonts w:cs="Times New Roman"/>
        </w:rPr>
        <w:t xml:space="preserve"> la notion de contrat </w:t>
      </w:r>
      <w:r>
        <w:rPr>
          <w:rFonts w:cs="Times New Roman"/>
        </w:rPr>
        <w:t>soit généralement</w:t>
      </w:r>
      <w:r w:rsidRPr="007C5004">
        <w:rPr>
          <w:rFonts w:cs="Times New Roman"/>
        </w:rPr>
        <w:t xml:space="preserve"> bien co</w:t>
      </w:r>
      <w:r>
        <w:rPr>
          <w:rFonts w:cs="Times New Roman"/>
        </w:rPr>
        <w:t>mpris</w:t>
      </w:r>
      <w:r w:rsidRPr="007C5004">
        <w:rPr>
          <w:rFonts w:cs="Times New Roman"/>
        </w:rPr>
        <w:t>e en droit civil, ces deux affaires démontrent q</w:t>
      </w:r>
      <w:r>
        <w:rPr>
          <w:rFonts w:cs="Times New Roman"/>
        </w:rPr>
        <w:t>u’il arrive parfois</w:t>
      </w:r>
      <w:r w:rsidRPr="007C5004">
        <w:rPr>
          <w:rFonts w:cs="Times New Roman"/>
        </w:rPr>
        <w:t xml:space="preserve"> </w:t>
      </w:r>
      <w:r>
        <w:rPr>
          <w:rFonts w:cs="Times New Roman"/>
        </w:rPr>
        <w:t>que</w:t>
      </w:r>
      <w:r w:rsidRPr="007C5004">
        <w:rPr>
          <w:rFonts w:cs="Times New Roman"/>
        </w:rPr>
        <w:t xml:space="preserve"> l’on </w:t>
      </w:r>
      <w:r>
        <w:rPr>
          <w:rFonts w:cs="Times New Roman"/>
        </w:rPr>
        <w:t xml:space="preserve">ne </w:t>
      </w:r>
      <w:r w:rsidRPr="007C5004">
        <w:rPr>
          <w:rFonts w:cs="Times New Roman"/>
        </w:rPr>
        <w:t xml:space="preserve">s’accorde </w:t>
      </w:r>
      <w:r>
        <w:rPr>
          <w:rFonts w:cs="Times New Roman"/>
        </w:rPr>
        <w:t>pas, dans une situation donnée,</w:t>
      </w:r>
      <w:r w:rsidRPr="007C5004">
        <w:rPr>
          <w:rFonts w:cs="Times New Roman"/>
        </w:rPr>
        <w:t xml:space="preserve"> sur </w:t>
      </w:r>
      <w:r>
        <w:rPr>
          <w:rFonts w:cs="Times New Roman"/>
        </w:rPr>
        <w:t>l’existence</w:t>
      </w:r>
      <w:r w:rsidRPr="007C5004">
        <w:rPr>
          <w:rFonts w:cs="Times New Roman"/>
        </w:rPr>
        <w:t xml:space="preserve"> juridique </w:t>
      </w:r>
      <w:r>
        <w:rPr>
          <w:rFonts w:cs="Times New Roman"/>
        </w:rPr>
        <w:t>d’</w:t>
      </w:r>
      <w:r w:rsidRPr="007C5004">
        <w:rPr>
          <w:rFonts w:cs="Times New Roman"/>
        </w:rPr>
        <w:t xml:space="preserve">un contrat et sur le </w:t>
      </w:r>
      <w:r>
        <w:rPr>
          <w:rFonts w:cs="Times New Roman"/>
        </w:rPr>
        <w:t xml:space="preserve">moment où celui-ci </w:t>
      </w:r>
      <w:r w:rsidRPr="007C5004">
        <w:rPr>
          <w:rFonts w:cs="Times New Roman"/>
        </w:rPr>
        <w:t xml:space="preserve">se forme et lie les parties. </w:t>
      </w:r>
      <w:r>
        <w:rPr>
          <w:rFonts w:cs="Times New Roman"/>
        </w:rPr>
        <w:t>En effet, o</w:t>
      </w:r>
      <w:r w:rsidRPr="007C5004">
        <w:rPr>
          <w:rFonts w:cs="Times New Roman"/>
        </w:rPr>
        <w:t xml:space="preserve">n ne s’entend pas toujours sur ce que l’on considère comme le contrat ni sur le moment </w:t>
      </w:r>
      <w:r>
        <w:rPr>
          <w:rFonts w:cs="Times New Roman"/>
        </w:rPr>
        <w:t>où</w:t>
      </w:r>
      <w:r w:rsidRPr="007C5004">
        <w:rPr>
          <w:rFonts w:cs="Times New Roman"/>
        </w:rPr>
        <w:t xml:space="preserve"> il aurait franchi le seuil de l’existence juridique. Dans ce contexte, </w:t>
      </w:r>
      <w:r>
        <w:rPr>
          <w:rFonts w:cs="Times New Roman"/>
        </w:rPr>
        <w:t xml:space="preserve">il </w:t>
      </w:r>
      <w:r w:rsidRPr="007C5004">
        <w:rPr>
          <w:rFonts w:cs="Times New Roman"/>
        </w:rPr>
        <w:t xml:space="preserve">s’avère utile </w:t>
      </w:r>
      <w:r>
        <w:rPr>
          <w:rFonts w:cs="Times New Roman"/>
        </w:rPr>
        <w:t>de</w:t>
      </w:r>
      <w:r w:rsidRPr="007C5004">
        <w:rPr>
          <w:rFonts w:cs="Times New Roman"/>
        </w:rPr>
        <w:t xml:space="preserve"> rappel</w:t>
      </w:r>
      <w:r>
        <w:rPr>
          <w:rFonts w:cs="Times New Roman"/>
        </w:rPr>
        <w:t>er</w:t>
      </w:r>
      <w:r w:rsidRPr="007C5004">
        <w:rPr>
          <w:rFonts w:cs="Times New Roman"/>
        </w:rPr>
        <w:t xml:space="preserve"> quelques notions fondamentales.</w:t>
      </w:r>
    </w:p>
    <w:p w:rsidR="00B656C1" w:rsidRPr="007C5004" w:rsidRDefault="00B656C1" w:rsidP="00B656C1">
      <w:pPr>
        <w:pStyle w:val="ParaNoNdepar-AltN"/>
        <w:rPr>
          <w:rFonts w:cs="Times New Roman"/>
        </w:rPr>
      </w:pPr>
      <w:r w:rsidRPr="007C5004">
        <w:rPr>
          <w:rFonts w:cs="Times New Roman"/>
        </w:rPr>
        <w:t xml:space="preserve">En droit civil québécois, le droit des obligations définit le contrat comme un accord de volonté visant à réaliser des opérations juridiques. La conclusion du contrat est soumise au principe du consensualisme. Il se réalise par l’échange des consentements. Il n’exige aucune forme particulière, sauf lorsque le législateur intervient et l’impose. La commune intention des parties ne se confond pas avec l’expression </w:t>
      </w:r>
      <w:r>
        <w:rPr>
          <w:rFonts w:cs="Times New Roman"/>
        </w:rPr>
        <w:t xml:space="preserve">— orale ou écrite — </w:t>
      </w:r>
      <w:r w:rsidRPr="007C5004">
        <w:rPr>
          <w:rFonts w:cs="Times New Roman"/>
        </w:rPr>
        <w:t>de la volonté déclarée. En règle générale, l’écrit ne constitue pas un acte a</w:t>
      </w:r>
      <w:r>
        <w:rPr>
          <w:rFonts w:cs="Times New Roman"/>
        </w:rPr>
        <w:t>utonome</w:t>
      </w:r>
      <w:r w:rsidRPr="007C5004">
        <w:rPr>
          <w:rFonts w:cs="Times New Roman"/>
        </w:rPr>
        <w:t xml:space="preserve"> comme la lettre de change ou certaines formes de lettres de garantie</w:t>
      </w:r>
      <w:r>
        <w:rPr>
          <w:rFonts w:cs="Times New Roman"/>
        </w:rPr>
        <w:t>,</w:t>
      </w:r>
      <w:r w:rsidRPr="007C5004">
        <w:rPr>
          <w:rFonts w:cs="Times New Roman"/>
        </w:rPr>
        <w:t xml:space="preserve"> où le document devient en quelque sorte l’engagement et se trouve le plus souvent coupé </w:t>
      </w:r>
      <w:r>
        <w:rPr>
          <w:rFonts w:cs="Times New Roman"/>
        </w:rPr>
        <w:t xml:space="preserve">du contexte qui a </w:t>
      </w:r>
      <w:r w:rsidRPr="007C5004">
        <w:rPr>
          <w:rFonts w:cs="Times New Roman"/>
        </w:rPr>
        <w:t>entraîné sa création (</w:t>
      </w:r>
      <w:r w:rsidRPr="007C5004">
        <w:rPr>
          <w:rFonts w:cs="Times New Roman"/>
          <w:i/>
        </w:rPr>
        <w:t>Banque de Nouvelle-Écosse c. Angelica</w:t>
      </w:r>
      <w:r>
        <w:rPr>
          <w:rFonts w:cs="Times New Roman"/>
          <w:i/>
        </w:rPr>
        <w:t>-</w:t>
      </w:r>
      <w:proofErr w:type="spellStart"/>
      <w:r w:rsidRPr="007C5004">
        <w:rPr>
          <w:rFonts w:cs="Times New Roman"/>
          <w:i/>
        </w:rPr>
        <w:t>Whitewear</w:t>
      </w:r>
      <w:proofErr w:type="spellEnd"/>
      <w:r w:rsidRPr="007C5004">
        <w:rPr>
          <w:rFonts w:cs="Times New Roman"/>
          <w:i/>
        </w:rPr>
        <w:t xml:space="preserve"> Ltd</w:t>
      </w:r>
      <w:r>
        <w:rPr>
          <w:rFonts w:cs="Times New Roman"/>
          <w:i/>
        </w:rPr>
        <w:t>.</w:t>
      </w:r>
      <w:r w:rsidRPr="007C5004">
        <w:rPr>
          <w:rFonts w:cs="Times New Roman"/>
        </w:rPr>
        <w:t>,</w:t>
      </w:r>
      <w:r w:rsidRPr="007C5004">
        <w:rPr>
          <w:rFonts w:cs="Times New Roman"/>
          <w:i/>
        </w:rPr>
        <w:t xml:space="preserve"> </w:t>
      </w:r>
      <w:r w:rsidRPr="007C5004">
        <w:rPr>
          <w:rFonts w:cs="Times New Roman"/>
        </w:rPr>
        <w:t>[1987] 1 R.C.S. 59, p.</w:t>
      </w:r>
      <w:r>
        <w:rPr>
          <w:rFonts w:cs="Times New Roman"/>
        </w:rPr>
        <w:t> </w:t>
      </w:r>
      <w:r w:rsidRPr="007C5004">
        <w:rPr>
          <w:rFonts w:cs="Times New Roman"/>
        </w:rPr>
        <w:t xml:space="preserve">70-71; </w:t>
      </w:r>
      <w:r w:rsidRPr="007C5004">
        <w:rPr>
          <w:rFonts w:cs="Times New Roman"/>
          <w:i/>
        </w:rPr>
        <w:t>Banque de Montréal c. Européenne de Condiments</w:t>
      </w:r>
      <w:r>
        <w:rPr>
          <w:rFonts w:cs="Times New Roman"/>
          <w:i/>
        </w:rPr>
        <w:t xml:space="preserve"> S.A.</w:t>
      </w:r>
      <w:r w:rsidRPr="007C5004">
        <w:rPr>
          <w:rFonts w:cs="Times New Roman"/>
        </w:rPr>
        <w:t>,</w:t>
      </w:r>
      <w:r w:rsidRPr="007C5004">
        <w:rPr>
          <w:rFonts w:cs="Times New Roman"/>
          <w:i/>
        </w:rPr>
        <w:t xml:space="preserve"> </w:t>
      </w:r>
      <w:r w:rsidRPr="007C5004">
        <w:rPr>
          <w:rFonts w:cs="Times New Roman"/>
        </w:rPr>
        <w:t xml:space="preserve">[1989] R.J.Q. 246 </w:t>
      </w:r>
      <w:r>
        <w:rPr>
          <w:rFonts w:cs="Times New Roman"/>
        </w:rPr>
        <w:t>(</w:t>
      </w:r>
      <w:r w:rsidRPr="007C5004">
        <w:rPr>
          <w:rFonts w:cs="Times New Roman"/>
        </w:rPr>
        <w:t>C.A.</w:t>
      </w:r>
      <w:r>
        <w:rPr>
          <w:rFonts w:cs="Times New Roman"/>
        </w:rPr>
        <w:t>);</w:t>
      </w:r>
      <w:r w:rsidRPr="007C5004">
        <w:rPr>
          <w:rFonts w:cs="Times New Roman"/>
        </w:rPr>
        <w:t xml:space="preserve"> N. L’Heureux,</w:t>
      </w:r>
      <w:r>
        <w:rPr>
          <w:rFonts w:cs="Times New Roman"/>
        </w:rPr>
        <w:t xml:space="preserve"> É. Fortin et M. </w:t>
      </w:r>
      <w:proofErr w:type="spellStart"/>
      <w:r>
        <w:rPr>
          <w:rFonts w:cs="Times New Roman"/>
        </w:rPr>
        <w:t>Lacoursière</w:t>
      </w:r>
      <w:proofErr w:type="spellEnd"/>
      <w:r>
        <w:rPr>
          <w:rFonts w:cs="Times New Roman"/>
        </w:rPr>
        <w:t>,</w:t>
      </w:r>
      <w:r w:rsidRPr="007C5004">
        <w:rPr>
          <w:rFonts w:cs="Times New Roman"/>
        </w:rPr>
        <w:t xml:space="preserve"> </w:t>
      </w:r>
      <w:r w:rsidRPr="007C5004">
        <w:rPr>
          <w:rFonts w:cs="Times New Roman"/>
          <w:i/>
        </w:rPr>
        <w:t xml:space="preserve">Droit </w:t>
      </w:r>
      <w:r>
        <w:rPr>
          <w:rFonts w:cs="Times New Roman"/>
          <w:i/>
        </w:rPr>
        <w:t>b</w:t>
      </w:r>
      <w:r w:rsidRPr="007C5004">
        <w:rPr>
          <w:rFonts w:cs="Times New Roman"/>
          <w:i/>
        </w:rPr>
        <w:t>ancaire</w:t>
      </w:r>
      <w:r w:rsidRPr="007C5004">
        <w:rPr>
          <w:rFonts w:cs="Times New Roman"/>
        </w:rPr>
        <w:t xml:space="preserve"> </w:t>
      </w:r>
      <w:r>
        <w:rPr>
          <w:rFonts w:cs="Times New Roman"/>
        </w:rPr>
        <w:t>(</w:t>
      </w:r>
      <w:r w:rsidRPr="007C5004">
        <w:rPr>
          <w:rFonts w:cs="Times New Roman"/>
        </w:rPr>
        <w:t>4</w:t>
      </w:r>
      <w:r w:rsidRPr="007C5004">
        <w:rPr>
          <w:rFonts w:cs="Times New Roman"/>
          <w:vertAlign w:val="superscript"/>
        </w:rPr>
        <w:t>e</w:t>
      </w:r>
      <w:r w:rsidRPr="007C5004">
        <w:rPr>
          <w:rFonts w:cs="Times New Roman"/>
        </w:rPr>
        <w:t xml:space="preserve"> éd.</w:t>
      </w:r>
      <w:r>
        <w:rPr>
          <w:rFonts w:cs="Times New Roman"/>
        </w:rPr>
        <w:t xml:space="preserve"> 2004),</w:t>
      </w:r>
      <w:r w:rsidRPr="007C5004">
        <w:rPr>
          <w:rFonts w:cs="Times New Roman"/>
        </w:rPr>
        <w:t xml:space="preserve"> p.</w:t>
      </w:r>
      <w:r>
        <w:rPr>
          <w:rFonts w:cs="Times New Roman"/>
        </w:rPr>
        <w:t> </w:t>
      </w:r>
      <w:r w:rsidRPr="007C5004">
        <w:rPr>
          <w:rFonts w:cs="Times New Roman"/>
        </w:rPr>
        <w:t>290-</w:t>
      </w:r>
      <w:r>
        <w:rPr>
          <w:rFonts w:cs="Times New Roman"/>
        </w:rPr>
        <w:t>2</w:t>
      </w:r>
      <w:r w:rsidRPr="007C5004">
        <w:rPr>
          <w:rFonts w:cs="Times New Roman"/>
        </w:rPr>
        <w:t>92).</w:t>
      </w:r>
    </w:p>
    <w:p w:rsidR="00B656C1" w:rsidRPr="007C5004" w:rsidRDefault="00B656C1" w:rsidP="00B656C1">
      <w:pPr>
        <w:pStyle w:val="ParaNoNdepar-AltN"/>
        <w:rPr>
          <w:rFonts w:cs="Times New Roman"/>
        </w:rPr>
      </w:pPr>
      <w:r>
        <w:rPr>
          <w:rFonts w:cs="Times New Roman"/>
        </w:rPr>
        <w:t>Les présents</w:t>
      </w:r>
      <w:r w:rsidRPr="007C5004">
        <w:rPr>
          <w:rFonts w:cs="Times New Roman"/>
        </w:rPr>
        <w:t xml:space="preserve"> pourvois imposent </w:t>
      </w:r>
      <w:r>
        <w:rPr>
          <w:rFonts w:cs="Times New Roman"/>
        </w:rPr>
        <w:t>par conséquent</w:t>
      </w:r>
      <w:r w:rsidRPr="007C5004">
        <w:rPr>
          <w:rFonts w:cs="Times New Roman"/>
        </w:rPr>
        <w:t xml:space="preserve"> une réflexion sur le contrat. Qu’est-ce qu’un contrat et quand </w:t>
      </w:r>
      <w:r>
        <w:rPr>
          <w:rFonts w:cs="Times New Roman"/>
        </w:rPr>
        <w:t>n</w:t>
      </w:r>
      <w:r w:rsidRPr="007C5004">
        <w:rPr>
          <w:rFonts w:cs="Times New Roman"/>
        </w:rPr>
        <w:t xml:space="preserve">aît-il? Quels rapports existent entre le contrat et son expression? </w:t>
      </w:r>
    </w:p>
    <w:p w:rsidR="00B656C1" w:rsidRPr="007C5004" w:rsidRDefault="00B656C1" w:rsidP="00B656C1">
      <w:pPr>
        <w:pStyle w:val="ParaNoNdepar-AltN"/>
        <w:rPr>
          <w:rFonts w:cs="Times New Roman"/>
        </w:rPr>
      </w:pPr>
      <w:r w:rsidRPr="007C5004">
        <w:rPr>
          <w:rFonts w:cs="Times New Roman"/>
        </w:rPr>
        <w:t xml:space="preserve">L’article 1378 </w:t>
      </w:r>
      <w:proofErr w:type="spellStart"/>
      <w:r w:rsidRPr="007C5004">
        <w:rPr>
          <w:rFonts w:cs="Times New Roman"/>
          <w:i/>
        </w:rPr>
        <w:t>C.c.Q</w:t>
      </w:r>
      <w:proofErr w:type="spellEnd"/>
      <w:r w:rsidRPr="007C5004">
        <w:rPr>
          <w:rFonts w:cs="Times New Roman"/>
          <w:i/>
        </w:rPr>
        <w:t xml:space="preserve">. </w:t>
      </w:r>
      <w:r w:rsidRPr="007C5004">
        <w:rPr>
          <w:rFonts w:cs="Times New Roman"/>
        </w:rPr>
        <w:t>définit le contrat comme « un accord de volonté</w:t>
      </w:r>
      <w:r>
        <w:rPr>
          <w:rFonts w:cs="Times New Roman"/>
        </w:rPr>
        <w:t>,</w:t>
      </w:r>
      <w:r w:rsidRPr="007C5004">
        <w:rPr>
          <w:rFonts w:cs="Times New Roman"/>
        </w:rPr>
        <w:t xml:space="preserve"> par lequel </w:t>
      </w:r>
      <w:r>
        <w:rPr>
          <w:rFonts w:cs="Times New Roman"/>
        </w:rPr>
        <w:t>une ou plusieurs</w:t>
      </w:r>
      <w:r w:rsidRPr="007C5004">
        <w:rPr>
          <w:rFonts w:cs="Times New Roman"/>
        </w:rPr>
        <w:t xml:space="preserve"> personnes s’obligent envers une ou plusieurs autres à exécuter une prestation ». Le contrat constitue une entente destinée à produire des effets de droit (D. </w:t>
      </w:r>
      <w:proofErr w:type="spellStart"/>
      <w:r w:rsidRPr="007C5004">
        <w:rPr>
          <w:rFonts w:cs="Times New Roman"/>
        </w:rPr>
        <w:t>Lluelles</w:t>
      </w:r>
      <w:proofErr w:type="spellEnd"/>
      <w:r w:rsidRPr="007C5004">
        <w:rPr>
          <w:rFonts w:cs="Times New Roman"/>
        </w:rPr>
        <w:t xml:space="preserve"> et B. Moore</w:t>
      </w:r>
      <w:r>
        <w:rPr>
          <w:rFonts w:cs="Times New Roman"/>
        </w:rPr>
        <w:t>,</w:t>
      </w:r>
      <w:r w:rsidRPr="007C5004">
        <w:rPr>
          <w:rFonts w:cs="Times New Roman"/>
        </w:rPr>
        <w:t xml:space="preserve"> </w:t>
      </w:r>
      <w:r w:rsidRPr="007C5004">
        <w:rPr>
          <w:rFonts w:cs="Times New Roman"/>
          <w:i/>
        </w:rPr>
        <w:t xml:space="preserve">Droit des obligations </w:t>
      </w:r>
      <w:r>
        <w:rPr>
          <w:rFonts w:cs="Times New Roman"/>
        </w:rPr>
        <w:t>(</w:t>
      </w:r>
      <w:r w:rsidRPr="007C5004">
        <w:rPr>
          <w:rFonts w:cs="Times New Roman"/>
        </w:rPr>
        <w:t>2</w:t>
      </w:r>
      <w:r w:rsidRPr="007C5004">
        <w:rPr>
          <w:rFonts w:cs="Times New Roman"/>
          <w:vertAlign w:val="superscript"/>
        </w:rPr>
        <w:t>e</w:t>
      </w:r>
      <w:r w:rsidRPr="007C5004">
        <w:rPr>
          <w:rFonts w:cs="Times New Roman"/>
        </w:rPr>
        <w:t xml:space="preserve"> éd.</w:t>
      </w:r>
      <w:r>
        <w:rPr>
          <w:rFonts w:cs="Times New Roman"/>
        </w:rPr>
        <w:t xml:space="preserve"> 2012),</w:t>
      </w:r>
      <w:r w:rsidRPr="007C5004">
        <w:rPr>
          <w:rFonts w:cs="Times New Roman"/>
        </w:rPr>
        <w:t xml:space="preserve"> p</w:t>
      </w:r>
      <w:r>
        <w:rPr>
          <w:rFonts w:cs="Times New Roman"/>
        </w:rPr>
        <w:t>ar</w:t>
      </w:r>
      <w:r w:rsidRPr="007C5004">
        <w:rPr>
          <w:rFonts w:cs="Times New Roman"/>
        </w:rPr>
        <w:t>. 5</w:t>
      </w:r>
      <w:r>
        <w:rPr>
          <w:rFonts w:cs="Times New Roman"/>
        </w:rPr>
        <w:t>3</w:t>
      </w:r>
      <w:r w:rsidRPr="007C5004">
        <w:rPr>
          <w:rFonts w:cs="Times New Roman"/>
        </w:rPr>
        <w:t xml:space="preserve">; </w:t>
      </w:r>
      <w:r>
        <w:rPr>
          <w:rFonts w:cs="Times New Roman"/>
        </w:rPr>
        <w:t>J. </w:t>
      </w:r>
      <w:r w:rsidRPr="007C5004">
        <w:rPr>
          <w:rFonts w:cs="Times New Roman"/>
        </w:rPr>
        <w:t xml:space="preserve">Pineau, </w:t>
      </w:r>
      <w:r>
        <w:rPr>
          <w:rFonts w:cs="Times New Roman"/>
        </w:rPr>
        <w:t xml:space="preserve">D. </w:t>
      </w:r>
      <w:proofErr w:type="spellStart"/>
      <w:r w:rsidRPr="007C5004">
        <w:rPr>
          <w:rFonts w:cs="Times New Roman"/>
        </w:rPr>
        <w:t>Burman</w:t>
      </w:r>
      <w:proofErr w:type="spellEnd"/>
      <w:r>
        <w:rPr>
          <w:rFonts w:cs="Times New Roman"/>
        </w:rPr>
        <w:t xml:space="preserve"> et S.</w:t>
      </w:r>
      <w:r w:rsidRPr="007C5004">
        <w:rPr>
          <w:rFonts w:cs="Times New Roman"/>
        </w:rPr>
        <w:t xml:space="preserve"> Gaudet, </w:t>
      </w:r>
      <w:r w:rsidRPr="007C5004">
        <w:rPr>
          <w:rFonts w:cs="Times New Roman"/>
          <w:i/>
        </w:rPr>
        <w:t xml:space="preserve">Théorie des obligations </w:t>
      </w:r>
      <w:r>
        <w:rPr>
          <w:rFonts w:cs="Times New Roman"/>
        </w:rPr>
        <w:t>(</w:t>
      </w:r>
      <w:r w:rsidRPr="007C5004">
        <w:rPr>
          <w:rFonts w:cs="Times New Roman"/>
        </w:rPr>
        <w:t>4</w:t>
      </w:r>
      <w:r w:rsidRPr="007C5004">
        <w:rPr>
          <w:rFonts w:cs="Times New Roman"/>
          <w:vertAlign w:val="superscript"/>
        </w:rPr>
        <w:t>e</w:t>
      </w:r>
      <w:r w:rsidRPr="007C5004">
        <w:rPr>
          <w:rFonts w:cs="Times New Roman"/>
        </w:rPr>
        <w:t xml:space="preserve"> éd.</w:t>
      </w:r>
      <w:r>
        <w:rPr>
          <w:rFonts w:cs="Times New Roman"/>
        </w:rPr>
        <w:t xml:space="preserve"> 2001)</w:t>
      </w:r>
      <w:r w:rsidRPr="007C5004">
        <w:rPr>
          <w:rFonts w:cs="Times New Roman"/>
        </w:rPr>
        <w:t xml:space="preserve">, p. 51, </w:t>
      </w:r>
      <w:r>
        <w:rPr>
          <w:rFonts w:cs="Times New Roman"/>
        </w:rPr>
        <w:t>§ </w:t>
      </w:r>
      <w:r w:rsidRPr="007C5004">
        <w:rPr>
          <w:rFonts w:cs="Times New Roman"/>
        </w:rPr>
        <w:t>20; P.</w:t>
      </w:r>
      <w:r>
        <w:rPr>
          <w:rFonts w:cs="Times New Roman"/>
        </w:rPr>
        <w:t xml:space="preserve">-G. </w:t>
      </w:r>
      <w:proofErr w:type="spellStart"/>
      <w:r>
        <w:rPr>
          <w:rFonts w:cs="Times New Roman"/>
        </w:rPr>
        <w:t>Jobin</w:t>
      </w:r>
      <w:proofErr w:type="spellEnd"/>
      <w:r>
        <w:rPr>
          <w:rFonts w:cs="Times New Roman"/>
        </w:rPr>
        <w:t xml:space="preserve"> et N. </w:t>
      </w:r>
      <w:r w:rsidRPr="007C5004">
        <w:rPr>
          <w:rFonts w:cs="Times New Roman"/>
        </w:rPr>
        <w:t>Vézina,</w:t>
      </w:r>
      <w:r>
        <w:rPr>
          <w:rFonts w:cs="Times New Roman"/>
        </w:rPr>
        <w:t xml:space="preserve"> </w:t>
      </w:r>
      <w:proofErr w:type="spellStart"/>
      <w:proofErr w:type="gramStart"/>
      <w:r>
        <w:rPr>
          <w:rFonts w:cs="Times New Roman"/>
        </w:rPr>
        <w:t>dir</w:t>
      </w:r>
      <w:proofErr w:type="spellEnd"/>
      <w:r>
        <w:rPr>
          <w:rFonts w:cs="Times New Roman"/>
        </w:rPr>
        <w:t>.,</w:t>
      </w:r>
      <w:proofErr w:type="gramEnd"/>
      <w:r>
        <w:rPr>
          <w:rFonts w:cs="Times New Roman"/>
        </w:rPr>
        <w:t xml:space="preserve"> </w:t>
      </w:r>
      <w:r w:rsidRPr="007C5004">
        <w:rPr>
          <w:rFonts w:cs="Times New Roman"/>
          <w:i/>
        </w:rPr>
        <w:t>Les obligations</w:t>
      </w:r>
      <w:r w:rsidRPr="007C5004">
        <w:rPr>
          <w:rFonts w:cs="Times New Roman"/>
        </w:rPr>
        <w:t xml:space="preserve"> </w:t>
      </w:r>
      <w:r>
        <w:rPr>
          <w:rFonts w:cs="Times New Roman"/>
        </w:rPr>
        <w:t>(</w:t>
      </w:r>
      <w:r w:rsidRPr="007C5004">
        <w:rPr>
          <w:rFonts w:cs="Times New Roman"/>
        </w:rPr>
        <w:t>7</w:t>
      </w:r>
      <w:r w:rsidRPr="007C5004">
        <w:rPr>
          <w:rFonts w:cs="Times New Roman"/>
          <w:vertAlign w:val="superscript"/>
        </w:rPr>
        <w:t>e</w:t>
      </w:r>
      <w:r w:rsidRPr="007C5004">
        <w:rPr>
          <w:rFonts w:cs="Times New Roman"/>
        </w:rPr>
        <w:t xml:space="preserve"> éd.</w:t>
      </w:r>
      <w:r>
        <w:rPr>
          <w:rFonts w:cs="Times New Roman"/>
        </w:rPr>
        <w:t xml:space="preserve"> 2013)</w:t>
      </w:r>
      <w:r w:rsidRPr="007C5004">
        <w:rPr>
          <w:rFonts w:cs="Times New Roman"/>
        </w:rPr>
        <w:t>, p. 82</w:t>
      </w:r>
      <w:r>
        <w:rPr>
          <w:rFonts w:cs="Times New Roman"/>
        </w:rPr>
        <w:t>;</w:t>
      </w:r>
      <w:r w:rsidRPr="007C5004">
        <w:rPr>
          <w:rFonts w:cs="Times New Roman"/>
        </w:rPr>
        <w:t xml:space="preserve"> J. </w:t>
      </w:r>
      <w:proofErr w:type="spellStart"/>
      <w:r w:rsidRPr="007C5004">
        <w:rPr>
          <w:rFonts w:cs="Times New Roman"/>
        </w:rPr>
        <w:t>Ghestin</w:t>
      </w:r>
      <w:proofErr w:type="spellEnd"/>
      <w:r w:rsidRPr="007C5004">
        <w:rPr>
          <w:rFonts w:cs="Times New Roman"/>
        </w:rPr>
        <w:t xml:space="preserve">, </w:t>
      </w:r>
      <w:r>
        <w:rPr>
          <w:rFonts w:cs="Times New Roman"/>
        </w:rPr>
        <w:t>« La notion de contrat »</w:t>
      </w:r>
      <w:r w:rsidRPr="007C5004">
        <w:rPr>
          <w:rFonts w:cs="Times New Roman"/>
        </w:rPr>
        <w:t xml:space="preserve"> (1990), 12 </w:t>
      </w:r>
      <w:r w:rsidRPr="0077602E">
        <w:rPr>
          <w:rFonts w:cs="Times New Roman"/>
          <w:i/>
        </w:rPr>
        <w:t>Droits</w:t>
      </w:r>
      <w:r w:rsidRPr="007C5004">
        <w:rPr>
          <w:rFonts w:cs="Times New Roman"/>
        </w:rPr>
        <w:t xml:space="preserve"> 7, p. 19). La création d’effets juridiques liant les parties représente la fonction distinctive du contrat. La formation du contrat exige une entente sur un objet</w:t>
      </w:r>
      <w:r>
        <w:rPr>
          <w:rFonts w:cs="Times New Roman"/>
        </w:rPr>
        <w:t xml:space="preserve">, qui est défini à l’art. 1412 </w:t>
      </w:r>
      <w:proofErr w:type="spellStart"/>
      <w:r w:rsidRPr="00D87A45">
        <w:rPr>
          <w:rFonts w:cs="Times New Roman"/>
          <w:i/>
        </w:rPr>
        <w:t>C.c.Q</w:t>
      </w:r>
      <w:proofErr w:type="spellEnd"/>
      <w:r w:rsidRPr="00D87A45">
        <w:rPr>
          <w:rFonts w:cs="Times New Roman"/>
          <w:i/>
        </w:rPr>
        <w:t>.</w:t>
      </w:r>
      <w:r>
        <w:rPr>
          <w:rFonts w:cs="Times New Roman"/>
        </w:rPr>
        <w:t xml:space="preserve"> comme étant « l’opération juridique envisagée par les parties » au moment de la conclusion du contrat. De plus, le contrat donne naissance à l’obligation (</w:t>
      </w:r>
      <w:r w:rsidRPr="007C5004">
        <w:rPr>
          <w:rFonts w:cs="Times New Roman"/>
        </w:rPr>
        <w:t xml:space="preserve">art. </w:t>
      </w:r>
      <w:r>
        <w:rPr>
          <w:rFonts w:cs="Times New Roman"/>
        </w:rPr>
        <w:t>1372</w:t>
      </w:r>
      <w:r w:rsidRPr="007C5004">
        <w:rPr>
          <w:rFonts w:cs="Times New Roman"/>
        </w:rPr>
        <w:t xml:space="preserve"> </w:t>
      </w:r>
      <w:proofErr w:type="spellStart"/>
      <w:r w:rsidRPr="007C5004">
        <w:rPr>
          <w:rFonts w:cs="Times New Roman"/>
          <w:i/>
        </w:rPr>
        <w:t>C.c.Q</w:t>
      </w:r>
      <w:proofErr w:type="spellEnd"/>
      <w:r w:rsidRPr="007C5004">
        <w:rPr>
          <w:rFonts w:cs="Times New Roman"/>
          <w:i/>
        </w:rPr>
        <w:t>.</w:t>
      </w:r>
      <w:r>
        <w:rPr>
          <w:rFonts w:cs="Times New Roman"/>
        </w:rPr>
        <w:t xml:space="preserve">), dont l’objet est « la prestation à laquelle le débiteur est tenu envers le créancier » (art. 1373 </w:t>
      </w:r>
      <w:proofErr w:type="spellStart"/>
      <w:r w:rsidRPr="00D87A45">
        <w:rPr>
          <w:rFonts w:cs="Times New Roman"/>
          <w:i/>
        </w:rPr>
        <w:t>C.c.Q</w:t>
      </w:r>
      <w:proofErr w:type="spellEnd"/>
      <w:r w:rsidRPr="00D87A45">
        <w:rPr>
          <w:rFonts w:cs="Times New Roman"/>
          <w:i/>
        </w:rPr>
        <w:t>.</w:t>
      </w:r>
      <w:r>
        <w:rPr>
          <w:rFonts w:cs="Times New Roman"/>
        </w:rPr>
        <w:t xml:space="preserve">). La prestation, pour sa part, peut porter sur tout bien, mais celui-ci doit être suffisamment déterminé ou déterminable selon des normes ou des méthodes de fixation ou de calcul vérifiables objectivement (art. 1374 </w:t>
      </w:r>
      <w:r w:rsidRPr="00D87A45">
        <w:rPr>
          <w:rFonts w:cs="Times New Roman"/>
          <w:i/>
        </w:rPr>
        <w:t>C.c.Q.</w:t>
      </w:r>
      <w:r w:rsidRPr="007C5004">
        <w:rPr>
          <w:rFonts w:cs="Times New Roman"/>
        </w:rPr>
        <w:t>; Baudo</w:t>
      </w:r>
      <w:r>
        <w:rPr>
          <w:rFonts w:cs="Times New Roman"/>
        </w:rPr>
        <w:t>u</w:t>
      </w:r>
      <w:r w:rsidRPr="007C5004">
        <w:rPr>
          <w:rFonts w:cs="Times New Roman"/>
        </w:rPr>
        <w:t xml:space="preserve">in et </w:t>
      </w:r>
      <w:proofErr w:type="spellStart"/>
      <w:r w:rsidRPr="007C5004">
        <w:rPr>
          <w:rFonts w:cs="Times New Roman"/>
        </w:rPr>
        <w:t>Jobin</w:t>
      </w:r>
      <w:proofErr w:type="spellEnd"/>
      <w:r w:rsidRPr="007C5004">
        <w:rPr>
          <w:rFonts w:cs="Times New Roman"/>
        </w:rPr>
        <w:t>, p. 34-35; J.</w:t>
      </w:r>
      <w:r>
        <w:rPr>
          <w:rFonts w:cs="Times New Roman"/>
        </w:rPr>
        <w:t> </w:t>
      </w:r>
      <w:proofErr w:type="spellStart"/>
      <w:r w:rsidRPr="007C5004">
        <w:rPr>
          <w:rFonts w:cs="Times New Roman"/>
        </w:rPr>
        <w:t>Deslauriers</w:t>
      </w:r>
      <w:proofErr w:type="spellEnd"/>
      <w:r w:rsidRPr="007C5004">
        <w:rPr>
          <w:rFonts w:cs="Times New Roman"/>
        </w:rPr>
        <w:t xml:space="preserve">, </w:t>
      </w:r>
      <w:r w:rsidRPr="007C5004">
        <w:rPr>
          <w:rFonts w:cs="Times New Roman"/>
          <w:i/>
        </w:rPr>
        <w:t xml:space="preserve">Vente, </w:t>
      </w:r>
      <w:r>
        <w:rPr>
          <w:rFonts w:cs="Times New Roman"/>
          <w:i/>
        </w:rPr>
        <w:t>l</w:t>
      </w:r>
      <w:r w:rsidRPr="007C5004">
        <w:rPr>
          <w:rFonts w:cs="Times New Roman"/>
          <w:i/>
        </w:rPr>
        <w:t xml:space="preserve">ouage, </w:t>
      </w:r>
      <w:r>
        <w:rPr>
          <w:rFonts w:cs="Times New Roman"/>
          <w:i/>
        </w:rPr>
        <w:t>c</w:t>
      </w:r>
      <w:r w:rsidRPr="007C5004">
        <w:rPr>
          <w:rFonts w:cs="Times New Roman"/>
          <w:i/>
        </w:rPr>
        <w:t>on</w:t>
      </w:r>
      <w:r>
        <w:rPr>
          <w:rFonts w:cs="Times New Roman"/>
          <w:i/>
        </w:rPr>
        <w:t>trat d’entreprise ou de service</w:t>
      </w:r>
      <w:r w:rsidRPr="007C5004">
        <w:rPr>
          <w:rFonts w:cs="Times New Roman"/>
          <w:i/>
        </w:rPr>
        <w:t xml:space="preserve"> </w:t>
      </w:r>
      <w:r>
        <w:rPr>
          <w:rFonts w:cs="Times New Roman"/>
        </w:rPr>
        <w:t>(</w:t>
      </w:r>
      <w:r w:rsidRPr="007C5004">
        <w:rPr>
          <w:rFonts w:cs="Times New Roman"/>
        </w:rPr>
        <w:t>2</w:t>
      </w:r>
      <w:r w:rsidRPr="007C5004">
        <w:rPr>
          <w:rFonts w:cs="Times New Roman"/>
          <w:vertAlign w:val="superscript"/>
        </w:rPr>
        <w:t>e</w:t>
      </w:r>
      <w:r w:rsidRPr="007C5004">
        <w:rPr>
          <w:rFonts w:cs="Times New Roman"/>
        </w:rPr>
        <w:t xml:space="preserve"> éd.</w:t>
      </w:r>
      <w:r>
        <w:rPr>
          <w:rFonts w:cs="Times New Roman"/>
        </w:rPr>
        <w:t xml:space="preserve"> 2013)</w:t>
      </w:r>
      <w:r w:rsidRPr="007C5004">
        <w:rPr>
          <w:rFonts w:cs="Times New Roman"/>
        </w:rPr>
        <w:t xml:space="preserve">, par. 67; </w:t>
      </w:r>
      <w:r>
        <w:rPr>
          <w:rFonts w:cs="Times New Roman"/>
        </w:rPr>
        <w:t xml:space="preserve">P.-C. Lafond, </w:t>
      </w:r>
      <w:proofErr w:type="spellStart"/>
      <w:r>
        <w:rPr>
          <w:rFonts w:cs="Times New Roman"/>
        </w:rPr>
        <w:t>dir</w:t>
      </w:r>
      <w:proofErr w:type="spellEnd"/>
      <w:r>
        <w:rPr>
          <w:rFonts w:cs="Times New Roman"/>
        </w:rPr>
        <w:t xml:space="preserve">., </w:t>
      </w:r>
      <w:proofErr w:type="spellStart"/>
      <w:r w:rsidRPr="009E650B">
        <w:rPr>
          <w:rFonts w:cs="Times New Roman"/>
          <w:i/>
        </w:rPr>
        <w:t>JurisClasseur</w:t>
      </w:r>
      <w:proofErr w:type="spellEnd"/>
      <w:r w:rsidRPr="009E650B">
        <w:rPr>
          <w:rFonts w:cs="Times New Roman"/>
          <w:i/>
        </w:rPr>
        <w:t xml:space="preserve"> Québec </w:t>
      </w:r>
      <w:r>
        <w:rPr>
          <w:rFonts w:cs="Times New Roman"/>
          <w:i/>
        </w:rPr>
        <w:t>—</w:t>
      </w:r>
      <w:r w:rsidRPr="007C5004">
        <w:rPr>
          <w:rFonts w:cs="Times New Roman"/>
        </w:rPr>
        <w:t xml:space="preserve"> </w:t>
      </w:r>
      <w:r w:rsidRPr="009E650B">
        <w:rPr>
          <w:rFonts w:cs="Times New Roman"/>
          <w:i/>
        </w:rPr>
        <w:t>Collection droit civil</w:t>
      </w:r>
      <w:r>
        <w:rPr>
          <w:rFonts w:cs="Times New Roman"/>
        </w:rPr>
        <w:t xml:space="preserve"> — </w:t>
      </w:r>
      <w:r w:rsidRPr="007C5004">
        <w:rPr>
          <w:rFonts w:cs="Times New Roman"/>
          <w:i/>
        </w:rPr>
        <w:t>Obligations et responsabilité civile</w:t>
      </w:r>
      <w:r>
        <w:rPr>
          <w:rFonts w:cs="Times New Roman"/>
          <w:i/>
        </w:rPr>
        <w:t xml:space="preserve"> </w:t>
      </w:r>
      <w:r>
        <w:rPr>
          <w:rFonts w:cs="Times New Roman"/>
        </w:rPr>
        <w:t>(feuilles mobiles)</w:t>
      </w:r>
      <w:r w:rsidRPr="007C5004">
        <w:rPr>
          <w:rFonts w:cs="Times New Roman"/>
        </w:rPr>
        <w:t xml:space="preserve">, </w:t>
      </w:r>
      <w:r>
        <w:rPr>
          <w:rFonts w:cs="Times New Roman"/>
        </w:rPr>
        <w:t>f</w:t>
      </w:r>
      <w:r w:rsidRPr="007C5004">
        <w:rPr>
          <w:rFonts w:cs="Times New Roman"/>
        </w:rPr>
        <w:t>asc</w:t>
      </w:r>
      <w:r>
        <w:rPr>
          <w:rFonts w:cs="Times New Roman"/>
        </w:rPr>
        <w:t>.</w:t>
      </w:r>
      <w:r w:rsidRPr="007C5004">
        <w:rPr>
          <w:rFonts w:cs="Times New Roman"/>
        </w:rPr>
        <w:t xml:space="preserve"> 1, p. 26; B. Moore, </w:t>
      </w:r>
      <w:r>
        <w:rPr>
          <w:rFonts w:cs="Times New Roman"/>
        </w:rPr>
        <w:t>« </w:t>
      </w:r>
      <w:r w:rsidRPr="006466C2">
        <w:rPr>
          <w:rFonts w:cs="Times New Roman"/>
        </w:rPr>
        <w:t>Flexible contrat</w:t>
      </w:r>
      <w:r>
        <w:rPr>
          <w:rFonts w:cs="Times New Roman"/>
          <w:i/>
        </w:rPr>
        <w:t> »</w:t>
      </w:r>
      <w:r w:rsidRPr="007C5004">
        <w:rPr>
          <w:rFonts w:cs="Times New Roman"/>
        </w:rPr>
        <w:t xml:space="preserve">, </w:t>
      </w:r>
      <w:r>
        <w:rPr>
          <w:rFonts w:cs="Times New Roman"/>
        </w:rPr>
        <w:t xml:space="preserve">dans B. Moore, </w:t>
      </w:r>
      <w:proofErr w:type="spellStart"/>
      <w:r>
        <w:rPr>
          <w:rFonts w:cs="Times New Roman"/>
        </w:rPr>
        <w:t>dir</w:t>
      </w:r>
      <w:proofErr w:type="spellEnd"/>
      <w:r>
        <w:rPr>
          <w:rFonts w:cs="Times New Roman"/>
        </w:rPr>
        <w:t>.,</w:t>
      </w:r>
      <w:r w:rsidRPr="007C5004">
        <w:rPr>
          <w:rFonts w:cs="Times New Roman"/>
        </w:rPr>
        <w:t xml:space="preserve"> </w:t>
      </w:r>
      <w:r w:rsidRPr="007C5004">
        <w:rPr>
          <w:rFonts w:cs="Times New Roman"/>
          <w:i/>
        </w:rPr>
        <w:t>Mélanges Jean-Louis Baudouin</w:t>
      </w:r>
      <w:r>
        <w:rPr>
          <w:rFonts w:cs="Times New Roman"/>
          <w:i/>
        </w:rPr>
        <w:t xml:space="preserve"> </w:t>
      </w:r>
      <w:r>
        <w:rPr>
          <w:rFonts w:cs="Times New Roman"/>
        </w:rPr>
        <w:t>(2012), p. </w:t>
      </w:r>
      <w:r w:rsidRPr="007C5004">
        <w:rPr>
          <w:rFonts w:cs="Times New Roman"/>
        </w:rPr>
        <w:t>569</w:t>
      </w:r>
      <w:r>
        <w:rPr>
          <w:rFonts w:cs="Times New Roman"/>
        </w:rPr>
        <w:t xml:space="preserve"> et</w:t>
      </w:r>
      <w:r w:rsidRPr="007C5004">
        <w:rPr>
          <w:rFonts w:cs="Times New Roman"/>
        </w:rPr>
        <w:t xml:space="preserve"> 574). Une fois l’accord de volonté réalisé conformément à ces principes, le contrat é</w:t>
      </w:r>
      <w:r>
        <w:rPr>
          <w:rFonts w:cs="Times New Roman"/>
        </w:rPr>
        <w:t>tablit entre l</w:t>
      </w:r>
      <w:r w:rsidRPr="007C5004">
        <w:rPr>
          <w:rFonts w:cs="Times New Roman"/>
        </w:rPr>
        <w:t xml:space="preserve">es parties un ensemble de règles, ayant valeur de loi pour elles, </w:t>
      </w:r>
      <w:r>
        <w:rPr>
          <w:rFonts w:cs="Times New Roman"/>
        </w:rPr>
        <w:t>en vue de</w:t>
      </w:r>
      <w:r w:rsidRPr="007C5004">
        <w:rPr>
          <w:rFonts w:cs="Times New Roman"/>
        </w:rPr>
        <w:t xml:space="preserve"> réaliser une opération ou un projet devenu commun par là même.</w:t>
      </w:r>
    </w:p>
    <w:p w:rsidR="00B656C1" w:rsidRPr="007C5004" w:rsidRDefault="00B656C1" w:rsidP="00B656C1">
      <w:pPr>
        <w:pStyle w:val="ParaNoNdepar-AltN"/>
        <w:rPr>
          <w:rFonts w:cs="Times New Roman"/>
        </w:rPr>
      </w:pPr>
      <w:r w:rsidRPr="007C5004">
        <w:rPr>
          <w:rFonts w:cs="Times New Roman"/>
        </w:rPr>
        <w:t xml:space="preserve">Dans cette optique, l’existence d’un contrat et son émergence à la vie juridique </w:t>
      </w:r>
      <w:r>
        <w:rPr>
          <w:rFonts w:cs="Times New Roman"/>
        </w:rPr>
        <w:t xml:space="preserve">présuppose que les engagements des parties sont suffisamment précis pour établir les paramètres de l’opération envisagée. Dans certains cas, les paramètres de l’opération seront immédiatement clairs. </w:t>
      </w:r>
      <w:r w:rsidRPr="007C5004">
        <w:rPr>
          <w:rFonts w:cs="Times New Roman"/>
        </w:rPr>
        <w:t>Dans d’autres, un projet se précisera graduellement</w:t>
      </w:r>
      <w:r>
        <w:rPr>
          <w:rFonts w:cs="Times New Roman"/>
        </w:rPr>
        <w:t>, jusqu’à ce que ses paramètres soient suffisamment clairs pour qu’il accède</w:t>
      </w:r>
      <w:r w:rsidRPr="007C5004">
        <w:rPr>
          <w:rFonts w:cs="Times New Roman"/>
        </w:rPr>
        <w:t xml:space="preserve"> </w:t>
      </w:r>
      <w:r>
        <w:rPr>
          <w:rFonts w:cs="Times New Roman"/>
        </w:rPr>
        <w:t xml:space="preserve">à </w:t>
      </w:r>
      <w:r w:rsidRPr="007C5004">
        <w:rPr>
          <w:rFonts w:cs="Times New Roman"/>
        </w:rPr>
        <w:t>l’existence juridique comme contrat liant les parties et constituant leur loi commune.</w:t>
      </w:r>
    </w:p>
    <w:p w:rsidR="00B656C1" w:rsidRPr="007C5004" w:rsidRDefault="00B656C1" w:rsidP="00B656C1">
      <w:pPr>
        <w:pStyle w:val="ParaNoNdepar-AltN"/>
        <w:rPr>
          <w:rFonts w:cs="Times New Roman"/>
        </w:rPr>
      </w:pPr>
      <w:r w:rsidRPr="007C5004">
        <w:rPr>
          <w:rFonts w:cs="Times New Roman"/>
        </w:rPr>
        <w:t>Par ailleurs, comme je l’ai rappelé précédemment, le principe du consensualisme gouverne la formation du contrat. Celle-ci n’exige pas en principe un signe ou support matériel. En droit civil québécois, le contrat se forme par la rencontre des volontés des parties, comme le confirme l’art</w:t>
      </w:r>
      <w:r>
        <w:rPr>
          <w:rFonts w:cs="Times New Roman"/>
        </w:rPr>
        <w:t>.</w:t>
      </w:r>
      <w:r w:rsidRPr="007C5004">
        <w:rPr>
          <w:rFonts w:cs="Times New Roman"/>
        </w:rPr>
        <w:t xml:space="preserve"> 1385 </w:t>
      </w:r>
      <w:proofErr w:type="spellStart"/>
      <w:r w:rsidRPr="007C5004">
        <w:rPr>
          <w:rFonts w:cs="Times New Roman"/>
          <w:i/>
        </w:rPr>
        <w:t>C.c.Q</w:t>
      </w:r>
      <w:proofErr w:type="spellEnd"/>
      <w:r w:rsidRPr="007C5004">
        <w:rPr>
          <w:rFonts w:cs="Times New Roman"/>
          <w:i/>
        </w:rPr>
        <w:t xml:space="preserve">. </w:t>
      </w:r>
      <w:r w:rsidRPr="007C5004">
        <w:rPr>
          <w:rFonts w:cs="Times New Roman"/>
        </w:rPr>
        <w:t xml:space="preserve">En principe, la formation du contrat ne dépend pas de l’adoption d’une forme particulière. Certes, la loi exige souvent l’écrit pour donner effet à l’entente, par exemple en imposant la forme authentique et le recours à l’acte notarié, comme dans le cas des contrats de mariage. Dans d’autres cas, particulièrement celui de catégories de contrats fortement réglementés, comme en droit de la consommation, il faudra recourir à l’écrit et respecter des exigences de forme détaillées. Cependant, le principe demeure. Le contrat se distingue de son support matériel. Le droit des obligations du Québec </w:t>
      </w:r>
      <w:r>
        <w:rPr>
          <w:rFonts w:cs="Times New Roman"/>
        </w:rPr>
        <w:t>maintient la</w:t>
      </w:r>
      <w:r w:rsidRPr="007C5004">
        <w:rPr>
          <w:rFonts w:cs="Times New Roman"/>
        </w:rPr>
        <w:t xml:space="preserve"> distinction entre le « </w:t>
      </w:r>
      <w:proofErr w:type="spellStart"/>
      <w:r w:rsidRPr="007C5004">
        <w:rPr>
          <w:rFonts w:cs="Times New Roman"/>
          <w:i/>
        </w:rPr>
        <w:t>negotium</w:t>
      </w:r>
      <w:proofErr w:type="spellEnd"/>
      <w:r w:rsidRPr="007C5004">
        <w:rPr>
          <w:rFonts w:cs="Times New Roman"/>
        </w:rPr>
        <w:t> » et l’« </w:t>
      </w:r>
      <w:proofErr w:type="spellStart"/>
      <w:r w:rsidRPr="007C5004">
        <w:rPr>
          <w:rFonts w:cs="Times New Roman"/>
          <w:i/>
        </w:rPr>
        <w:t>instrumentum</w:t>
      </w:r>
      <w:proofErr w:type="spellEnd"/>
      <w:r w:rsidRPr="007C5004">
        <w:rPr>
          <w:rFonts w:cs="Times New Roman"/>
        </w:rPr>
        <w:t xml:space="preserve"> », </w:t>
      </w:r>
      <w:r>
        <w:rPr>
          <w:rFonts w:cs="Times New Roman"/>
        </w:rPr>
        <w:t>pour reprendre la terminologie</w:t>
      </w:r>
      <w:r w:rsidRPr="007C5004">
        <w:rPr>
          <w:rFonts w:cs="Times New Roman"/>
        </w:rPr>
        <w:t xml:space="preserve"> utilisé</w:t>
      </w:r>
      <w:r>
        <w:rPr>
          <w:rFonts w:cs="Times New Roman"/>
        </w:rPr>
        <w:t>e</w:t>
      </w:r>
      <w:r w:rsidRPr="007C5004">
        <w:rPr>
          <w:rFonts w:cs="Times New Roman"/>
        </w:rPr>
        <w:t xml:space="preserve"> par la Cour d’appel </w:t>
      </w:r>
      <w:r>
        <w:rPr>
          <w:rFonts w:cs="Times New Roman"/>
        </w:rPr>
        <w:t>dans l</w:t>
      </w:r>
      <w:r w:rsidRPr="007C5004">
        <w:rPr>
          <w:rFonts w:cs="Times New Roman"/>
        </w:rPr>
        <w:t>es affaires</w:t>
      </w:r>
      <w:r>
        <w:rPr>
          <w:rFonts w:cs="Times New Roman"/>
        </w:rPr>
        <w:t xml:space="preserve"> qui nous occupent</w:t>
      </w:r>
      <w:r w:rsidRPr="007C5004">
        <w:rPr>
          <w:rFonts w:cs="Times New Roman"/>
        </w:rPr>
        <w:t xml:space="preserve">, </w:t>
      </w:r>
      <w:r>
        <w:rPr>
          <w:rFonts w:cs="Times New Roman"/>
        </w:rPr>
        <w:t xml:space="preserve">c’est-à-dire </w:t>
      </w:r>
      <w:r w:rsidRPr="007C5004">
        <w:rPr>
          <w:rFonts w:cs="Times New Roman"/>
        </w:rPr>
        <w:t xml:space="preserve">entre la volonté commune et la volonté déclarée. L’accord se trouve dans la volonté commune, malgré l’importance </w:t>
      </w:r>
      <w:r>
        <w:rPr>
          <w:rFonts w:cs="Times New Roman"/>
        </w:rPr>
        <w:t xml:space="preserve">— </w:t>
      </w:r>
      <w:r w:rsidRPr="007C5004">
        <w:rPr>
          <w:rFonts w:cs="Times New Roman"/>
        </w:rPr>
        <w:t>entre les parties et à l’égard des tiers</w:t>
      </w:r>
      <w:r>
        <w:rPr>
          <w:rFonts w:cs="Times New Roman"/>
        </w:rPr>
        <w:t xml:space="preserve"> — </w:t>
      </w:r>
      <w:r w:rsidRPr="007C5004">
        <w:rPr>
          <w:rFonts w:cs="Times New Roman"/>
        </w:rPr>
        <w:t>de la déclaration</w:t>
      </w:r>
      <w:r>
        <w:rPr>
          <w:rFonts w:cs="Times New Roman"/>
        </w:rPr>
        <w:t>, orale ou écrite,</w:t>
      </w:r>
      <w:r w:rsidRPr="007C5004">
        <w:rPr>
          <w:rFonts w:cs="Times New Roman"/>
        </w:rPr>
        <w:t xml:space="preserve"> de </w:t>
      </w:r>
      <w:r>
        <w:rPr>
          <w:rFonts w:cs="Times New Roman"/>
        </w:rPr>
        <w:t xml:space="preserve">cette </w:t>
      </w:r>
      <w:r w:rsidRPr="007C5004">
        <w:rPr>
          <w:rFonts w:cs="Times New Roman"/>
        </w:rPr>
        <w:t>volonté.</w:t>
      </w:r>
    </w:p>
    <w:p w:rsidR="00B656C1" w:rsidRPr="007C5004" w:rsidRDefault="00B656C1" w:rsidP="00B656C1">
      <w:pPr>
        <w:pStyle w:val="ParaNoNdepar-AltN"/>
        <w:rPr>
          <w:rFonts w:cs="Times New Roman"/>
        </w:rPr>
      </w:pPr>
      <w:r w:rsidRPr="007C5004">
        <w:rPr>
          <w:rFonts w:cs="Times New Roman"/>
        </w:rPr>
        <w:t xml:space="preserve">La présence des exigences relatives à la forme des actes contribue à la complexité de l’environnement juridique des contrats. Le recours à l’écrit met aussi potentiellement en jeu </w:t>
      </w:r>
      <w:r>
        <w:rPr>
          <w:rFonts w:cs="Times New Roman"/>
        </w:rPr>
        <w:t>certaines</w:t>
      </w:r>
      <w:r w:rsidRPr="007C5004">
        <w:rPr>
          <w:rFonts w:cs="Times New Roman"/>
        </w:rPr>
        <w:t xml:space="preserve"> exigences du droit de la preuve civile qui </w:t>
      </w:r>
      <w:r>
        <w:rPr>
          <w:rFonts w:cs="Times New Roman"/>
        </w:rPr>
        <w:t>traduisent le</w:t>
      </w:r>
      <w:r w:rsidRPr="007C5004">
        <w:rPr>
          <w:rFonts w:cs="Times New Roman"/>
        </w:rPr>
        <w:t xml:space="preserve"> souci de prot</w:t>
      </w:r>
      <w:r>
        <w:rPr>
          <w:rFonts w:cs="Times New Roman"/>
        </w:rPr>
        <w:t>éger</w:t>
      </w:r>
      <w:r w:rsidRPr="007C5004">
        <w:rPr>
          <w:rFonts w:cs="Times New Roman"/>
        </w:rPr>
        <w:t xml:space="preserve"> la sécurité juridique des transactions</w:t>
      </w:r>
      <w:r>
        <w:rPr>
          <w:rFonts w:cs="Times New Roman"/>
        </w:rPr>
        <w:t xml:space="preserve"> et leur </w:t>
      </w:r>
      <w:r w:rsidRPr="007C5004">
        <w:rPr>
          <w:rFonts w:cs="Times New Roman"/>
        </w:rPr>
        <w:t>stabilité. Il fau</w:t>
      </w:r>
      <w:r>
        <w:rPr>
          <w:rFonts w:cs="Times New Roman"/>
        </w:rPr>
        <w:t>t</w:t>
      </w:r>
      <w:r w:rsidRPr="007C5004">
        <w:rPr>
          <w:rFonts w:cs="Times New Roman"/>
        </w:rPr>
        <w:t xml:space="preserve"> prendre ces exigences en compte lorsqu’on re</w:t>
      </w:r>
      <w:r>
        <w:rPr>
          <w:rFonts w:cs="Times New Roman"/>
        </w:rPr>
        <w:t>structure</w:t>
      </w:r>
      <w:r w:rsidRPr="007C5004">
        <w:rPr>
          <w:rFonts w:cs="Times New Roman"/>
        </w:rPr>
        <w:t xml:space="preserve"> la volonté réelle des parties au-delà de la volonté déclarée dans l’écrit. Les exigences </w:t>
      </w:r>
      <w:r>
        <w:rPr>
          <w:rFonts w:cs="Times New Roman"/>
        </w:rPr>
        <w:t xml:space="preserve">en matière </w:t>
      </w:r>
      <w:r w:rsidRPr="007C5004">
        <w:rPr>
          <w:rFonts w:cs="Times New Roman"/>
        </w:rPr>
        <w:t xml:space="preserve">de preuve ont aussi </w:t>
      </w:r>
      <w:r>
        <w:rPr>
          <w:rFonts w:cs="Times New Roman"/>
        </w:rPr>
        <w:t xml:space="preserve">une incidence sur </w:t>
      </w:r>
      <w:r w:rsidRPr="007C5004">
        <w:rPr>
          <w:rFonts w:cs="Times New Roman"/>
        </w:rPr>
        <w:t>la situation des tiers ou ayants droit dont les intérêts seraient touchés par le contrat.</w:t>
      </w:r>
    </w:p>
    <w:p w:rsidR="00B656C1" w:rsidRPr="007C5004" w:rsidRDefault="00B656C1" w:rsidP="00B656C1">
      <w:pPr>
        <w:pStyle w:val="ParaNoNdepar-AltN"/>
        <w:rPr>
          <w:rFonts w:cs="Times New Roman"/>
        </w:rPr>
      </w:pPr>
      <w:r w:rsidRPr="007C5004">
        <w:rPr>
          <w:rFonts w:cs="Times New Roman"/>
        </w:rPr>
        <w:t xml:space="preserve">Dans ces deux dossiers, notre Cour est donc saisie du problème des rapports entre ce que les parties décrivent comme </w:t>
      </w:r>
      <w:r>
        <w:rPr>
          <w:rFonts w:cs="Times New Roman"/>
        </w:rPr>
        <w:t xml:space="preserve">étant </w:t>
      </w:r>
      <w:r w:rsidRPr="007C5004">
        <w:rPr>
          <w:rFonts w:cs="Times New Roman"/>
        </w:rPr>
        <w:t xml:space="preserve">leur véritable intention et </w:t>
      </w:r>
      <w:r>
        <w:rPr>
          <w:rFonts w:cs="Times New Roman"/>
        </w:rPr>
        <w:t xml:space="preserve">ce qui constitue </w:t>
      </w:r>
      <w:r w:rsidRPr="007C5004">
        <w:rPr>
          <w:rFonts w:cs="Times New Roman"/>
        </w:rPr>
        <w:t xml:space="preserve">leur volonté déclarée. Cette question </w:t>
      </w:r>
      <w:r>
        <w:rPr>
          <w:rFonts w:cs="Times New Roman"/>
        </w:rPr>
        <w:t xml:space="preserve">peut être </w:t>
      </w:r>
      <w:r w:rsidRPr="007C5004">
        <w:rPr>
          <w:rFonts w:cs="Times New Roman"/>
        </w:rPr>
        <w:t>analys</w:t>
      </w:r>
      <w:r>
        <w:rPr>
          <w:rFonts w:cs="Times New Roman"/>
        </w:rPr>
        <w:t>é</w:t>
      </w:r>
      <w:r w:rsidRPr="007C5004">
        <w:rPr>
          <w:rFonts w:cs="Times New Roman"/>
        </w:rPr>
        <w:t xml:space="preserve">e sans </w:t>
      </w:r>
      <w:r>
        <w:rPr>
          <w:rFonts w:cs="Times New Roman"/>
        </w:rPr>
        <w:t>qu’interviennent l</w:t>
      </w:r>
      <w:r w:rsidRPr="007C5004">
        <w:rPr>
          <w:rFonts w:cs="Times New Roman"/>
        </w:rPr>
        <w:t>es exigences du droit de la preuve</w:t>
      </w:r>
      <w:r>
        <w:rPr>
          <w:rFonts w:cs="Times New Roman"/>
        </w:rPr>
        <w:t>,</w:t>
      </w:r>
      <w:r w:rsidRPr="007C5004">
        <w:rPr>
          <w:rFonts w:cs="Times New Roman"/>
        </w:rPr>
        <w:t xml:space="preserve"> </w:t>
      </w:r>
      <w:r>
        <w:rPr>
          <w:rFonts w:cs="Times New Roman"/>
        </w:rPr>
        <w:t>vu</w:t>
      </w:r>
      <w:r w:rsidRPr="007C5004">
        <w:rPr>
          <w:rFonts w:cs="Times New Roman"/>
        </w:rPr>
        <w:t xml:space="preserve"> l’existence d</w:t>
      </w:r>
      <w:r>
        <w:rPr>
          <w:rFonts w:cs="Times New Roman"/>
        </w:rPr>
        <w:t>e la</w:t>
      </w:r>
      <w:r w:rsidRPr="007C5004">
        <w:rPr>
          <w:rFonts w:cs="Times New Roman"/>
        </w:rPr>
        <w:t xml:space="preserve"> preuve testimoniale et documentaire constituée sans objection.</w:t>
      </w:r>
    </w:p>
    <w:p w:rsidR="00B656C1" w:rsidRPr="007C5004" w:rsidRDefault="00B656C1" w:rsidP="00B656C1">
      <w:pPr>
        <w:pStyle w:val="ParaNoNdepar-AltN"/>
        <w:rPr>
          <w:rFonts w:cs="Times New Roman"/>
        </w:rPr>
      </w:pPr>
      <w:r w:rsidRPr="007C5004">
        <w:rPr>
          <w:rFonts w:cs="Times New Roman"/>
        </w:rPr>
        <w:t>Évidemment, la validité d</w:t>
      </w:r>
      <w:r>
        <w:rPr>
          <w:rFonts w:cs="Times New Roman"/>
        </w:rPr>
        <w:t>’</w:t>
      </w:r>
      <w:r w:rsidRPr="007C5004">
        <w:rPr>
          <w:rFonts w:cs="Times New Roman"/>
        </w:rPr>
        <w:t>u</w:t>
      </w:r>
      <w:r>
        <w:rPr>
          <w:rFonts w:cs="Times New Roman"/>
        </w:rPr>
        <w:t>n</w:t>
      </w:r>
      <w:r w:rsidRPr="007C5004">
        <w:rPr>
          <w:rFonts w:cs="Times New Roman"/>
        </w:rPr>
        <w:t xml:space="preserve"> consentement dépend de son intégrité. Diverses formes d’erreur sont susceptibles de le vicier. </w:t>
      </w:r>
      <w:r>
        <w:rPr>
          <w:rFonts w:cs="Times New Roman"/>
        </w:rPr>
        <w:t>De plus</w:t>
      </w:r>
      <w:r w:rsidRPr="007C5004">
        <w:rPr>
          <w:rFonts w:cs="Times New Roman"/>
        </w:rPr>
        <w:t xml:space="preserve">, le contrat appartient aux parties. Entre elles, mais sous réserve des droits qui ont pu être acquis par des tiers, les parties sont libres de modifier ou d’annuler le contrat et les documents qui le constatent. Ainsi, rien ne les empêche de reconnaître l’existence d’une erreur commune et </w:t>
      </w:r>
      <w:r>
        <w:rPr>
          <w:rFonts w:cs="Times New Roman"/>
        </w:rPr>
        <w:t>de convenir de</w:t>
      </w:r>
      <w:r w:rsidRPr="007C5004">
        <w:rPr>
          <w:rFonts w:cs="Times New Roman"/>
        </w:rPr>
        <w:t xml:space="preserve"> la corriger de consentement mutuel. Si le contrat du </w:t>
      </w:r>
      <w:proofErr w:type="spellStart"/>
      <w:r w:rsidRPr="007C5004">
        <w:rPr>
          <w:rFonts w:cs="Times New Roman"/>
          <w:i/>
        </w:rPr>
        <w:t>C</w:t>
      </w:r>
      <w:r>
        <w:rPr>
          <w:rFonts w:cs="Times New Roman"/>
          <w:i/>
        </w:rPr>
        <w:t>.</w:t>
      </w:r>
      <w:r w:rsidRPr="007C5004">
        <w:rPr>
          <w:rFonts w:cs="Times New Roman"/>
          <w:i/>
        </w:rPr>
        <w:t>c</w:t>
      </w:r>
      <w:r>
        <w:rPr>
          <w:rFonts w:cs="Times New Roman"/>
          <w:i/>
        </w:rPr>
        <w:t>.Q</w:t>
      </w:r>
      <w:proofErr w:type="spellEnd"/>
      <w:r>
        <w:rPr>
          <w:rFonts w:cs="Times New Roman"/>
          <w:i/>
        </w:rPr>
        <w:t>.</w:t>
      </w:r>
      <w:r w:rsidRPr="007C5004">
        <w:rPr>
          <w:rFonts w:cs="Times New Roman"/>
          <w:i/>
        </w:rPr>
        <w:t xml:space="preserve"> </w:t>
      </w:r>
      <w:r w:rsidRPr="007C5004">
        <w:rPr>
          <w:rFonts w:cs="Times New Roman"/>
        </w:rPr>
        <w:t xml:space="preserve">demeure la loi des parties, celles-ci restent libres de l’annuler ou d’en modifier les termes (art. 1439 </w:t>
      </w:r>
      <w:proofErr w:type="spellStart"/>
      <w:r w:rsidRPr="007C5004">
        <w:rPr>
          <w:rFonts w:cs="Times New Roman"/>
          <w:i/>
        </w:rPr>
        <w:t>C.c.Q</w:t>
      </w:r>
      <w:proofErr w:type="spellEnd"/>
      <w:r w:rsidRPr="007C5004">
        <w:rPr>
          <w:rFonts w:cs="Times New Roman"/>
          <w:i/>
        </w:rPr>
        <w:t>.</w:t>
      </w:r>
      <w:r w:rsidRPr="007C5004">
        <w:rPr>
          <w:rFonts w:cs="Times New Roman"/>
        </w:rPr>
        <w:t>). En un sens, il s’agirait</w:t>
      </w:r>
      <w:r>
        <w:rPr>
          <w:rFonts w:cs="Times New Roman"/>
        </w:rPr>
        <w:t xml:space="preserve"> </w:t>
      </w:r>
      <w:r w:rsidRPr="007C5004">
        <w:rPr>
          <w:rFonts w:cs="Times New Roman"/>
        </w:rPr>
        <w:t>là d’un nouveau contrat destiné à modifier ou à éteindre l’entente existante. Sur la base de ces principes, je dois maintenant déterminer si des contrats sont intervenus</w:t>
      </w:r>
      <w:r>
        <w:rPr>
          <w:rFonts w:cs="Times New Roman"/>
        </w:rPr>
        <w:t xml:space="preserve"> entre les parties </w:t>
      </w:r>
      <w:r w:rsidRPr="007C5004">
        <w:rPr>
          <w:rFonts w:cs="Times New Roman"/>
        </w:rPr>
        <w:t>aux transactions en cause</w:t>
      </w:r>
      <w:r>
        <w:rPr>
          <w:rFonts w:cs="Times New Roman"/>
        </w:rPr>
        <w:t xml:space="preserve"> et, dans l’affirmative, quel est</w:t>
      </w:r>
      <w:r w:rsidRPr="007C5004">
        <w:rPr>
          <w:rFonts w:cs="Times New Roman"/>
        </w:rPr>
        <w:t xml:space="preserve"> leur contenu et c</w:t>
      </w:r>
      <w:r>
        <w:rPr>
          <w:rFonts w:cs="Times New Roman"/>
        </w:rPr>
        <w:t>elui</w:t>
      </w:r>
      <w:r w:rsidRPr="007C5004">
        <w:rPr>
          <w:rFonts w:cs="Times New Roman"/>
        </w:rPr>
        <w:t xml:space="preserve"> des actes et documents qui auraient exprimé l</w:t>
      </w:r>
      <w:r>
        <w:rPr>
          <w:rFonts w:cs="Times New Roman"/>
        </w:rPr>
        <w:t xml:space="preserve">es </w:t>
      </w:r>
      <w:r w:rsidRPr="007C5004">
        <w:rPr>
          <w:rFonts w:cs="Times New Roman"/>
        </w:rPr>
        <w:t>accord</w:t>
      </w:r>
      <w:r>
        <w:rPr>
          <w:rFonts w:cs="Times New Roman"/>
        </w:rPr>
        <w:t>s</w:t>
      </w:r>
      <w:r w:rsidRPr="007C5004">
        <w:rPr>
          <w:rFonts w:cs="Times New Roman"/>
        </w:rPr>
        <w:t xml:space="preserve"> de volonté.</w:t>
      </w:r>
    </w:p>
    <w:p w:rsidR="00B656C1" w:rsidRPr="007C5004" w:rsidRDefault="00B656C1" w:rsidP="00B656C1">
      <w:pPr>
        <w:pStyle w:val="TitleTitre-AltT"/>
        <w:tabs>
          <w:tab w:val="clear" w:pos="360"/>
          <w:tab w:val="left" w:pos="540"/>
        </w:tabs>
        <w:ind w:left="720" w:hanging="720"/>
        <w:rPr>
          <w:rFonts w:cs="Times New Roman"/>
        </w:rPr>
      </w:pPr>
      <w:r w:rsidRPr="007C5004">
        <w:rPr>
          <w:rFonts w:cs="Times New Roman"/>
        </w:rPr>
        <w:t>D.</w:t>
      </w:r>
      <w:r w:rsidRPr="007C5004">
        <w:rPr>
          <w:rFonts w:cs="Times New Roman"/>
        </w:rPr>
        <w:tab/>
      </w:r>
      <w:r w:rsidRPr="007C5004">
        <w:rPr>
          <w:rFonts w:cs="Times New Roman"/>
          <w:i/>
        </w:rPr>
        <w:t>La nature des opérations juridiques d</w:t>
      </w:r>
      <w:r>
        <w:rPr>
          <w:rFonts w:cs="Times New Roman"/>
          <w:i/>
        </w:rPr>
        <w:t>ans les affaires</w:t>
      </w:r>
      <w:r w:rsidRPr="007C5004">
        <w:rPr>
          <w:rFonts w:cs="Times New Roman"/>
          <w:i/>
        </w:rPr>
        <w:t xml:space="preserve"> </w:t>
      </w:r>
      <w:proofErr w:type="spellStart"/>
      <w:r w:rsidRPr="007C5004">
        <w:rPr>
          <w:rFonts w:cs="Times New Roman"/>
          <w:i/>
        </w:rPr>
        <w:t>Riopel</w:t>
      </w:r>
      <w:proofErr w:type="spellEnd"/>
      <w:r w:rsidRPr="007C5004">
        <w:rPr>
          <w:rFonts w:cs="Times New Roman"/>
          <w:i/>
        </w:rPr>
        <w:t xml:space="preserve"> et AES</w:t>
      </w:r>
    </w:p>
    <w:p w:rsidR="00B656C1" w:rsidRPr="007C5004" w:rsidRDefault="00B656C1" w:rsidP="00B656C1">
      <w:pPr>
        <w:pStyle w:val="ParaNoNdepar-AltN"/>
        <w:rPr>
          <w:rFonts w:cs="Times New Roman"/>
        </w:rPr>
      </w:pPr>
      <w:r w:rsidRPr="007C5004">
        <w:rPr>
          <w:rFonts w:cs="Times New Roman"/>
        </w:rPr>
        <w:t xml:space="preserve">Dans l’affaire </w:t>
      </w:r>
      <w:proofErr w:type="spellStart"/>
      <w:r w:rsidRPr="00C75C44">
        <w:rPr>
          <w:rFonts w:cs="Times New Roman"/>
          <w:i/>
        </w:rPr>
        <w:t>Riopel</w:t>
      </w:r>
      <w:proofErr w:type="spellEnd"/>
      <w:r w:rsidRPr="007C5004">
        <w:rPr>
          <w:rFonts w:cs="Times New Roman"/>
        </w:rPr>
        <w:t xml:space="preserve">, la situation </w:t>
      </w:r>
      <w:r>
        <w:rPr>
          <w:rFonts w:cs="Times New Roman"/>
        </w:rPr>
        <w:t>factuelle</w:t>
      </w:r>
      <w:r w:rsidRPr="007C5004">
        <w:rPr>
          <w:rFonts w:cs="Times New Roman"/>
        </w:rPr>
        <w:t xml:space="preserve"> est claire et bien établie. On ne saurait contester que, le </w:t>
      </w:r>
      <w:r>
        <w:rPr>
          <w:rFonts w:cs="Times New Roman"/>
        </w:rPr>
        <w:t>1</w:t>
      </w:r>
      <w:r w:rsidRPr="007F5AFC">
        <w:rPr>
          <w:rFonts w:cs="Times New Roman"/>
          <w:vertAlign w:val="superscript"/>
        </w:rPr>
        <w:t>er</w:t>
      </w:r>
      <w:r w:rsidRPr="007C5004">
        <w:rPr>
          <w:rFonts w:cs="Times New Roman"/>
        </w:rPr>
        <w:t xml:space="preserve"> septembre 2004, les parties se </w:t>
      </w:r>
      <w:proofErr w:type="gramStart"/>
      <w:r>
        <w:rPr>
          <w:rFonts w:cs="Times New Roman"/>
        </w:rPr>
        <w:t>son</w:t>
      </w:r>
      <w:r w:rsidRPr="007C5004">
        <w:rPr>
          <w:rFonts w:cs="Times New Roman"/>
        </w:rPr>
        <w:t>t</w:t>
      </w:r>
      <w:proofErr w:type="gramEnd"/>
      <w:r w:rsidRPr="007C5004">
        <w:rPr>
          <w:rFonts w:cs="Times New Roman"/>
        </w:rPr>
        <w:t xml:space="preserve"> entendues verbalement pour réaliser une planification fiscale détaillée, dont les </w:t>
      </w:r>
      <w:r>
        <w:rPr>
          <w:rFonts w:cs="Times New Roman"/>
        </w:rPr>
        <w:t>modalités</w:t>
      </w:r>
      <w:r w:rsidRPr="007C5004">
        <w:rPr>
          <w:rFonts w:cs="Times New Roman"/>
        </w:rPr>
        <w:t xml:space="preserve"> essentiel</w:t>
      </w:r>
      <w:r>
        <w:rPr>
          <w:rFonts w:cs="Times New Roman"/>
        </w:rPr>
        <w:t>le</w:t>
      </w:r>
      <w:r w:rsidRPr="007C5004">
        <w:rPr>
          <w:rFonts w:cs="Times New Roman"/>
        </w:rPr>
        <w:t>s leur avaient été recommandé</w:t>
      </w:r>
      <w:r>
        <w:rPr>
          <w:rFonts w:cs="Times New Roman"/>
        </w:rPr>
        <w:t>e</w:t>
      </w:r>
      <w:r w:rsidRPr="007C5004">
        <w:rPr>
          <w:rFonts w:cs="Times New Roman"/>
        </w:rPr>
        <w:t xml:space="preserve">s par leurs conseillers fiscaux. Cette entente constituait un contrat au sens du </w:t>
      </w:r>
      <w:proofErr w:type="spellStart"/>
      <w:r w:rsidRPr="007C5004">
        <w:rPr>
          <w:rFonts w:cs="Times New Roman"/>
          <w:i/>
        </w:rPr>
        <w:t>C</w:t>
      </w:r>
      <w:r>
        <w:rPr>
          <w:rFonts w:cs="Times New Roman"/>
          <w:i/>
        </w:rPr>
        <w:t>.</w:t>
      </w:r>
      <w:r w:rsidRPr="007C5004">
        <w:rPr>
          <w:rFonts w:cs="Times New Roman"/>
          <w:i/>
        </w:rPr>
        <w:t>c</w:t>
      </w:r>
      <w:r>
        <w:rPr>
          <w:rFonts w:cs="Times New Roman"/>
          <w:i/>
        </w:rPr>
        <w:t>.Q</w:t>
      </w:r>
      <w:proofErr w:type="spellEnd"/>
      <w:r w:rsidRPr="007C5004">
        <w:rPr>
          <w:rFonts w:cs="Times New Roman"/>
        </w:rPr>
        <w:t>. En effet, l</w:t>
      </w:r>
      <w:r>
        <w:rPr>
          <w:rFonts w:cs="Times New Roman"/>
        </w:rPr>
        <w:t>’</w:t>
      </w:r>
      <w:r w:rsidRPr="007C5004">
        <w:rPr>
          <w:rFonts w:cs="Times New Roman"/>
        </w:rPr>
        <w:t xml:space="preserve">accord </w:t>
      </w:r>
      <w:r>
        <w:rPr>
          <w:rFonts w:cs="Times New Roman"/>
        </w:rPr>
        <w:t xml:space="preserve">de volonté </w:t>
      </w:r>
      <w:r w:rsidRPr="007C5004">
        <w:rPr>
          <w:rFonts w:cs="Times New Roman"/>
        </w:rPr>
        <w:t xml:space="preserve">déterminait l’ensemble des opérations et des actes à </w:t>
      </w:r>
      <w:r>
        <w:rPr>
          <w:rFonts w:cs="Times New Roman"/>
        </w:rPr>
        <w:t>accomplir</w:t>
      </w:r>
      <w:r w:rsidRPr="007C5004">
        <w:rPr>
          <w:rFonts w:cs="Times New Roman"/>
        </w:rPr>
        <w:t xml:space="preserve"> pour réaliser des cessions d’action</w:t>
      </w:r>
      <w:r>
        <w:rPr>
          <w:rFonts w:cs="Times New Roman"/>
        </w:rPr>
        <w:t>s</w:t>
      </w:r>
      <w:r w:rsidRPr="007C5004">
        <w:rPr>
          <w:rFonts w:cs="Times New Roman"/>
        </w:rPr>
        <w:t xml:space="preserve"> et une fusion </w:t>
      </w:r>
      <w:r>
        <w:rPr>
          <w:rFonts w:cs="Times New Roman"/>
        </w:rPr>
        <w:t>de sociétés</w:t>
      </w:r>
      <w:r w:rsidRPr="007C5004">
        <w:rPr>
          <w:rFonts w:cs="Times New Roman"/>
        </w:rPr>
        <w:t xml:space="preserve">, </w:t>
      </w:r>
      <w:r>
        <w:rPr>
          <w:rFonts w:cs="Times New Roman"/>
        </w:rPr>
        <w:t xml:space="preserve">et ce, </w:t>
      </w:r>
      <w:r w:rsidRPr="007C5004">
        <w:rPr>
          <w:rFonts w:cs="Times New Roman"/>
        </w:rPr>
        <w:t>d</w:t>
      </w:r>
      <w:r>
        <w:rPr>
          <w:rFonts w:cs="Times New Roman"/>
        </w:rPr>
        <w:t>’une</w:t>
      </w:r>
      <w:r w:rsidRPr="007C5004">
        <w:rPr>
          <w:rFonts w:cs="Times New Roman"/>
        </w:rPr>
        <w:t xml:space="preserve"> manière </w:t>
      </w:r>
      <w:r>
        <w:rPr>
          <w:rFonts w:cs="Times New Roman"/>
        </w:rPr>
        <w:t xml:space="preserve">propre </w:t>
      </w:r>
      <w:r w:rsidRPr="007C5004">
        <w:rPr>
          <w:rFonts w:cs="Times New Roman"/>
        </w:rPr>
        <w:t xml:space="preserve">à assurer le report des obligations fiscales afférentes à ces transactions en utilisant des procédures prévues par les lois fiscales. L’entente </w:t>
      </w:r>
      <w:r>
        <w:rPr>
          <w:rFonts w:cs="Times New Roman"/>
        </w:rPr>
        <w:t>prévoy</w:t>
      </w:r>
      <w:r w:rsidRPr="007C5004">
        <w:rPr>
          <w:rFonts w:cs="Times New Roman"/>
        </w:rPr>
        <w:t xml:space="preserve">ait des échéanciers d’exécution des actes et l’ordre dans lequel ceux-ci devraient être complétés. Cet accord </w:t>
      </w:r>
      <w:r>
        <w:rPr>
          <w:rFonts w:cs="Times New Roman"/>
        </w:rPr>
        <w:t>exigeait</w:t>
      </w:r>
      <w:r w:rsidRPr="007C5004">
        <w:rPr>
          <w:rFonts w:cs="Times New Roman"/>
        </w:rPr>
        <w:t xml:space="preserve"> la rédaction de plusieurs écrits de nature diverse : contrats, résolutions de compagnie, statuts de fusion, rédaction et transmission des formulaires fiscaux, etc. Ces écrits </w:t>
      </w:r>
      <w:r>
        <w:rPr>
          <w:rFonts w:cs="Times New Roman"/>
        </w:rPr>
        <w:t xml:space="preserve">ont </w:t>
      </w:r>
      <w:r w:rsidRPr="007C5004">
        <w:rPr>
          <w:rFonts w:cs="Times New Roman"/>
        </w:rPr>
        <w:t>donn</w:t>
      </w:r>
      <w:r>
        <w:rPr>
          <w:rFonts w:cs="Times New Roman"/>
        </w:rPr>
        <w:t>é</w:t>
      </w:r>
      <w:r w:rsidRPr="007C5004">
        <w:rPr>
          <w:rFonts w:cs="Times New Roman"/>
        </w:rPr>
        <w:t xml:space="preserve"> effet à l’entente et l</w:t>
      </w:r>
      <w:r>
        <w:rPr>
          <w:rFonts w:cs="Times New Roman"/>
        </w:rPr>
        <w:t>’ont</w:t>
      </w:r>
      <w:r w:rsidRPr="007C5004">
        <w:rPr>
          <w:rFonts w:cs="Times New Roman"/>
        </w:rPr>
        <w:t xml:space="preserve"> constat</w:t>
      </w:r>
      <w:r>
        <w:rPr>
          <w:rFonts w:cs="Times New Roman"/>
        </w:rPr>
        <w:t>ée</w:t>
      </w:r>
      <w:r w:rsidRPr="007C5004">
        <w:rPr>
          <w:rFonts w:cs="Times New Roman"/>
        </w:rPr>
        <w:t xml:space="preserve">, mais elle </w:t>
      </w:r>
      <w:r>
        <w:rPr>
          <w:rFonts w:cs="Times New Roman"/>
        </w:rPr>
        <w:t xml:space="preserve">n’en </w:t>
      </w:r>
      <w:r w:rsidRPr="007C5004">
        <w:rPr>
          <w:rFonts w:cs="Times New Roman"/>
        </w:rPr>
        <w:t xml:space="preserve">existait </w:t>
      </w:r>
      <w:r>
        <w:rPr>
          <w:rFonts w:cs="Times New Roman"/>
        </w:rPr>
        <w:t xml:space="preserve">pas moins </w:t>
      </w:r>
      <w:r w:rsidRPr="007C5004">
        <w:rPr>
          <w:rFonts w:cs="Times New Roman"/>
        </w:rPr>
        <w:t>dès le mois de septembre 2004.</w:t>
      </w:r>
    </w:p>
    <w:p w:rsidR="00B656C1" w:rsidRPr="007C5004" w:rsidRDefault="00B656C1" w:rsidP="00B656C1">
      <w:pPr>
        <w:pStyle w:val="ParaNoNdepar-AltN"/>
        <w:rPr>
          <w:rFonts w:cs="Times New Roman"/>
        </w:rPr>
      </w:pPr>
      <w:r w:rsidRPr="007C5004">
        <w:rPr>
          <w:rFonts w:cs="Times New Roman"/>
        </w:rPr>
        <w:t xml:space="preserve">Cet accord de volonté a </w:t>
      </w:r>
      <w:r>
        <w:rPr>
          <w:rFonts w:cs="Times New Roman"/>
        </w:rPr>
        <w:t xml:space="preserve">cependant </w:t>
      </w:r>
      <w:r w:rsidRPr="007C5004">
        <w:rPr>
          <w:rFonts w:cs="Times New Roman"/>
        </w:rPr>
        <w:t>reçu une exécution défectueuse. Les conseillers des parties ont commis deux erreurs successives. D’abord, ils ont interverti l’ordre de la fusion des sociétés commerciales et de la cession des actions de M</w:t>
      </w:r>
      <w:r w:rsidRPr="007C5004">
        <w:rPr>
          <w:rFonts w:cs="Times New Roman"/>
          <w:vertAlign w:val="superscript"/>
        </w:rPr>
        <w:t>me</w:t>
      </w:r>
      <w:r>
        <w:rPr>
          <w:rFonts w:cs="Times New Roman"/>
        </w:rPr>
        <w:t> Archambault</w:t>
      </w:r>
      <w:r w:rsidRPr="007C5004">
        <w:rPr>
          <w:rFonts w:cs="Times New Roman"/>
        </w:rPr>
        <w:t xml:space="preserve">. Comme cette erreur empêchait le report des impôts, ils tentèrent de la corriger. </w:t>
      </w:r>
      <w:r>
        <w:rPr>
          <w:rFonts w:cs="Times New Roman"/>
        </w:rPr>
        <w:t>À cette fin, i</w:t>
      </w:r>
      <w:r w:rsidRPr="007C5004">
        <w:rPr>
          <w:rFonts w:cs="Times New Roman"/>
        </w:rPr>
        <w:t xml:space="preserve">ls modifièrent les actes </w:t>
      </w:r>
      <w:r>
        <w:rPr>
          <w:rFonts w:cs="Times New Roman"/>
        </w:rPr>
        <w:t>originaux et les</w:t>
      </w:r>
      <w:r w:rsidRPr="007C5004">
        <w:rPr>
          <w:rFonts w:cs="Times New Roman"/>
        </w:rPr>
        <w:t xml:space="preserve"> firent signer par leurs clients, sans leur expliquer la nature des changements effectués.</w:t>
      </w:r>
    </w:p>
    <w:p w:rsidR="00B656C1" w:rsidRPr="007C5004" w:rsidRDefault="00B656C1" w:rsidP="00B656C1">
      <w:pPr>
        <w:pStyle w:val="ParaNoNdepar-AltN"/>
        <w:rPr>
          <w:rFonts w:cs="Times New Roman"/>
        </w:rPr>
      </w:pPr>
      <w:r w:rsidRPr="007C5004">
        <w:rPr>
          <w:rFonts w:cs="Times New Roman"/>
        </w:rPr>
        <w:t>Après l’é</w:t>
      </w:r>
      <w:r>
        <w:rPr>
          <w:rFonts w:cs="Times New Roman"/>
        </w:rPr>
        <w:t>tablissement</w:t>
      </w:r>
      <w:r w:rsidRPr="007C5004">
        <w:rPr>
          <w:rFonts w:cs="Times New Roman"/>
        </w:rPr>
        <w:t xml:space="preserve"> des avis de cotisation par le fisc et la découverte des erreurs commises dans la rédaction des écrits relatifs à la transaction, les parties </w:t>
      </w:r>
      <w:r>
        <w:rPr>
          <w:rFonts w:cs="Times New Roman"/>
        </w:rPr>
        <w:t>ont</w:t>
      </w:r>
      <w:r w:rsidRPr="007C5004">
        <w:rPr>
          <w:rFonts w:cs="Times New Roman"/>
        </w:rPr>
        <w:t xml:space="preserve"> </w:t>
      </w:r>
      <w:r>
        <w:rPr>
          <w:rFonts w:cs="Times New Roman"/>
        </w:rPr>
        <w:t>convenu de</w:t>
      </w:r>
      <w:r w:rsidRPr="007C5004">
        <w:rPr>
          <w:rFonts w:cs="Times New Roman"/>
        </w:rPr>
        <w:t xml:space="preserve"> donner effet à leur entente originale, en modifiant les actes défectueux qui l’avaient mal exprimée.</w:t>
      </w:r>
    </w:p>
    <w:p w:rsidR="00B656C1" w:rsidRPr="007C5004" w:rsidRDefault="00B656C1" w:rsidP="00B656C1">
      <w:pPr>
        <w:pStyle w:val="ParaNoNdepar-AltN"/>
        <w:rPr>
          <w:rFonts w:cs="Times New Roman"/>
        </w:rPr>
      </w:pPr>
      <w:r>
        <w:rPr>
          <w:rFonts w:cs="Times New Roman"/>
        </w:rPr>
        <w:t>Bien que l’affaire</w:t>
      </w:r>
      <w:r w:rsidRPr="007C5004">
        <w:rPr>
          <w:rFonts w:cs="Times New Roman"/>
        </w:rPr>
        <w:t xml:space="preserve"> </w:t>
      </w:r>
      <w:r w:rsidRPr="00A8080D">
        <w:rPr>
          <w:rFonts w:cs="Times New Roman"/>
          <w:i/>
        </w:rPr>
        <w:t>AES</w:t>
      </w:r>
      <w:r w:rsidRPr="007C5004">
        <w:rPr>
          <w:rFonts w:cs="Times New Roman"/>
        </w:rPr>
        <w:t xml:space="preserve"> </w:t>
      </w:r>
      <w:r>
        <w:rPr>
          <w:rFonts w:cs="Times New Roman"/>
        </w:rPr>
        <w:t>présente</w:t>
      </w:r>
      <w:r w:rsidRPr="007C5004">
        <w:rPr>
          <w:rFonts w:cs="Times New Roman"/>
        </w:rPr>
        <w:t xml:space="preserve"> une situation </w:t>
      </w:r>
      <w:r>
        <w:rPr>
          <w:rFonts w:cs="Times New Roman"/>
        </w:rPr>
        <w:t>factuelle</w:t>
      </w:r>
      <w:r w:rsidRPr="007C5004">
        <w:rPr>
          <w:rFonts w:cs="Times New Roman"/>
        </w:rPr>
        <w:t xml:space="preserve"> différente</w:t>
      </w:r>
      <w:r>
        <w:rPr>
          <w:rFonts w:cs="Times New Roman"/>
        </w:rPr>
        <w:t>,</w:t>
      </w:r>
      <w:r w:rsidRPr="007C5004">
        <w:rPr>
          <w:rFonts w:cs="Times New Roman"/>
        </w:rPr>
        <w:t xml:space="preserve"> les admissions déposées au dossier confirment l’existence d’une entente </w:t>
      </w:r>
      <w:r>
        <w:rPr>
          <w:rFonts w:cs="Times New Roman"/>
        </w:rPr>
        <w:t>en vue de</w:t>
      </w:r>
      <w:r w:rsidRPr="007C5004">
        <w:rPr>
          <w:rFonts w:cs="Times New Roman"/>
        </w:rPr>
        <w:t xml:space="preserve"> réaliser une planification fiscale. On s’était entendu sur des transferts d’actions qui comportaient une opération de roulement, conformément aux modalités prévues par les lois fiscales pertinentes, </w:t>
      </w:r>
      <w:r>
        <w:rPr>
          <w:rFonts w:cs="Times New Roman"/>
        </w:rPr>
        <w:t>sur la ba</w:t>
      </w:r>
      <w:r w:rsidRPr="007C5004">
        <w:rPr>
          <w:rFonts w:cs="Times New Roman"/>
        </w:rPr>
        <w:t xml:space="preserve">se </w:t>
      </w:r>
      <w:r>
        <w:rPr>
          <w:rFonts w:cs="Times New Roman"/>
        </w:rPr>
        <w:t>d’</w:t>
      </w:r>
      <w:r w:rsidRPr="007C5004">
        <w:rPr>
          <w:rFonts w:cs="Times New Roman"/>
        </w:rPr>
        <w:t xml:space="preserve">un calcul </w:t>
      </w:r>
      <w:r>
        <w:rPr>
          <w:rFonts w:cs="Times New Roman"/>
        </w:rPr>
        <w:t>censément</w:t>
      </w:r>
      <w:r w:rsidRPr="007C5004">
        <w:rPr>
          <w:rFonts w:cs="Times New Roman"/>
        </w:rPr>
        <w:t xml:space="preserve"> exact du PBR des actions transférées. Cette entente</w:t>
      </w:r>
      <w:r>
        <w:rPr>
          <w:rFonts w:cs="Times New Roman"/>
        </w:rPr>
        <w:t>, qui devait avoir pour effet de reporter l’impôt payable,</w:t>
      </w:r>
      <w:r w:rsidRPr="007C5004">
        <w:rPr>
          <w:rFonts w:cs="Times New Roman"/>
        </w:rPr>
        <w:t xml:space="preserve"> a été viciée par </w:t>
      </w:r>
      <w:r>
        <w:rPr>
          <w:rFonts w:cs="Times New Roman"/>
        </w:rPr>
        <w:t>l’</w:t>
      </w:r>
      <w:r w:rsidRPr="007C5004">
        <w:rPr>
          <w:rFonts w:cs="Times New Roman"/>
        </w:rPr>
        <w:t xml:space="preserve">erreur </w:t>
      </w:r>
      <w:r>
        <w:rPr>
          <w:rFonts w:cs="Times New Roman"/>
        </w:rPr>
        <w:t>commise dans le</w:t>
      </w:r>
      <w:r w:rsidRPr="007C5004">
        <w:rPr>
          <w:rFonts w:cs="Times New Roman"/>
        </w:rPr>
        <w:t xml:space="preserve"> calcul de ce PBR. En effet, un </w:t>
      </w:r>
      <w:r>
        <w:rPr>
          <w:rFonts w:cs="Times New Roman"/>
        </w:rPr>
        <w:t xml:space="preserve">aspect de la </w:t>
      </w:r>
      <w:r w:rsidRPr="007C5004">
        <w:rPr>
          <w:rFonts w:cs="Times New Roman"/>
        </w:rPr>
        <w:t xml:space="preserve">contrepartie </w:t>
      </w:r>
      <w:r>
        <w:rPr>
          <w:rFonts w:cs="Times New Roman"/>
        </w:rPr>
        <w:t>versée pour</w:t>
      </w:r>
      <w:r w:rsidRPr="007C5004">
        <w:rPr>
          <w:rFonts w:cs="Times New Roman"/>
        </w:rPr>
        <w:t xml:space="preserve"> la cession des actions consistait dans l’émission et la remise d’un billet égal au montant de leur PBR. L’accord sur cette prestation particulière </w:t>
      </w:r>
      <w:r>
        <w:rPr>
          <w:rFonts w:cs="Times New Roman"/>
        </w:rPr>
        <w:t>dépendait de</w:t>
      </w:r>
      <w:r w:rsidRPr="007C5004">
        <w:rPr>
          <w:rFonts w:cs="Times New Roman"/>
        </w:rPr>
        <w:t xml:space="preserve"> l’exactitude du PBR, donc </w:t>
      </w:r>
      <w:r>
        <w:rPr>
          <w:rFonts w:cs="Times New Roman"/>
        </w:rPr>
        <w:t>de</w:t>
      </w:r>
      <w:r w:rsidRPr="007C5004">
        <w:rPr>
          <w:rFonts w:cs="Times New Roman"/>
        </w:rPr>
        <w:t xml:space="preserve"> sa conformité à l’art</w:t>
      </w:r>
      <w:r>
        <w:rPr>
          <w:rFonts w:cs="Times New Roman"/>
        </w:rPr>
        <w:t>. </w:t>
      </w:r>
      <w:r w:rsidRPr="007C5004">
        <w:rPr>
          <w:rFonts w:cs="Times New Roman"/>
        </w:rPr>
        <w:t xml:space="preserve">86 de la </w:t>
      </w:r>
      <w:r w:rsidRPr="007C5004">
        <w:rPr>
          <w:rFonts w:cs="Times New Roman"/>
          <w:i/>
        </w:rPr>
        <w:t>L</w:t>
      </w:r>
      <w:r>
        <w:rPr>
          <w:rFonts w:cs="Times New Roman"/>
          <w:i/>
        </w:rPr>
        <w:t>oi de l’impôt sur le revenu</w:t>
      </w:r>
      <w:r w:rsidRPr="007C5004">
        <w:rPr>
          <w:rFonts w:cs="Times New Roman"/>
          <w:i/>
        </w:rPr>
        <w:t xml:space="preserve"> </w:t>
      </w:r>
      <w:r w:rsidRPr="007C5004">
        <w:rPr>
          <w:rFonts w:cs="Times New Roman"/>
        </w:rPr>
        <w:t xml:space="preserve">et aux dispositions correspondantes de la </w:t>
      </w:r>
      <w:r w:rsidRPr="007C5004">
        <w:rPr>
          <w:rFonts w:cs="Times New Roman"/>
          <w:i/>
        </w:rPr>
        <w:t xml:space="preserve">Loi sur les impôts </w:t>
      </w:r>
      <w:r w:rsidRPr="007C5004">
        <w:rPr>
          <w:rFonts w:cs="Times New Roman"/>
        </w:rPr>
        <w:t>du Québec. Ce PBR était au moins déterminable au moment de l’accord des volontés, par l</w:t>
      </w:r>
      <w:r>
        <w:rPr>
          <w:rFonts w:cs="Times New Roman"/>
        </w:rPr>
        <w:t xml:space="preserve">’application </w:t>
      </w:r>
      <w:r w:rsidRPr="007C5004">
        <w:rPr>
          <w:rFonts w:cs="Times New Roman"/>
        </w:rPr>
        <w:t xml:space="preserve">de principes et méthodes comptables </w:t>
      </w:r>
      <w:r>
        <w:rPr>
          <w:rFonts w:cs="Times New Roman"/>
        </w:rPr>
        <w:t>re</w:t>
      </w:r>
      <w:r w:rsidRPr="007C5004">
        <w:rPr>
          <w:rFonts w:cs="Times New Roman"/>
        </w:rPr>
        <w:t xml:space="preserve">connus </w:t>
      </w:r>
      <w:r>
        <w:rPr>
          <w:rFonts w:cs="Times New Roman"/>
        </w:rPr>
        <w:t>(V. </w:t>
      </w:r>
      <w:r w:rsidRPr="007C5004">
        <w:rPr>
          <w:rFonts w:cs="Times New Roman"/>
        </w:rPr>
        <w:t xml:space="preserve">Krishna, </w:t>
      </w:r>
      <w:r w:rsidRPr="007C5004">
        <w:rPr>
          <w:rFonts w:cs="Times New Roman"/>
          <w:i/>
        </w:rPr>
        <w:t xml:space="preserve">The Fundamentals of Canadian </w:t>
      </w:r>
      <w:proofErr w:type="spellStart"/>
      <w:r w:rsidRPr="007C5004">
        <w:rPr>
          <w:rFonts w:cs="Times New Roman"/>
          <w:i/>
        </w:rPr>
        <w:t>Income</w:t>
      </w:r>
      <w:proofErr w:type="spellEnd"/>
      <w:r w:rsidRPr="007C5004">
        <w:rPr>
          <w:rFonts w:cs="Times New Roman"/>
          <w:i/>
        </w:rPr>
        <w:t xml:space="preserve"> </w:t>
      </w:r>
      <w:proofErr w:type="spellStart"/>
      <w:r w:rsidRPr="007C5004">
        <w:rPr>
          <w:rFonts w:cs="Times New Roman"/>
          <w:i/>
        </w:rPr>
        <w:t>Tax</w:t>
      </w:r>
      <w:proofErr w:type="spellEnd"/>
      <w:r w:rsidRPr="007C5004">
        <w:rPr>
          <w:rFonts w:cs="Times New Roman"/>
          <w:i/>
        </w:rPr>
        <w:t xml:space="preserve"> </w:t>
      </w:r>
      <w:r>
        <w:rPr>
          <w:rFonts w:cs="Times New Roman"/>
        </w:rPr>
        <w:t>(9</w:t>
      </w:r>
      <w:r w:rsidRPr="00A8080D">
        <w:rPr>
          <w:rFonts w:cs="Times New Roman"/>
          <w:vertAlign w:val="superscript"/>
        </w:rPr>
        <w:t>e</w:t>
      </w:r>
      <w:r>
        <w:rPr>
          <w:rFonts w:cs="Times New Roman"/>
        </w:rPr>
        <w:t xml:space="preserve"> éd. 2006), p. 1206-1207</w:t>
      </w:r>
      <w:r w:rsidRPr="007C5004">
        <w:rPr>
          <w:rFonts w:cs="Times New Roman"/>
        </w:rPr>
        <w:t>).  En raison de l’importance de ce facteur, l’erreur commise dans la détermination ou le calcul du PBR aurait pu sans doute constituer</w:t>
      </w:r>
      <w:r>
        <w:rPr>
          <w:rFonts w:cs="Times New Roman"/>
        </w:rPr>
        <w:t>,</w:t>
      </w:r>
      <w:r w:rsidRPr="007C5004">
        <w:rPr>
          <w:rFonts w:cs="Times New Roman"/>
        </w:rPr>
        <w:t xml:space="preserve"> à l’initiative de l’une des parties</w:t>
      </w:r>
      <w:r>
        <w:rPr>
          <w:rFonts w:cs="Times New Roman"/>
        </w:rPr>
        <w:t>,</w:t>
      </w:r>
      <w:r w:rsidRPr="007C5004">
        <w:rPr>
          <w:rFonts w:cs="Times New Roman"/>
        </w:rPr>
        <w:t xml:space="preserve"> une cause d’annulation d</w:t>
      </w:r>
      <w:r>
        <w:rPr>
          <w:rFonts w:cs="Times New Roman"/>
        </w:rPr>
        <w:t>u contrat</w:t>
      </w:r>
      <w:r w:rsidRPr="007C5004">
        <w:rPr>
          <w:rFonts w:cs="Times New Roman"/>
        </w:rPr>
        <w:t xml:space="preserve"> selon le droit des obligations.</w:t>
      </w:r>
    </w:p>
    <w:p w:rsidR="00B656C1" w:rsidRPr="007C5004" w:rsidRDefault="00B656C1" w:rsidP="00B656C1">
      <w:pPr>
        <w:pStyle w:val="ParaNoNdepar-AltN"/>
        <w:rPr>
          <w:rFonts w:cs="Times New Roman"/>
        </w:rPr>
      </w:pPr>
      <w:r w:rsidRPr="007C5004">
        <w:rPr>
          <w:rFonts w:cs="Times New Roman"/>
        </w:rPr>
        <w:t>Les partie</w:t>
      </w:r>
      <w:r>
        <w:rPr>
          <w:rFonts w:cs="Times New Roman"/>
        </w:rPr>
        <w:t>s</w:t>
      </w:r>
      <w:r w:rsidRPr="007C5004">
        <w:rPr>
          <w:rFonts w:cs="Times New Roman"/>
        </w:rPr>
        <w:t xml:space="preserve"> ont plutôt </w:t>
      </w:r>
      <w:r>
        <w:rPr>
          <w:rFonts w:cs="Times New Roman"/>
        </w:rPr>
        <w:t>convenu de</w:t>
      </w:r>
      <w:r w:rsidRPr="007C5004">
        <w:rPr>
          <w:rFonts w:cs="Times New Roman"/>
        </w:rPr>
        <w:t xml:space="preserve"> corriger cette erreur en modifiant les documents qui constataient et exécutaient leur entente, y compris les formulaires fiscaux nécessaires. Les parties rétablissaient </w:t>
      </w:r>
      <w:r>
        <w:rPr>
          <w:rFonts w:cs="Times New Roman"/>
        </w:rPr>
        <w:t xml:space="preserve">ainsi </w:t>
      </w:r>
      <w:r w:rsidRPr="007C5004">
        <w:rPr>
          <w:rFonts w:cs="Times New Roman"/>
        </w:rPr>
        <w:t>l’intégrité de leur entente originale. Ces modifications apportées à la documentation contractuelle faisaient disparaître l’incompatibilité entre l’entente originale des parties et l’expression qui lui avait été donnée.</w:t>
      </w:r>
    </w:p>
    <w:p w:rsidR="00B656C1" w:rsidRPr="007C5004" w:rsidRDefault="00B656C1" w:rsidP="00B656C1">
      <w:pPr>
        <w:pStyle w:val="ParaNoNdepar-AltN"/>
        <w:rPr>
          <w:rFonts w:cs="Times New Roman"/>
        </w:rPr>
      </w:pPr>
      <w:r>
        <w:rPr>
          <w:rFonts w:cs="Times New Roman"/>
        </w:rPr>
        <w:t>À la lumière</w:t>
      </w:r>
      <w:r w:rsidRPr="007C5004">
        <w:rPr>
          <w:rFonts w:cs="Times New Roman"/>
        </w:rPr>
        <w:t xml:space="preserve"> de ces conclusions </w:t>
      </w:r>
      <w:r>
        <w:rPr>
          <w:rFonts w:cs="Times New Roman"/>
        </w:rPr>
        <w:t>sur</w:t>
      </w:r>
      <w:r w:rsidRPr="007C5004">
        <w:rPr>
          <w:rFonts w:cs="Times New Roman"/>
        </w:rPr>
        <w:t xml:space="preserve"> la nature des ententes intervenues entre les parties</w:t>
      </w:r>
      <w:r>
        <w:rPr>
          <w:rFonts w:cs="Times New Roman"/>
        </w:rPr>
        <w:t xml:space="preserve"> et eu égard au</w:t>
      </w:r>
      <w:r w:rsidRPr="007C5004">
        <w:rPr>
          <w:rFonts w:cs="Times New Roman"/>
        </w:rPr>
        <w:t xml:space="preserve"> contexte établi </w:t>
      </w:r>
      <w:r>
        <w:rPr>
          <w:rFonts w:cs="Times New Roman"/>
        </w:rPr>
        <w:t xml:space="preserve">par </w:t>
      </w:r>
      <w:r w:rsidRPr="007C5004">
        <w:rPr>
          <w:rFonts w:cs="Times New Roman"/>
        </w:rPr>
        <w:t>la preuve à ce sujet, il s’agit d’examiner la recevabilité des procédures entamées par</w:t>
      </w:r>
      <w:r>
        <w:rPr>
          <w:rFonts w:cs="Times New Roman"/>
        </w:rPr>
        <w:t xml:space="preserve"> les intimés dans les affaires</w:t>
      </w:r>
      <w:r w:rsidRPr="007C5004">
        <w:rPr>
          <w:rFonts w:cs="Times New Roman"/>
        </w:rPr>
        <w:t xml:space="preserve"> </w:t>
      </w:r>
      <w:r w:rsidRPr="00B1192F">
        <w:rPr>
          <w:rFonts w:cs="Times New Roman"/>
          <w:i/>
        </w:rPr>
        <w:t>AES</w:t>
      </w:r>
      <w:r w:rsidRPr="007C5004">
        <w:rPr>
          <w:rFonts w:cs="Times New Roman"/>
        </w:rPr>
        <w:t xml:space="preserve"> et </w:t>
      </w:r>
      <w:proofErr w:type="spellStart"/>
      <w:r w:rsidRPr="00B1192F">
        <w:rPr>
          <w:rFonts w:cs="Times New Roman"/>
          <w:i/>
        </w:rPr>
        <w:t>Riopel</w:t>
      </w:r>
      <w:proofErr w:type="spellEnd"/>
      <w:r w:rsidRPr="007C5004">
        <w:rPr>
          <w:rFonts w:cs="Times New Roman"/>
        </w:rPr>
        <w:t xml:space="preserve"> et l’admissibilité des conclusions qu’</w:t>
      </w:r>
      <w:r>
        <w:rPr>
          <w:rFonts w:cs="Times New Roman"/>
        </w:rPr>
        <w:t>il</w:t>
      </w:r>
      <w:r w:rsidRPr="007C5004">
        <w:rPr>
          <w:rFonts w:cs="Times New Roman"/>
        </w:rPr>
        <w:t xml:space="preserve">s recherchent. Il faut </w:t>
      </w:r>
      <w:r>
        <w:rPr>
          <w:rFonts w:cs="Times New Roman"/>
        </w:rPr>
        <w:t>se demander</w:t>
      </w:r>
      <w:r w:rsidRPr="007C5004">
        <w:rPr>
          <w:rFonts w:cs="Times New Roman"/>
        </w:rPr>
        <w:t xml:space="preserve"> si, dans le cadre juridique défini par le droit </w:t>
      </w:r>
      <w:r>
        <w:rPr>
          <w:rFonts w:cs="Times New Roman"/>
        </w:rPr>
        <w:t xml:space="preserve">civil </w:t>
      </w:r>
      <w:r w:rsidRPr="007C5004">
        <w:rPr>
          <w:rFonts w:cs="Times New Roman"/>
        </w:rPr>
        <w:t xml:space="preserve">des obligations, le fisc peut se </w:t>
      </w:r>
      <w:r>
        <w:rPr>
          <w:rFonts w:cs="Times New Roman"/>
        </w:rPr>
        <w:t>fonder</w:t>
      </w:r>
      <w:r w:rsidRPr="007C5004">
        <w:rPr>
          <w:rFonts w:cs="Times New Roman"/>
        </w:rPr>
        <w:t xml:space="preserve"> </w:t>
      </w:r>
      <w:r>
        <w:rPr>
          <w:rFonts w:cs="Times New Roman"/>
        </w:rPr>
        <w:t xml:space="preserve">sur </w:t>
      </w:r>
      <w:r w:rsidRPr="007C5004">
        <w:rPr>
          <w:rFonts w:cs="Times New Roman"/>
        </w:rPr>
        <w:t>d</w:t>
      </w:r>
      <w:r>
        <w:rPr>
          <w:rFonts w:cs="Times New Roman"/>
        </w:rPr>
        <w:t xml:space="preserve">es </w:t>
      </w:r>
      <w:r w:rsidRPr="007C5004">
        <w:rPr>
          <w:rFonts w:cs="Times New Roman"/>
        </w:rPr>
        <w:t xml:space="preserve">actes comportant des erreurs </w:t>
      </w:r>
      <w:r>
        <w:rPr>
          <w:rFonts w:cs="Times New Roman"/>
        </w:rPr>
        <w:t>démontrées</w:t>
      </w:r>
      <w:r w:rsidRPr="007C5004">
        <w:rPr>
          <w:rFonts w:cs="Times New Roman"/>
        </w:rPr>
        <w:t xml:space="preserve"> par la preuve</w:t>
      </w:r>
      <w:r>
        <w:rPr>
          <w:rFonts w:cs="Times New Roman"/>
        </w:rPr>
        <w:t>,</w:t>
      </w:r>
      <w:r w:rsidRPr="007C5004">
        <w:rPr>
          <w:rFonts w:cs="Times New Roman"/>
        </w:rPr>
        <w:t xml:space="preserve"> ou si ces </w:t>
      </w:r>
      <w:r>
        <w:rPr>
          <w:rFonts w:cs="Times New Roman"/>
        </w:rPr>
        <w:t xml:space="preserve">mêmes </w:t>
      </w:r>
      <w:r w:rsidRPr="007C5004">
        <w:rPr>
          <w:rFonts w:cs="Times New Roman"/>
        </w:rPr>
        <w:t>actes peuvent être modifiés, pour que la situation fiscale des contribuables en cause soit appréciée plus tard sur cette nouvelle base.</w:t>
      </w:r>
    </w:p>
    <w:p w:rsidR="00B656C1" w:rsidRPr="007C5004" w:rsidRDefault="00B656C1" w:rsidP="00B656C1">
      <w:pPr>
        <w:pStyle w:val="TitleTitre-AltT"/>
        <w:tabs>
          <w:tab w:val="clear" w:pos="360"/>
          <w:tab w:val="left" w:pos="540"/>
        </w:tabs>
        <w:ind w:left="547" w:hanging="547"/>
        <w:rPr>
          <w:rFonts w:cs="Times New Roman"/>
        </w:rPr>
      </w:pPr>
      <w:r w:rsidRPr="007C5004">
        <w:rPr>
          <w:rFonts w:cs="Times New Roman"/>
        </w:rPr>
        <w:t>E.</w:t>
      </w:r>
      <w:r w:rsidRPr="007C5004">
        <w:rPr>
          <w:rFonts w:cs="Times New Roman"/>
        </w:rPr>
        <w:tab/>
      </w:r>
      <w:r>
        <w:rPr>
          <w:rFonts w:cs="Times New Roman"/>
          <w:i/>
        </w:rPr>
        <w:t>La situation des a</w:t>
      </w:r>
      <w:r w:rsidR="0058350E">
        <w:rPr>
          <w:rFonts w:cs="Times New Roman"/>
          <w:i/>
        </w:rPr>
        <w:t>gences du r</w:t>
      </w:r>
      <w:r w:rsidRPr="007C5004">
        <w:rPr>
          <w:rFonts w:cs="Times New Roman"/>
          <w:i/>
        </w:rPr>
        <w:t>evenu</w:t>
      </w:r>
    </w:p>
    <w:p w:rsidR="00B656C1" w:rsidRPr="007C5004" w:rsidRDefault="00B656C1" w:rsidP="00B656C1">
      <w:pPr>
        <w:pStyle w:val="ParaNoNdepar-AltN"/>
        <w:rPr>
          <w:rFonts w:cs="Times New Roman"/>
        </w:rPr>
      </w:pPr>
      <w:r w:rsidRPr="007C5004">
        <w:rPr>
          <w:rFonts w:cs="Times New Roman"/>
        </w:rPr>
        <w:t xml:space="preserve">L’appelante ARQ et </w:t>
      </w:r>
      <w:r>
        <w:rPr>
          <w:rFonts w:cs="Times New Roman"/>
        </w:rPr>
        <w:t>le procureur général du Canada intervenant se trouvent engagé</w:t>
      </w:r>
      <w:r w:rsidRPr="007C5004">
        <w:rPr>
          <w:rFonts w:cs="Times New Roman"/>
        </w:rPr>
        <w:t xml:space="preserve">s dans un débat relatif à la nature et à l’effet de certaines opérations effectuées </w:t>
      </w:r>
      <w:r>
        <w:rPr>
          <w:rFonts w:cs="Times New Roman"/>
        </w:rPr>
        <w:t xml:space="preserve">par </w:t>
      </w:r>
      <w:r w:rsidRPr="007C5004">
        <w:rPr>
          <w:rFonts w:cs="Times New Roman"/>
        </w:rPr>
        <w:t xml:space="preserve">les intimés impliquant la mise en œuvre du droit civil du Québec. Toutefois, comme on l’a vu </w:t>
      </w:r>
      <w:r>
        <w:rPr>
          <w:rFonts w:cs="Times New Roman"/>
        </w:rPr>
        <w:t>précédemment</w:t>
      </w:r>
      <w:r w:rsidRPr="007C5004">
        <w:rPr>
          <w:rFonts w:cs="Times New Roman"/>
        </w:rPr>
        <w:t xml:space="preserve">, les actes </w:t>
      </w:r>
      <w:r>
        <w:rPr>
          <w:rFonts w:cs="Times New Roman"/>
        </w:rPr>
        <w:t>accomplis</w:t>
      </w:r>
      <w:r w:rsidRPr="007C5004">
        <w:rPr>
          <w:rFonts w:cs="Times New Roman"/>
        </w:rPr>
        <w:t xml:space="preserve"> </w:t>
      </w:r>
      <w:r>
        <w:rPr>
          <w:rFonts w:cs="Times New Roman"/>
        </w:rPr>
        <w:t>produisent</w:t>
      </w:r>
      <w:r w:rsidRPr="007C5004">
        <w:rPr>
          <w:rFonts w:cs="Times New Roman"/>
        </w:rPr>
        <w:t xml:space="preserve"> des incidences fiscales. Cette interaction du droit civil et du droit fiscal limite le </w:t>
      </w:r>
      <w:r>
        <w:rPr>
          <w:rFonts w:cs="Times New Roman"/>
        </w:rPr>
        <w:t>champ</w:t>
      </w:r>
      <w:r w:rsidRPr="007C5004">
        <w:rPr>
          <w:rFonts w:cs="Times New Roman"/>
        </w:rPr>
        <w:t xml:space="preserve"> d’intervention de notre Cour, ainsi que </w:t>
      </w:r>
      <w:r>
        <w:rPr>
          <w:rFonts w:cs="Times New Roman"/>
        </w:rPr>
        <w:t xml:space="preserve">celui </w:t>
      </w:r>
      <w:r w:rsidRPr="007C5004">
        <w:rPr>
          <w:rFonts w:cs="Times New Roman"/>
        </w:rPr>
        <w:t xml:space="preserve">de la Cour d’appel et de la Cour supérieure. </w:t>
      </w:r>
    </w:p>
    <w:p w:rsidR="00B656C1" w:rsidRPr="007C5004" w:rsidRDefault="00B656C1" w:rsidP="00B656C1">
      <w:pPr>
        <w:pStyle w:val="ParaNoNdepar-AltN"/>
        <w:rPr>
          <w:rFonts w:cs="Times New Roman"/>
        </w:rPr>
      </w:pPr>
      <w:r w:rsidRPr="007C5004">
        <w:rPr>
          <w:rFonts w:cs="Times New Roman"/>
        </w:rPr>
        <w:t>Les contestations proprement dites des avis de cotisation é</w:t>
      </w:r>
      <w:r>
        <w:rPr>
          <w:rFonts w:cs="Times New Roman"/>
        </w:rPr>
        <w:t>tabl</w:t>
      </w:r>
      <w:r w:rsidRPr="007C5004">
        <w:rPr>
          <w:rFonts w:cs="Times New Roman"/>
        </w:rPr>
        <w:t xml:space="preserve">is dans ces dossiers </w:t>
      </w:r>
      <w:r>
        <w:rPr>
          <w:rFonts w:cs="Times New Roman"/>
        </w:rPr>
        <w:t>reflètent des</w:t>
      </w:r>
      <w:r w:rsidRPr="007C5004">
        <w:rPr>
          <w:rFonts w:cs="Times New Roman"/>
        </w:rPr>
        <w:t xml:space="preserve"> juridictions auxquelles les lois fiscales ont donné compétence dans ces matières. Comme notre Cour l’a rappelé à propos d’une tentative d’utilis</w:t>
      </w:r>
      <w:r>
        <w:rPr>
          <w:rFonts w:cs="Times New Roman"/>
        </w:rPr>
        <w:t>ation d</w:t>
      </w:r>
      <w:r w:rsidRPr="007C5004">
        <w:rPr>
          <w:rFonts w:cs="Times New Roman"/>
        </w:rPr>
        <w:t>es mécanismes du contrôle judiciaire à l’égard de l’é</w:t>
      </w:r>
      <w:r>
        <w:rPr>
          <w:rFonts w:cs="Times New Roman"/>
        </w:rPr>
        <w:t>tablissement</w:t>
      </w:r>
      <w:r w:rsidRPr="007C5004">
        <w:rPr>
          <w:rFonts w:cs="Times New Roman"/>
        </w:rPr>
        <w:t xml:space="preserve"> de certains avis de cotisation, on ne saurait court-circuiter les voies d’appel particulières établies par le Parlement dans le domaine fiscal (</w:t>
      </w:r>
      <w:r w:rsidRPr="007C5004">
        <w:rPr>
          <w:rFonts w:cs="Times New Roman"/>
          <w:i/>
        </w:rPr>
        <w:t xml:space="preserve">Canada c. Addison &amp; </w:t>
      </w:r>
      <w:proofErr w:type="spellStart"/>
      <w:r w:rsidRPr="007C5004">
        <w:rPr>
          <w:rFonts w:cs="Times New Roman"/>
          <w:i/>
        </w:rPr>
        <w:t>Leyen</w:t>
      </w:r>
      <w:proofErr w:type="spellEnd"/>
      <w:r w:rsidRPr="007C5004">
        <w:rPr>
          <w:rFonts w:cs="Times New Roman"/>
          <w:i/>
        </w:rPr>
        <w:t xml:space="preserve"> Ltd.</w:t>
      </w:r>
      <w:r w:rsidRPr="007C5004">
        <w:rPr>
          <w:rFonts w:cs="Times New Roman"/>
        </w:rPr>
        <w:t xml:space="preserve">, </w:t>
      </w:r>
      <w:r w:rsidRPr="007C5004">
        <w:rPr>
          <w:rFonts w:cs="Times New Roman"/>
          <w:szCs w:val="24"/>
        </w:rPr>
        <w:t>2007 CSC 33,</w:t>
      </w:r>
      <w:r w:rsidRPr="007C5004">
        <w:rPr>
          <w:rFonts w:cs="Times New Roman"/>
        </w:rPr>
        <w:t xml:space="preserve"> [2007] 2 R.C.S. 793, par. 11; aussi C. Campbell, </w:t>
      </w:r>
      <w:r w:rsidRPr="007C5004">
        <w:rPr>
          <w:rFonts w:cs="Times New Roman"/>
          <w:i/>
        </w:rPr>
        <w:t xml:space="preserve">Administration of </w:t>
      </w:r>
      <w:proofErr w:type="spellStart"/>
      <w:r w:rsidRPr="007C5004">
        <w:rPr>
          <w:rFonts w:cs="Times New Roman"/>
          <w:i/>
        </w:rPr>
        <w:t>Income</w:t>
      </w:r>
      <w:proofErr w:type="spellEnd"/>
      <w:r w:rsidRPr="007C5004">
        <w:rPr>
          <w:rFonts w:cs="Times New Roman"/>
          <w:i/>
        </w:rPr>
        <w:t xml:space="preserve"> </w:t>
      </w:r>
      <w:proofErr w:type="spellStart"/>
      <w:r w:rsidRPr="007C5004">
        <w:rPr>
          <w:rFonts w:cs="Times New Roman"/>
          <w:i/>
        </w:rPr>
        <w:t>Tax</w:t>
      </w:r>
      <w:proofErr w:type="spellEnd"/>
      <w:r w:rsidRPr="007C5004">
        <w:rPr>
          <w:rFonts w:cs="Times New Roman"/>
          <w:i/>
        </w:rPr>
        <w:t xml:space="preserve"> 2013</w:t>
      </w:r>
      <w:r w:rsidRPr="007C5004">
        <w:rPr>
          <w:rFonts w:cs="Times New Roman"/>
        </w:rPr>
        <w:t xml:space="preserve"> </w:t>
      </w:r>
      <w:r>
        <w:rPr>
          <w:rFonts w:cs="Times New Roman"/>
        </w:rPr>
        <w:t xml:space="preserve">(2013), </w:t>
      </w:r>
      <w:r w:rsidRPr="007C5004">
        <w:rPr>
          <w:rFonts w:cs="Times New Roman"/>
        </w:rPr>
        <w:t xml:space="preserve">p. 564-570). Ce principe signifie que les tribunaux saisis d’une contestation relative à des aspects civils d’une transaction ayant des implications fiscales ne peuvent statuer sur les </w:t>
      </w:r>
      <w:r>
        <w:rPr>
          <w:rFonts w:cs="Times New Roman"/>
        </w:rPr>
        <w:t>avis de cotisation</w:t>
      </w:r>
      <w:r w:rsidRPr="007C5004">
        <w:rPr>
          <w:rFonts w:cs="Times New Roman"/>
        </w:rPr>
        <w:t xml:space="preserve"> et les avis d’opposition é</w:t>
      </w:r>
      <w:r>
        <w:rPr>
          <w:rFonts w:cs="Times New Roman"/>
        </w:rPr>
        <w:t>tabl</w:t>
      </w:r>
      <w:r w:rsidRPr="007C5004">
        <w:rPr>
          <w:rFonts w:cs="Times New Roman"/>
        </w:rPr>
        <w:t>is ou déposés</w:t>
      </w:r>
      <w:r>
        <w:rPr>
          <w:rFonts w:cs="Times New Roman"/>
        </w:rPr>
        <w:t xml:space="preserve"> à l’égard de cette transaction</w:t>
      </w:r>
      <w:r w:rsidRPr="007C5004">
        <w:rPr>
          <w:rFonts w:cs="Times New Roman"/>
        </w:rPr>
        <w:t xml:space="preserve">. </w:t>
      </w:r>
      <w:r>
        <w:rPr>
          <w:rFonts w:cs="Times New Roman"/>
        </w:rPr>
        <w:t>I</w:t>
      </w:r>
      <w:r w:rsidRPr="007C5004">
        <w:rPr>
          <w:rFonts w:cs="Times New Roman"/>
        </w:rPr>
        <w:t xml:space="preserve">l appartiendra </w:t>
      </w:r>
      <w:r>
        <w:rPr>
          <w:rFonts w:cs="Times New Roman"/>
        </w:rPr>
        <w:t xml:space="preserve">plutôt </w:t>
      </w:r>
      <w:r w:rsidRPr="007C5004">
        <w:rPr>
          <w:rFonts w:cs="Times New Roman"/>
        </w:rPr>
        <w:t>aux juridictions déclarées compétentes en la matière de se prononcer sur l</w:t>
      </w:r>
      <w:r>
        <w:rPr>
          <w:rFonts w:cs="Times New Roman"/>
        </w:rPr>
        <w:t>a</w:t>
      </w:r>
      <w:r w:rsidRPr="007C5004">
        <w:rPr>
          <w:rFonts w:cs="Times New Roman"/>
        </w:rPr>
        <w:t xml:space="preserve"> validité et les effets</w:t>
      </w:r>
      <w:r>
        <w:rPr>
          <w:rFonts w:cs="Times New Roman"/>
        </w:rPr>
        <w:t xml:space="preserve"> de cet avis, s</w:t>
      </w:r>
      <w:r w:rsidRPr="007C5004">
        <w:rPr>
          <w:rFonts w:cs="Times New Roman"/>
        </w:rPr>
        <w:t>’il y a lieu</w:t>
      </w:r>
      <w:r>
        <w:rPr>
          <w:rFonts w:cs="Times New Roman"/>
        </w:rPr>
        <w:t xml:space="preserve"> de le faire</w:t>
      </w:r>
      <w:r w:rsidRPr="007C5004">
        <w:rPr>
          <w:rFonts w:cs="Times New Roman"/>
        </w:rPr>
        <w:t xml:space="preserve">. Il leur reviendra aussi d’évaluer les conséquences des jugements rendus par les cours civiles au sujet des opérations </w:t>
      </w:r>
      <w:r>
        <w:rPr>
          <w:rFonts w:cs="Times New Roman"/>
        </w:rPr>
        <w:t>à l’origine des</w:t>
      </w:r>
      <w:r w:rsidRPr="007C5004">
        <w:rPr>
          <w:rFonts w:cs="Times New Roman"/>
        </w:rPr>
        <w:t xml:space="preserve"> avis de cotisation.</w:t>
      </w:r>
    </w:p>
    <w:p w:rsidR="00B656C1" w:rsidRPr="007C5004" w:rsidRDefault="00B656C1" w:rsidP="00B656C1">
      <w:pPr>
        <w:pStyle w:val="ParaNoNdepar-AltN"/>
        <w:rPr>
          <w:rFonts w:cs="Times New Roman"/>
        </w:rPr>
      </w:pPr>
      <w:r w:rsidRPr="007C5004">
        <w:rPr>
          <w:rFonts w:cs="Times New Roman"/>
        </w:rPr>
        <w:t>Par contre, le débat en</w:t>
      </w:r>
      <w:r>
        <w:rPr>
          <w:rFonts w:cs="Times New Roman"/>
        </w:rPr>
        <w:t xml:space="preserve"> cours</w:t>
      </w:r>
      <w:r w:rsidRPr="007C5004">
        <w:rPr>
          <w:rFonts w:cs="Times New Roman"/>
        </w:rPr>
        <w:t xml:space="preserve"> dans les deux appels que nous examinons </w:t>
      </w:r>
      <w:r>
        <w:rPr>
          <w:rFonts w:cs="Times New Roman"/>
        </w:rPr>
        <w:t>concerne</w:t>
      </w:r>
      <w:r w:rsidRPr="007C5004">
        <w:rPr>
          <w:rFonts w:cs="Times New Roman"/>
        </w:rPr>
        <w:t xml:space="preserve"> nécessairement l’ARQ et l’ARC. En raison de leur position, il faut </w:t>
      </w:r>
      <w:r>
        <w:rPr>
          <w:rFonts w:cs="Times New Roman"/>
        </w:rPr>
        <w:t xml:space="preserve">se demander </w:t>
      </w:r>
      <w:r w:rsidRPr="007C5004">
        <w:rPr>
          <w:rFonts w:cs="Times New Roman"/>
        </w:rPr>
        <w:t xml:space="preserve">si elles peuvent invoquer des droits acquis au maintien d’un écrit erroné, </w:t>
      </w:r>
      <w:r>
        <w:rPr>
          <w:rFonts w:cs="Times New Roman"/>
        </w:rPr>
        <w:t xml:space="preserve">même </w:t>
      </w:r>
      <w:r w:rsidRPr="007C5004">
        <w:rPr>
          <w:rFonts w:cs="Times New Roman"/>
        </w:rPr>
        <w:t>si l’</w:t>
      </w:r>
      <w:r>
        <w:rPr>
          <w:rFonts w:cs="Times New Roman"/>
        </w:rPr>
        <w:t xml:space="preserve">existence d’une </w:t>
      </w:r>
      <w:r w:rsidRPr="007C5004">
        <w:rPr>
          <w:rFonts w:cs="Times New Roman"/>
        </w:rPr>
        <w:t xml:space="preserve">erreur est établie et s’il est démontré que les </w:t>
      </w:r>
      <w:r>
        <w:rPr>
          <w:rFonts w:cs="Times New Roman"/>
        </w:rPr>
        <w:t>documents</w:t>
      </w:r>
      <w:r w:rsidRPr="007C5004">
        <w:rPr>
          <w:rFonts w:cs="Times New Roman"/>
        </w:rPr>
        <w:t xml:space="preserve"> transmis au fisc ne correspondent pas à la volonté réelle des parties</w:t>
      </w:r>
      <w:r>
        <w:rPr>
          <w:rFonts w:cs="Times New Roman"/>
        </w:rPr>
        <w:t>.</w:t>
      </w:r>
    </w:p>
    <w:p w:rsidR="00B656C1" w:rsidRPr="007C5004" w:rsidRDefault="00B656C1" w:rsidP="00B656C1">
      <w:pPr>
        <w:pStyle w:val="ParaNoNdepar-AltN"/>
        <w:rPr>
          <w:rFonts w:cs="Times New Roman"/>
        </w:rPr>
      </w:pPr>
      <w:r w:rsidRPr="007C5004">
        <w:rPr>
          <w:rFonts w:cs="Times New Roman"/>
        </w:rPr>
        <w:t xml:space="preserve">Pour </w:t>
      </w:r>
      <w:r>
        <w:rPr>
          <w:rFonts w:cs="Times New Roman"/>
        </w:rPr>
        <w:t>juger en ce sens</w:t>
      </w:r>
      <w:r w:rsidRPr="007C5004">
        <w:rPr>
          <w:rFonts w:cs="Times New Roman"/>
        </w:rPr>
        <w:t>, il faudrait décider que</w:t>
      </w:r>
      <w:r>
        <w:rPr>
          <w:rFonts w:cs="Times New Roman"/>
        </w:rPr>
        <w:t>,</w:t>
      </w:r>
      <w:r w:rsidRPr="007C5004">
        <w:rPr>
          <w:rFonts w:cs="Times New Roman"/>
        </w:rPr>
        <w:t xml:space="preserve"> dès la conclusion des opérations des intimés, les Agences </w:t>
      </w:r>
      <w:r>
        <w:rPr>
          <w:rFonts w:cs="Times New Roman"/>
        </w:rPr>
        <w:t>so</w:t>
      </w:r>
      <w:r w:rsidRPr="007C5004">
        <w:rPr>
          <w:rFonts w:cs="Times New Roman"/>
        </w:rPr>
        <w:t>nt devenues d</w:t>
      </w:r>
      <w:r>
        <w:rPr>
          <w:rFonts w:cs="Times New Roman"/>
        </w:rPr>
        <w:t xml:space="preserve">es </w:t>
      </w:r>
      <w:r w:rsidRPr="007C5004">
        <w:rPr>
          <w:rFonts w:cs="Times New Roman"/>
        </w:rPr>
        <w:t>ayants droit</w:t>
      </w:r>
      <w:r>
        <w:rPr>
          <w:rFonts w:cs="Times New Roman"/>
        </w:rPr>
        <w:t xml:space="preserve"> particulier —</w:t>
      </w:r>
      <w:r w:rsidRPr="007C5004">
        <w:rPr>
          <w:rFonts w:cs="Times New Roman"/>
        </w:rPr>
        <w:t xml:space="preserve"> qui aurai</w:t>
      </w:r>
      <w:r>
        <w:rPr>
          <w:rFonts w:cs="Times New Roman"/>
        </w:rPr>
        <w:t>en</w:t>
      </w:r>
      <w:r w:rsidRPr="007C5004">
        <w:rPr>
          <w:rFonts w:cs="Times New Roman"/>
        </w:rPr>
        <w:t xml:space="preserve">t obtenu le droit de percevoir une partie du produit économique des transactions </w:t>
      </w:r>
      <w:r>
        <w:rPr>
          <w:rFonts w:cs="Times New Roman"/>
        </w:rPr>
        <w:t xml:space="preserve">— </w:t>
      </w:r>
      <w:r w:rsidRPr="007C5004">
        <w:rPr>
          <w:rFonts w:cs="Times New Roman"/>
        </w:rPr>
        <w:t xml:space="preserve">et qu’elles pouvaient se fonder définitivement sur la volonté déclarée des parties. Je ne conteste pas que les procédures de perception des impôts, les </w:t>
      </w:r>
      <w:r>
        <w:rPr>
          <w:rFonts w:cs="Times New Roman"/>
        </w:rPr>
        <w:t xml:space="preserve">voies de </w:t>
      </w:r>
      <w:r w:rsidRPr="007C5004">
        <w:rPr>
          <w:rFonts w:cs="Times New Roman"/>
        </w:rPr>
        <w:t>recours et les sûretés divers</w:t>
      </w:r>
      <w:r>
        <w:rPr>
          <w:rFonts w:cs="Times New Roman"/>
        </w:rPr>
        <w:t>es</w:t>
      </w:r>
      <w:r w:rsidRPr="007C5004">
        <w:rPr>
          <w:rFonts w:cs="Times New Roman"/>
        </w:rPr>
        <w:t xml:space="preserve"> établi</w:t>
      </w:r>
      <w:r>
        <w:rPr>
          <w:rFonts w:cs="Times New Roman"/>
        </w:rPr>
        <w:t>e</w:t>
      </w:r>
      <w:r w:rsidRPr="007C5004">
        <w:rPr>
          <w:rFonts w:cs="Times New Roman"/>
        </w:rPr>
        <w:t xml:space="preserve">s par la loi pour faciliter le recouvrement des </w:t>
      </w:r>
      <w:r>
        <w:rPr>
          <w:rFonts w:cs="Times New Roman"/>
        </w:rPr>
        <w:t>créances</w:t>
      </w:r>
      <w:r w:rsidRPr="007C5004">
        <w:rPr>
          <w:rFonts w:cs="Times New Roman"/>
        </w:rPr>
        <w:t xml:space="preserve"> fiscales accordent </w:t>
      </w:r>
      <w:r>
        <w:rPr>
          <w:rFonts w:cs="Times New Roman"/>
        </w:rPr>
        <w:t xml:space="preserve">à ces organismes </w:t>
      </w:r>
      <w:r w:rsidRPr="007C5004">
        <w:rPr>
          <w:rFonts w:cs="Times New Roman"/>
        </w:rPr>
        <w:t xml:space="preserve">des droits dans le produit d’opérations juridiques variées. </w:t>
      </w:r>
      <w:r>
        <w:rPr>
          <w:rFonts w:cs="Times New Roman"/>
        </w:rPr>
        <w:t>P</w:t>
      </w:r>
      <w:r w:rsidRPr="007C5004">
        <w:rPr>
          <w:rFonts w:cs="Times New Roman"/>
        </w:rPr>
        <w:t xml:space="preserve">ar exemple, </w:t>
      </w:r>
      <w:r>
        <w:rPr>
          <w:rFonts w:cs="Times New Roman"/>
        </w:rPr>
        <w:t>l</w:t>
      </w:r>
      <w:r w:rsidRPr="007C5004">
        <w:rPr>
          <w:rFonts w:cs="Times New Roman"/>
        </w:rPr>
        <w:t xml:space="preserve">e fisc peut devenir cessionnaire d’un ensemble de créances ou titulaire de droits fiduciaires sur </w:t>
      </w:r>
      <w:r>
        <w:rPr>
          <w:rFonts w:cs="Times New Roman"/>
        </w:rPr>
        <w:t>certains</w:t>
      </w:r>
      <w:r w:rsidRPr="007C5004">
        <w:rPr>
          <w:rFonts w:cs="Times New Roman"/>
        </w:rPr>
        <w:t xml:space="preserve"> biens visés par des transactions. </w:t>
      </w:r>
      <w:r>
        <w:rPr>
          <w:rFonts w:cs="Times New Roman"/>
        </w:rPr>
        <w:t>En</w:t>
      </w:r>
      <w:r w:rsidRPr="007C5004">
        <w:rPr>
          <w:rFonts w:cs="Times New Roman"/>
        </w:rPr>
        <w:t xml:space="preserve"> droit civil proprement dit, le fisc peut aussi établir </w:t>
      </w:r>
      <w:r>
        <w:rPr>
          <w:rFonts w:cs="Times New Roman"/>
        </w:rPr>
        <w:t>qu’il y a eu</w:t>
      </w:r>
      <w:r w:rsidRPr="007C5004">
        <w:rPr>
          <w:rFonts w:cs="Times New Roman"/>
        </w:rPr>
        <w:t xml:space="preserve"> simulation </w:t>
      </w:r>
      <w:r>
        <w:rPr>
          <w:rFonts w:cs="Times New Roman"/>
        </w:rPr>
        <w:t>et</w:t>
      </w:r>
      <w:r w:rsidRPr="007C5004">
        <w:rPr>
          <w:rFonts w:cs="Times New Roman"/>
        </w:rPr>
        <w:t xml:space="preserve"> démontrer la nature réelle de transactions qu’il prétend être </w:t>
      </w:r>
      <w:proofErr w:type="gramStart"/>
      <w:r w:rsidRPr="007C5004">
        <w:rPr>
          <w:rFonts w:cs="Times New Roman"/>
        </w:rPr>
        <w:t>factices</w:t>
      </w:r>
      <w:proofErr w:type="gramEnd"/>
      <w:r w:rsidRPr="007C5004">
        <w:rPr>
          <w:rFonts w:cs="Times New Roman"/>
        </w:rPr>
        <w:t>. De plus, les lois fiscales peuvent</w:t>
      </w:r>
      <w:r>
        <w:rPr>
          <w:rFonts w:cs="Times New Roman"/>
        </w:rPr>
        <w:t>,</w:t>
      </w:r>
      <w:r w:rsidRPr="007C5004">
        <w:rPr>
          <w:rFonts w:cs="Times New Roman"/>
        </w:rPr>
        <w:t xml:space="preserve"> pour leurs propres fins,</w:t>
      </w:r>
      <w:r>
        <w:rPr>
          <w:rFonts w:cs="Times New Roman"/>
        </w:rPr>
        <w:t xml:space="preserve"> </w:t>
      </w:r>
      <w:r w:rsidRPr="007C5004">
        <w:rPr>
          <w:rFonts w:cs="Times New Roman"/>
        </w:rPr>
        <w:t xml:space="preserve">requalifier des opérations contractuelles ou économiques en mettant de côté les catégories juridiques établies par la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et le droit civil. Sous réserve</w:t>
      </w:r>
      <w:r>
        <w:rPr>
          <w:rFonts w:cs="Times New Roman"/>
        </w:rPr>
        <w:t xml:space="preserve"> de telles situations</w:t>
      </w:r>
      <w:r w:rsidRPr="007C5004">
        <w:rPr>
          <w:rFonts w:cs="Times New Roman"/>
        </w:rPr>
        <w:t xml:space="preserve">, toutefois, le droit fiscal vise des opérations </w:t>
      </w:r>
      <w:r>
        <w:rPr>
          <w:rFonts w:cs="Times New Roman"/>
        </w:rPr>
        <w:t>régi</w:t>
      </w:r>
      <w:r w:rsidRPr="007C5004">
        <w:rPr>
          <w:rFonts w:cs="Times New Roman"/>
        </w:rPr>
        <w:t xml:space="preserve">es par la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ou le droit civil, </w:t>
      </w:r>
      <w:r>
        <w:rPr>
          <w:rFonts w:cs="Times New Roman"/>
        </w:rPr>
        <w:t>dont les règles</w:t>
      </w:r>
      <w:r w:rsidRPr="007C5004">
        <w:rPr>
          <w:rFonts w:cs="Times New Roman"/>
        </w:rPr>
        <w:t xml:space="preserve"> en déterminent la nature et les conséquences juridiques. </w:t>
      </w:r>
    </w:p>
    <w:p w:rsidR="00B656C1" w:rsidRDefault="00B656C1" w:rsidP="00B656C1">
      <w:pPr>
        <w:pStyle w:val="ParaNoNdepar-AltN"/>
        <w:rPr>
          <w:rFonts w:cs="Times New Roman"/>
        </w:rPr>
      </w:pPr>
      <w:r w:rsidRPr="007C5004">
        <w:rPr>
          <w:rFonts w:cs="Times New Roman"/>
        </w:rPr>
        <w:t xml:space="preserve">Cependant, les parties n’en sont pas </w:t>
      </w:r>
      <w:r>
        <w:rPr>
          <w:rFonts w:cs="Times New Roman"/>
        </w:rPr>
        <w:t xml:space="preserve">encore </w:t>
      </w:r>
      <w:r w:rsidRPr="007C5004">
        <w:rPr>
          <w:rFonts w:cs="Times New Roman"/>
        </w:rPr>
        <w:t>à ces étapes ultérieures d</w:t>
      </w:r>
      <w:r>
        <w:rPr>
          <w:rFonts w:cs="Times New Roman"/>
        </w:rPr>
        <w:t>e leur</w:t>
      </w:r>
      <w:r w:rsidRPr="007C5004">
        <w:rPr>
          <w:rFonts w:cs="Times New Roman"/>
        </w:rPr>
        <w:t xml:space="preserve"> dossier</w:t>
      </w:r>
      <w:r>
        <w:rPr>
          <w:rFonts w:cs="Times New Roman"/>
        </w:rPr>
        <w:t xml:space="preserve"> respectif</w:t>
      </w:r>
      <w:r w:rsidRPr="007C5004">
        <w:rPr>
          <w:rFonts w:cs="Times New Roman"/>
        </w:rPr>
        <w:t xml:space="preserve">. Il faut </w:t>
      </w:r>
      <w:r>
        <w:rPr>
          <w:rFonts w:cs="Times New Roman"/>
        </w:rPr>
        <w:t>donc pour l’instant</w:t>
      </w:r>
      <w:r w:rsidRPr="007C5004">
        <w:rPr>
          <w:rFonts w:cs="Times New Roman"/>
        </w:rPr>
        <w:t xml:space="preserve"> déterminer la nature réelle des opérations effectuées dans</w:t>
      </w:r>
      <w:r>
        <w:rPr>
          <w:rFonts w:cs="Times New Roman"/>
        </w:rPr>
        <w:t xml:space="preserve"> les affaires</w:t>
      </w:r>
      <w:r w:rsidRPr="007C5004">
        <w:rPr>
          <w:rFonts w:cs="Times New Roman"/>
        </w:rPr>
        <w:t xml:space="preserve"> </w:t>
      </w:r>
      <w:r w:rsidRPr="00C61CA1">
        <w:rPr>
          <w:rFonts w:cs="Times New Roman"/>
          <w:i/>
        </w:rPr>
        <w:t>AES</w:t>
      </w:r>
      <w:r w:rsidRPr="007C5004">
        <w:rPr>
          <w:rFonts w:cs="Times New Roman"/>
        </w:rPr>
        <w:t xml:space="preserve"> et </w:t>
      </w:r>
      <w:proofErr w:type="spellStart"/>
      <w:r w:rsidRPr="00C61CA1">
        <w:rPr>
          <w:rFonts w:cs="Times New Roman"/>
          <w:i/>
        </w:rPr>
        <w:t>Riopel</w:t>
      </w:r>
      <w:proofErr w:type="spellEnd"/>
      <w:r w:rsidRPr="007C5004">
        <w:rPr>
          <w:rFonts w:cs="Times New Roman"/>
        </w:rPr>
        <w:t>. Les conséquences fiscales de cette détermination seront</w:t>
      </w:r>
      <w:r>
        <w:rPr>
          <w:rFonts w:cs="Times New Roman"/>
        </w:rPr>
        <w:t>, s’il y a lieu,</w:t>
      </w:r>
      <w:r w:rsidRPr="007C5004">
        <w:rPr>
          <w:rFonts w:cs="Times New Roman"/>
        </w:rPr>
        <w:t xml:space="preserve"> réglées devant un autre </w:t>
      </w:r>
      <w:r>
        <w:rPr>
          <w:rFonts w:cs="Times New Roman"/>
        </w:rPr>
        <w:t>tribunal</w:t>
      </w:r>
      <w:r w:rsidRPr="007C5004">
        <w:rPr>
          <w:rFonts w:cs="Times New Roman"/>
        </w:rPr>
        <w:t>. Notre Cour doit décid</w:t>
      </w:r>
      <w:r>
        <w:rPr>
          <w:rFonts w:cs="Times New Roman"/>
        </w:rPr>
        <w:t>er si les actes juridiques accomplis</w:t>
      </w:r>
      <w:r w:rsidRPr="007C5004">
        <w:rPr>
          <w:rFonts w:cs="Times New Roman"/>
        </w:rPr>
        <w:t xml:space="preserve"> par les parties et qui s</w:t>
      </w:r>
      <w:r>
        <w:rPr>
          <w:rFonts w:cs="Times New Roman"/>
        </w:rPr>
        <w:t xml:space="preserve">ont à l’origine des avis de </w:t>
      </w:r>
      <w:r w:rsidRPr="007C5004">
        <w:rPr>
          <w:rFonts w:cs="Times New Roman"/>
        </w:rPr>
        <w:t xml:space="preserve">cotisation correspondent à l’intention réelle commune des parties et si le fisc a droit au maintien d’une déclaration de volonté erronée. Je </w:t>
      </w:r>
      <w:r>
        <w:rPr>
          <w:rFonts w:cs="Times New Roman"/>
        </w:rPr>
        <w:t>vais</w:t>
      </w:r>
      <w:r w:rsidRPr="007C5004">
        <w:rPr>
          <w:rFonts w:cs="Times New Roman"/>
        </w:rPr>
        <w:t xml:space="preserve"> donc </w:t>
      </w:r>
      <w:r>
        <w:rPr>
          <w:rFonts w:cs="Times New Roman"/>
        </w:rPr>
        <w:t xml:space="preserve">me pencher sur le </w:t>
      </w:r>
      <w:r w:rsidRPr="007C5004">
        <w:rPr>
          <w:rFonts w:cs="Times New Roman"/>
        </w:rPr>
        <w:t xml:space="preserve">droit des intimés de modifier </w:t>
      </w:r>
      <w:r>
        <w:rPr>
          <w:rFonts w:cs="Times New Roman"/>
        </w:rPr>
        <w:t xml:space="preserve">ou de faire corriger </w:t>
      </w:r>
      <w:r w:rsidRPr="007C5004">
        <w:rPr>
          <w:rFonts w:cs="Times New Roman"/>
        </w:rPr>
        <w:t xml:space="preserve">les actes </w:t>
      </w:r>
      <w:r>
        <w:rPr>
          <w:rFonts w:cs="Times New Roman"/>
        </w:rPr>
        <w:t xml:space="preserve">et documents </w:t>
      </w:r>
      <w:r w:rsidRPr="007C5004">
        <w:rPr>
          <w:rFonts w:cs="Times New Roman"/>
        </w:rPr>
        <w:t xml:space="preserve">exprimant leur volonté </w:t>
      </w:r>
      <w:r>
        <w:rPr>
          <w:rFonts w:cs="Times New Roman"/>
        </w:rPr>
        <w:t>commune, et d’obtenir la reconnaissance de ceux-ci</w:t>
      </w:r>
      <w:r w:rsidRPr="007C5004">
        <w:rPr>
          <w:rFonts w:cs="Times New Roman"/>
        </w:rPr>
        <w:t>.</w:t>
      </w:r>
    </w:p>
    <w:p w:rsidR="00B656C1" w:rsidRPr="007C5004" w:rsidRDefault="00B656C1" w:rsidP="00B656C1">
      <w:pPr>
        <w:pStyle w:val="ParaNoNdepar-AltN"/>
        <w:numPr>
          <w:ilvl w:val="0"/>
          <w:numId w:val="0"/>
        </w:numPr>
        <w:rPr>
          <w:rFonts w:cs="Times New Roman"/>
        </w:rPr>
      </w:pPr>
    </w:p>
    <w:p w:rsidR="00B656C1" w:rsidRPr="007C5004" w:rsidRDefault="00B656C1" w:rsidP="00B656C1">
      <w:pPr>
        <w:pStyle w:val="TitleTitre-AltT"/>
        <w:tabs>
          <w:tab w:val="clear" w:pos="360"/>
          <w:tab w:val="left" w:pos="540"/>
        </w:tabs>
        <w:ind w:left="547" w:hanging="547"/>
        <w:rPr>
          <w:rFonts w:cs="Times New Roman"/>
        </w:rPr>
      </w:pPr>
      <w:r w:rsidRPr="007C5004">
        <w:rPr>
          <w:rFonts w:cs="Times New Roman"/>
        </w:rPr>
        <w:t>F.</w:t>
      </w:r>
      <w:r w:rsidRPr="007C5004">
        <w:rPr>
          <w:rFonts w:cs="Times New Roman"/>
        </w:rPr>
        <w:tab/>
      </w:r>
      <w:r w:rsidRPr="007C5004">
        <w:rPr>
          <w:rFonts w:cs="Times New Roman"/>
          <w:i/>
        </w:rPr>
        <w:t>La validité de la modification des actes</w:t>
      </w:r>
    </w:p>
    <w:p w:rsidR="00B656C1" w:rsidRPr="007C5004" w:rsidRDefault="00B656C1" w:rsidP="00B656C1">
      <w:pPr>
        <w:pStyle w:val="ParaNoNdepar-AltN"/>
        <w:rPr>
          <w:rFonts w:cs="Times New Roman"/>
        </w:rPr>
      </w:pPr>
      <w:r w:rsidRPr="007C5004">
        <w:rPr>
          <w:rFonts w:cs="Times New Roman"/>
        </w:rPr>
        <w:t xml:space="preserve">L’ARQ a contesté avec vigueur la possibilité </w:t>
      </w:r>
      <w:r>
        <w:rPr>
          <w:rFonts w:cs="Times New Roman"/>
        </w:rPr>
        <w:t>dont disposeraient l</w:t>
      </w:r>
      <w:r w:rsidRPr="007C5004">
        <w:rPr>
          <w:rFonts w:cs="Times New Roman"/>
        </w:rPr>
        <w:t>es intimés</w:t>
      </w:r>
      <w:r>
        <w:rPr>
          <w:rFonts w:cs="Times New Roman"/>
        </w:rPr>
        <w:t>,</w:t>
      </w:r>
      <w:r w:rsidRPr="007C5004">
        <w:rPr>
          <w:rFonts w:cs="Times New Roman"/>
        </w:rPr>
        <w:t xml:space="preserve"> en droit québécois</w:t>
      </w:r>
      <w:r>
        <w:rPr>
          <w:rFonts w:cs="Times New Roman"/>
        </w:rPr>
        <w:t>,</w:t>
      </w:r>
      <w:r w:rsidRPr="007C5004">
        <w:rPr>
          <w:rFonts w:cs="Times New Roman"/>
        </w:rPr>
        <w:t xml:space="preserve"> de modifier les </w:t>
      </w:r>
      <w:r>
        <w:rPr>
          <w:rFonts w:cs="Times New Roman"/>
        </w:rPr>
        <w:t>documents</w:t>
      </w:r>
      <w:r w:rsidRPr="007C5004">
        <w:rPr>
          <w:rFonts w:cs="Times New Roman"/>
        </w:rPr>
        <w:t xml:space="preserve"> relatifs </w:t>
      </w:r>
      <w:r>
        <w:rPr>
          <w:rFonts w:cs="Times New Roman"/>
        </w:rPr>
        <w:t>à leurs</w:t>
      </w:r>
      <w:r w:rsidRPr="007C5004">
        <w:rPr>
          <w:rFonts w:cs="Times New Roman"/>
        </w:rPr>
        <w:t xml:space="preserve"> planifications fiscales. Deux moyens ressortent principalement de son argumentation. </w:t>
      </w:r>
      <w:r>
        <w:rPr>
          <w:rFonts w:cs="Times New Roman"/>
        </w:rPr>
        <w:t>En premier lieu</w:t>
      </w:r>
      <w:r w:rsidRPr="007C5004">
        <w:rPr>
          <w:rFonts w:cs="Times New Roman"/>
        </w:rPr>
        <w:t xml:space="preserve">, il n’y avait pas lieu </w:t>
      </w:r>
      <w:r>
        <w:rPr>
          <w:rFonts w:cs="Times New Roman"/>
        </w:rPr>
        <w:t>pour les tribunaux d’</w:t>
      </w:r>
      <w:r w:rsidRPr="007C5004">
        <w:rPr>
          <w:rFonts w:cs="Times New Roman"/>
        </w:rPr>
        <w:t>interprét</w:t>
      </w:r>
      <w:r>
        <w:rPr>
          <w:rFonts w:cs="Times New Roman"/>
        </w:rPr>
        <w:t>er</w:t>
      </w:r>
      <w:r w:rsidRPr="007C5004">
        <w:rPr>
          <w:rFonts w:cs="Times New Roman"/>
        </w:rPr>
        <w:t xml:space="preserve"> des </w:t>
      </w:r>
      <w:r>
        <w:rPr>
          <w:rFonts w:cs="Times New Roman"/>
        </w:rPr>
        <w:t>documents</w:t>
      </w:r>
      <w:r w:rsidRPr="007C5004">
        <w:rPr>
          <w:rFonts w:cs="Times New Roman"/>
        </w:rPr>
        <w:t xml:space="preserve"> qui étaient clairs et ne comportaient aucune ambiguïté. Les tribunaux ne pouvaient intervenir pour corriger </w:t>
      </w:r>
      <w:r>
        <w:rPr>
          <w:rFonts w:cs="Times New Roman"/>
        </w:rPr>
        <w:t>ces actes en vertu</w:t>
      </w:r>
      <w:r w:rsidRPr="007C5004">
        <w:rPr>
          <w:rFonts w:cs="Times New Roman"/>
        </w:rPr>
        <w:t xml:space="preserve"> du pouvoir d’interprétation </w:t>
      </w:r>
      <w:r>
        <w:rPr>
          <w:rFonts w:cs="Times New Roman"/>
        </w:rPr>
        <w:t xml:space="preserve">que leur </w:t>
      </w:r>
      <w:r w:rsidRPr="007C5004">
        <w:rPr>
          <w:rFonts w:cs="Times New Roman"/>
        </w:rPr>
        <w:t>recon</w:t>
      </w:r>
      <w:r>
        <w:rPr>
          <w:rFonts w:cs="Times New Roman"/>
        </w:rPr>
        <w:t>naît</w:t>
      </w:r>
      <w:r w:rsidRPr="007C5004">
        <w:rPr>
          <w:rFonts w:cs="Times New Roman"/>
        </w:rPr>
        <w:t xml:space="preserve"> l’art</w:t>
      </w:r>
      <w:r>
        <w:rPr>
          <w:rFonts w:cs="Times New Roman"/>
        </w:rPr>
        <w:t>. </w:t>
      </w:r>
      <w:r w:rsidRPr="007C5004">
        <w:rPr>
          <w:rFonts w:cs="Times New Roman"/>
        </w:rPr>
        <w:t xml:space="preserve">1425 </w:t>
      </w:r>
      <w:proofErr w:type="spellStart"/>
      <w:r w:rsidRPr="007C5004">
        <w:rPr>
          <w:rFonts w:cs="Times New Roman"/>
          <w:i/>
        </w:rPr>
        <w:t>C.c.Q</w:t>
      </w:r>
      <w:proofErr w:type="spellEnd"/>
      <w:r w:rsidRPr="007C5004">
        <w:rPr>
          <w:rFonts w:cs="Times New Roman"/>
        </w:rPr>
        <w:t xml:space="preserve">. En second lieu, s’il </w:t>
      </w:r>
      <w:r>
        <w:rPr>
          <w:rFonts w:cs="Times New Roman"/>
        </w:rPr>
        <w:t>existait</w:t>
      </w:r>
      <w:r w:rsidRPr="007C5004">
        <w:rPr>
          <w:rFonts w:cs="Times New Roman"/>
        </w:rPr>
        <w:t xml:space="preserve"> une erreur, elle aurait dû constituer la base d’un recours en annulation, non d’une tentative de correction des actes.</w:t>
      </w:r>
    </w:p>
    <w:p w:rsidR="00B656C1" w:rsidRPr="007C5004" w:rsidRDefault="00B656C1" w:rsidP="00B656C1">
      <w:pPr>
        <w:pStyle w:val="ParaNoNdepar-AltN"/>
        <w:rPr>
          <w:rFonts w:cs="Times New Roman"/>
        </w:rPr>
      </w:pPr>
      <w:r w:rsidRPr="007C5004">
        <w:rPr>
          <w:rFonts w:cs="Times New Roman"/>
        </w:rPr>
        <w:t>Dans le contexte de la mise en œuvre de l’art</w:t>
      </w:r>
      <w:r>
        <w:rPr>
          <w:rFonts w:cs="Times New Roman"/>
        </w:rPr>
        <w:t>.</w:t>
      </w:r>
      <w:r w:rsidRPr="007C5004">
        <w:rPr>
          <w:rFonts w:cs="Times New Roman"/>
        </w:rPr>
        <w:t xml:space="preserve"> 1425 </w:t>
      </w:r>
      <w:r w:rsidRPr="007C5004">
        <w:rPr>
          <w:rFonts w:cs="Times New Roman"/>
          <w:i/>
        </w:rPr>
        <w:t>C.c.Q.</w:t>
      </w:r>
      <w:r w:rsidRPr="007C5004">
        <w:rPr>
          <w:rFonts w:cs="Times New Roman"/>
        </w:rPr>
        <w:t xml:space="preserve">, </w:t>
      </w:r>
      <w:r>
        <w:rPr>
          <w:rFonts w:cs="Times New Roman"/>
        </w:rPr>
        <w:t>à l’instar de</w:t>
      </w:r>
      <w:r w:rsidRPr="007C5004">
        <w:rPr>
          <w:rFonts w:cs="Times New Roman"/>
        </w:rPr>
        <w:t xml:space="preserve"> la Cour d’appel, je reconnais que </w:t>
      </w:r>
      <w:r>
        <w:rPr>
          <w:rFonts w:cs="Times New Roman"/>
        </w:rPr>
        <w:t>la</w:t>
      </w:r>
      <w:r w:rsidRPr="007C5004">
        <w:rPr>
          <w:rFonts w:cs="Times New Roman"/>
        </w:rPr>
        <w:t xml:space="preserve"> recherche de l’intention</w:t>
      </w:r>
      <w:r>
        <w:rPr>
          <w:rFonts w:cs="Times New Roman"/>
        </w:rPr>
        <w:t xml:space="preserve"> ou volonté</w:t>
      </w:r>
      <w:r w:rsidRPr="007C5004">
        <w:rPr>
          <w:rFonts w:cs="Times New Roman"/>
        </w:rPr>
        <w:t xml:space="preserve"> commune des parties </w:t>
      </w:r>
      <w:r>
        <w:rPr>
          <w:rFonts w:cs="Times New Roman"/>
        </w:rPr>
        <w:t xml:space="preserve">représente </w:t>
      </w:r>
      <w:r w:rsidRPr="007C5004">
        <w:rPr>
          <w:rFonts w:cs="Times New Roman"/>
        </w:rPr>
        <w:t xml:space="preserve">une véritable opération d’interprétation. La divergence </w:t>
      </w:r>
      <w:r>
        <w:rPr>
          <w:rFonts w:cs="Times New Roman"/>
        </w:rPr>
        <w:t>révélée</w:t>
      </w:r>
      <w:r w:rsidRPr="007C5004">
        <w:rPr>
          <w:rFonts w:cs="Times New Roman"/>
        </w:rPr>
        <w:t xml:space="preserve"> par la preuve entre la volonté commune des parties et l’expression de cette volonté </w:t>
      </w:r>
      <w:r>
        <w:rPr>
          <w:rFonts w:cs="Times New Roman"/>
        </w:rPr>
        <w:t xml:space="preserve">— </w:t>
      </w:r>
      <w:r w:rsidRPr="007C5004">
        <w:rPr>
          <w:rFonts w:cs="Times New Roman"/>
        </w:rPr>
        <w:t xml:space="preserve">ou volonté déclarée </w:t>
      </w:r>
      <w:r>
        <w:rPr>
          <w:rFonts w:cs="Times New Roman"/>
        </w:rPr>
        <w:t xml:space="preserve">— </w:t>
      </w:r>
      <w:r w:rsidRPr="007C5004">
        <w:rPr>
          <w:rFonts w:cs="Times New Roman"/>
        </w:rPr>
        <w:t xml:space="preserve">soulève en elle-même un problème d’interprétation. Il faut déterminer quelle est l’intention des parties et où </w:t>
      </w:r>
      <w:r>
        <w:rPr>
          <w:rFonts w:cs="Times New Roman"/>
        </w:rPr>
        <w:t>elle se</w:t>
      </w:r>
      <w:r w:rsidRPr="007C5004">
        <w:rPr>
          <w:rFonts w:cs="Times New Roman"/>
        </w:rPr>
        <w:t xml:space="preserve"> trouve, dans l’échange </w:t>
      </w:r>
      <w:r>
        <w:rPr>
          <w:rFonts w:cs="Times New Roman"/>
        </w:rPr>
        <w:t xml:space="preserve">initial </w:t>
      </w:r>
      <w:r w:rsidRPr="007C5004">
        <w:rPr>
          <w:rFonts w:cs="Times New Roman"/>
        </w:rPr>
        <w:t>des consentements ou dans son expression</w:t>
      </w:r>
      <w:r>
        <w:rPr>
          <w:rFonts w:cs="Times New Roman"/>
        </w:rPr>
        <w:t xml:space="preserve"> écrite</w:t>
      </w:r>
      <w:r w:rsidRPr="007C5004">
        <w:rPr>
          <w:rFonts w:cs="Times New Roman"/>
        </w:rPr>
        <w:t>. Le tribunal doit résoudre cette divergence</w:t>
      </w:r>
      <w:r>
        <w:rPr>
          <w:rFonts w:cs="Times New Roman"/>
        </w:rPr>
        <w:t xml:space="preserve"> et</w:t>
      </w:r>
      <w:r w:rsidRPr="007C5004">
        <w:rPr>
          <w:rFonts w:cs="Times New Roman"/>
        </w:rPr>
        <w:t xml:space="preserve"> </w:t>
      </w:r>
      <w:r>
        <w:rPr>
          <w:rFonts w:cs="Times New Roman"/>
        </w:rPr>
        <w:t>l</w:t>
      </w:r>
      <w:r w:rsidRPr="007C5004">
        <w:rPr>
          <w:rFonts w:cs="Times New Roman"/>
        </w:rPr>
        <w:t>’art</w:t>
      </w:r>
      <w:r>
        <w:rPr>
          <w:rFonts w:cs="Times New Roman"/>
        </w:rPr>
        <w:t>.</w:t>
      </w:r>
      <w:r w:rsidRPr="007C5004">
        <w:rPr>
          <w:rFonts w:cs="Times New Roman"/>
        </w:rPr>
        <w:t xml:space="preserve"> 1425 </w:t>
      </w:r>
      <w:r>
        <w:rPr>
          <w:rFonts w:cs="Times New Roman"/>
        </w:rPr>
        <w:t xml:space="preserve">lui </w:t>
      </w:r>
      <w:r w:rsidRPr="007C5004">
        <w:rPr>
          <w:rFonts w:cs="Times New Roman"/>
        </w:rPr>
        <w:t xml:space="preserve">permet non seulement de rechercher quelle est l’intention </w:t>
      </w:r>
      <w:r>
        <w:rPr>
          <w:rFonts w:cs="Times New Roman"/>
        </w:rPr>
        <w:t xml:space="preserve">des parties </w:t>
      </w:r>
      <w:r w:rsidRPr="007C5004">
        <w:rPr>
          <w:rFonts w:cs="Times New Roman"/>
        </w:rPr>
        <w:t xml:space="preserve">mais </w:t>
      </w:r>
      <w:r>
        <w:rPr>
          <w:rFonts w:cs="Times New Roman"/>
        </w:rPr>
        <w:t xml:space="preserve">également </w:t>
      </w:r>
      <w:r w:rsidRPr="007C5004">
        <w:rPr>
          <w:rFonts w:cs="Times New Roman"/>
        </w:rPr>
        <w:t xml:space="preserve">où elle </w:t>
      </w:r>
      <w:r>
        <w:rPr>
          <w:rFonts w:cs="Times New Roman"/>
        </w:rPr>
        <w:t>réside</w:t>
      </w:r>
      <w:r w:rsidRPr="007C5004">
        <w:rPr>
          <w:rFonts w:cs="Times New Roman"/>
        </w:rPr>
        <w:t xml:space="preserve">. Fréquemment, il s’agira de </w:t>
      </w:r>
      <w:r>
        <w:rPr>
          <w:rFonts w:cs="Times New Roman"/>
        </w:rPr>
        <w:t>dégager,</w:t>
      </w:r>
      <w:r w:rsidRPr="007C5004">
        <w:rPr>
          <w:rFonts w:cs="Times New Roman"/>
        </w:rPr>
        <w:t xml:space="preserve"> grâce à l’emploi de </w:t>
      </w:r>
      <w:r>
        <w:rPr>
          <w:rFonts w:cs="Times New Roman"/>
        </w:rPr>
        <w:t xml:space="preserve">diverses </w:t>
      </w:r>
      <w:r w:rsidRPr="007C5004">
        <w:rPr>
          <w:rFonts w:cs="Times New Roman"/>
        </w:rPr>
        <w:t xml:space="preserve">techniques </w:t>
      </w:r>
      <w:r>
        <w:rPr>
          <w:rFonts w:cs="Times New Roman"/>
        </w:rPr>
        <w:t xml:space="preserve">d’interprétation, </w:t>
      </w:r>
      <w:r w:rsidRPr="007C5004">
        <w:rPr>
          <w:rFonts w:cs="Times New Roman"/>
        </w:rPr>
        <w:t xml:space="preserve">la signification de mots ou d’expressions dans un acte </w:t>
      </w:r>
      <w:r>
        <w:rPr>
          <w:rFonts w:cs="Times New Roman"/>
        </w:rPr>
        <w:t>afin, au besoin, de</w:t>
      </w:r>
      <w:r w:rsidRPr="007C5004">
        <w:rPr>
          <w:rFonts w:cs="Times New Roman"/>
        </w:rPr>
        <w:t xml:space="preserve"> combler des vides</w:t>
      </w:r>
      <w:r>
        <w:rPr>
          <w:rFonts w:cs="Times New Roman"/>
        </w:rPr>
        <w:t xml:space="preserve"> dans le texte</w:t>
      </w:r>
      <w:r w:rsidRPr="007C5004">
        <w:rPr>
          <w:rFonts w:cs="Times New Roman"/>
        </w:rPr>
        <w:t xml:space="preserve"> ou </w:t>
      </w:r>
      <w:r>
        <w:rPr>
          <w:rFonts w:cs="Times New Roman"/>
        </w:rPr>
        <w:t xml:space="preserve">de </w:t>
      </w:r>
      <w:r w:rsidRPr="007C5004">
        <w:rPr>
          <w:rFonts w:cs="Times New Roman"/>
        </w:rPr>
        <w:t xml:space="preserve">retrouver </w:t>
      </w:r>
      <w:r>
        <w:rPr>
          <w:rFonts w:cs="Times New Roman"/>
        </w:rPr>
        <w:t xml:space="preserve">dans celui-ci </w:t>
      </w:r>
      <w:r w:rsidRPr="007C5004">
        <w:rPr>
          <w:rFonts w:cs="Times New Roman"/>
        </w:rPr>
        <w:t>des contenus parfois bien dissimulés.</w:t>
      </w:r>
    </w:p>
    <w:p w:rsidR="00B656C1" w:rsidRPr="007C5004" w:rsidRDefault="00B656C1" w:rsidP="00B656C1">
      <w:pPr>
        <w:pStyle w:val="ParaNoNdepar-AltN"/>
        <w:rPr>
          <w:rFonts w:cs="Times New Roman"/>
        </w:rPr>
      </w:pPr>
      <w:r w:rsidRPr="007C5004">
        <w:rPr>
          <w:rFonts w:cs="Times New Roman"/>
        </w:rPr>
        <w:t>Dans ces deux appels, la recherche d</w:t>
      </w:r>
      <w:r>
        <w:rPr>
          <w:rFonts w:cs="Times New Roman"/>
        </w:rPr>
        <w:t>u</w:t>
      </w:r>
      <w:r w:rsidRPr="007C5004">
        <w:rPr>
          <w:rFonts w:cs="Times New Roman"/>
        </w:rPr>
        <w:t xml:space="preserve"> sens </w:t>
      </w:r>
      <w:r>
        <w:rPr>
          <w:rFonts w:cs="Times New Roman"/>
        </w:rPr>
        <w:t>remonte à</w:t>
      </w:r>
      <w:r w:rsidRPr="007C5004">
        <w:rPr>
          <w:rFonts w:cs="Times New Roman"/>
        </w:rPr>
        <w:t xml:space="preserve"> la racine de l’obligation. Que</w:t>
      </w:r>
      <w:r>
        <w:rPr>
          <w:rFonts w:cs="Times New Roman"/>
        </w:rPr>
        <w:t>lle intention</w:t>
      </w:r>
      <w:r w:rsidRPr="007C5004">
        <w:rPr>
          <w:rFonts w:cs="Times New Roman"/>
        </w:rPr>
        <w:t xml:space="preserve"> faut-il choisir</w:t>
      </w:r>
      <w:r>
        <w:rPr>
          <w:rFonts w:cs="Times New Roman"/>
        </w:rPr>
        <w:t> :</w:t>
      </w:r>
      <w:r w:rsidRPr="007C5004">
        <w:rPr>
          <w:rFonts w:cs="Times New Roman"/>
        </w:rPr>
        <w:t xml:space="preserve"> </w:t>
      </w:r>
      <w:r>
        <w:rPr>
          <w:rFonts w:cs="Times New Roman"/>
        </w:rPr>
        <w:t>l</w:t>
      </w:r>
      <w:r w:rsidRPr="007C5004">
        <w:rPr>
          <w:rFonts w:cs="Times New Roman"/>
        </w:rPr>
        <w:t xml:space="preserve">’intention commune </w:t>
      </w:r>
      <w:r>
        <w:rPr>
          <w:rFonts w:cs="Times New Roman"/>
        </w:rPr>
        <w:t>établie par la preuve</w:t>
      </w:r>
      <w:r w:rsidRPr="007C5004">
        <w:rPr>
          <w:rFonts w:cs="Times New Roman"/>
        </w:rPr>
        <w:t xml:space="preserve"> ou l’intention ressortant de l’acte apparent? </w:t>
      </w:r>
      <w:r>
        <w:rPr>
          <w:rFonts w:cs="Times New Roman"/>
        </w:rPr>
        <w:t>Bien que l</w:t>
      </w:r>
      <w:r w:rsidRPr="007C5004">
        <w:rPr>
          <w:rFonts w:cs="Times New Roman"/>
        </w:rPr>
        <w:t>’opération d’interprétation se r</w:t>
      </w:r>
      <w:r>
        <w:rPr>
          <w:rFonts w:cs="Times New Roman"/>
        </w:rPr>
        <w:t>ésume</w:t>
      </w:r>
      <w:r w:rsidRPr="007C5004">
        <w:rPr>
          <w:rFonts w:cs="Times New Roman"/>
        </w:rPr>
        <w:t xml:space="preserve"> ici à ce choix fondamental, </w:t>
      </w:r>
      <w:r>
        <w:rPr>
          <w:rFonts w:cs="Times New Roman"/>
        </w:rPr>
        <w:t xml:space="preserve">elle demeure néanmoins </w:t>
      </w:r>
      <w:r w:rsidRPr="007C5004">
        <w:rPr>
          <w:rFonts w:cs="Times New Roman"/>
        </w:rPr>
        <w:t>une recherche d’intention selon l’art</w:t>
      </w:r>
      <w:r>
        <w:rPr>
          <w:rFonts w:cs="Times New Roman"/>
        </w:rPr>
        <w:t>.</w:t>
      </w:r>
      <w:r w:rsidRPr="007C5004">
        <w:rPr>
          <w:rFonts w:cs="Times New Roman"/>
        </w:rPr>
        <w:t xml:space="preserve"> 1425 </w:t>
      </w:r>
      <w:proofErr w:type="spellStart"/>
      <w:r w:rsidRPr="007C5004">
        <w:rPr>
          <w:rFonts w:cs="Times New Roman"/>
          <w:i/>
        </w:rPr>
        <w:t>C.c.Q</w:t>
      </w:r>
      <w:proofErr w:type="spellEnd"/>
      <w:r w:rsidRPr="007C5004">
        <w:rPr>
          <w:rFonts w:cs="Times New Roman"/>
          <w:i/>
        </w:rPr>
        <w:t xml:space="preserve">. </w:t>
      </w:r>
      <w:r w:rsidRPr="007C5004">
        <w:rPr>
          <w:rFonts w:cs="Times New Roman"/>
        </w:rPr>
        <w:t>(F. Gendron,</w:t>
      </w:r>
      <w:r w:rsidRPr="007C5004">
        <w:rPr>
          <w:rFonts w:cs="Times New Roman"/>
          <w:i/>
        </w:rPr>
        <w:t xml:space="preserve"> L’interprétation des contrats</w:t>
      </w:r>
      <w:r>
        <w:rPr>
          <w:rFonts w:cs="Times New Roman"/>
          <w:i/>
        </w:rPr>
        <w:t xml:space="preserve"> </w:t>
      </w:r>
      <w:r>
        <w:rPr>
          <w:rFonts w:cs="Times New Roman"/>
        </w:rPr>
        <w:t>(2002)</w:t>
      </w:r>
      <w:r w:rsidRPr="007C5004">
        <w:rPr>
          <w:rFonts w:cs="Times New Roman"/>
        </w:rPr>
        <w:t>,</w:t>
      </w:r>
      <w:r w:rsidRPr="007C5004">
        <w:rPr>
          <w:rFonts w:cs="Times New Roman"/>
          <w:i/>
        </w:rPr>
        <w:t xml:space="preserve"> </w:t>
      </w:r>
      <w:r w:rsidRPr="007C5004">
        <w:rPr>
          <w:rFonts w:cs="Times New Roman"/>
        </w:rPr>
        <w:t>p. 31)</w:t>
      </w:r>
      <w:r w:rsidRPr="007C5004">
        <w:rPr>
          <w:rFonts w:cs="Times New Roman"/>
          <w:i/>
        </w:rPr>
        <w:t>.</w:t>
      </w:r>
      <w:r w:rsidRPr="007C5004">
        <w:rPr>
          <w:rFonts w:cs="Times New Roman"/>
        </w:rPr>
        <w:t xml:space="preserve"> La situation </w:t>
      </w:r>
      <w:r>
        <w:rPr>
          <w:rFonts w:cs="Times New Roman"/>
        </w:rPr>
        <w:t>résultant de</w:t>
      </w:r>
      <w:r w:rsidRPr="007C5004">
        <w:rPr>
          <w:rFonts w:cs="Times New Roman"/>
        </w:rPr>
        <w:t xml:space="preserve"> la preuve </w:t>
      </w:r>
      <w:r>
        <w:rPr>
          <w:rFonts w:cs="Times New Roman"/>
        </w:rPr>
        <w:t xml:space="preserve">qui existe en l’espèce revêt une </w:t>
      </w:r>
      <w:r w:rsidRPr="007C5004">
        <w:rPr>
          <w:rFonts w:cs="Times New Roman"/>
        </w:rPr>
        <w:t xml:space="preserve">importance critique pour effectuer </w:t>
      </w:r>
      <w:r>
        <w:rPr>
          <w:rFonts w:cs="Times New Roman"/>
        </w:rPr>
        <w:t>ce</w:t>
      </w:r>
      <w:r w:rsidRPr="007C5004">
        <w:rPr>
          <w:rFonts w:cs="Times New Roman"/>
        </w:rPr>
        <w:t xml:space="preserve"> choix. En effet, </w:t>
      </w:r>
      <w:r>
        <w:rPr>
          <w:rFonts w:cs="Times New Roman"/>
        </w:rPr>
        <w:t>s’il y avait eu</w:t>
      </w:r>
      <w:r w:rsidRPr="007C5004">
        <w:rPr>
          <w:rFonts w:cs="Times New Roman"/>
        </w:rPr>
        <w:t xml:space="preserve"> conflit entre les parties sur la nature de </w:t>
      </w:r>
      <w:r>
        <w:rPr>
          <w:rFonts w:cs="Times New Roman"/>
        </w:rPr>
        <w:t>l’</w:t>
      </w:r>
      <w:r w:rsidRPr="007C5004">
        <w:rPr>
          <w:rFonts w:cs="Times New Roman"/>
        </w:rPr>
        <w:t xml:space="preserve">intention ou si des tiers avaient acquis des droits à l’égard de la situation juridique constituée par les actes, le droit de la preuve civile aurait créé </w:t>
      </w:r>
      <w:r>
        <w:rPr>
          <w:rFonts w:cs="Times New Roman"/>
        </w:rPr>
        <w:t>certain</w:t>
      </w:r>
      <w:r w:rsidRPr="007C5004">
        <w:rPr>
          <w:rFonts w:cs="Times New Roman"/>
        </w:rPr>
        <w:t xml:space="preserve">s obstacles à cette opération d’interprétation. </w:t>
      </w:r>
      <w:r>
        <w:rPr>
          <w:rFonts w:cs="Times New Roman"/>
        </w:rPr>
        <w:t>Rappelons par exemple que l</w:t>
      </w:r>
      <w:r w:rsidRPr="007C5004">
        <w:rPr>
          <w:rFonts w:cs="Times New Roman"/>
        </w:rPr>
        <w:t xml:space="preserve">’acte authentique et l’écrit </w:t>
      </w:r>
      <w:r>
        <w:rPr>
          <w:rFonts w:cs="Times New Roman"/>
        </w:rPr>
        <w:t xml:space="preserve">sous </w:t>
      </w:r>
      <w:r w:rsidRPr="007C5004">
        <w:rPr>
          <w:rFonts w:cs="Times New Roman"/>
        </w:rPr>
        <w:t>seing privé font preuve de leur contenu (art</w:t>
      </w:r>
      <w:r>
        <w:rPr>
          <w:rFonts w:cs="Times New Roman"/>
        </w:rPr>
        <w:t>.</w:t>
      </w:r>
      <w:r w:rsidRPr="007C5004">
        <w:rPr>
          <w:rFonts w:cs="Times New Roman"/>
        </w:rPr>
        <w:t xml:space="preserve"> 2818 et 2829 </w:t>
      </w:r>
      <w:proofErr w:type="spellStart"/>
      <w:r w:rsidRPr="007C5004">
        <w:rPr>
          <w:rFonts w:cs="Times New Roman"/>
          <w:i/>
        </w:rPr>
        <w:t>C.c.Q</w:t>
      </w:r>
      <w:proofErr w:type="spellEnd"/>
      <w:r w:rsidRPr="007C5004">
        <w:rPr>
          <w:rFonts w:cs="Times New Roman"/>
          <w:i/>
        </w:rPr>
        <w:t>.</w:t>
      </w:r>
      <w:r w:rsidRPr="00C61CA1">
        <w:rPr>
          <w:rFonts w:cs="Times New Roman"/>
        </w:rPr>
        <w:t>)</w:t>
      </w:r>
      <w:r w:rsidRPr="007C5004">
        <w:rPr>
          <w:rFonts w:cs="Times New Roman"/>
          <w:i/>
        </w:rPr>
        <w:t>.</w:t>
      </w:r>
      <w:r w:rsidRPr="007C5004">
        <w:rPr>
          <w:rFonts w:cs="Times New Roman"/>
        </w:rPr>
        <w:t xml:space="preserve"> </w:t>
      </w:r>
      <w:r>
        <w:rPr>
          <w:rFonts w:cs="Times New Roman"/>
        </w:rPr>
        <w:t>En outre, l</w:t>
      </w:r>
      <w:r w:rsidRPr="007C5004">
        <w:rPr>
          <w:rFonts w:cs="Times New Roman"/>
        </w:rPr>
        <w:t xml:space="preserve">es impératifs de sécurité et de stabilité des transactions et </w:t>
      </w:r>
      <w:r>
        <w:rPr>
          <w:rFonts w:cs="Times New Roman"/>
        </w:rPr>
        <w:t xml:space="preserve">ceux </w:t>
      </w:r>
      <w:r w:rsidRPr="007C5004">
        <w:rPr>
          <w:rFonts w:cs="Times New Roman"/>
        </w:rPr>
        <w:t xml:space="preserve">de protection des droits des tiers justifient d’ailleurs cette </w:t>
      </w:r>
      <w:r>
        <w:rPr>
          <w:rFonts w:cs="Times New Roman"/>
        </w:rPr>
        <w:t xml:space="preserve">approche prudente dictée par le </w:t>
      </w:r>
      <w:r w:rsidRPr="007C5004">
        <w:rPr>
          <w:rFonts w:cs="Times New Roman"/>
        </w:rPr>
        <w:t>droit de la preuve lorsqu’il s’agit de contredire un écrit ou d’en modifier les termes (</w:t>
      </w:r>
      <w:proofErr w:type="spellStart"/>
      <w:r w:rsidRPr="007C5004">
        <w:rPr>
          <w:rFonts w:cs="Times New Roman"/>
          <w:i/>
        </w:rPr>
        <w:t>Sobeys</w:t>
      </w:r>
      <w:proofErr w:type="spellEnd"/>
      <w:r w:rsidRPr="007C5004">
        <w:rPr>
          <w:rFonts w:cs="Times New Roman"/>
          <w:i/>
        </w:rPr>
        <w:t xml:space="preserve"> Qué</w:t>
      </w:r>
      <w:r>
        <w:rPr>
          <w:rFonts w:cs="Times New Roman"/>
          <w:i/>
        </w:rPr>
        <w:t xml:space="preserve">bec </w:t>
      </w:r>
      <w:proofErr w:type="spellStart"/>
      <w:r>
        <w:rPr>
          <w:rFonts w:cs="Times New Roman"/>
          <w:i/>
        </w:rPr>
        <w:t>i</w:t>
      </w:r>
      <w:r w:rsidRPr="007C5004">
        <w:rPr>
          <w:rFonts w:cs="Times New Roman"/>
          <w:i/>
        </w:rPr>
        <w:t>nc.</w:t>
      </w:r>
      <w:proofErr w:type="spellEnd"/>
      <w:r w:rsidRPr="007C5004">
        <w:rPr>
          <w:rFonts w:cs="Times New Roman"/>
          <w:i/>
        </w:rPr>
        <w:t xml:space="preserve"> c. </w:t>
      </w:r>
      <w:r>
        <w:rPr>
          <w:rFonts w:cs="Times New Roman"/>
          <w:i/>
        </w:rPr>
        <w:t>Coopérative des c</w:t>
      </w:r>
      <w:r w:rsidRPr="007C5004">
        <w:rPr>
          <w:rFonts w:cs="Times New Roman"/>
          <w:i/>
        </w:rPr>
        <w:t>onsommateurs de S</w:t>
      </w:r>
      <w:r>
        <w:rPr>
          <w:rFonts w:cs="Times New Roman"/>
          <w:i/>
        </w:rPr>
        <w:t>ain</w:t>
      </w:r>
      <w:r w:rsidRPr="007C5004">
        <w:rPr>
          <w:rFonts w:cs="Times New Roman"/>
          <w:i/>
        </w:rPr>
        <w:t>te–Foy</w:t>
      </w:r>
      <w:r w:rsidRPr="007C5004">
        <w:rPr>
          <w:rFonts w:cs="Times New Roman"/>
        </w:rPr>
        <w:t>,</w:t>
      </w:r>
      <w:r w:rsidRPr="007C5004">
        <w:rPr>
          <w:rFonts w:cs="Times New Roman"/>
          <w:i/>
        </w:rPr>
        <w:t xml:space="preserve"> </w:t>
      </w:r>
      <w:r w:rsidRPr="001E7692">
        <w:rPr>
          <w:rFonts w:cs="Times New Roman"/>
        </w:rPr>
        <w:t>2005 QCCA 1172</w:t>
      </w:r>
      <w:r w:rsidRPr="00C61CA1">
        <w:rPr>
          <w:rFonts w:cs="Times New Roman"/>
        </w:rPr>
        <w:t>,</w:t>
      </w:r>
      <w:r>
        <w:rPr>
          <w:rFonts w:cs="Times New Roman"/>
          <w:i/>
        </w:rPr>
        <w:t xml:space="preserve"> </w:t>
      </w:r>
      <w:r w:rsidRPr="007C5004">
        <w:rPr>
          <w:rFonts w:cs="Times New Roman"/>
        </w:rPr>
        <w:t xml:space="preserve">[2006] R.J.Q. 100 (C.A.), par. 54, la juge </w:t>
      </w:r>
      <w:proofErr w:type="spellStart"/>
      <w:r w:rsidRPr="007C5004">
        <w:rPr>
          <w:rFonts w:cs="Times New Roman"/>
        </w:rPr>
        <w:t>Bich</w:t>
      </w:r>
      <w:proofErr w:type="spellEnd"/>
      <w:r w:rsidRPr="007C5004">
        <w:rPr>
          <w:rFonts w:cs="Times New Roman"/>
        </w:rPr>
        <w:t>).</w:t>
      </w:r>
    </w:p>
    <w:p w:rsidR="00B656C1" w:rsidRPr="007C5004" w:rsidRDefault="00B656C1" w:rsidP="00B656C1">
      <w:pPr>
        <w:pStyle w:val="ParaNoNdepar-AltN"/>
        <w:rPr>
          <w:rFonts w:cs="Times New Roman"/>
        </w:rPr>
      </w:pPr>
      <w:r w:rsidRPr="007C5004">
        <w:rPr>
          <w:rFonts w:cs="Times New Roman"/>
        </w:rPr>
        <w:t xml:space="preserve">Dans </w:t>
      </w:r>
      <w:r>
        <w:rPr>
          <w:rFonts w:cs="Times New Roman"/>
        </w:rPr>
        <w:t>l</w:t>
      </w:r>
      <w:r w:rsidRPr="007C5004">
        <w:rPr>
          <w:rFonts w:cs="Times New Roman"/>
        </w:rPr>
        <w:t xml:space="preserve">es </w:t>
      </w:r>
      <w:r>
        <w:rPr>
          <w:rFonts w:cs="Times New Roman"/>
        </w:rPr>
        <w:t>affaires qui nous intéressent</w:t>
      </w:r>
      <w:r w:rsidRPr="007C5004">
        <w:rPr>
          <w:rFonts w:cs="Times New Roman"/>
        </w:rPr>
        <w:t xml:space="preserve">, cet obstacle n’existe pas. Il est établi que les véritables accords </w:t>
      </w:r>
      <w:r>
        <w:rPr>
          <w:rFonts w:cs="Times New Roman"/>
        </w:rPr>
        <w:t xml:space="preserve">de volonté </w:t>
      </w:r>
      <w:r w:rsidRPr="007C5004">
        <w:rPr>
          <w:rFonts w:cs="Times New Roman"/>
        </w:rPr>
        <w:t>étaient ceux décrits par les parties en cause. Ces dernières reconna</w:t>
      </w:r>
      <w:r>
        <w:rPr>
          <w:rFonts w:cs="Times New Roman"/>
        </w:rPr>
        <w:t>issaient</w:t>
      </w:r>
      <w:r w:rsidRPr="007C5004">
        <w:rPr>
          <w:rFonts w:cs="Times New Roman"/>
        </w:rPr>
        <w:t xml:space="preserve"> les erreurs commises dans les écrits donnant effet à leur</w:t>
      </w:r>
      <w:r>
        <w:rPr>
          <w:rFonts w:cs="Times New Roman"/>
        </w:rPr>
        <w:t>s</w:t>
      </w:r>
      <w:r w:rsidRPr="007C5004">
        <w:rPr>
          <w:rFonts w:cs="Times New Roman"/>
        </w:rPr>
        <w:t xml:space="preserve"> entente</w:t>
      </w:r>
      <w:r>
        <w:rPr>
          <w:rFonts w:cs="Times New Roman"/>
        </w:rPr>
        <w:t>s</w:t>
      </w:r>
      <w:r w:rsidRPr="007C5004">
        <w:rPr>
          <w:rFonts w:cs="Times New Roman"/>
        </w:rPr>
        <w:t xml:space="preserve"> et s’</w:t>
      </w:r>
      <w:r>
        <w:rPr>
          <w:rFonts w:cs="Times New Roman"/>
        </w:rPr>
        <w:t>accordaient</w:t>
      </w:r>
      <w:r w:rsidRPr="007C5004">
        <w:rPr>
          <w:rFonts w:cs="Times New Roman"/>
        </w:rPr>
        <w:t xml:space="preserve"> pour les corriger. La correction des actes </w:t>
      </w:r>
      <w:r>
        <w:rPr>
          <w:rFonts w:cs="Times New Roman"/>
        </w:rPr>
        <w:t>résultait</w:t>
      </w:r>
      <w:r w:rsidRPr="007C5004">
        <w:rPr>
          <w:rFonts w:cs="Times New Roman"/>
        </w:rPr>
        <w:t xml:space="preserve"> de la volonté même des parties. Il était inutile d’invoquer à ce</w:t>
      </w:r>
      <w:r>
        <w:rPr>
          <w:rFonts w:cs="Times New Roman"/>
        </w:rPr>
        <w:t>tte fin</w:t>
      </w:r>
      <w:r w:rsidRPr="007C5004">
        <w:rPr>
          <w:rFonts w:cs="Times New Roman"/>
        </w:rPr>
        <w:t xml:space="preserve"> un prétendu pouvoir de correction basé sur les pouvoirs implicites de la Cour supérieure. De plus, incapables de </w:t>
      </w:r>
      <w:r>
        <w:rPr>
          <w:rFonts w:cs="Times New Roman"/>
        </w:rPr>
        <w:t>remonter le temps</w:t>
      </w:r>
      <w:r w:rsidRPr="007C5004">
        <w:rPr>
          <w:rFonts w:cs="Times New Roman"/>
        </w:rPr>
        <w:t xml:space="preserve">, les parties ont modifié le </w:t>
      </w:r>
      <w:r>
        <w:rPr>
          <w:rFonts w:cs="Times New Roman"/>
        </w:rPr>
        <w:t>« </w:t>
      </w:r>
      <w:r w:rsidRPr="007C5004">
        <w:rPr>
          <w:rFonts w:cs="Times New Roman"/>
        </w:rPr>
        <w:t>temps juridique</w:t>
      </w:r>
      <w:r>
        <w:rPr>
          <w:rFonts w:cs="Times New Roman"/>
        </w:rPr>
        <w:t> »</w:t>
      </w:r>
      <w:r w:rsidRPr="007C5004">
        <w:rPr>
          <w:rFonts w:cs="Times New Roman"/>
        </w:rPr>
        <w:t xml:space="preserve"> applicable à leurs ententes</w:t>
      </w:r>
      <w:r>
        <w:rPr>
          <w:rFonts w:cs="Times New Roman"/>
        </w:rPr>
        <w:t>, notamment</w:t>
      </w:r>
      <w:r w:rsidRPr="007C5004">
        <w:rPr>
          <w:rFonts w:cs="Times New Roman"/>
        </w:rPr>
        <w:t xml:space="preserve"> en </w:t>
      </w:r>
      <w:r>
        <w:rPr>
          <w:rFonts w:cs="Times New Roman"/>
        </w:rPr>
        <w:t>changeant</w:t>
      </w:r>
      <w:r w:rsidRPr="007C5004">
        <w:rPr>
          <w:rFonts w:cs="Times New Roman"/>
        </w:rPr>
        <w:t xml:space="preserve"> les dates prévues à l’origine pour leur exécution,</w:t>
      </w:r>
      <w:r>
        <w:rPr>
          <w:rFonts w:cs="Times New Roman"/>
        </w:rPr>
        <w:t xml:space="preserve"> pour d</w:t>
      </w:r>
      <w:r w:rsidRPr="007C5004">
        <w:rPr>
          <w:rFonts w:cs="Times New Roman"/>
        </w:rPr>
        <w:t xml:space="preserve">es </w:t>
      </w:r>
      <w:r>
        <w:rPr>
          <w:rFonts w:cs="Times New Roman"/>
        </w:rPr>
        <w:t>dates propres à en assurer l’</w:t>
      </w:r>
      <w:r w:rsidRPr="007C5004">
        <w:rPr>
          <w:rFonts w:cs="Times New Roman"/>
        </w:rPr>
        <w:t xml:space="preserve">exécution </w:t>
      </w:r>
      <w:r>
        <w:rPr>
          <w:rFonts w:cs="Times New Roman"/>
        </w:rPr>
        <w:t>efficace</w:t>
      </w:r>
      <w:r w:rsidRPr="007C5004">
        <w:rPr>
          <w:rFonts w:cs="Times New Roman"/>
        </w:rPr>
        <w:t>. Sous réserve toujours des droits des tiers, une telle stipulation était valide entre les parties (M</w:t>
      </w:r>
      <w:r>
        <w:rPr>
          <w:rFonts w:cs="Times New Roman"/>
        </w:rPr>
        <w:t>.</w:t>
      </w:r>
      <w:r w:rsidRPr="007C5004">
        <w:rPr>
          <w:rFonts w:cs="Times New Roman"/>
        </w:rPr>
        <w:t xml:space="preserve"> </w:t>
      </w:r>
      <w:proofErr w:type="spellStart"/>
      <w:r w:rsidRPr="007C5004">
        <w:rPr>
          <w:rFonts w:cs="Times New Roman"/>
        </w:rPr>
        <w:t>Cresp</w:t>
      </w:r>
      <w:proofErr w:type="spellEnd"/>
      <w:r w:rsidRPr="007C5004">
        <w:rPr>
          <w:rFonts w:cs="Times New Roman"/>
        </w:rPr>
        <w:t xml:space="preserve">, </w:t>
      </w:r>
      <w:r w:rsidRPr="007C5004">
        <w:rPr>
          <w:rFonts w:cs="Times New Roman"/>
          <w:i/>
        </w:rPr>
        <w:t>Le temps juridique en droit privé : es</w:t>
      </w:r>
      <w:r>
        <w:rPr>
          <w:rFonts w:cs="Times New Roman"/>
          <w:i/>
        </w:rPr>
        <w:t>sai</w:t>
      </w:r>
      <w:r w:rsidRPr="007C5004">
        <w:rPr>
          <w:rFonts w:cs="Times New Roman"/>
          <w:i/>
        </w:rPr>
        <w:t xml:space="preserve"> d’une théorie générale </w:t>
      </w:r>
      <w:r>
        <w:rPr>
          <w:rFonts w:cs="Times New Roman"/>
        </w:rPr>
        <w:t>(</w:t>
      </w:r>
      <w:r w:rsidRPr="007C5004">
        <w:rPr>
          <w:rFonts w:cs="Times New Roman"/>
        </w:rPr>
        <w:t>2013</w:t>
      </w:r>
      <w:r>
        <w:rPr>
          <w:rFonts w:cs="Times New Roman"/>
        </w:rPr>
        <w:t>)</w:t>
      </w:r>
      <w:r w:rsidRPr="007C5004">
        <w:rPr>
          <w:rFonts w:cs="Times New Roman"/>
        </w:rPr>
        <w:t>,</w:t>
      </w:r>
      <w:r>
        <w:rPr>
          <w:rFonts w:cs="Times New Roman"/>
        </w:rPr>
        <w:t xml:space="preserve"> </w:t>
      </w:r>
      <w:r w:rsidRPr="007C5004">
        <w:rPr>
          <w:rFonts w:cs="Times New Roman"/>
        </w:rPr>
        <w:t>p.</w:t>
      </w:r>
      <w:r>
        <w:rPr>
          <w:rFonts w:cs="Times New Roman"/>
        </w:rPr>
        <w:t> </w:t>
      </w:r>
      <w:r w:rsidRPr="007C5004">
        <w:rPr>
          <w:rFonts w:cs="Times New Roman"/>
        </w:rPr>
        <w:t>116-126).</w:t>
      </w:r>
    </w:p>
    <w:p w:rsidR="00B656C1" w:rsidRPr="007C5004" w:rsidRDefault="00B656C1" w:rsidP="00B656C1">
      <w:pPr>
        <w:pStyle w:val="ParaNoNdepar-AltN"/>
        <w:rPr>
          <w:rFonts w:cs="Times New Roman"/>
        </w:rPr>
      </w:pPr>
      <w:r w:rsidRPr="007C5004">
        <w:rPr>
          <w:rFonts w:cs="Times New Roman"/>
        </w:rPr>
        <w:t>Les tribunaux pouvaient intervenir pour constater la légitimité et la nécessité des modifications apportées par les parties aux actes en litige. Le droit substantiel justifiait leur intervention. La procédure civile québéc</w:t>
      </w:r>
      <w:r>
        <w:rPr>
          <w:rFonts w:cs="Times New Roman"/>
        </w:rPr>
        <w:t>oise n’y faisait pas obstacle. L</w:t>
      </w:r>
      <w:r w:rsidRPr="007C5004">
        <w:rPr>
          <w:rFonts w:cs="Times New Roman"/>
        </w:rPr>
        <w:t xml:space="preserve">e débat </w:t>
      </w:r>
      <w:r>
        <w:rPr>
          <w:rFonts w:cs="Times New Roman"/>
        </w:rPr>
        <w:t>relevait du</w:t>
      </w:r>
      <w:r w:rsidRPr="007C5004">
        <w:rPr>
          <w:rFonts w:cs="Times New Roman"/>
        </w:rPr>
        <w:t xml:space="preserve"> </w:t>
      </w:r>
      <w:r w:rsidR="00A5606E">
        <w:rPr>
          <w:rFonts w:cs="Times New Roman"/>
        </w:rPr>
        <w:t>domaine du contradictoire. Les a</w:t>
      </w:r>
      <w:bookmarkStart w:id="0" w:name="_GoBack"/>
      <w:bookmarkEnd w:id="0"/>
      <w:r w:rsidRPr="007C5004">
        <w:rPr>
          <w:rFonts w:cs="Times New Roman"/>
        </w:rPr>
        <w:t>ge</w:t>
      </w:r>
      <w:r w:rsidR="0058350E">
        <w:rPr>
          <w:rFonts w:cs="Times New Roman"/>
        </w:rPr>
        <w:t>nces du r</w:t>
      </w:r>
      <w:r w:rsidRPr="007C5004">
        <w:rPr>
          <w:rFonts w:cs="Times New Roman"/>
        </w:rPr>
        <w:t>evenu avaient été appelées en cause, comme elles devaient l’être, selon l’art</w:t>
      </w:r>
      <w:r>
        <w:rPr>
          <w:rFonts w:cs="Times New Roman"/>
        </w:rPr>
        <w:t>.</w:t>
      </w:r>
      <w:r w:rsidRPr="007C5004">
        <w:rPr>
          <w:rFonts w:cs="Times New Roman"/>
        </w:rPr>
        <w:t xml:space="preserve"> 5 </w:t>
      </w:r>
      <w:proofErr w:type="spellStart"/>
      <w:r w:rsidRPr="007C5004">
        <w:rPr>
          <w:rFonts w:cs="Times New Roman"/>
          <w:i/>
        </w:rPr>
        <w:t>C.</w:t>
      </w:r>
      <w:r>
        <w:rPr>
          <w:rFonts w:cs="Times New Roman"/>
          <w:i/>
        </w:rPr>
        <w:t>p</w:t>
      </w:r>
      <w:r w:rsidRPr="007C5004">
        <w:rPr>
          <w:rFonts w:cs="Times New Roman"/>
          <w:i/>
        </w:rPr>
        <w:t>.</w:t>
      </w:r>
      <w:r>
        <w:rPr>
          <w:rFonts w:cs="Times New Roman"/>
          <w:i/>
        </w:rPr>
        <w:t>c</w:t>
      </w:r>
      <w:proofErr w:type="spellEnd"/>
      <w:r w:rsidRPr="007C5004">
        <w:rPr>
          <w:rFonts w:cs="Times New Roman"/>
          <w:i/>
        </w:rPr>
        <w:t xml:space="preserve">. </w:t>
      </w:r>
      <w:r w:rsidRPr="007C5004">
        <w:rPr>
          <w:rFonts w:cs="Times New Roman"/>
        </w:rPr>
        <w:t xml:space="preserve">et les règles fondamentales de la procédure civile. </w:t>
      </w:r>
      <w:r>
        <w:rPr>
          <w:rFonts w:cs="Times New Roman"/>
        </w:rPr>
        <w:t>Vu l’existence d’</w:t>
      </w:r>
      <w:r w:rsidRPr="007C5004">
        <w:rPr>
          <w:rFonts w:cs="Times New Roman"/>
        </w:rPr>
        <w:t>un conflit réel sur la nature de l’intention commune des parties, la Cour supérieure pouvait être saisie</w:t>
      </w:r>
      <w:r>
        <w:rPr>
          <w:rFonts w:cs="Times New Roman"/>
        </w:rPr>
        <w:t xml:space="preserve"> du litige</w:t>
      </w:r>
      <w:r w:rsidRPr="007C5004">
        <w:rPr>
          <w:rFonts w:cs="Times New Roman"/>
        </w:rPr>
        <w:t>. La requête</w:t>
      </w:r>
      <w:r>
        <w:rPr>
          <w:rFonts w:cs="Times New Roman"/>
        </w:rPr>
        <w:t xml:space="preserve"> en rectification</w:t>
      </w:r>
      <w:r w:rsidRPr="007C5004">
        <w:rPr>
          <w:rFonts w:cs="Times New Roman"/>
        </w:rPr>
        <w:t xml:space="preserve"> était la voie normale pour </w:t>
      </w:r>
      <w:r>
        <w:rPr>
          <w:rFonts w:cs="Times New Roman"/>
        </w:rPr>
        <w:t xml:space="preserve">l’en </w:t>
      </w:r>
      <w:r w:rsidRPr="007C5004">
        <w:rPr>
          <w:rFonts w:cs="Times New Roman"/>
        </w:rPr>
        <w:t xml:space="preserve">saisir. Elle permettait à la Cour supérieure d’intervenir, </w:t>
      </w:r>
      <w:r>
        <w:rPr>
          <w:rFonts w:cs="Times New Roman"/>
        </w:rPr>
        <w:t>à</w:t>
      </w:r>
      <w:r w:rsidRPr="007C5004">
        <w:rPr>
          <w:rFonts w:cs="Times New Roman"/>
        </w:rPr>
        <w:t xml:space="preserve"> des fins d’abord </w:t>
      </w:r>
      <w:r>
        <w:rPr>
          <w:rFonts w:cs="Times New Roman"/>
        </w:rPr>
        <w:t xml:space="preserve">et avant tout </w:t>
      </w:r>
      <w:r w:rsidRPr="007C5004">
        <w:rPr>
          <w:rFonts w:cs="Times New Roman"/>
        </w:rPr>
        <w:t xml:space="preserve">déclaratoires. Ce que l’on a </w:t>
      </w:r>
      <w:r>
        <w:rPr>
          <w:rFonts w:cs="Times New Roman"/>
        </w:rPr>
        <w:t>maintes fois</w:t>
      </w:r>
      <w:r w:rsidRPr="007C5004">
        <w:rPr>
          <w:rFonts w:cs="Times New Roman"/>
        </w:rPr>
        <w:t xml:space="preserve"> qualifié de rectification au cours des débats correspondait essentiellement à la constatation des modifications faites par les parties et à la reconnaissance de leur légitimité et de leur nécessité.</w:t>
      </w:r>
    </w:p>
    <w:p w:rsidR="00B656C1" w:rsidRPr="007C5004" w:rsidRDefault="00B656C1" w:rsidP="00B656C1">
      <w:pPr>
        <w:pStyle w:val="ParaNoNdepar-AltN"/>
        <w:rPr>
          <w:rFonts w:cs="Times New Roman"/>
        </w:rPr>
      </w:pPr>
      <w:r w:rsidRPr="007C5004">
        <w:rPr>
          <w:rFonts w:cs="Times New Roman"/>
        </w:rPr>
        <w:t>Le fondement de cette intervention se trouvait en définitive dans les règles fondamentales du droit des contrats</w:t>
      </w:r>
      <w:r>
        <w:rPr>
          <w:rFonts w:cs="Times New Roman"/>
        </w:rPr>
        <w:t>,</w:t>
      </w:r>
      <w:r w:rsidRPr="007C5004">
        <w:rPr>
          <w:rFonts w:cs="Times New Roman"/>
        </w:rPr>
        <w:t xml:space="preserve"> </w:t>
      </w:r>
      <w:r>
        <w:rPr>
          <w:rFonts w:cs="Times New Roman"/>
        </w:rPr>
        <w:t>lequel</w:t>
      </w:r>
      <w:r w:rsidRPr="007C5004">
        <w:rPr>
          <w:rFonts w:cs="Times New Roman"/>
        </w:rPr>
        <w:t xml:space="preserve"> repose sur </w:t>
      </w:r>
      <w:r>
        <w:rPr>
          <w:rFonts w:cs="Times New Roman"/>
        </w:rPr>
        <w:t>le</w:t>
      </w:r>
      <w:r w:rsidRPr="007C5004">
        <w:rPr>
          <w:rFonts w:cs="Times New Roman"/>
        </w:rPr>
        <w:t xml:space="preserve"> principe d</w:t>
      </w:r>
      <w:r>
        <w:rPr>
          <w:rFonts w:cs="Times New Roman"/>
        </w:rPr>
        <w:t>u</w:t>
      </w:r>
      <w:r w:rsidRPr="007C5004">
        <w:rPr>
          <w:rFonts w:cs="Times New Roman"/>
        </w:rPr>
        <w:t xml:space="preserve"> consensualisme et retient la distinction fondamentale entre l’échange de</w:t>
      </w:r>
      <w:r>
        <w:rPr>
          <w:rFonts w:cs="Times New Roman"/>
        </w:rPr>
        <w:t>s</w:t>
      </w:r>
      <w:r w:rsidRPr="007C5004">
        <w:rPr>
          <w:rFonts w:cs="Times New Roman"/>
        </w:rPr>
        <w:t xml:space="preserve"> consentement</w:t>
      </w:r>
      <w:r>
        <w:rPr>
          <w:rFonts w:cs="Times New Roman"/>
        </w:rPr>
        <w:t>s</w:t>
      </w:r>
      <w:r w:rsidRPr="007C5004">
        <w:rPr>
          <w:rFonts w:cs="Times New Roman"/>
        </w:rPr>
        <w:t xml:space="preserve"> et son expression écrite. Le droit de la preuve civile du Québec conforte cette distinction entre </w:t>
      </w:r>
      <w:r>
        <w:rPr>
          <w:rFonts w:cs="Times New Roman"/>
        </w:rPr>
        <w:t xml:space="preserve">volonté interne — ou </w:t>
      </w:r>
      <w:r w:rsidRPr="007C5004">
        <w:rPr>
          <w:rFonts w:cs="Times New Roman"/>
        </w:rPr>
        <w:t xml:space="preserve">intention </w:t>
      </w:r>
      <w:r>
        <w:rPr>
          <w:rFonts w:cs="Times New Roman"/>
        </w:rPr>
        <w:t>véritable —</w:t>
      </w:r>
      <w:r w:rsidRPr="007C5004">
        <w:rPr>
          <w:rFonts w:cs="Times New Roman"/>
        </w:rPr>
        <w:t xml:space="preserve"> et volonté déclarée. Par exemple, si ce droit accorde une force particulière à la valeur probante de l’acte authentique, il admet néanmoins l’existence d’une procédure, l’inscription de faux, qui permet de l’attaquer. </w:t>
      </w:r>
      <w:r>
        <w:rPr>
          <w:rFonts w:cs="Times New Roman"/>
        </w:rPr>
        <w:t>Par c</w:t>
      </w:r>
      <w:r w:rsidRPr="007C5004">
        <w:rPr>
          <w:rFonts w:cs="Times New Roman"/>
        </w:rPr>
        <w:t>ette procédure</w:t>
      </w:r>
      <w:r>
        <w:rPr>
          <w:rFonts w:cs="Times New Roman"/>
        </w:rPr>
        <w:t>,</w:t>
      </w:r>
      <w:r w:rsidRPr="007C5004">
        <w:rPr>
          <w:rFonts w:cs="Times New Roman"/>
        </w:rPr>
        <w:t xml:space="preserve"> </w:t>
      </w:r>
      <w:r>
        <w:rPr>
          <w:rFonts w:cs="Times New Roman"/>
        </w:rPr>
        <w:t>le</w:t>
      </w:r>
      <w:r w:rsidRPr="007C5004">
        <w:rPr>
          <w:rFonts w:cs="Times New Roman"/>
        </w:rPr>
        <w:t xml:space="preserve"> tribunal </w:t>
      </w:r>
      <w:r>
        <w:rPr>
          <w:rFonts w:cs="Times New Roman"/>
        </w:rPr>
        <w:t>peut</w:t>
      </w:r>
      <w:r w:rsidRPr="007C5004">
        <w:rPr>
          <w:rFonts w:cs="Times New Roman"/>
        </w:rPr>
        <w:t xml:space="preserve"> rectifier un acte </w:t>
      </w:r>
      <w:r>
        <w:rPr>
          <w:rFonts w:cs="Times New Roman"/>
        </w:rPr>
        <w:t>dans lequel</w:t>
      </w:r>
      <w:r w:rsidRPr="007C5004">
        <w:rPr>
          <w:rFonts w:cs="Times New Roman"/>
        </w:rPr>
        <w:t xml:space="preserve"> l’officier public chargé de sa réception, </w:t>
      </w:r>
      <w:r>
        <w:rPr>
          <w:rFonts w:cs="Times New Roman"/>
        </w:rPr>
        <w:t>par exemple</w:t>
      </w:r>
      <w:r w:rsidRPr="007C5004">
        <w:rPr>
          <w:rFonts w:cs="Times New Roman"/>
        </w:rPr>
        <w:t xml:space="preserve"> le notaire, aurait inséré des déclarations erronées. On </w:t>
      </w:r>
      <w:r>
        <w:rPr>
          <w:rFonts w:cs="Times New Roman"/>
        </w:rPr>
        <w:t>reconnaît</w:t>
      </w:r>
      <w:r w:rsidRPr="007C5004">
        <w:rPr>
          <w:rFonts w:cs="Times New Roman"/>
        </w:rPr>
        <w:t xml:space="preserve"> maintenant qu’un tribunal peut corriger </w:t>
      </w:r>
      <w:r>
        <w:rPr>
          <w:rFonts w:cs="Times New Roman"/>
        </w:rPr>
        <w:t xml:space="preserve">un tel </w:t>
      </w:r>
      <w:r w:rsidRPr="007C5004">
        <w:rPr>
          <w:rFonts w:cs="Times New Roman"/>
        </w:rPr>
        <w:t xml:space="preserve">acte pour le rendre conforme à la volonté des parties (P.-Y. Marquis, </w:t>
      </w:r>
      <w:r>
        <w:rPr>
          <w:rFonts w:cs="Times New Roman"/>
        </w:rPr>
        <w:t>« </w:t>
      </w:r>
      <w:r w:rsidRPr="002555A8">
        <w:rPr>
          <w:rFonts w:cs="Times New Roman"/>
        </w:rPr>
        <w:t>L’inscription de faux et la correction des actes notariés »</w:t>
      </w:r>
      <w:r w:rsidRPr="007C5004">
        <w:rPr>
          <w:rFonts w:cs="Times New Roman"/>
          <w:i/>
        </w:rPr>
        <w:t xml:space="preserve"> </w:t>
      </w:r>
      <w:r w:rsidRPr="007C5004">
        <w:rPr>
          <w:rFonts w:cs="Times New Roman"/>
        </w:rPr>
        <w:t>(1990)</w:t>
      </w:r>
      <w:r>
        <w:rPr>
          <w:rFonts w:cs="Times New Roman"/>
        </w:rPr>
        <w:t>,</w:t>
      </w:r>
      <w:r w:rsidRPr="007C5004">
        <w:rPr>
          <w:rFonts w:cs="Times New Roman"/>
        </w:rPr>
        <w:t xml:space="preserve"> 92 </w:t>
      </w:r>
      <w:r w:rsidRPr="007C5004">
        <w:rPr>
          <w:rFonts w:cs="Times New Roman"/>
          <w:i/>
        </w:rPr>
        <w:t>R. du N.</w:t>
      </w:r>
      <w:r w:rsidRPr="007C5004">
        <w:rPr>
          <w:rFonts w:cs="Times New Roman"/>
        </w:rPr>
        <w:t xml:space="preserve"> 407, </w:t>
      </w:r>
      <w:r>
        <w:rPr>
          <w:rFonts w:cs="Times New Roman"/>
        </w:rPr>
        <w:t>p. </w:t>
      </w:r>
      <w:r w:rsidRPr="007C5004">
        <w:rPr>
          <w:rFonts w:cs="Times New Roman"/>
        </w:rPr>
        <w:t>426</w:t>
      </w:r>
      <w:r>
        <w:rPr>
          <w:rFonts w:cs="Times New Roman"/>
        </w:rPr>
        <w:t>)</w:t>
      </w:r>
      <w:r w:rsidRPr="007C5004">
        <w:rPr>
          <w:rFonts w:cs="Times New Roman"/>
        </w:rPr>
        <w:t xml:space="preserve">. L’acte sous seing privé constitue lui aussi une forme d’expression de la volonté commune. S’il est entaché d’erreur, notamment </w:t>
      </w:r>
      <w:r>
        <w:rPr>
          <w:rFonts w:cs="Times New Roman"/>
        </w:rPr>
        <w:t xml:space="preserve">une </w:t>
      </w:r>
      <w:r w:rsidRPr="007C5004">
        <w:rPr>
          <w:rFonts w:cs="Times New Roman"/>
        </w:rPr>
        <w:t xml:space="preserve">erreur </w:t>
      </w:r>
      <w:r>
        <w:rPr>
          <w:rFonts w:cs="Times New Roman"/>
        </w:rPr>
        <w:t>imputable</w:t>
      </w:r>
      <w:r w:rsidRPr="007C5004">
        <w:rPr>
          <w:rFonts w:cs="Times New Roman"/>
        </w:rPr>
        <w:t xml:space="preserve"> comme ici </w:t>
      </w:r>
      <w:r>
        <w:rPr>
          <w:rFonts w:cs="Times New Roman"/>
        </w:rPr>
        <w:t>a</w:t>
      </w:r>
      <w:r w:rsidRPr="007C5004">
        <w:rPr>
          <w:rFonts w:cs="Times New Roman"/>
        </w:rPr>
        <w:t xml:space="preserve">u conseiller professionnel du contribuable, </w:t>
      </w:r>
      <w:r>
        <w:rPr>
          <w:rFonts w:cs="Times New Roman"/>
        </w:rPr>
        <w:t>une fois</w:t>
      </w:r>
      <w:r w:rsidRPr="007C5004">
        <w:rPr>
          <w:rFonts w:cs="Times New Roman"/>
        </w:rPr>
        <w:t xml:space="preserve"> cette erreur </w:t>
      </w:r>
      <w:r>
        <w:rPr>
          <w:rFonts w:cs="Times New Roman"/>
        </w:rPr>
        <w:t>établie</w:t>
      </w:r>
      <w:r w:rsidRPr="007C5004">
        <w:rPr>
          <w:rFonts w:cs="Times New Roman"/>
        </w:rPr>
        <w:t xml:space="preserve"> conformément au</w:t>
      </w:r>
      <w:r>
        <w:rPr>
          <w:rFonts w:cs="Times New Roman"/>
        </w:rPr>
        <w:t>x règles</w:t>
      </w:r>
      <w:r w:rsidRPr="007C5004">
        <w:rPr>
          <w:rFonts w:cs="Times New Roman"/>
        </w:rPr>
        <w:t xml:space="preserve"> de la preuve civile, le tribunal doit </w:t>
      </w:r>
      <w:r>
        <w:rPr>
          <w:rFonts w:cs="Times New Roman"/>
        </w:rPr>
        <w:t xml:space="preserve">la </w:t>
      </w:r>
      <w:r w:rsidRPr="007C5004">
        <w:rPr>
          <w:rFonts w:cs="Times New Roman"/>
        </w:rPr>
        <w:t>constater et faire en sorte qu’</w:t>
      </w:r>
      <w:r>
        <w:rPr>
          <w:rFonts w:cs="Times New Roman"/>
        </w:rPr>
        <w:t>on y</w:t>
      </w:r>
      <w:r w:rsidRPr="007C5004">
        <w:rPr>
          <w:rFonts w:cs="Times New Roman"/>
        </w:rPr>
        <w:t xml:space="preserve"> rem</w:t>
      </w:r>
      <w:r>
        <w:rPr>
          <w:rFonts w:cs="Times New Roman"/>
        </w:rPr>
        <w:t>édi</w:t>
      </w:r>
      <w:r w:rsidRPr="007C5004">
        <w:rPr>
          <w:rFonts w:cs="Times New Roman"/>
        </w:rPr>
        <w:t xml:space="preserve">e. En droit civil, le fisc ne possède pas de droit acquis </w:t>
      </w:r>
      <w:r>
        <w:rPr>
          <w:rFonts w:cs="Times New Roman"/>
        </w:rPr>
        <w:t xml:space="preserve">au </w:t>
      </w:r>
      <w:r w:rsidRPr="007C5004">
        <w:rPr>
          <w:rFonts w:cs="Times New Roman"/>
        </w:rPr>
        <w:t xml:space="preserve">bénéfice d’une erreur </w:t>
      </w:r>
      <w:r>
        <w:rPr>
          <w:rFonts w:cs="Times New Roman"/>
        </w:rPr>
        <w:t xml:space="preserve">que </w:t>
      </w:r>
      <w:r w:rsidRPr="007C5004">
        <w:rPr>
          <w:rFonts w:cs="Times New Roman"/>
        </w:rPr>
        <w:t xml:space="preserve">les parties à un contrat </w:t>
      </w:r>
      <w:r>
        <w:rPr>
          <w:rFonts w:cs="Times New Roman"/>
        </w:rPr>
        <w:t>auraient commise, puis</w:t>
      </w:r>
      <w:r w:rsidRPr="007C5004">
        <w:rPr>
          <w:rFonts w:cs="Times New Roman"/>
        </w:rPr>
        <w:t xml:space="preserve"> corrigée de consentement mutuel.</w:t>
      </w:r>
    </w:p>
    <w:p w:rsidR="00B656C1" w:rsidRPr="007C5004" w:rsidRDefault="00B656C1" w:rsidP="00B656C1">
      <w:pPr>
        <w:pStyle w:val="ParaNoNdepar-AltN"/>
        <w:rPr>
          <w:rFonts w:cs="Times New Roman"/>
        </w:rPr>
      </w:pPr>
      <w:r w:rsidRPr="007C5004">
        <w:rPr>
          <w:rFonts w:cs="Times New Roman"/>
        </w:rPr>
        <w:t xml:space="preserve">L’ensemble des écrits préparés pour réaliser les planifications fiscales </w:t>
      </w:r>
      <w:r>
        <w:rPr>
          <w:rFonts w:cs="Times New Roman"/>
        </w:rPr>
        <w:t xml:space="preserve">dont ont </w:t>
      </w:r>
      <w:r w:rsidRPr="007C5004">
        <w:rPr>
          <w:rFonts w:cs="Times New Roman"/>
        </w:rPr>
        <w:t xml:space="preserve">convenu les parties </w:t>
      </w:r>
      <w:r>
        <w:rPr>
          <w:rFonts w:cs="Times New Roman"/>
        </w:rPr>
        <w:t>représent</w:t>
      </w:r>
      <w:r w:rsidRPr="007C5004">
        <w:rPr>
          <w:rFonts w:cs="Times New Roman"/>
        </w:rPr>
        <w:t xml:space="preserve">ait une expression erronée de leur volonté commune. Les arrêts dont appel ont </w:t>
      </w:r>
      <w:r>
        <w:rPr>
          <w:rFonts w:cs="Times New Roman"/>
        </w:rPr>
        <w:t>reconnu</w:t>
      </w:r>
      <w:r w:rsidRPr="007C5004">
        <w:rPr>
          <w:rFonts w:cs="Times New Roman"/>
        </w:rPr>
        <w:t xml:space="preserve"> la possibilité de </w:t>
      </w:r>
      <w:r>
        <w:rPr>
          <w:rFonts w:cs="Times New Roman"/>
        </w:rPr>
        <w:t>remédier</w:t>
      </w:r>
      <w:r w:rsidRPr="007C5004">
        <w:rPr>
          <w:rFonts w:cs="Times New Roman"/>
        </w:rPr>
        <w:t xml:space="preserve"> à ces erreurs et ont correctement </w:t>
      </w:r>
      <w:r>
        <w:rPr>
          <w:rFonts w:cs="Times New Roman"/>
        </w:rPr>
        <w:t xml:space="preserve">dégagé </w:t>
      </w:r>
      <w:r w:rsidRPr="007C5004">
        <w:rPr>
          <w:rFonts w:cs="Times New Roman"/>
        </w:rPr>
        <w:t>la volonté commune des parties. Je n’interviendrais pas à leur égard.</w:t>
      </w:r>
    </w:p>
    <w:p w:rsidR="00B656C1" w:rsidRPr="007C5004" w:rsidRDefault="00B656C1" w:rsidP="00B656C1">
      <w:pPr>
        <w:pStyle w:val="ParaNoNdepar-AltN"/>
        <w:rPr>
          <w:rFonts w:cs="Times New Roman"/>
        </w:rPr>
      </w:pPr>
      <w:r w:rsidRPr="007C5004">
        <w:rPr>
          <w:rFonts w:cs="Times New Roman"/>
        </w:rPr>
        <w:t xml:space="preserve">Toutefois, la reconnaissance </w:t>
      </w:r>
      <w:r>
        <w:rPr>
          <w:rFonts w:cs="Times New Roman"/>
        </w:rPr>
        <w:t xml:space="preserve">judiciaire </w:t>
      </w:r>
      <w:r w:rsidRPr="007C5004">
        <w:rPr>
          <w:rFonts w:cs="Times New Roman"/>
        </w:rPr>
        <w:t xml:space="preserve">de la validité des modifications apportées </w:t>
      </w:r>
      <w:r>
        <w:rPr>
          <w:rFonts w:cs="Times New Roman"/>
        </w:rPr>
        <w:t xml:space="preserve">en l’espèce </w:t>
      </w:r>
      <w:r w:rsidRPr="007C5004">
        <w:rPr>
          <w:rFonts w:cs="Times New Roman"/>
        </w:rPr>
        <w:t>par les parties aux écrits constatant leurs ententes doit s’accompagner d</w:t>
      </w:r>
      <w:r>
        <w:rPr>
          <w:rFonts w:cs="Times New Roman"/>
        </w:rPr>
        <w:t>e certaines</w:t>
      </w:r>
      <w:r w:rsidRPr="007C5004">
        <w:rPr>
          <w:rFonts w:cs="Times New Roman"/>
        </w:rPr>
        <w:t xml:space="preserve"> réserve</w:t>
      </w:r>
      <w:r>
        <w:rPr>
          <w:rFonts w:cs="Times New Roman"/>
        </w:rPr>
        <w:t>s</w:t>
      </w:r>
      <w:r w:rsidRPr="007C5004">
        <w:rPr>
          <w:rFonts w:cs="Times New Roman"/>
        </w:rPr>
        <w:t xml:space="preserve"> et d’une invitation à la prudence. En effet, les contribuables ne devraient pas interpréter cette reconnaissance de la primauté de </w:t>
      </w:r>
      <w:r>
        <w:rPr>
          <w:rFonts w:cs="Times New Roman"/>
        </w:rPr>
        <w:t xml:space="preserve">la volonté interne — ou </w:t>
      </w:r>
      <w:r w:rsidRPr="007C5004">
        <w:rPr>
          <w:rFonts w:cs="Times New Roman"/>
        </w:rPr>
        <w:t xml:space="preserve">intention commune </w:t>
      </w:r>
      <w:r>
        <w:rPr>
          <w:rFonts w:cs="Times New Roman"/>
        </w:rPr>
        <w:t xml:space="preserve">— </w:t>
      </w:r>
      <w:r w:rsidRPr="007C5004">
        <w:rPr>
          <w:rFonts w:cs="Times New Roman"/>
        </w:rPr>
        <w:t>des parties comme une invitation à s</w:t>
      </w:r>
      <w:r>
        <w:rPr>
          <w:rFonts w:cs="Times New Roman"/>
        </w:rPr>
        <w:t>e lancer</w:t>
      </w:r>
      <w:r w:rsidRPr="007C5004">
        <w:rPr>
          <w:rFonts w:cs="Times New Roman"/>
        </w:rPr>
        <w:t xml:space="preserve"> dans des planifications fiscales audacieuses, en </w:t>
      </w:r>
      <w:r>
        <w:rPr>
          <w:rFonts w:cs="Times New Roman"/>
        </w:rPr>
        <w:t>se d</w:t>
      </w:r>
      <w:r w:rsidRPr="007C5004">
        <w:rPr>
          <w:rFonts w:cs="Times New Roman"/>
        </w:rPr>
        <w:t xml:space="preserve">isant </w:t>
      </w:r>
      <w:r>
        <w:rPr>
          <w:rFonts w:cs="Times New Roman"/>
        </w:rPr>
        <w:t xml:space="preserve">qu’il leur sera toujours </w:t>
      </w:r>
      <w:r w:rsidRPr="007C5004">
        <w:rPr>
          <w:rFonts w:cs="Times New Roman"/>
        </w:rPr>
        <w:t>possib</w:t>
      </w:r>
      <w:r>
        <w:rPr>
          <w:rFonts w:cs="Times New Roman"/>
        </w:rPr>
        <w:t>le</w:t>
      </w:r>
      <w:r w:rsidRPr="007C5004">
        <w:rPr>
          <w:rFonts w:cs="Times New Roman"/>
        </w:rPr>
        <w:t xml:space="preserve"> de refaire leurs contrats rétroactivement en cas d’échec de ces planifications. </w:t>
      </w:r>
      <w:r>
        <w:rPr>
          <w:rFonts w:cs="Times New Roman"/>
        </w:rPr>
        <w:t>L’</w:t>
      </w:r>
      <w:r w:rsidRPr="007C5004">
        <w:rPr>
          <w:rFonts w:cs="Times New Roman"/>
        </w:rPr>
        <w:t>intention d</w:t>
      </w:r>
      <w:r>
        <w:rPr>
          <w:rFonts w:cs="Times New Roman"/>
        </w:rPr>
        <w:t>’</w:t>
      </w:r>
      <w:r w:rsidRPr="007C5004">
        <w:rPr>
          <w:rFonts w:cs="Times New Roman"/>
        </w:rPr>
        <w:t>u</w:t>
      </w:r>
      <w:r>
        <w:rPr>
          <w:rFonts w:cs="Times New Roman"/>
        </w:rPr>
        <w:t>n</w:t>
      </w:r>
      <w:r w:rsidRPr="007C5004">
        <w:rPr>
          <w:rFonts w:cs="Times New Roman"/>
        </w:rPr>
        <w:t xml:space="preserve"> contribuable de réduire </w:t>
      </w:r>
      <w:r>
        <w:rPr>
          <w:rFonts w:cs="Times New Roman"/>
        </w:rPr>
        <w:t>se</w:t>
      </w:r>
      <w:r w:rsidRPr="007C5004">
        <w:rPr>
          <w:rFonts w:cs="Times New Roman"/>
        </w:rPr>
        <w:t xml:space="preserve">s obligations fiscales ne </w:t>
      </w:r>
      <w:r>
        <w:rPr>
          <w:rFonts w:cs="Times New Roman"/>
        </w:rPr>
        <w:t>saurait</w:t>
      </w:r>
      <w:r w:rsidRPr="007C5004">
        <w:rPr>
          <w:rFonts w:cs="Times New Roman"/>
        </w:rPr>
        <w:t xml:space="preserve"> à elle seule </w:t>
      </w:r>
      <w:r>
        <w:rPr>
          <w:rFonts w:cs="Times New Roman"/>
        </w:rPr>
        <w:t>constituer l’</w:t>
      </w:r>
      <w:r w:rsidRPr="007C5004">
        <w:rPr>
          <w:rFonts w:cs="Times New Roman"/>
        </w:rPr>
        <w:t>objet de l’obligation au sens de l’art</w:t>
      </w:r>
      <w:r>
        <w:rPr>
          <w:rFonts w:cs="Times New Roman"/>
        </w:rPr>
        <w:t>.</w:t>
      </w:r>
      <w:r w:rsidRPr="007C5004">
        <w:rPr>
          <w:rFonts w:cs="Times New Roman"/>
        </w:rPr>
        <w:t xml:space="preserve"> 137</w:t>
      </w:r>
      <w:r>
        <w:rPr>
          <w:rFonts w:cs="Times New Roman"/>
        </w:rPr>
        <w:t>3</w:t>
      </w:r>
      <w:r w:rsidRPr="007C5004">
        <w:rPr>
          <w:rFonts w:cs="Times New Roman"/>
        </w:rPr>
        <w:t> </w:t>
      </w:r>
      <w:r w:rsidRPr="007C5004">
        <w:rPr>
          <w:rFonts w:cs="Times New Roman"/>
          <w:i/>
        </w:rPr>
        <w:t>C.c.Q.</w:t>
      </w:r>
      <w:r w:rsidRPr="007C5004">
        <w:rPr>
          <w:rFonts w:cs="Times New Roman"/>
        </w:rPr>
        <w:t xml:space="preserve">, </w:t>
      </w:r>
      <w:r>
        <w:rPr>
          <w:rFonts w:cs="Times New Roman"/>
        </w:rPr>
        <w:t>compte tenu de son</w:t>
      </w:r>
      <w:r w:rsidRPr="007C5004">
        <w:rPr>
          <w:rFonts w:cs="Times New Roman"/>
        </w:rPr>
        <w:t xml:space="preserve"> caractère insuffisamment déterminé ou déterminable</w:t>
      </w:r>
      <w:r>
        <w:rPr>
          <w:rFonts w:cs="Times New Roman"/>
        </w:rPr>
        <w:t xml:space="preserve">, ni même l’objet du contrat au sens de l’art. 1412 </w:t>
      </w:r>
      <w:proofErr w:type="spellStart"/>
      <w:r w:rsidRPr="00524303">
        <w:rPr>
          <w:rFonts w:cs="Times New Roman"/>
          <w:i/>
        </w:rPr>
        <w:t>C.c.Q</w:t>
      </w:r>
      <w:proofErr w:type="spellEnd"/>
      <w:r w:rsidRPr="00524303">
        <w:rPr>
          <w:rFonts w:cs="Times New Roman"/>
          <w:i/>
        </w:rPr>
        <w:t>.</w:t>
      </w:r>
      <w:r w:rsidRPr="007C5004">
        <w:rPr>
          <w:rFonts w:cs="Times New Roman"/>
        </w:rPr>
        <w:t xml:space="preserve"> </w:t>
      </w:r>
      <w:r>
        <w:rPr>
          <w:rFonts w:cs="Times New Roman"/>
        </w:rPr>
        <w:t>En l’absence d’un objet</w:t>
      </w:r>
      <w:r w:rsidRPr="007C5004">
        <w:rPr>
          <w:rFonts w:cs="Times New Roman"/>
        </w:rPr>
        <w:t xml:space="preserve"> plus précis et mieux défini, aucun contrat ne se serait formé. L’article 1425 ne </w:t>
      </w:r>
      <w:r>
        <w:rPr>
          <w:rFonts w:cs="Times New Roman"/>
        </w:rPr>
        <w:t>pourrait dans un tel cas</w:t>
      </w:r>
      <w:r w:rsidRPr="007C5004">
        <w:rPr>
          <w:rFonts w:cs="Times New Roman"/>
        </w:rPr>
        <w:t xml:space="preserve"> être invoqué pour justifier </w:t>
      </w:r>
      <w:r>
        <w:rPr>
          <w:rFonts w:cs="Times New Roman"/>
        </w:rPr>
        <w:t>la</w:t>
      </w:r>
      <w:r w:rsidRPr="007C5004">
        <w:rPr>
          <w:rFonts w:cs="Times New Roman"/>
        </w:rPr>
        <w:t xml:space="preserve"> recherche de l’intention commune des parties </w:t>
      </w:r>
      <w:r>
        <w:rPr>
          <w:rFonts w:cs="Times New Roman"/>
        </w:rPr>
        <w:t>afin de lui</w:t>
      </w:r>
      <w:r w:rsidRPr="007C5004">
        <w:rPr>
          <w:rFonts w:cs="Times New Roman"/>
        </w:rPr>
        <w:t xml:space="preserve"> donner effet, malgré les termes des écrits </w:t>
      </w:r>
      <w:r>
        <w:rPr>
          <w:rFonts w:cs="Times New Roman"/>
        </w:rPr>
        <w:t>préparés pour la constater</w:t>
      </w:r>
      <w:r w:rsidRPr="007C5004">
        <w:rPr>
          <w:rFonts w:cs="Times New Roman"/>
        </w:rPr>
        <w:t>. Comme je l’ai souligné plus haut, dans les deux appels, les ententes entre les parties s’étaient valablement formées</w:t>
      </w:r>
      <w:r>
        <w:rPr>
          <w:rFonts w:cs="Times New Roman"/>
        </w:rPr>
        <w:t>,</w:t>
      </w:r>
      <w:r w:rsidRPr="007C5004">
        <w:rPr>
          <w:rFonts w:cs="Times New Roman"/>
        </w:rPr>
        <w:t xml:space="preserve"> p</w:t>
      </w:r>
      <w:r>
        <w:rPr>
          <w:rFonts w:cs="Times New Roman"/>
        </w:rPr>
        <w:t>uis</w:t>
      </w:r>
      <w:r w:rsidRPr="007C5004">
        <w:rPr>
          <w:rFonts w:cs="Times New Roman"/>
        </w:rPr>
        <w:t xml:space="preserve">qu’elles </w:t>
      </w:r>
      <w:r>
        <w:rPr>
          <w:rFonts w:cs="Times New Roman"/>
        </w:rPr>
        <w:t>prévoyaient des obligations aux objets</w:t>
      </w:r>
      <w:r w:rsidRPr="007C5004">
        <w:rPr>
          <w:rFonts w:cs="Times New Roman"/>
        </w:rPr>
        <w:t xml:space="preserve"> suffisamment déterminables, selon une preuve que l’ARQ n’a jamais contredite. Ces ententes prévoyaient</w:t>
      </w:r>
      <w:r>
        <w:rPr>
          <w:rFonts w:cs="Times New Roman"/>
        </w:rPr>
        <w:t>, pour les sociétés concernées,</w:t>
      </w:r>
      <w:r w:rsidRPr="007C5004">
        <w:rPr>
          <w:rFonts w:cs="Times New Roman"/>
        </w:rPr>
        <w:t xml:space="preserve"> la mise en place de structure</w:t>
      </w:r>
      <w:r>
        <w:rPr>
          <w:rFonts w:cs="Times New Roman"/>
        </w:rPr>
        <w:t>s</w:t>
      </w:r>
      <w:r w:rsidRPr="007C5004">
        <w:rPr>
          <w:rFonts w:cs="Times New Roman"/>
        </w:rPr>
        <w:t xml:space="preserve"> déterminée</w:t>
      </w:r>
      <w:r>
        <w:rPr>
          <w:rFonts w:cs="Times New Roman"/>
        </w:rPr>
        <w:t>s</w:t>
      </w:r>
      <w:r w:rsidRPr="007C5004">
        <w:rPr>
          <w:rFonts w:cs="Times New Roman"/>
        </w:rPr>
        <w:t xml:space="preserve"> qui</w:t>
      </w:r>
      <w:r>
        <w:rPr>
          <w:rFonts w:cs="Times New Roman"/>
        </w:rPr>
        <w:t>, si elles avaient été élaborées correctement,</w:t>
      </w:r>
      <w:r w:rsidRPr="007C5004">
        <w:rPr>
          <w:rFonts w:cs="Times New Roman"/>
        </w:rPr>
        <w:t xml:space="preserve"> aurai</w:t>
      </w:r>
      <w:r>
        <w:rPr>
          <w:rFonts w:cs="Times New Roman"/>
        </w:rPr>
        <w:t>en</w:t>
      </w:r>
      <w:r w:rsidRPr="007C5004">
        <w:rPr>
          <w:rFonts w:cs="Times New Roman"/>
        </w:rPr>
        <w:t xml:space="preserve">t </w:t>
      </w:r>
      <w:r>
        <w:rPr>
          <w:rFonts w:cs="Times New Roman"/>
        </w:rPr>
        <w:t>permis de réaliser</w:t>
      </w:r>
      <w:r w:rsidRPr="007C5004">
        <w:rPr>
          <w:rFonts w:cs="Times New Roman"/>
        </w:rPr>
        <w:t xml:space="preserve"> les objectifs </w:t>
      </w:r>
      <w:r>
        <w:rPr>
          <w:rFonts w:cs="Times New Roman"/>
        </w:rPr>
        <w:t>visés</w:t>
      </w:r>
      <w:r w:rsidRPr="007C5004">
        <w:rPr>
          <w:rFonts w:cs="Times New Roman"/>
        </w:rPr>
        <w:t xml:space="preserve"> par les </w:t>
      </w:r>
      <w:r>
        <w:rPr>
          <w:rFonts w:cs="Times New Roman"/>
        </w:rPr>
        <w:t>parties impliquées</w:t>
      </w:r>
      <w:r w:rsidRPr="007C5004">
        <w:rPr>
          <w:rFonts w:cs="Times New Roman"/>
        </w:rPr>
        <w:t xml:space="preserve">. Les modifications </w:t>
      </w:r>
      <w:r>
        <w:rPr>
          <w:rFonts w:cs="Times New Roman"/>
        </w:rPr>
        <w:t>apportées par la suite</w:t>
      </w:r>
      <w:r w:rsidRPr="007C5004">
        <w:rPr>
          <w:rFonts w:cs="Times New Roman"/>
        </w:rPr>
        <w:t xml:space="preserve"> ne changeaient pas la </w:t>
      </w:r>
      <w:r>
        <w:rPr>
          <w:rFonts w:cs="Times New Roman"/>
        </w:rPr>
        <w:t xml:space="preserve">nature de la </w:t>
      </w:r>
      <w:r w:rsidRPr="007C5004">
        <w:rPr>
          <w:rFonts w:cs="Times New Roman"/>
        </w:rPr>
        <w:t xml:space="preserve">structure </w:t>
      </w:r>
      <w:r>
        <w:rPr>
          <w:rFonts w:cs="Times New Roman"/>
        </w:rPr>
        <w:t>envisagée au départ</w:t>
      </w:r>
      <w:r w:rsidRPr="007C5004">
        <w:rPr>
          <w:rFonts w:cs="Times New Roman"/>
        </w:rPr>
        <w:t xml:space="preserve">. Elles se bornaient à modifier les écrits </w:t>
      </w:r>
      <w:r>
        <w:rPr>
          <w:rFonts w:cs="Times New Roman"/>
        </w:rPr>
        <w:t>qui étaient censés donner</w:t>
      </w:r>
      <w:r w:rsidRPr="007C5004">
        <w:rPr>
          <w:rFonts w:cs="Times New Roman"/>
        </w:rPr>
        <w:t xml:space="preserve"> effet à </w:t>
      </w:r>
      <w:r>
        <w:rPr>
          <w:rFonts w:cs="Times New Roman"/>
        </w:rPr>
        <w:t>l’</w:t>
      </w:r>
      <w:r w:rsidRPr="007C5004">
        <w:rPr>
          <w:rFonts w:cs="Times New Roman"/>
        </w:rPr>
        <w:t>intention comm</w:t>
      </w:r>
      <w:r>
        <w:rPr>
          <w:rFonts w:cs="Times New Roman"/>
        </w:rPr>
        <w:t xml:space="preserve">une — intention </w:t>
      </w:r>
      <w:r w:rsidRPr="007C5004">
        <w:rPr>
          <w:rFonts w:cs="Times New Roman"/>
        </w:rPr>
        <w:t xml:space="preserve">clairement établie et </w:t>
      </w:r>
      <w:r>
        <w:rPr>
          <w:rFonts w:cs="Times New Roman"/>
        </w:rPr>
        <w:t>portant sur des obligations aux</w:t>
      </w:r>
      <w:r w:rsidRPr="007C5004">
        <w:rPr>
          <w:rFonts w:cs="Times New Roman"/>
        </w:rPr>
        <w:t xml:space="preserve"> objets déterminés ou déterminables.</w:t>
      </w:r>
    </w:p>
    <w:p w:rsidR="00B656C1" w:rsidRPr="007C5004" w:rsidRDefault="00B656C1" w:rsidP="00B656C1">
      <w:pPr>
        <w:pStyle w:val="TitleTitre-AltT"/>
      </w:pPr>
      <w:r w:rsidRPr="007C5004">
        <w:t>G.</w:t>
      </w:r>
      <w:r w:rsidRPr="007C5004">
        <w:tab/>
      </w:r>
      <w:r w:rsidRPr="00B24E8F">
        <w:rPr>
          <w:i/>
        </w:rPr>
        <w:t xml:space="preserve">La révision de l’arrêt </w:t>
      </w:r>
      <w:proofErr w:type="spellStart"/>
      <w:r w:rsidRPr="00B24E8F">
        <w:rPr>
          <w:i/>
        </w:rPr>
        <w:t>Juliar</w:t>
      </w:r>
      <w:proofErr w:type="spellEnd"/>
    </w:p>
    <w:p w:rsidR="00B656C1" w:rsidRPr="00274DF9" w:rsidRDefault="00B656C1" w:rsidP="00B656C1">
      <w:pPr>
        <w:pStyle w:val="ParaNoNdepar-AltN"/>
        <w:rPr>
          <w:rFonts w:cs="Times New Roman"/>
        </w:rPr>
      </w:pPr>
      <w:r>
        <w:rPr>
          <w:rFonts w:cs="Times New Roman"/>
        </w:rPr>
        <w:t>Le procureur général du Canada intervenant</w:t>
      </w:r>
      <w:r w:rsidRPr="007C5004">
        <w:rPr>
          <w:rFonts w:cs="Times New Roman"/>
        </w:rPr>
        <w:t xml:space="preserve"> a invité notre Cour dans ses plaidoiries à examiner et à rejeter un courant jurispruden</w:t>
      </w:r>
      <w:r>
        <w:rPr>
          <w:rFonts w:cs="Times New Roman"/>
        </w:rPr>
        <w:t>tiel</w:t>
      </w:r>
      <w:r w:rsidRPr="007C5004">
        <w:rPr>
          <w:rFonts w:cs="Times New Roman"/>
        </w:rPr>
        <w:t xml:space="preserve"> qui, selon </w:t>
      </w:r>
      <w:r>
        <w:rPr>
          <w:rFonts w:cs="Times New Roman"/>
        </w:rPr>
        <w:t>lui,</w:t>
      </w:r>
      <w:r w:rsidRPr="007C5004">
        <w:rPr>
          <w:rFonts w:cs="Times New Roman"/>
        </w:rPr>
        <w:t xml:space="preserve"> s’est développé depuis l’arrêt </w:t>
      </w:r>
      <w:proofErr w:type="spellStart"/>
      <w:r w:rsidRPr="007C5004">
        <w:rPr>
          <w:rFonts w:cs="Times New Roman"/>
          <w:i/>
        </w:rPr>
        <w:t>Juliar</w:t>
      </w:r>
      <w:proofErr w:type="spellEnd"/>
      <w:r w:rsidRPr="007C5004">
        <w:rPr>
          <w:rFonts w:cs="Times New Roman"/>
          <w:i/>
        </w:rPr>
        <w:t xml:space="preserve"> </w:t>
      </w:r>
      <w:r>
        <w:rPr>
          <w:rFonts w:cs="Times New Roman"/>
        </w:rPr>
        <w:t xml:space="preserve">de </w:t>
      </w:r>
      <w:r w:rsidRPr="007C5004">
        <w:rPr>
          <w:rFonts w:cs="Times New Roman"/>
        </w:rPr>
        <w:t>la Cour d’appel de l’Ontario. Ce courant aurait élargi le</w:t>
      </w:r>
      <w:r>
        <w:rPr>
          <w:rFonts w:cs="Times New Roman"/>
        </w:rPr>
        <w:t xml:space="preserve"> champ d’application en matière fiscale du recours en</w:t>
      </w:r>
      <w:r w:rsidRPr="007C5004">
        <w:rPr>
          <w:rFonts w:cs="Times New Roman"/>
        </w:rPr>
        <w:t xml:space="preserve"> rectification de </w:t>
      </w:r>
      <w:r>
        <w:rPr>
          <w:rFonts w:cs="Times New Roman"/>
        </w:rPr>
        <w:t xml:space="preserve">la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xml:space="preserve">. Il ne respecterait pas les conditions de </w:t>
      </w:r>
      <w:r>
        <w:rPr>
          <w:rFonts w:cs="Times New Roman"/>
        </w:rPr>
        <w:t>l’exercice</w:t>
      </w:r>
      <w:r w:rsidRPr="007C5004">
        <w:rPr>
          <w:rFonts w:cs="Times New Roman"/>
        </w:rPr>
        <w:t xml:space="preserve"> du pouvoir de rectification qu’aurait établies notre Cour dans les arrêts </w:t>
      </w:r>
      <w:proofErr w:type="spellStart"/>
      <w:r w:rsidRPr="007C5004">
        <w:rPr>
          <w:rFonts w:cs="Times New Roman"/>
          <w:i/>
        </w:rPr>
        <w:t>Shafron</w:t>
      </w:r>
      <w:proofErr w:type="spellEnd"/>
      <w:r w:rsidRPr="007C5004">
        <w:rPr>
          <w:rFonts w:cs="Times New Roman"/>
          <w:i/>
        </w:rPr>
        <w:t xml:space="preserve"> c. KRG </w:t>
      </w:r>
      <w:proofErr w:type="spellStart"/>
      <w:r w:rsidRPr="007C5004">
        <w:rPr>
          <w:rFonts w:cs="Times New Roman"/>
          <w:i/>
        </w:rPr>
        <w:t>Insurance</w:t>
      </w:r>
      <w:proofErr w:type="spellEnd"/>
      <w:r w:rsidRPr="007C5004">
        <w:rPr>
          <w:rFonts w:cs="Times New Roman"/>
          <w:i/>
        </w:rPr>
        <w:t xml:space="preserve"> Brokers (Western) Inc.</w:t>
      </w:r>
      <w:r w:rsidRPr="007C5004">
        <w:rPr>
          <w:rFonts w:cs="Times New Roman"/>
        </w:rPr>
        <w:t xml:space="preserve">, </w:t>
      </w:r>
      <w:r w:rsidRPr="007C5004">
        <w:rPr>
          <w:rFonts w:cs="Times New Roman"/>
          <w:szCs w:val="24"/>
        </w:rPr>
        <w:t>2009 CSC 6,</w:t>
      </w:r>
      <w:r w:rsidRPr="007C5004">
        <w:rPr>
          <w:rFonts w:cs="Times New Roman"/>
        </w:rPr>
        <w:t xml:space="preserve"> [2009] 1 R.C.S. 157</w:t>
      </w:r>
      <w:r>
        <w:rPr>
          <w:rFonts w:cs="Times New Roman"/>
        </w:rPr>
        <w:t>, et</w:t>
      </w:r>
      <w:r w:rsidRPr="007C5004">
        <w:rPr>
          <w:rFonts w:cs="Times New Roman"/>
        </w:rPr>
        <w:t xml:space="preserve"> </w:t>
      </w:r>
      <w:r w:rsidRPr="007C5004">
        <w:rPr>
          <w:rFonts w:cs="Times New Roman"/>
          <w:i/>
        </w:rPr>
        <w:t xml:space="preserve">Performance Industries Ltd. c. </w:t>
      </w:r>
      <w:proofErr w:type="spellStart"/>
      <w:r w:rsidRPr="007C5004">
        <w:rPr>
          <w:rFonts w:cs="Times New Roman"/>
          <w:i/>
        </w:rPr>
        <w:t>Sylvan</w:t>
      </w:r>
      <w:proofErr w:type="spellEnd"/>
      <w:r w:rsidRPr="007C5004">
        <w:rPr>
          <w:rFonts w:cs="Times New Roman"/>
          <w:i/>
        </w:rPr>
        <w:t xml:space="preserve"> Lake Golf &amp; Tennis Club Ltd.</w:t>
      </w:r>
      <w:r w:rsidRPr="007C5004">
        <w:rPr>
          <w:rFonts w:cs="Times New Roman"/>
        </w:rPr>
        <w:t>,</w:t>
      </w:r>
      <w:r w:rsidRPr="007C5004">
        <w:rPr>
          <w:rFonts w:cs="Times New Roman"/>
          <w:i/>
        </w:rPr>
        <w:t xml:space="preserve"> </w:t>
      </w:r>
      <w:r w:rsidRPr="007C5004">
        <w:rPr>
          <w:rFonts w:cs="Times New Roman"/>
          <w:szCs w:val="24"/>
        </w:rPr>
        <w:t xml:space="preserve">2002 CSC 19, </w:t>
      </w:r>
      <w:r w:rsidRPr="007C5004">
        <w:rPr>
          <w:rFonts w:cs="Times New Roman"/>
        </w:rPr>
        <w:t xml:space="preserve">[2002] 1 R.C.S. 678 </w:t>
      </w:r>
      <w:r>
        <w:rPr>
          <w:rFonts w:cs="Times New Roman"/>
        </w:rPr>
        <w:t>(</w:t>
      </w:r>
      <w:r w:rsidRPr="007C5004">
        <w:rPr>
          <w:rFonts w:cs="Times New Roman"/>
        </w:rPr>
        <w:t>voir aussi A. Swan</w:t>
      </w:r>
      <w:r>
        <w:rPr>
          <w:rFonts w:cs="Times New Roman"/>
        </w:rPr>
        <w:t xml:space="preserve"> et J. </w:t>
      </w:r>
      <w:proofErr w:type="spellStart"/>
      <w:r>
        <w:rPr>
          <w:rFonts w:cs="Times New Roman"/>
        </w:rPr>
        <w:t>Adamski</w:t>
      </w:r>
      <w:proofErr w:type="spellEnd"/>
      <w:r w:rsidRPr="007C5004">
        <w:rPr>
          <w:rFonts w:cs="Times New Roman"/>
        </w:rPr>
        <w:t xml:space="preserve">, </w:t>
      </w:r>
      <w:r w:rsidRPr="007C5004">
        <w:rPr>
          <w:rFonts w:cs="Times New Roman"/>
          <w:i/>
        </w:rPr>
        <w:t xml:space="preserve">Canadian </w:t>
      </w:r>
      <w:proofErr w:type="spellStart"/>
      <w:r w:rsidRPr="007C5004">
        <w:rPr>
          <w:rFonts w:cs="Times New Roman"/>
          <w:i/>
        </w:rPr>
        <w:t>Contract</w:t>
      </w:r>
      <w:proofErr w:type="spellEnd"/>
      <w:r w:rsidRPr="007C5004">
        <w:rPr>
          <w:rFonts w:cs="Times New Roman"/>
          <w:i/>
        </w:rPr>
        <w:t xml:space="preserve"> Law</w:t>
      </w:r>
      <w:r w:rsidRPr="007C5004">
        <w:rPr>
          <w:rFonts w:cs="Times New Roman"/>
        </w:rPr>
        <w:t xml:space="preserve"> </w:t>
      </w:r>
      <w:r>
        <w:rPr>
          <w:rFonts w:cs="Times New Roman"/>
        </w:rPr>
        <w:t>(3</w:t>
      </w:r>
      <w:r w:rsidRPr="00B24E8F">
        <w:rPr>
          <w:rFonts w:cs="Times New Roman"/>
          <w:vertAlign w:val="superscript"/>
        </w:rPr>
        <w:t>e</w:t>
      </w:r>
      <w:r>
        <w:rPr>
          <w:rFonts w:cs="Times New Roman"/>
        </w:rPr>
        <w:t> é</w:t>
      </w:r>
      <w:r w:rsidRPr="007C5004">
        <w:rPr>
          <w:rFonts w:cs="Times New Roman"/>
        </w:rPr>
        <w:t>d.</w:t>
      </w:r>
      <w:r>
        <w:rPr>
          <w:rFonts w:cs="Times New Roman"/>
        </w:rPr>
        <w:t xml:space="preserve"> 2012)</w:t>
      </w:r>
      <w:r w:rsidRPr="007C5004">
        <w:rPr>
          <w:rFonts w:cs="Times New Roman"/>
        </w:rPr>
        <w:t>, p. </w:t>
      </w:r>
      <w:r>
        <w:rPr>
          <w:rFonts w:cs="Times New Roman"/>
        </w:rPr>
        <w:t>768-770</w:t>
      </w:r>
      <w:r w:rsidRPr="007C5004">
        <w:rPr>
          <w:rFonts w:cs="Times New Roman"/>
        </w:rPr>
        <w:t xml:space="preserve">). Les deux appels que nous avons entendus sont </w:t>
      </w:r>
      <w:r>
        <w:rPr>
          <w:rFonts w:cs="Times New Roman"/>
        </w:rPr>
        <w:t>décidés</w:t>
      </w:r>
      <w:r w:rsidRPr="007C5004">
        <w:rPr>
          <w:rFonts w:cs="Times New Roman"/>
        </w:rPr>
        <w:t xml:space="preserve"> en vertu du droit civil du Québec et ne </w:t>
      </w:r>
      <w:r>
        <w:rPr>
          <w:rFonts w:cs="Times New Roman"/>
        </w:rPr>
        <w:t>sont</w:t>
      </w:r>
      <w:r w:rsidRPr="007C5004">
        <w:rPr>
          <w:rFonts w:cs="Times New Roman"/>
        </w:rPr>
        <w:t xml:space="preserve"> pas </w:t>
      </w:r>
      <w:r>
        <w:rPr>
          <w:rFonts w:cs="Times New Roman"/>
        </w:rPr>
        <w:t xml:space="preserve">propices </w:t>
      </w:r>
      <w:r w:rsidRPr="007C5004">
        <w:rPr>
          <w:rFonts w:cs="Times New Roman"/>
        </w:rPr>
        <w:t>à un réexamen d</w:t>
      </w:r>
      <w:r>
        <w:rPr>
          <w:rFonts w:cs="Times New Roman"/>
        </w:rPr>
        <w:t>u recours en</w:t>
      </w:r>
      <w:r w:rsidRPr="007C5004">
        <w:rPr>
          <w:rFonts w:cs="Times New Roman"/>
        </w:rPr>
        <w:t xml:space="preserve"> rectification </w:t>
      </w:r>
      <w:r>
        <w:rPr>
          <w:rFonts w:cs="Times New Roman"/>
        </w:rPr>
        <w:t>reconnu par la</w:t>
      </w:r>
      <w:r w:rsidRPr="007C5004">
        <w:rPr>
          <w:rFonts w:cs="Times New Roman"/>
        </w:rPr>
        <w:t xml:space="preserve"> </w:t>
      </w:r>
      <w:proofErr w:type="spellStart"/>
      <w:r w:rsidRPr="007C5004">
        <w:rPr>
          <w:rFonts w:cs="Times New Roman"/>
        </w:rPr>
        <w:t>common</w:t>
      </w:r>
      <w:proofErr w:type="spellEnd"/>
      <w:r w:rsidRPr="007C5004">
        <w:rPr>
          <w:rFonts w:cs="Times New Roman"/>
        </w:rPr>
        <w:t xml:space="preserve"> </w:t>
      </w:r>
      <w:proofErr w:type="spellStart"/>
      <w:r w:rsidRPr="007C5004">
        <w:rPr>
          <w:rFonts w:cs="Times New Roman"/>
        </w:rPr>
        <w:t>law</w:t>
      </w:r>
      <w:proofErr w:type="spellEnd"/>
      <w:r w:rsidRPr="007C5004">
        <w:rPr>
          <w:rFonts w:cs="Times New Roman"/>
        </w:rPr>
        <w:t>. Je m’abstiendrai donc de critiquer, d’approuver ou commenter l’</w:t>
      </w:r>
      <w:r>
        <w:rPr>
          <w:rFonts w:cs="Times New Roman"/>
        </w:rPr>
        <w:t>application qu’en font</w:t>
      </w:r>
      <w:r w:rsidRPr="007C5004">
        <w:rPr>
          <w:rFonts w:cs="Times New Roman"/>
        </w:rPr>
        <w:t xml:space="preserve"> les tribunaux canadiens sur la base de l’arrêt </w:t>
      </w:r>
      <w:proofErr w:type="spellStart"/>
      <w:r w:rsidRPr="007C5004">
        <w:rPr>
          <w:rFonts w:cs="Times New Roman"/>
          <w:i/>
        </w:rPr>
        <w:t>Juliar</w:t>
      </w:r>
      <w:proofErr w:type="spellEnd"/>
      <w:r w:rsidRPr="007C5004">
        <w:rPr>
          <w:rFonts w:cs="Times New Roman"/>
          <w:i/>
        </w:rPr>
        <w:t>.</w:t>
      </w:r>
    </w:p>
    <w:p w:rsidR="00B656C1" w:rsidRPr="007C5004" w:rsidRDefault="00B656C1" w:rsidP="00B656C1">
      <w:pPr>
        <w:pStyle w:val="ParaNoNdepar-AltN"/>
        <w:numPr>
          <w:ilvl w:val="0"/>
          <w:numId w:val="0"/>
        </w:numPr>
        <w:rPr>
          <w:rFonts w:cs="Times New Roman"/>
        </w:rPr>
      </w:pPr>
    </w:p>
    <w:p w:rsidR="00B656C1" w:rsidRPr="007C5004" w:rsidRDefault="00B656C1" w:rsidP="00B656C1">
      <w:pPr>
        <w:pStyle w:val="TitleTitre-AltT"/>
      </w:pPr>
      <w:r w:rsidRPr="007C5004">
        <w:t>V.</w:t>
      </w:r>
      <w:r w:rsidRPr="007C5004">
        <w:tab/>
      </w:r>
      <w:r w:rsidRPr="00FF51DA">
        <w:rPr>
          <w:u w:val="single"/>
        </w:rPr>
        <w:t>Conclusion</w:t>
      </w:r>
    </w:p>
    <w:p w:rsidR="00B656C1" w:rsidRPr="007C5004" w:rsidRDefault="00B656C1" w:rsidP="00B656C1">
      <w:pPr>
        <w:pStyle w:val="ParaNoNdepar-AltN"/>
        <w:rPr>
          <w:rFonts w:cs="Times New Roman"/>
        </w:rPr>
      </w:pPr>
      <w:r w:rsidRPr="007C5004">
        <w:rPr>
          <w:rFonts w:cs="Times New Roman"/>
        </w:rPr>
        <w:t xml:space="preserve">Pour ces motifs, je rejetterais les pourvois </w:t>
      </w:r>
      <w:r>
        <w:rPr>
          <w:rFonts w:cs="Times New Roman"/>
        </w:rPr>
        <w:t>formés par</w:t>
      </w:r>
      <w:r w:rsidRPr="007C5004">
        <w:rPr>
          <w:rFonts w:cs="Times New Roman"/>
        </w:rPr>
        <w:t xml:space="preserve"> l’ARQ dans ces deux a</w:t>
      </w:r>
      <w:r>
        <w:rPr>
          <w:rFonts w:cs="Times New Roman"/>
        </w:rPr>
        <w:t>ffaires</w:t>
      </w:r>
      <w:r w:rsidRPr="007C5004">
        <w:rPr>
          <w:rFonts w:cs="Times New Roman"/>
        </w:rPr>
        <w:t xml:space="preserve">, avec dépens </w:t>
      </w:r>
      <w:r>
        <w:rPr>
          <w:rFonts w:cs="Times New Roman"/>
        </w:rPr>
        <w:t>contre elle, dans chaque cas et devant toutes les cours</w:t>
      </w:r>
      <w:r w:rsidRPr="007C5004">
        <w:rPr>
          <w:rFonts w:cs="Times New Roman"/>
        </w:rPr>
        <w:t xml:space="preserve">. </w:t>
      </w:r>
    </w:p>
    <w:p w:rsidR="00B656C1" w:rsidRDefault="00B656C1" w:rsidP="00B656C1">
      <w:pPr>
        <w:pStyle w:val="SCCNormalDoubleSpacing"/>
        <w:rPr>
          <w:lang w:val="fr-CA"/>
        </w:rPr>
      </w:pPr>
    </w:p>
    <w:p w:rsidR="00B656C1" w:rsidRDefault="00B656C1" w:rsidP="00B656C1">
      <w:pPr>
        <w:pStyle w:val="SCCNormalDoubleSpacing"/>
        <w:rPr>
          <w:lang w:val="fr-CA"/>
        </w:rPr>
      </w:pPr>
    </w:p>
    <w:p w:rsidR="00B656C1" w:rsidRPr="00B656C1" w:rsidRDefault="00B656C1" w:rsidP="00B656C1">
      <w:pPr>
        <w:pStyle w:val="SCCNormalDoubleSpacing"/>
        <w:rPr>
          <w:lang w:val="fr-CA"/>
        </w:rPr>
      </w:pPr>
    </w:p>
    <w:p w:rsidR="00E6359D" w:rsidRPr="003C54A8" w:rsidRDefault="00E6359D" w:rsidP="00F85C7A">
      <w:pPr>
        <w:pStyle w:val="SCCLawFirm"/>
        <w:rPr>
          <w:lang w:val="fr-CA"/>
        </w:rPr>
      </w:pPr>
    </w:p>
    <w:p w:rsidR="004D7D95" w:rsidRPr="003C54A8" w:rsidRDefault="004D7D95" w:rsidP="008064A8">
      <w:pPr>
        <w:pStyle w:val="SCCNormalDoubleSpacing"/>
        <w:spacing w:before="480" w:after="480"/>
        <w:rPr>
          <w:i/>
          <w:lang w:val="fr-CA"/>
        </w:rPr>
      </w:pPr>
      <w:r w:rsidRPr="003C54A8">
        <w:rPr>
          <w:lang w:val="fr-CA"/>
        </w:rPr>
        <w:tab/>
      </w:r>
      <w:r w:rsidR="009B5B1A" w:rsidRPr="003C54A8">
        <w:rPr>
          <w:i/>
          <w:lang w:val="fr-CA"/>
        </w:rPr>
        <w:t>Pourvoi</w:t>
      </w:r>
      <w:r w:rsidR="00572082" w:rsidRPr="003C54A8">
        <w:rPr>
          <w:i/>
          <w:lang w:val="fr-CA"/>
        </w:rPr>
        <w:t>s</w:t>
      </w:r>
      <w:r w:rsidR="009B5B1A" w:rsidRPr="003C54A8">
        <w:rPr>
          <w:i/>
          <w:lang w:val="fr-CA"/>
        </w:rPr>
        <w:t xml:space="preserve"> </w:t>
      </w:r>
      <w:r w:rsidR="005E3AF6" w:rsidRPr="003C54A8">
        <w:rPr>
          <w:i/>
          <w:lang w:val="fr-CA"/>
        </w:rPr>
        <w:t>rejetés avec dépens</w:t>
      </w:r>
      <w:r w:rsidR="00810CE4">
        <w:rPr>
          <w:i/>
          <w:lang w:val="fr-CA"/>
        </w:rPr>
        <w:t xml:space="preserve"> devant toutes les cours</w:t>
      </w:r>
      <w:r w:rsidR="005E3AF6" w:rsidRPr="003C54A8">
        <w:rPr>
          <w:i/>
          <w:lang w:val="fr-CA"/>
        </w:rPr>
        <w:t>.</w:t>
      </w:r>
    </w:p>
    <w:p w:rsidR="00EB3757" w:rsidRPr="003C54A8" w:rsidRDefault="00EB3757" w:rsidP="008064A8">
      <w:pPr>
        <w:pStyle w:val="SCCLawFirm"/>
        <w:spacing w:before="480" w:after="480"/>
        <w:rPr>
          <w:lang w:val="fr-CA"/>
        </w:rPr>
      </w:pPr>
      <w:r w:rsidRPr="003C54A8">
        <w:rPr>
          <w:lang w:val="fr-CA"/>
        </w:rPr>
        <w:tab/>
        <w:t>Procureurs de l’appelante</w:t>
      </w:r>
      <w:r w:rsidR="008064A8" w:rsidRPr="003C54A8">
        <w:rPr>
          <w:lang w:val="fr-CA"/>
        </w:rPr>
        <w:t> : </w:t>
      </w:r>
      <w:proofErr w:type="spellStart"/>
      <w:r w:rsidRPr="003C54A8">
        <w:rPr>
          <w:lang w:val="fr-CA"/>
        </w:rPr>
        <w:t>Larivière</w:t>
      </w:r>
      <w:proofErr w:type="spellEnd"/>
      <w:r w:rsidRPr="003C54A8">
        <w:rPr>
          <w:lang w:val="fr-CA"/>
        </w:rPr>
        <w:t xml:space="preserve"> Meunier, Montréal, Sainte</w:t>
      </w:r>
      <w:r w:rsidR="008064A8" w:rsidRPr="003C54A8">
        <w:rPr>
          <w:lang w:val="fr-CA"/>
        </w:rPr>
        <w:noBreakHyphen/>
      </w:r>
      <w:r w:rsidR="00D37E11">
        <w:rPr>
          <w:lang w:val="fr-CA"/>
        </w:rPr>
        <w:t>Foy</w:t>
      </w:r>
      <w:r w:rsidRPr="003C54A8">
        <w:rPr>
          <w:lang w:val="fr-CA"/>
        </w:rPr>
        <w:t>.</w:t>
      </w:r>
    </w:p>
    <w:p w:rsidR="00EB3757" w:rsidRPr="003C54A8" w:rsidRDefault="00EB3757" w:rsidP="008064A8">
      <w:pPr>
        <w:pStyle w:val="SCCLawFirm"/>
        <w:spacing w:before="480" w:after="480"/>
        <w:rPr>
          <w:lang w:val="fr-CA"/>
        </w:rPr>
      </w:pPr>
      <w:r w:rsidRPr="003C54A8">
        <w:rPr>
          <w:lang w:val="fr-CA"/>
        </w:rPr>
        <w:tab/>
        <w:t xml:space="preserve">Procureurs des intimées Services Environnementaux AES </w:t>
      </w:r>
      <w:proofErr w:type="spellStart"/>
      <w:r w:rsidR="00C53E06" w:rsidRPr="003C54A8">
        <w:rPr>
          <w:lang w:val="fr-CA"/>
        </w:rPr>
        <w:t>i</w:t>
      </w:r>
      <w:r w:rsidRPr="003C54A8">
        <w:rPr>
          <w:lang w:val="fr-CA"/>
        </w:rPr>
        <w:t>nc.</w:t>
      </w:r>
      <w:proofErr w:type="spellEnd"/>
      <w:r w:rsidRPr="003C54A8">
        <w:rPr>
          <w:lang w:val="fr-CA"/>
        </w:rPr>
        <w:t xml:space="preserve"> et Centre Technologique AES </w:t>
      </w:r>
      <w:proofErr w:type="spellStart"/>
      <w:r w:rsidR="00C53E06" w:rsidRPr="003C54A8">
        <w:rPr>
          <w:lang w:val="fr-CA"/>
        </w:rPr>
        <w:t>i</w:t>
      </w:r>
      <w:r w:rsidRPr="003C54A8">
        <w:rPr>
          <w:lang w:val="fr-CA"/>
        </w:rPr>
        <w:t>nc.</w:t>
      </w:r>
      <w:proofErr w:type="spellEnd"/>
      <w:r w:rsidR="008064A8" w:rsidRPr="003C54A8">
        <w:rPr>
          <w:lang w:val="fr-CA"/>
        </w:rPr>
        <w:t> : </w:t>
      </w:r>
      <w:r w:rsidRPr="003C54A8">
        <w:rPr>
          <w:lang w:val="fr-CA"/>
        </w:rPr>
        <w:t xml:space="preserve">Norton Rose </w:t>
      </w:r>
      <w:proofErr w:type="spellStart"/>
      <w:r w:rsidRPr="003C54A8">
        <w:rPr>
          <w:lang w:val="fr-CA"/>
        </w:rPr>
        <w:t>Fulbright</w:t>
      </w:r>
      <w:proofErr w:type="spellEnd"/>
      <w:r w:rsidRPr="003C54A8">
        <w:rPr>
          <w:lang w:val="fr-CA"/>
        </w:rPr>
        <w:t xml:space="preserve"> Canada, Montréal.</w:t>
      </w:r>
    </w:p>
    <w:p w:rsidR="00EB3757" w:rsidRPr="003C54A8" w:rsidRDefault="00EB3757" w:rsidP="008064A8">
      <w:pPr>
        <w:pStyle w:val="SCCLawFirm"/>
        <w:spacing w:before="480" w:after="480"/>
        <w:rPr>
          <w:lang w:val="fr-CA"/>
        </w:rPr>
      </w:pPr>
      <w:r w:rsidRPr="003C54A8">
        <w:rPr>
          <w:lang w:val="fr-CA"/>
        </w:rPr>
        <w:tab/>
        <w:t xml:space="preserve">Procureurs des intimés Jean </w:t>
      </w:r>
      <w:proofErr w:type="spellStart"/>
      <w:r w:rsidRPr="003C54A8">
        <w:rPr>
          <w:lang w:val="fr-CA"/>
        </w:rPr>
        <w:t>Riopel</w:t>
      </w:r>
      <w:proofErr w:type="spellEnd"/>
      <w:r w:rsidRPr="003C54A8">
        <w:rPr>
          <w:lang w:val="fr-CA"/>
        </w:rPr>
        <w:t xml:space="preserve">, Christiane Archambault et Entreprise J.P.F. </w:t>
      </w:r>
      <w:proofErr w:type="spellStart"/>
      <w:r w:rsidRPr="003C54A8">
        <w:rPr>
          <w:lang w:val="fr-CA"/>
        </w:rPr>
        <w:t>Riopel</w:t>
      </w:r>
      <w:proofErr w:type="spellEnd"/>
      <w:r w:rsidRPr="003C54A8">
        <w:rPr>
          <w:lang w:val="fr-CA"/>
        </w:rPr>
        <w:t xml:space="preserve"> </w:t>
      </w:r>
      <w:proofErr w:type="spellStart"/>
      <w:r w:rsidR="00C53E06" w:rsidRPr="003C54A8">
        <w:rPr>
          <w:lang w:val="fr-CA"/>
        </w:rPr>
        <w:t>i</w:t>
      </w:r>
      <w:r w:rsidRPr="003C54A8">
        <w:rPr>
          <w:lang w:val="fr-CA"/>
        </w:rPr>
        <w:t>nc.</w:t>
      </w:r>
      <w:proofErr w:type="spellEnd"/>
      <w:r w:rsidR="008064A8" w:rsidRPr="003C54A8">
        <w:rPr>
          <w:lang w:val="fr-CA"/>
        </w:rPr>
        <w:t> : </w:t>
      </w:r>
      <w:r w:rsidRPr="003C54A8">
        <w:rPr>
          <w:lang w:val="fr-CA"/>
        </w:rPr>
        <w:t>Séguin Racine Avocats Ltée, Montréal.</w:t>
      </w:r>
    </w:p>
    <w:p w:rsidR="00EB3757" w:rsidRPr="003C54A8" w:rsidRDefault="00EB3757" w:rsidP="00EB3757">
      <w:pPr>
        <w:pStyle w:val="SCCLawFirm"/>
        <w:rPr>
          <w:lang w:val="fr-CA"/>
        </w:rPr>
      </w:pPr>
      <w:r w:rsidRPr="003C54A8">
        <w:rPr>
          <w:lang w:val="fr-CA"/>
        </w:rPr>
        <w:tab/>
        <w:t>Procureur de l’intervenant</w:t>
      </w:r>
      <w:r w:rsidR="008064A8" w:rsidRPr="003C54A8">
        <w:rPr>
          <w:lang w:val="fr-CA"/>
        </w:rPr>
        <w:t> : </w:t>
      </w:r>
      <w:r w:rsidRPr="003C54A8">
        <w:rPr>
          <w:lang w:val="fr-CA"/>
        </w:rPr>
        <w:t>Procureur général du Canada, Montréal.</w:t>
      </w:r>
    </w:p>
    <w:sectPr w:rsidR="00EB3757" w:rsidRPr="003C54A8"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36" w:rsidRDefault="00E70F36">
      <w:r>
        <w:separator/>
      </w:r>
    </w:p>
  </w:endnote>
  <w:endnote w:type="continuationSeparator" w:id="0">
    <w:p w:rsidR="00E70F36" w:rsidRDefault="00E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36" w:rsidRDefault="00E70F36">
      <w:r>
        <w:separator/>
      </w:r>
    </w:p>
  </w:footnote>
  <w:footnote w:type="continuationSeparator" w:id="0">
    <w:p w:rsidR="00E70F36" w:rsidRDefault="00E7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36" w:rsidRPr="00450352" w:rsidRDefault="00E70F3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D10"/>
    <w:multiLevelType w:val="hybridMultilevel"/>
    <w:tmpl w:val="E35A98A4"/>
    <w:lvl w:ilvl="0" w:tplc="0EC4EF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734468"/>
    <w:multiLevelType w:val="hybridMultilevel"/>
    <w:tmpl w:val="5556311A"/>
    <w:lvl w:ilvl="0" w:tplc="295029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66639F"/>
    <w:multiLevelType w:val="hybridMultilevel"/>
    <w:tmpl w:val="37E80942"/>
    <w:lvl w:ilvl="0" w:tplc="0CC652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6272D"/>
    <w:multiLevelType w:val="hybridMultilevel"/>
    <w:tmpl w:val="821CE5F0"/>
    <w:lvl w:ilvl="0" w:tplc="842E3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66A14"/>
    <w:multiLevelType w:val="hybridMultilevel"/>
    <w:tmpl w:val="1D0A76EC"/>
    <w:lvl w:ilvl="0" w:tplc="9482C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07553"/>
    <w:multiLevelType w:val="hybridMultilevel"/>
    <w:tmpl w:val="85EC0FDC"/>
    <w:lvl w:ilvl="0" w:tplc="D206E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1832B5"/>
    <w:multiLevelType w:val="hybridMultilevel"/>
    <w:tmpl w:val="38A0C6D2"/>
    <w:lvl w:ilvl="0" w:tplc="4872C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484F30"/>
    <w:multiLevelType w:val="hybridMultilevel"/>
    <w:tmpl w:val="A55098FA"/>
    <w:lvl w:ilvl="0" w:tplc="64E2BF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71F98"/>
    <w:multiLevelType w:val="hybridMultilevel"/>
    <w:tmpl w:val="E828C87A"/>
    <w:lvl w:ilvl="0" w:tplc="3D46F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8"/>
  </w:num>
  <w:num w:numId="5">
    <w:abstractNumId w:val="9"/>
  </w:num>
  <w:num w:numId="6">
    <w:abstractNumId w:val="10"/>
  </w:num>
  <w:num w:numId="7">
    <w:abstractNumId w:val="7"/>
  </w:num>
  <w:num w:numId="8">
    <w:abstractNumId w:val="6"/>
  </w:num>
  <w:num w:numId="9">
    <w:abstractNumId w:val="5"/>
  </w:num>
  <w:num w:numId="10">
    <w:abstractNumId w:val="11"/>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31414C"/>
    <w:rsid w:val="00000B3F"/>
    <w:rsid w:val="00000ED4"/>
    <w:rsid w:val="00010E36"/>
    <w:rsid w:val="00023FC7"/>
    <w:rsid w:val="00025198"/>
    <w:rsid w:val="00025DC7"/>
    <w:rsid w:val="00054656"/>
    <w:rsid w:val="000575C9"/>
    <w:rsid w:val="000578A3"/>
    <w:rsid w:val="000648CC"/>
    <w:rsid w:val="000814E3"/>
    <w:rsid w:val="000C59B8"/>
    <w:rsid w:val="000C6AF0"/>
    <w:rsid w:val="000D0A77"/>
    <w:rsid w:val="000E509C"/>
    <w:rsid w:val="000F7993"/>
    <w:rsid w:val="00104F33"/>
    <w:rsid w:val="00111DE2"/>
    <w:rsid w:val="00116B38"/>
    <w:rsid w:val="001227BE"/>
    <w:rsid w:val="00135406"/>
    <w:rsid w:val="00135972"/>
    <w:rsid w:val="001426A9"/>
    <w:rsid w:val="00143DBC"/>
    <w:rsid w:val="00154D7C"/>
    <w:rsid w:val="001570B0"/>
    <w:rsid w:val="0015752C"/>
    <w:rsid w:val="00157737"/>
    <w:rsid w:val="00164AF8"/>
    <w:rsid w:val="00165277"/>
    <w:rsid w:val="00170592"/>
    <w:rsid w:val="001720F7"/>
    <w:rsid w:val="00195D83"/>
    <w:rsid w:val="001A00C1"/>
    <w:rsid w:val="001A6BF7"/>
    <w:rsid w:val="001B33E0"/>
    <w:rsid w:val="001B4573"/>
    <w:rsid w:val="001C196C"/>
    <w:rsid w:val="001C46BC"/>
    <w:rsid w:val="001C779F"/>
    <w:rsid w:val="001D2AC1"/>
    <w:rsid w:val="001D4E88"/>
    <w:rsid w:val="00220FC2"/>
    <w:rsid w:val="002222F4"/>
    <w:rsid w:val="00224FC0"/>
    <w:rsid w:val="00225EA4"/>
    <w:rsid w:val="00226EAF"/>
    <w:rsid w:val="002270BB"/>
    <w:rsid w:val="00231F3A"/>
    <w:rsid w:val="002406EE"/>
    <w:rsid w:val="00243EC8"/>
    <w:rsid w:val="002658DB"/>
    <w:rsid w:val="00267161"/>
    <w:rsid w:val="00270D93"/>
    <w:rsid w:val="002745CC"/>
    <w:rsid w:val="002B6FBE"/>
    <w:rsid w:val="002B7924"/>
    <w:rsid w:val="002C10A6"/>
    <w:rsid w:val="002D28C3"/>
    <w:rsid w:val="002D39A4"/>
    <w:rsid w:val="002E10DC"/>
    <w:rsid w:val="002E2294"/>
    <w:rsid w:val="002E6705"/>
    <w:rsid w:val="00301A54"/>
    <w:rsid w:val="0030329A"/>
    <w:rsid w:val="0031086F"/>
    <w:rsid w:val="0031414C"/>
    <w:rsid w:val="00314E01"/>
    <w:rsid w:val="0032089D"/>
    <w:rsid w:val="003310DE"/>
    <w:rsid w:val="003323B0"/>
    <w:rsid w:val="00340A49"/>
    <w:rsid w:val="0035169A"/>
    <w:rsid w:val="00351FCC"/>
    <w:rsid w:val="0035259D"/>
    <w:rsid w:val="00364B18"/>
    <w:rsid w:val="003769BF"/>
    <w:rsid w:val="003A125D"/>
    <w:rsid w:val="003A4C70"/>
    <w:rsid w:val="003B215F"/>
    <w:rsid w:val="003C24F8"/>
    <w:rsid w:val="003C54A8"/>
    <w:rsid w:val="003C799C"/>
    <w:rsid w:val="003D0399"/>
    <w:rsid w:val="003D0576"/>
    <w:rsid w:val="003D36D8"/>
    <w:rsid w:val="003E1C71"/>
    <w:rsid w:val="003E67D6"/>
    <w:rsid w:val="003F27F8"/>
    <w:rsid w:val="003F327B"/>
    <w:rsid w:val="00406166"/>
    <w:rsid w:val="00406A84"/>
    <w:rsid w:val="0040704B"/>
    <w:rsid w:val="00410A55"/>
    <w:rsid w:val="00411300"/>
    <w:rsid w:val="00413F17"/>
    <w:rsid w:val="00415417"/>
    <w:rsid w:val="00426659"/>
    <w:rsid w:val="00427C3D"/>
    <w:rsid w:val="004428B4"/>
    <w:rsid w:val="00450352"/>
    <w:rsid w:val="00454BDB"/>
    <w:rsid w:val="00464CC1"/>
    <w:rsid w:val="00465132"/>
    <w:rsid w:val="00480C90"/>
    <w:rsid w:val="0048396F"/>
    <w:rsid w:val="00486F91"/>
    <w:rsid w:val="00493C18"/>
    <w:rsid w:val="004A4283"/>
    <w:rsid w:val="004A4B25"/>
    <w:rsid w:val="004A600C"/>
    <w:rsid w:val="004A6118"/>
    <w:rsid w:val="004B63B9"/>
    <w:rsid w:val="004C478D"/>
    <w:rsid w:val="004D7D95"/>
    <w:rsid w:val="004E2C26"/>
    <w:rsid w:val="0050388E"/>
    <w:rsid w:val="005125A8"/>
    <w:rsid w:val="00517549"/>
    <w:rsid w:val="00520600"/>
    <w:rsid w:val="00520ABC"/>
    <w:rsid w:val="00521AE8"/>
    <w:rsid w:val="00527180"/>
    <w:rsid w:val="00541DCA"/>
    <w:rsid w:val="0054590C"/>
    <w:rsid w:val="00555291"/>
    <w:rsid w:val="005642F2"/>
    <w:rsid w:val="00566AD1"/>
    <w:rsid w:val="00572082"/>
    <w:rsid w:val="0058350E"/>
    <w:rsid w:val="00583EDE"/>
    <w:rsid w:val="00590B38"/>
    <w:rsid w:val="005A6079"/>
    <w:rsid w:val="005E3AF6"/>
    <w:rsid w:val="005E4698"/>
    <w:rsid w:val="005F01C1"/>
    <w:rsid w:val="005F23E4"/>
    <w:rsid w:val="005F6481"/>
    <w:rsid w:val="006010A3"/>
    <w:rsid w:val="00603924"/>
    <w:rsid w:val="00610539"/>
    <w:rsid w:val="00613969"/>
    <w:rsid w:val="00625C35"/>
    <w:rsid w:val="00647E49"/>
    <w:rsid w:val="00656313"/>
    <w:rsid w:val="006565F4"/>
    <w:rsid w:val="00674505"/>
    <w:rsid w:val="00684EEA"/>
    <w:rsid w:val="006873E9"/>
    <w:rsid w:val="0069689B"/>
    <w:rsid w:val="006B21F9"/>
    <w:rsid w:val="006B5FF5"/>
    <w:rsid w:val="006C5CFB"/>
    <w:rsid w:val="006E6BAA"/>
    <w:rsid w:val="006F30AF"/>
    <w:rsid w:val="00701759"/>
    <w:rsid w:val="00705C15"/>
    <w:rsid w:val="007110F6"/>
    <w:rsid w:val="007208D1"/>
    <w:rsid w:val="00727910"/>
    <w:rsid w:val="00744518"/>
    <w:rsid w:val="00747288"/>
    <w:rsid w:val="00747DD3"/>
    <w:rsid w:val="007549C8"/>
    <w:rsid w:val="00764686"/>
    <w:rsid w:val="00766D14"/>
    <w:rsid w:val="00767A0F"/>
    <w:rsid w:val="00776AED"/>
    <w:rsid w:val="00791168"/>
    <w:rsid w:val="00791272"/>
    <w:rsid w:val="0079145B"/>
    <w:rsid w:val="007A05F6"/>
    <w:rsid w:val="007A6897"/>
    <w:rsid w:val="007B6F4A"/>
    <w:rsid w:val="007C604C"/>
    <w:rsid w:val="007E1C47"/>
    <w:rsid w:val="007E337A"/>
    <w:rsid w:val="007E5C70"/>
    <w:rsid w:val="007F2FF5"/>
    <w:rsid w:val="007F3F08"/>
    <w:rsid w:val="007F7014"/>
    <w:rsid w:val="00804CC6"/>
    <w:rsid w:val="008064A8"/>
    <w:rsid w:val="00810CE4"/>
    <w:rsid w:val="00817190"/>
    <w:rsid w:val="008260E2"/>
    <w:rsid w:val="008322BD"/>
    <w:rsid w:val="00833621"/>
    <w:rsid w:val="00834F73"/>
    <w:rsid w:val="00847C8F"/>
    <w:rsid w:val="00857C76"/>
    <w:rsid w:val="00864C8A"/>
    <w:rsid w:val="00864CF8"/>
    <w:rsid w:val="00874914"/>
    <w:rsid w:val="008854E9"/>
    <w:rsid w:val="00891422"/>
    <w:rsid w:val="00892E1A"/>
    <w:rsid w:val="008B660A"/>
    <w:rsid w:val="008C01DA"/>
    <w:rsid w:val="008C6CF9"/>
    <w:rsid w:val="008E1A9A"/>
    <w:rsid w:val="008F2674"/>
    <w:rsid w:val="008F6F4C"/>
    <w:rsid w:val="008F78E9"/>
    <w:rsid w:val="00905986"/>
    <w:rsid w:val="009179F9"/>
    <w:rsid w:val="00917C7A"/>
    <w:rsid w:val="00933E5E"/>
    <w:rsid w:val="00935218"/>
    <w:rsid w:val="00937334"/>
    <w:rsid w:val="00937C52"/>
    <w:rsid w:val="009403F3"/>
    <w:rsid w:val="009555B7"/>
    <w:rsid w:val="009567AA"/>
    <w:rsid w:val="009602C9"/>
    <w:rsid w:val="00961ED8"/>
    <w:rsid w:val="00967374"/>
    <w:rsid w:val="0098198C"/>
    <w:rsid w:val="009A343A"/>
    <w:rsid w:val="009B2F23"/>
    <w:rsid w:val="009B57B3"/>
    <w:rsid w:val="009B5B1A"/>
    <w:rsid w:val="009D2920"/>
    <w:rsid w:val="009D5AEB"/>
    <w:rsid w:val="009F0E33"/>
    <w:rsid w:val="00A010D4"/>
    <w:rsid w:val="00A149DF"/>
    <w:rsid w:val="00A1755C"/>
    <w:rsid w:val="00A21B90"/>
    <w:rsid w:val="00A22AAC"/>
    <w:rsid w:val="00A35138"/>
    <w:rsid w:val="00A41805"/>
    <w:rsid w:val="00A51882"/>
    <w:rsid w:val="00A52AFB"/>
    <w:rsid w:val="00A548CB"/>
    <w:rsid w:val="00A5521C"/>
    <w:rsid w:val="00A5606E"/>
    <w:rsid w:val="00A643E7"/>
    <w:rsid w:val="00A73C38"/>
    <w:rsid w:val="00A94711"/>
    <w:rsid w:val="00A9617E"/>
    <w:rsid w:val="00A96ADD"/>
    <w:rsid w:val="00AA1376"/>
    <w:rsid w:val="00AB670D"/>
    <w:rsid w:val="00AC7CDD"/>
    <w:rsid w:val="00AF03C5"/>
    <w:rsid w:val="00AF535A"/>
    <w:rsid w:val="00B000D8"/>
    <w:rsid w:val="00B00F75"/>
    <w:rsid w:val="00B145B6"/>
    <w:rsid w:val="00B15312"/>
    <w:rsid w:val="00B279EB"/>
    <w:rsid w:val="00B50C81"/>
    <w:rsid w:val="00B557F8"/>
    <w:rsid w:val="00B656C1"/>
    <w:rsid w:val="00B815FC"/>
    <w:rsid w:val="00B93FBC"/>
    <w:rsid w:val="00BA7DA0"/>
    <w:rsid w:val="00BB2EE4"/>
    <w:rsid w:val="00BB4C92"/>
    <w:rsid w:val="00BC2108"/>
    <w:rsid w:val="00BD0E9E"/>
    <w:rsid w:val="00BD1BEC"/>
    <w:rsid w:val="00BD32FF"/>
    <w:rsid w:val="00BF160D"/>
    <w:rsid w:val="00BF6FE9"/>
    <w:rsid w:val="00C02092"/>
    <w:rsid w:val="00C07861"/>
    <w:rsid w:val="00C11126"/>
    <w:rsid w:val="00C24D91"/>
    <w:rsid w:val="00C26DB2"/>
    <w:rsid w:val="00C53E06"/>
    <w:rsid w:val="00C53F14"/>
    <w:rsid w:val="00C600CF"/>
    <w:rsid w:val="00C6084F"/>
    <w:rsid w:val="00C62A66"/>
    <w:rsid w:val="00C66359"/>
    <w:rsid w:val="00C71458"/>
    <w:rsid w:val="00C7449B"/>
    <w:rsid w:val="00C77613"/>
    <w:rsid w:val="00C828E7"/>
    <w:rsid w:val="00C86719"/>
    <w:rsid w:val="00C921DD"/>
    <w:rsid w:val="00CA6391"/>
    <w:rsid w:val="00CB3F09"/>
    <w:rsid w:val="00CB4F31"/>
    <w:rsid w:val="00CD7206"/>
    <w:rsid w:val="00CE036E"/>
    <w:rsid w:val="00CE3171"/>
    <w:rsid w:val="00CF1601"/>
    <w:rsid w:val="00D0172F"/>
    <w:rsid w:val="00D01E33"/>
    <w:rsid w:val="00D04983"/>
    <w:rsid w:val="00D068A7"/>
    <w:rsid w:val="00D17476"/>
    <w:rsid w:val="00D32086"/>
    <w:rsid w:val="00D36A7C"/>
    <w:rsid w:val="00D37A3F"/>
    <w:rsid w:val="00D37E11"/>
    <w:rsid w:val="00D43CF6"/>
    <w:rsid w:val="00D4431D"/>
    <w:rsid w:val="00D4667A"/>
    <w:rsid w:val="00D50B35"/>
    <w:rsid w:val="00D63A1C"/>
    <w:rsid w:val="00D7516F"/>
    <w:rsid w:val="00D9464E"/>
    <w:rsid w:val="00D95AA9"/>
    <w:rsid w:val="00D95F8E"/>
    <w:rsid w:val="00DA0590"/>
    <w:rsid w:val="00DC1739"/>
    <w:rsid w:val="00DC1788"/>
    <w:rsid w:val="00DD118E"/>
    <w:rsid w:val="00DE319C"/>
    <w:rsid w:val="00DF0CA8"/>
    <w:rsid w:val="00DF136F"/>
    <w:rsid w:val="00DF2B48"/>
    <w:rsid w:val="00DF49A7"/>
    <w:rsid w:val="00E07EE2"/>
    <w:rsid w:val="00E07FD1"/>
    <w:rsid w:val="00E23FE6"/>
    <w:rsid w:val="00E24573"/>
    <w:rsid w:val="00E25E1E"/>
    <w:rsid w:val="00E27EE7"/>
    <w:rsid w:val="00E35404"/>
    <w:rsid w:val="00E374CB"/>
    <w:rsid w:val="00E45109"/>
    <w:rsid w:val="00E47B7A"/>
    <w:rsid w:val="00E56A44"/>
    <w:rsid w:val="00E60269"/>
    <w:rsid w:val="00E6359D"/>
    <w:rsid w:val="00E66C17"/>
    <w:rsid w:val="00E70F36"/>
    <w:rsid w:val="00E80A41"/>
    <w:rsid w:val="00E97830"/>
    <w:rsid w:val="00EA4AC7"/>
    <w:rsid w:val="00EB3757"/>
    <w:rsid w:val="00EC430D"/>
    <w:rsid w:val="00EE0830"/>
    <w:rsid w:val="00EE6CB8"/>
    <w:rsid w:val="00EF0683"/>
    <w:rsid w:val="00F0070C"/>
    <w:rsid w:val="00F00EB7"/>
    <w:rsid w:val="00F2492D"/>
    <w:rsid w:val="00F36AB6"/>
    <w:rsid w:val="00F37A09"/>
    <w:rsid w:val="00F409CE"/>
    <w:rsid w:val="00F4379D"/>
    <w:rsid w:val="00F50D2D"/>
    <w:rsid w:val="00F56C8B"/>
    <w:rsid w:val="00F62639"/>
    <w:rsid w:val="00F63E5F"/>
    <w:rsid w:val="00F6406F"/>
    <w:rsid w:val="00F66810"/>
    <w:rsid w:val="00F84DF4"/>
    <w:rsid w:val="00F85C7A"/>
    <w:rsid w:val="00F85C97"/>
    <w:rsid w:val="00F933EB"/>
    <w:rsid w:val="00F96616"/>
    <w:rsid w:val="00FB08E7"/>
    <w:rsid w:val="00FB37D2"/>
    <w:rsid w:val="00FC4EFB"/>
    <w:rsid w:val="00FD068D"/>
    <w:rsid w:val="00FD1F2C"/>
    <w:rsid w:val="00FD4F28"/>
    <w:rsid w:val="00FE20A8"/>
    <w:rsid w:val="00FE6784"/>
    <w:rsid w:val="00FE7A8B"/>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Spacing">
    <w:name w:val="No Spacing"/>
    <w:uiPriority w:val="1"/>
    <w:rsid w:val="00B656C1"/>
    <w:rPr>
      <w:sz w:val="24"/>
    </w:rPr>
  </w:style>
  <w:style w:type="paragraph" w:customStyle="1" w:styleId="SCCLsocOtherPartyRoleSeparator">
    <w:name w:val="SCC.Lsoc.OtherPartyRoleSeparator"/>
    <w:basedOn w:val="Normal"/>
    <w:next w:val="Normal"/>
    <w:link w:val="SCCLsocOtherPartyRoleSeparatorChar"/>
    <w:rsid w:val="00B656C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B656C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B656C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B656C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B656C1"/>
    <w:rPr>
      <w:b/>
      <w:sz w:val="24"/>
    </w:rPr>
  </w:style>
  <w:style w:type="table" w:styleId="TableGrid">
    <w:name w:val="Table Grid"/>
    <w:basedOn w:val="TableNormal"/>
    <w:uiPriority w:val="59"/>
    <w:rsid w:val="00B656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656C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B656C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B656C1"/>
    <w:pPr>
      <w:tabs>
        <w:tab w:val="left" w:pos="1166"/>
      </w:tabs>
      <w:spacing w:after="480" w:line="480" w:lineRule="auto"/>
    </w:pPr>
    <w:rPr>
      <w:smallCaps/>
      <w:sz w:val="24"/>
      <w:lang w:val="fr-CA"/>
    </w:rPr>
  </w:style>
  <w:style w:type="paragraph" w:customStyle="1" w:styleId="ParaNoNdepar-AltN">
    <w:name w:val="Para. No. / Nº de par. - Alt N"/>
    <w:qFormat/>
    <w:rsid w:val="00B656C1"/>
    <w:pPr>
      <w:numPr>
        <w:numId w:val="6"/>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B656C1"/>
    <w:pPr>
      <w:tabs>
        <w:tab w:val="left" w:pos="360"/>
      </w:tabs>
      <w:spacing w:before="480" w:after="720"/>
      <w:ind w:left="360" w:hanging="360"/>
      <w:jc w:val="both"/>
    </w:pPr>
    <w:rPr>
      <w:rFonts w:eastAsiaTheme="minorHAnsi" w:cstheme="minorBidi"/>
      <w:sz w:val="24"/>
      <w:szCs w:val="22"/>
      <w:lang w:val="fr-CA" w:eastAsia="en-US"/>
    </w:rPr>
  </w:style>
  <w:style w:type="paragraph" w:styleId="ListParagraph">
    <w:name w:val="List Paragraph"/>
    <w:basedOn w:val="Normal"/>
    <w:uiPriority w:val="34"/>
    <w:rsid w:val="00B656C1"/>
    <w:pPr>
      <w:ind w:left="720"/>
      <w:contextualSpacing/>
    </w:pPr>
    <w:rPr>
      <w:lang w:val="fr-CA"/>
    </w:rPr>
  </w:style>
  <w:style w:type="table" w:customStyle="1" w:styleId="TableGrid1">
    <w:name w:val="Table Grid1"/>
    <w:basedOn w:val="TableNormal"/>
    <w:next w:val="TableGrid"/>
    <w:uiPriority w:val="59"/>
    <w:rsid w:val="00B656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8969</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2013-11-27T19:22:00Z</dcterms:created>
  <dcterms:modified xsi:type="dcterms:W3CDTF">2018-10-15T15:11:00Z</dcterms:modified>
</cp:coreProperties>
</file>