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DD" w:rsidRPr="00EE1568" w:rsidRDefault="00783DDD" w:rsidP="00783DDD">
      <w:pPr>
        <w:tabs>
          <w:tab w:val="center" w:pos="4680"/>
          <w:tab w:val="right" w:pos="9360"/>
        </w:tabs>
        <w:jc w:val="center"/>
        <w:rPr>
          <w:rFonts w:eastAsiaTheme="minorHAnsi" w:cstheme="minorBidi"/>
          <w:szCs w:val="24"/>
          <w:lang w:val="fr-CA" w:eastAsia="en-US"/>
        </w:rPr>
      </w:pPr>
      <w:r w:rsidRPr="00EE1568">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7" o:title=""/>
          </v:shape>
          <o:OLEObject Type="Embed" ProgID="Presentations.Drawing.13" ShapeID="_x0000_i1025" DrawAspect="Content" ObjectID="_1458032766" r:id="rId8"/>
        </w:object>
      </w:r>
    </w:p>
    <w:p w:rsidR="00783DDD" w:rsidRPr="00EE1568" w:rsidRDefault="00783DDD" w:rsidP="00783DDD">
      <w:pPr>
        <w:tabs>
          <w:tab w:val="center" w:pos="4680"/>
          <w:tab w:val="right" w:pos="9360"/>
        </w:tabs>
        <w:rPr>
          <w:rFonts w:eastAsiaTheme="minorHAnsi" w:cstheme="minorBidi"/>
          <w:szCs w:val="24"/>
          <w:lang w:val="fr-CA" w:eastAsia="en-US"/>
        </w:rPr>
      </w:pPr>
    </w:p>
    <w:p w:rsidR="00783DDD" w:rsidRPr="00EE1568" w:rsidRDefault="00783DDD" w:rsidP="00783DDD">
      <w:pPr>
        <w:jc w:val="center"/>
        <w:rPr>
          <w:rFonts w:eastAsiaTheme="minorHAnsi" w:cstheme="minorBidi"/>
          <w:b/>
          <w:szCs w:val="24"/>
          <w:lang w:val="fr-CA" w:eastAsia="en-US"/>
        </w:rPr>
      </w:pPr>
      <w:r w:rsidRPr="00EE1568">
        <w:rPr>
          <w:rFonts w:eastAsiaTheme="minorHAnsi" w:cstheme="minorBidi"/>
          <w:b/>
          <w:szCs w:val="24"/>
          <w:lang w:val="fr-CA" w:eastAsia="en-US"/>
        </w:rPr>
        <w:t>COUR SUPRÊME DU CANADA</w:t>
      </w:r>
    </w:p>
    <w:p w:rsidR="00783DDD" w:rsidRPr="00EE1568" w:rsidRDefault="00783DDD" w:rsidP="00783DDD">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83DDD" w:rsidRPr="00EE1568" w:rsidTr="00A91E19">
        <w:trPr>
          <w:cantSplit/>
        </w:trPr>
        <w:tc>
          <w:tcPr>
            <w:tcW w:w="6768" w:type="dxa"/>
          </w:tcPr>
          <w:p w:rsidR="00783DDD" w:rsidRPr="00EE1568" w:rsidRDefault="00783DDD" w:rsidP="00A91E19">
            <w:pPr>
              <w:rPr>
                <w:lang w:val="fr-CA"/>
              </w:rPr>
            </w:pPr>
            <w:r w:rsidRPr="00EE1568">
              <w:rPr>
                <w:b/>
                <w:smallCaps/>
                <w:lang w:val="fr-CA"/>
              </w:rPr>
              <w:t>Référence :</w:t>
            </w:r>
            <w:r w:rsidRPr="00EE1568">
              <w:rPr>
                <w:lang w:val="fr-CA"/>
              </w:rPr>
              <w:t xml:space="preserve"> </w:t>
            </w:r>
            <w:r w:rsidRPr="00EE1568">
              <w:rPr>
                <w:szCs w:val="20"/>
                <w:lang w:val="fr-CA"/>
              </w:rPr>
              <w:t>Amaratunga</w:t>
            </w:r>
            <w:r w:rsidRPr="00EE1568">
              <w:rPr>
                <w:iCs/>
                <w:color w:val="000000" w:themeColor="text1"/>
                <w:lang w:val="fr-CA"/>
              </w:rPr>
              <w:t xml:space="preserve"> </w:t>
            </w:r>
            <w:r w:rsidRPr="00EE1568">
              <w:rPr>
                <w:i/>
                <w:iCs/>
                <w:color w:val="000000" w:themeColor="text1"/>
                <w:lang w:val="fr-CA"/>
              </w:rPr>
              <w:t>c.</w:t>
            </w:r>
            <w:r w:rsidRPr="00EE1568">
              <w:rPr>
                <w:iCs/>
                <w:color w:val="000000" w:themeColor="text1"/>
                <w:lang w:val="fr-CA"/>
              </w:rPr>
              <w:t xml:space="preserve"> </w:t>
            </w:r>
            <w:r w:rsidRPr="00EE1568">
              <w:rPr>
                <w:szCs w:val="20"/>
                <w:lang w:val="fr-CA"/>
              </w:rPr>
              <w:t>Organisation des pêches de l’Atlantique Nord-Ouest</w:t>
            </w:r>
            <w:r w:rsidRPr="00EE1568">
              <w:rPr>
                <w:iCs/>
                <w:color w:val="000000" w:themeColor="text1"/>
                <w:lang w:val="fr-CA"/>
              </w:rPr>
              <w:t>,</w:t>
            </w:r>
            <w:r w:rsidRPr="00EE1568">
              <w:rPr>
                <w:lang w:val="fr-CA"/>
              </w:rPr>
              <w:t xml:space="preserve"> 2013 CSC 66</w:t>
            </w:r>
            <w:r>
              <w:rPr>
                <w:lang w:val="fr-CA"/>
              </w:rPr>
              <w:t>, [2013] 3 R.C.S. 866</w:t>
            </w:r>
          </w:p>
        </w:tc>
        <w:tc>
          <w:tcPr>
            <w:tcW w:w="2808" w:type="dxa"/>
          </w:tcPr>
          <w:p w:rsidR="00783DDD" w:rsidRPr="00EE1568" w:rsidRDefault="00783DDD" w:rsidP="00A91E19">
            <w:pPr>
              <w:rPr>
                <w:lang w:val="fr-CA"/>
              </w:rPr>
            </w:pPr>
            <w:r w:rsidRPr="00EE1568">
              <w:rPr>
                <w:b/>
                <w:smallCaps/>
                <w:lang w:val="fr-CA"/>
              </w:rPr>
              <w:t>Date :</w:t>
            </w:r>
            <w:r w:rsidRPr="00EE1568">
              <w:rPr>
                <w:lang w:val="fr-CA"/>
              </w:rPr>
              <w:t xml:space="preserve"> 20131129</w:t>
            </w:r>
          </w:p>
          <w:p w:rsidR="00783DDD" w:rsidRPr="00EE1568" w:rsidRDefault="00783DDD" w:rsidP="00A91E19">
            <w:pPr>
              <w:rPr>
                <w:lang w:val="fr-CA"/>
              </w:rPr>
            </w:pPr>
            <w:r w:rsidRPr="00EE1568">
              <w:rPr>
                <w:b/>
                <w:smallCaps/>
                <w:lang w:val="fr-CA"/>
              </w:rPr>
              <w:t>Dossier :</w:t>
            </w:r>
            <w:r w:rsidRPr="00EE1568">
              <w:rPr>
                <w:lang w:val="fr-CA"/>
              </w:rPr>
              <w:t xml:space="preserve"> 34501</w:t>
            </w:r>
          </w:p>
        </w:tc>
      </w:tr>
    </w:tbl>
    <w:p w:rsidR="00783DDD" w:rsidRPr="00EE1568" w:rsidRDefault="00783DDD" w:rsidP="00783DDD">
      <w:pPr>
        <w:rPr>
          <w:rFonts w:eastAsiaTheme="minorHAnsi" w:cstheme="minorBidi"/>
          <w:szCs w:val="24"/>
          <w:lang w:val="fr-CA" w:eastAsia="en-US"/>
        </w:rPr>
      </w:pPr>
    </w:p>
    <w:p w:rsidR="00783DDD" w:rsidRPr="00EE1568" w:rsidRDefault="00783DDD" w:rsidP="00783DDD">
      <w:pPr>
        <w:rPr>
          <w:rFonts w:eastAsiaTheme="minorHAnsi" w:cstheme="minorBidi"/>
          <w:b/>
          <w:smallCaps/>
          <w:szCs w:val="24"/>
          <w:lang w:val="fr-CA" w:eastAsia="en-US"/>
        </w:rPr>
      </w:pPr>
      <w:r w:rsidRPr="00EE1568">
        <w:rPr>
          <w:rFonts w:eastAsiaTheme="minorHAnsi" w:cstheme="minorBidi"/>
          <w:b/>
          <w:smallCaps/>
          <w:szCs w:val="24"/>
          <w:lang w:val="fr-CA" w:eastAsia="en-US"/>
        </w:rPr>
        <w:t>Entre :</w:t>
      </w:r>
    </w:p>
    <w:p w:rsidR="00783DDD" w:rsidRPr="00EE1568" w:rsidRDefault="00783DDD" w:rsidP="00783DDD">
      <w:pPr>
        <w:jc w:val="center"/>
        <w:rPr>
          <w:rFonts w:eastAsiaTheme="minorHAnsi" w:cstheme="minorBidi"/>
          <w:b/>
          <w:szCs w:val="24"/>
          <w:lang w:val="fr-CA" w:eastAsia="en-US"/>
        </w:rPr>
      </w:pPr>
      <w:r w:rsidRPr="00EE1568">
        <w:rPr>
          <w:rFonts w:eastAsiaTheme="minorHAnsi" w:cstheme="minorBidi"/>
          <w:b/>
          <w:szCs w:val="24"/>
          <w:lang w:val="fr-CA" w:eastAsia="en-US"/>
        </w:rPr>
        <w:t>Tissa Amaratunga</w:t>
      </w:r>
    </w:p>
    <w:p w:rsidR="00783DDD" w:rsidRPr="00EE1568" w:rsidRDefault="00783DDD" w:rsidP="00783DDD">
      <w:pPr>
        <w:jc w:val="center"/>
        <w:rPr>
          <w:rFonts w:eastAsiaTheme="minorHAnsi" w:cstheme="minorBidi"/>
          <w:szCs w:val="24"/>
          <w:lang w:val="fr-CA" w:eastAsia="en-US"/>
        </w:rPr>
      </w:pPr>
      <w:r w:rsidRPr="00EE1568">
        <w:rPr>
          <w:rFonts w:eastAsiaTheme="minorHAnsi" w:cstheme="minorBidi"/>
          <w:szCs w:val="24"/>
          <w:lang w:val="fr-CA" w:eastAsia="en-US"/>
        </w:rPr>
        <w:t>Appelant</w:t>
      </w:r>
    </w:p>
    <w:p w:rsidR="00783DDD" w:rsidRPr="00EE1568" w:rsidRDefault="00783DDD" w:rsidP="00783DDD">
      <w:pPr>
        <w:jc w:val="center"/>
        <w:rPr>
          <w:rFonts w:eastAsiaTheme="minorHAnsi" w:cstheme="minorBidi"/>
          <w:szCs w:val="24"/>
          <w:lang w:val="fr-CA" w:eastAsia="en-US"/>
        </w:rPr>
      </w:pPr>
      <w:r w:rsidRPr="00EE1568">
        <w:rPr>
          <w:rFonts w:eastAsiaTheme="minorHAnsi" w:cstheme="minorBidi"/>
          <w:szCs w:val="24"/>
          <w:lang w:val="fr-CA" w:eastAsia="en-US"/>
        </w:rPr>
        <w:t>et</w:t>
      </w:r>
    </w:p>
    <w:p w:rsidR="00783DDD" w:rsidRPr="00EE1568" w:rsidRDefault="00783DDD" w:rsidP="00783DDD">
      <w:pPr>
        <w:jc w:val="center"/>
        <w:rPr>
          <w:rFonts w:eastAsiaTheme="minorHAnsi" w:cstheme="minorBidi"/>
          <w:b/>
          <w:szCs w:val="24"/>
          <w:lang w:val="fr-CA" w:eastAsia="en-US"/>
        </w:rPr>
      </w:pPr>
      <w:r w:rsidRPr="00EE1568">
        <w:rPr>
          <w:rFonts w:eastAsiaTheme="minorHAnsi" w:cstheme="minorBidi"/>
          <w:b/>
          <w:szCs w:val="24"/>
          <w:lang w:val="fr-CA" w:eastAsia="en-US"/>
        </w:rPr>
        <w:t>Organisation des pêches de l’Atlantique Nord-Ouest, une personne morale</w:t>
      </w:r>
    </w:p>
    <w:p w:rsidR="00783DDD" w:rsidRPr="00EE1568" w:rsidRDefault="00783DDD" w:rsidP="00783DDD">
      <w:pPr>
        <w:jc w:val="center"/>
        <w:rPr>
          <w:rFonts w:eastAsiaTheme="minorHAnsi" w:cstheme="minorBidi"/>
          <w:szCs w:val="24"/>
          <w:lang w:val="fr-CA" w:eastAsia="en-US"/>
        </w:rPr>
      </w:pPr>
      <w:r w:rsidRPr="00EE1568">
        <w:rPr>
          <w:rFonts w:eastAsiaTheme="minorHAnsi" w:cstheme="minorBidi"/>
          <w:szCs w:val="24"/>
          <w:lang w:val="fr-CA" w:eastAsia="en-US"/>
        </w:rPr>
        <w:t>Intimée</w:t>
      </w:r>
    </w:p>
    <w:p w:rsidR="00783DDD" w:rsidRPr="00EE1568" w:rsidRDefault="00783DDD" w:rsidP="00783DDD">
      <w:pPr>
        <w:jc w:val="center"/>
        <w:rPr>
          <w:rFonts w:eastAsiaTheme="minorHAnsi" w:cstheme="minorBidi"/>
          <w:szCs w:val="24"/>
          <w:lang w:val="fr-CA" w:eastAsia="en-US"/>
        </w:rPr>
      </w:pPr>
      <w:r w:rsidRPr="00EE1568">
        <w:rPr>
          <w:rFonts w:eastAsiaTheme="minorHAnsi" w:cstheme="minorBidi"/>
          <w:szCs w:val="24"/>
          <w:lang w:val="fr-CA" w:eastAsia="en-US"/>
        </w:rPr>
        <w:t>- et -</w:t>
      </w:r>
    </w:p>
    <w:p w:rsidR="00783DDD" w:rsidRPr="00EE1568" w:rsidRDefault="00783DDD" w:rsidP="00783DDD">
      <w:pPr>
        <w:jc w:val="center"/>
        <w:rPr>
          <w:rFonts w:eastAsiaTheme="minorHAnsi" w:cstheme="minorBidi"/>
          <w:b/>
          <w:szCs w:val="24"/>
          <w:lang w:val="fr-CA" w:eastAsia="en-US"/>
        </w:rPr>
      </w:pPr>
      <w:r w:rsidRPr="00EE1568">
        <w:rPr>
          <w:rFonts w:eastAsiaTheme="minorHAnsi" w:cstheme="minorBidi"/>
          <w:b/>
          <w:szCs w:val="24"/>
          <w:lang w:val="fr-CA" w:eastAsia="en-US"/>
        </w:rPr>
        <w:t>Association canadienne des libertés civiles</w:t>
      </w:r>
    </w:p>
    <w:p w:rsidR="00783DDD" w:rsidRPr="00EE1568" w:rsidRDefault="00783DDD" w:rsidP="00783DDD">
      <w:pPr>
        <w:jc w:val="center"/>
        <w:rPr>
          <w:rFonts w:eastAsiaTheme="minorHAnsi" w:cstheme="minorBidi"/>
          <w:szCs w:val="24"/>
          <w:lang w:val="fr-CA" w:eastAsia="en-US"/>
        </w:rPr>
      </w:pPr>
      <w:r w:rsidRPr="00EE1568">
        <w:rPr>
          <w:rFonts w:eastAsiaTheme="minorHAnsi" w:cstheme="minorBidi"/>
          <w:szCs w:val="24"/>
          <w:lang w:val="fr-CA" w:eastAsia="en-US"/>
        </w:rPr>
        <w:t>Intervenante</w:t>
      </w:r>
    </w:p>
    <w:p w:rsidR="00783DDD" w:rsidRPr="00EE1568" w:rsidRDefault="00783DDD" w:rsidP="00783DDD">
      <w:pPr>
        <w:rPr>
          <w:rFonts w:eastAsiaTheme="minorHAnsi" w:cstheme="minorBidi"/>
          <w:szCs w:val="24"/>
          <w:lang w:val="fr-CA" w:eastAsia="en-US"/>
        </w:rPr>
      </w:pPr>
    </w:p>
    <w:p w:rsidR="00783DDD" w:rsidRPr="00EE1568" w:rsidRDefault="00783DDD" w:rsidP="00783DDD">
      <w:pPr>
        <w:jc w:val="center"/>
        <w:rPr>
          <w:rFonts w:eastAsiaTheme="minorHAnsi" w:cstheme="minorBidi"/>
          <w:b/>
          <w:smallCaps/>
          <w:szCs w:val="24"/>
          <w:lang w:val="fr-CA" w:eastAsia="en-US"/>
        </w:rPr>
      </w:pPr>
      <w:r w:rsidRPr="00EE1568">
        <w:rPr>
          <w:rFonts w:eastAsiaTheme="minorHAnsi" w:cstheme="minorBidi"/>
          <w:b/>
          <w:smallCaps/>
          <w:szCs w:val="24"/>
          <w:lang w:val="fr-CA" w:eastAsia="en-US"/>
        </w:rPr>
        <w:t>Traduction française officielle</w:t>
      </w:r>
    </w:p>
    <w:p w:rsidR="00783DDD" w:rsidRPr="00EE1568" w:rsidRDefault="00783DDD" w:rsidP="00783DDD">
      <w:pPr>
        <w:rPr>
          <w:rFonts w:eastAsiaTheme="minorHAnsi" w:cstheme="minorBidi"/>
          <w:szCs w:val="24"/>
          <w:lang w:val="fr-CA" w:eastAsia="en-US"/>
        </w:rPr>
      </w:pPr>
    </w:p>
    <w:p w:rsidR="00783DDD" w:rsidRPr="00EE1568" w:rsidRDefault="00783DDD" w:rsidP="00783DDD">
      <w:pPr>
        <w:rPr>
          <w:rFonts w:eastAsiaTheme="minorHAnsi" w:cstheme="minorBidi"/>
          <w:szCs w:val="24"/>
          <w:lang w:val="fr-CA" w:eastAsia="en-US"/>
        </w:rPr>
      </w:pPr>
      <w:r w:rsidRPr="00EE1568">
        <w:rPr>
          <w:rFonts w:eastAsiaTheme="minorHAnsi" w:cstheme="minorBidi"/>
          <w:b/>
          <w:smallCaps/>
          <w:szCs w:val="24"/>
          <w:lang w:val="fr-CA" w:eastAsia="en-US"/>
        </w:rPr>
        <w:t>Coram :</w:t>
      </w:r>
      <w:r w:rsidRPr="00EE1568">
        <w:rPr>
          <w:rFonts w:eastAsiaTheme="minorHAnsi" w:cstheme="minorBidi"/>
          <w:szCs w:val="24"/>
          <w:lang w:val="fr-CA" w:eastAsia="en-US"/>
        </w:rPr>
        <w:t xml:space="preserve"> La juge en chef McLachlin et les juges LeBel, Fish, Abella, Rothstein, Cromwell, Moldaver, Karakatsanis et Wagner</w:t>
      </w:r>
    </w:p>
    <w:p w:rsidR="00783DDD" w:rsidRPr="00EE1568" w:rsidRDefault="00783DDD" w:rsidP="00783DDD">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83DDD" w:rsidRPr="00EE1568" w:rsidTr="00A91E19">
        <w:trPr>
          <w:cantSplit/>
        </w:trPr>
        <w:tc>
          <w:tcPr>
            <w:tcW w:w="3618" w:type="dxa"/>
          </w:tcPr>
          <w:p w:rsidR="00783DDD" w:rsidRPr="00EE1568" w:rsidRDefault="00783DDD" w:rsidP="00A91E19">
            <w:pPr>
              <w:rPr>
                <w:b/>
                <w:smallCaps/>
                <w:lang w:val="fr-CA"/>
              </w:rPr>
            </w:pPr>
            <w:r w:rsidRPr="00EE1568">
              <w:rPr>
                <w:b/>
                <w:smallCaps/>
                <w:lang w:val="fr-CA"/>
              </w:rPr>
              <w:t>Motifs de jugement :</w:t>
            </w:r>
          </w:p>
          <w:p w:rsidR="00783DDD" w:rsidRPr="00EE1568" w:rsidRDefault="00783DDD" w:rsidP="00A91E19">
            <w:pPr>
              <w:rPr>
                <w:lang w:val="fr-CA"/>
              </w:rPr>
            </w:pPr>
            <w:r w:rsidRPr="00EE1568">
              <w:rPr>
                <w:lang w:val="fr-CA"/>
              </w:rPr>
              <w:t>(par. 1 à 68)</w:t>
            </w:r>
          </w:p>
        </w:tc>
        <w:tc>
          <w:tcPr>
            <w:tcW w:w="5958" w:type="dxa"/>
          </w:tcPr>
          <w:p w:rsidR="00783DDD" w:rsidRPr="00EE1568" w:rsidRDefault="00783DDD" w:rsidP="00A91E19">
            <w:pPr>
              <w:rPr>
                <w:lang w:val="fr-CA"/>
              </w:rPr>
            </w:pPr>
            <w:r w:rsidRPr="00EE1568">
              <w:rPr>
                <w:lang w:val="fr-CA"/>
              </w:rPr>
              <w:t>Le juge LeBel (avec l’accord de la juge en chef McLachlin et des juges Fish, Abella, Rothstein, Cromwell, Moldaver, Karakatsanis et Wagner)</w:t>
            </w:r>
          </w:p>
        </w:tc>
      </w:tr>
    </w:tbl>
    <w:p w:rsidR="00783DDD" w:rsidRPr="00EE1568" w:rsidRDefault="00783DDD" w:rsidP="00783DDD">
      <w:pPr>
        <w:rPr>
          <w:rFonts w:eastAsiaTheme="minorHAnsi" w:cstheme="minorBidi"/>
          <w:szCs w:val="24"/>
          <w:lang w:val="fr-CA" w:eastAsia="en-US"/>
        </w:rPr>
      </w:pPr>
      <w:r w:rsidRPr="008F7E56">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783DDD" w:rsidRDefault="00783DDD" w:rsidP="00783DDD">
      <w:pPr>
        <w:rPr>
          <w:smallCaps/>
          <w:lang w:val="fr-CA"/>
        </w:rPr>
      </w:pPr>
      <w:r>
        <w:rPr>
          <w:smallCaps/>
          <w:lang w:val="fr-CA"/>
        </w:rPr>
        <w:br w:type="page"/>
      </w:r>
    </w:p>
    <w:p w:rsidR="004D7D95" w:rsidRPr="00786CDB" w:rsidRDefault="00786CDB" w:rsidP="00BC4663">
      <w:pPr>
        <w:spacing w:after="720"/>
        <w:jc w:val="both"/>
        <w:rPr>
          <w:smallCaps/>
          <w:lang w:val="fr-CA"/>
        </w:rPr>
      </w:pPr>
      <w:r w:rsidRPr="00786CDB">
        <w:rPr>
          <w:lang w:val="fr-CA"/>
        </w:rPr>
        <w:lastRenderedPageBreak/>
        <w:t xml:space="preserve">Amaratunga </w:t>
      </w:r>
      <w:r w:rsidRPr="00786CDB">
        <w:rPr>
          <w:i/>
          <w:lang w:val="fr-CA"/>
        </w:rPr>
        <w:t>c.</w:t>
      </w:r>
      <w:r w:rsidRPr="00786CDB">
        <w:rPr>
          <w:lang w:val="fr-CA"/>
        </w:rPr>
        <w:t xml:space="preserve"> Organisation des pêches de l’Atlantique Nord</w:t>
      </w:r>
      <w:r w:rsidRPr="00786CDB">
        <w:rPr>
          <w:lang w:val="fr-CA"/>
        </w:rPr>
        <w:noBreakHyphen/>
        <w:t>Ouest</w:t>
      </w:r>
      <w:r>
        <w:rPr>
          <w:lang w:val="fr-CA"/>
        </w:rPr>
        <w:t xml:space="preserve">, </w:t>
      </w:r>
      <w:r w:rsidRPr="00B74AB3">
        <w:rPr>
          <w:lang w:val="fr-CA"/>
        </w:rPr>
        <w:t>2013 CSC 66</w:t>
      </w:r>
      <w:r>
        <w:rPr>
          <w:lang w:val="fr-CA"/>
        </w:rPr>
        <w:t xml:space="preserve">, [2013] 3 R.C.S. </w:t>
      </w:r>
      <w:r w:rsidR="00021CB9">
        <w:rPr>
          <w:lang w:val="fr-CA"/>
        </w:rPr>
        <w:t>866</w:t>
      </w:r>
    </w:p>
    <w:p w:rsidR="00F340C4" w:rsidRPr="00B74AB3" w:rsidRDefault="004A1DC5" w:rsidP="00BC4663">
      <w:pPr>
        <w:pStyle w:val="SCCLsocLastPartyInRole"/>
        <w:rPr>
          <w:lang w:val="fr-CA"/>
        </w:rPr>
      </w:pPr>
      <w:r w:rsidRPr="00B74AB3">
        <w:rPr>
          <w:lang w:val="fr-CA"/>
        </w:rPr>
        <w:t>Tissa Amaratunga</w:t>
      </w:r>
      <w:r w:rsidR="00356217" w:rsidRPr="00B74AB3">
        <w:rPr>
          <w:rStyle w:val="SCCLsocPartyRole"/>
          <w:lang w:val="fr-CA"/>
        </w:rPr>
        <w:tab/>
        <w:t>Appelant</w:t>
      </w:r>
    </w:p>
    <w:p w:rsidR="00F340C4" w:rsidRPr="00B74AB3" w:rsidRDefault="004A1DC5" w:rsidP="00BC4663">
      <w:pPr>
        <w:pStyle w:val="SCCLsocVersus"/>
        <w:rPr>
          <w:lang w:val="fr-CA"/>
        </w:rPr>
      </w:pPr>
      <w:r w:rsidRPr="00B74AB3">
        <w:rPr>
          <w:lang w:val="fr-CA"/>
        </w:rPr>
        <w:t>c.</w:t>
      </w:r>
    </w:p>
    <w:p w:rsidR="00F46E15" w:rsidRPr="00B74AB3" w:rsidRDefault="00F46E15" w:rsidP="00BC4663">
      <w:pPr>
        <w:pStyle w:val="SCCLsocLastPartyInRole"/>
        <w:spacing w:after="0"/>
        <w:rPr>
          <w:lang w:val="fr-CA"/>
        </w:rPr>
      </w:pPr>
      <w:r w:rsidRPr="00B74AB3">
        <w:rPr>
          <w:lang w:val="fr-CA"/>
        </w:rPr>
        <w:t>Organisation des pêches de l’Atlantique Nord</w:t>
      </w:r>
      <w:r w:rsidR="00BC4663" w:rsidRPr="00B74AB3">
        <w:rPr>
          <w:lang w:val="fr-CA"/>
        </w:rPr>
        <w:noBreakHyphen/>
      </w:r>
      <w:r w:rsidRPr="00B74AB3">
        <w:rPr>
          <w:lang w:val="fr-CA"/>
        </w:rPr>
        <w:t>Ouest</w:t>
      </w:r>
      <w:r w:rsidR="004A1DC5" w:rsidRPr="00B74AB3">
        <w:rPr>
          <w:lang w:val="fr-CA"/>
        </w:rPr>
        <w:t xml:space="preserve">, </w:t>
      </w:r>
    </w:p>
    <w:p w:rsidR="00F340C4" w:rsidRPr="00B74AB3" w:rsidRDefault="004A1DC5" w:rsidP="00BC4663">
      <w:pPr>
        <w:pStyle w:val="SCCLsocLastPartyInRole"/>
        <w:rPr>
          <w:lang w:val="fr-CA"/>
        </w:rPr>
      </w:pPr>
      <w:r w:rsidRPr="00B74AB3">
        <w:rPr>
          <w:lang w:val="fr-CA"/>
        </w:rPr>
        <w:t>une personne morale</w:t>
      </w:r>
      <w:r w:rsidRPr="00B74AB3">
        <w:rPr>
          <w:rStyle w:val="SCCLsocPartyRole"/>
          <w:lang w:val="fr-CA"/>
        </w:rPr>
        <w:tab/>
        <w:t>Intimée</w:t>
      </w:r>
    </w:p>
    <w:p w:rsidR="00F340C4" w:rsidRPr="00B74AB3" w:rsidRDefault="004A1DC5" w:rsidP="00BC4663">
      <w:pPr>
        <w:pStyle w:val="SCCLsocOtherPartySeparator"/>
        <w:rPr>
          <w:lang w:val="fr-CA"/>
        </w:rPr>
      </w:pPr>
      <w:r w:rsidRPr="00B74AB3">
        <w:rPr>
          <w:lang w:val="fr-CA"/>
        </w:rPr>
        <w:t>et</w:t>
      </w:r>
    </w:p>
    <w:p w:rsidR="00F340C4" w:rsidRPr="00B74AB3" w:rsidRDefault="004A1DC5" w:rsidP="00BC4663">
      <w:pPr>
        <w:pStyle w:val="SCCLsocLastPartyInRole"/>
        <w:rPr>
          <w:lang w:val="fr-CA"/>
        </w:rPr>
      </w:pPr>
      <w:r w:rsidRPr="00B74AB3">
        <w:rPr>
          <w:lang w:val="fr-CA"/>
        </w:rPr>
        <w:t>Association</w:t>
      </w:r>
      <w:r w:rsidR="00356217" w:rsidRPr="00B74AB3">
        <w:rPr>
          <w:lang w:val="fr-CA"/>
        </w:rPr>
        <w:t xml:space="preserve"> canadienne des libertés civiles</w:t>
      </w:r>
      <w:r w:rsidRPr="00B74AB3">
        <w:rPr>
          <w:rStyle w:val="SCCLsocPartyRole"/>
          <w:lang w:val="fr-CA"/>
        </w:rPr>
        <w:tab/>
        <w:t>Intervenante</w:t>
      </w:r>
    </w:p>
    <w:p w:rsidR="004D7D95" w:rsidRPr="00B74AB3" w:rsidRDefault="004D7D95" w:rsidP="00BC4663">
      <w:pPr>
        <w:spacing w:after="720"/>
        <w:jc w:val="both"/>
        <w:rPr>
          <w:b/>
          <w:lang w:val="fr-CA"/>
        </w:rPr>
      </w:pPr>
      <w:r w:rsidRPr="00B74AB3">
        <w:rPr>
          <w:b/>
          <w:lang w:val="fr-CA"/>
        </w:rPr>
        <w:t>Répertorié</w:t>
      </w:r>
      <w:r w:rsidR="00BC4663" w:rsidRPr="00B74AB3">
        <w:rPr>
          <w:b/>
          <w:lang w:val="fr-CA"/>
        </w:rPr>
        <w:t> :</w:t>
      </w:r>
      <w:r w:rsidRPr="00B74AB3">
        <w:rPr>
          <w:b/>
          <w:lang w:val="fr-CA"/>
        </w:rPr>
        <w:t xml:space="preserve"> Amaratunga </w:t>
      </w:r>
      <w:r w:rsidRPr="00B74AB3">
        <w:rPr>
          <w:b/>
          <w:i/>
          <w:lang w:val="fr-CA"/>
        </w:rPr>
        <w:t>c.</w:t>
      </w:r>
      <w:r w:rsidRPr="00B74AB3">
        <w:rPr>
          <w:b/>
          <w:lang w:val="fr-CA"/>
        </w:rPr>
        <w:t xml:space="preserve"> </w:t>
      </w:r>
      <w:r w:rsidR="00F46E15" w:rsidRPr="00B74AB3">
        <w:rPr>
          <w:b/>
          <w:lang w:val="fr-CA"/>
        </w:rPr>
        <w:t>Organisation des pêches de l’Atlantique Nord</w:t>
      </w:r>
      <w:r w:rsidR="00BC4663" w:rsidRPr="00B74AB3">
        <w:rPr>
          <w:b/>
          <w:lang w:val="fr-CA"/>
        </w:rPr>
        <w:noBreakHyphen/>
      </w:r>
      <w:r w:rsidR="00F46E15" w:rsidRPr="00B74AB3">
        <w:rPr>
          <w:b/>
          <w:lang w:val="fr-CA"/>
        </w:rPr>
        <w:t>Ouest</w:t>
      </w:r>
    </w:p>
    <w:p w:rsidR="004D7D95" w:rsidRPr="00B74AB3" w:rsidRDefault="00F62639" w:rsidP="00786CDB">
      <w:pPr>
        <w:pStyle w:val="SCCSystemYear"/>
        <w:tabs>
          <w:tab w:val="left" w:pos="1865"/>
        </w:tabs>
        <w:spacing w:after="720"/>
        <w:jc w:val="both"/>
        <w:rPr>
          <w:lang w:val="fr-CA"/>
        </w:rPr>
      </w:pPr>
      <w:r w:rsidRPr="00B74AB3">
        <w:rPr>
          <w:lang w:val="fr-CA"/>
        </w:rPr>
        <w:t>2013</w:t>
      </w:r>
      <w:r w:rsidR="00C55E8D" w:rsidRPr="00B74AB3">
        <w:rPr>
          <w:lang w:val="fr-CA"/>
        </w:rPr>
        <w:t xml:space="preserve"> CSC 66</w:t>
      </w:r>
    </w:p>
    <w:p w:rsidR="004D7D95" w:rsidRPr="00B74AB3" w:rsidRDefault="004D7D95" w:rsidP="00BC4663">
      <w:pPr>
        <w:spacing w:after="720"/>
        <w:jc w:val="both"/>
        <w:rPr>
          <w:lang w:val="fr-CA"/>
        </w:rPr>
      </w:pPr>
      <w:r w:rsidRPr="00B74AB3">
        <w:rPr>
          <w:lang w:val="fr-CA"/>
        </w:rPr>
        <w:t>N</w:t>
      </w:r>
      <w:r w:rsidRPr="00B74AB3">
        <w:rPr>
          <w:vertAlign w:val="superscript"/>
          <w:lang w:val="fr-CA"/>
        </w:rPr>
        <w:t>o</w:t>
      </w:r>
      <w:r w:rsidRPr="00B74AB3">
        <w:rPr>
          <w:lang w:val="fr-CA"/>
        </w:rPr>
        <w:t xml:space="preserve"> du greffe</w:t>
      </w:r>
      <w:r w:rsidR="00BC4663" w:rsidRPr="00B74AB3">
        <w:rPr>
          <w:lang w:val="fr-CA"/>
        </w:rPr>
        <w:t> :</w:t>
      </w:r>
      <w:r w:rsidRPr="00B74AB3">
        <w:rPr>
          <w:lang w:val="fr-CA"/>
        </w:rPr>
        <w:t> 34501.</w:t>
      </w:r>
    </w:p>
    <w:p w:rsidR="004D7D95" w:rsidRPr="00B74AB3" w:rsidRDefault="00F62639" w:rsidP="00BC4663">
      <w:pPr>
        <w:spacing w:after="720"/>
        <w:jc w:val="both"/>
        <w:rPr>
          <w:lang w:val="fr-CA"/>
        </w:rPr>
      </w:pPr>
      <w:r w:rsidRPr="00B74AB3">
        <w:rPr>
          <w:lang w:val="fr-CA"/>
        </w:rPr>
        <w:t>2013</w:t>
      </w:r>
      <w:r w:rsidR="00BC4663" w:rsidRPr="00B74AB3">
        <w:rPr>
          <w:lang w:val="fr-CA"/>
        </w:rPr>
        <w:t> :</w:t>
      </w:r>
      <w:r w:rsidR="00E97618" w:rsidRPr="00B74AB3">
        <w:rPr>
          <w:lang w:val="fr-CA"/>
        </w:rPr>
        <w:t> 28 </w:t>
      </w:r>
      <w:r w:rsidRPr="00B74AB3">
        <w:rPr>
          <w:lang w:val="fr-CA"/>
        </w:rPr>
        <w:t>mars</w:t>
      </w:r>
      <w:r w:rsidR="004D7D95" w:rsidRPr="00B74AB3">
        <w:rPr>
          <w:lang w:val="fr-CA"/>
        </w:rPr>
        <w:t xml:space="preserve">; </w:t>
      </w:r>
      <w:r w:rsidR="00C6181F" w:rsidRPr="00B74AB3">
        <w:rPr>
          <w:lang w:val="fr-CA"/>
        </w:rPr>
        <w:t>2013</w:t>
      </w:r>
      <w:r w:rsidR="00BC4663" w:rsidRPr="00B74AB3">
        <w:rPr>
          <w:lang w:val="fr-CA"/>
        </w:rPr>
        <w:t> :</w:t>
      </w:r>
      <w:r w:rsidR="00E97618" w:rsidRPr="00B74AB3">
        <w:rPr>
          <w:lang w:val="fr-CA"/>
        </w:rPr>
        <w:t xml:space="preserve"> 29 </w:t>
      </w:r>
      <w:r w:rsidR="00C6181F" w:rsidRPr="00B74AB3">
        <w:rPr>
          <w:lang w:val="fr-CA"/>
        </w:rPr>
        <w:t>novembre</w:t>
      </w:r>
      <w:r w:rsidR="004D7D95" w:rsidRPr="00B74AB3">
        <w:rPr>
          <w:lang w:val="fr-CA"/>
        </w:rPr>
        <w:t>.</w:t>
      </w:r>
    </w:p>
    <w:p w:rsidR="004D7D95" w:rsidRPr="00B74AB3" w:rsidRDefault="004D7D95" w:rsidP="00BC4663">
      <w:pPr>
        <w:spacing w:after="720"/>
        <w:jc w:val="both"/>
        <w:rPr>
          <w:lang w:val="fr-CA"/>
        </w:rPr>
      </w:pPr>
      <w:r w:rsidRPr="00B74AB3">
        <w:rPr>
          <w:lang w:val="fr-CA"/>
        </w:rPr>
        <w:t>Présents</w:t>
      </w:r>
      <w:r w:rsidR="00BC4663" w:rsidRPr="00B74AB3">
        <w:rPr>
          <w:lang w:val="fr-CA"/>
        </w:rPr>
        <w:t> :</w:t>
      </w:r>
      <w:r w:rsidRPr="00B74AB3">
        <w:rPr>
          <w:lang w:val="fr-CA"/>
        </w:rPr>
        <w:t> La juge en chef McLachlin et les juges LeBel, Fish, Abella, Rothstein, Cromwell, Moldaver, Karakatsanis et Wagner.</w:t>
      </w:r>
    </w:p>
    <w:p w:rsidR="004D7D95" w:rsidRPr="00B74AB3" w:rsidRDefault="004D7D95" w:rsidP="00BC4663">
      <w:pPr>
        <w:spacing w:after="720"/>
        <w:jc w:val="both"/>
        <w:rPr>
          <w:smallCaps/>
          <w:lang w:val="fr-CA"/>
        </w:rPr>
      </w:pPr>
      <w:r w:rsidRPr="00B74AB3">
        <w:rPr>
          <w:smallCaps/>
          <w:lang w:val="fr-CA"/>
        </w:rPr>
        <w:t>en appel de la cour d’appel de la nouvelle</w:t>
      </w:r>
      <w:r w:rsidR="00BC4663" w:rsidRPr="00B74AB3">
        <w:rPr>
          <w:smallCaps/>
          <w:lang w:val="fr-CA"/>
        </w:rPr>
        <w:noBreakHyphen/>
      </w:r>
      <w:r w:rsidRPr="00B74AB3">
        <w:rPr>
          <w:smallCaps/>
          <w:lang w:val="fr-CA"/>
        </w:rPr>
        <w:t>écosse</w:t>
      </w:r>
    </w:p>
    <w:p w:rsidR="002536B0" w:rsidRPr="009F7D3D" w:rsidRDefault="004D7D95" w:rsidP="00BC4663">
      <w:pPr>
        <w:pStyle w:val="SCCNormalDoubleSpacing"/>
        <w:spacing w:before="480" w:after="480"/>
        <w:rPr>
          <w:i/>
          <w:lang w:val="fr-CA"/>
        </w:rPr>
      </w:pPr>
      <w:r w:rsidRPr="00B74AB3">
        <w:rPr>
          <w:lang w:val="fr-CA"/>
        </w:rPr>
        <w:lastRenderedPageBreak/>
        <w:tab/>
      </w:r>
      <w:r w:rsidR="002536B0" w:rsidRPr="009F7D3D">
        <w:rPr>
          <w:i/>
          <w:lang w:val="fr-CA"/>
        </w:rPr>
        <w:t xml:space="preserve">Droit international public — Immunité de juridiction — Organisations internationales — Poursuite </w:t>
      </w:r>
      <w:r w:rsidR="002F68EB" w:rsidRPr="009F7D3D">
        <w:rPr>
          <w:i/>
          <w:lang w:val="fr-CA"/>
        </w:rPr>
        <w:t xml:space="preserve">pour congédiement injustifié </w:t>
      </w:r>
      <w:r w:rsidR="002536B0" w:rsidRPr="009F7D3D">
        <w:rPr>
          <w:i/>
          <w:lang w:val="fr-CA"/>
        </w:rPr>
        <w:t>par un ancien cadre supérieur d’une organisation internationale dont le siège est au Canada</w:t>
      </w:r>
      <w:r w:rsidR="00831D8A" w:rsidRPr="009F7D3D">
        <w:rPr>
          <w:i/>
          <w:lang w:val="fr-CA"/>
        </w:rPr>
        <w:t xml:space="preserve"> </w:t>
      </w:r>
      <w:r w:rsidR="002536B0" w:rsidRPr="009F7D3D">
        <w:rPr>
          <w:i/>
          <w:lang w:val="fr-CA"/>
        </w:rPr>
        <w:t xml:space="preserve">— </w:t>
      </w:r>
      <w:r w:rsidR="00457C6B" w:rsidRPr="009F7D3D">
        <w:rPr>
          <w:i/>
          <w:lang w:val="fr-CA"/>
        </w:rPr>
        <w:t xml:space="preserve">Revendication </w:t>
      </w:r>
      <w:r w:rsidR="0067264D" w:rsidRPr="009F7D3D">
        <w:rPr>
          <w:i/>
          <w:lang w:val="fr-CA"/>
        </w:rPr>
        <w:t xml:space="preserve">par l’organisation internationale </w:t>
      </w:r>
      <w:r w:rsidR="00457C6B" w:rsidRPr="009F7D3D">
        <w:rPr>
          <w:i/>
          <w:lang w:val="fr-CA"/>
        </w:rPr>
        <w:t xml:space="preserve">de l’immunité de juridiction </w:t>
      </w:r>
      <w:r w:rsidR="002F68EB" w:rsidRPr="009F7D3D">
        <w:rPr>
          <w:i/>
          <w:lang w:val="fr-CA"/>
        </w:rPr>
        <w:t>fondée sur le</w:t>
      </w:r>
      <w:r w:rsidR="00457C6B" w:rsidRPr="009F7D3D">
        <w:rPr>
          <w:i/>
          <w:lang w:val="fr-CA"/>
        </w:rPr>
        <w:t xml:space="preserve"> décret énonçant </w:t>
      </w:r>
      <w:r w:rsidR="002F68EB" w:rsidRPr="009F7D3D">
        <w:rPr>
          <w:i/>
          <w:lang w:val="fr-CA"/>
        </w:rPr>
        <w:t>l’</w:t>
      </w:r>
      <w:r w:rsidR="00457C6B" w:rsidRPr="009F7D3D">
        <w:rPr>
          <w:i/>
          <w:lang w:val="fr-CA"/>
        </w:rPr>
        <w:t xml:space="preserve">entente </w:t>
      </w:r>
      <w:r w:rsidR="002F68EB" w:rsidRPr="009F7D3D">
        <w:rPr>
          <w:i/>
          <w:lang w:val="fr-CA"/>
        </w:rPr>
        <w:t>conclu</w:t>
      </w:r>
      <w:r w:rsidR="009F7D3D">
        <w:rPr>
          <w:i/>
          <w:lang w:val="fr-CA"/>
        </w:rPr>
        <w:t>e</w:t>
      </w:r>
      <w:r w:rsidR="002F68EB" w:rsidRPr="009F7D3D">
        <w:rPr>
          <w:i/>
          <w:lang w:val="fr-CA"/>
        </w:rPr>
        <w:t xml:space="preserve"> entre elle et </w:t>
      </w:r>
      <w:r w:rsidR="00457C6B" w:rsidRPr="009F7D3D">
        <w:rPr>
          <w:i/>
          <w:lang w:val="fr-CA"/>
        </w:rPr>
        <w:t xml:space="preserve">le </w:t>
      </w:r>
      <w:r w:rsidR="002536B0" w:rsidRPr="009F7D3D">
        <w:rPr>
          <w:i/>
          <w:lang w:val="fr-CA"/>
        </w:rPr>
        <w:t xml:space="preserve">Canada — </w:t>
      </w:r>
      <w:r w:rsidR="00457C6B" w:rsidRPr="009F7D3D">
        <w:rPr>
          <w:i/>
          <w:lang w:val="fr-CA"/>
        </w:rPr>
        <w:t>L’immunité revendiquée s’applique</w:t>
      </w:r>
      <w:r w:rsidR="00BC4663" w:rsidRPr="009F7D3D">
        <w:rPr>
          <w:i/>
          <w:lang w:val="fr-CA"/>
        </w:rPr>
        <w:noBreakHyphen/>
      </w:r>
      <w:r w:rsidR="00457C6B" w:rsidRPr="009F7D3D">
        <w:rPr>
          <w:i/>
          <w:lang w:val="fr-CA"/>
        </w:rPr>
        <w:t>t</w:t>
      </w:r>
      <w:r w:rsidR="00BC4663" w:rsidRPr="009F7D3D">
        <w:rPr>
          <w:i/>
          <w:lang w:val="fr-CA"/>
        </w:rPr>
        <w:noBreakHyphen/>
        <w:t>elle</w:t>
      </w:r>
      <w:r w:rsidR="00457C6B" w:rsidRPr="009F7D3D">
        <w:rPr>
          <w:i/>
          <w:lang w:val="fr-CA"/>
        </w:rPr>
        <w:t>?</w:t>
      </w:r>
      <w:r w:rsidR="002536B0" w:rsidRPr="009F7D3D">
        <w:rPr>
          <w:i/>
          <w:lang w:val="fr-CA"/>
        </w:rPr>
        <w:t xml:space="preserve"> — </w:t>
      </w:r>
      <w:r w:rsidR="00892D13" w:rsidRPr="009F7D3D">
        <w:rPr>
          <w:i/>
          <w:lang w:val="fr-CA"/>
        </w:rPr>
        <w:t>Sens des immunités qu’« </w:t>
      </w:r>
      <w:r w:rsidR="00457C6B" w:rsidRPr="009F7D3D">
        <w:rPr>
          <w:i/>
          <w:lang w:val="fr-CA"/>
        </w:rPr>
        <w:t xml:space="preserve">exige » </w:t>
      </w:r>
      <w:r w:rsidR="002F68EB" w:rsidRPr="009F7D3D">
        <w:rPr>
          <w:i/>
          <w:lang w:val="fr-CA"/>
        </w:rPr>
        <w:t>l’exercice de</w:t>
      </w:r>
      <w:r w:rsidR="00457C6B" w:rsidRPr="009F7D3D">
        <w:rPr>
          <w:i/>
          <w:lang w:val="fr-CA"/>
        </w:rPr>
        <w:t xml:space="preserve"> fonctions</w:t>
      </w:r>
      <w:r w:rsidR="002536B0" w:rsidRPr="009F7D3D">
        <w:rPr>
          <w:i/>
          <w:lang w:val="fr-CA"/>
        </w:rPr>
        <w:t xml:space="preserve"> — </w:t>
      </w:r>
      <w:r w:rsidR="00457C6B" w:rsidRPr="009F7D3D">
        <w:rPr>
          <w:i/>
          <w:lang w:val="fr-CA"/>
        </w:rPr>
        <w:t xml:space="preserve">Décret sur les privilèges et immunités de l’Organisation des pêches de l’Atlantique </w:t>
      </w:r>
      <w:r w:rsidR="00AC3092">
        <w:rPr>
          <w:i/>
          <w:lang w:val="fr-CA"/>
        </w:rPr>
        <w:t>n</w:t>
      </w:r>
      <w:r w:rsidR="00457C6B" w:rsidRPr="009F7D3D">
        <w:rPr>
          <w:i/>
          <w:lang w:val="fr-CA"/>
        </w:rPr>
        <w:t>ord</w:t>
      </w:r>
      <w:r w:rsidR="00BC4663" w:rsidRPr="009F7D3D">
        <w:rPr>
          <w:i/>
          <w:lang w:val="fr-CA"/>
        </w:rPr>
        <w:noBreakHyphen/>
      </w:r>
      <w:r w:rsidR="00AC3092">
        <w:rPr>
          <w:i/>
          <w:lang w:val="fr-CA"/>
        </w:rPr>
        <w:t>o</w:t>
      </w:r>
      <w:r w:rsidR="00457C6B" w:rsidRPr="009F7D3D">
        <w:rPr>
          <w:i/>
          <w:lang w:val="fr-CA"/>
        </w:rPr>
        <w:t>uest, DORS/80</w:t>
      </w:r>
      <w:r w:rsidR="00BC4663" w:rsidRPr="009F7D3D">
        <w:rPr>
          <w:i/>
          <w:lang w:val="fr-CA"/>
        </w:rPr>
        <w:noBreakHyphen/>
      </w:r>
      <w:r w:rsidR="00457C6B" w:rsidRPr="009F7D3D">
        <w:rPr>
          <w:i/>
          <w:lang w:val="fr-CA"/>
        </w:rPr>
        <w:t>64</w:t>
      </w:r>
      <w:r w:rsidR="002536B0" w:rsidRPr="009F7D3D">
        <w:rPr>
          <w:i/>
          <w:lang w:val="fr-CA"/>
        </w:rPr>
        <w:t xml:space="preserve">, </w:t>
      </w:r>
      <w:r w:rsidR="00BC4663" w:rsidRPr="009F7D3D">
        <w:rPr>
          <w:i/>
          <w:lang w:val="fr-CA"/>
        </w:rPr>
        <w:t>art. </w:t>
      </w:r>
      <w:r w:rsidR="002536B0" w:rsidRPr="009F7D3D">
        <w:rPr>
          <w:i/>
          <w:lang w:val="fr-CA"/>
        </w:rPr>
        <w:t>3(1).</w:t>
      </w:r>
    </w:p>
    <w:p w:rsidR="00457C6B" w:rsidRPr="00B74AB3" w:rsidRDefault="00457C6B" w:rsidP="00BC4663">
      <w:pPr>
        <w:pStyle w:val="SCCNormalDoubleSpacing"/>
        <w:spacing w:before="480" w:after="480"/>
        <w:rPr>
          <w:lang w:val="fr-CA"/>
        </w:rPr>
      </w:pPr>
      <w:r w:rsidRPr="00B74AB3">
        <w:rPr>
          <w:lang w:val="fr-CA"/>
        </w:rPr>
        <w:tab/>
        <w:t>L’OPANO est une organisation internationale dont le siège est situé en Nouvelle</w:t>
      </w:r>
      <w:r w:rsidR="00BC4663" w:rsidRPr="00B74AB3">
        <w:rPr>
          <w:lang w:val="fr-CA"/>
        </w:rPr>
        <w:noBreakHyphen/>
      </w:r>
      <w:r w:rsidRPr="00B74AB3">
        <w:rPr>
          <w:lang w:val="fr-CA"/>
        </w:rPr>
        <w:t xml:space="preserve">Écosse.  Elle a le mandat de veiller à la gestion et à </w:t>
      </w:r>
      <w:r w:rsidR="0067264D" w:rsidRPr="00B74AB3">
        <w:rPr>
          <w:lang w:val="fr-CA"/>
        </w:rPr>
        <w:t>la</w:t>
      </w:r>
      <w:r w:rsidR="009F7D3D">
        <w:rPr>
          <w:lang w:val="fr-CA"/>
        </w:rPr>
        <w:t xml:space="preserve"> </w:t>
      </w:r>
      <w:r w:rsidRPr="00B74AB3">
        <w:rPr>
          <w:lang w:val="fr-CA"/>
        </w:rPr>
        <w:t xml:space="preserve">conservation des ressources halieutiques dans l’Atlantique </w:t>
      </w:r>
      <w:r w:rsidR="00757108" w:rsidRPr="00B74AB3">
        <w:rPr>
          <w:lang w:val="fr-CA"/>
        </w:rPr>
        <w:t>N</w:t>
      </w:r>
      <w:r w:rsidR="005D3D3D" w:rsidRPr="00B74AB3">
        <w:rPr>
          <w:lang w:val="fr-CA"/>
        </w:rPr>
        <w:t>ord-</w:t>
      </w:r>
      <w:r w:rsidR="00757108" w:rsidRPr="00B74AB3">
        <w:rPr>
          <w:lang w:val="fr-CA"/>
        </w:rPr>
        <w:t>O</w:t>
      </w:r>
      <w:r w:rsidR="005D3D3D" w:rsidRPr="00B74AB3">
        <w:rPr>
          <w:lang w:val="fr-CA"/>
        </w:rPr>
        <w:t>uest</w:t>
      </w:r>
      <w:r w:rsidRPr="00B74AB3">
        <w:rPr>
          <w:lang w:val="fr-CA"/>
        </w:rPr>
        <w:t xml:space="preserve">.  A </w:t>
      </w:r>
      <w:r w:rsidR="002F68EB" w:rsidRPr="00B74AB3">
        <w:rPr>
          <w:lang w:val="fr-CA"/>
        </w:rPr>
        <w:t xml:space="preserve">a </w:t>
      </w:r>
      <w:r w:rsidRPr="00B74AB3">
        <w:rPr>
          <w:lang w:val="fr-CA"/>
        </w:rPr>
        <w:t>travaill</w:t>
      </w:r>
      <w:r w:rsidR="002F68EB" w:rsidRPr="00B74AB3">
        <w:rPr>
          <w:lang w:val="fr-CA"/>
        </w:rPr>
        <w:t>é</w:t>
      </w:r>
      <w:r w:rsidRPr="00B74AB3">
        <w:rPr>
          <w:lang w:val="fr-CA"/>
        </w:rPr>
        <w:t xml:space="preserve"> pour l’OPANO à titre de cadre supérieur de 1988 à 2005</w:t>
      </w:r>
      <w:r w:rsidR="002F68EB" w:rsidRPr="00B74AB3">
        <w:rPr>
          <w:lang w:val="fr-CA"/>
        </w:rPr>
        <w:t>,</w:t>
      </w:r>
      <w:r w:rsidRPr="00B74AB3">
        <w:rPr>
          <w:lang w:val="fr-CA"/>
        </w:rPr>
        <w:t xml:space="preserve"> lorsque l’organisation l’a congédié.  Lorsqu</w:t>
      </w:r>
      <w:r w:rsidR="0067264D" w:rsidRPr="00B74AB3">
        <w:rPr>
          <w:lang w:val="fr-CA"/>
        </w:rPr>
        <w:t>’il</w:t>
      </w:r>
      <w:r w:rsidRPr="00B74AB3">
        <w:rPr>
          <w:lang w:val="fr-CA"/>
        </w:rPr>
        <w:t xml:space="preserve"> a intenté un recours pour congédiement injustifié, l’OPANO a plaidé qu’elle jouissait de l’immunité de juridiction en tant qu’organisation </w:t>
      </w:r>
      <w:r w:rsidR="005D3D3D" w:rsidRPr="00B74AB3">
        <w:rPr>
          <w:lang w:val="fr-CA"/>
        </w:rPr>
        <w:t>internationale</w:t>
      </w:r>
      <w:r w:rsidRPr="00B74AB3">
        <w:rPr>
          <w:lang w:val="fr-CA"/>
        </w:rPr>
        <w:t xml:space="preserve"> en application du </w:t>
      </w:r>
      <w:r w:rsidRPr="00B74AB3">
        <w:rPr>
          <w:i/>
          <w:lang w:val="fr-CA"/>
        </w:rPr>
        <w:t xml:space="preserve">Décret sur les privilèges et immunités de l’Organisation des pêches de l’Atlantique </w:t>
      </w:r>
      <w:r w:rsidR="00AC3092">
        <w:rPr>
          <w:i/>
          <w:lang w:val="fr-CA"/>
        </w:rPr>
        <w:t>n</w:t>
      </w:r>
      <w:r w:rsidRPr="00B74AB3">
        <w:rPr>
          <w:i/>
          <w:lang w:val="fr-CA"/>
        </w:rPr>
        <w:t>ord</w:t>
      </w:r>
      <w:r w:rsidR="00BC4663" w:rsidRPr="00B74AB3">
        <w:rPr>
          <w:i/>
          <w:lang w:val="fr-CA"/>
        </w:rPr>
        <w:noBreakHyphen/>
      </w:r>
      <w:r w:rsidR="00AC3092">
        <w:rPr>
          <w:i/>
          <w:lang w:val="fr-CA"/>
        </w:rPr>
        <w:t>o</w:t>
      </w:r>
      <w:r w:rsidRPr="00B74AB3">
        <w:rPr>
          <w:i/>
          <w:lang w:val="fr-CA"/>
        </w:rPr>
        <w:t>uest</w:t>
      </w:r>
      <w:r w:rsidRPr="00B74AB3">
        <w:rPr>
          <w:lang w:val="fr-CA"/>
        </w:rPr>
        <w:t xml:space="preserve"> (« </w:t>
      </w:r>
      <w:r w:rsidRPr="00B74AB3">
        <w:rPr>
          <w:i/>
          <w:lang w:val="fr-CA"/>
        </w:rPr>
        <w:t>Décret sur l’immunité de l’OPANO </w:t>
      </w:r>
      <w:r w:rsidRPr="00B74AB3">
        <w:rPr>
          <w:lang w:val="fr-CA"/>
        </w:rPr>
        <w:t>») dont elle avait convenu avec le Canada.  La Cour suprême de la Nouvelle</w:t>
      </w:r>
      <w:r w:rsidR="00BC4663" w:rsidRPr="00B74AB3">
        <w:rPr>
          <w:lang w:val="fr-CA"/>
        </w:rPr>
        <w:noBreakHyphen/>
      </w:r>
      <w:r w:rsidRPr="00B74AB3">
        <w:rPr>
          <w:lang w:val="fr-CA"/>
        </w:rPr>
        <w:t>Écosse a rejeté la défense de l’OPANO fondée sur l’immunité et jugé que le procès pour congédiement injustifié intenté par A pouvait avoir lieu, y compris en ce qui avait trait à la demande de ce dernier relative à l’indemnité de cessation d’emploi à laquelle il prétendait en application du règlement régissant le personnel de l’OPA</w:t>
      </w:r>
      <w:r w:rsidR="00BC4663" w:rsidRPr="00B74AB3">
        <w:rPr>
          <w:lang w:val="fr-CA"/>
        </w:rPr>
        <w:t>NO.</w:t>
      </w:r>
      <w:r w:rsidR="00DA0ADE" w:rsidRPr="00B74AB3">
        <w:rPr>
          <w:lang w:val="fr-CA"/>
        </w:rPr>
        <w:t xml:space="preserve"> </w:t>
      </w:r>
      <w:r w:rsidRPr="00B74AB3">
        <w:rPr>
          <w:lang w:val="fr-CA"/>
        </w:rPr>
        <w:t xml:space="preserve"> La Cour d’appel a toutefois accueilli </w:t>
      </w:r>
      <w:r w:rsidRPr="00B74AB3">
        <w:rPr>
          <w:lang w:val="fr-CA"/>
        </w:rPr>
        <w:lastRenderedPageBreak/>
        <w:t>le pourvoi de l’OPANO et jugé que celle</w:t>
      </w:r>
      <w:r w:rsidR="00BC4663" w:rsidRPr="00B74AB3">
        <w:rPr>
          <w:lang w:val="fr-CA"/>
        </w:rPr>
        <w:noBreakHyphen/>
      </w:r>
      <w:r w:rsidRPr="00B74AB3">
        <w:rPr>
          <w:lang w:val="fr-CA"/>
        </w:rPr>
        <w:t xml:space="preserve">ci jouissait d’une immunité qui </w:t>
      </w:r>
      <w:r w:rsidR="002F68EB" w:rsidRPr="00B74AB3">
        <w:rPr>
          <w:lang w:val="fr-CA"/>
        </w:rPr>
        <w:t xml:space="preserve">la </w:t>
      </w:r>
      <w:r w:rsidRPr="00B74AB3">
        <w:rPr>
          <w:lang w:val="fr-CA"/>
        </w:rPr>
        <w:t>mettait à l’abri de toutes les demandes formulées par A.</w:t>
      </w:r>
    </w:p>
    <w:p w:rsidR="002536B0" w:rsidRPr="00B74AB3" w:rsidRDefault="002536B0" w:rsidP="00BC4663">
      <w:pPr>
        <w:pStyle w:val="SCCNormalDoubleSpacing"/>
        <w:spacing w:before="480" w:after="480"/>
        <w:rPr>
          <w:lang w:val="fr-CA"/>
        </w:rPr>
      </w:pPr>
      <w:r w:rsidRPr="00B74AB3">
        <w:rPr>
          <w:lang w:val="fr-CA"/>
        </w:rPr>
        <w:tab/>
      </w:r>
      <w:r w:rsidR="00457C6B" w:rsidRPr="00B74AB3">
        <w:rPr>
          <w:i/>
          <w:lang w:val="fr-CA"/>
        </w:rPr>
        <w:t>Arrêt</w:t>
      </w:r>
      <w:r w:rsidR="00BC4663" w:rsidRPr="00B74AB3">
        <w:rPr>
          <w:i/>
          <w:lang w:val="fr-CA"/>
        </w:rPr>
        <w:t> </w:t>
      </w:r>
      <w:r w:rsidR="00BC4663" w:rsidRPr="00B74AB3">
        <w:rPr>
          <w:lang w:val="fr-CA"/>
        </w:rPr>
        <w:t xml:space="preserve">: </w:t>
      </w:r>
      <w:r w:rsidR="00457C6B" w:rsidRPr="00B74AB3">
        <w:rPr>
          <w:lang w:val="fr-CA"/>
        </w:rPr>
        <w:t xml:space="preserve">Le pourvoi est accueilli en partie.  </w:t>
      </w:r>
    </w:p>
    <w:p w:rsidR="002536B0" w:rsidRPr="00B74AB3" w:rsidRDefault="00673C24" w:rsidP="00BC4663">
      <w:pPr>
        <w:pStyle w:val="SCCNormalDoubleSpacing"/>
        <w:spacing w:before="480" w:after="480"/>
        <w:rPr>
          <w:lang w:val="fr-CA"/>
        </w:rPr>
      </w:pPr>
      <w:r w:rsidRPr="00B74AB3">
        <w:rPr>
          <w:lang w:val="fr-CA"/>
        </w:rPr>
        <w:tab/>
        <w:t>L’OPANO a droit à l’immunité, sau</w:t>
      </w:r>
      <w:r w:rsidR="002F68EB" w:rsidRPr="00B74AB3">
        <w:rPr>
          <w:lang w:val="fr-CA"/>
        </w:rPr>
        <w:t>f</w:t>
      </w:r>
      <w:r w:rsidRPr="00B74AB3">
        <w:rPr>
          <w:lang w:val="fr-CA"/>
        </w:rPr>
        <w:t xml:space="preserve"> en ce qui a trait à la demande de paiement d’une indemnité de cessation d’emploi </w:t>
      </w:r>
      <w:r w:rsidR="002F68EB" w:rsidRPr="00B74AB3">
        <w:rPr>
          <w:lang w:val="fr-CA"/>
        </w:rPr>
        <w:t xml:space="preserve">formulée par A et </w:t>
      </w:r>
      <w:r w:rsidRPr="00B74AB3">
        <w:rPr>
          <w:lang w:val="fr-CA"/>
        </w:rPr>
        <w:t>fondée sur le règlement régissant le personnel</w:t>
      </w:r>
      <w:r w:rsidR="002F68EB" w:rsidRPr="00B74AB3">
        <w:rPr>
          <w:lang w:val="fr-CA"/>
        </w:rPr>
        <w:t xml:space="preserve"> de l’organisation</w:t>
      </w:r>
      <w:r w:rsidRPr="00B74AB3">
        <w:rPr>
          <w:lang w:val="fr-CA"/>
        </w:rPr>
        <w:t>.  En l’absence d’une telle immunité, rien n’empêcherait l’État d’accueil et ses tribunaux de s’ingérer dans les opérations</w:t>
      </w:r>
      <w:r w:rsidR="002F68EB" w:rsidRPr="00B74AB3">
        <w:rPr>
          <w:lang w:val="fr-CA"/>
        </w:rPr>
        <w:t xml:space="preserve"> d’une organisation internationale</w:t>
      </w:r>
      <w:r w:rsidRPr="00B74AB3">
        <w:rPr>
          <w:lang w:val="fr-CA"/>
        </w:rPr>
        <w:t xml:space="preserve">.  </w:t>
      </w:r>
      <w:r w:rsidR="003B3DD5" w:rsidRPr="00B74AB3">
        <w:rPr>
          <w:lang w:val="fr-CA"/>
        </w:rPr>
        <w:t>Il n’existe en revanche aucune règle de droit international coutumier conférant une immunité aux organisations internationales.  Celle</w:t>
      </w:r>
      <w:r w:rsidR="00BC4663" w:rsidRPr="00B74AB3">
        <w:rPr>
          <w:lang w:val="fr-CA"/>
        </w:rPr>
        <w:noBreakHyphen/>
      </w:r>
      <w:r w:rsidR="003B3DD5" w:rsidRPr="00B74AB3">
        <w:rPr>
          <w:lang w:val="fr-CA"/>
        </w:rPr>
        <w:t xml:space="preserve">ci est plutôt une créature des traités ou, dans le cas d’organisations internationales plus petites comme l’OPANO, elle découle d’ententes avec leur État d’accueil.  </w:t>
      </w:r>
    </w:p>
    <w:p w:rsidR="002536B0" w:rsidRPr="00B74AB3" w:rsidRDefault="002536B0" w:rsidP="00BC4663">
      <w:pPr>
        <w:pStyle w:val="SCCNormalDoubleSpacing"/>
        <w:spacing w:before="480" w:after="480"/>
        <w:rPr>
          <w:lang w:val="fr-CA"/>
        </w:rPr>
      </w:pPr>
      <w:r w:rsidRPr="00B74AB3">
        <w:rPr>
          <w:lang w:val="fr-CA"/>
        </w:rPr>
        <w:tab/>
      </w:r>
      <w:r w:rsidR="00E71BAC" w:rsidRPr="00B74AB3">
        <w:rPr>
          <w:lang w:val="fr-CA"/>
        </w:rPr>
        <w:t xml:space="preserve">L’OPANO et le Canada ont conclu une entente qu’énonce le </w:t>
      </w:r>
      <w:r w:rsidR="00E71BAC" w:rsidRPr="00B74AB3">
        <w:rPr>
          <w:i/>
          <w:lang w:val="fr-CA"/>
        </w:rPr>
        <w:t>Décret sur l’immunité de l’OPANO</w:t>
      </w:r>
      <w:r w:rsidR="002F68EB" w:rsidRPr="00B74AB3">
        <w:rPr>
          <w:lang w:val="fr-CA"/>
        </w:rPr>
        <w:t>.</w:t>
      </w:r>
      <w:r w:rsidRPr="00B74AB3">
        <w:rPr>
          <w:lang w:val="fr-CA"/>
        </w:rPr>
        <w:t xml:space="preserve"> </w:t>
      </w:r>
      <w:r w:rsidR="002F68EB" w:rsidRPr="00B74AB3">
        <w:rPr>
          <w:lang w:val="fr-CA"/>
        </w:rPr>
        <w:t xml:space="preserve"> L</w:t>
      </w:r>
      <w:r w:rsidR="00BC4663" w:rsidRPr="00B74AB3">
        <w:rPr>
          <w:lang w:val="fr-CA"/>
        </w:rPr>
        <w:t>e paragraphe </w:t>
      </w:r>
      <w:r w:rsidR="00FB3EE2" w:rsidRPr="00B74AB3">
        <w:rPr>
          <w:lang w:val="fr-CA"/>
        </w:rPr>
        <w:t xml:space="preserve">3(1) </w:t>
      </w:r>
      <w:r w:rsidR="002F68EB" w:rsidRPr="00B74AB3">
        <w:rPr>
          <w:lang w:val="fr-CA"/>
        </w:rPr>
        <w:t xml:space="preserve">de cette entente </w:t>
      </w:r>
      <w:r w:rsidR="00FB3EE2" w:rsidRPr="00B74AB3">
        <w:rPr>
          <w:lang w:val="fr-CA"/>
        </w:rPr>
        <w:t xml:space="preserve">confère à l’OPANO un droit à l’immunité « dans la mesure où ses fonctions l’exigent ».  Conformément aux principes modernes d’interprétation des lois, </w:t>
      </w:r>
      <w:r w:rsidR="002F68EB" w:rsidRPr="00B74AB3">
        <w:rPr>
          <w:lang w:val="fr-CA"/>
        </w:rPr>
        <w:t xml:space="preserve">pour en dégager </w:t>
      </w:r>
      <w:r w:rsidR="00FB3EE2" w:rsidRPr="00B74AB3">
        <w:rPr>
          <w:lang w:val="fr-CA"/>
        </w:rPr>
        <w:t>la signification</w:t>
      </w:r>
      <w:r w:rsidR="002F68EB" w:rsidRPr="00B74AB3">
        <w:rPr>
          <w:lang w:val="fr-CA"/>
        </w:rPr>
        <w:t>,</w:t>
      </w:r>
      <w:r w:rsidR="00FB3EE2" w:rsidRPr="00B74AB3">
        <w:rPr>
          <w:lang w:val="fr-CA"/>
        </w:rPr>
        <w:t xml:space="preserve"> cette proposition doit être interprétée dans son contexte global, en suivant le sens ordinaire et grammatical des mots qui s’harmonise avec l’esprit et l’objet du </w:t>
      </w:r>
      <w:r w:rsidR="00FB3EE2" w:rsidRPr="00B74AB3">
        <w:rPr>
          <w:i/>
          <w:lang w:val="fr-CA"/>
        </w:rPr>
        <w:t>Décret sur l’immunité de l’OPANO</w:t>
      </w:r>
      <w:r w:rsidR="00FB3EE2" w:rsidRPr="00B74AB3">
        <w:rPr>
          <w:lang w:val="fr-CA"/>
        </w:rPr>
        <w:t xml:space="preserve"> compte tenu des pouvoirs conférés et de l’intention du législateur.  Le sens de la proposition, y compris </w:t>
      </w:r>
      <w:r w:rsidR="006C25F8" w:rsidRPr="00B74AB3">
        <w:rPr>
          <w:lang w:val="fr-CA"/>
        </w:rPr>
        <w:t xml:space="preserve">celui </w:t>
      </w:r>
      <w:r w:rsidR="009067E4">
        <w:rPr>
          <w:lang w:val="fr-CA"/>
        </w:rPr>
        <w:t>des termes</w:t>
      </w:r>
      <w:r w:rsidR="006C25F8" w:rsidRPr="00B74AB3">
        <w:rPr>
          <w:lang w:val="fr-CA"/>
        </w:rPr>
        <w:t xml:space="preserve"> « l’exigent »</w:t>
      </w:r>
      <w:r w:rsidR="002F68EB" w:rsidRPr="00B74AB3">
        <w:rPr>
          <w:lang w:val="fr-CA"/>
        </w:rPr>
        <w:t>,</w:t>
      </w:r>
      <w:r w:rsidR="006C25F8" w:rsidRPr="00B74AB3">
        <w:rPr>
          <w:lang w:val="fr-CA"/>
        </w:rPr>
        <w:t xml:space="preserve"> est déterminant pour l’issue du présent pourvoi.</w:t>
      </w:r>
    </w:p>
    <w:p w:rsidR="002536B0" w:rsidRPr="00B74AB3" w:rsidRDefault="002536B0" w:rsidP="00BC4663">
      <w:pPr>
        <w:pStyle w:val="SCCNormalDoubleSpacing"/>
        <w:spacing w:before="480" w:after="480"/>
        <w:rPr>
          <w:lang w:val="fr-CA"/>
        </w:rPr>
      </w:pPr>
      <w:r w:rsidRPr="00B74AB3">
        <w:rPr>
          <w:lang w:val="fr-CA"/>
        </w:rPr>
        <w:lastRenderedPageBreak/>
        <w:tab/>
      </w:r>
      <w:r w:rsidR="00E0243F" w:rsidRPr="00B74AB3">
        <w:rPr>
          <w:lang w:val="fr-CA"/>
        </w:rPr>
        <w:t xml:space="preserve">Même si le sens grammatical et ordinaire </w:t>
      </w:r>
      <w:r w:rsidR="009067E4">
        <w:rPr>
          <w:lang w:val="fr-CA"/>
        </w:rPr>
        <w:t>des termes</w:t>
      </w:r>
      <w:r w:rsidR="00E0243F" w:rsidRPr="00B74AB3">
        <w:rPr>
          <w:lang w:val="fr-CA"/>
        </w:rPr>
        <w:t xml:space="preserve"> « l’exigent » est « nécessaire », le contexte du </w:t>
      </w:r>
      <w:r w:rsidR="00BC4663" w:rsidRPr="00B74AB3">
        <w:rPr>
          <w:lang w:val="fr-CA"/>
        </w:rPr>
        <w:t>par. </w:t>
      </w:r>
      <w:r w:rsidR="00E0243F" w:rsidRPr="00B74AB3">
        <w:rPr>
          <w:lang w:val="fr-CA"/>
        </w:rPr>
        <w:t xml:space="preserve">3(1) suggère qu’il faut plutôt </w:t>
      </w:r>
      <w:r w:rsidR="009067E4">
        <w:rPr>
          <w:lang w:val="fr-CA"/>
        </w:rPr>
        <w:t>leur</w:t>
      </w:r>
      <w:r w:rsidR="00E0243F" w:rsidRPr="00B74AB3">
        <w:rPr>
          <w:lang w:val="fr-CA"/>
        </w:rPr>
        <w:t xml:space="preserve"> donner une interprétation plus libérale.  En effet, </w:t>
      </w:r>
      <w:r w:rsidR="009067E4">
        <w:rPr>
          <w:lang w:val="fr-CA"/>
        </w:rPr>
        <w:t>les termes</w:t>
      </w:r>
      <w:r w:rsidR="00E0243F" w:rsidRPr="00B74AB3">
        <w:rPr>
          <w:lang w:val="fr-CA"/>
        </w:rPr>
        <w:t xml:space="preserve"> « l’exigent » qui figure</w:t>
      </w:r>
      <w:r w:rsidR="009067E4">
        <w:rPr>
          <w:lang w:val="fr-CA"/>
        </w:rPr>
        <w:t>nt</w:t>
      </w:r>
      <w:r w:rsidR="00E0243F" w:rsidRPr="00B74AB3">
        <w:rPr>
          <w:lang w:val="fr-CA"/>
        </w:rPr>
        <w:t xml:space="preserve"> au </w:t>
      </w:r>
      <w:r w:rsidR="00BC4663" w:rsidRPr="00B74AB3">
        <w:rPr>
          <w:lang w:val="fr-CA"/>
        </w:rPr>
        <w:t>par. </w:t>
      </w:r>
      <w:r w:rsidR="00E0243F" w:rsidRPr="00B74AB3">
        <w:rPr>
          <w:lang w:val="fr-CA"/>
        </w:rPr>
        <w:t>3(1) doi</w:t>
      </w:r>
      <w:r w:rsidR="009067E4">
        <w:rPr>
          <w:lang w:val="fr-CA"/>
        </w:rPr>
        <w:t>ven</w:t>
      </w:r>
      <w:r w:rsidR="00E0243F" w:rsidRPr="00B74AB3">
        <w:rPr>
          <w:lang w:val="fr-CA"/>
        </w:rPr>
        <w:t xml:space="preserve">t </w:t>
      </w:r>
      <w:r w:rsidR="00132E29" w:rsidRPr="00B74AB3">
        <w:rPr>
          <w:lang w:val="fr-CA"/>
        </w:rPr>
        <w:t>être interprété</w:t>
      </w:r>
      <w:r w:rsidR="009067E4">
        <w:rPr>
          <w:lang w:val="fr-CA"/>
        </w:rPr>
        <w:t>s</w:t>
      </w:r>
      <w:r w:rsidR="00132E29" w:rsidRPr="00B74AB3">
        <w:rPr>
          <w:lang w:val="fr-CA"/>
        </w:rPr>
        <w:t xml:space="preserve"> de telle sorte qu’il</w:t>
      </w:r>
      <w:r w:rsidR="009067E4">
        <w:rPr>
          <w:lang w:val="fr-CA"/>
        </w:rPr>
        <w:t>s</w:t>
      </w:r>
      <w:r w:rsidR="00132E29" w:rsidRPr="00B74AB3">
        <w:rPr>
          <w:lang w:val="fr-CA"/>
        </w:rPr>
        <w:t xml:space="preserve"> ai</w:t>
      </w:r>
      <w:r w:rsidR="009067E4">
        <w:rPr>
          <w:lang w:val="fr-CA"/>
        </w:rPr>
        <w:t>en</w:t>
      </w:r>
      <w:r w:rsidR="00132E29" w:rsidRPr="00B74AB3">
        <w:rPr>
          <w:lang w:val="fr-CA"/>
        </w:rPr>
        <w:t>t</w:t>
      </w:r>
      <w:r w:rsidR="00E0243F" w:rsidRPr="00B74AB3">
        <w:rPr>
          <w:lang w:val="fr-CA"/>
        </w:rPr>
        <w:t xml:space="preserve"> le même sens libéral que celui qu’il</w:t>
      </w:r>
      <w:r w:rsidR="009067E4">
        <w:rPr>
          <w:lang w:val="fr-CA"/>
        </w:rPr>
        <w:t>s</w:t>
      </w:r>
      <w:r w:rsidR="00E0243F" w:rsidRPr="00B74AB3">
        <w:rPr>
          <w:lang w:val="fr-CA"/>
        </w:rPr>
        <w:t xml:space="preserve"> </w:t>
      </w:r>
      <w:r w:rsidR="009067E4">
        <w:rPr>
          <w:lang w:val="fr-CA"/>
        </w:rPr>
        <w:t>ont</w:t>
      </w:r>
      <w:r w:rsidR="00E0243F" w:rsidRPr="00B74AB3">
        <w:rPr>
          <w:lang w:val="fr-CA"/>
        </w:rPr>
        <w:t xml:space="preserve"> au </w:t>
      </w:r>
      <w:r w:rsidR="00BC4663" w:rsidRPr="00B74AB3">
        <w:rPr>
          <w:lang w:val="fr-CA"/>
        </w:rPr>
        <w:t>par. </w:t>
      </w:r>
      <w:r w:rsidR="00E0243F" w:rsidRPr="00B74AB3">
        <w:rPr>
          <w:lang w:val="fr-CA"/>
        </w:rPr>
        <w:t>3(3)</w:t>
      </w:r>
      <w:r w:rsidR="00132E29" w:rsidRPr="00B74AB3">
        <w:rPr>
          <w:lang w:val="fr-CA"/>
        </w:rPr>
        <w:t>,</w:t>
      </w:r>
      <w:r w:rsidR="00E0243F" w:rsidRPr="00B74AB3">
        <w:rPr>
          <w:lang w:val="fr-CA"/>
        </w:rPr>
        <w:t xml:space="preserve"> parce que le gouverneur en conseil est présumé avoir fait preuve de cohérence dans l’établissement du </w:t>
      </w:r>
      <w:r w:rsidR="00E0243F" w:rsidRPr="00B74AB3">
        <w:rPr>
          <w:i/>
          <w:lang w:val="fr-CA"/>
        </w:rPr>
        <w:t>Décret sur l’immunité de l’OPA</w:t>
      </w:r>
      <w:r w:rsidR="00BC4663" w:rsidRPr="00B74AB3">
        <w:rPr>
          <w:i/>
          <w:lang w:val="fr-CA"/>
        </w:rPr>
        <w:t>NO.</w:t>
      </w:r>
      <w:r w:rsidR="00BC4663" w:rsidRPr="00B74AB3">
        <w:rPr>
          <w:lang w:val="fr-CA"/>
        </w:rPr>
        <w:t xml:space="preserve">  </w:t>
      </w:r>
      <w:r w:rsidR="003479BA" w:rsidRPr="00B74AB3">
        <w:rPr>
          <w:lang w:val="fr-CA"/>
        </w:rPr>
        <w:t>La loi confère au</w:t>
      </w:r>
      <w:r w:rsidR="00E0243F" w:rsidRPr="00B74AB3">
        <w:rPr>
          <w:i/>
          <w:lang w:val="fr-CA"/>
        </w:rPr>
        <w:t xml:space="preserve"> </w:t>
      </w:r>
      <w:r w:rsidR="003479BA" w:rsidRPr="00B74AB3">
        <w:rPr>
          <w:lang w:val="fr-CA"/>
        </w:rPr>
        <w:t xml:space="preserve">gouverneur en conseil le pouvoir de déterminer l’étendue des immunités à accorder au cas par cas à chaque organisation internationale.  </w:t>
      </w:r>
      <w:r w:rsidR="00132E29" w:rsidRPr="00B74AB3">
        <w:rPr>
          <w:lang w:val="fr-CA"/>
        </w:rPr>
        <w:t>Or</w:t>
      </w:r>
      <w:r w:rsidR="00906117" w:rsidRPr="00B74AB3">
        <w:rPr>
          <w:lang w:val="fr-CA"/>
        </w:rPr>
        <w:t xml:space="preserve">, </w:t>
      </w:r>
      <w:r w:rsidR="0067264D" w:rsidRPr="00B74AB3">
        <w:rPr>
          <w:lang w:val="fr-CA"/>
        </w:rPr>
        <w:t>il</w:t>
      </w:r>
      <w:r w:rsidR="00906117" w:rsidRPr="00B74AB3">
        <w:rPr>
          <w:lang w:val="fr-CA"/>
        </w:rPr>
        <w:t xml:space="preserve"> a conféré </w:t>
      </w:r>
      <w:r w:rsidR="00132E29" w:rsidRPr="00B74AB3">
        <w:rPr>
          <w:lang w:val="fr-CA"/>
        </w:rPr>
        <w:t xml:space="preserve">à l’OPANO </w:t>
      </w:r>
      <w:r w:rsidR="00906117" w:rsidRPr="00B74AB3">
        <w:rPr>
          <w:lang w:val="fr-CA"/>
        </w:rPr>
        <w:t>une large immunité fonctionnelle</w:t>
      </w:r>
      <w:r w:rsidR="00132E29" w:rsidRPr="00B74AB3">
        <w:rPr>
          <w:lang w:val="fr-CA"/>
        </w:rPr>
        <w:t>,</w:t>
      </w:r>
      <w:r w:rsidR="00906117" w:rsidRPr="00B74AB3">
        <w:rPr>
          <w:lang w:val="fr-CA"/>
        </w:rPr>
        <w:t xml:space="preserve"> comme en témoigne le libellé même du </w:t>
      </w:r>
      <w:r w:rsidR="00BC4663" w:rsidRPr="00B74AB3">
        <w:rPr>
          <w:lang w:val="fr-CA"/>
        </w:rPr>
        <w:t>par. </w:t>
      </w:r>
      <w:r w:rsidR="00906117" w:rsidRPr="00B74AB3">
        <w:rPr>
          <w:lang w:val="fr-CA"/>
        </w:rPr>
        <w:t>3(1)</w:t>
      </w:r>
      <w:r w:rsidR="00BC4663" w:rsidRPr="00B74AB3">
        <w:rPr>
          <w:lang w:val="fr-CA"/>
        </w:rPr>
        <w:t> :</w:t>
      </w:r>
      <w:r w:rsidR="00906117" w:rsidRPr="00B74AB3">
        <w:rPr>
          <w:lang w:val="fr-CA"/>
        </w:rPr>
        <w:t xml:space="preserve"> « dans la mesure où </w:t>
      </w:r>
      <w:r w:rsidR="00132E29" w:rsidRPr="00B74AB3">
        <w:rPr>
          <w:lang w:val="fr-CA"/>
        </w:rPr>
        <w:t>[l]</w:t>
      </w:r>
      <w:r w:rsidR="00906117" w:rsidRPr="00B74AB3">
        <w:rPr>
          <w:lang w:val="fr-CA"/>
        </w:rPr>
        <w:t xml:space="preserve">es fonctions </w:t>
      </w:r>
      <w:r w:rsidR="00132E29" w:rsidRPr="00B74AB3">
        <w:rPr>
          <w:lang w:val="fr-CA"/>
        </w:rPr>
        <w:t xml:space="preserve">[de l’organisation] </w:t>
      </w:r>
      <w:r w:rsidR="00906117" w:rsidRPr="00B74AB3">
        <w:rPr>
          <w:lang w:val="fr-CA"/>
        </w:rPr>
        <w:t>l’exigent ».  Ne pa</w:t>
      </w:r>
      <w:r w:rsidR="00132E29" w:rsidRPr="00B74AB3">
        <w:rPr>
          <w:lang w:val="fr-CA"/>
        </w:rPr>
        <w:t>s</w:t>
      </w:r>
      <w:r w:rsidR="00906117" w:rsidRPr="00B74AB3">
        <w:rPr>
          <w:lang w:val="fr-CA"/>
        </w:rPr>
        <w:t xml:space="preserve"> interpréter libéralement le </w:t>
      </w:r>
      <w:r w:rsidR="00BC4663" w:rsidRPr="00B74AB3">
        <w:rPr>
          <w:lang w:val="fr-CA"/>
        </w:rPr>
        <w:t>par. </w:t>
      </w:r>
      <w:r w:rsidR="00906117" w:rsidRPr="00B74AB3">
        <w:rPr>
          <w:lang w:val="fr-CA"/>
        </w:rPr>
        <w:t xml:space="preserve">3(1) irait à l’encontre </w:t>
      </w:r>
      <w:r w:rsidR="00132E29" w:rsidRPr="00B74AB3">
        <w:rPr>
          <w:lang w:val="fr-CA"/>
        </w:rPr>
        <w:t xml:space="preserve">de l’objet et de l’esprit du </w:t>
      </w:r>
      <w:r w:rsidR="00132E29" w:rsidRPr="00B74AB3">
        <w:rPr>
          <w:i/>
          <w:lang w:val="fr-CA"/>
        </w:rPr>
        <w:t>Décret sur l’immunité de l’OPANO</w:t>
      </w:r>
      <w:r w:rsidR="00132E29" w:rsidRPr="00B74AB3">
        <w:rPr>
          <w:lang w:val="fr-CA"/>
        </w:rPr>
        <w:t xml:space="preserve"> de même que </w:t>
      </w:r>
      <w:r w:rsidR="00906117" w:rsidRPr="00B74AB3">
        <w:rPr>
          <w:lang w:val="fr-CA"/>
        </w:rPr>
        <w:t>des objectifs poursuivis par le législateur, soit la modernisation, la souplesse et le respect de l’indépendance des organisations internationales.</w:t>
      </w:r>
    </w:p>
    <w:p w:rsidR="002536B0" w:rsidRPr="00B74AB3" w:rsidRDefault="002536B0" w:rsidP="00BC4663">
      <w:pPr>
        <w:pStyle w:val="SCCNormalDoubleSpacing"/>
        <w:spacing w:before="480" w:after="480"/>
        <w:rPr>
          <w:lang w:val="fr-CA"/>
        </w:rPr>
      </w:pPr>
      <w:r w:rsidRPr="00B74AB3">
        <w:rPr>
          <w:lang w:val="fr-CA"/>
        </w:rPr>
        <w:tab/>
      </w:r>
      <w:r w:rsidR="00906117" w:rsidRPr="00B74AB3">
        <w:rPr>
          <w:lang w:val="fr-CA"/>
        </w:rPr>
        <w:t xml:space="preserve">En l’espèce, </w:t>
      </w:r>
      <w:r w:rsidR="0067264D" w:rsidRPr="00B74AB3">
        <w:rPr>
          <w:lang w:val="fr-CA"/>
        </w:rPr>
        <w:t>sauf en ce qui a trait à la demande de paiement de l’indemnité de cessation d’emploi fondée sur le règlement régissant le personnel de l’OPANO, celle-ci</w:t>
      </w:r>
      <w:r w:rsidR="00ED09B5" w:rsidRPr="00B74AB3">
        <w:rPr>
          <w:lang w:val="fr-CA"/>
        </w:rPr>
        <w:t xml:space="preserve"> a besoin de l’immunité </w:t>
      </w:r>
      <w:r w:rsidR="00132E29" w:rsidRPr="00B74AB3">
        <w:rPr>
          <w:lang w:val="fr-CA"/>
        </w:rPr>
        <w:t>quan</w:t>
      </w:r>
      <w:r w:rsidR="00ED09B5" w:rsidRPr="00B74AB3">
        <w:rPr>
          <w:lang w:val="fr-CA"/>
        </w:rPr>
        <w:t>t aux réclamations de A pour pouvoir s’acquitter de ses fonctions</w:t>
      </w:r>
      <w:r w:rsidR="00BC4663" w:rsidRPr="00B74AB3">
        <w:rPr>
          <w:lang w:val="fr-CA"/>
        </w:rPr>
        <w:t xml:space="preserve">.  </w:t>
      </w:r>
      <w:r w:rsidR="00ED09B5" w:rsidRPr="00B74AB3">
        <w:rPr>
          <w:lang w:val="fr-CA"/>
        </w:rPr>
        <w:t>A était le numéro deux du secrétariat.  Il supervisait directement d’autres employés et était responsable du volet scientifiq</w:t>
      </w:r>
      <w:r w:rsidR="00DA0ADE" w:rsidRPr="00B74AB3">
        <w:rPr>
          <w:lang w:val="fr-CA"/>
        </w:rPr>
        <w:t xml:space="preserve">ue du mandat de l’organisation. </w:t>
      </w:r>
      <w:r w:rsidR="00ED09B5" w:rsidRPr="00B74AB3">
        <w:rPr>
          <w:lang w:val="fr-CA"/>
        </w:rPr>
        <w:t xml:space="preserve"> L’OPANO doit être en mesure de gérer ses employés, notamment ceux qui occupent des postes supérieurs, afin d’accomplir efficacement ses fonctions.  Permettre que des poursuites liées à l’emploi intentées contre l’OPANO par ses </w:t>
      </w:r>
      <w:r w:rsidR="00ED09B5" w:rsidRPr="00B74AB3">
        <w:rPr>
          <w:lang w:val="fr-CA"/>
        </w:rPr>
        <w:lastRenderedPageBreak/>
        <w:t xml:space="preserve">cadres supérieurs soient entendues par les tribunaux canadiens porterait atteinte de façon injustifiée à l’autonomie de l’OPANO dans l’exercice de ses fonctions et reviendrait à assujettir ses opérations de gestion à la surveillance des institutions de l’État d’accueil.  L’absence d’un mécanisme de règlement des différends ou d’un processus interne d’examen n’est pas en soi </w:t>
      </w:r>
      <w:r w:rsidR="005D3D3D" w:rsidRPr="00B74AB3">
        <w:rPr>
          <w:lang w:val="fr-CA"/>
        </w:rPr>
        <w:t>déterminante</w:t>
      </w:r>
      <w:r w:rsidR="00ED09B5" w:rsidRPr="00B74AB3">
        <w:rPr>
          <w:lang w:val="fr-CA"/>
        </w:rPr>
        <w:t xml:space="preserve"> pour décider si l’OPANO bénéficie de l’immunité.  Bien qu’il s</w:t>
      </w:r>
      <w:r w:rsidR="00132E29" w:rsidRPr="00B74AB3">
        <w:rPr>
          <w:lang w:val="fr-CA"/>
        </w:rPr>
        <w:t>o</w:t>
      </w:r>
      <w:r w:rsidR="00ED09B5" w:rsidRPr="00B74AB3">
        <w:rPr>
          <w:lang w:val="fr-CA"/>
        </w:rPr>
        <w:t xml:space="preserve">it regrettable que l’appelant ne puisse pas faire valoir ses moyens devant un tribunal et demander réparation, c’est dans la nature même de l’immunité de juridiction que certaines affaires </w:t>
      </w:r>
      <w:r w:rsidR="00567CCE" w:rsidRPr="00B74AB3">
        <w:rPr>
          <w:lang w:val="fr-CA"/>
        </w:rPr>
        <w:t>so</w:t>
      </w:r>
      <w:r w:rsidR="00424426" w:rsidRPr="00B74AB3">
        <w:rPr>
          <w:lang w:val="fr-CA"/>
        </w:rPr>
        <w:t>ie</w:t>
      </w:r>
      <w:r w:rsidR="00567CCE" w:rsidRPr="00B74AB3">
        <w:rPr>
          <w:lang w:val="fr-CA"/>
        </w:rPr>
        <w:t>nt</w:t>
      </w:r>
      <w:r w:rsidR="00ED09B5" w:rsidRPr="00B74AB3">
        <w:rPr>
          <w:lang w:val="fr-CA"/>
        </w:rPr>
        <w:t xml:space="preserve"> soustraites de la compétence des tribunaux de l’État d’accueil.</w:t>
      </w:r>
    </w:p>
    <w:p w:rsidR="002536B0" w:rsidRPr="00B74AB3" w:rsidRDefault="002536B0" w:rsidP="00BC4663">
      <w:pPr>
        <w:pStyle w:val="SCCNormalDoubleSpacing"/>
        <w:spacing w:before="480" w:after="480"/>
        <w:rPr>
          <w:lang w:val="fr-CA"/>
        </w:rPr>
      </w:pPr>
      <w:r w:rsidRPr="00B74AB3">
        <w:rPr>
          <w:lang w:val="fr-CA"/>
        </w:rPr>
        <w:tab/>
      </w:r>
      <w:r w:rsidR="00ED09B5" w:rsidRPr="00B74AB3">
        <w:rPr>
          <w:lang w:val="fr-CA"/>
        </w:rPr>
        <w:t>Pour que l’OPANO puisse s’acquitter de ses fonctions</w:t>
      </w:r>
      <w:r w:rsidR="00205F0E">
        <w:rPr>
          <w:lang w:val="fr-CA"/>
        </w:rPr>
        <w:t>,</w:t>
      </w:r>
      <w:r w:rsidR="00132E29" w:rsidRPr="00B74AB3">
        <w:rPr>
          <w:lang w:val="fr-CA"/>
        </w:rPr>
        <w:t xml:space="preserve"> </w:t>
      </w:r>
      <w:r w:rsidR="00ED09B5" w:rsidRPr="00B74AB3">
        <w:rPr>
          <w:lang w:val="fr-CA"/>
        </w:rPr>
        <w:t xml:space="preserve">il n’est toutefois pas nécessaire qu’elle jouisse de l’immunité à l’égard de </w:t>
      </w:r>
      <w:r w:rsidR="00132E29" w:rsidRPr="00B74AB3">
        <w:rPr>
          <w:lang w:val="fr-CA"/>
        </w:rPr>
        <w:t>l</w:t>
      </w:r>
      <w:r w:rsidR="00ED09B5" w:rsidRPr="00B74AB3">
        <w:rPr>
          <w:lang w:val="fr-CA"/>
        </w:rPr>
        <w:t xml:space="preserve">a réclamation </w:t>
      </w:r>
      <w:r w:rsidR="00132E29" w:rsidRPr="00B74AB3">
        <w:rPr>
          <w:lang w:val="fr-CA"/>
        </w:rPr>
        <w:t xml:space="preserve">de A </w:t>
      </w:r>
      <w:r w:rsidR="00ED09B5" w:rsidRPr="00B74AB3">
        <w:rPr>
          <w:lang w:val="fr-CA"/>
        </w:rPr>
        <w:t xml:space="preserve">relative à </w:t>
      </w:r>
      <w:r w:rsidR="00132E29" w:rsidRPr="00B74AB3">
        <w:rPr>
          <w:lang w:val="fr-CA"/>
        </w:rPr>
        <w:t>son</w:t>
      </w:r>
      <w:r w:rsidR="00ED09B5" w:rsidRPr="00B74AB3">
        <w:rPr>
          <w:lang w:val="fr-CA"/>
        </w:rPr>
        <w:t xml:space="preserve"> indemnité de cessation d’emploi</w:t>
      </w:r>
      <w:r w:rsidR="00BC4663" w:rsidRPr="00B74AB3">
        <w:rPr>
          <w:lang w:val="fr-CA"/>
        </w:rPr>
        <w:t>.</w:t>
      </w:r>
      <w:r w:rsidR="00892D13" w:rsidRPr="00B74AB3">
        <w:rPr>
          <w:lang w:val="fr-CA"/>
        </w:rPr>
        <w:t xml:space="preserve"> </w:t>
      </w:r>
      <w:r w:rsidR="009C2C3C" w:rsidRPr="00B74AB3">
        <w:rPr>
          <w:lang w:val="fr-CA"/>
        </w:rPr>
        <w:t xml:space="preserve"> </w:t>
      </w:r>
      <w:r w:rsidR="00132E29" w:rsidRPr="00B74AB3">
        <w:rPr>
          <w:lang w:val="fr-CA"/>
        </w:rPr>
        <w:t>D’ailleurs,</w:t>
      </w:r>
      <w:r w:rsidR="009C2C3C" w:rsidRPr="00B74AB3">
        <w:rPr>
          <w:lang w:val="fr-CA"/>
        </w:rPr>
        <w:t xml:space="preserve"> </w:t>
      </w:r>
      <w:r w:rsidR="00132E29" w:rsidRPr="00B74AB3">
        <w:rPr>
          <w:lang w:val="fr-CA"/>
        </w:rPr>
        <w:t>l</w:t>
      </w:r>
      <w:r w:rsidR="009C2C3C" w:rsidRPr="00B74AB3">
        <w:rPr>
          <w:lang w:val="fr-CA"/>
        </w:rPr>
        <w:t xml:space="preserve">’OPANO </w:t>
      </w:r>
      <w:r w:rsidR="00567CCE" w:rsidRPr="00B74AB3">
        <w:rPr>
          <w:lang w:val="fr-CA"/>
        </w:rPr>
        <w:t>reconnaît</w:t>
      </w:r>
      <w:r w:rsidR="009C2C3C" w:rsidRPr="00B74AB3">
        <w:rPr>
          <w:lang w:val="fr-CA"/>
        </w:rPr>
        <w:t xml:space="preserve"> devoir une </w:t>
      </w:r>
      <w:r w:rsidR="00132E29" w:rsidRPr="00B74AB3">
        <w:rPr>
          <w:lang w:val="fr-CA"/>
        </w:rPr>
        <w:t xml:space="preserve">telle </w:t>
      </w:r>
      <w:r w:rsidR="009C2C3C" w:rsidRPr="00B74AB3">
        <w:rPr>
          <w:lang w:val="fr-CA"/>
        </w:rPr>
        <w:t xml:space="preserve">indemnité à A en application du </w:t>
      </w:r>
      <w:r w:rsidR="00567CCE" w:rsidRPr="00B74AB3">
        <w:rPr>
          <w:lang w:val="fr-CA"/>
        </w:rPr>
        <w:t>règlement</w:t>
      </w:r>
      <w:r w:rsidR="009C2C3C" w:rsidRPr="00B74AB3">
        <w:rPr>
          <w:lang w:val="fr-CA"/>
        </w:rPr>
        <w:t xml:space="preserve"> régissant </w:t>
      </w:r>
      <w:r w:rsidR="00132E29" w:rsidRPr="00B74AB3">
        <w:rPr>
          <w:lang w:val="fr-CA"/>
        </w:rPr>
        <w:t>son</w:t>
      </w:r>
      <w:r w:rsidR="009C2C3C" w:rsidRPr="00B74AB3">
        <w:rPr>
          <w:lang w:val="fr-CA"/>
        </w:rPr>
        <w:t xml:space="preserve"> personnel et concède que le </w:t>
      </w:r>
      <w:r w:rsidR="009C2C3C" w:rsidRPr="00B74AB3">
        <w:rPr>
          <w:i/>
          <w:lang w:val="fr-CA"/>
        </w:rPr>
        <w:t>Décret sur l’immunité de l’OPANO</w:t>
      </w:r>
      <w:r w:rsidR="009C2C3C" w:rsidRPr="00B74AB3">
        <w:rPr>
          <w:lang w:val="fr-CA"/>
        </w:rPr>
        <w:t xml:space="preserve"> ne la met pas à </w:t>
      </w:r>
      <w:r w:rsidR="00132E29" w:rsidRPr="00B74AB3">
        <w:rPr>
          <w:lang w:val="fr-CA"/>
        </w:rPr>
        <w:t>l’abri</w:t>
      </w:r>
      <w:r w:rsidR="009C2C3C" w:rsidRPr="00B74AB3">
        <w:rPr>
          <w:lang w:val="fr-CA"/>
        </w:rPr>
        <w:t xml:space="preserve"> de </w:t>
      </w:r>
      <w:r w:rsidR="00132E29" w:rsidRPr="00B74AB3">
        <w:rPr>
          <w:lang w:val="fr-CA"/>
        </w:rPr>
        <w:t>cette</w:t>
      </w:r>
      <w:r w:rsidR="009C2C3C" w:rsidRPr="00B74AB3">
        <w:rPr>
          <w:lang w:val="fr-CA"/>
        </w:rPr>
        <w:t xml:space="preserve"> réclamation.  </w:t>
      </w:r>
      <w:r w:rsidR="00132E29" w:rsidRPr="00B74AB3">
        <w:rPr>
          <w:lang w:val="fr-CA"/>
        </w:rPr>
        <w:t>Cette dernière</w:t>
      </w:r>
      <w:r w:rsidR="009C2C3C" w:rsidRPr="00B74AB3">
        <w:rPr>
          <w:lang w:val="fr-CA"/>
        </w:rPr>
        <w:t xml:space="preserve"> d</w:t>
      </w:r>
      <w:r w:rsidR="00132E29" w:rsidRPr="00B74AB3">
        <w:rPr>
          <w:lang w:val="fr-CA"/>
        </w:rPr>
        <w:t>oit</w:t>
      </w:r>
      <w:r w:rsidR="009C2C3C" w:rsidRPr="00B74AB3">
        <w:rPr>
          <w:lang w:val="fr-CA"/>
        </w:rPr>
        <w:t xml:space="preserve"> pouvoir suivre son cours et l’appel êtr</w:t>
      </w:r>
      <w:r w:rsidR="00132E29" w:rsidRPr="00B74AB3">
        <w:rPr>
          <w:lang w:val="fr-CA"/>
        </w:rPr>
        <w:t>e</w:t>
      </w:r>
      <w:r w:rsidR="009C2C3C" w:rsidRPr="00B74AB3">
        <w:rPr>
          <w:lang w:val="fr-CA"/>
        </w:rPr>
        <w:t xml:space="preserve"> accueilli à cet égard.</w:t>
      </w:r>
      <w:r w:rsidR="00ED09B5" w:rsidRPr="00B74AB3">
        <w:rPr>
          <w:lang w:val="fr-CA"/>
        </w:rPr>
        <w:t xml:space="preserve"> </w:t>
      </w:r>
    </w:p>
    <w:p w:rsidR="004D7D95" w:rsidRPr="00B74AB3" w:rsidRDefault="004D7D95" w:rsidP="00BC4663">
      <w:pPr>
        <w:pStyle w:val="SCCNormalDoubleSpacing"/>
        <w:keepNext/>
        <w:spacing w:after="720" w:line="240" w:lineRule="auto"/>
        <w:rPr>
          <w:b/>
          <w:lang w:val="fr-CA"/>
        </w:rPr>
      </w:pPr>
      <w:r w:rsidRPr="00B74AB3">
        <w:rPr>
          <w:b/>
          <w:lang w:val="fr-CA"/>
        </w:rPr>
        <w:t>Jurisprudence</w:t>
      </w:r>
    </w:p>
    <w:p w:rsidR="004D7D95" w:rsidRPr="00B74AB3" w:rsidRDefault="004D7D95" w:rsidP="00BC4663">
      <w:pPr>
        <w:pStyle w:val="SCCNormalDoubleSpacing"/>
        <w:spacing w:before="480" w:after="480"/>
        <w:rPr>
          <w:b/>
          <w:lang w:val="fr-CA"/>
        </w:rPr>
      </w:pPr>
      <w:r w:rsidRPr="00B74AB3">
        <w:rPr>
          <w:lang w:val="fr-CA"/>
        </w:rPr>
        <w:tab/>
      </w:r>
      <w:r w:rsidRPr="00B74AB3">
        <w:rPr>
          <w:b/>
          <w:lang w:val="fr-CA"/>
        </w:rPr>
        <w:t xml:space="preserve">Arrêts </w:t>
      </w:r>
      <w:r w:rsidR="00B667D6" w:rsidRPr="00B74AB3">
        <w:rPr>
          <w:b/>
          <w:lang w:val="fr-CA"/>
        </w:rPr>
        <w:t xml:space="preserve">examinés : </w:t>
      </w:r>
      <w:r w:rsidR="005F21FC" w:rsidRPr="00B74AB3">
        <w:rPr>
          <w:i/>
          <w:lang w:val="fr-CA"/>
        </w:rPr>
        <w:t>Canada (Chambre des communes) c. Vaid</w:t>
      </w:r>
      <w:r w:rsidR="005F21FC" w:rsidRPr="00B74AB3">
        <w:rPr>
          <w:lang w:val="fr-CA"/>
        </w:rPr>
        <w:t>, 2005 CSC 30, [2005] 1 R.C.S. 667</w:t>
      </w:r>
      <w:r w:rsidR="00B667D6" w:rsidRPr="00B74AB3">
        <w:rPr>
          <w:lang w:val="fr-CA"/>
        </w:rPr>
        <w:t xml:space="preserve">; </w:t>
      </w:r>
      <w:r w:rsidR="00B667D6" w:rsidRPr="00B74AB3">
        <w:rPr>
          <w:i/>
          <w:lang w:val="fr-CA"/>
        </w:rPr>
        <w:t>Re Code canadien du travail</w:t>
      </w:r>
      <w:r w:rsidR="00B667D6" w:rsidRPr="00B74AB3">
        <w:rPr>
          <w:lang w:val="fr-CA"/>
        </w:rPr>
        <w:t>, [1992] 2 R.C.S. 50</w:t>
      </w:r>
      <w:r w:rsidR="00EB534F" w:rsidRPr="00B74AB3">
        <w:rPr>
          <w:lang w:val="fr-CA"/>
        </w:rPr>
        <w:t xml:space="preserve">; </w:t>
      </w:r>
      <w:r w:rsidR="00B667D6" w:rsidRPr="00B74AB3">
        <w:rPr>
          <w:b/>
          <w:lang w:val="fr-CA"/>
        </w:rPr>
        <w:t>arrêts mentionnés :</w:t>
      </w:r>
      <w:r w:rsidR="00B667D6" w:rsidRPr="00B74AB3">
        <w:rPr>
          <w:lang w:val="fr-CA"/>
        </w:rPr>
        <w:t xml:space="preserve"> </w:t>
      </w:r>
      <w:r w:rsidR="00EB534F" w:rsidRPr="00B74AB3">
        <w:rPr>
          <w:i/>
          <w:lang w:val="fr-CA"/>
        </w:rPr>
        <w:t>Immunités juridictionnelles de l’État (Allemagne c. Italie</w:t>
      </w:r>
      <w:r w:rsidR="00BC4663" w:rsidRPr="00B74AB3">
        <w:rPr>
          <w:i/>
          <w:lang w:val="fr-CA"/>
        </w:rPr>
        <w:t> :</w:t>
      </w:r>
      <w:r w:rsidR="00EB534F" w:rsidRPr="00B74AB3">
        <w:rPr>
          <w:i/>
          <w:lang w:val="fr-CA"/>
        </w:rPr>
        <w:t xml:space="preserve"> Grèce (intervenant</w:t>
      </w:r>
      <w:r w:rsidR="00205F0E">
        <w:rPr>
          <w:i/>
          <w:lang w:val="fr-CA"/>
        </w:rPr>
        <w:t>)</w:t>
      </w:r>
      <w:r w:rsidR="00EB534F" w:rsidRPr="00B74AB3">
        <w:rPr>
          <w:i/>
          <w:lang w:val="fr-CA"/>
        </w:rPr>
        <w:t>)</w:t>
      </w:r>
      <w:r w:rsidR="00892D13" w:rsidRPr="00B74AB3">
        <w:rPr>
          <w:lang w:val="fr-CA"/>
        </w:rPr>
        <w:t>, C.I.J. (3 </w:t>
      </w:r>
      <w:r w:rsidR="00EB534F" w:rsidRPr="00B74AB3">
        <w:rPr>
          <w:lang w:val="fr-CA"/>
        </w:rPr>
        <w:t>février 2012)</w:t>
      </w:r>
      <w:r w:rsidR="0042184A" w:rsidRPr="00B74AB3">
        <w:rPr>
          <w:lang w:val="fr-CA"/>
        </w:rPr>
        <w:t xml:space="preserve">; </w:t>
      </w:r>
      <w:r w:rsidR="0042184A" w:rsidRPr="00B74AB3">
        <w:rPr>
          <w:i/>
          <w:lang w:val="fr-CA"/>
        </w:rPr>
        <w:t>Kuwait Airways Cor</w:t>
      </w:r>
      <w:r w:rsidR="00BC4663" w:rsidRPr="00B74AB3">
        <w:rPr>
          <w:i/>
          <w:lang w:val="fr-CA"/>
        </w:rPr>
        <w:t>p.</w:t>
      </w:r>
      <w:r w:rsidR="00831D8A" w:rsidRPr="00B74AB3">
        <w:rPr>
          <w:i/>
          <w:lang w:val="fr-CA"/>
        </w:rPr>
        <w:t xml:space="preserve"> </w:t>
      </w:r>
      <w:r w:rsidR="0042184A" w:rsidRPr="00B74AB3">
        <w:rPr>
          <w:i/>
          <w:lang w:val="fr-CA"/>
        </w:rPr>
        <w:t>c. Irak</w:t>
      </w:r>
      <w:r w:rsidR="0042184A" w:rsidRPr="00B74AB3">
        <w:rPr>
          <w:lang w:val="fr-CA"/>
        </w:rPr>
        <w:t>, 2010 CSC 40, [2010] 2 R.C.S. 571</w:t>
      </w:r>
      <w:r w:rsidR="0087556B" w:rsidRPr="00B74AB3">
        <w:rPr>
          <w:lang w:val="fr-CA"/>
        </w:rPr>
        <w:t xml:space="preserve">; </w:t>
      </w:r>
      <w:r w:rsidR="0087556B" w:rsidRPr="00B74AB3">
        <w:rPr>
          <w:i/>
          <w:lang w:val="fr-CA"/>
        </w:rPr>
        <w:t>Contino c. Leonelli</w:t>
      </w:r>
      <w:r w:rsidR="00BC4663" w:rsidRPr="00B74AB3">
        <w:rPr>
          <w:i/>
          <w:lang w:val="fr-CA"/>
        </w:rPr>
        <w:noBreakHyphen/>
      </w:r>
      <w:r w:rsidR="0087556B" w:rsidRPr="00B74AB3">
        <w:rPr>
          <w:i/>
          <w:lang w:val="fr-CA"/>
        </w:rPr>
        <w:t>Contino</w:t>
      </w:r>
      <w:r w:rsidR="0087556B" w:rsidRPr="00B74AB3">
        <w:rPr>
          <w:lang w:val="fr-CA"/>
        </w:rPr>
        <w:t xml:space="preserve">, 2005 CSC 63, [2005] 3 R.C.S. </w:t>
      </w:r>
      <w:r w:rsidR="0087556B" w:rsidRPr="00B74AB3">
        <w:rPr>
          <w:lang w:val="fr-CA"/>
        </w:rPr>
        <w:lastRenderedPageBreak/>
        <w:t xml:space="preserve">217; </w:t>
      </w:r>
      <w:r w:rsidR="0087556B" w:rsidRPr="00B74AB3">
        <w:rPr>
          <w:i/>
          <w:lang w:val="fr-CA"/>
        </w:rPr>
        <w:t>Glykis c. Hydro</w:t>
      </w:r>
      <w:r w:rsidR="00BC4663" w:rsidRPr="00B74AB3">
        <w:rPr>
          <w:i/>
          <w:lang w:val="fr-CA"/>
        </w:rPr>
        <w:noBreakHyphen/>
      </w:r>
      <w:r w:rsidR="0087556B" w:rsidRPr="00B74AB3">
        <w:rPr>
          <w:i/>
          <w:lang w:val="fr-CA"/>
        </w:rPr>
        <w:t>Québec</w:t>
      </w:r>
      <w:r w:rsidR="0087556B" w:rsidRPr="00B74AB3">
        <w:rPr>
          <w:lang w:val="fr-CA"/>
        </w:rPr>
        <w:t>, 2004 CSC 60, [2004] 3 R.C.S. 285</w:t>
      </w:r>
      <w:r w:rsidR="00EF1566" w:rsidRPr="00B74AB3">
        <w:rPr>
          <w:lang w:val="fr-CA"/>
        </w:rPr>
        <w:t xml:space="preserve">; </w:t>
      </w:r>
      <w:r w:rsidR="00EF1566" w:rsidRPr="00B74AB3">
        <w:rPr>
          <w:i/>
          <w:lang w:val="fr-CA"/>
        </w:rPr>
        <w:t>Bristol</w:t>
      </w:r>
      <w:r w:rsidR="00BC4663" w:rsidRPr="00B74AB3">
        <w:rPr>
          <w:i/>
          <w:lang w:val="fr-CA"/>
        </w:rPr>
        <w:noBreakHyphen/>
      </w:r>
      <w:r w:rsidR="00EF1566" w:rsidRPr="00B74AB3">
        <w:rPr>
          <w:i/>
          <w:lang w:val="fr-CA"/>
        </w:rPr>
        <w:t>Myers Squibb Co. c. Canada (Procureur général)</w:t>
      </w:r>
      <w:r w:rsidR="00EF1566" w:rsidRPr="00B74AB3">
        <w:rPr>
          <w:lang w:val="fr-CA"/>
        </w:rPr>
        <w:t>, 2005 CSC 26, [2005] 1 R.C.S. 533</w:t>
      </w:r>
      <w:r w:rsidR="00D21086" w:rsidRPr="00B74AB3">
        <w:rPr>
          <w:lang w:val="fr-CA"/>
        </w:rPr>
        <w:t xml:space="preserve">; </w:t>
      </w:r>
      <w:r w:rsidR="00D21086" w:rsidRPr="00B74AB3">
        <w:rPr>
          <w:i/>
          <w:lang w:val="fr-CA"/>
        </w:rPr>
        <w:t>Rizzo &amp; Rizzo Shoes Ltd. (Re)</w:t>
      </w:r>
      <w:r w:rsidR="00D21086" w:rsidRPr="00B74AB3">
        <w:rPr>
          <w:lang w:val="fr-CA"/>
        </w:rPr>
        <w:t xml:space="preserve">, [1998] 1 R.C.S. 27; </w:t>
      </w:r>
      <w:r w:rsidR="00D21086" w:rsidRPr="00B74AB3">
        <w:rPr>
          <w:i/>
          <w:lang w:val="fr-CA"/>
        </w:rPr>
        <w:t>Bell ExpressVu Limited Partnership c. Rex</w:t>
      </w:r>
      <w:r w:rsidR="00D21086" w:rsidRPr="00B74AB3">
        <w:rPr>
          <w:lang w:val="fr-CA"/>
        </w:rPr>
        <w:t>, 2002 CSC 42, [2002] 2 R.C.S. 559</w:t>
      </w:r>
      <w:r w:rsidR="00E064F0" w:rsidRPr="00B74AB3">
        <w:rPr>
          <w:lang w:val="fr-CA"/>
        </w:rPr>
        <w:t xml:space="preserve">; </w:t>
      </w:r>
      <w:r w:rsidR="00E064F0" w:rsidRPr="00B74AB3">
        <w:rPr>
          <w:i/>
          <w:lang w:val="fr-CA"/>
        </w:rPr>
        <w:t>Baker c. Canada (Ministre de la Citoyenneté et de l’Immigration)</w:t>
      </w:r>
      <w:r w:rsidR="00E064F0" w:rsidRPr="00B74AB3">
        <w:rPr>
          <w:lang w:val="fr-CA"/>
        </w:rPr>
        <w:t xml:space="preserve">, [1999] 2 R.C.S. 817; </w:t>
      </w:r>
      <w:r w:rsidR="00E064F0" w:rsidRPr="00B74AB3">
        <w:rPr>
          <w:i/>
          <w:lang w:val="fr-CA"/>
        </w:rPr>
        <w:t>R. c. Hape</w:t>
      </w:r>
      <w:r w:rsidR="00E064F0" w:rsidRPr="00B74AB3">
        <w:rPr>
          <w:lang w:val="fr-CA"/>
        </w:rPr>
        <w:t>, 2007 CSC 26, [2007] 2 R.C.S. 292</w:t>
      </w:r>
      <w:r w:rsidR="00A33FB4" w:rsidRPr="00B74AB3">
        <w:rPr>
          <w:lang w:val="fr-CA"/>
        </w:rPr>
        <w:t xml:space="preserve">; </w:t>
      </w:r>
      <w:r w:rsidR="00A33FB4" w:rsidRPr="00B74AB3">
        <w:rPr>
          <w:i/>
          <w:lang w:val="fr-CA"/>
        </w:rPr>
        <w:t>Islamic Republic of Iran c. Hashemi</w:t>
      </w:r>
      <w:r w:rsidR="00A33FB4" w:rsidRPr="00B74AB3">
        <w:rPr>
          <w:lang w:val="fr-CA"/>
        </w:rPr>
        <w:t xml:space="preserve">, 2012 QCCA 1449, [2012] R.J.Q. 1567; </w:t>
      </w:r>
      <w:r w:rsidR="00A33FB4" w:rsidRPr="00B74AB3">
        <w:rPr>
          <w:i/>
          <w:lang w:val="fr-CA"/>
        </w:rPr>
        <w:t>Authorson c. Canada (Procureur général)</w:t>
      </w:r>
      <w:r w:rsidR="00A33FB4" w:rsidRPr="00B74AB3">
        <w:rPr>
          <w:lang w:val="fr-CA"/>
        </w:rPr>
        <w:t>, 2003 CSC 39, [2003] 2 R.C.S. 40</w:t>
      </w:r>
      <w:r w:rsidR="0042184A" w:rsidRPr="00B74AB3">
        <w:rPr>
          <w:lang w:val="fr-CA"/>
        </w:rPr>
        <w:t>.</w:t>
      </w:r>
    </w:p>
    <w:p w:rsidR="004D7D95" w:rsidRPr="00B74AB3" w:rsidRDefault="004D7D95" w:rsidP="00BC4663">
      <w:pPr>
        <w:pStyle w:val="SCCNormalDoubleSpacing"/>
        <w:keepNext/>
        <w:spacing w:after="720" w:line="240" w:lineRule="auto"/>
        <w:rPr>
          <w:b/>
          <w:lang w:val="fr-CA"/>
        </w:rPr>
      </w:pPr>
      <w:r w:rsidRPr="00B74AB3">
        <w:rPr>
          <w:b/>
          <w:lang w:val="fr-CA"/>
        </w:rPr>
        <w:t>Lois et règlements cités</w:t>
      </w:r>
    </w:p>
    <w:p w:rsidR="007B261E" w:rsidRPr="00B74AB3" w:rsidRDefault="007B261E" w:rsidP="00BC4663">
      <w:pPr>
        <w:pStyle w:val="SCCNormalDoubleSpacing"/>
        <w:spacing w:after="240" w:line="240" w:lineRule="auto"/>
        <w:ind w:left="547" w:hanging="547"/>
        <w:rPr>
          <w:lang w:val="fr-CA"/>
        </w:rPr>
      </w:pPr>
      <w:r w:rsidRPr="00B74AB3">
        <w:rPr>
          <w:i/>
          <w:lang w:val="fr-CA"/>
        </w:rPr>
        <w:t>Déclaration canadienne des droits</w:t>
      </w:r>
      <w:r w:rsidRPr="00B74AB3">
        <w:rPr>
          <w:lang w:val="fr-CA"/>
        </w:rPr>
        <w:t>, L.R.C. 1985, a</w:t>
      </w:r>
      <w:r w:rsidR="00BC4663" w:rsidRPr="00B74AB3">
        <w:rPr>
          <w:lang w:val="fr-CA"/>
        </w:rPr>
        <w:t>pp. </w:t>
      </w:r>
      <w:r w:rsidR="00DB45C7">
        <w:rPr>
          <w:lang w:val="fr-CA"/>
        </w:rPr>
        <w:t>III</w:t>
      </w:r>
      <w:r w:rsidR="00CE2D15" w:rsidRPr="00B74AB3">
        <w:rPr>
          <w:lang w:val="fr-CA"/>
        </w:rPr>
        <w:t xml:space="preserve">, </w:t>
      </w:r>
      <w:r w:rsidR="00BC4663" w:rsidRPr="00B74AB3">
        <w:rPr>
          <w:lang w:val="fr-CA"/>
        </w:rPr>
        <w:t>art. </w:t>
      </w:r>
      <w:r w:rsidR="00CE2D15" w:rsidRPr="00B74AB3">
        <w:rPr>
          <w:lang w:val="fr-CA"/>
        </w:rPr>
        <w:t>2</w:t>
      </w:r>
      <w:r w:rsidR="00CE2D15" w:rsidRPr="00B74AB3">
        <w:rPr>
          <w:i/>
          <w:lang w:val="fr-CA"/>
        </w:rPr>
        <w:t>e</w:t>
      </w:r>
      <w:r w:rsidR="00CE2D15" w:rsidRPr="00B74AB3">
        <w:rPr>
          <w:lang w:val="fr-CA"/>
        </w:rPr>
        <w:t>)</w:t>
      </w:r>
      <w:r w:rsidRPr="00B74AB3">
        <w:rPr>
          <w:lang w:val="fr-CA"/>
        </w:rPr>
        <w:t>.</w:t>
      </w:r>
    </w:p>
    <w:p w:rsidR="00B60EC1" w:rsidRPr="00B74AB3" w:rsidRDefault="00B60EC1" w:rsidP="00BC4663">
      <w:pPr>
        <w:pStyle w:val="SCCNormalDoubleSpacing"/>
        <w:spacing w:after="240" w:line="240" w:lineRule="auto"/>
        <w:ind w:left="547" w:hanging="547"/>
        <w:rPr>
          <w:lang w:val="fr-CA"/>
        </w:rPr>
      </w:pPr>
      <w:r w:rsidRPr="00B74AB3">
        <w:rPr>
          <w:i/>
          <w:lang w:val="fr-CA"/>
        </w:rPr>
        <w:t xml:space="preserve">Décret sur les privilèges et immunités de l’Organisation des pêches de l’Atlantique </w:t>
      </w:r>
      <w:r w:rsidR="00DB45C7">
        <w:rPr>
          <w:i/>
          <w:lang w:val="fr-CA"/>
        </w:rPr>
        <w:t>n</w:t>
      </w:r>
      <w:r w:rsidRPr="00B74AB3">
        <w:rPr>
          <w:i/>
          <w:lang w:val="fr-CA"/>
        </w:rPr>
        <w:t>ord</w:t>
      </w:r>
      <w:r w:rsidR="00BC4663" w:rsidRPr="00B74AB3">
        <w:rPr>
          <w:i/>
          <w:lang w:val="fr-CA"/>
        </w:rPr>
        <w:noBreakHyphen/>
      </w:r>
      <w:r w:rsidR="00DB45C7">
        <w:rPr>
          <w:i/>
          <w:lang w:val="fr-CA"/>
        </w:rPr>
        <w:t>o</w:t>
      </w:r>
      <w:r w:rsidRPr="00B74AB3">
        <w:rPr>
          <w:i/>
          <w:lang w:val="fr-CA"/>
        </w:rPr>
        <w:t>uest</w:t>
      </w:r>
      <w:r w:rsidRPr="00B74AB3">
        <w:rPr>
          <w:lang w:val="fr-CA"/>
        </w:rPr>
        <w:t>, DORS/80</w:t>
      </w:r>
      <w:r w:rsidR="00BC4663" w:rsidRPr="00B74AB3">
        <w:rPr>
          <w:lang w:val="fr-CA"/>
        </w:rPr>
        <w:noBreakHyphen/>
      </w:r>
      <w:r w:rsidRPr="00B74AB3">
        <w:rPr>
          <w:lang w:val="fr-CA"/>
        </w:rPr>
        <w:t xml:space="preserve">64, </w:t>
      </w:r>
      <w:r w:rsidR="00BC4663" w:rsidRPr="00B74AB3">
        <w:rPr>
          <w:lang w:val="fr-CA"/>
        </w:rPr>
        <w:t>art. </w:t>
      </w:r>
      <w:r w:rsidRPr="00B74AB3">
        <w:rPr>
          <w:lang w:val="fr-CA"/>
        </w:rPr>
        <w:t>3</w:t>
      </w:r>
      <w:r w:rsidR="00980584">
        <w:rPr>
          <w:lang w:val="fr-CA"/>
        </w:rPr>
        <w:t>.</w:t>
      </w:r>
    </w:p>
    <w:p w:rsidR="00650230" w:rsidRPr="00B74AB3" w:rsidRDefault="00650230" w:rsidP="00BC4663">
      <w:pPr>
        <w:pStyle w:val="SCCNormalDoubleSpacing"/>
        <w:spacing w:after="240" w:line="240" w:lineRule="auto"/>
        <w:ind w:left="547" w:hanging="547"/>
        <w:rPr>
          <w:lang w:val="fr-CA"/>
        </w:rPr>
      </w:pPr>
      <w:r w:rsidRPr="00B74AB3">
        <w:rPr>
          <w:i/>
          <w:lang w:val="fr-CA"/>
        </w:rPr>
        <w:t>Loi sur l’immunité des États</w:t>
      </w:r>
      <w:r w:rsidRPr="00B74AB3">
        <w:rPr>
          <w:lang w:val="fr-CA"/>
        </w:rPr>
        <w:t xml:space="preserve">, L.R.C. 1985, </w:t>
      </w:r>
      <w:r w:rsidR="00BC4663" w:rsidRPr="00B74AB3">
        <w:rPr>
          <w:lang w:val="fr-CA"/>
        </w:rPr>
        <w:t>ch. </w:t>
      </w:r>
      <w:r w:rsidRPr="00B74AB3">
        <w:rPr>
          <w:lang w:val="fr-CA"/>
        </w:rPr>
        <w:t>S</w:t>
      </w:r>
      <w:r w:rsidR="00BC4663" w:rsidRPr="00B74AB3">
        <w:rPr>
          <w:lang w:val="fr-CA"/>
        </w:rPr>
        <w:noBreakHyphen/>
      </w:r>
      <w:r w:rsidRPr="00B74AB3">
        <w:rPr>
          <w:lang w:val="fr-CA"/>
        </w:rPr>
        <w:t>18.</w:t>
      </w:r>
    </w:p>
    <w:p w:rsidR="00223DDA" w:rsidRPr="00B74AB3" w:rsidRDefault="00223DDA" w:rsidP="00BC4663">
      <w:pPr>
        <w:pStyle w:val="SCCNormalDoubleSpacing"/>
        <w:spacing w:after="240" w:line="240" w:lineRule="auto"/>
        <w:ind w:left="547" w:hanging="547"/>
        <w:rPr>
          <w:lang w:val="fr-CA"/>
        </w:rPr>
      </w:pPr>
      <w:r w:rsidRPr="00B74AB3">
        <w:rPr>
          <w:i/>
          <w:lang w:val="fr-CA"/>
        </w:rPr>
        <w:t>Loi sur les missions étrangères et les organisations internationales</w:t>
      </w:r>
      <w:r w:rsidRPr="00B74AB3">
        <w:rPr>
          <w:lang w:val="fr-CA"/>
        </w:rPr>
        <w:t xml:space="preserve">, L.C. 1991, </w:t>
      </w:r>
      <w:r w:rsidR="00BC4663" w:rsidRPr="00B74AB3">
        <w:rPr>
          <w:lang w:val="fr-CA"/>
        </w:rPr>
        <w:t>ch. </w:t>
      </w:r>
      <w:r w:rsidRPr="00B74AB3">
        <w:rPr>
          <w:lang w:val="fr-CA"/>
        </w:rPr>
        <w:t xml:space="preserve">41, </w:t>
      </w:r>
      <w:r w:rsidR="00BC4663" w:rsidRPr="00B74AB3">
        <w:rPr>
          <w:lang w:val="fr-CA"/>
        </w:rPr>
        <w:t>art. </w:t>
      </w:r>
      <w:r w:rsidR="00AC30A1" w:rsidRPr="00B74AB3">
        <w:rPr>
          <w:lang w:val="fr-CA"/>
        </w:rPr>
        <w:t xml:space="preserve">5(1), </w:t>
      </w:r>
      <w:r w:rsidRPr="00B74AB3">
        <w:rPr>
          <w:lang w:val="fr-CA"/>
        </w:rPr>
        <w:t>16.</w:t>
      </w:r>
    </w:p>
    <w:p w:rsidR="00223DDA" w:rsidRPr="00B74AB3" w:rsidRDefault="00223DDA" w:rsidP="00BC4663">
      <w:pPr>
        <w:pStyle w:val="SCCNormalDoubleSpacing"/>
        <w:spacing w:after="240" w:line="240" w:lineRule="auto"/>
        <w:ind w:left="547" w:hanging="547"/>
        <w:rPr>
          <w:lang w:val="fr-CA"/>
        </w:rPr>
      </w:pPr>
      <w:r w:rsidRPr="00B74AB3">
        <w:rPr>
          <w:i/>
          <w:lang w:val="fr-CA"/>
        </w:rPr>
        <w:t>Loi sur les privilèges et immunités des organisations internationales</w:t>
      </w:r>
      <w:r w:rsidRPr="00B74AB3">
        <w:rPr>
          <w:lang w:val="fr-CA"/>
        </w:rPr>
        <w:t xml:space="preserve">, L.R.C. 1985, </w:t>
      </w:r>
      <w:r w:rsidR="00BC4663" w:rsidRPr="00B74AB3">
        <w:rPr>
          <w:lang w:val="fr-CA"/>
        </w:rPr>
        <w:t>ch. </w:t>
      </w:r>
      <w:r w:rsidRPr="00B74AB3">
        <w:rPr>
          <w:lang w:val="fr-CA"/>
        </w:rPr>
        <w:t>P</w:t>
      </w:r>
      <w:r w:rsidR="005A3DC9">
        <w:rPr>
          <w:lang w:val="fr-CA"/>
        </w:rPr>
        <w:t>-</w:t>
      </w:r>
      <w:r w:rsidRPr="00B74AB3">
        <w:rPr>
          <w:lang w:val="fr-CA"/>
        </w:rPr>
        <w:t>23</w:t>
      </w:r>
      <w:r w:rsidR="00980584">
        <w:rPr>
          <w:lang w:val="fr-CA"/>
        </w:rPr>
        <w:t xml:space="preserve"> [abr. 1991, ch. 41, art. 15]</w:t>
      </w:r>
      <w:r w:rsidRPr="00B74AB3">
        <w:rPr>
          <w:lang w:val="fr-CA"/>
        </w:rPr>
        <w:t>.</w:t>
      </w:r>
    </w:p>
    <w:p w:rsidR="00650230" w:rsidRPr="00B74AB3" w:rsidRDefault="00116B1D" w:rsidP="00892D13">
      <w:pPr>
        <w:pStyle w:val="SCCNormalDoubleSpacing"/>
        <w:spacing w:after="720" w:line="240" w:lineRule="auto"/>
        <w:ind w:left="547" w:hanging="547"/>
        <w:rPr>
          <w:lang w:val="fr-CA"/>
        </w:rPr>
      </w:pPr>
      <w:r w:rsidRPr="00B74AB3">
        <w:rPr>
          <w:i/>
          <w:lang w:val="fr-CA"/>
        </w:rPr>
        <w:t>Loi sur les privilèges et immunités d</w:t>
      </w:r>
      <w:r w:rsidRPr="00B74AB3">
        <w:rPr>
          <w:i/>
          <w:szCs w:val="24"/>
          <w:lang w:val="fr-CA"/>
        </w:rPr>
        <w:t>iplomatiques et consulaires</w:t>
      </w:r>
      <w:r w:rsidRPr="00B74AB3">
        <w:rPr>
          <w:szCs w:val="24"/>
          <w:lang w:val="fr-CA"/>
        </w:rPr>
        <w:t xml:space="preserve">, L.R.C. 1985, </w:t>
      </w:r>
      <w:r w:rsidR="00BC4663" w:rsidRPr="00B74AB3">
        <w:rPr>
          <w:szCs w:val="24"/>
          <w:lang w:val="fr-CA"/>
        </w:rPr>
        <w:t>ch. </w:t>
      </w:r>
      <w:r w:rsidRPr="00B74AB3">
        <w:rPr>
          <w:szCs w:val="24"/>
          <w:lang w:val="fr-CA"/>
        </w:rPr>
        <w:t>P</w:t>
      </w:r>
      <w:r w:rsidR="005A3DC9">
        <w:rPr>
          <w:szCs w:val="24"/>
          <w:lang w:val="fr-CA"/>
        </w:rPr>
        <w:t>-</w:t>
      </w:r>
      <w:r w:rsidRPr="00B74AB3">
        <w:rPr>
          <w:szCs w:val="24"/>
          <w:lang w:val="fr-CA"/>
        </w:rPr>
        <w:t>22</w:t>
      </w:r>
      <w:r w:rsidR="00E534AB">
        <w:rPr>
          <w:szCs w:val="24"/>
          <w:lang w:val="fr-CA"/>
        </w:rPr>
        <w:t xml:space="preserve"> [abr. 1991, ch. 41, art. 14]</w:t>
      </w:r>
      <w:r w:rsidRPr="00B74AB3">
        <w:rPr>
          <w:szCs w:val="24"/>
          <w:lang w:val="fr-CA"/>
        </w:rPr>
        <w:t>.</w:t>
      </w:r>
    </w:p>
    <w:p w:rsidR="004D7D95" w:rsidRPr="00B74AB3" w:rsidRDefault="00500BFB" w:rsidP="00BC4663">
      <w:pPr>
        <w:pStyle w:val="SCCNormalDoubleSpacing"/>
        <w:keepNext/>
        <w:spacing w:after="720" w:line="240" w:lineRule="auto"/>
        <w:rPr>
          <w:b/>
          <w:lang w:val="fr-CA"/>
        </w:rPr>
      </w:pPr>
      <w:r w:rsidRPr="00B74AB3">
        <w:rPr>
          <w:b/>
          <w:lang w:val="fr-CA"/>
        </w:rPr>
        <w:t>Traités et autres instruments internationaux</w:t>
      </w:r>
    </w:p>
    <w:p w:rsidR="00E46930" w:rsidRPr="00B74AB3" w:rsidRDefault="00E46930" w:rsidP="00BC4663">
      <w:pPr>
        <w:pStyle w:val="SCCNormalDoubleSpacing"/>
        <w:spacing w:after="240" w:line="240" w:lineRule="auto"/>
        <w:ind w:left="547" w:hanging="547"/>
        <w:rPr>
          <w:lang w:val="fr-CA"/>
        </w:rPr>
      </w:pPr>
      <w:r w:rsidRPr="00B74AB3">
        <w:rPr>
          <w:i/>
          <w:lang w:val="fr-CA"/>
        </w:rPr>
        <w:t>Accord de siège entre le gouvernement du Canada et l’Organisation de l’aviation civile internationale</w:t>
      </w:r>
      <w:r w:rsidRPr="00B74AB3">
        <w:rPr>
          <w:lang w:val="fr-CA"/>
        </w:rPr>
        <w:t>, R.T. Can. 1992 n</w:t>
      </w:r>
      <w:r w:rsidRPr="00B74AB3">
        <w:rPr>
          <w:vertAlign w:val="superscript"/>
          <w:lang w:val="fr-CA"/>
        </w:rPr>
        <w:t>o</w:t>
      </w:r>
      <w:r w:rsidR="00BC4663" w:rsidRPr="00B74AB3">
        <w:rPr>
          <w:lang w:val="fr-CA"/>
        </w:rPr>
        <w:t> </w:t>
      </w:r>
      <w:r w:rsidRPr="00B74AB3">
        <w:rPr>
          <w:lang w:val="fr-CA"/>
        </w:rPr>
        <w:t>7.</w:t>
      </w:r>
    </w:p>
    <w:p w:rsidR="00707EC9" w:rsidRPr="00B74AB3" w:rsidRDefault="00C22BD3" w:rsidP="00BC4663">
      <w:pPr>
        <w:pStyle w:val="SCCNormalDoubleSpacing"/>
        <w:spacing w:after="240" w:line="240" w:lineRule="auto"/>
        <w:ind w:left="547" w:hanging="547"/>
        <w:rPr>
          <w:i/>
          <w:lang w:val="fr-CA"/>
        </w:rPr>
      </w:pPr>
      <w:r w:rsidRPr="00B74AB3">
        <w:rPr>
          <w:i/>
          <w:lang w:val="fr-CA"/>
        </w:rPr>
        <w:t>Accord supplémentaire entre le gouvernement du Canada et l’Organisation de l’aviation civile international</w:t>
      </w:r>
      <w:r w:rsidR="00935B12">
        <w:rPr>
          <w:i/>
          <w:lang w:val="fr-CA"/>
        </w:rPr>
        <w:t>e</w:t>
      </w:r>
      <w:r w:rsidRPr="00B74AB3">
        <w:rPr>
          <w:i/>
          <w:lang w:val="fr-CA"/>
        </w:rPr>
        <w:t xml:space="preserve"> relati</w:t>
      </w:r>
      <w:r w:rsidR="00935B12">
        <w:rPr>
          <w:i/>
          <w:lang w:val="fr-CA"/>
        </w:rPr>
        <w:t>f</w:t>
      </w:r>
      <w:r w:rsidRPr="00B74AB3">
        <w:rPr>
          <w:i/>
          <w:lang w:val="fr-CA"/>
        </w:rPr>
        <w:t xml:space="preserve"> au siège de l’Organisation de l’aviation civile internationale</w:t>
      </w:r>
      <w:r w:rsidRPr="00B74AB3">
        <w:rPr>
          <w:lang w:val="fr-CA"/>
        </w:rPr>
        <w:t>, R.T. Can. 1999 n</w:t>
      </w:r>
      <w:r w:rsidRPr="00B74AB3">
        <w:rPr>
          <w:vertAlign w:val="superscript"/>
          <w:lang w:val="fr-CA"/>
        </w:rPr>
        <w:t>o</w:t>
      </w:r>
      <w:r w:rsidR="00BC4663" w:rsidRPr="00B74AB3">
        <w:rPr>
          <w:lang w:val="fr-CA"/>
        </w:rPr>
        <w:t> </w:t>
      </w:r>
      <w:r w:rsidRPr="00B74AB3">
        <w:rPr>
          <w:lang w:val="fr-CA"/>
        </w:rPr>
        <w:t>20.</w:t>
      </w:r>
    </w:p>
    <w:p w:rsidR="00C22BD3" w:rsidRPr="00B74AB3" w:rsidRDefault="00C22BD3" w:rsidP="00BC4663">
      <w:pPr>
        <w:pStyle w:val="SCCNormalDoubleSpacing"/>
        <w:spacing w:after="240" w:line="240" w:lineRule="auto"/>
        <w:ind w:left="547" w:hanging="547"/>
        <w:rPr>
          <w:lang w:val="fr-CA"/>
        </w:rPr>
      </w:pPr>
      <w:r w:rsidRPr="00B74AB3">
        <w:rPr>
          <w:i/>
          <w:lang w:val="fr-CA"/>
        </w:rPr>
        <w:lastRenderedPageBreak/>
        <w:t>Accord supplémentaire entre le gouvernement du Canada et l’Organisation de l’aviation civile international</w:t>
      </w:r>
      <w:r w:rsidR="005A3DC9">
        <w:rPr>
          <w:i/>
          <w:lang w:val="fr-CA"/>
        </w:rPr>
        <w:t>e</w:t>
      </w:r>
      <w:r w:rsidRPr="00B74AB3">
        <w:rPr>
          <w:i/>
          <w:lang w:val="fr-CA"/>
        </w:rPr>
        <w:t xml:space="preserve"> relati</w:t>
      </w:r>
      <w:r w:rsidR="00837E11">
        <w:rPr>
          <w:i/>
          <w:lang w:val="fr-CA"/>
        </w:rPr>
        <w:t>f</w:t>
      </w:r>
      <w:r w:rsidRPr="00B74AB3">
        <w:rPr>
          <w:i/>
          <w:lang w:val="fr-CA"/>
        </w:rPr>
        <w:t xml:space="preserve"> au siège de l’Organisation de l’aviation civile internationale</w:t>
      </w:r>
      <w:r w:rsidRPr="00B74AB3">
        <w:rPr>
          <w:lang w:val="fr-CA"/>
        </w:rPr>
        <w:t>, 2013 [non encore en vigueur].</w:t>
      </w:r>
    </w:p>
    <w:p w:rsidR="0066285D" w:rsidRPr="00B74AB3" w:rsidRDefault="0066285D" w:rsidP="00BC4663">
      <w:pPr>
        <w:pStyle w:val="SCCNormalDoubleSpacing"/>
        <w:spacing w:after="240" w:line="240" w:lineRule="auto"/>
        <w:ind w:left="547" w:hanging="547"/>
        <w:rPr>
          <w:lang w:val="fr-CA"/>
        </w:rPr>
      </w:pPr>
      <w:r w:rsidRPr="00B74AB3">
        <w:rPr>
          <w:i/>
          <w:lang w:val="fr-CA"/>
        </w:rPr>
        <w:t>Convention de sauvegarde des droits de l’homme et des libertés fondamentales</w:t>
      </w:r>
      <w:r w:rsidRPr="00B74AB3">
        <w:rPr>
          <w:lang w:val="fr-CA"/>
        </w:rPr>
        <w:t>, 213 R.T.N.U. 221.</w:t>
      </w:r>
    </w:p>
    <w:p w:rsidR="00F77A57" w:rsidRPr="00B74AB3" w:rsidRDefault="00F77A57" w:rsidP="00BC4663">
      <w:pPr>
        <w:pStyle w:val="SCCNormalDoubleSpacing"/>
        <w:spacing w:after="240" w:line="240" w:lineRule="auto"/>
        <w:ind w:left="547" w:hanging="547"/>
        <w:rPr>
          <w:lang w:val="fr-CA"/>
        </w:rPr>
      </w:pPr>
      <w:r w:rsidRPr="00B74AB3">
        <w:rPr>
          <w:i/>
          <w:lang w:val="fr-CA"/>
        </w:rPr>
        <w:t>Convention des Nations Unies sur les immunités juridictionnelles des États et de leurs biens</w:t>
      </w:r>
      <w:r w:rsidRPr="00B74AB3">
        <w:rPr>
          <w:lang w:val="fr-CA"/>
        </w:rPr>
        <w:t>.  New York</w:t>
      </w:r>
      <w:r w:rsidR="00BC4663" w:rsidRPr="00B74AB3">
        <w:rPr>
          <w:lang w:val="fr-CA"/>
        </w:rPr>
        <w:t> :</w:t>
      </w:r>
      <w:r w:rsidRPr="00B74AB3">
        <w:rPr>
          <w:lang w:val="fr-CA"/>
        </w:rPr>
        <w:t xml:space="preserve"> Nations</w:t>
      </w:r>
      <w:r w:rsidR="00935B12">
        <w:rPr>
          <w:lang w:val="fr-CA"/>
        </w:rPr>
        <w:t xml:space="preserve"> </w:t>
      </w:r>
      <w:r w:rsidRPr="00B74AB3">
        <w:rPr>
          <w:lang w:val="fr-CA"/>
        </w:rPr>
        <w:t>Unies, 2004 [non encore en vigueur].</w:t>
      </w:r>
    </w:p>
    <w:p w:rsidR="00500BFB" w:rsidRPr="00B74AB3" w:rsidRDefault="00F87321" w:rsidP="00BC4663">
      <w:pPr>
        <w:pStyle w:val="SCCNormalDoubleSpacing"/>
        <w:spacing w:after="240" w:line="240" w:lineRule="auto"/>
        <w:ind w:left="547" w:hanging="547"/>
        <w:rPr>
          <w:lang w:val="fr-CA"/>
        </w:rPr>
      </w:pPr>
      <w:r w:rsidRPr="00B74AB3">
        <w:rPr>
          <w:i/>
          <w:lang w:val="fr-CA"/>
        </w:rPr>
        <w:t>Convention sur la f</w:t>
      </w:r>
      <w:r w:rsidR="00500BFB" w:rsidRPr="00B74AB3">
        <w:rPr>
          <w:i/>
          <w:lang w:val="fr-CA"/>
        </w:rPr>
        <w:t xml:space="preserve">uture </w:t>
      </w:r>
      <w:r w:rsidRPr="00B74AB3">
        <w:rPr>
          <w:i/>
          <w:lang w:val="fr-CA"/>
        </w:rPr>
        <w:t>c</w:t>
      </w:r>
      <w:r w:rsidR="00500BFB" w:rsidRPr="00B74AB3">
        <w:rPr>
          <w:i/>
          <w:lang w:val="fr-CA"/>
        </w:rPr>
        <w:t xml:space="preserve">oopération </w:t>
      </w:r>
      <w:r w:rsidRPr="00B74AB3">
        <w:rPr>
          <w:i/>
          <w:lang w:val="fr-CA"/>
        </w:rPr>
        <w:t>m</w:t>
      </w:r>
      <w:r w:rsidR="00500BFB" w:rsidRPr="00B74AB3">
        <w:rPr>
          <w:i/>
          <w:lang w:val="fr-CA"/>
        </w:rPr>
        <w:t xml:space="preserve">ultilatérale dans les </w:t>
      </w:r>
      <w:r w:rsidRPr="00B74AB3">
        <w:rPr>
          <w:i/>
          <w:lang w:val="fr-CA"/>
        </w:rPr>
        <w:t xml:space="preserve">pêches de l’Atlantique </w:t>
      </w:r>
      <w:r w:rsidR="00757108" w:rsidRPr="00B74AB3">
        <w:rPr>
          <w:i/>
          <w:lang w:val="fr-CA"/>
        </w:rPr>
        <w:t>N</w:t>
      </w:r>
      <w:r w:rsidR="00500BFB" w:rsidRPr="00B74AB3">
        <w:rPr>
          <w:i/>
          <w:lang w:val="fr-CA"/>
        </w:rPr>
        <w:t>ord</w:t>
      </w:r>
      <w:r w:rsidR="00BC4663" w:rsidRPr="00B74AB3">
        <w:rPr>
          <w:i/>
          <w:lang w:val="fr-CA"/>
        </w:rPr>
        <w:noBreakHyphen/>
      </w:r>
      <w:r w:rsidR="00757108" w:rsidRPr="00B74AB3">
        <w:rPr>
          <w:i/>
          <w:lang w:val="fr-CA"/>
        </w:rPr>
        <w:t>O</w:t>
      </w:r>
      <w:r w:rsidR="00500BFB" w:rsidRPr="00B74AB3">
        <w:rPr>
          <w:i/>
          <w:lang w:val="fr-CA"/>
        </w:rPr>
        <w:t>uest</w:t>
      </w:r>
      <w:r w:rsidR="00500BFB" w:rsidRPr="00B74AB3">
        <w:rPr>
          <w:lang w:val="fr-CA"/>
        </w:rPr>
        <w:t>, R.T. Can. 1979 n</w:t>
      </w:r>
      <w:r w:rsidR="00500BFB" w:rsidRPr="00B74AB3">
        <w:rPr>
          <w:vertAlign w:val="superscript"/>
          <w:lang w:val="fr-CA"/>
        </w:rPr>
        <w:t>o</w:t>
      </w:r>
      <w:r w:rsidR="00BC4663" w:rsidRPr="00B74AB3">
        <w:rPr>
          <w:lang w:val="fr-CA"/>
        </w:rPr>
        <w:t> </w:t>
      </w:r>
      <w:r w:rsidR="00500BFB" w:rsidRPr="00B74AB3">
        <w:rPr>
          <w:lang w:val="fr-CA"/>
        </w:rPr>
        <w:t xml:space="preserve">11, </w:t>
      </w:r>
      <w:r w:rsidR="00BC4663" w:rsidRPr="00B74AB3">
        <w:rPr>
          <w:lang w:val="fr-CA"/>
        </w:rPr>
        <w:t>art. </w:t>
      </w:r>
      <w:r w:rsidR="00500BFB" w:rsidRPr="00B74AB3">
        <w:rPr>
          <w:lang w:val="fr-CA"/>
        </w:rPr>
        <w:t>II.</w:t>
      </w:r>
    </w:p>
    <w:p w:rsidR="00284B15" w:rsidRPr="00B74AB3" w:rsidRDefault="00284B15" w:rsidP="00BC4663">
      <w:pPr>
        <w:pStyle w:val="SCCNormalDoubleSpacing"/>
        <w:spacing w:after="240" w:line="240" w:lineRule="auto"/>
        <w:ind w:left="547" w:hanging="547"/>
        <w:rPr>
          <w:lang w:val="fr-CA"/>
        </w:rPr>
      </w:pPr>
      <w:r w:rsidRPr="00B74AB3">
        <w:rPr>
          <w:i/>
          <w:lang w:val="fr-CA"/>
        </w:rPr>
        <w:t>Convention sur les privilèges et immunités des institutions spécialisées</w:t>
      </w:r>
      <w:r w:rsidRPr="00B74AB3">
        <w:rPr>
          <w:lang w:val="fr-CA"/>
        </w:rPr>
        <w:t>, 33 R.T.N.U. 261.</w:t>
      </w:r>
    </w:p>
    <w:p w:rsidR="00284B15" w:rsidRPr="00B74AB3" w:rsidRDefault="00284B15" w:rsidP="00BC4663">
      <w:pPr>
        <w:pStyle w:val="SCCNormalDoubleSpacing"/>
        <w:spacing w:after="240" w:line="240" w:lineRule="auto"/>
        <w:ind w:left="547" w:hanging="547"/>
        <w:rPr>
          <w:lang w:val="fr-CA"/>
        </w:rPr>
      </w:pPr>
      <w:r w:rsidRPr="00B74AB3">
        <w:rPr>
          <w:i/>
          <w:lang w:val="fr-CA"/>
        </w:rPr>
        <w:t>Convention sur les privilèges et immunités des Nations Unies</w:t>
      </w:r>
      <w:r w:rsidRPr="00B74AB3">
        <w:rPr>
          <w:lang w:val="fr-CA"/>
        </w:rPr>
        <w:t>, 1 R.T.N.U. 15</w:t>
      </w:r>
      <w:r w:rsidR="00281742" w:rsidRPr="00B74AB3">
        <w:rPr>
          <w:lang w:val="fr-CA"/>
        </w:rPr>
        <w:t xml:space="preserve">, </w:t>
      </w:r>
      <w:r w:rsidR="00BC4663" w:rsidRPr="00B74AB3">
        <w:rPr>
          <w:lang w:val="fr-CA"/>
        </w:rPr>
        <w:t>art. </w:t>
      </w:r>
      <w:r w:rsidR="00281742" w:rsidRPr="00B74AB3">
        <w:rPr>
          <w:lang w:val="fr-CA"/>
        </w:rPr>
        <w:t>II(2)</w:t>
      </w:r>
      <w:r w:rsidRPr="00B74AB3">
        <w:rPr>
          <w:lang w:val="fr-CA"/>
        </w:rPr>
        <w:t>.</w:t>
      </w:r>
    </w:p>
    <w:p w:rsidR="004D7D95" w:rsidRPr="00B74AB3" w:rsidRDefault="00A764D3" w:rsidP="00BC4663">
      <w:pPr>
        <w:pStyle w:val="SCCNormalDoubleSpacing"/>
        <w:spacing w:after="720" w:line="240" w:lineRule="auto"/>
        <w:ind w:left="547" w:hanging="547"/>
        <w:rPr>
          <w:lang w:val="fr-CA"/>
        </w:rPr>
      </w:pPr>
      <w:r w:rsidRPr="00B74AB3">
        <w:rPr>
          <w:i/>
          <w:lang w:val="fr-CA"/>
        </w:rPr>
        <w:t>Pacte international relatif aux droits civils et politiques</w:t>
      </w:r>
      <w:r w:rsidRPr="00B74AB3">
        <w:rPr>
          <w:lang w:val="fr-CA"/>
        </w:rPr>
        <w:t>, 999 R.T.N.U. 171</w:t>
      </w:r>
      <w:r w:rsidR="00091AD7" w:rsidRPr="00B74AB3">
        <w:rPr>
          <w:lang w:val="fr-CA"/>
        </w:rPr>
        <w:t xml:space="preserve">, </w:t>
      </w:r>
      <w:r w:rsidR="00BC4663" w:rsidRPr="00B74AB3">
        <w:rPr>
          <w:lang w:val="fr-CA"/>
        </w:rPr>
        <w:t>art. </w:t>
      </w:r>
      <w:r w:rsidR="00091AD7" w:rsidRPr="00B74AB3">
        <w:rPr>
          <w:lang w:val="fr-CA"/>
        </w:rPr>
        <w:t>14</w:t>
      </w:r>
      <w:r w:rsidRPr="00B74AB3">
        <w:rPr>
          <w:lang w:val="fr-CA"/>
        </w:rPr>
        <w:t>.</w:t>
      </w:r>
    </w:p>
    <w:p w:rsidR="004D7D95" w:rsidRPr="00B74AB3" w:rsidRDefault="004D7D95" w:rsidP="00BC4663">
      <w:pPr>
        <w:pStyle w:val="SCCNormalDoubleSpacing"/>
        <w:keepNext/>
        <w:spacing w:after="720" w:line="240" w:lineRule="auto"/>
        <w:rPr>
          <w:b/>
          <w:lang w:val="fr-CA"/>
        </w:rPr>
      </w:pPr>
      <w:r w:rsidRPr="00B74AB3">
        <w:rPr>
          <w:b/>
          <w:lang w:val="fr-CA"/>
        </w:rPr>
        <w:t>Doctrine et autres documents cités</w:t>
      </w:r>
    </w:p>
    <w:p w:rsidR="00B72268" w:rsidRPr="00F70546" w:rsidRDefault="00BC4663" w:rsidP="00BC4663">
      <w:pPr>
        <w:pStyle w:val="SCCNormalDoubleSpacing"/>
        <w:spacing w:after="240" w:line="240" w:lineRule="auto"/>
        <w:ind w:left="540" w:hanging="540"/>
        <w:rPr>
          <w:lang w:val="fr-CA"/>
        </w:rPr>
      </w:pPr>
      <w:r w:rsidRPr="00786CDB">
        <w:rPr>
          <w:lang w:val="fr-CA"/>
        </w:rPr>
        <w:t>Berenson, William </w:t>
      </w:r>
      <w:r w:rsidR="00A34C8D" w:rsidRPr="00786CDB">
        <w:rPr>
          <w:lang w:val="fr-CA"/>
        </w:rPr>
        <w:t xml:space="preserve">M.  </w:t>
      </w:r>
      <w:r w:rsidR="00A34C8D" w:rsidRPr="00B74AB3">
        <w:rPr>
          <w:lang w:val="en-US"/>
        </w:rPr>
        <w:t>« </w:t>
      </w:r>
      <w:r w:rsidR="00B72268" w:rsidRPr="00B74AB3">
        <w:t>Squaring the Concept of Immunity with the Fundamental Right to a Fair Trial</w:t>
      </w:r>
      <w:r w:rsidRPr="00B74AB3">
        <w:t> :</w:t>
      </w:r>
      <w:r w:rsidR="00B72268" w:rsidRPr="00B74AB3">
        <w:t xml:space="preserve"> The Case of the OAS</w:t>
      </w:r>
      <w:r w:rsidR="00A34C8D" w:rsidRPr="00B74AB3">
        <w:t> </w:t>
      </w:r>
      <w:r w:rsidR="00A34C8D" w:rsidRPr="00B74AB3">
        <w:rPr>
          <w:lang w:val="en-US"/>
        </w:rPr>
        <w:t>»</w:t>
      </w:r>
      <w:r w:rsidR="006F7326">
        <w:rPr>
          <w:lang w:val="en-US"/>
        </w:rPr>
        <w:t>,</w:t>
      </w:r>
      <w:r w:rsidR="00A34C8D" w:rsidRPr="00B74AB3">
        <w:t xml:space="preserve"> </w:t>
      </w:r>
      <w:r w:rsidR="005A3DC9">
        <w:t xml:space="preserve">in Hassane Cissé, Daniel D. Bradlow and Benedict Kingsbury, eds., </w:t>
      </w:r>
      <w:r w:rsidR="005A3DC9" w:rsidRPr="00171B84">
        <w:rPr>
          <w:i/>
        </w:rPr>
        <w:t xml:space="preserve">The </w:t>
      </w:r>
      <w:r w:rsidR="005A3DC9" w:rsidRPr="00EE14C3">
        <w:rPr>
          <w:i/>
        </w:rPr>
        <w:t>World Bank Legal Review</w:t>
      </w:r>
      <w:r w:rsidR="005A3DC9" w:rsidRPr="00171B84">
        <w:t xml:space="preserve">, vol. 3, </w:t>
      </w:r>
      <w:r w:rsidR="005A3DC9" w:rsidRPr="00DE0056">
        <w:rPr>
          <w:i/>
        </w:rPr>
        <w:t>International Financial Institutions and Global Legal Governance</w:t>
      </w:r>
      <w:r w:rsidR="005A3DC9">
        <w:t xml:space="preserve">. </w:t>
      </w:r>
      <w:r w:rsidR="005A3DC9" w:rsidRPr="00F70546">
        <w:rPr>
          <w:lang w:val="fr-CA"/>
        </w:rPr>
        <w:t>Washingon, D.C. : World Bank, 2012, 133.</w:t>
      </w:r>
    </w:p>
    <w:p w:rsidR="00A546D9" w:rsidRPr="00205F0E" w:rsidRDefault="00A546D9" w:rsidP="00BC4663">
      <w:pPr>
        <w:pStyle w:val="SCCNormalDoubleSpacing"/>
        <w:spacing w:after="240" w:line="240" w:lineRule="auto"/>
        <w:ind w:left="540" w:hanging="540"/>
        <w:rPr>
          <w:lang w:val="en-US"/>
        </w:rPr>
      </w:pPr>
      <w:r w:rsidRPr="00B74AB3">
        <w:rPr>
          <w:lang w:val="fr-CA"/>
        </w:rPr>
        <w:t xml:space="preserve">Canada.  Chambre des communes.  </w:t>
      </w:r>
      <w:r w:rsidRPr="00B74AB3">
        <w:rPr>
          <w:i/>
          <w:lang w:val="fr-CA"/>
        </w:rPr>
        <w:t>Débats de la Chambre des communes</w:t>
      </w:r>
      <w:r w:rsidRPr="00B74AB3">
        <w:rPr>
          <w:lang w:val="fr-CA"/>
        </w:rPr>
        <w:t xml:space="preserve">, </w:t>
      </w:r>
      <w:r w:rsidR="00935B12">
        <w:rPr>
          <w:lang w:val="fr-CA"/>
        </w:rPr>
        <w:t xml:space="preserve">vol. </w:t>
      </w:r>
      <w:r w:rsidR="00935B12" w:rsidRPr="00205F0E">
        <w:rPr>
          <w:lang w:val="en-US"/>
        </w:rPr>
        <w:t xml:space="preserve">III, </w:t>
      </w:r>
      <w:r w:rsidRPr="00205F0E">
        <w:rPr>
          <w:lang w:val="en-US"/>
        </w:rPr>
        <w:t>3</w:t>
      </w:r>
      <w:r w:rsidRPr="00205F0E">
        <w:rPr>
          <w:vertAlign w:val="superscript"/>
          <w:lang w:val="en-US"/>
        </w:rPr>
        <w:t>e</w:t>
      </w:r>
      <w:r w:rsidR="00BC4663" w:rsidRPr="00205F0E">
        <w:rPr>
          <w:lang w:val="en-US"/>
        </w:rPr>
        <w:t> </w:t>
      </w:r>
      <w:r w:rsidRPr="00205F0E">
        <w:rPr>
          <w:lang w:val="en-US"/>
        </w:rPr>
        <w:t>sess., 34</w:t>
      </w:r>
      <w:r w:rsidRPr="00205F0E">
        <w:rPr>
          <w:vertAlign w:val="superscript"/>
          <w:lang w:val="en-US"/>
        </w:rPr>
        <w:t>e</w:t>
      </w:r>
      <w:r w:rsidR="00BC4663" w:rsidRPr="00205F0E">
        <w:rPr>
          <w:lang w:val="en-US"/>
        </w:rPr>
        <w:t> </w:t>
      </w:r>
      <w:r w:rsidRPr="00205F0E">
        <w:rPr>
          <w:lang w:val="en-US"/>
        </w:rPr>
        <w:t>lég.</w:t>
      </w:r>
      <w:r w:rsidR="00BC4663" w:rsidRPr="00205F0E">
        <w:rPr>
          <w:lang w:val="en-US"/>
        </w:rPr>
        <w:t>, 4 </w:t>
      </w:r>
      <w:r w:rsidRPr="00205F0E">
        <w:rPr>
          <w:lang w:val="en-US"/>
        </w:rPr>
        <w:t xml:space="preserve">octobre 1991, </w:t>
      </w:r>
      <w:r w:rsidR="00BC4663" w:rsidRPr="00205F0E">
        <w:rPr>
          <w:lang w:val="en-US"/>
        </w:rPr>
        <w:t>p. </w:t>
      </w:r>
      <w:r w:rsidRPr="00205F0E">
        <w:rPr>
          <w:lang w:val="en-US"/>
        </w:rPr>
        <w:t xml:space="preserve">3332 </w:t>
      </w:r>
      <w:r w:rsidR="002D7211" w:rsidRPr="00205F0E">
        <w:rPr>
          <w:lang w:val="en-US"/>
        </w:rPr>
        <w:t>et suiv</w:t>
      </w:r>
      <w:r w:rsidRPr="00205F0E">
        <w:rPr>
          <w:lang w:val="en-US"/>
        </w:rPr>
        <w:t>.</w:t>
      </w:r>
    </w:p>
    <w:p w:rsidR="00260FCD" w:rsidRPr="00B74AB3" w:rsidRDefault="00260FCD" w:rsidP="00BC4663">
      <w:pPr>
        <w:pStyle w:val="SCCNormalDoubleSpacing"/>
        <w:spacing w:after="240" w:line="240" w:lineRule="auto"/>
        <w:ind w:left="540" w:hanging="540"/>
        <w:rPr>
          <w:lang w:val="en-US"/>
        </w:rPr>
      </w:pPr>
      <w:r w:rsidRPr="00B74AB3">
        <w:t>Currie, John</w:t>
      </w:r>
      <w:r w:rsidR="00BC4663" w:rsidRPr="00B74AB3">
        <w:t> </w:t>
      </w:r>
      <w:r w:rsidRPr="00B74AB3">
        <w:t xml:space="preserve">H., Craig Forcese and Valerie Oosterveld.  </w:t>
      </w:r>
      <w:r w:rsidRPr="00B74AB3">
        <w:rPr>
          <w:i/>
        </w:rPr>
        <w:t>International Law</w:t>
      </w:r>
      <w:r w:rsidR="00BC4663" w:rsidRPr="00B74AB3">
        <w:rPr>
          <w:i/>
        </w:rPr>
        <w:t> :</w:t>
      </w:r>
      <w:r w:rsidRPr="00B74AB3">
        <w:rPr>
          <w:i/>
        </w:rPr>
        <w:t xml:space="preserve"> Doctrine, Practice, and Theory</w:t>
      </w:r>
      <w:r w:rsidRPr="00B74AB3">
        <w:t xml:space="preserve">.  </w:t>
      </w:r>
      <w:r w:rsidRPr="00B74AB3">
        <w:rPr>
          <w:lang w:val="en-US"/>
        </w:rPr>
        <w:t>Toronto</w:t>
      </w:r>
      <w:r w:rsidR="00BC4663" w:rsidRPr="00B74AB3">
        <w:rPr>
          <w:lang w:val="en-US"/>
        </w:rPr>
        <w:t> :</w:t>
      </w:r>
      <w:r w:rsidRPr="00B74AB3">
        <w:rPr>
          <w:lang w:val="en-US"/>
        </w:rPr>
        <w:t xml:space="preserve"> Irwin Law, 2007.</w:t>
      </w:r>
    </w:p>
    <w:p w:rsidR="00FD13B5" w:rsidRPr="00B74AB3" w:rsidRDefault="00FD13B5" w:rsidP="00BC4663">
      <w:pPr>
        <w:pStyle w:val="SCCNormalDoubleSpacing"/>
        <w:spacing w:after="240" w:line="240" w:lineRule="auto"/>
      </w:pPr>
      <w:r w:rsidRPr="00B74AB3">
        <w:t>Driedger,</w:t>
      </w:r>
      <w:r w:rsidR="00BC4663" w:rsidRPr="00B74AB3">
        <w:t xml:space="preserve"> Elmer </w:t>
      </w:r>
      <w:r w:rsidRPr="00B74AB3">
        <w:t xml:space="preserve">A.  </w:t>
      </w:r>
      <w:r w:rsidRPr="00B74AB3">
        <w:rPr>
          <w:i/>
        </w:rPr>
        <w:t>Construction of Statutes</w:t>
      </w:r>
      <w:r w:rsidRPr="00B74AB3">
        <w:t>, 2nd ed.  Toronto</w:t>
      </w:r>
      <w:r w:rsidR="00BC4663" w:rsidRPr="00B74AB3">
        <w:t> :</w:t>
      </w:r>
      <w:r w:rsidRPr="00B74AB3">
        <w:t xml:space="preserve"> Butterworths, 1983.</w:t>
      </w:r>
    </w:p>
    <w:p w:rsidR="00CF531A" w:rsidRPr="00B74AB3" w:rsidRDefault="00CF531A" w:rsidP="00BC4663">
      <w:pPr>
        <w:pStyle w:val="SCCNormalDoubleSpacing"/>
        <w:spacing w:after="240" w:line="240" w:lineRule="auto"/>
      </w:pPr>
      <w:r w:rsidRPr="00B74AB3">
        <w:t>Driedger,</w:t>
      </w:r>
      <w:r w:rsidR="00BC4663" w:rsidRPr="00B74AB3">
        <w:t xml:space="preserve"> Elmer </w:t>
      </w:r>
      <w:r w:rsidRPr="00B74AB3">
        <w:t xml:space="preserve">A.  </w:t>
      </w:r>
      <w:r w:rsidRPr="00B74AB3">
        <w:rPr>
          <w:i/>
        </w:rPr>
        <w:t>The Construction of Statutes</w:t>
      </w:r>
      <w:r w:rsidRPr="00B74AB3">
        <w:t>.  Toronto</w:t>
      </w:r>
      <w:r w:rsidR="00BC4663" w:rsidRPr="00B74AB3">
        <w:t> :</w:t>
      </w:r>
      <w:r w:rsidRPr="00B74AB3">
        <w:t xml:space="preserve"> Butterworths, 1974.</w:t>
      </w:r>
    </w:p>
    <w:p w:rsidR="00F025BE" w:rsidRDefault="00F025BE" w:rsidP="00BC4663">
      <w:pPr>
        <w:pStyle w:val="SCCNormalDoubleSpacing"/>
        <w:spacing w:after="240" w:line="240" w:lineRule="auto"/>
        <w:ind w:left="540" w:hanging="540"/>
      </w:pPr>
      <w:r w:rsidRPr="00B74AB3">
        <w:t xml:space="preserve">Fox, Hazel.  </w:t>
      </w:r>
      <w:r w:rsidRPr="00B74AB3">
        <w:rPr>
          <w:i/>
        </w:rPr>
        <w:t>The Law of State Immunity</w:t>
      </w:r>
      <w:r w:rsidRPr="00B74AB3">
        <w:t>, 2nd ed.  Oxford</w:t>
      </w:r>
      <w:r w:rsidR="00BC4663" w:rsidRPr="00B74AB3">
        <w:t> :</w:t>
      </w:r>
      <w:r w:rsidRPr="00B74AB3">
        <w:t xml:space="preserve"> Oxford University Press, 2008.</w:t>
      </w:r>
    </w:p>
    <w:p w:rsidR="00935B12" w:rsidRPr="00B74AB3" w:rsidRDefault="00935B12" w:rsidP="00935B12">
      <w:pPr>
        <w:pStyle w:val="SCCNormalDoubleSpacing"/>
        <w:spacing w:after="240" w:line="240" w:lineRule="auto"/>
        <w:ind w:left="540" w:hanging="540"/>
        <w:rPr>
          <w:lang w:val="fr-CA"/>
        </w:rPr>
      </w:pPr>
      <w:r w:rsidRPr="00205F0E">
        <w:rPr>
          <w:lang w:val="en-US"/>
        </w:rPr>
        <w:lastRenderedPageBreak/>
        <w:t xml:space="preserve">Nations Unies.  </w:t>
      </w:r>
      <w:r w:rsidRPr="00B74AB3">
        <w:rPr>
          <w:lang w:val="fr-CA"/>
        </w:rPr>
        <w:t xml:space="preserve">Comité des droits de l’homme.  </w:t>
      </w:r>
      <w:r w:rsidRPr="00B74AB3">
        <w:rPr>
          <w:i/>
          <w:lang w:val="fr-CA"/>
        </w:rPr>
        <w:t>Observation générale n</w:t>
      </w:r>
      <w:r w:rsidRPr="00B74AB3">
        <w:rPr>
          <w:i/>
          <w:vertAlign w:val="superscript"/>
          <w:lang w:val="fr-CA"/>
        </w:rPr>
        <w:t>o</w:t>
      </w:r>
      <w:r w:rsidRPr="00B74AB3">
        <w:rPr>
          <w:i/>
          <w:lang w:val="fr-CA"/>
        </w:rPr>
        <w:t> 32, Article 14</w:t>
      </w:r>
      <w:r>
        <w:rPr>
          <w:i/>
          <w:lang w:val="fr-CA"/>
        </w:rPr>
        <w:t>.</w:t>
      </w:r>
      <w:r w:rsidRPr="00B74AB3">
        <w:rPr>
          <w:i/>
          <w:lang w:val="fr-CA"/>
        </w:rPr>
        <w:t xml:space="preserve"> Droit à l’égalité devant les tribunaux et les cours de justice et à un procès équitable</w:t>
      </w:r>
      <w:r w:rsidRPr="00B74AB3">
        <w:rPr>
          <w:lang w:val="fr-CA"/>
        </w:rPr>
        <w:t xml:space="preserve">, Doc. N.U. CCPR/C/GC/32, </w:t>
      </w:r>
      <w:r>
        <w:rPr>
          <w:lang w:val="fr-CA"/>
        </w:rPr>
        <w:t>23 </w:t>
      </w:r>
      <w:r w:rsidRPr="00B74AB3">
        <w:rPr>
          <w:lang w:val="fr-CA"/>
        </w:rPr>
        <w:t>août 2007.</w:t>
      </w:r>
    </w:p>
    <w:p w:rsidR="00935B12" w:rsidRPr="00935B12" w:rsidRDefault="00935B12" w:rsidP="00BC4663">
      <w:pPr>
        <w:pStyle w:val="SCCNormalDoubleSpacing"/>
        <w:spacing w:after="240" w:line="240" w:lineRule="auto"/>
        <w:ind w:left="540" w:hanging="540"/>
        <w:rPr>
          <w:lang w:val="fr-CA"/>
        </w:rPr>
      </w:pPr>
    </w:p>
    <w:p w:rsidR="009156AE" w:rsidRPr="00205F0E" w:rsidRDefault="00281AEB" w:rsidP="00BC4663">
      <w:pPr>
        <w:pStyle w:val="SCCNormalDoubleSpacing"/>
        <w:spacing w:after="240" w:line="240" w:lineRule="auto"/>
        <w:ind w:left="540" w:hanging="540"/>
        <w:rPr>
          <w:lang w:val="fr-CA"/>
        </w:rPr>
      </w:pPr>
      <w:r w:rsidRPr="00205F0E">
        <w:rPr>
          <w:lang w:val="fr-CA"/>
        </w:rPr>
        <w:t>Nations</w:t>
      </w:r>
      <w:r w:rsidR="00935B12" w:rsidRPr="00205F0E">
        <w:rPr>
          <w:lang w:val="fr-CA"/>
        </w:rPr>
        <w:t xml:space="preserve"> </w:t>
      </w:r>
      <w:r w:rsidRPr="00205F0E">
        <w:rPr>
          <w:lang w:val="fr-CA"/>
        </w:rPr>
        <w:t xml:space="preserve">Unies.  </w:t>
      </w:r>
      <w:r w:rsidR="009156AE" w:rsidRPr="00B74AB3">
        <w:rPr>
          <w:lang w:val="fr-CA"/>
        </w:rPr>
        <w:t>Commission du droit internation</w:t>
      </w:r>
      <w:r w:rsidR="002A27D1" w:rsidRPr="00B74AB3">
        <w:rPr>
          <w:lang w:val="fr-CA"/>
        </w:rPr>
        <w:t xml:space="preserve">al.  </w:t>
      </w:r>
      <w:r w:rsidR="009156AE" w:rsidRPr="00B74AB3">
        <w:rPr>
          <w:lang w:val="fr-CA"/>
        </w:rPr>
        <w:t xml:space="preserve">« Immunités juridictionnelles des États et de leurs biens », dans </w:t>
      </w:r>
      <w:r w:rsidR="009156AE" w:rsidRPr="00B74AB3">
        <w:rPr>
          <w:i/>
          <w:lang w:val="fr-CA"/>
        </w:rPr>
        <w:t>Rapport de la Commission à l’Assemblée générale sur les travaux de sa trente</w:t>
      </w:r>
      <w:r w:rsidR="00BC4663" w:rsidRPr="00B74AB3">
        <w:rPr>
          <w:i/>
          <w:lang w:val="fr-CA"/>
        </w:rPr>
        <w:noBreakHyphen/>
      </w:r>
      <w:r w:rsidR="009156AE" w:rsidRPr="00B74AB3">
        <w:rPr>
          <w:i/>
          <w:lang w:val="fr-CA"/>
        </w:rPr>
        <w:t>deuxième session</w:t>
      </w:r>
      <w:r w:rsidR="009156AE" w:rsidRPr="00B74AB3">
        <w:rPr>
          <w:lang w:val="fr-CA"/>
        </w:rPr>
        <w:t xml:space="preserve">, </w:t>
      </w:r>
      <w:r w:rsidR="007F1AEB" w:rsidRPr="00B74AB3">
        <w:rPr>
          <w:lang w:val="fr-CA"/>
        </w:rPr>
        <w:t>Doc. N.</w:t>
      </w:r>
      <w:r w:rsidR="009156AE" w:rsidRPr="00B74AB3">
        <w:rPr>
          <w:lang w:val="fr-CA"/>
        </w:rPr>
        <w:t xml:space="preserve">U. A/35/10, publié dans </w:t>
      </w:r>
      <w:r w:rsidR="009156AE" w:rsidRPr="00B74AB3">
        <w:rPr>
          <w:i/>
          <w:lang w:val="fr-CA"/>
        </w:rPr>
        <w:t>Annuaire de la Commission du droit international 1980</w:t>
      </w:r>
      <w:r w:rsidR="009156AE" w:rsidRPr="00B74AB3">
        <w:rPr>
          <w:lang w:val="fr-CA"/>
        </w:rPr>
        <w:t xml:space="preserve">, </w:t>
      </w:r>
      <w:r w:rsidR="00BC4663" w:rsidRPr="00B74AB3">
        <w:rPr>
          <w:lang w:val="fr-CA"/>
        </w:rPr>
        <w:t>vol. </w:t>
      </w:r>
      <w:r w:rsidR="009156AE" w:rsidRPr="00B74AB3">
        <w:rPr>
          <w:lang w:val="fr-CA"/>
        </w:rPr>
        <w:t xml:space="preserve">II, deuxième partie.  </w:t>
      </w:r>
      <w:r w:rsidR="009156AE" w:rsidRPr="00205F0E">
        <w:rPr>
          <w:lang w:val="fr-CA"/>
        </w:rPr>
        <w:t>New York</w:t>
      </w:r>
      <w:r w:rsidR="00BC4663" w:rsidRPr="00205F0E">
        <w:rPr>
          <w:lang w:val="fr-CA"/>
        </w:rPr>
        <w:t> :</w:t>
      </w:r>
      <w:r w:rsidR="009156AE" w:rsidRPr="00205F0E">
        <w:rPr>
          <w:lang w:val="fr-CA"/>
        </w:rPr>
        <w:t xml:space="preserve"> Nation</w:t>
      </w:r>
      <w:r w:rsidR="007F1AEB" w:rsidRPr="00205F0E">
        <w:rPr>
          <w:lang w:val="fr-CA"/>
        </w:rPr>
        <w:t>s</w:t>
      </w:r>
      <w:r w:rsidR="00935B12" w:rsidRPr="00205F0E">
        <w:rPr>
          <w:lang w:val="fr-CA"/>
        </w:rPr>
        <w:t xml:space="preserve"> </w:t>
      </w:r>
      <w:r w:rsidR="00504243" w:rsidRPr="00205F0E">
        <w:rPr>
          <w:lang w:val="fr-CA"/>
        </w:rPr>
        <w:t>Unies, 1981, 134</w:t>
      </w:r>
      <w:r w:rsidR="009156AE" w:rsidRPr="00205F0E">
        <w:rPr>
          <w:lang w:val="fr-CA"/>
        </w:rPr>
        <w:t>.</w:t>
      </w:r>
    </w:p>
    <w:p w:rsidR="000A6DB5" w:rsidRPr="00BB2060" w:rsidRDefault="000A6DB5" w:rsidP="00BC4663">
      <w:pPr>
        <w:pStyle w:val="SCCNormalDoubleSpacing"/>
        <w:spacing w:after="240" w:line="240" w:lineRule="auto"/>
        <w:ind w:left="540" w:hanging="540"/>
        <w:rPr>
          <w:lang w:val="en-US"/>
        </w:rPr>
      </w:pPr>
      <w:r w:rsidRPr="00F70546">
        <w:rPr>
          <w:lang w:val="en-US"/>
        </w:rPr>
        <w:t xml:space="preserve">Preuss, Lawrence.  </w:t>
      </w:r>
      <w:r w:rsidRPr="00BB2060">
        <w:rPr>
          <w:lang w:val="en-US"/>
        </w:rPr>
        <w:t xml:space="preserve">« The International Organizations Immunities Act » (1946), 40 </w:t>
      </w:r>
      <w:r w:rsidRPr="00BB2060">
        <w:rPr>
          <w:i/>
          <w:lang w:val="en-US"/>
        </w:rPr>
        <w:t>Am. J. Int</w:t>
      </w:r>
      <w:r w:rsidR="00D46467" w:rsidRPr="00BB2060">
        <w:rPr>
          <w:i/>
          <w:lang w:val="en-US"/>
        </w:rPr>
        <w:t>’l</w:t>
      </w:r>
      <w:r w:rsidRPr="00BB2060">
        <w:rPr>
          <w:lang w:val="en-US"/>
        </w:rPr>
        <w:t xml:space="preserve"> </w:t>
      </w:r>
      <w:r w:rsidR="00BB2060" w:rsidRPr="00BB2060">
        <w:rPr>
          <w:i/>
          <w:lang w:val="en-US"/>
        </w:rPr>
        <w:t>L.</w:t>
      </w:r>
      <w:r w:rsidR="00BB2060" w:rsidRPr="00BB2060">
        <w:rPr>
          <w:lang w:val="en-US"/>
        </w:rPr>
        <w:t xml:space="preserve"> </w:t>
      </w:r>
      <w:r w:rsidRPr="00BB2060">
        <w:rPr>
          <w:lang w:val="en-US"/>
        </w:rPr>
        <w:t>332.</w:t>
      </w:r>
    </w:p>
    <w:p w:rsidR="00FE5521" w:rsidRPr="00B74AB3" w:rsidRDefault="00FE5521" w:rsidP="00BC4663">
      <w:pPr>
        <w:pStyle w:val="SCCNormalDoubleSpacing"/>
        <w:spacing w:after="240" w:line="240" w:lineRule="auto"/>
        <w:ind w:left="540" w:hanging="540"/>
      </w:pPr>
      <w:r w:rsidRPr="00B74AB3">
        <w:rPr>
          <w:lang w:val="fr-CA"/>
        </w:rPr>
        <w:t xml:space="preserve">Sands, Philippe, and Pierre Klein.  </w:t>
      </w:r>
      <w:r w:rsidRPr="00B74AB3">
        <w:rPr>
          <w:i/>
        </w:rPr>
        <w:t>Bowett’s Law of International Institutions</w:t>
      </w:r>
      <w:r w:rsidRPr="00B74AB3">
        <w:t>, 6th ed.  London</w:t>
      </w:r>
      <w:r w:rsidR="00BC4663" w:rsidRPr="00B74AB3">
        <w:t> :</w:t>
      </w:r>
      <w:r w:rsidRPr="00B74AB3">
        <w:t xml:space="preserve"> Sweet &amp; Maxwell/Thomson, 2009.</w:t>
      </w:r>
    </w:p>
    <w:p w:rsidR="002415F2" w:rsidRPr="00B74AB3" w:rsidRDefault="002415F2" w:rsidP="00BC4663">
      <w:pPr>
        <w:pStyle w:val="SCCNormalDoubleSpacing"/>
        <w:spacing w:after="720" w:line="240" w:lineRule="auto"/>
        <w:ind w:left="547" w:hanging="547"/>
        <w:rPr>
          <w:lang w:val="fr-CA"/>
        </w:rPr>
      </w:pPr>
      <w:r w:rsidRPr="00B74AB3">
        <w:t xml:space="preserve">Sullivan, Ruth.  </w:t>
      </w:r>
      <w:r w:rsidRPr="00B74AB3">
        <w:rPr>
          <w:i/>
        </w:rPr>
        <w:t>Sullivan on the Construction of Statutes</w:t>
      </w:r>
      <w:r w:rsidRPr="00B74AB3">
        <w:t xml:space="preserve">, 5th ed.  </w:t>
      </w:r>
      <w:r w:rsidRPr="00B74AB3">
        <w:rPr>
          <w:lang w:val="fr-CA"/>
        </w:rPr>
        <w:t>Markham, Ont.</w:t>
      </w:r>
      <w:r w:rsidR="00BC4663" w:rsidRPr="00B74AB3">
        <w:rPr>
          <w:lang w:val="fr-CA"/>
        </w:rPr>
        <w:t> :</w:t>
      </w:r>
      <w:r w:rsidRPr="00B74AB3">
        <w:rPr>
          <w:lang w:val="fr-CA"/>
        </w:rPr>
        <w:t xml:space="preserve"> LexisNexis Canada, 2008.</w:t>
      </w:r>
    </w:p>
    <w:p w:rsidR="00514EEF" w:rsidRPr="00B74AB3" w:rsidRDefault="004D7D95" w:rsidP="00BC4663">
      <w:pPr>
        <w:pStyle w:val="SCCNormalDoubleSpacing"/>
        <w:spacing w:before="480" w:after="480"/>
        <w:rPr>
          <w:lang w:val="fr-CA"/>
        </w:rPr>
      </w:pPr>
      <w:r w:rsidRPr="00B74AB3">
        <w:rPr>
          <w:lang w:val="fr-CA"/>
        </w:rPr>
        <w:tab/>
        <w:t>POURVOI contre un arrêt de la Cour d’appel de la Nouvelle</w:t>
      </w:r>
      <w:r w:rsidR="00BC4663" w:rsidRPr="00B74AB3">
        <w:rPr>
          <w:lang w:val="fr-CA"/>
        </w:rPr>
        <w:noBreakHyphen/>
      </w:r>
      <w:r w:rsidRPr="00B74AB3">
        <w:rPr>
          <w:lang w:val="fr-CA"/>
        </w:rPr>
        <w:t>Écosse</w:t>
      </w:r>
      <w:r w:rsidR="00514EEF" w:rsidRPr="00B74AB3">
        <w:rPr>
          <w:lang w:val="fr-CA"/>
        </w:rPr>
        <w:t xml:space="preserve"> (le juge en </w:t>
      </w:r>
      <w:r w:rsidR="009F7D3D">
        <w:rPr>
          <w:lang w:val="fr-CA"/>
        </w:rPr>
        <w:t xml:space="preserve">chef </w:t>
      </w:r>
      <w:r w:rsidR="00514EEF" w:rsidRPr="00B74AB3">
        <w:rPr>
          <w:lang w:val="fr-CA"/>
        </w:rPr>
        <w:t>MacDonald et les juges Beveridge et Bryson), 2011 NSCA 73, 306 N.S.R. (2d) 380, 968 A.P.R. 380, 94 C.C.E.L. (3d) 198</w:t>
      </w:r>
      <w:r w:rsidR="00BE12FC">
        <w:rPr>
          <w:lang w:val="fr-CA"/>
        </w:rPr>
        <w:t>,</w:t>
      </w:r>
      <w:r w:rsidR="00514EEF" w:rsidRPr="00B74AB3">
        <w:rPr>
          <w:lang w:val="fr-CA"/>
        </w:rPr>
        <w:t xml:space="preserve"> 337 D.L.R. (4th) 668, [2011] N.S.J. </w:t>
      </w:r>
      <w:r w:rsidR="00BC4663" w:rsidRPr="00B74AB3">
        <w:rPr>
          <w:lang w:val="fr-CA"/>
        </w:rPr>
        <w:t>No. </w:t>
      </w:r>
      <w:r w:rsidR="00514EEF" w:rsidRPr="00B74AB3">
        <w:rPr>
          <w:lang w:val="fr-CA"/>
        </w:rPr>
        <w:t xml:space="preserve">453 (QL), 2011 CarswellNS 587, qui a infirmé une décision du juge Wright, 2010 NSSC 346, 295 N.S.R. (2d) 331, 935 A.P.R. 331, 85 C.C.E.L. (3d) 144, [2010] N.S.J. </w:t>
      </w:r>
      <w:r w:rsidR="00BC4663" w:rsidRPr="00B74AB3">
        <w:rPr>
          <w:lang w:val="fr-CA"/>
        </w:rPr>
        <w:t>No. </w:t>
      </w:r>
      <w:r w:rsidR="00514EEF" w:rsidRPr="00B74AB3">
        <w:rPr>
          <w:lang w:val="fr-CA"/>
        </w:rPr>
        <w:t xml:space="preserve">508 (QL), 2010 CarswellNS 618.  Pourvoi </w:t>
      </w:r>
      <w:r w:rsidR="00C6181F" w:rsidRPr="00B74AB3">
        <w:rPr>
          <w:lang w:val="fr-CA"/>
        </w:rPr>
        <w:t>accueilli</w:t>
      </w:r>
      <w:r w:rsidR="00514EEF" w:rsidRPr="00B74AB3">
        <w:rPr>
          <w:lang w:val="fr-CA"/>
        </w:rPr>
        <w:t xml:space="preserve"> en partie.</w:t>
      </w:r>
    </w:p>
    <w:p w:rsidR="00F340C4" w:rsidRPr="00B74AB3" w:rsidRDefault="004A1DC5" w:rsidP="00BC4663">
      <w:pPr>
        <w:pStyle w:val="SCCNormalDoubleSpacing"/>
        <w:spacing w:before="480" w:after="480"/>
        <w:rPr>
          <w:lang w:val="fr-CA"/>
        </w:rPr>
      </w:pPr>
      <w:r w:rsidRPr="00B74AB3">
        <w:rPr>
          <w:i/>
          <w:lang w:val="fr-CA"/>
        </w:rPr>
        <w:tab/>
      </w:r>
      <w:r w:rsidR="00BC4663" w:rsidRPr="00B74AB3">
        <w:rPr>
          <w:i/>
          <w:lang w:val="fr-CA"/>
        </w:rPr>
        <w:t>David </w:t>
      </w:r>
      <w:r w:rsidRPr="00B74AB3">
        <w:rPr>
          <w:i/>
          <w:lang w:val="fr-CA"/>
        </w:rPr>
        <w:t>A. Copp</w:t>
      </w:r>
      <w:r w:rsidRPr="00B74AB3">
        <w:rPr>
          <w:lang w:val="fr-CA"/>
        </w:rPr>
        <w:t>, pour l</w:t>
      </w:r>
      <w:r w:rsidR="00F401E2" w:rsidRPr="00B74AB3">
        <w:rPr>
          <w:lang w:val="fr-CA"/>
        </w:rPr>
        <w:t>’</w:t>
      </w:r>
      <w:r w:rsidRPr="00B74AB3">
        <w:rPr>
          <w:lang w:val="fr-CA"/>
        </w:rPr>
        <w:t>appelant.</w:t>
      </w:r>
    </w:p>
    <w:p w:rsidR="00F340C4" w:rsidRPr="00B74AB3" w:rsidRDefault="00BC4663" w:rsidP="00BC4663">
      <w:pPr>
        <w:pStyle w:val="SCCNormalDoubleSpacing"/>
        <w:spacing w:before="480" w:after="480"/>
        <w:rPr>
          <w:lang w:val="fr-CA"/>
        </w:rPr>
      </w:pPr>
      <w:r w:rsidRPr="00B74AB3">
        <w:rPr>
          <w:i/>
          <w:lang w:val="fr-CA"/>
        </w:rPr>
        <w:tab/>
        <w:t>John </w:t>
      </w:r>
      <w:r w:rsidR="004A1DC5" w:rsidRPr="00B74AB3">
        <w:rPr>
          <w:i/>
          <w:lang w:val="fr-CA"/>
        </w:rPr>
        <w:t>T. Shanks</w:t>
      </w:r>
      <w:r w:rsidR="004A1DC5" w:rsidRPr="00B74AB3">
        <w:rPr>
          <w:lang w:val="fr-CA"/>
        </w:rPr>
        <w:t xml:space="preserve"> et </w:t>
      </w:r>
      <w:r w:rsidR="004A1DC5" w:rsidRPr="00B74AB3">
        <w:rPr>
          <w:i/>
          <w:lang w:val="fr-CA"/>
        </w:rPr>
        <w:t>Richard Dunlop</w:t>
      </w:r>
      <w:r w:rsidR="004A1DC5" w:rsidRPr="00B74AB3">
        <w:rPr>
          <w:lang w:val="fr-CA"/>
        </w:rPr>
        <w:t>, pour l</w:t>
      </w:r>
      <w:r w:rsidR="00F401E2" w:rsidRPr="00B74AB3">
        <w:rPr>
          <w:lang w:val="fr-CA"/>
        </w:rPr>
        <w:t>’</w:t>
      </w:r>
      <w:r w:rsidR="004A1DC5" w:rsidRPr="00B74AB3">
        <w:rPr>
          <w:lang w:val="fr-CA"/>
        </w:rPr>
        <w:t>intimée.</w:t>
      </w:r>
    </w:p>
    <w:p w:rsidR="00F340C4" w:rsidRPr="00B74AB3" w:rsidRDefault="004A1DC5" w:rsidP="00BC4663">
      <w:pPr>
        <w:pStyle w:val="SCCNormalDoubleSpacing"/>
        <w:spacing w:before="480" w:after="480"/>
        <w:rPr>
          <w:lang w:val="fr-CA"/>
        </w:rPr>
      </w:pPr>
      <w:r w:rsidRPr="00B74AB3">
        <w:rPr>
          <w:i/>
          <w:lang w:val="fr-CA"/>
        </w:rPr>
        <w:tab/>
        <w:t>Ewa Krajewska</w:t>
      </w:r>
      <w:r w:rsidR="00F401E2" w:rsidRPr="00B74AB3">
        <w:rPr>
          <w:i/>
          <w:lang w:val="fr-CA"/>
        </w:rPr>
        <w:t xml:space="preserve"> </w:t>
      </w:r>
      <w:r w:rsidR="00F401E2" w:rsidRPr="00B74AB3">
        <w:rPr>
          <w:lang w:val="fr-CA"/>
        </w:rPr>
        <w:t>et</w:t>
      </w:r>
      <w:r w:rsidR="00F401E2" w:rsidRPr="00B74AB3">
        <w:rPr>
          <w:i/>
          <w:lang w:val="fr-CA"/>
        </w:rPr>
        <w:t xml:space="preserve"> Hea</w:t>
      </w:r>
      <w:r w:rsidR="00BC4663" w:rsidRPr="00B74AB3">
        <w:rPr>
          <w:i/>
          <w:lang w:val="fr-CA"/>
        </w:rPr>
        <w:t>ther </w:t>
      </w:r>
      <w:r w:rsidR="00F401E2" w:rsidRPr="00B74AB3">
        <w:rPr>
          <w:i/>
          <w:lang w:val="fr-CA"/>
        </w:rPr>
        <w:t>K. Pessione</w:t>
      </w:r>
      <w:r w:rsidRPr="00B74AB3">
        <w:rPr>
          <w:lang w:val="fr-CA"/>
        </w:rPr>
        <w:t>, pour l</w:t>
      </w:r>
      <w:r w:rsidR="00F401E2" w:rsidRPr="00B74AB3">
        <w:rPr>
          <w:lang w:val="fr-CA"/>
        </w:rPr>
        <w:t>’</w:t>
      </w:r>
      <w:r w:rsidRPr="00B74AB3">
        <w:rPr>
          <w:lang w:val="fr-CA"/>
        </w:rPr>
        <w:t>intervenant</w:t>
      </w:r>
      <w:r w:rsidR="00F401E2" w:rsidRPr="00B74AB3">
        <w:rPr>
          <w:lang w:val="fr-CA"/>
        </w:rPr>
        <w:t>e.</w:t>
      </w:r>
    </w:p>
    <w:p w:rsidR="00102A7D" w:rsidRPr="0099273B" w:rsidRDefault="0099273B" w:rsidP="00102A7D">
      <w:pPr>
        <w:pStyle w:val="JudgeJuge"/>
        <w:spacing w:before="480"/>
        <w:outlineLvl w:val="0"/>
        <w:rPr>
          <w:smallCaps w:val="0"/>
          <w:lang w:val="fr-CA"/>
        </w:rPr>
      </w:pPr>
      <w:r>
        <w:rPr>
          <w:lang w:val="fr-CA"/>
        </w:rPr>
        <w:lastRenderedPageBreak/>
        <w:tab/>
      </w:r>
      <w:r w:rsidRPr="0099273B">
        <w:rPr>
          <w:smallCaps w:val="0"/>
          <w:lang w:val="fr-CA"/>
        </w:rPr>
        <w:t>Ve</w:t>
      </w:r>
      <w:r>
        <w:rPr>
          <w:smallCaps w:val="0"/>
          <w:lang w:val="fr-CA"/>
        </w:rPr>
        <w:t>rsion française du jugement de la Cour rendu par</w:t>
      </w:r>
    </w:p>
    <w:p w:rsidR="00102A7D" w:rsidRPr="00A15EB4" w:rsidRDefault="00102A7D" w:rsidP="00102A7D">
      <w:pPr>
        <w:pStyle w:val="JudgeJuge"/>
        <w:spacing w:before="480"/>
        <w:outlineLvl w:val="0"/>
        <w:rPr>
          <w:lang w:val="fr-CA"/>
        </w:rPr>
      </w:pPr>
      <w:r w:rsidRPr="00A15EB4">
        <w:rPr>
          <w:lang w:val="fr-CA"/>
        </w:rPr>
        <w:tab/>
        <w:t xml:space="preserve">Le juge LeBel — </w:t>
      </w:r>
    </w:p>
    <w:p w:rsidR="00102A7D" w:rsidRPr="00A15EB4" w:rsidRDefault="00102A7D" w:rsidP="00102A7D">
      <w:pPr>
        <w:pStyle w:val="TitleTitre-AltT"/>
        <w:keepNext/>
        <w:rPr>
          <w:rFonts w:cs="Times New Roman"/>
          <w:lang w:val="fr-CA"/>
        </w:rPr>
      </w:pPr>
      <w:r w:rsidRPr="00A15EB4">
        <w:rPr>
          <w:rFonts w:cs="Times New Roman"/>
          <w:lang w:val="fr-CA"/>
        </w:rPr>
        <w:t>I.</w:t>
      </w:r>
      <w:r w:rsidRPr="00A15EB4">
        <w:rPr>
          <w:rFonts w:cs="Times New Roman"/>
          <w:lang w:val="fr-CA"/>
        </w:rPr>
        <w:tab/>
      </w:r>
      <w:r w:rsidRPr="00A15EB4">
        <w:rPr>
          <w:rFonts w:cs="Times New Roman"/>
          <w:u w:val="single"/>
          <w:lang w:val="fr-CA"/>
        </w:rPr>
        <w:t>Introduction</w:t>
      </w:r>
    </w:p>
    <w:p w:rsidR="00102A7D" w:rsidRPr="00A15EB4" w:rsidRDefault="00102A7D" w:rsidP="00102A7D">
      <w:pPr>
        <w:pStyle w:val="ParaNoNdepar-AltN"/>
        <w:rPr>
          <w:rFonts w:cs="Times New Roman"/>
          <w:lang w:val="fr-CA"/>
        </w:rPr>
      </w:pPr>
      <w:r w:rsidRPr="00A15EB4">
        <w:rPr>
          <w:rFonts w:cs="Times New Roman"/>
          <w:lang w:val="fr-CA"/>
        </w:rPr>
        <w:t>Les organisations internationales jouent un rôle actif et nécessaire sur la scène internationale.  Bien qu</w:t>
      </w:r>
      <w:r>
        <w:rPr>
          <w:rFonts w:cs="Times New Roman"/>
          <w:lang w:val="fr-CA"/>
        </w:rPr>
        <w:t>’</w:t>
      </w:r>
      <w:r w:rsidRPr="00A15EB4">
        <w:rPr>
          <w:rFonts w:cs="Times New Roman"/>
          <w:lang w:val="fr-CA"/>
        </w:rPr>
        <w:t>elles soient assujetties au droit international, ces organisations exercent leurs activités sur le territoire d</w:t>
      </w:r>
      <w:r>
        <w:rPr>
          <w:rFonts w:cs="Times New Roman"/>
          <w:lang w:val="fr-CA"/>
        </w:rPr>
        <w:t>’</w:t>
      </w:r>
      <w:r w:rsidRPr="00A15EB4">
        <w:rPr>
          <w:rFonts w:cs="Times New Roman"/>
          <w:lang w:val="fr-CA"/>
        </w:rPr>
        <w:t>États souverains, dotés de leurs propres systèmes politique et juridique.  Pour éviter toute ingérence injustifiée dans les activités d</w:t>
      </w:r>
      <w:r>
        <w:rPr>
          <w:rFonts w:cs="Times New Roman"/>
          <w:lang w:val="fr-CA"/>
        </w:rPr>
        <w:t>’</w:t>
      </w:r>
      <w:r w:rsidRPr="00A15EB4">
        <w:rPr>
          <w:rFonts w:cs="Times New Roman"/>
          <w:lang w:val="fr-CA"/>
        </w:rPr>
        <w:t>une organisation internationale, le traité qui la constitue lui reconnaît certains privilèges et immunités.  Dans le cas contraire, l</w:t>
      </w:r>
      <w:r>
        <w:rPr>
          <w:rFonts w:cs="Times New Roman"/>
          <w:lang w:val="fr-CA"/>
        </w:rPr>
        <w:t>’</w:t>
      </w:r>
      <w:r w:rsidRPr="00A15EB4">
        <w:rPr>
          <w:rFonts w:cs="Times New Roman"/>
          <w:lang w:val="fr-CA"/>
        </w:rPr>
        <w:t>État d</w:t>
      </w:r>
      <w:r>
        <w:rPr>
          <w:rFonts w:cs="Times New Roman"/>
          <w:lang w:val="fr-CA"/>
        </w:rPr>
        <w:t>’</w:t>
      </w:r>
      <w:r w:rsidRPr="00A15EB4">
        <w:rPr>
          <w:rFonts w:cs="Times New Roman"/>
          <w:lang w:val="fr-CA"/>
        </w:rPr>
        <w:t>accueil s</w:t>
      </w:r>
      <w:r>
        <w:rPr>
          <w:rFonts w:cs="Times New Roman"/>
          <w:lang w:val="fr-CA"/>
        </w:rPr>
        <w:t>’</w:t>
      </w:r>
      <w:r w:rsidRPr="00A15EB4">
        <w:rPr>
          <w:rFonts w:cs="Times New Roman"/>
          <w:lang w:val="fr-CA"/>
        </w:rPr>
        <w:t>engage à les lui accorder.  À cet égard, une certaine forme d</w:t>
      </w:r>
      <w:r>
        <w:rPr>
          <w:rFonts w:cs="Times New Roman"/>
          <w:lang w:val="fr-CA"/>
        </w:rPr>
        <w:t>’</w:t>
      </w:r>
      <w:r w:rsidRPr="00A15EB4">
        <w:rPr>
          <w:rFonts w:cs="Times New Roman"/>
          <w:lang w:val="fr-CA"/>
        </w:rPr>
        <w:t>immunité de juridiction devant les tribunaux de l</w:t>
      </w:r>
      <w:r>
        <w:rPr>
          <w:rFonts w:cs="Times New Roman"/>
          <w:lang w:val="fr-CA"/>
        </w:rPr>
        <w:t>’</w:t>
      </w:r>
      <w:r w:rsidRPr="00A15EB4">
        <w:rPr>
          <w:rFonts w:cs="Times New Roman"/>
          <w:lang w:val="fr-CA"/>
        </w:rPr>
        <w:t>État d</w:t>
      </w:r>
      <w:r>
        <w:rPr>
          <w:rFonts w:cs="Times New Roman"/>
          <w:lang w:val="fr-CA"/>
        </w:rPr>
        <w:t>’</w:t>
      </w:r>
      <w:r w:rsidRPr="00A15EB4">
        <w:rPr>
          <w:rFonts w:cs="Times New Roman"/>
          <w:lang w:val="fr-CA"/>
        </w:rPr>
        <w:t xml:space="preserve">accueil est indispensable, et habituellement accordée. </w:t>
      </w:r>
    </w:p>
    <w:p w:rsidR="00102A7D" w:rsidRPr="00A15EB4" w:rsidRDefault="00102A7D" w:rsidP="00102A7D">
      <w:pPr>
        <w:pStyle w:val="ParaNoNdepar-AltN"/>
        <w:rPr>
          <w:rFonts w:cs="Times New Roman"/>
          <w:lang w:val="fr-CA"/>
        </w:rPr>
      </w:pPr>
      <w:r w:rsidRPr="00A15EB4">
        <w:rPr>
          <w:rFonts w:cs="Times New Roman"/>
          <w:lang w:val="fr-CA"/>
        </w:rPr>
        <w:t>Le présent pourvoi oppose l</w:t>
      </w:r>
      <w:r>
        <w:rPr>
          <w:rFonts w:cs="Times New Roman"/>
          <w:lang w:val="fr-CA"/>
        </w:rPr>
        <w:t>’</w:t>
      </w:r>
      <w:r w:rsidRPr="00A15EB4">
        <w:rPr>
          <w:rFonts w:cs="Times New Roman"/>
          <w:lang w:val="fr-CA"/>
        </w:rPr>
        <w:t>Organisation des pêches de l</w:t>
      </w:r>
      <w:r>
        <w:rPr>
          <w:rFonts w:cs="Times New Roman"/>
          <w:lang w:val="fr-CA"/>
        </w:rPr>
        <w:t>’</w:t>
      </w:r>
      <w:r w:rsidRPr="00A15EB4">
        <w:rPr>
          <w:rFonts w:cs="Times New Roman"/>
          <w:lang w:val="fr-CA"/>
        </w:rPr>
        <w:t>Atlantique Nord</w:t>
      </w:r>
      <w:r w:rsidRPr="00A15EB4">
        <w:rPr>
          <w:rFonts w:cs="Times New Roman"/>
          <w:lang w:val="fr-CA"/>
        </w:rPr>
        <w:noBreakHyphen/>
        <w:t>Ouest (« OPANO ») — une organisation internationale chargée de la gestion des ressources halieutiques dans l</w:t>
      </w:r>
      <w:r>
        <w:rPr>
          <w:rFonts w:cs="Times New Roman"/>
          <w:lang w:val="fr-CA"/>
        </w:rPr>
        <w:t>’</w:t>
      </w:r>
      <w:r w:rsidRPr="00A15EB4">
        <w:rPr>
          <w:rFonts w:cs="Times New Roman"/>
          <w:lang w:val="fr-CA"/>
        </w:rPr>
        <w:t>Atlantique Nord</w:t>
      </w:r>
      <w:r w:rsidRPr="00A15EB4">
        <w:rPr>
          <w:rFonts w:cs="Times New Roman"/>
          <w:lang w:val="fr-CA"/>
        </w:rPr>
        <w:noBreakHyphen/>
        <w:t>Ouest — à un de ses anciens employés, l</w:t>
      </w:r>
      <w:r>
        <w:rPr>
          <w:rFonts w:cs="Times New Roman"/>
          <w:lang w:val="fr-CA"/>
        </w:rPr>
        <w:t>’</w:t>
      </w:r>
      <w:r w:rsidRPr="00A15EB4">
        <w:rPr>
          <w:rFonts w:cs="Times New Roman"/>
          <w:lang w:val="fr-CA"/>
        </w:rPr>
        <w:t>appelant, Tissa Amaratunga.  Ce dernier a intenté une action contre l</w:t>
      </w:r>
      <w:r>
        <w:rPr>
          <w:rFonts w:cs="Times New Roman"/>
          <w:lang w:val="fr-CA"/>
        </w:rPr>
        <w:t>’</w:t>
      </w:r>
      <w:r w:rsidRPr="00A15EB4">
        <w:rPr>
          <w:rFonts w:cs="Times New Roman"/>
          <w:lang w:val="fr-CA"/>
        </w:rPr>
        <w:t>OPANO pour rupture d</w:t>
      </w:r>
      <w:r>
        <w:rPr>
          <w:rFonts w:cs="Times New Roman"/>
          <w:lang w:val="fr-CA"/>
        </w:rPr>
        <w:t>’</w:t>
      </w:r>
      <w:r w:rsidRPr="00A15EB4">
        <w:rPr>
          <w:rFonts w:cs="Times New Roman"/>
          <w:lang w:val="fr-CA"/>
        </w:rPr>
        <w:t>un contrat de travail, et ce devant la Cour suprême de la Nouvelle</w:t>
      </w:r>
      <w:r w:rsidRPr="00A15EB4">
        <w:rPr>
          <w:rFonts w:cs="Times New Roman"/>
          <w:lang w:val="fr-CA"/>
        </w:rPr>
        <w:noBreakHyphen/>
        <w:t>Écosse, parce que l</w:t>
      </w:r>
      <w:r>
        <w:rPr>
          <w:rFonts w:cs="Times New Roman"/>
          <w:lang w:val="fr-CA"/>
        </w:rPr>
        <w:t>’</w:t>
      </w:r>
      <w:r w:rsidRPr="00A15EB4">
        <w:rPr>
          <w:rFonts w:cs="Times New Roman"/>
          <w:lang w:val="fr-CA"/>
        </w:rPr>
        <w:t>organisation intimée a son siège à Dartmouth, en Nouvelle</w:t>
      </w:r>
      <w:r w:rsidRPr="00A15EB4">
        <w:rPr>
          <w:rFonts w:cs="Times New Roman"/>
          <w:lang w:val="fr-CA"/>
        </w:rPr>
        <w:noBreakHyphen/>
        <w:t>Écosse.  L</w:t>
      </w:r>
      <w:r>
        <w:rPr>
          <w:rFonts w:cs="Times New Roman"/>
          <w:lang w:val="fr-CA"/>
        </w:rPr>
        <w:t>’</w:t>
      </w:r>
      <w:r w:rsidRPr="00A15EB4">
        <w:rPr>
          <w:rFonts w:cs="Times New Roman"/>
          <w:lang w:val="fr-CA"/>
        </w:rPr>
        <w:t>OPANO a invoqué avec succès l</w:t>
      </w:r>
      <w:r>
        <w:rPr>
          <w:rFonts w:cs="Times New Roman"/>
          <w:lang w:val="fr-CA"/>
        </w:rPr>
        <w:t>’</w:t>
      </w:r>
      <w:r w:rsidRPr="00A15EB4">
        <w:rPr>
          <w:rFonts w:cs="Times New Roman"/>
          <w:lang w:val="fr-CA"/>
        </w:rPr>
        <w:t>immunité de juridiction contre cette action.  La Cour d</w:t>
      </w:r>
      <w:r>
        <w:rPr>
          <w:rFonts w:cs="Times New Roman"/>
          <w:lang w:val="fr-CA"/>
        </w:rPr>
        <w:t>’</w:t>
      </w:r>
      <w:r w:rsidRPr="00A15EB4">
        <w:rPr>
          <w:rFonts w:cs="Times New Roman"/>
          <w:lang w:val="fr-CA"/>
        </w:rPr>
        <w:t>appel de la Nouvelle</w:t>
      </w:r>
      <w:r w:rsidRPr="00A15EB4">
        <w:rPr>
          <w:rFonts w:cs="Times New Roman"/>
          <w:lang w:val="fr-CA"/>
        </w:rPr>
        <w:noBreakHyphen/>
        <w:t>Écosse a conclu que l</w:t>
      </w:r>
      <w:r>
        <w:rPr>
          <w:rFonts w:cs="Times New Roman"/>
          <w:lang w:val="fr-CA"/>
        </w:rPr>
        <w:t>’</w:t>
      </w:r>
      <w:r w:rsidRPr="00A15EB4">
        <w:rPr>
          <w:rFonts w:cs="Times New Roman"/>
          <w:lang w:val="fr-CA"/>
        </w:rPr>
        <w:t>OPANO avait droit à l</w:t>
      </w:r>
      <w:r>
        <w:rPr>
          <w:rFonts w:cs="Times New Roman"/>
          <w:lang w:val="fr-CA"/>
        </w:rPr>
        <w:t>’</w:t>
      </w:r>
      <w:r w:rsidRPr="00A15EB4">
        <w:rPr>
          <w:rFonts w:cs="Times New Roman"/>
          <w:lang w:val="fr-CA"/>
        </w:rPr>
        <w:t>immunité en l</w:t>
      </w:r>
      <w:r>
        <w:rPr>
          <w:rFonts w:cs="Times New Roman"/>
          <w:lang w:val="fr-CA"/>
        </w:rPr>
        <w:t>’</w:t>
      </w:r>
      <w:r w:rsidRPr="00A15EB4">
        <w:rPr>
          <w:rFonts w:cs="Times New Roman"/>
          <w:lang w:val="fr-CA"/>
        </w:rPr>
        <w:t xml:space="preserve">espèce en application du par. 3(1) du </w:t>
      </w:r>
      <w:r w:rsidRPr="00A15EB4">
        <w:rPr>
          <w:rFonts w:cs="Times New Roman"/>
          <w:i/>
          <w:lang w:val="fr-CA"/>
        </w:rPr>
        <w:t xml:space="preserve">Décret sur les privilèges </w:t>
      </w:r>
      <w:r w:rsidRPr="00A15EB4">
        <w:rPr>
          <w:rFonts w:cs="Times New Roman"/>
          <w:i/>
          <w:lang w:val="fr-CA"/>
        </w:rPr>
        <w:lastRenderedPageBreak/>
        <w:t>et immunités de l</w:t>
      </w:r>
      <w:r>
        <w:rPr>
          <w:rFonts w:cs="Times New Roman"/>
          <w:i/>
          <w:lang w:val="fr-CA"/>
        </w:rPr>
        <w:t>’</w:t>
      </w:r>
      <w:r w:rsidRPr="00A15EB4">
        <w:rPr>
          <w:rFonts w:cs="Times New Roman"/>
          <w:i/>
          <w:lang w:val="fr-CA"/>
        </w:rPr>
        <w:t>Organisation des pêches de l</w:t>
      </w:r>
      <w:r>
        <w:rPr>
          <w:rFonts w:cs="Times New Roman"/>
          <w:i/>
          <w:lang w:val="fr-CA"/>
        </w:rPr>
        <w:t>’</w:t>
      </w:r>
      <w:r w:rsidR="0099273B">
        <w:rPr>
          <w:rFonts w:cs="Times New Roman"/>
          <w:i/>
          <w:lang w:val="fr-CA"/>
        </w:rPr>
        <w:t>Atlantique nord</w:t>
      </w:r>
      <w:r w:rsidR="0099273B">
        <w:rPr>
          <w:rFonts w:cs="Times New Roman"/>
          <w:i/>
          <w:lang w:val="fr-CA"/>
        </w:rPr>
        <w:noBreakHyphen/>
        <w:t>o</w:t>
      </w:r>
      <w:r w:rsidRPr="00A15EB4">
        <w:rPr>
          <w:rFonts w:cs="Times New Roman"/>
          <w:i/>
          <w:lang w:val="fr-CA"/>
        </w:rPr>
        <w:t>uest</w:t>
      </w:r>
      <w:r w:rsidRPr="00A15EB4">
        <w:rPr>
          <w:rFonts w:cs="Times New Roman"/>
          <w:lang w:val="fr-CA"/>
        </w:rPr>
        <w:t>, DORS/80</w:t>
      </w:r>
      <w:r w:rsidRPr="00A15EB4">
        <w:rPr>
          <w:rFonts w:cs="Times New Roman"/>
          <w:lang w:val="fr-CA"/>
        </w:rPr>
        <w:noBreakHyphen/>
        <w:t>64 («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 </w:t>
      </w:r>
      <w:r w:rsidRPr="00A15EB4">
        <w:rPr>
          <w:rFonts w:cs="Times New Roman"/>
          <w:lang w:val="fr-CA"/>
        </w:rPr>
        <w:t>»).  Pour les motifs qui suivent, je conclus que l</w:t>
      </w:r>
      <w:r>
        <w:rPr>
          <w:rFonts w:cs="Times New Roman"/>
          <w:lang w:val="fr-CA"/>
        </w:rPr>
        <w:t>’</w:t>
      </w:r>
      <w:r w:rsidRPr="00A15EB4">
        <w:rPr>
          <w:rFonts w:cs="Times New Roman"/>
          <w:lang w:val="fr-CA"/>
        </w:rPr>
        <w:t>OPANO a droit à l</w:t>
      </w:r>
      <w:r>
        <w:rPr>
          <w:rFonts w:cs="Times New Roman"/>
          <w:lang w:val="fr-CA"/>
        </w:rPr>
        <w:t>’</w:t>
      </w:r>
      <w:r w:rsidRPr="00A15EB4">
        <w:rPr>
          <w:rFonts w:cs="Times New Roman"/>
          <w:lang w:val="fr-CA"/>
        </w:rPr>
        <w:t>immunité et que le pourvoi échoue à cet égard, mais doit être accueilli en partie au sujet du droit au paiement de l</w:t>
      </w:r>
      <w:r>
        <w:rPr>
          <w:rFonts w:cs="Times New Roman"/>
          <w:lang w:val="fr-CA"/>
        </w:rPr>
        <w:t>’</w:t>
      </w:r>
      <w:r w:rsidRPr="00A15EB4">
        <w:rPr>
          <w:rFonts w:cs="Times New Roman"/>
          <w:lang w:val="fr-CA"/>
        </w:rPr>
        <w:t>indemnité de cessation d</w:t>
      </w:r>
      <w:r>
        <w:rPr>
          <w:rFonts w:cs="Times New Roman"/>
          <w:lang w:val="fr-CA"/>
        </w:rPr>
        <w:t>’</w:t>
      </w:r>
      <w:r w:rsidRPr="00A15EB4">
        <w:rPr>
          <w:rFonts w:cs="Times New Roman"/>
          <w:lang w:val="fr-CA"/>
        </w:rPr>
        <w:t>emploi accordée conformément au règlement régissant le personnel de l</w:t>
      </w:r>
      <w:r>
        <w:rPr>
          <w:rFonts w:cs="Times New Roman"/>
          <w:lang w:val="fr-CA"/>
        </w:rPr>
        <w:t>’</w:t>
      </w:r>
      <w:r w:rsidRPr="00A15EB4">
        <w:rPr>
          <w:rFonts w:cs="Times New Roman"/>
          <w:lang w:val="fr-CA"/>
        </w:rPr>
        <w:t>OPANO, avec dépens en faveur de l</w:t>
      </w:r>
      <w:r>
        <w:rPr>
          <w:rFonts w:cs="Times New Roman"/>
          <w:lang w:val="fr-CA"/>
        </w:rPr>
        <w:t>’</w:t>
      </w:r>
      <w:r w:rsidRPr="00A15EB4">
        <w:rPr>
          <w:rFonts w:cs="Times New Roman"/>
          <w:lang w:val="fr-CA"/>
        </w:rPr>
        <w:t>appelant.</w:t>
      </w:r>
    </w:p>
    <w:p w:rsidR="00102A7D" w:rsidRPr="00A15EB4" w:rsidRDefault="00102A7D" w:rsidP="00102A7D">
      <w:pPr>
        <w:pStyle w:val="TitleTitre-AltT"/>
        <w:keepNext/>
        <w:rPr>
          <w:rFonts w:cs="Times New Roman"/>
          <w:lang w:val="fr-CA"/>
        </w:rPr>
      </w:pPr>
      <w:r w:rsidRPr="00A15EB4">
        <w:rPr>
          <w:rFonts w:cs="Times New Roman"/>
          <w:lang w:val="fr-CA"/>
        </w:rPr>
        <w:t>II.</w:t>
      </w:r>
      <w:r w:rsidRPr="00A15EB4">
        <w:rPr>
          <w:rFonts w:cs="Times New Roman"/>
          <w:lang w:val="fr-CA"/>
        </w:rPr>
        <w:tab/>
      </w:r>
      <w:r w:rsidRPr="00A15EB4">
        <w:rPr>
          <w:rFonts w:cs="Times New Roman"/>
          <w:u w:val="single"/>
          <w:lang w:val="fr-CA"/>
        </w:rPr>
        <w:t>Contexte</w:t>
      </w:r>
    </w:p>
    <w:p w:rsidR="00102A7D" w:rsidRPr="00A15EB4" w:rsidRDefault="00102A7D" w:rsidP="00102A7D">
      <w:pPr>
        <w:pStyle w:val="ParaNoNdepar-AltN"/>
        <w:rPr>
          <w:rFonts w:cs="Times New Roman"/>
          <w:lang w:val="fr-CA"/>
        </w:rPr>
      </w:pPr>
      <w:r w:rsidRPr="00A15EB4">
        <w:rPr>
          <w:rFonts w:cs="Times New Roman"/>
          <w:lang w:val="fr-CA"/>
        </w:rPr>
        <w:t>Fondée en 1979 pour remplacer la Commission internationale pour les pêcheries de l</w:t>
      </w:r>
      <w:r>
        <w:rPr>
          <w:rFonts w:cs="Times New Roman"/>
          <w:lang w:val="fr-CA"/>
        </w:rPr>
        <w:t>’</w:t>
      </w:r>
      <w:r w:rsidRPr="00A15EB4">
        <w:rPr>
          <w:rFonts w:cs="Times New Roman"/>
          <w:lang w:val="fr-CA"/>
        </w:rPr>
        <w:t>Atlantique Nord</w:t>
      </w:r>
      <w:r w:rsidRPr="00A15EB4">
        <w:rPr>
          <w:rFonts w:cs="Times New Roman"/>
          <w:lang w:val="fr-CA"/>
        </w:rPr>
        <w:noBreakHyphen/>
        <w:t>Ouest, l</w:t>
      </w:r>
      <w:r>
        <w:rPr>
          <w:rFonts w:cs="Times New Roman"/>
          <w:lang w:val="fr-CA"/>
        </w:rPr>
        <w:t>’</w:t>
      </w:r>
      <w:r w:rsidRPr="00A15EB4">
        <w:rPr>
          <w:rFonts w:cs="Times New Roman"/>
          <w:lang w:val="fr-CA"/>
        </w:rPr>
        <w:t>OPANO est un organisme intergouvernemental se consacrant aux sciences halieutiques et à la gestion des pêches.  Comme l</w:t>
      </w:r>
      <w:r>
        <w:rPr>
          <w:rFonts w:cs="Times New Roman"/>
          <w:lang w:val="fr-CA"/>
        </w:rPr>
        <w:t>’</w:t>
      </w:r>
      <w:r w:rsidRPr="00A15EB4">
        <w:rPr>
          <w:rFonts w:cs="Times New Roman"/>
          <w:lang w:val="fr-CA"/>
        </w:rPr>
        <w:t>indique l</w:t>
      </w:r>
      <w:r>
        <w:rPr>
          <w:rFonts w:cs="Times New Roman"/>
          <w:lang w:val="fr-CA"/>
        </w:rPr>
        <w:t>’</w:t>
      </w:r>
      <w:r w:rsidRPr="00A15EB4">
        <w:rPr>
          <w:rFonts w:cs="Times New Roman"/>
          <w:lang w:val="fr-CA"/>
        </w:rPr>
        <w:t xml:space="preserve">art. II(1) de la </w:t>
      </w:r>
      <w:r w:rsidRPr="00A15EB4">
        <w:rPr>
          <w:rFonts w:cs="Times New Roman"/>
          <w:i/>
          <w:lang w:val="fr-CA"/>
        </w:rPr>
        <w:t>Convention sur la future coopération multilatérale dans les pêches de l</w:t>
      </w:r>
      <w:r>
        <w:rPr>
          <w:rFonts w:cs="Times New Roman"/>
          <w:i/>
          <w:lang w:val="fr-CA"/>
        </w:rPr>
        <w:t>’</w:t>
      </w:r>
      <w:r w:rsidRPr="00A15EB4">
        <w:rPr>
          <w:rFonts w:cs="Times New Roman"/>
          <w:i/>
          <w:lang w:val="fr-CA"/>
        </w:rPr>
        <w:t>Atlantique Nord</w:t>
      </w:r>
      <w:r w:rsidRPr="00A15EB4">
        <w:rPr>
          <w:rFonts w:cs="Times New Roman"/>
          <w:i/>
          <w:lang w:val="fr-CA"/>
        </w:rPr>
        <w:noBreakHyphen/>
        <w:t>Ouest</w:t>
      </w:r>
      <w:r w:rsidRPr="00A15EB4">
        <w:rPr>
          <w:rFonts w:cs="Times New Roman"/>
          <w:lang w:val="fr-CA"/>
        </w:rPr>
        <w:t>, R.T. Can. 1979 n</w:t>
      </w:r>
      <w:r w:rsidRPr="00A15EB4">
        <w:rPr>
          <w:rFonts w:cs="Times New Roman"/>
          <w:vertAlign w:val="superscript"/>
          <w:lang w:val="fr-CA"/>
        </w:rPr>
        <w:t>o</w:t>
      </w:r>
      <w:r w:rsidRPr="00A15EB4">
        <w:rPr>
          <w:rFonts w:cs="Times New Roman"/>
          <w:lang w:val="fr-CA"/>
        </w:rPr>
        <w:t> 11 (« Convention »), cet organisme a pour mandat général de « contribuer par la consultation et la coopération à l</w:t>
      </w:r>
      <w:r>
        <w:rPr>
          <w:rFonts w:cs="Times New Roman"/>
          <w:lang w:val="fr-CA"/>
        </w:rPr>
        <w:t>’</w:t>
      </w:r>
      <w:r w:rsidRPr="00A15EB4">
        <w:rPr>
          <w:rFonts w:cs="Times New Roman"/>
          <w:lang w:val="fr-CA"/>
        </w:rPr>
        <w:t>utilisation optimale, à la gestion rationnelle et à la conservation des ressources halieutiques » de l</w:t>
      </w:r>
      <w:r>
        <w:rPr>
          <w:rFonts w:cs="Times New Roman"/>
          <w:lang w:val="fr-CA"/>
        </w:rPr>
        <w:t>’</w:t>
      </w:r>
      <w:r w:rsidRPr="00A15EB4">
        <w:rPr>
          <w:rFonts w:cs="Times New Roman"/>
          <w:lang w:val="fr-CA"/>
        </w:rPr>
        <w:t>Atlantique Nord</w:t>
      </w:r>
      <w:r w:rsidRPr="00A15EB4">
        <w:rPr>
          <w:rFonts w:cs="Times New Roman"/>
          <w:lang w:val="fr-CA"/>
        </w:rPr>
        <w:noBreakHyphen/>
        <w:t>Ouest.  Le Canada est une partie contractante de la Convention.</w:t>
      </w:r>
    </w:p>
    <w:p w:rsidR="00102A7D" w:rsidRPr="00A15EB4" w:rsidRDefault="00102A7D" w:rsidP="00102A7D">
      <w:pPr>
        <w:pStyle w:val="ParaNoNdepar-AltN"/>
        <w:rPr>
          <w:rFonts w:cs="Times New Roman"/>
          <w:lang w:val="fr-CA"/>
        </w:rPr>
      </w:pPr>
      <w:r w:rsidRPr="00A15EB4">
        <w:rPr>
          <w:rFonts w:cs="Times New Roman"/>
          <w:lang w:val="fr-CA"/>
        </w:rPr>
        <w:t>L</w:t>
      </w:r>
      <w:r>
        <w:rPr>
          <w:rFonts w:cs="Times New Roman"/>
          <w:lang w:val="fr-CA"/>
        </w:rPr>
        <w:t>’</w:t>
      </w:r>
      <w:r w:rsidRPr="00A15EB4">
        <w:rPr>
          <w:rFonts w:cs="Times New Roman"/>
          <w:lang w:val="fr-CA"/>
        </w:rPr>
        <w:t>OPANO comporte quatre sections : le conseil général, le conseil scientifique, la commission des pêches et le secrétariat.  Leurs fonctions respectives sont décrites dans la Convention.</w:t>
      </w:r>
    </w:p>
    <w:p w:rsidR="00102A7D" w:rsidRPr="00A15EB4" w:rsidRDefault="00102A7D" w:rsidP="00102A7D">
      <w:pPr>
        <w:pStyle w:val="ParaNoNdepar-AltN"/>
        <w:rPr>
          <w:rFonts w:cs="Times New Roman"/>
          <w:lang w:val="fr-CA"/>
        </w:rPr>
      </w:pPr>
      <w:r w:rsidRPr="00A15EB4">
        <w:rPr>
          <w:rFonts w:cs="Times New Roman"/>
          <w:lang w:val="fr-CA"/>
        </w:rPr>
        <w:lastRenderedPageBreak/>
        <w:t>Suivant l</w:t>
      </w:r>
      <w:r>
        <w:rPr>
          <w:rFonts w:cs="Times New Roman"/>
          <w:lang w:val="fr-CA"/>
        </w:rPr>
        <w:t>’</w:t>
      </w:r>
      <w:r w:rsidRPr="00A15EB4">
        <w:rPr>
          <w:rFonts w:cs="Times New Roman"/>
          <w:lang w:val="fr-CA"/>
        </w:rPr>
        <w:t>art. II(4) de la Convention, l</w:t>
      </w:r>
      <w:r>
        <w:rPr>
          <w:rFonts w:cs="Times New Roman"/>
          <w:lang w:val="fr-CA"/>
        </w:rPr>
        <w:t>’</w:t>
      </w:r>
      <w:r w:rsidRPr="00A15EB4">
        <w:rPr>
          <w:rFonts w:cs="Times New Roman"/>
          <w:lang w:val="fr-CA"/>
        </w:rPr>
        <w:t>OPANO a son siège à Dartmouth.  La Convention prévoit aussi que l</w:t>
      </w:r>
      <w:r>
        <w:rPr>
          <w:rFonts w:cs="Times New Roman"/>
          <w:lang w:val="fr-CA"/>
        </w:rPr>
        <w:t>’</w:t>
      </w:r>
      <w:r w:rsidRPr="00A15EB4">
        <w:rPr>
          <w:rFonts w:cs="Times New Roman"/>
          <w:lang w:val="fr-CA"/>
        </w:rPr>
        <w:t>OPANO a une personnalité juridique.  Cela signifie qu</w:t>
      </w:r>
      <w:r>
        <w:rPr>
          <w:rFonts w:cs="Times New Roman"/>
          <w:lang w:val="fr-CA"/>
        </w:rPr>
        <w:t>’</w:t>
      </w:r>
      <w:r w:rsidRPr="00A15EB4">
        <w:rPr>
          <w:rFonts w:cs="Times New Roman"/>
          <w:lang w:val="fr-CA"/>
        </w:rPr>
        <w:t>elle jouit corollairement de certaines immunités et de certains privilèges.  La Convention précise en outre à l</w:t>
      </w:r>
      <w:r>
        <w:rPr>
          <w:rFonts w:cs="Times New Roman"/>
          <w:lang w:val="fr-CA"/>
        </w:rPr>
        <w:t>’</w:t>
      </w:r>
      <w:r w:rsidRPr="00A15EB4">
        <w:rPr>
          <w:rFonts w:cs="Times New Roman"/>
          <w:lang w:val="fr-CA"/>
        </w:rPr>
        <w:t>art. II(3) que les immunités et privilèges de l</w:t>
      </w:r>
      <w:r>
        <w:rPr>
          <w:rFonts w:cs="Times New Roman"/>
          <w:lang w:val="fr-CA"/>
        </w:rPr>
        <w:t>’</w:t>
      </w:r>
      <w:r w:rsidRPr="00A15EB4">
        <w:rPr>
          <w:rFonts w:cs="Times New Roman"/>
          <w:lang w:val="fr-CA"/>
        </w:rPr>
        <w:t>OPANO au Canada seront déterminés par une entente à conclure entre elle et son pays d</w:t>
      </w:r>
      <w:r>
        <w:rPr>
          <w:rFonts w:cs="Times New Roman"/>
          <w:lang w:val="fr-CA"/>
        </w:rPr>
        <w:t>’</w:t>
      </w:r>
      <w:r w:rsidRPr="00A15EB4">
        <w:rPr>
          <w:rFonts w:cs="Times New Roman"/>
          <w:lang w:val="fr-CA"/>
        </w:rPr>
        <w:t>accueil.  L</w:t>
      </w:r>
      <w:r>
        <w:rPr>
          <w:rFonts w:cs="Times New Roman"/>
          <w:lang w:val="fr-CA"/>
        </w:rPr>
        <w:t>’</w:t>
      </w:r>
      <w:r w:rsidRPr="00A15EB4">
        <w:rPr>
          <w:rFonts w:cs="Times New Roman"/>
          <w:lang w:val="fr-CA"/>
        </w:rPr>
        <w:t xml:space="preserve">entente dont il a été convenu est énoncée dans le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pris par le gouverneur en conseil le 11 janvier 1980.</w:t>
      </w:r>
    </w:p>
    <w:p w:rsidR="00102A7D" w:rsidRPr="00A15EB4" w:rsidRDefault="00102A7D" w:rsidP="00102A7D">
      <w:pPr>
        <w:pStyle w:val="ParaNoNdepar-AltN"/>
        <w:rPr>
          <w:rFonts w:cs="Times New Roman"/>
          <w:lang w:val="fr-CA"/>
        </w:rPr>
      </w:pPr>
      <w:r w:rsidRPr="00A15EB4">
        <w:rPr>
          <w:rFonts w:cs="Times New Roman"/>
          <w:lang w:val="fr-CA"/>
        </w:rPr>
        <w:t>L</w:t>
      </w:r>
      <w:r>
        <w:rPr>
          <w:rFonts w:cs="Times New Roman"/>
          <w:lang w:val="fr-CA"/>
        </w:rPr>
        <w:t>’</w:t>
      </w:r>
      <w:r w:rsidRPr="00A15EB4">
        <w:rPr>
          <w:rFonts w:cs="Times New Roman"/>
          <w:lang w:val="fr-CA"/>
        </w:rPr>
        <w:t>appelant est entré au service de l</w:t>
      </w:r>
      <w:r>
        <w:rPr>
          <w:rFonts w:cs="Times New Roman"/>
          <w:lang w:val="fr-CA"/>
        </w:rPr>
        <w:t>’</w:t>
      </w:r>
      <w:r w:rsidRPr="00A15EB4">
        <w:rPr>
          <w:rFonts w:cs="Times New Roman"/>
          <w:lang w:val="fr-CA"/>
        </w:rPr>
        <w:t>OPANO en 1988 en tant que secrétaire exécutif adjoint — le titre du poste en anglais, « </w:t>
      </w:r>
      <w:r w:rsidRPr="00305FE4">
        <w:rPr>
          <w:rFonts w:cs="Times New Roman"/>
          <w:i/>
          <w:lang w:val="fr-CA"/>
        </w:rPr>
        <w:t>Assistant Executive Secretary</w:t>
      </w:r>
      <w:r w:rsidRPr="00A15EB4">
        <w:rPr>
          <w:rFonts w:cs="Times New Roman"/>
          <w:lang w:val="fr-CA"/>
        </w:rPr>
        <w:t> », a plus tard été rebaptisé « </w:t>
      </w:r>
      <w:r w:rsidRPr="00305FE4">
        <w:rPr>
          <w:rFonts w:cs="Times New Roman"/>
          <w:i/>
          <w:lang w:val="fr-CA"/>
        </w:rPr>
        <w:t>Deputy Executive Secretary</w:t>
      </w:r>
      <w:r w:rsidRPr="00A15EB4">
        <w:rPr>
          <w:rFonts w:cs="Times New Roman"/>
          <w:lang w:val="fr-CA"/>
        </w:rPr>
        <w:t> » —, un poste supérieur au</w:t>
      </w:r>
      <w:r w:rsidR="00F70546">
        <w:rPr>
          <w:rFonts w:cs="Times New Roman"/>
          <w:lang w:val="fr-CA"/>
        </w:rPr>
        <w:t xml:space="preserve"> sein du</w:t>
      </w:r>
      <w:r w:rsidRPr="00A15EB4">
        <w:rPr>
          <w:rFonts w:cs="Times New Roman"/>
          <w:lang w:val="fr-CA"/>
        </w:rPr>
        <w:t xml:space="preserve"> secrétariat.  En cette qualité, il devait bien connaître tous les aspects des opérations et des exigences de l</w:t>
      </w:r>
      <w:r>
        <w:rPr>
          <w:rFonts w:cs="Times New Roman"/>
          <w:lang w:val="fr-CA"/>
        </w:rPr>
        <w:t>’</w:t>
      </w:r>
      <w:r w:rsidRPr="00A15EB4">
        <w:rPr>
          <w:rFonts w:cs="Times New Roman"/>
          <w:lang w:val="fr-CA"/>
        </w:rPr>
        <w:t>OPANO.  Il s</w:t>
      </w:r>
      <w:r>
        <w:rPr>
          <w:rFonts w:cs="Times New Roman"/>
          <w:lang w:val="fr-CA"/>
        </w:rPr>
        <w:t>’</w:t>
      </w:r>
      <w:r w:rsidRPr="00A15EB4">
        <w:rPr>
          <w:rFonts w:cs="Times New Roman"/>
          <w:lang w:val="fr-CA"/>
        </w:rPr>
        <w:t>acquittait notamment des tâches suivantes : superviser directement quatre des onze employés du secrétariat; exercer au besoin les fonctions du secrétaire exécutif; fournir des services opérationnels et consultatifs au conseil scientifique; assurer la liaison avec les présidents au sein de l</w:t>
      </w:r>
      <w:r>
        <w:rPr>
          <w:rFonts w:cs="Times New Roman"/>
          <w:lang w:val="fr-CA"/>
        </w:rPr>
        <w:t>’</w:t>
      </w:r>
      <w:r w:rsidRPr="00A15EB4">
        <w:rPr>
          <w:rFonts w:cs="Times New Roman"/>
          <w:lang w:val="fr-CA"/>
        </w:rPr>
        <w:t>OPANO et avec les administrateurs des organismes nationaux et internationaux pour répondre aux besoins du conseil scientifique; gérer l</w:t>
      </w:r>
      <w:r>
        <w:rPr>
          <w:rFonts w:cs="Times New Roman"/>
          <w:lang w:val="fr-CA"/>
        </w:rPr>
        <w:t>’</w:t>
      </w:r>
      <w:r w:rsidRPr="00A15EB4">
        <w:rPr>
          <w:rFonts w:cs="Times New Roman"/>
          <w:lang w:val="fr-CA"/>
        </w:rPr>
        <w:t>information scientifique ainsi que les bases de données biologiques et statistiques de l</w:t>
      </w:r>
      <w:r>
        <w:rPr>
          <w:rFonts w:cs="Times New Roman"/>
          <w:lang w:val="fr-CA"/>
        </w:rPr>
        <w:t>’</w:t>
      </w:r>
      <w:r w:rsidRPr="00A15EB4">
        <w:rPr>
          <w:rFonts w:cs="Times New Roman"/>
          <w:lang w:val="fr-CA"/>
        </w:rPr>
        <w:t>OPANO; gérer et mettre au point les publications scientifiques et statistiques de cette dernière; et gérer les systèmes informatiques nécessaires pour ses opérations.</w:t>
      </w:r>
    </w:p>
    <w:p w:rsidR="00102A7D" w:rsidRPr="00A15EB4" w:rsidRDefault="00102A7D" w:rsidP="00102A7D">
      <w:pPr>
        <w:pStyle w:val="ParaNoNdepar-AltN"/>
        <w:rPr>
          <w:rFonts w:cs="Times New Roman"/>
          <w:lang w:val="fr-CA"/>
        </w:rPr>
      </w:pPr>
      <w:r w:rsidRPr="00A15EB4">
        <w:rPr>
          <w:rFonts w:cs="Times New Roman"/>
          <w:lang w:val="fr-CA"/>
        </w:rPr>
        <w:lastRenderedPageBreak/>
        <w:t>Le 24 juin 2005, l</w:t>
      </w:r>
      <w:r>
        <w:rPr>
          <w:rFonts w:cs="Times New Roman"/>
          <w:lang w:val="fr-CA"/>
        </w:rPr>
        <w:t>’</w:t>
      </w:r>
      <w:r w:rsidRPr="00A15EB4">
        <w:rPr>
          <w:rFonts w:cs="Times New Roman"/>
          <w:lang w:val="fr-CA"/>
        </w:rPr>
        <w:t>appelant a été congédié par le secrétaire exécutif</w:t>
      </w:r>
      <w:r>
        <w:rPr>
          <w:rFonts w:cs="Times New Roman"/>
          <w:lang w:val="fr-CA"/>
        </w:rPr>
        <w:t xml:space="preserve"> nommé en janvier </w:t>
      </w:r>
      <w:r w:rsidRPr="00A15EB4">
        <w:rPr>
          <w:rFonts w:cs="Times New Roman"/>
          <w:lang w:val="fr-CA"/>
        </w:rPr>
        <w:t>2003, après que, tel qu</w:t>
      </w:r>
      <w:r>
        <w:rPr>
          <w:rFonts w:cs="Times New Roman"/>
          <w:lang w:val="fr-CA"/>
        </w:rPr>
        <w:t>’</w:t>
      </w:r>
      <w:r w:rsidRPr="00A15EB4">
        <w:rPr>
          <w:rFonts w:cs="Times New Roman"/>
          <w:lang w:val="fr-CA"/>
        </w:rPr>
        <w:t>il appert de la déclaration, leurs relations de travail se so</w:t>
      </w:r>
      <w:r w:rsidR="00F70546">
        <w:rPr>
          <w:rFonts w:cs="Times New Roman"/>
          <w:lang w:val="fr-CA"/>
        </w:rPr>
        <w:t>nt</w:t>
      </w:r>
      <w:r w:rsidRPr="00A15EB4">
        <w:rPr>
          <w:rFonts w:cs="Times New Roman"/>
          <w:lang w:val="fr-CA"/>
        </w:rPr>
        <w:t xml:space="preserve"> détériorées.</w:t>
      </w:r>
    </w:p>
    <w:p w:rsidR="00102A7D" w:rsidRPr="00A15EB4" w:rsidRDefault="00102A7D" w:rsidP="00102A7D">
      <w:pPr>
        <w:pStyle w:val="ParaNoNdepar-AltN"/>
        <w:rPr>
          <w:rFonts w:cs="Times New Roman"/>
          <w:lang w:val="fr-CA"/>
        </w:rPr>
      </w:pPr>
      <w:r w:rsidRPr="00A15EB4">
        <w:rPr>
          <w:rFonts w:cs="Times New Roman"/>
          <w:lang w:val="fr-CA"/>
        </w:rPr>
        <w:t>Le jour de son congédiement, l</w:t>
      </w:r>
      <w:r>
        <w:rPr>
          <w:rFonts w:cs="Times New Roman"/>
          <w:lang w:val="fr-CA"/>
        </w:rPr>
        <w:t>’</w:t>
      </w:r>
      <w:r w:rsidRPr="00A15EB4">
        <w:rPr>
          <w:rFonts w:cs="Times New Roman"/>
          <w:lang w:val="fr-CA"/>
        </w:rPr>
        <w:t>appelant a reçu une lettre l</w:t>
      </w:r>
      <w:r>
        <w:rPr>
          <w:rFonts w:cs="Times New Roman"/>
          <w:lang w:val="fr-CA"/>
        </w:rPr>
        <w:t>’</w:t>
      </w:r>
      <w:r w:rsidRPr="00A15EB4">
        <w:rPr>
          <w:rFonts w:cs="Times New Roman"/>
          <w:lang w:val="fr-CA"/>
        </w:rPr>
        <w:t>informant qu</w:t>
      </w:r>
      <w:r>
        <w:rPr>
          <w:rFonts w:cs="Times New Roman"/>
          <w:lang w:val="fr-CA"/>
        </w:rPr>
        <w:t>’</w:t>
      </w:r>
      <w:r w:rsidRPr="00A15EB4">
        <w:rPr>
          <w:rFonts w:cs="Times New Roman"/>
          <w:lang w:val="fr-CA"/>
        </w:rPr>
        <w:t>il recevrait une somme de 153 149 $.  Celle</w:t>
      </w:r>
      <w:r w:rsidRPr="00A15EB4">
        <w:rPr>
          <w:rFonts w:cs="Times New Roman"/>
          <w:lang w:val="fr-CA"/>
        </w:rPr>
        <w:noBreakHyphen/>
        <w:t>ci était constituée de deux montants.  Le premier, de 102 193 $, représentait son salaire jusqu</w:t>
      </w:r>
      <w:r>
        <w:rPr>
          <w:rFonts w:cs="Times New Roman"/>
          <w:lang w:val="fr-CA"/>
        </w:rPr>
        <w:t>’</w:t>
      </w:r>
      <w:r w:rsidRPr="00A15EB4">
        <w:rPr>
          <w:rFonts w:cs="Times New Roman"/>
          <w:lang w:val="fr-CA"/>
        </w:rPr>
        <w:t>au 31 juillet 2005, ses congés payés ainsi que l</w:t>
      </w:r>
      <w:r>
        <w:rPr>
          <w:rFonts w:cs="Times New Roman"/>
          <w:lang w:val="fr-CA"/>
        </w:rPr>
        <w:t>’</w:t>
      </w:r>
      <w:r w:rsidRPr="00A15EB4">
        <w:rPr>
          <w:rFonts w:cs="Times New Roman"/>
          <w:lang w:val="fr-CA"/>
        </w:rPr>
        <w:t>indemnité de cessation d</w:t>
      </w:r>
      <w:r>
        <w:rPr>
          <w:rFonts w:cs="Times New Roman"/>
          <w:lang w:val="fr-CA"/>
        </w:rPr>
        <w:t>’</w:t>
      </w:r>
      <w:r w:rsidRPr="00A15EB4">
        <w:rPr>
          <w:rFonts w:cs="Times New Roman"/>
          <w:lang w:val="fr-CA"/>
        </w:rPr>
        <w:t>emploi qui lui était payable en application de l</w:t>
      </w:r>
      <w:r>
        <w:rPr>
          <w:rFonts w:cs="Times New Roman"/>
          <w:lang w:val="fr-CA"/>
        </w:rPr>
        <w:t>’</w:t>
      </w:r>
      <w:r w:rsidRPr="00A15EB4">
        <w:rPr>
          <w:rFonts w:cs="Times New Roman"/>
          <w:lang w:val="fr-CA"/>
        </w:rPr>
        <w:t>art. 10.4 du règlement régissant le personnel de l</w:t>
      </w:r>
      <w:r>
        <w:rPr>
          <w:rFonts w:cs="Times New Roman"/>
          <w:lang w:val="fr-CA"/>
        </w:rPr>
        <w:t>’</w:t>
      </w:r>
      <w:r w:rsidRPr="00A15EB4">
        <w:rPr>
          <w:rFonts w:cs="Times New Roman"/>
          <w:lang w:val="fr-CA"/>
        </w:rPr>
        <w:t>OPANO.  Le deuxième, de 50 956 $ et versé à titre gracieux, visait à l</w:t>
      </w:r>
      <w:r>
        <w:rPr>
          <w:rFonts w:cs="Times New Roman"/>
          <w:lang w:val="fr-CA"/>
        </w:rPr>
        <w:t>’</w:t>
      </w:r>
      <w:r w:rsidRPr="00A15EB4">
        <w:rPr>
          <w:rFonts w:cs="Times New Roman"/>
          <w:lang w:val="fr-CA"/>
        </w:rPr>
        <w:t>indemniser pour tout désavantage financier qui pouvait découler de sa cessation d</w:t>
      </w:r>
      <w:r>
        <w:rPr>
          <w:rFonts w:cs="Times New Roman"/>
          <w:lang w:val="fr-CA"/>
        </w:rPr>
        <w:t>’</w:t>
      </w:r>
      <w:r w:rsidRPr="00A15EB4">
        <w:rPr>
          <w:rFonts w:cs="Times New Roman"/>
          <w:lang w:val="fr-CA"/>
        </w:rPr>
        <w:t>emploi.  L</w:t>
      </w:r>
      <w:r>
        <w:rPr>
          <w:rFonts w:cs="Times New Roman"/>
          <w:lang w:val="fr-CA"/>
        </w:rPr>
        <w:t>’</w:t>
      </w:r>
      <w:r w:rsidRPr="00A15EB4">
        <w:rPr>
          <w:rFonts w:cs="Times New Roman"/>
          <w:lang w:val="fr-CA"/>
        </w:rPr>
        <w:t>appelant a convenu avec l</w:t>
      </w:r>
      <w:r>
        <w:rPr>
          <w:rFonts w:cs="Times New Roman"/>
          <w:lang w:val="fr-CA"/>
        </w:rPr>
        <w:t>’</w:t>
      </w:r>
      <w:r w:rsidRPr="00A15EB4">
        <w:rPr>
          <w:rFonts w:cs="Times New Roman"/>
          <w:lang w:val="fr-CA"/>
        </w:rPr>
        <w:t>OPANO que l</w:t>
      </w:r>
      <w:r>
        <w:rPr>
          <w:rFonts w:cs="Times New Roman"/>
          <w:lang w:val="fr-CA"/>
        </w:rPr>
        <w:t>’</w:t>
      </w:r>
      <w:r w:rsidRPr="00A15EB4">
        <w:rPr>
          <w:rFonts w:cs="Times New Roman"/>
          <w:lang w:val="fr-CA"/>
        </w:rPr>
        <w:t>indemnité de cessation d</w:t>
      </w:r>
      <w:r>
        <w:rPr>
          <w:rFonts w:cs="Times New Roman"/>
          <w:lang w:val="fr-CA"/>
        </w:rPr>
        <w:t>’</w:t>
      </w:r>
      <w:r w:rsidRPr="00A15EB4">
        <w:rPr>
          <w:rFonts w:cs="Times New Roman"/>
          <w:lang w:val="fr-CA"/>
        </w:rPr>
        <w:t>emploi de 80 987 $ serait payée en deux versements : le premier, de 30 987 $, serait versé en 2005, et le deuxième, de 50 000 $, en 2006.  Il a également demandé à l</w:t>
      </w:r>
      <w:r>
        <w:rPr>
          <w:rFonts w:cs="Times New Roman"/>
          <w:lang w:val="fr-CA"/>
        </w:rPr>
        <w:t>’</w:t>
      </w:r>
      <w:r w:rsidRPr="00A15EB4">
        <w:rPr>
          <w:rFonts w:cs="Times New Roman"/>
          <w:lang w:val="fr-CA"/>
        </w:rPr>
        <w:t>OPANO une confirmation que le paiement à titre gracieux de 50 956 $ serait versé sous toutes réserves.  L</w:t>
      </w:r>
      <w:r>
        <w:rPr>
          <w:rFonts w:cs="Times New Roman"/>
          <w:lang w:val="fr-CA"/>
        </w:rPr>
        <w:t>’</w:t>
      </w:r>
      <w:r w:rsidRPr="00A15EB4">
        <w:rPr>
          <w:rFonts w:cs="Times New Roman"/>
          <w:lang w:val="fr-CA"/>
        </w:rPr>
        <w:t>OPANO n</w:t>
      </w:r>
      <w:r>
        <w:rPr>
          <w:rFonts w:cs="Times New Roman"/>
          <w:lang w:val="fr-CA"/>
        </w:rPr>
        <w:t>’</w:t>
      </w:r>
      <w:r w:rsidRPr="00A15EB4">
        <w:rPr>
          <w:rFonts w:cs="Times New Roman"/>
          <w:lang w:val="fr-CA"/>
        </w:rPr>
        <w:t>a pas répondu à cette demande.</w:t>
      </w:r>
    </w:p>
    <w:p w:rsidR="00102A7D" w:rsidRPr="00A15EB4" w:rsidRDefault="00102A7D" w:rsidP="00102A7D">
      <w:pPr>
        <w:pStyle w:val="ParaNoNdepar-AltN"/>
        <w:rPr>
          <w:rFonts w:cs="Times New Roman"/>
          <w:lang w:val="fr-CA"/>
        </w:rPr>
      </w:pPr>
      <w:r w:rsidRPr="00A15EB4">
        <w:rPr>
          <w:rFonts w:cs="Times New Roman"/>
          <w:lang w:val="fr-CA"/>
        </w:rPr>
        <w:t>En 2005, l</w:t>
      </w:r>
      <w:r>
        <w:rPr>
          <w:rFonts w:cs="Times New Roman"/>
          <w:lang w:val="fr-CA"/>
        </w:rPr>
        <w:t>’</w:t>
      </w:r>
      <w:r w:rsidRPr="00A15EB4">
        <w:rPr>
          <w:rFonts w:cs="Times New Roman"/>
          <w:lang w:val="fr-CA"/>
        </w:rPr>
        <w:t>OPANO a payé à l</w:t>
      </w:r>
      <w:r>
        <w:rPr>
          <w:rFonts w:cs="Times New Roman"/>
          <w:lang w:val="fr-CA"/>
        </w:rPr>
        <w:t>’</w:t>
      </w:r>
      <w:r w:rsidRPr="00A15EB4">
        <w:rPr>
          <w:rFonts w:cs="Times New Roman"/>
          <w:lang w:val="fr-CA"/>
        </w:rPr>
        <w:t>appelant le montant dû au titre des salaires et des congés accumulés et a effectué le premier versement de l</w:t>
      </w:r>
      <w:r>
        <w:rPr>
          <w:rFonts w:cs="Times New Roman"/>
          <w:lang w:val="fr-CA"/>
        </w:rPr>
        <w:t>’</w:t>
      </w:r>
      <w:r w:rsidRPr="00A15EB4">
        <w:rPr>
          <w:rFonts w:cs="Times New Roman"/>
          <w:lang w:val="fr-CA"/>
        </w:rPr>
        <w:t>indemnité de cessation d</w:t>
      </w:r>
      <w:r>
        <w:rPr>
          <w:rFonts w:cs="Times New Roman"/>
          <w:lang w:val="fr-CA"/>
        </w:rPr>
        <w:t>’</w:t>
      </w:r>
      <w:r w:rsidRPr="00A15EB4">
        <w:rPr>
          <w:rFonts w:cs="Times New Roman"/>
          <w:lang w:val="fr-CA"/>
        </w:rPr>
        <w:t>emploi.  En février 2006, l</w:t>
      </w:r>
      <w:r>
        <w:rPr>
          <w:rFonts w:cs="Times New Roman"/>
          <w:lang w:val="fr-CA"/>
        </w:rPr>
        <w:t>’</w:t>
      </w:r>
      <w:r w:rsidRPr="00A15EB4">
        <w:rPr>
          <w:rFonts w:cs="Times New Roman"/>
          <w:lang w:val="fr-CA"/>
        </w:rPr>
        <w:t>appelant a reçu en un seul chèque le deuxième versement de l</w:t>
      </w:r>
      <w:r>
        <w:rPr>
          <w:rFonts w:cs="Times New Roman"/>
          <w:lang w:val="fr-CA"/>
        </w:rPr>
        <w:t>’</w:t>
      </w:r>
      <w:r w:rsidRPr="00A15EB4">
        <w:rPr>
          <w:rFonts w:cs="Times New Roman"/>
          <w:lang w:val="fr-CA"/>
        </w:rPr>
        <w:t>indemnité de cessation d</w:t>
      </w:r>
      <w:r>
        <w:rPr>
          <w:rFonts w:cs="Times New Roman"/>
          <w:lang w:val="fr-CA"/>
        </w:rPr>
        <w:t>’</w:t>
      </w:r>
      <w:r w:rsidRPr="00A15EB4">
        <w:rPr>
          <w:rFonts w:cs="Times New Roman"/>
          <w:lang w:val="fr-CA"/>
        </w:rPr>
        <w:t>emploi et le paiement à titre gracieux. Comme il n</w:t>
      </w:r>
      <w:r>
        <w:rPr>
          <w:rFonts w:cs="Times New Roman"/>
          <w:lang w:val="fr-CA"/>
        </w:rPr>
        <w:t>’</w:t>
      </w:r>
      <w:r w:rsidRPr="00A15EB4">
        <w:rPr>
          <w:rFonts w:cs="Times New Roman"/>
          <w:lang w:val="fr-CA"/>
        </w:rPr>
        <w:t>avait reçu de l</w:t>
      </w:r>
      <w:r>
        <w:rPr>
          <w:rFonts w:cs="Times New Roman"/>
          <w:lang w:val="fr-CA"/>
        </w:rPr>
        <w:t>’</w:t>
      </w:r>
      <w:r w:rsidRPr="00A15EB4">
        <w:rPr>
          <w:rFonts w:cs="Times New Roman"/>
          <w:lang w:val="fr-CA"/>
        </w:rPr>
        <w:t>OPANO aucune confirmation selon laquelle le paiement du montant versé à titre gracieux était fait sous toutes réserves, l</w:t>
      </w:r>
      <w:r>
        <w:rPr>
          <w:rFonts w:cs="Times New Roman"/>
          <w:lang w:val="fr-CA"/>
        </w:rPr>
        <w:t>’</w:t>
      </w:r>
      <w:r w:rsidRPr="00A15EB4">
        <w:rPr>
          <w:rFonts w:cs="Times New Roman"/>
          <w:lang w:val="fr-CA"/>
        </w:rPr>
        <w:t xml:space="preserve">appelant lui a </w:t>
      </w:r>
      <w:r w:rsidRPr="00A15EB4">
        <w:rPr>
          <w:rFonts w:cs="Times New Roman"/>
          <w:lang w:val="fr-CA"/>
        </w:rPr>
        <w:lastRenderedPageBreak/>
        <w:t>renvoyé le chèque.  Un deuxième chèque du même montant a été envoyé à l</w:t>
      </w:r>
      <w:r>
        <w:rPr>
          <w:rFonts w:cs="Times New Roman"/>
          <w:lang w:val="fr-CA"/>
        </w:rPr>
        <w:t>’</w:t>
      </w:r>
      <w:r w:rsidRPr="00A15EB4">
        <w:rPr>
          <w:rFonts w:cs="Times New Roman"/>
          <w:lang w:val="fr-CA"/>
        </w:rPr>
        <w:t>appelant en avril 2006, chèque que l</w:t>
      </w:r>
      <w:r>
        <w:rPr>
          <w:rFonts w:cs="Times New Roman"/>
          <w:lang w:val="fr-CA"/>
        </w:rPr>
        <w:t>’</w:t>
      </w:r>
      <w:r w:rsidRPr="00A15EB4">
        <w:rPr>
          <w:rFonts w:cs="Times New Roman"/>
          <w:lang w:val="fr-CA"/>
        </w:rPr>
        <w:t>appelant a renvoyé pour le même motif.</w:t>
      </w:r>
    </w:p>
    <w:p w:rsidR="00102A7D" w:rsidRPr="00A15EB4" w:rsidRDefault="00102A7D" w:rsidP="00102A7D">
      <w:pPr>
        <w:pStyle w:val="ParaNoNdepar-AltN"/>
        <w:rPr>
          <w:rFonts w:cs="Times New Roman"/>
          <w:lang w:val="fr-CA"/>
        </w:rPr>
      </w:pPr>
      <w:r w:rsidRPr="00A15EB4">
        <w:rPr>
          <w:rFonts w:cs="Times New Roman"/>
          <w:lang w:val="fr-CA"/>
        </w:rPr>
        <w:t>Le 15 juin 2006, l</w:t>
      </w:r>
      <w:r>
        <w:rPr>
          <w:rFonts w:cs="Times New Roman"/>
          <w:lang w:val="fr-CA"/>
        </w:rPr>
        <w:t>’</w:t>
      </w:r>
      <w:r w:rsidRPr="00A15EB4">
        <w:rPr>
          <w:rFonts w:cs="Times New Roman"/>
          <w:lang w:val="fr-CA"/>
        </w:rPr>
        <w:t>appelant a déposé une déclaration à la Cour suprême de la Nouvelle</w:t>
      </w:r>
      <w:r w:rsidRPr="00A15EB4">
        <w:rPr>
          <w:rFonts w:cs="Times New Roman"/>
          <w:lang w:val="fr-CA"/>
        </w:rPr>
        <w:noBreakHyphen/>
        <w:t>Écosse, sollicitant des dommages</w:t>
      </w:r>
      <w:r w:rsidRPr="00A15EB4">
        <w:rPr>
          <w:rFonts w:cs="Times New Roman"/>
          <w:lang w:val="fr-CA"/>
        </w:rPr>
        <w:noBreakHyphen/>
        <w:t>intérêts pour rupture de son contrat de travail et du contrat obligeant l</w:t>
      </w:r>
      <w:r>
        <w:rPr>
          <w:rFonts w:cs="Times New Roman"/>
          <w:lang w:val="fr-CA"/>
        </w:rPr>
        <w:t>’</w:t>
      </w:r>
      <w:r w:rsidRPr="00A15EB4">
        <w:rPr>
          <w:rFonts w:cs="Times New Roman"/>
          <w:lang w:val="fr-CA"/>
        </w:rPr>
        <w:t>OPANO à payer l</w:t>
      </w:r>
      <w:r>
        <w:rPr>
          <w:rFonts w:cs="Times New Roman"/>
          <w:lang w:val="fr-CA"/>
        </w:rPr>
        <w:t>’</w:t>
      </w:r>
      <w:r w:rsidRPr="00A15EB4">
        <w:rPr>
          <w:rFonts w:cs="Times New Roman"/>
          <w:lang w:val="fr-CA"/>
        </w:rPr>
        <w:t>indemnité de cessation d</w:t>
      </w:r>
      <w:r>
        <w:rPr>
          <w:rFonts w:cs="Times New Roman"/>
          <w:lang w:val="fr-CA"/>
        </w:rPr>
        <w:t>’</w:t>
      </w:r>
      <w:r w:rsidRPr="00A15EB4">
        <w:rPr>
          <w:rFonts w:cs="Times New Roman"/>
          <w:lang w:val="fr-CA"/>
        </w:rPr>
        <w:t>emploi en deux versements. L</w:t>
      </w:r>
      <w:r>
        <w:rPr>
          <w:rFonts w:cs="Times New Roman"/>
          <w:lang w:val="fr-CA"/>
        </w:rPr>
        <w:t>’</w:t>
      </w:r>
      <w:r w:rsidRPr="00A15EB4">
        <w:rPr>
          <w:rFonts w:cs="Times New Roman"/>
          <w:lang w:val="fr-CA"/>
        </w:rPr>
        <w:t>appelant a réclamé plus précisément, à titre de dommages</w:t>
      </w:r>
      <w:r w:rsidRPr="00A15EB4">
        <w:rPr>
          <w:rFonts w:cs="Times New Roman"/>
          <w:lang w:val="fr-CA"/>
        </w:rPr>
        <w:noBreakHyphen/>
        <w:t>intérêts : le reste de l</w:t>
      </w:r>
      <w:r>
        <w:rPr>
          <w:rFonts w:cs="Times New Roman"/>
          <w:lang w:val="fr-CA"/>
        </w:rPr>
        <w:t>’</w:t>
      </w:r>
      <w:r w:rsidRPr="00A15EB4">
        <w:rPr>
          <w:rFonts w:cs="Times New Roman"/>
          <w:lang w:val="fr-CA"/>
        </w:rPr>
        <w:t>indemnité de 50 000 $ payable pour la cessation d</w:t>
      </w:r>
      <w:r>
        <w:rPr>
          <w:rFonts w:cs="Times New Roman"/>
          <w:lang w:val="fr-CA"/>
        </w:rPr>
        <w:t>’</w:t>
      </w:r>
      <w:r w:rsidRPr="00A15EB4">
        <w:rPr>
          <w:rFonts w:cs="Times New Roman"/>
          <w:lang w:val="fr-CA"/>
        </w:rPr>
        <w:t>emploi; le versement d</w:t>
      </w:r>
      <w:r>
        <w:rPr>
          <w:rFonts w:cs="Times New Roman"/>
          <w:lang w:val="fr-CA"/>
        </w:rPr>
        <w:t>’</w:t>
      </w:r>
      <w:r w:rsidRPr="00A15EB4">
        <w:rPr>
          <w:rFonts w:cs="Times New Roman"/>
          <w:lang w:val="fr-CA"/>
        </w:rPr>
        <w:t>une indemnité en lieu et place du préavis raisonnable de fin d</w:t>
      </w:r>
      <w:r>
        <w:rPr>
          <w:rFonts w:cs="Times New Roman"/>
          <w:lang w:val="fr-CA"/>
        </w:rPr>
        <w:t>’</w:t>
      </w:r>
      <w:r w:rsidRPr="00A15EB4">
        <w:rPr>
          <w:rFonts w:cs="Times New Roman"/>
          <w:lang w:val="fr-CA"/>
        </w:rPr>
        <w:t>emploi; des dommages</w:t>
      </w:r>
      <w:r w:rsidRPr="00A15EB4">
        <w:rPr>
          <w:rFonts w:cs="Times New Roman"/>
          <w:lang w:val="fr-CA"/>
        </w:rPr>
        <w:noBreakHyphen/>
        <w:t>intérêts généraux; et des dommages</w:t>
      </w:r>
      <w:r w:rsidRPr="00A15EB4">
        <w:rPr>
          <w:rFonts w:cs="Times New Roman"/>
          <w:lang w:val="fr-CA"/>
        </w:rPr>
        <w:noBreakHyphen/>
        <w:t>intérêts punitifs ou majorés.</w:t>
      </w:r>
    </w:p>
    <w:p w:rsidR="00102A7D" w:rsidRPr="00A15EB4" w:rsidRDefault="00102A7D" w:rsidP="00102A7D">
      <w:pPr>
        <w:pStyle w:val="ParaNoNdepar-AltN"/>
        <w:rPr>
          <w:rFonts w:cs="Times New Roman"/>
          <w:lang w:val="fr-CA"/>
        </w:rPr>
      </w:pPr>
      <w:r w:rsidRPr="00A15EB4">
        <w:rPr>
          <w:rFonts w:cs="Times New Roman"/>
          <w:lang w:val="fr-CA"/>
        </w:rPr>
        <w:t>Dans sa défense, l</w:t>
      </w:r>
      <w:r>
        <w:rPr>
          <w:rFonts w:cs="Times New Roman"/>
          <w:lang w:val="fr-CA"/>
        </w:rPr>
        <w:t>’</w:t>
      </w:r>
      <w:r w:rsidRPr="00A15EB4">
        <w:rPr>
          <w:rFonts w:cs="Times New Roman"/>
          <w:lang w:val="fr-CA"/>
        </w:rPr>
        <w:t xml:space="preserve">OPANO a plaidé que le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xml:space="preserve"> lui confère l</w:t>
      </w:r>
      <w:r>
        <w:rPr>
          <w:rFonts w:cs="Times New Roman"/>
          <w:lang w:val="fr-CA"/>
        </w:rPr>
        <w:t>’</w:t>
      </w:r>
      <w:r w:rsidRPr="00A15EB4">
        <w:rPr>
          <w:rFonts w:cs="Times New Roman"/>
          <w:lang w:val="fr-CA"/>
        </w:rPr>
        <w:t>immunité de juridiction à l</w:t>
      </w:r>
      <w:r>
        <w:rPr>
          <w:rFonts w:cs="Times New Roman"/>
          <w:lang w:val="fr-CA"/>
        </w:rPr>
        <w:t>’</w:t>
      </w:r>
      <w:r w:rsidRPr="00A15EB4">
        <w:rPr>
          <w:rFonts w:cs="Times New Roman"/>
          <w:lang w:val="fr-CA"/>
        </w:rPr>
        <w:t>égard des réclamations de l</w:t>
      </w:r>
      <w:r>
        <w:rPr>
          <w:rFonts w:cs="Times New Roman"/>
          <w:lang w:val="fr-CA"/>
        </w:rPr>
        <w:t>’</w:t>
      </w:r>
      <w:r w:rsidRPr="00A15EB4">
        <w:rPr>
          <w:rFonts w:cs="Times New Roman"/>
          <w:lang w:val="fr-CA"/>
        </w:rPr>
        <w:t>appelant et que la Cour suprême de la Nouvelle</w:t>
      </w:r>
      <w:r w:rsidRPr="00A15EB4">
        <w:rPr>
          <w:rFonts w:cs="Times New Roman"/>
          <w:lang w:val="fr-CA"/>
        </w:rPr>
        <w:noBreakHyphen/>
        <w:t>Écosse n</w:t>
      </w:r>
      <w:r>
        <w:rPr>
          <w:rFonts w:cs="Times New Roman"/>
          <w:lang w:val="fr-CA"/>
        </w:rPr>
        <w:t>’</w:t>
      </w:r>
      <w:r w:rsidRPr="00A15EB4">
        <w:rPr>
          <w:rFonts w:cs="Times New Roman"/>
          <w:lang w:val="fr-CA"/>
        </w:rPr>
        <w:t>est pas compétente pour les entendre.</w:t>
      </w:r>
    </w:p>
    <w:p w:rsidR="00102A7D" w:rsidRPr="00A15EB4" w:rsidRDefault="00102A7D" w:rsidP="00102A7D">
      <w:pPr>
        <w:pStyle w:val="TitleTitre-AltT"/>
        <w:keepNext/>
        <w:rPr>
          <w:rFonts w:cs="Times New Roman"/>
          <w:u w:val="single"/>
          <w:lang w:val="fr-CA"/>
        </w:rPr>
      </w:pPr>
      <w:r w:rsidRPr="00A15EB4">
        <w:rPr>
          <w:rFonts w:cs="Times New Roman"/>
          <w:lang w:val="fr-CA"/>
        </w:rPr>
        <w:t>III.</w:t>
      </w:r>
      <w:r w:rsidRPr="00A15EB4">
        <w:rPr>
          <w:rFonts w:cs="Times New Roman"/>
          <w:lang w:val="fr-CA"/>
        </w:rPr>
        <w:tab/>
      </w:r>
      <w:r w:rsidRPr="00A15EB4">
        <w:rPr>
          <w:rFonts w:cs="Times New Roman"/>
          <w:u w:val="single"/>
          <w:lang w:val="fr-CA"/>
        </w:rPr>
        <w:t>Historique judiciaire</w:t>
      </w:r>
    </w:p>
    <w:p w:rsidR="00102A7D" w:rsidRPr="00A15EB4" w:rsidRDefault="00102A7D" w:rsidP="00102A7D">
      <w:pPr>
        <w:pStyle w:val="ParaNoNdepar-AltN"/>
        <w:rPr>
          <w:rFonts w:cs="Times New Roman"/>
          <w:lang w:val="fr-CA"/>
        </w:rPr>
      </w:pPr>
      <w:r w:rsidRPr="00A15EB4">
        <w:rPr>
          <w:rFonts w:cs="Times New Roman"/>
          <w:lang w:val="fr-CA"/>
        </w:rPr>
        <w:t>Par avis de requête, l</w:t>
      </w:r>
      <w:r>
        <w:rPr>
          <w:rFonts w:cs="Times New Roman"/>
          <w:lang w:val="fr-CA"/>
        </w:rPr>
        <w:t>’</w:t>
      </w:r>
      <w:r w:rsidRPr="00A15EB4">
        <w:rPr>
          <w:rFonts w:cs="Times New Roman"/>
          <w:lang w:val="fr-CA"/>
        </w:rPr>
        <w:t>OPANO a demandé qu</w:t>
      </w:r>
      <w:r>
        <w:rPr>
          <w:rFonts w:cs="Times New Roman"/>
          <w:lang w:val="fr-CA"/>
        </w:rPr>
        <w:t>’</w:t>
      </w:r>
      <w:r w:rsidRPr="00A15EB4">
        <w:rPr>
          <w:rFonts w:cs="Times New Roman"/>
          <w:lang w:val="fr-CA"/>
        </w:rPr>
        <w:t xml:space="preserve">une décision soit rendue sur son allégation selon laquelle le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xml:space="preserve"> lui confère l</w:t>
      </w:r>
      <w:r>
        <w:rPr>
          <w:rFonts w:cs="Times New Roman"/>
          <w:lang w:val="fr-CA"/>
        </w:rPr>
        <w:t>’</w:t>
      </w:r>
      <w:r w:rsidRPr="00A15EB4">
        <w:rPr>
          <w:rFonts w:cs="Times New Roman"/>
          <w:lang w:val="fr-CA"/>
        </w:rPr>
        <w:t>immunité de juridiction contre l</w:t>
      </w:r>
      <w:r>
        <w:rPr>
          <w:rFonts w:cs="Times New Roman"/>
          <w:lang w:val="fr-CA"/>
        </w:rPr>
        <w:t>’</w:t>
      </w:r>
      <w:r w:rsidRPr="00A15EB4">
        <w:rPr>
          <w:rFonts w:cs="Times New Roman"/>
          <w:lang w:val="fr-CA"/>
        </w:rPr>
        <w:t>action intentée par l</w:t>
      </w:r>
      <w:r>
        <w:rPr>
          <w:rFonts w:cs="Times New Roman"/>
          <w:lang w:val="fr-CA"/>
        </w:rPr>
        <w:t>’</w:t>
      </w:r>
      <w:r w:rsidRPr="00A15EB4">
        <w:rPr>
          <w:rFonts w:cs="Times New Roman"/>
          <w:lang w:val="fr-CA"/>
        </w:rPr>
        <w:t>appelant.  Le juge Robertson a ordonné que cette défense fondée sur l</w:t>
      </w:r>
      <w:r>
        <w:rPr>
          <w:rFonts w:cs="Times New Roman"/>
          <w:lang w:val="fr-CA"/>
        </w:rPr>
        <w:t>’</w:t>
      </w:r>
      <w:r w:rsidRPr="00A15EB4">
        <w:rPr>
          <w:rFonts w:cs="Times New Roman"/>
          <w:lang w:val="fr-CA"/>
        </w:rPr>
        <w:t xml:space="preserve">immunité soit jugée séparément des </w:t>
      </w:r>
      <w:r w:rsidRPr="00A15EB4">
        <w:rPr>
          <w:rFonts w:cs="Times New Roman"/>
          <w:lang w:val="fr-CA"/>
        </w:rPr>
        <w:lastRenderedPageBreak/>
        <w:t>réclamations de l</w:t>
      </w:r>
      <w:r>
        <w:rPr>
          <w:rFonts w:cs="Times New Roman"/>
          <w:lang w:val="fr-CA"/>
        </w:rPr>
        <w:t>’</w:t>
      </w:r>
      <w:r w:rsidRPr="00A15EB4">
        <w:rPr>
          <w:rFonts w:cs="Times New Roman"/>
          <w:lang w:val="fr-CA"/>
        </w:rPr>
        <w:t>appelant.  La procédure qui a mené au présent pourvoi demande de décider si l</w:t>
      </w:r>
      <w:r>
        <w:rPr>
          <w:rFonts w:cs="Times New Roman"/>
          <w:lang w:val="fr-CA"/>
        </w:rPr>
        <w:t>’</w:t>
      </w:r>
      <w:r w:rsidRPr="00A15EB4">
        <w:rPr>
          <w:rFonts w:cs="Times New Roman"/>
          <w:lang w:val="fr-CA"/>
        </w:rPr>
        <w:t>OPANO jouit de l</w:t>
      </w:r>
      <w:r>
        <w:rPr>
          <w:rFonts w:cs="Times New Roman"/>
          <w:lang w:val="fr-CA"/>
        </w:rPr>
        <w:t>’</w:t>
      </w:r>
      <w:r w:rsidRPr="00A15EB4">
        <w:rPr>
          <w:rFonts w:cs="Times New Roman"/>
          <w:lang w:val="fr-CA"/>
        </w:rPr>
        <w:t xml:space="preserve">immunité de juridiction.  </w:t>
      </w:r>
    </w:p>
    <w:p w:rsidR="00102A7D" w:rsidRPr="00A15EB4" w:rsidRDefault="00102A7D" w:rsidP="00102A7D">
      <w:pPr>
        <w:pStyle w:val="TitleTitre-AltT"/>
        <w:keepNext/>
        <w:rPr>
          <w:rFonts w:cs="Times New Roman"/>
          <w:i/>
          <w:lang w:val="fr-CA"/>
        </w:rPr>
      </w:pPr>
      <w:r w:rsidRPr="00A15EB4">
        <w:rPr>
          <w:rFonts w:cs="Times New Roman"/>
          <w:lang w:val="fr-CA"/>
        </w:rPr>
        <w:t>A.</w:t>
      </w:r>
      <w:r w:rsidRPr="00A15EB4">
        <w:rPr>
          <w:rFonts w:cs="Times New Roman"/>
          <w:lang w:val="fr-CA"/>
        </w:rPr>
        <w:tab/>
      </w:r>
      <w:r w:rsidRPr="00A15EB4">
        <w:rPr>
          <w:rFonts w:cs="Times New Roman"/>
          <w:i/>
          <w:lang w:val="fr-CA"/>
        </w:rPr>
        <w:t>Cour suprême de la Nouvelle</w:t>
      </w:r>
      <w:r w:rsidRPr="00A15EB4">
        <w:rPr>
          <w:rFonts w:cs="Times New Roman"/>
          <w:i/>
          <w:lang w:val="fr-CA"/>
        </w:rPr>
        <w:noBreakHyphen/>
        <w:t>Écosse, 2010 NSSC 346, 295 N.S.R. (2d) 331</w:t>
      </w:r>
    </w:p>
    <w:p w:rsidR="00102A7D" w:rsidRPr="00A15EB4" w:rsidRDefault="00102A7D" w:rsidP="00102A7D">
      <w:pPr>
        <w:pStyle w:val="ParaNoNdepar-AltN"/>
        <w:rPr>
          <w:rFonts w:cs="Times New Roman"/>
          <w:lang w:val="fr-CA"/>
        </w:rPr>
      </w:pPr>
      <w:r w:rsidRPr="00A15EB4">
        <w:rPr>
          <w:rFonts w:cs="Times New Roman"/>
          <w:lang w:val="fr-CA"/>
        </w:rPr>
        <w:t>Le juge Wright a rejeté l</w:t>
      </w:r>
      <w:r>
        <w:rPr>
          <w:rFonts w:cs="Times New Roman"/>
          <w:lang w:val="fr-CA"/>
        </w:rPr>
        <w:t>’</w:t>
      </w:r>
      <w:r w:rsidRPr="00A15EB4">
        <w:rPr>
          <w:rFonts w:cs="Times New Roman"/>
          <w:lang w:val="fr-CA"/>
        </w:rPr>
        <w:t>allégation d</w:t>
      </w:r>
      <w:r>
        <w:rPr>
          <w:rFonts w:cs="Times New Roman"/>
          <w:lang w:val="fr-CA"/>
        </w:rPr>
        <w:t>’</w:t>
      </w:r>
      <w:r w:rsidRPr="00A15EB4">
        <w:rPr>
          <w:rFonts w:cs="Times New Roman"/>
          <w:lang w:val="fr-CA"/>
        </w:rPr>
        <w:t>immunité de l</w:t>
      </w:r>
      <w:r>
        <w:rPr>
          <w:rFonts w:cs="Times New Roman"/>
          <w:lang w:val="fr-CA"/>
        </w:rPr>
        <w:t>’</w:t>
      </w:r>
      <w:r w:rsidRPr="00A15EB4">
        <w:rPr>
          <w:rFonts w:cs="Times New Roman"/>
          <w:lang w:val="fr-CA"/>
        </w:rPr>
        <w:t>OPA</w:t>
      </w:r>
      <w:r>
        <w:rPr>
          <w:rFonts w:cs="Times New Roman"/>
          <w:lang w:val="fr-CA"/>
        </w:rPr>
        <w:t xml:space="preserve">NO. </w:t>
      </w:r>
      <w:r w:rsidRPr="00A15EB4">
        <w:rPr>
          <w:rFonts w:cs="Times New Roman"/>
          <w:lang w:val="fr-CA"/>
        </w:rPr>
        <w:t xml:space="preserve"> Selon lui, les termes « l</w:t>
      </w:r>
      <w:r>
        <w:rPr>
          <w:rFonts w:cs="Times New Roman"/>
          <w:lang w:val="fr-CA"/>
        </w:rPr>
        <w:t>’</w:t>
      </w:r>
      <w:r w:rsidRPr="00A15EB4">
        <w:rPr>
          <w:rFonts w:cs="Times New Roman"/>
          <w:lang w:val="fr-CA"/>
        </w:rPr>
        <w:t>exigent » de la proposition « dans la mesure où ses fonctions l</w:t>
      </w:r>
      <w:r>
        <w:rPr>
          <w:rFonts w:cs="Times New Roman"/>
          <w:lang w:val="fr-CA"/>
        </w:rPr>
        <w:t>’</w:t>
      </w:r>
      <w:r w:rsidRPr="00A15EB4">
        <w:rPr>
          <w:rFonts w:cs="Times New Roman"/>
          <w:lang w:val="fr-CA"/>
        </w:rPr>
        <w:t xml:space="preserve">exigent » du par. 3(1)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xml:space="preserve"> signifient que l</w:t>
      </w:r>
      <w:r>
        <w:rPr>
          <w:rFonts w:cs="Times New Roman"/>
          <w:lang w:val="fr-CA"/>
        </w:rPr>
        <w:t>’</w:t>
      </w:r>
      <w:r w:rsidRPr="00A15EB4">
        <w:rPr>
          <w:rFonts w:cs="Times New Roman"/>
          <w:lang w:val="fr-CA"/>
        </w:rPr>
        <w:t xml:space="preserve">OPANO possède les privilèges et les immunités </w:t>
      </w:r>
      <w:r w:rsidR="002E69C2">
        <w:rPr>
          <w:rFonts w:cs="Times New Roman"/>
          <w:lang w:val="fr-CA"/>
        </w:rPr>
        <w:t>[</w:t>
      </w:r>
      <w:r w:rsidR="002E69C2" w:rsidRPr="002E69C2">
        <w:rPr>
          <w:rFonts w:cs="Times New Roman"/>
          <w:smallCaps/>
          <w:lang w:val="fr-CA"/>
        </w:rPr>
        <w:t>traduction</w:t>
      </w:r>
      <w:r w:rsidR="002E69C2">
        <w:rPr>
          <w:rFonts w:cs="Times New Roman"/>
          <w:lang w:val="fr-CA"/>
        </w:rPr>
        <w:t xml:space="preserve">] </w:t>
      </w:r>
      <w:r w:rsidRPr="00A15EB4">
        <w:rPr>
          <w:rFonts w:cs="Times New Roman"/>
          <w:lang w:val="fr-CA"/>
        </w:rPr>
        <w:t>« exigés comme nécessaires » ou « essentiels » (par. 56).  L</w:t>
      </w:r>
      <w:r>
        <w:rPr>
          <w:rFonts w:cs="Times New Roman"/>
          <w:lang w:val="fr-CA"/>
        </w:rPr>
        <w:t>’</w:t>
      </w:r>
      <w:r w:rsidRPr="00A15EB4">
        <w:rPr>
          <w:rFonts w:cs="Times New Roman"/>
          <w:lang w:val="fr-CA"/>
        </w:rPr>
        <w:t>OPANO devait donc établir que l</w:t>
      </w:r>
      <w:r>
        <w:rPr>
          <w:rFonts w:cs="Times New Roman"/>
          <w:lang w:val="fr-CA"/>
        </w:rPr>
        <w:t>’</w:t>
      </w:r>
      <w:r w:rsidRPr="00A15EB4">
        <w:rPr>
          <w:rFonts w:cs="Times New Roman"/>
          <w:lang w:val="fr-CA"/>
        </w:rPr>
        <w:t>immunité de juridiction contre l</w:t>
      </w:r>
      <w:r>
        <w:rPr>
          <w:rFonts w:cs="Times New Roman"/>
          <w:lang w:val="fr-CA"/>
        </w:rPr>
        <w:t>’</w:t>
      </w:r>
      <w:r w:rsidRPr="00A15EB4">
        <w:rPr>
          <w:rFonts w:cs="Times New Roman"/>
          <w:lang w:val="fr-CA"/>
        </w:rPr>
        <w:t>action intentée par l</w:t>
      </w:r>
      <w:r>
        <w:rPr>
          <w:rFonts w:cs="Times New Roman"/>
          <w:lang w:val="fr-CA"/>
        </w:rPr>
        <w:t>’</w:t>
      </w:r>
      <w:r w:rsidRPr="00A15EB4">
        <w:rPr>
          <w:rFonts w:cs="Times New Roman"/>
          <w:lang w:val="fr-CA"/>
        </w:rPr>
        <w:t>appelant était nécessaire ou essentielle à l</w:t>
      </w:r>
      <w:r>
        <w:rPr>
          <w:rFonts w:cs="Times New Roman"/>
          <w:lang w:val="fr-CA"/>
        </w:rPr>
        <w:t>’</w:t>
      </w:r>
      <w:r w:rsidRPr="00A15EB4">
        <w:rPr>
          <w:rFonts w:cs="Times New Roman"/>
          <w:lang w:val="fr-CA"/>
        </w:rPr>
        <w:t>exercice de ses fonctions.  Or, pour le juge Wright, elle ne l</w:t>
      </w:r>
      <w:r>
        <w:rPr>
          <w:rFonts w:cs="Times New Roman"/>
          <w:lang w:val="fr-CA"/>
        </w:rPr>
        <w:t>’</w:t>
      </w:r>
      <w:r w:rsidRPr="00A15EB4">
        <w:rPr>
          <w:rFonts w:cs="Times New Roman"/>
          <w:lang w:val="fr-CA"/>
        </w:rPr>
        <w:t>était pas.</w:t>
      </w:r>
    </w:p>
    <w:p w:rsidR="00102A7D" w:rsidRPr="00A15EB4" w:rsidRDefault="00102A7D" w:rsidP="00102A7D">
      <w:pPr>
        <w:pStyle w:val="ParaNoNdepar-AltN"/>
        <w:rPr>
          <w:rFonts w:cs="Times New Roman"/>
          <w:lang w:val="fr-CA"/>
        </w:rPr>
      </w:pPr>
      <w:r w:rsidRPr="00A15EB4">
        <w:rPr>
          <w:rFonts w:cs="Times New Roman"/>
          <w:lang w:val="fr-CA"/>
        </w:rPr>
        <w:t>Le juge Wright a conclu que l</w:t>
      </w:r>
      <w:r>
        <w:rPr>
          <w:rFonts w:cs="Times New Roman"/>
          <w:lang w:val="fr-CA"/>
        </w:rPr>
        <w:t>’</w:t>
      </w:r>
      <w:r w:rsidRPr="00A15EB4">
        <w:rPr>
          <w:rFonts w:cs="Times New Roman"/>
          <w:lang w:val="fr-CA"/>
        </w:rPr>
        <w:t>OPANO avait pour fonction de [</w:t>
      </w:r>
      <w:r w:rsidRPr="00A15EB4">
        <w:rPr>
          <w:rFonts w:cs="Times New Roman"/>
          <w:smallCaps/>
          <w:lang w:val="fr-CA"/>
        </w:rPr>
        <w:t>traduction</w:t>
      </w:r>
      <w:r w:rsidRPr="00A15EB4">
        <w:rPr>
          <w:rFonts w:cs="Times New Roman"/>
          <w:lang w:val="fr-CA"/>
        </w:rPr>
        <w:t>] « contribuer par la consultation et la coopération à l</w:t>
      </w:r>
      <w:r>
        <w:rPr>
          <w:rFonts w:cs="Times New Roman"/>
          <w:lang w:val="fr-CA"/>
        </w:rPr>
        <w:t>’</w:t>
      </w:r>
      <w:r w:rsidRPr="00A15EB4">
        <w:rPr>
          <w:rFonts w:cs="Times New Roman"/>
          <w:lang w:val="fr-CA"/>
        </w:rPr>
        <w:t>utilisation optimale, à la gestion rationnelle et à la conservation des ressources halieutiques dans l</w:t>
      </w:r>
      <w:r>
        <w:rPr>
          <w:rFonts w:cs="Times New Roman"/>
          <w:lang w:val="fr-CA"/>
        </w:rPr>
        <w:t>’</w:t>
      </w:r>
      <w:r w:rsidRPr="00A15EB4">
        <w:rPr>
          <w:rFonts w:cs="Times New Roman"/>
          <w:lang w:val="fr-CA"/>
        </w:rPr>
        <w:t>océan Atlantique Nord</w:t>
      </w:r>
      <w:r w:rsidRPr="00A15EB4">
        <w:rPr>
          <w:rFonts w:cs="Times New Roman"/>
          <w:lang w:val="fr-CA"/>
        </w:rPr>
        <w:noBreakHyphen/>
        <w:t>Ouest » (par. 57).  Peu d</w:t>
      </w:r>
      <w:r>
        <w:rPr>
          <w:rFonts w:cs="Times New Roman"/>
          <w:lang w:val="fr-CA"/>
        </w:rPr>
        <w:t>’</w:t>
      </w:r>
      <w:r w:rsidRPr="00A15EB4">
        <w:rPr>
          <w:rFonts w:cs="Times New Roman"/>
          <w:lang w:val="fr-CA"/>
        </w:rPr>
        <w:t>éléments de preuve factuels étayaient selon lui l</w:t>
      </w:r>
      <w:r>
        <w:rPr>
          <w:rFonts w:cs="Times New Roman"/>
          <w:lang w:val="fr-CA"/>
        </w:rPr>
        <w:t>’</w:t>
      </w:r>
      <w:r w:rsidRPr="00A15EB4">
        <w:rPr>
          <w:rFonts w:cs="Times New Roman"/>
          <w:lang w:val="fr-CA"/>
        </w:rPr>
        <w:t>argument de l</w:t>
      </w:r>
      <w:r>
        <w:rPr>
          <w:rFonts w:cs="Times New Roman"/>
          <w:lang w:val="fr-CA"/>
        </w:rPr>
        <w:t>’</w:t>
      </w:r>
      <w:r w:rsidRPr="00A15EB4">
        <w:rPr>
          <w:rFonts w:cs="Times New Roman"/>
          <w:lang w:val="fr-CA"/>
        </w:rPr>
        <w:t>OPANO selon lequel le fait pour la cour de se déclarer compétente constituerait une ingérence inacceptable dans la régie interne de cette organisation.  De l</w:t>
      </w:r>
      <w:r>
        <w:rPr>
          <w:rFonts w:cs="Times New Roman"/>
          <w:lang w:val="fr-CA"/>
        </w:rPr>
        <w:t>’</w:t>
      </w:r>
      <w:r w:rsidRPr="00A15EB4">
        <w:rPr>
          <w:rFonts w:cs="Times New Roman"/>
          <w:lang w:val="fr-CA"/>
        </w:rPr>
        <w:t>avis du juge Wright, les facteurs suivants s</w:t>
      </w:r>
      <w:r>
        <w:rPr>
          <w:rFonts w:cs="Times New Roman"/>
          <w:lang w:val="fr-CA"/>
        </w:rPr>
        <w:t>’</w:t>
      </w:r>
      <w:r w:rsidRPr="00A15EB4">
        <w:rPr>
          <w:rFonts w:cs="Times New Roman"/>
          <w:lang w:val="fr-CA"/>
        </w:rPr>
        <w:t>opposaient à une conclusion favorable à l</w:t>
      </w:r>
      <w:r>
        <w:rPr>
          <w:rFonts w:cs="Times New Roman"/>
          <w:lang w:val="fr-CA"/>
        </w:rPr>
        <w:t>’</w:t>
      </w:r>
      <w:r w:rsidRPr="00A15EB4">
        <w:rPr>
          <w:rFonts w:cs="Times New Roman"/>
          <w:lang w:val="fr-CA"/>
        </w:rPr>
        <w:t>immunité : les allégations de l</w:t>
      </w:r>
      <w:r>
        <w:rPr>
          <w:rFonts w:cs="Times New Roman"/>
          <w:lang w:val="fr-CA"/>
        </w:rPr>
        <w:t>’</w:t>
      </w:r>
      <w:r w:rsidRPr="00A15EB4">
        <w:rPr>
          <w:rFonts w:cs="Times New Roman"/>
          <w:lang w:val="fr-CA"/>
        </w:rPr>
        <w:t>appelant se rapportaient à un contrat de travail privé conclu volontairement par l</w:t>
      </w:r>
      <w:r>
        <w:rPr>
          <w:rFonts w:cs="Times New Roman"/>
          <w:lang w:val="fr-CA"/>
        </w:rPr>
        <w:t>’</w:t>
      </w:r>
      <w:r w:rsidRPr="00A15EB4">
        <w:rPr>
          <w:rFonts w:cs="Times New Roman"/>
          <w:lang w:val="fr-CA"/>
        </w:rPr>
        <w:t>OPANO; l</w:t>
      </w:r>
      <w:r>
        <w:rPr>
          <w:rFonts w:cs="Times New Roman"/>
          <w:lang w:val="fr-CA"/>
        </w:rPr>
        <w:t>’</w:t>
      </w:r>
      <w:r w:rsidRPr="00A15EB4">
        <w:rPr>
          <w:rFonts w:cs="Times New Roman"/>
          <w:lang w:val="fr-CA"/>
        </w:rPr>
        <w:t>appelant réclamait uniquement des dommages</w:t>
      </w:r>
      <w:r w:rsidRPr="00A15EB4">
        <w:rPr>
          <w:rFonts w:cs="Times New Roman"/>
          <w:lang w:val="fr-CA"/>
        </w:rPr>
        <w:noBreakHyphen/>
        <w:t>intérêts pour rupture de ce contrat et l</w:t>
      </w:r>
      <w:r>
        <w:rPr>
          <w:rFonts w:cs="Times New Roman"/>
          <w:lang w:val="fr-CA"/>
        </w:rPr>
        <w:t>’</w:t>
      </w:r>
      <w:r w:rsidRPr="00A15EB4">
        <w:rPr>
          <w:rFonts w:cs="Times New Roman"/>
          <w:lang w:val="fr-CA"/>
        </w:rPr>
        <w:t>OPANO ne faisait pas valoir de motif valable pour justifier sa décision; aucun droit d</w:t>
      </w:r>
      <w:r>
        <w:rPr>
          <w:rFonts w:cs="Times New Roman"/>
          <w:lang w:val="fr-CA"/>
        </w:rPr>
        <w:t>’</w:t>
      </w:r>
      <w:r w:rsidRPr="00A15EB4">
        <w:rPr>
          <w:rFonts w:cs="Times New Roman"/>
          <w:lang w:val="fr-CA"/>
        </w:rPr>
        <w:t xml:space="preserve">ingérence dans </w:t>
      </w:r>
      <w:r w:rsidRPr="00A15EB4">
        <w:rPr>
          <w:rFonts w:cs="Times New Roman"/>
          <w:lang w:val="fr-CA"/>
        </w:rPr>
        <w:lastRenderedPageBreak/>
        <w:t>l</w:t>
      </w:r>
      <w:r>
        <w:rPr>
          <w:rFonts w:cs="Times New Roman"/>
          <w:lang w:val="fr-CA"/>
        </w:rPr>
        <w:t>’</w:t>
      </w:r>
      <w:r w:rsidRPr="00A15EB4">
        <w:rPr>
          <w:rFonts w:cs="Times New Roman"/>
          <w:lang w:val="fr-CA"/>
        </w:rPr>
        <w:t>organisation interne, la gestion ou la gouvernance de l</w:t>
      </w:r>
      <w:r>
        <w:rPr>
          <w:rFonts w:cs="Times New Roman"/>
          <w:lang w:val="fr-CA"/>
        </w:rPr>
        <w:t>’</w:t>
      </w:r>
      <w:r w:rsidRPr="00A15EB4">
        <w:rPr>
          <w:rFonts w:cs="Times New Roman"/>
          <w:lang w:val="fr-CA"/>
        </w:rPr>
        <w:t>OPANO n</w:t>
      </w:r>
      <w:r>
        <w:rPr>
          <w:rFonts w:cs="Times New Roman"/>
          <w:lang w:val="fr-CA"/>
        </w:rPr>
        <w:t>’</w:t>
      </w:r>
      <w:r w:rsidRPr="00A15EB4">
        <w:rPr>
          <w:rFonts w:cs="Times New Roman"/>
          <w:lang w:val="fr-CA"/>
        </w:rPr>
        <w:t>était invoqué; l</w:t>
      </w:r>
      <w:r>
        <w:rPr>
          <w:rFonts w:cs="Times New Roman"/>
          <w:lang w:val="fr-CA"/>
        </w:rPr>
        <w:t>’</w:t>
      </w:r>
      <w:r w:rsidRPr="00A15EB4">
        <w:rPr>
          <w:rFonts w:cs="Times New Roman"/>
          <w:lang w:val="fr-CA"/>
        </w:rPr>
        <w:t>appelant ne cherchait pas à assujettir l</w:t>
      </w:r>
      <w:r>
        <w:rPr>
          <w:rFonts w:cs="Times New Roman"/>
          <w:lang w:val="fr-CA"/>
        </w:rPr>
        <w:t>’</w:t>
      </w:r>
      <w:r w:rsidR="00305FE4">
        <w:rPr>
          <w:rFonts w:cs="Times New Roman"/>
          <w:lang w:val="fr-CA"/>
        </w:rPr>
        <w:t>OPANO au droit canadien;</w:t>
      </w:r>
      <w:r w:rsidRPr="00A15EB4">
        <w:rPr>
          <w:rFonts w:cs="Times New Roman"/>
          <w:lang w:val="fr-CA"/>
        </w:rPr>
        <w:t xml:space="preserve"> et aucun élément relatif à la souveraineté, à la politique ou à la sécurité n</w:t>
      </w:r>
      <w:r>
        <w:rPr>
          <w:rFonts w:cs="Times New Roman"/>
          <w:lang w:val="fr-CA"/>
        </w:rPr>
        <w:t>’</w:t>
      </w:r>
      <w:r w:rsidRPr="00A15EB4">
        <w:rPr>
          <w:rFonts w:cs="Times New Roman"/>
          <w:lang w:val="fr-CA"/>
        </w:rPr>
        <w:t>entrait en jeu en l</w:t>
      </w:r>
      <w:r>
        <w:rPr>
          <w:rFonts w:cs="Times New Roman"/>
          <w:lang w:val="fr-CA"/>
        </w:rPr>
        <w:t>’</w:t>
      </w:r>
      <w:r w:rsidRPr="00A15EB4">
        <w:rPr>
          <w:rFonts w:cs="Times New Roman"/>
          <w:lang w:val="fr-CA"/>
        </w:rPr>
        <w:t>espèce.</w:t>
      </w:r>
    </w:p>
    <w:p w:rsidR="00102A7D" w:rsidRPr="00A15EB4" w:rsidRDefault="00102A7D" w:rsidP="00102A7D">
      <w:pPr>
        <w:pStyle w:val="ParaNoNdepar-AltN"/>
        <w:rPr>
          <w:rFonts w:cs="Times New Roman"/>
          <w:lang w:val="fr-CA"/>
        </w:rPr>
      </w:pPr>
      <w:r w:rsidRPr="00A15EB4">
        <w:rPr>
          <w:rFonts w:cs="Times New Roman"/>
          <w:lang w:val="fr-CA"/>
        </w:rPr>
        <w:t>En outre, pour le juge Wright, sa conclusion selon laquelle l</w:t>
      </w:r>
      <w:r>
        <w:rPr>
          <w:rFonts w:cs="Times New Roman"/>
          <w:lang w:val="fr-CA"/>
        </w:rPr>
        <w:t>’</w:t>
      </w:r>
      <w:r w:rsidRPr="00A15EB4">
        <w:rPr>
          <w:rFonts w:cs="Times New Roman"/>
          <w:lang w:val="fr-CA"/>
        </w:rPr>
        <w:t>OPANO n</w:t>
      </w:r>
      <w:r>
        <w:rPr>
          <w:rFonts w:cs="Times New Roman"/>
          <w:lang w:val="fr-CA"/>
        </w:rPr>
        <w:t>’</w:t>
      </w:r>
      <w:r w:rsidRPr="00A15EB4">
        <w:rPr>
          <w:rFonts w:cs="Times New Roman"/>
          <w:lang w:val="fr-CA"/>
        </w:rPr>
        <w:t>a pas droit à l</w:t>
      </w:r>
      <w:r>
        <w:rPr>
          <w:rFonts w:cs="Times New Roman"/>
          <w:lang w:val="fr-CA"/>
        </w:rPr>
        <w:t>’</w:t>
      </w:r>
      <w:r w:rsidRPr="00A15EB4">
        <w:rPr>
          <w:rFonts w:cs="Times New Roman"/>
          <w:lang w:val="fr-CA"/>
        </w:rPr>
        <w:t>immunité en l</w:t>
      </w:r>
      <w:r>
        <w:rPr>
          <w:rFonts w:cs="Times New Roman"/>
          <w:lang w:val="fr-CA"/>
        </w:rPr>
        <w:t>’</w:t>
      </w:r>
      <w:r w:rsidRPr="00A15EB4">
        <w:rPr>
          <w:rFonts w:cs="Times New Roman"/>
          <w:lang w:val="fr-CA"/>
        </w:rPr>
        <w:t>espèce était renforcée par le fait que si les tribunaux canadiens n</w:t>
      </w:r>
      <w:r>
        <w:rPr>
          <w:rFonts w:cs="Times New Roman"/>
          <w:lang w:val="fr-CA"/>
        </w:rPr>
        <w:t>’</w:t>
      </w:r>
      <w:r w:rsidRPr="00A15EB4">
        <w:rPr>
          <w:rFonts w:cs="Times New Roman"/>
          <w:lang w:val="fr-CA"/>
        </w:rPr>
        <w:t>avaient pas compétence, l</w:t>
      </w:r>
      <w:r>
        <w:rPr>
          <w:rFonts w:cs="Times New Roman"/>
          <w:lang w:val="fr-CA"/>
        </w:rPr>
        <w:t>’</w:t>
      </w:r>
      <w:r w:rsidRPr="00A15EB4">
        <w:rPr>
          <w:rFonts w:cs="Times New Roman"/>
          <w:lang w:val="fr-CA"/>
        </w:rPr>
        <w:t>appelant serait privé de tout recours pour faire valoir ses droits.  Selon lui, le</w:t>
      </w:r>
      <w:r w:rsidRPr="00A15EB4">
        <w:rPr>
          <w:rFonts w:cs="Times New Roman"/>
          <w:i/>
          <w:lang w:val="fr-CA"/>
        </w:rPr>
        <w:t xml:space="preserve"> 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xml:space="preserve"> devrait être interprété d</w:t>
      </w:r>
      <w:r>
        <w:rPr>
          <w:rFonts w:cs="Times New Roman"/>
          <w:lang w:val="fr-CA"/>
        </w:rPr>
        <w:t>’</w:t>
      </w:r>
      <w:r w:rsidRPr="00A15EB4">
        <w:rPr>
          <w:rFonts w:cs="Times New Roman"/>
          <w:lang w:val="fr-CA"/>
        </w:rPr>
        <w:t>une manière compatible avec le droit d</w:t>
      </w:r>
      <w:r>
        <w:rPr>
          <w:rFonts w:cs="Times New Roman"/>
          <w:lang w:val="fr-CA"/>
        </w:rPr>
        <w:t>’</w:t>
      </w:r>
      <w:r w:rsidRPr="00A15EB4">
        <w:rPr>
          <w:rFonts w:cs="Times New Roman"/>
          <w:lang w:val="fr-CA"/>
        </w:rPr>
        <w:t xml:space="preserve">une personne, dont le recours est légitime, à un procès équitable devant un tribunal compétent, indépendant et impartial, établi par la loi, conformément au </w:t>
      </w:r>
      <w:r w:rsidRPr="00A15EB4">
        <w:rPr>
          <w:rFonts w:cs="Times New Roman"/>
          <w:i/>
          <w:lang w:val="fr-CA"/>
        </w:rPr>
        <w:t>Pacte international relatif aux droits civils et politiques</w:t>
      </w:r>
      <w:r>
        <w:rPr>
          <w:rFonts w:cs="Times New Roman"/>
          <w:lang w:val="fr-CA"/>
        </w:rPr>
        <w:t>,</w:t>
      </w:r>
      <w:r w:rsidRPr="00A15EB4">
        <w:rPr>
          <w:rFonts w:cs="Times New Roman"/>
          <w:lang w:val="fr-CA"/>
        </w:rPr>
        <w:t xml:space="preserve"> 999 R.T.N.U. 171 (« </w:t>
      </w:r>
      <w:r w:rsidRPr="00A15EB4">
        <w:rPr>
          <w:rFonts w:cs="Times New Roman"/>
          <w:i/>
          <w:lang w:val="fr-CA"/>
        </w:rPr>
        <w:t>PIRDCP</w:t>
      </w:r>
      <w:r w:rsidRPr="00A15EB4">
        <w:rPr>
          <w:rFonts w:cs="Times New Roman"/>
          <w:lang w:val="fr-CA"/>
        </w:rPr>
        <w:t> »).</w:t>
      </w:r>
    </w:p>
    <w:p w:rsidR="00102A7D" w:rsidRPr="00A15EB4" w:rsidRDefault="00102A7D" w:rsidP="00102A7D">
      <w:pPr>
        <w:pStyle w:val="TitleTitre-AltT"/>
        <w:keepNext/>
        <w:rPr>
          <w:rFonts w:cs="Times New Roman"/>
          <w:i/>
          <w:lang w:val="fr-CA"/>
        </w:rPr>
      </w:pPr>
      <w:r w:rsidRPr="00A15EB4">
        <w:rPr>
          <w:rFonts w:cs="Times New Roman"/>
          <w:lang w:val="fr-CA"/>
        </w:rPr>
        <w:t>B.</w:t>
      </w:r>
      <w:r w:rsidRPr="00A15EB4">
        <w:rPr>
          <w:rFonts w:cs="Times New Roman"/>
          <w:lang w:val="fr-CA"/>
        </w:rPr>
        <w:tab/>
      </w:r>
      <w:r w:rsidRPr="00A15EB4">
        <w:rPr>
          <w:rFonts w:cs="Times New Roman"/>
          <w:i/>
          <w:lang w:val="fr-CA"/>
        </w:rPr>
        <w:t>Cour d</w:t>
      </w:r>
      <w:r>
        <w:rPr>
          <w:rFonts w:cs="Times New Roman"/>
          <w:i/>
          <w:lang w:val="fr-CA"/>
        </w:rPr>
        <w:t>’</w:t>
      </w:r>
      <w:r w:rsidRPr="00A15EB4">
        <w:rPr>
          <w:rFonts w:cs="Times New Roman"/>
          <w:i/>
          <w:lang w:val="fr-CA"/>
        </w:rPr>
        <w:t>appel de la Nouvelle</w:t>
      </w:r>
      <w:r w:rsidRPr="00A15EB4">
        <w:rPr>
          <w:rFonts w:cs="Times New Roman"/>
          <w:i/>
          <w:lang w:val="fr-CA"/>
        </w:rPr>
        <w:noBreakHyphen/>
        <w:t>Écosse (le juge en chef MacDonald et les juges Beveridge et Bryson), 2011 NSCA 73, 306 N.S.R. (2d) 380</w:t>
      </w:r>
    </w:p>
    <w:p w:rsidR="00102A7D" w:rsidRPr="00A15EB4" w:rsidRDefault="00102A7D" w:rsidP="00102A7D">
      <w:pPr>
        <w:pStyle w:val="ParaNoNdepar-AltN"/>
        <w:rPr>
          <w:rFonts w:cs="Times New Roman"/>
          <w:lang w:val="fr-CA"/>
        </w:rPr>
      </w:pPr>
      <w:r w:rsidRPr="00A15EB4">
        <w:rPr>
          <w:rFonts w:cs="Times New Roman"/>
          <w:lang w:val="fr-CA"/>
        </w:rPr>
        <w:t>S</w:t>
      </w:r>
      <w:r>
        <w:rPr>
          <w:rFonts w:cs="Times New Roman"/>
          <w:lang w:val="fr-CA"/>
        </w:rPr>
        <w:t>’</w:t>
      </w:r>
      <w:r w:rsidRPr="00A15EB4">
        <w:rPr>
          <w:rFonts w:cs="Times New Roman"/>
          <w:lang w:val="fr-CA"/>
        </w:rPr>
        <w:t>exprimant au nom de la Cour d</w:t>
      </w:r>
      <w:r>
        <w:rPr>
          <w:rFonts w:cs="Times New Roman"/>
          <w:lang w:val="fr-CA"/>
        </w:rPr>
        <w:t>’</w:t>
      </w:r>
      <w:r w:rsidRPr="00A15EB4">
        <w:rPr>
          <w:rFonts w:cs="Times New Roman"/>
          <w:lang w:val="fr-CA"/>
        </w:rPr>
        <w:t>appel, le juge en chef MacDonald a conclu que l</w:t>
      </w:r>
      <w:r>
        <w:rPr>
          <w:rFonts w:cs="Times New Roman"/>
          <w:lang w:val="fr-CA"/>
        </w:rPr>
        <w:t>’</w:t>
      </w:r>
      <w:r w:rsidRPr="00A15EB4">
        <w:rPr>
          <w:rFonts w:cs="Times New Roman"/>
          <w:lang w:val="fr-CA"/>
        </w:rPr>
        <w:t xml:space="preserve">immunité conférée par le par. 3(1)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xml:space="preserve"> mettait cette dernière à l</w:t>
      </w:r>
      <w:r>
        <w:rPr>
          <w:rFonts w:cs="Times New Roman"/>
          <w:lang w:val="fr-CA"/>
        </w:rPr>
        <w:t>’</w:t>
      </w:r>
      <w:r w:rsidRPr="00A15EB4">
        <w:rPr>
          <w:rFonts w:cs="Times New Roman"/>
          <w:lang w:val="fr-CA"/>
        </w:rPr>
        <w:t>abri de toute action intentée par l</w:t>
      </w:r>
      <w:r>
        <w:rPr>
          <w:rFonts w:cs="Times New Roman"/>
          <w:lang w:val="fr-CA"/>
        </w:rPr>
        <w:t>’</w:t>
      </w:r>
      <w:r w:rsidRPr="00A15EB4">
        <w:rPr>
          <w:rFonts w:cs="Times New Roman"/>
          <w:lang w:val="fr-CA"/>
        </w:rPr>
        <w:t>appelant.  En tirant cette conclusion, il a adopté une interprétation fonctionnelle de l</w:t>
      </w:r>
      <w:r>
        <w:rPr>
          <w:rFonts w:cs="Times New Roman"/>
          <w:lang w:val="fr-CA"/>
        </w:rPr>
        <w:t>’</w:t>
      </w:r>
      <w:r w:rsidRPr="00A15EB4">
        <w:rPr>
          <w:rFonts w:cs="Times New Roman"/>
          <w:lang w:val="fr-CA"/>
        </w:rPr>
        <w:t xml:space="preserve">immunité accordée par le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w:t>
      </w:r>
    </w:p>
    <w:p w:rsidR="00102A7D" w:rsidRPr="00A15EB4" w:rsidRDefault="00102A7D" w:rsidP="00102A7D">
      <w:pPr>
        <w:pStyle w:val="ParaNoNdepar-AltN"/>
        <w:rPr>
          <w:rFonts w:cs="Times New Roman"/>
          <w:lang w:val="fr-CA"/>
        </w:rPr>
      </w:pPr>
      <w:r w:rsidRPr="00A15EB4">
        <w:rPr>
          <w:rFonts w:cs="Times New Roman"/>
          <w:lang w:val="fr-CA"/>
        </w:rPr>
        <w:t>Le juge en chef MacDonald a écrit que le juge Wright avait fixé à un niveau trop élevé les conditions d</w:t>
      </w:r>
      <w:r>
        <w:rPr>
          <w:rFonts w:cs="Times New Roman"/>
          <w:lang w:val="fr-CA"/>
        </w:rPr>
        <w:t>’</w:t>
      </w:r>
      <w:r w:rsidRPr="00A15EB4">
        <w:rPr>
          <w:rFonts w:cs="Times New Roman"/>
          <w:lang w:val="fr-CA"/>
        </w:rPr>
        <w:t>application de l</w:t>
      </w:r>
      <w:r>
        <w:rPr>
          <w:rFonts w:cs="Times New Roman"/>
          <w:lang w:val="fr-CA"/>
        </w:rPr>
        <w:t>’</w:t>
      </w:r>
      <w:r w:rsidRPr="00A15EB4">
        <w:rPr>
          <w:rFonts w:cs="Times New Roman"/>
          <w:lang w:val="fr-CA"/>
        </w:rPr>
        <w:t xml:space="preserve">immunité en exigeant </w:t>
      </w:r>
      <w:r w:rsidRPr="00A15EB4">
        <w:rPr>
          <w:rFonts w:cs="Times New Roman"/>
          <w:lang w:val="fr-CA"/>
        </w:rPr>
        <w:lastRenderedPageBreak/>
        <w:t>essentiellement que la poursuite de l</w:t>
      </w:r>
      <w:r>
        <w:rPr>
          <w:rFonts w:cs="Times New Roman"/>
          <w:lang w:val="fr-CA"/>
        </w:rPr>
        <w:t>’</w:t>
      </w:r>
      <w:r w:rsidRPr="00A15EB4">
        <w:rPr>
          <w:rFonts w:cs="Times New Roman"/>
          <w:lang w:val="fr-CA"/>
        </w:rPr>
        <w:t>appelant représente [</w:t>
      </w:r>
      <w:r w:rsidRPr="00A15EB4">
        <w:rPr>
          <w:rFonts w:cs="Times New Roman"/>
          <w:smallCaps/>
          <w:lang w:val="fr-CA"/>
        </w:rPr>
        <w:t>traduction</w:t>
      </w:r>
      <w:r w:rsidRPr="00A15EB4">
        <w:rPr>
          <w:rFonts w:cs="Times New Roman"/>
          <w:lang w:val="fr-CA"/>
        </w:rPr>
        <w:t>] « une ingérence inacceptable dans la régie interne de l</w:t>
      </w:r>
      <w:r>
        <w:rPr>
          <w:rFonts w:cs="Times New Roman"/>
          <w:lang w:val="fr-CA"/>
        </w:rPr>
        <w:t>’</w:t>
      </w:r>
      <w:r w:rsidRPr="00A15EB4">
        <w:rPr>
          <w:rFonts w:cs="Times New Roman"/>
          <w:lang w:val="fr-CA"/>
        </w:rPr>
        <w:t>OPANO », « un obstacle important à l</w:t>
      </w:r>
      <w:r>
        <w:rPr>
          <w:rFonts w:cs="Times New Roman"/>
          <w:lang w:val="fr-CA"/>
        </w:rPr>
        <w:t>’</w:t>
      </w:r>
      <w:r w:rsidRPr="00A15EB4">
        <w:rPr>
          <w:rFonts w:cs="Times New Roman"/>
          <w:lang w:val="fr-CA"/>
        </w:rPr>
        <w:t>exercice [. . .] des fonctions officielles de l</w:t>
      </w:r>
      <w:r>
        <w:rPr>
          <w:rFonts w:cs="Times New Roman"/>
          <w:lang w:val="fr-CA"/>
        </w:rPr>
        <w:t>’</w:t>
      </w:r>
      <w:r w:rsidRPr="00A15EB4">
        <w:rPr>
          <w:rFonts w:cs="Times New Roman"/>
          <w:lang w:val="fr-CA"/>
        </w:rPr>
        <w:t>OPANO », ou « une ingérence excessive dans [ses] activités ou un obstacle excessif à l</w:t>
      </w:r>
      <w:r>
        <w:rPr>
          <w:rFonts w:cs="Times New Roman"/>
          <w:lang w:val="fr-CA"/>
        </w:rPr>
        <w:t>’</w:t>
      </w:r>
      <w:r w:rsidRPr="00A15EB4">
        <w:rPr>
          <w:rFonts w:cs="Times New Roman"/>
          <w:lang w:val="fr-CA"/>
        </w:rPr>
        <w:t>exercice de celles</w:t>
      </w:r>
      <w:r w:rsidRPr="00A15EB4">
        <w:rPr>
          <w:rFonts w:cs="Times New Roman"/>
          <w:lang w:val="fr-CA"/>
        </w:rPr>
        <w:noBreakHyphen/>
        <w:t>ci » (par. 27).  De l</w:t>
      </w:r>
      <w:r>
        <w:rPr>
          <w:rFonts w:cs="Times New Roman"/>
          <w:lang w:val="fr-CA"/>
        </w:rPr>
        <w:t>’</w:t>
      </w:r>
      <w:r w:rsidRPr="00A15EB4">
        <w:rPr>
          <w:rFonts w:cs="Times New Roman"/>
          <w:lang w:val="fr-CA"/>
        </w:rPr>
        <w:t>avis du juge en chef MacDonald, cette approche était trop restrictive.</w:t>
      </w:r>
    </w:p>
    <w:p w:rsidR="00102A7D" w:rsidRPr="00A15EB4" w:rsidRDefault="00102A7D" w:rsidP="00102A7D">
      <w:pPr>
        <w:pStyle w:val="ParaNoNdepar-AltN"/>
        <w:rPr>
          <w:rFonts w:cs="Times New Roman"/>
          <w:lang w:val="fr-CA"/>
        </w:rPr>
      </w:pPr>
      <w:r w:rsidRPr="00A15EB4">
        <w:rPr>
          <w:rFonts w:cs="Times New Roman"/>
          <w:lang w:val="fr-CA"/>
        </w:rPr>
        <w:t>Le juge en chef MacDonald s</w:t>
      </w:r>
      <w:r>
        <w:rPr>
          <w:rFonts w:cs="Times New Roman"/>
          <w:lang w:val="fr-CA"/>
        </w:rPr>
        <w:t>’</w:t>
      </w:r>
      <w:r w:rsidRPr="00A15EB4">
        <w:rPr>
          <w:rFonts w:cs="Times New Roman"/>
          <w:lang w:val="fr-CA"/>
        </w:rPr>
        <w:t>est fondé sur l</w:t>
      </w:r>
      <w:r>
        <w:rPr>
          <w:rFonts w:cs="Times New Roman"/>
          <w:lang w:val="fr-CA"/>
        </w:rPr>
        <w:t>’</w:t>
      </w:r>
      <w:r w:rsidRPr="00A15EB4">
        <w:rPr>
          <w:rFonts w:cs="Times New Roman"/>
          <w:lang w:val="fr-CA"/>
        </w:rPr>
        <w:t xml:space="preserve">arrêt rendu par la Cour dans </w:t>
      </w:r>
      <w:r w:rsidRPr="00A15EB4">
        <w:rPr>
          <w:rFonts w:cs="Times New Roman"/>
          <w:i/>
          <w:lang w:val="fr-CA"/>
        </w:rPr>
        <w:t>Canada (Chambre des communes) c. Vaid</w:t>
      </w:r>
      <w:r w:rsidRPr="00A15EB4">
        <w:rPr>
          <w:rFonts w:cs="Times New Roman"/>
          <w:lang w:val="fr-CA"/>
        </w:rPr>
        <w:t xml:space="preserve">, 2005 CSC 30, [2005] 1 R.C.S. 667, pour interpréter le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 xml:space="preserve">OPANO.  </w:t>
      </w:r>
      <w:r w:rsidRPr="00A15EB4">
        <w:rPr>
          <w:rFonts w:cs="Times New Roman"/>
          <w:lang w:val="fr-CA"/>
        </w:rPr>
        <w:t>Il est approprié, selon lui, d</w:t>
      </w:r>
      <w:r>
        <w:rPr>
          <w:rFonts w:cs="Times New Roman"/>
          <w:lang w:val="fr-CA"/>
        </w:rPr>
        <w:t>’</w:t>
      </w:r>
      <w:r w:rsidRPr="00A15EB4">
        <w:rPr>
          <w:rFonts w:cs="Times New Roman"/>
          <w:lang w:val="fr-CA"/>
        </w:rPr>
        <w:t>appliquer les critères de nécessité et d</w:t>
      </w:r>
      <w:r>
        <w:rPr>
          <w:rFonts w:cs="Times New Roman"/>
          <w:lang w:val="fr-CA"/>
        </w:rPr>
        <w:t>’</w:t>
      </w:r>
      <w:r w:rsidRPr="00A15EB4">
        <w:rPr>
          <w:rFonts w:cs="Times New Roman"/>
          <w:lang w:val="fr-CA"/>
        </w:rPr>
        <w:t>autonomie adoptés dans le contexte de la mise en œuvre du privilège parlementaire lorsqu</w:t>
      </w:r>
      <w:r>
        <w:rPr>
          <w:rFonts w:cs="Times New Roman"/>
          <w:lang w:val="fr-CA"/>
        </w:rPr>
        <w:t>’</w:t>
      </w:r>
      <w:r w:rsidRPr="00A15EB4">
        <w:rPr>
          <w:rFonts w:cs="Times New Roman"/>
          <w:lang w:val="fr-CA"/>
        </w:rPr>
        <w:t>il s</w:t>
      </w:r>
      <w:r>
        <w:rPr>
          <w:rFonts w:cs="Times New Roman"/>
          <w:lang w:val="fr-CA"/>
        </w:rPr>
        <w:t>’</w:t>
      </w:r>
      <w:r w:rsidRPr="00A15EB4">
        <w:rPr>
          <w:rFonts w:cs="Times New Roman"/>
          <w:lang w:val="fr-CA"/>
        </w:rPr>
        <w:t>agit de déterminer l</w:t>
      </w:r>
      <w:r>
        <w:rPr>
          <w:rFonts w:cs="Times New Roman"/>
          <w:lang w:val="fr-CA"/>
        </w:rPr>
        <w:t>’</w:t>
      </w:r>
      <w:r w:rsidRPr="00A15EB4">
        <w:rPr>
          <w:rFonts w:cs="Times New Roman"/>
          <w:lang w:val="fr-CA"/>
        </w:rPr>
        <w:t>étendue de l</w:t>
      </w:r>
      <w:r>
        <w:rPr>
          <w:rFonts w:cs="Times New Roman"/>
          <w:lang w:val="fr-CA"/>
        </w:rPr>
        <w:t>’</w:t>
      </w:r>
      <w:r w:rsidRPr="00A15EB4">
        <w:rPr>
          <w:rFonts w:cs="Times New Roman"/>
          <w:lang w:val="fr-CA"/>
        </w:rPr>
        <w:t>immunité accordée à l</w:t>
      </w:r>
      <w:r>
        <w:rPr>
          <w:rFonts w:cs="Times New Roman"/>
          <w:lang w:val="fr-CA"/>
        </w:rPr>
        <w:t>’</w:t>
      </w:r>
      <w:r w:rsidRPr="00A15EB4">
        <w:rPr>
          <w:rFonts w:cs="Times New Roman"/>
          <w:lang w:val="fr-CA"/>
        </w:rPr>
        <w:t>OPANO.  À son avis, de la même façon que l</w:t>
      </w:r>
      <w:r>
        <w:rPr>
          <w:rFonts w:cs="Times New Roman"/>
          <w:lang w:val="fr-CA"/>
        </w:rPr>
        <w:t>’</w:t>
      </w:r>
      <w:r w:rsidRPr="00A15EB4">
        <w:rPr>
          <w:rFonts w:cs="Times New Roman"/>
          <w:lang w:val="fr-CA"/>
        </w:rPr>
        <w:t>immunité parlementaire vise à protéger l</w:t>
      </w:r>
      <w:r>
        <w:rPr>
          <w:rFonts w:cs="Times New Roman"/>
          <w:lang w:val="fr-CA"/>
        </w:rPr>
        <w:t>’</w:t>
      </w:r>
      <w:r w:rsidRPr="00A15EB4">
        <w:rPr>
          <w:rFonts w:cs="Times New Roman"/>
          <w:lang w:val="fr-CA"/>
        </w:rPr>
        <w:t>autonomie du Parlement en tant qu</w:t>
      </w:r>
      <w:r>
        <w:rPr>
          <w:rFonts w:cs="Times New Roman"/>
          <w:lang w:val="fr-CA"/>
        </w:rPr>
        <w:t>’</w:t>
      </w:r>
      <w:r w:rsidRPr="00A15EB4">
        <w:rPr>
          <w:rFonts w:cs="Times New Roman"/>
          <w:lang w:val="fr-CA"/>
        </w:rPr>
        <w:t>assemblée législative et délibérante, l</w:t>
      </w:r>
      <w:r>
        <w:rPr>
          <w:rFonts w:cs="Times New Roman"/>
          <w:lang w:val="fr-CA"/>
        </w:rPr>
        <w:t>’</w:t>
      </w:r>
      <w:r w:rsidRPr="00A15EB4">
        <w:rPr>
          <w:rFonts w:cs="Times New Roman"/>
          <w:lang w:val="fr-CA"/>
        </w:rPr>
        <w:t>immunité conférée à l</w:t>
      </w:r>
      <w:r>
        <w:rPr>
          <w:rFonts w:cs="Times New Roman"/>
          <w:lang w:val="fr-CA"/>
        </w:rPr>
        <w:t>’</w:t>
      </w:r>
      <w:r w:rsidRPr="00A15EB4">
        <w:rPr>
          <w:rFonts w:cs="Times New Roman"/>
          <w:lang w:val="fr-CA"/>
        </w:rPr>
        <w:t>OPANO vise à préserver son autonomie en tant qu</w:t>
      </w:r>
      <w:r>
        <w:rPr>
          <w:rFonts w:cs="Times New Roman"/>
          <w:lang w:val="fr-CA"/>
        </w:rPr>
        <w:t>’</w:t>
      </w:r>
      <w:r w:rsidRPr="00A15EB4">
        <w:rPr>
          <w:rFonts w:cs="Times New Roman"/>
          <w:lang w:val="fr-CA"/>
        </w:rPr>
        <w:t>organisation internationale formée de nombreux États.</w:t>
      </w:r>
    </w:p>
    <w:p w:rsidR="00102A7D" w:rsidRPr="00A15EB4" w:rsidRDefault="00102A7D" w:rsidP="00102A7D">
      <w:pPr>
        <w:pStyle w:val="ParaNoNdepar-AltN"/>
        <w:rPr>
          <w:rFonts w:cs="Times New Roman"/>
          <w:lang w:val="fr-CA"/>
        </w:rPr>
      </w:pPr>
      <w:r w:rsidRPr="00A15EB4">
        <w:rPr>
          <w:rFonts w:cs="Times New Roman"/>
          <w:lang w:val="fr-CA"/>
        </w:rPr>
        <w:t>Le juge en chef MacDonald a identifié trois principes directeurs dans l</w:t>
      </w:r>
      <w:r>
        <w:rPr>
          <w:rFonts w:cs="Times New Roman"/>
          <w:lang w:val="fr-CA"/>
        </w:rPr>
        <w:t>’</w:t>
      </w:r>
      <w:r w:rsidRPr="00A15EB4">
        <w:rPr>
          <w:rFonts w:cs="Times New Roman"/>
          <w:lang w:val="fr-CA"/>
        </w:rPr>
        <w:t xml:space="preserve">arrêt </w:t>
      </w:r>
      <w:r w:rsidRPr="00A15EB4">
        <w:rPr>
          <w:rFonts w:cs="Times New Roman"/>
          <w:i/>
          <w:lang w:val="fr-CA"/>
        </w:rPr>
        <w:t>Vaid</w:t>
      </w:r>
      <w:r w:rsidRPr="00A15EB4">
        <w:rPr>
          <w:rFonts w:cs="Times New Roman"/>
          <w:lang w:val="fr-CA"/>
        </w:rPr>
        <w:t>.  Premièrement, l</w:t>
      </w:r>
      <w:r>
        <w:rPr>
          <w:rFonts w:cs="Times New Roman"/>
          <w:lang w:val="fr-CA"/>
        </w:rPr>
        <w:t>’</w:t>
      </w:r>
      <w:r w:rsidRPr="00A15EB4">
        <w:rPr>
          <w:rFonts w:cs="Times New Roman"/>
          <w:lang w:val="fr-CA"/>
        </w:rPr>
        <w:t>immunité émane du principe de la « nécessité » et il convient de retenir une conception large de ce principe.  Deuxièmement, ce qui est « nécessaire », c</w:t>
      </w:r>
      <w:r>
        <w:rPr>
          <w:rFonts w:cs="Times New Roman"/>
          <w:lang w:val="fr-CA"/>
        </w:rPr>
        <w:t>’</w:t>
      </w:r>
      <w:r w:rsidRPr="00A15EB4">
        <w:rPr>
          <w:rFonts w:cs="Times New Roman"/>
          <w:lang w:val="fr-CA"/>
        </w:rPr>
        <w:t>est la préservation de l</w:t>
      </w:r>
      <w:r>
        <w:rPr>
          <w:rFonts w:cs="Times New Roman"/>
          <w:lang w:val="fr-CA"/>
        </w:rPr>
        <w:t>’</w:t>
      </w:r>
      <w:r w:rsidRPr="00A15EB4">
        <w:rPr>
          <w:rFonts w:cs="Times New Roman"/>
          <w:lang w:val="fr-CA"/>
        </w:rPr>
        <w:t>autonomie de l</w:t>
      </w:r>
      <w:r>
        <w:rPr>
          <w:rFonts w:cs="Times New Roman"/>
          <w:lang w:val="fr-CA"/>
        </w:rPr>
        <w:t>’</w:t>
      </w:r>
      <w:r w:rsidRPr="00A15EB4">
        <w:rPr>
          <w:rFonts w:cs="Times New Roman"/>
          <w:lang w:val="fr-CA"/>
        </w:rPr>
        <w:t>organisation dans l</w:t>
      </w:r>
      <w:r>
        <w:rPr>
          <w:rFonts w:cs="Times New Roman"/>
          <w:lang w:val="fr-CA"/>
        </w:rPr>
        <w:t>’</w:t>
      </w:r>
      <w:r w:rsidRPr="00A15EB4">
        <w:rPr>
          <w:rFonts w:cs="Times New Roman"/>
          <w:lang w:val="fr-CA"/>
        </w:rPr>
        <w:t>exercice de ses fonctions.  Troisièmement, dans le domaine de l</w:t>
      </w:r>
      <w:r>
        <w:rPr>
          <w:rFonts w:cs="Times New Roman"/>
          <w:lang w:val="fr-CA"/>
        </w:rPr>
        <w:t>’</w:t>
      </w:r>
      <w:r w:rsidRPr="00A15EB4">
        <w:rPr>
          <w:rFonts w:cs="Times New Roman"/>
          <w:lang w:val="fr-CA"/>
        </w:rPr>
        <w:t>emploi, plus les fonctions de l</w:t>
      </w:r>
      <w:r>
        <w:rPr>
          <w:rFonts w:cs="Times New Roman"/>
          <w:lang w:val="fr-CA"/>
        </w:rPr>
        <w:t>’</w:t>
      </w:r>
      <w:r w:rsidRPr="00A15EB4">
        <w:rPr>
          <w:rFonts w:cs="Times New Roman"/>
          <w:lang w:val="fr-CA"/>
        </w:rPr>
        <w:t>employé s</w:t>
      </w:r>
      <w:r>
        <w:rPr>
          <w:rFonts w:cs="Times New Roman"/>
          <w:lang w:val="fr-CA"/>
        </w:rPr>
        <w:t>’</w:t>
      </w:r>
      <w:r w:rsidRPr="00A15EB4">
        <w:rPr>
          <w:rFonts w:cs="Times New Roman"/>
          <w:lang w:val="fr-CA"/>
        </w:rPr>
        <w:t xml:space="preserve">estimant lésé se rapprochent des fonctions essentielles de </w:t>
      </w:r>
      <w:r w:rsidRPr="00A15EB4">
        <w:rPr>
          <w:rFonts w:cs="Times New Roman"/>
          <w:lang w:val="fr-CA"/>
        </w:rPr>
        <w:lastRenderedPageBreak/>
        <w:t>l</w:t>
      </w:r>
      <w:r>
        <w:rPr>
          <w:rFonts w:cs="Times New Roman"/>
          <w:lang w:val="fr-CA"/>
        </w:rPr>
        <w:t>’</w:t>
      </w:r>
      <w:r w:rsidRPr="00A15EB4">
        <w:rPr>
          <w:rFonts w:cs="Times New Roman"/>
          <w:lang w:val="fr-CA"/>
        </w:rPr>
        <w:t>organisation, plus il devient probable que l</w:t>
      </w:r>
      <w:r>
        <w:rPr>
          <w:rFonts w:cs="Times New Roman"/>
          <w:lang w:val="fr-CA"/>
        </w:rPr>
        <w:t>’</w:t>
      </w:r>
      <w:r w:rsidRPr="00A15EB4">
        <w:rPr>
          <w:rFonts w:cs="Times New Roman"/>
          <w:lang w:val="fr-CA"/>
        </w:rPr>
        <w:t>autonomie de celle</w:t>
      </w:r>
      <w:r w:rsidRPr="00A15EB4">
        <w:rPr>
          <w:rFonts w:cs="Times New Roman"/>
          <w:lang w:val="fr-CA"/>
        </w:rPr>
        <w:noBreakHyphen/>
        <w:t>ci sera affectée et plus augmente donc la probabilité que l</w:t>
      </w:r>
      <w:r>
        <w:rPr>
          <w:rFonts w:cs="Times New Roman"/>
          <w:lang w:val="fr-CA"/>
        </w:rPr>
        <w:t>’</w:t>
      </w:r>
      <w:r w:rsidRPr="00A15EB4">
        <w:rPr>
          <w:rFonts w:cs="Times New Roman"/>
          <w:lang w:val="fr-CA"/>
        </w:rPr>
        <w:t>immunité s</w:t>
      </w:r>
      <w:r>
        <w:rPr>
          <w:rFonts w:cs="Times New Roman"/>
          <w:lang w:val="fr-CA"/>
        </w:rPr>
        <w:t>’</w:t>
      </w:r>
      <w:r w:rsidRPr="00A15EB4">
        <w:rPr>
          <w:rFonts w:cs="Times New Roman"/>
          <w:lang w:val="fr-CA"/>
        </w:rPr>
        <w:t>avère nécessaire.</w:t>
      </w:r>
    </w:p>
    <w:p w:rsidR="00102A7D" w:rsidRPr="00A15EB4" w:rsidRDefault="00102A7D" w:rsidP="00102A7D">
      <w:pPr>
        <w:pStyle w:val="ParaNoNdepar-AltN"/>
        <w:rPr>
          <w:rFonts w:cs="Times New Roman"/>
          <w:lang w:val="fr-CA"/>
        </w:rPr>
      </w:pPr>
      <w:r w:rsidRPr="00A15EB4">
        <w:rPr>
          <w:rFonts w:cs="Times New Roman"/>
          <w:lang w:val="fr-CA"/>
        </w:rPr>
        <w:t xml:space="preserve">Le juge en chef MacDonald a conclu que le juge Wright avait commis une erreur dans son interprétation du par. 3(1)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et a affirmé qu</w:t>
      </w:r>
      <w:r>
        <w:rPr>
          <w:rFonts w:cs="Times New Roman"/>
          <w:lang w:val="fr-CA"/>
        </w:rPr>
        <w:t>’</w:t>
      </w:r>
      <w:r w:rsidRPr="00A15EB4">
        <w:rPr>
          <w:rFonts w:cs="Times New Roman"/>
          <w:lang w:val="fr-CA"/>
        </w:rPr>
        <w:t>il [</w:t>
      </w:r>
      <w:r w:rsidRPr="00A15EB4">
        <w:rPr>
          <w:rFonts w:cs="Times New Roman"/>
          <w:smallCaps/>
          <w:lang w:val="fr-CA"/>
        </w:rPr>
        <w:t>traduction</w:t>
      </w:r>
      <w:r w:rsidRPr="00A15EB4">
        <w:rPr>
          <w:rFonts w:cs="Times New Roman"/>
          <w:lang w:val="fr-CA"/>
        </w:rPr>
        <w:t>] « reconnaîtrait [à l</w:t>
      </w:r>
      <w:r>
        <w:rPr>
          <w:rFonts w:cs="Times New Roman"/>
          <w:lang w:val="fr-CA"/>
        </w:rPr>
        <w:t>’</w:t>
      </w:r>
      <w:r w:rsidRPr="00A15EB4">
        <w:rPr>
          <w:rFonts w:cs="Times New Roman"/>
          <w:lang w:val="fr-CA"/>
        </w:rPr>
        <w:t>OPANO] l</w:t>
      </w:r>
      <w:r>
        <w:rPr>
          <w:rFonts w:cs="Times New Roman"/>
          <w:lang w:val="fr-CA"/>
        </w:rPr>
        <w:t>’</w:t>
      </w:r>
      <w:r w:rsidRPr="00A15EB4">
        <w:rPr>
          <w:rFonts w:cs="Times New Roman"/>
          <w:lang w:val="fr-CA"/>
        </w:rPr>
        <w:t>immunité de juridiction contre toute poursuite interne susceptible de porter atteinte à son autonomie dans l</w:t>
      </w:r>
      <w:r>
        <w:rPr>
          <w:rFonts w:cs="Times New Roman"/>
          <w:lang w:val="fr-CA"/>
        </w:rPr>
        <w:t>’</w:t>
      </w:r>
      <w:r w:rsidRPr="00A15EB4">
        <w:rPr>
          <w:rFonts w:cs="Times New Roman"/>
          <w:lang w:val="fr-CA"/>
        </w:rPr>
        <w:t>exercice de ses fonctions » (par. 44).  Il n</w:t>
      </w:r>
      <w:r>
        <w:rPr>
          <w:rFonts w:cs="Times New Roman"/>
          <w:lang w:val="fr-CA"/>
        </w:rPr>
        <w:t>’</w:t>
      </w:r>
      <w:r w:rsidRPr="00A15EB4">
        <w:rPr>
          <w:rFonts w:cs="Times New Roman"/>
          <w:lang w:val="fr-CA"/>
        </w:rPr>
        <w:t>y avait pas lieu selon lui d</w:t>
      </w:r>
      <w:r>
        <w:rPr>
          <w:rFonts w:cs="Times New Roman"/>
          <w:lang w:val="fr-CA"/>
        </w:rPr>
        <w:t>’</w:t>
      </w:r>
      <w:r w:rsidRPr="00A15EB4">
        <w:rPr>
          <w:rFonts w:cs="Times New Roman"/>
          <w:lang w:val="fr-CA"/>
        </w:rPr>
        <w:t>exiger une ingérence « importante », « excessive » ou « inacceptable » (</w:t>
      </w:r>
      <w:r w:rsidRPr="00A15EB4">
        <w:rPr>
          <w:rFonts w:cs="Times New Roman"/>
          <w:i/>
          <w:lang w:val="fr-CA"/>
        </w:rPr>
        <w:t>ibid.</w:t>
      </w:r>
      <w:r w:rsidRPr="00A15EB4">
        <w:rPr>
          <w:rFonts w:cs="Times New Roman"/>
          <w:lang w:val="fr-CA"/>
        </w:rPr>
        <w:t>).</w:t>
      </w:r>
    </w:p>
    <w:p w:rsidR="00102A7D" w:rsidRPr="00A15EB4" w:rsidRDefault="00102A7D" w:rsidP="00102A7D">
      <w:pPr>
        <w:pStyle w:val="ParaNoNdepar-AltN"/>
        <w:rPr>
          <w:rFonts w:cs="Times New Roman"/>
          <w:lang w:val="fr-CA"/>
        </w:rPr>
      </w:pPr>
      <w:r w:rsidRPr="00A15EB4">
        <w:rPr>
          <w:rFonts w:cs="Times New Roman"/>
          <w:lang w:val="fr-CA"/>
        </w:rPr>
        <w:t>En cherchant ensuite à déterminer si les réclamations de l</w:t>
      </w:r>
      <w:r>
        <w:rPr>
          <w:rFonts w:cs="Times New Roman"/>
          <w:lang w:val="fr-CA"/>
        </w:rPr>
        <w:t>’</w:t>
      </w:r>
      <w:r w:rsidRPr="00A15EB4">
        <w:rPr>
          <w:rFonts w:cs="Times New Roman"/>
          <w:lang w:val="fr-CA"/>
        </w:rPr>
        <w:t>appelant portaient atteinte à l</w:t>
      </w:r>
      <w:r>
        <w:rPr>
          <w:rFonts w:cs="Times New Roman"/>
          <w:lang w:val="fr-CA"/>
        </w:rPr>
        <w:t>’</w:t>
      </w:r>
      <w:r w:rsidRPr="00A15EB4">
        <w:rPr>
          <w:rFonts w:cs="Times New Roman"/>
          <w:lang w:val="fr-CA"/>
        </w:rPr>
        <w:t>autonomie de l</w:t>
      </w:r>
      <w:r>
        <w:rPr>
          <w:rFonts w:cs="Times New Roman"/>
          <w:lang w:val="fr-CA"/>
        </w:rPr>
        <w:t>’</w:t>
      </w:r>
      <w:r w:rsidRPr="00A15EB4">
        <w:rPr>
          <w:rFonts w:cs="Times New Roman"/>
          <w:lang w:val="fr-CA"/>
        </w:rPr>
        <w:t>OPANO dans l</w:t>
      </w:r>
      <w:r>
        <w:rPr>
          <w:rFonts w:cs="Times New Roman"/>
          <w:lang w:val="fr-CA"/>
        </w:rPr>
        <w:t>’</w:t>
      </w:r>
      <w:r w:rsidRPr="00A15EB4">
        <w:rPr>
          <w:rFonts w:cs="Times New Roman"/>
          <w:lang w:val="fr-CA"/>
        </w:rPr>
        <w:t>exercice de ses fonctions, le juge en chef MacDonald a estimé que le juge Wright avait commis une erreur manifeste et dominante lorsqu</w:t>
      </w:r>
      <w:r>
        <w:rPr>
          <w:rFonts w:cs="Times New Roman"/>
          <w:lang w:val="fr-CA"/>
        </w:rPr>
        <w:t>’</w:t>
      </w:r>
      <w:r w:rsidRPr="00A15EB4">
        <w:rPr>
          <w:rFonts w:cs="Times New Roman"/>
          <w:lang w:val="fr-CA"/>
        </w:rPr>
        <w:t>il avait conclu que l</w:t>
      </w:r>
      <w:r>
        <w:rPr>
          <w:rFonts w:cs="Times New Roman"/>
          <w:lang w:val="fr-CA"/>
        </w:rPr>
        <w:t>’</w:t>
      </w:r>
      <w:r w:rsidRPr="00A15EB4">
        <w:rPr>
          <w:rFonts w:cs="Times New Roman"/>
          <w:lang w:val="fr-CA"/>
        </w:rPr>
        <w:t>OPANO ne contestait pas le bien</w:t>
      </w:r>
      <w:r w:rsidRPr="00A15EB4">
        <w:rPr>
          <w:rFonts w:cs="Times New Roman"/>
          <w:lang w:val="fr-CA"/>
        </w:rPr>
        <w:noBreakHyphen/>
        <w:t>fondé de la cause de l</w:t>
      </w:r>
      <w:r>
        <w:rPr>
          <w:rFonts w:cs="Times New Roman"/>
          <w:lang w:val="fr-CA"/>
        </w:rPr>
        <w:t>’</w:t>
      </w:r>
      <w:r w:rsidRPr="00A15EB4">
        <w:rPr>
          <w:rFonts w:cs="Times New Roman"/>
          <w:lang w:val="fr-CA"/>
        </w:rPr>
        <w:t>appelant.  Selon lui, il ressortait clairement du dossier que l</w:t>
      </w:r>
      <w:r>
        <w:rPr>
          <w:rFonts w:cs="Times New Roman"/>
          <w:lang w:val="fr-CA"/>
        </w:rPr>
        <w:t>’</w:t>
      </w:r>
      <w:r w:rsidRPr="00A15EB4">
        <w:rPr>
          <w:rFonts w:cs="Times New Roman"/>
          <w:lang w:val="fr-CA"/>
        </w:rPr>
        <w:t>OPANO avait bel et bien fait valoir l</w:t>
      </w:r>
      <w:r>
        <w:rPr>
          <w:rFonts w:cs="Times New Roman"/>
          <w:lang w:val="fr-CA"/>
        </w:rPr>
        <w:t>’</w:t>
      </w:r>
      <w:r w:rsidRPr="00A15EB4">
        <w:rPr>
          <w:rFonts w:cs="Times New Roman"/>
          <w:lang w:val="fr-CA"/>
        </w:rPr>
        <w:t>existence d</w:t>
      </w:r>
      <w:r>
        <w:rPr>
          <w:rFonts w:cs="Times New Roman"/>
          <w:lang w:val="fr-CA"/>
        </w:rPr>
        <w:t>’</w:t>
      </w:r>
      <w:r w:rsidRPr="00A15EB4">
        <w:rPr>
          <w:rFonts w:cs="Times New Roman"/>
          <w:lang w:val="fr-CA"/>
        </w:rPr>
        <w:t>un motif pour justifier le congédiement de l</w:t>
      </w:r>
      <w:r>
        <w:rPr>
          <w:rFonts w:cs="Times New Roman"/>
          <w:lang w:val="fr-CA"/>
        </w:rPr>
        <w:t>’</w:t>
      </w:r>
      <w:r w:rsidRPr="00A15EB4">
        <w:rPr>
          <w:rFonts w:cs="Times New Roman"/>
          <w:lang w:val="fr-CA"/>
        </w:rPr>
        <w:t>appelant.  Cette erreur était à son avis importante parce que le juge Wright s</w:t>
      </w:r>
      <w:r>
        <w:rPr>
          <w:rFonts w:cs="Times New Roman"/>
          <w:lang w:val="fr-CA"/>
        </w:rPr>
        <w:t>’</w:t>
      </w:r>
      <w:r w:rsidRPr="00A15EB4">
        <w:rPr>
          <w:rFonts w:cs="Times New Roman"/>
          <w:lang w:val="fr-CA"/>
        </w:rPr>
        <w:t>était fondé sur sa conclusion selon laquelle l</w:t>
      </w:r>
      <w:r>
        <w:rPr>
          <w:rFonts w:cs="Times New Roman"/>
          <w:lang w:val="fr-CA"/>
        </w:rPr>
        <w:t>’</w:t>
      </w:r>
      <w:r w:rsidRPr="00A15EB4">
        <w:rPr>
          <w:rFonts w:cs="Times New Roman"/>
          <w:lang w:val="fr-CA"/>
        </w:rPr>
        <w:t>OPANO ne contestait pas le bien</w:t>
      </w:r>
      <w:r w:rsidRPr="00A15EB4">
        <w:rPr>
          <w:rFonts w:cs="Times New Roman"/>
          <w:lang w:val="fr-CA"/>
        </w:rPr>
        <w:noBreakHyphen/>
        <w:t>fondé de la cause pour conclure que la réclamation de l</w:t>
      </w:r>
      <w:r>
        <w:rPr>
          <w:rFonts w:cs="Times New Roman"/>
          <w:lang w:val="fr-CA"/>
        </w:rPr>
        <w:t>’</w:t>
      </w:r>
      <w:r w:rsidRPr="00A15EB4">
        <w:rPr>
          <w:rFonts w:cs="Times New Roman"/>
          <w:lang w:val="fr-CA"/>
        </w:rPr>
        <w:t>appelant ne représentait pas une ingérence inacceptable dans les opérations de l</w:t>
      </w:r>
      <w:r>
        <w:rPr>
          <w:rFonts w:cs="Times New Roman"/>
          <w:lang w:val="fr-CA"/>
        </w:rPr>
        <w:t>’</w:t>
      </w:r>
      <w:r w:rsidRPr="00A15EB4">
        <w:rPr>
          <w:rFonts w:cs="Times New Roman"/>
          <w:lang w:val="fr-CA"/>
        </w:rPr>
        <w:t>OPANO.</w:t>
      </w:r>
    </w:p>
    <w:p w:rsidR="00102A7D" w:rsidRPr="00A15EB4" w:rsidRDefault="00102A7D" w:rsidP="00102A7D">
      <w:pPr>
        <w:pStyle w:val="ParaNoNdepar-AltN"/>
        <w:rPr>
          <w:rFonts w:cs="Times New Roman"/>
          <w:lang w:val="fr-CA"/>
        </w:rPr>
      </w:pPr>
      <w:r w:rsidRPr="00A15EB4">
        <w:rPr>
          <w:rFonts w:cs="Times New Roman"/>
          <w:lang w:val="fr-CA"/>
        </w:rPr>
        <w:t>Le juge en chef MacDonald a également contesté la caractérisation générale des réclamations de l</w:t>
      </w:r>
      <w:r>
        <w:rPr>
          <w:rFonts w:cs="Times New Roman"/>
          <w:lang w:val="fr-CA"/>
        </w:rPr>
        <w:t>’</w:t>
      </w:r>
      <w:r w:rsidRPr="00A15EB4">
        <w:rPr>
          <w:rFonts w:cs="Times New Roman"/>
          <w:lang w:val="fr-CA"/>
        </w:rPr>
        <w:t xml:space="preserve">appelant faite par le juge Wright.  Ces réclamations constituaient selon lui une ingérence beaucoup plus importante dans les opérations de </w:t>
      </w:r>
      <w:r w:rsidRPr="00A15EB4">
        <w:rPr>
          <w:rFonts w:cs="Times New Roman"/>
          <w:lang w:val="fr-CA"/>
        </w:rPr>
        <w:lastRenderedPageBreak/>
        <w:t>l</w:t>
      </w:r>
      <w:r>
        <w:rPr>
          <w:rFonts w:cs="Times New Roman"/>
          <w:lang w:val="fr-CA"/>
        </w:rPr>
        <w:t>’</w:t>
      </w:r>
      <w:r w:rsidRPr="00A15EB4">
        <w:rPr>
          <w:rFonts w:cs="Times New Roman"/>
          <w:lang w:val="fr-CA"/>
        </w:rPr>
        <w:t>OPANO.  À son avis, la nature même des actions en congédiement injustifié implique des examens très importants et en profondeur de la relation employeur</w:t>
      </w:r>
      <w:r w:rsidRPr="00A15EB4">
        <w:rPr>
          <w:rFonts w:cs="Times New Roman"/>
          <w:lang w:val="fr-CA"/>
        </w:rPr>
        <w:noBreakHyphen/>
        <w:t>employé.  Il a conclu, compte tenu du poste et des responsabilités de l</w:t>
      </w:r>
      <w:r>
        <w:rPr>
          <w:rFonts w:cs="Times New Roman"/>
          <w:lang w:val="fr-CA"/>
        </w:rPr>
        <w:t>’</w:t>
      </w:r>
      <w:r w:rsidRPr="00A15EB4">
        <w:rPr>
          <w:rFonts w:cs="Times New Roman"/>
          <w:lang w:val="fr-CA"/>
        </w:rPr>
        <w:t>appelant, que les réclamations de ce dernier supposeraient inévitablement un examen à la loupe des activités essentielles de l</w:t>
      </w:r>
      <w:r>
        <w:rPr>
          <w:rFonts w:cs="Times New Roman"/>
          <w:lang w:val="fr-CA"/>
        </w:rPr>
        <w:t>’</w:t>
      </w:r>
      <w:r w:rsidRPr="00A15EB4">
        <w:rPr>
          <w:rFonts w:cs="Times New Roman"/>
          <w:lang w:val="fr-CA"/>
        </w:rPr>
        <w:t>OPANO.  De plus, les réclamations visant l</w:t>
      </w:r>
      <w:r>
        <w:rPr>
          <w:rFonts w:cs="Times New Roman"/>
          <w:lang w:val="fr-CA"/>
        </w:rPr>
        <w:t>’</w:t>
      </w:r>
      <w:r w:rsidRPr="00A15EB4">
        <w:rPr>
          <w:rFonts w:cs="Times New Roman"/>
          <w:lang w:val="fr-CA"/>
        </w:rPr>
        <w:t>obtention de dommages</w:t>
      </w:r>
      <w:r w:rsidRPr="00A15EB4">
        <w:rPr>
          <w:rFonts w:cs="Times New Roman"/>
          <w:lang w:val="fr-CA"/>
        </w:rPr>
        <w:noBreakHyphen/>
        <w:t>intérêts punitifs et de dépens avocat</w:t>
      </w:r>
      <w:r w:rsidRPr="00A15EB4">
        <w:rPr>
          <w:rFonts w:cs="Times New Roman"/>
          <w:lang w:val="fr-CA"/>
        </w:rPr>
        <w:noBreakHyphen/>
        <w:t>client étaient axées sur l</w:t>
      </w:r>
      <w:r>
        <w:rPr>
          <w:rFonts w:cs="Times New Roman"/>
          <w:lang w:val="fr-CA"/>
        </w:rPr>
        <w:t>’</w:t>
      </w:r>
      <w:r w:rsidRPr="00A15EB4">
        <w:rPr>
          <w:rFonts w:cs="Times New Roman"/>
          <w:lang w:val="fr-CA"/>
        </w:rPr>
        <w:t>inconduite reprochée à l</w:t>
      </w:r>
      <w:r>
        <w:rPr>
          <w:rFonts w:cs="Times New Roman"/>
          <w:lang w:val="fr-CA"/>
        </w:rPr>
        <w:t>’</w:t>
      </w:r>
      <w:r w:rsidRPr="00A15EB4">
        <w:rPr>
          <w:rFonts w:cs="Times New Roman"/>
          <w:lang w:val="fr-CA"/>
        </w:rPr>
        <w:t>OPANO.  Selon le juge en chef MacDonald, l</w:t>
      </w:r>
      <w:r>
        <w:rPr>
          <w:rFonts w:cs="Times New Roman"/>
          <w:lang w:val="fr-CA"/>
        </w:rPr>
        <w:t>’</w:t>
      </w:r>
      <w:r w:rsidRPr="00A15EB4">
        <w:rPr>
          <w:rFonts w:cs="Times New Roman"/>
          <w:lang w:val="fr-CA"/>
        </w:rPr>
        <w:t>appelant demandait alors à la Cour suprême de la Nouvelle</w:t>
      </w:r>
      <w:r w:rsidRPr="00A15EB4">
        <w:rPr>
          <w:rFonts w:cs="Times New Roman"/>
          <w:lang w:val="fr-CA"/>
        </w:rPr>
        <w:noBreakHyphen/>
        <w:t>Écosse de revoir et de condamner la structure de gestion de l</w:t>
      </w:r>
      <w:r>
        <w:rPr>
          <w:rFonts w:cs="Times New Roman"/>
          <w:lang w:val="fr-CA"/>
        </w:rPr>
        <w:t>’</w:t>
      </w:r>
      <w:r w:rsidRPr="00A15EB4">
        <w:rPr>
          <w:rFonts w:cs="Times New Roman"/>
          <w:lang w:val="fr-CA"/>
        </w:rPr>
        <w:t>OPANO.  Le fait pour la cour d</w:t>
      </w:r>
      <w:r>
        <w:rPr>
          <w:rFonts w:cs="Times New Roman"/>
          <w:lang w:val="fr-CA"/>
        </w:rPr>
        <w:t>’</w:t>
      </w:r>
      <w:r w:rsidRPr="00A15EB4">
        <w:rPr>
          <w:rFonts w:cs="Times New Roman"/>
          <w:lang w:val="fr-CA"/>
        </w:rPr>
        <w:t>accéder à une telle demande constituerait une ingérence dans l</w:t>
      </w:r>
      <w:r>
        <w:rPr>
          <w:rFonts w:cs="Times New Roman"/>
          <w:lang w:val="fr-CA"/>
        </w:rPr>
        <w:t>’</w:t>
      </w:r>
      <w:r w:rsidRPr="00A15EB4">
        <w:rPr>
          <w:rFonts w:cs="Times New Roman"/>
          <w:lang w:val="fr-CA"/>
        </w:rPr>
        <w:t>autonomie de l</w:t>
      </w:r>
      <w:r>
        <w:rPr>
          <w:rFonts w:cs="Times New Roman"/>
          <w:lang w:val="fr-CA"/>
        </w:rPr>
        <w:t>’</w:t>
      </w:r>
      <w:r w:rsidRPr="00A15EB4">
        <w:rPr>
          <w:rFonts w:cs="Times New Roman"/>
          <w:lang w:val="fr-CA"/>
        </w:rPr>
        <w:t>OPANO.</w:t>
      </w:r>
    </w:p>
    <w:p w:rsidR="00102A7D" w:rsidRPr="00A15EB4" w:rsidRDefault="00102A7D" w:rsidP="00102A7D">
      <w:pPr>
        <w:pStyle w:val="ParaNoNdepar-AltN"/>
        <w:rPr>
          <w:rFonts w:cs="Times New Roman"/>
          <w:lang w:val="fr-CA"/>
        </w:rPr>
      </w:pPr>
      <w:r w:rsidRPr="00A15EB4">
        <w:rPr>
          <w:rFonts w:cs="Times New Roman"/>
          <w:lang w:val="fr-CA"/>
        </w:rPr>
        <w:t>Par ailleurs, le juge en chef MacDonald a reconnu qu</w:t>
      </w:r>
      <w:r>
        <w:rPr>
          <w:rFonts w:cs="Times New Roman"/>
          <w:lang w:val="fr-CA"/>
        </w:rPr>
        <w:t>’</w:t>
      </w:r>
      <w:r w:rsidRPr="00A15EB4">
        <w:rPr>
          <w:rFonts w:cs="Times New Roman"/>
          <w:lang w:val="fr-CA"/>
        </w:rPr>
        <w:t>une conclusion selon laquelle l</w:t>
      </w:r>
      <w:r>
        <w:rPr>
          <w:rFonts w:cs="Times New Roman"/>
          <w:lang w:val="fr-CA"/>
        </w:rPr>
        <w:t>’</w:t>
      </w:r>
      <w:r w:rsidRPr="00A15EB4">
        <w:rPr>
          <w:rFonts w:cs="Times New Roman"/>
          <w:lang w:val="fr-CA"/>
        </w:rPr>
        <w:t>OPANO aurait droit à l</w:t>
      </w:r>
      <w:r>
        <w:rPr>
          <w:rFonts w:cs="Times New Roman"/>
          <w:lang w:val="fr-CA"/>
        </w:rPr>
        <w:t>’</w:t>
      </w:r>
      <w:r w:rsidRPr="00A15EB4">
        <w:rPr>
          <w:rFonts w:cs="Times New Roman"/>
          <w:lang w:val="fr-CA"/>
        </w:rPr>
        <w:t>immunité en l</w:t>
      </w:r>
      <w:r>
        <w:rPr>
          <w:rFonts w:cs="Times New Roman"/>
          <w:lang w:val="fr-CA"/>
        </w:rPr>
        <w:t>’</w:t>
      </w:r>
      <w:r w:rsidRPr="00A15EB4">
        <w:rPr>
          <w:rFonts w:cs="Times New Roman"/>
          <w:lang w:val="fr-CA"/>
        </w:rPr>
        <w:t>espèce priverait l</w:t>
      </w:r>
      <w:r>
        <w:rPr>
          <w:rFonts w:cs="Times New Roman"/>
          <w:lang w:val="fr-CA"/>
        </w:rPr>
        <w:t>’</w:t>
      </w:r>
      <w:r w:rsidRPr="00A15EB4">
        <w:rPr>
          <w:rFonts w:cs="Times New Roman"/>
          <w:lang w:val="fr-CA"/>
        </w:rPr>
        <w:t xml:space="preserve">appelant de tout recours contre elle, et il a souligné la réserve du juge Wright concernant le </w:t>
      </w:r>
      <w:r w:rsidRPr="00A15EB4">
        <w:rPr>
          <w:rFonts w:cs="Times New Roman"/>
          <w:i/>
          <w:lang w:val="fr-CA"/>
        </w:rPr>
        <w:t xml:space="preserve">PIRDCP. </w:t>
      </w:r>
      <w:r w:rsidRPr="00A15EB4">
        <w:rPr>
          <w:rFonts w:cs="Times New Roman"/>
          <w:lang w:val="fr-CA"/>
        </w:rPr>
        <w:t xml:space="preserve"> Il a toutefois affirmé : [</w:t>
      </w:r>
      <w:r w:rsidRPr="00A15EB4">
        <w:rPr>
          <w:rFonts w:cs="Times New Roman"/>
          <w:smallCaps/>
          <w:lang w:val="fr-CA"/>
        </w:rPr>
        <w:t>traduction</w:t>
      </w:r>
      <w:r w:rsidRPr="00A15EB4">
        <w:rPr>
          <w:rFonts w:cs="Times New Roman"/>
          <w:lang w:val="fr-CA"/>
        </w:rPr>
        <w:t>] « </w:t>
      </w:r>
      <w:r w:rsidR="00B227B5">
        <w:rPr>
          <w:rFonts w:cs="Times New Roman"/>
          <w:lang w:val="fr-CA"/>
        </w:rPr>
        <w:t>. . . c</w:t>
      </w:r>
      <w:r>
        <w:rPr>
          <w:rFonts w:cs="Times New Roman"/>
          <w:lang w:val="fr-CA"/>
        </w:rPr>
        <w:t>’</w:t>
      </w:r>
      <w:r w:rsidRPr="00A15EB4">
        <w:rPr>
          <w:rFonts w:cs="Times New Roman"/>
          <w:lang w:val="fr-CA"/>
        </w:rPr>
        <w:t>est une chose que d</w:t>
      </w:r>
      <w:r>
        <w:rPr>
          <w:rFonts w:cs="Times New Roman"/>
          <w:lang w:val="fr-CA"/>
        </w:rPr>
        <w:t>’</w:t>
      </w:r>
      <w:r w:rsidRPr="00A15EB4">
        <w:rPr>
          <w:rFonts w:cs="Times New Roman"/>
          <w:lang w:val="fr-CA"/>
        </w:rPr>
        <w:t>interpréter la loi d</w:t>
      </w:r>
      <w:r>
        <w:rPr>
          <w:rFonts w:cs="Times New Roman"/>
          <w:lang w:val="fr-CA"/>
        </w:rPr>
        <w:t>’</w:t>
      </w:r>
      <w:r w:rsidRPr="00A15EB4">
        <w:rPr>
          <w:rFonts w:cs="Times New Roman"/>
          <w:lang w:val="fr-CA"/>
        </w:rPr>
        <w:t>une manière qui reflète les valeurs et les principes des traités internationaux.  C</w:t>
      </w:r>
      <w:r>
        <w:rPr>
          <w:rFonts w:cs="Times New Roman"/>
          <w:lang w:val="fr-CA"/>
        </w:rPr>
        <w:t>’</w:t>
      </w:r>
      <w:r w:rsidRPr="00A15EB4">
        <w:rPr>
          <w:rFonts w:cs="Times New Roman"/>
          <w:lang w:val="fr-CA"/>
        </w:rPr>
        <w:t>en est une tout autre que de refuser l</w:t>
      </w:r>
      <w:r>
        <w:rPr>
          <w:rFonts w:cs="Times New Roman"/>
          <w:lang w:val="fr-CA"/>
        </w:rPr>
        <w:t>’</w:t>
      </w:r>
      <w:r w:rsidRPr="00A15EB4">
        <w:rPr>
          <w:rFonts w:cs="Times New Roman"/>
          <w:lang w:val="fr-CA"/>
        </w:rPr>
        <w:t>immunité lorsque la loi l</w:t>
      </w:r>
      <w:r>
        <w:rPr>
          <w:rFonts w:cs="Times New Roman"/>
          <w:lang w:val="fr-CA"/>
        </w:rPr>
        <w:t>’</w:t>
      </w:r>
      <w:r w:rsidRPr="00A15EB4">
        <w:rPr>
          <w:rFonts w:cs="Times New Roman"/>
          <w:lang w:val="fr-CA"/>
        </w:rPr>
        <w:t>accorde manifestement » (par. 73).  Il a donc conclu que l</w:t>
      </w:r>
      <w:r>
        <w:rPr>
          <w:rFonts w:cs="Times New Roman"/>
          <w:lang w:val="fr-CA"/>
        </w:rPr>
        <w:t>’</w:t>
      </w:r>
      <w:r w:rsidRPr="00A15EB4">
        <w:rPr>
          <w:rFonts w:cs="Times New Roman"/>
          <w:lang w:val="fr-CA"/>
        </w:rPr>
        <w:t>OPANO jouissait de l</w:t>
      </w:r>
      <w:r>
        <w:rPr>
          <w:rFonts w:cs="Times New Roman"/>
          <w:lang w:val="fr-CA"/>
        </w:rPr>
        <w:t>’</w:t>
      </w:r>
      <w:r w:rsidRPr="00A15EB4">
        <w:rPr>
          <w:rFonts w:cs="Times New Roman"/>
          <w:lang w:val="fr-CA"/>
        </w:rPr>
        <w:t>immunité de juridiction contre toutes les réclamations de l</w:t>
      </w:r>
      <w:r>
        <w:rPr>
          <w:rFonts w:cs="Times New Roman"/>
          <w:lang w:val="fr-CA"/>
        </w:rPr>
        <w:t>’</w:t>
      </w:r>
      <w:r w:rsidRPr="00A15EB4">
        <w:rPr>
          <w:rFonts w:cs="Times New Roman"/>
          <w:lang w:val="fr-CA"/>
        </w:rPr>
        <w:t>appelant.</w:t>
      </w:r>
    </w:p>
    <w:p w:rsidR="00102A7D" w:rsidRPr="00A15EB4" w:rsidRDefault="00102A7D" w:rsidP="00102A7D">
      <w:pPr>
        <w:pStyle w:val="TitleTitre-AltT"/>
        <w:keepNext/>
        <w:rPr>
          <w:rFonts w:cs="Times New Roman"/>
          <w:lang w:val="fr-CA"/>
        </w:rPr>
      </w:pPr>
      <w:r w:rsidRPr="00A15EB4">
        <w:rPr>
          <w:rFonts w:cs="Times New Roman"/>
          <w:lang w:val="fr-CA"/>
        </w:rPr>
        <w:lastRenderedPageBreak/>
        <w:t>IV.</w:t>
      </w:r>
      <w:r w:rsidRPr="00A15EB4">
        <w:rPr>
          <w:rFonts w:cs="Times New Roman"/>
          <w:lang w:val="fr-CA"/>
        </w:rPr>
        <w:tab/>
      </w:r>
      <w:r w:rsidRPr="00A15EB4">
        <w:rPr>
          <w:rFonts w:cs="Times New Roman"/>
          <w:u w:val="single"/>
          <w:lang w:val="fr-CA"/>
        </w:rPr>
        <w:t>Analyse</w:t>
      </w:r>
    </w:p>
    <w:p w:rsidR="00102A7D" w:rsidRPr="00A15EB4" w:rsidRDefault="00102A7D" w:rsidP="00102A7D">
      <w:pPr>
        <w:pStyle w:val="TitleTitre-AltT"/>
        <w:keepNext/>
        <w:rPr>
          <w:rFonts w:cs="Times New Roman"/>
          <w:lang w:val="fr-CA"/>
        </w:rPr>
      </w:pPr>
      <w:r w:rsidRPr="00A15EB4">
        <w:rPr>
          <w:rFonts w:cs="Times New Roman"/>
          <w:lang w:val="fr-CA"/>
        </w:rPr>
        <w:t>A.</w:t>
      </w:r>
      <w:r w:rsidRPr="00A15EB4">
        <w:rPr>
          <w:rFonts w:cs="Times New Roman"/>
          <w:lang w:val="fr-CA"/>
        </w:rPr>
        <w:tab/>
      </w:r>
      <w:r w:rsidRPr="00A15EB4">
        <w:rPr>
          <w:rFonts w:cs="Times New Roman"/>
          <w:i/>
          <w:lang w:val="fr-CA"/>
        </w:rPr>
        <w:t>Questions en litige</w:t>
      </w:r>
    </w:p>
    <w:p w:rsidR="00102A7D" w:rsidRPr="00A15EB4" w:rsidRDefault="00102A7D" w:rsidP="00102A7D">
      <w:pPr>
        <w:pStyle w:val="ParaNoNdepar-AltN"/>
        <w:rPr>
          <w:rFonts w:cs="Times New Roman"/>
          <w:lang w:val="fr-CA"/>
        </w:rPr>
      </w:pPr>
      <w:r w:rsidRPr="00A15EB4">
        <w:rPr>
          <w:rFonts w:cs="Times New Roman"/>
          <w:lang w:val="fr-CA"/>
        </w:rPr>
        <w:t>La Cour doit répondre à deux questions.  La principale est celle de l</w:t>
      </w:r>
      <w:r>
        <w:rPr>
          <w:rFonts w:cs="Times New Roman"/>
          <w:lang w:val="fr-CA"/>
        </w:rPr>
        <w:t>’</w:t>
      </w:r>
      <w:r w:rsidRPr="00A15EB4">
        <w:rPr>
          <w:rFonts w:cs="Times New Roman"/>
          <w:lang w:val="fr-CA"/>
        </w:rPr>
        <w:t>application ou non de l</w:t>
      </w:r>
      <w:r>
        <w:rPr>
          <w:rFonts w:cs="Times New Roman"/>
          <w:lang w:val="fr-CA"/>
        </w:rPr>
        <w:t>’</w:t>
      </w:r>
      <w:r w:rsidRPr="00A15EB4">
        <w:rPr>
          <w:rFonts w:cs="Times New Roman"/>
          <w:lang w:val="fr-CA"/>
        </w:rPr>
        <w:t>immunité de juridiction accordée à l</w:t>
      </w:r>
      <w:r>
        <w:rPr>
          <w:rFonts w:cs="Times New Roman"/>
          <w:lang w:val="fr-CA"/>
        </w:rPr>
        <w:t>’</w:t>
      </w:r>
      <w:r w:rsidRPr="00A15EB4">
        <w:rPr>
          <w:rFonts w:cs="Times New Roman"/>
          <w:lang w:val="fr-CA"/>
        </w:rPr>
        <w:t>OPANO.</w:t>
      </w:r>
      <w:r>
        <w:rPr>
          <w:rFonts w:cs="Times New Roman"/>
          <w:lang w:val="fr-CA"/>
        </w:rPr>
        <w:t xml:space="preserve"> </w:t>
      </w:r>
      <w:r w:rsidRPr="00A15EB4">
        <w:rPr>
          <w:rFonts w:cs="Times New Roman"/>
          <w:lang w:val="fr-CA"/>
        </w:rPr>
        <w:t xml:space="preserve"> Elle soulève la question de l</w:t>
      </w:r>
      <w:r>
        <w:rPr>
          <w:rFonts w:cs="Times New Roman"/>
          <w:lang w:val="fr-CA"/>
        </w:rPr>
        <w:t>’</w:t>
      </w:r>
      <w:r w:rsidRPr="00A15EB4">
        <w:rPr>
          <w:rFonts w:cs="Times New Roman"/>
          <w:lang w:val="fr-CA"/>
        </w:rPr>
        <w:t>interprétation à donner aux termes « dans la mesure où ses fonctions l</w:t>
      </w:r>
      <w:r>
        <w:rPr>
          <w:rFonts w:cs="Times New Roman"/>
          <w:lang w:val="fr-CA"/>
        </w:rPr>
        <w:t>’</w:t>
      </w:r>
      <w:r w:rsidRPr="00A15EB4">
        <w:rPr>
          <w:rFonts w:cs="Times New Roman"/>
          <w:lang w:val="fr-CA"/>
        </w:rPr>
        <w:t xml:space="preserve">exigent » utilisés au par. 3(1)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163998">
        <w:rPr>
          <w:rFonts w:cs="Times New Roman"/>
          <w:lang w:val="fr-CA"/>
        </w:rPr>
        <w:t xml:space="preserve">. </w:t>
      </w:r>
      <w:r w:rsidRPr="00A15EB4">
        <w:rPr>
          <w:rFonts w:cs="Times New Roman"/>
          <w:lang w:val="fr-CA"/>
        </w:rPr>
        <w:t xml:space="preserve"> En effet, ces termes établissent la portée et l</w:t>
      </w:r>
      <w:r>
        <w:rPr>
          <w:rFonts w:cs="Times New Roman"/>
          <w:lang w:val="fr-CA"/>
        </w:rPr>
        <w:t>’</w:t>
      </w:r>
      <w:r w:rsidRPr="00A15EB4">
        <w:rPr>
          <w:rFonts w:cs="Times New Roman"/>
          <w:lang w:val="fr-CA"/>
        </w:rPr>
        <w:t>objet de l</w:t>
      </w:r>
      <w:r>
        <w:rPr>
          <w:rFonts w:cs="Times New Roman"/>
          <w:lang w:val="fr-CA"/>
        </w:rPr>
        <w:t>’</w:t>
      </w:r>
      <w:r w:rsidRPr="00A15EB4">
        <w:rPr>
          <w:rFonts w:cs="Times New Roman"/>
          <w:lang w:val="fr-CA"/>
        </w:rPr>
        <w:t>immunité conférée à l</w:t>
      </w:r>
      <w:r>
        <w:rPr>
          <w:rFonts w:cs="Times New Roman"/>
          <w:lang w:val="fr-CA"/>
        </w:rPr>
        <w:t>’</w:t>
      </w:r>
      <w:r w:rsidRPr="00A15EB4">
        <w:rPr>
          <w:rFonts w:cs="Times New Roman"/>
          <w:lang w:val="fr-CA"/>
        </w:rPr>
        <w:t xml:space="preserve">intimée. </w:t>
      </w:r>
    </w:p>
    <w:p w:rsidR="00102A7D" w:rsidRPr="00A15EB4" w:rsidRDefault="00102A7D" w:rsidP="00102A7D">
      <w:pPr>
        <w:pStyle w:val="ParaNoNdepar-AltN"/>
        <w:rPr>
          <w:rFonts w:cs="Times New Roman"/>
          <w:lang w:val="fr-CA"/>
        </w:rPr>
      </w:pPr>
      <w:r w:rsidRPr="00A15EB4">
        <w:rPr>
          <w:rFonts w:cs="Times New Roman"/>
          <w:lang w:val="fr-CA"/>
        </w:rPr>
        <w:t>Si la Cour conclut que l</w:t>
      </w:r>
      <w:r>
        <w:rPr>
          <w:rFonts w:cs="Times New Roman"/>
          <w:lang w:val="fr-CA"/>
        </w:rPr>
        <w:t>’</w:t>
      </w:r>
      <w:r w:rsidRPr="00A15EB4">
        <w:rPr>
          <w:rFonts w:cs="Times New Roman"/>
          <w:lang w:val="fr-CA"/>
        </w:rPr>
        <w:t>OPANO jouit de l</w:t>
      </w:r>
      <w:r>
        <w:rPr>
          <w:rFonts w:cs="Times New Roman"/>
          <w:lang w:val="fr-CA"/>
        </w:rPr>
        <w:t>’</w:t>
      </w:r>
      <w:r w:rsidRPr="00A15EB4">
        <w:rPr>
          <w:rFonts w:cs="Times New Roman"/>
          <w:lang w:val="fr-CA"/>
        </w:rPr>
        <w:t>immunité de juridiction à l</w:t>
      </w:r>
      <w:r>
        <w:rPr>
          <w:rFonts w:cs="Times New Roman"/>
          <w:lang w:val="fr-CA"/>
        </w:rPr>
        <w:t>’</w:t>
      </w:r>
      <w:r w:rsidRPr="00A15EB4">
        <w:rPr>
          <w:rFonts w:cs="Times New Roman"/>
          <w:lang w:val="fr-CA"/>
        </w:rPr>
        <w:t>égard des réclamations de l</w:t>
      </w:r>
      <w:r>
        <w:rPr>
          <w:rFonts w:cs="Times New Roman"/>
          <w:lang w:val="fr-CA"/>
        </w:rPr>
        <w:t>’</w:t>
      </w:r>
      <w:r w:rsidRPr="00A15EB4">
        <w:rPr>
          <w:rFonts w:cs="Times New Roman"/>
          <w:lang w:val="fr-CA"/>
        </w:rPr>
        <w:t>appelant, elle devra se pencher sur une deuxième question, soit celle portant précisément sur l</w:t>
      </w:r>
      <w:r>
        <w:rPr>
          <w:rFonts w:cs="Times New Roman"/>
          <w:lang w:val="fr-CA"/>
        </w:rPr>
        <w:t>’</w:t>
      </w:r>
      <w:r w:rsidRPr="00A15EB4">
        <w:rPr>
          <w:rFonts w:cs="Times New Roman"/>
          <w:lang w:val="fr-CA"/>
        </w:rPr>
        <w:t>indemnité de cessation d</w:t>
      </w:r>
      <w:r>
        <w:rPr>
          <w:rFonts w:cs="Times New Roman"/>
          <w:lang w:val="fr-CA"/>
        </w:rPr>
        <w:t>’</w:t>
      </w:r>
      <w:r w:rsidRPr="00A15EB4">
        <w:rPr>
          <w:rFonts w:cs="Times New Roman"/>
          <w:lang w:val="fr-CA"/>
        </w:rPr>
        <w:t>emploi.  Il s</w:t>
      </w:r>
      <w:r>
        <w:rPr>
          <w:rFonts w:cs="Times New Roman"/>
          <w:lang w:val="fr-CA"/>
        </w:rPr>
        <w:t>’</w:t>
      </w:r>
      <w:r w:rsidRPr="00A15EB4">
        <w:rPr>
          <w:rFonts w:cs="Times New Roman"/>
          <w:lang w:val="fr-CA"/>
        </w:rPr>
        <w:t>agira de déterminer si l</w:t>
      </w:r>
      <w:r>
        <w:rPr>
          <w:rFonts w:cs="Times New Roman"/>
          <w:lang w:val="fr-CA"/>
        </w:rPr>
        <w:t>’</w:t>
      </w:r>
      <w:r w:rsidRPr="00A15EB4">
        <w:rPr>
          <w:rFonts w:cs="Times New Roman"/>
          <w:lang w:val="fr-CA"/>
        </w:rPr>
        <w:t>immunité s</w:t>
      </w:r>
      <w:r>
        <w:rPr>
          <w:rFonts w:cs="Times New Roman"/>
          <w:lang w:val="fr-CA"/>
        </w:rPr>
        <w:t>’</w:t>
      </w:r>
      <w:r w:rsidRPr="00A15EB4">
        <w:rPr>
          <w:rFonts w:cs="Times New Roman"/>
          <w:lang w:val="fr-CA"/>
        </w:rPr>
        <w:t>applique également à la réclamation de l</w:t>
      </w:r>
      <w:r>
        <w:rPr>
          <w:rFonts w:cs="Times New Roman"/>
          <w:lang w:val="fr-CA"/>
        </w:rPr>
        <w:t>’</w:t>
      </w:r>
      <w:r w:rsidRPr="00A15EB4">
        <w:rPr>
          <w:rFonts w:cs="Times New Roman"/>
          <w:lang w:val="fr-CA"/>
        </w:rPr>
        <w:t>appelant relative à l</w:t>
      </w:r>
      <w:r>
        <w:rPr>
          <w:rFonts w:cs="Times New Roman"/>
          <w:lang w:val="fr-CA"/>
        </w:rPr>
        <w:t>’</w:t>
      </w:r>
      <w:r w:rsidRPr="00A15EB4">
        <w:rPr>
          <w:rFonts w:cs="Times New Roman"/>
          <w:lang w:val="fr-CA"/>
        </w:rPr>
        <w:t>indemnité de cessation d</w:t>
      </w:r>
      <w:r>
        <w:rPr>
          <w:rFonts w:cs="Times New Roman"/>
          <w:lang w:val="fr-CA"/>
        </w:rPr>
        <w:t>’</w:t>
      </w:r>
      <w:r w:rsidRPr="00A15EB4">
        <w:rPr>
          <w:rFonts w:cs="Times New Roman"/>
          <w:lang w:val="fr-CA"/>
        </w:rPr>
        <w:t>emploi qui lui est payable en application du règlement régissant le personnel de l</w:t>
      </w:r>
      <w:r>
        <w:rPr>
          <w:rFonts w:cs="Times New Roman"/>
          <w:lang w:val="fr-CA"/>
        </w:rPr>
        <w:t>’</w:t>
      </w:r>
      <w:r w:rsidRPr="00A15EB4">
        <w:rPr>
          <w:rFonts w:cs="Times New Roman"/>
          <w:lang w:val="fr-CA"/>
        </w:rPr>
        <w:t>OPANO.</w:t>
      </w:r>
    </w:p>
    <w:p w:rsidR="00102A7D" w:rsidRPr="00A15EB4" w:rsidRDefault="00102A7D" w:rsidP="00102A7D">
      <w:pPr>
        <w:pStyle w:val="ParaNoNdepar-AltN"/>
        <w:rPr>
          <w:rFonts w:cs="Times New Roman"/>
          <w:lang w:val="fr-CA"/>
        </w:rPr>
      </w:pPr>
      <w:r w:rsidRPr="00A15EB4">
        <w:rPr>
          <w:rFonts w:cs="Times New Roman"/>
          <w:lang w:val="fr-CA"/>
        </w:rPr>
        <w:t>Avant de me pencher sur l</w:t>
      </w:r>
      <w:r>
        <w:rPr>
          <w:rFonts w:cs="Times New Roman"/>
          <w:lang w:val="fr-CA"/>
        </w:rPr>
        <w:t>’</w:t>
      </w:r>
      <w:r w:rsidRPr="00A15EB4">
        <w:rPr>
          <w:rFonts w:cs="Times New Roman"/>
          <w:lang w:val="fr-CA"/>
        </w:rPr>
        <w:t>interprétation qu</w:t>
      </w:r>
      <w:r>
        <w:rPr>
          <w:rFonts w:cs="Times New Roman"/>
          <w:lang w:val="fr-CA"/>
        </w:rPr>
        <w:t>’</w:t>
      </w:r>
      <w:r w:rsidRPr="00A15EB4">
        <w:rPr>
          <w:rFonts w:cs="Times New Roman"/>
          <w:lang w:val="fr-CA"/>
        </w:rPr>
        <w:t xml:space="preserve">il convient de donner au par. 3(1)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je formulerai certains commentaires généraux sur les immunités et les privilèges accordés aux organisations internationales.  Plus précisément, je ferai ressortir certaines différences entre les immunités accordées aux États, d</w:t>
      </w:r>
      <w:r>
        <w:rPr>
          <w:rFonts w:cs="Times New Roman"/>
          <w:lang w:val="fr-CA"/>
        </w:rPr>
        <w:t>’</w:t>
      </w:r>
      <w:r w:rsidRPr="00A15EB4">
        <w:rPr>
          <w:rFonts w:cs="Times New Roman"/>
          <w:lang w:val="fr-CA"/>
        </w:rPr>
        <w:t>une part, et celles accordées aux organisations internationales, d</w:t>
      </w:r>
      <w:r>
        <w:rPr>
          <w:rFonts w:cs="Times New Roman"/>
          <w:lang w:val="fr-CA"/>
        </w:rPr>
        <w:t>’</w:t>
      </w:r>
      <w:r w:rsidRPr="00A15EB4">
        <w:rPr>
          <w:rFonts w:cs="Times New Roman"/>
          <w:lang w:val="fr-CA"/>
        </w:rPr>
        <w:t>autre part.</w:t>
      </w:r>
    </w:p>
    <w:p w:rsidR="00102A7D" w:rsidRPr="00A15EB4" w:rsidRDefault="00102A7D" w:rsidP="00102A7D">
      <w:pPr>
        <w:pStyle w:val="TitleTitre-AltT"/>
        <w:keepNext/>
        <w:rPr>
          <w:rFonts w:cs="Times New Roman"/>
          <w:i/>
          <w:lang w:val="fr-CA"/>
        </w:rPr>
      </w:pPr>
      <w:r w:rsidRPr="00A15EB4">
        <w:rPr>
          <w:rFonts w:cs="Times New Roman"/>
          <w:lang w:val="fr-CA"/>
        </w:rPr>
        <w:lastRenderedPageBreak/>
        <w:t>B.</w:t>
      </w:r>
      <w:r w:rsidRPr="00A15EB4">
        <w:rPr>
          <w:rFonts w:cs="Times New Roman"/>
          <w:lang w:val="fr-CA"/>
        </w:rPr>
        <w:tab/>
      </w:r>
      <w:r w:rsidRPr="00A15EB4">
        <w:rPr>
          <w:rFonts w:cs="Times New Roman"/>
          <w:i/>
          <w:lang w:val="fr-CA"/>
        </w:rPr>
        <w:t>Immunités accordées aux États et immunités accordées aux organisations internationales</w:t>
      </w:r>
    </w:p>
    <w:p w:rsidR="00102A7D" w:rsidRPr="00A15EB4" w:rsidRDefault="00102A7D" w:rsidP="000D6FF1">
      <w:pPr>
        <w:pStyle w:val="ParaNoNdepar-AltN"/>
        <w:spacing w:before="240"/>
        <w:rPr>
          <w:rFonts w:cs="Times New Roman"/>
          <w:lang w:val="fr-CA"/>
        </w:rPr>
      </w:pPr>
      <w:r w:rsidRPr="00A15EB4">
        <w:rPr>
          <w:rFonts w:cs="Times New Roman"/>
          <w:lang w:val="fr-CA"/>
        </w:rPr>
        <w:t>Une règle générale du droit international coutumier reconnaît aux États une immunité de juridiction devant les tribunaux d</w:t>
      </w:r>
      <w:r>
        <w:rPr>
          <w:rFonts w:cs="Times New Roman"/>
          <w:lang w:val="fr-CA"/>
        </w:rPr>
        <w:t>’</w:t>
      </w:r>
      <w:r w:rsidRPr="00A15EB4">
        <w:rPr>
          <w:rFonts w:cs="Times New Roman"/>
          <w:lang w:val="fr-CA"/>
        </w:rPr>
        <w:t>autres États</w:t>
      </w:r>
      <w:r w:rsidR="000D6FF1">
        <w:rPr>
          <w:rFonts w:cs="Times New Roman"/>
          <w:lang w:val="fr-CA"/>
        </w:rPr>
        <w:t> </w:t>
      </w:r>
      <w:r w:rsidRPr="00A15EB4">
        <w:rPr>
          <w:rFonts w:cs="Times New Roman"/>
          <w:lang w:val="fr-CA"/>
        </w:rPr>
        <w:t xml:space="preserve">: </w:t>
      </w:r>
      <w:r w:rsidRPr="00A15EB4">
        <w:rPr>
          <w:rFonts w:cs="Times New Roman"/>
          <w:i/>
          <w:lang w:val="fr-CA"/>
        </w:rPr>
        <w:t>Immunités juridictionnelles de l</w:t>
      </w:r>
      <w:r>
        <w:rPr>
          <w:rFonts w:cs="Times New Roman"/>
          <w:i/>
          <w:lang w:val="fr-CA"/>
        </w:rPr>
        <w:t>’</w:t>
      </w:r>
      <w:r w:rsidRPr="00A15EB4">
        <w:rPr>
          <w:rFonts w:cs="Times New Roman"/>
          <w:i/>
          <w:lang w:val="fr-CA"/>
        </w:rPr>
        <w:t>Ét</w:t>
      </w:r>
      <w:r w:rsidR="0015069E">
        <w:rPr>
          <w:rFonts w:cs="Times New Roman"/>
          <w:i/>
          <w:lang w:val="fr-CA"/>
        </w:rPr>
        <w:t>at (</w:t>
      </w:r>
      <w:r w:rsidR="000D6FF1">
        <w:rPr>
          <w:rFonts w:cs="Times New Roman"/>
          <w:i/>
          <w:lang w:val="fr-CA"/>
        </w:rPr>
        <w:t>Italie</w:t>
      </w:r>
      <w:r w:rsidR="0015069E">
        <w:rPr>
          <w:rFonts w:cs="Times New Roman"/>
          <w:i/>
          <w:lang w:val="fr-CA"/>
        </w:rPr>
        <w:t xml:space="preserve"> c. </w:t>
      </w:r>
      <w:r w:rsidR="000D6FF1">
        <w:rPr>
          <w:rFonts w:cs="Times New Roman"/>
          <w:i/>
          <w:lang w:val="fr-CA"/>
        </w:rPr>
        <w:t>Italie </w:t>
      </w:r>
      <w:r w:rsidR="0015069E">
        <w:rPr>
          <w:rFonts w:cs="Times New Roman"/>
          <w:i/>
          <w:lang w:val="fr-CA"/>
        </w:rPr>
        <w:t>:</w:t>
      </w:r>
      <w:r w:rsidRPr="00A15EB4">
        <w:rPr>
          <w:rFonts w:cs="Times New Roman"/>
          <w:i/>
          <w:lang w:val="fr-CA"/>
        </w:rPr>
        <w:t xml:space="preserve"> Grèce (intervenant</w:t>
      </w:r>
      <w:r w:rsidR="000D6FF1">
        <w:rPr>
          <w:rFonts w:cs="Times New Roman"/>
          <w:i/>
          <w:lang w:val="fr-CA"/>
        </w:rPr>
        <w:t>)</w:t>
      </w:r>
      <w:r w:rsidRPr="00A15EB4">
        <w:rPr>
          <w:rFonts w:cs="Times New Roman"/>
          <w:i/>
          <w:lang w:val="fr-CA"/>
        </w:rPr>
        <w:t>)</w:t>
      </w:r>
      <w:r w:rsidRPr="00A15EB4">
        <w:rPr>
          <w:rFonts w:cs="Times New Roman"/>
          <w:lang w:val="fr-CA"/>
        </w:rPr>
        <w:t xml:space="preserve">, C.I.J., arrêt (3 février 2012), par. 56; Commission du droit international, </w:t>
      </w:r>
      <w:r>
        <w:rPr>
          <w:rFonts w:cs="Times New Roman"/>
          <w:lang w:val="fr-CA"/>
        </w:rPr>
        <w:t>« </w:t>
      </w:r>
      <w:r w:rsidR="0015069E">
        <w:rPr>
          <w:rFonts w:cs="Times New Roman"/>
          <w:lang w:val="fr-CA"/>
        </w:rPr>
        <w:t>Immunités juridictionnelles des États et de leurs biens</w:t>
      </w:r>
      <w:r w:rsidRPr="00A15EB4">
        <w:rPr>
          <w:rFonts w:cs="Times New Roman"/>
          <w:lang w:val="fr-CA"/>
        </w:rPr>
        <w:t> »</w:t>
      </w:r>
      <w:r w:rsidR="000D6FF1">
        <w:rPr>
          <w:rFonts w:cs="Times New Roman"/>
          <w:lang w:val="fr-CA"/>
        </w:rPr>
        <w:t>,</w:t>
      </w:r>
      <w:r w:rsidR="0015069E">
        <w:rPr>
          <w:rFonts w:cs="Times New Roman"/>
          <w:lang w:val="fr-CA"/>
        </w:rPr>
        <w:t xml:space="preserve"> dans</w:t>
      </w:r>
      <w:r w:rsidRPr="00A15EB4">
        <w:rPr>
          <w:rFonts w:cs="Times New Roman"/>
          <w:lang w:val="fr-CA"/>
        </w:rPr>
        <w:t xml:space="preserve"> </w:t>
      </w:r>
      <w:r w:rsidRPr="00A15EB4">
        <w:rPr>
          <w:rFonts w:cs="Times New Roman"/>
          <w:i/>
          <w:lang w:val="fr-CA"/>
        </w:rPr>
        <w:t>Annuaire de la Commission du droit international</w:t>
      </w:r>
      <w:r w:rsidRPr="00A15EB4">
        <w:rPr>
          <w:rFonts w:cs="Times New Roman"/>
          <w:lang w:val="fr-CA"/>
        </w:rPr>
        <w:t xml:space="preserve"> </w:t>
      </w:r>
      <w:r w:rsidRPr="00A15EB4">
        <w:rPr>
          <w:rFonts w:cs="Times New Roman"/>
          <w:i/>
          <w:lang w:val="fr-CA"/>
        </w:rPr>
        <w:t>1980</w:t>
      </w:r>
      <w:r w:rsidR="000D6FF1">
        <w:rPr>
          <w:rFonts w:cs="Times New Roman"/>
          <w:i/>
          <w:lang w:val="fr-CA"/>
        </w:rPr>
        <w:t xml:space="preserve"> </w:t>
      </w:r>
      <w:r w:rsidR="000D6FF1" w:rsidRPr="000D6FF1">
        <w:rPr>
          <w:rFonts w:cs="Times New Roman"/>
          <w:lang w:val="fr-CA"/>
        </w:rPr>
        <w:t>(1981)</w:t>
      </w:r>
      <w:r w:rsidR="00737D20">
        <w:rPr>
          <w:rFonts w:cs="Times New Roman"/>
          <w:lang w:val="fr-CA"/>
        </w:rPr>
        <w:t>, vol. II, deuxième partie, 13</w:t>
      </w:r>
      <w:r w:rsidRPr="00A15EB4">
        <w:rPr>
          <w:rFonts w:cs="Times New Roman"/>
          <w:lang w:val="fr-CA"/>
        </w:rPr>
        <w:t xml:space="preserve">4, </w:t>
      </w:r>
      <w:r w:rsidR="000D6FF1">
        <w:rPr>
          <w:rFonts w:cs="Times New Roman"/>
          <w:lang w:val="fr-CA"/>
        </w:rPr>
        <w:t>p. 144-145</w:t>
      </w:r>
      <w:r w:rsidRPr="00A15EB4">
        <w:rPr>
          <w:rFonts w:cs="Times New Roman"/>
          <w:lang w:val="fr-CA"/>
        </w:rPr>
        <w:t>.  Selon la Cour internationale de justice, l</w:t>
      </w:r>
      <w:r>
        <w:rPr>
          <w:rFonts w:cs="Times New Roman"/>
          <w:lang w:val="fr-CA"/>
        </w:rPr>
        <w:t>’</w:t>
      </w:r>
      <w:r w:rsidRPr="00A15EB4">
        <w:rPr>
          <w:rFonts w:cs="Times New Roman"/>
          <w:lang w:val="fr-CA"/>
        </w:rPr>
        <w:t>immunité de l</w:t>
      </w:r>
      <w:r>
        <w:rPr>
          <w:rFonts w:cs="Times New Roman"/>
          <w:lang w:val="fr-CA"/>
        </w:rPr>
        <w:t>’</w:t>
      </w:r>
      <w:r w:rsidRPr="00A15EB4">
        <w:rPr>
          <w:rFonts w:cs="Times New Roman"/>
          <w:lang w:val="fr-CA"/>
        </w:rPr>
        <w:t>État « procède du principe de l</w:t>
      </w:r>
      <w:r>
        <w:rPr>
          <w:rFonts w:cs="Times New Roman"/>
          <w:lang w:val="fr-CA"/>
        </w:rPr>
        <w:t>’</w:t>
      </w:r>
      <w:r w:rsidRPr="00A15EB4">
        <w:rPr>
          <w:rFonts w:cs="Times New Roman"/>
          <w:lang w:val="fr-CA"/>
        </w:rPr>
        <w:t>égalité souveraine des États qui, ainsi que cela ressort clairement du paragraphe 1 de l</w:t>
      </w:r>
      <w:r>
        <w:rPr>
          <w:rFonts w:cs="Times New Roman"/>
          <w:lang w:val="fr-CA"/>
        </w:rPr>
        <w:t>’</w:t>
      </w:r>
      <w:r w:rsidRPr="00A15EB4">
        <w:rPr>
          <w:rFonts w:cs="Times New Roman"/>
          <w:lang w:val="fr-CA"/>
        </w:rPr>
        <w:t xml:space="preserve">article 2 de la </w:t>
      </w:r>
      <w:r w:rsidRPr="0015069E">
        <w:rPr>
          <w:rFonts w:cs="Times New Roman"/>
          <w:lang w:val="fr-CA"/>
        </w:rPr>
        <w:t>Charte des Nations Unies</w:t>
      </w:r>
      <w:r w:rsidRPr="00A15EB4">
        <w:rPr>
          <w:rFonts w:cs="Times New Roman"/>
          <w:lang w:val="fr-CA"/>
        </w:rPr>
        <w:t>, est l</w:t>
      </w:r>
      <w:r>
        <w:rPr>
          <w:rFonts w:cs="Times New Roman"/>
          <w:lang w:val="fr-CA"/>
        </w:rPr>
        <w:t>’</w:t>
      </w:r>
      <w:r w:rsidRPr="00A15EB4">
        <w:rPr>
          <w:rFonts w:cs="Times New Roman"/>
          <w:lang w:val="fr-CA"/>
        </w:rPr>
        <w:t>un des principes fondamentaux de l</w:t>
      </w:r>
      <w:r>
        <w:rPr>
          <w:rFonts w:cs="Times New Roman"/>
          <w:lang w:val="fr-CA"/>
        </w:rPr>
        <w:t>’</w:t>
      </w:r>
      <w:r w:rsidRPr="00A15EB4">
        <w:rPr>
          <w:rFonts w:cs="Times New Roman"/>
          <w:lang w:val="fr-CA"/>
        </w:rPr>
        <w:t xml:space="preserve">ordre juridique international » : </w:t>
      </w:r>
      <w:r w:rsidRPr="00A15EB4">
        <w:rPr>
          <w:rFonts w:cs="Times New Roman"/>
          <w:i/>
          <w:lang w:val="fr-CA"/>
        </w:rPr>
        <w:t>Immunités juridictionnelles de l</w:t>
      </w:r>
      <w:r>
        <w:rPr>
          <w:rFonts w:cs="Times New Roman"/>
          <w:i/>
          <w:lang w:val="fr-CA"/>
        </w:rPr>
        <w:t>’</w:t>
      </w:r>
      <w:r w:rsidRPr="00A15EB4">
        <w:rPr>
          <w:rFonts w:cs="Times New Roman"/>
          <w:i/>
          <w:lang w:val="fr-CA"/>
        </w:rPr>
        <w:t>État</w:t>
      </w:r>
      <w:r w:rsidRPr="00A15EB4">
        <w:rPr>
          <w:rFonts w:cs="Times New Roman"/>
          <w:lang w:val="fr-CA"/>
        </w:rPr>
        <w:t xml:space="preserve">, par. 57.  La </w:t>
      </w:r>
      <w:r w:rsidRPr="00A15EB4">
        <w:rPr>
          <w:rFonts w:cs="Times New Roman"/>
          <w:i/>
          <w:lang w:val="fr-CA"/>
        </w:rPr>
        <w:t>Convention des Nations Unies sur les immunités juridictionnelles des États et de leurs biens</w:t>
      </w:r>
      <w:r w:rsidRPr="00A15EB4">
        <w:rPr>
          <w:rFonts w:cs="Times New Roman"/>
          <w:lang w:val="fr-CA"/>
        </w:rPr>
        <w:t xml:space="preserve"> (2004) est la première convention internationale générale visant à codifier les règles relatives à l</w:t>
      </w:r>
      <w:r>
        <w:rPr>
          <w:rFonts w:cs="Times New Roman"/>
          <w:lang w:val="fr-CA"/>
        </w:rPr>
        <w:t>’</w:t>
      </w:r>
      <w:r w:rsidRPr="00A15EB4">
        <w:rPr>
          <w:rFonts w:cs="Times New Roman"/>
          <w:lang w:val="fr-CA"/>
        </w:rPr>
        <w:t>immunité des États; elle n</w:t>
      </w:r>
      <w:r>
        <w:rPr>
          <w:rFonts w:cs="Times New Roman"/>
          <w:lang w:val="fr-CA"/>
        </w:rPr>
        <w:t>’</w:t>
      </w:r>
      <w:r w:rsidRPr="00A15EB4">
        <w:rPr>
          <w:rFonts w:cs="Times New Roman"/>
          <w:lang w:val="fr-CA"/>
        </w:rPr>
        <w:t>est toutefois pas encore en vigueur.</w:t>
      </w:r>
    </w:p>
    <w:p w:rsidR="00102A7D" w:rsidRPr="00A15EB4" w:rsidRDefault="00102A7D" w:rsidP="00102A7D">
      <w:pPr>
        <w:pStyle w:val="ParaNoNdepar-AltN"/>
        <w:rPr>
          <w:rFonts w:cs="Times New Roman"/>
          <w:lang w:val="fr-CA"/>
        </w:rPr>
      </w:pPr>
      <w:r w:rsidRPr="00A15EB4">
        <w:rPr>
          <w:rFonts w:cs="Times New Roman"/>
          <w:lang w:val="fr-CA"/>
        </w:rPr>
        <w:t>À l</w:t>
      </w:r>
      <w:r>
        <w:rPr>
          <w:rFonts w:cs="Times New Roman"/>
          <w:lang w:val="fr-CA"/>
        </w:rPr>
        <w:t>’</w:t>
      </w:r>
      <w:r w:rsidRPr="00A15EB4">
        <w:rPr>
          <w:rFonts w:cs="Times New Roman"/>
          <w:lang w:val="fr-CA"/>
        </w:rPr>
        <w:t>instar d</w:t>
      </w:r>
      <w:r>
        <w:rPr>
          <w:rFonts w:cs="Times New Roman"/>
          <w:lang w:val="fr-CA"/>
        </w:rPr>
        <w:t>’</w:t>
      </w:r>
      <w:r w:rsidRPr="00A15EB4">
        <w:rPr>
          <w:rFonts w:cs="Times New Roman"/>
          <w:lang w:val="fr-CA"/>
        </w:rPr>
        <w:t>autres États, le Canada a légiféré quant à l</w:t>
      </w:r>
      <w:r>
        <w:rPr>
          <w:rFonts w:cs="Times New Roman"/>
          <w:lang w:val="fr-CA"/>
        </w:rPr>
        <w:t>’</w:t>
      </w:r>
      <w:r w:rsidRPr="00A15EB4">
        <w:rPr>
          <w:rFonts w:cs="Times New Roman"/>
          <w:lang w:val="fr-CA"/>
        </w:rPr>
        <w:t xml:space="preserve">immunité des États.  En effet, le Parlement a adopté la </w:t>
      </w:r>
      <w:r w:rsidRPr="00A15EB4">
        <w:rPr>
          <w:rFonts w:cs="Times New Roman"/>
          <w:i/>
          <w:lang w:val="fr-CA"/>
        </w:rPr>
        <w:t>Loi sur l</w:t>
      </w:r>
      <w:r>
        <w:rPr>
          <w:rFonts w:cs="Times New Roman"/>
          <w:i/>
          <w:lang w:val="fr-CA"/>
        </w:rPr>
        <w:t>’</w:t>
      </w:r>
      <w:r w:rsidRPr="00A15EB4">
        <w:rPr>
          <w:rFonts w:cs="Times New Roman"/>
          <w:i/>
          <w:lang w:val="fr-CA"/>
        </w:rPr>
        <w:t>immunité des États</w:t>
      </w:r>
      <w:r w:rsidRPr="00A15EB4">
        <w:rPr>
          <w:rFonts w:cs="Times New Roman"/>
          <w:lang w:val="fr-CA"/>
        </w:rPr>
        <w:t>, L.R.C. 1985, ch. S</w:t>
      </w:r>
      <w:r w:rsidRPr="00A15EB4">
        <w:rPr>
          <w:rFonts w:cs="Times New Roman"/>
          <w:lang w:val="fr-CA"/>
        </w:rPr>
        <w:noBreakHyphen/>
        <w:t>18, qui reconnaît aux États étrangers l</w:t>
      </w:r>
      <w:r>
        <w:rPr>
          <w:rFonts w:cs="Times New Roman"/>
          <w:lang w:val="fr-CA"/>
        </w:rPr>
        <w:t>’</w:t>
      </w:r>
      <w:r w:rsidRPr="00A15EB4">
        <w:rPr>
          <w:rFonts w:cs="Times New Roman"/>
          <w:lang w:val="fr-CA"/>
        </w:rPr>
        <w:t>immunité de juridiction devant les tribunaux canadiens, sauf dans les actions portant sur des « activités commerciales ».  Le Canada a ainsi adopté une approche restrictive à l</w:t>
      </w:r>
      <w:r>
        <w:rPr>
          <w:rFonts w:cs="Times New Roman"/>
          <w:lang w:val="fr-CA"/>
        </w:rPr>
        <w:t>’</w:t>
      </w:r>
      <w:r w:rsidRPr="00A15EB4">
        <w:rPr>
          <w:rFonts w:cs="Times New Roman"/>
          <w:lang w:val="fr-CA"/>
        </w:rPr>
        <w:t>égard de l</w:t>
      </w:r>
      <w:r>
        <w:rPr>
          <w:rFonts w:cs="Times New Roman"/>
          <w:lang w:val="fr-CA"/>
        </w:rPr>
        <w:t>’</w:t>
      </w:r>
      <w:r w:rsidRPr="00A15EB4">
        <w:rPr>
          <w:rFonts w:cs="Times New Roman"/>
          <w:lang w:val="fr-CA"/>
        </w:rPr>
        <w:t>immunité des États et rejeté l</w:t>
      </w:r>
      <w:r>
        <w:rPr>
          <w:rFonts w:cs="Times New Roman"/>
          <w:lang w:val="fr-CA"/>
        </w:rPr>
        <w:t>’</w:t>
      </w:r>
      <w:r w:rsidRPr="00A15EB4">
        <w:rPr>
          <w:rFonts w:cs="Times New Roman"/>
          <w:lang w:val="fr-CA"/>
        </w:rPr>
        <w:t>approche absolue selon laquelle les États bénéficient traditionnellement d</w:t>
      </w:r>
      <w:r>
        <w:rPr>
          <w:rFonts w:cs="Times New Roman"/>
          <w:lang w:val="fr-CA"/>
        </w:rPr>
        <w:t>’</w:t>
      </w:r>
      <w:r w:rsidRPr="00A15EB4">
        <w:rPr>
          <w:rFonts w:cs="Times New Roman"/>
          <w:lang w:val="fr-CA"/>
        </w:rPr>
        <w:t xml:space="preserve">une immunité en toutes circonstances : J. H. Currie, C. Forcese et V. Oosterveld, </w:t>
      </w:r>
      <w:r w:rsidRPr="00A15EB4">
        <w:rPr>
          <w:rFonts w:cs="Times New Roman"/>
          <w:i/>
          <w:lang w:val="fr-CA"/>
        </w:rPr>
        <w:lastRenderedPageBreak/>
        <w:t>International Law : Doctrine, Practice, and Theory</w:t>
      </w:r>
      <w:r w:rsidRPr="00A15EB4">
        <w:rPr>
          <w:rFonts w:cs="Times New Roman"/>
          <w:lang w:val="fr-CA"/>
        </w:rPr>
        <w:t xml:space="preserve"> (2007), p. 494</w:t>
      </w:r>
      <w:r w:rsidRPr="00A15EB4">
        <w:rPr>
          <w:rFonts w:cs="Times New Roman"/>
          <w:lang w:val="fr-CA"/>
        </w:rPr>
        <w:noBreakHyphen/>
        <w:t xml:space="preserve">501; voir aussi </w:t>
      </w:r>
      <w:r w:rsidRPr="00A15EB4">
        <w:rPr>
          <w:rFonts w:cs="Times New Roman"/>
          <w:i/>
          <w:lang w:val="fr-CA"/>
        </w:rPr>
        <w:t>Kuwait Airways Corp. c. Ira</w:t>
      </w:r>
      <w:r w:rsidR="0015069E">
        <w:rPr>
          <w:rFonts w:cs="Times New Roman"/>
          <w:i/>
          <w:lang w:val="fr-CA"/>
        </w:rPr>
        <w:t>k</w:t>
      </w:r>
      <w:r w:rsidRPr="00A15EB4">
        <w:rPr>
          <w:rFonts w:cs="Times New Roman"/>
          <w:lang w:val="fr-CA"/>
        </w:rPr>
        <w:t>, 2010 CSC 40, [2010] 2 R.C.S. 571.</w:t>
      </w:r>
    </w:p>
    <w:p w:rsidR="00102A7D" w:rsidRPr="00A15EB4" w:rsidRDefault="00102A7D" w:rsidP="00102A7D">
      <w:pPr>
        <w:pStyle w:val="ParaNoNdepar-AltN"/>
        <w:rPr>
          <w:rFonts w:cs="Times New Roman"/>
          <w:lang w:val="fr-CA"/>
        </w:rPr>
      </w:pPr>
      <w:r w:rsidRPr="00A15EB4">
        <w:rPr>
          <w:rFonts w:cs="Times New Roman"/>
          <w:lang w:val="fr-CA"/>
        </w:rPr>
        <w:t>Selon le point de vue dominant à l</w:t>
      </w:r>
      <w:r>
        <w:rPr>
          <w:rFonts w:cs="Times New Roman"/>
          <w:lang w:val="fr-CA"/>
        </w:rPr>
        <w:t>’</w:t>
      </w:r>
      <w:r w:rsidRPr="00A15EB4">
        <w:rPr>
          <w:rFonts w:cs="Times New Roman"/>
          <w:lang w:val="fr-CA"/>
        </w:rPr>
        <w:t>heure actuelle, il n</w:t>
      </w:r>
      <w:r>
        <w:rPr>
          <w:rFonts w:cs="Times New Roman"/>
          <w:lang w:val="fr-CA"/>
        </w:rPr>
        <w:t>’</w:t>
      </w:r>
      <w:r w:rsidRPr="00A15EB4">
        <w:rPr>
          <w:rFonts w:cs="Times New Roman"/>
          <w:lang w:val="fr-CA"/>
        </w:rPr>
        <w:t>existe en revanche aucune règle de droit international coutumier conférant une immunité aux organisations internationales.  Celles</w:t>
      </w:r>
      <w:r w:rsidRPr="00A15EB4">
        <w:rPr>
          <w:rFonts w:cs="Times New Roman"/>
          <w:lang w:val="fr-CA"/>
        </w:rPr>
        <w:noBreakHyphen/>
        <w:t xml:space="preserve">ci sont des créatures des traités et il en va de même des immunités auxquelles elles ont droit : H. Fox, </w:t>
      </w:r>
      <w:r w:rsidRPr="00A15EB4">
        <w:rPr>
          <w:rFonts w:cs="Times New Roman"/>
          <w:i/>
          <w:lang w:val="fr-CA"/>
        </w:rPr>
        <w:t>The Law of State Immunity</w:t>
      </w:r>
      <w:r w:rsidRPr="00A15EB4">
        <w:rPr>
          <w:rFonts w:cs="Times New Roman"/>
          <w:lang w:val="fr-CA"/>
        </w:rPr>
        <w:t xml:space="preserve"> (2</w:t>
      </w:r>
      <w:r w:rsidRPr="00A15EB4">
        <w:rPr>
          <w:rFonts w:cs="Times New Roman"/>
          <w:vertAlign w:val="superscript"/>
          <w:lang w:val="fr-CA"/>
        </w:rPr>
        <w:t>e</w:t>
      </w:r>
      <w:r w:rsidRPr="00A15EB4">
        <w:rPr>
          <w:rFonts w:cs="Times New Roman"/>
          <w:lang w:val="fr-CA"/>
        </w:rPr>
        <w:t> éd. 2008), p. 725</w:t>
      </w:r>
      <w:r w:rsidRPr="00A15EB4">
        <w:rPr>
          <w:rFonts w:cs="Times New Roman"/>
          <w:lang w:val="fr-CA"/>
        </w:rPr>
        <w:noBreakHyphen/>
      </w:r>
      <w:r w:rsidR="0015069E">
        <w:rPr>
          <w:rFonts w:cs="Times New Roman"/>
          <w:lang w:val="fr-CA"/>
        </w:rPr>
        <w:t>7</w:t>
      </w:r>
      <w:r w:rsidRPr="00A15EB4">
        <w:rPr>
          <w:rFonts w:cs="Times New Roman"/>
          <w:lang w:val="fr-CA"/>
        </w:rPr>
        <w:t>26.  De telles organisations exercent leurs activités sur le territoire d</w:t>
      </w:r>
      <w:r>
        <w:rPr>
          <w:rFonts w:cs="Times New Roman"/>
          <w:lang w:val="fr-CA"/>
        </w:rPr>
        <w:t>’</w:t>
      </w:r>
      <w:r w:rsidRPr="00A15EB4">
        <w:rPr>
          <w:rFonts w:cs="Times New Roman"/>
          <w:lang w:val="fr-CA"/>
        </w:rPr>
        <w:t>États étrangers et par l</w:t>
      </w:r>
      <w:r>
        <w:rPr>
          <w:rFonts w:cs="Times New Roman"/>
          <w:lang w:val="fr-CA"/>
        </w:rPr>
        <w:t>’</w:t>
      </w:r>
      <w:r w:rsidRPr="00A15EB4">
        <w:rPr>
          <w:rFonts w:cs="Times New Roman"/>
          <w:lang w:val="fr-CA"/>
        </w:rPr>
        <w:t>intermédiaire de personnes pourvues de la nationalité de ces États; elles sont par le fait même exposées à des ingérences, parce qu</w:t>
      </w:r>
      <w:r>
        <w:rPr>
          <w:rFonts w:cs="Times New Roman"/>
          <w:lang w:val="fr-CA"/>
        </w:rPr>
        <w:t>’</w:t>
      </w:r>
      <w:r w:rsidRPr="00A15EB4">
        <w:rPr>
          <w:rFonts w:cs="Times New Roman"/>
          <w:lang w:val="fr-CA"/>
        </w:rPr>
        <w:t>elles ne possèdent ni territoire, ni population qui leur sont propres : Fox, p. 724.  Cette réalité rend l</w:t>
      </w:r>
      <w:r>
        <w:rPr>
          <w:rFonts w:cs="Times New Roman"/>
          <w:lang w:val="fr-CA"/>
        </w:rPr>
        <w:t>’</w:t>
      </w:r>
      <w:r w:rsidRPr="00A15EB4">
        <w:rPr>
          <w:rFonts w:cs="Times New Roman"/>
          <w:lang w:val="fr-CA"/>
        </w:rPr>
        <w:t>immunité essentielle au fonctionnement efficace et indépendant des organisations internationales.</w:t>
      </w:r>
      <w:r>
        <w:rPr>
          <w:rFonts w:cs="Times New Roman"/>
          <w:lang w:val="fr-CA"/>
        </w:rPr>
        <w:t xml:space="preserve"> </w:t>
      </w:r>
      <w:r w:rsidRPr="00A15EB4">
        <w:rPr>
          <w:rFonts w:cs="Times New Roman"/>
          <w:lang w:val="fr-CA"/>
        </w:rPr>
        <w:t xml:space="preserve"> Elle façonne aussi les immunités et les privilèges qui leur sont accordés et qui procèdent d</w:t>
      </w:r>
      <w:r>
        <w:rPr>
          <w:rFonts w:cs="Times New Roman"/>
          <w:lang w:val="fr-CA"/>
        </w:rPr>
        <w:t>’</w:t>
      </w:r>
      <w:r w:rsidRPr="00A15EB4">
        <w:rPr>
          <w:rFonts w:cs="Times New Roman"/>
          <w:lang w:val="fr-CA"/>
        </w:rPr>
        <w:t>une interaction complexe entre des accords internationaux et le droit interne des États d</w:t>
      </w:r>
      <w:r>
        <w:rPr>
          <w:rFonts w:cs="Times New Roman"/>
          <w:lang w:val="fr-CA"/>
        </w:rPr>
        <w:t>’</w:t>
      </w:r>
      <w:r w:rsidRPr="00A15EB4">
        <w:rPr>
          <w:rFonts w:cs="Times New Roman"/>
          <w:lang w:val="fr-CA"/>
        </w:rPr>
        <w:t>accueil.</w:t>
      </w:r>
    </w:p>
    <w:p w:rsidR="00102A7D" w:rsidRPr="00A15EB4" w:rsidRDefault="00102A7D" w:rsidP="00102A7D">
      <w:pPr>
        <w:pStyle w:val="ParaNoNdepar-AltN"/>
        <w:rPr>
          <w:rFonts w:cs="Times New Roman"/>
          <w:lang w:val="fr-CA"/>
        </w:rPr>
      </w:pPr>
      <w:r w:rsidRPr="00A15EB4">
        <w:rPr>
          <w:rFonts w:cs="Times New Roman"/>
          <w:lang w:val="fr-CA"/>
        </w:rPr>
        <w:t>Les organisations internationales varient considérablement quant à leur taille, à leur sphère d</w:t>
      </w:r>
      <w:r>
        <w:rPr>
          <w:rFonts w:cs="Times New Roman"/>
          <w:lang w:val="fr-CA"/>
        </w:rPr>
        <w:t>’</w:t>
      </w:r>
      <w:r w:rsidRPr="00A15EB4">
        <w:rPr>
          <w:rFonts w:cs="Times New Roman"/>
          <w:lang w:val="fr-CA"/>
        </w:rPr>
        <w:t>activité et à leurs pouvoirs.  Cela se reflète dans la source et l</w:t>
      </w:r>
      <w:r>
        <w:rPr>
          <w:rFonts w:cs="Times New Roman"/>
          <w:lang w:val="fr-CA"/>
        </w:rPr>
        <w:t>’</w:t>
      </w:r>
      <w:r w:rsidRPr="00A15EB4">
        <w:rPr>
          <w:rFonts w:cs="Times New Roman"/>
          <w:lang w:val="fr-CA"/>
        </w:rPr>
        <w:t>étendue des immunités et privilèges qui leur sont conférés.  À titre d</w:t>
      </w:r>
      <w:r>
        <w:rPr>
          <w:rFonts w:cs="Times New Roman"/>
          <w:lang w:val="fr-CA"/>
        </w:rPr>
        <w:t>’</w:t>
      </w:r>
      <w:r w:rsidRPr="00A15EB4">
        <w:rPr>
          <w:rFonts w:cs="Times New Roman"/>
          <w:lang w:val="fr-CA"/>
        </w:rPr>
        <w:t xml:space="preserve">exemple, la </w:t>
      </w:r>
      <w:r w:rsidRPr="00A15EB4">
        <w:rPr>
          <w:rFonts w:cs="Times New Roman"/>
          <w:i/>
          <w:lang w:val="fr-CA"/>
        </w:rPr>
        <w:t>Convention sur les privilèges et immunités des Nations Unies</w:t>
      </w:r>
      <w:r w:rsidRPr="00A15EB4">
        <w:rPr>
          <w:rFonts w:cs="Times New Roman"/>
          <w:lang w:val="fr-CA"/>
        </w:rPr>
        <w:t xml:space="preserve">, 1 R.T.N.U. 15, et la </w:t>
      </w:r>
      <w:r w:rsidRPr="00A15EB4">
        <w:rPr>
          <w:rFonts w:cs="Times New Roman"/>
          <w:i/>
          <w:lang w:val="fr-CA"/>
        </w:rPr>
        <w:t>Convention sur les privilèges et immunités des institutions spécialisées</w:t>
      </w:r>
      <w:r w:rsidRPr="00A15EB4">
        <w:rPr>
          <w:rFonts w:cs="Times New Roman"/>
          <w:lang w:val="fr-CA"/>
        </w:rPr>
        <w:t xml:space="preserve">, 33 R.T.N.U. 261, contiennent des dispositions détaillées conférant des immunités et des privilèges étendus aux Nations Unies et à ses institutions.  En plus des conventions </w:t>
      </w:r>
      <w:r w:rsidRPr="00A15EB4">
        <w:rPr>
          <w:rFonts w:cs="Times New Roman"/>
          <w:lang w:val="fr-CA"/>
        </w:rPr>
        <w:lastRenderedPageBreak/>
        <w:t>internationales conférant des immunités et des privilèges uniformes applicables dans tous les États membres, les organisations internationales les plus importantes comme les Nations Unies et ses institutions négocient aussi des accords de siège exhaustifs et détaillés avec l</w:t>
      </w:r>
      <w:r>
        <w:rPr>
          <w:rFonts w:cs="Times New Roman"/>
          <w:lang w:val="fr-CA"/>
        </w:rPr>
        <w:t>’</w:t>
      </w:r>
      <w:r w:rsidRPr="00A15EB4">
        <w:rPr>
          <w:rFonts w:cs="Times New Roman"/>
          <w:lang w:val="fr-CA"/>
        </w:rPr>
        <w:t>État d</w:t>
      </w:r>
      <w:r>
        <w:rPr>
          <w:rFonts w:cs="Times New Roman"/>
          <w:lang w:val="fr-CA"/>
        </w:rPr>
        <w:t>’</w:t>
      </w:r>
      <w:r w:rsidRPr="00A15EB4">
        <w:rPr>
          <w:rFonts w:cs="Times New Roman"/>
          <w:lang w:val="fr-CA"/>
        </w:rPr>
        <w:t>accueil : voir</w:t>
      </w:r>
      <w:r w:rsidR="0015069E">
        <w:rPr>
          <w:rFonts w:cs="Times New Roman"/>
          <w:lang w:val="fr-CA"/>
        </w:rPr>
        <w:t>,</w:t>
      </w:r>
      <w:r w:rsidRPr="00A15EB4">
        <w:rPr>
          <w:rFonts w:cs="Times New Roman"/>
          <w:lang w:val="fr-CA"/>
        </w:rPr>
        <w:t xml:space="preserve"> p. ex.</w:t>
      </w:r>
      <w:r w:rsidR="0015069E">
        <w:rPr>
          <w:rFonts w:cs="Times New Roman"/>
          <w:lang w:val="fr-CA"/>
        </w:rPr>
        <w:t>,</w:t>
      </w:r>
      <w:r w:rsidRPr="00A15EB4">
        <w:rPr>
          <w:rFonts w:cs="Times New Roman"/>
          <w:lang w:val="fr-CA"/>
        </w:rPr>
        <w:t xml:space="preserve"> l</w:t>
      </w:r>
      <w:r>
        <w:rPr>
          <w:rFonts w:cs="Times New Roman"/>
          <w:lang w:val="fr-CA"/>
        </w:rPr>
        <w:t>’</w:t>
      </w:r>
      <w:r w:rsidRPr="00A15EB4">
        <w:rPr>
          <w:rFonts w:cs="Times New Roman"/>
          <w:i/>
          <w:lang w:val="fr-CA"/>
        </w:rPr>
        <w:t>Accord de siège entre le gouvernement du Canada et l</w:t>
      </w:r>
      <w:r>
        <w:rPr>
          <w:rFonts w:cs="Times New Roman"/>
          <w:i/>
          <w:lang w:val="fr-CA"/>
        </w:rPr>
        <w:t>’</w:t>
      </w:r>
      <w:r w:rsidRPr="00A15EB4">
        <w:rPr>
          <w:rFonts w:cs="Times New Roman"/>
          <w:i/>
          <w:lang w:val="fr-CA"/>
        </w:rPr>
        <w:t>Organisation de l</w:t>
      </w:r>
      <w:r>
        <w:rPr>
          <w:rFonts w:cs="Times New Roman"/>
          <w:i/>
          <w:lang w:val="fr-CA"/>
        </w:rPr>
        <w:t>’</w:t>
      </w:r>
      <w:r w:rsidRPr="00A15EB4">
        <w:rPr>
          <w:rFonts w:cs="Times New Roman"/>
          <w:i/>
          <w:lang w:val="fr-CA"/>
        </w:rPr>
        <w:t>aviation civile internationale</w:t>
      </w:r>
      <w:r w:rsidRPr="00A15EB4">
        <w:rPr>
          <w:rFonts w:cs="Times New Roman"/>
          <w:lang w:val="fr-CA"/>
        </w:rPr>
        <w:t>, R.T. Can. 1992 n</w:t>
      </w:r>
      <w:r w:rsidRPr="00A15EB4">
        <w:rPr>
          <w:rFonts w:cs="Times New Roman"/>
          <w:vertAlign w:val="superscript"/>
          <w:lang w:val="fr-CA"/>
        </w:rPr>
        <w:t>o</w:t>
      </w:r>
      <w:r w:rsidRPr="00A15EB4">
        <w:rPr>
          <w:rFonts w:cs="Times New Roman"/>
          <w:lang w:val="fr-CA"/>
        </w:rPr>
        <w:t> 7, et les accords supplémentaires de 1999 et 2013.</w:t>
      </w:r>
    </w:p>
    <w:p w:rsidR="00102A7D" w:rsidRPr="00A15EB4" w:rsidRDefault="00102A7D" w:rsidP="00102A7D">
      <w:pPr>
        <w:pStyle w:val="ParaNoNdepar-AltN"/>
        <w:rPr>
          <w:rFonts w:cs="Times New Roman"/>
          <w:lang w:val="fr-CA"/>
        </w:rPr>
      </w:pPr>
      <w:r w:rsidRPr="00A15EB4">
        <w:rPr>
          <w:rFonts w:cs="Times New Roman"/>
          <w:lang w:val="fr-CA"/>
        </w:rPr>
        <w:t>Les immunités conférées aux organisations internationales plus petites sur le territoire de l</w:t>
      </w:r>
      <w:r>
        <w:rPr>
          <w:rFonts w:cs="Times New Roman"/>
          <w:lang w:val="fr-CA"/>
        </w:rPr>
        <w:t>’</w:t>
      </w:r>
      <w:r w:rsidRPr="00A15EB4">
        <w:rPr>
          <w:rFonts w:cs="Times New Roman"/>
          <w:lang w:val="fr-CA"/>
        </w:rPr>
        <w:t>État d</w:t>
      </w:r>
      <w:r>
        <w:rPr>
          <w:rFonts w:cs="Times New Roman"/>
          <w:lang w:val="fr-CA"/>
        </w:rPr>
        <w:t>’</w:t>
      </w:r>
      <w:r w:rsidRPr="00A15EB4">
        <w:rPr>
          <w:rFonts w:cs="Times New Roman"/>
          <w:lang w:val="fr-CA"/>
        </w:rPr>
        <w:t>accueil sont, pour leur part, déterminées par une entente entre chacune de ces organisations et l</w:t>
      </w:r>
      <w:r>
        <w:rPr>
          <w:rFonts w:cs="Times New Roman"/>
          <w:lang w:val="fr-CA"/>
        </w:rPr>
        <w:t>’</w:t>
      </w:r>
      <w:r w:rsidRPr="00A15EB4">
        <w:rPr>
          <w:rFonts w:cs="Times New Roman"/>
          <w:lang w:val="fr-CA"/>
        </w:rPr>
        <w:t>État en question.  Il en va ainsi pour l</w:t>
      </w:r>
      <w:r>
        <w:rPr>
          <w:rFonts w:cs="Times New Roman"/>
          <w:lang w:val="fr-CA"/>
        </w:rPr>
        <w:t>’</w:t>
      </w:r>
      <w:r w:rsidRPr="00A15EB4">
        <w:rPr>
          <w:rFonts w:cs="Times New Roman"/>
          <w:lang w:val="fr-CA"/>
        </w:rPr>
        <w:t>OPA</w:t>
      </w:r>
      <w:r>
        <w:rPr>
          <w:rFonts w:cs="Times New Roman"/>
          <w:lang w:val="fr-CA"/>
        </w:rPr>
        <w:t xml:space="preserve">NO. </w:t>
      </w:r>
      <w:r w:rsidRPr="00A15EB4">
        <w:rPr>
          <w:rFonts w:cs="Times New Roman"/>
          <w:lang w:val="fr-CA"/>
        </w:rPr>
        <w:t xml:space="preserve"> L</w:t>
      </w:r>
      <w:r>
        <w:rPr>
          <w:rFonts w:cs="Times New Roman"/>
          <w:lang w:val="fr-CA"/>
        </w:rPr>
        <w:t>’</w:t>
      </w:r>
      <w:r w:rsidRPr="00A15EB4">
        <w:rPr>
          <w:rFonts w:cs="Times New Roman"/>
          <w:lang w:val="fr-CA"/>
        </w:rPr>
        <w:t xml:space="preserve">article II de la Convention prévoit en effet que les immunités et privilèges dont elle jouit sur le territoire de la partie contractante </w:t>
      </w:r>
      <w:r w:rsidR="0095518F">
        <w:rPr>
          <w:rFonts w:cs="Times New Roman"/>
          <w:lang w:val="fr-CA"/>
        </w:rPr>
        <w:t>(c.-à-</w:t>
      </w:r>
      <w:r w:rsidRPr="00A15EB4">
        <w:rPr>
          <w:rFonts w:cs="Times New Roman"/>
          <w:lang w:val="fr-CA"/>
        </w:rPr>
        <w:t>d. le Canada) sont déterminés par une entente dont elles conviennent.  L</w:t>
      </w:r>
      <w:r>
        <w:rPr>
          <w:rFonts w:cs="Times New Roman"/>
          <w:lang w:val="fr-CA"/>
        </w:rPr>
        <w:t>’</w:t>
      </w:r>
      <w:r w:rsidRPr="00A15EB4">
        <w:rPr>
          <w:rFonts w:cs="Times New Roman"/>
          <w:lang w:val="fr-CA"/>
        </w:rPr>
        <w:t>OPANO et le Canada ont conclu une telle entente qu</w:t>
      </w:r>
      <w:r>
        <w:rPr>
          <w:rFonts w:cs="Times New Roman"/>
          <w:lang w:val="fr-CA"/>
        </w:rPr>
        <w:t>’</w:t>
      </w:r>
      <w:r w:rsidRPr="00A15EB4">
        <w:rPr>
          <w:rFonts w:cs="Times New Roman"/>
          <w:lang w:val="fr-CA"/>
        </w:rPr>
        <w:t xml:space="preserve">énonce le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w:t>
      </w:r>
    </w:p>
    <w:p w:rsidR="00102A7D" w:rsidRPr="00A15EB4" w:rsidRDefault="00102A7D" w:rsidP="00102A7D">
      <w:pPr>
        <w:pStyle w:val="TitleTitre-AltT"/>
        <w:keepNext/>
        <w:rPr>
          <w:rFonts w:cs="Times New Roman"/>
          <w:lang w:val="fr-CA"/>
        </w:rPr>
      </w:pPr>
      <w:r w:rsidRPr="00A15EB4">
        <w:rPr>
          <w:rFonts w:cs="Times New Roman"/>
          <w:lang w:val="fr-CA"/>
        </w:rPr>
        <w:t>C.</w:t>
      </w:r>
      <w:r w:rsidRPr="00A15EB4">
        <w:rPr>
          <w:rFonts w:cs="Times New Roman"/>
          <w:lang w:val="fr-CA"/>
        </w:rPr>
        <w:tab/>
      </w:r>
      <w:r w:rsidRPr="00A15EB4">
        <w:rPr>
          <w:rFonts w:cs="Times New Roman"/>
          <w:i/>
          <w:lang w:val="fr-CA"/>
        </w:rPr>
        <w:t>Contenu et sens du 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p>
    <w:p w:rsidR="00102A7D" w:rsidRPr="00A15EB4" w:rsidRDefault="00102A7D" w:rsidP="00102A7D">
      <w:pPr>
        <w:pStyle w:val="ParaNoNdepar-AltN"/>
        <w:rPr>
          <w:rFonts w:cs="Times New Roman"/>
          <w:lang w:val="fr-CA"/>
        </w:rPr>
      </w:pPr>
      <w:r w:rsidRPr="00A15EB4">
        <w:rPr>
          <w:rFonts w:cs="Times New Roman"/>
          <w:lang w:val="fr-CA"/>
        </w:rPr>
        <w:t xml:space="preserve">Le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xml:space="preserve"> a été pris par le gouverneur en conseil en vertu de la </w:t>
      </w:r>
      <w:r w:rsidRPr="00A15EB4">
        <w:rPr>
          <w:rFonts w:cs="Times New Roman"/>
          <w:i/>
          <w:lang w:val="fr-CA"/>
        </w:rPr>
        <w:t>Loi sur les privilèges et immunités des organisations internationales</w:t>
      </w:r>
      <w:r w:rsidRPr="00A15EB4">
        <w:rPr>
          <w:rFonts w:cs="Times New Roman"/>
          <w:lang w:val="fr-CA"/>
        </w:rPr>
        <w:t>, L.R.C. 1985, ch. P</w:t>
      </w:r>
      <w:r w:rsidRPr="00A15EB4">
        <w:rPr>
          <w:rFonts w:cs="Times New Roman"/>
          <w:lang w:val="fr-CA"/>
        </w:rPr>
        <w:noBreakHyphen/>
        <w:t>23</w:t>
      </w:r>
      <w:r w:rsidRPr="00A15EB4">
        <w:rPr>
          <w:rFonts w:cs="Times New Roman"/>
          <w:i/>
          <w:lang w:val="fr-CA"/>
        </w:rPr>
        <w:t xml:space="preserve"> </w:t>
      </w:r>
      <w:r w:rsidRPr="00A15EB4">
        <w:rPr>
          <w:rFonts w:cs="Times New Roman"/>
          <w:lang w:val="fr-CA"/>
        </w:rPr>
        <w:t>(« </w:t>
      </w:r>
      <w:r w:rsidRPr="00A15EB4">
        <w:rPr>
          <w:rFonts w:cs="Times New Roman"/>
          <w:i/>
          <w:lang w:val="fr-CA"/>
        </w:rPr>
        <w:t>LPIOI</w:t>
      </w:r>
      <w:r w:rsidRPr="00A15EB4">
        <w:rPr>
          <w:rFonts w:cs="Times New Roman"/>
          <w:lang w:val="fr-CA"/>
        </w:rPr>
        <w:t xml:space="preserve"> »).  Par la suite, cette loi a été abrogée et remplacée par la </w:t>
      </w:r>
      <w:r w:rsidRPr="00A15EB4">
        <w:rPr>
          <w:rFonts w:cs="Times New Roman"/>
          <w:i/>
          <w:lang w:val="fr-CA"/>
        </w:rPr>
        <w:t>Loi sur les missions étrangères et les organisations internationales</w:t>
      </w:r>
      <w:r w:rsidRPr="00A15EB4">
        <w:rPr>
          <w:rFonts w:cs="Times New Roman"/>
          <w:lang w:val="fr-CA"/>
        </w:rPr>
        <w:t>, L.C. 1991, ch. 41 (« </w:t>
      </w:r>
      <w:r w:rsidRPr="00A15EB4">
        <w:rPr>
          <w:rFonts w:cs="Times New Roman"/>
          <w:i/>
          <w:lang w:val="fr-CA"/>
        </w:rPr>
        <w:t>LMÉOI</w:t>
      </w:r>
      <w:r w:rsidRPr="00A15EB4">
        <w:rPr>
          <w:rFonts w:cs="Times New Roman"/>
          <w:lang w:val="fr-CA"/>
        </w:rPr>
        <w:t> »)</w:t>
      </w:r>
      <w:r w:rsidR="008161CC">
        <w:rPr>
          <w:rFonts w:cs="Times New Roman"/>
          <w:lang w:val="fr-CA"/>
        </w:rPr>
        <w:t>, mais l’</w:t>
      </w:r>
      <w:r w:rsidRPr="00A15EB4">
        <w:rPr>
          <w:rFonts w:cs="Times New Roman"/>
          <w:lang w:val="fr-CA"/>
        </w:rPr>
        <w:t>art</w:t>
      </w:r>
      <w:r w:rsidR="001B323D">
        <w:rPr>
          <w:rFonts w:cs="Times New Roman"/>
          <w:lang w:val="fr-CA"/>
        </w:rPr>
        <w:t>.</w:t>
      </w:r>
      <w:r w:rsidRPr="00A15EB4">
        <w:rPr>
          <w:rFonts w:cs="Times New Roman"/>
          <w:lang w:val="fr-CA"/>
        </w:rPr>
        <w:t> 16 de cette dernière prévoit toutefois que les règlements, décrets et arrêtés d</w:t>
      </w:r>
      <w:r>
        <w:rPr>
          <w:rFonts w:cs="Times New Roman"/>
          <w:lang w:val="fr-CA"/>
        </w:rPr>
        <w:t>’</w:t>
      </w:r>
      <w:r w:rsidRPr="00A15EB4">
        <w:rPr>
          <w:rFonts w:cs="Times New Roman"/>
          <w:lang w:val="fr-CA"/>
        </w:rPr>
        <w:t xml:space="preserve">application de la </w:t>
      </w:r>
      <w:r w:rsidRPr="00A15EB4">
        <w:rPr>
          <w:rFonts w:cs="Times New Roman"/>
          <w:i/>
          <w:lang w:val="fr-CA"/>
        </w:rPr>
        <w:t>LPIOI</w:t>
      </w:r>
      <w:r w:rsidRPr="00A15EB4">
        <w:rPr>
          <w:rFonts w:cs="Times New Roman"/>
          <w:lang w:val="fr-CA"/>
        </w:rPr>
        <w:t xml:space="preserve"> sont réputés avoir été pris en vertu de la </w:t>
      </w:r>
      <w:r w:rsidRPr="00A15EB4">
        <w:rPr>
          <w:rFonts w:cs="Times New Roman"/>
          <w:i/>
          <w:lang w:val="fr-CA"/>
        </w:rPr>
        <w:t>LMÉOI</w:t>
      </w:r>
      <w:r w:rsidRPr="00A15EB4">
        <w:rPr>
          <w:rFonts w:cs="Times New Roman"/>
          <w:lang w:val="fr-CA"/>
        </w:rPr>
        <w:t>.</w:t>
      </w:r>
    </w:p>
    <w:p w:rsidR="00102A7D" w:rsidRPr="00A15EB4" w:rsidRDefault="00102A7D" w:rsidP="00102A7D">
      <w:pPr>
        <w:pStyle w:val="ParaNoNdepar-AltN"/>
        <w:rPr>
          <w:rFonts w:cs="Times New Roman"/>
          <w:lang w:val="fr-CA"/>
        </w:rPr>
      </w:pPr>
      <w:r w:rsidRPr="00A15EB4">
        <w:rPr>
          <w:rFonts w:cs="Times New Roman"/>
          <w:lang w:val="fr-CA"/>
        </w:rPr>
        <w:lastRenderedPageBreak/>
        <w:t>Le pouvoir du gouverneur en conseil de prendre des décrets relatifs aux privilèges et immunités des organisations internationales lui est conféré par l</w:t>
      </w:r>
      <w:r>
        <w:rPr>
          <w:rFonts w:cs="Times New Roman"/>
          <w:lang w:val="fr-CA"/>
        </w:rPr>
        <w:t>’</w:t>
      </w:r>
      <w:r w:rsidRPr="00A15EB4">
        <w:rPr>
          <w:rFonts w:cs="Times New Roman"/>
          <w:lang w:val="fr-CA"/>
        </w:rPr>
        <w:t>al. 5(1)</w:t>
      </w:r>
      <w:r w:rsidRPr="00A15EB4">
        <w:rPr>
          <w:rFonts w:cs="Times New Roman"/>
          <w:i/>
          <w:lang w:val="fr-CA"/>
        </w:rPr>
        <w:t>b</w:t>
      </w:r>
      <w:r w:rsidRPr="00A15EB4">
        <w:rPr>
          <w:rFonts w:cs="Times New Roman"/>
          <w:lang w:val="fr-CA"/>
        </w:rPr>
        <w:t xml:space="preserve">) de la </w:t>
      </w:r>
      <w:r w:rsidRPr="00A15EB4">
        <w:rPr>
          <w:rFonts w:cs="Times New Roman"/>
          <w:i/>
          <w:lang w:val="fr-CA"/>
        </w:rPr>
        <w:t>LMÉOI</w:t>
      </w:r>
      <w:r w:rsidRPr="00A15EB4">
        <w:rPr>
          <w:rFonts w:cs="Times New Roman"/>
          <w:lang w:val="fr-CA"/>
        </w:rPr>
        <w:t>, dont le texte suit :</w:t>
      </w:r>
    </w:p>
    <w:p w:rsidR="00102A7D" w:rsidRPr="00A15EB4" w:rsidRDefault="00102A7D" w:rsidP="00686FE7">
      <w:pPr>
        <w:pStyle w:val="Citation-AltC"/>
        <w:tabs>
          <w:tab w:val="left" w:pos="1620"/>
        </w:tabs>
        <w:spacing w:after="240"/>
        <w:ind w:left="1170" w:hanging="1170"/>
        <w:contextualSpacing w:val="0"/>
        <w:rPr>
          <w:rFonts w:eastAsiaTheme="minorEastAsia"/>
          <w:szCs w:val="22"/>
          <w:lang w:val="fr-CA" w:eastAsia="en-US"/>
        </w:rPr>
      </w:pPr>
      <w:r w:rsidRPr="00A15EB4">
        <w:rPr>
          <w:rFonts w:eastAsiaTheme="minorEastAsia"/>
          <w:szCs w:val="22"/>
          <w:lang w:val="fr-CA" w:eastAsia="en-US"/>
        </w:rPr>
        <w:tab/>
      </w:r>
      <w:r w:rsidR="009C17E3">
        <w:rPr>
          <w:rFonts w:eastAsiaTheme="minorEastAsia"/>
          <w:szCs w:val="22"/>
          <w:lang w:val="fr-CA" w:eastAsia="en-US"/>
        </w:rPr>
        <w:tab/>
      </w:r>
      <w:r w:rsidRPr="00A15EB4">
        <w:rPr>
          <w:rFonts w:eastAsiaTheme="minorEastAsia"/>
          <w:b/>
          <w:szCs w:val="22"/>
          <w:lang w:val="fr-CA" w:eastAsia="en-US"/>
        </w:rPr>
        <w:t>5.</w:t>
      </w:r>
      <w:r w:rsidRPr="00A15EB4">
        <w:rPr>
          <w:rFonts w:eastAsiaTheme="minorEastAsia"/>
          <w:szCs w:val="22"/>
          <w:lang w:val="fr-CA" w:eastAsia="en-US"/>
        </w:rPr>
        <w:t xml:space="preserve"> (1) Le gouverneur en conseil peut, par décret, disposer :</w:t>
      </w:r>
    </w:p>
    <w:p w:rsidR="00102A7D" w:rsidRPr="00A15EB4" w:rsidRDefault="00102A7D" w:rsidP="00102A7D">
      <w:pPr>
        <w:pStyle w:val="Citation-AltC"/>
        <w:spacing w:after="240"/>
        <w:contextualSpacing w:val="0"/>
        <w:jc w:val="center"/>
        <w:rPr>
          <w:lang w:val="fr-CA"/>
        </w:rPr>
      </w:pPr>
      <w:r w:rsidRPr="00A15EB4">
        <w:rPr>
          <w:lang w:val="fr-CA"/>
        </w:rPr>
        <w:t>. . .</w:t>
      </w:r>
    </w:p>
    <w:p w:rsidR="00102A7D" w:rsidRPr="00A15EB4" w:rsidRDefault="00686FE7" w:rsidP="00686FE7">
      <w:pPr>
        <w:pStyle w:val="Citation-AltC"/>
        <w:tabs>
          <w:tab w:val="left" w:pos="1620"/>
        </w:tabs>
        <w:ind w:left="1620" w:hanging="1560"/>
        <w:contextualSpacing w:val="0"/>
        <w:rPr>
          <w:lang w:val="fr-CA"/>
        </w:rPr>
      </w:pPr>
      <w:r>
        <w:rPr>
          <w:rStyle w:val="Emphasis"/>
          <w:szCs w:val="16"/>
          <w:lang w:val="fr-CA"/>
        </w:rPr>
        <w:tab/>
      </w:r>
      <w:r w:rsidR="00102A7D" w:rsidRPr="00A15EB4">
        <w:rPr>
          <w:rStyle w:val="Emphasis"/>
          <w:szCs w:val="16"/>
          <w:lang w:val="fr-CA"/>
        </w:rPr>
        <w:t>b</w:t>
      </w:r>
      <w:r w:rsidR="00102A7D" w:rsidRPr="00A15EB4">
        <w:rPr>
          <w:lang w:val="fr-CA"/>
        </w:rPr>
        <w:t>)</w:t>
      </w:r>
      <w:r w:rsidR="00102A7D" w:rsidRPr="00A15EB4">
        <w:rPr>
          <w:lang w:val="fr-CA"/>
        </w:rPr>
        <w:tab/>
        <w:t>qu</w:t>
      </w:r>
      <w:r w:rsidR="00102A7D">
        <w:rPr>
          <w:lang w:val="fr-CA"/>
        </w:rPr>
        <w:t>’</w:t>
      </w:r>
      <w:r w:rsidR="00102A7D" w:rsidRPr="00A15EB4">
        <w:rPr>
          <w:lang w:val="fr-CA"/>
        </w:rPr>
        <w:t>une organisation internationale bénéficie, dans la mesure spécifiée, des privilèges et immunités énoncés aux articles II et III de la Convention sur les privilèges et immunités des Nations Unies reproduite à l</w:t>
      </w:r>
      <w:r w:rsidR="00102A7D">
        <w:rPr>
          <w:lang w:val="fr-CA"/>
        </w:rPr>
        <w:t>’</w:t>
      </w:r>
      <w:r w:rsidR="00102A7D" w:rsidRPr="00A15EB4">
        <w:rPr>
          <w:lang w:val="fr-CA"/>
        </w:rPr>
        <w:t>annexe III;</w:t>
      </w:r>
    </w:p>
    <w:p w:rsidR="00102A7D" w:rsidRPr="00A15EB4" w:rsidRDefault="00102A7D" w:rsidP="00102A7D">
      <w:pPr>
        <w:pStyle w:val="ParaNoNdepar-AltN"/>
        <w:rPr>
          <w:rFonts w:cs="Times New Roman"/>
          <w:lang w:val="fr-CA"/>
        </w:rPr>
      </w:pPr>
      <w:r w:rsidRPr="00A15EB4">
        <w:rPr>
          <w:rFonts w:cs="Times New Roman"/>
          <w:lang w:val="fr-CA"/>
        </w:rPr>
        <w:t xml:space="preserve">Le paragraphe 3(1)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xml:space="preserve"> précise l</w:t>
      </w:r>
      <w:r>
        <w:rPr>
          <w:rFonts w:cs="Times New Roman"/>
          <w:lang w:val="fr-CA"/>
        </w:rPr>
        <w:t>’</w:t>
      </w:r>
      <w:r w:rsidRPr="00A15EB4">
        <w:rPr>
          <w:rFonts w:cs="Times New Roman"/>
          <w:lang w:val="fr-CA"/>
        </w:rPr>
        <w:t>étendue des immunités conférées à l</w:t>
      </w:r>
      <w:r>
        <w:rPr>
          <w:rFonts w:cs="Times New Roman"/>
          <w:lang w:val="fr-CA"/>
        </w:rPr>
        <w:t>’</w:t>
      </w:r>
      <w:r w:rsidRPr="00A15EB4">
        <w:rPr>
          <w:rFonts w:cs="Times New Roman"/>
          <w:lang w:val="fr-CA"/>
        </w:rPr>
        <w:t>OPANO :</w:t>
      </w:r>
    </w:p>
    <w:p w:rsidR="00102A7D" w:rsidRPr="00A15EB4" w:rsidRDefault="00102A7D" w:rsidP="00102A7D">
      <w:pPr>
        <w:pStyle w:val="Citation-AltC"/>
        <w:tabs>
          <w:tab w:val="left" w:pos="1620"/>
        </w:tabs>
        <w:ind w:hanging="1166"/>
        <w:contextualSpacing w:val="0"/>
        <w:rPr>
          <w:lang w:val="fr-CA"/>
        </w:rPr>
      </w:pPr>
      <w:r w:rsidRPr="00A15EB4">
        <w:rPr>
          <w:rStyle w:val="sectionlabel"/>
          <w:szCs w:val="16"/>
          <w:lang w:val="fr-CA"/>
        </w:rPr>
        <w:tab/>
      </w:r>
      <w:r w:rsidR="00E768AA">
        <w:rPr>
          <w:rStyle w:val="sectionlabel"/>
          <w:szCs w:val="16"/>
          <w:lang w:val="fr-CA"/>
        </w:rPr>
        <w:tab/>
      </w:r>
      <w:r w:rsidRPr="00A15EB4">
        <w:rPr>
          <w:rStyle w:val="sectionlabel"/>
          <w:b/>
          <w:szCs w:val="16"/>
          <w:lang w:val="fr-CA"/>
        </w:rPr>
        <w:t>3.</w:t>
      </w:r>
      <w:r w:rsidRPr="00A15EB4">
        <w:rPr>
          <w:lang w:val="fr-CA"/>
        </w:rPr>
        <w:t xml:space="preserve"> (1) L</w:t>
      </w:r>
      <w:r>
        <w:rPr>
          <w:lang w:val="fr-CA"/>
        </w:rPr>
        <w:t>’</w:t>
      </w:r>
      <w:r w:rsidRPr="00A15EB4">
        <w:rPr>
          <w:lang w:val="fr-CA"/>
        </w:rPr>
        <w:t>Organisation possède, au Canada, la capacité juridique d</w:t>
      </w:r>
      <w:r>
        <w:rPr>
          <w:lang w:val="fr-CA"/>
        </w:rPr>
        <w:t>’</w:t>
      </w:r>
      <w:r w:rsidRPr="00A15EB4">
        <w:rPr>
          <w:lang w:val="fr-CA"/>
        </w:rPr>
        <w:t>un corps constitué et possède, dans la mesure où ses fonctions l</w:t>
      </w:r>
      <w:r>
        <w:rPr>
          <w:lang w:val="fr-CA"/>
        </w:rPr>
        <w:t>’</w:t>
      </w:r>
      <w:r w:rsidRPr="00A15EB4">
        <w:rPr>
          <w:lang w:val="fr-CA"/>
        </w:rPr>
        <w:t>exigent, les privilèges et les immunités prévus pour les Nations Unies aux Articles II et III de la Convention.</w:t>
      </w:r>
    </w:p>
    <w:p w:rsidR="00102A7D" w:rsidRPr="00A15EB4" w:rsidRDefault="00102A7D" w:rsidP="00102A7D">
      <w:pPr>
        <w:pStyle w:val="ContinueParaSuitedupar-AltP"/>
        <w:rPr>
          <w:rFonts w:cs="Times New Roman"/>
          <w:lang w:val="fr-CA"/>
        </w:rPr>
      </w:pPr>
      <w:r w:rsidRPr="00A15EB4">
        <w:rPr>
          <w:rFonts w:cs="Times New Roman"/>
          <w:lang w:val="fr-CA"/>
        </w:rPr>
        <w:t xml:space="preserve">La </w:t>
      </w:r>
      <w:r w:rsidRPr="00A15EB4">
        <w:rPr>
          <w:rFonts w:cs="Times New Roman"/>
          <w:i/>
          <w:lang w:val="fr-CA"/>
        </w:rPr>
        <w:t>LMÉOI</w:t>
      </w:r>
      <w:r w:rsidRPr="00A15EB4">
        <w:rPr>
          <w:rFonts w:cs="Times New Roman"/>
          <w:lang w:val="fr-CA"/>
        </w:rPr>
        <w:t xml:space="preserve"> et le</w:t>
      </w:r>
      <w:r w:rsidRPr="00A15EB4">
        <w:rPr>
          <w:rFonts w:cs="Times New Roman"/>
          <w:i/>
          <w:lang w:val="fr-CA"/>
        </w:rPr>
        <w:t xml:space="preserve"> 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xml:space="preserve"> font tous les deux référence à la </w:t>
      </w:r>
      <w:r w:rsidRPr="00A15EB4">
        <w:rPr>
          <w:rFonts w:cs="Times New Roman"/>
          <w:i/>
          <w:lang w:val="fr-CA"/>
        </w:rPr>
        <w:t>Convention sur les privilèges et immunités des Nations Unies</w:t>
      </w:r>
      <w:r w:rsidRPr="00A15EB4">
        <w:rPr>
          <w:rFonts w:cs="Times New Roman"/>
          <w:lang w:val="fr-CA"/>
        </w:rPr>
        <w:t>.  Dans le présent pourvoi, la seule disposition pertinente de cette convention</w:t>
      </w:r>
      <w:r w:rsidRPr="00A15EB4">
        <w:rPr>
          <w:rFonts w:cs="Times New Roman"/>
          <w:i/>
          <w:lang w:val="fr-CA"/>
        </w:rPr>
        <w:t xml:space="preserve"> </w:t>
      </w:r>
      <w:r w:rsidRPr="00A15EB4">
        <w:rPr>
          <w:rFonts w:cs="Times New Roman"/>
          <w:lang w:val="fr-CA"/>
        </w:rPr>
        <w:t>est l</w:t>
      </w:r>
      <w:r>
        <w:rPr>
          <w:rFonts w:cs="Times New Roman"/>
          <w:lang w:val="fr-CA"/>
        </w:rPr>
        <w:t>’</w:t>
      </w:r>
      <w:r w:rsidRPr="00A15EB4">
        <w:rPr>
          <w:rFonts w:cs="Times New Roman"/>
          <w:lang w:val="fr-CA"/>
        </w:rPr>
        <w:t>art. II(2), qui confère aux Nations Unies l</w:t>
      </w:r>
      <w:r>
        <w:rPr>
          <w:rFonts w:cs="Times New Roman"/>
          <w:lang w:val="fr-CA"/>
        </w:rPr>
        <w:t>’</w:t>
      </w:r>
      <w:r w:rsidRPr="00A15EB4">
        <w:rPr>
          <w:rFonts w:cs="Times New Roman"/>
          <w:lang w:val="fr-CA"/>
        </w:rPr>
        <w:t>immunité de juridiction, sauf dans la mesure où elle y a expressément renoncé.</w:t>
      </w:r>
    </w:p>
    <w:p w:rsidR="00102A7D" w:rsidRPr="00A15EB4" w:rsidRDefault="00102A7D" w:rsidP="00102A7D">
      <w:pPr>
        <w:pStyle w:val="ParaNoNdepar-AltN"/>
        <w:rPr>
          <w:rFonts w:cs="Times New Roman"/>
          <w:lang w:val="fr-CA"/>
        </w:rPr>
      </w:pPr>
      <w:r w:rsidRPr="00A15EB4">
        <w:rPr>
          <w:rFonts w:cs="Times New Roman"/>
          <w:lang w:val="fr-CA"/>
        </w:rPr>
        <w:t>En l</w:t>
      </w:r>
      <w:r>
        <w:rPr>
          <w:rFonts w:cs="Times New Roman"/>
          <w:lang w:val="fr-CA"/>
        </w:rPr>
        <w:t>’</w:t>
      </w:r>
      <w:r w:rsidRPr="00A15EB4">
        <w:rPr>
          <w:rFonts w:cs="Times New Roman"/>
          <w:lang w:val="fr-CA"/>
        </w:rPr>
        <w:t>espèce, la Cour doit déterminer la signification des mots « dans la mesure où ses fonctions l</w:t>
      </w:r>
      <w:r>
        <w:rPr>
          <w:rFonts w:cs="Times New Roman"/>
          <w:lang w:val="fr-CA"/>
        </w:rPr>
        <w:t>’</w:t>
      </w:r>
      <w:r w:rsidRPr="00A15EB4">
        <w:rPr>
          <w:rFonts w:cs="Times New Roman"/>
          <w:lang w:val="fr-CA"/>
        </w:rPr>
        <w:t xml:space="preserve">exigent » utilisés au par. 3(1) du </w:t>
      </w:r>
      <w:r w:rsidRPr="00A15EB4">
        <w:rPr>
          <w:rFonts w:cs="Times New Roman"/>
          <w:i/>
          <w:lang w:val="fr-CA"/>
        </w:rPr>
        <w:t>Décret sur l</w:t>
      </w:r>
      <w:r>
        <w:rPr>
          <w:rFonts w:cs="Times New Roman"/>
          <w:i/>
          <w:lang w:val="fr-CA"/>
        </w:rPr>
        <w:t>’</w:t>
      </w:r>
      <w:r w:rsidRPr="00A15EB4">
        <w:rPr>
          <w:rFonts w:cs="Times New Roman"/>
          <w:i/>
          <w:lang w:val="fr-CA"/>
        </w:rPr>
        <w:t xml:space="preserve">immunité de </w:t>
      </w:r>
      <w:r w:rsidRPr="00A15EB4">
        <w:rPr>
          <w:rFonts w:cs="Times New Roman"/>
          <w:i/>
          <w:lang w:val="fr-CA"/>
        </w:rPr>
        <w:lastRenderedPageBreak/>
        <w:t>l</w:t>
      </w:r>
      <w:r>
        <w:rPr>
          <w:rFonts w:cs="Times New Roman"/>
          <w:i/>
          <w:lang w:val="fr-CA"/>
        </w:rPr>
        <w:t>’</w:t>
      </w:r>
      <w:r w:rsidRPr="00A15EB4">
        <w:rPr>
          <w:rFonts w:cs="Times New Roman"/>
          <w:i/>
          <w:lang w:val="fr-CA"/>
        </w:rPr>
        <w:t xml:space="preserve">OPANO.  </w:t>
      </w:r>
      <w:r w:rsidRPr="00A15EB4">
        <w:rPr>
          <w:rFonts w:cs="Times New Roman"/>
          <w:lang w:val="fr-CA"/>
        </w:rPr>
        <w:t>Autrement dit, elle doit établir l</w:t>
      </w:r>
      <w:r>
        <w:rPr>
          <w:rFonts w:cs="Times New Roman"/>
          <w:lang w:val="fr-CA"/>
        </w:rPr>
        <w:t>’</w:t>
      </w:r>
      <w:r w:rsidRPr="00A15EB4">
        <w:rPr>
          <w:rFonts w:cs="Times New Roman"/>
          <w:lang w:val="fr-CA"/>
        </w:rPr>
        <w:t>étendue de l</w:t>
      </w:r>
      <w:r>
        <w:rPr>
          <w:rFonts w:cs="Times New Roman"/>
          <w:lang w:val="fr-CA"/>
        </w:rPr>
        <w:t>’</w:t>
      </w:r>
      <w:r w:rsidRPr="00A15EB4">
        <w:rPr>
          <w:rFonts w:cs="Times New Roman"/>
          <w:lang w:val="fr-CA"/>
        </w:rPr>
        <w:t>immunité conférée à l</w:t>
      </w:r>
      <w:r>
        <w:rPr>
          <w:rFonts w:cs="Times New Roman"/>
          <w:lang w:val="fr-CA"/>
        </w:rPr>
        <w:t>’</w:t>
      </w:r>
      <w:r w:rsidRPr="00A15EB4">
        <w:rPr>
          <w:rFonts w:cs="Times New Roman"/>
          <w:lang w:val="fr-CA"/>
        </w:rPr>
        <w:t>OPANO par le gouverneur en conseil.  Il s</w:t>
      </w:r>
      <w:r>
        <w:rPr>
          <w:rFonts w:cs="Times New Roman"/>
          <w:lang w:val="fr-CA"/>
        </w:rPr>
        <w:t>’</w:t>
      </w:r>
      <w:r w:rsidRPr="00A15EB4">
        <w:rPr>
          <w:rFonts w:cs="Times New Roman"/>
          <w:lang w:val="fr-CA"/>
        </w:rPr>
        <w:t>agit d</w:t>
      </w:r>
      <w:r>
        <w:rPr>
          <w:rFonts w:cs="Times New Roman"/>
          <w:lang w:val="fr-CA"/>
        </w:rPr>
        <w:t>’</w:t>
      </w:r>
      <w:r w:rsidRPr="00A15EB4">
        <w:rPr>
          <w:rFonts w:cs="Times New Roman"/>
          <w:lang w:val="fr-CA"/>
        </w:rPr>
        <w:t>une question d</w:t>
      </w:r>
      <w:r>
        <w:rPr>
          <w:rFonts w:cs="Times New Roman"/>
          <w:lang w:val="fr-CA"/>
        </w:rPr>
        <w:t>’</w:t>
      </w:r>
      <w:r w:rsidRPr="00A15EB4">
        <w:rPr>
          <w:rFonts w:cs="Times New Roman"/>
          <w:lang w:val="fr-CA"/>
        </w:rPr>
        <w:t>interprétation législative.</w:t>
      </w:r>
    </w:p>
    <w:p w:rsidR="00102A7D" w:rsidRPr="00A15EB4" w:rsidRDefault="00102A7D" w:rsidP="00102A7D">
      <w:pPr>
        <w:pStyle w:val="ParaNoNdepar-AltN"/>
        <w:rPr>
          <w:rFonts w:cs="Times New Roman"/>
          <w:lang w:val="fr-CA"/>
        </w:rPr>
      </w:pPr>
      <w:r w:rsidRPr="00A15EB4">
        <w:rPr>
          <w:rFonts w:cs="Times New Roman"/>
          <w:lang w:val="fr-CA"/>
        </w:rPr>
        <w:t>Les règlements et les décrets doivent être interprétés conformément aux principes modernes d</w:t>
      </w:r>
      <w:r>
        <w:rPr>
          <w:rFonts w:cs="Times New Roman"/>
          <w:lang w:val="fr-CA"/>
        </w:rPr>
        <w:t>’</w:t>
      </w:r>
      <w:r w:rsidRPr="00A15EB4">
        <w:rPr>
          <w:rFonts w:cs="Times New Roman"/>
          <w:lang w:val="fr-CA"/>
        </w:rPr>
        <w:t xml:space="preserve">interprétation des lois : </w:t>
      </w:r>
      <w:r w:rsidRPr="00A15EB4">
        <w:rPr>
          <w:rFonts w:cs="Times New Roman"/>
          <w:i/>
          <w:lang w:val="fr-CA"/>
        </w:rPr>
        <w:t>Contino c. Leonelli</w:t>
      </w:r>
      <w:r w:rsidRPr="00A15EB4">
        <w:rPr>
          <w:rFonts w:cs="Times New Roman"/>
          <w:i/>
          <w:lang w:val="fr-CA"/>
        </w:rPr>
        <w:noBreakHyphen/>
        <w:t>Contino</w:t>
      </w:r>
      <w:r w:rsidRPr="00A15EB4">
        <w:rPr>
          <w:rFonts w:cs="Times New Roman"/>
          <w:lang w:val="fr-CA"/>
        </w:rPr>
        <w:t xml:space="preserve">, 2005 CSC 63, [2005] 3 R.C.S. 217, par. 19; </w:t>
      </w:r>
      <w:r w:rsidRPr="00A15EB4">
        <w:rPr>
          <w:rFonts w:cs="Times New Roman"/>
          <w:i/>
          <w:lang w:val="fr-CA"/>
        </w:rPr>
        <w:t>Glykis c. Hydro</w:t>
      </w:r>
      <w:r w:rsidRPr="00A15EB4">
        <w:rPr>
          <w:rFonts w:cs="Times New Roman"/>
          <w:i/>
          <w:lang w:val="fr-CA"/>
        </w:rPr>
        <w:noBreakHyphen/>
        <w:t>Québec</w:t>
      </w:r>
      <w:r w:rsidRPr="00A15EB4">
        <w:rPr>
          <w:rFonts w:cs="Times New Roman"/>
          <w:lang w:val="fr-CA"/>
        </w:rPr>
        <w:t xml:space="preserve">, 2004 CSC 60, [2004] 3 R.C.S. 285, par. 5; R. Sullivan, </w:t>
      </w:r>
      <w:r w:rsidRPr="00A15EB4">
        <w:rPr>
          <w:rFonts w:cs="Times New Roman"/>
          <w:i/>
          <w:lang w:val="fr-CA"/>
        </w:rPr>
        <w:t>Sullivan on the Construction of Statutes</w:t>
      </w:r>
      <w:r w:rsidRPr="00A15EB4">
        <w:rPr>
          <w:rFonts w:cs="Times New Roman"/>
          <w:lang w:val="fr-CA"/>
        </w:rPr>
        <w:t xml:space="preserve"> (5</w:t>
      </w:r>
      <w:r w:rsidRPr="00A15EB4">
        <w:rPr>
          <w:rFonts w:cs="Times New Roman"/>
          <w:vertAlign w:val="superscript"/>
          <w:lang w:val="fr-CA"/>
        </w:rPr>
        <w:t>e</w:t>
      </w:r>
      <w:r w:rsidRPr="00A15EB4">
        <w:rPr>
          <w:rFonts w:cs="Times New Roman"/>
          <w:lang w:val="fr-CA"/>
        </w:rPr>
        <w:t> éd. 2008), p. 368.  Comme l</w:t>
      </w:r>
      <w:r>
        <w:rPr>
          <w:rFonts w:cs="Times New Roman"/>
          <w:lang w:val="fr-CA"/>
        </w:rPr>
        <w:t>’</w:t>
      </w:r>
      <w:r w:rsidRPr="00A15EB4">
        <w:rPr>
          <w:rFonts w:cs="Times New Roman"/>
          <w:lang w:val="fr-CA"/>
        </w:rPr>
        <w:t>a toutefois expliqué le juge Binnie au par. 38 de l</w:t>
      </w:r>
      <w:r>
        <w:rPr>
          <w:rFonts w:cs="Times New Roman"/>
          <w:lang w:val="fr-CA"/>
        </w:rPr>
        <w:t>’</w:t>
      </w:r>
      <w:r w:rsidRPr="00A15EB4">
        <w:rPr>
          <w:rFonts w:cs="Times New Roman"/>
          <w:lang w:val="fr-CA"/>
        </w:rPr>
        <w:t xml:space="preserve">arrêt </w:t>
      </w:r>
      <w:r w:rsidRPr="00A15EB4">
        <w:rPr>
          <w:rFonts w:cs="Times New Roman"/>
          <w:i/>
          <w:lang w:val="fr-CA"/>
        </w:rPr>
        <w:t>Bristol</w:t>
      </w:r>
      <w:r w:rsidRPr="00A15EB4">
        <w:rPr>
          <w:rFonts w:cs="Times New Roman"/>
          <w:i/>
          <w:lang w:val="fr-CA"/>
        </w:rPr>
        <w:noBreakHyphen/>
        <w:t>Myers Squibb Co. c. Canada (Procureur général)</w:t>
      </w:r>
      <w:r w:rsidRPr="00A15EB4">
        <w:rPr>
          <w:rFonts w:cs="Times New Roman"/>
          <w:lang w:val="fr-CA"/>
        </w:rPr>
        <w:t>, 2005 CSC 26, [2005] 1 R.C.S. 533, pour interpréter un règlement, il est nécessaire d</w:t>
      </w:r>
      <w:r>
        <w:rPr>
          <w:rFonts w:cs="Times New Roman"/>
          <w:lang w:val="fr-CA"/>
        </w:rPr>
        <w:t>’</w:t>
      </w:r>
      <w:r w:rsidRPr="00A15EB4">
        <w:rPr>
          <w:rFonts w:cs="Times New Roman"/>
          <w:lang w:val="fr-CA"/>
        </w:rPr>
        <w:t>examiner les termes conférant le pouvoir de le prendre, en plus des autres facteurs d</w:t>
      </w:r>
      <w:r>
        <w:rPr>
          <w:rFonts w:cs="Times New Roman"/>
          <w:lang w:val="fr-CA"/>
        </w:rPr>
        <w:t>’</w:t>
      </w:r>
      <w:r w:rsidRPr="00A15EB4">
        <w:rPr>
          <w:rFonts w:cs="Times New Roman"/>
          <w:lang w:val="fr-CA"/>
        </w:rPr>
        <w:t>interprétation.  Le juge Binnie a cité à cet égard l</w:t>
      </w:r>
      <w:r>
        <w:rPr>
          <w:rFonts w:cs="Times New Roman"/>
          <w:lang w:val="fr-CA"/>
        </w:rPr>
        <w:t>’</w:t>
      </w:r>
      <w:r w:rsidRPr="00A15EB4">
        <w:rPr>
          <w:rFonts w:cs="Times New Roman"/>
          <w:lang w:val="fr-CA"/>
        </w:rPr>
        <w:t xml:space="preserve">observation suivante formulée par E. A. Driedger dans son ouvrage </w:t>
      </w:r>
      <w:r w:rsidRPr="00A15EB4">
        <w:rPr>
          <w:rFonts w:cs="Times New Roman"/>
          <w:i/>
          <w:lang w:val="fr-CA"/>
        </w:rPr>
        <w:t>Construction of Statutes</w:t>
      </w:r>
      <w:r w:rsidRPr="00A15EB4">
        <w:rPr>
          <w:rFonts w:cs="Times New Roman"/>
          <w:lang w:val="fr-CA"/>
        </w:rPr>
        <w:t xml:space="preserve"> (2</w:t>
      </w:r>
      <w:r w:rsidRPr="00A15EB4">
        <w:rPr>
          <w:rFonts w:cs="Times New Roman"/>
          <w:vertAlign w:val="superscript"/>
          <w:lang w:val="fr-CA"/>
        </w:rPr>
        <w:t>e</w:t>
      </w:r>
      <w:r w:rsidRPr="00A15EB4">
        <w:rPr>
          <w:rFonts w:cs="Times New Roman"/>
          <w:lang w:val="fr-CA"/>
        </w:rPr>
        <w:t> éd. 1983), p. 247 :</w:t>
      </w:r>
    </w:p>
    <w:p w:rsidR="00102A7D" w:rsidRPr="00A15EB4" w:rsidRDefault="00102A7D" w:rsidP="00102A7D">
      <w:pPr>
        <w:pStyle w:val="Citation-AltC"/>
        <w:tabs>
          <w:tab w:val="left" w:pos="1620"/>
        </w:tabs>
        <w:ind w:hanging="1166"/>
        <w:contextualSpacing w:val="0"/>
        <w:rPr>
          <w:lang w:val="fr-CA"/>
        </w:rPr>
      </w:pPr>
      <w:r w:rsidRPr="00A15EB4">
        <w:rPr>
          <w:lang w:val="fr-CA"/>
        </w:rPr>
        <w:tab/>
      </w:r>
      <w:r w:rsidR="00E768AA">
        <w:rPr>
          <w:lang w:val="fr-CA"/>
        </w:rPr>
        <w:tab/>
      </w:r>
      <w:r w:rsidRPr="00A15EB4">
        <w:rPr>
          <w:lang w:val="fr-CA"/>
        </w:rPr>
        <w:t>[</w:t>
      </w:r>
      <w:r w:rsidRPr="00A15EB4">
        <w:rPr>
          <w:smallCaps/>
          <w:lang w:val="fr-CA"/>
        </w:rPr>
        <w:t>traduction</w:t>
      </w:r>
      <w:r w:rsidRPr="00A15EB4">
        <w:rPr>
          <w:lang w:val="fr-CA"/>
        </w:rPr>
        <w:t>]  Il ne suffit pas de déterminer le sens d</w:t>
      </w:r>
      <w:r>
        <w:rPr>
          <w:lang w:val="fr-CA"/>
        </w:rPr>
        <w:t>’</w:t>
      </w:r>
      <w:r w:rsidRPr="00A15EB4">
        <w:rPr>
          <w:lang w:val="fr-CA"/>
        </w:rPr>
        <w:t>un règlement en l</w:t>
      </w:r>
      <w:r>
        <w:rPr>
          <w:lang w:val="fr-CA"/>
        </w:rPr>
        <w:t>’</w:t>
      </w:r>
      <w:r w:rsidRPr="00A15EB4">
        <w:rPr>
          <w:lang w:val="fr-CA"/>
        </w:rPr>
        <w:t>interprétant au regard de son propre objet et des circonstances dans lesquelles il a été pris; il faut aussi interpréter les termes conférant les pouvoirs dans le contexte global de la loi habilitante.  L</w:t>
      </w:r>
      <w:r>
        <w:rPr>
          <w:lang w:val="fr-CA"/>
        </w:rPr>
        <w:t>’</w:t>
      </w:r>
      <w:r w:rsidRPr="00A15EB4">
        <w:rPr>
          <w:lang w:val="fr-CA"/>
        </w:rPr>
        <w:t>objet de la loi transcende et régit l</w:t>
      </w:r>
      <w:r>
        <w:rPr>
          <w:lang w:val="fr-CA"/>
        </w:rPr>
        <w:t>’</w:t>
      </w:r>
      <w:r w:rsidRPr="00A15EB4">
        <w:rPr>
          <w:lang w:val="fr-CA"/>
        </w:rPr>
        <w:t>objet du règlement.</w:t>
      </w:r>
    </w:p>
    <w:p w:rsidR="00102A7D" w:rsidRPr="00A15EB4" w:rsidRDefault="00102A7D" w:rsidP="00102A7D">
      <w:pPr>
        <w:pStyle w:val="ParaNoNdepar-AltN"/>
        <w:rPr>
          <w:rFonts w:cs="Times New Roman"/>
          <w:lang w:val="en-US"/>
        </w:rPr>
      </w:pPr>
      <w:r w:rsidRPr="00A15EB4">
        <w:rPr>
          <w:rFonts w:cs="Times New Roman"/>
          <w:lang w:val="fr-CA"/>
        </w:rPr>
        <w:t>Les termes « dans la mesure où ses fonctions l</w:t>
      </w:r>
      <w:r>
        <w:rPr>
          <w:rFonts w:cs="Times New Roman"/>
          <w:lang w:val="fr-CA"/>
        </w:rPr>
        <w:t>’</w:t>
      </w:r>
      <w:r w:rsidRPr="00A15EB4">
        <w:rPr>
          <w:rFonts w:cs="Times New Roman"/>
          <w:lang w:val="fr-CA"/>
        </w:rPr>
        <w:t xml:space="preserve">exigent » utilisés au par. 3(1)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xml:space="preserve"> doivent donc être interprétés dans leur contexte global, en suivant le sens ordinaire et grammatical qui s</w:t>
      </w:r>
      <w:r>
        <w:rPr>
          <w:rFonts w:cs="Times New Roman"/>
          <w:lang w:val="fr-CA"/>
        </w:rPr>
        <w:t>’</w:t>
      </w:r>
      <w:r w:rsidRPr="00A15EB4">
        <w:rPr>
          <w:rFonts w:cs="Times New Roman"/>
          <w:lang w:val="fr-CA"/>
        </w:rPr>
        <w:t>harmonise avec l</w:t>
      </w:r>
      <w:r>
        <w:rPr>
          <w:rFonts w:cs="Times New Roman"/>
          <w:lang w:val="fr-CA"/>
        </w:rPr>
        <w:t>’</w:t>
      </w:r>
      <w:r w:rsidRPr="00A15EB4">
        <w:rPr>
          <w:rFonts w:cs="Times New Roman"/>
          <w:lang w:val="fr-CA"/>
        </w:rPr>
        <w:t>esprit et l</w:t>
      </w:r>
      <w:r>
        <w:rPr>
          <w:rFonts w:cs="Times New Roman"/>
          <w:lang w:val="fr-CA"/>
        </w:rPr>
        <w:t>’</w:t>
      </w:r>
      <w:r w:rsidRPr="00A15EB4">
        <w:rPr>
          <w:rFonts w:cs="Times New Roman"/>
          <w:lang w:val="fr-CA"/>
        </w:rPr>
        <w:t xml:space="preserve">objet de la </w:t>
      </w:r>
      <w:r w:rsidRPr="00A15EB4">
        <w:rPr>
          <w:rFonts w:cs="Times New Roman"/>
          <w:i/>
          <w:lang w:val="fr-CA"/>
        </w:rPr>
        <w:t>LMÉOI</w:t>
      </w:r>
      <w:r w:rsidRPr="00A15EB4">
        <w:rPr>
          <w:rFonts w:cs="Times New Roman"/>
          <w:lang w:val="fr-CA"/>
        </w:rPr>
        <w:t>, compte tenu des pouvoirs conférés et de l</w:t>
      </w:r>
      <w:r>
        <w:rPr>
          <w:rFonts w:cs="Times New Roman"/>
          <w:lang w:val="fr-CA"/>
        </w:rPr>
        <w:t>’</w:t>
      </w:r>
      <w:r w:rsidRPr="00A15EB4">
        <w:rPr>
          <w:rFonts w:cs="Times New Roman"/>
          <w:lang w:val="fr-CA"/>
        </w:rPr>
        <w:t xml:space="preserve">intention du législateur : </w:t>
      </w:r>
      <w:r w:rsidRPr="00A15EB4">
        <w:rPr>
          <w:rFonts w:cs="Times New Roman"/>
          <w:i/>
          <w:lang w:val="fr-CA"/>
        </w:rPr>
        <w:t xml:space="preserve">Rizzo &amp; Rizzo Shoes Ltd. </w:t>
      </w:r>
      <w:r w:rsidRPr="00A15EB4">
        <w:rPr>
          <w:rFonts w:cs="Times New Roman"/>
          <w:i/>
          <w:lang w:val="en-US"/>
        </w:rPr>
        <w:t>(Re)</w:t>
      </w:r>
      <w:r w:rsidRPr="00A15EB4">
        <w:rPr>
          <w:rFonts w:cs="Times New Roman"/>
          <w:lang w:val="en-US"/>
        </w:rPr>
        <w:t xml:space="preserve">, [1998] 1 R.C.S. 27, par. 21; </w:t>
      </w:r>
      <w:r w:rsidRPr="00A15EB4">
        <w:rPr>
          <w:rFonts w:cs="Times New Roman"/>
          <w:i/>
          <w:lang w:val="en-US"/>
        </w:rPr>
        <w:t xml:space="preserve">Bell </w:t>
      </w:r>
      <w:r w:rsidRPr="00A15EB4">
        <w:rPr>
          <w:rFonts w:cs="Times New Roman"/>
          <w:i/>
          <w:lang w:val="en-US"/>
        </w:rPr>
        <w:lastRenderedPageBreak/>
        <w:t>ExpressVu Limited Partnership c. Rex</w:t>
      </w:r>
      <w:r w:rsidRPr="00A15EB4">
        <w:rPr>
          <w:rFonts w:cs="Times New Roman"/>
          <w:lang w:val="en-US"/>
        </w:rPr>
        <w:t xml:space="preserve">, 2002 CSC 42, [2002] 2 R.C.S. 559; E. A. Driedger, </w:t>
      </w:r>
      <w:r w:rsidRPr="00A15EB4">
        <w:rPr>
          <w:rFonts w:cs="Times New Roman"/>
          <w:i/>
          <w:lang w:val="en-US"/>
        </w:rPr>
        <w:t>The Construction of Statutes</w:t>
      </w:r>
      <w:r w:rsidRPr="00A15EB4">
        <w:rPr>
          <w:rFonts w:cs="Times New Roman"/>
          <w:lang w:val="en-US"/>
        </w:rPr>
        <w:t xml:space="preserve"> (1974), p. 67.</w:t>
      </w:r>
    </w:p>
    <w:p w:rsidR="00102A7D" w:rsidRPr="00A15EB4" w:rsidRDefault="00102A7D" w:rsidP="00102A7D">
      <w:pPr>
        <w:pStyle w:val="ParaNoNdepar-AltN"/>
        <w:rPr>
          <w:rFonts w:cs="Times New Roman"/>
          <w:lang w:val="fr-CA"/>
        </w:rPr>
      </w:pPr>
      <w:r w:rsidRPr="00A15EB4">
        <w:rPr>
          <w:rFonts w:cs="Times New Roman"/>
          <w:lang w:val="fr-CA"/>
        </w:rPr>
        <w:t>L</w:t>
      </w:r>
      <w:r>
        <w:rPr>
          <w:rFonts w:cs="Times New Roman"/>
          <w:lang w:val="fr-CA"/>
        </w:rPr>
        <w:t>’</w:t>
      </w:r>
      <w:r w:rsidRPr="00A15EB4">
        <w:rPr>
          <w:rFonts w:cs="Times New Roman"/>
          <w:lang w:val="fr-CA"/>
        </w:rPr>
        <w:t>appelant soutient que les mots « l</w:t>
      </w:r>
      <w:r>
        <w:rPr>
          <w:rFonts w:cs="Times New Roman"/>
          <w:lang w:val="fr-CA"/>
        </w:rPr>
        <w:t>’</w:t>
      </w:r>
      <w:r w:rsidRPr="00A15EB4">
        <w:rPr>
          <w:rFonts w:cs="Times New Roman"/>
          <w:lang w:val="fr-CA"/>
        </w:rPr>
        <w:t xml:space="preserve">exigent » qui figurent au par. 3(1)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xml:space="preserve"> devraient être interprétés selon leur sens ordinaire et grammatical, et signifier « le nécessitent ».  Il fait aussi valoir que l</w:t>
      </w:r>
      <w:r>
        <w:rPr>
          <w:rFonts w:cs="Times New Roman"/>
          <w:lang w:val="fr-CA"/>
        </w:rPr>
        <w:t>’</w:t>
      </w:r>
      <w:r w:rsidRPr="00A15EB4">
        <w:rPr>
          <w:rFonts w:cs="Times New Roman"/>
          <w:lang w:val="fr-CA"/>
        </w:rPr>
        <w:t>interprétation donnée au par. 3(1) doit être compatible avec les obligations internationales du Canada comme l</w:t>
      </w:r>
      <w:r>
        <w:rPr>
          <w:rFonts w:cs="Times New Roman"/>
          <w:lang w:val="fr-CA"/>
        </w:rPr>
        <w:t>’</w:t>
      </w:r>
      <w:r w:rsidRPr="00A15EB4">
        <w:rPr>
          <w:rFonts w:cs="Times New Roman"/>
          <w:lang w:val="fr-CA"/>
        </w:rPr>
        <w:t xml:space="preserve">a expliqué la Cour dans les arrêts </w:t>
      </w:r>
      <w:r w:rsidRPr="00A15EB4">
        <w:rPr>
          <w:rFonts w:cs="Times New Roman"/>
          <w:i/>
          <w:lang w:val="fr-CA"/>
        </w:rPr>
        <w:t>Baker c. Canada (Ministre de la Citoyenneté et de l</w:t>
      </w:r>
      <w:r>
        <w:rPr>
          <w:rFonts w:cs="Times New Roman"/>
          <w:i/>
          <w:lang w:val="fr-CA"/>
        </w:rPr>
        <w:t>’</w:t>
      </w:r>
      <w:r w:rsidRPr="00A15EB4">
        <w:rPr>
          <w:rFonts w:cs="Times New Roman"/>
          <w:i/>
          <w:lang w:val="fr-CA"/>
        </w:rPr>
        <w:t>Immigration)</w:t>
      </w:r>
      <w:r w:rsidRPr="00A15EB4">
        <w:rPr>
          <w:rFonts w:cs="Times New Roman"/>
          <w:lang w:val="fr-CA"/>
        </w:rPr>
        <w:t xml:space="preserve">, [1999] 2 R.C.S. 817, et </w:t>
      </w:r>
      <w:r w:rsidRPr="00A15EB4">
        <w:rPr>
          <w:rFonts w:cs="Times New Roman"/>
          <w:i/>
          <w:lang w:val="fr-CA"/>
        </w:rPr>
        <w:t>R. c. Hape</w:t>
      </w:r>
      <w:r w:rsidRPr="00A15EB4">
        <w:rPr>
          <w:rFonts w:cs="Times New Roman"/>
          <w:lang w:val="fr-CA"/>
        </w:rPr>
        <w:t xml:space="preserve">, 2007 CSC 26, [2007] 2 R.C.S. 292.  Le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xml:space="preserve"> doit donc être interprété de manière compatible avec le droit à une audition équitable prévu par le </w:t>
      </w:r>
      <w:r w:rsidRPr="00A15EB4">
        <w:rPr>
          <w:rFonts w:cs="Times New Roman"/>
          <w:i/>
          <w:lang w:val="fr-CA"/>
        </w:rPr>
        <w:t xml:space="preserve">PIRDCP. </w:t>
      </w:r>
      <w:r w:rsidRPr="00A15EB4">
        <w:rPr>
          <w:rFonts w:cs="Times New Roman"/>
          <w:lang w:val="fr-CA"/>
        </w:rPr>
        <w:t xml:space="preserve"> L</w:t>
      </w:r>
      <w:r>
        <w:rPr>
          <w:rFonts w:cs="Times New Roman"/>
          <w:lang w:val="fr-CA"/>
        </w:rPr>
        <w:t>’</w:t>
      </w:r>
      <w:r w:rsidRPr="00A15EB4">
        <w:rPr>
          <w:rFonts w:cs="Times New Roman"/>
          <w:lang w:val="fr-CA"/>
        </w:rPr>
        <w:t>intervenante, l</w:t>
      </w:r>
      <w:r>
        <w:rPr>
          <w:rFonts w:cs="Times New Roman"/>
          <w:lang w:val="fr-CA"/>
        </w:rPr>
        <w:t>’</w:t>
      </w:r>
      <w:r w:rsidRPr="00A15EB4">
        <w:rPr>
          <w:rFonts w:cs="Times New Roman"/>
          <w:lang w:val="fr-CA"/>
        </w:rPr>
        <w:t>Association canadienne des libertés civiles, adopte un point de vue semblable et soutient que l</w:t>
      </w:r>
      <w:r>
        <w:rPr>
          <w:rFonts w:cs="Times New Roman"/>
          <w:lang w:val="fr-CA"/>
        </w:rPr>
        <w:t>’</w:t>
      </w:r>
      <w:r w:rsidRPr="00A15EB4">
        <w:rPr>
          <w:rFonts w:cs="Times New Roman"/>
          <w:lang w:val="fr-CA"/>
        </w:rPr>
        <w:t xml:space="preserve">interprétation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xml:space="preserve"> ne devrait pas contrevenir au principe fondamental d</w:t>
      </w:r>
      <w:r>
        <w:rPr>
          <w:rFonts w:cs="Times New Roman"/>
          <w:lang w:val="fr-CA"/>
        </w:rPr>
        <w:t>’</w:t>
      </w:r>
      <w:r w:rsidRPr="00A15EB4">
        <w:rPr>
          <w:rFonts w:cs="Times New Roman"/>
          <w:lang w:val="fr-CA"/>
        </w:rPr>
        <w:t>accès à la justice.  L</w:t>
      </w:r>
      <w:r>
        <w:rPr>
          <w:rFonts w:cs="Times New Roman"/>
          <w:lang w:val="fr-CA"/>
        </w:rPr>
        <w:t>’</w:t>
      </w:r>
      <w:r w:rsidRPr="00A15EB4">
        <w:rPr>
          <w:rFonts w:cs="Times New Roman"/>
          <w:lang w:val="fr-CA"/>
        </w:rPr>
        <w:t>intimée maintient que, si une méthode d</w:t>
      </w:r>
      <w:r>
        <w:rPr>
          <w:rFonts w:cs="Times New Roman"/>
          <w:lang w:val="fr-CA"/>
        </w:rPr>
        <w:t>’</w:t>
      </w:r>
      <w:r w:rsidRPr="00A15EB4">
        <w:rPr>
          <w:rFonts w:cs="Times New Roman"/>
          <w:lang w:val="fr-CA"/>
        </w:rPr>
        <w:t>interprétation fonctionnelle adéquate est adoptée, elle bénéficie de l</w:t>
      </w:r>
      <w:r>
        <w:rPr>
          <w:rFonts w:cs="Times New Roman"/>
          <w:lang w:val="fr-CA"/>
        </w:rPr>
        <w:t>’</w:t>
      </w:r>
      <w:r w:rsidRPr="00A15EB4">
        <w:rPr>
          <w:rFonts w:cs="Times New Roman"/>
          <w:lang w:val="fr-CA"/>
        </w:rPr>
        <w:t>immunité de juridiction à l</w:t>
      </w:r>
      <w:r>
        <w:rPr>
          <w:rFonts w:cs="Times New Roman"/>
          <w:lang w:val="fr-CA"/>
        </w:rPr>
        <w:t>’</w:t>
      </w:r>
      <w:r w:rsidRPr="00A15EB4">
        <w:rPr>
          <w:rFonts w:cs="Times New Roman"/>
          <w:lang w:val="fr-CA"/>
        </w:rPr>
        <w:t>égard des réclamations de l</w:t>
      </w:r>
      <w:r>
        <w:rPr>
          <w:rFonts w:cs="Times New Roman"/>
          <w:lang w:val="fr-CA"/>
        </w:rPr>
        <w:t>’</w:t>
      </w:r>
      <w:r w:rsidRPr="00A15EB4">
        <w:rPr>
          <w:rFonts w:cs="Times New Roman"/>
          <w:lang w:val="fr-CA"/>
        </w:rPr>
        <w:t>appelant.</w:t>
      </w:r>
    </w:p>
    <w:p w:rsidR="00102A7D" w:rsidRPr="00A15EB4" w:rsidRDefault="00102A7D" w:rsidP="00102A7D">
      <w:pPr>
        <w:pStyle w:val="ParaNoNdepar-AltN"/>
        <w:rPr>
          <w:rFonts w:cs="Times New Roman"/>
          <w:lang w:val="fr-CA"/>
        </w:rPr>
      </w:pPr>
      <w:r w:rsidRPr="00A15EB4">
        <w:rPr>
          <w:rFonts w:cs="Times New Roman"/>
          <w:lang w:val="fr-CA"/>
        </w:rPr>
        <w:t>Je vais maintenant interpréter la proposition « dans la mesure où ses fonctions l</w:t>
      </w:r>
      <w:r>
        <w:rPr>
          <w:rFonts w:cs="Times New Roman"/>
          <w:lang w:val="fr-CA"/>
        </w:rPr>
        <w:t>’</w:t>
      </w:r>
      <w:r w:rsidRPr="00A15EB4">
        <w:rPr>
          <w:rFonts w:cs="Times New Roman"/>
          <w:lang w:val="fr-CA"/>
        </w:rPr>
        <w:t xml:space="preserve">exigent » utilisée au par. 3(1)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 xml:space="preserve">OPANO.  </w:t>
      </w:r>
      <w:r w:rsidRPr="00A15EB4">
        <w:rPr>
          <w:rFonts w:cs="Times New Roman"/>
          <w:lang w:val="fr-CA"/>
        </w:rPr>
        <w:t>Cette question est déterminante pour l</w:t>
      </w:r>
      <w:r>
        <w:rPr>
          <w:rFonts w:cs="Times New Roman"/>
          <w:lang w:val="fr-CA"/>
        </w:rPr>
        <w:t>’</w:t>
      </w:r>
      <w:r w:rsidRPr="00A15EB4">
        <w:rPr>
          <w:rFonts w:cs="Times New Roman"/>
          <w:lang w:val="fr-CA"/>
        </w:rPr>
        <w:t xml:space="preserve">issue du présent pourvoi. </w:t>
      </w:r>
    </w:p>
    <w:p w:rsidR="00102A7D" w:rsidRPr="00A15EB4" w:rsidRDefault="00102A7D" w:rsidP="00102A7D">
      <w:pPr>
        <w:pStyle w:val="TitleTitre-AltT"/>
        <w:keepNext/>
        <w:tabs>
          <w:tab w:val="clear" w:pos="360"/>
          <w:tab w:val="left" w:pos="1200"/>
        </w:tabs>
        <w:ind w:left="1560" w:hanging="1560"/>
        <w:rPr>
          <w:rFonts w:cs="Times New Roman"/>
          <w:lang w:val="fr-CA"/>
        </w:rPr>
      </w:pPr>
      <w:r w:rsidRPr="00A15EB4">
        <w:rPr>
          <w:rFonts w:cs="Times New Roman"/>
          <w:lang w:val="fr-CA"/>
        </w:rPr>
        <w:lastRenderedPageBreak/>
        <w:tab/>
        <w:t>1.</w:t>
      </w:r>
      <w:r w:rsidRPr="00A15EB4">
        <w:rPr>
          <w:rFonts w:cs="Times New Roman"/>
          <w:lang w:val="fr-CA"/>
        </w:rPr>
        <w:tab/>
      </w:r>
      <w:r w:rsidRPr="00A15EB4">
        <w:rPr>
          <w:rFonts w:cs="Times New Roman"/>
          <w:u w:val="single"/>
          <w:lang w:val="fr-CA"/>
        </w:rPr>
        <w:t>Sens ordinaire et grammatical des mots « l</w:t>
      </w:r>
      <w:r>
        <w:rPr>
          <w:rFonts w:cs="Times New Roman"/>
          <w:u w:val="single"/>
          <w:lang w:val="fr-CA"/>
        </w:rPr>
        <w:t>’</w:t>
      </w:r>
      <w:r w:rsidRPr="00A15EB4">
        <w:rPr>
          <w:rFonts w:cs="Times New Roman"/>
          <w:u w:val="single"/>
          <w:lang w:val="fr-CA"/>
        </w:rPr>
        <w:t>exigent » et contexte</w:t>
      </w:r>
    </w:p>
    <w:p w:rsidR="00102A7D" w:rsidRPr="00A15EB4" w:rsidRDefault="00102A7D" w:rsidP="00102A7D">
      <w:pPr>
        <w:pStyle w:val="ParaNoNdepar-AltN"/>
        <w:rPr>
          <w:rFonts w:cs="Times New Roman"/>
          <w:lang w:val="fr-CA"/>
        </w:rPr>
      </w:pPr>
      <w:r w:rsidRPr="00A15EB4">
        <w:rPr>
          <w:rFonts w:cs="Times New Roman"/>
          <w:lang w:val="fr-CA"/>
        </w:rPr>
        <w:t>La première question porte sur le sens ordinaire et grammatical des mots. À cet égard, on fait valoir que les mots « l</w:t>
      </w:r>
      <w:r>
        <w:rPr>
          <w:rFonts w:cs="Times New Roman"/>
          <w:lang w:val="fr-CA"/>
        </w:rPr>
        <w:t>’</w:t>
      </w:r>
      <w:r w:rsidRPr="00A15EB4">
        <w:rPr>
          <w:rFonts w:cs="Times New Roman"/>
          <w:lang w:val="fr-CA"/>
        </w:rPr>
        <w:t>exigent » signifient « le nécessitent ».  Le juge Wright a accepté cet argument et conclu que l</w:t>
      </w:r>
      <w:r>
        <w:rPr>
          <w:rFonts w:cs="Times New Roman"/>
          <w:lang w:val="fr-CA"/>
        </w:rPr>
        <w:t>’</w:t>
      </w:r>
      <w:r w:rsidRPr="00A15EB4">
        <w:rPr>
          <w:rFonts w:cs="Times New Roman"/>
          <w:lang w:val="fr-CA"/>
        </w:rPr>
        <w:t xml:space="preserve">immunité prévue dans le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xml:space="preserve"> s</w:t>
      </w:r>
      <w:r>
        <w:rPr>
          <w:rFonts w:cs="Times New Roman"/>
          <w:lang w:val="fr-CA"/>
        </w:rPr>
        <w:t>’</w:t>
      </w:r>
      <w:r w:rsidRPr="00A15EB4">
        <w:rPr>
          <w:rFonts w:cs="Times New Roman"/>
          <w:lang w:val="fr-CA"/>
        </w:rPr>
        <w:t>applique uniquement dans la mesure où elle est nécessaire, voire indispensable, à l</w:t>
      </w:r>
      <w:r>
        <w:rPr>
          <w:rFonts w:cs="Times New Roman"/>
          <w:lang w:val="fr-CA"/>
        </w:rPr>
        <w:t>’</w:t>
      </w:r>
      <w:r w:rsidRPr="00A15EB4">
        <w:rPr>
          <w:rFonts w:cs="Times New Roman"/>
          <w:lang w:val="fr-CA"/>
        </w:rPr>
        <w:t>exercice des fonctions de l</w:t>
      </w:r>
      <w:r>
        <w:rPr>
          <w:rFonts w:cs="Times New Roman"/>
          <w:lang w:val="fr-CA"/>
        </w:rPr>
        <w:t>’</w:t>
      </w:r>
      <w:r w:rsidRPr="00A15EB4">
        <w:rPr>
          <w:rFonts w:cs="Times New Roman"/>
          <w:lang w:val="fr-CA"/>
        </w:rPr>
        <w:t>OPANO.  Par conséquent, comme ses fonctions ont trait à l</w:t>
      </w:r>
      <w:r>
        <w:rPr>
          <w:rFonts w:cs="Times New Roman"/>
          <w:lang w:val="fr-CA"/>
        </w:rPr>
        <w:t>’</w:t>
      </w:r>
      <w:r w:rsidRPr="00A15EB4">
        <w:rPr>
          <w:rFonts w:cs="Times New Roman"/>
          <w:lang w:val="fr-CA"/>
        </w:rPr>
        <w:t>utilisation, à la gestion et à la conservation de ressources halieutiques, l</w:t>
      </w:r>
      <w:r>
        <w:rPr>
          <w:rFonts w:cs="Times New Roman"/>
          <w:lang w:val="fr-CA"/>
        </w:rPr>
        <w:t>’</w:t>
      </w:r>
      <w:r w:rsidRPr="00A15EB4">
        <w:rPr>
          <w:rFonts w:cs="Times New Roman"/>
          <w:lang w:val="fr-CA"/>
        </w:rPr>
        <w:t>OPANO n</w:t>
      </w:r>
      <w:r>
        <w:rPr>
          <w:rFonts w:cs="Times New Roman"/>
          <w:lang w:val="fr-CA"/>
        </w:rPr>
        <w:t>’</w:t>
      </w:r>
      <w:r w:rsidRPr="00A15EB4">
        <w:rPr>
          <w:rFonts w:cs="Times New Roman"/>
          <w:lang w:val="fr-CA"/>
        </w:rPr>
        <w:t>a pas besoin d</w:t>
      </w:r>
      <w:r>
        <w:rPr>
          <w:rFonts w:cs="Times New Roman"/>
          <w:lang w:val="fr-CA"/>
        </w:rPr>
        <w:t>’</w:t>
      </w:r>
      <w:r w:rsidRPr="00A15EB4">
        <w:rPr>
          <w:rFonts w:cs="Times New Roman"/>
          <w:lang w:val="fr-CA"/>
        </w:rPr>
        <w:t>une immunité pour les questions liées à l</w:t>
      </w:r>
      <w:r>
        <w:rPr>
          <w:rFonts w:cs="Times New Roman"/>
          <w:lang w:val="fr-CA"/>
        </w:rPr>
        <w:t>’</w:t>
      </w:r>
      <w:r w:rsidRPr="00A15EB4">
        <w:rPr>
          <w:rFonts w:cs="Times New Roman"/>
          <w:lang w:val="fr-CA"/>
        </w:rPr>
        <w:t>emploi.  À mon avis, l</w:t>
      </w:r>
      <w:r>
        <w:rPr>
          <w:rFonts w:cs="Times New Roman"/>
          <w:lang w:val="fr-CA"/>
        </w:rPr>
        <w:t>’</w:t>
      </w:r>
      <w:r w:rsidRPr="00A15EB4">
        <w:rPr>
          <w:rFonts w:cs="Times New Roman"/>
          <w:lang w:val="fr-CA"/>
        </w:rPr>
        <w:t>analyse doit aller au</w:t>
      </w:r>
      <w:r w:rsidRPr="00A15EB4">
        <w:rPr>
          <w:rFonts w:cs="Times New Roman"/>
          <w:lang w:val="fr-CA"/>
        </w:rPr>
        <w:noBreakHyphen/>
        <w:t>delà de cette définition certes courante, quoique restreinte, des termes « l</w:t>
      </w:r>
      <w:r>
        <w:rPr>
          <w:rFonts w:cs="Times New Roman"/>
          <w:lang w:val="fr-CA"/>
        </w:rPr>
        <w:t>’</w:t>
      </w:r>
      <w:r w:rsidRPr="00A15EB4">
        <w:rPr>
          <w:rFonts w:cs="Times New Roman"/>
          <w:lang w:val="fr-CA"/>
        </w:rPr>
        <w:t>exigent ».  D</w:t>
      </w:r>
      <w:r>
        <w:rPr>
          <w:rFonts w:cs="Times New Roman"/>
          <w:lang w:val="fr-CA"/>
        </w:rPr>
        <w:t>’</w:t>
      </w:r>
      <w:r w:rsidRPr="00A15EB4">
        <w:rPr>
          <w:rFonts w:cs="Times New Roman"/>
          <w:lang w:val="fr-CA"/>
        </w:rPr>
        <w:t>autres facteurs d</w:t>
      </w:r>
      <w:r>
        <w:rPr>
          <w:rFonts w:cs="Times New Roman"/>
          <w:lang w:val="fr-CA"/>
        </w:rPr>
        <w:t>’</w:t>
      </w:r>
      <w:r w:rsidRPr="00A15EB4">
        <w:rPr>
          <w:rFonts w:cs="Times New Roman"/>
          <w:lang w:val="fr-CA"/>
        </w:rPr>
        <w:t xml:space="preserve">interprétation sont utiles pour déterminer le sens du par. 3(1)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des facteurs qui militent pour une interprétation plus libérale des termes « l</w:t>
      </w:r>
      <w:r>
        <w:rPr>
          <w:rFonts w:cs="Times New Roman"/>
          <w:lang w:val="fr-CA"/>
        </w:rPr>
        <w:t>’</w:t>
      </w:r>
      <w:r w:rsidRPr="00A15EB4">
        <w:rPr>
          <w:rFonts w:cs="Times New Roman"/>
          <w:lang w:val="fr-CA"/>
        </w:rPr>
        <w:t>exigent » que celle avancée par l</w:t>
      </w:r>
      <w:r>
        <w:rPr>
          <w:rFonts w:cs="Times New Roman"/>
          <w:lang w:val="fr-CA"/>
        </w:rPr>
        <w:t>’</w:t>
      </w:r>
      <w:r w:rsidRPr="00A15EB4">
        <w:rPr>
          <w:rFonts w:cs="Times New Roman"/>
          <w:lang w:val="fr-CA"/>
        </w:rPr>
        <w:t>appelant.</w:t>
      </w:r>
    </w:p>
    <w:p w:rsidR="00102A7D" w:rsidRPr="00A15EB4" w:rsidRDefault="00102A7D" w:rsidP="00102A7D">
      <w:pPr>
        <w:pStyle w:val="ParaNoNdepar-AltN"/>
        <w:rPr>
          <w:rFonts w:cs="Times New Roman"/>
          <w:lang w:val="fr-CA"/>
        </w:rPr>
      </w:pPr>
      <w:r w:rsidRPr="00A15EB4">
        <w:rPr>
          <w:rFonts w:cs="Times New Roman"/>
          <w:lang w:val="fr-CA"/>
        </w:rPr>
        <w:t>L</w:t>
      </w:r>
      <w:r>
        <w:rPr>
          <w:rFonts w:cs="Times New Roman"/>
          <w:lang w:val="fr-CA"/>
        </w:rPr>
        <w:t>’</w:t>
      </w:r>
      <w:r w:rsidRPr="00A15EB4">
        <w:rPr>
          <w:rFonts w:cs="Times New Roman"/>
          <w:lang w:val="fr-CA"/>
        </w:rPr>
        <w:t>opportunité d</w:t>
      </w:r>
      <w:r>
        <w:rPr>
          <w:rFonts w:cs="Times New Roman"/>
          <w:lang w:val="fr-CA"/>
        </w:rPr>
        <w:t>’</w:t>
      </w:r>
      <w:r w:rsidRPr="00A15EB4">
        <w:rPr>
          <w:rFonts w:cs="Times New Roman"/>
          <w:lang w:val="fr-CA"/>
        </w:rPr>
        <w:t>interpréter largement ces termes ressort clairement d</w:t>
      </w:r>
      <w:r>
        <w:rPr>
          <w:rFonts w:cs="Times New Roman"/>
          <w:lang w:val="fr-CA"/>
        </w:rPr>
        <w:t>’</w:t>
      </w:r>
      <w:r w:rsidRPr="00A15EB4">
        <w:rPr>
          <w:rFonts w:cs="Times New Roman"/>
          <w:lang w:val="fr-CA"/>
        </w:rPr>
        <w:t xml:space="preserve">un examen rapide du contexte dans lequel se situe le par. 3(1)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 </w:t>
      </w:r>
      <w:r w:rsidRPr="00A15EB4">
        <w:rPr>
          <w:rFonts w:cs="Times New Roman"/>
          <w:lang w:val="fr-CA"/>
        </w:rPr>
        <w:t xml:space="preserve"> Si les termes « l</w:t>
      </w:r>
      <w:r>
        <w:rPr>
          <w:rFonts w:cs="Times New Roman"/>
          <w:lang w:val="fr-CA"/>
        </w:rPr>
        <w:t>’</w:t>
      </w:r>
      <w:r w:rsidRPr="00A15EB4">
        <w:rPr>
          <w:rFonts w:cs="Times New Roman"/>
          <w:lang w:val="fr-CA"/>
        </w:rPr>
        <w:t>exigent » devaient être interprétés comme signifiant « le nécessitent » dans le sens le plus strict, les fonctionnaires au service de l</w:t>
      </w:r>
      <w:r>
        <w:rPr>
          <w:rFonts w:cs="Times New Roman"/>
          <w:lang w:val="fr-CA"/>
        </w:rPr>
        <w:t>’</w:t>
      </w:r>
      <w:r w:rsidRPr="00A15EB4">
        <w:rPr>
          <w:rFonts w:cs="Times New Roman"/>
          <w:lang w:val="fr-CA"/>
        </w:rPr>
        <w:t>OPANO ne bénéficieraient que des privilèges et des immunités personnel</w:t>
      </w:r>
      <w:r w:rsidR="00E768AA">
        <w:rPr>
          <w:rFonts w:cs="Times New Roman"/>
          <w:lang w:val="fr-CA"/>
        </w:rPr>
        <w:t>s exigé</w:t>
      </w:r>
      <w:r w:rsidRPr="00A15EB4">
        <w:rPr>
          <w:rFonts w:cs="Times New Roman"/>
          <w:lang w:val="fr-CA"/>
        </w:rPr>
        <w:t>s par leurs fonctions. Il</w:t>
      </w:r>
      <w:r w:rsidR="00E768AA">
        <w:rPr>
          <w:rFonts w:cs="Times New Roman"/>
          <w:lang w:val="fr-CA"/>
        </w:rPr>
        <w:t xml:space="preserve"> en est</w:t>
      </w:r>
      <w:r w:rsidRPr="00A15EB4">
        <w:rPr>
          <w:rFonts w:cs="Times New Roman"/>
          <w:lang w:val="fr-CA"/>
        </w:rPr>
        <w:t xml:space="preserve"> ainsi parce que les mêmes termes — « dans la mesure où leurs fonctions l</w:t>
      </w:r>
      <w:r>
        <w:rPr>
          <w:rFonts w:cs="Times New Roman"/>
          <w:lang w:val="fr-CA"/>
        </w:rPr>
        <w:t>’</w:t>
      </w:r>
      <w:r w:rsidRPr="00A15EB4">
        <w:rPr>
          <w:rFonts w:cs="Times New Roman"/>
          <w:lang w:val="fr-CA"/>
        </w:rPr>
        <w:t>exigent » — apparaissent non seulement au par. 3(1) mais aussi au par. 3(3).  Selon une interprétation aussi restrictive des termes « l</w:t>
      </w:r>
      <w:r>
        <w:rPr>
          <w:rFonts w:cs="Times New Roman"/>
          <w:lang w:val="fr-CA"/>
        </w:rPr>
        <w:t>’</w:t>
      </w:r>
      <w:r w:rsidRPr="00A15EB4">
        <w:rPr>
          <w:rFonts w:cs="Times New Roman"/>
          <w:lang w:val="fr-CA"/>
        </w:rPr>
        <w:t xml:space="preserve">exigent », les </w:t>
      </w:r>
      <w:r w:rsidRPr="00A15EB4">
        <w:rPr>
          <w:rFonts w:cs="Times New Roman"/>
          <w:lang w:val="fr-CA"/>
        </w:rPr>
        <w:lastRenderedPageBreak/>
        <w:t>fonctionnaires de l</w:t>
      </w:r>
      <w:r>
        <w:rPr>
          <w:rFonts w:cs="Times New Roman"/>
          <w:lang w:val="fr-CA"/>
        </w:rPr>
        <w:t>’</w:t>
      </w:r>
      <w:r w:rsidRPr="00A15EB4">
        <w:rPr>
          <w:rFonts w:cs="Times New Roman"/>
          <w:lang w:val="fr-CA"/>
        </w:rPr>
        <w:t>OPANO ne pourraient pas importer en franchise leur mobilier et leurs effets personnels — une immunité dont, peut</w:t>
      </w:r>
      <w:r w:rsidRPr="00A15EB4">
        <w:rPr>
          <w:rFonts w:cs="Times New Roman"/>
          <w:lang w:val="fr-CA"/>
        </w:rPr>
        <w:noBreakHyphen/>
        <w:t>on soutenir, bénéficient habituellement les employés des organisations internationales —, parce que, compte tenu de la mission de l</w:t>
      </w:r>
      <w:r>
        <w:rPr>
          <w:rFonts w:cs="Times New Roman"/>
          <w:lang w:val="fr-CA"/>
        </w:rPr>
        <w:t>’</w:t>
      </w:r>
      <w:r w:rsidRPr="00A15EB4">
        <w:rPr>
          <w:rFonts w:cs="Times New Roman"/>
          <w:lang w:val="fr-CA"/>
        </w:rPr>
        <w:t>OPANO, l</w:t>
      </w:r>
      <w:r>
        <w:rPr>
          <w:rFonts w:cs="Times New Roman"/>
          <w:lang w:val="fr-CA"/>
        </w:rPr>
        <w:t>’</w:t>
      </w:r>
      <w:r w:rsidRPr="00A15EB4">
        <w:rPr>
          <w:rFonts w:cs="Times New Roman"/>
          <w:lang w:val="fr-CA"/>
        </w:rPr>
        <w:t>importation de tels articles ne serait pas, dans ce sens strict, « exig[ée] » par leurs fonctions.</w:t>
      </w:r>
    </w:p>
    <w:p w:rsidR="00102A7D" w:rsidRPr="00A15EB4" w:rsidRDefault="00102A7D" w:rsidP="00102A7D">
      <w:pPr>
        <w:pStyle w:val="ParaNoNdepar-AltN"/>
        <w:rPr>
          <w:rFonts w:cs="Times New Roman"/>
          <w:lang w:val="fr-CA"/>
        </w:rPr>
      </w:pPr>
      <w:r w:rsidRPr="00A15EB4">
        <w:rPr>
          <w:rFonts w:cs="Times New Roman"/>
          <w:lang w:val="fr-CA"/>
        </w:rPr>
        <w:t>L</w:t>
      </w:r>
      <w:r>
        <w:rPr>
          <w:rFonts w:cs="Times New Roman"/>
          <w:lang w:val="fr-CA"/>
        </w:rPr>
        <w:t>’</w:t>
      </w:r>
      <w:r w:rsidRPr="00A15EB4">
        <w:rPr>
          <w:rFonts w:cs="Times New Roman"/>
          <w:lang w:val="fr-CA"/>
        </w:rPr>
        <w:t>appelant soutient que l</w:t>
      </w:r>
      <w:r>
        <w:rPr>
          <w:rFonts w:cs="Times New Roman"/>
          <w:lang w:val="fr-CA"/>
        </w:rPr>
        <w:t>’</w:t>
      </w:r>
      <w:r w:rsidRPr="00A15EB4">
        <w:rPr>
          <w:rFonts w:cs="Times New Roman"/>
          <w:lang w:val="fr-CA"/>
        </w:rPr>
        <w:t>interprétation des termes « l</w:t>
      </w:r>
      <w:r>
        <w:rPr>
          <w:rFonts w:cs="Times New Roman"/>
          <w:lang w:val="fr-CA"/>
        </w:rPr>
        <w:t>’</w:t>
      </w:r>
      <w:r w:rsidRPr="00A15EB4">
        <w:rPr>
          <w:rFonts w:cs="Times New Roman"/>
          <w:lang w:val="fr-CA"/>
        </w:rPr>
        <w:t>exigent » au par. 3(1) ne devrait pas être influencée par l</w:t>
      </w:r>
      <w:r>
        <w:rPr>
          <w:rFonts w:cs="Times New Roman"/>
          <w:lang w:val="fr-CA"/>
        </w:rPr>
        <w:t>’</w:t>
      </w:r>
      <w:r w:rsidRPr="00A15EB4">
        <w:rPr>
          <w:rFonts w:cs="Times New Roman"/>
          <w:lang w:val="fr-CA"/>
        </w:rPr>
        <w:t>utilisation des mêmes termes au par. 3(3), parce que la première disposition concerne l</w:t>
      </w:r>
      <w:r>
        <w:rPr>
          <w:rFonts w:cs="Times New Roman"/>
          <w:lang w:val="fr-CA"/>
        </w:rPr>
        <w:t>’</w:t>
      </w:r>
      <w:r w:rsidRPr="00A15EB4">
        <w:rPr>
          <w:rFonts w:cs="Times New Roman"/>
          <w:lang w:val="fr-CA"/>
        </w:rPr>
        <w:t>OPANO en tant que personne morale alors que la deuxième vise les fonctionnaires de l</w:t>
      </w:r>
      <w:r>
        <w:rPr>
          <w:rFonts w:cs="Times New Roman"/>
          <w:lang w:val="fr-CA"/>
        </w:rPr>
        <w:t>’</w:t>
      </w:r>
      <w:r w:rsidRPr="00A15EB4">
        <w:rPr>
          <w:rFonts w:cs="Times New Roman"/>
          <w:lang w:val="fr-CA"/>
        </w:rPr>
        <w:t>organisation.  Cet argument est sans fondement.  Le gouverneur en conseil est présumé avoir fait preuve de cohérence dans l</w:t>
      </w:r>
      <w:r>
        <w:rPr>
          <w:rFonts w:cs="Times New Roman"/>
          <w:lang w:val="fr-CA"/>
        </w:rPr>
        <w:t>’</w:t>
      </w:r>
      <w:r w:rsidRPr="00A15EB4">
        <w:rPr>
          <w:rFonts w:cs="Times New Roman"/>
          <w:lang w:val="fr-CA"/>
        </w:rPr>
        <w:t xml:space="preserve">établissement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 xml:space="preserve">OPANO.  </w:t>
      </w:r>
      <w:r w:rsidRPr="00A15EB4">
        <w:rPr>
          <w:rFonts w:cs="Times New Roman"/>
          <w:lang w:val="fr-CA"/>
        </w:rPr>
        <w:t>Dans ce contexte, il faut considérer que les termes « l</w:t>
      </w:r>
      <w:r>
        <w:rPr>
          <w:rFonts w:cs="Times New Roman"/>
          <w:lang w:val="fr-CA"/>
        </w:rPr>
        <w:t>’</w:t>
      </w:r>
      <w:r w:rsidRPr="00A15EB4">
        <w:rPr>
          <w:rFonts w:cs="Times New Roman"/>
          <w:lang w:val="fr-CA"/>
        </w:rPr>
        <w:t>exigent » utilisés aux par. 3(1) et 3(3) ont le même sens.</w:t>
      </w:r>
    </w:p>
    <w:p w:rsidR="00102A7D" w:rsidRPr="00A15EB4" w:rsidRDefault="00102A7D" w:rsidP="00102A7D">
      <w:pPr>
        <w:pStyle w:val="TitleTitre-AltT"/>
        <w:keepNext/>
        <w:tabs>
          <w:tab w:val="clear" w:pos="360"/>
          <w:tab w:val="left" w:pos="1200"/>
        </w:tabs>
        <w:ind w:left="1560" w:hanging="1560"/>
        <w:rPr>
          <w:rFonts w:cs="Times New Roman"/>
          <w:lang w:val="fr-CA"/>
        </w:rPr>
      </w:pPr>
      <w:r w:rsidRPr="00A15EB4">
        <w:rPr>
          <w:rFonts w:cs="Times New Roman"/>
          <w:lang w:val="fr-CA"/>
        </w:rPr>
        <w:tab/>
        <w:t>2.</w:t>
      </w:r>
      <w:r w:rsidRPr="00A15EB4">
        <w:rPr>
          <w:rFonts w:cs="Times New Roman"/>
          <w:lang w:val="fr-CA"/>
        </w:rPr>
        <w:tab/>
      </w:r>
      <w:r w:rsidRPr="00A15EB4">
        <w:rPr>
          <w:rFonts w:cs="Times New Roman"/>
          <w:u w:val="single"/>
          <w:lang w:val="fr-CA"/>
        </w:rPr>
        <w:t xml:space="preserve">Objet de la </w:t>
      </w:r>
      <w:r w:rsidRPr="00A15EB4">
        <w:rPr>
          <w:rFonts w:cs="Times New Roman"/>
          <w:i/>
          <w:u w:val="single"/>
          <w:lang w:val="fr-CA"/>
        </w:rPr>
        <w:t>LMÉOI</w:t>
      </w:r>
    </w:p>
    <w:p w:rsidR="00102A7D" w:rsidRPr="00A15EB4" w:rsidRDefault="00102A7D" w:rsidP="00102A7D">
      <w:pPr>
        <w:pStyle w:val="ParaNoNdepar-AltN"/>
        <w:rPr>
          <w:rFonts w:cs="Times New Roman"/>
          <w:lang w:val="fr-CA"/>
        </w:rPr>
      </w:pPr>
      <w:r w:rsidRPr="00A15EB4">
        <w:rPr>
          <w:rFonts w:cs="Times New Roman"/>
          <w:lang w:val="fr-CA"/>
        </w:rPr>
        <w:t xml:space="preserve">En adoptant la </w:t>
      </w:r>
      <w:r w:rsidRPr="00A15EB4">
        <w:rPr>
          <w:rFonts w:cs="Times New Roman"/>
          <w:i/>
          <w:lang w:val="fr-CA"/>
        </w:rPr>
        <w:t>LMÉOI</w:t>
      </w:r>
      <w:r w:rsidRPr="00A15EB4">
        <w:rPr>
          <w:rFonts w:cs="Times New Roman"/>
          <w:lang w:val="fr-CA"/>
        </w:rPr>
        <w:t xml:space="preserve">, le législateur avait trois objectifs : fusionner en une seule loi la </w:t>
      </w:r>
      <w:r w:rsidRPr="00A15EB4">
        <w:rPr>
          <w:rFonts w:cs="Times New Roman"/>
          <w:i/>
          <w:lang w:val="fr-CA"/>
        </w:rPr>
        <w:t>Loi sur les privilèges et immunités diplomatiques et consulaires</w:t>
      </w:r>
      <w:r w:rsidR="00AB499C">
        <w:rPr>
          <w:rFonts w:cs="Times New Roman"/>
          <w:lang w:val="fr-CA"/>
        </w:rPr>
        <w:t>, L.R.C. 1985, ch. P-</w:t>
      </w:r>
      <w:r w:rsidRPr="00A15EB4">
        <w:rPr>
          <w:rFonts w:cs="Times New Roman"/>
          <w:lang w:val="fr-CA"/>
        </w:rPr>
        <w:t>22</w:t>
      </w:r>
      <w:r w:rsidR="00AB499C">
        <w:rPr>
          <w:rFonts w:cs="Times New Roman"/>
          <w:lang w:val="fr-CA"/>
        </w:rPr>
        <w:t>,</w:t>
      </w:r>
      <w:r w:rsidRPr="00A15EB4">
        <w:rPr>
          <w:rFonts w:cs="Times New Roman"/>
          <w:i/>
          <w:lang w:val="fr-CA"/>
        </w:rPr>
        <w:t xml:space="preserve"> </w:t>
      </w:r>
      <w:r w:rsidRPr="00A15EB4">
        <w:rPr>
          <w:rFonts w:cs="Times New Roman"/>
          <w:lang w:val="fr-CA"/>
        </w:rPr>
        <w:t xml:space="preserve">et la </w:t>
      </w:r>
      <w:r w:rsidRPr="00A15EB4">
        <w:rPr>
          <w:rFonts w:cs="Times New Roman"/>
          <w:i/>
          <w:lang w:val="fr-CA"/>
        </w:rPr>
        <w:t>Loi sur les privilèges et immunités des organisations internationales</w:t>
      </w:r>
      <w:r w:rsidRPr="00A15EB4">
        <w:rPr>
          <w:rFonts w:cs="Times New Roman"/>
          <w:lang w:val="fr-CA"/>
        </w:rPr>
        <w:t>; moderniser les immunités qu</w:t>
      </w:r>
      <w:r>
        <w:rPr>
          <w:rFonts w:cs="Times New Roman"/>
          <w:lang w:val="fr-CA"/>
        </w:rPr>
        <w:t>’</w:t>
      </w:r>
      <w:r w:rsidRPr="00A15EB4">
        <w:rPr>
          <w:rFonts w:cs="Times New Roman"/>
          <w:lang w:val="fr-CA"/>
        </w:rPr>
        <w:t>il accorde aux États étrangers et aux organisations internationales conformément à l</w:t>
      </w:r>
      <w:r>
        <w:rPr>
          <w:rFonts w:cs="Times New Roman"/>
          <w:lang w:val="fr-CA"/>
        </w:rPr>
        <w:t>’</w:t>
      </w:r>
      <w:r w:rsidRPr="00A15EB4">
        <w:rPr>
          <w:rFonts w:cs="Times New Roman"/>
          <w:lang w:val="fr-CA"/>
        </w:rPr>
        <w:t>évolution du droit international et de la pratique y afférente; et accorder des immunités et privilèges à des subdivisions d</w:t>
      </w:r>
      <w:r>
        <w:rPr>
          <w:rFonts w:cs="Times New Roman"/>
          <w:lang w:val="fr-CA"/>
        </w:rPr>
        <w:t>’</w:t>
      </w:r>
      <w:r w:rsidRPr="00A15EB4">
        <w:rPr>
          <w:rFonts w:cs="Times New Roman"/>
          <w:lang w:val="fr-CA"/>
        </w:rPr>
        <w:t>États étrangers pour que les missions provinciales à l</w:t>
      </w:r>
      <w:r>
        <w:rPr>
          <w:rFonts w:cs="Times New Roman"/>
          <w:lang w:val="fr-CA"/>
        </w:rPr>
        <w:t>’</w:t>
      </w:r>
      <w:r w:rsidRPr="00A15EB4">
        <w:rPr>
          <w:rFonts w:cs="Times New Roman"/>
          <w:lang w:val="fr-CA"/>
        </w:rPr>
        <w:t xml:space="preserve">étranger puissent, </w:t>
      </w:r>
      <w:r w:rsidRPr="00A15EB4">
        <w:rPr>
          <w:rFonts w:cs="Times New Roman"/>
          <w:lang w:val="fr-CA"/>
        </w:rPr>
        <w:lastRenderedPageBreak/>
        <w:t>réciproquement, jouir d</w:t>
      </w:r>
      <w:r>
        <w:rPr>
          <w:rFonts w:cs="Times New Roman"/>
          <w:lang w:val="fr-CA"/>
        </w:rPr>
        <w:t>’</w:t>
      </w:r>
      <w:r w:rsidRPr="00A15EB4">
        <w:rPr>
          <w:rFonts w:cs="Times New Roman"/>
          <w:lang w:val="fr-CA"/>
        </w:rPr>
        <w:t xml:space="preserve">immunités : </w:t>
      </w:r>
      <w:r w:rsidRPr="00A15EB4">
        <w:rPr>
          <w:rFonts w:cs="Times New Roman"/>
          <w:i/>
          <w:lang w:val="fr-CA"/>
        </w:rPr>
        <w:t>Débats de la Chambre des communes</w:t>
      </w:r>
      <w:r w:rsidR="00495F00">
        <w:rPr>
          <w:rFonts w:cs="Times New Roman"/>
          <w:lang w:val="fr-CA"/>
        </w:rPr>
        <w:t>, vol. I</w:t>
      </w:r>
      <w:r w:rsidRPr="00A15EB4">
        <w:rPr>
          <w:rFonts w:cs="Times New Roman"/>
          <w:lang w:val="fr-CA"/>
        </w:rPr>
        <w:t xml:space="preserve">II, </w:t>
      </w:r>
      <w:r w:rsidR="00495F00" w:rsidRPr="00A15EB4">
        <w:rPr>
          <w:rFonts w:cs="Times New Roman"/>
          <w:lang w:val="fr-CA"/>
        </w:rPr>
        <w:t>3</w:t>
      </w:r>
      <w:r w:rsidR="00495F00" w:rsidRPr="00A15EB4">
        <w:rPr>
          <w:rFonts w:cs="Times New Roman"/>
          <w:vertAlign w:val="superscript"/>
          <w:lang w:val="fr-CA"/>
        </w:rPr>
        <w:t>e</w:t>
      </w:r>
      <w:r w:rsidR="00495F00" w:rsidRPr="00A15EB4">
        <w:rPr>
          <w:rFonts w:cs="Times New Roman"/>
          <w:lang w:val="fr-CA"/>
        </w:rPr>
        <w:t> sess.,</w:t>
      </w:r>
      <w:r w:rsidR="00495F00">
        <w:rPr>
          <w:rFonts w:cs="Times New Roman"/>
          <w:lang w:val="fr-CA"/>
        </w:rPr>
        <w:t xml:space="preserve"> </w:t>
      </w:r>
      <w:r w:rsidRPr="00A15EB4">
        <w:rPr>
          <w:rFonts w:cs="Times New Roman"/>
          <w:lang w:val="fr-CA"/>
        </w:rPr>
        <w:t>34</w:t>
      </w:r>
      <w:r w:rsidRPr="00A15EB4">
        <w:rPr>
          <w:rFonts w:cs="Times New Roman"/>
          <w:vertAlign w:val="superscript"/>
          <w:lang w:val="fr-CA"/>
        </w:rPr>
        <w:t>e</w:t>
      </w:r>
      <w:r w:rsidRPr="00A15EB4">
        <w:rPr>
          <w:rFonts w:cs="Times New Roman"/>
          <w:lang w:val="fr-CA"/>
        </w:rPr>
        <w:t> </w:t>
      </w:r>
      <w:r w:rsidR="00495F00">
        <w:rPr>
          <w:rFonts w:cs="Times New Roman"/>
          <w:lang w:val="fr-CA"/>
        </w:rPr>
        <w:t>l</w:t>
      </w:r>
      <w:r w:rsidRPr="00A15EB4">
        <w:rPr>
          <w:rFonts w:cs="Times New Roman"/>
          <w:lang w:val="fr-CA"/>
        </w:rPr>
        <w:t xml:space="preserve">ég., 4 octobre 1991, p. 3332 et </w:t>
      </w:r>
      <w:r w:rsidR="00495F00">
        <w:rPr>
          <w:rFonts w:cs="Times New Roman"/>
          <w:lang w:val="fr-CA"/>
        </w:rPr>
        <w:t>suiv</w:t>
      </w:r>
      <w:r>
        <w:rPr>
          <w:rFonts w:cs="Times New Roman"/>
          <w:lang w:val="fr-CA"/>
        </w:rPr>
        <w:t xml:space="preserve">. </w:t>
      </w:r>
      <w:r w:rsidRPr="00A15EB4">
        <w:rPr>
          <w:rFonts w:cs="Times New Roman"/>
          <w:lang w:val="fr-CA"/>
        </w:rPr>
        <w:t xml:space="preserve"> Se référant plus particulièrement aux organisations internationales, l</w:t>
      </w:r>
      <w:r>
        <w:rPr>
          <w:rFonts w:cs="Times New Roman"/>
          <w:lang w:val="fr-CA"/>
        </w:rPr>
        <w:t>’</w:t>
      </w:r>
      <w:r w:rsidRPr="00A15EB4">
        <w:rPr>
          <w:rFonts w:cs="Times New Roman"/>
          <w:lang w:val="fr-CA"/>
        </w:rPr>
        <w:t xml:space="preserve">honorable Marcel Danis a rappelé ces objectifs au nom </w:t>
      </w:r>
      <w:r w:rsidR="00986465">
        <w:rPr>
          <w:rFonts w:cs="Times New Roman"/>
          <w:lang w:val="fr-CA"/>
        </w:rPr>
        <w:t>de la</w:t>
      </w:r>
      <w:r w:rsidRPr="00A15EB4">
        <w:rPr>
          <w:rFonts w:cs="Times New Roman"/>
          <w:lang w:val="fr-CA"/>
        </w:rPr>
        <w:t xml:space="preserve"> secrétaire d</w:t>
      </w:r>
      <w:r>
        <w:rPr>
          <w:rFonts w:cs="Times New Roman"/>
          <w:lang w:val="fr-CA"/>
        </w:rPr>
        <w:t>’</w:t>
      </w:r>
      <w:r w:rsidRPr="00A15EB4">
        <w:rPr>
          <w:rFonts w:cs="Times New Roman"/>
          <w:lang w:val="fr-CA"/>
        </w:rPr>
        <w:t>État aux Affaires extérieures :</w:t>
      </w:r>
    </w:p>
    <w:p w:rsidR="00102A7D" w:rsidRPr="00A15EB4" w:rsidRDefault="00102A7D" w:rsidP="00102A7D">
      <w:pPr>
        <w:pStyle w:val="Citation-AltC"/>
        <w:tabs>
          <w:tab w:val="left" w:pos="1620"/>
        </w:tabs>
        <w:spacing w:after="240"/>
        <w:ind w:hanging="1166"/>
        <w:contextualSpacing w:val="0"/>
        <w:rPr>
          <w:lang w:val="fr-CA"/>
        </w:rPr>
      </w:pPr>
      <w:r w:rsidRPr="00A15EB4">
        <w:rPr>
          <w:lang w:val="fr-CA"/>
        </w:rPr>
        <w:tab/>
      </w:r>
      <w:r w:rsidRPr="00A15EB4">
        <w:rPr>
          <w:lang w:val="fr-CA"/>
        </w:rPr>
        <w:tab/>
        <w:t>Le droit international confère également un statut particulier aux organisations internationales.  L</w:t>
      </w:r>
      <w:r>
        <w:rPr>
          <w:lang w:val="fr-CA"/>
        </w:rPr>
        <w:t>’</w:t>
      </w:r>
      <w:r w:rsidRPr="00A15EB4">
        <w:rPr>
          <w:lang w:val="fr-CA"/>
        </w:rPr>
        <w:t>adhésion aux Nations Unies, à l</w:t>
      </w:r>
      <w:r>
        <w:rPr>
          <w:lang w:val="fr-CA"/>
        </w:rPr>
        <w:t>’</w:t>
      </w:r>
      <w:r w:rsidRPr="00A15EB4">
        <w:rPr>
          <w:lang w:val="fr-CA"/>
        </w:rPr>
        <w:t>OCDE et à d</w:t>
      </w:r>
      <w:r>
        <w:rPr>
          <w:lang w:val="fr-CA"/>
        </w:rPr>
        <w:t>’</w:t>
      </w:r>
      <w:r w:rsidRPr="00A15EB4">
        <w:rPr>
          <w:lang w:val="fr-CA"/>
        </w:rPr>
        <w:t>autres organisations d</w:t>
      </w:r>
      <w:r>
        <w:rPr>
          <w:lang w:val="fr-CA"/>
        </w:rPr>
        <w:t>’</w:t>
      </w:r>
      <w:r w:rsidRPr="00A15EB4">
        <w:rPr>
          <w:lang w:val="fr-CA"/>
        </w:rPr>
        <w:t>États est assortie de l</w:t>
      </w:r>
      <w:r>
        <w:rPr>
          <w:lang w:val="fr-CA"/>
        </w:rPr>
        <w:t>’</w:t>
      </w:r>
      <w:r w:rsidRPr="00A15EB4">
        <w:rPr>
          <w:lang w:val="fr-CA"/>
        </w:rPr>
        <w:t>obligation d</w:t>
      </w:r>
      <w:r>
        <w:rPr>
          <w:lang w:val="fr-CA"/>
        </w:rPr>
        <w:t>’</w:t>
      </w:r>
      <w:r w:rsidRPr="00A15EB4">
        <w:rPr>
          <w:lang w:val="fr-CA"/>
        </w:rPr>
        <w:t>accorder certains privilèges et immunités à ces organisations et à leurs agents.  À défaut d</w:t>
      </w:r>
      <w:r>
        <w:rPr>
          <w:lang w:val="fr-CA"/>
        </w:rPr>
        <w:t>’</w:t>
      </w:r>
      <w:r w:rsidRPr="00A15EB4">
        <w:rPr>
          <w:lang w:val="fr-CA"/>
        </w:rPr>
        <w:t>une loi permettant d</w:t>
      </w:r>
      <w:r>
        <w:rPr>
          <w:lang w:val="fr-CA"/>
        </w:rPr>
        <w:t>’</w:t>
      </w:r>
      <w:r w:rsidRPr="00A15EB4">
        <w:rPr>
          <w:lang w:val="fr-CA"/>
        </w:rPr>
        <w:t>accorder ces privilèges et immunités, le Canada ne pourrait pas être membre de ces organisations, pas plus qu</w:t>
      </w:r>
      <w:r>
        <w:rPr>
          <w:lang w:val="fr-CA"/>
        </w:rPr>
        <w:t>’</w:t>
      </w:r>
      <w:r w:rsidRPr="00A15EB4">
        <w:rPr>
          <w:lang w:val="fr-CA"/>
        </w:rPr>
        <w:t>il ne pourrait accueillir sur son territoire leur siège comme c</w:t>
      </w:r>
      <w:r>
        <w:rPr>
          <w:lang w:val="fr-CA"/>
        </w:rPr>
        <w:t>’</w:t>
      </w:r>
      <w:r w:rsidRPr="00A15EB4">
        <w:rPr>
          <w:lang w:val="fr-CA"/>
        </w:rPr>
        <w:t>est le cas de l</w:t>
      </w:r>
      <w:r>
        <w:rPr>
          <w:lang w:val="fr-CA"/>
        </w:rPr>
        <w:t>’</w:t>
      </w:r>
      <w:r w:rsidRPr="00A15EB4">
        <w:rPr>
          <w:lang w:val="fr-CA"/>
        </w:rPr>
        <w:t>Organisation de l</w:t>
      </w:r>
      <w:r>
        <w:rPr>
          <w:lang w:val="fr-CA"/>
        </w:rPr>
        <w:t>’</w:t>
      </w:r>
      <w:r w:rsidRPr="00A15EB4">
        <w:rPr>
          <w:lang w:val="fr-CA"/>
        </w:rPr>
        <w:t>aviation civile internationale à Montréal ou du Commonwealth of Learning à Vancouver.</w:t>
      </w:r>
    </w:p>
    <w:p w:rsidR="00102A7D" w:rsidRPr="00A15EB4" w:rsidRDefault="00102A7D" w:rsidP="00102A7D">
      <w:pPr>
        <w:pStyle w:val="Citation-AltC"/>
        <w:tabs>
          <w:tab w:val="left" w:pos="1620"/>
        </w:tabs>
        <w:spacing w:after="240"/>
        <w:ind w:hanging="1166"/>
        <w:contextualSpacing w:val="0"/>
        <w:rPr>
          <w:lang w:val="fr-CA"/>
        </w:rPr>
      </w:pPr>
      <w:r w:rsidRPr="00A15EB4">
        <w:rPr>
          <w:lang w:val="fr-CA"/>
        </w:rPr>
        <w:tab/>
      </w:r>
      <w:r w:rsidRPr="00A15EB4">
        <w:rPr>
          <w:lang w:val="fr-CA"/>
        </w:rPr>
        <w:tab/>
        <w:t>À l</w:t>
      </w:r>
      <w:r>
        <w:rPr>
          <w:lang w:val="fr-CA"/>
        </w:rPr>
        <w:t>’</w:t>
      </w:r>
      <w:r w:rsidRPr="00A15EB4">
        <w:rPr>
          <w:lang w:val="fr-CA"/>
        </w:rPr>
        <w:t>heure actuelle, ces organisations obtiennent des privilèges et des immunités par décret, en vertu de la Loi sur les privilèges et immunités des organisations internationales.  Le traitement que le Canada peut accorder à des organisations internationales n</w:t>
      </w:r>
      <w:r>
        <w:rPr>
          <w:lang w:val="fr-CA"/>
        </w:rPr>
        <w:t>’</w:t>
      </w:r>
      <w:r w:rsidRPr="00A15EB4">
        <w:rPr>
          <w:lang w:val="fr-CA"/>
        </w:rPr>
        <w:t>a pas changé depuis l</w:t>
      </w:r>
      <w:r>
        <w:rPr>
          <w:lang w:val="fr-CA"/>
        </w:rPr>
        <w:t>’</w:t>
      </w:r>
      <w:r w:rsidRPr="00A15EB4">
        <w:rPr>
          <w:lang w:val="fr-CA"/>
        </w:rPr>
        <w:t>adoption de la loi précédente, la Loi sur les privilèges et immunités des Nations Unies, en 1947.  Cependant, les normes internationales en ce qui concerne le traitement de ces organisations ont changé du tout au tout et les limites imposées par la législation actuelle nuisent aux relations du Canada avec des organisations internationales, notamment la plus importante ayant son siège au Canada.</w:t>
      </w:r>
    </w:p>
    <w:p w:rsidR="00102A7D" w:rsidRPr="00A15EB4" w:rsidRDefault="00102A7D" w:rsidP="00102A7D">
      <w:pPr>
        <w:pStyle w:val="Citation-AltC"/>
        <w:spacing w:after="240"/>
        <w:contextualSpacing w:val="0"/>
        <w:jc w:val="center"/>
        <w:rPr>
          <w:lang w:val="fr-CA"/>
        </w:rPr>
      </w:pPr>
      <w:r w:rsidRPr="00A15EB4">
        <w:rPr>
          <w:lang w:val="fr-CA"/>
        </w:rPr>
        <w:t>. . .</w:t>
      </w:r>
    </w:p>
    <w:p w:rsidR="00102A7D" w:rsidRPr="00A15EB4" w:rsidRDefault="00102A7D" w:rsidP="00102A7D">
      <w:pPr>
        <w:pStyle w:val="Citation-AltC"/>
        <w:tabs>
          <w:tab w:val="left" w:pos="1620"/>
        </w:tabs>
        <w:ind w:hanging="1166"/>
        <w:contextualSpacing w:val="0"/>
        <w:rPr>
          <w:lang w:val="fr-CA"/>
        </w:rPr>
      </w:pPr>
      <w:r w:rsidRPr="00A15EB4">
        <w:rPr>
          <w:lang w:val="fr-CA"/>
        </w:rPr>
        <w:tab/>
      </w:r>
      <w:r w:rsidRPr="00A15EB4">
        <w:rPr>
          <w:lang w:val="fr-CA"/>
        </w:rPr>
        <w:tab/>
        <w:t>Une des façons de mieux défendre nos objectifs au sein de ces organisations consiste à les encourager à établir leurs bureaux ou, encore mieux, leur siège au Canada.  Grâce à une législation plus moderne, nous pourrons poursuivre de façon plus dynamique notre politique tendant à attirer les bureaux des organisations internationales au Canada.  [p. 3333</w:t>
      </w:r>
      <w:r w:rsidRPr="00A15EB4">
        <w:rPr>
          <w:lang w:val="fr-CA"/>
        </w:rPr>
        <w:noBreakHyphen/>
        <w:t>3334]</w:t>
      </w:r>
    </w:p>
    <w:p w:rsidR="00102A7D" w:rsidRPr="00A15EB4" w:rsidRDefault="00102A7D" w:rsidP="00102A7D">
      <w:pPr>
        <w:pStyle w:val="ParaNoNdepar-AltN"/>
        <w:rPr>
          <w:rFonts w:cs="Times New Roman"/>
          <w:lang w:val="fr-CA"/>
        </w:rPr>
      </w:pPr>
      <w:r w:rsidRPr="00A15EB4">
        <w:rPr>
          <w:rFonts w:cs="Times New Roman"/>
          <w:lang w:val="fr-CA"/>
        </w:rPr>
        <w:t xml:space="preserve">En adoptant la </w:t>
      </w:r>
      <w:r w:rsidRPr="00A15EB4">
        <w:rPr>
          <w:rFonts w:cs="Times New Roman"/>
          <w:i/>
          <w:lang w:val="fr-CA"/>
        </w:rPr>
        <w:t>LMÉOI</w:t>
      </w:r>
      <w:r w:rsidRPr="00A15EB4">
        <w:rPr>
          <w:rFonts w:cs="Times New Roman"/>
          <w:lang w:val="fr-CA"/>
        </w:rPr>
        <w:t>, le législateur avait donc entre autres pour objectif de moderniser les règles relatives aux immunités et aux privilèges qu</w:t>
      </w:r>
      <w:r>
        <w:rPr>
          <w:rFonts w:cs="Times New Roman"/>
          <w:lang w:val="fr-CA"/>
        </w:rPr>
        <w:t>’</w:t>
      </w:r>
      <w:r w:rsidRPr="00A15EB4">
        <w:rPr>
          <w:rFonts w:cs="Times New Roman"/>
          <w:lang w:val="fr-CA"/>
        </w:rPr>
        <w:t xml:space="preserve">il pouvait accorder aux organisations internationales.  Il voulait ainsi tenir compte des tendances </w:t>
      </w:r>
      <w:r w:rsidRPr="00A15EB4">
        <w:rPr>
          <w:rFonts w:cs="Times New Roman"/>
          <w:lang w:val="fr-CA"/>
        </w:rPr>
        <w:lastRenderedPageBreak/>
        <w:t>actuelles en droit international et faire du Canada un endroit attrayant pour l</w:t>
      </w:r>
      <w:r>
        <w:rPr>
          <w:rFonts w:cs="Times New Roman"/>
          <w:lang w:val="fr-CA"/>
        </w:rPr>
        <w:t>’</w:t>
      </w:r>
      <w:r w:rsidRPr="00A15EB4">
        <w:rPr>
          <w:rFonts w:cs="Times New Roman"/>
          <w:lang w:val="fr-CA"/>
        </w:rPr>
        <w:t>établissement du siège ou des bureaux de telles organisations.  Interpréter l</w:t>
      </w:r>
      <w:r>
        <w:rPr>
          <w:rFonts w:cs="Times New Roman"/>
          <w:lang w:val="fr-CA"/>
        </w:rPr>
        <w:t>’</w:t>
      </w:r>
      <w:r w:rsidRPr="00A15EB4">
        <w:rPr>
          <w:rFonts w:cs="Times New Roman"/>
          <w:lang w:val="fr-CA"/>
        </w:rPr>
        <w:t>immunité accordée au par. 3(1) pour lui donner une portée aussi limitée que le propose l</w:t>
      </w:r>
      <w:r>
        <w:rPr>
          <w:rFonts w:cs="Times New Roman"/>
          <w:lang w:val="fr-CA"/>
        </w:rPr>
        <w:t>’</w:t>
      </w:r>
      <w:r w:rsidRPr="00A15EB4">
        <w:rPr>
          <w:rFonts w:cs="Times New Roman"/>
          <w:lang w:val="fr-CA"/>
        </w:rPr>
        <w:t>appelant irait à l</w:t>
      </w:r>
      <w:r>
        <w:rPr>
          <w:rFonts w:cs="Times New Roman"/>
          <w:lang w:val="fr-CA"/>
        </w:rPr>
        <w:t>’</w:t>
      </w:r>
      <w:r w:rsidRPr="00A15EB4">
        <w:rPr>
          <w:rFonts w:cs="Times New Roman"/>
          <w:lang w:val="fr-CA"/>
        </w:rPr>
        <w:t>encontre des objectifs poursuivis par le législateur, soit la modernisation, la souplesse et le respect de l</w:t>
      </w:r>
      <w:r>
        <w:rPr>
          <w:rFonts w:cs="Times New Roman"/>
          <w:lang w:val="fr-CA"/>
        </w:rPr>
        <w:t>’</w:t>
      </w:r>
      <w:r w:rsidRPr="00A15EB4">
        <w:rPr>
          <w:rFonts w:cs="Times New Roman"/>
          <w:lang w:val="fr-CA"/>
        </w:rPr>
        <w:t>indépendance des organisations internationales accueillies par le Canada.</w:t>
      </w:r>
    </w:p>
    <w:p w:rsidR="00102A7D" w:rsidRPr="00A15EB4" w:rsidRDefault="00102A7D" w:rsidP="00102A7D">
      <w:pPr>
        <w:pStyle w:val="ParaNoNdepar-AltN"/>
        <w:rPr>
          <w:rFonts w:cs="Times New Roman"/>
          <w:lang w:val="en-US"/>
        </w:rPr>
      </w:pPr>
      <w:r w:rsidRPr="00A15EB4">
        <w:rPr>
          <w:rFonts w:cs="Times New Roman"/>
          <w:lang w:val="fr-CA"/>
        </w:rPr>
        <w:t>Il convient ici de répéter que l</w:t>
      </w:r>
      <w:r>
        <w:rPr>
          <w:rFonts w:cs="Times New Roman"/>
          <w:lang w:val="fr-CA"/>
        </w:rPr>
        <w:t>’</w:t>
      </w:r>
      <w:r w:rsidRPr="00A15EB4">
        <w:rPr>
          <w:rFonts w:cs="Times New Roman"/>
          <w:lang w:val="fr-CA"/>
        </w:rPr>
        <w:t>immunité est essentielle au fonctionnement efficace des organisations internationales.  En son absence, rien n</w:t>
      </w:r>
      <w:r>
        <w:rPr>
          <w:rFonts w:cs="Times New Roman"/>
          <w:lang w:val="fr-CA"/>
        </w:rPr>
        <w:t>’</w:t>
      </w:r>
      <w:r w:rsidRPr="00A15EB4">
        <w:rPr>
          <w:rFonts w:cs="Times New Roman"/>
          <w:lang w:val="fr-CA"/>
        </w:rPr>
        <w:t>empêcherait l</w:t>
      </w:r>
      <w:r>
        <w:rPr>
          <w:rFonts w:cs="Times New Roman"/>
          <w:lang w:val="fr-CA"/>
        </w:rPr>
        <w:t>’</w:t>
      </w:r>
      <w:r w:rsidRPr="00A15EB4">
        <w:rPr>
          <w:rFonts w:cs="Times New Roman"/>
          <w:lang w:val="fr-CA"/>
        </w:rPr>
        <w:t>État d</w:t>
      </w:r>
      <w:r>
        <w:rPr>
          <w:rFonts w:cs="Times New Roman"/>
          <w:lang w:val="fr-CA"/>
        </w:rPr>
        <w:t>’</w:t>
      </w:r>
      <w:r w:rsidRPr="00A15EB4">
        <w:rPr>
          <w:rFonts w:cs="Times New Roman"/>
          <w:lang w:val="fr-CA"/>
        </w:rPr>
        <w:t>accueil et ses tribunaux de s</w:t>
      </w:r>
      <w:r>
        <w:rPr>
          <w:rFonts w:cs="Times New Roman"/>
          <w:lang w:val="fr-CA"/>
        </w:rPr>
        <w:t>’</w:t>
      </w:r>
      <w:r w:rsidRPr="00A15EB4">
        <w:rPr>
          <w:rFonts w:cs="Times New Roman"/>
          <w:lang w:val="fr-CA"/>
        </w:rPr>
        <w:t xml:space="preserve">ingérer dans leurs opérations et leur programme.  </w:t>
      </w:r>
      <w:r w:rsidRPr="00A15EB4">
        <w:rPr>
          <w:rFonts w:cs="Times New Roman"/>
          <w:lang w:val="en-US"/>
        </w:rPr>
        <w:t>Voir W. M. Berenson, « Squaring the Concept of Immunity with the Fundamental Right to a Fair Trial : The Case of the OAS »</w:t>
      </w:r>
      <w:r w:rsidR="0095518F">
        <w:rPr>
          <w:rFonts w:cs="Times New Roman"/>
          <w:lang w:val="en-US"/>
        </w:rPr>
        <w:t xml:space="preserve">, dans H. Cissé, D. D. Bradlow et B. Kingsbury, dir., </w:t>
      </w:r>
      <w:r w:rsidR="0095518F" w:rsidRPr="0095518F">
        <w:rPr>
          <w:rFonts w:cs="Times New Roman"/>
          <w:i/>
          <w:lang w:val="en-US"/>
        </w:rPr>
        <w:t xml:space="preserve">The </w:t>
      </w:r>
      <w:r w:rsidRPr="00A15EB4">
        <w:rPr>
          <w:rFonts w:cs="Times New Roman"/>
          <w:i/>
          <w:lang w:val="en-US"/>
        </w:rPr>
        <w:t>World Ban</w:t>
      </w:r>
      <w:r>
        <w:rPr>
          <w:rFonts w:cs="Times New Roman"/>
          <w:i/>
          <w:lang w:val="en-US"/>
        </w:rPr>
        <w:t>k</w:t>
      </w:r>
      <w:r w:rsidRPr="00A15EB4">
        <w:rPr>
          <w:rFonts w:cs="Times New Roman"/>
          <w:i/>
          <w:lang w:val="en-US"/>
        </w:rPr>
        <w:t xml:space="preserve"> Legal Review</w:t>
      </w:r>
      <w:r w:rsidRPr="00A15EB4">
        <w:rPr>
          <w:rFonts w:cs="Times New Roman"/>
          <w:lang w:val="en-US"/>
        </w:rPr>
        <w:t xml:space="preserve"> </w:t>
      </w:r>
      <w:r w:rsidR="0095518F">
        <w:rPr>
          <w:rFonts w:cs="Times New Roman"/>
          <w:lang w:val="en-US"/>
        </w:rPr>
        <w:t xml:space="preserve">(2012), vol. 3, </w:t>
      </w:r>
      <w:r w:rsidRPr="00A15EB4">
        <w:rPr>
          <w:rFonts w:cs="Times New Roman"/>
          <w:lang w:val="en-US"/>
        </w:rPr>
        <w:t xml:space="preserve">133.  Voir aussi L. Preuss, « The International Organizations Immunities Act » (1946), 40 </w:t>
      </w:r>
      <w:r w:rsidRPr="00A15EB4">
        <w:rPr>
          <w:rFonts w:cs="Times New Roman"/>
          <w:i/>
          <w:lang w:val="en-US"/>
        </w:rPr>
        <w:t>Am. J. Int</w:t>
      </w:r>
      <w:r w:rsidR="00E47078">
        <w:rPr>
          <w:rFonts w:cs="Times New Roman"/>
          <w:i/>
          <w:lang w:val="en-US"/>
        </w:rPr>
        <w:t>’l</w:t>
      </w:r>
      <w:r w:rsidRPr="00A15EB4">
        <w:rPr>
          <w:rFonts w:cs="Times New Roman"/>
          <w:lang w:val="en-US"/>
        </w:rPr>
        <w:t xml:space="preserve"> </w:t>
      </w:r>
      <w:r w:rsidR="0095518F" w:rsidRPr="0095518F">
        <w:rPr>
          <w:rFonts w:cs="Times New Roman"/>
          <w:i/>
          <w:lang w:val="en-US"/>
        </w:rPr>
        <w:t>L.</w:t>
      </w:r>
      <w:r w:rsidR="0095518F">
        <w:rPr>
          <w:rFonts w:cs="Times New Roman"/>
          <w:lang w:val="en-US"/>
        </w:rPr>
        <w:t xml:space="preserve"> </w:t>
      </w:r>
      <w:r w:rsidRPr="00A15EB4">
        <w:rPr>
          <w:rFonts w:cs="Times New Roman"/>
          <w:lang w:val="en-US"/>
        </w:rPr>
        <w:t xml:space="preserve">332, p. 345. </w:t>
      </w:r>
    </w:p>
    <w:p w:rsidR="00102A7D" w:rsidRPr="00A15EB4" w:rsidRDefault="00102A7D" w:rsidP="00102A7D">
      <w:pPr>
        <w:pStyle w:val="TitleTitre-AltT"/>
        <w:keepNext/>
        <w:tabs>
          <w:tab w:val="clear" w:pos="360"/>
          <w:tab w:val="left" w:pos="1200"/>
        </w:tabs>
        <w:ind w:left="1560" w:hanging="1560"/>
        <w:rPr>
          <w:rFonts w:cs="Times New Roman"/>
          <w:lang w:val="fr-CA"/>
        </w:rPr>
      </w:pPr>
      <w:r w:rsidRPr="00A15EB4">
        <w:rPr>
          <w:rFonts w:cs="Times New Roman"/>
        </w:rPr>
        <w:tab/>
      </w:r>
      <w:r w:rsidRPr="00A15EB4">
        <w:rPr>
          <w:rFonts w:cs="Times New Roman"/>
          <w:lang w:val="fr-CA"/>
        </w:rPr>
        <w:t>3.</w:t>
      </w:r>
      <w:r w:rsidRPr="00A15EB4">
        <w:rPr>
          <w:rFonts w:cs="Times New Roman"/>
          <w:lang w:val="fr-CA"/>
        </w:rPr>
        <w:tab/>
      </w:r>
      <w:r w:rsidRPr="00A15EB4">
        <w:rPr>
          <w:rFonts w:cs="Times New Roman"/>
          <w:u w:val="single"/>
          <w:lang w:val="fr-CA"/>
        </w:rPr>
        <w:t xml:space="preserve">Attribution de pouvoir dans la </w:t>
      </w:r>
      <w:r w:rsidRPr="00A15EB4">
        <w:rPr>
          <w:rFonts w:cs="Times New Roman"/>
          <w:i/>
          <w:u w:val="single"/>
          <w:lang w:val="fr-CA"/>
        </w:rPr>
        <w:t>LMÉOI</w:t>
      </w:r>
    </w:p>
    <w:p w:rsidR="00102A7D" w:rsidRPr="00A15EB4" w:rsidRDefault="00102A7D" w:rsidP="00102A7D">
      <w:pPr>
        <w:pStyle w:val="ParaNoNdepar-AltN"/>
        <w:rPr>
          <w:rFonts w:cs="Times New Roman"/>
          <w:lang w:val="fr-CA"/>
        </w:rPr>
      </w:pPr>
      <w:r w:rsidRPr="00A15EB4">
        <w:rPr>
          <w:rFonts w:cs="Times New Roman"/>
          <w:lang w:val="fr-CA"/>
        </w:rPr>
        <w:t>Comme nous l</w:t>
      </w:r>
      <w:r>
        <w:rPr>
          <w:rFonts w:cs="Times New Roman"/>
          <w:lang w:val="fr-CA"/>
        </w:rPr>
        <w:t>’</w:t>
      </w:r>
      <w:r w:rsidRPr="00A15EB4">
        <w:rPr>
          <w:rFonts w:cs="Times New Roman"/>
          <w:lang w:val="fr-CA"/>
        </w:rPr>
        <w:t>avons vu, dans l</w:t>
      </w:r>
      <w:r>
        <w:rPr>
          <w:rFonts w:cs="Times New Roman"/>
          <w:lang w:val="fr-CA"/>
        </w:rPr>
        <w:t>’</w:t>
      </w:r>
      <w:r w:rsidRPr="00A15EB4">
        <w:rPr>
          <w:rFonts w:cs="Times New Roman"/>
          <w:lang w:val="fr-CA"/>
        </w:rPr>
        <w:t>interprétation d</w:t>
      </w:r>
      <w:r>
        <w:rPr>
          <w:rFonts w:cs="Times New Roman"/>
          <w:lang w:val="fr-CA"/>
        </w:rPr>
        <w:t>’</w:t>
      </w:r>
      <w:r w:rsidRPr="00A15EB4">
        <w:rPr>
          <w:rFonts w:cs="Times New Roman"/>
          <w:lang w:val="fr-CA"/>
        </w:rPr>
        <w:t>un règlement ou d</w:t>
      </w:r>
      <w:r>
        <w:rPr>
          <w:rFonts w:cs="Times New Roman"/>
          <w:lang w:val="fr-CA"/>
        </w:rPr>
        <w:t>’</w:t>
      </w:r>
      <w:r w:rsidRPr="00A15EB4">
        <w:rPr>
          <w:rFonts w:cs="Times New Roman"/>
          <w:lang w:val="fr-CA"/>
        </w:rPr>
        <w:t>un décret, les tribunaux doivent tenir compte non seulement des facteurs d</w:t>
      </w:r>
      <w:r>
        <w:rPr>
          <w:rFonts w:cs="Times New Roman"/>
          <w:lang w:val="fr-CA"/>
        </w:rPr>
        <w:t>’</w:t>
      </w:r>
      <w:r w:rsidRPr="00A15EB4">
        <w:rPr>
          <w:rFonts w:cs="Times New Roman"/>
          <w:lang w:val="fr-CA"/>
        </w:rPr>
        <w:t xml:space="preserve">interprétation habituels, mais aussi de la disposition législative conférant le pouvoir de prendre le règlement ou le décret en question : </w:t>
      </w:r>
      <w:r w:rsidRPr="00A15EB4">
        <w:rPr>
          <w:rFonts w:cs="Times New Roman"/>
          <w:i/>
          <w:lang w:val="fr-CA"/>
        </w:rPr>
        <w:t>Bristol</w:t>
      </w:r>
      <w:r w:rsidRPr="00A15EB4">
        <w:rPr>
          <w:rFonts w:cs="Times New Roman"/>
          <w:i/>
          <w:lang w:val="fr-CA"/>
        </w:rPr>
        <w:noBreakHyphen/>
        <w:t>Myers Squibb</w:t>
      </w:r>
      <w:r w:rsidRPr="00A15EB4">
        <w:rPr>
          <w:rFonts w:cs="Times New Roman"/>
          <w:lang w:val="fr-CA"/>
        </w:rPr>
        <w:t>, par. 38.  C</w:t>
      </w:r>
      <w:r>
        <w:rPr>
          <w:rFonts w:cs="Times New Roman"/>
          <w:lang w:val="fr-CA"/>
        </w:rPr>
        <w:t>’</w:t>
      </w:r>
      <w:r w:rsidRPr="00A15EB4">
        <w:rPr>
          <w:rFonts w:cs="Times New Roman"/>
          <w:lang w:val="fr-CA"/>
        </w:rPr>
        <w:t>est l</w:t>
      </w:r>
      <w:r>
        <w:rPr>
          <w:rFonts w:cs="Times New Roman"/>
          <w:lang w:val="fr-CA"/>
        </w:rPr>
        <w:t>’</w:t>
      </w:r>
      <w:r w:rsidRPr="00A15EB4">
        <w:rPr>
          <w:rFonts w:cs="Times New Roman"/>
          <w:lang w:val="fr-CA"/>
        </w:rPr>
        <w:t>alinéa 5(1)</w:t>
      </w:r>
      <w:r w:rsidRPr="00A15EB4">
        <w:rPr>
          <w:rFonts w:cs="Times New Roman"/>
          <w:i/>
          <w:lang w:val="fr-CA"/>
        </w:rPr>
        <w:t>b</w:t>
      </w:r>
      <w:r w:rsidRPr="00A15EB4">
        <w:rPr>
          <w:rFonts w:cs="Times New Roman"/>
          <w:lang w:val="fr-CA"/>
        </w:rPr>
        <w:t xml:space="preserve">) de la </w:t>
      </w:r>
      <w:r w:rsidRPr="00A15EB4">
        <w:rPr>
          <w:rFonts w:cs="Times New Roman"/>
          <w:i/>
          <w:lang w:val="fr-CA"/>
        </w:rPr>
        <w:t>LMÉOI</w:t>
      </w:r>
      <w:r w:rsidRPr="00A15EB4">
        <w:rPr>
          <w:rFonts w:cs="Times New Roman"/>
          <w:lang w:val="fr-CA"/>
        </w:rPr>
        <w:t xml:space="preserve"> qui autorise le gouverneur en conseil à disposer par décret qu</w:t>
      </w:r>
      <w:r>
        <w:rPr>
          <w:rFonts w:cs="Times New Roman"/>
          <w:lang w:val="fr-CA"/>
        </w:rPr>
        <w:t>’</w:t>
      </w:r>
      <w:r w:rsidRPr="00A15EB4">
        <w:rPr>
          <w:rFonts w:cs="Times New Roman"/>
          <w:lang w:val="fr-CA"/>
        </w:rPr>
        <w:t>une organisation internationale</w:t>
      </w:r>
    </w:p>
    <w:p w:rsidR="00102A7D" w:rsidRPr="00A15EB4" w:rsidRDefault="00102A7D" w:rsidP="00102A7D">
      <w:pPr>
        <w:pStyle w:val="Citation-AltC"/>
        <w:tabs>
          <w:tab w:val="left" w:pos="1620"/>
        </w:tabs>
        <w:ind w:hanging="1166"/>
        <w:contextualSpacing w:val="0"/>
        <w:rPr>
          <w:lang w:val="fr-CA"/>
        </w:rPr>
      </w:pPr>
      <w:r w:rsidRPr="00A15EB4">
        <w:rPr>
          <w:lang w:val="fr-CA"/>
        </w:rPr>
        <w:lastRenderedPageBreak/>
        <w:tab/>
        <w:t>bénéficie, dans la mesure spécifiée, des privilèges et immunités énoncés aux articles II et III de la Convention sur les privilèges et immunités des Nations Unies</w:t>
      </w:r>
      <w:r w:rsidR="0090461B">
        <w:rPr>
          <w:lang w:val="fr-CA"/>
        </w:rPr>
        <w:t xml:space="preserve"> </w:t>
      </w:r>
      <w:r w:rsidRPr="00A15EB4">
        <w:rPr>
          <w:lang w:val="fr-CA"/>
        </w:rPr>
        <w:t>. . .</w:t>
      </w:r>
    </w:p>
    <w:p w:rsidR="00102A7D" w:rsidRPr="00A15EB4" w:rsidRDefault="00102A7D" w:rsidP="00102A7D">
      <w:pPr>
        <w:pStyle w:val="ContinueParaSuitedupar-AltP"/>
        <w:rPr>
          <w:rFonts w:cs="Times New Roman"/>
          <w:lang w:val="fr-CA"/>
        </w:rPr>
      </w:pPr>
      <w:r w:rsidRPr="00A15EB4">
        <w:rPr>
          <w:rFonts w:cs="Times New Roman"/>
          <w:lang w:val="fr-CA"/>
        </w:rPr>
        <w:t xml:space="preserve">La </w:t>
      </w:r>
      <w:r w:rsidRPr="00A15EB4">
        <w:rPr>
          <w:rFonts w:cs="Times New Roman"/>
          <w:i/>
          <w:lang w:val="fr-CA"/>
        </w:rPr>
        <w:t>LMÉOI</w:t>
      </w:r>
      <w:r w:rsidRPr="00A15EB4">
        <w:rPr>
          <w:rFonts w:cs="Times New Roman"/>
          <w:lang w:val="fr-CA"/>
        </w:rPr>
        <w:t xml:space="preserve"> accorde donc au gouverneur en conseil le pouvoir de conférer à une organisation internationale l</w:t>
      </w:r>
      <w:r>
        <w:rPr>
          <w:rFonts w:cs="Times New Roman"/>
          <w:lang w:val="fr-CA"/>
        </w:rPr>
        <w:t>’</w:t>
      </w:r>
      <w:r w:rsidRPr="00A15EB4">
        <w:rPr>
          <w:rFonts w:cs="Times New Roman"/>
          <w:lang w:val="fr-CA"/>
        </w:rPr>
        <w:t xml:space="preserve">ensemble ou une partie des privilèges et des immunités accordés aux Nations Unies par les art. II et III de la </w:t>
      </w:r>
      <w:r w:rsidRPr="00A15EB4">
        <w:rPr>
          <w:rFonts w:cs="Times New Roman"/>
          <w:i/>
          <w:lang w:val="fr-CA"/>
        </w:rPr>
        <w:t>Convention sur les privilèges et immunités des Nations Unies</w:t>
      </w:r>
      <w:r w:rsidRPr="00A15EB4">
        <w:rPr>
          <w:rFonts w:cs="Times New Roman"/>
          <w:lang w:val="fr-CA"/>
        </w:rPr>
        <w:t xml:space="preserve">.  La </w:t>
      </w:r>
      <w:r w:rsidRPr="00A15EB4">
        <w:rPr>
          <w:rFonts w:cs="Times New Roman"/>
          <w:i/>
          <w:lang w:val="fr-CA"/>
        </w:rPr>
        <w:t>LMÉOI</w:t>
      </w:r>
      <w:r w:rsidRPr="00A15EB4">
        <w:rPr>
          <w:rFonts w:cs="Times New Roman"/>
          <w:lang w:val="fr-CA"/>
        </w:rPr>
        <w:t xml:space="preserve"> donne au gouverneur en conseil une certaine souplesse pour déterminer l</w:t>
      </w:r>
      <w:r>
        <w:rPr>
          <w:rFonts w:cs="Times New Roman"/>
          <w:lang w:val="fr-CA"/>
        </w:rPr>
        <w:t>’</w:t>
      </w:r>
      <w:r w:rsidRPr="00A15EB4">
        <w:rPr>
          <w:rFonts w:cs="Times New Roman"/>
          <w:lang w:val="fr-CA"/>
        </w:rPr>
        <w:t>étendue des immunités et des privilèges à accorder au cas par cas à chaque organisation internationale.  Le gouverneur en conseil dispose d</w:t>
      </w:r>
      <w:r>
        <w:rPr>
          <w:rFonts w:cs="Times New Roman"/>
          <w:lang w:val="fr-CA"/>
        </w:rPr>
        <w:t>’</w:t>
      </w:r>
      <w:r w:rsidRPr="00A15EB4">
        <w:rPr>
          <w:rFonts w:cs="Times New Roman"/>
          <w:lang w:val="fr-CA"/>
        </w:rPr>
        <w:t>un vaste pouvoir de réglementation lui permettant d</w:t>
      </w:r>
      <w:r>
        <w:rPr>
          <w:rFonts w:cs="Times New Roman"/>
          <w:lang w:val="fr-CA"/>
        </w:rPr>
        <w:t>’</w:t>
      </w:r>
      <w:r w:rsidRPr="00A15EB4">
        <w:rPr>
          <w:rFonts w:cs="Times New Roman"/>
          <w:lang w:val="fr-CA"/>
        </w:rPr>
        <w:t>établir les immunités d</w:t>
      </w:r>
      <w:r>
        <w:rPr>
          <w:rFonts w:cs="Times New Roman"/>
          <w:lang w:val="fr-CA"/>
        </w:rPr>
        <w:t>’</w:t>
      </w:r>
      <w:r w:rsidRPr="00A15EB4">
        <w:rPr>
          <w:rFonts w:cs="Times New Roman"/>
          <w:lang w:val="fr-CA"/>
        </w:rPr>
        <w:t>une manière qui est compatible avec les fonctions dont doivent s</w:t>
      </w:r>
      <w:r>
        <w:rPr>
          <w:rFonts w:cs="Times New Roman"/>
          <w:lang w:val="fr-CA"/>
        </w:rPr>
        <w:t>’</w:t>
      </w:r>
      <w:r w:rsidRPr="00A15EB4">
        <w:rPr>
          <w:rFonts w:cs="Times New Roman"/>
          <w:lang w:val="fr-CA"/>
        </w:rPr>
        <w:t>acquitter différentes organisations internationales.  Il n</w:t>
      </w:r>
      <w:r>
        <w:rPr>
          <w:rFonts w:cs="Times New Roman"/>
          <w:lang w:val="fr-CA"/>
        </w:rPr>
        <w:t>’</w:t>
      </w:r>
      <w:r w:rsidRPr="00A15EB4">
        <w:rPr>
          <w:rFonts w:cs="Times New Roman"/>
          <w:lang w:val="fr-CA"/>
        </w:rPr>
        <w:t>est pas tenu de fournir l</w:t>
      </w:r>
      <w:r>
        <w:rPr>
          <w:rFonts w:cs="Times New Roman"/>
          <w:lang w:val="fr-CA"/>
        </w:rPr>
        <w:t>’</w:t>
      </w:r>
      <w:r w:rsidRPr="00A15EB4">
        <w:rPr>
          <w:rFonts w:cs="Times New Roman"/>
          <w:lang w:val="fr-CA"/>
        </w:rPr>
        <w:t>éventail le plus restreint possible d</w:t>
      </w:r>
      <w:r>
        <w:rPr>
          <w:rFonts w:cs="Times New Roman"/>
          <w:lang w:val="fr-CA"/>
        </w:rPr>
        <w:t>’</w:t>
      </w:r>
      <w:r w:rsidRPr="00A15EB4">
        <w:rPr>
          <w:rFonts w:cs="Times New Roman"/>
          <w:lang w:val="fr-CA"/>
        </w:rPr>
        <w:t>immunités.  Il doit plutôt donner à la communauté internationale l</w:t>
      </w:r>
      <w:r>
        <w:rPr>
          <w:rFonts w:cs="Times New Roman"/>
          <w:lang w:val="fr-CA"/>
        </w:rPr>
        <w:t>’</w:t>
      </w:r>
      <w:r w:rsidRPr="00A15EB4">
        <w:rPr>
          <w:rFonts w:cs="Times New Roman"/>
          <w:lang w:val="fr-CA"/>
        </w:rPr>
        <w:t>assurance que nous serons un pays d</w:t>
      </w:r>
      <w:r>
        <w:rPr>
          <w:rFonts w:cs="Times New Roman"/>
          <w:lang w:val="fr-CA"/>
        </w:rPr>
        <w:t>’</w:t>
      </w:r>
      <w:r w:rsidRPr="00A15EB4">
        <w:rPr>
          <w:rFonts w:cs="Times New Roman"/>
          <w:lang w:val="fr-CA"/>
        </w:rPr>
        <w:t>accueil conscient et respectueux du rôle des organisations internationales et de leur indépendance institutionnelle.</w:t>
      </w:r>
    </w:p>
    <w:p w:rsidR="00102A7D" w:rsidRPr="00A15EB4" w:rsidRDefault="00102A7D" w:rsidP="00102A7D">
      <w:pPr>
        <w:pStyle w:val="TitleTitre-AltT"/>
        <w:keepNext/>
        <w:tabs>
          <w:tab w:val="clear" w:pos="360"/>
          <w:tab w:val="left" w:pos="1200"/>
        </w:tabs>
        <w:ind w:left="1560" w:hanging="1560"/>
        <w:rPr>
          <w:rFonts w:cs="Times New Roman"/>
          <w:lang w:val="fr-CA"/>
        </w:rPr>
      </w:pPr>
      <w:r w:rsidRPr="00A15EB4">
        <w:rPr>
          <w:rFonts w:cs="Times New Roman"/>
          <w:lang w:val="fr-CA"/>
        </w:rPr>
        <w:tab/>
        <w:t>4.</w:t>
      </w:r>
      <w:r w:rsidRPr="00A15EB4">
        <w:rPr>
          <w:rFonts w:cs="Times New Roman"/>
          <w:lang w:val="fr-CA"/>
        </w:rPr>
        <w:tab/>
      </w:r>
      <w:r w:rsidRPr="00A15EB4">
        <w:rPr>
          <w:rFonts w:cs="Times New Roman"/>
          <w:u w:val="single"/>
          <w:lang w:val="fr-CA"/>
        </w:rPr>
        <w:t>Régime établi par le Décret sur l</w:t>
      </w:r>
      <w:r>
        <w:rPr>
          <w:rFonts w:cs="Times New Roman"/>
          <w:u w:val="single"/>
          <w:lang w:val="fr-CA"/>
        </w:rPr>
        <w:t>’</w:t>
      </w:r>
      <w:r w:rsidRPr="00A15EB4">
        <w:rPr>
          <w:rFonts w:cs="Times New Roman"/>
          <w:u w:val="single"/>
          <w:lang w:val="fr-CA"/>
        </w:rPr>
        <w:t>immunité de l</w:t>
      </w:r>
      <w:r>
        <w:rPr>
          <w:rFonts w:cs="Times New Roman"/>
          <w:u w:val="single"/>
          <w:lang w:val="fr-CA"/>
        </w:rPr>
        <w:t>’</w:t>
      </w:r>
      <w:r w:rsidRPr="00A15EB4">
        <w:rPr>
          <w:rFonts w:cs="Times New Roman"/>
          <w:u w:val="single"/>
          <w:lang w:val="fr-CA"/>
        </w:rPr>
        <w:t>OPANO</w:t>
      </w:r>
    </w:p>
    <w:p w:rsidR="00102A7D" w:rsidRPr="00A15EB4" w:rsidRDefault="00102A7D" w:rsidP="00102A7D">
      <w:pPr>
        <w:pStyle w:val="ParaNoNdepar-AltN"/>
        <w:rPr>
          <w:rFonts w:cs="Times New Roman"/>
          <w:lang w:val="fr-CA"/>
        </w:rPr>
      </w:pPr>
      <w:r w:rsidRPr="00A15EB4">
        <w:rPr>
          <w:rFonts w:cs="Times New Roman"/>
          <w:lang w:val="fr-CA"/>
        </w:rPr>
        <w:t xml:space="preserve">Le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xml:space="preserve"> a été établi compte tenu du contexte et des objectifs examinés précédemment.  Il établit un régime par lequel le Canada confère certaines immunités et certains privilèges à l</w:t>
      </w:r>
      <w:r>
        <w:rPr>
          <w:rFonts w:cs="Times New Roman"/>
          <w:lang w:val="fr-CA"/>
        </w:rPr>
        <w:t>’</w:t>
      </w:r>
      <w:r w:rsidRPr="00A15EB4">
        <w:rPr>
          <w:rFonts w:cs="Times New Roman"/>
          <w:lang w:val="fr-CA"/>
        </w:rPr>
        <w:t>OPANO.  Ces immunités et privilèges sont décrits à l</w:t>
      </w:r>
      <w:r>
        <w:rPr>
          <w:rFonts w:cs="Times New Roman"/>
          <w:lang w:val="fr-CA"/>
        </w:rPr>
        <w:t>’</w:t>
      </w:r>
      <w:r w:rsidRPr="00A15EB4">
        <w:rPr>
          <w:rFonts w:cs="Times New Roman"/>
          <w:lang w:val="fr-CA"/>
        </w:rPr>
        <w:t>art. 3, rédigé en ces termes :</w:t>
      </w:r>
    </w:p>
    <w:p w:rsidR="00102A7D" w:rsidRPr="00A15EB4" w:rsidRDefault="00102A7D" w:rsidP="00102A7D">
      <w:pPr>
        <w:pStyle w:val="Citation-AltC"/>
        <w:tabs>
          <w:tab w:val="left" w:pos="1620"/>
        </w:tabs>
        <w:spacing w:after="240"/>
        <w:ind w:hanging="1166"/>
        <w:contextualSpacing w:val="0"/>
        <w:rPr>
          <w:lang w:val="fr-CA"/>
        </w:rPr>
      </w:pPr>
      <w:r w:rsidRPr="00A15EB4">
        <w:rPr>
          <w:lang w:val="fr-CA"/>
        </w:rPr>
        <w:lastRenderedPageBreak/>
        <w:tab/>
      </w:r>
      <w:r w:rsidRPr="00A15EB4">
        <w:rPr>
          <w:lang w:val="fr-CA"/>
        </w:rPr>
        <w:tab/>
      </w:r>
      <w:r w:rsidRPr="00A15EB4">
        <w:rPr>
          <w:b/>
          <w:lang w:val="fr-CA"/>
        </w:rPr>
        <w:t>3.</w:t>
      </w:r>
      <w:r w:rsidRPr="00A15EB4">
        <w:rPr>
          <w:lang w:val="fr-CA"/>
        </w:rPr>
        <w:t> (1) L</w:t>
      </w:r>
      <w:r>
        <w:rPr>
          <w:lang w:val="fr-CA"/>
        </w:rPr>
        <w:t>’</w:t>
      </w:r>
      <w:r w:rsidRPr="00A15EB4">
        <w:rPr>
          <w:lang w:val="fr-CA"/>
        </w:rPr>
        <w:t>Organisation possède, au Canada, la capacité juridique d</w:t>
      </w:r>
      <w:r>
        <w:rPr>
          <w:lang w:val="fr-CA"/>
        </w:rPr>
        <w:t>’</w:t>
      </w:r>
      <w:r w:rsidRPr="00A15EB4">
        <w:rPr>
          <w:lang w:val="fr-CA"/>
        </w:rPr>
        <w:t xml:space="preserve">un corps constitué et possède, </w:t>
      </w:r>
      <w:r w:rsidRPr="00A15EB4">
        <w:rPr>
          <w:u w:val="single"/>
          <w:lang w:val="fr-CA"/>
        </w:rPr>
        <w:t>dans la mesure où ses fonctions l</w:t>
      </w:r>
      <w:r>
        <w:rPr>
          <w:u w:val="single"/>
          <w:lang w:val="fr-CA"/>
        </w:rPr>
        <w:t>’</w:t>
      </w:r>
      <w:r w:rsidRPr="00A15EB4">
        <w:rPr>
          <w:u w:val="single"/>
          <w:lang w:val="fr-CA"/>
        </w:rPr>
        <w:t>exigent</w:t>
      </w:r>
      <w:r w:rsidRPr="00A15EB4">
        <w:rPr>
          <w:lang w:val="fr-CA"/>
        </w:rPr>
        <w:t>, les privilèges et les immunités prévus pour les Nations Unies aux Articles II et III de la Convention.</w:t>
      </w:r>
    </w:p>
    <w:p w:rsidR="00102A7D" w:rsidRPr="00A15EB4" w:rsidRDefault="00102A7D" w:rsidP="00102A7D">
      <w:pPr>
        <w:pStyle w:val="Citation-AltC"/>
        <w:tabs>
          <w:tab w:val="left" w:pos="1620"/>
        </w:tabs>
        <w:spacing w:after="240"/>
        <w:ind w:hanging="1166"/>
        <w:contextualSpacing w:val="0"/>
        <w:rPr>
          <w:lang w:val="fr-CA"/>
        </w:rPr>
      </w:pPr>
      <w:r w:rsidRPr="00A15EB4">
        <w:rPr>
          <w:lang w:val="fr-CA"/>
        </w:rPr>
        <w:tab/>
      </w:r>
      <w:r w:rsidRPr="00A15EB4">
        <w:rPr>
          <w:lang w:val="fr-CA"/>
        </w:rPr>
        <w:tab/>
        <w:t>(2)</w:t>
      </w:r>
      <w:r w:rsidRPr="00A15EB4">
        <w:rPr>
          <w:lang w:val="fr-CA"/>
        </w:rPr>
        <w:tab/>
        <w:t>Les représentants d</w:t>
      </w:r>
      <w:r>
        <w:rPr>
          <w:lang w:val="fr-CA"/>
        </w:rPr>
        <w:t>’</w:t>
      </w:r>
      <w:r w:rsidRPr="00A15EB4">
        <w:rPr>
          <w:lang w:val="fr-CA"/>
        </w:rPr>
        <w:t>États et de gouvernements membres de l</w:t>
      </w:r>
      <w:r>
        <w:rPr>
          <w:lang w:val="fr-CA"/>
        </w:rPr>
        <w:t>’</w:t>
      </w:r>
      <w:r w:rsidRPr="00A15EB4">
        <w:rPr>
          <w:lang w:val="fr-CA"/>
        </w:rPr>
        <w:t xml:space="preserve">Organisation possèdent, au Canada, </w:t>
      </w:r>
      <w:r w:rsidRPr="00A15EB4">
        <w:rPr>
          <w:u w:val="single"/>
          <w:lang w:val="fr-CA"/>
        </w:rPr>
        <w:t>dans la mesure où leurs fonctions l</w:t>
      </w:r>
      <w:r>
        <w:rPr>
          <w:u w:val="single"/>
          <w:lang w:val="fr-CA"/>
        </w:rPr>
        <w:t>’</w:t>
      </w:r>
      <w:r w:rsidRPr="00A15EB4">
        <w:rPr>
          <w:u w:val="single"/>
          <w:lang w:val="fr-CA"/>
        </w:rPr>
        <w:t>exigent</w:t>
      </w:r>
      <w:r w:rsidRPr="00A15EB4">
        <w:rPr>
          <w:lang w:val="fr-CA"/>
        </w:rPr>
        <w:t>, les privilèges et les immunités prévus pour les représentants de membres à l</w:t>
      </w:r>
      <w:r>
        <w:rPr>
          <w:lang w:val="fr-CA"/>
        </w:rPr>
        <w:t>’</w:t>
      </w:r>
      <w:r w:rsidRPr="00A15EB4">
        <w:rPr>
          <w:lang w:val="fr-CA"/>
        </w:rPr>
        <w:t>Article IV de la Convention.</w:t>
      </w:r>
    </w:p>
    <w:p w:rsidR="00102A7D" w:rsidRPr="00A15EB4" w:rsidRDefault="00102A7D" w:rsidP="00102A7D">
      <w:pPr>
        <w:pStyle w:val="Citation-AltC"/>
        <w:tabs>
          <w:tab w:val="left" w:pos="1620"/>
        </w:tabs>
        <w:spacing w:after="240"/>
        <w:ind w:hanging="1166"/>
        <w:contextualSpacing w:val="0"/>
        <w:rPr>
          <w:lang w:val="fr-CA"/>
        </w:rPr>
      </w:pPr>
      <w:r w:rsidRPr="00A15EB4">
        <w:rPr>
          <w:lang w:val="fr-CA"/>
        </w:rPr>
        <w:tab/>
      </w:r>
      <w:r w:rsidRPr="00A15EB4">
        <w:rPr>
          <w:lang w:val="fr-CA"/>
        </w:rPr>
        <w:tab/>
        <w:t>(3)</w:t>
      </w:r>
      <w:r w:rsidRPr="00A15EB4">
        <w:rPr>
          <w:lang w:val="fr-CA"/>
        </w:rPr>
        <w:tab/>
        <w:t>Tous les fonctionnaires de l</w:t>
      </w:r>
      <w:r>
        <w:rPr>
          <w:lang w:val="fr-CA"/>
        </w:rPr>
        <w:t>’</w:t>
      </w:r>
      <w:r w:rsidRPr="00A15EB4">
        <w:rPr>
          <w:lang w:val="fr-CA"/>
        </w:rPr>
        <w:t xml:space="preserve">Organisation possèdent, au Canada, </w:t>
      </w:r>
      <w:r w:rsidRPr="00A15EB4">
        <w:rPr>
          <w:u w:val="single"/>
          <w:lang w:val="fr-CA"/>
        </w:rPr>
        <w:t>dans la mesure où leurs fonctions l</w:t>
      </w:r>
      <w:r>
        <w:rPr>
          <w:u w:val="single"/>
          <w:lang w:val="fr-CA"/>
        </w:rPr>
        <w:t>’</w:t>
      </w:r>
      <w:r w:rsidRPr="00A15EB4">
        <w:rPr>
          <w:u w:val="single"/>
          <w:lang w:val="fr-CA"/>
        </w:rPr>
        <w:t>exigent</w:t>
      </w:r>
      <w:r w:rsidRPr="00A15EB4">
        <w:rPr>
          <w:lang w:val="fr-CA"/>
        </w:rPr>
        <w:t>, les privilèges et les immunités prévus pour les fonctionnaires des Nations Unies à l</w:t>
      </w:r>
      <w:r>
        <w:rPr>
          <w:lang w:val="fr-CA"/>
        </w:rPr>
        <w:t>’</w:t>
      </w:r>
      <w:r w:rsidRPr="00A15EB4">
        <w:rPr>
          <w:lang w:val="fr-CA"/>
        </w:rPr>
        <w:t>Article V de la Convention.</w:t>
      </w:r>
    </w:p>
    <w:p w:rsidR="00102A7D" w:rsidRPr="00A15EB4" w:rsidRDefault="00102A7D" w:rsidP="00102A7D">
      <w:pPr>
        <w:pStyle w:val="Citation-AltC"/>
        <w:tabs>
          <w:tab w:val="left" w:pos="1620"/>
        </w:tabs>
        <w:spacing w:after="240"/>
        <w:ind w:hanging="1166"/>
        <w:contextualSpacing w:val="0"/>
        <w:rPr>
          <w:lang w:val="fr-CA"/>
        </w:rPr>
      </w:pPr>
      <w:r w:rsidRPr="00A15EB4">
        <w:rPr>
          <w:lang w:val="fr-CA"/>
        </w:rPr>
        <w:tab/>
      </w:r>
      <w:r w:rsidRPr="00A15EB4">
        <w:rPr>
          <w:lang w:val="fr-CA"/>
        </w:rPr>
        <w:tab/>
        <w:t>(4)</w:t>
      </w:r>
      <w:r w:rsidRPr="00A15EB4">
        <w:rPr>
          <w:lang w:val="fr-CA"/>
        </w:rPr>
        <w:tab/>
        <w:t>Tous les experts accomplissant des missions pour l</w:t>
      </w:r>
      <w:r>
        <w:rPr>
          <w:lang w:val="fr-CA"/>
        </w:rPr>
        <w:t>’</w:t>
      </w:r>
      <w:r w:rsidRPr="00A15EB4">
        <w:rPr>
          <w:lang w:val="fr-CA"/>
        </w:rPr>
        <w:t xml:space="preserve">Organisation possèdent, au Canada, </w:t>
      </w:r>
      <w:r w:rsidRPr="00A15EB4">
        <w:rPr>
          <w:u w:val="single"/>
          <w:lang w:val="fr-CA"/>
        </w:rPr>
        <w:t>dans la mesure où leurs fonctions l</w:t>
      </w:r>
      <w:r>
        <w:rPr>
          <w:u w:val="single"/>
          <w:lang w:val="fr-CA"/>
        </w:rPr>
        <w:t>’</w:t>
      </w:r>
      <w:r w:rsidRPr="00A15EB4">
        <w:rPr>
          <w:u w:val="single"/>
          <w:lang w:val="fr-CA"/>
        </w:rPr>
        <w:t>exigent</w:t>
      </w:r>
      <w:r w:rsidRPr="00A15EB4">
        <w:rPr>
          <w:lang w:val="fr-CA"/>
        </w:rPr>
        <w:t>, les privilèges et les immunités prévus à l</w:t>
      </w:r>
      <w:r>
        <w:rPr>
          <w:lang w:val="fr-CA"/>
        </w:rPr>
        <w:t>’</w:t>
      </w:r>
      <w:r w:rsidRPr="00A15EB4">
        <w:rPr>
          <w:lang w:val="fr-CA"/>
        </w:rPr>
        <w:t>Article VI de la Convention à l</w:t>
      </w:r>
      <w:r>
        <w:rPr>
          <w:lang w:val="fr-CA"/>
        </w:rPr>
        <w:t>’</w:t>
      </w:r>
      <w:r w:rsidRPr="00A15EB4">
        <w:rPr>
          <w:lang w:val="fr-CA"/>
        </w:rPr>
        <w:t>égard des experts en mission pour l</w:t>
      </w:r>
      <w:r>
        <w:rPr>
          <w:lang w:val="fr-CA"/>
        </w:rPr>
        <w:t>’</w:t>
      </w:r>
      <w:r w:rsidRPr="00A15EB4">
        <w:rPr>
          <w:lang w:val="fr-CA"/>
        </w:rPr>
        <w:t>Organisation des Nations Unies.</w:t>
      </w:r>
    </w:p>
    <w:p w:rsidR="00102A7D" w:rsidRPr="00A15EB4" w:rsidRDefault="00102A7D" w:rsidP="00102A7D">
      <w:pPr>
        <w:pStyle w:val="Citation-AltC"/>
        <w:tabs>
          <w:tab w:val="left" w:pos="1620"/>
        </w:tabs>
        <w:ind w:hanging="1166"/>
        <w:contextualSpacing w:val="0"/>
        <w:rPr>
          <w:lang w:val="fr-CA"/>
        </w:rPr>
      </w:pPr>
      <w:r w:rsidRPr="00A15EB4">
        <w:rPr>
          <w:lang w:val="fr-CA"/>
        </w:rPr>
        <w:tab/>
      </w:r>
      <w:r w:rsidRPr="00A15EB4">
        <w:rPr>
          <w:lang w:val="fr-CA"/>
        </w:rPr>
        <w:tab/>
        <w:t>(5)</w:t>
      </w:r>
      <w:r w:rsidRPr="00A15EB4">
        <w:rPr>
          <w:lang w:val="fr-CA"/>
        </w:rPr>
        <w:tab/>
        <w:t>Aucune disposition du présent décret n</w:t>
      </w:r>
      <w:r>
        <w:rPr>
          <w:lang w:val="fr-CA"/>
        </w:rPr>
        <w:t>’</w:t>
      </w:r>
      <w:r w:rsidRPr="00A15EB4">
        <w:rPr>
          <w:lang w:val="fr-CA"/>
        </w:rPr>
        <w:t>exonère un citoyen canadien résidant ou ayant sa résidence ordinaire au Canada de l</w:t>
      </w:r>
      <w:r>
        <w:rPr>
          <w:lang w:val="fr-CA"/>
        </w:rPr>
        <w:t>’</w:t>
      </w:r>
      <w:r w:rsidRPr="00A15EB4">
        <w:rPr>
          <w:lang w:val="fr-CA"/>
        </w:rPr>
        <w:t>obligation de payer les impôts ou droits établis par une loi au Canada.</w:t>
      </w:r>
    </w:p>
    <w:p w:rsidR="00102A7D" w:rsidRPr="00A15EB4" w:rsidRDefault="00102A7D" w:rsidP="00102A7D">
      <w:pPr>
        <w:pStyle w:val="ParaNoNdepar-AltN"/>
        <w:rPr>
          <w:rFonts w:cs="Times New Roman"/>
          <w:lang w:val="fr-CA"/>
        </w:rPr>
      </w:pPr>
      <w:r w:rsidRPr="00A15EB4">
        <w:rPr>
          <w:rFonts w:cs="Times New Roman"/>
          <w:lang w:val="fr-CA"/>
        </w:rPr>
        <w:t xml:space="preserve">Le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xml:space="preserve"> prévoit des privilèges et des immunités pour toutes les personnes associées aux activités de l</w:t>
      </w:r>
      <w:r>
        <w:rPr>
          <w:rFonts w:cs="Times New Roman"/>
          <w:lang w:val="fr-CA"/>
        </w:rPr>
        <w:t>’</w:t>
      </w:r>
      <w:r w:rsidRPr="00A15EB4">
        <w:rPr>
          <w:rFonts w:cs="Times New Roman"/>
          <w:lang w:val="fr-CA"/>
        </w:rPr>
        <w:t>OPANO.  Suivant le par. </w:t>
      </w:r>
      <w:r w:rsidR="0090461B">
        <w:rPr>
          <w:rFonts w:cs="Times New Roman"/>
          <w:lang w:val="fr-CA"/>
        </w:rPr>
        <w:t>3</w:t>
      </w:r>
      <w:r w:rsidRPr="00A15EB4">
        <w:rPr>
          <w:rFonts w:cs="Times New Roman"/>
          <w:lang w:val="fr-CA"/>
        </w:rPr>
        <w:t>(1), l</w:t>
      </w:r>
      <w:r>
        <w:rPr>
          <w:rFonts w:cs="Times New Roman"/>
          <w:lang w:val="fr-CA"/>
        </w:rPr>
        <w:t>’</w:t>
      </w:r>
      <w:r w:rsidRPr="00A15EB4">
        <w:rPr>
          <w:rFonts w:cs="Times New Roman"/>
          <w:lang w:val="fr-CA"/>
        </w:rPr>
        <w:t>OPANO elle</w:t>
      </w:r>
      <w:r w:rsidRPr="00A15EB4">
        <w:rPr>
          <w:rFonts w:cs="Times New Roman"/>
          <w:lang w:val="fr-CA"/>
        </w:rPr>
        <w:noBreakHyphen/>
        <w:t>même bénéficie de l</w:t>
      </w:r>
      <w:r>
        <w:rPr>
          <w:rFonts w:cs="Times New Roman"/>
          <w:lang w:val="fr-CA"/>
        </w:rPr>
        <w:t>’</w:t>
      </w:r>
      <w:r w:rsidRPr="00A15EB4">
        <w:rPr>
          <w:rFonts w:cs="Times New Roman"/>
          <w:lang w:val="fr-CA"/>
        </w:rPr>
        <w:t>immunité, puisqu</w:t>
      </w:r>
      <w:r>
        <w:rPr>
          <w:rFonts w:cs="Times New Roman"/>
          <w:lang w:val="fr-CA"/>
        </w:rPr>
        <w:t>’</w:t>
      </w:r>
      <w:r w:rsidRPr="00A15EB4">
        <w:rPr>
          <w:rFonts w:cs="Times New Roman"/>
          <w:lang w:val="fr-CA"/>
        </w:rPr>
        <w:t>elle possède la capacité juridique d</w:t>
      </w:r>
      <w:r>
        <w:rPr>
          <w:rFonts w:cs="Times New Roman"/>
          <w:lang w:val="fr-CA"/>
        </w:rPr>
        <w:t>’</w:t>
      </w:r>
      <w:r w:rsidRPr="00A15EB4">
        <w:rPr>
          <w:rFonts w:cs="Times New Roman"/>
          <w:lang w:val="fr-CA"/>
        </w:rPr>
        <w:t>un corps constitué.  Les paragraphes </w:t>
      </w:r>
      <w:r w:rsidR="0090461B">
        <w:rPr>
          <w:rFonts w:cs="Times New Roman"/>
          <w:lang w:val="fr-CA"/>
        </w:rPr>
        <w:t>3</w:t>
      </w:r>
      <w:r w:rsidRPr="00A15EB4">
        <w:rPr>
          <w:rFonts w:cs="Times New Roman"/>
          <w:lang w:val="fr-CA"/>
        </w:rPr>
        <w:t>(2) à (4) confèrent des privilèges et des immunités à certaines personnes : aux représentants d</w:t>
      </w:r>
      <w:r>
        <w:rPr>
          <w:rFonts w:cs="Times New Roman"/>
          <w:lang w:val="fr-CA"/>
        </w:rPr>
        <w:t>’</w:t>
      </w:r>
      <w:r w:rsidRPr="00A15EB4">
        <w:rPr>
          <w:rFonts w:cs="Times New Roman"/>
          <w:lang w:val="fr-CA"/>
        </w:rPr>
        <w:t>États membres de l</w:t>
      </w:r>
      <w:r>
        <w:rPr>
          <w:rFonts w:cs="Times New Roman"/>
          <w:lang w:val="fr-CA"/>
        </w:rPr>
        <w:t>’</w:t>
      </w:r>
      <w:r w:rsidRPr="00A15EB4">
        <w:rPr>
          <w:rFonts w:cs="Times New Roman"/>
          <w:lang w:val="fr-CA"/>
        </w:rPr>
        <w:t>OPANO, aux fonctionnaires de cette dernière, et aux experts accomplissant des missions pour elle.  L</w:t>
      </w:r>
      <w:r>
        <w:rPr>
          <w:rFonts w:cs="Times New Roman"/>
          <w:lang w:val="fr-CA"/>
        </w:rPr>
        <w:t>’</w:t>
      </w:r>
      <w:r w:rsidRPr="00A15EB4">
        <w:rPr>
          <w:rFonts w:cs="Times New Roman"/>
          <w:lang w:val="fr-CA"/>
        </w:rPr>
        <w:t xml:space="preserve">OPANO, ses fonctionnaires, ses représentants et ses experts possèdent donc les privilèges et immunités prévus dans la </w:t>
      </w:r>
      <w:r w:rsidRPr="00A15EB4">
        <w:rPr>
          <w:rFonts w:cs="Times New Roman"/>
          <w:i/>
          <w:lang w:val="fr-CA"/>
        </w:rPr>
        <w:t>Convention sur les privilèges et immunités des Nations Unies</w:t>
      </w:r>
      <w:r w:rsidRPr="00A15EB4">
        <w:rPr>
          <w:rFonts w:cs="Times New Roman"/>
          <w:lang w:val="fr-CA"/>
        </w:rPr>
        <w:t xml:space="preserve">, « dans la mesure où </w:t>
      </w:r>
      <w:r w:rsidR="0090461B">
        <w:rPr>
          <w:rFonts w:cs="Times New Roman"/>
          <w:lang w:val="fr-CA"/>
        </w:rPr>
        <w:t>[ses/</w:t>
      </w:r>
      <w:r w:rsidRPr="00A15EB4">
        <w:rPr>
          <w:rFonts w:cs="Times New Roman"/>
          <w:lang w:val="fr-CA"/>
        </w:rPr>
        <w:t>leurs</w:t>
      </w:r>
      <w:r w:rsidR="00686FE7">
        <w:rPr>
          <w:rFonts w:cs="Times New Roman"/>
          <w:lang w:val="fr-CA"/>
        </w:rPr>
        <w:t>]</w:t>
      </w:r>
      <w:r w:rsidRPr="00A15EB4">
        <w:rPr>
          <w:rFonts w:cs="Times New Roman"/>
          <w:lang w:val="fr-CA"/>
        </w:rPr>
        <w:t xml:space="preserve"> fonctions l</w:t>
      </w:r>
      <w:r>
        <w:rPr>
          <w:rFonts w:cs="Times New Roman"/>
          <w:lang w:val="fr-CA"/>
        </w:rPr>
        <w:t>’</w:t>
      </w:r>
      <w:r w:rsidRPr="00A15EB4">
        <w:rPr>
          <w:rFonts w:cs="Times New Roman"/>
          <w:lang w:val="fr-CA"/>
        </w:rPr>
        <w:t>exigent ».</w:t>
      </w:r>
    </w:p>
    <w:p w:rsidR="00102A7D" w:rsidRPr="00A15EB4" w:rsidRDefault="00102A7D" w:rsidP="00102A7D">
      <w:pPr>
        <w:pStyle w:val="ParaNoNdepar-AltN"/>
        <w:rPr>
          <w:rFonts w:cs="Times New Roman"/>
          <w:lang w:val="fr-CA"/>
        </w:rPr>
      </w:pPr>
      <w:r w:rsidRPr="00A15EB4">
        <w:rPr>
          <w:rFonts w:cs="Times New Roman"/>
          <w:lang w:val="fr-CA"/>
        </w:rPr>
        <w:lastRenderedPageBreak/>
        <w:t>En limitant ces immunités et ces privilèges à ceux qu</w:t>
      </w:r>
      <w:r>
        <w:rPr>
          <w:rFonts w:cs="Times New Roman"/>
          <w:lang w:val="fr-CA"/>
        </w:rPr>
        <w:t>’</w:t>
      </w:r>
      <w:r w:rsidRPr="00A15EB4">
        <w:rPr>
          <w:rFonts w:cs="Times New Roman"/>
          <w:lang w:val="fr-CA"/>
        </w:rPr>
        <w:t>exigent les fonctions de l</w:t>
      </w:r>
      <w:r>
        <w:rPr>
          <w:rFonts w:cs="Times New Roman"/>
          <w:lang w:val="fr-CA"/>
        </w:rPr>
        <w:t>’</w:t>
      </w:r>
      <w:r w:rsidRPr="00A15EB4">
        <w:rPr>
          <w:rFonts w:cs="Times New Roman"/>
          <w:lang w:val="fr-CA"/>
        </w:rPr>
        <w:t>OPANO, le gouverneur en conseil n</w:t>
      </w:r>
      <w:r>
        <w:rPr>
          <w:rFonts w:cs="Times New Roman"/>
          <w:lang w:val="fr-CA"/>
        </w:rPr>
        <w:t>’</w:t>
      </w:r>
      <w:r w:rsidRPr="00A15EB4">
        <w:rPr>
          <w:rFonts w:cs="Times New Roman"/>
          <w:lang w:val="fr-CA"/>
        </w:rPr>
        <w:t>a pas accordé à l</w:t>
      </w:r>
      <w:r>
        <w:rPr>
          <w:rFonts w:cs="Times New Roman"/>
          <w:lang w:val="fr-CA"/>
        </w:rPr>
        <w:t>’</w:t>
      </w:r>
      <w:r w:rsidRPr="00A15EB4">
        <w:rPr>
          <w:rFonts w:cs="Times New Roman"/>
          <w:lang w:val="fr-CA"/>
        </w:rPr>
        <w:t>OPANO l</w:t>
      </w:r>
      <w:r>
        <w:rPr>
          <w:rFonts w:cs="Times New Roman"/>
          <w:lang w:val="fr-CA"/>
        </w:rPr>
        <w:t>’</w:t>
      </w:r>
      <w:r w:rsidRPr="00A15EB4">
        <w:rPr>
          <w:rFonts w:cs="Times New Roman"/>
          <w:lang w:val="fr-CA"/>
        </w:rPr>
        <w:t xml:space="preserve">immunité absolue conférée aux Nations Unies par la </w:t>
      </w:r>
      <w:r w:rsidRPr="00A15EB4">
        <w:rPr>
          <w:rFonts w:cs="Times New Roman"/>
          <w:i/>
          <w:lang w:val="fr-CA"/>
        </w:rPr>
        <w:t>Convention sur les privilèges et immunités des Nations Unies </w:t>
      </w:r>
      <w:r w:rsidRPr="0031636A">
        <w:rPr>
          <w:rFonts w:cs="Times New Roman"/>
          <w:lang w:val="fr-CA"/>
        </w:rPr>
        <w:t>:</w:t>
      </w:r>
      <w:r w:rsidRPr="00A15EB4">
        <w:rPr>
          <w:rFonts w:cs="Times New Roman"/>
          <w:lang w:val="fr-CA"/>
        </w:rPr>
        <w:t xml:space="preserve"> P. Sands et P. Klein, </w:t>
      </w:r>
      <w:r w:rsidRPr="00A15EB4">
        <w:rPr>
          <w:rFonts w:cs="Times New Roman"/>
          <w:i/>
          <w:lang w:val="fr-CA"/>
        </w:rPr>
        <w:t>Bowett</w:t>
      </w:r>
      <w:r>
        <w:rPr>
          <w:rFonts w:cs="Times New Roman"/>
          <w:i/>
          <w:lang w:val="fr-CA"/>
        </w:rPr>
        <w:t>’</w:t>
      </w:r>
      <w:r w:rsidRPr="00A15EB4">
        <w:rPr>
          <w:rFonts w:cs="Times New Roman"/>
          <w:i/>
          <w:lang w:val="fr-CA"/>
        </w:rPr>
        <w:t>s Law of International Institutions</w:t>
      </w:r>
      <w:r w:rsidRPr="00A15EB4">
        <w:rPr>
          <w:rFonts w:cs="Times New Roman"/>
          <w:lang w:val="fr-CA"/>
        </w:rPr>
        <w:t xml:space="preserve"> (6</w:t>
      </w:r>
      <w:r w:rsidRPr="00A15EB4">
        <w:rPr>
          <w:rFonts w:cs="Times New Roman"/>
          <w:vertAlign w:val="superscript"/>
          <w:lang w:val="fr-CA"/>
        </w:rPr>
        <w:t>e</w:t>
      </w:r>
      <w:r w:rsidRPr="00A15EB4">
        <w:rPr>
          <w:rFonts w:cs="Times New Roman"/>
          <w:lang w:val="fr-CA"/>
        </w:rPr>
        <w:t> éd. 2009), p. 494.  Il lui a plutôt accordé l</w:t>
      </w:r>
      <w:r>
        <w:rPr>
          <w:rFonts w:cs="Times New Roman"/>
          <w:lang w:val="fr-CA"/>
        </w:rPr>
        <w:t>’</w:t>
      </w:r>
      <w:r w:rsidRPr="00A15EB4">
        <w:rPr>
          <w:rFonts w:cs="Times New Roman"/>
          <w:lang w:val="fr-CA"/>
        </w:rPr>
        <w:t>immunité fonctionnelle, c</w:t>
      </w:r>
      <w:r>
        <w:rPr>
          <w:rFonts w:cs="Times New Roman"/>
          <w:lang w:val="fr-CA"/>
        </w:rPr>
        <w:t>’</w:t>
      </w:r>
      <w:r w:rsidRPr="00A15EB4">
        <w:rPr>
          <w:rFonts w:cs="Times New Roman"/>
          <w:lang w:val="fr-CA"/>
        </w:rPr>
        <w:t>est</w:t>
      </w:r>
      <w:r w:rsidRPr="00A15EB4">
        <w:rPr>
          <w:rFonts w:cs="Times New Roman"/>
          <w:lang w:val="fr-CA"/>
        </w:rPr>
        <w:noBreakHyphen/>
        <w:t>à</w:t>
      </w:r>
      <w:r w:rsidRPr="00A15EB4">
        <w:rPr>
          <w:rFonts w:cs="Times New Roman"/>
          <w:lang w:val="fr-CA"/>
        </w:rPr>
        <w:noBreakHyphen/>
        <w:t>dire l</w:t>
      </w:r>
      <w:r>
        <w:rPr>
          <w:rFonts w:cs="Times New Roman"/>
          <w:lang w:val="fr-CA"/>
        </w:rPr>
        <w:t>’</w:t>
      </w:r>
      <w:r w:rsidRPr="00A15EB4">
        <w:rPr>
          <w:rFonts w:cs="Times New Roman"/>
          <w:lang w:val="fr-CA"/>
        </w:rPr>
        <w:t>immunité dont elle a besoin pour être en mesure d</w:t>
      </w:r>
      <w:r>
        <w:rPr>
          <w:rFonts w:cs="Times New Roman"/>
          <w:lang w:val="fr-CA"/>
        </w:rPr>
        <w:t>’</w:t>
      </w:r>
      <w:r w:rsidRPr="00A15EB4">
        <w:rPr>
          <w:rFonts w:cs="Times New Roman"/>
          <w:lang w:val="fr-CA"/>
        </w:rPr>
        <w:t>exercer ses fonctions sans ingérence injustifiée.</w:t>
      </w:r>
    </w:p>
    <w:p w:rsidR="00102A7D" w:rsidRPr="00A15EB4" w:rsidRDefault="00102A7D" w:rsidP="00102A7D">
      <w:pPr>
        <w:pStyle w:val="ParaNoNdepar-AltN"/>
        <w:rPr>
          <w:rFonts w:cs="Times New Roman"/>
          <w:lang w:val="fr-CA"/>
        </w:rPr>
      </w:pPr>
      <w:r w:rsidRPr="00A15EB4">
        <w:rPr>
          <w:rFonts w:cs="Times New Roman"/>
          <w:lang w:val="fr-CA"/>
        </w:rPr>
        <w:t>En interprétant cette immunité fonctionnelle, la Cour d</w:t>
      </w:r>
      <w:r>
        <w:rPr>
          <w:rFonts w:cs="Times New Roman"/>
          <w:lang w:val="fr-CA"/>
        </w:rPr>
        <w:t>’</w:t>
      </w:r>
      <w:r w:rsidRPr="00A15EB4">
        <w:rPr>
          <w:rFonts w:cs="Times New Roman"/>
          <w:lang w:val="fr-CA"/>
        </w:rPr>
        <w:t>appel a établi un parallèle avec le privilège parlementaire et a fondé son analyse sur l</w:t>
      </w:r>
      <w:r>
        <w:rPr>
          <w:rFonts w:cs="Times New Roman"/>
          <w:lang w:val="fr-CA"/>
        </w:rPr>
        <w:t>’</w:t>
      </w:r>
      <w:r w:rsidRPr="00A15EB4">
        <w:rPr>
          <w:rFonts w:cs="Times New Roman"/>
          <w:lang w:val="fr-CA"/>
        </w:rPr>
        <w:t xml:space="preserve">arrêt rendu par la Cour dans </w:t>
      </w:r>
      <w:r w:rsidRPr="00A15EB4">
        <w:rPr>
          <w:rFonts w:cs="Times New Roman"/>
          <w:i/>
          <w:lang w:val="fr-CA"/>
        </w:rPr>
        <w:t>Vaid</w:t>
      </w:r>
      <w:r w:rsidRPr="00A15EB4">
        <w:rPr>
          <w:rFonts w:cs="Times New Roman"/>
          <w:lang w:val="fr-CA"/>
        </w:rPr>
        <w:t>.  Il fallait déterminer dans cette affaire si la Commission canadienne des droits de la personne pouvait enquêter sur la plainte de M. Vaid selon laquelle le président de la Chambre des communes l</w:t>
      </w:r>
      <w:r>
        <w:rPr>
          <w:rFonts w:cs="Times New Roman"/>
          <w:lang w:val="fr-CA"/>
        </w:rPr>
        <w:t>’</w:t>
      </w:r>
      <w:r w:rsidRPr="00A15EB4">
        <w:rPr>
          <w:rFonts w:cs="Times New Roman"/>
          <w:lang w:val="fr-CA"/>
        </w:rPr>
        <w:t>avait congédié indirectement pour des motifs qui constituaient de la discrimination et du harcèlement en</w:t>
      </w:r>
      <w:r w:rsidR="0042132D">
        <w:rPr>
          <w:rFonts w:cs="Times New Roman"/>
          <w:lang w:val="fr-CA"/>
        </w:rPr>
        <w:t xml:space="preserve"> milieu de travail</w:t>
      </w:r>
      <w:r w:rsidRPr="00A15EB4">
        <w:rPr>
          <w:rFonts w:cs="Times New Roman"/>
          <w:lang w:val="fr-CA"/>
        </w:rPr>
        <w:t>.  La Cour devait décider si l</w:t>
      </w:r>
      <w:r>
        <w:rPr>
          <w:rFonts w:cs="Times New Roman"/>
          <w:lang w:val="fr-CA"/>
        </w:rPr>
        <w:t>’</w:t>
      </w:r>
      <w:r w:rsidRPr="00A15EB4">
        <w:rPr>
          <w:rFonts w:cs="Times New Roman"/>
          <w:lang w:val="fr-CA"/>
        </w:rPr>
        <w:t>embauche et le renvoi des employés de la Chambre des communes constituent des « affaires internes » auxquelles s</w:t>
      </w:r>
      <w:r>
        <w:rPr>
          <w:rFonts w:cs="Times New Roman"/>
          <w:lang w:val="fr-CA"/>
        </w:rPr>
        <w:t>’</w:t>
      </w:r>
      <w:r w:rsidRPr="00A15EB4">
        <w:rPr>
          <w:rFonts w:cs="Times New Roman"/>
          <w:lang w:val="fr-CA"/>
        </w:rPr>
        <w:t>applique le privilège parlementaire.  Puisque l</w:t>
      </w:r>
      <w:r>
        <w:rPr>
          <w:rFonts w:cs="Times New Roman"/>
          <w:lang w:val="fr-CA"/>
        </w:rPr>
        <w:t>’</w:t>
      </w:r>
      <w:r w:rsidRPr="00A15EB4">
        <w:rPr>
          <w:rFonts w:cs="Times New Roman"/>
          <w:lang w:val="fr-CA"/>
        </w:rPr>
        <w:t>objet d</w:t>
      </w:r>
      <w:r>
        <w:rPr>
          <w:rFonts w:cs="Times New Roman"/>
          <w:lang w:val="fr-CA"/>
        </w:rPr>
        <w:t>’</w:t>
      </w:r>
      <w:r w:rsidRPr="00A15EB4">
        <w:rPr>
          <w:rFonts w:cs="Times New Roman"/>
          <w:lang w:val="fr-CA"/>
        </w:rPr>
        <w:t>un privilège parlementaire est le même que celui d</w:t>
      </w:r>
      <w:r>
        <w:rPr>
          <w:rFonts w:cs="Times New Roman"/>
          <w:lang w:val="fr-CA"/>
        </w:rPr>
        <w:t>’</w:t>
      </w:r>
      <w:r w:rsidRPr="00A15EB4">
        <w:rPr>
          <w:rFonts w:cs="Times New Roman"/>
          <w:lang w:val="fr-CA"/>
        </w:rPr>
        <w:t>une immunité conférée à une organisation internationale (ou de toute autre immunité), soit de priver les tribunaux de toute compétence quant aux matières visées par l</w:t>
      </w:r>
      <w:r>
        <w:rPr>
          <w:rFonts w:cs="Times New Roman"/>
          <w:lang w:val="fr-CA"/>
        </w:rPr>
        <w:t>’</w:t>
      </w:r>
      <w:r w:rsidRPr="00A15EB4">
        <w:rPr>
          <w:rFonts w:cs="Times New Roman"/>
          <w:lang w:val="fr-CA"/>
        </w:rPr>
        <w:t>immunité, l</w:t>
      </w:r>
      <w:r>
        <w:rPr>
          <w:rFonts w:cs="Times New Roman"/>
          <w:lang w:val="fr-CA"/>
        </w:rPr>
        <w:t>’</w:t>
      </w:r>
      <w:r w:rsidRPr="00A15EB4">
        <w:rPr>
          <w:rFonts w:cs="Times New Roman"/>
          <w:lang w:val="fr-CA"/>
        </w:rPr>
        <w:t xml:space="preserve">arrêt </w:t>
      </w:r>
      <w:r w:rsidRPr="00A15EB4">
        <w:rPr>
          <w:rFonts w:cs="Times New Roman"/>
          <w:i/>
          <w:lang w:val="fr-CA"/>
        </w:rPr>
        <w:t>Vaid</w:t>
      </w:r>
      <w:r w:rsidRPr="00A15EB4">
        <w:rPr>
          <w:rFonts w:cs="Times New Roman"/>
          <w:lang w:val="fr-CA"/>
        </w:rPr>
        <w:t xml:space="preserve"> est pertinent pour l</w:t>
      </w:r>
      <w:r>
        <w:rPr>
          <w:rFonts w:cs="Times New Roman"/>
          <w:lang w:val="fr-CA"/>
        </w:rPr>
        <w:t>’</w:t>
      </w:r>
      <w:r w:rsidRPr="00A15EB4">
        <w:rPr>
          <w:rFonts w:cs="Times New Roman"/>
          <w:lang w:val="fr-CA"/>
        </w:rPr>
        <w:t xml:space="preserve">interprétation du par. 3(1)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w:t>
      </w:r>
    </w:p>
    <w:p w:rsidR="00102A7D" w:rsidRPr="00A15EB4" w:rsidRDefault="00102A7D" w:rsidP="00102A7D">
      <w:pPr>
        <w:pStyle w:val="ParaNoNdepar-AltN"/>
        <w:rPr>
          <w:rFonts w:cs="Times New Roman"/>
          <w:lang w:val="fr-CA"/>
        </w:rPr>
      </w:pPr>
      <w:r w:rsidRPr="00A15EB4">
        <w:rPr>
          <w:rFonts w:cs="Times New Roman"/>
          <w:lang w:val="fr-CA"/>
        </w:rPr>
        <w:lastRenderedPageBreak/>
        <w:t>Dans l</w:t>
      </w:r>
      <w:r>
        <w:rPr>
          <w:rFonts w:cs="Times New Roman"/>
          <w:lang w:val="fr-CA"/>
        </w:rPr>
        <w:t>’</w:t>
      </w:r>
      <w:r w:rsidRPr="00A15EB4">
        <w:rPr>
          <w:rFonts w:cs="Times New Roman"/>
          <w:lang w:val="fr-CA"/>
        </w:rPr>
        <w:t xml:space="preserve">arrêt </w:t>
      </w:r>
      <w:r w:rsidRPr="00A15EB4">
        <w:rPr>
          <w:rFonts w:cs="Times New Roman"/>
          <w:i/>
          <w:lang w:val="fr-CA"/>
        </w:rPr>
        <w:t>Vaid</w:t>
      </w:r>
      <w:r w:rsidRPr="00A15EB4">
        <w:rPr>
          <w:rFonts w:cs="Times New Roman"/>
          <w:lang w:val="fr-CA"/>
        </w:rPr>
        <w:t>, le juge Binnie a affirmé que le fondement du privilège parlementaire est la « nécessité », concept devant être interprété largement et se rapportant à</w:t>
      </w:r>
      <w:r w:rsidR="0031636A">
        <w:rPr>
          <w:rFonts w:cs="Times New Roman"/>
          <w:lang w:val="fr-CA"/>
        </w:rPr>
        <w:t xml:space="preserve"> </w:t>
      </w:r>
      <w:r w:rsidR="0031636A" w:rsidRPr="00A15EB4">
        <w:rPr>
          <w:rFonts w:cs="Times New Roman"/>
          <w:lang w:val="fr-CA"/>
        </w:rPr>
        <w:t>la</w:t>
      </w:r>
      <w:r w:rsidRPr="00A15EB4">
        <w:rPr>
          <w:rFonts w:cs="Times New Roman"/>
          <w:lang w:val="fr-CA"/>
        </w:rPr>
        <w:t xml:space="preserve"> « dignité et [à] l</w:t>
      </w:r>
      <w:r>
        <w:rPr>
          <w:rFonts w:cs="Times New Roman"/>
          <w:lang w:val="fr-CA"/>
        </w:rPr>
        <w:t>’</w:t>
      </w:r>
      <w:r w:rsidRPr="00A15EB4">
        <w:rPr>
          <w:rFonts w:cs="Times New Roman"/>
          <w:lang w:val="fr-CA"/>
        </w:rPr>
        <w:t>efficacité de l</w:t>
      </w:r>
      <w:r>
        <w:rPr>
          <w:rFonts w:cs="Times New Roman"/>
          <w:lang w:val="fr-CA"/>
        </w:rPr>
        <w:t>’</w:t>
      </w:r>
      <w:r w:rsidRPr="00A15EB4">
        <w:rPr>
          <w:rFonts w:cs="Times New Roman"/>
          <w:lang w:val="fr-CA"/>
        </w:rPr>
        <w:t>Assemblée » : par. 29.  Il a fait observer que la dignité et l</w:t>
      </w:r>
      <w:r>
        <w:rPr>
          <w:rFonts w:cs="Times New Roman"/>
          <w:lang w:val="fr-CA"/>
        </w:rPr>
        <w:t>’</w:t>
      </w:r>
      <w:r w:rsidRPr="00A15EB4">
        <w:rPr>
          <w:rFonts w:cs="Times New Roman"/>
          <w:lang w:val="fr-CA"/>
        </w:rPr>
        <w:t>efficacité se rapportent à l</w:t>
      </w:r>
      <w:r>
        <w:rPr>
          <w:rFonts w:cs="Times New Roman"/>
          <w:lang w:val="fr-CA"/>
        </w:rPr>
        <w:t>’</w:t>
      </w:r>
      <w:r w:rsidRPr="00A15EB4">
        <w:rPr>
          <w:rFonts w:cs="Times New Roman"/>
          <w:lang w:val="fr-CA"/>
        </w:rPr>
        <w:t xml:space="preserve">autonomie, nécessaire pour que le Parlement accomplisse son travail : </w:t>
      </w:r>
      <w:r w:rsidRPr="00A15EB4">
        <w:rPr>
          <w:rFonts w:cs="Times New Roman"/>
          <w:i/>
          <w:lang w:val="fr-CA"/>
        </w:rPr>
        <w:t>ibid</w:t>
      </w:r>
      <w:r w:rsidRPr="009F1C06">
        <w:rPr>
          <w:rFonts w:cs="Times New Roman"/>
          <w:i/>
          <w:lang w:val="fr-CA"/>
        </w:rPr>
        <w:t>.</w:t>
      </w:r>
      <w:r w:rsidRPr="00A15EB4">
        <w:rPr>
          <w:rFonts w:cs="Times New Roman"/>
          <w:lang w:val="fr-CA"/>
        </w:rPr>
        <w:t xml:space="preserve">  En conséquence, il convient d</w:t>
      </w:r>
      <w:r>
        <w:rPr>
          <w:rFonts w:cs="Times New Roman"/>
          <w:lang w:val="fr-CA"/>
        </w:rPr>
        <w:t>’</w:t>
      </w:r>
      <w:r w:rsidRPr="00A15EB4">
        <w:rPr>
          <w:rFonts w:cs="Times New Roman"/>
          <w:lang w:val="fr-CA"/>
        </w:rPr>
        <w:t>adopter une approche fonctionnelle dans l</w:t>
      </w:r>
      <w:r>
        <w:rPr>
          <w:rFonts w:cs="Times New Roman"/>
          <w:lang w:val="fr-CA"/>
        </w:rPr>
        <w:t>’</w:t>
      </w:r>
      <w:r w:rsidRPr="00A15EB4">
        <w:rPr>
          <w:rFonts w:cs="Times New Roman"/>
          <w:lang w:val="fr-CA"/>
        </w:rPr>
        <w:t>évaluation du privilège parlementaire : seuls les actes nécessaires (au sens large, rappelons</w:t>
      </w:r>
      <w:r w:rsidRPr="00A15EB4">
        <w:rPr>
          <w:rFonts w:cs="Times New Roman"/>
          <w:lang w:val="fr-CA"/>
        </w:rPr>
        <w:noBreakHyphen/>
        <w:t>le) pour que le Parlement accomplisse son travail ne sont pas assujettis à la compétence des tribunaux.</w:t>
      </w:r>
    </w:p>
    <w:p w:rsidR="00102A7D" w:rsidRPr="00A15EB4" w:rsidRDefault="00102A7D" w:rsidP="00102A7D">
      <w:pPr>
        <w:pStyle w:val="ParaNoNdepar-AltN"/>
        <w:rPr>
          <w:rFonts w:cs="Times New Roman"/>
          <w:lang w:val="fr-CA"/>
        </w:rPr>
      </w:pPr>
      <w:r w:rsidRPr="00A15EB4">
        <w:rPr>
          <w:rFonts w:cs="Times New Roman"/>
          <w:lang w:val="fr-CA"/>
        </w:rPr>
        <w:t>Il convient, à mon avis, d</w:t>
      </w:r>
      <w:r>
        <w:rPr>
          <w:rFonts w:cs="Times New Roman"/>
          <w:lang w:val="fr-CA"/>
        </w:rPr>
        <w:t>’</w:t>
      </w:r>
      <w:r w:rsidRPr="00A15EB4">
        <w:rPr>
          <w:rFonts w:cs="Times New Roman"/>
          <w:lang w:val="fr-CA"/>
        </w:rPr>
        <w:t>adopter la même approche pour déterminer l</w:t>
      </w:r>
      <w:r>
        <w:rPr>
          <w:rFonts w:cs="Times New Roman"/>
          <w:lang w:val="fr-CA"/>
        </w:rPr>
        <w:t>’</w:t>
      </w:r>
      <w:r w:rsidRPr="00A15EB4">
        <w:rPr>
          <w:rFonts w:cs="Times New Roman"/>
          <w:lang w:val="fr-CA"/>
        </w:rPr>
        <w:t>étendue de l</w:t>
      </w:r>
      <w:r>
        <w:rPr>
          <w:rFonts w:cs="Times New Roman"/>
          <w:lang w:val="fr-CA"/>
        </w:rPr>
        <w:t>’</w:t>
      </w:r>
      <w:r w:rsidRPr="00A15EB4">
        <w:rPr>
          <w:rFonts w:cs="Times New Roman"/>
          <w:lang w:val="fr-CA"/>
        </w:rPr>
        <w:t>immunité accordée à l</w:t>
      </w:r>
      <w:r>
        <w:rPr>
          <w:rFonts w:cs="Times New Roman"/>
          <w:lang w:val="fr-CA"/>
        </w:rPr>
        <w:t>’</w:t>
      </w:r>
      <w:r w:rsidRPr="00A15EB4">
        <w:rPr>
          <w:rFonts w:cs="Times New Roman"/>
          <w:lang w:val="fr-CA"/>
        </w:rPr>
        <w:t xml:space="preserve">OPANO dans le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 xml:space="preserve">OPANO. </w:t>
      </w:r>
      <w:r w:rsidRPr="00A15EB4">
        <w:rPr>
          <w:rFonts w:cs="Times New Roman"/>
          <w:lang w:val="fr-CA"/>
        </w:rPr>
        <w:t xml:space="preserve"> En effet, les auteurs de ce </w:t>
      </w:r>
      <w:r w:rsidRPr="009F1C06">
        <w:rPr>
          <w:rFonts w:cs="Times New Roman"/>
          <w:lang w:val="fr-CA"/>
        </w:rPr>
        <w:t>décret</w:t>
      </w:r>
      <w:r w:rsidRPr="00A15EB4">
        <w:rPr>
          <w:rFonts w:cs="Times New Roman"/>
          <w:i/>
          <w:lang w:val="fr-CA"/>
        </w:rPr>
        <w:t xml:space="preserve"> </w:t>
      </w:r>
      <w:r w:rsidRPr="00A15EB4">
        <w:rPr>
          <w:rFonts w:cs="Times New Roman"/>
          <w:lang w:val="fr-CA"/>
        </w:rPr>
        <w:t>ont adopté une approche fonctionnelle à l</w:t>
      </w:r>
      <w:r>
        <w:rPr>
          <w:rFonts w:cs="Times New Roman"/>
          <w:lang w:val="fr-CA"/>
        </w:rPr>
        <w:t>’</w:t>
      </w:r>
      <w:r w:rsidRPr="00A15EB4">
        <w:rPr>
          <w:rFonts w:cs="Times New Roman"/>
          <w:lang w:val="fr-CA"/>
        </w:rPr>
        <w:t>égard de l</w:t>
      </w:r>
      <w:r>
        <w:rPr>
          <w:rFonts w:cs="Times New Roman"/>
          <w:lang w:val="fr-CA"/>
        </w:rPr>
        <w:t>’</w:t>
      </w:r>
      <w:r w:rsidRPr="00A15EB4">
        <w:rPr>
          <w:rFonts w:cs="Times New Roman"/>
          <w:lang w:val="fr-CA"/>
        </w:rPr>
        <w:t xml:space="preserve">immunité, comme en témoigne le libellé même choisi du par. 3(1) : « dans la mesure où ses </w:t>
      </w:r>
      <w:r w:rsidRPr="00A15EB4">
        <w:rPr>
          <w:rFonts w:cs="Times New Roman"/>
          <w:u w:val="single"/>
          <w:lang w:val="fr-CA"/>
        </w:rPr>
        <w:t>fonctions</w:t>
      </w:r>
      <w:r w:rsidRPr="00A15EB4">
        <w:rPr>
          <w:rFonts w:cs="Times New Roman"/>
          <w:lang w:val="fr-CA"/>
        </w:rPr>
        <w:t xml:space="preserve"> l</w:t>
      </w:r>
      <w:r>
        <w:rPr>
          <w:rFonts w:cs="Times New Roman"/>
          <w:lang w:val="fr-CA"/>
        </w:rPr>
        <w:t>’</w:t>
      </w:r>
      <w:r w:rsidRPr="00A15EB4">
        <w:rPr>
          <w:rFonts w:cs="Times New Roman"/>
          <w:lang w:val="fr-CA"/>
        </w:rPr>
        <w:t>exigent ».</w:t>
      </w:r>
    </w:p>
    <w:p w:rsidR="00102A7D" w:rsidRPr="00A15EB4" w:rsidRDefault="00102A7D" w:rsidP="00102A7D">
      <w:pPr>
        <w:pStyle w:val="ParaNoNdepar-AltN"/>
        <w:rPr>
          <w:rFonts w:cs="Times New Roman"/>
          <w:lang w:val="fr-CA"/>
        </w:rPr>
      </w:pPr>
      <w:r w:rsidRPr="00A15EB4">
        <w:rPr>
          <w:rFonts w:cs="Times New Roman"/>
          <w:lang w:val="fr-CA"/>
        </w:rPr>
        <w:t>L</w:t>
      </w:r>
      <w:r>
        <w:rPr>
          <w:rFonts w:cs="Times New Roman"/>
          <w:lang w:val="fr-CA"/>
        </w:rPr>
        <w:t>’</w:t>
      </w:r>
      <w:r w:rsidRPr="00A15EB4">
        <w:rPr>
          <w:rFonts w:cs="Times New Roman"/>
          <w:lang w:val="fr-CA"/>
        </w:rPr>
        <w:t>autonomie de l</w:t>
      </w:r>
      <w:r>
        <w:rPr>
          <w:rFonts w:cs="Times New Roman"/>
          <w:lang w:val="fr-CA"/>
        </w:rPr>
        <w:t>’</w:t>
      </w:r>
      <w:r w:rsidRPr="00A15EB4">
        <w:rPr>
          <w:rFonts w:cs="Times New Roman"/>
          <w:lang w:val="fr-CA"/>
        </w:rPr>
        <w:t>OPANO et les mesures qu</w:t>
      </w:r>
      <w:r>
        <w:rPr>
          <w:rFonts w:cs="Times New Roman"/>
          <w:lang w:val="fr-CA"/>
        </w:rPr>
        <w:t>’</w:t>
      </w:r>
      <w:r w:rsidRPr="00A15EB4">
        <w:rPr>
          <w:rFonts w:cs="Times New Roman"/>
          <w:lang w:val="fr-CA"/>
        </w:rPr>
        <w:t>elle prend dans l</w:t>
      </w:r>
      <w:r>
        <w:rPr>
          <w:rFonts w:cs="Times New Roman"/>
          <w:lang w:val="fr-CA"/>
        </w:rPr>
        <w:t>’</w:t>
      </w:r>
      <w:r w:rsidRPr="00A15EB4">
        <w:rPr>
          <w:rFonts w:cs="Times New Roman"/>
          <w:lang w:val="fr-CA"/>
        </w:rPr>
        <w:t>exercice de ses fonctions doivent donc être mises à l</w:t>
      </w:r>
      <w:r>
        <w:rPr>
          <w:rFonts w:cs="Times New Roman"/>
          <w:lang w:val="fr-CA"/>
        </w:rPr>
        <w:t>’</w:t>
      </w:r>
      <w:r w:rsidRPr="00A15EB4">
        <w:rPr>
          <w:rFonts w:cs="Times New Roman"/>
          <w:lang w:val="fr-CA"/>
        </w:rPr>
        <w:t>abri de toute ingérence injustifiée.  Toutefois, les questions portant sur les mesures nécessaires pour l</w:t>
      </w:r>
      <w:r>
        <w:rPr>
          <w:rFonts w:cs="Times New Roman"/>
          <w:lang w:val="fr-CA"/>
        </w:rPr>
        <w:t>’</w:t>
      </w:r>
      <w:r w:rsidRPr="00A15EB4">
        <w:rPr>
          <w:rFonts w:cs="Times New Roman"/>
          <w:lang w:val="fr-CA"/>
        </w:rPr>
        <w:t>exercice des fonctions de l</w:t>
      </w:r>
      <w:r>
        <w:rPr>
          <w:rFonts w:cs="Times New Roman"/>
          <w:lang w:val="fr-CA"/>
        </w:rPr>
        <w:t>’</w:t>
      </w:r>
      <w:r w:rsidRPr="00A15EB4">
        <w:rPr>
          <w:rFonts w:cs="Times New Roman"/>
          <w:lang w:val="fr-CA"/>
        </w:rPr>
        <w:t>OPANO ou sur ce qui constitue une ingérence injustifiée doivent être tranchées au cas par cas.</w:t>
      </w:r>
    </w:p>
    <w:p w:rsidR="00102A7D" w:rsidRPr="00A15EB4" w:rsidRDefault="00102A7D" w:rsidP="00102A7D">
      <w:pPr>
        <w:pStyle w:val="TitleTitre-AltT"/>
        <w:keepNext/>
        <w:rPr>
          <w:rFonts w:cs="Times New Roman"/>
          <w:lang w:val="fr-CA"/>
        </w:rPr>
      </w:pPr>
      <w:r w:rsidRPr="00A15EB4">
        <w:rPr>
          <w:rFonts w:cs="Times New Roman"/>
          <w:lang w:val="fr-CA"/>
        </w:rPr>
        <w:lastRenderedPageBreak/>
        <w:t>D.</w:t>
      </w:r>
      <w:r w:rsidRPr="00A15EB4">
        <w:rPr>
          <w:rFonts w:cs="Times New Roman"/>
          <w:lang w:val="fr-CA"/>
        </w:rPr>
        <w:tab/>
      </w:r>
      <w:r w:rsidRPr="00A15EB4">
        <w:rPr>
          <w:rFonts w:cs="Times New Roman"/>
          <w:i/>
          <w:lang w:val="fr-CA"/>
        </w:rPr>
        <w:t>Application en l</w:t>
      </w:r>
      <w:r>
        <w:rPr>
          <w:rFonts w:cs="Times New Roman"/>
          <w:i/>
          <w:lang w:val="fr-CA"/>
        </w:rPr>
        <w:t>’</w:t>
      </w:r>
      <w:r w:rsidRPr="00A15EB4">
        <w:rPr>
          <w:rFonts w:cs="Times New Roman"/>
          <w:i/>
          <w:lang w:val="fr-CA"/>
        </w:rPr>
        <w:t>espèce</w:t>
      </w:r>
    </w:p>
    <w:p w:rsidR="00102A7D" w:rsidRPr="00A15EB4" w:rsidRDefault="00102A7D" w:rsidP="00102A7D">
      <w:pPr>
        <w:pStyle w:val="ParaNoNdepar-AltN"/>
        <w:rPr>
          <w:rFonts w:cs="Times New Roman"/>
          <w:lang w:val="fr-CA"/>
        </w:rPr>
      </w:pPr>
      <w:r w:rsidRPr="00A15EB4">
        <w:rPr>
          <w:rFonts w:cs="Times New Roman"/>
          <w:lang w:val="fr-CA"/>
        </w:rPr>
        <w:t>En l</w:t>
      </w:r>
      <w:r>
        <w:rPr>
          <w:rFonts w:cs="Times New Roman"/>
          <w:lang w:val="fr-CA"/>
        </w:rPr>
        <w:t>’</w:t>
      </w:r>
      <w:r w:rsidRPr="00A15EB4">
        <w:rPr>
          <w:rFonts w:cs="Times New Roman"/>
          <w:lang w:val="fr-CA"/>
        </w:rPr>
        <w:t>espèce, la Cour doit déterminer si la gestion des relations avec les cadres supérieurs devrait être visée par l</w:t>
      </w:r>
      <w:r>
        <w:rPr>
          <w:rFonts w:cs="Times New Roman"/>
          <w:lang w:val="fr-CA"/>
        </w:rPr>
        <w:t>’</w:t>
      </w:r>
      <w:r w:rsidRPr="00A15EB4">
        <w:rPr>
          <w:rFonts w:cs="Times New Roman"/>
          <w:lang w:val="fr-CA"/>
        </w:rPr>
        <w:t>immunité conférée à l</w:t>
      </w:r>
      <w:r>
        <w:rPr>
          <w:rFonts w:cs="Times New Roman"/>
          <w:lang w:val="fr-CA"/>
        </w:rPr>
        <w:t>’</w:t>
      </w:r>
      <w:r w:rsidRPr="00A15EB4">
        <w:rPr>
          <w:rFonts w:cs="Times New Roman"/>
          <w:lang w:val="fr-CA"/>
        </w:rPr>
        <w:t>OPANO.  À mon avis, ses fonctions « exigent », au sens où il faut l</w:t>
      </w:r>
      <w:r>
        <w:rPr>
          <w:rFonts w:cs="Times New Roman"/>
          <w:lang w:val="fr-CA"/>
        </w:rPr>
        <w:t>’</w:t>
      </w:r>
      <w:r w:rsidRPr="00A15EB4">
        <w:rPr>
          <w:rFonts w:cs="Times New Roman"/>
          <w:lang w:val="fr-CA"/>
        </w:rPr>
        <w:t>entendre pour l</w:t>
      </w:r>
      <w:r>
        <w:rPr>
          <w:rFonts w:cs="Times New Roman"/>
          <w:lang w:val="fr-CA"/>
        </w:rPr>
        <w:t>’</w:t>
      </w:r>
      <w:r w:rsidRPr="00A15EB4">
        <w:rPr>
          <w:rFonts w:cs="Times New Roman"/>
          <w:lang w:val="fr-CA"/>
        </w:rPr>
        <w:t xml:space="preserve">application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que l</w:t>
      </w:r>
      <w:r>
        <w:rPr>
          <w:rFonts w:cs="Times New Roman"/>
          <w:lang w:val="fr-CA"/>
        </w:rPr>
        <w:t>’</w:t>
      </w:r>
      <w:r w:rsidRPr="00A15EB4">
        <w:rPr>
          <w:rFonts w:cs="Times New Roman"/>
          <w:lang w:val="fr-CA"/>
        </w:rPr>
        <w:t>OPANO jouisse de l</w:t>
      </w:r>
      <w:r>
        <w:rPr>
          <w:rFonts w:cs="Times New Roman"/>
          <w:lang w:val="fr-CA"/>
        </w:rPr>
        <w:t>’</w:t>
      </w:r>
      <w:r w:rsidRPr="00A15EB4">
        <w:rPr>
          <w:rFonts w:cs="Times New Roman"/>
          <w:lang w:val="fr-CA"/>
        </w:rPr>
        <w:t>immunité de juridiction contre les réclamations de l</w:t>
      </w:r>
      <w:r>
        <w:rPr>
          <w:rFonts w:cs="Times New Roman"/>
          <w:lang w:val="fr-CA"/>
        </w:rPr>
        <w:t>’</w:t>
      </w:r>
      <w:r w:rsidRPr="00A15EB4">
        <w:rPr>
          <w:rFonts w:cs="Times New Roman"/>
          <w:lang w:val="fr-CA"/>
        </w:rPr>
        <w:t>appelant.</w:t>
      </w:r>
    </w:p>
    <w:p w:rsidR="00102A7D" w:rsidRPr="00A15EB4" w:rsidRDefault="00102A7D" w:rsidP="00102A7D">
      <w:pPr>
        <w:pStyle w:val="ParaNoNdepar-AltN"/>
        <w:rPr>
          <w:rFonts w:cs="Times New Roman"/>
          <w:lang w:val="fr-CA"/>
        </w:rPr>
      </w:pPr>
      <w:r w:rsidRPr="00A15EB4">
        <w:rPr>
          <w:rFonts w:cs="Times New Roman"/>
          <w:lang w:val="fr-CA"/>
        </w:rPr>
        <w:t>L</w:t>
      </w:r>
      <w:r>
        <w:rPr>
          <w:rFonts w:cs="Times New Roman"/>
          <w:lang w:val="fr-CA"/>
        </w:rPr>
        <w:t>’</w:t>
      </w:r>
      <w:r w:rsidRPr="00A15EB4">
        <w:rPr>
          <w:rFonts w:cs="Times New Roman"/>
          <w:lang w:val="fr-CA"/>
        </w:rPr>
        <w:t>OPANO a pour mandat général de contribuer par la consultation et la coopération à l</w:t>
      </w:r>
      <w:r>
        <w:rPr>
          <w:rFonts w:cs="Times New Roman"/>
          <w:lang w:val="fr-CA"/>
        </w:rPr>
        <w:t>’</w:t>
      </w:r>
      <w:r w:rsidRPr="00A15EB4">
        <w:rPr>
          <w:rFonts w:cs="Times New Roman"/>
          <w:lang w:val="fr-CA"/>
        </w:rPr>
        <w:t>utilisation optimale, à la gestion rationnelle et à la conservation des ressources halieutiques de l</w:t>
      </w:r>
      <w:r>
        <w:rPr>
          <w:rFonts w:cs="Times New Roman"/>
          <w:lang w:val="fr-CA"/>
        </w:rPr>
        <w:t>’</w:t>
      </w:r>
      <w:r w:rsidRPr="00A15EB4">
        <w:rPr>
          <w:rFonts w:cs="Times New Roman"/>
          <w:lang w:val="fr-CA"/>
        </w:rPr>
        <w:t>Atlantique Nord</w:t>
      </w:r>
      <w:r w:rsidRPr="00A15EB4">
        <w:rPr>
          <w:rFonts w:cs="Times New Roman"/>
          <w:lang w:val="fr-CA"/>
        </w:rPr>
        <w:noBreakHyphen/>
        <w:t>Ouest.  Selon le juge Wright, entendre les réclamations de l</w:t>
      </w:r>
      <w:r>
        <w:rPr>
          <w:rFonts w:cs="Times New Roman"/>
          <w:lang w:val="fr-CA"/>
        </w:rPr>
        <w:t>’</w:t>
      </w:r>
      <w:r w:rsidRPr="00A15EB4">
        <w:rPr>
          <w:rFonts w:cs="Times New Roman"/>
          <w:lang w:val="fr-CA"/>
        </w:rPr>
        <w:t>appelant ne constituerait pas une ingérence inacceptable dans la régie interne de l</w:t>
      </w:r>
      <w:r>
        <w:rPr>
          <w:rFonts w:cs="Times New Roman"/>
          <w:lang w:val="fr-CA"/>
        </w:rPr>
        <w:t>’</w:t>
      </w:r>
      <w:r w:rsidRPr="00A15EB4">
        <w:rPr>
          <w:rFonts w:cs="Times New Roman"/>
          <w:lang w:val="fr-CA"/>
        </w:rPr>
        <w:t>OPA</w:t>
      </w:r>
      <w:r>
        <w:rPr>
          <w:rFonts w:cs="Times New Roman"/>
          <w:lang w:val="fr-CA"/>
        </w:rPr>
        <w:t xml:space="preserve">NO. </w:t>
      </w:r>
      <w:r w:rsidRPr="00A15EB4">
        <w:rPr>
          <w:rFonts w:cs="Times New Roman"/>
          <w:lang w:val="fr-CA"/>
        </w:rPr>
        <w:t xml:space="preserve"> En toute déférence, je ne puis souscrire à cette conclusion.</w:t>
      </w:r>
    </w:p>
    <w:p w:rsidR="00102A7D" w:rsidRPr="00A15EB4" w:rsidRDefault="00102A7D" w:rsidP="00102A7D">
      <w:pPr>
        <w:pStyle w:val="ParaNoNdepar-AltN"/>
        <w:rPr>
          <w:rFonts w:cs="Times New Roman"/>
          <w:lang w:val="fr-CA"/>
        </w:rPr>
      </w:pPr>
      <w:r w:rsidRPr="00A15EB4">
        <w:rPr>
          <w:rFonts w:cs="Times New Roman"/>
          <w:lang w:val="fr-CA"/>
        </w:rPr>
        <w:t>La Cour a reconnu que les relations de travail jouent un rôle important dans l</w:t>
      </w:r>
      <w:r>
        <w:rPr>
          <w:rFonts w:cs="Times New Roman"/>
          <w:lang w:val="fr-CA"/>
        </w:rPr>
        <w:t>’</w:t>
      </w:r>
      <w:r w:rsidRPr="00A15EB4">
        <w:rPr>
          <w:rFonts w:cs="Times New Roman"/>
          <w:lang w:val="fr-CA"/>
        </w:rPr>
        <w:t>accomplissement de la mission d</w:t>
      </w:r>
      <w:r>
        <w:rPr>
          <w:rFonts w:cs="Times New Roman"/>
          <w:lang w:val="fr-CA"/>
        </w:rPr>
        <w:t>’</w:t>
      </w:r>
      <w:r w:rsidRPr="00A15EB4">
        <w:rPr>
          <w:rFonts w:cs="Times New Roman"/>
          <w:lang w:val="fr-CA"/>
        </w:rPr>
        <w:t xml:space="preserve">une organisation : </w:t>
      </w:r>
      <w:r w:rsidRPr="00A15EB4">
        <w:rPr>
          <w:rFonts w:cs="Times New Roman"/>
          <w:i/>
          <w:lang w:val="fr-CA"/>
        </w:rPr>
        <w:t>Re Code canadien du travail</w:t>
      </w:r>
      <w:r w:rsidRPr="00A15EB4">
        <w:rPr>
          <w:rFonts w:cs="Times New Roman"/>
          <w:lang w:val="fr-CA"/>
        </w:rPr>
        <w:t>, [1992] 2 R.C.S. 50.  L</w:t>
      </w:r>
      <w:r>
        <w:rPr>
          <w:rFonts w:cs="Times New Roman"/>
          <w:lang w:val="fr-CA"/>
        </w:rPr>
        <w:t>’</w:t>
      </w:r>
      <w:r w:rsidRPr="00A15EB4">
        <w:rPr>
          <w:rFonts w:cs="Times New Roman"/>
          <w:lang w:val="fr-CA"/>
        </w:rPr>
        <w:t>OPANO ne pourrait d</w:t>
      </w:r>
      <w:r>
        <w:rPr>
          <w:rFonts w:cs="Times New Roman"/>
          <w:lang w:val="fr-CA"/>
        </w:rPr>
        <w:t>’</w:t>
      </w:r>
      <w:r w:rsidRPr="00A15EB4">
        <w:rPr>
          <w:rFonts w:cs="Times New Roman"/>
          <w:lang w:val="fr-CA"/>
        </w:rPr>
        <w:t xml:space="preserve">ailleurs pas réaliser son mandat général sans ses employés.  Dans </w:t>
      </w:r>
      <w:r w:rsidRPr="00A15EB4">
        <w:rPr>
          <w:rFonts w:cs="Times New Roman"/>
          <w:i/>
          <w:lang w:val="fr-CA"/>
        </w:rPr>
        <w:t>Re Code canadien du travail</w:t>
      </w:r>
      <w:r w:rsidRPr="00A15EB4">
        <w:rPr>
          <w:rFonts w:cs="Times New Roman"/>
          <w:lang w:val="fr-CA"/>
        </w:rPr>
        <w:t xml:space="preserve">, la Cour était appelée à déterminer si les relations de travail dans une base militaire américaine </w:t>
      </w:r>
      <w:r w:rsidR="0042132D">
        <w:rPr>
          <w:rFonts w:cs="Times New Roman"/>
          <w:lang w:val="fr-CA"/>
        </w:rPr>
        <w:t>à</w:t>
      </w:r>
      <w:r w:rsidRPr="00A15EB4">
        <w:rPr>
          <w:rFonts w:cs="Times New Roman"/>
          <w:lang w:val="fr-CA"/>
        </w:rPr>
        <w:t xml:space="preserve"> </w:t>
      </w:r>
      <w:r w:rsidR="009F1C06">
        <w:rPr>
          <w:rFonts w:cs="Times New Roman"/>
          <w:lang w:val="fr-CA"/>
        </w:rPr>
        <w:t xml:space="preserve">Terre-Neuve </w:t>
      </w:r>
      <w:r w:rsidRPr="00A15EB4">
        <w:rPr>
          <w:rFonts w:cs="Times New Roman"/>
          <w:lang w:val="fr-CA"/>
        </w:rPr>
        <w:t>constituaient des activités d</w:t>
      </w:r>
      <w:r>
        <w:rPr>
          <w:rFonts w:cs="Times New Roman"/>
          <w:lang w:val="fr-CA"/>
        </w:rPr>
        <w:t>’</w:t>
      </w:r>
      <w:r w:rsidRPr="00A15EB4">
        <w:rPr>
          <w:rFonts w:cs="Times New Roman"/>
          <w:lang w:val="fr-CA"/>
        </w:rPr>
        <w:t>un État souverain qui bénéficiaient de l</w:t>
      </w:r>
      <w:r>
        <w:rPr>
          <w:rFonts w:cs="Times New Roman"/>
          <w:lang w:val="fr-CA"/>
        </w:rPr>
        <w:t>’</w:t>
      </w:r>
      <w:r w:rsidRPr="00A15EB4">
        <w:rPr>
          <w:rFonts w:cs="Times New Roman"/>
          <w:lang w:val="fr-CA"/>
        </w:rPr>
        <w:t>immunité de juridiction devant les tribunaux canadiens.  Même s</w:t>
      </w:r>
      <w:r>
        <w:rPr>
          <w:rFonts w:cs="Times New Roman"/>
          <w:lang w:val="fr-CA"/>
        </w:rPr>
        <w:t>’</w:t>
      </w:r>
      <w:r w:rsidRPr="00A15EB4">
        <w:rPr>
          <w:rFonts w:cs="Times New Roman"/>
          <w:lang w:val="fr-CA"/>
        </w:rPr>
        <w:t xml:space="preserve">il concernait la </w:t>
      </w:r>
      <w:r w:rsidRPr="00A15EB4">
        <w:rPr>
          <w:rFonts w:cs="Times New Roman"/>
          <w:i/>
          <w:lang w:val="fr-CA"/>
        </w:rPr>
        <w:t>Loi sur l</w:t>
      </w:r>
      <w:r>
        <w:rPr>
          <w:rFonts w:cs="Times New Roman"/>
          <w:i/>
          <w:lang w:val="fr-CA"/>
        </w:rPr>
        <w:t>’</w:t>
      </w:r>
      <w:r w:rsidRPr="00A15EB4">
        <w:rPr>
          <w:rFonts w:cs="Times New Roman"/>
          <w:i/>
          <w:lang w:val="fr-CA"/>
        </w:rPr>
        <w:t>immunité des États</w:t>
      </w:r>
      <w:r w:rsidR="009F1C06">
        <w:rPr>
          <w:rFonts w:cs="Times New Roman"/>
          <w:lang w:val="fr-CA"/>
        </w:rPr>
        <w:t>, S</w:t>
      </w:r>
      <w:r w:rsidRPr="00A15EB4">
        <w:rPr>
          <w:rFonts w:cs="Times New Roman"/>
          <w:lang w:val="fr-CA"/>
        </w:rPr>
        <w:t>.C. 1980</w:t>
      </w:r>
      <w:r w:rsidRPr="00A15EB4">
        <w:rPr>
          <w:rFonts w:cs="Times New Roman"/>
          <w:lang w:val="fr-CA"/>
        </w:rPr>
        <w:noBreakHyphen/>
        <w:t>81</w:t>
      </w:r>
      <w:r w:rsidRPr="00A15EB4">
        <w:rPr>
          <w:rFonts w:cs="Times New Roman"/>
          <w:lang w:val="fr-CA"/>
        </w:rPr>
        <w:noBreakHyphen/>
        <w:t>82</w:t>
      </w:r>
      <w:r w:rsidRPr="00A15EB4">
        <w:rPr>
          <w:rFonts w:cs="Times New Roman"/>
          <w:lang w:val="fr-CA"/>
        </w:rPr>
        <w:noBreakHyphen/>
        <w:t>83, ch. 95, et le concept des « activités commerciales » auxquelles ne s</w:t>
      </w:r>
      <w:r>
        <w:rPr>
          <w:rFonts w:cs="Times New Roman"/>
          <w:lang w:val="fr-CA"/>
        </w:rPr>
        <w:t>’</w:t>
      </w:r>
      <w:r w:rsidRPr="00A15EB4">
        <w:rPr>
          <w:rFonts w:cs="Times New Roman"/>
          <w:lang w:val="fr-CA"/>
        </w:rPr>
        <w:t>applique pas l</w:t>
      </w:r>
      <w:r>
        <w:rPr>
          <w:rFonts w:cs="Times New Roman"/>
          <w:lang w:val="fr-CA"/>
        </w:rPr>
        <w:t>’</w:t>
      </w:r>
      <w:r w:rsidRPr="00A15EB4">
        <w:rPr>
          <w:rFonts w:cs="Times New Roman"/>
          <w:lang w:val="fr-CA"/>
        </w:rPr>
        <w:t xml:space="preserve">immunité de juridiction au Canada, cet </w:t>
      </w:r>
      <w:r w:rsidRPr="00A15EB4">
        <w:rPr>
          <w:rFonts w:cs="Times New Roman"/>
          <w:lang w:val="fr-CA"/>
        </w:rPr>
        <w:lastRenderedPageBreak/>
        <w:t>arrêt demeure pertinent en raison des observations du juge La Forest, au nom des juges majoritaires, sur le rôle des relations d</w:t>
      </w:r>
      <w:r>
        <w:rPr>
          <w:rFonts w:cs="Times New Roman"/>
          <w:lang w:val="fr-CA"/>
        </w:rPr>
        <w:t>’</w:t>
      </w:r>
      <w:r w:rsidRPr="00A15EB4">
        <w:rPr>
          <w:rFonts w:cs="Times New Roman"/>
          <w:lang w:val="fr-CA"/>
        </w:rPr>
        <w:t>emploi dans le contexte de l</w:t>
      </w:r>
      <w:r>
        <w:rPr>
          <w:rFonts w:cs="Times New Roman"/>
          <w:lang w:val="fr-CA"/>
        </w:rPr>
        <w:t>’</w:t>
      </w:r>
      <w:r w:rsidRPr="00A15EB4">
        <w:rPr>
          <w:rFonts w:cs="Times New Roman"/>
          <w:lang w:val="fr-CA"/>
        </w:rPr>
        <w:t>immunité de juridiction.  En effet, il a déclaré que la relation d</w:t>
      </w:r>
      <w:r>
        <w:rPr>
          <w:rFonts w:cs="Times New Roman"/>
          <w:lang w:val="fr-CA"/>
        </w:rPr>
        <w:t>’</w:t>
      </w:r>
      <w:r w:rsidRPr="00A15EB4">
        <w:rPr>
          <w:rFonts w:cs="Times New Roman"/>
          <w:lang w:val="fr-CA"/>
        </w:rPr>
        <w:t xml:space="preserve">emploi constitue une relation </w:t>
      </w:r>
      <w:r w:rsidR="009F1C06" w:rsidRPr="00A15EB4">
        <w:rPr>
          <w:rFonts w:cs="Times New Roman"/>
          <w:lang w:val="fr-CA"/>
        </w:rPr>
        <w:t>« </w:t>
      </w:r>
      <w:r w:rsidRPr="00A15EB4">
        <w:rPr>
          <w:rFonts w:cs="Times New Roman"/>
          <w:lang w:val="fr-CA"/>
        </w:rPr>
        <w:t>à plusieurs facettes » à considérer dans sa globalité et en tenant compte du contexte : p. 76 et 80.</w:t>
      </w:r>
    </w:p>
    <w:p w:rsidR="00102A7D" w:rsidRPr="00A15EB4" w:rsidRDefault="00102A7D" w:rsidP="00102A7D">
      <w:pPr>
        <w:pStyle w:val="ParaNoNdepar-AltN"/>
        <w:rPr>
          <w:rFonts w:cs="Times New Roman"/>
          <w:lang w:val="fr-CA"/>
        </w:rPr>
      </w:pPr>
      <w:r w:rsidRPr="00A15EB4">
        <w:rPr>
          <w:rFonts w:cs="Times New Roman"/>
          <w:lang w:val="fr-CA"/>
        </w:rPr>
        <w:t>En l</w:t>
      </w:r>
      <w:r>
        <w:rPr>
          <w:rFonts w:cs="Times New Roman"/>
          <w:lang w:val="fr-CA"/>
        </w:rPr>
        <w:t>’</w:t>
      </w:r>
      <w:r w:rsidRPr="00A15EB4">
        <w:rPr>
          <w:rFonts w:cs="Times New Roman"/>
          <w:lang w:val="fr-CA"/>
        </w:rPr>
        <w:t>espèce, l</w:t>
      </w:r>
      <w:r>
        <w:rPr>
          <w:rFonts w:cs="Times New Roman"/>
          <w:lang w:val="fr-CA"/>
        </w:rPr>
        <w:t>’</w:t>
      </w:r>
      <w:r w:rsidRPr="00A15EB4">
        <w:rPr>
          <w:rFonts w:cs="Times New Roman"/>
          <w:lang w:val="fr-CA"/>
        </w:rPr>
        <w:t>appelant était le secrétaire exécutif adjoint de l</w:t>
      </w:r>
      <w:r>
        <w:rPr>
          <w:rFonts w:cs="Times New Roman"/>
          <w:lang w:val="fr-CA"/>
        </w:rPr>
        <w:t>’</w:t>
      </w:r>
      <w:r w:rsidRPr="00A15EB4">
        <w:rPr>
          <w:rFonts w:cs="Times New Roman"/>
          <w:lang w:val="fr-CA"/>
        </w:rPr>
        <w:t>OPANO, c</w:t>
      </w:r>
      <w:r>
        <w:rPr>
          <w:rFonts w:cs="Times New Roman"/>
          <w:lang w:val="fr-CA"/>
        </w:rPr>
        <w:t>’</w:t>
      </w:r>
      <w:r w:rsidRPr="00A15EB4">
        <w:rPr>
          <w:rFonts w:cs="Times New Roman"/>
          <w:lang w:val="fr-CA"/>
        </w:rPr>
        <w:t>est</w:t>
      </w:r>
      <w:r w:rsidRPr="00A15EB4">
        <w:rPr>
          <w:rFonts w:cs="Times New Roman"/>
          <w:lang w:val="fr-CA"/>
        </w:rPr>
        <w:noBreakHyphen/>
        <w:t>à</w:t>
      </w:r>
      <w:r w:rsidRPr="00A15EB4">
        <w:rPr>
          <w:rFonts w:cs="Times New Roman"/>
          <w:lang w:val="fr-CA"/>
        </w:rPr>
        <w:noBreakHyphen/>
        <w:t>dire le numéro deux du secrétariat.  Il supervisait directement d</w:t>
      </w:r>
      <w:r>
        <w:rPr>
          <w:rFonts w:cs="Times New Roman"/>
          <w:lang w:val="fr-CA"/>
        </w:rPr>
        <w:t>’</w:t>
      </w:r>
      <w:r w:rsidRPr="00A15EB4">
        <w:rPr>
          <w:rFonts w:cs="Times New Roman"/>
          <w:lang w:val="fr-CA"/>
        </w:rPr>
        <w:t>autres employés et était responsable du volet scientifique du mandat de l</w:t>
      </w:r>
      <w:r>
        <w:rPr>
          <w:rFonts w:cs="Times New Roman"/>
          <w:lang w:val="fr-CA"/>
        </w:rPr>
        <w:t>’</w:t>
      </w:r>
      <w:r w:rsidRPr="00A15EB4">
        <w:rPr>
          <w:rFonts w:cs="Times New Roman"/>
          <w:lang w:val="fr-CA"/>
        </w:rPr>
        <w:t>organisation.  Cela suffirait en soi pour conclure que les fonctions de l</w:t>
      </w:r>
      <w:r>
        <w:rPr>
          <w:rFonts w:cs="Times New Roman"/>
          <w:lang w:val="fr-CA"/>
        </w:rPr>
        <w:t>’</w:t>
      </w:r>
      <w:r w:rsidRPr="00A15EB4">
        <w:rPr>
          <w:rFonts w:cs="Times New Roman"/>
          <w:lang w:val="fr-CA"/>
        </w:rPr>
        <w:t>OPANO exigent l</w:t>
      </w:r>
      <w:r>
        <w:rPr>
          <w:rFonts w:cs="Times New Roman"/>
          <w:lang w:val="fr-CA"/>
        </w:rPr>
        <w:t>’</w:t>
      </w:r>
      <w:r w:rsidRPr="00A15EB4">
        <w:rPr>
          <w:rFonts w:cs="Times New Roman"/>
          <w:lang w:val="fr-CA"/>
        </w:rPr>
        <w:t>application de l</w:t>
      </w:r>
      <w:r>
        <w:rPr>
          <w:rFonts w:cs="Times New Roman"/>
          <w:lang w:val="fr-CA"/>
        </w:rPr>
        <w:t>’</w:t>
      </w:r>
      <w:r w:rsidRPr="00A15EB4">
        <w:rPr>
          <w:rFonts w:cs="Times New Roman"/>
          <w:lang w:val="fr-CA"/>
        </w:rPr>
        <w:t>immunité de juridiction en l</w:t>
      </w:r>
      <w:r>
        <w:rPr>
          <w:rFonts w:cs="Times New Roman"/>
          <w:lang w:val="fr-CA"/>
        </w:rPr>
        <w:t>’</w:t>
      </w:r>
      <w:r w:rsidRPr="00A15EB4">
        <w:rPr>
          <w:rFonts w:cs="Times New Roman"/>
          <w:lang w:val="fr-CA"/>
        </w:rPr>
        <w:t>espèce.  L</w:t>
      </w:r>
      <w:r>
        <w:rPr>
          <w:rFonts w:cs="Times New Roman"/>
          <w:lang w:val="fr-CA"/>
        </w:rPr>
        <w:t>’</w:t>
      </w:r>
      <w:r w:rsidRPr="00A15EB4">
        <w:rPr>
          <w:rFonts w:cs="Times New Roman"/>
          <w:lang w:val="fr-CA"/>
        </w:rPr>
        <w:t>OPANO doit être en mesure de gérer ses employés, notamment ceux qui occupent des postes supérieurs, afin d</w:t>
      </w:r>
      <w:r>
        <w:rPr>
          <w:rFonts w:cs="Times New Roman"/>
          <w:lang w:val="fr-CA"/>
        </w:rPr>
        <w:t>’</w:t>
      </w:r>
      <w:r w:rsidRPr="00A15EB4">
        <w:rPr>
          <w:rFonts w:cs="Times New Roman"/>
          <w:lang w:val="fr-CA"/>
        </w:rPr>
        <w:t>accomplir efficacement ses fonctions.  Permettre que des poursuites liées à l</w:t>
      </w:r>
      <w:r>
        <w:rPr>
          <w:rFonts w:cs="Times New Roman"/>
          <w:lang w:val="fr-CA"/>
        </w:rPr>
        <w:t>’</w:t>
      </w:r>
      <w:r w:rsidRPr="00A15EB4">
        <w:rPr>
          <w:rFonts w:cs="Times New Roman"/>
          <w:lang w:val="fr-CA"/>
        </w:rPr>
        <w:t>emploi intentées contre l</w:t>
      </w:r>
      <w:r>
        <w:rPr>
          <w:rFonts w:cs="Times New Roman"/>
          <w:lang w:val="fr-CA"/>
        </w:rPr>
        <w:t>’</w:t>
      </w:r>
      <w:r w:rsidRPr="00A15EB4">
        <w:rPr>
          <w:rFonts w:cs="Times New Roman"/>
          <w:lang w:val="fr-CA"/>
        </w:rPr>
        <w:t>OPANO par ses cadres supérieurs soient entendues par les tribunaux canadiens porterait atteinte de façon injustifiée à l</w:t>
      </w:r>
      <w:r>
        <w:rPr>
          <w:rFonts w:cs="Times New Roman"/>
          <w:lang w:val="fr-CA"/>
        </w:rPr>
        <w:t>’</w:t>
      </w:r>
      <w:r w:rsidRPr="00A15EB4">
        <w:rPr>
          <w:rFonts w:cs="Times New Roman"/>
          <w:lang w:val="fr-CA"/>
        </w:rPr>
        <w:t>autonomie de l</w:t>
      </w:r>
      <w:r>
        <w:rPr>
          <w:rFonts w:cs="Times New Roman"/>
          <w:lang w:val="fr-CA"/>
        </w:rPr>
        <w:t>’</w:t>
      </w:r>
      <w:r w:rsidRPr="00A15EB4">
        <w:rPr>
          <w:rFonts w:cs="Times New Roman"/>
          <w:lang w:val="fr-CA"/>
        </w:rPr>
        <w:t>OPANO dans l</w:t>
      </w:r>
      <w:r>
        <w:rPr>
          <w:rFonts w:cs="Times New Roman"/>
          <w:lang w:val="fr-CA"/>
        </w:rPr>
        <w:t>’</w:t>
      </w:r>
      <w:r w:rsidRPr="00A15EB4">
        <w:rPr>
          <w:rFonts w:cs="Times New Roman"/>
          <w:lang w:val="fr-CA"/>
        </w:rPr>
        <w:t>exercice de ses fonctions et reviendrait à assujettir ses opérations de gestion à la surveillance des institutions de l</w:t>
      </w:r>
      <w:r>
        <w:rPr>
          <w:rFonts w:cs="Times New Roman"/>
          <w:lang w:val="fr-CA"/>
        </w:rPr>
        <w:t>’</w:t>
      </w:r>
      <w:r w:rsidRPr="00A15EB4">
        <w:rPr>
          <w:rFonts w:cs="Times New Roman"/>
          <w:lang w:val="fr-CA"/>
        </w:rPr>
        <w:t>État d</w:t>
      </w:r>
      <w:r>
        <w:rPr>
          <w:rFonts w:cs="Times New Roman"/>
          <w:lang w:val="fr-CA"/>
        </w:rPr>
        <w:t>’</w:t>
      </w:r>
      <w:r w:rsidRPr="00A15EB4">
        <w:rPr>
          <w:rFonts w:cs="Times New Roman"/>
          <w:lang w:val="fr-CA"/>
        </w:rPr>
        <w:t>accueil.</w:t>
      </w:r>
    </w:p>
    <w:p w:rsidR="00102A7D" w:rsidRPr="00A15EB4" w:rsidRDefault="00102A7D" w:rsidP="00102A7D">
      <w:pPr>
        <w:pStyle w:val="ParaNoNdepar-AltN"/>
        <w:rPr>
          <w:rFonts w:cs="Times New Roman"/>
          <w:lang w:val="fr-CA"/>
        </w:rPr>
      </w:pPr>
      <w:r w:rsidRPr="00A15EB4">
        <w:rPr>
          <w:rFonts w:cs="Times New Roman"/>
          <w:lang w:val="fr-CA"/>
        </w:rPr>
        <w:t>Ce résultat découlerait de la nature même de la procédure judiciaire intentée par l</w:t>
      </w:r>
      <w:r>
        <w:rPr>
          <w:rFonts w:cs="Times New Roman"/>
          <w:lang w:val="fr-CA"/>
        </w:rPr>
        <w:t>’</w:t>
      </w:r>
      <w:r w:rsidRPr="00A15EB4">
        <w:rPr>
          <w:rFonts w:cs="Times New Roman"/>
          <w:lang w:val="fr-CA"/>
        </w:rPr>
        <w:t>appelant.  Dans sa déclaration, l</w:t>
      </w:r>
      <w:r>
        <w:rPr>
          <w:rFonts w:cs="Times New Roman"/>
          <w:lang w:val="fr-CA"/>
        </w:rPr>
        <w:t>’</w:t>
      </w:r>
      <w:r w:rsidRPr="00A15EB4">
        <w:rPr>
          <w:rFonts w:cs="Times New Roman"/>
          <w:lang w:val="fr-CA"/>
        </w:rPr>
        <w:t>appelant allègue que le secrétaire exécutif [</w:t>
      </w:r>
      <w:r w:rsidRPr="00A15EB4">
        <w:rPr>
          <w:rFonts w:cs="Times New Roman"/>
          <w:smallCaps/>
          <w:lang w:val="fr-CA"/>
        </w:rPr>
        <w:t>traduction</w:t>
      </w:r>
      <w:r w:rsidRPr="00A15EB4">
        <w:rPr>
          <w:rFonts w:cs="Times New Roman"/>
          <w:lang w:val="fr-CA"/>
        </w:rPr>
        <w:t>] « a appliqué des pratiques de gestion irrégulières » : d.a., vol</w:t>
      </w:r>
      <w:r w:rsidR="009F1C06">
        <w:rPr>
          <w:rFonts w:cs="Times New Roman"/>
          <w:lang w:val="fr-CA"/>
        </w:rPr>
        <w:t>.</w:t>
      </w:r>
      <w:r w:rsidRPr="00A15EB4">
        <w:rPr>
          <w:rFonts w:cs="Times New Roman"/>
          <w:lang w:val="fr-CA"/>
        </w:rPr>
        <w:t> II, p. 13.  Il sollicite également des dommages</w:t>
      </w:r>
      <w:r w:rsidRPr="00A15EB4">
        <w:rPr>
          <w:rFonts w:cs="Times New Roman"/>
          <w:lang w:val="fr-CA"/>
        </w:rPr>
        <w:noBreakHyphen/>
        <w:t>intérêts punitifs.  Ce faisant, il demande à la Cour suprême de la Nouvelle</w:t>
      </w:r>
      <w:r w:rsidRPr="00A15EB4">
        <w:rPr>
          <w:rFonts w:cs="Times New Roman"/>
          <w:lang w:val="fr-CA"/>
        </w:rPr>
        <w:noBreakHyphen/>
        <w:t xml:space="preserve">Écosse de se prononcer sur la façon dont </w:t>
      </w:r>
      <w:r w:rsidRPr="00A15EB4">
        <w:rPr>
          <w:rFonts w:cs="Times New Roman"/>
          <w:lang w:val="fr-CA"/>
        </w:rPr>
        <w:lastRenderedPageBreak/>
        <w:t>l</w:t>
      </w:r>
      <w:r>
        <w:rPr>
          <w:rFonts w:cs="Times New Roman"/>
          <w:lang w:val="fr-CA"/>
        </w:rPr>
        <w:t>’</w:t>
      </w:r>
      <w:r w:rsidRPr="00A15EB4">
        <w:rPr>
          <w:rFonts w:cs="Times New Roman"/>
          <w:lang w:val="fr-CA"/>
        </w:rPr>
        <w:t>OPANO gère ses employés.  Ce type d</w:t>
      </w:r>
      <w:r>
        <w:rPr>
          <w:rFonts w:cs="Times New Roman"/>
          <w:lang w:val="fr-CA"/>
        </w:rPr>
        <w:t>’</w:t>
      </w:r>
      <w:r w:rsidRPr="00A15EB4">
        <w:rPr>
          <w:rFonts w:cs="Times New Roman"/>
          <w:lang w:val="fr-CA"/>
        </w:rPr>
        <w:t>intervention constituerait, à mon avis, une ingérence dans la régie interne de l</w:t>
      </w:r>
      <w:r>
        <w:rPr>
          <w:rFonts w:cs="Times New Roman"/>
          <w:lang w:val="fr-CA"/>
        </w:rPr>
        <w:t>’</w:t>
      </w:r>
      <w:r w:rsidRPr="00A15EB4">
        <w:rPr>
          <w:rFonts w:cs="Times New Roman"/>
          <w:lang w:val="fr-CA"/>
        </w:rPr>
        <w:t>OPANO, une ingérence qui touche directement à son autonomie.</w:t>
      </w:r>
    </w:p>
    <w:p w:rsidR="00102A7D" w:rsidRPr="00A15EB4" w:rsidRDefault="00102A7D" w:rsidP="00102A7D">
      <w:pPr>
        <w:pStyle w:val="TitleTitre-AltT"/>
        <w:keepNext/>
        <w:rPr>
          <w:rFonts w:cs="Times New Roman"/>
          <w:lang w:val="fr-CA"/>
        </w:rPr>
      </w:pPr>
      <w:r w:rsidRPr="00A15EB4">
        <w:rPr>
          <w:rFonts w:cs="Times New Roman"/>
          <w:lang w:val="fr-CA"/>
        </w:rPr>
        <w:t>E.</w:t>
      </w:r>
      <w:r w:rsidRPr="00A15EB4">
        <w:rPr>
          <w:rFonts w:cs="Times New Roman"/>
          <w:lang w:val="fr-CA"/>
        </w:rPr>
        <w:tab/>
      </w:r>
      <w:r w:rsidRPr="00A15EB4">
        <w:rPr>
          <w:rFonts w:cs="Times New Roman"/>
          <w:i/>
          <w:lang w:val="fr-CA"/>
        </w:rPr>
        <w:t>Déni de justice</w:t>
      </w:r>
    </w:p>
    <w:p w:rsidR="00102A7D" w:rsidRPr="00A15EB4" w:rsidRDefault="00102A7D" w:rsidP="00102A7D">
      <w:pPr>
        <w:pStyle w:val="ParaNoNdepar-AltN"/>
        <w:rPr>
          <w:rFonts w:cs="Times New Roman"/>
          <w:lang w:val="fr-CA"/>
        </w:rPr>
      </w:pPr>
      <w:r w:rsidRPr="00A15EB4">
        <w:rPr>
          <w:rFonts w:cs="Times New Roman"/>
          <w:lang w:val="fr-CA"/>
        </w:rPr>
        <w:t xml:space="preserve">Le paragraphe 3(1)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xml:space="preserve"> soulève une dernière question.  En formulant des arguments légèrement différents, tant l</w:t>
      </w:r>
      <w:r>
        <w:rPr>
          <w:rFonts w:cs="Times New Roman"/>
          <w:lang w:val="fr-CA"/>
        </w:rPr>
        <w:t>’</w:t>
      </w:r>
      <w:r w:rsidRPr="00A15EB4">
        <w:rPr>
          <w:rFonts w:cs="Times New Roman"/>
          <w:lang w:val="fr-CA"/>
        </w:rPr>
        <w:t>appelant que l</w:t>
      </w:r>
      <w:r>
        <w:rPr>
          <w:rFonts w:cs="Times New Roman"/>
          <w:lang w:val="fr-CA"/>
        </w:rPr>
        <w:t>’</w:t>
      </w:r>
      <w:r w:rsidRPr="00A15EB4">
        <w:rPr>
          <w:rFonts w:cs="Times New Roman"/>
          <w:lang w:val="fr-CA"/>
        </w:rPr>
        <w:t>intervenante font valoir que si l</w:t>
      </w:r>
      <w:r>
        <w:rPr>
          <w:rFonts w:cs="Times New Roman"/>
          <w:lang w:val="fr-CA"/>
        </w:rPr>
        <w:t>’</w:t>
      </w:r>
      <w:r w:rsidRPr="00A15EB4">
        <w:rPr>
          <w:rFonts w:cs="Times New Roman"/>
          <w:lang w:val="fr-CA"/>
        </w:rPr>
        <w:t>OPANO bénéficiait de l</w:t>
      </w:r>
      <w:r>
        <w:rPr>
          <w:rFonts w:cs="Times New Roman"/>
          <w:lang w:val="fr-CA"/>
        </w:rPr>
        <w:t>’</w:t>
      </w:r>
      <w:r w:rsidRPr="00A15EB4">
        <w:rPr>
          <w:rFonts w:cs="Times New Roman"/>
          <w:lang w:val="fr-CA"/>
        </w:rPr>
        <w:t>immunité de juridiction, il en résulterait un déni de justice, puisque l</w:t>
      </w:r>
      <w:r>
        <w:rPr>
          <w:rFonts w:cs="Times New Roman"/>
          <w:lang w:val="fr-CA"/>
        </w:rPr>
        <w:t>’</w:t>
      </w:r>
      <w:r w:rsidRPr="00A15EB4">
        <w:rPr>
          <w:rFonts w:cs="Times New Roman"/>
          <w:lang w:val="fr-CA"/>
        </w:rPr>
        <w:t>appelant se trouverait par le fait même privé de la possibilité de faire valoir ses moyens devant un tribunal et d</w:t>
      </w:r>
      <w:r>
        <w:rPr>
          <w:rFonts w:cs="Times New Roman"/>
          <w:lang w:val="fr-CA"/>
        </w:rPr>
        <w:t>’</w:t>
      </w:r>
      <w:r w:rsidRPr="00A15EB4">
        <w:rPr>
          <w:rFonts w:cs="Times New Roman"/>
          <w:lang w:val="fr-CA"/>
        </w:rPr>
        <w:t xml:space="preserve">obtenir réparation.  Se fondant sur la </w:t>
      </w:r>
      <w:r w:rsidRPr="00A15EB4">
        <w:rPr>
          <w:rFonts w:cs="Times New Roman"/>
          <w:i/>
          <w:lang w:val="fr-CA"/>
        </w:rPr>
        <w:t>Déclaration canadienne des droits</w:t>
      </w:r>
      <w:r w:rsidRPr="00A15EB4">
        <w:rPr>
          <w:rFonts w:cs="Times New Roman"/>
          <w:lang w:val="fr-CA"/>
        </w:rPr>
        <w:t>, L.R.C. 1985, a</w:t>
      </w:r>
      <w:r w:rsidR="0031636A">
        <w:rPr>
          <w:rFonts w:cs="Times New Roman"/>
          <w:lang w:val="fr-CA"/>
        </w:rPr>
        <w:t>pp</w:t>
      </w:r>
      <w:r w:rsidRPr="00A15EB4">
        <w:rPr>
          <w:rFonts w:cs="Times New Roman"/>
          <w:lang w:val="fr-CA"/>
        </w:rPr>
        <w:t>. III, et sur la jurisprudence européenne, l</w:t>
      </w:r>
      <w:r>
        <w:rPr>
          <w:rFonts w:cs="Times New Roman"/>
          <w:lang w:val="fr-CA"/>
        </w:rPr>
        <w:t>’</w:t>
      </w:r>
      <w:r w:rsidRPr="00A15EB4">
        <w:rPr>
          <w:rFonts w:cs="Times New Roman"/>
          <w:lang w:val="fr-CA"/>
        </w:rPr>
        <w:t>intervenante soutient que l</w:t>
      </w:r>
      <w:r>
        <w:rPr>
          <w:rFonts w:cs="Times New Roman"/>
          <w:lang w:val="fr-CA"/>
        </w:rPr>
        <w:t>’</w:t>
      </w:r>
      <w:r w:rsidRPr="00A15EB4">
        <w:rPr>
          <w:rFonts w:cs="Times New Roman"/>
          <w:lang w:val="fr-CA"/>
        </w:rPr>
        <w:t>absence de mécanisme de règlement des différends à l</w:t>
      </w:r>
      <w:r>
        <w:rPr>
          <w:rFonts w:cs="Times New Roman"/>
          <w:lang w:val="fr-CA"/>
        </w:rPr>
        <w:t>’</w:t>
      </w:r>
      <w:r w:rsidRPr="00A15EB4">
        <w:rPr>
          <w:rFonts w:cs="Times New Roman"/>
          <w:lang w:val="fr-CA"/>
        </w:rPr>
        <w:t>OPANO devrait militer contre l</w:t>
      </w:r>
      <w:r>
        <w:rPr>
          <w:rFonts w:cs="Times New Roman"/>
          <w:lang w:val="fr-CA"/>
        </w:rPr>
        <w:t>’</w:t>
      </w:r>
      <w:r w:rsidRPr="00A15EB4">
        <w:rPr>
          <w:rFonts w:cs="Times New Roman"/>
          <w:lang w:val="fr-CA"/>
        </w:rPr>
        <w:t>application de l</w:t>
      </w:r>
      <w:r>
        <w:rPr>
          <w:rFonts w:cs="Times New Roman"/>
          <w:lang w:val="fr-CA"/>
        </w:rPr>
        <w:t>’</w:t>
      </w:r>
      <w:r w:rsidRPr="00A15EB4">
        <w:rPr>
          <w:rFonts w:cs="Times New Roman"/>
          <w:lang w:val="fr-CA"/>
        </w:rPr>
        <w:t>immunité.</w:t>
      </w:r>
    </w:p>
    <w:p w:rsidR="00102A7D" w:rsidRPr="00A15EB4" w:rsidRDefault="00102A7D" w:rsidP="00102A7D">
      <w:pPr>
        <w:pStyle w:val="ParaNoNdepar-AltN"/>
        <w:rPr>
          <w:rFonts w:cs="Times New Roman"/>
          <w:lang w:val="fr-CA"/>
        </w:rPr>
      </w:pPr>
      <w:r w:rsidRPr="00A15EB4">
        <w:rPr>
          <w:rFonts w:cs="Times New Roman"/>
          <w:lang w:val="fr-CA"/>
        </w:rPr>
        <w:t>L</w:t>
      </w:r>
      <w:r>
        <w:rPr>
          <w:rFonts w:cs="Times New Roman"/>
          <w:lang w:val="fr-CA"/>
        </w:rPr>
        <w:t>’</w:t>
      </w:r>
      <w:r w:rsidRPr="00A15EB4">
        <w:rPr>
          <w:rFonts w:cs="Times New Roman"/>
          <w:lang w:val="fr-CA"/>
        </w:rPr>
        <w:t>absence d</w:t>
      </w:r>
      <w:r>
        <w:rPr>
          <w:rFonts w:cs="Times New Roman"/>
          <w:lang w:val="fr-CA"/>
        </w:rPr>
        <w:t>’</w:t>
      </w:r>
      <w:r w:rsidRPr="00A15EB4">
        <w:rPr>
          <w:rFonts w:cs="Times New Roman"/>
          <w:lang w:val="fr-CA"/>
        </w:rPr>
        <w:t>un mécanisme de règlement des différends ou d</w:t>
      </w:r>
      <w:r>
        <w:rPr>
          <w:rFonts w:cs="Times New Roman"/>
          <w:lang w:val="fr-CA"/>
        </w:rPr>
        <w:t>’</w:t>
      </w:r>
      <w:r w:rsidRPr="00A15EB4">
        <w:rPr>
          <w:rFonts w:cs="Times New Roman"/>
          <w:lang w:val="fr-CA"/>
        </w:rPr>
        <w:t>un processus interne d</w:t>
      </w:r>
      <w:r>
        <w:rPr>
          <w:rFonts w:cs="Times New Roman"/>
          <w:lang w:val="fr-CA"/>
        </w:rPr>
        <w:t>’</w:t>
      </w:r>
      <w:r w:rsidRPr="00A15EB4">
        <w:rPr>
          <w:rFonts w:cs="Times New Roman"/>
          <w:lang w:val="fr-CA"/>
        </w:rPr>
        <w:t>examen n</w:t>
      </w:r>
      <w:r>
        <w:rPr>
          <w:rFonts w:cs="Times New Roman"/>
          <w:lang w:val="fr-CA"/>
        </w:rPr>
        <w:t>’</w:t>
      </w:r>
      <w:r w:rsidRPr="00A15EB4">
        <w:rPr>
          <w:rFonts w:cs="Times New Roman"/>
          <w:lang w:val="fr-CA"/>
        </w:rPr>
        <w:t>est pas en soi déterminante pour décider si l</w:t>
      </w:r>
      <w:r>
        <w:rPr>
          <w:rFonts w:cs="Times New Roman"/>
          <w:lang w:val="fr-CA"/>
        </w:rPr>
        <w:t>’</w:t>
      </w:r>
      <w:r w:rsidRPr="00A15EB4">
        <w:rPr>
          <w:rFonts w:cs="Times New Roman"/>
          <w:lang w:val="fr-CA"/>
        </w:rPr>
        <w:t>OPANO bénéficie de l</w:t>
      </w:r>
      <w:r>
        <w:rPr>
          <w:rFonts w:cs="Times New Roman"/>
          <w:lang w:val="fr-CA"/>
        </w:rPr>
        <w:t>’</w:t>
      </w:r>
      <w:r w:rsidRPr="00A15EB4">
        <w:rPr>
          <w:rFonts w:cs="Times New Roman"/>
          <w:lang w:val="fr-CA"/>
        </w:rPr>
        <w:t>immunité.  Comme nous l</w:t>
      </w:r>
      <w:r>
        <w:rPr>
          <w:rFonts w:cs="Times New Roman"/>
          <w:lang w:val="fr-CA"/>
        </w:rPr>
        <w:t>’</w:t>
      </w:r>
      <w:r w:rsidRPr="00A15EB4">
        <w:rPr>
          <w:rFonts w:cs="Times New Roman"/>
          <w:lang w:val="fr-CA"/>
        </w:rPr>
        <w:t>avons vu précédemment, il faut considérer la relation d</w:t>
      </w:r>
      <w:r>
        <w:rPr>
          <w:rFonts w:cs="Times New Roman"/>
          <w:lang w:val="fr-CA"/>
        </w:rPr>
        <w:t>’</w:t>
      </w:r>
      <w:r w:rsidRPr="00A15EB4">
        <w:rPr>
          <w:rFonts w:cs="Times New Roman"/>
          <w:lang w:val="fr-CA"/>
        </w:rPr>
        <w:t>emploi dans sa globalité et en tenant compte du contexte.  En outre, la jurisprudence européenne sur laquelle se fonde l</w:t>
      </w:r>
      <w:r>
        <w:rPr>
          <w:rFonts w:cs="Times New Roman"/>
          <w:lang w:val="fr-CA"/>
        </w:rPr>
        <w:t>’</w:t>
      </w:r>
      <w:r w:rsidRPr="00A15EB4">
        <w:rPr>
          <w:rFonts w:cs="Times New Roman"/>
          <w:lang w:val="fr-CA"/>
        </w:rPr>
        <w:t xml:space="preserve">intervenante a été établie dans un contexte juridique différent, soit celui de la </w:t>
      </w:r>
      <w:r w:rsidR="00C4087E">
        <w:rPr>
          <w:rFonts w:cs="Times New Roman"/>
          <w:i/>
          <w:lang w:val="fr-CA"/>
        </w:rPr>
        <w:t>Convention de sauvegarde des d</w:t>
      </w:r>
      <w:r w:rsidRPr="00A15EB4">
        <w:rPr>
          <w:rFonts w:cs="Times New Roman"/>
          <w:i/>
          <w:lang w:val="fr-CA"/>
        </w:rPr>
        <w:t>roits de l</w:t>
      </w:r>
      <w:r>
        <w:rPr>
          <w:rFonts w:cs="Times New Roman"/>
          <w:i/>
          <w:lang w:val="fr-CA"/>
        </w:rPr>
        <w:t>’</w:t>
      </w:r>
      <w:r w:rsidR="00C4087E">
        <w:rPr>
          <w:rFonts w:cs="Times New Roman"/>
          <w:i/>
          <w:lang w:val="fr-CA"/>
        </w:rPr>
        <w:t>h</w:t>
      </w:r>
      <w:r w:rsidRPr="00A15EB4">
        <w:rPr>
          <w:rFonts w:cs="Times New Roman"/>
          <w:i/>
          <w:lang w:val="fr-CA"/>
        </w:rPr>
        <w:t xml:space="preserve">omme et des </w:t>
      </w:r>
      <w:r w:rsidR="00C4087E">
        <w:rPr>
          <w:rFonts w:cs="Times New Roman"/>
          <w:i/>
          <w:lang w:val="fr-CA"/>
        </w:rPr>
        <w:t>l</w:t>
      </w:r>
      <w:r w:rsidRPr="00A15EB4">
        <w:rPr>
          <w:rFonts w:cs="Times New Roman"/>
          <w:i/>
          <w:lang w:val="fr-CA"/>
        </w:rPr>
        <w:t>ibertés fondamentales</w:t>
      </w:r>
      <w:r w:rsidRPr="00A15EB4">
        <w:rPr>
          <w:rFonts w:cs="Times New Roman"/>
          <w:lang w:val="fr-CA"/>
        </w:rPr>
        <w:t>, 213 R.T.N.U. 221.</w:t>
      </w:r>
    </w:p>
    <w:p w:rsidR="00102A7D" w:rsidRPr="00A15EB4" w:rsidRDefault="00102A7D" w:rsidP="00102A7D">
      <w:pPr>
        <w:pStyle w:val="ParaNoNdepar-AltN"/>
        <w:rPr>
          <w:rFonts w:cs="Times New Roman"/>
          <w:lang w:val="fr-CA"/>
        </w:rPr>
      </w:pPr>
      <w:r w:rsidRPr="00A15EB4">
        <w:rPr>
          <w:rFonts w:cs="Times New Roman"/>
          <w:lang w:val="fr-CA"/>
        </w:rPr>
        <w:lastRenderedPageBreak/>
        <w:t>Dans le cas de la</w:t>
      </w:r>
      <w:r w:rsidRPr="00A15EB4">
        <w:rPr>
          <w:rFonts w:cs="Times New Roman"/>
          <w:i/>
          <w:lang w:val="fr-CA"/>
        </w:rPr>
        <w:t xml:space="preserve"> Déclaration canadienne des droits</w:t>
      </w:r>
      <w:r w:rsidRPr="00A15EB4">
        <w:rPr>
          <w:rFonts w:cs="Times New Roman"/>
          <w:lang w:val="fr-CA"/>
        </w:rPr>
        <w:t>, le droit reconnu à l</w:t>
      </w:r>
      <w:r>
        <w:rPr>
          <w:rFonts w:cs="Times New Roman"/>
          <w:lang w:val="fr-CA"/>
        </w:rPr>
        <w:t>’</w:t>
      </w:r>
      <w:r w:rsidRPr="00A15EB4">
        <w:rPr>
          <w:rFonts w:cs="Times New Roman"/>
          <w:lang w:val="fr-CA"/>
        </w:rPr>
        <w:t>al. 2</w:t>
      </w:r>
      <w:r w:rsidRPr="00A15EB4">
        <w:rPr>
          <w:rFonts w:cs="Times New Roman"/>
          <w:i/>
          <w:lang w:val="fr-CA"/>
        </w:rPr>
        <w:t>e</w:t>
      </w:r>
      <w:r w:rsidRPr="00A15EB4">
        <w:rPr>
          <w:rFonts w:cs="Times New Roman"/>
          <w:lang w:val="fr-CA"/>
        </w:rPr>
        <w:t>) « à une audition impartiale de sa cause, selon les principes de justice fondamentale, pour la définition de ses droits et obligations », ne crée pas un droit substantiel d</w:t>
      </w:r>
      <w:r>
        <w:rPr>
          <w:rFonts w:cs="Times New Roman"/>
          <w:lang w:val="fr-CA"/>
        </w:rPr>
        <w:t>’</w:t>
      </w:r>
      <w:r w:rsidRPr="00A15EB4">
        <w:rPr>
          <w:rFonts w:cs="Times New Roman"/>
          <w:lang w:val="fr-CA"/>
        </w:rPr>
        <w:t>intenter une action.  Cette disposition prévoit plutôt la tenue d</w:t>
      </w:r>
      <w:r>
        <w:rPr>
          <w:rFonts w:cs="Times New Roman"/>
          <w:lang w:val="fr-CA"/>
        </w:rPr>
        <w:t>’</w:t>
      </w:r>
      <w:r w:rsidRPr="00A15EB4">
        <w:rPr>
          <w:rFonts w:cs="Times New Roman"/>
          <w:lang w:val="fr-CA"/>
        </w:rPr>
        <w:t xml:space="preserve">une audience impartiale si effectivement une audience a lieu.  (Voir aussi </w:t>
      </w:r>
      <w:r w:rsidRPr="00A15EB4">
        <w:rPr>
          <w:rFonts w:cs="Times New Roman"/>
          <w:i/>
          <w:lang w:val="fr-CA"/>
        </w:rPr>
        <w:t>Islamic Republic of Iran c. Hashemi</w:t>
      </w:r>
      <w:r w:rsidRPr="00A15EB4">
        <w:rPr>
          <w:rFonts w:cs="Times New Roman"/>
          <w:lang w:val="fr-CA"/>
        </w:rPr>
        <w:t xml:space="preserve">, 2012 QCCA 1449, [2012] R.J.Q. 1567, par. 109; </w:t>
      </w:r>
      <w:r w:rsidRPr="00A15EB4">
        <w:rPr>
          <w:rFonts w:cs="Times New Roman"/>
          <w:i/>
          <w:lang w:val="fr-CA"/>
        </w:rPr>
        <w:t>Authorson c. Canada (Procureur général)</w:t>
      </w:r>
      <w:r w:rsidRPr="00A15EB4">
        <w:rPr>
          <w:rFonts w:cs="Times New Roman"/>
          <w:lang w:val="fr-CA"/>
        </w:rPr>
        <w:t xml:space="preserve">, 2003 CSC 39, </w:t>
      </w:r>
      <w:r w:rsidR="009F1C06">
        <w:rPr>
          <w:rFonts w:cs="Times New Roman"/>
          <w:lang w:val="fr-CA"/>
        </w:rPr>
        <w:t>[2003] 2 R.C.S. 40, par. 59</w:t>
      </w:r>
      <w:r w:rsidR="009F1C06">
        <w:rPr>
          <w:rFonts w:cs="Times New Roman"/>
          <w:lang w:val="fr-CA"/>
        </w:rPr>
        <w:noBreakHyphen/>
        <w:t>61.)</w:t>
      </w:r>
      <w:r w:rsidRPr="00A15EB4">
        <w:rPr>
          <w:rFonts w:cs="Times New Roman"/>
          <w:lang w:val="fr-CA"/>
        </w:rPr>
        <w:t xml:space="preserve">  L</w:t>
      </w:r>
      <w:r>
        <w:rPr>
          <w:rFonts w:cs="Times New Roman"/>
          <w:lang w:val="fr-CA"/>
        </w:rPr>
        <w:t>’</w:t>
      </w:r>
      <w:r w:rsidRPr="00A15EB4">
        <w:rPr>
          <w:rFonts w:cs="Times New Roman"/>
          <w:lang w:val="fr-CA"/>
        </w:rPr>
        <w:t>alinéa 2</w:t>
      </w:r>
      <w:r w:rsidRPr="00A15EB4">
        <w:rPr>
          <w:rFonts w:cs="Times New Roman"/>
          <w:i/>
          <w:lang w:val="fr-CA"/>
        </w:rPr>
        <w:t>e</w:t>
      </w:r>
      <w:r w:rsidRPr="00A15EB4">
        <w:rPr>
          <w:rFonts w:cs="Times New Roman"/>
          <w:lang w:val="fr-CA"/>
        </w:rPr>
        <w:t>) crée donc un droit procédural, et non un droit substantiel.</w:t>
      </w:r>
    </w:p>
    <w:p w:rsidR="00102A7D" w:rsidRPr="00A15EB4" w:rsidRDefault="00102A7D" w:rsidP="00102A7D">
      <w:pPr>
        <w:pStyle w:val="ParaNoNdepar-AltN"/>
        <w:rPr>
          <w:rFonts w:cs="Times New Roman"/>
          <w:lang w:val="fr-CA"/>
        </w:rPr>
      </w:pPr>
      <w:r w:rsidRPr="00A15EB4">
        <w:rPr>
          <w:rFonts w:cs="Times New Roman"/>
          <w:lang w:val="fr-CA"/>
        </w:rPr>
        <w:t>Il en va de même pour l</w:t>
      </w:r>
      <w:r>
        <w:rPr>
          <w:rFonts w:cs="Times New Roman"/>
          <w:lang w:val="fr-CA"/>
        </w:rPr>
        <w:t>’</w:t>
      </w:r>
      <w:r w:rsidRPr="00A15EB4">
        <w:rPr>
          <w:rFonts w:cs="Times New Roman"/>
          <w:lang w:val="fr-CA"/>
        </w:rPr>
        <w:t>argument de l</w:t>
      </w:r>
      <w:r>
        <w:rPr>
          <w:rFonts w:cs="Times New Roman"/>
          <w:lang w:val="fr-CA"/>
        </w:rPr>
        <w:t>’</w:t>
      </w:r>
      <w:r w:rsidRPr="00A15EB4">
        <w:rPr>
          <w:rFonts w:cs="Times New Roman"/>
          <w:lang w:val="fr-CA"/>
        </w:rPr>
        <w:t>appelant fondé sur l</w:t>
      </w:r>
      <w:r>
        <w:rPr>
          <w:rFonts w:cs="Times New Roman"/>
          <w:lang w:val="fr-CA"/>
        </w:rPr>
        <w:t>’</w:t>
      </w:r>
      <w:r w:rsidRPr="00A15EB4">
        <w:rPr>
          <w:rFonts w:cs="Times New Roman"/>
          <w:lang w:val="fr-CA"/>
        </w:rPr>
        <w:t xml:space="preserve">art. 14 du </w:t>
      </w:r>
      <w:r w:rsidRPr="00A15EB4">
        <w:rPr>
          <w:rFonts w:cs="Times New Roman"/>
          <w:i/>
          <w:lang w:val="fr-CA"/>
        </w:rPr>
        <w:t>PIRDCP</w:t>
      </w:r>
      <w:r w:rsidRPr="00A15EB4">
        <w:rPr>
          <w:rFonts w:cs="Times New Roman"/>
          <w:lang w:val="fr-CA"/>
        </w:rPr>
        <w:t xml:space="preserve">, disposition selon laquelle « [t]oute personne a droit à ce que sa cause soit entendue équitablement et publiquement par un tribunal compétent, indépendant et impartial, </w:t>
      </w:r>
      <w:r w:rsidR="00AC0688" w:rsidRPr="00A15EB4">
        <w:rPr>
          <w:rFonts w:cs="Times New Roman"/>
          <w:lang w:val="fr-CA"/>
        </w:rPr>
        <w:t>établi par la loi</w:t>
      </w:r>
      <w:r w:rsidR="00E72532">
        <w:rPr>
          <w:rFonts w:cs="Times New Roman"/>
          <w:lang w:val="fr-CA"/>
        </w:rPr>
        <w:t>,</w:t>
      </w:r>
      <w:r w:rsidR="00AC0688" w:rsidRPr="00A15EB4">
        <w:rPr>
          <w:rFonts w:cs="Times New Roman"/>
          <w:lang w:val="fr-CA"/>
        </w:rPr>
        <w:t xml:space="preserve"> </w:t>
      </w:r>
      <w:r w:rsidRPr="00A15EB4">
        <w:rPr>
          <w:rFonts w:cs="Times New Roman"/>
          <w:lang w:val="fr-CA"/>
        </w:rPr>
        <w:t>qui décidera soit du bien</w:t>
      </w:r>
      <w:r w:rsidRPr="00A15EB4">
        <w:rPr>
          <w:rFonts w:cs="Times New Roman"/>
          <w:lang w:val="fr-CA"/>
        </w:rPr>
        <w:noBreakHyphen/>
        <w:t>fondé de toute accusation en matière pénale dirigée contre elle, soit des contestations sur ses droits et o</w:t>
      </w:r>
      <w:r w:rsidR="009F1C06">
        <w:rPr>
          <w:rFonts w:cs="Times New Roman"/>
          <w:lang w:val="fr-CA"/>
        </w:rPr>
        <w:t>bligations de caractère civil. »</w:t>
      </w:r>
      <w:r w:rsidRPr="00A15EB4">
        <w:rPr>
          <w:rFonts w:cs="Times New Roman"/>
          <w:lang w:val="fr-CA"/>
        </w:rPr>
        <w:t xml:space="preserve">  Tout comme l</w:t>
      </w:r>
      <w:r>
        <w:rPr>
          <w:rFonts w:cs="Times New Roman"/>
          <w:lang w:val="fr-CA"/>
        </w:rPr>
        <w:t>’</w:t>
      </w:r>
      <w:r w:rsidRPr="00A15EB4">
        <w:rPr>
          <w:rFonts w:cs="Times New Roman"/>
          <w:lang w:val="fr-CA"/>
        </w:rPr>
        <w:t>al. 2</w:t>
      </w:r>
      <w:r w:rsidRPr="00A15EB4">
        <w:rPr>
          <w:rFonts w:cs="Times New Roman"/>
          <w:i/>
          <w:lang w:val="fr-CA"/>
        </w:rPr>
        <w:t>e</w:t>
      </w:r>
      <w:r w:rsidRPr="00A15EB4">
        <w:rPr>
          <w:rFonts w:cs="Times New Roman"/>
          <w:lang w:val="fr-CA"/>
        </w:rPr>
        <w:t xml:space="preserve">) de la </w:t>
      </w:r>
      <w:r w:rsidRPr="00A15EB4">
        <w:rPr>
          <w:rFonts w:cs="Times New Roman"/>
          <w:i/>
          <w:lang w:val="fr-CA"/>
        </w:rPr>
        <w:t>Déclaration canadienne des droits</w:t>
      </w:r>
      <w:r w:rsidRPr="00A15EB4">
        <w:rPr>
          <w:rFonts w:cs="Times New Roman"/>
          <w:lang w:val="fr-CA"/>
        </w:rPr>
        <w:t>, l</w:t>
      </w:r>
      <w:r>
        <w:rPr>
          <w:rFonts w:cs="Times New Roman"/>
          <w:lang w:val="fr-CA"/>
        </w:rPr>
        <w:t>’</w:t>
      </w:r>
      <w:r w:rsidRPr="00A15EB4">
        <w:rPr>
          <w:rFonts w:cs="Times New Roman"/>
          <w:lang w:val="fr-CA"/>
        </w:rPr>
        <w:t xml:space="preserve">art. 14 crée une garantie de nature procédurale.  De plus, dans ses observations relatives au </w:t>
      </w:r>
      <w:r w:rsidRPr="00A15EB4">
        <w:rPr>
          <w:rFonts w:cs="Times New Roman"/>
          <w:i/>
          <w:lang w:val="fr-CA"/>
        </w:rPr>
        <w:t>PIRDCP</w:t>
      </w:r>
      <w:r w:rsidRPr="00A15EB4">
        <w:rPr>
          <w:rFonts w:cs="Times New Roman"/>
          <w:lang w:val="fr-CA"/>
        </w:rPr>
        <w:t>, le Comité des droits de l</w:t>
      </w:r>
      <w:r>
        <w:rPr>
          <w:rFonts w:cs="Times New Roman"/>
          <w:lang w:val="fr-CA"/>
        </w:rPr>
        <w:t>’</w:t>
      </w:r>
      <w:r w:rsidRPr="00A15EB4">
        <w:rPr>
          <w:rFonts w:cs="Times New Roman"/>
          <w:lang w:val="fr-CA"/>
        </w:rPr>
        <w:t>homme des Nations Unies a expliqué qu</w:t>
      </w:r>
      <w:r>
        <w:rPr>
          <w:rFonts w:cs="Times New Roman"/>
          <w:lang w:val="fr-CA"/>
        </w:rPr>
        <w:t>’</w:t>
      </w:r>
      <w:r w:rsidRPr="00A15EB4">
        <w:rPr>
          <w:rFonts w:cs="Times New Roman"/>
          <w:lang w:val="fr-CA"/>
        </w:rPr>
        <w:t>une restriction à ce droit fondée sur une immunité découlant du droit international ne contreviendrait pas à l</w:t>
      </w:r>
      <w:r>
        <w:rPr>
          <w:rFonts w:cs="Times New Roman"/>
          <w:lang w:val="fr-CA"/>
        </w:rPr>
        <w:t>’</w:t>
      </w:r>
      <w:r w:rsidRPr="00A15EB4">
        <w:rPr>
          <w:rFonts w:cs="Times New Roman"/>
          <w:lang w:val="fr-CA"/>
        </w:rPr>
        <w:t xml:space="preserve">art. 14 : </w:t>
      </w:r>
      <w:r w:rsidRPr="00AC0688">
        <w:rPr>
          <w:rFonts w:cs="Times New Roman"/>
          <w:i/>
          <w:lang w:val="fr-CA"/>
        </w:rPr>
        <w:t>Observation générale n</w:t>
      </w:r>
      <w:r w:rsidRPr="00AC0688">
        <w:rPr>
          <w:rFonts w:cs="Times New Roman"/>
          <w:i/>
          <w:vertAlign w:val="superscript"/>
          <w:lang w:val="fr-CA"/>
        </w:rPr>
        <w:t>o</w:t>
      </w:r>
      <w:r w:rsidRPr="00AC0688">
        <w:rPr>
          <w:rFonts w:cs="Times New Roman"/>
          <w:i/>
          <w:lang w:val="fr-CA"/>
        </w:rPr>
        <w:t> 32</w:t>
      </w:r>
      <w:r w:rsidRPr="00A15EB4">
        <w:rPr>
          <w:rFonts w:cs="Times New Roman"/>
          <w:lang w:val="fr-CA"/>
        </w:rPr>
        <w:t xml:space="preserve">, </w:t>
      </w:r>
      <w:r w:rsidRPr="00A15EB4">
        <w:rPr>
          <w:rFonts w:cs="Times New Roman"/>
          <w:i/>
          <w:lang w:val="fr-CA"/>
        </w:rPr>
        <w:t>Article 14</w:t>
      </w:r>
      <w:r w:rsidR="00AC0688">
        <w:rPr>
          <w:rFonts w:cs="Times New Roman"/>
          <w:i/>
          <w:lang w:val="fr-CA"/>
        </w:rPr>
        <w:t>.</w:t>
      </w:r>
      <w:r w:rsidRPr="00A15EB4">
        <w:rPr>
          <w:rFonts w:cs="Times New Roman"/>
          <w:i/>
          <w:lang w:val="fr-CA"/>
        </w:rPr>
        <w:t xml:space="preserve"> Droit à l</w:t>
      </w:r>
      <w:r>
        <w:rPr>
          <w:rFonts w:cs="Times New Roman"/>
          <w:i/>
          <w:lang w:val="fr-CA"/>
        </w:rPr>
        <w:t>’</w:t>
      </w:r>
      <w:r w:rsidRPr="00A15EB4">
        <w:rPr>
          <w:rFonts w:cs="Times New Roman"/>
          <w:i/>
          <w:lang w:val="fr-CA"/>
        </w:rPr>
        <w:t>égalité devant les tribunaux et les cours de justice et à un procès équitable</w:t>
      </w:r>
      <w:r w:rsidRPr="00A15EB4">
        <w:rPr>
          <w:rFonts w:cs="Times New Roman"/>
          <w:lang w:val="fr-CA"/>
        </w:rPr>
        <w:t xml:space="preserve">, </w:t>
      </w:r>
      <w:r w:rsidR="00AC0688">
        <w:rPr>
          <w:rFonts w:cs="Times New Roman"/>
          <w:lang w:val="fr-CA"/>
        </w:rPr>
        <w:t xml:space="preserve">Doc. N.U. </w:t>
      </w:r>
      <w:r w:rsidRPr="00A15EB4">
        <w:rPr>
          <w:rFonts w:cs="Times New Roman"/>
          <w:lang w:val="fr-CA"/>
        </w:rPr>
        <w:t>CCPR/C/GC/32, 23 août 2007, par. 18</w:t>
      </w:r>
      <w:r w:rsidR="00AC0688">
        <w:rPr>
          <w:rFonts w:cs="Times New Roman"/>
          <w:lang w:val="fr-CA"/>
        </w:rPr>
        <w:t>.</w:t>
      </w:r>
    </w:p>
    <w:p w:rsidR="00102A7D" w:rsidRPr="00A15EB4" w:rsidRDefault="00102A7D" w:rsidP="00102A7D">
      <w:pPr>
        <w:pStyle w:val="ParaNoNdepar-AltN"/>
        <w:rPr>
          <w:rFonts w:cs="Times New Roman"/>
          <w:lang w:val="fr-CA"/>
        </w:rPr>
      </w:pPr>
      <w:r w:rsidRPr="00A15EB4">
        <w:rPr>
          <w:rFonts w:cs="Times New Roman"/>
          <w:lang w:val="fr-CA"/>
        </w:rPr>
        <w:lastRenderedPageBreak/>
        <w:t>Il est regrettable que l</w:t>
      </w:r>
      <w:r>
        <w:rPr>
          <w:rFonts w:cs="Times New Roman"/>
          <w:lang w:val="fr-CA"/>
        </w:rPr>
        <w:t>’</w:t>
      </w:r>
      <w:r w:rsidRPr="00A15EB4">
        <w:rPr>
          <w:rFonts w:cs="Times New Roman"/>
          <w:lang w:val="fr-CA"/>
        </w:rPr>
        <w:t>appelant ne puisse pas faire valoir ses moyens devant un tribunal et demander réparation.  Cependant, la nature même de l</w:t>
      </w:r>
      <w:r>
        <w:rPr>
          <w:rFonts w:cs="Times New Roman"/>
          <w:lang w:val="fr-CA"/>
        </w:rPr>
        <w:t>’</w:t>
      </w:r>
      <w:r w:rsidRPr="00A15EB4">
        <w:rPr>
          <w:rFonts w:cs="Times New Roman"/>
          <w:lang w:val="fr-CA"/>
        </w:rPr>
        <w:t>immunité de juridiction soustrait certaines affaires de la compétence des tribunaux de l</w:t>
      </w:r>
      <w:r>
        <w:rPr>
          <w:rFonts w:cs="Times New Roman"/>
          <w:lang w:val="fr-CA"/>
        </w:rPr>
        <w:t>’</w:t>
      </w:r>
      <w:r w:rsidRPr="00A15EB4">
        <w:rPr>
          <w:rFonts w:cs="Times New Roman"/>
          <w:lang w:val="fr-CA"/>
        </w:rPr>
        <w:t>État d</w:t>
      </w:r>
      <w:r>
        <w:rPr>
          <w:rFonts w:cs="Times New Roman"/>
          <w:lang w:val="fr-CA"/>
        </w:rPr>
        <w:t>’</w:t>
      </w:r>
      <w:r w:rsidRPr="00A15EB4">
        <w:rPr>
          <w:rFonts w:cs="Times New Roman"/>
          <w:lang w:val="fr-CA"/>
        </w:rPr>
        <w:t>accueil.  Comme l</w:t>
      </w:r>
      <w:r>
        <w:rPr>
          <w:rFonts w:cs="Times New Roman"/>
          <w:lang w:val="fr-CA"/>
        </w:rPr>
        <w:t>’</w:t>
      </w:r>
      <w:r w:rsidRPr="00A15EB4">
        <w:rPr>
          <w:rFonts w:cs="Times New Roman"/>
          <w:lang w:val="fr-CA"/>
        </w:rPr>
        <w:t xml:space="preserve">a affirmé le juge La Forest dans </w:t>
      </w:r>
      <w:r w:rsidRPr="00A15EB4">
        <w:rPr>
          <w:rFonts w:cs="Times New Roman"/>
          <w:i/>
          <w:lang w:val="fr-CA"/>
        </w:rPr>
        <w:t>Re Code canadien du travail</w:t>
      </w:r>
      <w:r w:rsidRPr="00A15EB4">
        <w:rPr>
          <w:rFonts w:cs="Times New Roman"/>
          <w:lang w:val="fr-CA"/>
        </w:rPr>
        <w:t>, le fait que certaines parties se trouveront dépourvues de tout recours judiciaire est le résultat « inévitabl[e] » de l</w:t>
      </w:r>
      <w:r>
        <w:rPr>
          <w:rFonts w:cs="Times New Roman"/>
          <w:lang w:val="fr-CA"/>
        </w:rPr>
        <w:t>’</w:t>
      </w:r>
      <w:r w:rsidRPr="00A15EB4">
        <w:rPr>
          <w:rFonts w:cs="Times New Roman"/>
          <w:lang w:val="fr-CA"/>
        </w:rPr>
        <w:t>octroi de l</w:t>
      </w:r>
      <w:r>
        <w:rPr>
          <w:rFonts w:cs="Times New Roman"/>
          <w:lang w:val="fr-CA"/>
        </w:rPr>
        <w:t>’</w:t>
      </w:r>
      <w:r w:rsidRPr="00A15EB4">
        <w:rPr>
          <w:rFonts w:cs="Times New Roman"/>
          <w:lang w:val="fr-CA"/>
        </w:rPr>
        <w:t>immunité de juridiction et constitue un « choix de principe implicite » dans la loi</w:t>
      </w:r>
      <w:r w:rsidR="00AC0688">
        <w:rPr>
          <w:rFonts w:cs="Times New Roman"/>
          <w:lang w:val="fr-CA"/>
        </w:rPr>
        <w:t> :</w:t>
      </w:r>
      <w:r w:rsidRPr="00A15EB4">
        <w:rPr>
          <w:rFonts w:cs="Times New Roman"/>
          <w:lang w:val="fr-CA"/>
        </w:rPr>
        <w:t xml:space="preserve"> p. 91.  Il en est de même en l</w:t>
      </w:r>
      <w:r>
        <w:rPr>
          <w:rFonts w:cs="Times New Roman"/>
          <w:lang w:val="fr-CA"/>
        </w:rPr>
        <w:t>’</w:t>
      </w:r>
      <w:r w:rsidRPr="00A15EB4">
        <w:rPr>
          <w:rFonts w:cs="Times New Roman"/>
          <w:lang w:val="fr-CA"/>
        </w:rPr>
        <w:t>espèce.</w:t>
      </w:r>
    </w:p>
    <w:p w:rsidR="00102A7D" w:rsidRPr="00A15EB4" w:rsidRDefault="00102A7D" w:rsidP="00102A7D">
      <w:pPr>
        <w:pStyle w:val="TitleTitre-AltT"/>
        <w:keepNext/>
        <w:rPr>
          <w:rFonts w:cs="Times New Roman"/>
          <w:lang w:val="fr-CA"/>
        </w:rPr>
      </w:pPr>
      <w:r w:rsidRPr="00A15EB4">
        <w:rPr>
          <w:rFonts w:cs="Times New Roman"/>
          <w:lang w:val="fr-CA"/>
        </w:rPr>
        <w:t>F.</w:t>
      </w:r>
      <w:r w:rsidRPr="00A15EB4">
        <w:rPr>
          <w:rFonts w:cs="Times New Roman"/>
          <w:lang w:val="fr-CA"/>
        </w:rPr>
        <w:tab/>
      </w:r>
      <w:r w:rsidRPr="00A15EB4">
        <w:rPr>
          <w:rFonts w:cs="Times New Roman"/>
          <w:i/>
          <w:lang w:val="fr-CA"/>
        </w:rPr>
        <w:t>Indemnité de cessation d</w:t>
      </w:r>
      <w:r>
        <w:rPr>
          <w:rFonts w:cs="Times New Roman"/>
          <w:i/>
          <w:lang w:val="fr-CA"/>
        </w:rPr>
        <w:t>’</w:t>
      </w:r>
      <w:r w:rsidRPr="00A15EB4">
        <w:rPr>
          <w:rFonts w:cs="Times New Roman"/>
          <w:i/>
          <w:lang w:val="fr-CA"/>
        </w:rPr>
        <w:t>emploi réclamée par l</w:t>
      </w:r>
      <w:r>
        <w:rPr>
          <w:rFonts w:cs="Times New Roman"/>
          <w:i/>
          <w:lang w:val="fr-CA"/>
        </w:rPr>
        <w:t>’</w:t>
      </w:r>
      <w:r w:rsidRPr="00A15EB4">
        <w:rPr>
          <w:rFonts w:cs="Times New Roman"/>
          <w:i/>
          <w:lang w:val="fr-CA"/>
        </w:rPr>
        <w:t>appelant</w:t>
      </w:r>
    </w:p>
    <w:p w:rsidR="00102A7D" w:rsidRPr="00A15EB4" w:rsidRDefault="00102A7D" w:rsidP="00102A7D">
      <w:pPr>
        <w:pStyle w:val="ParaNoNdepar-AltN"/>
        <w:rPr>
          <w:rFonts w:cs="Times New Roman"/>
          <w:lang w:val="fr-CA"/>
        </w:rPr>
      </w:pPr>
      <w:r w:rsidRPr="00A15EB4">
        <w:rPr>
          <w:rFonts w:cs="Times New Roman"/>
          <w:lang w:val="fr-CA"/>
        </w:rPr>
        <w:t>Par ailleurs, l</w:t>
      </w:r>
      <w:r>
        <w:rPr>
          <w:rFonts w:cs="Times New Roman"/>
          <w:lang w:val="fr-CA"/>
        </w:rPr>
        <w:t>’</w:t>
      </w:r>
      <w:r w:rsidRPr="00A15EB4">
        <w:rPr>
          <w:rFonts w:cs="Times New Roman"/>
          <w:lang w:val="fr-CA"/>
        </w:rPr>
        <w:t>appelant réclame également le reste de l</w:t>
      </w:r>
      <w:r>
        <w:rPr>
          <w:rFonts w:cs="Times New Roman"/>
          <w:lang w:val="fr-CA"/>
        </w:rPr>
        <w:t>’</w:t>
      </w:r>
      <w:r w:rsidRPr="00A15EB4">
        <w:rPr>
          <w:rFonts w:cs="Times New Roman"/>
          <w:lang w:val="fr-CA"/>
        </w:rPr>
        <w:t>indemnité de 50 000 $ payable pour la cessation d</w:t>
      </w:r>
      <w:r>
        <w:rPr>
          <w:rFonts w:cs="Times New Roman"/>
          <w:lang w:val="fr-CA"/>
        </w:rPr>
        <w:t>’</w:t>
      </w:r>
      <w:r w:rsidRPr="00A15EB4">
        <w:rPr>
          <w:rFonts w:cs="Times New Roman"/>
          <w:lang w:val="fr-CA"/>
        </w:rPr>
        <w:t>emploi.  Bien qu</w:t>
      </w:r>
      <w:r>
        <w:rPr>
          <w:rFonts w:cs="Times New Roman"/>
          <w:lang w:val="fr-CA"/>
        </w:rPr>
        <w:t>’</w:t>
      </w:r>
      <w:r w:rsidRPr="00A15EB4">
        <w:rPr>
          <w:rFonts w:cs="Times New Roman"/>
          <w:lang w:val="fr-CA"/>
        </w:rPr>
        <w:t>elle n</w:t>
      </w:r>
      <w:r>
        <w:rPr>
          <w:rFonts w:cs="Times New Roman"/>
          <w:lang w:val="fr-CA"/>
        </w:rPr>
        <w:t>’</w:t>
      </w:r>
      <w:r w:rsidRPr="00A15EB4">
        <w:rPr>
          <w:rFonts w:cs="Times New Roman"/>
          <w:lang w:val="fr-CA"/>
        </w:rPr>
        <w:t>ait pas répondu directement à la question, la Cour d</w:t>
      </w:r>
      <w:r>
        <w:rPr>
          <w:rFonts w:cs="Times New Roman"/>
          <w:lang w:val="fr-CA"/>
        </w:rPr>
        <w:t>’</w:t>
      </w:r>
      <w:r w:rsidRPr="00A15EB4">
        <w:rPr>
          <w:rFonts w:cs="Times New Roman"/>
          <w:lang w:val="fr-CA"/>
        </w:rPr>
        <w:t>appel a conclu que l</w:t>
      </w:r>
      <w:r>
        <w:rPr>
          <w:rFonts w:cs="Times New Roman"/>
          <w:lang w:val="fr-CA"/>
        </w:rPr>
        <w:t>’</w:t>
      </w:r>
      <w:r w:rsidRPr="00A15EB4">
        <w:rPr>
          <w:rFonts w:cs="Times New Roman"/>
          <w:lang w:val="fr-CA"/>
        </w:rPr>
        <w:t>OPANO bénéficie de l</w:t>
      </w:r>
      <w:r>
        <w:rPr>
          <w:rFonts w:cs="Times New Roman"/>
          <w:lang w:val="fr-CA"/>
        </w:rPr>
        <w:t>’</w:t>
      </w:r>
      <w:r w:rsidRPr="00A15EB4">
        <w:rPr>
          <w:rFonts w:cs="Times New Roman"/>
          <w:lang w:val="fr-CA"/>
        </w:rPr>
        <w:t>immunité de juridiction contre toutes les réclamations présentées par l</w:t>
      </w:r>
      <w:r>
        <w:rPr>
          <w:rFonts w:cs="Times New Roman"/>
          <w:lang w:val="fr-CA"/>
        </w:rPr>
        <w:t>’</w:t>
      </w:r>
      <w:r w:rsidRPr="00A15EB4">
        <w:rPr>
          <w:rFonts w:cs="Times New Roman"/>
          <w:lang w:val="fr-CA"/>
        </w:rPr>
        <w:t>appelant.  Selon l</w:t>
      </w:r>
      <w:r>
        <w:rPr>
          <w:rFonts w:cs="Times New Roman"/>
          <w:lang w:val="fr-CA"/>
        </w:rPr>
        <w:t>’</w:t>
      </w:r>
      <w:r w:rsidRPr="00A15EB4">
        <w:rPr>
          <w:rFonts w:cs="Times New Roman"/>
          <w:lang w:val="fr-CA"/>
        </w:rPr>
        <w:t>OPANO, vu que l</w:t>
      </w:r>
      <w:r>
        <w:rPr>
          <w:rFonts w:cs="Times New Roman"/>
          <w:lang w:val="fr-CA"/>
        </w:rPr>
        <w:t>’</w:t>
      </w:r>
      <w:r w:rsidRPr="00A15EB4">
        <w:rPr>
          <w:rFonts w:cs="Times New Roman"/>
          <w:lang w:val="fr-CA"/>
        </w:rPr>
        <w:t>appelant, dans sa déclaration, lie inextricablement ses attaques contre le mode de gestion de l</w:t>
      </w:r>
      <w:r>
        <w:rPr>
          <w:rFonts w:cs="Times New Roman"/>
          <w:lang w:val="fr-CA"/>
        </w:rPr>
        <w:t>’</w:t>
      </w:r>
      <w:r w:rsidRPr="00A15EB4">
        <w:rPr>
          <w:rFonts w:cs="Times New Roman"/>
          <w:lang w:val="fr-CA"/>
        </w:rPr>
        <w:t xml:space="preserve">OPANO </w:t>
      </w:r>
      <w:r w:rsidR="00C0045F">
        <w:rPr>
          <w:rFonts w:cs="Times New Roman"/>
          <w:lang w:val="fr-CA"/>
        </w:rPr>
        <w:t>au</w:t>
      </w:r>
      <w:r w:rsidRPr="00A15EB4">
        <w:rPr>
          <w:rFonts w:cs="Times New Roman"/>
          <w:lang w:val="fr-CA"/>
        </w:rPr>
        <w:t xml:space="preserve"> défaut</w:t>
      </w:r>
      <w:r w:rsidR="00C0045F">
        <w:rPr>
          <w:rFonts w:cs="Times New Roman"/>
          <w:lang w:val="fr-CA"/>
        </w:rPr>
        <w:t xml:space="preserve"> de cette dernière</w:t>
      </w:r>
      <w:r w:rsidRPr="00A15EB4">
        <w:rPr>
          <w:rFonts w:cs="Times New Roman"/>
          <w:lang w:val="fr-CA"/>
        </w:rPr>
        <w:t xml:space="preserve"> d</w:t>
      </w:r>
      <w:r>
        <w:rPr>
          <w:rFonts w:cs="Times New Roman"/>
          <w:lang w:val="fr-CA"/>
        </w:rPr>
        <w:t>’</w:t>
      </w:r>
      <w:r w:rsidRPr="00A15EB4">
        <w:rPr>
          <w:rFonts w:cs="Times New Roman"/>
          <w:lang w:val="fr-CA"/>
        </w:rPr>
        <w:t>effectuer le deuxième versement de l</w:t>
      </w:r>
      <w:r>
        <w:rPr>
          <w:rFonts w:cs="Times New Roman"/>
          <w:lang w:val="fr-CA"/>
        </w:rPr>
        <w:t>’</w:t>
      </w:r>
      <w:r w:rsidRPr="00A15EB4">
        <w:rPr>
          <w:rFonts w:cs="Times New Roman"/>
          <w:lang w:val="fr-CA"/>
        </w:rPr>
        <w:t>indemnité de cessation d</w:t>
      </w:r>
      <w:r>
        <w:rPr>
          <w:rFonts w:cs="Times New Roman"/>
          <w:lang w:val="fr-CA"/>
        </w:rPr>
        <w:t>’</w:t>
      </w:r>
      <w:r w:rsidRPr="00A15EB4">
        <w:rPr>
          <w:rFonts w:cs="Times New Roman"/>
          <w:lang w:val="fr-CA"/>
        </w:rPr>
        <w:t>emploi, l</w:t>
      </w:r>
      <w:r>
        <w:rPr>
          <w:rFonts w:cs="Times New Roman"/>
          <w:lang w:val="fr-CA"/>
        </w:rPr>
        <w:t>’</w:t>
      </w:r>
      <w:r w:rsidRPr="00A15EB4">
        <w:rPr>
          <w:rFonts w:cs="Times New Roman"/>
          <w:lang w:val="fr-CA"/>
        </w:rPr>
        <w:t>immunité de juridiction s</w:t>
      </w:r>
      <w:r>
        <w:rPr>
          <w:rFonts w:cs="Times New Roman"/>
          <w:lang w:val="fr-CA"/>
        </w:rPr>
        <w:t>’</w:t>
      </w:r>
      <w:r w:rsidRPr="00A15EB4">
        <w:rPr>
          <w:rFonts w:cs="Times New Roman"/>
          <w:lang w:val="fr-CA"/>
        </w:rPr>
        <w:t>applique également à cette réclamation.  À mon avis, cette position est intenable.</w:t>
      </w:r>
    </w:p>
    <w:p w:rsidR="00102A7D" w:rsidRPr="00A15EB4" w:rsidRDefault="00102A7D" w:rsidP="00102A7D">
      <w:pPr>
        <w:pStyle w:val="ParaNoNdepar-AltN"/>
        <w:rPr>
          <w:rFonts w:cs="Times New Roman"/>
          <w:lang w:val="fr-CA"/>
        </w:rPr>
      </w:pPr>
      <w:r w:rsidRPr="00A15EB4">
        <w:rPr>
          <w:rFonts w:cs="Times New Roman"/>
          <w:lang w:val="fr-CA"/>
        </w:rPr>
        <w:t>Premièrement, cette réclamation concerne uniquement l</w:t>
      </w:r>
      <w:r>
        <w:rPr>
          <w:rFonts w:cs="Times New Roman"/>
          <w:lang w:val="fr-CA"/>
        </w:rPr>
        <w:t>’</w:t>
      </w:r>
      <w:r w:rsidR="009F1C06">
        <w:rPr>
          <w:rFonts w:cs="Times New Roman"/>
          <w:lang w:val="fr-CA"/>
        </w:rPr>
        <w:t>art. 10.4 du r</w:t>
      </w:r>
      <w:r w:rsidRPr="00A15EB4">
        <w:rPr>
          <w:rFonts w:cs="Times New Roman"/>
          <w:lang w:val="fr-CA"/>
        </w:rPr>
        <w:t>èglement régissant le personnel de l</w:t>
      </w:r>
      <w:r>
        <w:rPr>
          <w:rFonts w:cs="Times New Roman"/>
          <w:lang w:val="fr-CA"/>
        </w:rPr>
        <w:t>’</w:t>
      </w:r>
      <w:r w:rsidRPr="00A15EB4">
        <w:rPr>
          <w:rFonts w:cs="Times New Roman"/>
          <w:lang w:val="fr-CA"/>
        </w:rPr>
        <w:t>OPANO, selon lequel une indemnité de cessation d</w:t>
      </w:r>
      <w:r>
        <w:rPr>
          <w:rFonts w:cs="Times New Roman"/>
          <w:lang w:val="fr-CA"/>
        </w:rPr>
        <w:t>’</w:t>
      </w:r>
      <w:r w:rsidRPr="00A15EB4">
        <w:rPr>
          <w:rFonts w:cs="Times New Roman"/>
          <w:lang w:val="fr-CA"/>
        </w:rPr>
        <w:t>emploi doit être payée à tout employé quittant son emploi, indépendamment des motifs de son dép</w:t>
      </w:r>
      <w:r>
        <w:rPr>
          <w:rFonts w:cs="Times New Roman"/>
          <w:lang w:val="fr-CA"/>
        </w:rPr>
        <w:t xml:space="preserve">art. </w:t>
      </w:r>
      <w:r w:rsidRPr="00A15EB4">
        <w:rPr>
          <w:rFonts w:cs="Times New Roman"/>
          <w:lang w:val="fr-CA"/>
        </w:rPr>
        <w:t xml:space="preserve"> Appliquer l</w:t>
      </w:r>
      <w:r>
        <w:rPr>
          <w:rFonts w:cs="Times New Roman"/>
          <w:lang w:val="fr-CA"/>
        </w:rPr>
        <w:t>’</w:t>
      </w:r>
      <w:r w:rsidRPr="00A15EB4">
        <w:rPr>
          <w:rFonts w:cs="Times New Roman"/>
          <w:lang w:val="fr-CA"/>
        </w:rPr>
        <w:t xml:space="preserve">art. 10.4 ne reviendrait pas à </w:t>
      </w:r>
      <w:r w:rsidRPr="00A15EB4">
        <w:rPr>
          <w:rFonts w:cs="Times New Roman"/>
          <w:lang w:val="fr-CA"/>
        </w:rPr>
        <w:lastRenderedPageBreak/>
        <w:t>assujettir les opérations de gestion de l</w:t>
      </w:r>
      <w:r>
        <w:rPr>
          <w:rFonts w:cs="Times New Roman"/>
          <w:lang w:val="fr-CA"/>
        </w:rPr>
        <w:t>’</w:t>
      </w:r>
      <w:r w:rsidRPr="00A15EB4">
        <w:rPr>
          <w:rFonts w:cs="Times New Roman"/>
          <w:lang w:val="fr-CA"/>
        </w:rPr>
        <w:t>OPANO à la surveillance des tribunaux canadiens.  La réclamation relative à l</w:t>
      </w:r>
      <w:r>
        <w:rPr>
          <w:rFonts w:cs="Times New Roman"/>
          <w:lang w:val="fr-CA"/>
        </w:rPr>
        <w:t>’</w:t>
      </w:r>
      <w:r w:rsidRPr="00A15EB4">
        <w:rPr>
          <w:rFonts w:cs="Times New Roman"/>
          <w:lang w:val="fr-CA"/>
        </w:rPr>
        <w:t>indemnité de cessation d</w:t>
      </w:r>
      <w:r>
        <w:rPr>
          <w:rFonts w:cs="Times New Roman"/>
          <w:lang w:val="fr-CA"/>
        </w:rPr>
        <w:t>’</w:t>
      </w:r>
      <w:r w:rsidRPr="00A15EB4">
        <w:rPr>
          <w:rFonts w:cs="Times New Roman"/>
          <w:lang w:val="fr-CA"/>
        </w:rPr>
        <w:t>emploi ne porterait nullement atteinte à l</w:t>
      </w:r>
      <w:r>
        <w:rPr>
          <w:rFonts w:cs="Times New Roman"/>
          <w:lang w:val="fr-CA"/>
        </w:rPr>
        <w:t>’</w:t>
      </w:r>
      <w:r w:rsidRPr="00A15EB4">
        <w:rPr>
          <w:rFonts w:cs="Times New Roman"/>
          <w:lang w:val="fr-CA"/>
        </w:rPr>
        <w:t>exercice des fonctions de l</w:t>
      </w:r>
      <w:r>
        <w:rPr>
          <w:rFonts w:cs="Times New Roman"/>
          <w:lang w:val="fr-CA"/>
        </w:rPr>
        <w:t>’</w:t>
      </w:r>
      <w:r w:rsidRPr="00A15EB4">
        <w:rPr>
          <w:rFonts w:cs="Times New Roman"/>
          <w:lang w:val="fr-CA"/>
        </w:rPr>
        <w:t>OPANO.</w:t>
      </w:r>
    </w:p>
    <w:p w:rsidR="00102A7D" w:rsidRPr="00A15EB4" w:rsidRDefault="00102A7D" w:rsidP="00102A7D">
      <w:pPr>
        <w:pStyle w:val="ParaNoNdepar-AltN"/>
        <w:rPr>
          <w:rFonts w:cs="Times New Roman"/>
          <w:lang w:val="fr-CA"/>
        </w:rPr>
      </w:pPr>
      <w:r w:rsidRPr="00A15EB4">
        <w:rPr>
          <w:rFonts w:cs="Times New Roman"/>
          <w:lang w:val="fr-CA"/>
        </w:rPr>
        <w:t>Deuxièmement, le fait que l</w:t>
      </w:r>
      <w:r>
        <w:rPr>
          <w:rFonts w:cs="Times New Roman"/>
          <w:lang w:val="fr-CA"/>
        </w:rPr>
        <w:t>’</w:t>
      </w:r>
      <w:r w:rsidRPr="00A15EB4">
        <w:rPr>
          <w:rFonts w:cs="Times New Roman"/>
          <w:lang w:val="fr-CA"/>
        </w:rPr>
        <w:t>OPANO reconnaisse à l</w:t>
      </w:r>
      <w:r>
        <w:rPr>
          <w:rFonts w:cs="Times New Roman"/>
          <w:lang w:val="fr-CA"/>
        </w:rPr>
        <w:t>’</w:t>
      </w:r>
      <w:r w:rsidRPr="00A15EB4">
        <w:rPr>
          <w:rFonts w:cs="Times New Roman"/>
          <w:lang w:val="fr-CA"/>
        </w:rPr>
        <w:t>appelant le droit à une indemnité de cessation d</w:t>
      </w:r>
      <w:r>
        <w:rPr>
          <w:rFonts w:cs="Times New Roman"/>
          <w:lang w:val="fr-CA"/>
        </w:rPr>
        <w:t>’</w:t>
      </w:r>
      <w:r w:rsidR="00F34215">
        <w:rPr>
          <w:rFonts w:cs="Times New Roman"/>
          <w:lang w:val="fr-CA"/>
        </w:rPr>
        <w:t>emploi en application du r</w:t>
      </w:r>
      <w:r w:rsidRPr="00A15EB4">
        <w:rPr>
          <w:rFonts w:cs="Times New Roman"/>
          <w:lang w:val="fr-CA"/>
        </w:rPr>
        <w:t xml:space="preserve">èglement régissant le personnel et concède que </w:t>
      </w:r>
      <w:r w:rsidR="00F34215">
        <w:rPr>
          <w:rFonts w:cs="Times New Roman"/>
          <w:lang w:val="fr-CA"/>
        </w:rPr>
        <w:t xml:space="preserve">le </w:t>
      </w:r>
      <w:r w:rsidRPr="00A15EB4">
        <w:rPr>
          <w:rFonts w:cs="Times New Roman"/>
          <w:lang w:val="fr-CA"/>
        </w:rPr>
        <w:t>[</w:t>
      </w:r>
      <w:r w:rsidRPr="00A15EB4">
        <w:rPr>
          <w:rFonts w:cs="Times New Roman"/>
          <w:smallCaps/>
          <w:lang w:val="fr-CA"/>
        </w:rPr>
        <w:t>traduction</w:t>
      </w:r>
      <w:r w:rsidRPr="00A15EB4">
        <w:rPr>
          <w:rFonts w:cs="Times New Roman"/>
          <w:lang w:val="fr-CA"/>
        </w:rPr>
        <w:t>] « Décret sur l</w:t>
      </w:r>
      <w:r>
        <w:rPr>
          <w:rFonts w:cs="Times New Roman"/>
          <w:lang w:val="fr-CA"/>
        </w:rPr>
        <w:t>’</w:t>
      </w:r>
      <w:r w:rsidRPr="00A15EB4">
        <w:rPr>
          <w:rFonts w:cs="Times New Roman"/>
          <w:lang w:val="fr-CA"/>
        </w:rPr>
        <w:t>immunité ne met pas l</w:t>
      </w:r>
      <w:r>
        <w:rPr>
          <w:rFonts w:cs="Times New Roman"/>
          <w:lang w:val="fr-CA"/>
        </w:rPr>
        <w:t>’</w:t>
      </w:r>
      <w:r w:rsidRPr="00A15EB4">
        <w:rPr>
          <w:rFonts w:cs="Times New Roman"/>
          <w:lang w:val="fr-CA"/>
        </w:rPr>
        <w:t>OPANO à l</w:t>
      </w:r>
      <w:r>
        <w:rPr>
          <w:rFonts w:cs="Times New Roman"/>
          <w:lang w:val="fr-CA"/>
        </w:rPr>
        <w:t>’</w:t>
      </w:r>
      <w:r w:rsidRPr="00A15EB4">
        <w:rPr>
          <w:rFonts w:cs="Times New Roman"/>
          <w:lang w:val="fr-CA"/>
        </w:rPr>
        <w:t>abri d</w:t>
      </w:r>
      <w:r>
        <w:rPr>
          <w:rFonts w:cs="Times New Roman"/>
          <w:lang w:val="fr-CA"/>
        </w:rPr>
        <w:t>’</w:t>
      </w:r>
      <w:r w:rsidRPr="00A15EB4">
        <w:rPr>
          <w:rFonts w:cs="Times New Roman"/>
          <w:lang w:val="fr-CA"/>
        </w:rPr>
        <w:t>une poursuite visant uniquement à obtenir le paieme</w:t>
      </w:r>
      <w:r w:rsidR="00F34215">
        <w:rPr>
          <w:rFonts w:cs="Times New Roman"/>
          <w:lang w:val="fr-CA"/>
        </w:rPr>
        <w:t>nt de montants dus au titre du r</w:t>
      </w:r>
      <w:r w:rsidRPr="00A15EB4">
        <w:rPr>
          <w:rFonts w:cs="Times New Roman"/>
          <w:lang w:val="fr-CA"/>
        </w:rPr>
        <w:t>èglement régissant le personnel de cette organisation » simplifie encore davantage la résolution de cette question : m.i., par. 57; voir aussi par. 93.</w:t>
      </w:r>
    </w:p>
    <w:p w:rsidR="00102A7D" w:rsidRPr="00A15EB4" w:rsidRDefault="00102A7D" w:rsidP="00102A7D">
      <w:pPr>
        <w:pStyle w:val="ParaNoNdepar-AltN"/>
        <w:rPr>
          <w:rFonts w:cs="Times New Roman"/>
          <w:lang w:val="fr-CA"/>
        </w:rPr>
      </w:pPr>
      <w:r w:rsidRPr="00A15EB4">
        <w:rPr>
          <w:rFonts w:cs="Times New Roman"/>
          <w:lang w:val="fr-CA"/>
        </w:rPr>
        <w:t xml:space="preserve">En somme, aucune raison valable ne permet de conclure que le par. 3(1)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xml:space="preserve"> s</w:t>
      </w:r>
      <w:r>
        <w:rPr>
          <w:rFonts w:cs="Times New Roman"/>
          <w:lang w:val="fr-CA"/>
        </w:rPr>
        <w:t>’</w:t>
      </w:r>
      <w:r w:rsidRPr="00A15EB4">
        <w:rPr>
          <w:rFonts w:cs="Times New Roman"/>
          <w:lang w:val="fr-CA"/>
        </w:rPr>
        <w:t>applique à la réclamation de l</w:t>
      </w:r>
      <w:r>
        <w:rPr>
          <w:rFonts w:cs="Times New Roman"/>
          <w:lang w:val="fr-CA"/>
        </w:rPr>
        <w:t>’</w:t>
      </w:r>
      <w:r w:rsidRPr="00A15EB4">
        <w:rPr>
          <w:rFonts w:cs="Times New Roman"/>
          <w:lang w:val="fr-CA"/>
        </w:rPr>
        <w:t>appelant relative à l</w:t>
      </w:r>
      <w:r>
        <w:rPr>
          <w:rFonts w:cs="Times New Roman"/>
          <w:lang w:val="fr-CA"/>
        </w:rPr>
        <w:t>’</w:t>
      </w:r>
      <w:r w:rsidRPr="00A15EB4">
        <w:rPr>
          <w:rFonts w:cs="Times New Roman"/>
          <w:lang w:val="fr-CA"/>
        </w:rPr>
        <w:t>indemnité de cessation d</w:t>
      </w:r>
      <w:r>
        <w:rPr>
          <w:rFonts w:cs="Times New Roman"/>
          <w:lang w:val="fr-CA"/>
        </w:rPr>
        <w:t>’</w:t>
      </w:r>
      <w:r w:rsidRPr="00A15EB4">
        <w:rPr>
          <w:rFonts w:cs="Times New Roman"/>
          <w:lang w:val="fr-CA"/>
        </w:rPr>
        <w:t>emploi.  Cette réclamation devrait pouvoir suivre son cours.</w:t>
      </w:r>
    </w:p>
    <w:p w:rsidR="00102A7D" w:rsidRPr="00A15EB4" w:rsidRDefault="00102A7D" w:rsidP="00102A7D">
      <w:pPr>
        <w:pStyle w:val="TitleTitre-AltT"/>
        <w:keepNext/>
        <w:rPr>
          <w:rFonts w:cs="Times New Roman"/>
          <w:u w:val="single"/>
          <w:lang w:val="fr-CA"/>
        </w:rPr>
      </w:pPr>
      <w:r w:rsidRPr="00A15EB4">
        <w:rPr>
          <w:rFonts w:cs="Times New Roman"/>
          <w:lang w:val="fr-CA"/>
        </w:rPr>
        <w:t>V.</w:t>
      </w:r>
      <w:r w:rsidRPr="00A15EB4">
        <w:rPr>
          <w:rFonts w:cs="Times New Roman"/>
          <w:lang w:val="fr-CA"/>
        </w:rPr>
        <w:tab/>
      </w:r>
      <w:r w:rsidRPr="00A15EB4">
        <w:rPr>
          <w:rFonts w:cs="Times New Roman"/>
          <w:u w:val="single"/>
          <w:lang w:val="fr-CA"/>
        </w:rPr>
        <w:t>Conclusion</w:t>
      </w:r>
    </w:p>
    <w:p w:rsidR="00102A7D" w:rsidRPr="00A15EB4" w:rsidRDefault="00102A7D" w:rsidP="00102A7D">
      <w:pPr>
        <w:pStyle w:val="ParaNoNdepar-AltN"/>
        <w:rPr>
          <w:rFonts w:cs="Times New Roman"/>
          <w:lang w:val="fr-CA"/>
        </w:rPr>
      </w:pPr>
      <w:r w:rsidRPr="00A15EB4">
        <w:rPr>
          <w:rFonts w:cs="Times New Roman"/>
          <w:lang w:val="fr-CA"/>
        </w:rPr>
        <w:t xml:space="preserve">Je conclus que, conformément au par. 3(1) du </w:t>
      </w:r>
      <w:r w:rsidRPr="00A15EB4">
        <w:rPr>
          <w:rFonts w:cs="Times New Roman"/>
          <w:i/>
          <w:lang w:val="fr-CA"/>
        </w:rPr>
        <w:t>Décret sur l</w:t>
      </w:r>
      <w:r>
        <w:rPr>
          <w:rFonts w:cs="Times New Roman"/>
          <w:i/>
          <w:lang w:val="fr-CA"/>
        </w:rPr>
        <w:t>’</w:t>
      </w:r>
      <w:r w:rsidRPr="00A15EB4">
        <w:rPr>
          <w:rFonts w:cs="Times New Roman"/>
          <w:i/>
          <w:lang w:val="fr-CA"/>
        </w:rPr>
        <w:t>immunité de l</w:t>
      </w:r>
      <w:r>
        <w:rPr>
          <w:rFonts w:cs="Times New Roman"/>
          <w:i/>
          <w:lang w:val="fr-CA"/>
        </w:rPr>
        <w:t>’</w:t>
      </w:r>
      <w:r w:rsidRPr="00A15EB4">
        <w:rPr>
          <w:rFonts w:cs="Times New Roman"/>
          <w:i/>
          <w:lang w:val="fr-CA"/>
        </w:rPr>
        <w:t>OPANO</w:t>
      </w:r>
      <w:r w:rsidRPr="00A15EB4">
        <w:rPr>
          <w:rFonts w:cs="Times New Roman"/>
          <w:lang w:val="fr-CA"/>
        </w:rPr>
        <w:t>, l</w:t>
      </w:r>
      <w:r>
        <w:rPr>
          <w:rFonts w:cs="Times New Roman"/>
          <w:lang w:val="fr-CA"/>
        </w:rPr>
        <w:t>’</w:t>
      </w:r>
      <w:r w:rsidRPr="00A15EB4">
        <w:rPr>
          <w:rFonts w:cs="Times New Roman"/>
          <w:lang w:val="fr-CA"/>
        </w:rPr>
        <w:t>OPANO bénéficie de l</w:t>
      </w:r>
      <w:r>
        <w:rPr>
          <w:rFonts w:cs="Times New Roman"/>
          <w:lang w:val="fr-CA"/>
        </w:rPr>
        <w:t>’</w:t>
      </w:r>
      <w:r w:rsidRPr="00A15EB4">
        <w:rPr>
          <w:rFonts w:cs="Times New Roman"/>
          <w:lang w:val="fr-CA"/>
        </w:rPr>
        <w:t>immunité de juridiction à l</w:t>
      </w:r>
      <w:r>
        <w:rPr>
          <w:rFonts w:cs="Times New Roman"/>
          <w:lang w:val="fr-CA"/>
        </w:rPr>
        <w:t>’</w:t>
      </w:r>
      <w:r w:rsidRPr="00A15EB4">
        <w:rPr>
          <w:rFonts w:cs="Times New Roman"/>
          <w:lang w:val="fr-CA"/>
        </w:rPr>
        <w:t>égard des réclamations de l</w:t>
      </w:r>
      <w:r>
        <w:rPr>
          <w:rFonts w:cs="Times New Roman"/>
          <w:lang w:val="fr-CA"/>
        </w:rPr>
        <w:t>’</w:t>
      </w:r>
      <w:r w:rsidRPr="00A15EB4">
        <w:rPr>
          <w:rFonts w:cs="Times New Roman"/>
          <w:lang w:val="fr-CA"/>
        </w:rPr>
        <w:t>appelant, sauf en ce qui concerne la réclamation relative au paiement de l</w:t>
      </w:r>
      <w:r>
        <w:rPr>
          <w:rFonts w:cs="Times New Roman"/>
          <w:lang w:val="fr-CA"/>
        </w:rPr>
        <w:t>’</w:t>
      </w:r>
      <w:r w:rsidRPr="00A15EB4">
        <w:rPr>
          <w:rFonts w:cs="Times New Roman"/>
          <w:lang w:val="fr-CA"/>
        </w:rPr>
        <w:t>indemnité de cessation d</w:t>
      </w:r>
      <w:r>
        <w:rPr>
          <w:rFonts w:cs="Times New Roman"/>
          <w:lang w:val="fr-CA"/>
        </w:rPr>
        <w:t>’</w:t>
      </w:r>
      <w:r w:rsidRPr="00A15EB4">
        <w:rPr>
          <w:rFonts w:cs="Times New Roman"/>
          <w:lang w:val="fr-CA"/>
        </w:rPr>
        <w:t xml:space="preserve">emploi.  Le pourvoi est donc accueilli en </w:t>
      </w:r>
      <w:r w:rsidRPr="00A15EB4">
        <w:rPr>
          <w:rFonts w:cs="Times New Roman"/>
          <w:lang w:val="fr-CA"/>
        </w:rPr>
        <w:lastRenderedPageBreak/>
        <w:t>partie, avec dépens en faveur de l</w:t>
      </w:r>
      <w:r>
        <w:rPr>
          <w:rFonts w:cs="Times New Roman"/>
          <w:lang w:val="fr-CA"/>
        </w:rPr>
        <w:t>’</w:t>
      </w:r>
      <w:r w:rsidRPr="00A15EB4">
        <w:rPr>
          <w:rFonts w:cs="Times New Roman"/>
          <w:lang w:val="fr-CA"/>
        </w:rPr>
        <w:t>appelant.  L</w:t>
      </w:r>
      <w:r>
        <w:rPr>
          <w:rFonts w:cs="Times New Roman"/>
          <w:lang w:val="fr-CA"/>
        </w:rPr>
        <w:t>’</w:t>
      </w:r>
      <w:r w:rsidRPr="00A15EB4">
        <w:rPr>
          <w:rFonts w:cs="Times New Roman"/>
          <w:lang w:val="fr-CA"/>
        </w:rPr>
        <w:t>affaire est renvoyée à la Cour suprême de la Nouvelle</w:t>
      </w:r>
      <w:r w:rsidRPr="00A15EB4">
        <w:rPr>
          <w:rFonts w:cs="Times New Roman"/>
          <w:lang w:val="fr-CA"/>
        </w:rPr>
        <w:noBreakHyphen/>
        <w:t>Écosse pour que celle</w:t>
      </w:r>
      <w:r w:rsidRPr="00A15EB4">
        <w:rPr>
          <w:rFonts w:cs="Times New Roman"/>
          <w:lang w:val="fr-CA"/>
        </w:rPr>
        <w:noBreakHyphen/>
        <w:t>ci statue sur la réclamation qui subsiste.</w:t>
      </w:r>
    </w:p>
    <w:p w:rsidR="004D7D95" w:rsidRPr="00B74AB3" w:rsidRDefault="004C4A9F" w:rsidP="00BC4663">
      <w:pPr>
        <w:pStyle w:val="SCCNormalDoubleSpacing"/>
        <w:spacing w:before="480" w:after="480"/>
        <w:rPr>
          <w:lang w:val="fr-CA"/>
        </w:rPr>
      </w:pPr>
      <w:r w:rsidRPr="00B74AB3">
        <w:rPr>
          <w:lang w:val="fr-CA"/>
        </w:rPr>
        <w:tab/>
      </w:r>
      <w:r w:rsidRPr="00B74AB3">
        <w:rPr>
          <w:i/>
          <w:lang w:val="fr-CA"/>
        </w:rPr>
        <w:t xml:space="preserve">Pourvoi </w:t>
      </w:r>
      <w:r w:rsidR="00C6181F" w:rsidRPr="00B74AB3">
        <w:rPr>
          <w:i/>
          <w:lang w:val="fr-CA"/>
        </w:rPr>
        <w:t>accueilli</w:t>
      </w:r>
      <w:r w:rsidRPr="00B74AB3">
        <w:rPr>
          <w:i/>
          <w:lang w:val="fr-CA"/>
        </w:rPr>
        <w:t xml:space="preserve"> en partie </w:t>
      </w:r>
      <w:r w:rsidR="005154F9" w:rsidRPr="00B74AB3">
        <w:rPr>
          <w:i/>
          <w:lang w:val="fr-CA"/>
        </w:rPr>
        <w:t>avec</w:t>
      </w:r>
      <w:r w:rsidRPr="00B74AB3">
        <w:rPr>
          <w:i/>
          <w:lang w:val="fr-CA"/>
        </w:rPr>
        <w:t xml:space="preserve"> dépens</w:t>
      </w:r>
      <w:r w:rsidRPr="00B74AB3">
        <w:rPr>
          <w:lang w:val="fr-CA"/>
        </w:rPr>
        <w:t>.</w:t>
      </w:r>
    </w:p>
    <w:p w:rsidR="004C4A9F" w:rsidRPr="00B74AB3" w:rsidRDefault="009F7D3D" w:rsidP="00BC4663">
      <w:pPr>
        <w:pStyle w:val="SCCLawFirm"/>
        <w:spacing w:before="480" w:after="480"/>
        <w:rPr>
          <w:lang w:val="fr-CA"/>
        </w:rPr>
      </w:pPr>
      <w:r>
        <w:rPr>
          <w:lang w:val="fr-CA"/>
        </w:rPr>
        <w:tab/>
        <w:t>Procureur</w:t>
      </w:r>
      <w:r w:rsidR="004C4A9F" w:rsidRPr="00B74AB3">
        <w:rPr>
          <w:lang w:val="fr-CA"/>
        </w:rPr>
        <w:t xml:space="preserve"> de l’appelant</w:t>
      </w:r>
      <w:r w:rsidR="00BC4663" w:rsidRPr="00B74AB3">
        <w:rPr>
          <w:lang w:val="fr-CA"/>
        </w:rPr>
        <w:t> : David </w:t>
      </w:r>
      <w:r w:rsidR="004C4A9F" w:rsidRPr="00B74AB3">
        <w:rPr>
          <w:lang w:val="fr-CA"/>
        </w:rPr>
        <w:t>A. Copp, Halifax.</w:t>
      </w:r>
    </w:p>
    <w:p w:rsidR="004C4A9F" w:rsidRPr="00B74AB3" w:rsidRDefault="004C4A9F" w:rsidP="00BC4663">
      <w:pPr>
        <w:pStyle w:val="SCCLawFirm"/>
        <w:spacing w:before="480" w:after="480"/>
        <w:rPr>
          <w:lang w:val="fr-CA"/>
        </w:rPr>
      </w:pPr>
      <w:r w:rsidRPr="00B74AB3">
        <w:rPr>
          <w:lang w:val="fr-CA"/>
        </w:rPr>
        <w:tab/>
        <w:t>Procureurs de l’intimée</w:t>
      </w:r>
      <w:r w:rsidR="00BC4663" w:rsidRPr="00B74AB3">
        <w:rPr>
          <w:lang w:val="fr-CA"/>
        </w:rPr>
        <w:t> : </w:t>
      </w:r>
      <w:r w:rsidRPr="00B74AB3">
        <w:rPr>
          <w:lang w:val="fr-CA"/>
        </w:rPr>
        <w:t>Stewart McKelvey, Halifax.</w:t>
      </w:r>
    </w:p>
    <w:p w:rsidR="006E4D86" w:rsidRDefault="004C4A9F" w:rsidP="00102A7D">
      <w:pPr>
        <w:pStyle w:val="SCCLawFirm"/>
        <w:rPr>
          <w:b/>
          <w:i w:val="0"/>
          <w:lang w:val="fr-CA"/>
        </w:rPr>
      </w:pPr>
      <w:r w:rsidRPr="00B74AB3">
        <w:rPr>
          <w:lang w:val="fr-CA"/>
        </w:rPr>
        <w:tab/>
        <w:t>Procureurs de l’intervenante</w:t>
      </w:r>
      <w:r w:rsidR="00BC4663" w:rsidRPr="00B74AB3">
        <w:rPr>
          <w:lang w:val="fr-CA"/>
        </w:rPr>
        <w:t> : </w:t>
      </w:r>
      <w:r w:rsidRPr="00B74AB3">
        <w:rPr>
          <w:lang w:val="fr-CA"/>
        </w:rPr>
        <w:t>Borden Ladner Gervais, Toronto.</w:t>
      </w:r>
    </w:p>
    <w:p w:rsidR="00102A7D" w:rsidRPr="00102A7D" w:rsidRDefault="00102A7D" w:rsidP="00102A7D">
      <w:pPr>
        <w:pStyle w:val="SCCNormalDoubleSpacing"/>
        <w:rPr>
          <w:lang w:val="fr-CA"/>
        </w:rPr>
      </w:pPr>
    </w:p>
    <w:sectPr w:rsidR="00102A7D" w:rsidRPr="00102A7D" w:rsidSect="00AC3092">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45F" w:rsidRDefault="00C0045F">
      <w:r>
        <w:separator/>
      </w:r>
    </w:p>
  </w:endnote>
  <w:endnote w:type="continuationSeparator" w:id="0">
    <w:p w:rsidR="00C0045F" w:rsidRDefault="00C004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45F" w:rsidRDefault="00C0045F">
      <w:r>
        <w:separator/>
      </w:r>
    </w:p>
  </w:footnote>
  <w:footnote w:type="continuationSeparator" w:id="0">
    <w:p w:rsidR="00C0045F" w:rsidRDefault="00C00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7005"/>
      <w:docPartObj>
        <w:docPartGallery w:val="Page Numbers (Top of Page)"/>
        <w:docPartUnique/>
      </w:docPartObj>
    </w:sdtPr>
    <w:sdtContent>
      <w:p w:rsidR="00C0045F" w:rsidRDefault="00C0045F">
        <w:pPr>
          <w:pStyle w:val="Header"/>
          <w:jc w:val="center"/>
        </w:pPr>
        <w:r>
          <w:t xml:space="preserve">- </w:t>
        </w:r>
        <w:fldSimple w:instr=" PAGE   \* MERGEFORMAT ">
          <w:r w:rsidR="00783DDD">
            <w:rPr>
              <w:noProof/>
            </w:rPr>
            <w:t>2</w:t>
          </w:r>
        </w:fldSimple>
        <w:r>
          <w:t xml:space="preserve"> -</w:t>
        </w:r>
      </w:p>
    </w:sdtContent>
  </w:sdt>
  <w:p w:rsidR="00C0045F" w:rsidRDefault="00C0045F">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1956524"/>
    <w:multiLevelType w:val="hybridMultilevel"/>
    <w:tmpl w:val="56DA6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55075F8"/>
    <w:multiLevelType w:val="hybridMultilevel"/>
    <w:tmpl w:val="1778C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F9F08EA"/>
    <w:multiLevelType w:val="hybridMultilevel"/>
    <w:tmpl w:val="38BCE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37D68BD"/>
    <w:multiLevelType w:val="multilevel"/>
    <w:tmpl w:val="DF8C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A663C09"/>
    <w:multiLevelType w:val="hybridMultilevel"/>
    <w:tmpl w:val="C4E2B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E467A40"/>
    <w:multiLevelType w:val="hybridMultilevel"/>
    <w:tmpl w:val="1D44194E"/>
    <w:lvl w:ilvl="0" w:tplc="EA5C56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A1B6942"/>
    <w:multiLevelType w:val="hybridMultilevel"/>
    <w:tmpl w:val="8A542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C704424"/>
    <w:multiLevelType w:val="multilevel"/>
    <w:tmpl w:val="C6A2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43C666B"/>
    <w:multiLevelType w:val="hybridMultilevel"/>
    <w:tmpl w:val="EACC1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3">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39C4D98"/>
    <w:multiLevelType w:val="hybridMultilevel"/>
    <w:tmpl w:val="F9781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9986F49"/>
    <w:multiLevelType w:val="hybridMultilevel"/>
    <w:tmpl w:val="01547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B406CC4"/>
    <w:multiLevelType w:val="hybridMultilevel"/>
    <w:tmpl w:val="C8D42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36E3B7C"/>
    <w:multiLevelType w:val="hybridMultilevel"/>
    <w:tmpl w:val="6C3A5D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E7F5547"/>
    <w:multiLevelType w:val="hybridMultilevel"/>
    <w:tmpl w:val="9272A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12"/>
  </w:num>
  <w:num w:numId="4">
    <w:abstractNumId w:val="24"/>
  </w:num>
  <w:num w:numId="5">
    <w:abstractNumId w:val="25"/>
  </w:num>
  <w:num w:numId="6">
    <w:abstractNumId w:val="27"/>
  </w:num>
  <w:num w:numId="7">
    <w:abstractNumId w:val="11"/>
  </w:num>
  <w:num w:numId="8">
    <w:abstractNumId w:val="10"/>
  </w:num>
  <w:num w:numId="9">
    <w:abstractNumId w:val="18"/>
  </w:num>
  <w:num w:numId="10">
    <w:abstractNumId w:val="13"/>
  </w:num>
  <w:num w:numId="11">
    <w:abstractNumId w:val="16"/>
  </w:num>
  <w:num w:numId="12">
    <w:abstractNumId w:val="32"/>
  </w:num>
  <w:num w:numId="13">
    <w:abstractNumId w:val="26"/>
  </w:num>
  <w:num w:numId="14">
    <w:abstractNumId w:val="29"/>
  </w:num>
  <w:num w:numId="15">
    <w:abstractNumId w:val="30"/>
  </w:num>
  <w:num w:numId="16">
    <w:abstractNumId w:val="21"/>
  </w:num>
  <w:num w:numId="17">
    <w:abstractNumId w:val="28"/>
  </w:num>
  <w:num w:numId="18">
    <w:abstractNumId w:val="19"/>
  </w:num>
  <w:num w:numId="19">
    <w:abstractNumId w:val="14"/>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rsids>
    <w:rsidRoot w:val="0031414C"/>
    <w:rsid w:val="00000ED4"/>
    <w:rsid w:val="00021CB9"/>
    <w:rsid w:val="00023FC7"/>
    <w:rsid w:val="00025198"/>
    <w:rsid w:val="000525F2"/>
    <w:rsid w:val="000578A3"/>
    <w:rsid w:val="000648CC"/>
    <w:rsid w:val="00091AD7"/>
    <w:rsid w:val="000A08B2"/>
    <w:rsid w:val="000A6DB5"/>
    <w:rsid w:val="000C073A"/>
    <w:rsid w:val="000C59B8"/>
    <w:rsid w:val="000C6AF0"/>
    <w:rsid w:val="000C6E01"/>
    <w:rsid w:val="000D0A77"/>
    <w:rsid w:val="000D6FF1"/>
    <w:rsid w:val="000F7993"/>
    <w:rsid w:val="00102A7D"/>
    <w:rsid w:val="00104F33"/>
    <w:rsid w:val="00111DE2"/>
    <w:rsid w:val="00115987"/>
    <w:rsid w:val="00116B1D"/>
    <w:rsid w:val="00116B38"/>
    <w:rsid w:val="00132E29"/>
    <w:rsid w:val="00135406"/>
    <w:rsid w:val="00135972"/>
    <w:rsid w:val="001426A9"/>
    <w:rsid w:val="0015069E"/>
    <w:rsid w:val="00154D7C"/>
    <w:rsid w:val="001570B0"/>
    <w:rsid w:val="0015752C"/>
    <w:rsid w:val="00157737"/>
    <w:rsid w:val="00165277"/>
    <w:rsid w:val="00170592"/>
    <w:rsid w:val="001720F7"/>
    <w:rsid w:val="00187975"/>
    <w:rsid w:val="00195D83"/>
    <w:rsid w:val="001A00C1"/>
    <w:rsid w:val="001A6A9C"/>
    <w:rsid w:val="001B323D"/>
    <w:rsid w:val="001B33E0"/>
    <w:rsid w:val="001B4573"/>
    <w:rsid w:val="001B4CDB"/>
    <w:rsid w:val="001C779F"/>
    <w:rsid w:val="001D2AC1"/>
    <w:rsid w:val="001D4E88"/>
    <w:rsid w:val="00205F0E"/>
    <w:rsid w:val="00220FC2"/>
    <w:rsid w:val="002222F4"/>
    <w:rsid w:val="00223DDA"/>
    <w:rsid w:val="00224FC0"/>
    <w:rsid w:val="00225EA4"/>
    <w:rsid w:val="00226EAF"/>
    <w:rsid w:val="00231F3A"/>
    <w:rsid w:val="002341D6"/>
    <w:rsid w:val="002367FA"/>
    <w:rsid w:val="002406EE"/>
    <w:rsid w:val="002415F2"/>
    <w:rsid w:val="00243EC8"/>
    <w:rsid w:val="002536B0"/>
    <w:rsid w:val="00260FCD"/>
    <w:rsid w:val="00270D93"/>
    <w:rsid w:val="002745CC"/>
    <w:rsid w:val="00277DC6"/>
    <w:rsid w:val="00281742"/>
    <w:rsid w:val="00281AEB"/>
    <w:rsid w:val="00284B15"/>
    <w:rsid w:val="002A27D1"/>
    <w:rsid w:val="002B6FBE"/>
    <w:rsid w:val="002B7924"/>
    <w:rsid w:val="002C10A6"/>
    <w:rsid w:val="002D28C3"/>
    <w:rsid w:val="002D39A4"/>
    <w:rsid w:val="002D7211"/>
    <w:rsid w:val="002E6705"/>
    <w:rsid w:val="002E69C2"/>
    <w:rsid w:val="002F68EB"/>
    <w:rsid w:val="0030329A"/>
    <w:rsid w:val="00305FE4"/>
    <w:rsid w:val="0031086F"/>
    <w:rsid w:val="0031414C"/>
    <w:rsid w:val="00314E01"/>
    <w:rsid w:val="0031636A"/>
    <w:rsid w:val="0032089D"/>
    <w:rsid w:val="003310DE"/>
    <w:rsid w:val="003323B0"/>
    <w:rsid w:val="00340A49"/>
    <w:rsid w:val="003479BA"/>
    <w:rsid w:val="0035169A"/>
    <w:rsid w:val="0035259D"/>
    <w:rsid w:val="00356217"/>
    <w:rsid w:val="00364B18"/>
    <w:rsid w:val="003A125D"/>
    <w:rsid w:val="003A4C70"/>
    <w:rsid w:val="003B00DC"/>
    <w:rsid w:val="003B215F"/>
    <w:rsid w:val="003B3DD5"/>
    <w:rsid w:val="003B4B13"/>
    <w:rsid w:val="003C0378"/>
    <w:rsid w:val="003C799C"/>
    <w:rsid w:val="003D0399"/>
    <w:rsid w:val="003E1C71"/>
    <w:rsid w:val="003F327B"/>
    <w:rsid w:val="00406166"/>
    <w:rsid w:val="0040704B"/>
    <w:rsid w:val="00410A55"/>
    <w:rsid w:val="00411300"/>
    <w:rsid w:val="00413F17"/>
    <w:rsid w:val="00415417"/>
    <w:rsid w:val="004200D9"/>
    <w:rsid w:val="0042132D"/>
    <w:rsid w:val="0042184A"/>
    <w:rsid w:val="00424426"/>
    <w:rsid w:val="00426659"/>
    <w:rsid w:val="00450352"/>
    <w:rsid w:val="00454BDB"/>
    <w:rsid w:val="00457C6B"/>
    <w:rsid w:val="004642B0"/>
    <w:rsid w:val="00465132"/>
    <w:rsid w:val="00480C90"/>
    <w:rsid w:val="0048396F"/>
    <w:rsid w:val="00493C18"/>
    <w:rsid w:val="00495F00"/>
    <w:rsid w:val="004A1DC5"/>
    <w:rsid w:val="004A600C"/>
    <w:rsid w:val="004A6118"/>
    <w:rsid w:val="004B3657"/>
    <w:rsid w:val="004C478D"/>
    <w:rsid w:val="004C4A9F"/>
    <w:rsid w:val="004D383F"/>
    <w:rsid w:val="004D7D95"/>
    <w:rsid w:val="004E2C26"/>
    <w:rsid w:val="004F1009"/>
    <w:rsid w:val="00500BFB"/>
    <w:rsid w:val="00504243"/>
    <w:rsid w:val="005125A8"/>
    <w:rsid w:val="00514EEF"/>
    <w:rsid w:val="005154F9"/>
    <w:rsid w:val="00517549"/>
    <w:rsid w:val="00520ABC"/>
    <w:rsid w:val="00521AE8"/>
    <w:rsid w:val="00523EC2"/>
    <w:rsid w:val="00527180"/>
    <w:rsid w:val="00555291"/>
    <w:rsid w:val="00566AD1"/>
    <w:rsid w:val="00567CCE"/>
    <w:rsid w:val="00583EDE"/>
    <w:rsid w:val="005A3DC9"/>
    <w:rsid w:val="005A6079"/>
    <w:rsid w:val="005D3D3D"/>
    <w:rsid w:val="005E4698"/>
    <w:rsid w:val="005F21FC"/>
    <w:rsid w:val="005F2AF1"/>
    <w:rsid w:val="00603924"/>
    <w:rsid w:val="00610539"/>
    <w:rsid w:val="00613969"/>
    <w:rsid w:val="00623159"/>
    <w:rsid w:val="00625C35"/>
    <w:rsid w:val="00643971"/>
    <w:rsid w:val="00647E49"/>
    <w:rsid w:val="00650230"/>
    <w:rsid w:val="006509D7"/>
    <w:rsid w:val="00656313"/>
    <w:rsid w:val="006565F4"/>
    <w:rsid w:val="0066285D"/>
    <w:rsid w:val="0067264D"/>
    <w:rsid w:val="00673C24"/>
    <w:rsid w:val="00684EEA"/>
    <w:rsid w:val="00686FE7"/>
    <w:rsid w:val="00687939"/>
    <w:rsid w:val="0069689B"/>
    <w:rsid w:val="006B5FF5"/>
    <w:rsid w:val="006C25F8"/>
    <w:rsid w:val="006C61D4"/>
    <w:rsid w:val="006E4D86"/>
    <w:rsid w:val="006F30AF"/>
    <w:rsid w:val="006F57D3"/>
    <w:rsid w:val="006F7326"/>
    <w:rsid w:val="00701759"/>
    <w:rsid w:val="00705C15"/>
    <w:rsid w:val="00707EC9"/>
    <w:rsid w:val="007110F6"/>
    <w:rsid w:val="007208D1"/>
    <w:rsid w:val="00724290"/>
    <w:rsid w:val="00731B65"/>
    <w:rsid w:val="00737D20"/>
    <w:rsid w:val="00744518"/>
    <w:rsid w:val="00747288"/>
    <w:rsid w:val="00747DD3"/>
    <w:rsid w:val="007549C8"/>
    <w:rsid w:val="00757108"/>
    <w:rsid w:val="00766D14"/>
    <w:rsid w:val="00767A0F"/>
    <w:rsid w:val="00783DDD"/>
    <w:rsid w:val="00786CDB"/>
    <w:rsid w:val="00791272"/>
    <w:rsid w:val="007935CC"/>
    <w:rsid w:val="007A05F6"/>
    <w:rsid w:val="007B261E"/>
    <w:rsid w:val="007B6F4A"/>
    <w:rsid w:val="007C7F17"/>
    <w:rsid w:val="007E1C47"/>
    <w:rsid w:val="007E337A"/>
    <w:rsid w:val="007E5C70"/>
    <w:rsid w:val="007F1AEB"/>
    <w:rsid w:val="007F2FF5"/>
    <w:rsid w:val="007F3F08"/>
    <w:rsid w:val="00804CC6"/>
    <w:rsid w:val="008161CC"/>
    <w:rsid w:val="00817190"/>
    <w:rsid w:val="008260E2"/>
    <w:rsid w:val="00831D8A"/>
    <w:rsid w:val="008322BD"/>
    <w:rsid w:val="00834F73"/>
    <w:rsid w:val="00837E11"/>
    <w:rsid w:val="00862E39"/>
    <w:rsid w:val="00864C8A"/>
    <w:rsid w:val="00864CF8"/>
    <w:rsid w:val="00874914"/>
    <w:rsid w:val="0087556B"/>
    <w:rsid w:val="00891422"/>
    <w:rsid w:val="00892D13"/>
    <w:rsid w:val="00892E1A"/>
    <w:rsid w:val="008B660A"/>
    <w:rsid w:val="008C01DA"/>
    <w:rsid w:val="008C3F83"/>
    <w:rsid w:val="008F2674"/>
    <w:rsid w:val="008F78E9"/>
    <w:rsid w:val="0090461B"/>
    <w:rsid w:val="00906117"/>
    <w:rsid w:val="009067E4"/>
    <w:rsid w:val="009156AE"/>
    <w:rsid w:val="009179F9"/>
    <w:rsid w:val="00917C7A"/>
    <w:rsid w:val="00933E5E"/>
    <w:rsid w:val="00935218"/>
    <w:rsid w:val="00935B12"/>
    <w:rsid w:val="00937C52"/>
    <w:rsid w:val="009403F3"/>
    <w:rsid w:val="0094605E"/>
    <w:rsid w:val="0095518F"/>
    <w:rsid w:val="009555B7"/>
    <w:rsid w:val="009567AA"/>
    <w:rsid w:val="009602C9"/>
    <w:rsid w:val="00967374"/>
    <w:rsid w:val="0097699F"/>
    <w:rsid w:val="00980584"/>
    <w:rsid w:val="00986465"/>
    <w:rsid w:val="0099273B"/>
    <w:rsid w:val="009A343A"/>
    <w:rsid w:val="009B2F23"/>
    <w:rsid w:val="009B57B3"/>
    <w:rsid w:val="009C17E3"/>
    <w:rsid w:val="009C2C3C"/>
    <w:rsid w:val="009D2920"/>
    <w:rsid w:val="009D5AEB"/>
    <w:rsid w:val="009F0E33"/>
    <w:rsid w:val="009F1C06"/>
    <w:rsid w:val="009F2560"/>
    <w:rsid w:val="009F7D3D"/>
    <w:rsid w:val="00A0074B"/>
    <w:rsid w:val="00A149DF"/>
    <w:rsid w:val="00A1755C"/>
    <w:rsid w:val="00A21B90"/>
    <w:rsid w:val="00A22AAC"/>
    <w:rsid w:val="00A33FB4"/>
    <w:rsid w:val="00A34C8D"/>
    <w:rsid w:val="00A41805"/>
    <w:rsid w:val="00A51882"/>
    <w:rsid w:val="00A52AFB"/>
    <w:rsid w:val="00A546D9"/>
    <w:rsid w:val="00A548CB"/>
    <w:rsid w:val="00A5521C"/>
    <w:rsid w:val="00A643E7"/>
    <w:rsid w:val="00A73C38"/>
    <w:rsid w:val="00A764D3"/>
    <w:rsid w:val="00AB499C"/>
    <w:rsid w:val="00AB670D"/>
    <w:rsid w:val="00AC0688"/>
    <w:rsid w:val="00AC3092"/>
    <w:rsid w:val="00AC30A1"/>
    <w:rsid w:val="00AF03C5"/>
    <w:rsid w:val="00AF209B"/>
    <w:rsid w:val="00B000D8"/>
    <w:rsid w:val="00B00F75"/>
    <w:rsid w:val="00B10B9E"/>
    <w:rsid w:val="00B145B6"/>
    <w:rsid w:val="00B227B5"/>
    <w:rsid w:val="00B279EB"/>
    <w:rsid w:val="00B50C81"/>
    <w:rsid w:val="00B557F8"/>
    <w:rsid w:val="00B60EC1"/>
    <w:rsid w:val="00B667D6"/>
    <w:rsid w:val="00B72268"/>
    <w:rsid w:val="00B74AB3"/>
    <w:rsid w:val="00B815FC"/>
    <w:rsid w:val="00B93231"/>
    <w:rsid w:val="00B93FBC"/>
    <w:rsid w:val="00BA61B8"/>
    <w:rsid w:val="00BA7DA0"/>
    <w:rsid w:val="00BB2060"/>
    <w:rsid w:val="00BB2EE4"/>
    <w:rsid w:val="00BB4C92"/>
    <w:rsid w:val="00BC2108"/>
    <w:rsid w:val="00BC4663"/>
    <w:rsid w:val="00BD0E9E"/>
    <w:rsid w:val="00BD1BEC"/>
    <w:rsid w:val="00BD32FF"/>
    <w:rsid w:val="00BE12FC"/>
    <w:rsid w:val="00BE7BB0"/>
    <w:rsid w:val="00BF6FE9"/>
    <w:rsid w:val="00C0045F"/>
    <w:rsid w:val="00C02092"/>
    <w:rsid w:val="00C22BD3"/>
    <w:rsid w:val="00C24D91"/>
    <w:rsid w:val="00C26DB2"/>
    <w:rsid w:val="00C4087E"/>
    <w:rsid w:val="00C53F14"/>
    <w:rsid w:val="00C55E8D"/>
    <w:rsid w:val="00C600CF"/>
    <w:rsid w:val="00C6084F"/>
    <w:rsid w:val="00C6181F"/>
    <w:rsid w:val="00C62A66"/>
    <w:rsid w:val="00C66359"/>
    <w:rsid w:val="00C71458"/>
    <w:rsid w:val="00C77613"/>
    <w:rsid w:val="00C828E7"/>
    <w:rsid w:val="00C86719"/>
    <w:rsid w:val="00C921DD"/>
    <w:rsid w:val="00CA6391"/>
    <w:rsid w:val="00CE036E"/>
    <w:rsid w:val="00CE2D15"/>
    <w:rsid w:val="00CE3171"/>
    <w:rsid w:val="00CF1601"/>
    <w:rsid w:val="00CF531A"/>
    <w:rsid w:val="00D0172F"/>
    <w:rsid w:val="00D01E33"/>
    <w:rsid w:val="00D068A7"/>
    <w:rsid w:val="00D17476"/>
    <w:rsid w:val="00D21086"/>
    <w:rsid w:val="00D2721C"/>
    <w:rsid w:val="00D32086"/>
    <w:rsid w:val="00D37A3F"/>
    <w:rsid w:val="00D4431D"/>
    <w:rsid w:val="00D46467"/>
    <w:rsid w:val="00D4667A"/>
    <w:rsid w:val="00D63A1C"/>
    <w:rsid w:val="00D7516F"/>
    <w:rsid w:val="00D95F8E"/>
    <w:rsid w:val="00DA0590"/>
    <w:rsid w:val="00DA0ADE"/>
    <w:rsid w:val="00DA7E1F"/>
    <w:rsid w:val="00DB45C7"/>
    <w:rsid w:val="00DC1739"/>
    <w:rsid w:val="00DC1788"/>
    <w:rsid w:val="00DD3D05"/>
    <w:rsid w:val="00DD5615"/>
    <w:rsid w:val="00DE319C"/>
    <w:rsid w:val="00DF0CA8"/>
    <w:rsid w:val="00DF2B48"/>
    <w:rsid w:val="00DF49A7"/>
    <w:rsid w:val="00E0243F"/>
    <w:rsid w:val="00E064F0"/>
    <w:rsid w:val="00E07EE2"/>
    <w:rsid w:val="00E07FD1"/>
    <w:rsid w:val="00E24573"/>
    <w:rsid w:val="00E25E1E"/>
    <w:rsid w:val="00E26EF1"/>
    <w:rsid w:val="00E27EE7"/>
    <w:rsid w:val="00E35404"/>
    <w:rsid w:val="00E377B0"/>
    <w:rsid w:val="00E45109"/>
    <w:rsid w:val="00E46930"/>
    <w:rsid w:val="00E47078"/>
    <w:rsid w:val="00E47B7A"/>
    <w:rsid w:val="00E534AB"/>
    <w:rsid w:val="00E56A44"/>
    <w:rsid w:val="00E60269"/>
    <w:rsid w:val="00E66DC2"/>
    <w:rsid w:val="00E71BAC"/>
    <w:rsid w:val="00E72532"/>
    <w:rsid w:val="00E768AA"/>
    <w:rsid w:val="00E84DDE"/>
    <w:rsid w:val="00E97618"/>
    <w:rsid w:val="00E97830"/>
    <w:rsid w:val="00EB534F"/>
    <w:rsid w:val="00ED09B5"/>
    <w:rsid w:val="00ED56ED"/>
    <w:rsid w:val="00EE0830"/>
    <w:rsid w:val="00EE6CB8"/>
    <w:rsid w:val="00EF0683"/>
    <w:rsid w:val="00EF1566"/>
    <w:rsid w:val="00F0070C"/>
    <w:rsid w:val="00F00EB7"/>
    <w:rsid w:val="00F025BE"/>
    <w:rsid w:val="00F27F4A"/>
    <w:rsid w:val="00F340C4"/>
    <w:rsid w:val="00F34215"/>
    <w:rsid w:val="00F36AB6"/>
    <w:rsid w:val="00F37A09"/>
    <w:rsid w:val="00F401E2"/>
    <w:rsid w:val="00F409CE"/>
    <w:rsid w:val="00F4379D"/>
    <w:rsid w:val="00F46E15"/>
    <w:rsid w:val="00F50D2D"/>
    <w:rsid w:val="00F56C8B"/>
    <w:rsid w:val="00F62639"/>
    <w:rsid w:val="00F66810"/>
    <w:rsid w:val="00F70278"/>
    <w:rsid w:val="00F70546"/>
    <w:rsid w:val="00F72AF5"/>
    <w:rsid w:val="00F77A57"/>
    <w:rsid w:val="00F84DF4"/>
    <w:rsid w:val="00F85C97"/>
    <w:rsid w:val="00F87321"/>
    <w:rsid w:val="00F92CDF"/>
    <w:rsid w:val="00FB37D2"/>
    <w:rsid w:val="00FB3EE2"/>
    <w:rsid w:val="00FC4EFB"/>
    <w:rsid w:val="00FD068D"/>
    <w:rsid w:val="00FD13B5"/>
    <w:rsid w:val="00FD4F28"/>
    <w:rsid w:val="00FE5521"/>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2A7D"/>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102A7D"/>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102A7D"/>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102A7D"/>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102A7D"/>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02A7D"/>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102A7D"/>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customStyle="1" w:styleId="Heading3Char">
    <w:name w:val="Heading 3 Char"/>
    <w:basedOn w:val="DefaultParagraphFont"/>
    <w:link w:val="Heading3"/>
    <w:uiPriority w:val="9"/>
    <w:semiHidden/>
    <w:rsid w:val="00102A7D"/>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102A7D"/>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102A7D"/>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102A7D"/>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102A7D"/>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102A7D"/>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102A7D"/>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102A7D"/>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102A7D"/>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102A7D"/>
    <w:rPr>
      <w:b/>
      <w:sz w:val="24"/>
    </w:rPr>
  </w:style>
  <w:style w:type="table" w:styleId="TableGrid">
    <w:name w:val="Table Grid"/>
    <w:basedOn w:val="TableNormal"/>
    <w:uiPriority w:val="59"/>
    <w:rsid w:val="00102A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102A7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02A7D"/>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02A7D"/>
    <w:pPr>
      <w:tabs>
        <w:tab w:val="left" w:pos="1260"/>
      </w:tabs>
      <w:spacing w:after="480" w:line="480" w:lineRule="auto"/>
    </w:pPr>
    <w:rPr>
      <w:smallCaps/>
      <w:sz w:val="24"/>
    </w:rPr>
  </w:style>
  <w:style w:type="paragraph" w:customStyle="1" w:styleId="ParaNoNdepar-AltN">
    <w:name w:val="Para. No. / Nº de par. - Alt N"/>
    <w:qFormat/>
    <w:rsid w:val="00102A7D"/>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102A7D"/>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rsid w:val="00102A7D"/>
    <w:pPr>
      <w:ind w:left="720"/>
      <w:contextualSpacing/>
    </w:pPr>
    <w:rPr>
      <w:rFonts w:eastAsiaTheme="minorHAnsi" w:cstheme="minorBidi"/>
      <w:szCs w:val="22"/>
      <w:lang w:val="en-US" w:eastAsia="en-US" w:bidi="en-US"/>
    </w:rPr>
  </w:style>
  <w:style w:type="character" w:styleId="SubtleEmphasis">
    <w:name w:val="Subtle Emphasis"/>
    <w:basedOn w:val="DefaultParagraphFont"/>
    <w:uiPriority w:val="19"/>
    <w:rsid w:val="00102A7D"/>
    <w:rPr>
      <w:i/>
      <w:iCs/>
      <w:color w:val="808080" w:themeColor="text1" w:themeTint="7F"/>
    </w:rPr>
  </w:style>
  <w:style w:type="character" w:customStyle="1" w:styleId="sectionlabel">
    <w:name w:val="sectionlabel"/>
    <w:basedOn w:val="DefaultParagraphFont"/>
    <w:rsid w:val="00102A7D"/>
  </w:style>
  <w:style w:type="paragraph" w:customStyle="1" w:styleId="paragraph">
    <w:name w:val="paragraph"/>
    <w:basedOn w:val="Normal"/>
    <w:rsid w:val="00102A7D"/>
    <w:pPr>
      <w:spacing w:before="100" w:beforeAutospacing="1" w:after="100" w:afterAutospacing="1"/>
    </w:pPr>
    <w:rPr>
      <w:rFonts w:eastAsiaTheme="minorHAnsi" w:cstheme="minorBidi"/>
      <w:szCs w:val="24"/>
      <w:lang w:val="en-US" w:eastAsia="en-US" w:bidi="en-US"/>
    </w:rPr>
  </w:style>
  <w:style w:type="character" w:styleId="Emphasis">
    <w:name w:val="Emphasis"/>
    <w:basedOn w:val="DefaultParagraphFont"/>
    <w:uiPriority w:val="20"/>
    <w:rsid w:val="00102A7D"/>
    <w:rPr>
      <w:i/>
      <w:iCs/>
    </w:rPr>
  </w:style>
  <w:style w:type="paragraph" w:customStyle="1" w:styleId="subsection">
    <w:name w:val="subsection"/>
    <w:basedOn w:val="Normal"/>
    <w:rsid w:val="00102A7D"/>
    <w:pPr>
      <w:spacing w:before="100" w:beforeAutospacing="1" w:after="100" w:afterAutospacing="1"/>
    </w:pPr>
    <w:rPr>
      <w:rFonts w:eastAsiaTheme="minorHAnsi" w:cstheme="minorBidi"/>
      <w:szCs w:val="24"/>
      <w:lang w:val="en-US" w:eastAsia="en-US" w:bidi="en-US"/>
    </w:rPr>
  </w:style>
  <w:style w:type="character" w:styleId="CommentReference">
    <w:name w:val="annotation reference"/>
    <w:basedOn w:val="DefaultParagraphFont"/>
    <w:uiPriority w:val="99"/>
    <w:semiHidden/>
    <w:unhideWhenUsed/>
    <w:rsid w:val="00102A7D"/>
    <w:rPr>
      <w:sz w:val="16"/>
      <w:szCs w:val="16"/>
    </w:rPr>
  </w:style>
  <w:style w:type="paragraph" w:styleId="CommentText">
    <w:name w:val="annotation text"/>
    <w:basedOn w:val="Normal"/>
    <w:link w:val="CommentTextChar"/>
    <w:uiPriority w:val="99"/>
    <w:semiHidden/>
    <w:unhideWhenUsed/>
    <w:rsid w:val="00102A7D"/>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102A7D"/>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102A7D"/>
    <w:rPr>
      <w:b/>
      <w:bCs/>
    </w:rPr>
  </w:style>
  <w:style w:type="character" w:customStyle="1" w:styleId="CommentSubjectChar">
    <w:name w:val="Comment Subject Char"/>
    <w:basedOn w:val="CommentTextChar"/>
    <w:link w:val="CommentSubject"/>
    <w:uiPriority w:val="99"/>
    <w:semiHidden/>
    <w:rsid w:val="00102A7D"/>
    <w:rPr>
      <w:b/>
      <w:bCs/>
    </w:rPr>
  </w:style>
  <w:style w:type="paragraph" w:styleId="DocumentMap">
    <w:name w:val="Document Map"/>
    <w:basedOn w:val="Normal"/>
    <w:link w:val="DocumentMapChar"/>
    <w:uiPriority w:val="99"/>
    <w:semiHidden/>
    <w:unhideWhenUsed/>
    <w:rsid w:val="00102A7D"/>
    <w:rPr>
      <w:rFonts w:ascii="Tahoma" w:eastAsiaTheme="minorHAnsi" w:hAnsi="Tahoma" w:cs="Tahoma"/>
      <w:sz w:val="16"/>
      <w:szCs w:val="16"/>
      <w:lang w:val="en-US" w:eastAsia="en-US" w:bidi="en-US"/>
    </w:rPr>
  </w:style>
  <w:style w:type="character" w:customStyle="1" w:styleId="DocumentMapChar">
    <w:name w:val="Document Map Char"/>
    <w:basedOn w:val="DefaultParagraphFont"/>
    <w:link w:val="DocumentMap"/>
    <w:uiPriority w:val="99"/>
    <w:semiHidden/>
    <w:rsid w:val="00102A7D"/>
    <w:rPr>
      <w:rFonts w:ascii="Tahoma" w:eastAsiaTheme="minorHAnsi" w:hAnsi="Tahoma" w:cs="Tahoma"/>
      <w:sz w:val="16"/>
      <w:szCs w:val="16"/>
      <w:lang w:val="en-US" w:eastAsia="en-US" w:bidi="en-US"/>
    </w:rPr>
  </w:style>
  <w:style w:type="paragraph" w:customStyle="1" w:styleId="HeadingTitre-AltH">
    <w:name w:val="Heading / Titre - Alt H"/>
    <w:next w:val="Normal"/>
    <w:uiPriority w:val="3"/>
    <w:rsid w:val="00102A7D"/>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102A7D"/>
    <w:rPr>
      <w:smallCaps/>
      <w:sz w:val="24"/>
    </w:rPr>
  </w:style>
  <w:style w:type="paragraph" w:customStyle="1" w:styleId="Title1LevelTitre1Niveau-AltL">
    <w:name w:val="Title 1 Level / Titre 1 Niveau - Alt L"/>
    <w:next w:val="ParaNoNdepar-AltN"/>
    <w:uiPriority w:val="4"/>
    <w:qFormat/>
    <w:rsid w:val="00102A7D"/>
    <w:pPr>
      <w:numPr>
        <w:numId w:val="33"/>
      </w:numPr>
      <w:tabs>
        <w:tab w:val="left" w:pos="432"/>
      </w:tabs>
      <w:spacing w:before="480" w:after="720"/>
    </w:pPr>
    <w:rPr>
      <w:rFonts w:eastAsiaTheme="minorHAnsi" w:cstheme="minorBidi"/>
      <w:sz w:val="24"/>
      <w:szCs w:val="22"/>
      <w:u w:val="single"/>
      <w:lang w:eastAsia="en-US"/>
    </w:rPr>
  </w:style>
  <w:style w:type="paragraph" w:styleId="NoSpacing">
    <w:name w:val="No Spacing"/>
    <w:uiPriority w:val="1"/>
    <w:rsid w:val="00102A7D"/>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102A7D"/>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102A7D"/>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102A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02A7D"/>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102A7D"/>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102A7D"/>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102A7D"/>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102A7D"/>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102A7D"/>
    <w:rPr>
      <w:b/>
      <w:bCs/>
      <w:i/>
      <w:iCs/>
      <w:color w:val="4F81BD" w:themeColor="accent1"/>
    </w:rPr>
  </w:style>
  <w:style w:type="character" w:styleId="SubtleReference">
    <w:name w:val="Subtle Reference"/>
    <w:basedOn w:val="DefaultParagraphFont"/>
    <w:uiPriority w:val="31"/>
    <w:rsid w:val="00102A7D"/>
    <w:rPr>
      <w:smallCaps/>
      <w:color w:val="C0504D" w:themeColor="accent2"/>
      <w:u w:val="single"/>
    </w:rPr>
  </w:style>
  <w:style w:type="character" w:styleId="IntenseReference">
    <w:name w:val="Intense Reference"/>
    <w:basedOn w:val="DefaultParagraphFont"/>
    <w:uiPriority w:val="32"/>
    <w:rsid w:val="00102A7D"/>
    <w:rPr>
      <w:b/>
      <w:bCs/>
      <w:smallCaps/>
      <w:color w:val="C0504D" w:themeColor="accent2"/>
      <w:spacing w:val="5"/>
      <w:u w:val="single"/>
    </w:rPr>
  </w:style>
  <w:style w:type="character" w:styleId="BookTitle">
    <w:name w:val="Book Title"/>
    <w:basedOn w:val="DefaultParagraphFont"/>
    <w:uiPriority w:val="33"/>
    <w:rsid w:val="00102A7D"/>
    <w:rPr>
      <w:b/>
      <w:bCs/>
      <w:smallCaps/>
      <w:spacing w:val="5"/>
    </w:rPr>
  </w:style>
  <w:style w:type="paragraph" w:styleId="Revision">
    <w:name w:val="Revision"/>
    <w:hidden/>
    <w:uiPriority w:val="99"/>
    <w:semiHidden/>
    <w:rsid w:val="00102A7D"/>
    <w:rPr>
      <w:rFonts w:eastAsiaTheme="minorHAnsi" w:cstheme="minorBidi"/>
      <w:sz w:val="24"/>
      <w:szCs w:val="22"/>
      <w:lang w:val="en-US" w:eastAsia="en-US" w:bidi="en-US"/>
    </w:rPr>
  </w:style>
  <w:style w:type="character" w:styleId="Hyperlink">
    <w:name w:val="Hyperlink"/>
    <w:basedOn w:val="DefaultParagraphFont"/>
    <w:uiPriority w:val="99"/>
    <w:unhideWhenUsed/>
    <w:rsid w:val="00102A7D"/>
    <w:rPr>
      <w:color w:val="0000FF" w:themeColor="hyperlink"/>
      <w:u w:val="single"/>
    </w:rPr>
  </w:style>
  <w:style w:type="paragraph" w:customStyle="1" w:styleId="Title2LevelTitre2Niveau">
    <w:name w:val="Title 2 Level / Titre 2 Niveau"/>
    <w:basedOn w:val="Title1LevelTitre1Niveau-AltL"/>
    <w:next w:val="ParaNoNdepar-AltN"/>
    <w:uiPriority w:val="4"/>
    <w:qFormat/>
    <w:rsid w:val="00102A7D"/>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102A7D"/>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102A7D"/>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102A7D"/>
    <w:pPr>
      <w:numPr>
        <w:ilvl w:val="4"/>
      </w:numPr>
      <w:tabs>
        <w:tab w:val="clear" w:pos="432"/>
        <w:tab w:val="clear" w:pos="1728"/>
        <w:tab w:val="num" w:pos="1440"/>
      </w:tabs>
      <w:ind w:left="1440" w:hanging="540"/>
    </w:pPr>
  </w:style>
  <w:style w:type="table" w:customStyle="1" w:styleId="TableGrid1">
    <w:name w:val="Table Grid1"/>
    <w:basedOn w:val="TableNormal"/>
    <w:next w:val="TableGrid"/>
    <w:uiPriority w:val="59"/>
    <w:rsid w:val="00783DD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9513</Words>
  <Characters>51911</Characters>
  <Application>Microsoft Office Word</Application>
  <DocSecurity>0</DocSecurity>
  <Lines>432</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2014-04-03T16:14:00Z</dcterms:created>
  <dcterms:modified xsi:type="dcterms:W3CDTF">2014-04-03T16:14:00Z</dcterms:modified>
</cp:coreProperties>
</file>